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143624" w:rsidRDefault="00DA186E" w:rsidP="00B05CF4">
      <w:pPr>
        <w:rPr>
          <w:sz w:val="28"/>
        </w:rPr>
      </w:pPr>
      <w:r w:rsidRPr="00143624">
        <w:rPr>
          <w:noProof/>
          <w:lang w:eastAsia="en-AU"/>
        </w:rPr>
        <w:drawing>
          <wp:inline distT="0" distB="0" distL="0" distR="0" wp14:anchorId="2FA92115" wp14:editId="0666F86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Start w:id="0" w:name="_GoBack"/>
      <w:bookmarkEnd w:id="0"/>
    </w:p>
    <w:p w:rsidR="00715914" w:rsidRPr="00143624" w:rsidRDefault="00715914" w:rsidP="00715914">
      <w:pPr>
        <w:rPr>
          <w:sz w:val="19"/>
        </w:rPr>
      </w:pPr>
    </w:p>
    <w:p w:rsidR="001F6CD4" w:rsidRPr="00143624" w:rsidRDefault="00D844B9" w:rsidP="0001201E">
      <w:pPr>
        <w:pStyle w:val="ShortT"/>
      </w:pPr>
      <w:r w:rsidRPr="00143624">
        <w:t xml:space="preserve">Income Tax Assessment (1997 Act) </w:t>
      </w:r>
      <w:r w:rsidR="00143624" w:rsidRPr="00143624">
        <w:t>Regulations 2</w:t>
      </w:r>
      <w:r w:rsidRPr="00143624">
        <w:t>021</w:t>
      </w:r>
    </w:p>
    <w:p w:rsidR="009F135A" w:rsidRPr="00143624" w:rsidRDefault="009F135A" w:rsidP="005B63A2">
      <w:pPr>
        <w:pStyle w:val="SignCoverPageStart"/>
        <w:spacing w:before="240"/>
        <w:rPr>
          <w:szCs w:val="22"/>
        </w:rPr>
      </w:pPr>
      <w:r w:rsidRPr="00143624">
        <w:rPr>
          <w:szCs w:val="22"/>
        </w:rPr>
        <w:t>I, General the Honourable David Hurley AC DSC (</w:t>
      </w:r>
      <w:proofErr w:type="spellStart"/>
      <w:r w:rsidRPr="00143624">
        <w:rPr>
          <w:szCs w:val="22"/>
        </w:rPr>
        <w:t>Retd</w:t>
      </w:r>
      <w:proofErr w:type="spellEnd"/>
      <w:r w:rsidRPr="00143624">
        <w:rPr>
          <w:szCs w:val="22"/>
        </w:rPr>
        <w:t>), Governor</w:t>
      </w:r>
      <w:r w:rsidR="00143624">
        <w:rPr>
          <w:szCs w:val="22"/>
        </w:rPr>
        <w:noBreakHyphen/>
      </w:r>
      <w:r w:rsidRPr="00143624">
        <w:rPr>
          <w:szCs w:val="22"/>
        </w:rPr>
        <w:t>General of the Commonwealth of Australia, acting with the advice of the Federal Executive Council, make the following regulations.</w:t>
      </w:r>
    </w:p>
    <w:p w:rsidR="009F135A" w:rsidRPr="00143624" w:rsidRDefault="009F135A" w:rsidP="005B63A2">
      <w:pPr>
        <w:keepNext/>
        <w:spacing w:before="720" w:line="240" w:lineRule="atLeast"/>
        <w:ind w:right="397"/>
        <w:jc w:val="both"/>
        <w:rPr>
          <w:szCs w:val="22"/>
        </w:rPr>
      </w:pPr>
      <w:r w:rsidRPr="00143624">
        <w:rPr>
          <w:szCs w:val="22"/>
        </w:rPr>
        <w:t xml:space="preserve">Dated </w:t>
      </w:r>
      <w:r w:rsidRPr="00143624">
        <w:rPr>
          <w:szCs w:val="22"/>
        </w:rPr>
        <w:fldChar w:fldCharType="begin"/>
      </w:r>
      <w:r w:rsidRPr="00143624">
        <w:rPr>
          <w:szCs w:val="22"/>
        </w:rPr>
        <w:instrText xml:space="preserve"> DOCPROPERTY  DateMade </w:instrText>
      </w:r>
      <w:r w:rsidRPr="00143624">
        <w:rPr>
          <w:szCs w:val="22"/>
        </w:rPr>
        <w:fldChar w:fldCharType="separate"/>
      </w:r>
      <w:r w:rsidR="005364D5">
        <w:rPr>
          <w:szCs w:val="22"/>
        </w:rPr>
        <w:t>02 March 2021</w:t>
      </w:r>
      <w:r w:rsidRPr="00143624">
        <w:rPr>
          <w:szCs w:val="22"/>
        </w:rPr>
        <w:fldChar w:fldCharType="end"/>
      </w:r>
    </w:p>
    <w:p w:rsidR="009F135A" w:rsidRPr="00143624" w:rsidRDefault="009F135A" w:rsidP="005B63A2">
      <w:pPr>
        <w:keepNext/>
        <w:tabs>
          <w:tab w:val="left" w:pos="3402"/>
        </w:tabs>
        <w:spacing w:before="1080" w:line="300" w:lineRule="atLeast"/>
        <w:ind w:left="397" w:right="397"/>
        <w:jc w:val="right"/>
        <w:rPr>
          <w:szCs w:val="22"/>
        </w:rPr>
      </w:pPr>
      <w:r w:rsidRPr="00143624">
        <w:rPr>
          <w:szCs w:val="22"/>
        </w:rPr>
        <w:t>David Hurley</w:t>
      </w:r>
    </w:p>
    <w:p w:rsidR="009F135A" w:rsidRPr="00143624" w:rsidRDefault="009F135A" w:rsidP="005B63A2">
      <w:pPr>
        <w:keepNext/>
        <w:tabs>
          <w:tab w:val="left" w:pos="3402"/>
        </w:tabs>
        <w:spacing w:line="300" w:lineRule="atLeast"/>
        <w:ind w:left="397" w:right="397"/>
        <w:jc w:val="right"/>
        <w:rPr>
          <w:szCs w:val="22"/>
        </w:rPr>
      </w:pPr>
      <w:r w:rsidRPr="00143624">
        <w:rPr>
          <w:szCs w:val="22"/>
        </w:rPr>
        <w:t>Governor</w:t>
      </w:r>
      <w:r w:rsidR="00143624">
        <w:rPr>
          <w:szCs w:val="22"/>
        </w:rPr>
        <w:noBreakHyphen/>
      </w:r>
      <w:r w:rsidRPr="00143624">
        <w:rPr>
          <w:szCs w:val="22"/>
        </w:rPr>
        <w:t>General</w:t>
      </w:r>
    </w:p>
    <w:p w:rsidR="009F135A" w:rsidRPr="00143624" w:rsidRDefault="009F135A" w:rsidP="005B63A2">
      <w:pPr>
        <w:keepNext/>
        <w:tabs>
          <w:tab w:val="left" w:pos="3402"/>
        </w:tabs>
        <w:spacing w:before="840" w:after="1080" w:line="300" w:lineRule="atLeast"/>
        <w:ind w:right="397"/>
        <w:rPr>
          <w:szCs w:val="22"/>
        </w:rPr>
      </w:pPr>
      <w:r w:rsidRPr="00143624">
        <w:rPr>
          <w:szCs w:val="22"/>
        </w:rPr>
        <w:t>By His Excellency’s Command</w:t>
      </w:r>
    </w:p>
    <w:p w:rsidR="009F135A" w:rsidRPr="00143624" w:rsidRDefault="009F135A" w:rsidP="005B63A2">
      <w:pPr>
        <w:keepNext/>
        <w:tabs>
          <w:tab w:val="left" w:pos="3402"/>
        </w:tabs>
        <w:spacing w:before="480" w:line="300" w:lineRule="atLeast"/>
        <w:ind w:right="397"/>
        <w:rPr>
          <w:szCs w:val="22"/>
        </w:rPr>
      </w:pPr>
      <w:r w:rsidRPr="00143624">
        <w:rPr>
          <w:szCs w:val="22"/>
        </w:rPr>
        <w:t xml:space="preserve">Michael </w:t>
      </w:r>
      <w:proofErr w:type="spellStart"/>
      <w:r w:rsidRPr="00143624">
        <w:rPr>
          <w:szCs w:val="22"/>
        </w:rPr>
        <w:t>Sukkar</w:t>
      </w:r>
      <w:proofErr w:type="spellEnd"/>
    </w:p>
    <w:p w:rsidR="009F135A" w:rsidRPr="00143624" w:rsidRDefault="00640220" w:rsidP="005B63A2">
      <w:pPr>
        <w:pStyle w:val="SignCoverPageEnd"/>
        <w:rPr>
          <w:szCs w:val="22"/>
        </w:rPr>
      </w:pPr>
      <w:r w:rsidRPr="00143624">
        <w:rPr>
          <w:szCs w:val="22"/>
        </w:rPr>
        <w:t>Assistant Treasurer, Minister for Housing and Minister for Homelessness, Social and Community Housing</w:t>
      </w:r>
    </w:p>
    <w:p w:rsidR="009F135A" w:rsidRPr="00143624" w:rsidRDefault="009F135A" w:rsidP="005B63A2"/>
    <w:p w:rsidR="009F135A" w:rsidRPr="00143624" w:rsidRDefault="009F135A" w:rsidP="005B63A2"/>
    <w:p w:rsidR="009F135A" w:rsidRPr="00143624" w:rsidRDefault="009F135A" w:rsidP="005B63A2"/>
    <w:p w:rsidR="002364B4" w:rsidRPr="003F3E0B" w:rsidRDefault="002364B4" w:rsidP="002364B4">
      <w:pPr>
        <w:pStyle w:val="Header"/>
        <w:tabs>
          <w:tab w:val="clear" w:pos="4150"/>
          <w:tab w:val="clear" w:pos="8307"/>
        </w:tabs>
      </w:pPr>
      <w:r w:rsidRPr="003F3E0B">
        <w:rPr>
          <w:rStyle w:val="CharChapNo"/>
        </w:rPr>
        <w:t xml:space="preserve"> </w:t>
      </w:r>
      <w:r w:rsidRPr="003F3E0B">
        <w:rPr>
          <w:rStyle w:val="CharChapText"/>
        </w:rPr>
        <w:t xml:space="preserve"> </w:t>
      </w:r>
    </w:p>
    <w:p w:rsidR="002364B4" w:rsidRPr="003F3E0B" w:rsidRDefault="002364B4" w:rsidP="002364B4">
      <w:pPr>
        <w:pStyle w:val="Header"/>
        <w:tabs>
          <w:tab w:val="clear" w:pos="4150"/>
          <w:tab w:val="clear" w:pos="8307"/>
        </w:tabs>
      </w:pPr>
      <w:r w:rsidRPr="003F3E0B">
        <w:rPr>
          <w:rStyle w:val="CharPartNo"/>
        </w:rPr>
        <w:t xml:space="preserve"> </w:t>
      </w:r>
      <w:r w:rsidRPr="003F3E0B">
        <w:rPr>
          <w:rStyle w:val="CharPartText"/>
        </w:rPr>
        <w:t xml:space="preserve"> </w:t>
      </w:r>
    </w:p>
    <w:p w:rsidR="002364B4" w:rsidRPr="003F3E0B" w:rsidRDefault="002364B4" w:rsidP="002364B4">
      <w:pPr>
        <w:pStyle w:val="Header"/>
        <w:tabs>
          <w:tab w:val="clear" w:pos="4150"/>
          <w:tab w:val="clear" w:pos="8307"/>
        </w:tabs>
      </w:pPr>
      <w:r w:rsidRPr="003F3E0B">
        <w:rPr>
          <w:rStyle w:val="CharDivNo"/>
        </w:rPr>
        <w:t xml:space="preserve"> </w:t>
      </w:r>
      <w:r w:rsidRPr="003F3E0B">
        <w:rPr>
          <w:rStyle w:val="CharDivText"/>
        </w:rPr>
        <w:t xml:space="preserve"> </w:t>
      </w:r>
    </w:p>
    <w:p w:rsidR="002364B4" w:rsidRPr="00143624" w:rsidRDefault="002364B4" w:rsidP="002364B4">
      <w:pPr>
        <w:sectPr w:rsidR="002364B4" w:rsidRPr="00143624" w:rsidSect="00AE076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143624" w:rsidRDefault="00715914" w:rsidP="006B11B1">
      <w:pPr>
        <w:rPr>
          <w:sz w:val="36"/>
        </w:rPr>
      </w:pPr>
      <w:r w:rsidRPr="00143624">
        <w:rPr>
          <w:sz w:val="36"/>
        </w:rPr>
        <w:lastRenderedPageBreak/>
        <w:t>Contents</w:t>
      </w:r>
    </w:p>
    <w:p w:rsidR="003F3E0B" w:rsidRDefault="003F3E0B">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1—Introduction and core provisions</w:t>
      </w:r>
      <w:r w:rsidRPr="003F3E0B">
        <w:rPr>
          <w:b w:val="0"/>
          <w:noProof/>
          <w:sz w:val="18"/>
        </w:rPr>
        <w:tab/>
      </w:r>
      <w:r w:rsidRPr="003F3E0B">
        <w:rPr>
          <w:b w:val="0"/>
          <w:noProof/>
          <w:sz w:val="18"/>
        </w:rPr>
        <w:fldChar w:fldCharType="begin"/>
      </w:r>
      <w:r w:rsidRPr="003F3E0B">
        <w:rPr>
          <w:b w:val="0"/>
          <w:noProof/>
          <w:sz w:val="18"/>
        </w:rPr>
        <w:instrText xml:space="preserve"> PAGEREF _Toc64030259 \h </w:instrText>
      </w:r>
      <w:r w:rsidRPr="003F3E0B">
        <w:rPr>
          <w:b w:val="0"/>
          <w:noProof/>
          <w:sz w:val="18"/>
        </w:rPr>
      </w:r>
      <w:r w:rsidRPr="003F3E0B">
        <w:rPr>
          <w:b w:val="0"/>
          <w:noProof/>
          <w:sz w:val="18"/>
        </w:rPr>
        <w:fldChar w:fldCharType="separate"/>
      </w:r>
      <w:r w:rsidR="005364D5">
        <w:rPr>
          <w:b w:val="0"/>
          <w:noProof/>
          <w:sz w:val="18"/>
        </w:rPr>
        <w:t>1</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w:t>
      </w:r>
      <w:r>
        <w:rPr>
          <w:noProof/>
        </w:rPr>
        <w:tab/>
        <w:t>Name</w:t>
      </w:r>
      <w:r w:rsidRPr="003F3E0B">
        <w:rPr>
          <w:noProof/>
        </w:rPr>
        <w:tab/>
      </w:r>
      <w:r w:rsidRPr="003F3E0B">
        <w:rPr>
          <w:noProof/>
        </w:rPr>
        <w:fldChar w:fldCharType="begin"/>
      </w:r>
      <w:r w:rsidRPr="003F3E0B">
        <w:rPr>
          <w:noProof/>
        </w:rPr>
        <w:instrText xml:space="preserve"> PAGEREF _Toc64030260 \h </w:instrText>
      </w:r>
      <w:r w:rsidRPr="003F3E0B">
        <w:rPr>
          <w:noProof/>
        </w:rPr>
      </w:r>
      <w:r w:rsidRPr="003F3E0B">
        <w:rPr>
          <w:noProof/>
        </w:rPr>
        <w:fldChar w:fldCharType="separate"/>
      </w:r>
      <w:r w:rsidR="005364D5">
        <w:rPr>
          <w:noProof/>
        </w:rPr>
        <w:t>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w:t>
      </w:r>
      <w:r>
        <w:rPr>
          <w:noProof/>
        </w:rPr>
        <w:tab/>
        <w:t>Commencement</w:t>
      </w:r>
      <w:r w:rsidRPr="003F3E0B">
        <w:rPr>
          <w:noProof/>
        </w:rPr>
        <w:tab/>
      </w:r>
      <w:r w:rsidRPr="003F3E0B">
        <w:rPr>
          <w:noProof/>
        </w:rPr>
        <w:fldChar w:fldCharType="begin"/>
      </w:r>
      <w:r w:rsidRPr="003F3E0B">
        <w:rPr>
          <w:noProof/>
        </w:rPr>
        <w:instrText xml:space="preserve"> PAGEREF _Toc64030261 \h </w:instrText>
      </w:r>
      <w:r w:rsidRPr="003F3E0B">
        <w:rPr>
          <w:noProof/>
        </w:rPr>
      </w:r>
      <w:r w:rsidRPr="003F3E0B">
        <w:rPr>
          <w:noProof/>
        </w:rPr>
        <w:fldChar w:fldCharType="separate"/>
      </w:r>
      <w:r w:rsidR="005364D5">
        <w:rPr>
          <w:noProof/>
        </w:rPr>
        <w:t>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w:t>
      </w:r>
      <w:r>
        <w:rPr>
          <w:noProof/>
        </w:rPr>
        <w:tab/>
        <w:t>Authority</w:t>
      </w:r>
      <w:r w:rsidRPr="003F3E0B">
        <w:rPr>
          <w:noProof/>
        </w:rPr>
        <w:tab/>
      </w:r>
      <w:r w:rsidRPr="003F3E0B">
        <w:rPr>
          <w:noProof/>
        </w:rPr>
        <w:fldChar w:fldCharType="begin"/>
      </w:r>
      <w:r w:rsidRPr="003F3E0B">
        <w:rPr>
          <w:noProof/>
        </w:rPr>
        <w:instrText xml:space="preserve"> PAGEREF _Toc64030262 \h </w:instrText>
      </w:r>
      <w:r w:rsidRPr="003F3E0B">
        <w:rPr>
          <w:noProof/>
        </w:rPr>
      </w:r>
      <w:r w:rsidRPr="003F3E0B">
        <w:rPr>
          <w:noProof/>
        </w:rPr>
        <w:fldChar w:fldCharType="separate"/>
      </w:r>
      <w:r w:rsidR="005364D5">
        <w:rPr>
          <w:noProof/>
        </w:rPr>
        <w:t>1</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Chapter 2—Liability rules of general application</w:t>
      </w:r>
      <w:r w:rsidRPr="003F3E0B">
        <w:rPr>
          <w:b w:val="0"/>
          <w:noProof/>
          <w:sz w:val="18"/>
        </w:rPr>
        <w:tab/>
      </w:r>
      <w:r w:rsidRPr="003F3E0B">
        <w:rPr>
          <w:b w:val="0"/>
          <w:noProof/>
          <w:sz w:val="18"/>
        </w:rPr>
        <w:fldChar w:fldCharType="begin"/>
      </w:r>
      <w:r w:rsidRPr="003F3E0B">
        <w:rPr>
          <w:b w:val="0"/>
          <w:noProof/>
          <w:sz w:val="18"/>
        </w:rPr>
        <w:instrText xml:space="preserve"> PAGEREF _Toc64030263 \h </w:instrText>
      </w:r>
      <w:r w:rsidRPr="003F3E0B">
        <w:rPr>
          <w:b w:val="0"/>
          <w:noProof/>
          <w:sz w:val="18"/>
        </w:rPr>
      </w:r>
      <w:r w:rsidRPr="003F3E0B">
        <w:rPr>
          <w:b w:val="0"/>
          <w:noProof/>
          <w:sz w:val="18"/>
        </w:rPr>
        <w:fldChar w:fldCharType="separate"/>
      </w:r>
      <w:r w:rsidR="005364D5">
        <w:rPr>
          <w:b w:val="0"/>
          <w:noProof/>
          <w:sz w:val="18"/>
        </w:rPr>
        <w:t>2</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w:t>
      </w:r>
      <w:r>
        <w:rPr>
          <w:noProof/>
        </w:rPr>
        <w:noBreakHyphen/>
        <w:t>5—Rules about deductibility of particular kinds of amounts</w:t>
      </w:r>
      <w:r w:rsidRPr="003F3E0B">
        <w:rPr>
          <w:b w:val="0"/>
          <w:noProof/>
          <w:sz w:val="18"/>
        </w:rPr>
        <w:tab/>
      </w:r>
      <w:r w:rsidRPr="003F3E0B">
        <w:rPr>
          <w:b w:val="0"/>
          <w:noProof/>
          <w:sz w:val="18"/>
        </w:rPr>
        <w:fldChar w:fldCharType="begin"/>
      </w:r>
      <w:r w:rsidRPr="003F3E0B">
        <w:rPr>
          <w:b w:val="0"/>
          <w:noProof/>
          <w:sz w:val="18"/>
        </w:rPr>
        <w:instrText xml:space="preserve"> PAGEREF _Toc64030264 \h </w:instrText>
      </w:r>
      <w:r w:rsidRPr="003F3E0B">
        <w:rPr>
          <w:b w:val="0"/>
          <w:noProof/>
          <w:sz w:val="18"/>
        </w:rPr>
      </w:r>
      <w:r w:rsidRPr="003F3E0B">
        <w:rPr>
          <w:b w:val="0"/>
          <w:noProof/>
          <w:sz w:val="18"/>
        </w:rPr>
        <w:fldChar w:fldCharType="separate"/>
      </w:r>
      <w:r w:rsidR="005364D5">
        <w:rPr>
          <w:b w:val="0"/>
          <w:noProof/>
          <w:sz w:val="18"/>
        </w:rPr>
        <w:t>2</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26—Some amounts you cannot deduct, or cannot deduct in full</w:t>
      </w:r>
      <w:r w:rsidRPr="003F3E0B">
        <w:rPr>
          <w:b w:val="0"/>
          <w:noProof/>
          <w:sz w:val="18"/>
        </w:rPr>
        <w:tab/>
      </w:r>
      <w:r w:rsidRPr="003F3E0B">
        <w:rPr>
          <w:b w:val="0"/>
          <w:noProof/>
          <w:sz w:val="18"/>
        </w:rPr>
        <w:fldChar w:fldCharType="begin"/>
      </w:r>
      <w:r w:rsidRPr="003F3E0B">
        <w:rPr>
          <w:b w:val="0"/>
          <w:noProof/>
          <w:sz w:val="18"/>
        </w:rPr>
        <w:instrText xml:space="preserve"> PAGEREF _Toc64030265 \h </w:instrText>
      </w:r>
      <w:r w:rsidRPr="003F3E0B">
        <w:rPr>
          <w:b w:val="0"/>
          <w:noProof/>
          <w:sz w:val="18"/>
        </w:rPr>
      </w:r>
      <w:r w:rsidRPr="003F3E0B">
        <w:rPr>
          <w:b w:val="0"/>
          <w:noProof/>
          <w:sz w:val="18"/>
        </w:rPr>
        <w:fldChar w:fldCharType="separate"/>
      </w:r>
      <w:r w:rsidR="005364D5">
        <w:rPr>
          <w:b w:val="0"/>
          <w:noProof/>
          <w:sz w:val="18"/>
        </w:rPr>
        <w:t>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26</w:t>
      </w:r>
      <w:r>
        <w:rPr>
          <w:noProof/>
        </w:rPr>
        <w:noBreakHyphen/>
        <w:t>85.01</w:t>
      </w:r>
      <w:r>
        <w:rPr>
          <w:noProof/>
        </w:rPr>
        <w:tab/>
        <w:t>Borrowing costs on loans to pay life insurance premiums—term insurance policy etc.</w:t>
      </w:r>
      <w:r w:rsidRPr="003F3E0B">
        <w:rPr>
          <w:noProof/>
        </w:rPr>
        <w:tab/>
      </w:r>
      <w:r w:rsidRPr="003F3E0B">
        <w:rPr>
          <w:noProof/>
        </w:rPr>
        <w:fldChar w:fldCharType="begin"/>
      </w:r>
      <w:r w:rsidRPr="003F3E0B">
        <w:rPr>
          <w:noProof/>
        </w:rPr>
        <w:instrText xml:space="preserve"> PAGEREF _Toc64030266 \h </w:instrText>
      </w:r>
      <w:r w:rsidRPr="003F3E0B">
        <w:rPr>
          <w:noProof/>
        </w:rPr>
      </w:r>
      <w:r w:rsidRPr="003F3E0B">
        <w:rPr>
          <w:noProof/>
        </w:rPr>
        <w:fldChar w:fldCharType="separate"/>
      </w:r>
      <w:r w:rsidR="005364D5">
        <w:rPr>
          <w:noProof/>
        </w:rPr>
        <w:t>2</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30—Gifts or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_Toc64030267 \h </w:instrText>
      </w:r>
      <w:r w:rsidRPr="003F3E0B">
        <w:rPr>
          <w:b w:val="0"/>
          <w:noProof/>
          <w:sz w:val="18"/>
        </w:rPr>
      </w:r>
      <w:r w:rsidRPr="003F3E0B">
        <w:rPr>
          <w:b w:val="0"/>
          <w:noProof/>
          <w:sz w:val="18"/>
        </w:rPr>
        <w:fldChar w:fldCharType="separate"/>
      </w:r>
      <w:r w:rsidR="005364D5">
        <w:rPr>
          <w:b w:val="0"/>
          <w:noProof/>
          <w:sz w:val="18"/>
        </w:rPr>
        <w:t>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212.01</w:t>
      </w:r>
      <w:r>
        <w:rPr>
          <w:noProof/>
        </w:rPr>
        <w:tab/>
        <w:t>Valuation of gifts</w:t>
      </w:r>
      <w:r w:rsidRPr="003F3E0B">
        <w:rPr>
          <w:noProof/>
        </w:rPr>
        <w:tab/>
      </w:r>
      <w:r w:rsidRPr="003F3E0B">
        <w:rPr>
          <w:noProof/>
        </w:rPr>
        <w:fldChar w:fldCharType="begin"/>
      </w:r>
      <w:r w:rsidRPr="003F3E0B">
        <w:rPr>
          <w:noProof/>
        </w:rPr>
        <w:instrText xml:space="preserve"> PAGEREF _Toc64030268 \h </w:instrText>
      </w:r>
      <w:r w:rsidRPr="003F3E0B">
        <w:rPr>
          <w:noProof/>
        </w:rPr>
      </w:r>
      <w:r w:rsidRPr="003F3E0B">
        <w:rPr>
          <w:noProof/>
        </w:rPr>
        <w:fldChar w:fldCharType="separate"/>
      </w:r>
      <w:r w:rsidR="005364D5">
        <w:rPr>
          <w:noProof/>
        </w:rPr>
        <w:t>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212.02</w:t>
      </w:r>
      <w:r>
        <w:rPr>
          <w:noProof/>
        </w:rPr>
        <w:tab/>
        <w:t>Application for valuation</w:t>
      </w:r>
      <w:r w:rsidRPr="003F3E0B">
        <w:rPr>
          <w:noProof/>
        </w:rPr>
        <w:tab/>
      </w:r>
      <w:r w:rsidRPr="003F3E0B">
        <w:rPr>
          <w:noProof/>
        </w:rPr>
        <w:fldChar w:fldCharType="begin"/>
      </w:r>
      <w:r w:rsidRPr="003F3E0B">
        <w:rPr>
          <w:noProof/>
        </w:rPr>
        <w:instrText xml:space="preserve"> PAGEREF _Toc64030269 \h </w:instrText>
      </w:r>
      <w:r w:rsidRPr="003F3E0B">
        <w:rPr>
          <w:noProof/>
        </w:rPr>
      </w:r>
      <w:r w:rsidRPr="003F3E0B">
        <w:rPr>
          <w:noProof/>
        </w:rPr>
        <w:fldChar w:fldCharType="separate"/>
      </w:r>
      <w:r w:rsidR="005364D5">
        <w:rPr>
          <w:noProof/>
        </w:rPr>
        <w:t>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212.03</w:t>
      </w:r>
      <w:r>
        <w:rPr>
          <w:noProof/>
        </w:rPr>
        <w:tab/>
        <w:t>Charge for making valuation</w:t>
      </w:r>
      <w:r w:rsidRPr="003F3E0B">
        <w:rPr>
          <w:noProof/>
        </w:rPr>
        <w:tab/>
      </w:r>
      <w:r w:rsidRPr="003F3E0B">
        <w:rPr>
          <w:noProof/>
        </w:rPr>
        <w:fldChar w:fldCharType="begin"/>
      </w:r>
      <w:r w:rsidRPr="003F3E0B">
        <w:rPr>
          <w:noProof/>
        </w:rPr>
        <w:instrText xml:space="preserve"> PAGEREF _Toc64030270 \h </w:instrText>
      </w:r>
      <w:r w:rsidRPr="003F3E0B">
        <w:rPr>
          <w:noProof/>
        </w:rPr>
      </w:r>
      <w:r w:rsidRPr="003F3E0B">
        <w:rPr>
          <w:noProof/>
        </w:rPr>
        <w:fldChar w:fldCharType="separate"/>
      </w:r>
      <w:r w:rsidR="005364D5">
        <w:rPr>
          <w:noProof/>
        </w:rPr>
        <w:t>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212.04</w:t>
      </w:r>
      <w:r>
        <w:rPr>
          <w:noProof/>
        </w:rPr>
        <w:tab/>
        <w:t>Advance payment of charge</w:t>
      </w:r>
      <w:r w:rsidRPr="003F3E0B">
        <w:rPr>
          <w:noProof/>
        </w:rPr>
        <w:tab/>
      </w:r>
      <w:r w:rsidRPr="003F3E0B">
        <w:rPr>
          <w:noProof/>
        </w:rPr>
        <w:fldChar w:fldCharType="begin"/>
      </w:r>
      <w:r w:rsidRPr="003F3E0B">
        <w:rPr>
          <w:noProof/>
        </w:rPr>
        <w:instrText xml:space="preserve"> PAGEREF _Toc64030271 \h </w:instrText>
      </w:r>
      <w:r w:rsidRPr="003F3E0B">
        <w:rPr>
          <w:noProof/>
        </w:rPr>
      </w:r>
      <w:r w:rsidRPr="003F3E0B">
        <w:rPr>
          <w:noProof/>
        </w:rPr>
        <w:fldChar w:fldCharType="separate"/>
      </w:r>
      <w:r w:rsidR="005364D5">
        <w:rPr>
          <w:noProof/>
        </w:rPr>
        <w:t>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212.05</w:t>
      </w:r>
      <w:r>
        <w:rPr>
          <w:noProof/>
        </w:rPr>
        <w:tab/>
        <w:t>Commissioner not required to consider application until advance payment is paid</w:t>
      </w:r>
      <w:r w:rsidRPr="003F3E0B">
        <w:rPr>
          <w:noProof/>
        </w:rPr>
        <w:tab/>
      </w:r>
      <w:r w:rsidRPr="003F3E0B">
        <w:rPr>
          <w:noProof/>
        </w:rPr>
        <w:fldChar w:fldCharType="begin"/>
      </w:r>
      <w:r w:rsidRPr="003F3E0B">
        <w:rPr>
          <w:noProof/>
        </w:rPr>
        <w:instrText xml:space="preserve"> PAGEREF _Toc64030272 \h </w:instrText>
      </w:r>
      <w:r w:rsidRPr="003F3E0B">
        <w:rPr>
          <w:noProof/>
        </w:rPr>
      </w:r>
      <w:r w:rsidRPr="003F3E0B">
        <w:rPr>
          <w:noProof/>
        </w:rPr>
        <w:fldChar w:fldCharType="separate"/>
      </w:r>
      <w:r w:rsidR="005364D5">
        <w:rPr>
          <w:noProof/>
        </w:rPr>
        <w:t>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212.06</w:t>
      </w:r>
      <w:r>
        <w:rPr>
          <w:noProof/>
        </w:rPr>
        <w:tab/>
        <w:t>Applications treated as having no effect</w:t>
      </w:r>
      <w:r w:rsidRPr="003F3E0B">
        <w:rPr>
          <w:noProof/>
        </w:rPr>
        <w:tab/>
      </w:r>
      <w:r w:rsidRPr="003F3E0B">
        <w:rPr>
          <w:noProof/>
        </w:rPr>
        <w:fldChar w:fldCharType="begin"/>
      </w:r>
      <w:r w:rsidRPr="003F3E0B">
        <w:rPr>
          <w:noProof/>
        </w:rPr>
        <w:instrText xml:space="preserve"> PAGEREF _Toc64030273 \h </w:instrText>
      </w:r>
      <w:r w:rsidRPr="003F3E0B">
        <w:rPr>
          <w:noProof/>
        </w:rPr>
      </w:r>
      <w:r w:rsidRPr="003F3E0B">
        <w:rPr>
          <w:noProof/>
        </w:rPr>
        <w:fldChar w:fldCharType="separate"/>
      </w:r>
      <w:r w:rsidR="005364D5">
        <w:rPr>
          <w:noProof/>
        </w:rPr>
        <w:t>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212.07</w:t>
      </w:r>
      <w:r>
        <w:rPr>
          <w:noProof/>
        </w:rPr>
        <w:tab/>
        <w:t>Crediting and repaying valuation charges</w:t>
      </w:r>
      <w:r w:rsidRPr="003F3E0B">
        <w:rPr>
          <w:noProof/>
        </w:rPr>
        <w:tab/>
      </w:r>
      <w:r w:rsidRPr="003F3E0B">
        <w:rPr>
          <w:noProof/>
        </w:rPr>
        <w:fldChar w:fldCharType="begin"/>
      </w:r>
      <w:r w:rsidRPr="003F3E0B">
        <w:rPr>
          <w:noProof/>
        </w:rPr>
        <w:instrText xml:space="preserve"> PAGEREF _Toc64030274 \h </w:instrText>
      </w:r>
      <w:r w:rsidRPr="003F3E0B">
        <w:rPr>
          <w:noProof/>
        </w:rPr>
      </w:r>
      <w:r w:rsidRPr="003F3E0B">
        <w:rPr>
          <w:noProof/>
        </w:rPr>
        <w:fldChar w:fldCharType="separate"/>
      </w:r>
      <w:r w:rsidR="005364D5">
        <w:rPr>
          <w:noProof/>
        </w:rPr>
        <w:t>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w:t>
      </w:r>
      <w:r>
        <w:rPr>
          <w:noProof/>
        </w:rPr>
        <w:noBreakHyphen/>
        <w:t>212.08</w:t>
      </w:r>
      <w:r>
        <w:rPr>
          <w:noProof/>
        </w:rPr>
        <w:tab/>
        <w:t>Valuation certificates</w:t>
      </w:r>
      <w:r w:rsidRPr="003F3E0B">
        <w:rPr>
          <w:noProof/>
        </w:rPr>
        <w:tab/>
      </w:r>
      <w:r w:rsidRPr="003F3E0B">
        <w:rPr>
          <w:noProof/>
        </w:rPr>
        <w:fldChar w:fldCharType="begin"/>
      </w:r>
      <w:r w:rsidRPr="003F3E0B">
        <w:rPr>
          <w:noProof/>
        </w:rPr>
        <w:instrText xml:space="preserve"> PAGEREF _Toc64030275 \h </w:instrText>
      </w:r>
      <w:r w:rsidRPr="003F3E0B">
        <w:rPr>
          <w:noProof/>
        </w:rPr>
      </w:r>
      <w:r w:rsidRPr="003F3E0B">
        <w:rPr>
          <w:noProof/>
        </w:rPr>
        <w:fldChar w:fldCharType="separate"/>
      </w:r>
      <w:r w:rsidR="005364D5">
        <w:rPr>
          <w:noProof/>
        </w:rPr>
        <w:t>4</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31—Conservation covenants</w:t>
      </w:r>
      <w:r w:rsidRPr="003F3E0B">
        <w:rPr>
          <w:b w:val="0"/>
          <w:noProof/>
          <w:sz w:val="18"/>
        </w:rPr>
        <w:tab/>
      </w:r>
      <w:r w:rsidRPr="003F3E0B">
        <w:rPr>
          <w:b w:val="0"/>
          <w:noProof/>
          <w:sz w:val="18"/>
        </w:rPr>
        <w:fldChar w:fldCharType="begin"/>
      </w:r>
      <w:r w:rsidRPr="003F3E0B">
        <w:rPr>
          <w:b w:val="0"/>
          <w:noProof/>
          <w:sz w:val="18"/>
        </w:rPr>
        <w:instrText xml:space="preserve"> PAGEREF _Toc64030276 \h </w:instrText>
      </w:r>
      <w:r w:rsidRPr="003F3E0B">
        <w:rPr>
          <w:b w:val="0"/>
          <w:noProof/>
          <w:sz w:val="18"/>
        </w:rPr>
      </w:r>
      <w:r w:rsidRPr="003F3E0B">
        <w:rPr>
          <w:b w:val="0"/>
          <w:noProof/>
          <w:sz w:val="18"/>
        </w:rPr>
        <w:fldChar w:fldCharType="separate"/>
      </w:r>
      <w:r w:rsidR="005364D5">
        <w:rPr>
          <w:b w:val="0"/>
          <w:noProof/>
          <w:sz w:val="18"/>
        </w:rPr>
        <w:t>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15.01</w:t>
      </w:r>
      <w:r>
        <w:rPr>
          <w:noProof/>
        </w:rPr>
        <w:tab/>
        <w:t>Valuation of land</w:t>
      </w:r>
      <w:r w:rsidRPr="003F3E0B">
        <w:rPr>
          <w:noProof/>
        </w:rPr>
        <w:tab/>
      </w:r>
      <w:r w:rsidRPr="003F3E0B">
        <w:rPr>
          <w:noProof/>
        </w:rPr>
        <w:fldChar w:fldCharType="begin"/>
      </w:r>
      <w:r w:rsidRPr="003F3E0B">
        <w:rPr>
          <w:noProof/>
        </w:rPr>
        <w:instrText xml:space="preserve"> PAGEREF _Toc64030277 \h </w:instrText>
      </w:r>
      <w:r w:rsidRPr="003F3E0B">
        <w:rPr>
          <w:noProof/>
        </w:rPr>
      </w:r>
      <w:r w:rsidRPr="003F3E0B">
        <w:rPr>
          <w:noProof/>
        </w:rPr>
        <w:fldChar w:fldCharType="separate"/>
      </w:r>
      <w:r w:rsidR="005364D5">
        <w:rPr>
          <w:noProof/>
        </w:rPr>
        <w:t>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15.02</w:t>
      </w:r>
      <w:r>
        <w:rPr>
          <w:noProof/>
        </w:rPr>
        <w:tab/>
        <w:t>Application for valuation</w:t>
      </w:r>
      <w:r w:rsidRPr="003F3E0B">
        <w:rPr>
          <w:noProof/>
        </w:rPr>
        <w:tab/>
      </w:r>
      <w:r w:rsidRPr="003F3E0B">
        <w:rPr>
          <w:noProof/>
        </w:rPr>
        <w:fldChar w:fldCharType="begin"/>
      </w:r>
      <w:r w:rsidRPr="003F3E0B">
        <w:rPr>
          <w:noProof/>
        </w:rPr>
        <w:instrText xml:space="preserve"> PAGEREF _Toc64030278 \h </w:instrText>
      </w:r>
      <w:r w:rsidRPr="003F3E0B">
        <w:rPr>
          <w:noProof/>
        </w:rPr>
      </w:r>
      <w:r w:rsidRPr="003F3E0B">
        <w:rPr>
          <w:noProof/>
        </w:rPr>
        <w:fldChar w:fldCharType="separate"/>
      </w:r>
      <w:r w:rsidR="005364D5">
        <w:rPr>
          <w:noProof/>
        </w:rPr>
        <w:t>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15.03</w:t>
      </w:r>
      <w:r>
        <w:rPr>
          <w:noProof/>
        </w:rPr>
        <w:tab/>
        <w:t>Charge for making valuation</w:t>
      </w:r>
      <w:r w:rsidRPr="003F3E0B">
        <w:rPr>
          <w:noProof/>
        </w:rPr>
        <w:tab/>
      </w:r>
      <w:r w:rsidRPr="003F3E0B">
        <w:rPr>
          <w:noProof/>
        </w:rPr>
        <w:fldChar w:fldCharType="begin"/>
      </w:r>
      <w:r w:rsidRPr="003F3E0B">
        <w:rPr>
          <w:noProof/>
        </w:rPr>
        <w:instrText xml:space="preserve"> PAGEREF _Toc64030279 \h </w:instrText>
      </w:r>
      <w:r w:rsidRPr="003F3E0B">
        <w:rPr>
          <w:noProof/>
        </w:rPr>
      </w:r>
      <w:r w:rsidRPr="003F3E0B">
        <w:rPr>
          <w:noProof/>
        </w:rPr>
        <w:fldChar w:fldCharType="separate"/>
      </w:r>
      <w:r w:rsidR="005364D5">
        <w:rPr>
          <w:noProof/>
        </w:rPr>
        <w:t>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15.04</w:t>
      </w:r>
      <w:r>
        <w:rPr>
          <w:noProof/>
        </w:rPr>
        <w:tab/>
        <w:t>Advance payment of charge</w:t>
      </w:r>
      <w:r w:rsidRPr="003F3E0B">
        <w:rPr>
          <w:noProof/>
        </w:rPr>
        <w:tab/>
      </w:r>
      <w:r w:rsidRPr="003F3E0B">
        <w:rPr>
          <w:noProof/>
        </w:rPr>
        <w:fldChar w:fldCharType="begin"/>
      </w:r>
      <w:r w:rsidRPr="003F3E0B">
        <w:rPr>
          <w:noProof/>
        </w:rPr>
        <w:instrText xml:space="preserve"> PAGEREF _Toc64030280 \h </w:instrText>
      </w:r>
      <w:r w:rsidRPr="003F3E0B">
        <w:rPr>
          <w:noProof/>
        </w:rPr>
      </w:r>
      <w:r w:rsidRPr="003F3E0B">
        <w:rPr>
          <w:noProof/>
        </w:rPr>
        <w:fldChar w:fldCharType="separate"/>
      </w:r>
      <w:r w:rsidR="005364D5">
        <w:rPr>
          <w:noProof/>
        </w:rPr>
        <w:t>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15.05</w:t>
      </w:r>
      <w:r>
        <w:rPr>
          <w:noProof/>
        </w:rPr>
        <w:tab/>
        <w:t>Commissioner not required to consider application until advance payment is paid</w:t>
      </w:r>
      <w:r w:rsidRPr="003F3E0B">
        <w:rPr>
          <w:noProof/>
        </w:rPr>
        <w:tab/>
      </w:r>
      <w:r w:rsidRPr="003F3E0B">
        <w:rPr>
          <w:noProof/>
        </w:rPr>
        <w:fldChar w:fldCharType="begin"/>
      </w:r>
      <w:r w:rsidRPr="003F3E0B">
        <w:rPr>
          <w:noProof/>
        </w:rPr>
        <w:instrText xml:space="preserve"> PAGEREF _Toc64030281 \h </w:instrText>
      </w:r>
      <w:r w:rsidRPr="003F3E0B">
        <w:rPr>
          <w:noProof/>
        </w:rPr>
      </w:r>
      <w:r w:rsidRPr="003F3E0B">
        <w:rPr>
          <w:noProof/>
        </w:rPr>
        <w:fldChar w:fldCharType="separate"/>
      </w:r>
      <w:r w:rsidR="005364D5">
        <w:rPr>
          <w:noProof/>
        </w:rPr>
        <w:t>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15.06</w:t>
      </w:r>
      <w:r>
        <w:rPr>
          <w:noProof/>
        </w:rPr>
        <w:tab/>
        <w:t>Applications treated as having no effect</w:t>
      </w:r>
      <w:r w:rsidRPr="003F3E0B">
        <w:rPr>
          <w:noProof/>
        </w:rPr>
        <w:tab/>
      </w:r>
      <w:r w:rsidRPr="003F3E0B">
        <w:rPr>
          <w:noProof/>
        </w:rPr>
        <w:fldChar w:fldCharType="begin"/>
      </w:r>
      <w:r w:rsidRPr="003F3E0B">
        <w:rPr>
          <w:noProof/>
        </w:rPr>
        <w:instrText xml:space="preserve"> PAGEREF _Toc64030282 \h </w:instrText>
      </w:r>
      <w:r w:rsidRPr="003F3E0B">
        <w:rPr>
          <w:noProof/>
        </w:rPr>
      </w:r>
      <w:r w:rsidRPr="003F3E0B">
        <w:rPr>
          <w:noProof/>
        </w:rPr>
        <w:fldChar w:fldCharType="separate"/>
      </w:r>
      <w:r w:rsidR="005364D5">
        <w:rPr>
          <w:noProof/>
        </w:rPr>
        <w:t>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15.07</w:t>
      </w:r>
      <w:r>
        <w:rPr>
          <w:noProof/>
        </w:rPr>
        <w:tab/>
        <w:t>Crediting and repaying valuation charges</w:t>
      </w:r>
      <w:r w:rsidRPr="003F3E0B">
        <w:rPr>
          <w:noProof/>
        </w:rPr>
        <w:tab/>
      </w:r>
      <w:r w:rsidRPr="003F3E0B">
        <w:rPr>
          <w:noProof/>
        </w:rPr>
        <w:fldChar w:fldCharType="begin"/>
      </w:r>
      <w:r w:rsidRPr="003F3E0B">
        <w:rPr>
          <w:noProof/>
        </w:rPr>
        <w:instrText xml:space="preserve"> PAGEREF _Toc64030283 \h </w:instrText>
      </w:r>
      <w:r w:rsidRPr="003F3E0B">
        <w:rPr>
          <w:noProof/>
        </w:rPr>
      </w:r>
      <w:r w:rsidRPr="003F3E0B">
        <w:rPr>
          <w:noProof/>
        </w:rPr>
        <w:fldChar w:fldCharType="separate"/>
      </w:r>
      <w:r w:rsidR="005364D5">
        <w:rPr>
          <w:noProof/>
        </w:rPr>
        <w:t>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noBreakHyphen/>
        <w:t>15.08</w:t>
      </w:r>
      <w:r>
        <w:rPr>
          <w:noProof/>
        </w:rPr>
        <w:tab/>
        <w:t>Valuation certificates</w:t>
      </w:r>
      <w:r w:rsidRPr="003F3E0B">
        <w:rPr>
          <w:noProof/>
        </w:rPr>
        <w:tab/>
      </w:r>
      <w:r w:rsidRPr="003F3E0B">
        <w:rPr>
          <w:noProof/>
        </w:rPr>
        <w:fldChar w:fldCharType="begin"/>
      </w:r>
      <w:r w:rsidRPr="003F3E0B">
        <w:rPr>
          <w:noProof/>
        </w:rPr>
        <w:instrText xml:space="preserve"> PAGEREF _Toc64030284 \h </w:instrText>
      </w:r>
      <w:r w:rsidRPr="003F3E0B">
        <w:rPr>
          <w:noProof/>
        </w:rPr>
      </w:r>
      <w:r w:rsidRPr="003F3E0B">
        <w:rPr>
          <w:noProof/>
        </w:rPr>
        <w:fldChar w:fldCharType="separate"/>
      </w:r>
      <w:r w:rsidR="005364D5">
        <w:rPr>
          <w:noProof/>
        </w:rPr>
        <w:t>7</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w:t>
      </w:r>
      <w:r>
        <w:rPr>
          <w:noProof/>
        </w:rPr>
        <w:noBreakHyphen/>
        <w:t>15—Non</w:t>
      </w:r>
      <w:r>
        <w:rPr>
          <w:noProof/>
        </w:rPr>
        <w:noBreakHyphen/>
        <w:t>assessable income</w:t>
      </w:r>
      <w:r w:rsidRPr="003F3E0B">
        <w:rPr>
          <w:b w:val="0"/>
          <w:noProof/>
          <w:sz w:val="18"/>
        </w:rPr>
        <w:tab/>
      </w:r>
      <w:r w:rsidRPr="003F3E0B">
        <w:rPr>
          <w:b w:val="0"/>
          <w:noProof/>
          <w:sz w:val="18"/>
        </w:rPr>
        <w:fldChar w:fldCharType="begin"/>
      </w:r>
      <w:r w:rsidRPr="003F3E0B">
        <w:rPr>
          <w:b w:val="0"/>
          <w:noProof/>
          <w:sz w:val="18"/>
        </w:rPr>
        <w:instrText xml:space="preserve"> PAGEREF _Toc64030285 \h </w:instrText>
      </w:r>
      <w:r w:rsidRPr="003F3E0B">
        <w:rPr>
          <w:b w:val="0"/>
          <w:noProof/>
          <w:sz w:val="18"/>
        </w:rPr>
      </w:r>
      <w:r w:rsidRPr="003F3E0B">
        <w:rPr>
          <w:b w:val="0"/>
          <w:noProof/>
          <w:sz w:val="18"/>
        </w:rPr>
        <w:fldChar w:fldCharType="separate"/>
      </w:r>
      <w:r w:rsidR="005364D5">
        <w:rPr>
          <w:b w:val="0"/>
          <w:noProof/>
          <w:sz w:val="18"/>
        </w:rPr>
        <w:t>9</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50—Exempt entities</w:t>
      </w:r>
      <w:r w:rsidRPr="003F3E0B">
        <w:rPr>
          <w:b w:val="0"/>
          <w:noProof/>
          <w:sz w:val="18"/>
        </w:rPr>
        <w:tab/>
      </w:r>
      <w:r w:rsidRPr="003F3E0B">
        <w:rPr>
          <w:b w:val="0"/>
          <w:noProof/>
          <w:sz w:val="18"/>
        </w:rPr>
        <w:fldChar w:fldCharType="begin"/>
      </w:r>
      <w:r w:rsidRPr="003F3E0B">
        <w:rPr>
          <w:b w:val="0"/>
          <w:noProof/>
          <w:sz w:val="18"/>
        </w:rPr>
        <w:instrText xml:space="preserve"> PAGEREF _Toc64030286 \h </w:instrText>
      </w:r>
      <w:r w:rsidRPr="003F3E0B">
        <w:rPr>
          <w:b w:val="0"/>
          <w:noProof/>
          <w:sz w:val="18"/>
        </w:rPr>
      </w:r>
      <w:r w:rsidRPr="003F3E0B">
        <w:rPr>
          <w:b w:val="0"/>
          <w:noProof/>
          <w:sz w:val="18"/>
        </w:rPr>
        <w:fldChar w:fldCharType="separate"/>
      </w:r>
      <w:r w:rsidR="005364D5">
        <w:rPr>
          <w:b w:val="0"/>
          <w:noProof/>
          <w:sz w:val="18"/>
        </w:rPr>
        <w:t>9</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50</w:t>
      </w:r>
      <w:r>
        <w:rPr>
          <w:noProof/>
        </w:rPr>
        <w:noBreakHyphen/>
        <w:t>A—Various exempt entities</w:t>
      </w:r>
      <w:r w:rsidRPr="003F3E0B">
        <w:rPr>
          <w:b w:val="0"/>
          <w:noProof/>
          <w:sz w:val="18"/>
        </w:rPr>
        <w:tab/>
      </w:r>
      <w:r w:rsidRPr="003F3E0B">
        <w:rPr>
          <w:b w:val="0"/>
          <w:noProof/>
          <w:sz w:val="18"/>
        </w:rPr>
        <w:fldChar w:fldCharType="begin"/>
      </w:r>
      <w:r w:rsidRPr="003F3E0B">
        <w:rPr>
          <w:b w:val="0"/>
          <w:noProof/>
          <w:sz w:val="18"/>
        </w:rPr>
        <w:instrText xml:space="preserve"> PAGEREF _Toc64030287 \h </w:instrText>
      </w:r>
      <w:r w:rsidRPr="003F3E0B">
        <w:rPr>
          <w:b w:val="0"/>
          <w:noProof/>
          <w:sz w:val="18"/>
        </w:rPr>
      </w:r>
      <w:r w:rsidRPr="003F3E0B">
        <w:rPr>
          <w:b w:val="0"/>
          <w:noProof/>
          <w:sz w:val="18"/>
        </w:rPr>
        <w:fldChar w:fldCharType="separate"/>
      </w:r>
      <w:r w:rsidR="005364D5">
        <w:rPr>
          <w:b w:val="0"/>
          <w:noProof/>
          <w:sz w:val="18"/>
        </w:rPr>
        <w:t>9</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50</w:t>
      </w:r>
      <w:r>
        <w:rPr>
          <w:noProof/>
        </w:rPr>
        <w:noBreakHyphen/>
        <w:t>50.01</w:t>
      </w:r>
      <w:r>
        <w:rPr>
          <w:noProof/>
        </w:rPr>
        <w:tab/>
        <w:t>Prescribed institutions located outside Australia</w:t>
      </w:r>
      <w:r w:rsidRPr="003F3E0B">
        <w:rPr>
          <w:noProof/>
        </w:rPr>
        <w:tab/>
      </w:r>
      <w:r w:rsidRPr="003F3E0B">
        <w:rPr>
          <w:noProof/>
        </w:rPr>
        <w:fldChar w:fldCharType="begin"/>
      </w:r>
      <w:r w:rsidRPr="003F3E0B">
        <w:rPr>
          <w:noProof/>
        </w:rPr>
        <w:instrText xml:space="preserve"> PAGEREF _Toc64030288 \h </w:instrText>
      </w:r>
      <w:r w:rsidRPr="003F3E0B">
        <w:rPr>
          <w:noProof/>
        </w:rPr>
      </w:r>
      <w:r w:rsidRPr="003F3E0B">
        <w:rPr>
          <w:noProof/>
        </w:rPr>
        <w:fldChar w:fldCharType="separate"/>
      </w:r>
      <w:r w:rsidR="005364D5">
        <w:rPr>
          <w:noProof/>
        </w:rPr>
        <w:t>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50</w:t>
      </w:r>
      <w:r>
        <w:rPr>
          <w:noProof/>
        </w:rPr>
        <w:noBreakHyphen/>
        <w:t>50.02</w:t>
      </w:r>
      <w:r>
        <w:rPr>
          <w:noProof/>
        </w:rPr>
        <w:tab/>
        <w:t>Prescribed institutions pursuing objectives principally outside Australia</w:t>
      </w:r>
      <w:r w:rsidRPr="003F3E0B">
        <w:rPr>
          <w:noProof/>
        </w:rPr>
        <w:tab/>
      </w:r>
      <w:r w:rsidRPr="003F3E0B">
        <w:rPr>
          <w:noProof/>
        </w:rPr>
        <w:fldChar w:fldCharType="begin"/>
      </w:r>
      <w:r w:rsidRPr="003F3E0B">
        <w:rPr>
          <w:noProof/>
        </w:rPr>
        <w:instrText xml:space="preserve"> PAGEREF _Toc64030289 \h </w:instrText>
      </w:r>
      <w:r w:rsidRPr="003F3E0B">
        <w:rPr>
          <w:noProof/>
        </w:rPr>
      </w:r>
      <w:r w:rsidRPr="003F3E0B">
        <w:rPr>
          <w:noProof/>
        </w:rPr>
        <w:fldChar w:fldCharType="separate"/>
      </w:r>
      <w:r w:rsidR="005364D5">
        <w:rPr>
          <w:noProof/>
        </w:rPr>
        <w:t>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50</w:t>
      </w:r>
      <w:r>
        <w:rPr>
          <w:noProof/>
        </w:rPr>
        <w:noBreakHyphen/>
        <w:t>55.01</w:t>
      </w:r>
      <w:r>
        <w:rPr>
          <w:noProof/>
        </w:rPr>
        <w:tab/>
        <w:t>Prescribed institutions for items 1.3, 1.4, 6.1 and 6.2 in Division 50 of the Act</w:t>
      </w:r>
      <w:r w:rsidRPr="003F3E0B">
        <w:rPr>
          <w:noProof/>
        </w:rPr>
        <w:tab/>
      </w:r>
      <w:r w:rsidRPr="003F3E0B">
        <w:rPr>
          <w:noProof/>
        </w:rPr>
        <w:fldChar w:fldCharType="begin"/>
      </w:r>
      <w:r w:rsidRPr="003F3E0B">
        <w:rPr>
          <w:noProof/>
        </w:rPr>
        <w:instrText xml:space="preserve"> PAGEREF _Toc64030290 \h </w:instrText>
      </w:r>
      <w:r w:rsidRPr="003F3E0B">
        <w:rPr>
          <w:noProof/>
        </w:rPr>
      </w:r>
      <w:r w:rsidRPr="003F3E0B">
        <w:rPr>
          <w:noProof/>
        </w:rPr>
        <w:fldChar w:fldCharType="separate"/>
      </w:r>
      <w:r w:rsidR="005364D5">
        <w:rPr>
          <w:noProof/>
        </w:rPr>
        <w:t>10</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51—Exempt amounts</w:t>
      </w:r>
      <w:r w:rsidRPr="003F3E0B">
        <w:rPr>
          <w:b w:val="0"/>
          <w:noProof/>
          <w:sz w:val="18"/>
        </w:rPr>
        <w:tab/>
      </w:r>
      <w:r w:rsidRPr="003F3E0B">
        <w:rPr>
          <w:b w:val="0"/>
          <w:noProof/>
          <w:sz w:val="18"/>
        </w:rPr>
        <w:fldChar w:fldCharType="begin"/>
      </w:r>
      <w:r w:rsidRPr="003F3E0B">
        <w:rPr>
          <w:b w:val="0"/>
          <w:noProof/>
          <w:sz w:val="18"/>
        </w:rPr>
        <w:instrText xml:space="preserve"> PAGEREF _Toc64030291 \h </w:instrText>
      </w:r>
      <w:r w:rsidRPr="003F3E0B">
        <w:rPr>
          <w:b w:val="0"/>
          <w:noProof/>
          <w:sz w:val="18"/>
        </w:rPr>
      </w:r>
      <w:r w:rsidRPr="003F3E0B">
        <w:rPr>
          <w:b w:val="0"/>
          <w:noProof/>
          <w:sz w:val="18"/>
        </w:rPr>
        <w:fldChar w:fldCharType="separate"/>
      </w:r>
      <w:r w:rsidR="005364D5">
        <w:rPr>
          <w:b w:val="0"/>
          <w:noProof/>
          <w:sz w:val="18"/>
        </w:rPr>
        <w:t>11</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51</w:t>
      </w:r>
      <w:r>
        <w:rPr>
          <w:noProof/>
        </w:rPr>
        <w:noBreakHyphen/>
        <w:t>5.01</w:t>
      </w:r>
      <w:r>
        <w:rPr>
          <w:noProof/>
        </w:rPr>
        <w:tab/>
        <w:t>Defence allowances</w:t>
      </w:r>
      <w:r w:rsidRPr="003F3E0B">
        <w:rPr>
          <w:noProof/>
        </w:rPr>
        <w:tab/>
      </w:r>
      <w:r w:rsidRPr="003F3E0B">
        <w:rPr>
          <w:noProof/>
        </w:rPr>
        <w:fldChar w:fldCharType="begin"/>
      </w:r>
      <w:r w:rsidRPr="003F3E0B">
        <w:rPr>
          <w:noProof/>
        </w:rPr>
        <w:instrText xml:space="preserve"> PAGEREF _Toc64030292 \h </w:instrText>
      </w:r>
      <w:r w:rsidRPr="003F3E0B">
        <w:rPr>
          <w:noProof/>
        </w:rPr>
      </w:r>
      <w:r w:rsidRPr="003F3E0B">
        <w:rPr>
          <w:noProof/>
        </w:rPr>
        <w:fldChar w:fldCharType="separate"/>
      </w:r>
      <w:r w:rsidR="005364D5">
        <w:rPr>
          <w:noProof/>
        </w:rPr>
        <w:t>11</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w:t>
      </w:r>
      <w:r>
        <w:rPr>
          <w:noProof/>
        </w:rPr>
        <w:noBreakHyphen/>
        <w:t>20—Tax offsets</w:t>
      </w:r>
      <w:r w:rsidRPr="003F3E0B">
        <w:rPr>
          <w:b w:val="0"/>
          <w:noProof/>
          <w:sz w:val="18"/>
        </w:rPr>
        <w:tab/>
      </w:r>
      <w:r w:rsidRPr="003F3E0B">
        <w:rPr>
          <w:b w:val="0"/>
          <w:noProof/>
          <w:sz w:val="18"/>
        </w:rPr>
        <w:fldChar w:fldCharType="begin"/>
      </w:r>
      <w:r w:rsidRPr="003F3E0B">
        <w:rPr>
          <w:b w:val="0"/>
          <w:noProof/>
          <w:sz w:val="18"/>
        </w:rPr>
        <w:instrText xml:space="preserve"> PAGEREF _Toc64030293 \h </w:instrText>
      </w:r>
      <w:r w:rsidRPr="003F3E0B">
        <w:rPr>
          <w:b w:val="0"/>
          <w:noProof/>
          <w:sz w:val="18"/>
        </w:rPr>
      </w:r>
      <w:r w:rsidRPr="003F3E0B">
        <w:rPr>
          <w:b w:val="0"/>
          <w:noProof/>
          <w:sz w:val="18"/>
        </w:rPr>
        <w:fldChar w:fldCharType="separate"/>
      </w:r>
      <w:r w:rsidR="005364D5">
        <w:rPr>
          <w:b w:val="0"/>
          <w:noProof/>
          <w:sz w:val="18"/>
        </w:rPr>
        <w:t>12</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61—Generally applicable tax offsets</w:t>
      </w:r>
      <w:r w:rsidRPr="003F3E0B">
        <w:rPr>
          <w:b w:val="0"/>
          <w:noProof/>
          <w:sz w:val="18"/>
        </w:rPr>
        <w:tab/>
      </w:r>
      <w:r w:rsidRPr="003F3E0B">
        <w:rPr>
          <w:b w:val="0"/>
          <w:noProof/>
          <w:sz w:val="18"/>
        </w:rPr>
        <w:fldChar w:fldCharType="begin"/>
      </w:r>
      <w:r w:rsidRPr="003F3E0B">
        <w:rPr>
          <w:b w:val="0"/>
          <w:noProof/>
          <w:sz w:val="18"/>
        </w:rPr>
        <w:instrText xml:space="preserve"> PAGEREF _Toc64030294 \h </w:instrText>
      </w:r>
      <w:r w:rsidRPr="003F3E0B">
        <w:rPr>
          <w:b w:val="0"/>
          <w:noProof/>
          <w:sz w:val="18"/>
        </w:rPr>
      </w:r>
      <w:r w:rsidRPr="003F3E0B">
        <w:rPr>
          <w:b w:val="0"/>
          <w:noProof/>
          <w:sz w:val="18"/>
        </w:rPr>
        <w:fldChar w:fldCharType="separate"/>
      </w:r>
      <w:r w:rsidR="005364D5">
        <w:rPr>
          <w:b w:val="0"/>
          <w:noProof/>
          <w:sz w:val="18"/>
        </w:rPr>
        <w:t>12</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61</w:t>
      </w:r>
      <w:r w:rsidRPr="00C62C95">
        <w:rPr>
          <w:rFonts w:eastAsiaTheme="majorEastAsia"/>
          <w:noProof/>
        </w:rPr>
        <w:noBreakHyphen/>
        <w:t>G</w:t>
      </w:r>
      <w:r>
        <w:rPr>
          <w:noProof/>
        </w:rPr>
        <w:t>—</w:t>
      </w:r>
      <w:r w:rsidRPr="00C62C95">
        <w:rPr>
          <w:rFonts w:eastAsiaTheme="majorEastAsia"/>
          <w:noProof/>
        </w:rPr>
        <w:t>Private health insurance offset complementary to Part 2</w:t>
      </w:r>
      <w:r w:rsidRPr="00C62C95">
        <w:rPr>
          <w:rFonts w:eastAsiaTheme="majorEastAsia"/>
          <w:noProof/>
        </w:rPr>
        <w:noBreakHyphen/>
        <w:t>2 of the Private Health Insurance Act 2007</w:t>
      </w:r>
      <w:r w:rsidRPr="003F3E0B">
        <w:rPr>
          <w:b w:val="0"/>
          <w:noProof/>
          <w:sz w:val="18"/>
        </w:rPr>
        <w:tab/>
      </w:r>
      <w:r w:rsidRPr="003F3E0B">
        <w:rPr>
          <w:b w:val="0"/>
          <w:noProof/>
          <w:sz w:val="18"/>
        </w:rPr>
        <w:fldChar w:fldCharType="begin"/>
      </w:r>
      <w:r w:rsidRPr="003F3E0B">
        <w:rPr>
          <w:b w:val="0"/>
          <w:noProof/>
          <w:sz w:val="18"/>
        </w:rPr>
        <w:instrText xml:space="preserve"> PAGEREF _Toc64030295 \h </w:instrText>
      </w:r>
      <w:r w:rsidRPr="003F3E0B">
        <w:rPr>
          <w:b w:val="0"/>
          <w:noProof/>
          <w:sz w:val="18"/>
        </w:rPr>
      </w:r>
      <w:r w:rsidRPr="003F3E0B">
        <w:rPr>
          <w:b w:val="0"/>
          <w:noProof/>
          <w:sz w:val="18"/>
        </w:rPr>
        <w:fldChar w:fldCharType="separate"/>
      </w:r>
      <w:r w:rsidR="005364D5">
        <w:rPr>
          <w:b w:val="0"/>
          <w:noProof/>
          <w:sz w:val="18"/>
        </w:rPr>
        <w:t>12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61</w:t>
      </w:r>
      <w:r>
        <w:rPr>
          <w:noProof/>
        </w:rPr>
        <w:noBreakHyphen/>
        <w:t>220.01</w:t>
      </w:r>
      <w:r>
        <w:rPr>
          <w:noProof/>
        </w:rPr>
        <w:tab/>
        <w:t>Private health insurer to provide annual statement to PHIIB if requested</w:t>
      </w:r>
      <w:r w:rsidRPr="003F3E0B">
        <w:rPr>
          <w:noProof/>
        </w:rPr>
        <w:tab/>
      </w:r>
      <w:r w:rsidRPr="003F3E0B">
        <w:rPr>
          <w:noProof/>
        </w:rPr>
        <w:fldChar w:fldCharType="begin"/>
      </w:r>
      <w:r w:rsidRPr="003F3E0B">
        <w:rPr>
          <w:noProof/>
        </w:rPr>
        <w:instrText xml:space="preserve"> PAGEREF _Toc64030296 \h </w:instrText>
      </w:r>
      <w:r w:rsidRPr="003F3E0B">
        <w:rPr>
          <w:noProof/>
        </w:rPr>
      </w:r>
      <w:r w:rsidRPr="003F3E0B">
        <w:rPr>
          <w:noProof/>
        </w:rPr>
        <w:fldChar w:fldCharType="separate"/>
      </w:r>
      <w:r w:rsidR="005364D5">
        <w:rPr>
          <w:noProof/>
        </w:rPr>
        <w:t>12</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25—Trading stock</w:t>
      </w:r>
      <w:r w:rsidRPr="003F3E0B">
        <w:rPr>
          <w:b w:val="0"/>
          <w:noProof/>
          <w:sz w:val="18"/>
        </w:rPr>
        <w:tab/>
      </w:r>
      <w:r w:rsidRPr="003F3E0B">
        <w:rPr>
          <w:b w:val="0"/>
          <w:noProof/>
          <w:sz w:val="18"/>
        </w:rPr>
        <w:fldChar w:fldCharType="begin"/>
      </w:r>
      <w:r w:rsidRPr="003F3E0B">
        <w:rPr>
          <w:b w:val="0"/>
          <w:noProof/>
          <w:sz w:val="18"/>
        </w:rPr>
        <w:instrText xml:space="preserve"> PAGEREF _Toc64030297 \h </w:instrText>
      </w:r>
      <w:r w:rsidRPr="003F3E0B">
        <w:rPr>
          <w:b w:val="0"/>
          <w:noProof/>
          <w:sz w:val="18"/>
        </w:rPr>
      </w:r>
      <w:r w:rsidRPr="003F3E0B">
        <w:rPr>
          <w:b w:val="0"/>
          <w:noProof/>
          <w:sz w:val="18"/>
        </w:rPr>
        <w:fldChar w:fldCharType="separate"/>
      </w:r>
      <w:r w:rsidR="005364D5">
        <w:rPr>
          <w:b w:val="0"/>
          <w:noProof/>
          <w:sz w:val="18"/>
        </w:rPr>
        <w:t>13</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70—Trading stock</w:t>
      </w:r>
      <w:r w:rsidRPr="003F3E0B">
        <w:rPr>
          <w:b w:val="0"/>
          <w:noProof/>
          <w:sz w:val="18"/>
        </w:rPr>
        <w:tab/>
      </w:r>
      <w:r w:rsidRPr="003F3E0B">
        <w:rPr>
          <w:b w:val="0"/>
          <w:noProof/>
          <w:sz w:val="18"/>
        </w:rPr>
        <w:fldChar w:fldCharType="begin"/>
      </w:r>
      <w:r w:rsidRPr="003F3E0B">
        <w:rPr>
          <w:b w:val="0"/>
          <w:noProof/>
          <w:sz w:val="18"/>
        </w:rPr>
        <w:instrText xml:space="preserve"> PAGEREF _Toc64030298 \h </w:instrText>
      </w:r>
      <w:r w:rsidRPr="003F3E0B">
        <w:rPr>
          <w:b w:val="0"/>
          <w:noProof/>
          <w:sz w:val="18"/>
        </w:rPr>
      </w:r>
      <w:r w:rsidRPr="003F3E0B">
        <w:rPr>
          <w:b w:val="0"/>
          <w:noProof/>
          <w:sz w:val="18"/>
        </w:rPr>
        <w:fldChar w:fldCharType="separate"/>
      </w:r>
      <w:r w:rsidR="005364D5">
        <w:rPr>
          <w:b w:val="0"/>
          <w:noProof/>
          <w:sz w:val="18"/>
        </w:rPr>
        <w:t>13</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70</w:t>
      </w:r>
      <w:r>
        <w:rPr>
          <w:noProof/>
        </w:rPr>
        <w:noBreakHyphen/>
        <w:t>C—Accounting for trading stock you hold at the start or end of the income year</w:t>
      </w:r>
      <w:r w:rsidRPr="003F3E0B">
        <w:rPr>
          <w:b w:val="0"/>
          <w:noProof/>
          <w:sz w:val="18"/>
        </w:rPr>
        <w:tab/>
      </w:r>
      <w:r w:rsidRPr="003F3E0B">
        <w:rPr>
          <w:b w:val="0"/>
          <w:noProof/>
          <w:sz w:val="18"/>
        </w:rPr>
        <w:fldChar w:fldCharType="begin"/>
      </w:r>
      <w:r w:rsidRPr="003F3E0B">
        <w:rPr>
          <w:b w:val="0"/>
          <w:noProof/>
          <w:sz w:val="18"/>
        </w:rPr>
        <w:instrText xml:space="preserve"> PAGEREF _Toc64030299 \h </w:instrText>
      </w:r>
      <w:r w:rsidRPr="003F3E0B">
        <w:rPr>
          <w:b w:val="0"/>
          <w:noProof/>
          <w:sz w:val="18"/>
        </w:rPr>
      </w:r>
      <w:r w:rsidRPr="003F3E0B">
        <w:rPr>
          <w:b w:val="0"/>
          <w:noProof/>
          <w:sz w:val="18"/>
        </w:rPr>
        <w:fldChar w:fldCharType="separate"/>
      </w:r>
      <w:r w:rsidR="005364D5">
        <w:rPr>
          <w:b w:val="0"/>
          <w:noProof/>
          <w:sz w:val="18"/>
        </w:rPr>
        <w:t>13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70</w:t>
      </w:r>
      <w:r>
        <w:rPr>
          <w:noProof/>
        </w:rPr>
        <w:noBreakHyphen/>
        <w:t>55.01</w:t>
      </w:r>
      <w:r>
        <w:rPr>
          <w:noProof/>
        </w:rPr>
        <w:tab/>
        <w:t>Cost of natural increase of live stock</w:t>
      </w:r>
      <w:r w:rsidRPr="003F3E0B">
        <w:rPr>
          <w:noProof/>
        </w:rPr>
        <w:tab/>
      </w:r>
      <w:r w:rsidRPr="003F3E0B">
        <w:rPr>
          <w:noProof/>
        </w:rPr>
        <w:fldChar w:fldCharType="begin"/>
      </w:r>
      <w:r w:rsidRPr="003F3E0B">
        <w:rPr>
          <w:noProof/>
        </w:rPr>
        <w:instrText xml:space="preserve"> PAGEREF _Toc64030300 \h </w:instrText>
      </w:r>
      <w:r w:rsidRPr="003F3E0B">
        <w:rPr>
          <w:noProof/>
        </w:rPr>
      </w:r>
      <w:r w:rsidRPr="003F3E0B">
        <w:rPr>
          <w:noProof/>
        </w:rPr>
        <w:fldChar w:fldCharType="separate"/>
      </w:r>
      <w:r w:rsidR="005364D5">
        <w:rPr>
          <w:noProof/>
        </w:rPr>
        <w:t>13</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w:t>
      </w:r>
      <w:r>
        <w:rPr>
          <w:noProof/>
        </w:rPr>
        <w:noBreakHyphen/>
        <w:t>40—Rules affecting employees and other taxpayers receiving PAYG withholding payments</w:t>
      </w:r>
      <w:r w:rsidRPr="003F3E0B">
        <w:rPr>
          <w:b w:val="0"/>
          <w:noProof/>
          <w:sz w:val="18"/>
        </w:rPr>
        <w:tab/>
      </w:r>
      <w:r w:rsidRPr="003F3E0B">
        <w:rPr>
          <w:b w:val="0"/>
          <w:noProof/>
          <w:sz w:val="18"/>
        </w:rPr>
        <w:fldChar w:fldCharType="begin"/>
      </w:r>
      <w:r w:rsidRPr="003F3E0B">
        <w:rPr>
          <w:b w:val="0"/>
          <w:noProof/>
          <w:sz w:val="18"/>
        </w:rPr>
        <w:instrText xml:space="preserve"> PAGEREF _Toc64030301 \h </w:instrText>
      </w:r>
      <w:r w:rsidRPr="003F3E0B">
        <w:rPr>
          <w:b w:val="0"/>
          <w:noProof/>
          <w:sz w:val="18"/>
        </w:rPr>
      </w:r>
      <w:r w:rsidRPr="003F3E0B">
        <w:rPr>
          <w:b w:val="0"/>
          <w:noProof/>
          <w:sz w:val="18"/>
        </w:rPr>
        <w:fldChar w:fldCharType="separate"/>
      </w:r>
      <w:r w:rsidR="005364D5">
        <w:rPr>
          <w:b w:val="0"/>
          <w:noProof/>
          <w:sz w:val="18"/>
        </w:rPr>
        <w:t>14</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83A—Employee share schemes</w:t>
      </w:r>
      <w:r w:rsidRPr="003F3E0B">
        <w:rPr>
          <w:b w:val="0"/>
          <w:noProof/>
          <w:sz w:val="18"/>
        </w:rPr>
        <w:tab/>
      </w:r>
      <w:r w:rsidRPr="003F3E0B">
        <w:rPr>
          <w:b w:val="0"/>
          <w:noProof/>
          <w:sz w:val="18"/>
        </w:rPr>
        <w:fldChar w:fldCharType="begin"/>
      </w:r>
      <w:r w:rsidRPr="003F3E0B">
        <w:rPr>
          <w:b w:val="0"/>
          <w:noProof/>
          <w:sz w:val="18"/>
        </w:rPr>
        <w:instrText xml:space="preserve"> PAGEREF _Toc64030302 \h </w:instrText>
      </w:r>
      <w:r w:rsidRPr="003F3E0B">
        <w:rPr>
          <w:b w:val="0"/>
          <w:noProof/>
          <w:sz w:val="18"/>
        </w:rPr>
      </w:r>
      <w:r w:rsidRPr="003F3E0B">
        <w:rPr>
          <w:b w:val="0"/>
          <w:noProof/>
          <w:sz w:val="18"/>
        </w:rPr>
        <w:fldChar w:fldCharType="separate"/>
      </w:r>
      <w:r w:rsidR="005364D5">
        <w:rPr>
          <w:b w:val="0"/>
          <w:noProof/>
          <w:sz w:val="18"/>
        </w:rPr>
        <w:t>14</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83A</w:t>
      </w:r>
      <w:r>
        <w:rPr>
          <w:noProof/>
        </w:rPr>
        <w:noBreakHyphen/>
        <w:t>A—Objects of Division and key concepts</w:t>
      </w:r>
      <w:r w:rsidRPr="003F3E0B">
        <w:rPr>
          <w:b w:val="0"/>
          <w:noProof/>
          <w:sz w:val="18"/>
        </w:rPr>
        <w:tab/>
      </w:r>
      <w:r w:rsidRPr="003F3E0B">
        <w:rPr>
          <w:b w:val="0"/>
          <w:noProof/>
          <w:sz w:val="18"/>
        </w:rPr>
        <w:fldChar w:fldCharType="begin"/>
      </w:r>
      <w:r w:rsidRPr="003F3E0B">
        <w:rPr>
          <w:b w:val="0"/>
          <w:noProof/>
          <w:sz w:val="18"/>
        </w:rPr>
        <w:instrText xml:space="preserve"> PAGEREF _Toc64030303 \h </w:instrText>
      </w:r>
      <w:r w:rsidRPr="003F3E0B">
        <w:rPr>
          <w:b w:val="0"/>
          <w:noProof/>
          <w:sz w:val="18"/>
        </w:rPr>
      </w:r>
      <w:r w:rsidRPr="003F3E0B">
        <w:rPr>
          <w:b w:val="0"/>
          <w:noProof/>
          <w:sz w:val="18"/>
        </w:rPr>
        <w:fldChar w:fldCharType="separate"/>
      </w:r>
      <w:r w:rsidR="005364D5">
        <w:rPr>
          <w:b w:val="0"/>
          <w:noProof/>
          <w:sz w:val="18"/>
        </w:rPr>
        <w:t>14</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5.01</w:t>
      </w:r>
      <w:r>
        <w:rPr>
          <w:noProof/>
        </w:rPr>
        <w:tab/>
        <w:t>Object of Division 83A</w:t>
      </w:r>
      <w:r w:rsidRPr="003F3E0B">
        <w:rPr>
          <w:noProof/>
        </w:rPr>
        <w:tab/>
      </w:r>
      <w:r w:rsidRPr="003F3E0B">
        <w:rPr>
          <w:noProof/>
        </w:rPr>
        <w:fldChar w:fldCharType="begin"/>
      </w:r>
      <w:r w:rsidRPr="003F3E0B">
        <w:rPr>
          <w:noProof/>
        </w:rPr>
        <w:instrText xml:space="preserve"> PAGEREF _Toc64030304 \h </w:instrText>
      </w:r>
      <w:r w:rsidRPr="003F3E0B">
        <w:rPr>
          <w:noProof/>
        </w:rPr>
      </w:r>
      <w:r w:rsidRPr="003F3E0B">
        <w:rPr>
          <w:noProof/>
        </w:rPr>
        <w:fldChar w:fldCharType="separate"/>
      </w:r>
      <w:r w:rsidR="005364D5">
        <w:rPr>
          <w:noProof/>
        </w:rPr>
        <w:t>14</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83A</w:t>
      </w:r>
      <w:r>
        <w:rPr>
          <w:noProof/>
        </w:rPr>
        <w:noBreakHyphen/>
        <w:t>E—Miscellaneous</w:t>
      </w:r>
      <w:r w:rsidRPr="003F3E0B">
        <w:rPr>
          <w:b w:val="0"/>
          <w:noProof/>
          <w:sz w:val="18"/>
        </w:rPr>
        <w:tab/>
      </w:r>
      <w:r w:rsidRPr="003F3E0B">
        <w:rPr>
          <w:b w:val="0"/>
          <w:noProof/>
          <w:sz w:val="18"/>
        </w:rPr>
        <w:fldChar w:fldCharType="begin"/>
      </w:r>
      <w:r w:rsidRPr="003F3E0B">
        <w:rPr>
          <w:b w:val="0"/>
          <w:noProof/>
          <w:sz w:val="18"/>
        </w:rPr>
        <w:instrText xml:space="preserve"> PAGEREF _Toc64030305 \h </w:instrText>
      </w:r>
      <w:r w:rsidRPr="003F3E0B">
        <w:rPr>
          <w:b w:val="0"/>
          <w:noProof/>
          <w:sz w:val="18"/>
        </w:rPr>
      </w:r>
      <w:r w:rsidRPr="003F3E0B">
        <w:rPr>
          <w:b w:val="0"/>
          <w:noProof/>
          <w:sz w:val="18"/>
        </w:rPr>
        <w:fldChar w:fldCharType="separate"/>
      </w:r>
      <w:r w:rsidR="005364D5">
        <w:rPr>
          <w:b w:val="0"/>
          <w:noProof/>
          <w:sz w:val="18"/>
        </w:rPr>
        <w:t>14</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315.01</w:t>
      </w:r>
      <w:r>
        <w:rPr>
          <w:noProof/>
        </w:rPr>
        <w:tab/>
        <w:t>Value of certain ESS interests</w:t>
      </w:r>
      <w:r w:rsidRPr="003F3E0B">
        <w:rPr>
          <w:noProof/>
        </w:rPr>
        <w:tab/>
      </w:r>
      <w:r w:rsidRPr="003F3E0B">
        <w:rPr>
          <w:noProof/>
        </w:rPr>
        <w:fldChar w:fldCharType="begin"/>
      </w:r>
      <w:r w:rsidRPr="003F3E0B">
        <w:rPr>
          <w:noProof/>
        </w:rPr>
        <w:instrText xml:space="preserve"> PAGEREF _Toc64030306 \h </w:instrText>
      </w:r>
      <w:r w:rsidRPr="003F3E0B">
        <w:rPr>
          <w:noProof/>
        </w:rPr>
      </w:r>
      <w:r w:rsidRPr="003F3E0B">
        <w:rPr>
          <w:noProof/>
        </w:rPr>
        <w:fldChar w:fldCharType="separate"/>
      </w:r>
      <w:r w:rsidR="005364D5">
        <w:rPr>
          <w:noProof/>
        </w:rPr>
        <w:t>14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315.02</w:t>
      </w:r>
      <w:r>
        <w:rPr>
          <w:noProof/>
        </w:rPr>
        <w:tab/>
        <w:t>Valuing unlisted rights</w:t>
      </w:r>
      <w:r w:rsidRPr="003F3E0B">
        <w:rPr>
          <w:noProof/>
        </w:rPr>
        <w:tab/>
      </w:r>
      <w:r w:rsidRPr="003F3E0B">
        <w:rPr>
          <w:noProof/>
        </w:rPr>
        <w:fldChar w:fldCharType="begin"/>
      </w:r>
      <w:r w:rsidRPr="003F3E0B">
        <w:rPr>
          <w:noProof/>
        </w:rPr>
        <w:instrText xml:space="preserve"> PAGEREF _Toc64030307 \h </w:instrText>
      </w:r>
      <w:r w:rsidRPr="003F3E0B">
        <w:rPr>
          <w:noProof/>
        </w:rPr>
      </w:r>
      <w:r w:rsidRPr="003F3E0B">
        <w:rPr>
          <w:noProof/>
        </w:rPr>
        <w:fldChar w:fldCharType="separate"/>
      </w:r>
      <w:r w:rsidR="005364D5">
        <w:rPr>
          <w:noProof/>
        </w:rPr>
        <w:t>14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315.03</w:t>
      </w:r>
      <w:r>
        <w:rPr>
          <w:noProof/>
        </w:rPr>
        <w:tab/>
        <w:t>Exercise price of right nil or cannot be determined</w:t>
      </w:r>
      <w:r w:rsidRPr="003F3E0B">
        <w:rPr>
          <w:noProof/>
        </w:rPr>
        <w:tab/>
      </w:r>
      <w:r w:rsidRPr="003F3E0B">
        <w:rPr>
          <w:noProof/>
        </w:rPr>
        <w:fldChar w:fldCharType="begin"/>
      </w:r>
      <w:r w:rsidRPr="003F3E0B">
        <w:rPr>
          <w:noProof/>
        </w:rPr>
        <w:instrText xml:space="preserve"> PAGEREF _Toc64030308 \h </w:instrText>
      </w:r>
      <w:r w:rsidRPr="003F3E0B">
        <w:rPr>
          <w:noProof/>
        </w:rPr>
      </w:r>
      <w:r w:rsidRPr="003F3E0B">
        <w:rPr>
          <w:noProof/>
        </w:rPr>
        <w:fldChar w:fldCharType="separate"/>
      </w:r>
      <w:r w:rsidR="005364D5">
        <w:rPr>
          <w:noProof/>
        </w:rPr>
        <w:t>15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315.04</w:t>
      </w:r>
      <w:r>
        <w:rPr>
          <w:noProof/>
        </w:rPr>
        <w:tab/>
        <w:t>Value of beneficial interests</w:t>
      </w:r>
      <w:r w:rsidRPr="003F3E0B">
        <w:rPr>
          <w:noProof/>
        </w:rPr>
        <w:tab/>
      </w:r>
      <w:r w:rsidRPr="003F3E0B">
        <w:rPr>
          <w:noProof/>
        </w:rPr>
        <w:fldChar w:fldCharType="begin"/>
      </w:r>
      <w:r w:rsidRPr="003F3E0B">
        <w:rPr>
          <w:noProof/>
        </w:rPr>
        <w:instrText xml:space="preserve"> PAGEREF _Toc64030309 \h </w:instrText>
      </w:r>
      <w:r w:rsidRPr="003F3E0B">
        <w:rPr>
          <w:noProof/>
        </w:rPr>
      </w:r>
      <w:r w:rsidRPr="003F3E0B">
        <w:rPr>
          <w:noProof/>
        </w:rPr>
        <w:fldChar w:fldCharType="separate"/>
      </w:r>
      <w:r w:rsidR="005364D5">
        <w:rPr>
          <w:noProof/>
        </w:rPr>
        <w:t>15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315.05</w:t>
      </w:r>
      <w:r>
        <w:rPr>
          <w:noProof/>
        </w:rPr>
        <w:tab/>
        <w:t>Working out the value of a right to acquire the beneficial interest in a share</w:t>
      </w:r>
      <w:r w:rsidRPr="003F3E0B">
        <w:rPr>
          <w:noProof/>
        </w:rPr>
        <w:tab/>
      </w:r>
      <w:r w:rsidRPr="003F3E0B">
        <w:rPr>
          <w:noProof/>
        </w:rPr>
        <w:fldChar w:fldCharType="begin"/>
      </w:r>
      <w:r w:rsidRPr="003F3E0B">
        <w:rPr>
          <w:noProof/>
        </w:rPr>
        <w:instrText xml:space="preserve"> PAGEREF _Toc64030310 \h </w:instrText>
      </w:r>
      <w:r w:rsidRPr="003F3E0B">
        <w:rPr>
          <w:noProof/>
        </w:rPr>
      </w:r>
      <w:r w:rsidRPr="003F3E0B">
        <w:rPr>
          <w:noProof/>
        </w:rPr>
        <w:fldChar w:fldCharType="separate"/>
      </w:r>
      <w:r w:rsidR="005364D5">
        <w:rPr>
          <w:noProof/>
        </w:rPr>
        <w:t>15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315.08</w:t>
      </w:r>
      <w:r>
        <w:rPr>
          <w:noProof/>
        </w:rPr>
        <w:tab/>
        <w:t>Calculation percentages of 50% or more, and less than 110%</w:t>
      </w:r>
      <w:r w:rsidRPr="003F3E0B">
        <w:rPr>
          <w:noProof/>
        </w:rPr>
        <w:tab/>
      </w:r>
      <w:r w:rsidRPr="003F3E0B">
        <w:rPr>
          <w:noProof/>
        </w:rPr>
        <w:fldChar w:fldCharType="begin"/>
      </w:r>
      <w:r w:rsidRPr="003F3E0B">
        <w:rPr>
          <w:noProof/>
        </w:rPr>
        <w:instrText xml:space="preserve"> PAGEREF _Toc64030311 \h </w:instrText>
      </w:r>
      <w:r w:rsidRPr="003F3E0B">
        <w:rPr>
          <w:noProof/>
        </w:rPr>
      </w:r>
      <w:r w:rsidRPr="003F3E0B">
        <w:rPr>
          <w:noProof/>
        </w:rPr>
        <w:fldChar w:fldCharType="separate"/>
      </w:r>
      <w:r w:rsidR="005364D5">
        <w:rPr>
          <w:noProof/>
        </w:rPr>
        <w:t>15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83A</w:t>
      </w:r>
      <w:r>
        <w:rPr>
          <w:noProof/>
        </w:rPr>
        <w:noBreakHyphen/>
        <w:t>315.09</w:t>
      </w:r>
      <w:r>
        <w:rPr>
          <w:noProof/>
        </w:rPr>
        <w:tab/>
        <w:t>Base percentages for calculation percentages of 110% or more</w:t>
      </w:r>
      <w:r w:rsidRPr="003F3E0B">
        <w:rPr>
          <w:noProof/>
        </w:rPr>
        <w:tab/>
      </w:r>
      <w:r w:rsidRPr="003F3E0B">
        <w:rPr>
          <w:noProof/>
        </w:rPr>
        <w:fldChar w:fldCharType="begin"/>
      </w:r>
      <w:r w:rsidRPr="003F3E0B">
        <w:rPr>
          <w:noProof/>
        </w:rPr>
        <w:instrText xml:space="preserve"> PAGEREF _Toc64030312 \h </w:instrText>
      </w:r>
      <w:r w:rsidRPr="003F3E0B">
        <w:rPr>
          <w:noProof/>
        </w:rPr>
      </w:r>
      <w:r w:rsidRPr="003F3E0B">
        <w:rPr>
          <w:noProof/>
        </w:rPr>
        <w:fldChar w:fldCharType="separate"/>
      </w:r>
      <w:r w:rsidR="005364D5">
        <w:rPr>
          <w:noProof/>
        </w:rPr>
        <w:t>17</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Chapter 3—Specialist liability rules</w:t>
      </w:r>
      <w:r w:rsidRPr="003F3E0B">
        <w:rPr>
          <w:b w:val="0"/>
          <w:noProof/>
          <w:sz w:val="18"/>
        </w:rPr>
        <w:tab/>
      </w:r>
      <w:r w:rsidRPr="003F3E0B">
        <w:rPr>
          <w:b w:val="0"/>
          <w:noProof/>
          <w:sz w:val="18"/>
        </w:rPr>
        <w:fldChar w:fldCharType="begin"/>
      </w:r>
      <w:r w:rsidRPr="003F3E0B">
        <w:rPr>
          <w:b w:val="0"/>
          <w:noProof/>
          <w:sz w:val="18"/>
        </w:rPr>
        <w:instrText xml:space="preserve"> PAGEREF _Toc64030313 \h </w:instrText>
      </w:r>
      <w:r w:rsidRPr="003F3E0B">
        <w:rPr>
          <w:b w:val="0"/>
          <w:noProof/>
          <w:sz w:val="18"/>
        </w:rPr>
      </w:r>
      <w:r w:rsidRPr="003F3E0B">
        <w:rPr>
          <w:b w:val="0"/>
          <w:noProof/>
          <w:sz w:val="18"/>
        </w:rPr>
        <w:fldChar w:fldCharType="separate"/>
      </w:r>
      <w:r w:rsidR="005364D5">
        <w:rPr>
          <w:b w:val="0"/>
          <w:noProof/>
          <w:sz w:val="18"/>
        </w:rPr>
        <w:t>19</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3</w:t>
      </w:r>
      <w:r>
        <w:rPr>
          <w:noProof/>
        </w:rPr>
        <w:noBreakHyphen/>
        <w:t>30—Superannuation</w:t>
      </w:r>
      <w:r w:rsidRPr="003F3E0B">
        <w:rPr>
          <w:b w:val="0"/>
          <w:noProof/>
          <w:sz w:val="18"/>
        </w:rPr>
        <w:tab/>
      </w:r>
      <w:r w:rsidRPr="003F3E0B">
        <w:rPr>
          <w:b w:val="0"/>
          <w:noProof/>
          <w:sz w:val="18"/>
        </w:rPr>
        <w:fldChar w:fldCharType="begin"/>
      </w:r>
      <w:r w:rsidRPr="003F3E0B">
        <w:rPr>
          <w:b w:val="0"/>
          <w:noProof/>
          <w:sz w:val="18"/>
        </w:rPr>
        <w:instrText xml:space="preserve"> PAGEREF _Toc64030314 \h </w:instrText>
      </w:r>
      <w:r w:rsidRPr="003F3E0B">
        <w:rPr>
          <w:b w:val="0"/>
          <w:noProof/>
          <w:sz w:val="18"/>
        </w:rPr>
      </w:r>
      <w:r w:rsidRPr="003F3E0B">
        <w:rPr>
          <w:b w:val="0"/>
          <w:noProof/>
          <w:sz w:val="18"/>
        </w:rPr>
        <w:fldChar w:fldCharType="separate"/>
      </w:r>
      <w:r w:rsidR="005364D5">
        <w:rPr>
          <w:b w:val="0"/>
          <w:noProof/>
          <w:sz w:val="18"/>
        </w:rPr>
        <w:t>19</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290—Contributions to superannuation funds</w:t>
      </w:r>
      <w:r w:rsidRPr="003F3E0B">
        <w:rPr>
          <w:b w:val="0"/>
          <w:noProof/>
          <w:sz w:val="18"/>
        </w:rPr>
        <w:tab/>
      </w:r>
      <w:r w:rsidRPr="003F3E0B">
        <w:rPr>
          <w:b w:val="0"/>
          <w:noProof/>
          <w:sz w:val="18"/>
        </w:rPr>
        <w:fldChar w:fldCharType="begin"/>
      </w:r>
      <w:r w:rsidRPr="003F3E0B">
        <w:rPr>
          <w:b w:val="0"/>
          <w:noProof/>
          <w:sz w:val="18"/>
        </w:rPr>
        <w:instrText xml:space="preserve"> PAGEREF _Toc64030315 \h </w:instrText>
      </w:r>
      <w:r w:rsidRPr="003F3E0B">
        <w:rPr>
          <w:b w:val="0"/>
          <w:noProof/>
          <w:sz w:val="18"/>
        </w:rPr>
      </w:r>
      <w:r w:rsidRPr="003F3E0B">
        <w:rPr>
          <w:b w:val="0"/>
          <w:noProof/>
          <w:sz w:val="18"/>
        </w:rPr>
        <w:fldChar w:fldCharType="separate"/>
      </w:r>
      <w:r w:rsidR="005364D5">
        <w:rPr>
          <w:b w:val="0"/>
          <w:noProof/>
          <w:sz w:val="18"/>
        </w:rPr>
        <w:t>19</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290</w:t>
      </w:r>
      <w:r w:rsidRPr="00C62C95">
        <w:rPr>
          <w:rFonts w:eastAsiaTheme="majorEastAsia"/>
          <w:noProof/>
        </w:rPr>
        <w:noBreakHyphen/>
        <w:t>C</w:t>
      </w:r>
      <w:r>
        <w:rPr>
          <w:noProof/>
        </w:rPr>
        <w:t>—</w:t>
      </w:r>
      <w:r w:rsidRPr="00C62C95">
        <w:rPr>
          <w:rFonts w:eastAsiaTheme="majorEastAsia"/>
          <w:noProof/>
        </w:rPr>
        <w:t>Deducting personal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_Toc64030316 \h </w:instrText>
      </w:r>
      <w:r w:rsidRPr="003F3E0B">
        <w:rPr>
          <w:b w:val="0"/>
          <w:noProof/>
          <w:sz w:val="18"/>
        </w:rPr>
      </w:r>
      <w:r w:rsidRPr="003F3E0B">
        <w:rPr>
          <w:b w:val="0"/>
          <w:noProof/>
          <w:sz w:val="18"/>
        </w:rPr>
        <w:fldChar w:fldCharType="separate"/>
      </w:r>
      <w:r w:rsidR="005364D5">
        <w:rPr>
          <w:b w:val="0"/>
          <w:noProof/>
          <w:sz w:val="18"/>
        </w:rPr>
        <w:t>19</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290</w:t>
      </w:r>
      <w:r>
        <w:rPr>
          <w:noProof/>
        </w:rPr>
        <w:noBreakHyphen/>
        <w:t>155.01</w:t>
      </w:r>
      <w:r>
        <w:rPr>
          <w:noProof/>
        </w:rPr>
        <w:tab/>
        <w:t>Complying superannuation fund condition—prescribed superannuation funds</w:t>
      </w:r>
      <w:r w:rsidRPr="003F3E0B">
        <w:rPr>
          <w:noProof/>
        </w:rPr>
        <w:tab/>
      </w:r>
      <w:r w:rsidRPr="003F3E0B">
        <w:rPr>
          <w:noProof/>
        </w:rPr>
        <w:fldChar w:fldCharType="begin"/>
      </w:r>
      <w:r w:rsidRPr="003F3E0B">
        <w:rPr>
          <w:noProof/>
        </w:rPr>
        <w:instrText xml:space="preserve"> PAGEREF _Toc64030317 \h </w:instrText>
      </w:r>
      <w:r w:rsidRPr="003F3E0B">
        <w:rPr>
          <w:noProof/>
        </w:rPr>
      </w:r>
      <w:r w:rsidRPr="003F3E0B">
        <w:rPr>
          <w:noProof/>
        </w:rPr>
        <w:fldChar w:fldCharType="separate"/>
      </w:r>
      <w:r w:rsidR="005364D5">
        <w:rPr>
          <w:noProof/>
        </w:rPr>
        <w:t>19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290</w:t>
      </w:r>
      <w:r>
        <w:rPr>
          <w:noProof/>
        </w:rPr>
        <w:noBreakHyphen/>
        <w:t>155.05</w:t>
      </w:r>
      <w:r>
        <w:rPr>
          <w:noProof/>
        </w:rPr>
        <w:tab/>
        <w:t>Complying superannuation fund condition—prescribed contributions and superannuation funds</w:t>
      </w:r>
      <w:r w:rsidRPr="003F3E0B">
        <w:rPr>
          <w:noProof/>
        </w:rPr>
        <w:tab/>
      </w:r>
      <w:r w:rsidRPr="003F3E0B">
        <w:rPr>
          <w:noProof/>
        </w:rPr>
        <w:fldChar w:fldCharType="begin"/>
      </w:r>
      <w:r w:rsidRPr="003F3E0B">
        <w:rPr>
          <w:noProof/>
        </w:rPr>
        <w:instrText xml:space="preserve"> PAGEREF _Toc64030318 \h </w:instrText>
      </w:r>
      <w:r w:rsidRPr="003F3E0B">
        <w:rPr>
          <w:noProof/>
        </w:rPr>
      </w:r>
      <w:r w:rsidRPr="003F3E0B">
        <w:rPr>
          <w:noProof/>
        </w:rPr>
        <w:fldChar w:fldCharType="separate"/>
      </w:r>
      <w:r w:rsidR="005364D5">
        <w:rPr>
          <w:noProof/>
        </w:rPr>
        <w:t>19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290</w:t>
      </w:r>
      <w:r>
        <w:rPr>
          <w:noProof/>
        </w:rPr>
        <w:noBreakHyphen/>
        <w:t>170.01</w:t>
      </w:r>
      <w:r>
        <w:rPr>
          <w:noProof/>
        </w:rPr>
        <w:tab/>
        <w:t>Notice of intent to deduct contributions—contributions</w:t>
      </w:r>
      <w:r>
        <w:rPr>
          <w:noProof/>
        </w:rPr>
        <w:noBreakHyphen/>
        <w:t>splitting applications</w:t>
      </w:r>
      <w:r w:rsidRPr="003F3E0B">
        <w:rPr>
          <w:noProof/>
        </w:rPr>
        <w:tab/>
      </w:r>
      <w:r w:rsidRPr="003F3E0B">
        <w:rPr>
          <w:noProof/>
        </w:rPr>
        <w:fldChar w:fldCharType="begin"/>
      </w:r>
      <w:r w:rsidRPr="003F3E0B">
        <w:rPr>
          <w:noProof/>
        </w:rPr>
        <w:instrText xml:space="preserve"> PAGEREF _Toc64030319 \h </w:instrText>
      </w:r>
      <w:r w:rsidRPr="003F3E0B">
        <w:rPr>
          <w:noProof/>
        </w:rPr>
      </w:r>
      <w:r w:rsidRPr="003F3E0B">
        <w:rPr>
          <w:noProof/>
        </w:rPr>
        <w:fldChar w:fldCharType="separate"/>
      </w:r>
      <w:r w:rsidR="005364D5">
        <w:rPr>
          <w:noProof/>
        </w:rPr>
        <w:t>19</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291—Excess concessional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_Toc64030320 \h </w:instrText>
      </w:r>
      <w:r w:rsidRPr="003F3E0B">
        <w:rPr>
          <w:b w:val="0"/>
          <w:noProof/>
          <w:sz w:val="18"/>
        </w:rPr>
      </w:r>
      <w:r w:rsidRPr="003F3E0B">
        <w:rPr>
          <w:b w:val="0"/>
          <w:noProof/>
          <w:sz w:val="18"/>
        </w:rPr>
        <w:fldChar w:fldCharType="separate"/>
      </w:r>
      <w:r w:rsidR="005364D5">
        <w:rPr>
          <w:b w:val="0"/>
          <w:noProof/>
          <w:sz w:val="18"/>
        </w:rPr>
        <w:t>21</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291</w:t>
      </w:r>
      <w:r w:rsidRPr="00C62C95">
        <w:rPr>
          <w:rFonts w:eastAsiaTheme="majorEastAsia"/>
          <w:noProof/>
        </w:rPr>
        <w:noBreakHyphen/>
        <w:t>B—Excess concessional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_Toc64030321 \h </w:instrText>
      </w:r>
      <w:r w:rsidRPr="003F3E0B">
        <w:rPr>
          <w:b w:val="0"/>
          <w:noProof/>
          <w:sz w:val="18"/>
        </w:rPr>
      </w:r>
      <w:r w:rsidRPr="003F3E0B">
        <w:rPr>
          <w:b w:val="0"/>
          <w:noProof/>
          <w:sz w:val="18"/>
        </w:rPr>
        <w:fldChar w:fldCharType="separate"/>
      </w:r>
      <w:r w:rsidR="005364D5">
        <w:rPr>
          <w:b w:val="0"/>
          <w:noProof/>
          <w:sz w:val="18"/>
        </w:rPr>
        <w:t>21</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25.01</w:t>
      </w:r>
      <w:r>
        <w:rPr>
          <w:noProof/>
        </w:rPr>
        <w:tab/>
        <w:t>Concessional contributions for a financial year</w:t>
      </w:r>
      <w:r w:rsidRPr="003F3E0B">
        <w:rPr>
          <w:noProof/>
        </w:rPr>
        <w:tab/>
      </w:r>
      <w:r w:rsidRPr="003F3E0B">
        <w:rPr>
          <w:noProof/>
        </w:rPr>
        <w:fldChar w:fldCharType="begin"/>
      </w:r>
      <w:r w:rsidRPr="003F3E0B">
        <w:rPr>
          <w:noProof/>
        </w:rPr>
        <w:instrText xml:space="preserve"> PAGEREF _Toc64030322 \h </w:instrText>
      </w:r>
      <w:r w:rsidRPr="003F3E0B">
        <w:rPr>
          <w:noProof/>
        </w:rPr>
      </w:r>
      <w:r w:rsidRPr="003F3E0B">
        <w:rPr>
          <w:noProof/>
        </w:rPr>
        <w:fldChar w:fldCharType="separate"/>
      </w:r>
      <w:r w:rsidR="005364D5">
        <w:rPr>
          <w:noProof/>
        </w:rPr>
        <w:t>21</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291</w:t>
      </w:r>
      <w:r w:rsidRPr="00C62C95">
        <w:rPr>
          <w:rFonts w:eastAsiaTheme="majorEastAsia"/>
          <w:noProof/>
        </w:rPr>
        <w:noBreakHyphen/>
        <w:t>C</w:t>
      </w:r>
      <w:r>
        <w:rPr>
          <w:noProof/>
        </w:rPr>
        <w:t>—</w:t>
      </w:r>
      <w:r w:rsidRPr="00C62C95">
        <w:rPr>
          <w:rFonts w:eastAsiaTheme="majorEastAsia"/>
          <w:noProof/>
        </w:rPr>
        <w:t>Modifications for defined benefit interests</w:t>
      </w:r>
      <w:r w:rsidRPr="003F3E0B">
        <w:rPr>
          <w:b w:val="0"/>
          <w:noProof/>
          <w:sz w:val="18"/>
        </w:rPr>
        <w:tab/>
      </w:r>
      <w:r w:rsidRPr="003F3E0B">
        <w:rPr>
          <w:b w:val="0"/>
          <w:noProof/>
          <w:sz w:val="18"/>
        </w:rPr>
        <w:fldChar w:fldCharType="begin"/>
      </w:r>
      <w:r w:rsidRPr="003F3E0B">
        <w:rPr>
          <w:b w:val="0"/>
          <w:noProof/>
          <w:sz w:val="18"/>
        </w:rPr>
        <w:instrText xml:space="preserve"> PAGEREF _Toc64030323 \h </w:instrText>
      </w:r>
      <w:r w:rsidRPr="003F3E0B">
        <w:rPr>
          <w:b w:val="0"/>
          <w:noProof/>
          <w:sz w:val="18"/>
        </w:rPr>
      </w:r>
      <w:r w:rsidRPr="003F3E0B">
        <w:rPr>
          <w:b w:val="0"/>
          <w:noProof/>
          <w:sz w:val="18"/>
        </w:rPr>
        <w:fldChar w:fldCharType="separate"/>
      </w:r>
      <w:r w:rsidR="005364D5">
        <w:rPr>
          <w:b w:val="0"/>
          <w:noProof/>
          <w:sz w:val="18"/>
        </w:rPr>
        <w:t>22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170.01</w:t>
      </w:r>
      <w:r>
        <w:rPr>
          <w:noProof/>
        </w:rPr>
        <w:tab/>
        <w:t>Treatment of superannuation sub</w:t>
      </w:r>
      <w:r>
        <w:rPr>
          <w:noProof/>
        </w:rPr>
        <w:noBreakHyphen/>
        <w:t>funds</w:t>
      </w:r>
      <w:r w:rsidRPr="003F3E0B">
        <w:rPr>
          <w:noProof/>
        </w:rPr>
        <w:tab/>
      </w:r>
      <w:r w:rsidRPr="003F3E0B">
        <w:rPr>
          <w:noProof/>
        </w:rPr>
        <w:fldChar w:fldCharType="begin"/>
      </w:r>
      <w:r w:rsidRPr="003F3E0B">
        <w:rPr>
          <w:noProof/>
        </w:rPr>
        <w:instrText xml:space="preserve"> PAGEREF _Toc64030324 \h </w:instrText>
      </w:r>
      <w:r w:rsidRPr="003F3E0B">
        <w:rPr>
          <w:noProof/>
        </w:rPr>
      </w:r>
      <w:r w:rsidRPr="003F3E0B">
        <w:rPr>
          <w:noProof/>
        </w:rPr>
        <w:fldChar w:fldCharType="separate"/>
      </w:r>
      <w:r w:rsidR="005364D5">
        <w:rPr>
          <w:noProof/>
        </w:rPr>
        <w:t>22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170.02</w:t>
      </w:r>
      <w:r>
        <w:rPr>
          <w:noProof/>
        </w:rPr>
        <w:tab/>
        <w:t>Notional taxed contributions—contributions for funds with 5 or more defined benefit members</w:t>
      </w:r>
      <w:r w:rsidRPr="003F3E0B">
        <w:rPr>
          <w:noProof/>
        </w:rPr>
        <w:tab/>
      </w:r>
      <w:r w:rsidRPr="003F3E0B">
        <w:rPr>
          <w:noProof/>
        </w:rPr>
        <w:fldChar w:fldCharType="begin"/>
      </w:r>
      <w:r w:rsidRPr="003F3E0B">
        <w:rPr>
          <w:noProof/>
        </w:rPr>
        <w:instrText xml:space="preserve"> PAGEREF _Toc64030325 \h </w:instrText>
      </w:r>
      <w:r w:rsidRPr="003F3E0B">
        <w:rPr>
          <w:noProof/>
        </w:rPr>
      </w:r>
      <w:r w:rsidRPr="003F3E0B">
        <w:rPr>
          <w:noProof/>
        </w:rPr>
        <w:fldChar w:fldCharType="separate"/>
      </w:r>
      <w:r w:rsidR="005364D5">
        <w:rPr>
          <w:noProof/>
        </w:rPr>
        <w:t>22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170.03</w:t>
      </w:r>
      <w:r>
        <w:rPr>
          <w:noProof/>
        </w:rPr>
        <w:tab/>
        <w:t>Notional taxed contributions—contributions for funds to which section 291</w:t>
      </w:r>
      <w:r>
        <w:rPr>
          <w:noProof/>
        </w:rPr>
        <w:noBreakHyphen/>
        <w:t>170.02 does not apply</w:t>
      </w:r>
      <w:r w:rsidRPr="003F3E0B">
        <w:rPr>
          <w:noProof/>
        </w:rPr>
        <w:tab/>
      </w:r>
      <w:r w:rsidRPr="003F3E0B">
        <w:rPr>
          <w:noProof/>
        </w:rPr>
        <w:fldChar w:fldCharType="begin"/>
      </w:r>
      <w:r w:rsidRPr="003F3E0B">
        <w:rPr>
          <w:noProof/>
        </w:rPr>
        <w:instrText xml:space="preserve"> PAGEREF _Toc64030326 \h </w:instrText>
      </w:r>
      <w:r w:rsidRPr="003F3E0B">
        <w:rPr>
          <w:noProof/>
        </w:rPr>
      </w:r>
      <w:r w:rsidRPr="003F3E0B">
        <w:rPr>
          <w:noProof/>
        </w:rPr>
        <w:fldChar w:fldCharType="separate"/>
      </w:r>
      <w:r w:rsidR="005364D5">
        <w:rPr>
          <w:noProof/>
        </w:rPr>
        <w:t>23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170.04</w:t>
      </w:r>
      <w:r>
        <w:rPr>
          <w:noProof/>
        </w:rPr>
        <w:tab/>
        <w:t>Notional taxed contributions—nil amount</w:t>
      </w:r>
      <w:r w:rsidRPr="003F3E0B">
        <w:rPr>
          <w:noProof/>
        </w:rPr>
        <w:tab/>
      </w:r>
      <w:r w:rsidRPr="003F3E0B">
        <w:rPr>
          <w:noProof/>
        </w:rPr>
        <w:fldChar w:fldCharType="begin"/>
      </w:r>
      <w:r w:rsidRPr="003F3E0B">
        <w:rPr>
          <w:noProof/>
        </w:rPr>
        <w:instrText xml:space="preserve"> PAGEREF _Toc64030327 \h </w:instrText>
      </w:r>
      <w:r w:rsidRPr="003F3E0B">
        <w:rPr>
          <w:noProof/>
        </w:rPr>
      </w:r>
      <w:r w:rsidRPr="003F3E0B">
        <w:rPr>
          <w:noProof/>
        </w:rPr>
        <w:fldChar w:fldCharType="separate"/>
      </w:r>
      <w:r w:rsidR="005364D5">
        <w:rPr>
          <w:noProof/>
        </w:rPr>
        <w:t>24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170.05</w:t>
      </w:r>
      <w:r>
        <w:rPr>
          <w:noProof/>
        </w:rPr>
        <w:tab/>
        <w:t>Notional taxed contributions—conditions for paragraph 291</w:t>
      </w:r>
      <w:r>
        <w:rPr>
          <w:noProof/>
        </w:rPr>
        <w:noBreakHyphen/>
        <w:t>170(2)(d) and subparagraph 291</w:t>
      </w:r>
      <w:r>
        <w:rPr>
          <w:noProof/>
        </w:rPr>
        <w:noBreakHyphen/>
        <w:t xml:space="preserve">170(3)(e)(ii) of the </w:t>
      </w:r>
      <w:r w:rsidRPr="00C62C95">
        <w:rPr>
          <w:i/>
          <w:noProof/>
        </w:rPr>
        <w:t>Income Tax (Transitional Provisions) Act 1997</w:t>
      </w:r>
      <w:r w:rsidRPr="003F3E0B">
        <w:rPr>
          <w:noProof/>
        </w:rPr>
        <w:tab/>
      </w:r>
      <w:r w:rsidRPr="003F3E0B">
        <w:rPr>
          <w:noProof/>
        </w:rPr>
        <w:fldChar w:fldCharType="begin"/>
      </w:r>
      <w:r w:rsidRPr="003F3E0B">
        <w:rPr>
          <w:noProof/>
        </w:rPr>
        <w:instrText xml:space="preserve"> PAGEREF _Toc64030328 \h </w:instrText>
      </w:r>
      <w:r w:rsidRPr="003F3E0B">
        <w:rPr>
          <w:noProof/>
        </w:rPr>
      </w:r>
      <w:r w:rsidRPr="003F3E0B">
        <w:rPr>
          <w:noProof/>
        </w:rPr>
        <w:fldChar w:fldCharType="separate"/>
      </w:r>
      <w:r w:rsidR="005364D5">
        <w:rPr>
          <w:noProof/>
        </w:rPr>
        <w:t>25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291</w:t>
      </w:r>
      <w:r>
        <w:rPr>
          <w:noProof/>
        </w:rPr>
        <w:noBreakHyphen/>
        <w:t>170.07</w:t>
      </w:r>
      <w:r>
        <w:rPr>
          <w:noProof/>
        </w:rPr>
        <w:tab/>
        <w:t>Notional taxed contributions—conditions for paragraph 291</w:t>
      </w:r>
      <w:r>
        <w:rPr>
          <w:noProof/>
        </w:rPr>
        <w:noBreakHyphen/>
        <w:t>170(4)(d) and subparagraph 291</w:t>
      </w:r>
      <w:r>
        <w:rPr>
          <w:noProof/>
        </w:rPr>
        <w:noBreakHyphen/>
        <w:t xml:space="preserve">170(5)(e)(ii) of the </w:t>
      </w:r>
      <w:r w:rsidRPr="00C62C95">
        <w:rPr>
          <w:i/>
          <w:noProof/>
        </w:rPr>
        <w:t>Income Tax (Transitional Provisions) Act 1997</w:t>
      </w:r>
      <w:r w:rsidRPr="003F3E0B">
        <w:rPr>
          <w:noProof/>
        </w:rPr>
        <w:tab/>
      </w:r>
      <w:r w:rsidRPr="003F3E0B">
        <w:rPr>
          <w:noProof/>
        </w:rPr>
        <w:fldChar w:fldCharType="begin"/>
      </w:r>
      <w:r w:rsidRPr="003F3E0B">
        <w:rPr>
          <w:noProof/>
        </w:rPr>
        <w:instrText xml:space="preserve"> PAGEREF _Toc64030329 \h </w:instrText>
      </w:r>
      <w:r w:rsidRPr="003F3E0B">
        <w:rPr>
          <w:noProof/>
        </w:rPr>
      </w:r>
      <w:r w:rsidRPr="003F3E0B">
        <w:rPr>
          <w:noProof/>
        </w:rPr>
        <w:fldChar w:fldCharType="separate"/>
      </w:r>
      <w:r w:rsidR="005364D5">
        <w:rPr>
          <w:noProof/>
        </w:rPr>
        <w:t>27</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292—Excess non</w:t>
      </w:r>
      <w:r>
        <w:rPr>
          <w:noProof/>
        </w:rPr>
        <w:noBreakHyphen/>
        <w:t>concessional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_Toc64030330 \h </w:instrText>
      </w:r>
      <w:r w:rsidRPr="003F3E0B">
        <w:rPr>
          <w:b w:val="0"/>
          <w:noProof/>
          <w:sz w:val="18"/>
        </w:rPr>
      </w:r>
      <w:r w:rsidRPr="003F3E0B">
        <w:rPr>
          <w:b w:val="0"/>
          <w:noProof/>
          <w:sz w:val="18"/>
        </w:rPr>
        <w:fldChar w:fldCharType="separate"/>
      </w:r>
      <w:r w:rsidR="005364D5">
        <w:rPr>
          <w:b w:val="0"/>
          <w:noProof/>
          <w:sz w:val="18"/>
        </w:rPr>
        <w:t>29</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292</w:t>
      </w:r>
      <w:r w:rsidRPr="00C62C95">
        <w:rPr>
          <w:rFonts w:eastAsiaTheme="majorEastAsia"/>
          <w:noProof/>
        </w:rPr>
        <w:noBreakHyphen/>
        <w:t>C</w:t>
      </w:r>
      <w:r>
        <w:rPr>
          <w:noProof/>
        </w:rPr>
        <w:t>—</w:t>
      </w:r>
      <w:r w:rsidRPr="00C62C95">
        <w:rPr>
          <w:rFonts w:eastAsiaTheme="majorEastAsia"/>
          <w:noProof/>
        </w:rPr>
        <w:t>Excess non</w:t>
      </w:r>
      <w:r w:rsidRPr="00C62C95">
        <w:rPr>
          <w:rFonts w:eastAsiaTheme="majorEastAsia"/>
          <w:noProof/>
        </w:rPr>
        <w:noBreakHyphen/>
        <w:t>concessional contributions tax</w:t>
      </w:r>
      <w:r w:rsidRPr="003F3E0B">
        <w:rPr>
          <w:b w:val="0"/>
          <w:noProof/>
          <w:sz w:val="18"/>
        </w:rPr>
        <w:tab/>
      </w:r>
      <w:r w:rsidRPr="003F3E0B">
        <w:rPr>
          <w:b w:val="0"/>
          <w:noProof/>
          <w:sz w:val="18"/>
        </w:rPr>
        <w:fldChar w:fldCharType="begin"/>
      </w:r>
      <w:r w:rsidRPr="003F3E0B">
        <w:rPr>
          <w:b w:val="0"/>
          <w:noProof/>
          <w:sz w:val="18"/>
        </w:rPr>
        <w:instrText xml:space="preserve"> PAGEREF _Toc64030331 \h </w:instrText>
      </w:r>
      <w:r w:rsidRPr="003F3E0B">
        <w:rPr>
          <w:b w:val="0"/>
          <w:noProof/>
          <w:sz w:val="18"/>
        </w:rPr>
      </w:r>
      <w:r w:rsidRPr="003F3E0B">
        <w:rPr>
          <w:b w:val="0"/>
          <w:noProof/>
          <w:sz w:val="18"/>
        </w:rPr>
        <w:fldChar w:fldCharType="separate"/>
      </w:r>
      <w:r w:rsidR="005364D5">
        <w:rPr>
          <w:b w:val="0"/>
          <w:noProof/>
          <w:sz w:val="18"/>
        </w:rPr>
        <w:t>29</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292</w:t>
      </w:r>
      <w:r>
        <w:rPr>
          <w:noProof/>
        </w:rPr>
        <w:noBreakHyphen/>
        <w:t>90.01</w:t>
      </w:r>
      <w:r>
        <w:rPr>
          <w:noProof/>
        </w:rPr>
        <w:tab/>
        <w:t>Non</w:t>
      </w:r>
      <w:r>
        <w:rPr>
          <w:noProof/>
        </w:rPr>
        <w:noBreakHyphen/>
        <w:t>concessional contributions for a financial year</w:t>
      </w:r>
      <w:r w:rsidRPr="003F3E0B">
        <w:rPr>
          <w:noProof/>
        </w:rPr>
        <w:tab/>
      </w:r>
      <w:r w:rsidRPr="003F3E0B">
        <w:rPr>
          <w:noProof/>
        </w:rPr>
        <w:fldChar w:fldCharType="begin"/>
      </w:r>
      <w:r w:rsidRPr="003F3E0B">
        <w:rPr>
          <w:noProof/>
        </w:rPr>
        <w:instrText xml:space="preserve"> PAGEREF _Toc64030332 \h </w:instrText>
      </w:r>
      <w:r w:rsidRPr="003F3E0B">
        <w:rPr>
          <w:noProof/>
        </w:rPr>
      </w:r>
      <w:r w:rsidRPr="003F3E0B">
        <w:rPr>
          <w:noProof/>
        </w:rPr>
        <w:fldChar w:fldCharType="separate"/>
      </w:r>
      <w:r w:rsidR="005364D5">
        <w:rPr>
          <w:noProof/>
        </w:rPr>
        <w:t>29</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lastRenderedPageBreak/>
        <w:t>Division 293—Sustaining the superannuation contribution concession</w:t>
      </w:r>
      <w:r w:rsidRPr="003F3E0B">
        <w:rPr>
          <w:b w:val="0"/>
          <w:noProof/>
          <w:sz w:val="18"/>
        </w:rPr>
        <w:tab/>
      </w:r>
      <w:r w:rsidRPr="003F3E0B">
        <w:rPr>
          <w:b w:val="0"/>
          <w:noProof/>
          <w:sz w:val="18"/>
        </w:rPr>
        <w:fldChar w:fldCharType="begin"/>
      </w:r>
      <w:r w:rsidRPr="003F3E0B">
        <w:rPr>
          <w:b w:val="0"/>
          <w:noProof/>
          <w:sz w:val="18"/>
        </w:rPr>
        <w:instrText xml:space="preserve"> PAGEREF _Toc64030333 \h </w:instrText>
      </w:r>
      <w:r w:rsidRPr="003F3E0B">
        <w:rPr>
          <w:b w:val="0"/>
          <w:noProof/>
          <w:sz w:val="18"/>
        </w:rPr>
      </w:r>
      <w:r w:rsidRPr="003F3E0B">
        <w:rPr>
          <w:b w:val="0"/>
          <w:noProof/>
          <w:sz w:val="18"/>
        </w:rPr>
        <w:fldChar w:fldCharType="separate"/>
      </w:r>
      <w:r w:rsidR="005364D5">
        <w:rPr>
          <w:b w:val="0"/>
          <w:noProof/>
          <w:sz w:val="18"/>
        </w:rPr>
        <w:t>30</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293</w:t>
      </w:r>
      <w:r w:rsidRPr="00C62C95">
        <w:rPr>
          <w:rFonts w:eastAsiaTheme="majorEastAsia"/>
          <w:noProof/>
        </w:rPr>
        <w:noBreakHyphen/>
        <w:t>D</w:t>
      </w:r>
      <w:r>
        <w:rPr>
          <w:noProof/>
        </w:rPr>
        <w:t>—M</w:t>
      </w:r>
      <w:r w:rsidRPr="00C62C95">
        <w:rPr>
          <w:rFonts w:eastAsiaTheme="majorEastAsia"/>
          <w:noProof/>
        </w:rPr>
        <w:t>odifications for defined benefit interests</w:t>
      </w:r>
      <w:r w:rsidRPr="003F3E0B">
        <w:rPr>
          <w:b w:val="0"/>
          <w:noProof/>
          <w:sz w:val="18"/>
        </w:rPr>
        <w:tab/>
      </w:r>
      <w:r w:rsidRPr="003F3E0B">
        <w:rPr>
          <w:b w:val="0"/>
          <w:noProof/>
          <w:sz w:val="18"/>
        </w:rPr>
        <w:fldChar w:fldCharType="begin"/>
      </w:r>
      <w:r w:rsidRPr="003F3E0B">
        <w:rPr>
          <w:b w:val="0"/>
          <w:noProof/>
          <w:sz w:val="18"/>
        </w:rPr>
        <w:instrText xml:space="preserve"> PAGEREF _Toc64030334 \h </w:instrText>
      </w:r>
      <w:r w:rsidRPr="003F3E0B">
        <w:rPr>
          <w:b w:val="0"/>
          <w:noProof/>
          <w:sz w:val="18"/>
        </w:rPr>
      </w:r>
      <w:r w:rsidRPr="003F3E0B">
        <w:rPr>
          <w:b w:val="0"/>
          <w:noProof/>
          <w:sz w:val="18"/>
        </w:rPr>
        <w:fldChar w:fldCharType="separate"/>
      </w:r>
      <w:r w:rsidR="005364D5">
        <w:rPr>
          <w:b w:val="0"/>
          <w:noProof/>
          <w:sz w:val="18"/>
        </w:rPr>
        <w:t>30</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293</w:t>
      </w:r>
      <w:r>
        <w:rPr>
          <w:noProof/>
        </w:rPr>
        <w:noBreakHyphen/>
        <w:t>115.05</w:t>
      </w:r>
      <w:r>
        <w:rPr>
          <w:noProof/>
        </w:rPr>
        <w:tab/>
        <w:t>Preliminary</w:t>
      </w:r>
      <w:r w:rsidRPr="003F3E0B">
        <w:rPr>
          <w:noProof/>
        </w:rPr>
        <w:tab/>
      </w:r>
      <w:r w:rsidRPr="003F3E0B">
        <w:rPr>
          <w:noProof/>
        </w:rPr>
        <w:fldChar w:fldCharType="begin"/>
      </w:r>
      <w:r w:rsidRPr="003F3E0B">
        <w:rPr>
          <w:noProof/>
        </w:rPr>
        <w:instrText xml:space="preserve"> PAGEREF _Toc64030335 \h </w:instrText>
      </w:r>
      <w:r w:rsidRPr="003F3E0B">
        <w:rPr>
          <w:noProof/>
        </w:rPr>
      </w:r>
      <w:r w:rsidRPr="003F3E0B">
        <w:rPr>
          <w:noProof/>
        </w:rPr>
        <w:fldChar w:fldCharType="separate"/>
      </w:r>
      <w:r w:rsidR="005364D5">
        <w:rPr>
          <w:noProof/>
        </w:rPr>
        <w:t>30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293</w:t>
      </w:r>
      <w:r>
        <w:rPr>
          <w:noProof/>
        </w:rPr>
        <w:noBreakHyphen/>
        <w:t>115.10</w:t>
      </w:r>
      <w:r>
        <w:rPr>
          <w:noProof/>
        </w:rPr>
        <w:tab/>
        <w:t>Defined benefit contributions—non</w:t>
      </w:r>
      <w:r>
        <w:rPr>
          <w:noProof/>
        </w:rPr>
        <w:noBreakHyphen/>
        <w:t>accruing members</w:t>
      </w:r>
      <w:r w:rsidRPr="003F3E0B">
        <w:rPr>
          <w:noProof/>
        </w:rPr>
        <w:tab/>
      </w:r>
      <w:r w:rsidRPr="003F3E0B">
        <w:rPr>
          <w:noProof/>
        </w:rPr>
        <w:fldChar w:fldCharType="begin"/>
      </w:r>
      <w:r w:rsidRPr="003F3E0B">
        <w:rPr>
          <w:noProof/>
        </w:rPr>
        <w:instrText xml:space="preserve"> PAGEREF _Toc64030336 \h </w:instrText>
      </w:r>
      <w:r w:rsidRPr="003F3E0B">
        <w:rPr>
          <w:noProof/>
        </w:rPr>
      </w:r>
      <w:r w:rsidRPr="003F3E0B">
        <w:rPr>
          <w:noProof/>
        </w:rPr>
        <w:fldChar w:fldCharType="separate"/>
      </w:r>
      <w:r w:rsidR="005364D5">
        <w:rPr>
          <w:noProof/>
        </w:rPr>
        <w:t>30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293</w:t>
      </w:r>
      <w:r>
        <w:rPr>
          <w:noProof/>
        </w:rPr>
        <w:noBreakHyphen/>
        <w:t>115.15</w:t>
      </w:r>
      <w:r>
        <w:rPr>
          <w:noProof/>
        </w:rPr>
        <w:tab/>
        <w:t>Defined benefit contributions—accruing members with funded benefit interests</w:t>
      </w:r>
      <w:r w:rsidRPr="003F3E0B">
        <w:rPr>
          <w:noProof/>
        </w:rPr>
        <w:tab/>
      </w:r>
      <w:r w:rsidRPr="003F3E0B">
        <w:rPr>
          <w:noProof/>
        </w:rPr>
        <w:fldChar w:fldCharType="begin"/>
      </w:r>
      <w:r w:rsidRPr="003F3E0B">
        <w:rPr>
          <w:noProof/>
        </w:rPr>
        <w:instrText xml:space="preserve"> PAGEREF _Toc64030337 \h </w:instrText>
      </w:r>
      <w:r w:rsidRPr="003F3E0B">
        <w:rPr>
          <w:noProof/>
        </w:rPr>
      </w:r>
      <w:r w:rsidRPr="003F3E0B">
        <w:rPr>
          <w:noProof/>
        </w:rPr>
        <w:fldChar w:fldCharType="separate"/>
      </w:r>
      <w:r w:rsidR="005364D5">
        <w:rPr>
          <w:noProof/>
        </w:rPr>
        <w:t>30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293</w:t>
      </w:r>
      <w:r>
        <w:rPr>
          <w:noProof/>
        </w:rPr>
        <w:noBreakHyphen/>
        <w:t>115.20</w:t>
      </w:r>
      <w:r>
        <w:rPr>
          <w:noProof/>
        </w:rPr>
        <w:tab/>
        <w:t>Defined benefit contributions—accruing members with other interests</w:t>
      </w:r>
      <w:r w:rsidRPr="003F3E0B">
        <w:rPr>
          <w:noProof/>
        </w:rPr>
        <w:tab/>
      </w:r>
      <w:r w:rsidRPr="003F3E0B">
        <w:rPr>
          <w:noProof/>
        </w:rPr>
        <w:fldChar w:fldCharType="begin"/>
      </w:r>
      <w:r w:rsidRPr="003F3E0B">
        <w:rPr>
          <w:noProof/>
        </w:rPr>
        <w:instrText xml:space="preserve"> PAGEREF _Toc64030338 \h </w:instrText>
      </w:r>
      <w:r w:rsidRPr="003F3E0B">
        <w:rPr>
          <w:noProof/>
        </w:rPr>
      </w:r>
      <w:r w:rsidRPr="003F3E0B">
        <w:rPr>
          <w:noProof/>
        </w:rPr>
        <w:fldChar w:fldCharType="separate"/>
      </w:r>
      <w:r w:rsidR="005364D5">
        <w:rPr>
          <w:noProof/>
        </w:rPr>
        <w:t>31</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293</w:t>
      </w:r>
      <w:r w:rsidRPr="00C62C95">
        <w:rPr>
          <w:rFonts w:eastAsiaTheme="majorEastAsia"/>
          <w:noProof/>
        </w:rPr>
        <w:noBreakHyphen/>
        <w:t>E</w:t>
      </w:r>
      <w:r>
        <w:rPr>
          <w:noProof/>
        </w:rPr>
        <w:t>—</w:t>
      </w:r>
      <w:r w:rsidRPr="00C62C95">
        <w:rPr>
          <w:rFonts w:eastAsiaTheme="majorEastAsia"/>
          <w:noProof/>
        </w:rPr>
        <w:t>Modifications for constitutionally protected State higher level office holders</w:t>
      </w:r>
      <w:r w:rsidRPr="003F3E0B">
        <w:rPr>
          <w:b w:val="0"/>
          <w:noProof/>
          <w:sz w:val="18"/>
        </w:rPr>
        <w:tab/>
      </w:r>
      <w:r w:rsidRPr="003F3E0B">
        <w:rPr>
          <w:b w:val="0"/>
          <w:noProof/>
          <w:sz w:val="18"/>
        </w:rPr>
        <w:fldChar w:fldCharType="begin"/>
      </w:r>
      <w:r w:rsidRPr="003F3E0B">
        <w:rPr>
          <w:b w:val="0"/>
          <w:noProof/>
          <w:sz w:val="18"/>
        </w:rPr>
        <w:instrText xml:space="preserve"> PAGEREF _Toc64030339 \h </w:instrText>
      </w:r>
      <w:r w:rsidRPr="003F3E0B">
        <w:rPr>
          <w:b w:val="0"/>
          <w:noProof/>
          <w:sz w:val="18"/>
        </w:rPr>
      </w:r>
      <w:r w:rsidRPr="003F3E0B">
        <w:rPr>
          <w:b w:val="0"/>
          <w:noProof/>
          <w:sz w:val="18"/>
        </w:rPr>
        <w:fldChar w:fldCharType="separate"/>
      </w:r>
      <w:r w:rsidR="005364D5">
        <w:rPr>
          <w:b w:val="0"/>
          <w:noProof/>
          <w:sz w:val="18"/>
        </w:rPr>
        <w:t>31</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293</w:t>
      </w:r>
      <w:r>
        <w:rPr>
          <w:noProof/>
        </w:rPr>
        <w:noBreakHyphen/>
        <w:t>145.01</w:t>
      </w:r>
      <w:r>
        <w:rPr>
          <w:noProof/>
        </w:rPr>
        <w:tab/>
        <w:t>Constitutionally protected State higher level office holders</w:t>
      </w:r>
      <w:r w:rsidRPr="003F3E0B">
        <w:rPr>
          <w:noProof/>
        </w:rPr>
        <w:tab/>
      </w:r>
      <w:r w:rsidRPr="003F3E0B">
        <w:rPr>
          <w:noProof/>
        </w:rPr>
        <w:fldChar w:fldCharType="begin"/>
      </w:r>
      <w:r w:rsidRPr="003F3E0B">
        <w:rPr>
          <w:noProof/>
        </w:rPr>
        <w:instrText xml:space="preserve"> PAGEREF _Toc64030340 \h </w:instrText>
      </w:r>
      <w:r w:rsidRPr="003F3E0B">
        <w:rPr>
          <w:noProof/>
        </w:rPr>
      </w:r>
      <w:r w:rsidRPr="003F3E0B">
        <w:rPr>
          <w:noProof/>
        </w:rPr>
        <w:fldChar w:fldCharType="separate"/>
      </w:r>
      <w:r w:rsidR="005364D5">
        <w:rPr>
          <w:noProof/>
        </w:rPr>
        <w:t>31</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294—Transfer balance cap</w:t>
      </w:r>
      <w:r w:rsidRPr="003F3E0B">
        <w:rPr>
          <w:b w:val="0"/>
          <w:noProof/>
          <w:sz w:val="18"/>
        </w:rPr>
        <w:tab/>
      </w:r>
      <w:r w:rsidRPr="003F3E0B">
        <w:rPr>
          <w:b w:val="0"/>
          <w:noProof/>
          <w:sz w:val="18"/>
        </w:rPr>
        <w:fldChar w:fldCharType="begin"/>
      </w:r>
      <w:r w:rsidRPr="003F3E0B">
        <w:rPr>
          <w:b w:val="0"/>
          <w:noProof/>
          <w:sz w:val="18"/>
        </w:rPr>
        <w:instrText xml:space="preserve"> PAGEREF _Toc64030341 \h </w:instrText>
      </w:r>
      <w:r w:rsidRPr="003F3E0B">
        <w:rPr>
          <w:b w:val="0"/>
          <w:noProof/>
          <w:sz w:val="18"/>
        </w:rPr>
      </w:r>
      <w:r w:rsidRPr="003F3E0B">
        <w:rPr>
          <w:b w:val="0"/>
          <w:noProof/>
          <w:sz w:val="18"/>
        </w:rPr>
        <w:fldChar w:fldCharType="separate"/>
      </w:r>
      <w:r w:rsidR="005364D5">
        <w:rPr>
          <w:b w:val="0"/>
          <w:noProof/>
          <w:sz w:val="18"/>
        </w:rPr>
        <w:t>32</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294</w:t>
      </w:r>
      <w:r>
        <w:rPr>
          <w:noProof/>
        </w:rPr>
        <w:noBreakHyphen/>
        <w:t>B—Transfer balance account</w:t>
      </w:r>
      <w:r w:rsidRPr="003F3E0B">
        <w:rPr>
          <w:b w:val="0"/>
          <w:noProof/>
          <w:sz w:val="18"/>
        </w:rPr>
        <w:tab/>
      </w:r>
      <w:r w:rsidRPr="003F3E0B">
        <w:rPr>
          <w:b w:val="0"/>
          <w:noProof/>
          <w:sz w:val="18"/>
        </w:rPr>
        <w:fldChar w:fldCharType="begin"/>
      </w:r>
      <w:r w:rsidRPr="003F3E0B">
        <w:rPr>
          <w:b w:val="0"/>
          <w:noProof/>
          <w:sz w:val="18"/>
        </w:rPr>
        <w:instrText xml:space="preserve"> PAGEREF _Toc64030342 \h </w:instrText>
      </w:r>
      <w:r w:rsidRPr="003F3E0B">
        <w:rPr>
          <w:b w:val="0"/>
          <w:noProof/>
          <w:sz w:val="18"/>
        </w:rPr>
      </w:r>
      <w:r w:rsidRPr="003F3E0B">
        <w:rPr>
          <w:b w:val="0"/>
          <w:noProof/>
          <w:sz w:val="18"/>
        </w:rPr>
        <w:fldChar w:fldCharType="separate"/>
      </w:r>
      <w:r w:rsidR="005364D5">
        <w:rPr>
          <w:b w:val="0"/>
          <w:noProof/>
          <w:sz w:val="18"/>
        </w:rPr>
        <w:t>32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25.01</w:t>
      </w:r>
      <w:r>
        <w:rPr>
          <w:noProof/>
        </w:rPr>
        <w:tab/>
        <w:t>Credit in transfer balance account—payment of consideration for interest supporting deferred superannuation income stream</w:t>
      </w:r>
      <w:r w:rsidRPr="003F3E0B">
        <w:rPr>
          <w:noProof/>
        </w:rPr>
        <w:tab/>
      </w:r>
      <w:r w:rsidRPr="003F3E0B">
        <w:rPr>
          <w:noProof/>
        </w:rPr>
        <w:fldChar w:fldCharType="begin"/>
      </w:r>
      <w:r w:rsidRPr="003F3E0B">
        <w:rPr>
          <w:noProof/>
        </w:rPr>
        <w:instrText xml:space="preserve"> PAGEREF _Toc64030343 \h </w:instrText>
      </w:r>
      <w:r w:rsidRPr="003F3E0B">
        <w:rPr>
          <w:noProof/>
        </w:rPr>
      </w:r>
      <w:r w:rsidRPr="003F3E0B">
        <w:rPr>
          <w:noProof/>
        </w:rPr>
        <w:fldChar w:fldCharType="separate"/>
      </w:r>
      <w:r w:rsidR="005364D5">
        <w:rPr>
          <w:noProof/>
        </w:rPr>
        <w:t>32</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294</w:t>
      </w:r>
      <w:r>
        <w:rPr>
          <w:noProof/>
        </w:rPr>
        <w:noBreakHyphen/>
        <w:t>C—Transfer balance debits</w:t>
      </w:r>
      <w:r w:rsidRPr="003F3E0B">
        <w:rPr>
          <w:b w:val="0"/>
          <w:noProof/>
          <w:sz w:val="18"/>
        </w:rPr>
        <w:tab/>
      </w:r>
      <w:r w:rsidRPr="003F3E0B">
        <w:rPr>
          <w:b w:val="0"/>
          <w:noProof/>
          <w:sz w:val="18"/>
        </w:rPr>
        <w:fldChar w:fldCharType="begin"/>
      </w:r>
      <w:r w:rsidRPr="003F3E0B">
        <w:rPr>
          <w:b w:val="0"/>
          <w:noProof/>
          <w:sz w:val="18"/>
        </w:rPr>
        <w:instrText xml:space="preserve"> PAGEREF _Toc64030344 \h </w:instrText>
      </w:r>
      <w:r w:rsidRPr="003F3E0B">
        <w:rPr>
          <w:b w:val="0"/>
          <w:noProof/>
          <w:sz w:val="18"/>
        </w:rPr>
      </w:r>
      <w:r w:rsidRPr="003F3E0B">
        <w:rPr>
          <w:b w:val="0"/>
          <w:noProof/>
          <w:sz w:val="18"/>
        </w:rPr>
        <w:fldChar w:fldCharType="separate"/>
      </w:r>
      <w:r w:rsidR="005364D5">
        <w:rPr>
          <w:b w:val="0"/>
          <w:noProof/>
          <w:sz w:val="18"/>
        </w:rPr>
        <w:t>32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80.01</w:t>
      </w:r>
      <w:r>
        <w:rPr>
          <w:noProof/>
        </w:rPr>
        <w:tab/>
        <w:t>Debit in transfer balance account—reduction in amount of superannuation income stream benefit</w:t>
      </w:r>
      <w:r w:rsidRPr="003F3E0B">
        <w:rPr>
          <w:noProof/>
        </w:rPr>
        <w:tab/>
      </w:r>
      <w:r w:rsidRPr="003F3E0B">
        <w:rPr>
          <w:noProof/>
        </w:rPr>
        <w:fldChar w:fldCharType="begin"/>
      </w:r>
      <w:r w:rsidRPr="003F3E0B">
        <w:rPr>
          <w:noProof/>
        </w:rPr>
        <w:instrText xml:space="preserve"> PAGEREF _Toc64030345 \h </w:instrText>
      </w:r>
      <w:r w:rsidRPr="003F3E0B">
        <w:rPr>
          <w:noProof/>
        </w:rPr>
      </w:r>
      <w:r w:rsidRPr="003F3E0B">
        <w:rPr>
          <w:noProof/>
        </w:rPr>
        <w:fldChar w:fldCharType="separate"/>
      </w:r>
      <w:r w:rsidR="005364D5">
        <w:rPr>
          <w:noProof/>
        </w:rPr>
        <w:t>32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80.02</w:t>
      </w:r>
      <w:r>
        <w:rPr>
          <w:noProof/>
        </w:rPr>
        <w:tab/>
        <w:t>Debit in transfer balance account—reduction in amount of superannuation income stream benefit</w:t>
      </w:r>
      <w:r w:rsidRPr="003F3E0B">
        <w:rPr>
          <w:noProof/>
        </w:rPr>
        <w:tab/>
      </w:r>
      <w:r w:rsidRPr="003F3E0B">
        <w:rPr>
          <w:noProof/>
        </w:rPr>
        <w:fldChar w:fldCharType="begin"/>
      </w:r>
      <w:r w:rsidRPr="003F3E0B">
        <w:rPr>
          <w:noProof/>
        </w:rPr>
        <w:instrText xml:space="preserve"> PAGEREF _Toc64030346 \h </w:instrText>
      </w:r>
      <w:r w:rsidRPr="003F3E0B">
        <w:rPr>
          <w:noProof/>
        </w:rPr>
      </w:r>
      <w:r w:rsidRPr="003F3E0B">
        <w:rPr>
          <w:noProof/>
        </w:rPr>
        <w:fldChar w:fldCharType="separate"/>
      </w:r>
      <w:r w:rsidR="005364D5">
        <w:rPr>
          <w:noProof/>
        </w:rPr>
        <w:t>33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80.03</w:t>
      </w:r>
      <w:r>
        <w:rPr>
          <w:noProof/>
        </w:rPr>
        <w:tab/>
        <w:t>Debit in transfer balance account—certain items of table in subsection 294</w:t>
      </w:r>
      <w:r>
        <w:rPr>
          <w:noProof/>
        </w:rPr>
        <w:noBreakHyphen/>
        <w:t>80(1) of the Act do not apply to certain superannuation income streams</w:t>
      </w:r>
      <w:r w:rsidRPr="003F3E0B">
        <w:rPr>
          <w:noProof/>
        </w:rPr>
        <w:tab/>
      </w:r>
      <w:r w:rsidRPr="003F3E0B">
        <w:rPr>
          <w:noProof/>
        </w:rPr>
        <w:fldChar w:fldCharType="begin"/>
      </w:r>
      <w:r w:rsidRPr="003F3E0B">
        <w:rPr>
          <w:noProof/>
        </w:rPr>
        <w:instrText xml:space="preserve"> PAGEREF _Toc64030347 \h </w:instrText>
      </w:r>
      <w:r w:rsidRPr="003F3E0B">
        <w:rPr>
          <w:noProof/>
        </w:rPr>
      </w:r>
      <w:r w:rsidRPr="003F3E0B">
        <w:rPr>
          <w:noProof/>
        </w:rPr>
        <w:fldChar w:fldCharType="separate"/>
      </w:r>
      <w:r w:rsidR="005364D5">
        <w:rPr>
          <w:noProof/>
        </w:rPr>
        <w:t>33</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294</w:t>
      </w:r>
      <w:r w:rsidRPr="00C62C95">
        <w:rPr>
          <w:rFonts w:eastAsiaTheme="majorEastAsia"/>
          <w:noProof/>
        </w:rPr>
        <w:noBreakHyphen/>
        <w:t>D</w:t>
      </w:r>
      <w:r>
        <w:rPr>
          <w:noProof/>
        </w:rPr>
        <w:t>—</w:t>
      </w:r>
      <w:r w:rsidRPr="00C62C95">
        <w:rPr>
          <w:rFonts w:eastAsiaTheme="majorEastAsia"/>
          <w:noProof/>
        </w:rPr>
        <w:t>Modifications for certain defined benefit income streams</w:t>
      </w:r>
      <w:r w:rsidRPr="003F3E0B">
        <w:rPr>
          <w:b w:val="0"/>
          <w:noProof/>
          <w:sz w:val="18"/>
        </w:rPr>
        <w:tab/>
      </w:r>
      <w:r w:rsidRPr="003F3E0B">
        <w:rPr>
          <w:b w:val="0"/>
          <w:noProof/>
          <w:sz w:val="18"/>
        </w:rPr>
        <w:fldChar w:fldCharType="begin"/>
      </w:r>
      <w:r w:rsidRPr="003F3E0B">
        <w:rPr>
          <w:b w:val="0"/>
          <w:noProof/>
          <w:sz w:val="18"/>
        </w:rPr>
        <w:instrText xml:space="preserve"> PAGEREF _Toc64030348 \h </w:instrText>
      </w:r>
      <w:r w:rsidRPr="003F3E0B">
        <w:rPr>
          <w:b w:val="0"/>
          <w:noProof/>
          <w:sz w:val="18"/>
        </w:rPr>
      </w:r>
      <w:r w:rsidRPr="003F3E0B">
        <w:rPr>
          <w:b w:val="0"/>
          <w:noProof/>
          <w:sz w:val="18"/>
        </w:rPr>
        <w:fldChar w:fldCharType="separate"/>
      </w:r>
      <w:r w:rsidR="005364D5">
        <w:rPr>
          <w:b w:val="0"/>
          <w:noProof/>
          <w:sz w:val="18"/>
        </w:rPr>
        <w:t>33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130.01</w:t>
      </w:r>
      <w:r>
        <w:rPr>
          <w:noProof/>
        </w:rPr>
        <w:tab/>
        <w:t>Meaning of capped defined benefit income stream</w:t>
      </w:r>
      <w:r w:rsidRPr="003F3E0B">
        <w:rPr>
          <w:noProof/>
        </w:rPr>
        <w:tab/>
      </w:r>
      <w:r w:rsidRPr="003F3E0B">
        <w:rPr>
          <w:noProof/>
        </w:rPr>
        <w:fldChar w:fldCharType="begin"/>
      </w:r>
      <w:r w:rsidRPr="003F3E0B">
        <w:rPr>
          <w:noProof/>
        </w:rPr>
        <w:instrText xml:space="preserve"> PAGEREF _Toc64030349 \h </w:instrText>
      </w:r>
      <w:r w:rsidRPr="003F3E0B">
        <w:rPr>
          <w:noProof/>
        </w:rPr>
      </w:r>
      <w:r w:rsidRPr="003F3E0B">
        <w:rPr>
          <w:noProof/>
        </w:rPr>
        <w:fldChar w:fldCharType="separate"/>
      </w:r>
      <w:r w:rsidR="005364D5">
        <w:rPr>
          <w:noProof/>
        </w:rPr>
        <w:t>33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135.01</w:t>
      </w:r>
      <w:r>
        <w:rPr>
          <w:noProof/>
        </w:rPr>
        <w:tab/>
        <w:t>Transfer balance credit—determining special value of a superannuation interest</w:t>
      </w:r>
      <w:r w:rsidRPr="003F3E0B">
        <w:rPr>
          <w:noProof/>
        </w:rPr>
        <w:tab/>
      </w:r>
      <w:r w:rsidRPr="003F3E0B">
        <w:rPr>
          <w:noProof/>
        </w:rPr>
        <w:fldChar w:fldCharType="begin"/>
      </w:r>
      <w:r w:rsidRPr="003F3E0B">
        <w:rPr>
          <w:noProof/>
        </w:rPr>
        <w:instrText xml:space="preserve"> PAGEREF _Toc64030350 \h </w:instrText>
      </w:r>
      <w:r w:rsidRPr="003F3E0B">
        <w:rPr>
          <w:noProof/>
        </w:rPr>
      </w:r>
      <w:r w:rsidRPr="003F3E0B">
        <w:rPr>
          <w:noProof/>
        </w:rPr>
        <w:fldChar w:fldCharType="separate"/>
      </w:r>
      <w:r w:rsidR="005364D5">
        <w:rPr>
          <w:noProof/>
        </w:rPr>
        <w:t>35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294</w:t>
      </w:r>
      <w:r>
        <w:rPr>
          <w:noProof/>
        </w:rPr>
        <w:noBreakHyphen/>
        <w:t>145.01</w:t>
      </w:r>
      <w:r>
        <w:rPr>
          <w:noProof/>
        </w:rPr>
        <w:tab/>
        <w:t>Transfer balance debits—determining debit value of a superannuation interest</w:t>
      </w:r>
      <w:r w:rsidRPr="003F3E0B">
        <w:rPr>
          <w:noProof/>
        </w:rPr>
        <w:tab/>
      </w:r>
      <w:r w:rsidRPr="003F3E0B">
        <w:rPr>
          <w:noProof/>
        </w:rPr>
        <w:fldChar w:fldCharType="begin"/>
      </w:r>
      <w:r w:rsidRPr="003F3E0B">
        <w:rPr>
          <w:noProof/>
        </w:rPr>
        <w:instrText xml:space="preserve"> PAGEREF _Toc64030351 \h </w:instrText>
      </w:r>
      <w:r w:rsidRPr="003F3E0B">
        <w:rPr>
          <w:noProof/>
        </w:rPr>
      </w:r>
      <w:r w:rsidRPr="003F3E0B">
        <w:rPr>
          <w:noProof/>
        </w:rPr>
        <w:fldChar w:fldCharType="separate"/>
      </w:r>
      <w:r w:rsidR="005364D5">
        <w:rPr>
          <w:noProof/>
        </w:rPr>
        <w:t>35</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295</w:t>
      </w:r>
      <w:r w:rsidRPr="00C62C95">
        <w:rPr>
          <w:noProof/>
          <w:color w:val="000000"/>
        </w:rPr>
        <w:t>—</w:t>
      </w:r>
      <w:r>
        <w:rPr>
          <w:noProof/>
        </w:rPr>
        <w:t>Taxation of superannuation entities</w:t>
      </w:r>
      <w:r w:rsidRPr="003F3E0B">
        <w:rPr>
          <w:b w:val="0"/>
          <w:noProof/>
          <w:sz w:val="18"/>
        </w:rPr>
        <w:tab/>
      </w:r>
      <w:r w:rsidRPr="003F3E0B">
        <w:rPr>
          <w:b w:val="0"/>
          <w:noProof/>
          <w:sz w:val="18"/>
        </w:rPr>
        <w:fldChar w:fldCharType="begin"/>
      </w:r>
      <w:r w:rsidRPr="003F3E0B">
        <w:rPr>
          <w:b w:val="0"/>
          <w:noProof/>
          <w:sz w:val="18"/>
        </w:rPr>
        <w:instrText xml:space="preserve"> PAGEREF _Toc64030352 \h </w:instrText>
      </w:r>
      <w:r w:rsidRPr="003F3E0B">
        <w:rPr>
          <w:b w:val="0"/>
          <w:noProof/>
          <w:sz w:val="18"/>
        </w:rPr>
      </w:r>
      <w:r w:rsidRPr="003F3E0B">
        <w:rPr>
          <w:b w:val="0"/>
          <w:noProof/>
          <w:sz w:val="18"/>
        </w:rPr>
        <w:fldChar w:fldCharType="separate"/>
      </w:r>
      <w:r w:rsidR="005364D5">
        <w:rPr>
          <w:b w:val="0"/>
          <w:noProof/>
          <w:sz w:val="18"/>
        </w:rPr>
        <w:t>37</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295</w:t>
      </w:r>
      <w:r w:rsidRPr="00C62C95">
        <w:rPr>
          <w:rFonts w:eastAsiaTheme="majorEastAsia"/>
          <w:noProof/>
        </w:rPr>
        <w:noBreakHyphen/>
        <w:t>D</w:t>
      </w:r>
      <w:r>
        <w:rPr>
          <w:noProof/>
        </w:rPr>
        <w:t>—</w:t>
      </w:r>
      <w:r w:rsidRPr="00C62C95">
        <w:rPr>
          <w:rFonts w:eastAsiaTheme="majorEastAsia"/>
          <w:noProof/>
        </w:rPr>
        <w:t>Contributions excluded</w:t>
      </w:r>
      <w:r w:rsidRPr="003F3E0B">
        <w:rPr>
          <w:b w:val="0"/>
          <w:noProof/>
          <w:sz w:val="18"/>
        </w:rPr>
        <w:tab/>
      </w:r>
      <w:r w:rsidRPr="003F3E0B">
        <w:rPr>
          <w:b w:val="0"/>
          <w:noProof/>
          <w:sz w:val="18"/>
        </w:rPr>
        <w:fldChar w:fldCharType="begin"/>
      </w:r>
      <w:r w:rsidRPr="003F3E0B">
        <w:rPr>
          <w:b w:val="0"/>
          <w:noProof/>
          <w:sz w:val="18"/>
        </w:rPr>
        <w:instrText xml:space="preserve"> PAGEREF _Toc64030353 \h </w:instrText>
      </w:r>
      <w:r w:rsidRPr="003F3E0B">
        <w:rPr>
          <w:b w:val="0"/>
          <w:noProof/>
          <w:sz w:val="18"/>
        </w:rPr>
      </w:r>
      <w:r w:rsidRPr="003F3E0B">
        <w:rPr>
          <w:b w:val="0"/>
          <w:noProof/>
          <w:sz w:val="18"/>
        </w:rPr>
        <w:fldChar w:fldCharType="separate"/>
      </w:r>
      <w:r w:rsidR="005364D5">
        <w:rPr>
          <w:b w:val="0"/>
          <w:noProof/>
          <w:sz w:val="18"/>
        </w:rPr>
        <w:t>37</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sidRPr="00C62C95">
        <w:rPr>
          <w:rFonts w:eastAsia="MS Mincho"/>
          <w:noProof/>
        </w:rPr>
        <w:t>295</w:t>
      </w:r>
      <w:r w:rsidRPr="00C62C95">
        <w:rPr>
          <w:rFonts w:eastAsia="MS Mincho"/>
          <w:noProof/>
        </w:rPr>
        <w:noBreakHyphen/>
        <w:t>265.01</w:t>
      </w:r>
      <w:r>
        <w:rPr>
          <w:rFonts w:eastAsia="MS Mincho"/>
          <w:noProof/>
        </w:rPr>
        <w:tab/>
      </w:r>
      <w:r w:rsidRPr="00C62C95">
        <w:rPr>
          <w:rFonts w:eastAsia="MS Mincho"/>
          <w:noProof/>
        </w:rPr>
        <w:t>Application of pre</w:t>
      </w:r>
      <w:r w:rsidRPr="00C62C95">
        <w:rPr>
          <w:rFonts w:eastAsia="MS Mincho"/>
          <w:noProof/>
        </w:rPr>
        <w:noBreakHyphen/>
        <w:t>1 July 88 funding credits—limit on choice</w:t>
      </w:r>
      <w:r w:rsidRPr="003F3E0B">
        <w:rPr>
          <w:noProof/>
        </w:rPr>
        <w:tab/>
      </w:r>
      <w:r w:rsidRPr="003F3E0B">
        <w:rPr>
          <w:noProof/>
        </w:rPr>
        <w:fldChar w:fldCharType="begin"/>
      </w:r>
      <w:r w:rsidRPr="003F3E0B">
        <w:rPr>
          <w:noProof/>
        </w:rPr>
        <w:instrText xml:space="preserve"> PAGEREF _Toc64030354 \h </w:instrText>
      </w:r>
      <w:r w:rsidRPr="003F3E0B">
        <w:rPr>
          <w:noProof/>
        </w:rPr>
      </w:r>
      <w:r w:rsidRPr="003F3E0B">
        <w:rPr>
          <w:noProof/>
        </w:rPr>
        <w:fldChar w:fldCharType="separate"/>
      </w:r>
      <w:r w:rsidR="005364D5">
        <w:rPr>
          <w:noProof/>
        </w:rPr>
        <w:t>37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sidRPr="00C62C95">
        <w:rPr>
          <w:rFonts w:eastAsia="MS Mincho"/>
          <w:noProof/>
        </w:rPr>
        <w:t>295</w:t>
      </w:r>
      <w:r w:rsidRPr="00C62C95">
        <w:rPr>
          <w:rFonts w:eastAsia="MS Mincho"/>
          <w:noProof/>
        </w:rPr>
        <w:noBreakHyphen/>
        <w:t>265.02</w:t>
      </w:r>
      <w:r>
        <w:rPr>
          <w:rFonts w:eastAsia="MS Mincho"/>
          <w:noProof/>
        </w:rPr>
        <w:tab/>
      </w:r>
      <w:r w:rsidRPr="00C62C95">
        <w:rPr>
          <w:rFonts w:eastAsia="MS Mincho"/>
          <w:noProof/>
        </w:rPr>
        <w:t>Method 1—Funding credit valuation process</w:t>
      </w:r>
      <w:r w:rsidRPr="003F3E0B">
        <w:rPr>
          <w:noProof/>
        </w:rPr>
        <w:tab/>
      </w:r>
      <w:r w:rsidRPr="003F3E0B">
        <w:rPr>
          <w:noProof/>
        </w:rPr>
        <w:fldChar w:fldCharType="begin"/>
      </w:r>
      <w:r w:rsidRPr="003F3E0B">
        <w:rPr>
          <w:noProof/>
        </w:rPr>
        <w:instrText xml:space="preserve"> PAGEREF _Toc64030355 \h </w:instrText>
      </w:r>
      <w:r w:rsidRPr="003F3E0B">
        <w:rPr>
          <w:noProof/>
        </w:rPr>
      </w:r>
      <w:r w:rsidRPr="003F3E0B">
        <w:rPr>
          <w:noProof/>
        </w:rPr>
        <w:fldChar w:fldCharType="separate"/>
      </w:r>
      <w:r w:rsidR="005364D5">
        <w:rPr>
          <w:noProof/>
        </w:rPr>
        <w:t>38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sidRPr="00C62C95">
        <w:rPr>
          <w:rFonts w:eastAsia="MS Mincho"/>
          <w:noProof/>
        </w:rPr>
        <w:t>295</w:t>
      </w:r>
      <w:r w:rsidRPr="00C62C95">
        <w:rPr>
          <w:rFonts w:eastAsia="MS Mincho"/>
          <w:noProof/>
        </w:rPr>
        <w:noBreakHyphen/>
        <w:t>265.03</w:t>
      </w:r>
      <w:r>
        <w:rPr>
          <w:rFonts w:eastAsia="MS Mincho"/>
          <w:noProof/>
        </w:rPr>
        <w:tab/>
      </w:r>
      <w:r w:rsidRPr="00C62C95">
        <w:rPr>
          <w:rFonts w:eastAsia="MS Mincho"/>
          <w:noProof/>
        </w:rPr>
        <w:t>How to calculate the discounted present value of liabilities for step 1 of method 1</w:t>
      </w:r>
      <w:r w:rsidRPr="003F3E0B">
        <w:rPr>
          <w:noProof/>
        </w:rPr>
        <w:tab/>
      </w:r>
      <w:r w:rsidRPr="003F3E0B">
        <w:rPr>
          <w:noProof/>
        </w:rPr>
        <w:fldChar w:fldCharType="begin"/>
      </w:r>
      <w:r w:rsidRPr="003F3E0B">
        <w:rPr>
          <w:noProof/>
        </w:rPr>
        <w:instrText xml:space="preserve"> PAGEREF _Toc64030356 \h </w:instrText>
      </w:r>
      <w:r w:rsidRPr="003F3E0B">
        <w:rPr>
          <w:noProof/>
        </w:rPr>
      </w:r>
      <w:r w:rsidRPr="003F3E0B">
        <w:rPr>
          <w:noProof/>
        </w:rPr>
        <w:fldChar w:fldCharType="separate"/>
      </w:r>
      <w:r w:rsidR="005364D5">
        <w:rPr>
          <w:noProof/>
        </w:rPr>
        <w:t>39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sidRPr="00C62C95">
        <w:rPr>
          <w:rFonts w:eastAsia="MS Mincho"/>
          <w:noProof/>
        </w:rPr>
        <w:t>295</w:t>
      </w:r>
      <w:r w:rsidRPr="00C62C95">
        <w:rPr>
          <w:rFonts w:eastAsia="MS Mincho"/>
          <w:noProof/>
        </w:rPr>
        <w:noBreakHyphen/>
        <w:t>265.04</w:t>
      </w:r>
      <w:r>
        <w:rPr>
          <w:rFonts w:eastAsia="MS Mincho"/>
          <w:noProof/>
        </w:rPr>
        <w:tab/>
      </w:r>
      <w:r w:rsidRPr="00C62C95">
        <w:rPr>
          <w:rFonts w:eastAsia="MS Mincho"/>
          <w:noProof/>
        </w:rPr>
        <w:t xml:space="preserve">How to calculate the </w:t>
      </w:r>
      <w:r w:rsidRPr="00C62C95">
        <w:rPr>
          <w:rFonts w:eastAsia="MS Mincho"/>
          <w:noProof/>
          <w:lang w:eastAsia="en-US"/>
        </w:rPr>
        <w:t>assets available to fund pre</w:t>
      </w:r>
      <w:r w:rsidRPr="00C62C95">
        <w:rPr>
          <w:rFonts w:eastAsia="MS Mincho"/>
          <w:noProof/>
          <w:lang w:eastAsia="en-US"/>
        </w:rPr>
        <w:noBreakHyphen/>
        <w:t xml:space="preserve">1 July 88 liabilities </w:t>
      </w:r>
      <w:r w:rsidRPr="00C62C95">
        <w:rPr>
          <w:rFonts w:eastAsia="MS Mincho"/>
          <w:noProof/>
        </w:rPr>
        <w:t>for step 2 of method 1</w:t>
      </w:r>
      <w:r w:rsidRPr="003F3E0B">
        <w:rPr>
          <w:noProof/>
        </w:rPr>
        <w:tab/>
      </w:r>
      <w:r w:rsidRPr="003F3E0B">
        <w:rPr>
          <w:noProof/>
        </w:rPr>
        <w:fldChar w:fldCharType="begin"/>
      </w:r>
      <w:r w:rsidRPr="003F3E0B">
        <w:rPr>
          <w:noProof/>
        </w:rPr>
        <w:instrText xml:space="preserve"> PAGEREF _Toc64030357 \h </w:instrText>
      </w:r>
      <w:r w:rsidRPr="003F3E0B">
        <w:rPr>
          <w:noProof/>
        </w:rPr>
      </w:r>
      <w:r w:rsidRPr="003F3E0B">
        <w:rPr>
          <w:noProof/>
        </w:rPr>
        <w:fldChar w:fldCharType="separate"/>
      </w:r>
      <w:r w:rsidR="005364D5">
        <w:rPr>
          <w:noProof/>
        </w:rPr>
        <w:t>40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sidRPr="00C62C95">
        <w:rPr>
          <w:rFonts w:eastAsia="MS Mincho"/>
          <w:noProof/>
        </w:rPr>
        <w:t>295</w:t>
      </w:r>
      <w:r w:rsidRPr="00C62C95">
        <w:rPr>
          <w:rFonts w:eastAsia="MS Mincho"/>
          <w:noProof/>
        </w:rPr>
        <w:noBreakHyphen/>
        <w:t>265.05</w:t>
      </w:r>
      <w:r>
        <w:rPr>
          <w:rFonts w:eastAsia="MS Mincho"/>
          <w:noProof/>
        </w:rPr>
        <w:tab/>
      </w:r>
      <w:r>
        <w:rPr>
          <w:noProof/>
        </w:rPr>
        <w:t>Method 2—Notionally updated funding credit valuation process</w:t>
      </w:r>
      <w:r w:rsidRPr="003F3E0B">
        <w:rPr>
          <w:noProof/>
        </w:rPr>
        <w:tab/>
      </w:r>
      <w:r w:rsidRPr="003F3E0B">
        <w:rPr>
          <w:noProof/>
        </w:rPr>
        <w:fldChar w:fldCharType="begin"/>
      </w:r>
      <w:r w:rsidRPr="003F3E0B">
        <w:rPr>
          <w:noProof/>
        </w:rPr>
        <w:instrText xml:space="preserve"> PAGEREF _Toc64030358 \h </w:instrText>
      </w:r>
      <w:r w:rsidRPr="003F3E0B">
        <w:rPr>
          <w:noProof/>
        </w:rPr>
      </w:r>
      <w:r w:rsidRPr="003F3E0B">
        <w:rPr>
          <w:noProof/>
        </w:rPr>
        <w:fldChar w:fldCharType="separate"/>
      </w:r>
      <w:r w:rsidR="005364D5">
        <w:rPr>
          <w:noProof/>
        </w:rPr>
        <w:t>40</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295</w:t>
      </w:r>
      <w:r w:rsidRPr="00C62C95">
        <w:rPr>
          <w:rFonts w:eastAsiaTheme="majorEastAsia"/>
          <w:noProof/>
        </w:rPr>
        <w:noBreakHyphen/>
        <w:t>F</w:t>
      </w:r>
      <w:r>
        <w:rPr>
          <w:noProof/>
        </w:rPr>
        <w:t>—</w:t>
      </w:r>
      <w:r w:rsidRPr="00C62C95">
        <w:rPr>
          <w:rFonts w:eastAsiaTheme="majorEastAsia"/>
          <w:noProof/>
        </w:rPr>
        <w:t>Exempt income</w:t>
      </w:r>
      <w:r w:rsidRPr="003F3E0B">
        <w:rPr>
          <w:b w:val="0"/>
          <w:noProof/>
          <w:sz w:val="18"/>
        </w:rPr>
        <w:tab/>
      </w:r>
      <w:r w:rsidRPr="003F3E0B">
        <w:rPr>
          <w:b w:val="0"/>
          <w:noProof/>
          <w:sz w:val="18"/>
        </w:rPr>
        <w:fldChar w:fldCharType="begin"/>
      </w:r>
      <w:r w:rsidRPr="003F3E0B">
        <w:rPr>
          <w:b w:val="0"/>
          <w:noProof/>
          <w:sz w:val="18"/>
        </w:rPr>
        <w:instrText xml:space="preserve"> PAGEREF _Toc64030359 \h </w:instrText>
      </w:r>
      <w:r w:rsidRPr="003F3E0B">
        <w:rPr>
          <w:b w:val="0"/>
          <w:noProof/>
          <w:sz w:val="18"/>
        </w:rPr>
      </w:r>
      <w:r w:rsidRPr="003F3E0B">
        <w:rPr>
          <w:b w:val="0"/>
          <w:noProof/>
          <w:sz w:val="18"/>
        </w:rPr>
        <w:fldChar w:fldCharType="separate"/>
      </w:r>
      <w:r w:rsidR="005364D5">
        <w:rPr>
          <w:b w:val="0"/>
          <w:noProof/>
          <w:sz w:val="18"/>
        </w:rPr>
        <w:t>42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295</w:t>
      </w:r>
      <w:r>
        <w:rPr>
          <w:noProof/>
        </w:rPr>
        <w:noBreakHyphen/>
        <w:t>385.01</w:t>
      </w:r>
      <w:r>
        <w:rPr>
          <w:noProof/>
        </w:rPr>
        <w:tab/>
        <w:t>Segregated current pension assets—prescribed superannuation income stream benefits</w:t>
      </w:r>
      <w:r w:rsidRPr="003F3E0B">
        <w:rPr>
          <w:noProof/>
        </w:rPr>
        <w:tab/>
      </w:r>
      <w:r w:rsidRPr="003F3E0B">
        <w:rPr>
          <w:noProof/>
        </w:rPr>
        <w:fldChar w:fldCharType="begin"/>
      </w:r>
      <w:r w:rsidRPr="003F3E0B">
        <w:rPr>
          <w:noProof/>
        </w:rPr>
        <w:instrText xml:space="preserve"> PAGEREF _Toc64030360 \h </w:instrText>
      </w:r>
      <w:r w:rsidRPr="003F3E0B">
        <w:rPr>
          <w:noProof/>
        </w:rPr>
      </w:r>
      <w:r w:rsidRPr="003F3E0B">
        <w:rPr>
          <w:noProof/>
        </w:rPr>
        <w:fldChar w:fldCharType="separate"/>
      </w:r>
      <w:r w:rsidR="005364D5">
        <w:rPr>
          <w:noProof/>
        </w:rPr>
        <w:t>42</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295</w:t>
      </w:r>
      <w:r w:rsidRPr="00C62C95">
        <w:rPr>
          <w:rFonts w:eastAsiaTheme="majorEastAsia"/>
          <w:noProof/>
        </w:rPr>
        <w:noBreakHyphen/>
        <w:t>G</w:t>
      </w:r>
      <w:r>
        <w:rPr>
          <w:noProof/>
        </w:rPr>
        <w:t>—</w:t>
      </w:r>
      <w:r w:rsidRPr="00C62C95">
        <w:rPr>
          <w:rFonts w:eastAsiaTheme="majorEastAsia"/>
          <w:noProof/>
        </w:rPr>
        <w:t>Deductions</w:t>
      </w:r>
      <w:r w:rsidRPr="003F3E0B">
        <w:rPr>
          <w:b w:val="0"/>
          <w:noProof/>
          <w:sz w:val="18"/>
        </w:rPr>
        <w:tab/>
      </w:r>
      <w:r w:rsidRPr="003F3E0B">
        <w:rPr>
          <w:b w:val="0"/>
          <w:noProof/>
          <w:sz w:val="18"/>
        </w:rPr>
        <w:fldChar w:fldCharType="begin"/>
      </w:r>
      <w:r w:rsidRPr="003F3E0B">
        <w:rPr>
          <w:b w:val="0"/>
          <w:noProof/>
          <w:sz w:val="18"/>
        </w:rPr>
        <w:instrText xml:space="preserve"> PAGEREF _Toc64030361 \h </w:instrText>
      </w:r>
      <w:r w:rsidRPr="003F3E0B">
        <w:rPr>
          <w:b w:val="0"/>
          <w:noProof/>
          <w:sz w:val="18"/>
        </w:rPr>
      </w:r>
      <w:r w:rsidRPr="003F3E0B">
        <w:rPr>
          <w:b w:val="0"/>
          <w:noProof/>
          <w:sz w:val="18"/>
        </w:rPr>
        <w:fldChar w:fldCharType="separate"/>
      </w:r>
      <w:r w:rsidR="005364D5">
        <w:rPr>
          <w:b w:val="0"/>
          <w:noProof/>
          <w:sz w:val="18"/>
        </w:rPr>
        <w:t>42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295</w:t>
      </w:r>
      <w:r>
        <w:rPr>
          <w:noProof/>
        </w:rPr>
        <w:noBreakHyphen/>
        <w:t>465.01</w:t>
      </w:r>
      <w:r>
        <w:rPr>
          <w:noProof/>
        </w:rPr>
        <w:tab/>
        <w:t xml:space="preserve"> Complying funds—deductions for insurance premiums</w:t>
      </w:r>
      <w:r w:rsidRPr="003F3E0B">
        <w:rPr>
          <w:noProof/>
        </w:rPr>
        <w:tab/>
      </w:r>
      <w:r w:rsidRPr="003F3E0B">
        <w:rPr>
          <w:noProof/>
        </w:rPr>
        <w:fldChar w:fldCharType="begin"/>
      </w:r>
      <w:r w:rsidRPr="003F3E0B">
        <w:rPr>
          <w:noProof/>
        </w:rPr>
        <w:instrText xml:space="preserve"> PAGEREF _Toc64030362 \h </w:instrText>
      </w:r>
      <w:r w:rsidRPr="003F3E0B">
        <w:rPr>
          <w:noProof/>
        </w:rPr>
      </w:r>
      <w:r w:rsidRPr="003F3E0B">
        <w:rPr>
          <w:noProof/>
        </w:rPr>
        <w:fldChar w:fldCharType="separate"/>
      </w:r>
      <w:r w:rsidR="005364D5">
        <w:rPr>
          <w:noProof/>
        </w:rPr>
        <w:t>42</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301</w:t>
      </w:r>
      <w:r w:rsidRPr="00C62C95">
        <w:rPr>
          <w:noProof/>
          <w:color w:val="000000"/>
        </w:rPr>
        <w:t>—</w:t>
      </w:r>
      <w:r>
        <w:rPr>
          <w:noProof/>
        </w:rPr>
        <w:t>Superannuation member benefits paid from complying plans etc.</w:t>
      </w:r>
      <w:r w:rsidRPr="003F3E0B">
        <w:rPr>
          <w:b w:val="0"/>
          <w:noProof/>
          <w:sz w:val="18"/>
        </w:rPr>
        <w:tab/>
      </w:r>
      <w:r w:rsidRPr="003F3E0B">
        <w:rPr>
          <w:b w:val="0"/>
          <w:noProof/>
          <w:sz w:val="18"/>
        </w:rPr>
        <w:fldChar w:fldCharType="begin"/>
      </w:r>
      <w:r w:rsidRPr="003F3E0B">
        <w:rPr>
          <w:b w:val="0"/>
          <w:noProof/>
          <w:sz w:val="18"/>
        </w:rPr>
        <w:instrText xml:space="preserve"> PAGEREF _Toc64030363 \h </w:instrText>
      </w:r>
      <w:r w:rsidRPr="003F3E0B">
        <w:rPr>
          <w:b w:val="0"/>
          <w:noProof/>
          <w:sz w:val="18"/>
        </w:rPr>
      </w:r>
      <w:r w:rsidRPr="003F3E0B">
        <w:rPr>
          <w:b w:val="0"/>
          <w:noProof/>
          <w:sz w:val="18"/>
        </w:rPr>
        <w:fldChar w:fldCharType="separate"/>
      </w:r>
      <w:r w:rsidR="005364D5">
        <w:rPr>
          <w:b w:val="0"/>
          <w:noProof/>
          <w:sz w:val="18"/>
        </w:rPr>
        <w:t>46</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301</w:t>
      </w:r>
      <w:r w:rsidRPr="00C62C95">
        <w:rPr>
          <w:rFonts w:eastAsiaTheme="majorEastAsia"/>
          <w:noProof/>
        </w:rPr>
        <w:noBreakHyphen/>
        <w:t>D</w:t>
      </w:r>
      <w:r>
        <w:rPr>
          <w:noProof/>
        </w:rPr>
        <w:t>—</w:t>
      </w:r>
      <w:r w:rsidRPr="00C62C95">
        <w:rPr>
          <w:rFonts w:eastAsiaTheme="majorEastAsia"/>
          <w:noProof/>
        </w:rPr>
        <w:t>Departing Australia superannuation payments</w:t>
      </w:r>
      <w:r w:rsidRPr="003F3E0B">
        <w:rPr>
          <w:b w:val="0"/>
          <w:noProof/>
          <w:sz w:val="18"/>
        </w:rPr>
        <w:tab/>
      </w:r>
      <w:r w:rsidRPr="003F3E0B">
        <w:rPr>
          <w:b w:val="0"/>
          <w:noProof/>
          <w:sz w:val="18"/>
        </w:rPr>
        <w:fldChar w:fldCharType="begin"/>
      </w:r>
      <w:r w:rsidRPr="003F3E0B">
        <w:rPr>
          <w:b w:val="0"/>
          <w:noProof/>
          <w:sz w:val="18"/>
        </w:rPr>
        <w:instrText xml:space="preserve"> PAGEREF _Toc64030364 \h </w:instrText>
      </w:r>
      <w:r w:rsidRPr="003F3E0B">
        <w:rPr>
          <w:b w:val="0"/>
          <w:noProof/>
          <w:sz w:val="18"/>
        </w:rPr>
      </w:r>
      <w:r w:rsidRPr="003F3E0B">
        <w:rPr>
          <w:b w:val="0"/>
          <w:noProof/>
          <w:sz w:val="18"/>
        </w:rPr>
        <w:fldChar w:fldCharType="separate"/>
      </w:r>
      <w:r w:rsidR="005364D5">
        <w:rPr>
          <w:b w:val="0"/>
          <w:noProof/>
          <w:sz w:val="18"/>
        </w:rPr>
        <w:t>46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301</w:t>
      </w:r>
      <w:r>
        <w:rPr>
          <w:noProof/>
        </w:rPr>
        <w:noBreakHyphen/>
        <w:t>170.01</w:t>
      </w:r>
      <w:r>
        <w:rPr>
          <w:noProof/>
        </w:rPr>
        <w:tab/>
        <w:t>Departing Australia superannuation payments</w:t>
      </w:r>
      <w:r w:rsidRPr="003F3E0B">
        <w:rPr>
          <w:noProof/>
        </w:rPr>
        <w:tab/>
      </w:r>
      <w:r w:rsidRPr="003F3E0B">
        <w:rPr>
          <w:noProof/>
        </w:rPr>
        <w:fldChar w:fldCharType="begin"/>
      </w:r>
      <w:r w:rsidRPr="003F3E0B">
        <w:rPr>
          <w:noProof/>
        </w:rPr>
        <w:instrText xml:space="preserve"> PAGEREF _Toc64030365 \h </w:instrText>
      </w:r>
      <w:r w:rsidRPr="003F3E0B">
        <w:rPr>
          <w:noProof/>
        </w:rPr>
      </w:r>
      <w:r w:rsidRPr="003F3E0B">
        <w:rPr>
          <w:noProof/>
        </w:rPr>
        <w:fldChar w:fldCharType="separate"/>
      </w:r>
      <w:r w:rsidR="005364D5">
        <w:rPr>
          <w:noProof/>
        </w:rPr>
        <w:t>46</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301</w:t>
      </w:r>
      <w:r w:rsidRPr="00C62C95">
        <w:rPr>
          <w:rFonts w:eastAsiaTheme="majorEastAsia"/>
          <w:noProof/>
        </w:rPr>
        <w:noBreakHyphen/>
        <w:t>E</w:t>
      </w:r>
      <w:r>
        <w:rPr>
          <w:noProof/>
        </w:rPr>
        <w:t>—</w:t>
      </w:r>
      <w:r w:rsidRPr="00C62C95">
        <w:rPr>
          <w:rFonts w:eastAsiaTheme="majorEastAsia"/>
          <w:noProof/>
        </w:rPr>
        <w:t>Superannuation lump sum member benefits less than $200</w:t>
      </w:r>
      <w:r w:rsidRPr="003F3E0B">
        <w:rPr>
          <w:b w:val="0"/>
          <w:noProof/>
          <w:sz w:val="18"/>
        </w:rPr>
        <w:tab/>
      </w:r>
      <w:r w:rsidRPr="003F3E0B">
        <w:rPr>
          <w:b w:val="0"/>
          <w:noProof/>
          <w:sz w:val="18"/>
        </w:rPr>
        <w:fldChar w:fldCharType="begin"/>
      </w:r>
      <w:r w:rsidRPr="003F3E0B">
        <w:rPr>
          <w:b w:val="0"/>
          <w:noProof/>
          <w:sz w:val="18"/>
        </w:rPr>
        <w:instrText xml:space="preserve"> PAGEREF _Toc64030366 \h </w:instrText>
      </w:r>
      <w:r w:rsidRPr="003F3E0B">
        <w:rPr>
          <w:b w:val="0"/>
          <w:noProof/>
          <w:sz w:val="18"/>
        </w:rPr>
      </w:r>
      <w:r w:rsidRPr="003F3E0B">
        <w:rPr>
          <w:b w:val="0"/>
          <w:noProof/>
          <w:sz w:val="18"/>
        </w:rPr>
        <w:fldChar w:fldCharType="separate"/>
      </w:r>
      <w:r w:rsidR="005364D5">
        <w:rPr>
          <w:b w:val="0"/>
          <w:noProof/>
          <w:sz w:val="18"/>
        </w:rPr>
        <w:t>46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301</w:t>
      </w:r>
      <w:r>
        <w:rPr>
          <w:noProof/>
        </w:rPr>
        <w:noBreakHyphen/>
        <w:t>225.01</w:t>
      </w:r>
      <w:r>
        <w:rPr>
          <w:noProof/>
        </w:rPr>
        <w:tab/>
        <w:t>Superannuation lump sum member benefits less than $200 are tax free</w:t>
      </w:r>
      <w:r w:rsidRPr="003F3E0B">
        <w:rPr>
          <w:noProof/>
        </w:rPr>
        <w:tab/>
      </w:r>
      <w:r w:rsidRPr="003F3E0B">
        <w:rPr>
          <w:noProof/>
        </w:rPr>
        <w:fldChar w:fldCharType="begin"/>
      </w:r>
      <w:r w:rsidRPr="003F3E0B">
        <w:rPr>
          <w:noProof/>
        </w:rPr>
        <w:instrText xml:space="preserve"> PAGEREF _Toc64030367 \h </w:instrText>
      </w:r>
      <w:r w:rsidRPr="003F3E0B">
        <w:rPr>
          <w:noProof/>
        </w:rPr>
      </w:r>
      <w:r w:rsidRPr="003F3E0B">
        <w:rPr>
          <w:noProof/>
        </w:rPr>
        <w:fldChar w:fldCharType="separate"/>
      </w:r>
      <w:r w:rsidR="005364D5">
        <w:rPr>
          <w:noProof/>
        </w:rPr>
        <w:t>46</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lastRenderedPageBreak/>
        <w:t>Division 302</w:t>
      </w:r>
      <w:r w:rsidRPr="00C62C95">
        <w:rPr>
          <w:noProof/>
          <w:color w:val="000000"/>
        </w:rPr>
        <w:t>—</w:t>
      </w:r>
      <w:r>
        <w:rPr>
          <w:noProof/>
        </w:rPr>
        <w:t>Superannuation death benefits paid from complying plans etc.</w:t>
      </w:r>
      <w:r w:rsidRPr="003F3E0B">
        <w:rPr>
          <w:b w:val="0"/>
          <w:noProof/>
          <w:sz w:val="18"/>
        </w:rPr>
        <w:tab/>
      </w:r>
      <w:r w:rsidRPr="003F3E0B">
        <w:rPr>
          <w:b w:val="0"/>
          <w:noProof/>
          <w:sz w:val="18"/>
        </w:rPr>
        <w:fldChar w:fldCharType="begin"/>
      </w:r>
      <w:r w:rsidRPr="003F3E0B">
        <w:rPr>
          <w:b w:val="0"/>
          <w:noProof/>
          <w:sz w:val="18"/>
        </w:rPr>
        <w:instrText xml:space="preserve"> PAGEREF _Toc64030368 \h </w:instrText>
      </w:r>
      <w:r w:rsidRPr="003F3E0B">
        <w:rPr>
          <w:b w:val="0"/>
          <w:noProof/>
          <w:sz w:val="18"/>
        </w:rPr>
      </w:r>
      <w:r w:rsidRPr="003F3E0B">
        <w:rPr>
          <w:b w:val="0"/>
          <w:noProof/>
          <w:sz w:val="18"/>
        </w:rPr>
        <w:fldChar w:fldCharType="separate"/>
      </w:r>
      <w:r w:rsidR="005364D5">
        <w:rPr>
          <w:b w:val="0"/>
          <w:noProof/>
          <w:sz w:val="18"/>
        </w:rPr>
        <w:t>47</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302</w:t>
      </w:r>
      <w:r w:rsidRPr="00C62C95">
        <w:rPr>
          <w:rFonts w:eastAsiaTheme="majorEastAsia"/>
          <w:noProof/>
        </w:rPr>
        <w:noBreakHyphen/>
        <w:t>D</w:t>
      </w:r>
      <w:r>
        <w:rPr>
          <w:noProof/>
        </w:rPr>
        <w:t>—</w:t>
      </w:r>
      <w:r w:rsidRPr="00C62C95">
        <w:rPr>
          <w:rFonts w:eastAsiaTheme="majorEastAsia"/>
          <w:noProof/>
        </w:rPr>
        <w:t>Definitions relating to dependants</w:t>
      </w:r>
      <w:r w:rsidRPr="003F3E0B">
        <w:rPr>
          <w:b w:val="0"/>
          <w:noProof/>
          <w:sz w:val="18"/>
        </w:rPr>
        <w:tab/>
      </w:r>
      <w:r w:rsidRPr="003F3E0B">
        <w:rPr>
          <w:b w:val="0"/>
          <w:noProof/>
          <w:sz w:val="18"/>
        </w:rPr>
        <w:fldChar w:fldCharType="begin"/>
      </w:r>
      <w:r w:rsidRPr="003F3E0B">
        <w:rPr>
          <w:b w:val="0"/>
          <w:noProof/>
          <w:sz w:val="18"/>
        </w:rPr>
        <w:instrText xml:space="preserve"> PAGEREF _Toc64030369 \h </w:instrText>
      </w:r>
      <w:r w:rsidRPr="003F3E0B">
        <w:rPr>
          <w:b w:val="0"/>
          <w:noProof/>
          <w:sz w:val="18"/>
        </w:rPr>
      </w:r>
      <w:r w:rsidRPr="003F3E0B">
        <w:rPr>
          <w:b w:val="0"/>
          <w:noProof/>
          <w:sz w:val="18"/>
        </w:rPr>
        <w:fldChar w:fldCharType="separate"/>
      </w:r>
      <w:r w:rsidR="005364D5">
        <w:rPr>
          <w:b w:val="0"/>
          <w:noProof/>
          <w:sz w:val="18"/>
        </w:rPr>
        <w:t>47</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302</w:t>
      </w:r>
      <w:r>
        <w:rPr>
          <w:noProof/>
        </w:rPr>
        <w:noBreakHyphen/>
        <w:t>195.01</w:t>
      </w:r>
      <w:r>
        <w:rPr>
          <w:noProof/>
        </w:rPr>
        <w:tab/>
        <w:t>Circumstances in which a person died in the line of duty</w:t>
      </w:r>
      <w:r w:rsidRPr="003F3E0B">
        <w:rPr>
          <w:noProof/>
        </w:rPr>
        <w:tab/>
      </w:r>
      <w:r w:rsidRPr="003F3E0B">
        <w:rPr>
          <w:noProof/>
        </w:rPr>
        <w:fldChar w:fldCharType="begin"/>
      </w:r>
      <w:r w:rsidRPr="003F3E0B">
        <w:rPr>
          <w:noProof/>
        </w:rPr>
        <w:instrText xml:space="preserve"> PAGEREF _Toc64030370 \h </w:instrText>
      </w:r>
      <w:r w:rsidRPr="003F3E0B">
        <w:rPr>
          <w:noProof/>
        </w:rPr>
      </w:r>
      <w:r w:rsidRPr="003F3E0B">
        <w:rPr>
          <w:noProof/>
        </w:rPr>
        <w:fldChar w:fldCharType="separate"/>
      </w:r>
      <w:r w:rsidR="005364D5">
        <w:rPr>
          <w:noProof/>
        </w:rPr>
        <w:t>47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302</w:t>
      </w:r>
      <w:r>
        <w:rPr>
          <w:noProof/>
        </w:rPr>
        <w:noBreakHyphen/>
        <w:t>195.02</w:t>
      </w:r>
      <w:r>
        <w:rPr>
          <w:noProof/>
        </w:rPr>
        <w:tab/>
        <w:t>Circumstances in which a person has not died in the line of duty</w:t>
      </w:r>
      <w:r w:rsidRPr="003F3E0B">
        <w:rPr>
          <w:noProof/>
        </w:rPr>
        <w:tab/>
      </w:r>
      <w:r w:rsidRPr="003F3E0B">
        <w:rPr>
          <w:noProof/>
        </w:rPr>
        <w:fldChar w:fldCharType="begin"/>
      </w:r>
      <w:r w:rsidRPr="003F3E0B">
        <w:rPr>
          <w:noProof/>
        </w:rPr>
        <w:instrText xml:space="preserve"> PAGEREF _Toc64030371 \h </w:instrText>
      </w:r>
      <w:r w:rsidRPr="003F3E0B">
        <w:rPr>
          <w:noProof/>
        </w:rPr>
      </w:r>
      <w:r w:rsidRPr="003F3E0B">
        <w:rPr>
          <w:noProof/>
        </w:rPr>
        <w:fldChar w:fldCharType="separate"/>
      </w:r>
      <w:r w:rsidR="005364D5">
        <w:rPr>
          <w:noProof/>
        </w:rPr>
        <w:t>49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302</w:t>
      </w:r>
      <w:r>
        <w:rPr>
          <w:noProof/>
        </w:rPr>
        <w:noBreakHyphen/>
        <w:t>200.01</w:t>
      </w:r>
      <w:r>
        <w:rPr>
          <w:noProof/>
        </w:rPr>
        <w:tab/>
        <w:t>What is an interdependency relationship—matters to be taken into account</w:t>
      </w:r>
      <w:r w:rsidRPr="003F3E0B">
        <w:rPr>
          <w:noProof/>
        </w:rPr>
        <w:tab/>
      </w:r>
      <w:r w:rsidRPr="003F3E0B">
        <w:rPr>
          <w:noProof/>
        </w:rPr>
        <w:fldChar w:fldCharType="begin"/>
      </w:r>
      <w:r w:rsidRPr="003F3E0B">
        <w:rPr>
          <w:noProof/>
        </w:rPr>
        <w:instrText xml:space="preserve"> PAGEREF _Toc64030372 \h </w:instrText>
      </w:r>
      <w:r w:rsidRPr="003F3E0B">
        <w:rPr>
          <w:noProof/>
        </w:rPr>
      </w:r>
      <w:r w:rsidRPr="003F3E0B">
        <w:rPr>
          <w:noProof/>
        </w:rPr>
        <w:fldChar w:fldCharType="separate"/>
      </w:r>
      <w:r w:rsidR="005364D5">
        <w:rPr>
          <w:noProof/>
        </w:rPr>
        <w:t>50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302</w:t>
      </w:r>
      <w:r>
        <w:rPr>
          <w:noProof/>
        </w:rPr>
        <w:noBreakHyphen/>
        <w:t>200.02</w:t>
      </w:r>
      <w:r>
        <w:rPr>
          <w:noProof/>
        </w:rPr>
        <w:tab/>
        <w:t>What is an interdependency relationship—existence of relationship</w:t>
      </w:r>
      <w:r w:rsidRPr="003F3E0B">
        <w:rPr>
          <w:noProof/>
        </w:rPr>
        <w:tab/>
      </w:r>
      <w:r w:rsidRPr="003F3E0B">
        <w:rPr>
          <w:noProof/>
        </w:rPr>
        <w:fldChar w:fldCharType="begin"/>
      </w:r>
      <w:r w:rsidRPr="003F3E0B">
        <w:rPr>
          <w:noProof/>
        </w:rPr>
        <w:instrText xml:space="preserve"> PAGEREF _Toc64030373 \h </w:instrText>
      </w:r>
      <w:r w:rsidRPr="003F3E0B">
        <w:rPr>
          <w:noProof/>
        </w:rPr>
      </w:r>
      <w:r w:rsidRPr="003F3E0B">
        <w:rPr>
          <w:noProof/>
        </w:rPr>
        <w:fldChar w:fldCharType="separate"/>
      </w:r>
      <w:r w:rsidR="005364D5">
        <w:rPr>
          <w:noProof/>
        </w:rPr>
        <w:t>50</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306</w:t>
      </w:r>
      <w:r w:rsidRPr="00C62C95">
        <w:rPr>
          <w:noProof/>
          <w:color w:val="000000"/>
        </w:rPr>
        <w:t>—</w:t>
      </w:r>
      <w:r>
        <w:rPr>
          <w:noProof/>
        </w:rPr>
        <w:t>Roll</w:t>
      </w:r>
      <w:r>
        <w:rPr>
          <w:noProof/>
        </w:rPr>
        <w:noBreakHyphen/>
        <w:t>overs etc.</w:t>
      </w:r>
      <w:r w:rsidRPr="003F3E0B">
        <w:rPr>
          <w:b w:val="0"/>
          <w:noProof/>
          <w:sz w:val="18"/>
        </w:rPr>
        <w:tab/>
      </w:r>
      <w:r w:rsidRPr="003F3E0B">
        <w:rPr>
          <w:b w:val="0"/>
          <w:noProof/>
          <w:sz w:val="18"/>
        </w:rPr>
        <w:fldChar w:fldCharType="begin"/>
      </w:r>
      <w:r w:rsidRPr="003F3E0B">
        <w:rPr>
          <w:b w:val="0"/>
          <w:noProof/>
          <w:sz w:val="18"/>
        </w:rPr>
        <w:instrText xml:space="preserve"> PAGEREF _Toc64030374 \h </w:instrText>
      </w:r>
      <w:r w:rsidRPr="003F3E0B">
        <w:rPr>
          <w:b w:val="0"/>
          <w:noProof/>
          <w:sz w:val="18"/>
        </w:rPr>
      </w:r>
      <w:r w:rsidRPr="003F3E0B">
        <w:rPr>
          <w:b w:val="0"/>
          <w:noProof/>
          <w:sz w:val="18"/>
        </w:rPr>
        <w:fldChar w:fldCharType="separate"/>
      </w:r>
      <w:r w:rsidR="005364D5">
        <w:rPr>
          <w:b w:val="0"/>
          <w:noProof/>
          <w:sz w:val="18"/>
        </w:rPr>
        <w:t>52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306</w:t>
      </w:r>
      <w:r>
        <w:rPr>
          <w:noProof/>
        </w:rPr>
        <w:noBreakHyphen/>
        <w:t>10.01</w:t>
      </w:r>
      <w:r>
        <w:rPr>
          <w:noProof/>
        </w:rPr>
        <w:tab/>
        <w:t>Roll</w:t>
      </w:r>
      <w:r>
        <w:rPr>
          <w:noProof/>
        </w:rPr>
        <w:noBreakHyphen/>
        <w:t>over superannuation benefit</w:t>
      </w:r>
      <w:r w:rsidRPr="003F3E0B">
        <w:rPr>
          <w:noProof/>
        </w:rPr>
        <w:tab/>
      </w:r>
      <w:r w:rsidRPr="003F3E0B">
        <w:rPr>
          <w:noProof/>
        </w:rPr>
        <w:fldChar w:fldCharType="begin"/>
      </w:r>
      <w:r w:rsidRPr="003F3E0B">
        <w:rPr>
          <w:noProof/>
        </w:rPr>
        <w:instrText xml:space="preserve"> PAGEREF _Toc64030375 \h </w:instrText>
      </w:r>
      <w:r w:rsidRPr="003F3E0B">
        <w:rPr>
          <w:noProof/>
        </w:rPr>
      </w:r>
      <w:r w:rsidRPr="003F3E0B">
        <w:rPr>
          <w:noProof/>
        </w:rPr>
        <w:fldChar w:fldCharType="separate"/>
      </w:r>
      <w:r w:rsidR="005364D5">
        <w:rPr>
          <w:noProof/>
        </w:rPr>
        <w:t>52</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307</w:t>
      </w:r>
      <w:r w:rsidRPr="00C62C95">
        <w:rPr>
          <w:noProof/>
          <w:color w:val="000000"/>
        </w:rPr>
        <w:t>—</w:t>
      </w:r>
      <w:r>
        <w:rPr>
          <w:noProof/>
        </w:rPr>
        <w:t>Key concepts relating to superannuation benefits</w:t>
      </w:r>
      <w:r w:rsidRPr="003F3E0B">
        <w:rPr>
          <w:b w:val="0"/>
          <w:noProof/>
          <w:sz w:val="18"/>
        </w:rPr>
        <w:tab/>
      </w:r>
      <w:r w:rsidRPr="003F3E0B">
        <w:rPr>
          <w:b w:val="0"/>
          <w:noProof/>
          <w:sz w:val="18"/>
        </w:rPr>
        <w:fldChar w:fldCharType="begin"/>
      </w:r>
      <w:r w:rsidRPr="003F3E0B">
        <w:rPr>
          <w:b w:val="0"/>
          <w:noProof/>
          <w:sz w:val="18"/>
        </w:rPr>
        <w:instrText xml:space="preserve"> PAGEREF _Toc64030376 \h </w:instrText>
      </w:r>
      <w:r w:rsidRPr="003F3E0B">
        <w:rPr>
          <w:b w:val="0"/>
          <w:noProof/>
          <w:sz w:val="18"/>
        </w:rPr>
      </w:r>
      <w:r w:rsidRPr="003F3E0B">
        <w:rPr>
          <w:b w:val="0"/>
          <w:noProof/>
          <w:sz w:val="18"/>
        </w:rPr>
        <w:fldChar w:fldCharType="separate"/>
      </w:r>
      <w:r w:rsidR="005364D5">
        <w:rPr>
          <w:b w:val="0"/>
          <w:noProof/>
          <w:sz w:val="18"/>
        </w:rPr>
        <w:t>53</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307</w:t>
      </w:r>
      <w:r>
        <w:rPr>
          <w:noProof/>
        </w:rPr>
        <w:noBreakHyphen/>
        <w:t>A—Superannuation benefits generally</w:t>
      </w:r>
      <w:r w:rsidRPr="003F3E0B">
        <w:rPr>
          <w:b w:val="0"/>
          <w:noProof/>
          <w:sz w:val="18"/>
        </w:rPr>
        <w:tab/>
      </w:r>
      <w:r w:rsidRPr="003F3E0B">
        <w:rPr>
          <w:b w:val="0"/>
          <w:noProof/>
          <w:sz w:val="18"/>
        </w:rPr>
        <w:fldChar w:fldCharType="begin"/>
      </w:r>
      <w:r w:rsidRPr="003F3E0B">
        <w:rPr>
          <w:b w:val="0"/>
          <w:noProof/>
          <w:sz w:val="18"/>
        </w:rPr>
        <w:instrText xml:space="preserve"> PAGEREF _Toc64030377 \h </w:instrText>
      </w:r>
      <w:r w:rsidRPr="003F3E0B">
        <w:rPr>
          <w:b w:val="0"/>
          <w:noProof/>
          <w:sz w:val="18"/>
        </w:rPr>
      </w:r>
      <w:r w:rsidRPr="003F3E0B">
        <w:rPr>
          <w:b w:val="0"/>
          <w:noProof/>
          <w:sz w:val="18"/>
        </w:rPr>
        <w:fldChar w:fldCharType="separate"/>
      </w:r>
      <w:r w:rsidR="005364D5">
        <w:rPr>
          <w:b w:val="0"/>
          <w:noProof/>
          <w:sz w:val="18"/>
        </w:rPr>
        <w:t>53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5.01</w:t>
      </w:r>
      <w:r>
        <w:rPr>
          <w:noProof/>
        </w:rPr>
        <w:tab/>
        <w:t>What is a superannuation benefit?</w:t>
      </w:r>
      <w:r w:rsidRPr="003F3E0B">
        <w:rPr>
          <w:noProof/>
        </w:rPr>
        <w:tab/>
      </w:r>
      <w:r w:rsidRPr="003F3E0B">
        <w:rPr>
          <w:noProof/>
        </w:rPr>
        <w:fldChar w:fldCharType="begin"/>
      </w:r>
      <w:r w:rsidRPr="003F3E0B">
        <w:rPr>
          <w:noProof/>
        </w:rPr>
        <w:instrText xml:space="preserve"> PAGEREF _Toc64030378 \h </w:instrText>
      </w:r>
      <w:r w:rsidRPr="003F3E0B">
        <w:rPr>
          <w:noProof/>
        </w:rPr>
      </w:r>
      <w:r w:rsidRPr="003F3E0B">
        <w:rPr>
          <w:noProof/>
        </w:rPr>
        <w:fldChar w:fldCharType="separate"/>
      </w:r>
      <w:r w:rsidR="005364D5">
        <w:rPr>
          <w:noProof/>
        </w:rPr>
        <w:t>53</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307</w:t>
      </w:r>
      <w:r>
        <w:rPr>
          <w:noProof/>
        </w:rPr>
        <w:noBreakHyphen/>
        <w:t>B—Superannuation lump sums and superannuation income stream benefits</w:t>
      </w:r>
      <w:r w:rsidRPr="003F3E0B">
        <w:rPr>
          <w:b w:val="0"/>
          <w:noProof/>
          <w:sz w:val="18"/>
        </w:rPr>
        <w:tab/>
      </w:r>
      <w:r w:rsidRPr="003F3E0B">
        <w:rPr>
          <w:b w:val="0"/>
          <w:noProof/>
          <w:sz w:val="18"/>
        </w:rPr>
        <w:fldChar w:fldCharType="begin"/>
      </w:r>
      <w:r w:rsidRPr="003F3E0B">
        <w:rPr>
          <w:b w:val="0"/>
          <w:noProof/>
          <w:sz w:val="18"/>
        </w:rPr>
        <w:instrText xml:space="preserve"> PAGEREF _Toc64030379 \h </w:instrText>
      </w:r>
      <w:r w:rsidRPr="003F3E0B">
        <w:rPr>
          <w:b w:val="0"/>
          <w:noProof/>
          <w:sz w:val="18"/>
        </w:rPr>
      </w:r>
      <w:r w:rsidRPr="003F3E0B">
        <w:rPr>
          <w:b w:val="0"/>
          <w:noProof/>
          <w:sz w:val="18"/>
        </w:rPr>
        <w:fldChar w:fldCharType="separate"/>
      </w:r>
      <w:r w:rsidR="005364D5">
        <w:rPr>
          <w:b w:val="0"/>
          <w:noProof/>
          <w:sz w:val="18"/>
        </w:rPr>
        <w:t>53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70.01</w:t>
      </w:r>
      <w:r>
        <w:rPr>
          <w:noProof/>
        </w:rPr>
        <w:tab/>
        <w:t>Superannuation income stream benefits</w:t>
      </w:r>
      <w:r w:rsidRPr="003F3E0B">
        <w:rPr>
          <w:noProof/>
        </w:rPr>
        <w:tab/>
      </w:r>
      <w:r w:rsidRPr="003F3E0B">
        <w:rPr>
          <w:noProof/>
        </w:rPr>
        <w:fldChar w:fldCharType="begin"/>
      </w:r>
      <w:r w:rsidRPr="003F3E0B">
        <w:rPr>
          <w:noProof/>
        </w:rPr>
        <w:instrText xml:space="preserve"> PAGEREF _Toc64030380 \h </w:instrText>
      </w:r>
      <w:r w:rsidRPr="003F3E0B">
        <w:rPr>
          <w:noProof/>
        </w:rPr>
      </w:r>
      <w:r w:rsidRPr="003F3E0B">
        <w:rPr>
          <w:noProof/>
        </w:rPr>
        <w:fldChar w:fldCharType="separate"/>
      </w:r>
      <w:r w:rsidR="005364D5">
        <w:rPr>
          <w:noProof/>
        </w:rPr>
        <w:t>53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70.02</w:t>
      </w:r>
      <w:r>
        <w:rPr>
          <w:noProof/>
        </w:rPr>
        <w:tab/>
        <w:t xml:space="preserve">Meaning of </w:t>
      </w:r>
      <w:r w:rsidRPr="00C62C95">
        <w:rPr>
          <w:i/>
          <w:noProof/>
        </w:rPr>
        <w:t>superannuation income stream</w:t>
      </w:r>
      <w:r w:rsidRPr="003F3E0B">
        <w:rPr>
          <w:noProof/>
        </w:rPr>
        <w:tab/>
      </w:r>
      <w:r w:rsidRPr="003F3E0B">
        <w:rPr>
          <w:noProof/>
        </w:rPr>
        <w:fldChar w:fldCharType="begin"/>
      </w:r>
      <w:r w:rsidRPr="003F3E0B">
        <w:rPr>
          <w:noProof/>
        </w:rPr>
        <w:instrText xml:space="preserve"> PAGEREF _Toc64030381 \h </w:instrText>
      </w:r>
      <w:r w:rsidRPr="003F3E0B">
        <w:rPr>
          <w:noProof/>
        </w:rPr>
      </w:r>
      <w:r w:rsidRPr="003F3E0B">
        <w:rPr>
          <w:noProof/>
        </w:rPr>
        <w:fldChar w:fldCharType="separate"/>
      </w:r>
      <w:r w:rsidR="005364D5">
        <w:rPr>
          <w:noProof/>
        </w:rPr>
        <w:t>53</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307</w:t>
      </w:r>
      <w:r w:rsidRPr="00C62C95">
        <w:rPr>
          <w:rFonts w:eastAsiaTheme="majorEastAsia"/>
          <w:noProof/>
        </w:rPr>
        <w:noBreakHyphen/>
        <w:t>C</w:t>
      </w:r>
      <w:r>
        <w:rPr>
          <w:noProof/>
        </w:rPr>
        <w:t>—</w:t>
      </w:r>
      <w:r w:rsidRPr="00C62C95">
        <w:rPr>
          <w:rFonts w:eastAsiaTheme="majorEastAsia"/>
          <w:noProof/>
        </w:rPr>
        <w:t>Components of a superannuation benefit</w:t>
      </w:r>
      <w:r w:rsidRPr="003F3E0B">
        <w:rPr>
          <w:b w:val="0"/>
          <w:noProof/>
          <w:sz w:val="18"/>
        </w:rPr>
        <w:tab/>
      </w:r>
      <w:r w:rsidRPr="003F3E0B">
        <w:rPr>
          <w:b w:val="0"/>
          <w:noProof/>
          <w:sz w:val="18"/>
        </w:rPr>
        <w:fldChar w:fldCharType="begin"/>
      </w:r>
      <w:r w:rsidRPr="003F3E0B">
        <w:rPr>
          <w:b w:val="0"/>
          <w:noProof/>
          <w:sz w:val="18"/>
        </w:rPr>
        <w:instrText xml:space="preserve"> PAGEREF _Toc64030382 \h </w:instrText>
      </w:r>
      <w:r w:rsidRPr="003F3E0B">
        <w:rPr>
          <w:b w:val="0"/>
          <w:noProof/>
          <w:sz w:val="18"/>
        </w:rPr>
      </w:r>
      <w:r w:rsidRPr="003F3E0B">
        <w:rPr>
          <w:b w:val="0"/>
          <w:noProof/>
          <w:sz w:val="18"/>
        </w:rPr>
        <w:fldChar w:fldCharType="separate"/>
      </w:r>
      <w:r w:rsidR="005364D5">
        <w:rPr>
          <w:b w:val="0"/>
          <w:noProof/>
          <w:sz w:val="18"/>
        </w:rPr>
        <w:t>55</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125.01</w:t>
      </w:r>
      <w:r>
        <w:rPr>
          <w:noProof/>
        </w:rPr>
        <w:tab/>
        <w:t>Components of member benefits accruing before 1 July 1999 paid from the Military Superannuation and Benefits Scheme</w:t>
      </w:r>
      <w:r w:rsidRPr="003F3E0B">
        <w:rPr>
          <w:noProof/>
        </w:rPr>
        <w:tab/>
      </w:r>
      <w:r w:rsidRPr="003F3E0B">
        <w:rPr>
          <w:noProof/>
        </w:rPr>
        <w:fldChar w:fldCharType="begin"/>
      </w:r>
      <w:r w:rsidRPr="003F3E0B">
        <w:rPr>
          <w:noProof/>
        </w:rPr>
        <w:instrText xml:space="preserve"> PAGEREF _Toc64030383 \h </w:instrText>
      </w:r>
      <w:r w:rsidRPr="003F3E0B">
        <w:rPr>
          <w:noProof/>
        </w:rPr>
      </w:r>
      <w:r w:rsidRPr="003F3E0B">
        <w:rPr>
          <w:noProof/>
        </w:rPr>
        <w:fldChar w:fldCharType="separate"/>
      </w:r>
      <w:r w:rsidR="005364D5">
        <w:rPr>
          <w:noProof/>
        </w:rPr>
        <w:t>55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125.02</w:t>
      </w:r>
      <w:r>
        <w:rPr>
          <w:noProof/>
        </w:rPr>
        <w:tab/>
        <w:t>Components of superannuation benefits after death of recipient of superannuation income stream</w:t>
      </w:r>
      <w:r w:rsidRPr="003F3E0B">
        <w:rPr>
          <w:noProof/>
        </w:rPr>
        <w:tab/>
      </w:r>
      <w:r w:rsidRPr="003F3E0B">
        <w:rPr>
          <w:noProof/>
        </w:rPr>
        <w:fldChar w:fldCharType="begin"/>
      </w:r>
      <w:r w:rsidRPr="003F3E0B">
        <w:rPr>
          <w:noProof/>
        </w:rPr>
        <w:instrText xml:space="preserve"> PAGEREF _Toc64030384 \h </w:instrText>
      </w:r>
      <w:r w:rsidRPr="003F3E0B">
        <w:rPr>
          <w:noProof/>
        </w:rPr>
      </w:r>
      <w:r w:rsidRPr="003F3E0B">
        <w:rPr>
          <w:noProof/>
        </w:rPr>
        <w:fldChar w:fldCharType="separate"/>
      </w:r>
      <w:r w:rsidR="005364D5">
        <w:rPr>
          <w:noProof/>
        </w:rPr>
        <w:t>55</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307</w:t>
      </w:r>
      <w:r w:rsidRPr="00C62C95">
        <w:rPr>
          <w:rFonts w:eastAsiaTheme="majorEastAsia"/>
          <w:noProof/>
        </w:rPr>
        <w:noBreakHyphen/>
        <w:t>D</w:t>
      </w:r>
      <w:r>
        <w:rPr>
          <w:noProof/>
        </w:rPr>
        <w:t>—</w:t>
      </w:r>
      <w:r w:rsidRPr="00C62C95">
        <w:rPr>
          <w:rFonts w:eastAsiaTheme="majorEastAsia"/>
          <w:noProof/>
        </w:rPr>
        <w:t>Superannuation interests</w:t>
      </w:r>
      <w:r w:rsidRPr="003F3E0B">
        <w:rPr>
          <w:b w:val="0"/>
          <w:noProof/>
          <w:sz w:val="18"/>
        </w:rPr>
        <w:tab/>
      </w:r>
      <w:r w:rsidRPr="003F3E0B">
        <w:rPr>
          <w:b w:val="0"/>
          <w:noProof/>
          <w:sz w:val="18"/>
        </w:rPr>
        <w:fldChar w:fldCharType="begin"/>
      </w:r>
      <w:r w:rsidRPr="003F3E0B">
        <w:rPr>
          <w:b w:val="0"/>
          <w:noProof/>
          <w:sz w:val="18"/>
        </w:rPr>
        <w:instrText xml:space="preserve"> PAGEREF _Toc64030385 \h </w:instrText>
      </w:r>
      <w:r w:rsidRPr="003F3E0B">
        <w:rPr>
          <w:b w:val="0"/>
          <w:noProof/>
          <w:sz w:val="18"/>
        </w:rPr>
      </w:r>
      <w:r w:rsidRPr="003F3E0B">
        <w:rPr>
          <w:b w:val="0"/>
          <w:noProof/>
          <w:sz w:val="18"/>
        </w:rPr>
        <w:fldChar w:fldCharType="separate"/>
      </w:r>
      <w:r w:rsidR="005364D5">
        <w:rPr>
          <w:b w:val="0"/>
          <w:noProof/>
          <w:sz w:val="18"/>
        </w:rPr>
        <w:t>56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200.01</w:t>
      </w:r>
      <w:r>
        <w:rPr>
          <w:noProof/>
        </w:rPr>
        <w:tab/>
        <w:t>Application of sections 307</w:t>
      </w:r>
      <w:r>
        <w:rPr>
          <w:noProof/>
        </w:rPr>
        <w:noBreakHyphen/>
        <w:t>200.02 to 307</w:t>
      </w:r>
      <w:r>
        <w:rPr>
          <w:noProof/>
        </w:rPr>
        <w:noBreakHyphen/>
        <w:t>200.05 to Subdivisions 291</w:t>
      </w:r>
      <w:r>
        <w:rPr>
          <w:noProof/>
        </w:rPr>
        <w:noBreakHyphen/>
        <w:t>C and 293</w:t>
      </w:r>
      <w:r>
        <w:rPr>
          <w:noProof/>
        </w:rPr>
        <w:noBreakHyphen/>
        <w:t>D of the Act</w:t>
      </w:r>
      <w:r w:rsidRPr="003F3E0B">
        <w:rPr>
          <w:noProof/>
        </w:rPr>
        <w:tab/>
      </w:r>
      <w:r w:rsidRPr="003F3E0B">
        <w:rPr>
          <w:noProof/>
        </w:rPr>
        <w:fldChar w:fldCharType="begin"/>
      </w:r>
      <w:r w:rsidRPr="003F3E0B">
        <w:rPr>
          <w:noProof/>
        </w:rPr>
        <w:instrText xml:space="preserve"> PAGEREF _Toc64030386 \h </w:instrText>
      </w:r>
      <w:r w:rsidRPr="003F3E0B">
        <w:rPr>
          <w:noProof/>
        </w:rPr>
      </w:r>
      <w:r w:rsidRPr="003F3E0B">
        <w:rPr>
          <w:noProof/>
        </w:rPr>
        <w:fldChar w:fldCharType="separate"/>
      </w:r>
      <w:r w:rsidR="005364D5">
        <w:rPr>
          <w:noProof/>
        </w:rPr>
        <w:t>56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200.02</w:t>
      </w:r>
      <w:r>
        <w:rPr>
          <w:noProof/>
        </w:rPr>
        <w:tab/>
        <w:t>Meaning of superannuation interests</w:t>
      </w:r>
      <w:r w:rsidRPr="00C62C95">
        <w:rPr>
          <w:i/>
          <w:noProof/>
        </w:rPr>
        <w:t>—</w:t>
      </w:r>
      <w:r>
        <w:rPr>
          <w:noProof/>
        </w:rPr>
        <w:t>treating superannuation interests as 1 superannuation interest (self</w:t>
      </w:r>
      <w:r>
        <w:rPr>
          <w:noProof/>
        </w:rPr>
        <w:noBreakHyphen/>
        <w:t>managed superannuation funds)</w:t>
      </w:r>
      <w:r w:rsidRPr="003F3E0B">
        <w:rPr>
          <w:noProof/>
        </w:rPr>
        <w:tab/>
      </w:r>
      <w:r w:rsidRPr="003F3E0B">
        <w:rPr>
          <w:noProof/>
        </w:rPr>
        <w:fldChar w:fldCharType="begin"/>
      </w:r>
      <w:r w:rsidRPr="003F3E0B">
        <w:rPr>
          <w:noProof/>
        </w:rPr>
        <w:instrText xml:space="preserve"> PAGEREF _Toc64030387 \h </w:instrText>
      </w:r>
      <w:r w:rsidRPr="003F3E0B">
        <w:rPr>
          <w:noProof/>
        </w:rPr>
      </w:r>
      <w:r w:rsidRPr="003F3E0B">
        <w:rPr>
          <w:noProof/>
        </w:rPr>
        <w:fldChar w:fldCharType="separate"/>
      </w:r>
      <w:r w:rsidR="005364D5">
        <w:rPr>
          <w:noProof/>
        </w:rPr>
        <w:t>57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200.03</w:t>
      </w:r>
      <w:r>
        <w:rPr>
          <w:noProof/>
        </w:rPr>
        <w:tab/>
        <w:t>Meaning of superannuation interests—treating a superannuation interest as 2 or more superannuation interests (public sector schemes)</w:t>
      </w:r>
      <w:r w:rsidRPr="003F3E0B">
        <w:rPr>
          <w:noProof/>
        </w:rPr>
        <w:tab/>
      </w:r>
      <w:r w:rsidRPr="003F3E0B">
        <w:rPr>
          <w:noProof/>
        </w:rPr>
        <w:fldChar w:fldCharType="begin"/>
      </w:r>
      <w:r w:rsidRPr="003F3E0B">
        <w:rPr>
          <w:noProof/>
        </w:rPr>
        <w:instrText xml:space="preserve"> PAGEREF _Toc64030388 \h </w:instrText>
      </w:r>
      <w:r w:rsidRPr="003F3E0B">
        <w:rPr>
          <w:noProof/>
        </w:rPr>
      </w:r>
      <w:r w:rsidRPr="003F3E0B">
        <w:rPr>
          <w:noProof/>
        </w:rPr>
        <w:fldChar w:fldCharType="separate"/>
      </w:r>
      <w:r w:rsidR="005364D5">
        <w:rPr>
          <w:noProof/>
        </w:rPr>
        <w:t>57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200.05</w:t>
      </w:r>
      <w:r>
        <w:rPr>
          <w:noProof/>
        </w:rPr>
        <w:tab/>
        <w:t>Meaning of superannuation interests—treating a superannuation interest as 2 or more superannuation interests (superannuation income streams)</w:t>
      </w:r>
      <w:r w:rsidRPr="003F3E0B">
        <w:rPr>
          <w:noProof/>
        </w:rPr>
        <w:tab/>
      </w:r>
      <w:r w:rsidRPr="003F3E0B">
        <w:rPr>
          <w:noProof/>
        </w:rPr>
        <w:fldChar w:fldCharType="begin"/>
      </w:r>
      <w:r w:rsidRPr="003F3E0B">
        <w:rPr>
          <w:noProof/>
        </w:rPr>
        <w:instrText xml:space="preserve"> PAGEREF _Toc64030389 \h </w:instrText>
      </w:r>
      <w:r w:rsidRPr="003F3E0B">
        <w:rPr>
          <w:noProof/>
        </w:rPr>
      </w:r>
      <w:r w:rsidRPr="003F3E0B">
        <w:rPr>
          <w:noProof/>
        </w:rPr>
        <w:fldChar w:fldCharType="separate"/>
      </w:r>
      <w:r w:rsidR="005364D5">
        <w:rPr>
          <w:noProof/>
        </w:rPr>
        <w:t>58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205.01</w:t>
      </w:r>
      <w:r>
        <w:rPr>
          <w:noProof/>
        </w:rPr>
        <w:tab/>
        <w:t>Value of superannuation interest for calculating pre</w:t>
      </w:r>
      <w:r>
        <w:rPr>
          <w:noProof/>
        </w:rPr>
        <w:noBreakHyphen/>
        <w:t>July 83 amount for members in the contributions and investment phase</w:t>
      </w:r>
      <w:r w:rsidRPr="003F3E0B">
        <w:rPr>
          <w:noProof/>
        </w:rPr>
        <w:tab/>
      </w:r>
      <w:r w:rsidRPr="003F3E0B">
        <w:rPr>
          <w:noProof/>
        </w:rPr>
        <w:fldChar w:fldCharType="begin"/>
      </w:r>
      <w:r w:rsidRPr="003F3E0B">
        <w:rPr>
          <w:noProof/>
        </w:rPr>
        <w:instrText xml:space="preserve"> PAGEREF _Toc64030390 \h </w:instrText>
      </w:r>
      <w:r w:rsidRPr="003F3E0B">
        <w:rPr>
          <w:noProof/>
        </w:rPr>
      </w:r>
      <w:r w:rsidRPr="003F3E0B">
        <w:rPr>
          <w:noProof/>
        </w:rPr>
        <w:fldChar w:fldCharType="separate"/>
      </w:r>
      <w:r w:rsidR="005364D5">
        <w:rPr>
          <w:noProof/>
        </w:rPr>
        <w:t>58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205.01A</w:t>
      </w:r>
      <w:r>
        <w:rPr>
          <w:noProof/>
        </w:rPr>
        <w:tab/>
        <w:t>How to calculate the value of a retirement benefit for step 1 of the method in subsection 307</w:t>
      </w:r>
      <w:r>
        <w:rPr>
          <w:noProof/>
        </w:rPr>
        <w:noBreakHyphen/>
        <w:t>205.01(2)</w:t>
      </w:r>
      <w:r w:rsidRPr="003F3E0B">
        <w:rPr>
          <w:noProof/>
        </w:rPr>
        <w:tab/>
      </w:r>
      <w:r w:rsidRPr="003F3E0B">
        <w:rPr>
          <w:noProof/>
        </w:rPr>
        <w:fldChar w:fldCharType="begin"/>
      </w:r>
      <w:r w:rsidRPr="003F3E0B">
        <w:rPr>
          <w:noProof/>
        </w:rPr>
        <w:instrText xml:space="preserve"> PAGEREF _Toc64030391 \h </w:instrText>
      </w:r>
      <w:r w:rsidRPr="003F3E0B">
        <w:rPr>
          <w:noProof/>
        </w:rPr>
      </w:r>
      <w:r w:rsidRPr="003F3E0B">
        <w:rPr>
          <w:noProof/>
        </w:rPr>
        <w:fldChar w:fldCharType="separate"/>
      </w:r>
      <w:r w:rsidR="005364D5">
        <w:rPr>
          <w:noProof/>
        </w:rPr>
        <w:t>59</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205.02</w:t>
      </w:r>
      <w:r>
        <w:rPr>
          <w:noProof/>
        </w:rPr>
        <w:tab/>
        <w:t>Value of superannuation interest</w:t>
      </w:r>
      <w:r w:rsidRPr="003F3E0B">
        <w:rPr>
          <w:noProof/>
        </w:rPr>
        <w:tab/>
      </w:r>
      <w:r w:rsidRPr="003F3E0B">
        <w:rPr>
          <w:noProof/>
        </w:rPr>
        <w:fldChar w:fldCharType="begin"/>
      </w:r>
      <w:r w:rsidRPr="003F3E0B">
        <w:rPr>
          <w:noProof/>
        </w:rPr>
        <w:instrText xml:space="preserve"> PAGEREF _Toc64030392 \h </w:instrText>
      </w:r>
      <w:r w:rsidRPr="003F3E0B">
        <w:rPr>
          <w:noProof/>
        </w:rPr>
      </w:r>
      <w:r w:rsidRPr="003F3E0B">
        <w:rPr>
          <w:noProof/>
        </w:rPr>
        <w:fldChar w:fldCharType="separate"/>
      </w:r>
      <w:r w:rsidR="005364D5">
        <w:rPr>
          <w:noProof/>
        </w:rPr>
        <w:t>60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205.02A</w:t>
      </w:r>
      <w:r>
        <w:rPr>
          <w:noProof/>
        </w:rPr>
        <w:tab/>
        <w:t>Value of superannuation interest—superannuation income streams or superannuation annuities based on identifiable amounts</w:t>
      </w:r>
      <w:r w:rsidRPr="003F3E0B">
        <w:rPr>
          <w:noProof/>
        </w:rPr>
        <w:tab/>
      </w:r>
      <w:r w:rsidRPr="003F3E0B">
        <w:rPr>
          <w:noProof/>
        </w:rPr>
        <w:fldChar w:fldCharType="begin"/>
      </w:r>
      <w:r w:rsidRPr="003F3E0B">
        <w:rPr>
          <w:noProof/>
        </w:rPr>
        <w:instrText xml:space="preserve"> PAGEREF _Toc64030393 \h </w:instrText>
      </w:r>
      <w:r w:rsidRPr="003F3E0B">
        <w:rPr>
          <w:noProof/>
        </w:rPr>
      </w:r>
      <w:r w:rsidRPr="003F3E0B">
        <w:rPr>
          <w:noProof/>
        </w:rPr>
        <w:fldChar w:fldCharType="separate"/>
      </w:r>
      <w:r w:rsidR="005364D5">
        <w:rPr>
          <w:noProof/>
        </w:rPr>
        <w:t>61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205.02B</w:t>
      </w:r>
      <w:r>
        <w:rPr>
          <w:noProof/>
        </w:rPr>
        <w:tab/>
        <w:t>Value of superannuation interest—public sector superannuation schemes</w:t>
      </w:r>
      <w:r w:rsidRPr="003F3E0B">
        <w:rPr>
          <w:noProof/>
        </w:rPr>
        <w:tab/>
      </w:r>
      <w:r w:rsidRPr="003F3E0B">
        <w:rPr>
          <w:noProof/>
        </w:rPr>
        <w:fldChar w:fldCharType="begin"/>
      </w:r>
      <w:r w:rsidRPr="003F3E0B">
        <w:rPr>
          <w:noProof/>
        </w:rPr>
        <w:instrText xml:space="preserve"> PAGEREF _Toc64030394 \h </w:instrText>
      </w:r>
      <w:r w:rsidRPr="003F3E0B">
        <w:rPr>
          <w:noProof/>
        </w:rPr>
      </w:r>
      <w:r w:rsidRPr="003F3E0B">
        <w:rPr>
          <w:noProof/>
        </w:rPr>
        <w:fldChar w:fldCharType="separate"/>
      </w:r>
      <w:r w:rsidR="005364D5">
        <w:rPr>
          <w:noProof/>
        </w:rPr>
        <w:t>61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205.02C</w:t>
      </w:r>
      <w:r>
        <w:rPr>
          <w:noProof/>
        </w:rPr>
        <w:tab/>
        <w:t>Value of superannuation interest—deferred superannuation income streams</w:t>
      </w:r>
      <w:r w:rsidRPr="003F3E0B">
        <w:rPr>
          <w:noProof/>
        </w:rPr>
        <w:tab/>
      </w:r>
      <w:r w:rsidRPr="003F3E0B">
        <w:rPr>
          <w:noProof/>
        </w:rPr>
        <w:fldChar w:fldCharType="begin"/>
      </w:r>
      <w:r w:rsidRPr="003F3E0B">
        <w:rPr>
          <w:noProof/>
        </w:rPr>
        <w:instrText xml:space="preserve"> PAGEREF _Toc64030395 \h </w:instrText>
      </w:r>
      <w:r w:rsidRPr="003F3E0B">
        <w:rPr>
          <w:noProof/>
        </w:rPr>
      </w:r>
      <w:r w:rsidRPr="003F3E0B">
        <w:rPr>
          <w:noProof/>
        </w:rPr>
        <w:fldChar w:fldCharType="separate"/>
      </w:r>
      <w:r w:rsidR="005364D5">
        <w:rPr>
          <w:noProof/>
        </w:rPr>
        <w:t>61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205.02D</w:t>
      </w:r>
      <w:r>
        <w:rPr>
          <w:noProof/>
        </w:rPr>
        <w:tab/>
        <w:t>Value of superannuation interest—pooled investment pensions</w:t>
      </w:r>
      <w:r w:rsidRPr="003F3E0B">
        <w:rPr>
          <w:noProof/>
        </w:rPr>
        <w:tab/>
      </w:r>
      <w:r w:rsidRPr="003F3E0B">
        <w:rPr>
          <w:noProof/>
        </w:rPr>
        <w:fldChar w:fldCharType="begin"/>
      </w:r>
      <w:r w:rsidRPr="003F3E0B">
        <w:rPr>
          <w:noProof/>
        </w:rPr>
        <w:instrText xml:space="preserve"> PAGEREF _Toc64030396 \h </w:instrText>
      </w:r>
      <w:r w:rsidRPr="003F3E0B">
        <w:rPr>
          <w:noProof/>
        </w:rPr>
      </w:r>
      <w:r w:rsidRPr="003F3E0B">
        <w:rPr>
          <w:noProof/>
        </w:rPr>
        <w:fldChar w:fldCharType="separate"/>
      </w:r>
      <w:r w:rsidR="005364D5">
        <w:rPr>
          <w:noProof/>
        </w:rPr>
        <w:t>62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307</w:t>
      </w:r>
      <w:r>
        <w:rPr>
          <w:noProof/>
        </w:rPr>
        <w:noBreakHyphen/>
        <w:t>205.02E</w:t>
      </w:r>
      <w:r>
        <w:rPr>
          <w:noProof/>
        </w:rPr>
        <w:tab/>
        <w:t>Value of superannuation interest—pooled investment annuities</w:t>
      </w:r>
      <w:r w:rsidRPr="003F3E0B">
        <w:rPr>
          <w:noProof/>
        </w:rPr>
        <w:tab/>
      </w:r>
      <w:r w:rsidRPr="003F3E0B">
        <w:rPr>
          <w:noProof/>
        </w:rPr>
        <w:fldChar w:fldCharType="begin"/>
      </w:r>
      <w:r w:rsidRPr="003F3E0B">
        <w:rPr>
          <w:noProof/>
        </w:rPr>
        <w:instrText xml:space="preserve"> PAGEREF _Toc64030397 \h </w:instrText>
      </w:r>
      <w:r w:rsidRPr="003F3E0B">
        <w:rPr>
          <w:noProof/>
        </w:rPr>
      </w:r>
      <w:r w:rsidRPr="003F3E0B">
        <w:rPr>
          <w:noProof/>
        </w:rPr>
        <w:fldChar w:fldCharType="separate"/>
      </w:r>
      <w:r w:rsidR="005364D5">
        <w:rPr>
          <w:noProof/>
        </w:rPr>
        <w:t>63</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3</w:t>
      </w:r>
      <w:r>
        <w:rPr>
          <w:noProof/>
        </w:rPr>
        <w:noBreakHyphen/>
        <w:t>45—Rules for particular industries and occupations</w:t>
      </w:r>
      <w:r w:rsidRPr="003F3E0B">
        <w:rPr>
          <w:b w:val="0"/>
          <w:noProof/>
          <w:sz w:val="18"/>
        </w:rPr>
        <w:tab/>
      </w:r>
      <w:r w:rsidRPr="003F3E0B">
        <w:rPr>
          <w:b w:val="0"/>
          <w:noProof/>
          <w:sz w:val="18"/>
        </w:rPr>
        <w:fldChar w:fldCharType="begin"/>
      </w:r>
      <w:r w:rsidRPr="003F3E0B">
        <w:rPr>
          <w:b w:val="0"/>
          <w:noProof/>
          <w:sz w:val="18"/>
        </w:rPr>
        <w:instrText xml:space="preserve"> PAGEREF _Toc64030398 \h </w:instrText>
      </w:r>
      <w:r w:rsidRPr="003F3E0B">
        <w:rPr>
          <w:b w:val="0"/>
          <w:noProof/>
          <w:sz w:val="18"/>
        </w:rPr>
      </w:r>
      <w:r w:rsidRPr="003F3E0B">
        <w:rPr>
          <w:b w:val="0"/>
          <w:noProof/>
          <w:sz w:val="18"/>
        </w:rPr>
        <w:fldChar w:fldCharType="separate"/>
      </w:r>
      <w:r w:rsidR="005364D5">
        <w:rPr>
          <w:b w:val="0"/>
          <w:noProof/>
          <w:sz w:val="18"/>
        </w:rPr>
        <w:t>64</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393—Farm management deposits</w:t>
      </w:r>
      <w:r w:rsidRPr="003F3E0B">
        <w:rPr>
          <w:b w:val="0"/>
          <w:noProof/>
          <w:sz w:val="18"/>
        </w:rPr>
        <w:tab/>
      </w:r>
      <w:r w:rsidRPr="003F3E0B">
        <w:rPr>
          <w:b w:val="0"/>
          <w:noProof/>
          <w:sz w:val="18"/>
        </w:rPr>
        <w:fldChar w:fldCharType="begin"/>
      </w:r>
      <w:r w:rsidRPr="003F3E0B">
        <w:rPr>
          <w:b w:val="0"/>
          <w:noProof/>
          <w:sz w:val="18"/>
        </w:rPr>
        <w:instrText xml:space="preserve"> PAGEREF _Toc64030399 \h </w:instrText>
      </w:r>
      <w:r w:rsidRPr="003F3E0B">
        <w:rPr>
          <w:b w:val="0"/>
          <w:noProof/>
          <w:sz w:val="18"/>
        </w:rPr>
      </w:r>
      <w:r w:rsidRPr="003F3E0B">
        <w:rPr>
          <w:b w:val="0"/>
          <w:noProof/>
          <w:sz w:val="18"/>
        </w:rPr>
        <w:fldChar w:fldCharType="separate"/>
      </w:r>
      <w:r w:rsidR="005364D5">
        <w:rPr>
          <w:b w:val="0"/>
          <w:noProof/>
          <w:sz w:val="18"/>
        </w:rPr>
        <w:t>64</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Pr>
          <w:noProof/>
        </w:rPr>
        <w:t>Subdivision 393</w:t>
      </w:r>
      <w:r>
        <w:rPr>
          <w:noProof/>
        </w:rPr>
        <w:noBreakHyphen/>
        <w:t>B—Meaning of farm management deposit and owner</w:t>
      </w:r>
      <w:r w:rsidRPr="003F3E0B">
        <w:rPr>
          <w:b w:val="0"/>
          <w:noProof/>
          <w:sz w:val="18"/>
        </w:rPr>
        <w:tab/>
      </w:r>
      <w:r w:rsidRPr="003F3E0B">
        <w:rPr>
          <w:b w:val="0"/>
          <w:noProof/>
          <w:sz w:val="18"/>
        </w:rPr>
        <w:fldChar w:fldCharType="begin"/>
      </w:r>
      <w:r w:rsidRPr="003F3E0B">
        <w:rPr>
          <w:b w:val="0"/>
          <w:noProof/>
          <w:sz w:val="18"/>
        </w:rPr>
        <w:instrText xml:space="preserve"> PAGEREF _Toc64030400 \h </w:instrText>
      </w:r>
      <w:r w:rsidRPr="003F3E0B">
        <w:rPr>
          <w:b w:val="0"/>
          <w:noProof/>
          <w:sz w:val="18"/>
        </w:rPr>
      </w:r>
      <w:r w:rsidRPr="003F3E0B">
        <w:rPr>
          <w:b w:val="0"/>
          <w:noProof/>
          <w:sz w:val="18"/>
        </w:rPr>
        <w:fldChar w:fldCharType="separate"/>
      </w:r>
      <w:r w:rsidR="005364D5">
        <w:rPr>
          <w:b w:val="0"/>
          <w:noProof/>
          <w:sz w:val="18"/>
        </w:rPr>
        <w:t>64</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393</w:t>
      </w:r>
      <w:r>
        <w:rPr>
          <w:noProof/>
        </w:rPr>
        <w:noBreakHyphen/>
        <w:t>20.01</w:t>
      </w:r>
      <w:r>
        <w:rPr>
          <w:noProof/>
        </w:rPr>
        <w:tab/>
        <w:t>Application form for a farm management deposit—information given by depositor</w:t>
      </w:r>
      <w:r w:rsidRPr="003F3E0B">
        <w:rPr>
          <w:noProof/>
        </w:rPr>
        <w:tab/>
      </w:r>
      <w:r w:rsidRPr="003F3E0B">
        <w:rPr>
          <w:noProof/>
        </w:rPr>
        <w:fldChar w:fldCharType="begin"/>
      </w:r>
      <w:r w:rsidRPr="003F3E0B">
        <w:rPr>
          <w:noProof/>
        </w:rPr>
        <w:instrText xml:space="preserve"> PAGEREF _Toc64030401 \h </w:instrText>
      </w:r>
      <w:r w:rsidRPr="003F3E0B">
        <w:rPr>
          <w:noProof/>
        </w:rPr>
      </w:r>
      <w:r w:rsidRPr="003F3E0B">
        <w:rPr>
          <w:noProof/>
        </w:rPr>
        <w:fldChar w:fldCharType="separate"/>
      </w:r>
      <w:r w:rsidR="005364D5">
        <w:rPr>
          <w:noProof/>
        </w:rPr>
        <w:t>64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393</w:t>
      </w:r>
      <w:r>
        <w:rPr>
          <w:noProof/>
        </w:rPr>
        <w:noBreakHyphen/>
        <w:t>20.02</w:t>
      </w:r>
      <w:r>
        <w:rPr>
          <w:noProof/>
        </w:rPr>
        <w:tab/>
        <w:t>Application form for a farm management deposit—information given to depositor</w:t>
      </w:r>
      <w:r w:rsidRPr="003F3E0B">
        <w:rPr>
          <w:noProof/>
        </w:rPr>
        <w:tab/>
      </w:r>
      <w:r w:rsidRPr="003F3E0B">
        <w:rPr>
          <w:noProof/>
        </w:rPr>
        <w:fldChar w:fldCharType="begin"/>
      </w:r>
      <w:r w:rsidRPr="003F3E0B">
        <w:rPr>
          <w:noProof/>
        </w:rPr>
        <w:instrText xml:space="preserve"> PAGEREF _Toc64030402 \h </w:instrText>
      </w:r>
      <w:r w:rsidRPr="003F3E0B">
        <w:rPr>
          <w:noProof/>
        </w:rPr>
      </w:r>
      <w:r w:rsidRPr="003F3E0B">
        <w:rPr>
          <w:noProof/>
        </w:rPr>
        <w:fldChar w:fldCharType="separate"/>
      </w:r>
      <w:r w:rsidR="005364D5">
        <w:rPr>
          <w:noProof/>
        </w:rPr>
        <w:t>64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lastRenderedPageBreak/>
        <w:t>393</w:t>
      </w:r>
      <w:r>
        <w:rPr>
          <w:noProof/>
        </w:rPr>
        <w:noBreakHyphen/>
        <w:t>40.01</w:t>
      </w:r>
      <w:r>
        <w:rPr>
          <w:noProof/>
        </w:rPr>
        <w:tab/>
        <w:t>Repayment of farm management deposit in the event of a natural disaster</w:t>
      </w:r>
      <w:r w:rsidRPr="003F3E0B">
        <w:rPr>
          <w:noProof/>
        </w:rPr>
        <w:tab/>
      </w:r>
      <w:r w:rsidRPr="003F3E0B">
        <w:rPr>
          <w:noProof/>
        </w:rPr>
        <w:fldChar w:fldCharType="begin"/>
      </w:r>
      <w:r w:rsidRPr="003F3E0B">
        <w:rPr>
          <w:noProof/>
        </w:rPr>
        <w:instrText xml:space="preserve"> PAGEREF _Toc64030403 \h </w:instrText>
      </w:r>
      <w:r w:rsidRPr="003F3E0B">
        <w:rPr>
          <w:noProof/>
        </w:rPr>
      </w:r>
      <w:r w:rsidRPr="003F3E0B">
        <w:rPr>
          <w:noProof/>
        </w:rPr>
        <w:fldChar w:fldCharType="separate"/>
      </w:r>
      <w:r w:rsidR="005364D5">
        <w:rPr>
          <w:noProof/>
        </w:rPr>
        <w:t>64</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Chapter 4—International aspects of income tax</w:t>
      </w:r>
      <w:r w:rsidRPr="003F3E0B">
        <w:rPr>
          <w:b w:val="0"/>
          <w:noProof/>
          <w:sz w:val="18"/>
        </w:rPr>
        <w:tab/>
      </w:r>
      <w:r w:rsidRPr="003F3E0B">
        <w:rPr>
          <w:b w:val="0"/>
          <w:noProof/>
          <w:sz w:val="18"/>
        </w:rPr>
        <w:fldChar w:fldCharType="begin"/>
      </w:r>
      <w:r w:rsidRPr="003F3E0B">
        <w:rPr>
          <w:b w:val="0"/>
          <w:noProof/>
          <w:sz w:val="18"/>
        </w:rPr>
        <w:instrText xml:space="preserve"> PAGEREF _Toc64030404 \h </w:instrText>
      </w:r>
      <w:r w:rsidRPr="003F3E0B">
        <w:rPr>
          <w:b w:val="0"/>
          <w:noProof/>
          <w:sz w:val="18"/>
        </w:rPr>
      </w:r>
      <w:r w:rsidRPr="003F3E0B">
        <w:rPr>
          <w:b w:val="0"/>
          <w:noProof/>
          <w:sz w:val="18"/>
        </w:rPr>
        <w:fldChar w:fldCharType="separate"/>
      </w:r>
      <w:r w:rsidR="005364D5">
        <w:rPr>
          <w:b w:val="0"/>
          <w:noProof/>
          <w:sz w:val="18"/>
        </w:rPr>
        <w:t>66</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4</w:t>
      </w:r>
      <w:r>
        <w:rPr>
          <w:noProof/>
        </w:rPr>
        <w:noBreakHyphen/>
        <w:t>5—General</w:t>
      </w:r>
      <w:r w:rsidRPr="003F3E0B">
        <w:rPr>
          <w:b w:val="0"/>
          <w:noProof/>
          <w:sz w:val="18"/>
        </w:rPr>
        <w:tab/>
      </w:r>
      <w:r w:rsidRPr="003F3E0B">
        <w:rPr>
          <w:b w:val="0"/>
          <w:noProof/>
          <w:sz w:val="18"/>
        </w:rPr>
        <w:fldChar w:fldCharType="begin"/>
      </w:r>
      <w:r w:rsidRPr="003F3E0B">
        <w:rPr>
          <w:b w:val="0"/>
          <w:noProof/>
          <w:sz w:val="18"/>
        </w:rPr>
        <w:instrText xml:space="preserve"> PAGEREF _Toc64030405 \h </w:instrText>
      </w:r>
      <w:r w:rsidRPr="003F3E0B">
        <w:rPr>
          <w:b w:val="0"/>
          <w:noProof/>
          <w:sz w:val="18"/>
        </w:rPr>
      </w:r>
      <w:r w:rsidRPr="003F3E0B">
        <w:rPr>
          <w:b w:val="0"/>
          <w:noProof/>
          <w:sz w:val="18"/>
        </w:rPr>
        <w:fldChar w:fldCharType="separate"/>
      </w:r>
      <w:r w:rsidR="005364D5">
        <w:rPr>
          <w:b w:val="0"/>
          <w:noProof/>
          <w:sz w:val="18"/>
        </w:rPr>
        <w:t>66</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775—Foreign currency gains and losses</w:t>
      </w:r>
      <w:r w:rsidRPr="003F3E0B">
        <w:rPr>
          <w:b w:val="0"/>
          <w:noProof/>
          <w:sz w:val="18"/>
        </w:rPr>
        <w:tab/>
      </w:r>
      <w:r w:rsidRPr="003F3E0B">
        <w:rPr>
          <w:b w:val="0"/>
          <w:noProof/>
          <w:sz w:val="18"/>
        </w:rPr>
        <w:fldChar w:fldCharType="begin"/>
      </w:r>
      <w:r w:rsidRPr="003F3E0B">
        <w:rPr>
          <w:b w:val="0"/>
          <w:noProof/>
          <w:sz w:val="18"/>
        </w:rPr>
        <w:instrText xml:space="preserve"> PAGEREF _Toc64030406 \h </w:instrText>
      </w:r>
      <w:r w:rsidRPr="003F3E0B">
        <w:rPr>
          <w:b w:val="0"/>
          <w:noProof/>
          <w:sz w:val="18"/>
        </w:rPr>
      </w:r>
      <w:r w:rsidRPr="003F3E0B">
        <w:rPr>
          <w:b w:val="0"/>
          <w:noProof/>
          <w:sz w:val="18"/>
        </w:rPr>
        <w:fldChar w:fldCharType="separate"/>
      </w:r>
      <w:r w:rsidR="005364D5">
        <w:rPr>
          <w:b w:val="0"/>
          <w:noProof/>
          <w:sz w:val="18"/>
        </w:rPr>
        <w:t>66</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775</w:t>
      </w:r>
      <w:r w:rsidRPr="00C62C95">
        <w:rPr>
          <w:rFonts w:eastAsiaTheme="majorEastAsia"/>
          <w:noProof/>
        </w:rPr>
        <w:noBreakHyphen/>
        <w:t>B</w:t>
      </w:r>
      <w:r>
        <w:rPr>
          <w:noProof/>
        </w:rPr>
        <w:t>—</w:t>
      </w:r>
      <w:r w:rsidRPr="00C62C95">
        <w:rPr>
          <w:rFonts w:eastAsiaTheme="majorEastAsia"/>
          <w:noProof/>
        </w:rPr>
        <w:t>Realisation of forex gains or losses</w:t>
      </w:r>
      <w:r w:rsidRPr="003F3E0B">
        <w:rPr>
          <w:b w:val="0"/>
          <w:noProof/>
          <w:sz w:val="18"/>
        </w:rPr>
        <w:tab/>
      </w:r>
      <w:r w:rsidRPr="003F3E0B">
        <w:rPr>
          <w:b w:val="0"/>
          <w:noProof/>
          <w:sz w:val="18"/>
        </w:rPr>
        <w:fldChar w:fldCharType="begin"/>
      </w:r>
      <w:r w:rsidRPr="003F3E0B">
        <w:rPr>
          <w:b w:val="0"/>
          <w:noProof/>
          <w:sz w:val="18"/>
        </w:rPr>
        <w:instrText xml:space="preserve"> PAGEREF _Toc64030407 \h </w:instrText>
      </w:r>
      <w:r w:rsidRPr="003F3E0B">
        <w:rPr>
          <w:b w:val="0"/>
          <w:noProof/>
          <w:sz w:val="18"/>
        </w:rPr>
      </w:r>
      <w:r w:rsidRPr="003F3E0B">
        <w:rPr>
          <w:b w:val="0"/>
          <w:noProof/>
          <w:sz w:val="18"/>
        </w:rPr>
        <w:fldChar w:fldCharType="separate"/>
      </w:r>
      <w:r w:rsidR="005364D5">
        <w:rPr>
          <w:b w:val="0"/>
          <w:noProof/>
          <w:sz w:val="18"/>
        </w:rPr>
        <w:t>66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775</w:t>
      </w:r>
      <w:r>
        <w:rPr>
          <w:noProof/>
        </w:rPr>
        <w:noBreakHyphen/>
        <w:t>145.01</w:t>
      </w:r>
      <w:r>
        <w:rPr>
          <w:noProof/>
        </w:rPr>
        <w:tab/>
        <w:t>Application of forex events to currency and fungible rights and obligations</w:t>
      </w:r>
      <w:r w:rsidRPr="003F3E0B">
        <w:rPr>
          <w:noProof/>
        </w:rPr>
        <w:tab/>
      </w:r>
      <w:r w:rsidRPr="003F3E0B">
        <w:rPr>
          <w:noProof/>
        </w:rPr>
        <w:fldChar w:fldCharType="begin"/>
      </w:r>
      <w:r w:rsidRPr="003F3E0B">
        <w:rPr>
          <w:noProof/>
        </w:rPr>
        <w:instrText xml:space="preserve"> PAGEREF _Toc64030408 \h </w:instrText>
      </w:r>
      <w:r w:rsidRPr="003F3E0B">
        <w:rPr>
          <w:noProof/>
        </w:rPr>
      </w:r>
      <w:r w:rsidRPr="003F3E0B">
        <w:rPr>
          <w:noProof/>
        </w:rPr>
        <w:fldChar w:fldCharType="separate"/>
      </w:r>
      <w:r w:rsidR="005364D5">
        <w:rPr>
          <w:noProof/>
        </w:rPr>
        <w:t>66</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830—Foreign hybrids</w:t>
      </w:r>
      <w:r w:rsidRPr="003F3E0B">
        <w:rPr>
          <w:b w:val="0"/>
          <w:noProof/>
          <w:sz w:val="18"/>
        </w:rPr>
        <w:tab/>
      </w:r>
      <w:r w:rsidRPr="003F3E0B">
        <w:rPr>
          <w:b w:val="0"/>
          <w:noProof/>
          <w:sz w:val="18"/>
        </w:rPr>
        <w:fldChar w:fldCharType="begin"/>
      </w:r>
      <w:r w:rsidRPr="003F3E0B">
        <w:rPr>
          <w:b w:val="0"/>
          <w:noProof/>
          <w:sz w:val="18"/>
        </w:rPr>
        <w:instrText xml:space="preserve"> PAGEREF _Toc64030409 \h </w:instrText>
      </w:r>
      <w:r w:rsidRPr="003F3E0B">
        <w:rPr>
          <w:b w:val="0"/>
          <w:noProof/>
          <w:sz w:val="18"/>
        </w:rPr>
      </w:r>
      <w:r w:rsidRPr="003F3E0B">
        <w:rPr>
          <w:b w:val="0"/>
          <w:noProof/>
          <w:sz w:val="18"/>
        </w:rPr>
        <w:fldChar w:fldCharType="separate"/>
      </w:r>
      <w:r w:rsidR="005364D5">
        <w:rPr>
          <w:b w:val="0"/>
          <w:noProof/>
          <w:sz w:val="18"/>
        </w:rPr>
        <w:t>68</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830</w:t>
      </w:r>
      <w:r w:rsidRPr="00C62C95">
        <w:rPr>
          <w:rFonts w:eastAsiaTheme="majorEastAsia"/>
          <w:noProof/>
        </w:rPr>
        <w:noBreakHyphen/>
        <w:t>A</w:t>
      </w:r>
      <w:r>
        <w:rPr>
          <w:noProof/>
        </w:rPr>
        <w:t>—</w:t>
      </w:r>
      <w:r w:rsidRPr="00C62C95">
        <w:rPr>
          <w:rFonts w:eastAsiaTheme="majorEastAsia"/>
          <w:noProof/>
        </w:rPr>
        <w:t>Meaning of “foreign hybrid”</w:t>
      </w:r>
      <w:r w:rsidRPr="003F3E0B">
        <w:rPr>
          <w:b w:val="0"/>
          <w:noProof/>
          <w:sz w:val="18"/>
        </w:rPr>
        <w:tab/>
      </w:r>
      <w:r w:rsidRPr="003F3E0B">
        <w:rPr>
          <w:b w:val="0"/>
          <w:noProof/>
          <w:sz w:val="18"/>
        </w:rPr>
        <w:fldChar w:fldCharType="begin"/>
      </w:r>
      <w:r w:rsidRPr="003F3E0B">
        <w:rPr>
          <w:b w:val="0"/>
          <w:noProof/>
          <w:sz w:val="18"/>
        </w:rPr>
        <w:instrText xml:space="preserve"> PAGEREF _Toc64030410 \h </w:instrText>
      </w:r>
      <w:r w:rsidRPr="003F3E0B">
        <w:rPr>
          <w:b w:val="0"/>
          <w:noProof/>
          <w:sz w:val="18"/>
        </w:rPr>
      </w:r>
      <w:r w:rsidRPr="003F3E0B">
        <w:rPr>
          <w:b w:val="0"/>
          <w:noProof/>
          <w:sz w:val="18"/>
        </w:rPr>
        <w:fldChar w:fldCharType="separate"/>
      </w:r>
      <w:r w:rsidR="005364D5">
        <w:rPr>
          <w:b w:val="0"/>
          <w:noProof/>
          <w:sz w:val="18"/>
        </w:rPr>
        <w:t>68</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830</w:t>
      </w:r>
      <w:r>
        <w:rPr>
          <w:noProof/>
        </w:rPr>
        <w:noBreakHyphen/>
        <w:t>15.01</w:t>
      </w:r>
      <w:r>
        <w:rPr>
          <w:noProof/>
        </w:rPr>
        <w:tab/>
        <w:t>Foreign hybrid company</w:t>
      </w:r>
      <w:r w:rsidRPr="003F3E0B">
        <w:rPr>
          <w:noProof/>
        </w:rPr>
        <w:tab/>
      </w:r>
      <w:r w:rsidRPr="003F3E0B">
        <w:rPr>
          <w:noProof/>
        </w:rPr>
        <w:fldChar w:fldCharType="begin"/>
      </w:r>
      <w:r w:rsidRPr="003F3E0B">
        <w:rPr>
          <w:noProof/>
        </w:rPr>
        <w:instrText xml:space="preserve"> PAGEREF _Toc64030411 \h </w:instrText>
      </w:r>
      <w:r w:rsidRPr="003F3E0B">
        <w:rPr>
          <w:noProof/>
        </w:rPr>
      </w:r>
      <w:r w:rsidRPr="003F3E0B">
        <w:rPr>
          <w:noProof/>
        </w:rPr>
        <w:fldChar w:fldCharType="separate"/>
      </w:r>
      <w:r w:rsidR="005364D5">
        <w:rPr>
          <w:noProof/>
        </w:rPr>
        <w:t>68</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Chapter 6—The Dictionary</w:t>
      </w:r>
      <w:r w:rsidRPr="003F3E0B">
        <w:rPr>
          <w:b w:val="0"/>
          <w:noProof/>
          <w:sz w:val="18"/>
        </w:rPr>
        <w:tab/>
      </w:r>
      <w:r w:rsidRPr="003F3E0B">
        <w:rPr>
          <w:b w:val="0"/>
          <w:noProof/>
          <w:sz w:val="18"/>
        </w:rPr>
        <w:fldChar w:fldCharType="begin"/>
      </w:r>
      <w:r w:rsidRPr="003F3E0B">
        <w:rPr>
          <w:b w:val="0"/>
          <w:noProof/>
          <w:sz w:val="18"/>
        </w:rPr>
        <w:instrText xml:space="preserve"> PAGEREF _Toc64030412 \h </w:instrText>
      </w:r>
      <w:r w:rsidRPr="003F3E0B">
        <w:rPr>
          <w:b w:val="0"/>
          <w:noProof/>
          <w:sz w:val="18"/>
        </w:rPr>
      </w:r>
      <w:r w:rsidRPr="003F3E0B">
        <w:rPr>
          <w:b w:val="0"/>
          <w:noProof/>
          <w:sz w:val="18"/>
        </w:rPr>
        <w:fldChar w:fldCharType="separate"/>
      </w:r>
      <w:r w:rsidR="005364D5">
        <w:rPr>
          <w:b w:val="0"/>
          <w:noProof/>
          <w:sz w:val="18"/>
        </w:rPr>
        <w:t>69</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6</w:t>
      </w:r>
      <w:r>
        <w:rPr>
          <w:noProof/>
        </w:rPr>
        <w:noBreakHyphen/>
        <w:t>1—Concepts and topics</w:t>
      </w:r>
      <w:r w:rsidRPr="003F3E0B">
        <w:rPr>
          <w:b w:val="0"/>
          <w:noProof/>
          <w:sz w:val="18"/>
        </w:rPr>
        <w:tab/>
      </w:r>
      <w:r w:rsidRPr="003F3E0B">
        <w:rPr>
          <w:b w:val="0"/>
          <w:noProof/>
          <w:sz w:val="18"/>
        </w:rPr>
        <w:fldChar w:fldCharType="begin"/>
      </w:r>
      <w:r w:rsidRPr="003F3E0B">
        <w:rPr>
          <w:b w:val="0"/>
          <w:noProof/>
          <w:sz w:val="18"/>
        </w:rPr>
        <w:instrText xml:space="preserve"> PAGEREF _Toc64030413 \h </w:instrText>
      </w:r>
      <w:r w:rsidRPr="003F3E0B">
        <w:rPr>
          <w:b w:val="0"/>
          <w:noProof/>
          <w:sz w:val="18"/>
        </w:rPr>
      </w:r>
      <w:r w:rsidRPr="003F3E0B">
        <w:rPr>
          <w:b w:val="0"/>
          <w:noProof/>
          <w:sz w:val="18"/>
        </w:rPr>
        <w:fldChar w:fldCharType="separate"/>
      </w:r>
      <w:r w:rsidR="005364D5">
        <w:rPr>
          <w:b w:val="0"/>
          <w:noProof/>
          <w:sz w:val="18"/>
        </w:rPr>
        <w:t>69</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960—General</w:t>
      </w:r>
      <w:r w:rsidRPr="003F3E0B">
        <w:rPr>
          <w:b w:val="0"/>
          <w:noProof/>
          <w:sz w:val="18"/>
        </w:rPr>
        <w:tab/>
      </w:r>
      <w:r w:rsidRPr="003F3E0B">
        <w:rPr>
          <w:b w:val="0"/>
          <w:noProof/>
          <w:sz w:val="18"/>
        </w:rPr>
        <w:fldChar w:fldCharType="begin"/>
      </w:r>
      <w:r w:rsidRPr="003F3E0B">
        <w:rPr>
          <w:b w:val="0"/>
          <w:noProof/>
          <w:sz w:val="18"/>
        </w:rPr>
        <w:instrText xml:space="preserve"> PAGEREF _Toc64030414 \h </w:instrText>
      </w:r>
      <w:r w:rsidRPr="003F3E0B">
        <w:rPr>
          <w:b w:val="0"/>
          <w:noProof/>
          <w:sz w:val="18"/>
        </w:rPr>
      </w:r>
      <w:r w:rsidRPr="003F3E0B">
        <w:rPr>
          <w:b w:val="0"/>
          <w:noProof/>
          <w:sz w:val="18"/>
        </w:rPr>
        <w:fldChar w:fldCharType="separate"/>
      </w:r>
      <w:r w:rsidR="005364D5">
        <w:rPr>
          <w:b w:val="0"/>
          <w:noProof/>
          <w:sz w:val="18"/>
        </w:rPr>
        <w:t>69</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960</w:t>
      </w:r>
      <w:r w:rsidRPr="00C62C95">
        <w:rPr>
          <w:rFonts w:eastAsiaTheme="majorEastAsia"/>
          <w:noProof/>
        </w:rPr>
        <w:noBreakHyphen/>
        <w:t>C</w:t>
      </w:r>
      <w:r>
        <w:rPr>
          <w:noProof/>
        </w:rPr>
        <w:t>—</w:t>
      </w:r>
      <w:r w:rsidRPr="00C62C95">
        <w:rPr>
          <w:rFonts w:eastAsiaTheme="majorEastAsia"/>
          <w:noProof/>
        </w:rPr>
        <w:t>Foreign currency</w:t>
      </w:r>
      <w:r w:rsidRPr="003F3E0B">
        <w:rPr>
          <w:b w:val="0"/>
          <w:noProof/>
          <w:sz w:val="18"/>
        </w:rPr>
        <w:tab/>
      </w:r>
      <w:r w:rsidRPr="003F3E0B">
        <w:rPr>
          <w:b w:val="0"/>
          <w:noProof/>
          <w:sz w:val="18"/>
        </w:rPr>
        <w:fldChar w:fldCharType="begin"/>
      </w:r>
      <w:r w:rsidRPr="003F3E0B">
        <w:rPr>
          <w:b w:val="0"/>
          <w:noProof/>
          <w:sz w:val="18"/>
        </w:rPr>
        <w:instrText xml:space="preserve"> PAGEREF _Toc64030415 \h </w:instrText>
      </w:r>
      <w:r w:rsidRPr="003F3E0B">
        <w:rPr>
          <w:b w:val="0"/>
          <w:noProof/>
          <w:sz w:val="18"/>
        </w:rPr>
      </w:r>
      <w:r w:rsidRPr="003F3E0B">
        <w:rPr>
          <w:b w:val="0"/>
          <w:noProof/>
          <w:sz w:val="18"/>
        </w:rPr>
        <w:fldChar w:fldCharType="separate"/>
      </w:r>
      <w:r w:rsidR="005364D5">
        <w:rPr>
          <w:b w:val="0"/>
          <w:noProof/>
          <w:sz w:val="18"/>
        </w:rPr>
        <w:t>69</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960</w:t>
      </w:r>
      <w:r>
        <w:rPr>
          <w:noProof/>
        </w:rPr>
        <w:noBreakHyphen/>
        <w:t>50.01</w:t>
      </w:r>
      <w:r>
        <w:rPr>
          <w:noProof/>
        </w:rPr>
        <w:tab/>
        <w:t>Translation of foreign currency amounts into Australian currency—modification of special translation rules</w:t>
      </w:r>
      <w:r w:rsidRPr="003F3E0B">
        <w:rPr>
          <w:noProof/>
        </w:rPr>
        <w:tab/>
      </w:r>
      <w:r w:rsidRPr="003F3E0B">
        <w:rPr>
          <w:noProof/>
        </w:rPr>
        <w:fldChar w:fldCharType="begin"/>
      </w:r>
      <w:r w:rsidRPr="003F3E0B">
        <w:rPr>
          <w:noProof/>
        </w:rPr>
        <w:instrText xml:space="preserve"> PAGEREF _Toc64030416 \h </w:instrText>
      </w:r>
      <w:r w:rsidRPr="003F3E0B">
        <w:rPr>
          <w:noProof/>
        </w:rPr>
      </w:r>
      <w:r w:rsidRPr="003F3E0B">
        <w:rPr>
          <w:noProof/>
        </w:rPr>
        <w:fldChar w:fldCharType="separate"/>
      </w:r>
      <w:r w:rsidR="005364D5">
        <w:rPr>
          <w:noProof/>
        </w:rPr>
        <w:t>69</w:t>
      </w:r>
      <w:r w:rsidRPr="003F3E0B">
        <w:rPr>
          <w:noProof/>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960</w:t>
      </w:r>
      <w:r w:rsidRPr="00C62C95">
        <w:rPr>
          <w:rFonts w:eastAsiaTheme="majorEastAsia"/>
          <w:noProof/>
        </w:rPr>
        <w:noBreakHyphen/>
        <w:t>D</w:t>
      </w:r>
      <w:r>
        <w:rPr>
          <w:noProof/>
        </w:rPr>
        <w:t>—</w:t>
      </w:r>
      <w:r w:rsidRPr="00C62C95">
        <w:rPr>
          <w:rFonts w:eastAsiaTheme="majorEastAsia"/>
          <w:noProof/>
        </w:rPr>
        <w:t>Functional currency</w:t>
      </w:r>
      <w:r w:rsidRPr="003F3E0B">
        <w:rPr>
          <w:b w:val="0"/>
          <w:noProof/>
          <w:sz w:val="18"/>
        </w:rPr>
        <w:tab/>
      </w:r>
      <w:r w:rsidRPr="003F3E0B">
        <w:rPr>
          <w:b w:val="0"/>
          <w:noProof/>
          <w:sz w:val="18"/>
        </w:rPr>
        <w:fldChar w:fldCharType="begin"/>
      </w:r>
      <w:r w:rsidRPr="003F3E0B">
        <w:rPr>
          <w:b w:val="0"/>
          <w:noProof/>
          <w:sz w:val="18"/>
        </w:rPr>
        <w:instrText xml:space="preserve"> PAGEREF _Toc64030417 \h </w:instrText>
      </w:r>
      <w:r w:rsidRPr="003F3E0B">
        <w:rPr>
          <w:b w:val="0"/>
          <w:noProof/>
          <w:sz w:val="18"/>
        </w:rPr>
      </w:r>
      <w:r w:rsidRPr="003F3E0B">
        <w:rPr>
          <w:b w:val="0"/>
          <w:noProof/>
          <w:sz w:val="18"/>
        </w:rPr>
        <w:fldChar w:fldCharType="separate"/>
      </w:r>
      <w:r w:rsidR="005364D5">
        <w:rPr>
          <w:b w:val="0"/>
          <w:noProof/>
          <w:sz w:val="18"/>
        </w:rPr>
        <w:t>70</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960</w:t>
      </w:r>
      <w:r>
        <w:rPr>
          <w:noProof/>
        </w:rPr>
        <w:noBreakHyphen/>
        <w:t>80.01</w:t>
      </w:r>
      <w:r>
        <w:rPr>
          <w:noProof/>
        </w:rPr>
        <w:tab/>
        <w:t>Translation rules—translation into applicable functional currency</w:t>
      </w:r>
      <w:r w:rsidRPr="003F3E0B">
        <w:rPr>
          <w:noProof/>
        </w:rPr>
        <w:tab/>
      </w:r>
      <w:r w:rsidRPr="003F3E0B">
        <w:rPr>
          <w:noProof/>
        </w:rPr>
        <w:fldChar w:fldCharType="begin"/>
      </w:r>
      <w:r w:rsidRPr="003F3E0B">
        <w:rPr>
          <w:noProof/>
        </w:rPr>
        <w:instrText xml:space="preserve"> PAGEREF _Toc64030418 \h </w:instrText>
      </w:r>
      <w:r w:rsidRPr="003F3E0B">
        <w:rPr>
          <w:noProof/>
        </w:rPr>
      </w:r>
      <w:r w:rsidRPr="003F3E0B">
        <w:rPr>
          <w:noProof/>
        </w:rPr>
        <w:fldChar w:fldCharType="separate"/>
      </w:r>
      <w:r w:rsidR="005364D5">
        <w:rPr>
          <w:noProof/>
        </w:rPr>
        <w:t>70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960</w:t>
      </w:r>
      <w:r>
        <w:rPr>
          <w:noProof/>
        </w:rPr>
        <w:noBreakHyphen/>
        <w:t>80.02</w:t>
      </w:r>
      <w:r>
        <w:rPr>
          <w:noProof/>
        </w:rPr>
        <w:tab/>
        <w:t>Translation rules for an attributable taxpayer of a CFC—translation into applicable functional currency</w:t>
      </w:r>
      <w:r w:rsidRPr="003F3E0B">
        <w:rPr>
          <w:noProof/>
        </w:rPr>
        <w:tab/>
      </w:r>
      <w:r w:rsidRPr="003F3E0B">
        <w:rPr>
          <w:noProof/>
        </w:rPr>
        <w:fldChar w:fldCharType="begin"/>
      </w:r>
      <w:r w:rsidRPr="003F3E0B">
        <w:rPr>
          <w:noProof/>
        </w:rPr>
        <w:instrText xml:space="preserve"> PAGEREF _Toc64030419 \h </w:instrText>
      </w:r>
      <w:r w:rsidRPr="003F3E0B">
        <w:rPr>
          <w:noProof/>
        </w:rPr>
      </w:r>
      <w:r w:rsidRPr="003F3E0B">
        <w:rPr>
          <w:noProof/>
        </w:rPr>
        <w:fldChar w:fldCharType="separate"/>
      </w:r>
      <w:r w:rsidR="005364D5">
        <w:rPr>
          <w:noProof/>
        </w:rPr>
        <w:t>71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960</w:t>
      </w:r>
      <w:r>
        <w:rPr>
          <w:noProof/>
        </w:rPr>
        <w:noBreakHyphen/>
        <w:t>80.03</w:t>
      </w:r>
      <w:r>
        <w:rPr>
          <w:noProof/>
        </w:rPr>
        <w:tab/>
        <w:t>Translation rules—translation from applicable functional currency into Australian currency</w:t>
      </w:r>
      <w:r w:rsidRPr="003F3E0B">
        <w:rPr>
          <w:noProof/>
        </w:rPr>
        <w:tab/>
      </w:r>
      <w:r w:rsidRPr="003F3E0B">
        <w:rPr>
          <w:noProof/>
        </w:rPr>
        <w:fldChar w:fldCharType="begin"/>
      </w:r>
      <w:r w:rsidRPr="003F3E0B">
        <w:rPr>
          <w:noProof/>
        </w:rPr>
        <w:instrText xml:space="preserve"> PAGEREF _Toc64030420 \h </w:instrText>
      </w:r>
      <w:r w:rsidRPr="003F3E0B">
        <w:rPr>
          <w:noProof/>
        </w:rPr>
      </w:r>
      <w:r w:rsidRPr="003F3E0B">
        <w:rPr>
          <w:noProof/>
        </w:rPr>
        <w:fldChar w:fldCharType="separate"/>
      </w:r>
      <w:r w:rsidR="005364D5">
        <w:rPr>
          <w:noProof/>
        </w:rPr>
        <w:t>71</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974—Debt and equity interests</w:t>
      </w:r>
      <w:r w:rsidRPr="003F3E0B">
        <w:rPr>
          <w:b w:val="0"/>
          <w:noProof/>
          <w:sz w:val="18"/>
        </w:rPr>
        <w:tab/>
      </w:r>
      <w:r w:rsidRPr="003F3E0B">
        <w:rPr>
          <w:b w:val="0"/>
          <w:noProof/>
          <w:sz w:val="18"/>
        </w:rPr>
        <w:fldChar w:fldCharType="begin"/>
      </w:r>
      <w:r w:rsidRPr="003F3E0B">
        <w:rPr>
          <w:b w:val="0"/>
          <w:noProof/>
          <w:sz w:val="18"/>
        </w:rPr>
        <w:instrText xml:space="preserve"> PAGEREF _Toc64030421 \h </w:instrText>
      </w:r>
      <w:r w:rsidRPr="003F3E0B">
        <w:rPr>
          <w:b w:val="0"/>
          <w:noProof/>
          <w:sz w:val="18"/>
        </w:rPr>
      </w:r>
      <w:r w:rsidRPr="003F3E0B">
        <w:rPr>
          <w:b w:val="0"/>
          <w:noProof/>
          <w:sz w:val="18"/>
        </w:rPr>
        <w:fldChar w:fldCharType="separate"/>
      </w:r>
      <w:r w:rsidR="005364D5">
        <w:rPr>
          <w:b w:val="0"/>
          <w:noProof/>
          <w:sz w:val="18"/>
        </w:rPr>
        <w:t>72</w:t>
      </w:r>
      <w:r w:rsidRPr="003F3E0B">
        <w:rPr>
          <w:b w:val="0"/>
          <w:noProof/>
          <w:sz w:val="18"/>
        </w:rPr>
        <w:fldChar w:fldCharType="end"/>
      </w:r>
    </w:p>
    <w:p w:rsidR="003F3E0B" w:rsidRDefault="003F3E0B">
      <w:pPr>
        <w:pStyle w:val="TOC4"/>
        <w:rPr>
          <w:rFonts w:asciiTheme="minorHAnsi" w:eastAsiaTheme="minorEastAsia" w:hAnsiTheme="minorHAnsi" w:cstheme="minorBidi"/>
          <w:b w:val="0"/>
          <w:noProof/>
          <w:kern w:val="0"/>
          <w:sz w:val="22"/>
          <w:szCs w:val="22"/>
        </w:rPr>
      </w:pPr>
      <w:r w:rsidRPr="00C62C95">
        <w:rPr>
          <w:rFonts w:eastAsiaTheme="majorEastAsia"/>
          <w:noProof/>
        </w:rPr>
        <w:t>Subdivision 974</w:t>
      </w:r>
      <w:r w:rsidRPr="00C62C95">
        <w:rPr>
          <w:rFonts w:eastAsiaTheme="majorEastAsia"/>
          <w:noProof/>
        </w:rPr>
        <w:noBreakHyphen/>
        <w:t>F</w:t>
      </w:r>
      <w:r>
        <w:rPr>
          <w:noProof/>
        </w:rPr>
        <w:t>—</w:t>
      </w:r>
      <w:r w:rsidRPr="00C62C95">
        <w:rPr>
          <w:rFonts w:eastAsiaTheme="majorEastAsia"/>
          <w:noProof/>
        </w:rPr>
        <w:t>Related concepts</w:t>
      </w:r>
      <w:r w:rsidRPr="003F3E0B">
        <w:rPr>
          <w:b w:val="0"/>
          <w:noProof/>
          <w:sz w:val="18"/>
        </w:rPr>
        <w:tab/>
      </w:r>
      <w:r w:rsidRPr="003F3E0B">
        <w:rPr>
          <w:b w:val="0"/>
          <w:noProof/>
          <w:sz w:val="18"/>
        </w:rPr>
        <w:fldChar w:fldCharType="begin"/>
      </w:r>
      <w:r w:rsidRPr="003F3E0B">
        <w:rPr>
          <w:b w:val="0"/>
          <w:noProof/>
          <w:sz w:val="18"/>
        </w:rPr>
        <w:instrText xml:space="preserve"> PAGEREF _Toc64030422 \h </w:instrText>
      </w:r>
      <w:r w:rsidRPr="003F3E0B">
        <w:rPr>
          <w:b w:val="0"/>
          <w:noProof/>
          <w:sz w:val="18"/>
        </w:rPr>
      </w:r>
      <w:r w:rsidRPr="003F3E0B">
        <w:rPr>
          <w:b w:val="0"/>
          <w:noProof/>
          <w:sz w:val="18"/>
        </w:rPr>
        <w:fldChar w:fldCharType="separate"/>
      </w:r>
      <w:r w:rsidR="005364D5">
        <w:rPr>
          <w:b w:val="0"/>
          <w:noProof/>
          <w:sz w:val="18"/>
        </w:rPr>
        <w:t>72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974</w:t>
      </w:r>
      <w:r>
        <w:rPr>
          <w:noProof/>
        </w:rPr>
        <w:noBreakHyphen/>
        <w:t>135.01</w:t>
      </w:r>
      <w:r>
        <w:rPr>
          <w:noProof/>
        </w:rPr>
        <w:tab/>
        <w:t>Non</w:t>
      </w:r>
      <w:r>
        <w:rPr>
          <w:noProof/>
        </w:rPr>
        <w:noBreakHyphen/>
        <w:t>cumulative redeemable preference shares issued by credit union or mutual building society</w:t>
      </w:r>
      <w:r w:rsidRPr="003F3E0B">
        <w:rPr>
          <w:noProof/>
        </w:rPr>
        <w:tab/>
      </w:r>
      <w:r w:rsidRPr="003F3E0B">
        <w:rPr>
          <w:noProof/>
        </w:rPr>
        <w:fldChar w:fldCharType="begin"/>
      </w:r>
      <w:r w:rsidRPr="003F3E0B">
        <w:rPr>
          <w:noProof/>
        </w:rPr>
        <w:instrText xml:space="preserve"> PAGEREF _Toc64030423 \h </w:instrText>
      </w:r>
      <w:r w:rsidRPr="003F3E0B">
        <w:rPr>
          <w:noProof/>
        </w:rPr>
      </w:r>
      <w:r w:rsidRPr="003F3E0B">
        <w:rPr>
          <w:noProof/>
        </w:rPr>
        <w:fldChar w:fldCharType="separate"/>
      </w:r>
      <w:r w:rsidR="005364D5">
        <w:rPr>
          <w:noProof/>
        </w:rPr>
        <w:t>72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974</w:t>
      </w:r>
      <w:r>
        <w:rPr>
          <w:noProof/>
        </w:rPr>
        <w:noBreakHyphen/>
        <w:t>135.02</w:t>
      </w:r>
      <w:r>
        <w:rPr>
          <w:noProof/>
        </w:rPr>
        <w:tab/>
        <w:t>Redeemable preference shares</w:t>
      </w:r>
      <w:r w:rsidRPr="003F3E0B">
        <w:rPr>
          <w:noProof/>
        </w:rPr>
        <w:tab/>
      </w:r>
      <w:r w:rsidRPr="003F3E0B">
        <w:rPr>
          <w:noProof/>
        </w:rPr>
        <w:fldChar w:fldCharType="begin"/>
      </w:r>
      <w:r w:rsidRPr="003F3E0B">
        <w:rPr>
          <w:noProof/>
        </w:rPr>
        <w:instrText xml:space="preserve"> PAGEREF _Toc64030424 \h </w:instrText>
      </w:r>
      <w:r w:rsidRPr="003F3E0B">
        <w:rPr>
          <w:noProof/>
        </w:rPr>
      </w:r>
      <w:r w:rsidRPr="003F3E0B">
        <w:rPr>
          <w:noProof/>
        </w:rPr>
        <w:fldChar w:fldCharType="separate"/>
      </w:r>
      <w:r w:rsidR="005364D5">
        <w:rPr>
          <w:noProof/>
        </w:rPr>
        <w:t>72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974</w:t>
      </w:r>
      <w:r>
        <w:rPr>
          <w:noProof/>
        </w:rPr>
        <w:noBreakHyphen/>
        <w:t>135.03</w:t>
      </w:r>
      <w:r>
        <w:rPr>
          <w:noProof/>
        </w:rPr>
        <w:tab/>
        <w:t>Term cumulative subordinated note with insolvency or capital adequacy conditions</w:t>
      </w:r>
      <w:r w:rsidRPr="003F3E0B">
        <w:rPr>
          <w:noProof/>
        </w:rPr>
        <w:tab/>
      </w:r>
      <w:r w:rsidRPr="003F3E0B">
        <w:rPr>
          <w:noProof/>
        </w:rPr>
        <w:fldChar w:fldCharType="begin"/>
      </w:r>
      <w:r w:rsidRPr="003F3E0B">
        <w:rPr>
          <w:noProof/>
        </w:rPr>
        <w:instrText xml:space="preserve"> PAGEREF _Toc64030425 \h </w:instrText>
      </w:r>
      <w:r w:rsidRPr="003F3E0B">
        <w:rPr>
          <w:noProof/>
        </w:rPr>
      </w:r>
      <w:r w:rsidRPr="003F3E0B">
        <w:rPr>
          <w:noProof/>
        </w:rPr>
        <w:fldChar w:fldCharType="separate"/>
      </w:r>
      <w:r w:rsidR="005364D5">
        <w:rPr>
          <w:noProof/>
        </w:rPr>
        <w:t>73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974</w:t>
      </w:r>
      <w:r>
        <w:rPr>
          <w:noProof/>
        </w:rPr>
        <w:noBreakHyphen/>
        <w:t>135.04</w:t>
      </w:r>
      <w:r>
        <w:rPr>
          <w:noProof/>
        </w:rPr>
        <w:tab/>
        <w:t>Perpetual cumulative subordinated note with profitability, insolvency or negative earnings conditions</w:t>
      </w:r>
      <w:r w:rsidRPr="003F3E0B">
        <w:rPr>
          <w:noProof/>
        </w:rPr>
        <w:tab/>
      </w:r>
      <w:r w:rsidRPr="003F3E0B">
        <w:rPr>
          <w:noProof/>
        </w:rPr>
        <w:fldChar w:fldCharType="begin"/>
      </w:r>
      <w:r w:rsidRPr="003F3E0B">
        <w:rPr>
          <w:noProof/>
        </w:rPr>
        <w:instrText xml:space="preserve"> PAGEREF _Toc64030426 \h </w:instrText>
      </w:r>
      <w:r w:rsidRPr="003F3E0B">
        <w:rPr>
          <w:noProof/>
        </w:rPr>
      </w:r>
      <w:r w:rsidRPr="003F3E0B">
        <w:rPr>
          <w:noProof/>
        </w:rPr>
        <w:fldChar w:fldCharType="separate"/>
      </w:r>
      <w:r w:rsidR="005364D5">
        <w:rPr>
          <w:noProof/>
        </w:rPr>
        <w:t>74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974</w:t>
      </w:r>
      <w:r>
        <w:rPr>
          <w:noProof/>
        </w:rPr>
        <w:noBreakHyphen/>
        <w:t>135.05</w:t>
      </w:r>
      <w:r>
        <w:rPr>
          <w:noProof/>
        </w:rPr>
        <w:tab/>
        <w:t>Term cumulative subordinated note with non</w:t>
      </w:r>
      <w:r>
        <w:rPr>
          <w:noProof/>
        </w:rPr>
        <w:noBreakHyphen/>
        <w:t>viability condition</w:t>
      </w:r>
      <w:r w:rsidRPr="003F3E0B">
        <w:rPr>
          <w:noProof/>
        </w:rPr>
        <w:tab/>
      </w:r>
      <w:r w:rsidRPr="003F3E0B">
        <w:rPr>
          <w:noProof/>
        </w:rPr>
        <w:fldChar w:fldCharType="begin"/>
      </w:r>
      <w:r w:rsidRPr="003F3E0B">
        <w:rPr>
          <w:noProof/>
        </w:rPr>
        <w:instrText xml:space="preserve"> PAGEREF _Toc64030427 \h </w:instrText>
      </w:r>
      <w:r w:rsidRPr="003F3E0B">
        <w:rPr>
          <w:noProof/>
        </w:rPr>
      </w:r>
      <w:r w:rsidRPr="003F3E0B">
        <w:rPr>
          <w:noProof/>
        </w:rPr>
        <w:fldChar w:fldCharType="separate"/>
      </w:r>
      <w:r w:rsidR="005364D5">
        <w:rPr>
          <w:noProof/>
        </w:rPr>
        <w:t>75</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6</w:t>
      </w:r>
      <w:r>
        <w:rPr>
          <w:noProof/>
        </w:rPr>
        <w:noBreakHyphen/>
        <w:t>5—Dictionary definitions</w:t>
      </w:r>
      <w:r w:rsidRPr="003F3E0B">
        <w:rPr>
          <w:b w:val="0"/>
          <w:noProof/>
          <w:sz w:val="18"/>
        </w:rPr>
        <w:tab/>
      </w:r>
      <w:r w:rsidRPr="003F3E0B">
        <w:rPr>
          <w:b w:val="0"/>
          <w:noProof/>
          <w:sz w:val="18"/>
        </w:rPr>
        <w:fldChar w:fldCharType="begin"/>
      </w:r>
      <w:r w:rsidRPr="003F3E0B">
        <w:rPr>
          <w:b w:val="0"/>
          <w:noProof/>
          <w:sz w:val="18"/>
        </w:rPr>
        <w:instrText xml:space="preserve"> PAGEREF _Toc64030428 \h </w:instrText>
      </w:r>
      <w:r w:rsidRPr="003F3E0B">
        <w:rPr>
          <w:b w:val="0"/>
          <w:noProof/>
          <w:sz w:val="18"/>
        </w:rPr>
      </w:r>
      <w:r w:rsidRPr="003F3E0B">
        <w:rPr>
          <w:b w:val="0"/>
          <w:noProof/>
          <w:sz w:val="18"/>
        </w:rPr>
        <w:fldChar w:fldCharType="separate"/>
      </w:r>
      <w:r w:rsidR="005364D5">
        <w:rPr>
          <w:b w:val="0"/>
          <w:noProof/>
          <w:sz w:val="18"/>
        </w:rPr>
        <w:t>77</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995—Definitions</w:t>
      </w:r>
      <w:r w:rsidRPr="003F3E0B">
        <w:rPr>
          <w:b w:val="0"/>
          <w:noProof/>
          <w:sz w:val="18"/>
        </w:rPr>
        <w:tab/>
      </w:r>
      <w:r w:rsidRPr="003F3E0B">
        <w:rPr>
          <w:b w:val="0"/>
          <w:noProof/>
          <w:sz w:val="18"/>
        </w:rPr>
        <w:fldChar w:fldCharType="begin"/>
      </w:r>
      <w:r w:rsidRPr="003F3E0B">
        <w:rPr>
          <w:b w:val="0"/>
          <w:noProof/>
          <w:sz w:val="18"/>
        </w:rPr>
        <w:instrText xml:space="preserve"> PAGEREF _Toc64030429 \h </w:instrText>
      </w:r>
      <w:r w:rsidRPr="003F3E0B">
        <w:rPr>
          <w:b w:val="0"/>
          <w:noProof/>
          <w:sz w:val="18"/>
        </w:rPr>
      </w:r>
      <w:r w:rsidRPr="003F3E0B">
        <w:rPr>
          <w:b w:val="0"/>
          <w:noProof/>
          <w:sz w:val="18"/>
        </w:rPr>
        <w:fldChar w:fldCharType="separate"/>
      </w:r>
      <w:r w:rsidR="005364D5">
        <w:rPr>
          <w:b w:val="0"/>
          <w:noProof/>
          <w:sz w:val="18"/>
        </w:rPr>
        <w:t>77</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995</w:t>
      </w:r>
      <w:r>
        <w:rPr>
          <w:noProof/>
        </w:rPr>
        <w:noBreakHyphen/>
        <w:t>1.01</w:t>
      </w:r>
      <w:r>
        <w:rPr>
          <w:noProof/>
        </w:rPr>
        <w:tab/>
        <w:t>Definitions</w:t>
      </w:r>
      <w:r w:rsidRPr="003F3E0B">
        <w:rPr>
          <w:noProof/>
        </w:rPr>
        <w:tab/>
      </w:r>
      <w:r w:rsidRPr="003F3E0B">
        <w:rPr>
          <w:noProof/>
        </w:rPr>
        <w:fldChar w:fldCharType="begin"/>
      </w:r>
      <w:r w:rsidRPr="003F3E0B">
        <w:rPr>
          <w:noProof/>
        </w:rPr>
        <w:instrText xml:space="preserve"> PAGEREF _Toc64030430 \h </w:instrText>
      </w:r>
      <w:r w:rsidRPr="003F3E0B">
        <w:rPr>
          <w:noProof/>
        </w:rPr>
      </w:r>
      <w:r w:rsidRPr="003F3E0B">
        <w:rPr>
          <w:noProof/>
        </w:rPr>
        <w:fldChar w:fldCharType="separate"/>
      </w:r>
      <w:r w:rsidR="005364D5">
        <w:rPr>
          <w:noProof/>
        </w:rPr>
        <w:t>77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995</w:t>
      </w:r>
      <w:r>
        <w:rPr>
          <w:noProof/>
        </w:rPr>
        <w:noBreakHyphen/>
        <w:t>1.02</w:t>
      </w:r>
      <w:r>
        <w:rPr>
          <w:noProof/>
        </w:rPr>
        <w:tab/>
        <w:t>Approved stock exchanges</w:t>
      </w:r>
      <w:r w:rsidRPr="003F3E0B">
        <w:rPr>
          <w:noProof/>
        </w:rPr>
        <w:tab/>
      </w:r>
      <w:r w:rsidRPr="003F3E0B">
        <w:rPr>
          <w:noProof/>
        </w:rPr>
        <w:fldChar w:fldCharType="begin"/>
      </w:r>
      <w:r w:rsidRPr="003F3E0B">
        <w:rPr>
          <w:noProof/>
        </w:rPr>
        <w:instrText xml:space="preserve"> PAGEREF _Toc64030431 \h </w:instrText>
      </w:r>
      <w:r w:rsidRPr="003F3E0B">
        <w:rPr>
          <w:noProof/>
        </w:rPr>
      </w:r>
      <w:r w:rsidRPr="003F3E0B">
        <w:rPr>
          <w:noProof/>
        </w:rPr>
        <w:fldChar w:fldCharType="separate"/>
      </w:r>
      <w:r w:rsidR="005364D5">
        <w:rPr>
          <w:noProof/>
        </w:rPr>
        <w:t>80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995</w:t>
      </w:r>
      <w:r>
        <w:rPr>
          <w:noProof/>
        </w:rPr>
        <w:noBreakHyphen/>
        <w:t>1.03</w:t>
      </w:r>
      <w:r>
        <w:rPr>
          <w:noProof/>
        </w:rPr>
        <w:tab/>
        <w:t>Constitutionally protected funds</w:t>
      </w:r>
      <w:r w:rsidRPr="003F3E0B">
        <w:rPr>
          <w:noProof/>
        </w:rPr>
        <w:tab/>
      </w:r>
      <w:r w:rsidRPr="003F3E0B">
        <w:rPr>
          <w:noProof/>
        </w:rPr>
        <w:fldChar w:fldCharType="begin"/>
      </w:r>
      <w:r w:rsidRPr="003F3E0B">
        <w:rPr>
          <w:noProof/>
        </w:rPr>
        <w:instrText xml:space="preserve"> PAGEREF _Toc64030432 \h </w:instrText>
      </w:r>
      <w:r w:rsidRPr="003F3E0B">
        <w:rPr>
          <w:noProof/>
        </w:rPr>
      </w:r>
      <w:r w:rsidRPr="003F3E0B">
        <w:rPr>
          <w:noProof/>
        </w:rPr>
        <w:fldChar w:fldCharType="separate"/>
      </w:r>
      <w:r w:rsidR="005364D5">
        <w:rPr>
          <w:noProof/>
        </w:rPr>
        <w:t>80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995</w:t>
      </w:r>
      <w:r>
        <w:rPr>
          <w:noProof/>
        </w:rPr>
        <w:noBreakHyphen/>
        <w:t>1.04</w:t>
      </w:r>
      <w:r>
        <w:rPr>
          <w:noProof/>
        </w:rPr>
        <w:tab/>
        <w:t xml:space="preserve">Definition of </w:t>
      </w:r>
      <w:r w:rsidRPr="00C62C95">
        <w:rPr>
          <w:i/>
          <w:noProof/>
        </w:rPr>
        <w:t>contributions</w:t>
      </w:r>
      <w:r w:rsidRPr="00C62C95">
        <w:rPr>
          <w:i/>
          <w:noProof/>
        </w:rPr>
        <w:noBreakHyphen/>
        <w:t>splitting superannuation benefit</w:t>
      </w:r>
      <w:r w:rsidRPr="003F3E0B">
        <w:rPr>
          <w:noProof/>
        </w:rPr>
        <w:tab/>
      </w:r>
      <w:r w:rsidRPr="003F3E0B">
        <w:rPr>
          <w:noProof/>
        </w:rPr>
        <w:fldChar w:fldCharType="begin"/>
      </w:r>
      <w:r w:rsidRPr="003F3E0B">
        <w:rPr>
          <w:noProof/>
        </w:rPr>
        <w:instrText xml:space="preserve"> PAGEREF _Toc64030433 \h </w:instrText>
      </w:r>
      <w:r w:rsidRPr="003F3E0B">
        <w:rPr>
          <w:noProof/>
        </w:rPr>
      </w:r>
      <w:r w:rsidRPr="003F3E0B">
        <w:rPr>
          <w:noProof/>
        </w:rPr>
        <w:fldChar w:fldCharType="separate"/>
      </w:r>
      <w:r w:rsidR="005364D5">
        <w:rPr>
          <w:noProof/>
        </w:rPr>
        <w:t>81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995</w:t>
      </w:r>
      <w:r>
        <w:rPr>
          <w:noProof/>
        </w:rPr>
        <w:noBreakHyphen/>
        <w:t>1.05</w:t>
      </w:r>
      <w:r>
        <w:rPr>
          <w:noProof/>
        </w:rPr>
        <w:tab/>
        <w:t xml:space="preserve">Meaning of </w:t>
      </w:r>
      <w:r w:rsidRPr="00C62C95">
        <w:rPr>
          <w:i/>
          <w:noProof/>
          <w:color w:val="000000"/>
        </w:rPr>
        <w:t>superannuation annuity</w:t>
      </w:r>
      <w:r w:rsidRPr="003F3E0B">
        <w:rPr>
          <w:noProof/>
        </w:rPr>
        <w:tab/>
      </w:r>
      <w:r w:rsidRPr="003F3E0B">
        <w:rPr>
          <w:noProof/>
        </w:rPr>
        <w:fldChar w:fldCharType="begin"/>
      </w:r>
      <w:r w:rsidRPr="003F3E0B">
        <w:rPr>
          <w:noProof/>
        </w:rPr>
        <w:instrText xml:space="preserve"> PAGEREF _Toc64030434 \h </w:instrText>
      </w:r>
      <w:r w:rsidRPr="003F3E0B">
        <w:rPr>
          <w:noProof/>
        </w:rPr>
      </w:r>
      <w:r w:rsidRPr="003F3E0B">
        <w:rPr>
          <w:noProof/>
        </w:rPr>
        <w:fldChar w:fldCharType="separate"/>
      </w:r>
      <w:r w:rsidR="005364D5">
        <w:rPr>
          <w:noProof/>
        </w:rPr>
        <w:t>81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995</w:t>
      </w:r>
      <w:r>
        <w:rPr>
          <w:noProof/>
        </w:rPr>
        <w:noBreakHyphen/>
        <w:t>1.06</w:t>
      </w:r>
      <w:r>
        <w:rPr>
          <w:noProof/>
        </w:rPr>
        <w:tab/>
        <w:t xml:space="preserve">Meaning of </w:t>
      </w:r>
      <w:r w:rsidRPr="00C62C95">
        <w:rPr>
          <w:i/>
          <w:noProof/>
        </w:rPr>
        <w:t>terminal medical condition</w:t>
      </w:r>
      <w:r w:rsidRPr="003F3E0B">
        <w:rPr>
          <w:noProof/>
        </w:rPr>
        <w:tab/>
      </w:r>
      <w:r w:rsidRPr="003F3E0B">
        <w:rPr>
          <w:noProof/>
        </w:rPr>
        <w:fldChar w:fldCharType="begin"/>
      </w:r>
      <w:r w:rsidRPr="003F3E0B">
        <w:rPr>
          <w:noProof/>
        </w:rPr>
        <w:instrText xml:space="preserve"> PAGEREF _Toc64030435 \h </w:instrText>
      </w:r>
      <w:r w:rsidRPr="003F3E0B">
        <w:rPr>
          <w:noProof/>
        </w:rPr>
      </w:r>
      <w:r w:rsidRPr="003F3E0B">
        <w:rPr>
          <w:noProof/>
        </w:rPr>
        <w:fldChar w:fldCharType="separate"/>
      </w:r>
      <w:r w:rsidR="005364D5">
        <w:rPr>
          <w:noProof/>
        </w:rPr>
        <w:t>81</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Chapter 7—Transitional matters</w:t>
      </w:r>
      <w:r w:rsidRPr="003F3E0B">
        <w:rPr>
          <w:b w:val="0"/>
          <w:noProof/>
          <w:sz w:val="18"/>
        </w:rPr>
        <w:tab/>
      </w:r>
      <w:r w:rsidRPr="003F3E0B">
        <w:rPr>
          <w:b w:val="0"/>
          <w:noProof/>
          <w:sz w:val="18"/>
        </w:rPr>
        <w:fldChar w:fldCharType="begin"/>
      </w:r>
      <w:r w:rsidRPr="003F3E0B">
        <w:rPr>
          <w:b w:val="0"/>
          <w:noProof/>
          <w:sz w:val="18"/>
        </w:rPr>
        <w:instrText xml:space="preserve"> PAGEREF _Toc64030436 \h </w:instrText>
      </w:r>
      <w:r w:rsidRPr="003F3E0B">
        <w:rPr>
          <w:b w:val="0"/>
          <w:noProof/>
          <w:sz w:val="18"/>
        </w:rPr>
      </w:r>
      <w:r w:rsidRPr="003F3E0B">
        <w:rPr>
          <w:b w:val="0"/>
          <w:noProof/>
          <w:sz w:val="18"/>
        </w:rPr>
        <w:fldChar w:fldCharType="separate"/>
      </w:r>
      <w:r w:rsidR="005364D5">
        <w:rPr>
          <w:b w:val="0"/>
          <w:noProof/>
          <w:sz w:val="18"/>
        </w:rPr>
        <w:t>82</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1000</w:t>
      </w:r>
      <w:r>
        <w:rPr>
          <w:noProof/>
        </w:rPr>
        <w:noBreakHyphen/>
        <w:t>1—Transitional matters relating to the repeal of the Income Tax Assessment Regulations 1997</w:t>
      </w:r>
      <w:r w:rsidRPr="003F3E0B">
        <w:rPr>
          <w:b w:val="0"/>
          <w:noProof/>
          <w:sz w:val="18"/>
        </w:rPr>
        <w:tab/>
      </w:r>
      <w:r w:rsidRPr="003F3E0B">
        <w:rPr>
          <w:b w:val="0"/>
          <w:noProof/>
          <w:sz w:val="18"/>
        </w:rPr>
        <w:fldChar w:fldCharType="begin"/>
      </w:r>
      <w:r w:rsidRPr="003F3E0B">
        <w:rPr>
          <w:b w:val="0"/>
          <w:noProof/>
          <w:sz w:val="18"/>
        </w:rPr>
        <w:instrText xml:space="preserve"> PAGEREF _Toc64030437 \h </w:instrText>
      </w:r>
      <w:r w:rsidRPr="003F3E0B">
        <w:rPr>
          <w:b w:val="0"/>
          <w:noProof/>
          <w:sz w:val="18"/>
        </w:rPr>
      </w:r>
      <w:r w:rsidRPr="003F3E0B">
        <w:rPr>
          <w:b w:val="0"/>
          <w:noProof/>
          <w:sz w:val="18"/>
        </w:rPr>
        <w:fldChar w:fldCharType="separate"/>
      </w:r>
      <w:r w:rsidR="005364D5">
        <w:rPr>
          <w:b w:val="0"/>
          <w:noProof/>
          <w:sz w:val="18"/>
        </w:rPr>
        <w:t>82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1.01</w:t>
      </w:r>
      <w:r>
        <w:rPr>
          <w:noProof/>
        </w:rPr>
        <w:tab/>
        <w:t>Definitions</w:t>
      </w:r>
      <w:r w:rsidRPr="003F3E0B">
        <w:rPr>
          <w:noProof/>
        </w:rPr>
        <w:tab/>
      </w:r>
      <w:r w:rsidRPr="003F3E0B">
        <w:rPr>
          <w:noProof/>
        </w:rPr>
        <w:fldChar w:fldCharType="begin"/>
      </w:r>
      <w:r w:rsidRPr="003F3E0B">
        <w:rPr>
          <w:noProof/>
        </w:rPr>
        <w:instrText xml:space="preserve"> PAGEREF _Toc64030438 \h </w:instrText>
      </w:r>
      <w:r w:rsidRPr="003F3E0B">
        <w:rPr>
          <w:noProof/>
        </w:rPr>
      </w:r>
      <w:r w:rsidRPr="003F3E0B">
        <w:rPr>
          <w:noProof/>
        </w:rPr>
        <w:fldChar w:fldCharType="separate"/>
      </w:r>
      <w:r w:rsidR="005364D5">
        <w:rPr>
          <w:noProof/>
        </w:rPr>
        <w:t>82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1.02</w:t>
      </w:r>
      <w:r>
        <w:rPr>
          <w:noProof/>
        </w:rPr>
        <w:tab/>
        <w:t>This instrument generally applies to income years and financial years starting at or after the commencement time</w:t>
      </w:r>
      <w:r w:rsidRPr="003F3E0B">
        <w:rPr>
          <w:noProof/>
        </w:rPr>
        <w:tab/>
      </w:r>
      <w:r w:rsidRPr="003F3E0B">
        <w:rPr>
          <w:noProof/>
        </w:rPr>
        <w:fldChar w:fldCharType="begin"/>
      </w:r>
      <w:r w:rsidRPr="003F3E0B">
        <w:rPr>
          <w:noProof/>
        </w:rPr>
        <w:instrText xml:space="preserve"> PAGEREF _Toc64030439 \h </w:instrText>
      </w:r>
      <w:r w:rsidRPr="003F3E0B">
        <w:rPr>
          <w:noProof/>
        </w:rPr>
      </w:r>
      <w:r w:rsidRPr="003F3E0B">
        <w:rPr>
          <w:noProof/>
        </w:rPr>
        <w:fldChar w:fldCharType="separate"/>
      </w:r>
      <w:r w:rsidR="005364D5">
        <w:rPr>
          <w:noProof/>
        </w:rPr>
        <w:t>82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lastRenderedPageBreak/>
        <w:t>1000</w:t>
      </w:r>
      <w:r>
        <w:rPr>
          <w:noProof/>
        </w:rPr>
        <w:noBreakHyphen/>
        <w:t>1.03</w:t>
      </w:r>
      <w:r>
        <w:rPr>
          <w:noProof/>
        </w:rPr>
        <w:tab/>
        <w:t>Valuations under Division 30 or 31</w:t>
      </w:r>
      <w:r w:rsidRPr="003F3E0B">
        <w:rPr>
          <w:noProof/>
        </w:rPr>
        <w:tab/>
      </w:r>
      <w:r w:rsidRPr="003F3E0B">
        <w:rPr>
          <w:noProof/>
        </w:rPr>
        <w:fldChar w:fldCharType="begin"/>
      </w:r>
      <w:r w:rsidRPr="003F3E0B">
        <w:rPr>
          <w:noProof/>
        </w:rPr>
        <w:instrText xml:space="preserve"> PAGEREF _Toc64030440 \h </w:instrText>
      </w:r>
      <w:r w:rsidRPr="003F3E0B">
        <w:rPr>
          <w:noProof/>
        </w:rPr>
      </w:r>
      <w:r w:rsidRPr="003F3E0B">
        <w:rPr>
          <w:noProof/>
        </w:rPr>
        <w:fldChar w:fldCharType="separate"/>
      </w:r>
      <w:r w:rsidR="005364D5">
        <w:rPr>
          <w:noProof/>
        </w:rPr>
        <w:t>82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1.04</w:t>
      </w:r>
      <w:r>
        <w:rPr>
          <w:noProof/>
        </w:rPr>
        <w:tab/>
        <w:t>Complying superannuation fund condition—elections</w:t>
      </w:r>
      <w:r w:rsidRPr="003F3E0B">
        <w:rPr>
          <w:noProof/>
        </w:rPr>
        <w:tab/>
      </w:r>
      <w:r w:rsidRPr="003F3E0B">
        <w:rPr>
          <w:noProof/>
        </w:rPr>
        <w:fldChar w:fldCharType="begin"/>
      </w:r>
      <w:r w:rsidRPr="003F3E0B">
        <w:rPr>
          <w:noProof/>
        </w:rPr>
        <w:instrText xml:space="preserve"> PAGEREF _Toc64030441 \h </w:instrText>
      </w:r>
      <w:r w:rsidRPr="003F3E0B">
        <w:rPr>
          <w:noProof/>
        </w:rPr>
      </w:r>
      <w:r w:rsidRPr="003F3E0B">
        <w:rPr>
          <w:noProof/>
        </w:rPr>
        <w:fldChar w:fldCharType="separate"/>
      </w:r>
      <w:r w:rsidR="005364D5">
        <w:rPr>
          <w:noProof/>
        </w:rPr>
        <w:t>82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1.05</w:t>
      </w:r>
      <w:r>
        <w:rPr>
          <w:noProof/>
        </w:rPr>
        <w:tab/>
        <w:t>Notional taxed contributions—allocation of contributions</w:t>
      </w:r>
      <w:r w:rsidRPr="003F3E0B">
        <w:rPr>
          <w:noProof/>
        </w:rPr>
        <w:tab/>
      </w:r>
      <w:r w:rsidRPr="003F3E0B">
        <w:rPr>
          <w:noProof/>
        </w:rPr>
        <w:fldChar w:fldCharType="begin"/>
      </w:r>
      <w:r w:rsidRPr="003F3E0B">
        <w:rPr>
          <w:noProof/>
        </w:rPr>
        <w:instrText xml:space="preserve"> PAGEREF _Toc64030442 \h </w:instrText>
      </w:r>
      <w:r w:rsidRPr="003F3E0B">
        <w:rPr>
          <w:noProof/>
        </w:rPr>
      </w:r>
      <w:r w:rsidRPr="003F3E0B">
        <w:rPr>
          <w:noProof/>
        </w:rPr>
        <w:fldChar w:fldCharType="separate"/>
      </w:r>
      <w:r w:rsidR="005364D5">
        <w:rPr>
          <w:noProof/>
        </w:rPr>
        <w:t>83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1.06</w:t>
      </w:r>
      <w:r>
        <w:rPr>
          <w:noProof/>
        </w:rPr>
        <w:tab/>
        <w:t>Transfer balance debits and transfer balance credits</w:t>
      </w:r>
      <w:r w:rsidRPr="003F3E0B">
        <w:rPr>
          <w:noProof/>
        </w:rPr>
        <w:tab/>
      </w:r>
      <w:r w:rsidRPr="003F3E0B">
        <w:rPr>
          <w:noProof/>
        </w:rPr>
        <w:fldChar w:fldCharType="begin"/>
      </w:r>
      <w:r w:rsidRPr="003F3E0B">
        <w:rPr>
          <w:noProof/>
        </w:rPr>
        <w:instrText xml:space="preserve"> PAGEREF _Toc64030443 \h </w:instrText>
      </w:r>
      <w:r w:rsidRPr="003F3E0B">
        <w:rPr>
          <w:noProof/>
        </w:rPr>
      </w:r>
      <w:r w:rsidRPr="003F3E0B">
        <w:rPr>
          <w:noProof/>
        </w:rPr>
        <w:fldChar w:fldCharType="separate"/>
      </w:r>
      <w:r w:rsidR="005364D5">
        <w:rPr>
          <w:noProof/>
        </w:rPr>
        <w:t>83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1.07</w:t>
      </w:r>
      <w:r>
        <w:rPr>
          <w:noProof/>
        </w:rPr>
        <w:tab/>
        <w:t>Application of pre</w:t>
      </w:r>
      <w:r>
        <w:rPr>
          <w:noProof/>
        </w:rPr>
        <w:noBreakHyphen/>
        <w:t>1 July 88 funding credits</w:t>
      </w:r>
      <w:r w:rsidRPr="003F3E0B">
        <w:rPr>
          <w:noProof/>
        </w:rPr>
        <w:tab/>
      </w:r>
      <w:r w:rsidRPr="003F3E0B">
        <w:rPr>
          <w:noProof/>
        </w:rPr>
        <w:fldChar w:fldCharType="begin"/>
      </w:r>
      <w:r w:rsidRPr="003F3E0B">
        <w:rPr>
          <w:noProof/>
        </w:rPr>
        <w:instrText xml:space="preserve"> PAGEREF _Toc64030444 \h </w:instrText>
      </w:r>
      <w:r w:rsidRPr="003F3E0B">
        <w:rPr>
          <w:noProof/>
        </w:rPr>
      </w:r>
      <w:r w:rsidRPr="003F3E0B">
        <w:rPr>
          <w:noProof/>
        </w:rPr>
        <w:fldChar w:fldCharType="separate"/>
      </w:r>
      <w:r w:rsidR="005364D5">
        <w:rPr>
          <w:noProof/>
        </w:rPr>
        <w:t>83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1.08</w:t>
      </w:r>
      <w:r>
        <w:rPr>
          <w:noProof/>
        </w:rPr>
        <w:tab/>
      </w:r>
      <w:r w:rsidRPr="00C62C95">
        <w:rPr>
          <w:rFonts w:eastAsiaTheme="majorEastAsia"/>
          <w:noProof/>
        </w:rPr>
        <w:t>Departing Australia superannuation payments</w:t>
      </w:r>
      <w:r w:rsidRPr="003F3E0B">
        <w:rPr>
          <w:noProof/>
        </w:rPr>
        <w:tab/>
      </w:r>
      <w:r w:rsidRPr="003F3E0B">
        <w:rPr>
          <w:noProof/>
        </w:rPr>
        <w:fldChar w:fldCharType="begin"/>
      </w:r>
      <w:r w:rsidRPr="003F3E0B">
        <w:rPr>
          <w:noProof/>
        </w:rPr>
        <w:instrText xml:space="preserve"> PAGEREF _Toc64030445 \h </w:instrText>
      </w:r>
      <w:r w:rsidRPr="003F3E0B">
        <w:rPr>
          <w:noProof/>
        </w:rPr>
      </w:r>
      <w:r w:rsidRPr="003F3E0B">
        <w:rPr>
          <w:noProof/>
        </w:rPr>
        <w:fldChar w:fldCharType="separate"/>
      </w:r>
      <w:r w:rsidR="005364D5">
        <w:rPr>
          <w:noProof/>
        </w:rPr>
        <w:t>84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1.09</w:t>
      </w:r>
      <w:r>
        <w:rPr>
          <w:noProof/>
        </w:rPr>
        <w:tab/>
        <w:t>Components of member benefits accruing before 1 July 1999 paid from the Military Superannuation and Benefits Scheme—choice of alternative method</w:t>
      </w:r>
      <w:r w:rsidRPr="003F3E0B">
        <w:rPr>
          <w:noProof/>
        </w:rPr>
        <w:tab/>
      </w:r>
      <w:r w:rsidRPr="003F3E0B">
        <w:rPr>
          <w:noProof/>
        </w:rPr>
        <w:fldChar w:fldCharType="begin"/>
      </w:r>
      <w:r w:rsidRPr="003F3E0B">
        <w:rPr>
          <w:noProof/>
        </w:rPr>
        <w:instrText xml:space="preserve"> PAGEREF _Toc64030446 \h </w:instrText>
      </w:r>
      <w:r w:rsidRPr="003F3E0B">
        <w:rPr>
          <w:noProof/>
        </w:rPr>
      </w:r>
      <w:r w:rsidRPr="003F3E0B">
        <w:rPr>
          <w:noProof/>
        </w:rPr>
        <w:fldChar w:fldCharType="separate"/>
      </w:r>
      <w:r w:rsidR="005364D5">
        <w:rPr>
          <w:noProof/>
        </w:rPr>
        <w:t>84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1.10</w:t>
      </w:r>
      <w:r>
        <w:rPr>
          <w:noProof/>
        </w:rPr>
        <w:tab/>
        <w:t>Farm management deposit</w:t>
      </w:r>
      <w:r w:rsidRPr="003F3E0B">
        <w:rPr>
          <w:noProof/>
        </w:rPr>
        <w:tab/>
      </w:r>
      <w:r w:rsidRPr="003F3E0B">
        <w:rPr>
          <w:noProof/>
        </w:rPr>
        <w:fldChar w:fldCharType="begin"/>
      </w:r>
      <w:r w:rsidRPr="003F3E0B">
        <w:rPr>
          <w:noProof/>
        </w:rPr>
        <w:instrText xml:space="preserve"> PAGEREF _Toc64030447 \h </w:instrText>
      </w:r>
      <w:r w:rsidRPr="003F3E0B">
        <w:rPr>
          <w:noProof/>
        </w:rPr>
      </w:r>
      <w:r w:rsidRPr="003F3E0B">
        <w:rPr>
          <w:noProof/>
        </w:rPr>
        <w:fldChar w:fldCharType="separate"/>
      </w:r>
      <w:r w:rsidR="005364D5">
        <w:rPr>
          <w:noProof/>
        </w:rPr>
        <w:t>84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1.11</w:t>
      </w:r>
      <w:r>
        <w:rPr>
          <w:noProof/>
        </w:rPr>
        <w:tab/>
        <w:t>Application of forex events to currency and fungible rights and obligations—elections</w:t>
      </w:r>
      <w:r w:rsidRPr="003F3E0B">
        <w:rPr>
          <w:noProof/>
        </w:rPr>
        <w:tab/>
      </w:r>
      <w:r w:rsidRPr="003F3E0B">
        <w:rPr>
          <w:noProof/>
        </w:rPr>
        <w:fldChar w:fldCharType="begin"/>
      </w:r>
      <w:r w:rsidRPr="003F3E0B">
        <w:rPr>
          <w:noProof/>
        </w:rPr>
        <w:instrText xml:space="preserve"> PAGEREF _Toc64030448 \h </w:instrText>
      </w:r>
      <w:r w:rsidRPr="003F3E0B">
        <w:rPr>
          <w:noProof/>
        </w:rPr>
      </w:r>
      <w:r w:rsidRPr="003F3E0B">
        <w:rPr>
          <w:noProof/>
        </w:rPr>
        <w:fldChar w:fldCharType="separate"/>
      </w:r>
      <w:r w:rsidR="005364D5">
        <w:rPr>
          <w:noProof/>
        </w:rPr>
        <w:t>85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1.12</w:t>
      </w:r>
      <w:r>
        <w:rPr>
          <w:noProof/>
        </w:rPr>
        <w:tab/>
      </w:r>
      <w:r w:rsidRPr="00C62C95">
        <w:rPr>
          <w:rFonts w:eastAsiaTheme="majorEastAsia"/>
          <w:noProof/>
        </w:rPr>
        <w:t>Translating currency—choices and elections</w:t>
      </w:r>
      <w:r w:rsidRPr="003F3E0B">
        <w:rPr>
          <w:noProof/>
        </w:rPr>
        <w:tab/>
      </w:r>
      <w:r w:rsidRPr="003F3E0B">
        <w:rPr>
          <w:noProof/>
        </w:rPr>
        <w:fldChar w:fldCharType="begin"/>
      </w:r>
      <w:r w:rsidRPr="003F3E0B">
        <w:rPr>
          <w:noProof/>
        </w:rPr>
        <w:instrText xml:space="preserve"> PAGEREF _Toc64030449 \h </w:instrText>
      </w:r>
      <w:r w:rsidRPr="003F3E0B">
        <w:rPr>
          <w:noProof/>
        </w:rPr>
      </w:r>
      <w:r w:rsidRPr="003F3E0B">
        <w:rPr>
          <w:noProof/>
        </w:rPr>
        <w:fldChar w:fldCharType="separate"/>
      </w:r>
      <w:r w:rsidR="005364D5">
        <w:rPr>
          <w:noProof/>
        </w:rPr>
        <w:t>85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1000</w:t>
      </w:r>
      <w:r>
        <w:rPr>
          <w:noProof/>
        </w:rPr>
        <w:noBreakHyphen/>
        <w:t>1.13</w:t>
      </w:r>
      <w:r>
        <w:rPr>
          <w:noProof/>
        </w:rPr>
        <w:tab/>
        <w:t>Certificates in relation to terminal medical conditions</w:t>
      </w:r>
      <w:r w:rsidRPr="003F3E0B">
        <w:rPr>
          <w:noProof/>
        </w:rPr>
        <w:tab/>
      </w:r>
      <w:r w:rsidRPr="003F3E0B">
        <w:rPr>
          <w:noProof/>
        </w:rPr>
        <w:fldChar w:fldCharType="begin"/>
      </w:r>
      <w:r w:rsidRPr="003F3E0B">
        <w:rPr>
          <w:noProof/>
        </w:rPr>
        <w:instrText xml:space="preserve"> PAGEREF _Toc64030450 \h </w:instrText>
      </w:r>
      <w:r w:rsidRPr="003F3E0B">
        <w:rPr>
          <w:noProof/>
        </w:rPr>
      </w:r>
      <w:r w:rsidRPr="003F3E0B">
        <w:rPr>
          <w:noProof/>
        </w:rPr>
        <w:fldChar w:fldCharType="separate"/>
      </w:r>
      <w:r w:rsidR="005364D5">
        <w:rPr>
          <w:noProof/>
        </w:rPr>
        <w:t>85</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Schedule 1A—Method of working out amount of notional taxed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_Toc64030451 \h </w:instrText>
      </w:r>
      <w:r w:rsidRPr="003F3E0B">
        <w:rPr>
          <w:b w:val="0"/>
          <w:noProof/>
          <w:sz w:val="18"/>
        </w:rPr>
      </w:r>
      <w:r w:rsidRPr="003F3E0B">
        <w:rPr>
          <w:b w:val="0"/>
          <w:noProof/>
          <w:sz w:val="18"/>
        </w:rPr>
        <w:fldChar w:fldCharType="separate"/>
      </w:r>
      <w:r w:rsidR="005364D5">
        <w:rPr>
          <w:b w:val="0"/>
          <w:noProof/>
          <w:sz w:val="18"/>
        </w:rPr>
        <w:t>86</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1—Preliminary</w:t>
      </w:r>
      <w:r w:rsidRPr="003F3E0B">
        <w:rPr>
          <w:b w:val="0"/>
          <w:noProof/>
          <w:sz w:val="18"/>
        </w:rPr>
        <w:tab/>
      </w:r>
      <w:r w:rsidRPr="003F3E0B">
        <w:rPr>
          <w:b w:val="0"/>
          <w:noProof/>
          <w:sz w:val="18"/>
        </w:rPr>
        <w:fldChar w:fldCharType="begin"/>
      </w:r>
      <w:r w:rsidRPr="003F3E0B">
        <w:rPr>
          <w:b w:val="0"/>
          <w:noProof/>
          <w:sz w:val="18"/>
        </w:rPr>
        <w:instrText xml:space="preserve"> PAGEREF _Toc64030452 \h </w:instrText>
      </w:r>
      <w:r w:rsidRPr="003F3E0B">
        <w:rPr>
          <w:b w:val="0"/>
          <w:noProof/>
          <w:sz w:val="18"/>
        </w:rPr>
      </w:r>
      <w:r w:rsidRPr="003F3E0B">
        <w:rPr>
          <w:b w:val="0"/>
          <w:noProof/>
          <w:sz w:val="18"/>
        </w:rPr>
        <w:fldChar w:fldCharType="separate"/>
      </w:r>
      <w:r w:rsidR="005364D5">
        <w:rPr>
          <w:b w:val="0"/>
          <w:noProof/>
          <w:sz w:val="18"/>
        </w:rPr>
        <w:t>86</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1—Definitions</w:t>
      </w:r>
      <w:r w:rsidRPr="003F3E0B">
        <w:rPr>
          <w:b w:val="0"/>
          <w:noProof/>
          <w:sz w:val="18"/>
        </w:rPr>
        <w:tab/>
      </w:r>
      <w:r w:rsidRPr="003F3E0B">
        <w:rPr>
          <w:b w:val="0"/>
          <w:noProof/>
          <w:sz w:val="18"/>
        </w:rPr>
        <w:fldChar w:fldCharType="begin"/>
      </w:r>
      <w:r w:rsidRPr="003F3E0B">
        <w:rPr>
          <w:b w:val="0"/>
          <w:noProof/>
          <w:sz w:val="18"/>
        </w:rPr>
        <w:instrText xml:space="preserve"> PAGEREF _Toc64030453 \h </w:instrText>
      </w:r>
      <w:r w:rsidRPr="003F3E0B">
        <w:rPr>
          <w:b w:val="0"/>
          <w:noProof/>
          <w:sz w:val="18"/>
        </w:rPr>
      </w:r>
      <w:r w:rsidRPr="003F3E0B">
        <w:rPr>
          <w:b w:val="0"/>
          <w:noProof/>
          <w:sz w:val="18"/>
        </w:rPr>
        <w:fldChar w:fldCharType="separate"/>
      </w:r>
      <w:r w:rsidR="005364D5">
        <w:rPr>
          <w:b w:val="0"/>
          <w:noProof/>
          <w:sz w:val="18"/>
        </w:rPr>
        <w:t>86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C62C95">
        <w:rPr>
          <w:i/>
          <w:noProof/>
        </w:rPr>
        <w:t>accruing member</w:t>
      </w:r>
      <w:r w:rsidRPr="003F3E0B">
        <w:rPr>
          <w:noProof/>
        </w:rPr>
        <w:tab/>
      </w:r>
      <w:r w:rsidRPr="003F3E0B">
        <w:rPr>
          <w:noProof/>
        </w:rPr>
        <w:fldChar w:fldCharType="begin"/>
      </w:r>
      <w:r w:rsidRPr="003F3E0B">
        <w:rPr>
          <w:noProof/>
        </w:rPr>
        <w:instrText xml:space="preserve"> PAGEREF _Toc64030454 \h </w:instrText>
      </w:r>
      <w:r w:rsidRPr="003F3E0B">
        <w:rPr>
          <w:noProof/>
        </w:rPr>
      </w:r>
      <w:r w:rsidRPr="003F3E0B">
        <w:rPr>
          <w:noProof/>
        </w:rPr>
        <w:fldChar w:fldCharType="separate"/>
      </w:r>
      <w:r w:rsidR="005364D5">
        <w:rPr>
          <w:noProof/>
        </w:rPr>
        <w:t>86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C62C95">
        <w:rPr>
          <w:i/>
          <w:noProof/>
        </w:rPr>
        <w:t>benefit category</w:t>
      </w:r>
      <w:r w:rsidRPr="003F3E0B">
        <w:rPr>
          <w:noProof/>
        </w:rPr>
        <w:tab/>
      </w:r>
      <w:r w:rsidRPr="003F3E0B">
        <w:rPr>
          <w:noProof/>
        </w:rPr>
        <w:fldChar w:fldCharType="begin"/>
      </w:r>
      <w:r w:rsidRPr="003F3E0B">
        <w:rPr>
          <w:noProof/>
        </w:rPr>
        <w:instrText xml:space="preserve"> PAGEREF _Toc64030455 \h </w:instrText>
      </w:r>
      <w:r w:rsidRPr="003F3E0B">
        <w:rPr>
          <w:noProof/>
        </w:rPr>
      </w:r>
      <w:r w:rsidRPr="003F3E0B">
        <w:rPr>
          <w:noProof/>
        </w:rPr>
        <w:fldChar w:fldCharType="separate"/>
      </w:r>
      <w:r w:rsidR="005364D5">
        <w:rPr>
          <w:noProof/>
        </w:rPr>
        <w:t>86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C62C95">
        <w:rPr>
          <w:i/>
          <w:noProof/>
        </w:rPr>
        <w:t>defined benefit fund</w:t>
      </w:r>
      <w:r w:rsidRPr="003F3E0B">
        <w:rPr>
          <w:noProof/>
        </w:rPr>
        <w:tab/>
      </w:r>
      <w:r w:rsidRPr="003F3E0B">
        <w:rPr>
          <w:noProof/>
        </w:rPr>
        <w:fldChar w:fldCharType="begin"/>
      </w:r>
      <w:r w:rsidRPr="003F3E0B">
        <w:rPr>
          <w:noProof/>
        </w:rPr>
        <w:instrText xml:space="preserve"> PAGEREF _Toc64030456 \h </w:instrText>
      </w:r>
      <w:r w:rsidRPr="003F3E0B">
        <w:rPr>
          <w:noProof/>
        </w:rPr>
      </w:r>
      <w:r w:rsidRPr="003F3E0B">
        <w:rPr>
          <w:noProof/>
        </w:rPr>
        <w:fldChar w:fldCharType="separate"/>
      </w:r>
      <w:r w:rsidR="005364D5">
        <w:rPr>
          <w:noProof/>
        </w:rPr>
        <w:t>86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1.4</w:t>
      </w:r>
      <w:r>
        <w:rPr>
          <w:noProof/>
        </w:rPr>
        <w:tab/>
        <w:t>Accruing member must not belong to more than one benefit category at the same time unless certified by an actuary</w:t>
      </w:r>
      <w:r w:rsidRPr="003F3E0B">
        <w:rPr>
          <w:noProof/>
        </w:rPr>
        <w:tab/>
      </w:r>
      <w:r w:rsidRPr="003F3E0B">
        <w:rPr>
          <w:noProof/>
        </w:rPr>
        <w:fldChar w:fldCharType="begin"/>
      </w:r>
      <w:r w:rsidRPr="003F3E0B">
        <w:rPr>
          <w:noProof/>
        </w:rPr>
        <w:instrText xml:space="preserve"> PAGEREF _Toc64030457 \h </w:instrText>
      </w:r>
      <w:r w:rsidRPr="003F3E0B">
        <w:rPr>
          <w:noProof/>
        </w:rPr>
      </w:r>
      <w:r w:rsidRPr="003F3E0B">
        <w:rPr>
          <w:noProof/>
        </w:rPr>
        <w:fldChar w:fldCharType="separate"/>
      </w:r>
      <w:r w:rsidR="005364D5">
        <w:rPr>
          <w:noProof/>
        </w:rPr>
        <w:t>86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C62C95">
        <w:rPr>
          <w:i/>
          <w:noProof/>
        </w:rPr>
        <w:t>fund benefit</w:t>
      </w:r>
      <w:r w:rsidRPr="003F3E0B">
        <w:rPr>
          <w:noProof/>
        </w:rPr>
        <w:tab/>
      </w:r>
      <w:r w:rsidRPr="003F3E0B">
        <w:rPr>
          <w:noProof/>
        </w:rPr>
        <w:fldChar w:fldCharType="begin"/>
      </w:r>
      <w:r w:rsidRPr="003F3E0B">
        <w:rPr>
          <w:noProof/>
        </w:rPr>
        <w:instrText xml:space="preserve"> PAGEREF _Toc64030458 \h </w:instrText>
      </w:r>
      <w:r w:rsidRPr="003F3E0B">
        <w:rPr>
          <w:noProof/>
        </w:rPr>
      </w:r>
      <w:r w:rsidRPr="003F3E0B">
        <w:rPr>
          <w:noProof/>
        </w:rPr>
        <w:fldChar w:fldCharType="separate"/>
      </w:r>
      <w:r w:rsidR="005364D5">
        <w:rPr>
          <w:noProof/>
        </w:rPr>
        <w:t>87</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2—Method</w:t>
      </w:r>
      <w:r w:rsidRPr="003F3E0B">
        <w:rPr>
          <w:b w:val="0"/>
          <w:noProof/>
          <w:sz w:val="18"/>
        </w:rPr>
        <w:tab/>
      </w:r>
      <w:r w:rsidRPr="003F3E0B">
        <w:rPr>
          <w:b w:val="0"/>
          <w:noProof/>
          <w:sz w:val="18"/>
        </w:rPr>
        <w:fldChar w:fldCharType="begin"/>
      </w:r>
      <w:r w:rsidRPr="003F3E0B">
        <w:rPr>
          <w:b w:val="0"/>
          <w:noProof/>
          <w:sz w:val="18"/>
        </w:rPr>
        <w:instrText xml:space="preserve"> PAGEREF _Toc64030459 \h </w:instrText>
      </w:r>
      <w:r w:rsidRPr="003F3E0B">
        <w:rPr>
          <w:b w:val="0"/>
          <w:noProof/>
          <w:sz w:val="18"/>
        </w:rPr>
      </w:r>
      <w:r w:rsidRPr="003F3E0B">
        <w:rPr>
          <w:b w:val="0"/>
          <w:noProof/>
          <w:sz w:val="18"/>
        </w:rPr>
        <w:fldChar w:fldCharType="separate"/>
      </w:r>
      <w:r w:rsidR="005364D5">
        <w:rPr>
          <w:b w:val="0"/>
          <w:noProof/>
          <w:sz w:val="18"/>
        </w:rPr>
        <w:t>88</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1.6</w:t>
      </w:r>
      <w:r>
        <w:rPr>
          <w:noProof/>
        </w:rPr>
        <w:tab/>
        <w:t>Method of working out amount of notional taxed contributions if the fund benefit is wholly sourced from an accumulation of contributions made in respect of the member</w:t>
      </w:r>
      <w:r w:rsidRPr="003F3E0B">
        <w:rPr>
          <w:noProof/>
        </w:rPr>
        <w:tab/>
      </w:r>
      <w:r w:rsidRPr="003F3E0B">
        <w:rPr>
          <w:noProof/>
        </w:rPr>
        <w:fldChar w:fldCharType="begin"/>
      </w:r>
      <w:r w:rsidRPr="003F3E0B">
        <w:rPr>
          <w:noProof/>
        </w:rPr>
        <w:instrText xml:space="preserve"> PAGEREF _Toc64030460 \h </w:instrText>
      </w:r>
      <w:r w:rsidRPr="003F3E0B">
        <w:rPr>
          <w:noProof/>
        </w:rPr>
      </w:r>
      <w:r w:rsidRPr="003F3E0B">
        <w:rPr>
          <w:noProof/>
        </w:rPr>
        <w:fldChar w:fldCharType="separate"/>
      </w:r>
      <w:r w:rsidR="005364D5">
        <w:rPr>
          <w:noProof/>
        </w:rPr>
        <w:t>88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1.7</w:t>
      </w:r>
      <w:r>
        <w:rPr>
          <w:noProof/>
        </w:rPr>
        <w:tab/>
        <w:t>Method of working out amount of notional taxed contributions in respect of a benefit category if the fund benefit is not wholly sourced from an accumulation of contributions made in respect of the member</w:t>
      </w:r>
      <w:r w:rsidRPr="003F3E0B">
        <w:rPr>
          <w:noProof/>
        </w:rPr>
        <w:tab/>
      </w:r>
      <w:r w:rsidRPr="003F3E0B">
        <w:rPr>
          <w:noProof/>
        </w:rPr>
        <w:fldChar w:fldCharType="begin"/>
      </w:r>
      <w:r w:rsidRPr="003F3E0B">
        <w:rPr>
          <w:noProof/>
        </w:rPr>
        <w:instrText xml:space="preserve"> PAGEREF _Toc64030461 \h </w:instrText>
      </w:r>
      <w:r w:rsidRPr="003F3E0B">
        <w:rPr>
          <w:noProof/>
        </w:rPr>
      </w:r>
      <w:r w:rsidRPr="003F3E0B">
        <w:rPr>
          <w:noProof/>
        </w:rPr>
        <w:fldChar w:fldCharType="separate"/>
      </w:r>
      <w:r w:rsidR="005364D5">
        <w:rPr>
          <w:noProof/>
        </w:rPr>
        <w:t>88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1.8</w:t>
      </w:r>
      <w:r>
        <w:rPr>
          <w:noProof/>
        </w:rPr>
        <w:tab/>
        <w:t>Method of working out amount of notional taxed contributions</w:t>
      </w:r>
      <w:r w:rsidRPr="003F3E0B">
        <w:rPr>
          <w:noProof/>
        </w:rPr>
        <w:tab/>
      </w:r>
      <w:r w:rsidRPr="003F3E0B">
        <w:rPr>
          <w:noProof/>
        </w:rPr>
        <w:fldChar w:fldCharType="begin"/>
      </w:r>
      <w:r w:rsidRPr="003F3E0B">
        <w:rPr>
          <w:noProof/>
        </w:rPr>
        <w:instrText xml:space="preserve"> PAGEREF _Toc64030462 \h </w:instrText>
      </w:r>
      <w:r w:rsidRPr="003F3E0B">
        <w:rPr>
          <w:noProof/>
        </w:rPr>
      </w:r>
      <w:r w:rsidRPr="003F3E0B">
        <w:rPr>
          <w:noProof/>
        </w:rPr>
        <w:fldChar w:fldCharType="separate"/>
      </w:r>
      <w:r w:rsidR="005364D5">
        <w:rPr>
          <w:noProof/>
        </w:rPr>
        <w:t>88</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2—New entrant rate</w:t>
      </w:r>
      <w:r w:rsidRPr="003F3E0B">
        <w:rPr>
          <w:b w:val="0"/>
          <w:noProof/>
          <w:sz w:val="18"/>
        </w:rPr>
        <w:tab/>
      </w:r>
      <w:r w:rsidRPr="003F3E0B">
        <w:rPr>
          <w:b w:val="0"/>
          <w:noProof/>
          <w:sz w:val="18"/>
        </w:rPr>
        <w:fldChar w:fldCharType="begin"/>
      </w:r>
      <w:r w:rsidRPr="003F3E0B">
        <w:rPr>
          <w:b w:val="0"/>
          <w:noProof/>
          <w:sz w:val="18"/>
        </w:rPr>
        <w:instrText xml:space="preserve"> PAGEREF _Toc64030463 \h </w:instrText>
      </w:r>
      <w:r w:rsidRPr="003F3E0B">
        <w:rPr>
          <w:b w:val="0"/>
          <w:noProof/>
          <w:sz w:val="18"/>
        </w:rPr>
      </w:r>
      <w:r w:rsidRPr="003F3E0B">
        <w:rPr>
          <w:b w:val="0"/>
          <w:noProof/>
          <w:sz w:val="18"/>
        </w:rPr>
        <w:fldChar w:fldCharType="separate"/>
      </w:r>
      <w:r w:rsidR="005364D5">
        <w:rPr>
          <w:b w:val="0"/>
          <w:noProof/>
          <w:sz w:val="18"/>
        </w:rPr>
        <w:t>90</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2.1</w:t>
      </w:r>
      <w:r>
        <w:rPr>
          <w:noProof/>
        </w:rPr>
        <w:tab/>
        <w:t>Method of working out new entrant rate for a benefit category</w:t>
      </w:r>
      <w:r w:rsidRPr="003F3E0B">
        <w:rPr>
          <w:noProof/>
        </w:rPr>
        <w:tab/>
      </w:r>
      <w:r w:rsidRPr="003F3E0B">
        <w:rPr>
          <w:noProof/>
        </w:rPr>
        <w:fldChar w:fldCharType="begin"/>
      </w:r>
      <w:r w:rsidRPr="003F3E0B">
        <w:rPr>
          <w:noProof/>
        </w:rPr>
        <w:instrText xml:space="preserve"> PAGEREF _Toc64030464 \h </w:instrText>
      </w:r>
      <w:r w:rsidRPr="003F3E0B">
        <w:rPr>
          <w:noProof/>
        </w:rPr>
      </w:r>
      <w:r w:rsidRPr="003F3E0B">
        <w:rPr>
          <w:noProof/>
        </w:rPr>
        <w:fldChar w:fldCharType="separate"/>
      </w:r>
      <w:r w:rsidR="005364D5">
        <w:rPr>
          <w:noProof/>
        </w:rPr>
        <w:t>90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2.2</w:t>
      </w:r>
      <w:r>
        <w:rPr>
          <w:noProof/>
        </w:rPr>
        <w:tab/>
        <w:t>New entrant rate to be based on period of membership needed to reach maximum benefit accrual</w:t>
      </w:r>
      <w:r w:rsidRPr="003F3E0B">
        <w:rPr>
          <w:noProof/>
        </w:rPr>
        <w:tab/>
      </w:r>
      <w:r w:rsidRPr="003F3E0B">
        <w:rPr>
          <w:noProof/>
        </w:rPr>
        <w:fldChar w:fldCharType="begin"/>
      </w:r>
      <w:r w:rsidRPr="003F3E0B">
        <w:rPr>
          <w:noProof/>
        </w:rPr>
        <w:instrText xml:space="preserve"> PAGEREF _Toc64030465 \h </w:instrText>
      </w:r>
      <w:r w:rsidRPr="003F3E0B">
        <w:rPr>
          <w:noProof/>
        </w:rPr>
      </w:r>
      <w:r w:rsidRPr="003F3E0B">
        <w:rPr>
          <w:noProof/>
        </w:rPr>
        <w:fldChar w:fldCharType="separate"/>
      </w:r>
      <w:r w:rsidR="005364D5">
        <w:rPr>
          <w:noProof/>
        </w:rPr>
        <w:t>90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2.3</w:t>
      </w:r>
      <w:r>
        <w:rPr>
          <w:noProof/>
        </w:rPr>
        <w:tab/>
        <w:t>New entrant rate to be rounded down</w:t>
      </w:r>
      <w:r w:rsidRPr="003F3E0B">
        <w:rPr>
          <w:noProof/>
        </w:rPr>
        <w:tab/>
      </w:r>
      <w:r w:rsidRPr="003F3E0B">
        <w:rPr>
          <w:noProof/>
        </w:rPr>
        <w:fldChar w:fldCharType="begin"/>
      </w:r>
      <w:r w:rsidRPr="003F3E0B">
        <w:rPr>
          <w:noProof/>
        </w:rPr>
        <w:instrText xml:space="preserve"> PAGEREF _Toc64030466 \h </w:instrText>
      </w:r>
      <w:r w:rsidRPr="003F3E0B">
        <w:rPr>
          <w:noProof/>
        </w:rPr>
      </w:r>
      <w:r w:rsidRPr="003F3E0B">
        <w:rPr>
          <w:noProof/>
        </w:rPr>
        <w:fldChar w:fldCharType="separate"/>
      </w:r>
      <w:r w:rsidR="005364D5">
        <w:rPr>
          <w:noProof/>
        </w:rPr>
        <w:t>90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2.4</w:t>
      </w:r>
      <w:r>
        <w:rPr>
          <w:noProof/>
        </w:rPr>
        <w:tab/>
        <w:t>No allowance for administration expenses or income tax on assessable contributions</w:t>
      </w:r>
      <w:r w:rsidRPr="003F3E0B">
        <w:rPr>
          <w:noProof/>
        </w:rPr>
        <w:tab/>
      </w:r>
      <w:r w:rsidRPr="003F3E0B">
        <w:rPr>
          <w:noProof/>
        </w:rPr>
        <w:fldChar w:fldCharType="begin"/>
      </w:r>
      <w:r w:rsidRPr="003F3E0B">
        <w:rPr>
          <w:noProof/>
        </w:rPr>
        <w:instrText xml:space="preserve"> PAGEREF _Toc64030467 \h </w:instrText>
      </w:r>
      <w:r w:rsidRPr="003F3E0B">
        <w:rPr>
          <w:noProof/>
        </w:rPr>
      </w:r>
      <w:r w:rsidRPr="003F3E0B">
        <w:rPr>
          <w:noProof/>
        </w:rPr>
        <w:fldChar w:fldCharType="separate"/>
      </w:r>
      <w:r w:rsidR="005364D5">
        <w:rPr>
          <w:noProof/>
        </w:rPr>
        <w:t>91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2.5</w:t>
      </w:r>
      <w:r>
        <w:rPr>
          <w:noProof/>
        </w:rPr>
        <w:tab/>
        <w:t>Certain discretions to be allowed for</w:t>
      </w:r>
      <w:r w:rsidRPr="003F3E0B">
        <w:rPr>
          <w:noProof/>
        </w:rPr>
        <w:tab/>
      </w:r>
      <w:r w:rsidRPr="003F3E0B">
        <w:rPr>
          <w:noProof/>
        </w:rPr>
        <w:fldChar w:fldCharType="begin"/>
      </w:r>
      <w:r w:rsidRPr="003F3E0B">
        <w:rPr>
          <w:noProof/>
        </w:rPr>
        <w:instrText xml:space="preserve"> PAGEREF _Toc64030468 \h </w:instrText>
      </w:r>
      <w:r w:rsidRPr="003F3E0B">
        <w:rPr>
          <w:noProof/>
        </w:rPr>
      </w:r>
      <w:r w:rsidRPr="003F3E0B">
        <w:rPr>
          <w:noProof/>
        </w:rPr>
        <w:fldChar w:fldCharType="separate"/>
      </w:r>
      <w:r w:rsidR="005364D5">
        <w:rPr>
          <w:noProof/>
        </w:rPr>
        <w:t>91</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2.6</w:t>
      </w:r>
      <w:r>
        <w:rPr>
          <w:noProof/>
        </w:rPr>
        <w:tab/>
        <w:t>Method of working out new entrant rate for a member</w:t>
      </w:r>
      <w:r w:rsidRPr="003F3E0B">
        <w:rPr>
          <w:noProof/>
        </w:rPr>
        <w:tab/>
      </w:r>
      <w:r w:rsidRPr="003F3E0B">
        <w:rPr>
          <w:noProof/>
        </w:rPr>
        <w:fldChar w:fldCharType="begin"/>
      </w:r>
      <w:r w:rsidRPr="003F3E0B">
        <w:rPr>
          <w:noProof/>
        </w:rPr>
        <w:instrText xml:space="preserve"> PAGEREF _Toc64030469 \h </w:instrText>
      </w:r>
      <w:r w:rsidRPr="003F3E0B">
        <w:rPr>
          <w:noProof/>
        </w:rPr>
      </w:r>
      <w:r w:rsidRPr="003F3E0B">
        <w:rPr>
          <w:noProof/>
        </w:rPr>
        <w:fldChar w:fldCharType="separate"/>
      </w:r>
      <w:r w:rsidR="005364D5">
        <w:rPr>
          <w:noProof/>
        </w:rPr>
        <w:t>91</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3—Valuation parameters</w:t>
      </w:r>
      <w:r w:rsidRPr="003F3E0B">
        <w:rPr>
          <w:b w:val="0"/>
          <w:noProof/>
          <w:sz w:val="18"/>
        </w:rPr>
        <w:tab/>
      </w:r>
      <w:r w:rsidRPr="003F3E0B">
        <w:rPr>
          <w:b w:val="0"/>
          <w:noProof/>
          <w:sz w:val="18"/>
        </w:rPr>
        <w:fldChar w:fldCharType="begin"/>
      </w:r>
      <w:r w:rsidRPr="003F3E0B">
        <w:rPr>
          <w:b w:val="0"/>
          <w:noProof/>
          <w:sz w:val="18"/>
        </w:rPr>
        <w:instrText xml:space="preserve"> PAGEREF _Toc64030470 \h </w:instrText>
      </w:r>
      <w:r w:rsidRPr="003F3E0B">
        <w:rPr>
          <w:b w:val="0"/>
          <w:noProof/>
          <w:sz w:val="18"/>
        </w:rPr>
      </w:r>
      <w:r w:rsidRPr="003F3E0B">
        <w:rPr>
          <w:b w:val="0"/>
          <w:noProof/>
          <w:sz w:val="18"/>
        </w:rPr>
        <w:fldChar w:fldCharType="separate"/>
      </w:r>
      <w:r w:rsidR="005364D5">
        <w:rPr>
          <w:b w:val="0"/>
          <w:noProof/>
          <w:sz w:val="18"/>
        </w:rPr>
        <w:t>92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w:t>
      </w:r>
      <w:r>
        <w:rPr>
          <w:noProof/>
        </w:rPr>
        <w:tab/>
        <w:t>Application of economic, decrement and other parameters</w:t>
      </w:r>
      <w:r w:rsidRPr="003F3E0B">
        <w:rPr>
          <w:noProof/>
        </w:rPr>
        <w:tab/>
      </w:r>
      <w:r w:rsidRPr="003F3E0B">
        <w:rPr>
          <w:noProof/>
        </w:rPr>
        <w:fldChar w:fldCharType="begin"/>
      </w:r>
      <w:r w:rsidRPr="003F3E0B">
        <w:rPr>
          <w:noProof/>
        </w:rPr>
        <w:instrText xml:space="preserve"> PAGEREF _Toc64030471 \h </w:instrText>
      </w:r>
      <w:r w:rsidRPr="003F3E0B">
        <w:rPr>
          <w:noProof/>
        </w:rPr>
      </w:r>
      <w:r w:rsidRPr="003F3E0B">
        <w:rPr>
          <w:noProof/>
        </w:rPr>
        <w:fldChar w:fldCharType="separate"/>
      </w:r>
      <w:r w:rsidR="005364D5">
        <w:rPr>
          <w:noProof/>
        </w:rPr>
        <w:t>92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3.2</w:t>
      </w:r>
      <w:r>
        <w:rPr>
          <w:noProof/>
        </w:rPr>
        <w:tab/>
        <w:t>Discount rate</w:t>
      </w:r>
      <w:r w:rsidRPr="003F3E0B">
        <w:rPr>
          <w:noProof/>
        </w:rPr>
        <w:tab/>
      </w:r>
      <w:r w:rsidRPr="003F3E0B">
        <w:rPr>
          <w:noProof/>
        </w:rPr>
        <w:fldChar w:fldCharType="begin"/>
      </w:r>
      <w:r w:rsidRPr="003F3E0B">
        <w:rPr>
          <w:noProof/>
        </w:rPr>
        <w:instrText xml:space="preserve"> PAGEREF _Toc64030472 \h </w:instrText>
      </w:r>
      <w:r w:rsidRPr="003F3E0B">
        <w:rPr>
          <w:noProof/>
        </w:rPr>
      </w:r>
      <w:r w:rsidRPr="003F3E0B">
        <w:rPr>
          <w:noProof/>
        </w:rPr>
        <w:fldChar w:fldCharType="separate"/>
      </w:r>
      <w:r w:rsidR="005364D5">
        <w:rPr>
          <w:noProof/>
        </w:rPr>
        <w:t>92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3.3</w:t>
      </w:r>
      <w:r>
        <w:rPr>
          <w:noProof/>
        </w:rPr>
        <w:tab/>
        <w:t>Fund earning rate and crediting rate</w:t>
      </w:r>
      <w:r w:rsidRPr="003F3E0B">
        <w:rPr>
          <w:noProof/>
        </w:rPr>
        <w:tab/>
      </w:r>
      <w:r w:rsidRPr="003F3E0B">
        <w:rPr>
          <w:noProof/>
        </w:rPr>
        <w:fldChar w:fldCharType="begin"/>
      </w:r>
      <w:r w:rsidRPr="003F3E0B">
        <w:rPr>
          <w:noProof/>
        </w:rPr>
        <w:instrText xml:space="preserve"> PAGEREF _Toc64030473 \h </w:instrText>
      </w:r>
      <w:r w:rsidRPr="003F3E0B">
        <w:rPr>
          <w:noProof/>
        </w:rPr>
      </w:r>
      <w:r w:rsidRPr="003F3E0B">
        <w:rPr>
          <w:noProof/>
        </w:rPr>
        <w:fldChar w:fldCharType="separate"/>
      </w:r>
      <w:r w:rsidR="005364D5">
        <w:rPr>
          <w:noProof/>
        </w:rPr>
        <w:t>92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3.4</w:t>
      </w:r>
      <w:r>
        <w:rPr>
          <w:noProof/>
        </w:rPr>
        <w:tab/>
        <w:t>Rate of future salary or wages growth</w:t>
      </w:r>
      <w:r w:rsidRPr="003F3E0B">
        <w:rPr>
          <w:noProof/>
        </w:rPr>
        <w:tab/>
      </w:r>
      <w:r w:rsidRPr="003F3E0B">
        <w:rPr>
          <w:noProof/>
        </w:rPr>
        <w:fldChar w:fldCharType="begin"/>
      </w:r>
      <w:r w:rsidRPr="003F3E0B">
        <w:rPr>
          <w:noProof/>
        </w:rPr>
        <w:instrText xml:space="preserve"> PAGEREF _Toc64030474 \h </w:instrText>
      </w:r>
      <w:r w:rsidRPr="003F3E0B">
        <w:rPr>
          <w:noProof/>
        </w:rPr>
      </w:r>
      <w:r w:rsidRPr="003F3E0B">
        <w:rPr>
          <w:noProof/>
        </w:rPr>
        <w:fldChar w:fldCharType="separate"/>
      </w:r>
      <w:r w:rsidR="005364D5">
        <w:rPr>
          <w:noProof/>
        </w:rPr>
        <w:t>92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3.5</w:t>
      </w:r>
      <w:r>
        <w:rPr>
          <w:noProof/>
        </w:rPr>
        <w:tab/>
        <w:t>Rate of increase in price indices</w:t>
      </w:r>
      <w:r w:rsidRPr="003F3E0B">
        <w:rPr>
          <w:noProof/>
        </w:rPr>
        <w:tab/>
      </w:r>
      <w:r w:rsidRPr="003F3E0B">
        <w:rPr>
          <w:noProof/>
        </w:rPr>
        <w:fldChar w:fldCharType="begin"/>
      </w:r>
      <w:r w:rsidRPr="003F3E0B">
        <w:rPr>
          <w:noProof/>
        </w:rPr>
        <w:instrText xml:space="preserve"> PAGEREF _Toc64030475 \h </w:instrText>
      </w:r>
      <w:r w:rsidRPr="003F3E0B">
        <w:rPr>
          <w:noProof/>
        </w:rPr>
      </w:r>
      <w:r w:rsidRPr="003F3E0B">
        <w:rPr>
          <w:noProof/>
        </w:rPr>
        <w:fldChar w:fldCharType="separate"/>
      </w:r>
      <w:r w:rsidR="005364D5">
        <w:rPr>
          <w:noProof/>
        </w:rPr>
        <w:t>92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3.6</w:t>
      </w:r>
      <w:r>
        <w:rPr>
          <w:noProof/>
        </w:rPr>
        <w:tab/>
        <w:t>New entrant age</w:t>
      </w:r>
      <w:r w:rsidRPr="003F3E0B">
        <w:rPr>
          <w:noProof/>
        </w:rPr>
        <w:tab/>
      </w:r>
      <w:r w:rsidRPr="003F3E0B">
        <w:rPr>
          <w:noProof/>
        </w:rPr>
        <w:fldChar w:fldCharType="begin"/>
      </w:r>
      <w:r w:rsidRPr="003F3E0B">
        <w:rPr>
          <w:noProof/>
        </w:rPr>
        <w:instrText xml:space="preserve"> PAGEREF _Toc64030476 \h </w:instrText>
      </w:r>
      <w:r w:rsidRPr="003F3E0B">
        <w:rPr>
          <w:noProof/>
        </w:rPr>
      </w:r>
      <w:r w:rsidRPr="003F3E0B">
        <w:rPr>
          <w:noProof/>
        </w:rPr>
        <w:fldChar w:fldCharType="separate"/>
      </w:r>
      <w:r w:rsidR="005364D5">
        <w:rPr>
          <w:noProof/>
        </w:rPr>
        <w:t>92</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3.7</w:t>
      </w:r>
      <w:r>
        <w:rPr>
          <w:noProof/>
        </w:rPr>
        <w:tab/>
        <w:t>Exit rates</w:t>
      </w:r>
      <w:r w:rsidRPr="003F3E0B">
        <w:rPr>
          <w:noProof/>
        </w:rPr>
        <w:tab/>
      </w:r>
      <w:r w:rsidRPr="003F3E0B">
        <w:rPr>
          <w:noProof/>
        </w:rPr>
        <w:fldChar w:fldCharType="begin"/>
      </w:r>
      <w:r w:rsidRPr="003F3E0B">
        <w:rPr>
          <w:noProof/>
        </w:rPr>
        <w:instrText xml:space="preserve"> PAGEREF _Toc64030477 \h </w:instrText>
      </w:r>
      <w:r w:rsidRPr="003F3E0B">
        <w:rPr>
          <w:noProof/>
        </w:rPr>
      </w:r>
      <w:r w:rsidRPr="003F3E0B">
        <w:rPr>
          <w:noProof/>
        </w:rPr>
        <w:fldChar w:fldCharType="separate"/>
      </w:r>
      <w:r w:rsidR="005364D5">
        <w:rPr>
          <w:noProof/>
        </w:rPr>
        <w:t>93</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3.8</w:t>
      </w:r>
      <w:r>
        <w:rPr>
          <w:noProof/>
        </w:rPr>
        <w:tab/>
        <w:t>Pensions</w:t>
      </w:r>
      <w:r w:rsidRPr="003F3E0B">
        <w:rPr>
          <w:noProof/>
        </w:rPr>
        <w:tab/>
      </w:r>
      <w:r w:rsidRPr="003F3E0B">
        <w:rPr>
          <w:noProof/>
        </w:rPr>
        <w:fldChar w:fldCharType="begin"/>
      </w:r>
      <w:r w:rsidRPr="003F3E0B">
        <w:rPr>
          <w:noProof/>
        </w:rPr>
        <w:instrText xml:space="preserve"> PAGEREF _Toc64030478 \h </w:instrText>
      </w:r>
      <w:r w:rsidRPr="003F3E0B">
        <w:rPr>
          <w:noProof/>
        </w:rPr>
      </w:r>
      <w:r w:rsidRPr="003F3E0B">
        <w:rPr>
          <w:noProof/>
        </w:rPr>
        <w:fldChar w:fldCharType="separate"/>
      </w:r>
      <w:r w:rsidR="005364D5">
        <w:rPr>
          <w:noProof/>
        </w:rPr>
        <w:t>94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lastRenderedPageBreak/>
        <w:t>3.9</w:t>
      </w:r>
      <w:r>
        <w:rPr>
          <w:noProof/>
        </w:rPr>
        <w:tab/>
        <w:t>Mortality of pensioners</w:t>
      </w:r>
      <w:r w:rsidRPr="003F3E0B">
        <w:rPr>
          <w:noProof/>
        </w:rPr>
        <w:tab/>
      </w:r>
      <w:r w:rsidRPr="003F3E0B">
        <w:rPr>
          <w:noProof/>
        </w:rPr>
        <w:fldChar w:fldCharType="begin"/>
      </w:r>
      <w:r w:rsidRPr="003F3E0B">
        <w:rPr>
          <w:noProof/>
        </w:rPr>
        <w:instrText xml:space="preserve"> PAGEREF _Toc64030479 \h </w:instrText>
      </w:r>
      <w:r w:rsidRPr="003F3E0B">
        <w:rPr>
          <w:noProof/>
        </w:rPr>
      </w:r>
      <w:r w:rsidRPr="003F3E0B">
        <w:rPr>
          <w:noProof/>
        </w:rPr>
        <w:fldChar w:fldCharType="separate"/>
      </w:r>
      <w:r w:rsidR="005364D5">
        <w:rPr>
          <w:noProof/>
        </w:rPr>
        <w:t>94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3.10</w:t>
      </w:r>
      <w:r>
        <w:rPr>
          <w:noProof/>
        </w:rPr>
        <w:tab/>
        <w:t>Taxed and untaxed benefits</w:t>
      </w:r>
      <w:r w:rsidRPr="003F3E0B">
        <w:rPr>
          <w:noProof/>
        </w:rPr>
        <w:tab/>
      </w:r>
      <w:r w:rsidRPr="003F3E0B">
        <w:rPr>
          <w:noProof/>
        </w:rPr>
        <w:fldChar w:fldCharType="begin"/>
      </w:r>
      <w:r w:rsidRPr="003F3E0B">
        <w:rPr>
          <w:noProof/>
        </w:rPr>
        <w:instrText xml:space="preserve"> PAGEREF _Toc64030480 \h </w:instrText>
      </w:r>
      <w:r w:rsidRPr="003F3E0B">
        <w:rPr>
          <w:noProof/>
        </w:rPr>
      </w:r>
      <w:r w:rsidRPr="003F3E0B">
        <w:rPr>
          <w:noProof/>
        </w:rPr>
        <w:fldChar w:fldCharType="separate"/>
      </w:r>
      <w:r w:rsidR="005364D5">
        <w:rPr>
          <w:noProof/>
        </w:rPr>
        <w:t>95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3.11</w:t>
      </w:r>
      <w:r>
        <w:rPr>
          <w:noProof/>
        </w:rPr>
        <w:tab/>
        <w:t>Other assumptions to be set by the actuary</w:t>
      </w:r>
      <w:r w:rsidRPr="003F3E0B">
        <w:rPr>
          <w:noProof/>
        </w:rPr>
        <w:tab/>
      </w:r>
      <w:r w:rsidRPr="003F3E0B">
        <w:rPr>
          <w:noProof/>
        </w:rPr>
        <w:fldChar w:fldCharType="begin"/>
      </w:r>
      <w:r w:rsidRPr="003F3E0B">
        <w:rPr>
          <w:noProof/>
        </w:rPr>
        <w:instrText xml:space="preserve"> PAGEREF _Toc64030481 \h </w:instrText>
      </w:r>
      <w:r w:rsidRPr="003F3E0B">
        <w:rPr>
          <w:noProof/>
        </w:rPr>
      </w:r>
      <w:r w:rsidRPr="003F3E0B">
        <w:rPr>
          <w:noProof/>
        </w:rPr>
        <w:fldChar w:fldCharType="separate"/>
      </w:r>
      <w:r w:rsidR="005364D5">
        <w:rPr>
          <w:noProof/>
        </w:rPr>
        <w:t>95</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4—Exercise of discretion to pay a benefit greater than the benefit assumed in calculating the new entrant rate</w:t>
      </w:r>
      <w:r w:rsidRPr="003F3E0B">
        <w:rPr>
          <w:b w:val="0"/>
          <w:noProof/>
          <w:sz w:val="18"/>
        </w:rPr>
        <w:tab/>
      </w:r>
      <w:r w:rsidRPr="003F3E0B">
        <w:rPr>
          <w:b w:val="0"/>
          <w:noProof/>
          <w:sz w:val="18"/>
        </w:rPr>
        <w:fldChar w:fldCharType="begin"/>
      </w:r>
      <w:r w:rsidRPr="003F3E0B">
        <w:rPr>
          <w:b w:val="0"/>
          <w:noProof/>
          <w:sz w:val="18"/>
        </w:rPr>
        <w:instrText xml:space="preserve"> PAGEREF _Toc64030482 \h </w:instrText>
      </w:r>
      <w:r w:rsidRPr="003F3E0B">
        <w:rPr>
          <w:b w:val="0"/>
          <w:noProof/>
          <w:sz w:val="18"/>
        </w:rPr>
      </w:r>
      <w:r w:rsidRPr="003F3E0B">
        <w:rPr>
          <w:b w:val="0"/>
          <w:noProof/>
          <w:sz w:val="18"/>
        </w:rPr>
        <w:fldChar w:fldCharType="separate"/>
      </w:r>
      <w:r w:rsidR="005364D5">
        <w:rPr>
          <w:b w:val="0"/>
          <w:noProof/>
          <w:sz w:val="18"/>
        </w:rPr>
        <w:t>96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4.1</w:t>
      </w:r>
      <w:r>
        <w:rPr>
          <w:noProof/>
        </w:rPr>
        <w:tab/>
        <w:t>Method of working out the increased exit benefit adjustment amount in the formula in clause 1.8</w:t>
      </w:r>
      <w:r w:rsidRPr="003F3E0B">
        <w:rPr>
          <w:noProof/>
        </w:rPr>
        <w:tab/>
      </w:r>
      <w:r w:rsidRPr="003F3E0B">
        <w:rPr>
          <w:noProof/>
        </w:rPr>
        <w:fldChar w:fldCharType="begin"/>
      </w:r>
      <w:r w:rsidRPr="003F3E0B">
        <w:rPr>
          <w:noProof/>
        </w:rPr>
        <w:instrText xml:space="preserve"> PAGEREF _Toc64030483 \h </w:instrText>
      </w:r>
      <w:r w:rsidRPr="003F3E0B">
        <w:rPr>
          <w:noProof/>
        </w:rPr>
      </w:r>
      <w:r w:rsidRPr="003F3E0B">
        <w:rPr>
          <w:noProof/>
        </w:rPr>
        <w:fldChar w:fldCharType="separate"/>
      </w:r>
      <w:r w:rsidR="005364D5">
        <w:rPr>
          <w:noProof/>
        </w:rPr>
        <w:t>96</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5—Member has changed benefit category</w:t>
      </w:r>
      <w:r w:rsidRPr="003F3E0B">
        <w:rPr>
          <w:b w:val="0"/>
          <w:noProof/>
          <w:sz w:val="18"/>
        </w:rPr>
        <w:tab/>
      </w:r>
      <w:r w:rsidRPr="003F3E0B">
        <w:rPr>
          <w:b w:val="0"/>
          <w:noProof/>
          <w:sz w:val="18"/>
        </w:rPr>
        <w:fldChar w:fldCharType="begin"/>
      </w:r>
      <w:r w:rsidRPr="003F3E0B">
        <w:rPr>
          <w:b w:val="0"/>
          <w:noProof/>
          <w:sz w:val="18"/>
        </w:rPr>
        <w:instrText xml:space="preserve"> PAGEREF _Toc64030484 \h </w:instrText>
      </w:r>
      <w:r w:rsidRPr="003F3E0B">
        <w:rPr>
          <w:b w:val="0"/>
          <w:noProof/>
          <w:sz w:val="18"/>
        </w:rPr>
      </w:r>
      <w:r w:rsidRPr="003F3E0B">
        <w:rPr>
          <w:b w:val="0"/>
          <w:noProof/>
          <w:sz w:val="18"/>
        </w:rPr>
        <w:fldChar w:fldCharType="separate"/>
      </w:r>
      <w:r w:rsidR="005364D5">
        <w:rPr>
          <w:b w:val="0"/>
          <w:noProof/>
          <w:sz w:val="18"/>
        </w:rPr>
        <w:t>97</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5.1</w:t>
      </w:r>
      <w:r>
        <w:rPr>
          <w:noProof/>
        </w:rPr>
        <w:tab/>
        <w:t>Method of working out the</w:t>
      </w:r>
      <w:r w:rsidRPr="00C62C95">
        <w:rPr>
          <w:noProof/>
          <w:color w:val="000000"/>
        </w:rPr>
        <w:t xml:space="preserve"> </w:t>
      </w:r>
      <w:r>
        <w:rPr>
          <w:noProof/>
        </w:rPr>
        <w:t>category change or discretion adjustment amount in the formula in clause 1.8</w:t>
      </w:r>
      <w:r w:rsidRPr="003F3E0B">
        <w:rPr>
          <w:noProof/>
        </w:rPr>
        <w:tab/>
      </w:r>
      <w:r w:rsidRPr="003F3E0B">
        <w:rPr>
          <w:noProof/>
        </w:rPr>
        <w:fldChar w:fldCharType="begin"/>
      </w:r>
      <w:r w:rsidRPr="003F3E0B">
        <w:rPr>
          <w:noProof/>
        </w:rPr>
        <w:instrText xml:space="preserve"> PAGEREF _Toc64030485 \h </w:instrText>
      </w:r>
      <w:r w:rsidRPr="003F3E0B">
        <w:rPr>
          <w:noProof/>
        </w:rPr>
      </w:r>
      <w:r w:rsidRPr="003F3E0B">
        <w:rPr>
          <w:noProof/>
        </w:rPr>
        <w:fldChar w:fldCharType="separate"/>
      </w:r>
      <w:r w:rsidR="005364D5">
        <w:rPr>
          <w:noProof/>
        </w:rPr>
        <w:t>97</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6—Governing rules have changed</w:t>
      </w:r>
      <w:r w:rsidRPr="003F3E0B">
        <w:rPr>
          <w:b w:val="0"/>
          <w:noProof/>
          <w:sz w:val="18"/>
        </w:rPr>
        <w:tab/>
      </w:r>
      <w:r w:rsidRPr="003F3E0B">
        <w:rPr>
          <w:b w:val="0"/>
          <w:noProof/>
          <w:sz w:val="18"/>
        </w:rPr>
        <w:fldChar w:fldCharType="begin"/>
      </w:r>
      <w:r w:rsidRPr="003F3E0B">
        <w:rPr>
          <w:b w:val="0"/>
          <w:noProof/>
          <w:sz w:val="18"/>
        </w:rPr>
        <w:instrText xml:space="preserve"> PAGEREF _Toc64030486 \h </w:instrText>
      </w:r>
      <w:r w:rsidRPr="003F3E0B">
        <w:rPr>
          <w:b w:val="0"/>
          <w:noProof/>
          <w:sz w:val="18"/>
        </w:rPr>
      </w:r>
      <w:r w:rsidRPr="003F3E0B">
        <w:rPr>
          <w:b w:val="0"/>
          <w:noProof/>
          <w:sz w:val="18"/>
        </w:rPr>
        <w:fldChar w:fldCharType="separate"/>
      </w:r>
      <w:r w:rsidR="005364D5">
        <w:rPr>
          <w:b w:val="0"/>
          <w:noProof/>
          <w:sz w:val="18"/>
        </w:rPr>
        <w:t>98</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6.1</w:t>
      </w:r>
      <w:r>
        <w:rPr>
          <w:noProof/>
        </w:rPr>
        <w:tab/>
        <w:t>Method of working out governing rules change adjustment amount in the formula in clause 1.8</w:t>
      </w:r>
      <w:r w:rsidRPr="003F3E0B">
        <w:rPr>
          <w:noProof/>
        </w:rPr>
        <w:tab/>
      </w:r>
      <w:r w:rsidRPr="003F3E0B">
        <w:rPr>
          <w:noProof/>
        </w:rPr>
        <w:fldChar w:fldCharType="begin"/>
      </w:r>
      <w:r w:rsidRPr="003F3E0B">
        <w:rPr>
          <w:noProof/>
        </w:rPr>
        <w:instrText xml:space="preserve"> PAGEREF _Toc64030487 \h </w:instrText>
      </w:r>
      <w:r w:rsidRPr="003F3E0B">
        <w:rPr>
          <w:noProof/>
        </w:rPr>
      </w:r>
      <w:r w:rsidRPr="003F3E0B">
        <w:rPr>
          <w:noProof/>
        </w:rPr>
        <w:fldChar w:fldCharType="separate"/>
      </w:r>
      <w:r w:rsidR="005364D5">
        <w:rPr>
          <w:noProof/>
        </w:rPr>
        <w:t>98</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7—Non</w:t>
      </w:r>
      <w:r>
        <w:rPr>
          <w:noProof/>
        </w:rPr>
        <w:noBreakHyphen/>
        <w:t>arm’s length increase in superannuation salary</w:t>
      </w:r>
      <w:r w:rsidRPr="003F3E0B">
        <w:rPr>
          <w:b w:val="0"/>
          <w:noProof/>
          <w:sz w:val="18"/>
        </w:rPr>
        <w:tab/>
      </w:r>
      <w:r w:rsidRPr="003F3E0B">
        <w:rPr>
          <w:b w:val="0"/>
          <w:noProof/>
          <w:sz w:val="18"/>
        </w:rPr>
        <w:fldChar w:fldCharType="begin"/>
      </w:r>
      <w:r w:rsidRPr="003F3E0B">
        <w:rPr>
          <w:b w:val="0"/>
          <w:noProof/>
          <w:sz w:val="18"/>
        </w:rPr>
        <w:instrText xml:space="preserve"> PAGEREF _Toc64030488 \h </w:instrText>
      </w:r>
      <w:r w:rsidRPr="003F3E0B">
        <w:rPr>
          <w:b w:val="0"/>
          <w:noProof/>
          <w:sz w:val="18"/>
        </w:rPr>
      </w:r>
      <w:r w:rsidRPr="003F3E0B">
        <w:rPr>
          <w:b w:val="0"/>
          <w:noProof/>
          <w:sz w:val="18"/>
        </w:rPr>
        <w:fldChar w:fldCharType="separate"/>
      </w:r>
      <w:r w:rsidR="005364D5">
        <w:rPr>
          <w:b w:val="0"/>
          <w:noProof/>
          <w:sz w:val="18"/>
        </w:rPr>
        <w:t>99</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7.1</w:t>
      </w:r>
      <w:r>
        <w:rPr>
          <w:noProof/>
        </w:rPr>
        <w:tab/>
        <w:t>Method of working out the increased superannuation salary adjustment amount</w:t>
      </w:r>
      <w:r w:rsidRPr="00C62C95">
        <w:rPr>
          <w:i/>
          <w:noProof/>
        </w:rPr>
        <w:t xml:space="preserve"> </w:t>
      </w:r>
      <w:r>
        <w:rPr>
          <w:noProof/>
        </w:rPr>
        <w:t>in the formula in clause 1.8</w:t>
      </w:r>
      <w:r w:rsidRPr="003F3E0B">
        <w:rPr>
          <w:noProof/>
        </w:rPr>
        <w:tab/>
      </w:r>
      <w:r w:rsidRPr="003F3E0B">
        <w:rPr>
          <w:noProof/>
        </w:rPr>
        <w:fldChar w:fldCharType="begin"/>
      </w:r>
      <w:r w:rsidRPr="003F3E0B">
        <w:rPr>
          <w:noProof/>
        </w:rPr>
        <w:instrText xml:space="preserve"> PAGEREF _Toc64030489 \h </w:instrText>
      </w:r>
      <w:r w:rsidRPr="003F3E0B">
        <w:rPr>
          <w:noProof/>
        </w:rPr>
      </w:r>
      <w:r w:rsidRPr="003F3E0B">
        <w:rPr>
          <w:noProof/>
        </w:rPr>
        <w:fldChar w:fldCharType="separate"/>
      </w:r>
      <w:r w:rsidR="005364D5">
        <w:rPr>
          <w:noProof/>
        </w:rPr>
        <w:t>99</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Schedule 1AA—Working out defined benefit contributions</w:t>
      </w:r>
      <w:r w:rsidRPr="003F3E0B">
        <w:rPr>
          <w:b w:val="0"/>
          <w:noProof/>
          <w:sz w:val="18"/>
        </w:rPr>
        <w:tab/>
      </w:r>
      <w:r w:rsidRPr="003F3E0B">
        <w:rPr>
          <w:b w:val="0"/>
          <w:noProof/>
          <w:sz w:val="18"/>
        </w:rPr>
        <w:fldChar w:fldCharType="begin"/>
      </w:r>
      <w:r w:rsidRPr="003F3E0B">
        <w:rPr>
          <w:b w:val="0"/>
          <w:noProof/>
          <w:sz w:val="18"/>
        </w:rPr>
        <w:instrText xml:space="preserve"> PAGEREF _Toc64030490 \h </w:instrText>
      </w:r>
      <w:r w:rsidRPr="003F3E0B">
        <w:rPr>
          <w:b w:val="0"/>
          <w:noProof/>
          <w:sz w:val="18"/>
        </w:rPr>
      </w:r>
      <w:r w:rsidRPr="003F3E0B">
        <w:rPr>
          <w:b w:val="0"/>
          <w:noProof/>
          <w:sz w:val="18"/>
        </w:rPr>
        <w:fldChar w:fldCharType="separate"/>
      </w:r>
      <w:r w:rsidR="005364D5">
        <w:rPr>
          <w:b w:val="0"/>
          <w:noProof/>
          <w:sz w:val="18"/>
        </w:rPr>
        <w:t>100</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1—Preliminary</w:t>
      </w:r>
      <w:r w:rsidRPr="003F3E0B">
        <w:rPr>
          <w:b w:val="0"/>
          <w:noProof/>
          <w:sz w:val="18"/>
        </w:rPr>
        <w:tab/>
      </w:r>
      <w:r w:rsidRPr="003F3E0B">
        <w:rPr>
          <w:b w:val="0"/>
          <w:noProof/>
          <w:sz w:val="18"/>
        </w:rPr>
        <w:fldChar w:fldCharType="begin"/>
      </w:r>
      <w:r w:rsidRPr="003F3E0B">
        <w:rPr>
          <w:b w:val="0"/>
          <w:noProof/>
          <w:sz w:val="18"/>
        </w:rPr>
        <w:instrText xml:space="preserve"> PAGEREF _Toc64030491 \h </w:instrText>
      </w:r>
      <w:r w:rsidRPr="003F3E0B">
        <w:rPr>
          <w:b w:val="0"/>
          <w:noProof/>
          <w:sz w:val="18"/>
        </w:rPr>
      </w:r>
      <w:r w:rsidRPr="003F3E0B">
        <w:rPr>
          <w:b w:val="0"/>
          <w:noProof/>
          <w:sz w:val="18"/>
        </w:rPr>
        <w:fldChar w:fldCharType="separate"/>
      </w:r>
      <w:r w:rsidR="005364D5">
        <w:rPr>
          <w:b w:val="0"/>
          <w:noProof/>
          <w:sz w:val="18"/>
        </w:rPr>
        <w:t>100</w:t>
      </w:r>
      <w:r w:rsidRPr="003F3E0B">
        <w:rPr>
          <w:b w:val="0"/>
          <w:noProof/>
          <w:sz w:val="18"/>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1—Definitions</w:t>
      </w:r>
      <w:r w:rsidRPr="003F3E0B">
        <w:rPr>
          <w:b w:val="0"/>
          <w:noProof/>
          <w:sz w:val="18"/>
        </w:rPr>
        <w:tab/>
      </w:r>
      <w:r w:rsidRPr="003F3E0B">
        <w:rPr>
          <w:b w:val="0"/>
          <w:noProof/>
          <w:sz w:val="18"/>
        </w:rPr>
        <w:fldChar w:fldCharType="begin"/>
      </w:r>
      <w:r w:rsidRPr="003F3E0B">
        <w:rPr>
          <w:b w:val="0"/>
          <w:noProof/>
          <w:sz w:val="18"/>
        </w:rPr>
        <w:instrText xml:space="preserve"> PAGEREF _Toc64030492 \h </w:instrText>
      </w:r>
      <w:r w:rsidRPr="003F3E0B">
        <w:rPr>
          <w:b w:val="0"/>
          <w:noProof/>
          <w:sz w:val="18"/>
        </w:rPr>
      </w:r>
      <w:r w:rsidRPr="003F3E0B">
        <w:rPr>
          <w:b w:val="0"/>
          <w:noProof/>
          <w:sz w:val="18"/>
        </w:rPr>
        <w:fldChar w:fldCharType="separate"/>
      </w:r>
      <w:r w:rsidR="005364D5">
        <w:rPr>
          <w:b w:val="0"/>
          <w:noProof/>
          <w:sz w:val="18"/>
        </w:rPr>
        <w:t>100</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w:t>
      </w:r>
      <w:r>
        <w:rPr>
          <w:noProof/>
        </w:rPr>
        <w:tab/>
        <w:t xml:space="preserve">Meaning of </w:t>
      </w:r>
      <w:r w:rsidRPr="00C62C95">
        <w:rPr>
          <w:i/>
          <w:noProof/>
        </w:rPr>
        <w:t>accruing member</w:t>
      </w:r>
      <w:r w:rsidRPr="003F3E0B">
        <w:rPr>
          <w:noProof/>
        </w:rPr>
        <w:tab/>
      </w:r>
      <w:r w:rsidRPr="003F3E0B">
        <w:rPr>
          <w:noProof/>
        </w:rPr>
        <w:fldChar w:fldCharType="begin"/>
      </w:r>
      <w:r w:rsidRPr="003F3E0B">
        <w:rPr>
          <w:noProof/>
        </w:rPr>
        <w:instrText xml:space="preserve"> PAGEREF _Toc64030493 \h </w:instrText>
      </w:r>
      <w:r w:rsidRPr="003F3E0B">
        <w:rPr>
          <w:noProof/>
        </w:rPr>
      </w:r>
      <w:r w:rsidRPr="003F3E0B">
        <w:rPr>
          <w:noProof/>
        </w:rPr>
        <w:fldChar w:fldCharType="separate"/>
      </w:r>
      <w:r w:rsidR="005364D5">
        <w:rPr>
          <w:noProof/>
        </w:rPr>
        <w:t>100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w:t>
      </w:r>
      <w:r>
        <w:rPr>
          <w:noProof/>
        </w:rPr>
        <w:tab/>
        <w:t xml:space="preserve">Meaning of </w:t>
      </w:r>
      <w:r w:rsidRPr="00C62C95">
        <w:rPr>
          <w:i/>
          <w:noProof/>
        </w:rPr>
        <w:t>benefit category</w:t>
      </w:r>
      <w:r w:rsidRPr="003F3E0B">
        <w:rPr>
          <w:noProof/>
        </w:rPr>
        <w:tab/>
      </w:r>
      <w:r w:rsidRPr="003F3E0B">
        <w:rPr>
          <w:noProof/>
        </w:rPr>
        <w:fldChar w:fldCharType="begin"/>
      </w:r>
      <w:r w:rsidRPr="003F3E0B">
        <w:rPr>
          <w:noProof/>
        </w:rPr>
        <w:instrText xml:space="preserve"> PAGEREF _Toc64030494 \h </w:instrText>
      </w:r>
      <w:r w:rsidRPr="003F3E0B">
        <w:rPr>
          <w:noProof/>
        </w:rPr>
      </w:r>
      <w:r w:rsidRPr="003F3E0B">
        <w:rPr>
          <w:noProof/>
        </w:rPr>
        <w:fldChar w:fldCharType="separate"/>
      </w:r>
      <w:r w:rsidR="005364D5">
        <w:rPr>
          <w:noProof/>
        </w:rPr>
        <w:t>100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2A</w:t>
      </w:r>
      <w:r>
        <w:rPr>
          <w:noProof/>
        </w:rPr>
        <w:tab/>
        <w:t xml:space="preserve">Meaning of </w:t>
      </w:r>
      <w:r w:rsidRPr="00C62C95">
        <w:rPr>
          <w:i/>
          <w:noProof/>
        </w:rPr>
        <w:t>defined benefit fund</w:t>
      </w:r>
      <w:r w:rsidRPr="003F3E0B">
        <w:rPr>
          <w:noProof/>
        </w:rPr>
        <w:tab/>
      </w:r>
      <w:r w:rsidRPr="003F3E0B">
        <w:rPr>
          <w:noProof/>
        </w:rPr>
        <w:fldChar w:fldCharType="begin"/>
      </w:r>
      <w:r w:rsidRPr="003F3E0B">
        <w:rPr>
          <w:noProof/>
        </w:rPr>
        <w:instrText xml:space="preserve"> PAGEREF _Toc64030495 \h </w:instrText>
      </w:r>
      <w:r w:rsidRPr="003F3E0B">
        <w:rPr>
          <w:noProof/>
        </w:rPr>
      </w:r>
      <w:r w:rsidRPr="003F3E0B">
        <w:rPr>
          <w:noProof/>
        </w:rPr>
        <w:fldChar w:fldCharType="separate"/>
      </w:r>
      <w:r w:rsidR="005364D5">
        <w:rPr>
          <w:noProof/>
        </w:rPr>
        <w:t>100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2B</w:t>
      </w:r>
      <w:r>
        <w:rPr>
          <w:noProof/>
        </w:rPr>
        <w:tab/>
        <w:t>Treatment of superannuation sub</w:t>
      </w:r>
      <w:r>
        <w:rPr>
          <w:noProof/>
        </w:rPr>
        <w:noBreakHyphen/>
        <w:t>funds</w:t>
      </w:r>
      <w:r w:rsidRPr="003F3E0B">
        <w:rPr>
          <w:noProof/>
        </w:rPr>
        <w:tab/>
      </w:r>
      <w:r w:rsidRPr="003F3E0B">
        <w:rPr>
          <w:noProof/>
        </w:rPr>
        <w:fldChar w:fldCharType="begin"/>
      </w:r>
      <w:r w:rsidRPr="003F3E0B">
        <w:rPr>
          <w:noProof/>
        </w:rPr>
        <w:instrText xml:space="preserve"> PAGEREF _Toc64030496 \h </w:instrText>
      </w:r>
      <w:r w:rsidRPr="003F3E0B">
        <w:rPr>
          <w:noProof/>
        </w:rPr>
      </w:r>
      <w:r w:rsidRPr="003F3E0B">
        <w:rPr>
          <w:noProof/>
        </w:rPr>
        <w:fldChar w:fldCharType="separate"/>
      </w:r>
      <w:r w:rsidR="005364D5">
        <w:rPr>
          <w:noProof/>
        </w:rPr>
        <w:t>100</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w:t>
      </w:r>
      <w:r>
        <w:rPr>
          <w:noProof/>
        </w:rPr>
        <w:tab/>
        <w:t>Accruing member must not belong to more than one benefit category at the same time unless certified by an actuary</w:t>
      </w:r>
      <w:r w:rsidRPr="003F3E0B">
        <w:rPr>
          <w:noProof/>
        </w:rPr>
        <w:tab/>
      </w:r>
      <w:r w:rsidRPr="003F3E0B">
        <w:rPr>
          <w:noProof/>
        </w:rPr>
        <w:fldChar w:fldCharType="begin"/>
      </w:r>
      <w:r w:rsidRPr="003F3E0B">
        <w:rPr>
          <w:noProof/>
        </w:rPr>
        <w:instrText xml:space="preserve"> PAGEREF _Toc64030497 \h </w:instrText>
      </w:r>
      <w:r w:rsidRPr="003F3E0B">
        <w:rPr>
          <w:noProof/>
        </w:rPr>
      </w:r>
      <w:r w:rsidRPr="003F3E0B">
        <w:rPr>
          <w:noProof/>
        </w:rPr>
        <w:fldChar w:fldCharType="separate"/>
      </w:r>
      <w:r w:rsidR="005364D5">
        <w:rPr>
          <w:noProof/>
        </w:rPr>
        <w:t>100</w:t>
      </w:r>
      <w:r w:rsidRPr="003F3E0B">
        <w:rPr>
          <w:noProof/>
        </w:rPr>
        <w:fldChar w:fldCharType="end"/>
      </w:r>
    </w:p>
    <w:p w:rsidR="003F3E0B" w:rsidRDefault="003F3E0B">
      <w:pPr>
        <w:pStyle w:val="TOC3"/>
        <w:rPr>
          <w:rFonts w:asciiTheme="minorHAnsi" w:eastAsiaTheme="minorEastAsia" w:hAnsiTheme="minorHAnsi" w:cstheme="minorBidi"/>
          <w:b w:val="0"/>
          <w:noProof/>
          <w:kern w:val="0"/>
          <w:szCs w:val="22"/>
        </w:rPr>
      </w:pPr>
      <w:r>
        <w:rPr>
          <w:noProof/>
        </w:rPr>
        <w:t>Division 2—Method</w:t>
      </w:r>
      <w:r w:rsidRPr="003F3E0B">
        <w:rPr>
          <w:b w:val="0"/>
          <w:noProof/>
          <w:sz w:val="18"/>
        </w:rPr>
        <w:tab/>
      </w:r>
      <w:r w:rsidRPr="003F3E0B">
        <w:rPr>
          <w:b w:val="0"/>
          <w:noProof/>
          <w:sz w:val="18"/>
        </w:rPr>
        <w:fldChar w:fldCharType="begin"/>
      </w:r>
      <w:r w:rsidRPr="003F3E0B">
        <w:rPr>
          <w:b w:val="0"/>
          <w:noProof/>
          <w:sz w:val="18"/>
        </w:rPr>
        <w:instrText xml:space="preserve"> PAGEREF _Toc64030498 \h </w:instrText>
      </w:r>
      <w:r w:rsidRPr="003F3E0B">
        <w:rPr>
          <w:b w:val="0"/>
          <w:noProof/>
          <w:sz w:val="18"/>
        </w:rPr>
      </w:r>
      <w:r w:rsidRPr="003F3E0B">
        <w:rPr>
          <w:b w:val="0"/>
          <w:noProof/>
          <w:sz w:val="18"/>
        </w:rPr>
        <w:fldChar w:fldCharType="separate"/>
      </w:r>
      <w:r w:rsidR="005364D5">
        <w:rPr>
          <w:b w:val="0"/>
          <w:noProof/>
          <w:sz w:val="18"/>
        </w:rPr>
        <w:t>102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4</w:t>
      </w:r>
      <w:r>
        <w:rPr>
          <w:noProof/>
        </w:rPr>
        <w:tab/>
        <w:t>Method of determining amount of defined benefit contributions</w:t>
      </w:r>
      <w:r w:rsidRPr="003F3E0B">
        <w:rPr>
          <w:noProof/>
        </w:rPr>
        <w:tab/>
      </w:r>
      <w:r w:rsidRPr="003F3E0B">
        <w:rPr>
          <w:noProof/>
        </w:rPr>
        <w:fldChar w:fldCharType="begin"/>
      </w:r>
      <w:r w:rsidRPr="003F3E0B">
        <w:rPr>
          <w:noProof/>
        </w:rPr>
        <w:instrText xml:space="preserve"> PAGEREF _Toc64030499 \h </w:instrText>
      </w:r>
      <w:r w:rsidRPr="003F3E0B">
        <w:rPr>
          <w:noProof/>
        </w:rPr>
      </w:r>
      <w:r w:rsidRPr="003F3E0B">
        <w:rPr>
          <w:noProof/>
        </w:rPr>
        <w:fldChar w:fldCharType="separate"/>
      </w:r>
      <w:r w:rsidR="005364D5">
        <w:rPr>
          <w:noProof/>
        </w:rPr>
        <w:t>102</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2—New entrant rate</w:t>
      </w:r>
      <w:r w:rsidRPr="003F3E0B">
        <w:rPr>
          <w:b w:val="0"/>
          <w:noProof/>
          <w:sz w:val="18"/>
        </w:rPr>
        <w:tab/>
      </w:r>
      <w:r w:rsidRPr="003F3E0B">
        <w:rPr>
          <w:b w:val="0"/>
          <w:noProof/>
          <w:sz w:val="18"/>
        </w:rPr>
        <w:fldChar w:fldCharType="begin"/>
      </w:r>
      <w:r w:rsidRPr="003F3E0B">
        <w:rPr>
          <w:b w:val="0"/>
          <w:noProof/>
          <w:sz w:val="18"/>
        </w:rPr>
        <w:instrText xml:space="preserve"> PAGEREF _Toc64030500 \h </w:instrText>
      </w:r>
      <w:r w:rsidRPr="003F3E0B">
        <w:rPr>
          <w:b w:val="0"/>
          <w:noProof/>
          <w:sz w:val="18"/>
        </w:rPr>
      </w:r>
      <w:r w:rsidRPr="003F3E0B">
        <w:rPr>
          <w:b w:val="0"/>
          <w:noProof/>
          <w:sz w:val="18"/>
        </w:rPr>
        <w:fldChar w:fldCharType="separate"/>
      </w:r>
      <w:r w:rsidR="005364D5">
        <w:rPr>
          <w:b w:val="0"/>
          <w:noProof/>
          <w:sz w:val="18"/>
        </w:rPr>
        <w:t>104</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5</w:t>
      </w:r>
      <w:r>
        <w:rPr>
          <w:noProof/>
        </w:rPr>
        <w:tab/>
        <w:t>Method of working out new entrant rate for a benefit category</w:t>
      </w:r>
      <w:r w:rsidRPr="003F3E0B">
        <w:rPr>
          <w:noProof/>
        </w:rPr>
        <w:tab/>
      </w:r>
      <w:r w:rsidRPr="003F3E0B">
        <w:rPr>
          <w:noProof/>
        </w:rPr>
        <w:fldChar w:fldCharType="begin"/>
      </w:r>
      <w:r w:rsidRPr="003F3E0B">
        <w:rPr>
          <w:noProof/>
        </w:rPr>
        <w:instrText xml:space="preserve"> PAGEREF _Toc64030501 \h </w:instrText>
      </w:r>
      <w:r w:rsidRPr="003F3E0B">
        <w:rPr>
          <w:noProof/>
        </w:rPr>
      </w:r>
      <w:r w:rsidRPr="003F3E0B">
        <w:rPr>
          <w:noProof/>
        </w:rPr>
        <w:fldChar w:fldCharType="separate"/>
      </w:r>
      <w:r w:rsidR="005364D5">
        <w:rPr>
          <w:noProof/>
        </w:rPr>
        <w:t>104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6</w:t>
      </w:r>
      <w:r>
        <w:rPr>
          <w:noProof/>
        </w:rPr>
        <w:tab/>
        <w:t>New entrant rate to be based on period of membership needed to reach maximum benefit accrual</w:t>
      </w:r>
      <w:r w:rsidRPr="003F3E0B">
        <w:rPr>
          <w:noProof/>
        </w:rPr>
        <w:tab/>
      </w:r>
      <w:r w:rsidRPr="003F3E0B">
        <w:rPr>
          <w:noProof/>
        </w:rPr>
        <w:fldChar w:fldCharType="begin"/>
      </w:r>
      <w:r w:rsidRPr="003F3E0B">
        <w:rPr>
          <w:noProof/>
        </w:rPr>
        <w:instrText xml:space="preserve"> PAGEREF _Toc64030502 \h </w:instrText>
      </w:r>
      <w:r w:rsidRPr="003F3E0B">
        <w:rPr>
          <w:noProof/>
        </w:rPr>
      </w:r>
      <w:r w:rsidRPr="003F3E0B">
        <w:rPr>
          <w:noProof/>
        </w:rPr>
        <w:fldChar w:fldCharType="separate"/>
      </w:r>
      <w:r w:rsidR="005364D5">
        <w:rPr>
          <w:noProof/>
        </w:rPr>
        <w:t>104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7</w:t>
      </w:r>
      <w:r>
        <w:rPr>
          <w:noProof/>
        </w:rPr>
        <w:tab/>
        <w:t>New entrant rate to be rounded down</w:t>
      </w:r>
      <w:r w:rsidRPr="003F3E0B">
        <w:rPr>
          <w:noProof/>
        </w:rPr>
        <w:tab/>
      </w:r>
      <w:r w:rsidRPr="003F3E0B">
        <w:rPr>
          <w:noProof/>
        </w:rPr>
        <w:fldChar w:fldCharType="begin"/>
      </w:r>
      <w:r w:rsidRPr="003F3E0B">
        <w:rPr>
          <w:noProof/>
        </w:rPr>
        <w:instrText xml:space="preserve"> PAGEREF _Toc64030503 \h </w:instrText>
      </w:r>
      <w:r w:rsidRPr="003F3E0B">
        <w:rPr>
          <w:noProof/>
        </w:rPr>
      </w:r>
      <w:r w:rsidRPr="003F3E0B">
        <w:rPr>
          <w:noProof/>
        </w:rPr>
        <w:fldChar w:fldCharType="separate"/>
      </w:r>
      <w:r w:rsidR="005364D5">
        <w:rPr>
          <w:noProof/>
        </w:rPr>
        <w:t>104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8</w:t>
      </w:r>
      <w:r>
        <w:rPr>
          <w:noProof/>
        </w:rPr>
        <w:tab/>
        <w:t>No allowance for administration expenses or income tax on assessable contributions</w:t>
      </w:r>
      <w:r w:rsidRPr="003F3E0B">
        <w:rPr>
          <w:noProof/>
        </w:rPr>
        <w:tab/>
      </w:r>
      <w:r w:rsidRPr="003F3E0B">
        <w:rPr>
          <w:noProof/>
        </w:rPr>
        <w:fldChar w:fldCharType="begin"/>
      </w:r>
      <w:r w:rsidRPr="003F3E0B">
        <w:rPr>
          <w:noProof/>
        </w:rPr>
        <w:instrText xml:space="preserve"> PAGEREF _Toc64030504 \h </w:instrText>
      </w:r>
      <w:r w:rsidRPr="003F3E0B">
        <w:rPr>
          <w:noProof/>
        </w:rPr>
      </w:r>
      <w:r w:rsidRPr="003F3E0B">
        <w:rPr>
          <w:noProof/>
        </w:rPr>
        <w:fldChar w:fldCharType="separate"/>
      </w:r>
      <w:r w:rsidR="005364D5">
        <w:rPr>
          <w:noProof/>
        </w:rPr>
        <w:t>105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9</w:t>
      </w:r>
      <w:r>
        <w:rPr>
          <w:noProof/>
        </w:rPr>
        <w:tab/>
        <w:t>Certain discretions to be allowed for</w:t>
      </w:r>
      <w:r w:rsidRPr="003F3E0B">
        <w:rPr>
          <w:noProof/>
        </w:rPr>
        <w:tab/>
      </w:r>
      <w:r w:rsidRPr="003F3E0B">
        <w:rPr>
          <w:noProof/>
        </w:rPr>
        <w:fldChar w:fldCharType="begin"/>
      </w:r>
      <w:r w:rsidRPr="003F3E0B">
        <w:rPr>
          <w:noProof/>
        </w:rPr>
        <w:instrText xml:space="preserve"> PAGEREF _Toc64030505 \h </w:instrText>
      </w:r>
      <w:r w:rsidRPr="003F3E0B">
        <w:rPr>
          <w:noProof/>
        </w:rPr>
      </w:r>
      <w:r w:rsidRPr="003F3E0B">
        <w:rPr>
          <w:noProof/>
        </w:rPr>
        <w:fldChar w:fldCharType="separate"/>
      </w:r>
      <w:r w:rsidR="005364D5">
        <w:rPr>
          <w:noProof/>
        </w:rPr>
        <w:t>105</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3—Valuation parameters</w:t>
      </w:r>
      <w:r w:rsidRPr="003F3E0B">
        <w:rPr>
          <w:b w:val="0"/>
          <w:noProof/>
          <w:sz w:val="18"/>
        </w:rPr>
        <w:tab/>
      </w:r>
      <w:r w:rsidRPr="003F3E0B">
        <w:rPr>
          <w:b w:val="0"/>
          <w:noProof/>
          <w:sz w:val="18"/>
        </w:rPr>
        <w:fldChar w:fldCharType="begin"/>
      </w:r>
      <w:r w:rsidRPr="003F3E0B">
        <w:rPr>
          <w:b w:val="0"/>
          <w:noProof/>
          <w:sz w:val="18"/>
        </w:rPr>
        <w:instrText xml:space="preserve"> PAGEREF _Toc64030506 \h </w:instrText>
      </w:r>
      <w:r w:rsidRPr="003F3E0B">
        <w:rPr>
          <w:b w:val="0"/>
          <w:noProof/>
          <w:sz w:val="18"/>
        </w:rPr>
      </w:r>
      <w:r w:rsidRPr="003F3E0B">
        <w:rPr>
          <w:b w:val="0"/>
          <w:noProof/>
          <w:sz w:val="18"/>
        </w:rPr>
        <w:fldChar w:fldCharType="separate"/>
      </w:r>
      <w:r w:rsidR="005364D5">
        <w:rPr>
          <w:b w:val="0"/>
          <w:noProof/>
          <w:sz w:val="18"/>
        </w:rPr>
        <w:t>106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10</w:t>
      </w:r>
      <w:r>
        <w:rPr>
          <w:noProof/>
        </w:rPr>
        <w:tab/>
        <w:t>Application of economic, decrement and other parameters</w:t>
      </w:r>
      <w:r w:rsidRPr="003F3E0B">
        <w:rPr>
          <w:noProof/>
        </w:rPr>
        <w:tab/>
      </w:r>
      <w:r w:rsidRPr="003F3E0B">
        <w:rPr>
          <w:noProof/>
        </w:rPr>
        <w:fldChar w:fldCharType="begin"/>
      </w:r>
      <w:r w:rsidRPr="003F3E0B">
        <w:rPr>
          <w:noProof/>
        </w:rPr>
        <w:instrText xml:space="preserve"> PAGEREF _Toc64030507 \h </w:instrText>
      </w:r>
      <w:r w:rsidRPr="003F3E0B">
        <w:rPr>
          <w:noProof/>
        </w:rPr>
      </w:r>
      <w:r w:rsidRPr="003F3E0B">
        <w:rPr>
          <w:noProof/>
        </w:rPr>
        <w:fldChar w:fldCharType="separate"/>
      </w:r>
      <w:r w:rsidR="005364D5">
        <w:rPr>
          <w:noProof/>
        </w:rPr>
        <w:t>106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11</w:t>
      </w:r>
      <w:r>
        <w:rPr>
          <w:noProof/>
        </w:rPr>
        <w:tab/>
        <w:t>Discount rate</w:t>
      </w:r>
      <w:r w:rsidRPr="003F3E0B">
        <w:rPr>
          <w:noProof/>
        </w:rPr>
        <w:tab/>
      </w:r>
      <w:r w:rsidRPr="003F3E0B">
        <w:rPr>
          <w:noProof/>
        </w:rPr>
        <w:fldChar w:fldCharType="begin"/>
      </w:r>
      <w:r w:rsidRPr="003F3E0B">
        <w:rPr>
          <w:noProof/>
        </w:rPr>
        <w:instrText xml:space="preserve"> PAGEREF _Toc64030508 \h </w:instrText>
      </w:r>
      <w:r w:rsidRPr="003F3E0B">
        <w:rPr>
          <w:noProof/>
        </w:rPr>
      </w:r>
      <w:r w:rsidRPr="003F3E0B">
        <w:rPr>
          <w:noProof/>
        </w:rPr>
        <w:fldChar w:fldCharType="separate"/>
      </w:r>
      <w:r w:rsidR="005364D5">
        <w:rPr>
          <w:noProof/>
        </w:rPr>
        <w:t>106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12</w:t>
      </w:r>
      <w:r>
        <w:rPr>
          <w:noProof/>
        </w:rPr>
        <w:tab/>
        <w:t>Fund earning rate and crediting rate</w:t>
      </w:r>
      <w:r w:rsidRPr="003F3E0B">
        <w:rPr>
          <w:noProof/>
        </w:rPr>
        <w:tab/>
      </w:r>
      <w:r w:rsidRPr="003F3E0B">
        <w:rPr>
          <w:noProof/>
        </w:rPr>
        <w:fldChar w:fldCharType="begin"/>
      </w:r>
      <w:r w:rsidRPr="003F3E0B">
        <w:rPr>
          <w:noProof/>
        </w:rPr>
        <w:instrText xml:space="preserve"> PAGEREF _Toc64030509 \h </w:instrText>
      </w:r>
      <w:r w:rsidRPr="003F3E0B">
        <w:rPr>
          <w:noProof/>
        </w:rPr>
      </w:r>
      <w:r w:rsidRPr="003F3E0B">
        <w:rPr>
          <w:noProof/>
        </w:rPr>
        <w:fldChar w:fldCharType="separate"/>
      </w:r>
      <w:r w:rsidR="005364D5">
        <w:rPr>
          <w:noProof/>
        </w:rPr>
        <w:t>106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13</w:t>
      </w:r>
      <w:r>
        <w:rPr>
          <w:noProof/>
        </w:rPr>
        <w:tab/>
        <w:t>Rate of future salary or wages growth</w:t>
      </w:r>
      <w:r w:rsidRPr="003F3E0B">
        <w:rPr>
          <w:noProof/>
        </w:rPr>
        <w:tab/>
      </w:r>
      <w:r w:rsidRPr="003F3E0B">
        <w:rPr>
          <w:noProof/>
        </w:rPr>
        <w:fldChar w:fldCharType="begin"/>
      </w:r>
      <w:r w:rsidRPr="003F3E0B">
        <w:rPr>
          <w:noProof/>
        </w:rPr>
        <w:instrText xml:space="preserve"> PAGEREF _Toc64030510 \h </w:instrText>
      </w:r>
      <w:r w:rsidRPr="003F3E0B">
        <w:rPr>
          <w:noProof/>
        </w:rPr>
      </w:r>
      <w:r w:rsidRPr="003F3E0B">
        <w:rPr>
          <w:noProof/>
        </w:rPr>
        <w:fldChar w:fldCharType="separate"/>
      </w:r>
      <w:r w:rsidR="005364D5">
        <w:rPr>
          <w:noProof/>
        </w:rPr>
        <w:t>106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14</w:t>
      </w:r>
      <w:r>
        <w:rPr>
          <w:noProof/>
        </w:rPr>
        <w:tab/>
        <w:t>Rate of increase in price indices</w:t>
      </w:r>
      <w:r w:rsidRPr="003F3E0B">
        <w:rPr>
          <w:noProof/>
        </w:rPr>
        <w:tab/>
      </w:r>
      <w:r w:rsidRPr="003F3E0B">
        <w:rPr>
          <w:noProof/>
        </w:rPr>
        <w:fldChar w:fldCharType="begin"/>
      </w:r>
      <w:r w:rsidRPr="003F3E0B">
        <w:rPr>
          <w:noProof/>
        </w:rPr>
        <w:instrText xml:space="preserve"> PAGEREF _Toc64030511 \h </w:instrText>
      </w:r>
      <w:r w:rsidRPr="003F3E0B">
        <w:rPr>
          <w:noProof/>
        </w:rPr>
      </w:r>
      <w:r w:rsidRPr="003F3E0B">
        <w:rPr>
          <w:noProof/>
        </w:rPr>
        <w:fldChar w:fldCharType="separate"/>
      </w:r>
      <w:r w:rsidR="005364D5">
        <w:rPr>
          <w:noProof/>
        </w:rPr>
        <w:t>106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15</w:t>
      </w:r>
      <w:r>
        <w:rPr>
          <w:noProof/>
        </w:rPr>
        <w:tab/>
        <w:t>New entrant age</w:t>
      </w:r>
      <w:r w:rsidRPr="003F3E0B">
        <w:rPr>
          <w:noProof/>
        </w:rPr>
        <w:tab/>
      </w:r>
      <w:r w:rsidRPr="003F3E0B">
        <w:rPr>
          <w:noProof/>
        </w:rPr>
        <w:fldChar w:fldCharType="begin"/>
      </w:r>
      <w:r w:rsidRPr="003F3E0B">
        <w:rPr>
          <w:noProof/>
        </w:rPr>
        <w:instrText xml:space="preserve"> PAGEREF _Toc64030512 \h </w:instrText>
      </w:r>
      <w:r w:rsidRPr="003F3E0B">
        <w:rPr>
          <w:noProof/>
        </w:rPr>
      </w:r>
      <w:r w:rsidRPr="003F3E0B">
        <w:rPr>
          <w:noProof/>
        </w:rPr>
        <w:fldChar w:fldCharType="separate"/>
      </w:r>
      <w:r w:rsidR="005364D5">
        <w:rPr>
          <w:noProof/>
        </w:rPr>
        <w:t>106</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16</w:t>
      </w:r>
      <w:r>
        <w:rPr>
          <w:noProof/>
        </w:rPr>
        <w:tab/>
        <w:t>Exit rates</w:t>
      </w:r>
      <w:r w:rsidRPr="003F3E0B">
        <w:rPr>
          <w:noProof/>
        </w:rPr>
        <w:tab/>
      </w:r>
      <w:r w:rsidRPr="003F3E0B">
        <w:rPr>
          <w:noProof/>
        </w:rPr>
        <w:fldChar w:fldCharType="begin"/>
      </w:r>
      <w:r w:rsidRPr="003F3E0B">
        <w:rPr>
          <w:noProof/>
        </w:rPr>
        <w:instrText xml:space="preserve"> PAGEREF _Toc64030513 \h </w:instrText>
      </w:r>
      <w:r w:rsidRPr="003F3E0B">
        <w:rPr>
          <w:noProof/>
        </w:rPr>
      </w:r>
      <w:r w:rsidRPr="003F3E0B">
        <w:rPr>
          <w:noProof/>
        </w:rPr>
        <w:fldChar w:fldCharType="separate"/>
      </w:r>
      <w:r w:rsidR="005364D5">
        <w:rPr>
          <w:noProof/>
        </w:rPr>
        <w:t>107</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17</w:t>
      </w:r>
      <w:r>
        <w:rPr>
          <w:noProof/>
        </w:rPr>
        <w:tab/>
        <w:t>Pensions</w:t>
      </w:r>
      <w:r w:rsidRPr="003F3E0B">
        <w:rPr>
          <w:noProof/>
        </w:rPr>
        <w:tab/>
      </w:r>
      <w:r w:rsidRPr="003F3E0B">
        <w:rPr>
          <w:noProof/>
        </w:rPr>
        <w:fldChar w:fldCharType="begin"/>
      </w:r>
      <w:r w:rsidRPr="003F3E0B">
        <w:rPr>
          <w:noProof/>
        </w:rPr>
        <w:instrText xml:space="preserve"> PAGEREF _Toc64030514 \h </w:instrText>
      </w:r>
      <w:r w:rsidRPr="003F3E0B">
        <w:rPr>
          <w:noProof/>
        </w:rPr>
      </w:r>
      <w:r w:rsidRPr="003F3E0B">
        <w:rPr>
          <w:noProof/>
        </w:rPr>
        <w:fldChar w:fldCharType="separate"/>
      </w:r>
      <w:r w:rsidR="005364D5">
        <w:rPr>
          <w:noProof/>
        </w:rPr>
        <w:t>108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18</w:t>
      </w:r>
      <w:r>
        <w:rPr>
          <w:noProof/>
        </w:rPr>
        <w:tab/>
        <w:t>Mortality of pensioners</w:t>
      </w:r>
      <w:r w:rsidRPr="003F3E0B">
        <w:rPr>
          <w:noProof/>
        </w:rPr>
        <w:tab/>
      </w:r>
      <w:r w:rsidRPr="003F3E0B">
        <w:rPr>
          <w:noProof/>
        </w:rPr>
        <w:fldChar w:fldCharType="begin"/>
      </w:r>
      <w:r w:rsidRPr="003F3E0B">
        <w:rPr>
          <w:noProof/>
        </w:rPr>
        <w:instrText xml:space="preserve"> PAGEREF _Toc64030515 \h </w:instrText>
      </w:r>
      <w:r w:rsidRPr="003F3E0B">
        <w:rPr>
          <w:noProof/>
        </w:rPr>
      </w:r>
      <w:r w:rsidRPr="003F3E0B">
        <w:rPr>
          <w:noProof/>
        </w:rPr>
        <w:fldChar w:fldCharType="separate"/>
      </w:r>
      <w:r w:rsidR="005364D5">
        <w:rPr>
          <w:noProof/>
        </w:rPr>
        <w:t>108</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19</w:t>
      </w:r>
      <w:r>
        <w:rPr>
          <w:noProof/>
        </w:rPr>
        <w:tab/>
        <w:t>Other assumptions to be set by the actuary</w:t>
      </w:r>
      <w:r w:rsidRPr="003F3E0B">
        <w:rPr>
          <w:noProof/>
        </w:rPr>
        <w:tab/>
      </w:r>
      <w:r w:rsidRPr="003F3E0B">
        <w:rPr>
          <w:noProof/>
        </w:rPr>
        <w:fldChar w:fldCharType="begin"/>
      </w:r>
      <w:r w:rsidRPr="003F3E0B">
        <w:rPr>
          <w:noProof/>
        </w:rPr>
        <w:instrText xml:space="preserve"> PAGEREF _Toc64030516 \h </w:instrText>
      </w:r>
      <w:r w:rsidRPr="003F3E0B">
        <w:rPr>
          <w:noProof/>
        </w:rPr>
      </w:r>
      <w:r w:rsidRPr="003F3E0B">
        <w:rPr>
          <w:noProof/>
        </w:rPr>
        <w:fldChar w:fldCharType="separate"/>
      </w:r>
      <w:r w:rsidR="005364D5">
        <w:rPr>
          <w:noProof/>
        </w:rPr>
        <w:t>110</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lastRenderedPageBreak/>
        <w:t>Part 4—Exercise of discretion to pay a benefit greater than the benefit assumed in calculating the new entrant rate</w:t>
      </w:r>
      <w:r w:rsidRPr="003F3E0B">
        <w:rPr>
          <w:b w:val="0"/>
          <w:noProof/>
          <w:sz w:val="18"/>
        </w:rPr>
        <w:tab/>
      </w:r>
      <w:r w:rsidRPr="003F3E0B">
        <w:rPr>
          <w:b w:val="0"/>
          <w:noProof/>
          <w:sz w:val="18"/>
        </w:rPr>
        <w:fldChar w:fldCharType="begin"/>
      </w:r>
      <w:r w:rsidRPr="003F3E0B">
        <w:rPr>
          <w:b w:val="0"/>
          <w:noProof/>
          <w:sz w:val="18"/>
        </w:rPr>
        <w:instrText xml:space="preserve"> PAGEREF _Toc64030517 \h </w:instrText>
      </w:r>
      <w:r w:rsidRPr="003F3E0B">
        <w:rPr>
          <w:b w:val="0"/>
          <w:noProof/>
          <w:sz w:val="18"/>
        </w:rPr>
      </w:r>
      <w:r w:rsidRPr="003F3E0B">
        <w:rPr>
          <w:b w:val="0"/>
          <w:noProof/>
          <w:sz w:val="18"/>
        </w:rPr>
        <w:fldChar w:fldCharType="separate"/>
      </w:r>
      <w:r w:rsidR="005364D5">
        <w:rPr>
          <w:b w:val="0"/>
          <w:noProof/>
          <w:sz w:val="18"/>
        </w:rPr>
        <w:t>111</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20</w:t>
      </w:r>
      <w:r>
        <w:rPr>
          <w:noProof/>
        </w:rPr>
        <w:tab/>
        <w:t>Method of working out the increased exit benefit adjustment amount in the formula in subclause 4(2)</w:t>
      </w:r>
      <w:r w:rsidRPr="003F3E0B">
        <w:rPr>
          <w:noProof/>
        </w:rPr>
        <w:tab/>
      </w:r>
      <w:r w:rsidRPr="003F3E0B">
        <w:rPr>
          <w:noProof/>
        </w:rPr>
        <w:fldChar w:fldCharType="begin"/>
      </w:r>
      <w:r w:rsidRPr="003F3E0B">
        <w:rPr>
          <w:noProof/>
        </w:rPr>
        <w:instrText xml:space="preserve"> PAGEREF _Toc64030518 \h </w:instrText>
      </w:r>
      <w:r w:rsidRPr="003F3E0B">
        <w:rPr>
          <w:noProof/>
        </w:rPr>
      </w:r>
      <w:r w:rsidRPr="003F3E0B">
        <w:rPr>
          <w:noProof/>
        </w:rPr>
        <w:fldChar w:fldCharType="separate"/>
      </w:r>
      <w:r w:rsidR="005364D5">
        <w:rPr>
          <w:noProof/>
        </w:rPr>
        <w:t>111</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5—Member has changed benefit category</w:t>
      </w:r>
      <w:r w:rsidRPr="003F3E0B">
        <w:rPr>
          <w:b w:val="0"/>
          <w:noProof/>
          <w:sz w:val="18"/>
        </w:rPr>
        <w:tab/>
      </w:r>
      <w:r w:rsidRPr="003F3E0B">
        <w:rPr>
          <w:b w:val="0"/>
          <w:noProof/>
          <w:sz w:val="18"/>
        </w:rPr>
        <w:fldChar w:fldCharType="begin"/>
      </w:r>
      <w:r w:rsidRPr="003F3E0B">
        <w:rPr>
          <w:b w:val="0"/>
          <w:noProof/>
          <w:sz w:val="18"/>
        </w:rPr>
        <w:instrText xml:space="preserve"> PAGEREF _Toc64030519 \h </w:instrText>
      </w:r>
      <w:r w:rsidRPr="003F3E0B">
        <w:rPr>
          <w:b w:val="0"/>
          <w:noProof/>
          <w:sz w:val="18"/>
        </w:rPr>
      </w:r>
      <w:r w:rsidRPr="003F3E0B">
        <w:rPr>
          <w:b w:val="0"/>
          <w:noProof/>
          <w:sz w:val="18"/>
        </w:rPr>
        <w:fldChar w:fldCharType="separate"/>
      </w:r>
      <w:r w:rsidR="005364D5">
        <w:rPr>
          <w:b w:val="0"/>
          <w:noProof/>
          <w:sz w:val="18"/>
        </w:rPr>
        <w:t>112</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21</w:t>
      </w:r>
      <w:r>
        <w:rPr>
          <w:noProof/>
        </w:rPr>
        <w:tab/>
        <w:t>Method of working out the category change or discretion adjustment amount in the formula in subclause 4(2)</w:t>
      </w:r>
      <w:r w:rsidRPr="003F3E0B">
        <w:rPr>
          <w:noProof/>
        </w:rPr>
        <w:tab/>
      </w:r>
      <w:r w:rsidRPr="003F3E0B">
        <w:rPr>
          <w:noProof/>
        </w:rPr>
        <w:fldChar w:fldCharType="begin"/>
      </w:r>
      <w:r w:rsidRPr="003F3E0B">
        <w:rPr>
          <w:noProof/>
        </w:rPr>
        <w:instrText xml:space="preserve"> PAGEREF _Toc64030520 \h </w:instrText>
      </w:r>
      <w:r w:rsidRPr="003F3E0B">
        <w:rPr>
          <w:noProof/>
        </w:rPr>
      </w:r>
      <w:r w:rsidRPr="003F3E0B">
        <w:rPr>
          <w:noProof/>
        </w:rPr>
        <w:fldChar w:fldCharType="separate"/>
      </w:r>
      <w:r w:rsidR="005364D5">
        <w:rPr>
          <w:noProof/>
        </w:rPr>
        <w:t>112</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6—Governing rules have changed</w:t>
      </w:r>
      <w:r w:rsidRPr="003F3E0B">
        <w:rPr>
          <w:b w:val="0"/>
          <w:noProof/>
          <w:sz w:val="18"/>
        </w:rPr>
        <w:tab/>
      </w:r>
      <w:r w:rsidRPr="003F3E0B">
        <w:rPr>
          <w:b w:val="0"/>
          <w:noProof/>
          <w:sz w:val="18"/>
        </w:rPr>
        <w:fldChar w:fldCharType="begin"/>
      </w:r>
      <w:r w:rsidRPr="003F3E0B">
        <w:rPr>
          <w:b w:val="0"/>
          <w:noProof/>
          <w:sz w:val="18"/>
        </w:rPr>
        <w:instrText xml:space="preserve"> PAGEREF _Toc64030521 \h </w:instrText>
      </w:r>
      <w:r w:rsidRPr="003F3E0B">
        <w:rPr>
          <w:b w:val="0"/>
          <w:noProof/>
          <w:sz w:val="18"/>
        </w:rPr>
      </w:r>
      <w:r w:rsidRPr="003F3E0B">
        <w:rPr>
          <w:b w:val="0"/>
          <w:noProof/>
          <w:sz w:val="18"/>
        </w:rPr>
        <w:fldChar w:fldCharType="separate"/>
      </w:r>
      <w:r w:rsidR="005364D5">
        <w:rPr>
          <w:b w:val="0"/>
          <w:noProof/>
          <w:sz w:val="18"/>
        </w:rPr>
        <w:t>113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22</w:t>
      </w:r>
      <w:r>
        <w:rPr>
          <w:noProof/>
        </w:rPr>
        <w:tab/>
        <w:t>Method of working out governing rules change adjustment amount in the formula in subclause 4(2)</w:t>
      </w:r>
      <w:r w:rsidRPr="003F3E0B">
        <w:rPr>
          <w:noProof/>
        </w:rPr>
        <w:tab/>
      </w:r>
      <w:r w:rsidRPr="003F3E0B">
        <w:rPr>
          <w:noProof/>
        </w:rPr>
        <w:fldChar w:fldCharType="begin"/>
      </w:r>
      <w:r w:rsidRPr="003F3E0B">
        <w:rPr>
          <w:noProof/>
        </w:rPr>
        <w:instrText xml:space="preserve"> PAGEREF _Toc64030522 \h </w:instrText>
      </w:r>
      <w:r w:rsidRPr="003F3E0B">
        <w:rPr>
          <w:noProof/>
        </w:rPr>
      </w:r>
      <w:r w:rsidRPr="003F3E0B">
        <w:rPr>
          <w:noProof/>
        </w:rPr>
        <w:fldChar w:fldCharType="separate"/>
      </w:r>
      <w:r w:rsidR="005364D5">
        <w:rPr>
          <w:noProof/>
        </w:rPr>
        <w:t>113</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7—Non</w:t>
      </w:r>
      <w:r>
        <w:rPr>
          <w:noProof/>
        </w:rPr>
        <w:noBreakHyphen/>
        <w:t>arm’s length increase in superannuation salary</w:t>
      </w:r>
      <w:r w:rsidRPr="003F3E0B">
        <w:rPr>
          <w:b w:val="0"/>
          <w:noProof/>
          <w:sz w:val="18"/>
        </w:rPr>
        <w:tab/>
      </w:r>
      <w:r w:rsidRPr="003F3E0B">
        <w:rPr>
          <w:b w:val="0"/>
          <w:noProof/>
          <w:sz w:val="18"/>
        </w:rPr>
        <w:fldChar w:fldCharType="begin"/>
      </w:r>
      <w:r w:rsidRPr="003F3E0B">
        <w:rPr>
          <w:b w:val="0"/>
          <w:noProof/>
          <w:sz w:val="18"/>
        </w:rPr>
        <w:instrText xml:space="preserve"> PAGEREF _Toc64030523 \h </w:instrText>
      </w:r>
      <w:r w:rsidRPr="003F3E0B">
        <w:rPr>
          <w:b w:val="0"/>
          <w:noProof/>
          <w:sz w:val="18"/>
        </w:rPr>
      </w:r>
      <w:r w:rsidRPr="003F3E0B">
        <w:rPr>
          <w:b w:val="0"/>
          <w:noProof/>
          <w:sz w:val="18"/>
        </w:rPr>
        <w:fldChar w:fldCharType="separate"/>
      </w:r>
      <w:r w:rsidR="005364D5">
        <w:rPr>
          <w:b w:val="0"/>
          <w:noProof/>
          <w:sz w:val="18"/>
        </w:rPr>
        <w:t>114</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23</w:t>
      </w:r>
      <w:r>
        <w:rPr>
          <w:noProof/>
        </w:rPr>
        <w:tab/>
        <w:t xml:space="preserve">Method of working out </w:t>
      </w:r>
      <w:r>
        <w:rPr>
          <w:noProof/>
          <w:lang w:eastAsia="en-US"/>
        </w:rPr>
        <w:t>the increased superannuation salary adjustment amount</w:t>
      </w:r>
      <w:r w:rsidRPr="00C62C95">
        <w:rPr>
          <w:i/>
          <w:noProof/>
        </w:rPr>
        <w:t xml:space="preserve"> </w:t>
      </w:r>
      <w:r>
        <w:rPr>
          <w:noProof/>
        </w:rPr>
        <w:t>in the formula in subclause 4(2)</w:t>
      </w:r>
      <w:r w:rsidRPr="003F3E0B">
        <w:rPr>
          <w:noProof/>
        </w:rPr>
        <w:tab/>
      </w:r>
      <w:r w:rsidRPr="003F3E0B">
        <w:rPr>
          <w:noProof/>
        </w:rPr>
        <w:fldChar w:fldCharType="begin"/>
      </w:r>
      <w:r w:rsidRPr="003F3E0B">
        <w:rPr>
          <w:noProof/>
        </w:rPr>
        <w:instrText xml:space="preserve"> PAGEREF _Toc64030524 \h </w:instrText>
      </w:r>
      <w:r w:rsidRPr="003F3E0B">
        <w:rPr>
          <w:noProof/>
        </w:rPr>
      </w:r>
      <w:r w:rsidRPr="003F3E0B">
        <w:rPr>
          <w:noProof/>
        </w:rPr>
        <w:fldChar w:fldCharType="separate"/>
      </w:r>
      <w:r w:rsidR="005364D5">
        <w:rPr>
          <w:noProof/>
        </w:rPr>
        <w:t>114</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Schedule 1B—Valuation factors</w:t>
      </w:r>
      <w:r w:rsidRPr="003F3E0B">
        <w:rPr>
          <w:b w:val="0"/>
          <w:noProof/>
          <w:sz w:val="18"/>
        </w:rPr>
        <w:tab/>
      </w:r>
      <w:r w:rsidRPr="003F3E0B">
        <w:rPr>
          <w:b w:val="0"/>
          <w:noProof/>
          <w:sz w:val="18"/>
        </w:rPr>
        <w:fldChar w:fldCharType="begin"/>
      </w:r>
      <w:r w:rsidRPr="003F3E0B">
        <w:rPr>
          <w:b w:val="0"/>
          <w:noProof/>
          <w:sz w:val="18"/>
        </w:rPr>
        <w:instrText xml:space="preserve"> PAGEREF _Toc64030525 \h </w:instrText>
      </w:r>
      <w:r w:rsidRPr="003F3E0B">
        <w:rPr>
          <w:b w:val="0"/>
          <w:noProof/>
          <w:sz w:val="18"/>
        </w:rPr>
      </w:r>
      <w:r w:rsidRPr="003F3E0B">
        <w:rPr>
          <w:b w:val="0"/>
          <w:noProof/>
          <w:sz w:val="18"/>
        </w:rPr>
        <w:fldChar w:fldCharType="separate"/>
      </w:r>
      <w:r w:rsidR="005364D5">
        <w:rPr>
          <w:b w:val="0"/>
          <w:noProof/>
          <w:sz w:val="18"/>
        </w:rPr>
        <w:t>115</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w:t>
      </w:r>
      <w:r>
        <w:rPr>
          <w:noProof/>
        </w:rPr>
        <w:tab/>
        <w:t>Income stream valuation factors</w:t>
      </w:r>
      <w:r w:rsidRPr="003F3E0B">
        <w:rPr>
          <w:noProof/>
        </w:rPr>
        <w:tab/>
      </w:r>
      <w:r w:rsidRPr="003F3E0B">
        <w:rPr>
          <w:noProof/>
        </w:rPr>
        <w:fldChar w:fldCharType="begin"/>
      </w:r>
      <w:r w:rsidRPr="003F3E0B">
        <w:rPr>
          <w:noProof/>
        </w:rPr>
        <w:instrText xml:space="preserve"> PAGEREF _Toc64030526 \h </w:instrText>
      </w:r>
      <w:r w:rsidRPr="003F3E0B">
        <w:rPr>
          <w:noProof/>
        </w:rPr>
      </w:r>
      <w:r w:rsidRPr="003F3E0B">
        <w:rPr>
          <w:noProof/>
        </w:rPr>
        <w:fldChar w:fldCharType="separate"/>
      </w:r>
      <w:r w:rsidR="005364D5">
        <w:rPr>
          <w:noProof/>
        </w:rPr>
        <w:t>115</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w:t>
      </w:r>
      <w:r>
        <w:rPr>
          <w:noProof/>
        </w:rPr>
        <w:tab/>
        <w:t>Lump sum valuation factors</w:t>
      </w:r>
      <w:r w:rsidRPr="003F3E0B">
        <w:rPr>
          <w:noProof/>
        </w:rPr>
        <w:tab/>
      </w:r>
      <w:r w:rsidRPr="003F3E0B">
        <w:rPr>
          <w:noProof/>
        </w:rPr>
        <w:fldChar w:fldCharType="begin"/>
      </w:r>
      <w:r w:rsidRPr="003F3E0B">
        <w:rPr>
          <w:noProof/>
        </w:rPr>
        <w:instrText xml:space="preserve"> PAGEREF _Toc64030527 \h </w:instrText>
      </w:r>
      <w:r w:rsidRPr="003F3E0B">
        <w:rPr>
          <w:noProof/>
        </w:rPr>
      </w:r>
      <w:r w:rsidRPr="003F3E0B">
        <w:rPr>
          <w:noProof/>
        </w:rPr>
        <w:fldChar w:fldCharType="separate"/>
      </w:r>
      <w:r w:rsidR="005364D5">
        <w:rPr>
          <w:noProof/>
        </w:rPr>
        <w:t>118</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Schedule 1C—Farm management deposits—statements to be read by depositors</w:t>
      </w:r>
      <w:r w:rsidRPr="003F3E0B">
        <w:rPr>
          <w:b w:val="0"/>
          <w:noProof/>
          <w:sz w:val="18"/>
        </w:rPr>
        <w:tab/>
      </w:r>
      <w:r w:rsidRPr="003F3E0B">
        <w:rPr>
          <w:b w:val="0"/>
          <w:noProof/>
          <w:sz w:val="18"/>
        </w:rPr>
        <w:fldChar w:fldCharType="begin"/>
      </w:r>
      <w:r w:rsidRPr="003F3E0B">
        <w:rPr>
          <w:b w:val="0"/>
          <w:noProof/>
          <w:sz w:val="18"/>
        </w:rPr>
        <w:instrText xml:space="preserve"> PAGEREF _Toc64030528 \h </w:instrText>
      </w:r>
      <w:r w:rsidRPr="003F3E0B">
        <w:rPr>
          <w:b w:val="0"/>
          <w:noProof/>
          <w:sz w:val="18"/>
        </w:rPr>
      </w:r>
      <w:r w:rsidRPr="003F3E0B">
        <w:rPr>
          <w:b w:val="0"/>
          <w:noProof/>
          <w:sz w:val="18"/>
        </w:rPr>
        <w:fldChar w:fldCharType="separate"/>
      </w:r>
      <w:r w:rsidR="005364D5">
        <w:rPr>
          <w:b w:val="0"/>
          <w:noProof/>
          <w:sz w:val="18"/>
        </w:rPr>
        <w:t>120</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1—Statements</w:t>
      </w:r>
      <w:r w:rsidRPr="003F3E0B">
        <w:rPr>
          <w:b w:val="0"/>
          <w:noProof/>
          <w:sz w:val="18"/>
        </w:rPr>
        <w:tab/>
      </w:r>
      <w:r w:rsidRPr="003F3E0B">
        <w:rPr>
          <w:b w:val="0"/>
          <w:noProof/>
          <w:sz w:val="18"/>
        </w:rPr>
        <w:fldChar w:fldCharType="begin"/>
      </w:r>
      <w:r w:rsidRPr="003F3E0B">
        <w:rPr>
          <w:b w:val="0"/>
          <w:noProof/>
          <w:sz w:val="18"/>
        </w:rPr>
        <w:instrText xml:space="preserve"> PAGEREF _Toc64030529 \h </w:instrText>
      </w:r>
      <w:r w:rsidRPr="003F3E0B">
        <w:rPr>
          <w:b w:val="0"/>
          <w:noProof/>
          <w:sz w:val="18"/>
        </w:rPr>
      </w:r>
      <w:r w:rsidRPr="003F3E0B">
        <w:rPr>
          <w:b w:val="0"/>
          <w:noProof/>
          <w:sz w:val="18"/>
        </w:rPr>
        <w:fldChar w:fldCharType="separate"/>
      </w:r>
      <w:r w:rsidR="005364D5">
        <w:rPr>
          <w:b w:val="0"/>
          <w:noProof/>
          <w:sz w:val="18"/>
        </w:rPr>
        <w:t>120</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w:t>
      </w:r>
      <w:r>
        <w:rPr>
          <w:noProof/>
        </w:rPr>
        <w:tab/>
        <w:t>Statements for the purposes of paragraph 393</w:t>
      </w:r>
      <w:r>
        <w:rPr>
          <w:noProof/>
        </w:rPr>
        <w:noBreakHyphen/>
        <w:t>20.02(a)</w:t>
      </w:r>
      <w:r w:rsidRPr="003F3E0B">
        <w:rPr>
          <w:noProof/>
        </w:rPr>
        <w:tab/>
      </w:r>
      <w:r w:rsidRPr="003F3E0B">
        <w:rPr>
          <w:noProof/>
        </w:rPr>
        <w:fldChar w:fldCharType="begin"/>
      </w:r>
      <w:r w:rsidRPr="003F3E0B">
        <w:rPr>
          <w:noProof/>
        </w:rPr>
        <w:instrText xml:space="preserve"> PAGEREF _Toc64030530 \h </w:instrText>
      </w:r>
      <w:r w:rsidRPr="003F3E0B">
        <w:rPr>
          <w:noProof/>
        </w:rPr>
      </w:r>
      <w:r w:rsidRPr="003F3E0B">
        <w:rPr>
          <w:noProof/>
        </w:rPr>
        <w:fldChar w:fldCharType="separate"/>
      </w:r>
      <w:r w:rsidR="005364D5">
        <w:rPr>
          <w:noProof/>
        </w:rPr>
        <w:t>120</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2—Required statements</w:t>
      </w:r>
      <w:r w:rsidRPr="003F3E0B">
        <w:rPr>
          <w:b w:val="0"/>
          <w:noProof/>
          <w:sz w:val="18"/>
        </w:rPr>
        <w:tab/>
      </w:r>
      <w:r w:rsidRPr="003F3E0B">
        <w:rPr>
          <w:b w:val="0"/>
          <w:noProof/>
          <w:sz w:val="18"/>
        </w:rPr>
        <w:fldChar w:fldCharType="begin"/>
      </w:r>
      <w:r w:rsidRPr="003F3E0B">
        <w:rPr>
          <w:b w:val="0"/>
          <w:noProof/>
          <w:sz w:val="18"/>
        </w:rPr>
        <w:instrText xml:space="preserve"> PAGEREF _Toc64030531 \h </w:instrText>
      </w:r>
      <w:r w:rsidRPr="003F3E0B">
        <w:rPr>
          <w:b w:val="0"/>
          <w:noProof/>
          <w:sz w:val="18"/>
        </w:rPr>
      </w:r>
      <w:r w:rsidRPr="003F3E0B">
        <w:rPr>
          <w:b w:val="0"/>
          <w:noProof/>
          <w:sz w:val="18"/>
        </w:rPr>
        <w:fldChar w:fldCharType="separate"/>
      </w:r>
      <w:r w:rsidR="005364D5">
        <w:rPr>
          <w:b w:val="0"/>
          <w:noProof/>
          <w:sz w:val="18"/>
        </w:rPr>
        <w:t>121</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w:t>
      </w:r>
      <w:r>
        <w:rPr>
          <w:noProof/>
        </w:rPr>
        <w:tab/>
        <w:t>Statements for the purposes of paragraph 393</w:t>
      </w:r>
      <w:r>
        <w:rPr>
          <w:noProof/>
        </w:rPr>
        <w:noBreakHyphen/>
        <w:t>20.02(b)</w:t>
      </w:r>
      <w:r w:rsidRPr="003F3E0B">
        <w:rPr>
          <w:noProof/>
        </w:rPr>
        <w:tab/>
      </w:r>
      <w:r w:rsidRPr="003F3E0B">
        <w:rPr>
          <w:noProof/>
        </w:rPr>
        <w:fldChar w:fldCharType="begin"/>
      </w:r>
      <w:r w:rsidRPr="003F3E0B">
        <w:rPr>
          <w:noProof/>
        </w:rPr>
        <w:instrText xml:space="preserve"> PAGEREF _Toc64030532 \h </w:instrText>
      </w:r>
      <w:r w:rsidRPr="003F3E0B">
        <w:rPr>
          <w:noProof/>
        </w:rPr>
      </w:r>
      <w:r w:rsidRPr="003F3E0B">
        <w:rPr>
          <w:noProof/>
        </w:rPr>
        <w:fldChar w:fldCharType="separate"/>
      </w:r>
      <w:r w:rsidR="005364D5">
        <w:rPr>
          <w:noProof/>
        </w:rPr>
        <w:t>121</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3—Additional information</w:t>
      </w:r>
      <w:r w:rsidRPr="003F3E0B">
        <w:rPr>
          <w:b w:val="0"/>
          <w:noProof/>
          <w:sz w:val="18"/>
        </w:rPr>
        <w:tab/>
      </w:r>
      <w:r w:rsidRPr="003F3E0B">
        <w:rPr>
          <w:b w:val="0"/>
          <w:noProof/>
          <w:sz w:val="18"/>
        </w:rPr>
        <w:fldChar w:fldCharType="begin"/>
      </w:r>
      <w:r w:rsidRPr="003F3E0B">
        <w:rPr>
          <w:b w:val="0"/>
          <w:noProof/>
          <w:sz w:val="18"/>
        </w:rPr>
        <w:instrText xml:space="preserve"> PAGEREF _Toc64030533 \h </w:instrText>
      </w:r>
      <w:r w:rsidRPr="003F3E0B">
        <w:rPr>
          <w:b w:val="0"/>
          <w:noProof/>
          <w:sz w:val="18"/>
        </w:rPr>
      </w:r>
      <w:r w:rsidRPr="003F3E0B">
        <w:rPr>
          <w:b w:val="0"/>
          <w:noProof/>
          <w:sz w:val="18"/>
        </w:rPr>
        <w:fldChar w:fldCharType="separate"/>
      </w:r>
      <w:r w:rsidR="005364D5">
        <w:rPr>
          <w:b w:val="0"/>
          <w:noProof/>
          <w:sz w:val="18"/>
        </w:rPr>
        <w:t>123</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w:t>
      </w:r>
      <w:r>
        <w:rPr>
          <w:noProof/>
        </w:rPr>
        <w:tab/>
        <w:t>Additional information for the purposes of paragraph 393</w:t>
      </w:r>
      <w:r>
        <w:rPr>
          <w:noProof/>
        </w:rPr>
        <w:noBreakHyphen/>
        <w:t>20.02(c)</w:t>
      </w:r>
      <w:r w:rsidRPr="003F3E0B">
        <w:rPr>
          <w:noProof/>
        </w:rPr>
        <w:tab/>
      </w:r>
      <w:r w:rsidRPr="003F3E0B">
        <w:rPr>
          <w:noProof/>
        </w:rPr>
        <w:fldChar w:fldCharType="begin"/>
      </w:r>
      <w:r w:rsidRPr="003F3E0B">
        <w:rPr>
          <w:noProof/>
        </w:rPr>
        <w:instrText xml:space="preserve"> PAGEREF _Toc64030534 \h </w:instrText>
      </w:r>
      <w:r w:rsidRPr="003F3E0B">
        <w:rPr>
          <w:noProof/>
        </w:rPr>
      </w:r>
      <w:r w:rsidRPr="003F3E0B">
        <w:rPr>
          <w:noProof/>
        </w:rPr>
        <w:fldChar w:fldCharType="separate"/>
      </w:r>
      <w:r w:rsidR="005364D5">
        <w:rPr>
          <w:noProof/>
        </w:rPr>
        <w:t>123</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Schedule 2—Translation of currency amounts—rules and other requirements</w:t>
      </w:r>
      <w:r w:rsidRPr="003F3E0B">
        <w:rPr>
          <w:b w:val="0"/>
          <w:noProof/>
          <w:sz w:val="18"/>
        </w:rPr>
        <w:tab/>
      </w:r>
      <w:r w:rsidRPr="003F3E0B">
        <w:rPr>
          <w:b w:val="0"/>
          <w:noProof/>
          <w:sz w:val="18"/>
        </w:rPr>
        <w:fldChar w:fldCharType="begin"/>
      </w:r>
      <w:r w:rsidRPr="003F3E0B">
        <w:rPr>
          <w:b w:val="0"/>
          <w:noProof/>
          <w:sz w:val="18"/>
        </w:rPr>
        <w:instrText xml:space="preserve"> PAGEREF _Toc64030535 \h </w:instrText>
      </w:r>
      <w:r w:rsidRPr="003F3E0B">
        <w:rPr>
          <w:b w:val="0"/>
          <w:noProof/>
          <w:sz w:val="18"/>
        </w:rPr>
      </w:r>
      <w:r w:rsidRPr="003F3E0B">
        <w:rPr>
          <w:b w:val="0"/>
          <w:noProof/>
          <w:sz w:val="18"/>
        </w:rPr>
        <w:fldChar w:fldCharType="separate"/>
      </w:r>
      <w:r w:rsidR="005364D5">
        <w:rPr>
          <w:b w:val="0"/>
          <w:noProof/>
          <w:sz w:val="18"/>
        </w:rPr>
        <w:t>124</w:t>
      </w:r>
      <w:r w:rsidRPr="003F3E0B">
        <w:rPr>
          <w:b w:val="0"/>
          <w:noProof/>
          <w:sz w:val="18"/>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1—Rules and requirements for item 12 of the table in subsection 960</w:t>
      </w:r>
      <w:r>
        <w:rPr>
          <w:noProof/>
        </w:rPr>
        <w:noBreakHyphen/>
        <w:t>50(6) of the Act</w:t>
      </w:r>
      <w:r w:rsidRPr="003F3E0B">
        <w:rPr>
          <w:b w:val="0"/>
          <w:noProof/>
          <w:sz w:val="18"/>
        </w:rPr>
        <w:tab/>
      </w:r>
      <w:r w:rsidRPr="003F3E0B">
        <w:rPr>
          <w:b w:val="0"/>
          <w:noProof/>
          <w:sz w:val="18"/>
        </w:rPr>
        <w:fldChar w:fldCharType="begin"/>
      </w:r>
      <w:r w:rsidRPr="003F3E0B">
        <w:rPr>
          <w:b w:val="0"/>
          <w:noProof/>
          <w:sz w:val="18"/>
        </w:rPr>
        <w:instrText xml:space="preserve"> PAGEREF _Toc64030536 \h </w:instrText>
      </w:r>
      <w:r w:rsidRPr="003F3E0B">
        <w:rPr>
          <w:b w:val="0"/>
          <w:noProof/>
          <w:sz w:val="18"/>
        </w:rPr>
      </w:r>
      <w:r w:rsidRPr="003F3E0B">
        <w:rPr>
          <w:b w:val="0"/>
          <w:noProof/>
          <w:sz w:val="18"/>
        </w:rPr>
        <w:fldChar w:fldCharType="separate"/>
      </w:r>
      <w:r w:rsidR="005364D5">
        <w:rPr>
          <w:b w:val="0"/>
          <w:noProof/>
          <w:sz w:val="18"/>
        </w:rPr>
        <w:t>124</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w:t>
      </w:r>
      <w:r>
        <w:rPr>
          <w:noProof/>
        </w:rPr>
        <w:tab/>
        <w:t>Exchange rate—consistency with accounting standards used by entity</w:t>
      </w:r>
      <w:r w:rsidRPr="003F3E0B">
        <w:rPr>
          <w:noProof/>
        </w:rPr>
        <w:tab/>
      </w:r>
      <w:r w:rsidRPr="003F3E0B">
        <w:rPr>
          <w:noProof/>
        </w:rPr>
        <w:fldChar w:fldCharType="begin"/>
      </w:r>
      <w:r w:rsidRPr="003F3E0B">
        <w:rPr>
          <w:noProof/>
        </w:rPr>
        <w:instrText xml:space="preserve"> PAGEREF _Toc64030537 \h </w:instrText>
      </w:r>
      <w:r w:rsidRPr="003F3E0B">
        <w:rPr>
          <w:noProof/>
        </w:rPr>
      </w:r>
      <w:r w:rsidRPr="003F3E0B">
        <w:rPr>
          <w:noProof/>
        </w:rPr>
        <w:fldChar w:fldCharType="separate"/>
      </w:r>
      <w:r w:rsidR="005364D5">
        <w:rPr>
          <w:noProof/>
        </w:rPr>
        <w:t>124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2</w:t>
      </w:r>
      <w:r>
        <w:rPr>
          <w:noProof/>
        </w:rPr>
        <w:tab/>
        <w:t>Choice of daily exchange rate</w:t>
      </w:r>
      <w:r w:rsidRPr="003F3E0B">
        <w:rPr>
          <w:noProof/>
        </w:rPr>
        <w:tab/>
      </w:r>
      <w:r w:rsidRPr="003F3E0B">
        <w:rPr>
          <w:noProof/>
        </w:rPr>
        <w:fldChar w:fldCharType="begin"/>
      </w:r>
      <w:r w:rsidRPr="003F3E0B">
        <w:rPr>
          <w:noProof/>
        </w:rPr>
        <w:instrText xml:space="preserve"> PAGEREF _Toc64030538 \h </w:instrText>
      </w:r>
      <w:r w:rsidRPr="003F3E0B">
        <w:rPr>
          <w:noProof/>
        </w:rPr>
      </w:r>
      <w:r w:rsidRPr="003F3E0B">
        <w:rPr>
          <w:noProof/>
        </w:rPr>
        <w:fldChar w:fldCharType="separate"/>
      </w:r>
      <w:r w:rsidR="005364D5">
        <w:rPr>
          <w:noProof/>
        </w:rPr>
        <w:t>124</w:t>
      </w:r>
      <w:r w:rsidRPr="003F3E0B">
        <w:rPr>
          <w:noProof/>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3</w:t>
      </w:r>
      <w:r>
        <w:rPr>
          <w:noProof/>
        </w:rPr>
        <w:tab/>
        <w:t>Choice of average exchange rate</w:t>
      </w:r>
      <w:r w:rsidRPr="003F3E0B">
        <w:rPr>
          <w:noProof/>
        </w:rPr>
        <w:tab/>
      </w:r>
      <w:r w:rsidRPr="003F3E0B">
        <w:rPr>
          <w:noProof/>
        </w:rPr>
        <w:fldChar w:fldCharType="begin"/>
      </w:r>
      <w:r w:rsidRPr="003F3E0B">
        <w:rPr>
          <w:noProof/>
        </w:rPr>
        <w:instrText xml:space="preserve"> PAGEREF _Toc64030539 \h </w:instrText>
      </w:r>
      <w:r w:rsidRPr="003F3E0B">
        <w:rPr>
          <w:noProof/>
        </w:rPr>
      </w:r>
      <w:r w:rsidRPr="003F3E0B">
        <w:rPr>
          <w:noProof/>
        </w:rPr>
        <w:fldChar w:fldCharType="separate"/>
      </w:r>
      <w:r w:rsidR="005364D5">
        <w:rPr>
          <w:noProof/>
        </w:rPr>
        <w:t>125</w:t>
      </w:r>
      <w:r w:rsidRPr="003F3E0B">
        <w:rPr>
          <w:noProof/>
        </w:rPr>
        <w:fldChar w:fldCharType="end"/>
      </w:r>
    </w:p>
    <w:p w:rsidR="003F3E0B" w:rsidRDefault="003F3E0B">
      <w:pPr>
        <w:pStyle w:val="TOC2"/>
        <w:rPr>
          <w:rFonts w:asciiTheme="minorHAnsi" w:eastAsiaTheme="minorEastAsia" w:hAnsiTheme="minorHAnsi" w:cstheme="minorBidi"/>
          <w:b w:val="0"/>
          <w:noProof/>
          <w:kern w:val="0"/>
          <w:sz w:val="22"/>
          <w:szCs w:val="22"/>
        </w:rPr>
      </w:pPr>
      <w:r>
        <w:rPr>
          <w:noProof/>
        </w:rPr>
        <w:t>Part 2—Translation of foreign currency amounts into Australian currency—rules and requirements for item 11A of the table in subsection 960</w:t>
      </w:r>
      <w:r>
        <w:rPr>
          <w:noProof/>
        </w:rPr>
        <w:noBreakHyphen/>
        <w:t>50(6) of the Act</w:t>
      </w:r>
      <w:r w:rsidRPr="003F3E0B">
        <w:rPr>
          <w:b w:val="0"/>
          <w:noProof/>
          <w:sz w:val="18"/>
        </w:rPr>
        <w:tab/>
      </w:r>
      <w:r w:rsidRPr="003F3E0B">
        <w:rPr>
          <w:b w:val="0"/>
          <w:noProof/>
          <w:sz w:val="18"/>
        </w:rPr>
        <w:fldChar w:fldCharType="begin"/>
      </w:r>
      <w:r w:rsidRPr="003F3E0B">
        <w:rPr>
          <w:b w:val="0"/>
          <w:noProof/>
          <w:sz w:val="18"/>
        </w:rPr>
        <w:instrText xml:space="preserve"> PAGEREF _Toc64030540 \h </w:instrText>
      </w:r>
      <w:r w:rsidRPr="003F3E0B">
        <w:rPr>
          <w:b w:val="0"/>
          <w:noProof/>
          <w:sz w:val="18"/>
        </w:rPr>
      </w:r>
      <w:r w:rsidRPr="003F3E0B">
        <w:rPr>
          <w:b w:val="0"/>
          <w:noProof/>
          <w:sz w:val="18"/>
        </w:rPr>
        <w:fldChar w:fldCharType="separate"/>
      </w:r>
      <w:r w:rsidR="005364D5">
        <w:rPr>
          <w:b w:val="0"/>
          <w:noProof/>
          <w:sz w:val="18"/>
        </w:rPr>
        <w:t>126</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4</w:t>
      </w:r>
      <w:r>
        <w:rPr>
          <w:noProof/>
        </w:rPr>
        <w:tab/>
        <w:t>Exchange rate—consistency with an entity’s financial records</w:t>
      </w:r>
      <w:r w:rsidRPr="003F3E0B">
        <w:rPr>
          <w:noProof/>
        </w:rPr>
        <w:tab/>
      </w:r>
      <w:r w:rsidRPr="003F3E0B">
        <w:rPr>
          <w:noProof/>
        </w:rPr>
        <w:fldChar w:fldCharType="begin"/>
      </w:r>
      <w:r w:rsidRPr="003F3E0B">
        <w:rPr>
          <w:noProof/>
        </w:rPr>
        <w:instrText xml:space="preserve"> PAGEREF _Toc64030541 \h </w:instrText>
      </w:r>
      <w:r w:rsidRPr="003F3E0B">
        <w:rPr>
          <w:noProof/>
        </w:rPr>
      </w:r>
      <w:r w:rsidRPr="003F3E0B">
        <w:rPr>
          <w:noProof/>
        </w:rPr>
        <w:fldChar w:fldCharType="separate"/>
      </w:r>
      <w:r w:rsidR="005364D5">
        <w:rPr>
          <w:noProof/>
        </w:rPr>
        <w:t>126</w:t>
      </w:r>
      <w:r w:rsidRPr="003F3E0B">
        <w:rPr>
          <w:noProof/>
        </w:rPr>
        <w:fldChar w:fldCharType="end"/>
      </w:r>
    </w:p>
    <w:p w:rsidR="003F3E0B" w:rsidRDefault="003F3E0B">
      <w:pPr>
        <w:pStyle w:val="TOC1"/>
        <w:rPr>
          <w:rFonts w:asciiTheme="minorHAnsi" w:eastAsiaTheme="minorEastAsia" w:hAnsiTheme="minorHAnsi" w:cstheme="minorBidi"/>
          <w:b w:val="0"/>
          <w:noProof/>
          <w:kern w:val="0"/>
          <w:sz w:val="22"/>
          <w:szCs w:val="22"/>
        </w:rPr>
      </w:pPr>
      <w:r>
        <w:rPr>
          <w:noProof/>
        </w:rPr>
        <w:t>Schedule 3—Approved stock exchanges</w:t>
      </w:r>
      <w:r w:rsidRPr="003F3E0B">
        <w:rPr>
          <w:b w:val="0"/>
          <w:noProof/>
          <w:sz w:val="18"/>
        </w:rPr>
        <w:tab/>
      </w:r>
      <w:r w:rsidRPr="003F3E0B">
        <w:rPr>
          <w:b w:val="0"/>
          <w:noProof/>
          <w:sz w:val="18"/>
        </w:rPr>
        <w:fldChar w:fldCharType="begin"/>
      </w:r>
      <w:r w:rsidRPr="003F3E0B">
        <w:rPr>
          <w:b w:val="0"/>
          <w:noProof/>
          <w:sz w:val="18"/>
        </w:rPr>
        <w:instrText xml:space="preserve"> PAGEREF _Toc64030542 \h </w:instrText>
      </w:r>
      <w:r w:rsidRPr="003F3E0B">
        <w:rPr>
          <w:b w:val="0"/>
          <w:noProof/>
          <w:sz w:val="18"/>
        </w:rPr>
      </w:r>
      <w:r w:rsidRPr="003F3E0B">
        <w:rPr>
          <w:b w:val="0"/>
          <w:noProof/>
          <w:sz w:val="18"/>
        </w:rPr>
        <w:fldChar w:fldCharType="separate"/>
      </w:r>
      <w:r w:rsidR="005364D5">
        <w:rPr>
          <w:b w:val="0"/>
          <w:noProof/>
          <w:sz w:val="18"/>
        </w:rPr>
        <w:t>127</w:t>
      </w:r>
      <w:r w:rsidRPr="003F3E0B">
        <w:rPr>
          <w:b w:val="0"/>
          <w:noProof/>
          <w:sz w:val="18"/>
        </w:rPr>
        <w:fldChar w:fldCharType="end"/>
      </w:r>
    </w:p>
    <w:p w:rsidR="003F3E0B" w:rsidRDefault="003F3E0B">
      <w:pPr>
        <w:pStyle w:val="TOC5"/>
        <w:rPr>
          <w:rFonts w:asciiTheme="minorHAnsi" w:eastAsiaTheme="minorEastAsia" w:hAnsiTheme="minorHAnsi" w:cstheme="minorBidi"/>
          <w:noProof/>
          <w:kern w:val="0"/>
          <w:sz w:val="22"/>
          <w:szCs w:val="22"/>
        </w:rPr>
      </w:pPr>
      <w:r>
        <w:rPr>
          <w:noProof/>
        </w:rPr>
        <w:t>1</w:t>
      </w:r>
      <w:r>
        <w:rPr>
          <w:noProof/>
        </w:rPr>
        <w:tab/>
        <w:t>Approved stock exchanges</w:t>
      </w:r>
      <w:r w:rsidRPr="003F3E0B">
        <w:rPr>
          <w:noProof/>
        </w:rPr>
        <w:tab/>
      </w:r>
      <w:r w:rsidRPr="003F3E0B">
        <w:rPr>
          <w:noProof/>
        </w:rPr>
        <w:fldChar w:fldCharType="begin"/>
      </w:r>
      <w:r w:rsidRPr="003F3E0B">
        <w:rPr>
          <w:noProof/>
        </w:rPr>
        <w:instrText xml:space="preserve"> PAGEREF _Toc64030543 \h </w:instrText>
      </w:r>
      <w:r w:rsidRPr="003F3E0B">
        <w:rPr>
          <w:noProof/>
        </w:rPr>
      </w:r>
      <w:r w:rsidRPr="003F3E0B">
        <w:rPr>
          <w:noProof/>
        </w:rPr>
        <w:fldChar w:fldCharType="separate"/>
      </w:r>
      <w:r w:rsidR="005364D5">
        <w:rPr>
          <w:noProof/>
        </w:rPr>
        <w:t>127</w:t>
      </w:r>
      <w:r w:rsidRPr="003F3E0B">
        <w:rPr>
          <w:noProof/>
        </w:rPr>
        <w:fldChar w:fldCharType="end"/>
      </w:r>
    </w:p>
    <w:p w:rsidR="00670EA1" w:rsidRPr="00143624" w:rsidRDefault="003F3E0B" w:rsidP="00715914">
      <w:r>
        <w:fldChar w:fldCharType="end"/>
      </w:r>
    </w:p>
    <w:p w:rsidR="00670EA1" w:rsidRPr="00143624" w:rsidRDefault="00670EA1" w:rsidP="00715914">
      <w:pPr>
        <w:sectPr w:rsidR="00670EA1" w:rsidRPr="00143624" w:rsidSect="00AE0765">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EC12C4" w:rsidRPr="00143624" w:rsidRDefault="003D2F06" w:rsidP="003D2F06">
      <w:pPr>
        <w:pStyle w:val="ActHead1"/>
        <w:pageBreakBefore/>
      </w:pPr>
      <w:bookmarkStart w:id="1" w:name="_Toc64030259"/>
      <w:r w:rsidRPr="003F3E0B">
        <w:rPr>
          <w:rStyle w:val="CharChapNo"/>
        </w:rPr>
        <w:lastRenderedPageBreak/>
        <w:t>Chapter</w:t>
      </w:r>
      <w:r w:rsidR="002B1A95" w:rsidRPr="003F3E0B">
        <w:rPr>
          <w:rStyle w:val="CharChapNo"/>
        </w:rPr>
        <w:t> </w:t>
      </w:r>
      <w:r w:rsidRPr="003F3E0B">
        <w:rPr>
          <w:rStyle w:val="CharChapNo"/>
        </w:rPr>
        <w:t>1</w:t>
      </w:r>
      <w:r w:rsidRPr="00143624">
        <w:t>—</w:t>
      </w:r>
      <w:r w:rsidRPr="003F3E0B">
        <w:rPr>
          <w:rStyle w:val="CharChapText"/>
        </w:rPr>
        <w:t>Introduction and core provisions</w:t>
      </w:r>
      <w:bookmarkEnd w:id="1"/>
    </w:p>
    <w:p w:rsidR="00715914" w:rsidRPr="00143624" w:rsidRDefault="00715914" w:rsidP="009F135A">
      <w:pPr>
        <w:pStyle w:val="Header"/>
      </w:pPr>
      <w:r w:rsidRPr="003F3E0B">
        <w:rPr>
          <w:rStyle w:val="CharPartNo"/>
        </w:rPr>
        <w:t xml:space="preserve"> </w:t>
      </w:r>
      <w:r w:rsidRPr="003F3E0B">
        <w:rPr>
          <w:rStyle w:val="CharPartText"/>
        </w:rPr>
        <w:t xml:space="preserve"> </w:t>
      </w:r>
      <w:r w:rsidR="009F135A" w:rsidRPr="003F3E0B">
        <w:t xml:space="preserve">  </w:t>
      </w:r>
    </w:p>
    <w:p w:rsidR="00271A98" w:rsidRPr="003F3E0B" w:rsidRDefault="00271A98" w:rsidP="00271A98">
      <w:pPr>
        <w:pStyle w:val="Header"/>
      </w:pPr>
      <w:r w:rsidRPr="003F3E0B">
        <w:rPr>
          <w:rStyle w:val="CharDivNo"/>
        </w:rPr>
        <w:t xml:space="preserve"> </w:t>
      </w:r>
      <w:r w:rsidRPr="003F3E0B">
        <w:rPr>
          <w:rStyle w:val="CharDivText"/>
        </w:rPr>
        <w:t xml:space="preserve"> </w:t>
      </w:r>
    </w:p>
    <w:p w:rsidR="00715914" w:rsidRPr="00143624" w:rsidRDefault="00715914" w:rsidP="00715914">
      <w:pPr>
        <w:pStyle w:val="ActHead5"/>
      </w:pPr>
      <w:bookmarkStart w:id="2" w:name="_Toc64030260"/>
      <w:r w:rsidRPr="003F3E0B">
        <w:rPr>
          <w:rStyle w:val="CharSectno"/>
        </w:rPr>
        <w:t>1</w:t>
      </w:r>
      <w:r w:rsidRPr="00143624">
        <w:t xml:space="preserve">  </w:t>
      </w:r>
      <w:r w:rsidR="00CE493D" w:rsidRPr="00143624">
        <w:t>Name</w:t>
      </w:r>
      <w:bookmarkEnd w:id="2"/>
    </w:p>
    <w:p w:rsidR="00715914" w:rsidRPr="00143624" w:rsidRDefault="00715914" w:rsidP="00715914">
      <w:pPr>
        <w:pStyle w:val="subsection"/>
      </w:pPr>
      <w:r w:rsidRPr="00143624">
        <w:tab/>
      </w:r>
      <w:r w:rsidRPr="00143624">
        <w:tab/>
      </w:r>
      <w:r w:rsidR="00A7368E" w:rsidRPr="00143624">
        <w:t>This instrument is</w:t>
      </w:r>
      <w:r w:rsidR="00CE493D" w:rsidRPr="00143624">
        <w:t xml:space="preserve"> the </w:t>
      </w:r>
      <w:r w:rsidR="00BC76AC" w:rsidRPr="00143624">
        <w:rPr>
          <w:i/>
        </w:rPr>
        <w:fldChar w:fldCharType="begin"/>
      </w:r>
      <w:r w:rsidR="00BC76AC" w:rsidRPr="00143624">
        <w:rPr>
          <w:i/>
        </w:rPr>
        <w:instrText xml:space="preserve"> STYLEREF  ShortT </w:instrText>
      </w:r>
      <w:r w:rsidR="00BC76AC" w:rsidRPr="00143624">
        <w:rPr>
          <w:i/>
        </w:rPr>
        <w:fldChar w:fldCharType="separate"/>
      </w:r>
      <w:r w:rsidR="005364D5">
        <w:rPr>
          <w:i/>
          <w:noProof/>
        </w:rPr>
        <w:t>Income Tax Assessment (1997 Act) Regulations 2021</w:t>
      </w:r>
      <w:r w:rsidR="00BC76AC" w:rsidRPr="00143624">
        <w:rPr>
          <w:i/>
        </w:rPr>
        <w:fldChar w:fldCharType="end"/>
      </w:r>
      <w:r w:rsidRPr="00143624">
        <w:t>.</w:t>
      </w:r>
    </w:p>
    <w:p w:rsidR="00715914" w:rsidRPr="00143624" w:rsidRDefault="00715914" w:rsidP="00715914">
      <w:pPr>
        <w:pStyle w:val="ActHead5"/>
      </w:pPr>
      <w:bookmarkStart w:id="3" w:name="_Toc64030261"/>
      <w:r w:rsidRPr="003F3E0B">
        <w:rPr>
          <w:rStyle w:val="CharSectno"/>
        </w:rPr>
        <w:t>2</w:t>
      </w:r>
      <w:r w:rsidRPr="00143624">
        <w:t xml:space="preserve">  Commencement</w:t>
      </w:r>
      <w:bookmarkEnd w:id="3"/>
    </w:p>
    <w:p w:rsidR="00726A51" w:rsidRPr="00143624" w:rsidRDefault="00726A51" w:rsidP="00726A51">
      <w:pPr>
        <w:pStyle w:val="subsection"/>
      </w:pPr>
      <w:r w:rsidRPr="00143624">
        <w:tab/>
        <w:t>(1)</w:t>
      </w:r>
      <w:r w:rsidRPr="00143624">
        <w:tab/>
        <w:t>Each provision of this instrument specified in column 1 of the table commences, or is taken to have commenced, in accordance with column 2 of the table. Any other statement in column 2 has effect according to its terms.</w:t>
      </w:r>
    </w:p>
    <w:p w:rsidR="00726A51" w:rsidRPr="00143624" w:rsidRDefault="00726A51" w:rsidP="00726A5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726A51" w:rsidRPr="00143624" w:rsidTr="003104D0">
        <w:trPr>
          <w:tblHeader/>
        </w:trPr>
        <w:tc>
          <w:tcPr>
            <w:tcW w:w="5000" w:type="pct"/>
            <w:gridSpan w:val="3"/>
            <w:tcBorders>
              <w:top w:val="single" w:sz="12" w:space="0" w:color="auto"/>
              <w:bottom w:val="single" w:sz="2" w:space="0" w:color="auto"/>
            </w:tcBorders>
            <w:shd w:val="clear" w:color="auto" w:fill="auto"/>
            <w:hideMark/>
          </w:tcPr>
          <w:p w:rsidR="00726A51" w:rsidRPr="00143624" w:rsidRDefault="00726A51" w:rsidP="00726A51">
            <w:pPr>
              <w:pStyle w:val="TableHeading"/>
            </w:pPr>
            <w:r w:rsidRPr="00143624">
              <w:t>Commencement information</w:t>
            </w:r>
          </w:p>
        </w:tc>
      </w:tr>
      <w:tr w:rsidR="00726A51" w:rsidRPr="00143624" w:rsidTr="003104D0">
        <w:trPr>
          <w:tblHeader/>
        </w:trPr>
        <w:tc>
          <w:tcPr>
            <w:tcW w:w="1272" w:type="pct"/>
            <w:tcBorders>
              <w:top w:val="single" w:sz="2" w:space="0" w:color="auto"/>
              <w:bottom w:val="single" w:sz="2" w:space="0" w:color="auto"/>
            </w:tcBorders>
            <w:shd w:val="clear" w:color="auto" w:fill="auto"/>
            <w:hideMark/>
          </w:tcPr>
          <w:p w:rsidR="00726A51" w:rsidRPr="00143624" w:rsidRDefault="00726A51" w:rsidP="00726A51">
            <w:pPr>
              <w:pStyle w:val="TableHeading"/>
            </w:pPr>
            <w:r w:rsidRPr="00143624">
              <w:t>Column 1</w:t>
            </w:r>
          </w:p>
        </w:tc>
        <w:tc>
          <w:tcPr>
            <w:tcW w:w="2627" w:type="pct"/>
            <w:tcBorders>
              <w:top w:val="single" w:sz="2" w:space="0" w:color="auto"/>
              <w:bottom w:val="single" w:sz="2" w:space="0" w:color="auto"/>
            </w:tcBorders>
            <w:shd w:val="clear" w:color="auto" w:fill="auto"/>
            <w:hideMark/>
          </w:tcPr>
          <w:p w:rsidR="00726A51" w:rsidRPr="00143624" w:rsidRDefault="00726A51" w:rsidP="00726A51">
            <w:pPr>
              <w:pStyle w:val="TableHeading"/>
            </w:pPr>
            <w:r w:rsidRPr="00143624">
              <w:t>Column 2</w:t>
            </w:r>
          </w:p>
        </w:tc>
        <w:tc>
          <w:tcPr>
            <w:tcW w:w="1102" w:type="pct"/>
            <w:tcBorders>
              <w:top w:val="single" w:sz="2" w:space="0" w:color="auto"/>
              <w:bottom w:val="single" w:sz="2" w:space="0" w:color="auto"/>
            </w:tcBorders>
            <w:shd w:val="clear" w:color="auto" w:fill="auto"/>
            <w:hideMark/>
          </w:tcPr>
          <w:p w:rsidR="00726A51" w:rsidRPr="00143624" w:rsidRDefault="00726A51" w:rsidP="00726A51">
            <w:pPr>
              <w:pStyle w:val="TableHeading"/>
            </w:pPr>
            <w:r w:rsidRPr="00143624">
              <w:t>Column 3</w:t>
            </w:r>
          </w:p>
        </w:tc>
      </w:tr>
      <w:tr w:rsidR="00726A51" w:rsidRPr="00143624" w:rsidTr="003104D0">
        <w:trPr>
          <w:tblHeader/>
        </w:trPr>
        <w:tc>
          <w:tcPr>
            <w:tcW w:w="1272" w:type="pct"/>
            <w:tcBorders>
              <w:top w:val="single" w:sz="2" w:space="0" w:color="auto"/>
              <w:bottom w:val="single" w:sz="12" w:space="0" w:color="auto"/>
            </w:tcBorders>
            <w:shd w:val="clear" w:color="auto" w:fill="auto"/>
            <w:hideMark/>
          </w:tcPr>
          <w:p w:rsidR="00726A51" w:rsidRPr="00143624" w:rsidRDefault="00726A51" w:rsidP="00726A51">
            <w:pPr>
              <w:pStyle w:val="TableHeading"/>
            </w:pPr>
            <w:r w:rsidRPr="00143624">
              <w:t>Provisions</w:t>
            </w:r>
          </w:p>
        </w:tc>
        <w:tc>
          <w:tcPr>
            <w:tcW w:w="2627" w:type="pct"/>
            <w:tcBorders>
              <w:top w:val="single" w:sz="2" w:space="0" w:color="auto"/>
              <w:bottom w:val="single" w:sz="12" w:space="0" w:color="auto"/>
            </w:tcBorders>
            <w:shd w:val="clear" w:color="auto" w:fill="auto"/>
            <w:hideMark/>
          </w:tcPr>
          <w:p w:rsidR="00726A51" w:rsidRPr="00143624" w:rsidRDefault="00726A51" w:rsidP="00726A51">
            <w:pPr>
              <w:pStyle w:val="TableHeading"/>
            </w:pPr>
            <w:r w:rsidRPr="00143624">
              <w:t>Commencement</w:t>
            </w:r>
          </w:p>
        </w:tc>
        <w:tc>
          <w:tcPr>
            <w:tcW w:w="1102" w:type="pct"/>
            <w:tcBorders>
              <w:top w:val="single" w:sz="2" w:space="0" w:color="auto"/>
              <w:bottom w:val="single" w:sz="12" w:space="0" w:color="auto"/>
            </w:tcBorders>
            <w:shd w:val="clear" w:color="auto" w:fill="auto"/>
            <w:hideMark/>
          </w:tcPr>
          <w:p w:rsidR="00726A51" w:rsidRPr="00143624" w:rsidRDefault="00726A51" w:rsidP="00726A51">
            <w:pPr>
              <w:pStyle w:val="TableHeading"/>
            </w:pPr>
            <w:r w:rsidRPr="00143624">
              <w:t>Date/Details</w:t>
            </w:r>
          </w:p>
        </w:tc>
      </w:tr>
      <w:tr w:rsidR="00726A51" w:rsidRPr="00143624" w:rsidTr="003104D0">
        <w:tc>
          <w:tcPr>
            <w:tcW w:w="1272" w:type="pct"/>
            <w:tcBorders>
              <w:top w:val="single" w:sz="12" w:space="0" w:color="auto"/>
              <w:bottom w:val="single" w:sz="12" w:space="0" w:color="auto"/>
            </w:tcBorders>
            <w:shd w:val="clear" w:color="auto" w:fill="auto"/>
            <w:hideMark/>
          </w:tcPr>
          <w:p w:rsidR="00726A51" w:rsidRPr="00143624" w:rsidRDefault="00726A51" w:rsidP="00726A51">
            <w:pPr>
              <w:pStyle w:val="Tabletext"/>
            </w:pPr>
            <w:r w:rsidRPr="00143624">
              <w:t>1.  The whole of this instrument</w:t>
            </w:r>
          </w:p>
        </w:tc>
        <w:tc>
          <w:tcPr>
            <w:tcW w:w="2627" w:type="pct"/>
            <w:tcBorders>
              <w:top w:val="single" w:sz="12" w:space="0" w:color="auto"/>
              <w:bottom w:val="single" w:sz="12" w:space="0" w:color="auto"/>
            </w:tcBorders>
            <w:shd w:val="clear" w:color="auto" w:fill="auto"/>
            <w:hideMark/>
          </w:tcPr>
          <w:p w:rsidR="00726A51" w:rsidRPr="00143624" w:rsidRDefault="00A84992" w:rsidP="00726A51">
            <w:pPr>
              <w:pStyle w:val="Tabletext"/>
            </w:pPr>
            <w:r w:rsidRPr="00143624">
              <w:t>1 April</w:t>
            </w:r>
            <w:r w:rsidR="00A434C8" w:rsidRPr="00143624">
              <w:t xml:space="preserve"> 2021.</w:t>
            </w:r>
          </w:p>
        </w:tc>
        <w:tc>
          <w:tcPr>
            <w:tcW w:w="1102" w:type="pct"/>
            <w:tcBorders>
              <w:top w:val="single" w:sz="12" w:space="0" w:color="auto"/>
              <w:bottom w:val="single" w:sz="12" w:space="0" w:color="auto"/>
            </w:tcBorders>
            <w:shd w:val="clear" w:color="auto" w:fill="auto"/>
          </w:tcPr>
          <w:p w:rsidR="00726A51" w:rsidRPr="00143624" w:rsidRDefault="00A84992" w:rsidP="00726A51">
            <w:pPr>
              <w:pStyle w:val="Tabletext"/>
            </w:pPr>
            <w:r w:rsidRPr="00143624">
              <w:t>1 April</w:t>
            </w:r>
            <w:r w:rsidR="00AB6029" w:rsidRPr="00143624">
              <w:t xml:space="preserve"> 2021</w:t>
            </w:r>
          </w:p>
        </w:tc>
      </w:tr>
    </w:tbl>
    <w:p w:rsidR="00726A51" w:rsidRPr="00143624" w:rsidRDefault="00726A51" w:rsidP="00726A51">
      <w:pPr>
        <w:pStyle w:val="notetext"/>
      </w:pPr>
      <w:r w:rsidRPr="00143624">
        <w:rPr>
          <w:snapToGrid w:val="0"/>
          <w:lang w:eastAsia="en-US"/>
        </w:rPr>
        <w:t>Note:</w:t>
      </w:r>
      <w:r w:rsidRPr="00143624">
        <w:rPr>
          <w:snapToGrid w:val="0"/>
          <w:lang w:eastAsia="en-US"/>
        </w:rPr>
        <w:tab/>
        <w:t xml:space="preserve">This table relates only to the provisions of this </w:t>
      </w:r>
      <w:r w:rsidRPr="00143624">
        <w:t xml:space="preserve">instrument </w:t>
      </w:r>
      <w:r w:rsidRPr="00143624">
        <w:rPr>
          <w:snapToGrid w:val="0"/>
          <w:lang w:eastAsia="en-US"/>
        </w:rPr>
        <w:t xml:space="preserve">as originally made. It will not be amended to deal with any later amendments of this </w:t>
      </w:r>
      <w:r w:rsidRPr="00143624">
        <w:t>instrument</w:t>
      </w:r>
      <w:r w:rsidRPr="00143624">
        <w:rPr>
          <w:snapToGrid w:val="0"/>
          <w:lang w:eastAsia="en-US"/>
        </w:rPr>
        <w:t>.</w:t>
      </w:r>
    </w:p>
    <w:p w:rsidR="00726A51" w:rsidRPr="00143624" w:rsidRDefault="00726A51" w:rsidP="00726A51">
      <w:pPr>
        <w:pStyle w:val="subsection"/>
      </w:pPr>
      <w:r w:rsidRPr="00143624">
        <w:tab/>
        <w:t>(2)</w:t>
      </w:r>
      <w:r w:rsidRPr="00143624">
        <w:tab/>
        <w:t>Any information in column 3 of the table is not part of this instrument. Information may be inserted in this column, or information in it may be edited, in any published version of this instrument.</w:t>
      </w:r>
    </w:p>
    <w:p w:rsidR="007500C8" w:rsidRPr="00143624" w:rsidRDefault="007500C8" w:rsidP="007500C8">
      <w:pPr>
        <w:pStyle w:val="ActHead5"/>
      </w:pPr>
      <w:bookmarkStart w:id="4" w:name="_Toc64030262"/>
      <w:r w:rsidRPr="003F3E0B">
        <w:rPr>
          <w:rStyle w:val="CharSectno"/>
        </w:rPr>
        <w:t>3</w:t>
      </w:r>
      <w:r w:rsidRPr="00143624">
        <w:t xml:space="preserve">  Authority</w:t>
      </w:r>
      <w:bookmarkEnd w:id="4"/>
    </w:p>
    <w:p w:rsidR="00D72009" w:rsidRPr="00143624" w:rsidRDefault="007500C8" w:rsidP="00404973">
      <w:pPr>
        <w:pStyle w:val="subsection"/>
      </w:pPr>
      <w:r w:rsidRPr="00143624">
        <w:tab/>
      </w:r>
      <w:r w:rsidR="00404973" w:rsidRPr="00143624">
        <w:t>(1)</w:t>
      </w:r>
      <w:r w:rsidRPr="00143624">
        <w:tab/>
      </w:r>
      <w:r w:rsidR="00404973" w:rsidRPr="00143624">
        <w:t xml:space="preserve">Subject to </w:t>
      </w:r>
      <w:r w:rsidR="002B1A95" w:rsidRPr="00143624">
        <w:t>subsection (</w:t>
      </w:r>
      <w:r w:rsidR="00404973" w:rsidRPr="00143624">
        <w:t>2), t</w:t>
      </w:r>
      <w:r w:rsidR="00A7368E" w:rsidRPr="00143624">
        <w:t>his instrument is</w:t>
      </w:r>
      <w:r w:rsidR="00404973" w:rsidRPr="00143624">
        <w:t xml:space="preserve"> made under </w:t>
      </w:r>
      <w:r w:rsidR="00216A2E" w:rsidRPr="00143624">
        <w:t xml:space="preserve">the </w:t>
      </w:r>
      <w:r w:rsidR="00A7368E" w:rsidRPr="00143624">
        <w:rPr>
          <w:i/>
        </w:rPr>
        <w:t>Income Tax Assessment Act 1997</w:t>
      </w:r>
      <w:r w:rsidR="00404973" w:rsidRPr="00143624">
        <w:t>.</w:t>
      </w:r>
    </w:p>
    <w:p w:rsidR="00216A2E" w:rsidRPr="00143624" w:rsidRDefault="00404973" w:rsidP="00404973">
      <w:pPr>
        <w:pStyle w:val="subsection"/>
      </w:pPr>
      <w:r w:rsidRPr="00143624">
        <w:tab/>
        <w:t>(2)</w:t>
      </w:r>
      <w:r w:rsidRPr="00143624">
        <w:tab/>
        <w:t>Sections 291</w:t>
      </w:r>
      <w:r w:rsidR="00143624">
        <w:noBreakHyphen/>
      </w:r>
      <w:r w:rsidRPr="00143624">
        <w:t>170.05</w:t>
      </w:r>
      <w:r w:rsidR="00C830F7" w:rsidRPr="00143624">
        <w:t xml:space="preserve"> and</w:t>
      </w:r>
      <w:r w:rsidRPr="00143624">
        <w:t xml:space="preserve"> 291</w:t>
      </w:r>
      <w:r w:rsidR="00143624">
        <w:noBreakHyphen/>
      </w:r>
      <w:r w:rsidRPr="00143624">
        <w:t>170.0</w:t>
      </w:r>
      <w:r w:rsidR="00C830F7" w:rsidRPr="00143624">
        <w:t>7</w:t>
      </w:r>
      <w:r w:rsidRPr="00143624">
        <w:t xml:space="preserve"> are made under the</w:t>
      </w:r>
      <w:r w:rsidR="00216A2E" w:rsidRPr="00143624">
        <w:t xml:space="preserve"> </w:t>
      </w:r>
      <w:r w:rsidR="00216A2E" w:rsidRPr="00143624">
        <w:rPr>
          <w:i/>
        </w:rPr>
        <w:t>Income Tax (Transitional Provisions) Act 1997</w:t>
      </w:r>
      <w:r w:rsidR="00216A2E" w:rsidRPr="00143624">
        <w:t>.</w:t>
      </w:r>
    </w:p>
    <w:p w:rsidR="005B63A2" w:rsidRPr="00143624" w:rsidRDefault="005B63A2" w:rsidP="005B63A2">
      <w:pPr>
        <w:pStyle w:val="ActHead1"/>
        <w:pageBreakBefore/>
      </w:pPr>
      <w:bookmarkStart w:id="5" w:name="_Toc64030263"/>
      <w:r w:rsidRPr="003F3E0B">
        <w:rPr>
          <w:rStyle w:val="CharChapNo"/>
        </w:rPr>
        <w:lastRenderedPageBreak/>
        <w:t>Chapter</w:t>
      </w:r>
      <w:r w:rsidR="002B1A95" w:rsidRPr="003F3E0B">
        <w:rPr>
          <w:rStyle w:val="CharChapNo"/>
        </w:rPr>
        <w:t> </w:t>
      </w:r>
      <w:r w:rsidRPr="003F3E0B">
        <w:rPr>
          <w:rStyle w:val="CharChapNo"/>
        </w:rPr>
        <w:t>2</w:t>
      </w:r>
      <w:r w:rsidRPr="00143624">
        <w:t>—</w:t>
      </w:r>
      <w:r w:rsidRPr="003F3E0B">
        <w:rPr>
          <w:rStyle w:val="CharChapText"/>
        </w:rPr>
        <w:t>Liability rules of general application</w:t>
      </w:r>
      <w:bookmarkEnd w:id="5"/>
    </w:p>
    <w:p w:rsidR="005B63A2" w:rsidRPr="00143624" w:rsidRDefault="005B63A2" w:rsidP="005B63A2">
      <w:pPr>
        <w:pStyle w:val="ActHead2"/>
      </w:pPr>
      <w:bookmarkStart w:id="6" w:name="_Toc64030264"/>
      <w:r w:rsidRPr="003F3E0B">
        <w:rPr>
          <w:rStyle w:val="CharPartNo"/>
        </w:rPr>
        <w:t>Part</w:t>
      </w:r>
      <w:r w:rsidR="002B1A95" w:rsidRPr="003F3E0B">
        <w:rPr>
          <w:rStyle w:val="CharPartNo"/>
        </w:rPr>
        <w:t> </w:t>
      </w:r>
      <w:r w:rsidRPr="003F3E0B">
        <w:rPr>
          <w:rStyle w:val="CharPartNo"/>
        </w:rPr>
        <w:t>2</w:t>
      </w:r>
      <w:r w:rsidR="00143624" w:rsidRPr="003F3E0B">
        <w:rPr>
          <w:rStyle w:val="CharPartNo"/>
        </w:rPr>
        <w:noBreakHyphen/>
      </w:r>
      <w:r w:rsidRPr="003F3E0B">
        <w:rPr>
          <w:rStyle w:val="CharPartNo"/>
        </w:rPr>
        <w:t>5</w:t>
      </w:r>
      <w:r w:rsidRPr="00143624">
        <w:t>—</w:t>
      </w:r>
      <w:r w:rsidRPr="003F3E0B">
        <w:rPr>
          <w:rStyle w:val="CharPartText"/>
        </w:rPr>
        <w:t>Rules about deductibility of particular kinds of amounts</w:t>
      </w:r>
      <w:bookmarkEnd w:id="6"/>
    </w:p>
    <w:p w:rsidR="005B63A2" w:rsidRPr="00143624" w:rsidRDefault="005B63A2" w:rsidP="005B63A2">
      <w:pPr>
        <w:pStyle w:val="ActHead3"/>
      </w:pPr>
      <w:bookmarkStart w:id="7" w:name="_Toc64030265"/>
      <w:r w:rsidRPr="003F3E0B">
        <w:rPr>
          <w:rStyle w:val="CharDivNo"/>
        </w:rPr>
        <w:t>Division</w:t>
      </w:r>
      <w:r w:rsidR="002B1A95" w:rsidRPr="003F3E0B">
        <w:rPr>
          <w:rStyle w:val="CharDivNo"/>
        </w:rPr>
        <w:t> </w:t>
      </w:r>
      <w:r w:rsidRPr="003F3E0B">
        <w:rPr>
          <w:rStyle w:val="CharDivNo"/>
        </w:rPr>
        <w:t>26</w:t>
      </w:r>
      <w:r w:rsidRPr="00143624">
        <w:t>—</w:t>
      </w:r>
      <w:r w:rsidRPr="003F3E0B">
        <w:rPr>
          <w:rStyle w:val="CharDivText"/>
        </w:rPr>
        <w:t>Some amounts you cannot deduct, or cannot deduct in full</w:t>
      </w:r>
      <w:bookmarkEnd w:id="7"/>
    </w:p>
    <w:p w:rsidR="005B63A2" w:rsidRPr="00143624" w:rsidRDefault="005B63A2" w:rsidP="005B63A2">
      <w:pPr>
        <w:pStyle w:val="ActHead5"/>
      </w:pPr>
      <w:bookmarkStart w:id="8" w:name="_Toc64030266"/>
      <w:r w:rsidRPr="003F3E0B">
        <w:rPr>
          <w:rStyle w:val="CharSectno"/>
        </w:rPr>
        <w:t>26</w:t>
      </w:r>
      <w:r w:rsidR="00143624" w:rsidRPr="003F3E0B">
        <w:rPr>
          <w:rStyle w:val="CharSectno"/>
        </w:rPr>
        <w:noBreakHyphen/>
      </w:r>
      <w:r w:rsidRPr="003F3E0B">
        <w:rPr>
          <w:rStyle w:val="CharSectno"/>
        </w:rPr>
        <w:t>85.01</w:t>
      </w:r>
      <w:r w:rsidRPr="00143624">
        <w:t xml:space="preserve">  Borrowing costs on loans to pay life insurance premiums—term insurance policy etc.</w:t>
      </w:r>
      <w:bookmarkEnd w:id="8"/>
    </w:p>
    <w:p w:rsidR="005B63A2" w:rsidRPr="00143624" w:rsidRDefault="005B63A2" w:rsidP="005B63A2">
      <w:pPr>
        <w:pStyle w:val="subsection"/>
      </w:pPr>
      <w:r w:rsidRPr="00143624">
        <w:tab/>
      </w:r>
      <w:r w:rsidRPr="00143624">
        <w:tab/>
        <w:t>For the purposes of subsection</w:t>
      </w:r>
      <w:r w:rsidR="002B1A95" w:rsidRPr="00143624">
        <w:t> </w:t>
      </w:r>
      <w:r w:rsidRPr="00143624">
        <w:t>26</w:t>
      </w:r>
      <w:r w:rsidR="00143624">
        <w:noBreakHyphen/>
      </w:r>
      <w:r w:rsidRPr="00143624">
        <w:t>85(2) of the Act, the risk component of a premium received in respect of a life insurance policy that is:</w:t>
      </w:r>
    </w:p>
    <w:p w:rsidR="005B63A2" w:rsidRPr="00143624" w:rsidRDefault="005B63A2" w:rsidP="005B63A2">
      <w:pPr>
        <w:pStyle w:val="paragraph"/>
      </w:pPr>
      <w:r w:rsidRPr="00143624">
        <w:rPr>
          <w:color w:val="000000"/>
        </w:rPr>
        <w:tab/>
        <w:t>(a)</w:t>
      </w:r>
      <w:r w:rsidRPr="00143624">
        <w:rPr>
          <w:color w:val="000000"/>
        </w:rPr>
        <w:tab/>
        <w:t>a term insurance policy; or</w:t>
      </w:r>
    </w:p>
    <w:p w:rsidR="005B63A2" w:rsidRPr="00143624" w:rsidRDefault="005B63A2" w:rsidP="005B63A2">
      <w:pPr>
        <w:pStyle w:val="paragraph"/>
      </w:pPr>
      <w:r w:rsidRPr="00143624">
        <w:tab/>
        <w:t>(b)</w:t>
      </w:r>
      <w:r w:rsidRPr="00143624">
        <w:tab/>
        <w:t>a rider or supplementary benefit attached to another policy where the sum insured is payable on death within a specified term;</w:t>
      </w:r>
    </w:p>
    <w:p w:rsidR="005B63A2" w:rsidRPr="00143624" w:rsidRDefault="005B63A2" w:rsidP="005B63A2">
      <w:pPr>
        <w:pStyle w:val="subsection2"/>
        <w:rPr>
          <w:color w:val="000000"/>
        </w:rPr>
      </w:pPr>
      <w:r w:rsidRPr="00143624">
        <w:rPr>
          <w:color w:val="000000"/>
        </w:rPr>
        <w:t>is an amount that is equal to the whole of the amount of the premium.</w:t>
      </w:r>
    </w:p>
    <w:p w:rsidR="005B63A2" w:rsidRPr="00143624" w:rsidRDefault="005B63A2" w:rsidP="005B63A2">
      <w:pPr>
        <w:pStyle w:val="ActHead3"/>
        <w:pageBreakBefore/>
      </w:pPr>
      <w:bookmarkStart w:id="9" w:name="_Toc64030267"/>
      <w:r w:rsidRPr="003F3E0B">
        <w:rPr>
          <w:rStyle w:val="CharDivNo"/>
        </w:rPr>
        <w:lastRenderedPageBreak/>
        <w:t>Division</w:t>
      </w:r>
      <w:r w:rsidR="002B1A95" w:rsidRPr="003F3E0B">
        <w:rPr>
          <w:rStyle w:val="CharDivNo"/>
        </w:rPr>
        <w:t> </w:t>
      </w:r>
      <w:r w:rsidRPr="003F3E0B">
        <w:rPr>
          <w:rStyle w:val="CharDivNo"/>
        </w:rPr>
        <w:t>30</w:t>
      </w:r>
      <w:r w:rsidRPr="00143624">
        <w:t>—</w:t>
      </w:r>
      <w:r w:rsidRPr="003F3E0B">
        <w:rPr>
          <w:rStyle w:val="CharDivText"/>
        </w:rPr>
        <w:t>Gifts or contributions</w:t>
      </w:r>
      <w:bookmarkEnd w:id="9"/>
    </w:p>
    <w:p w:rsidR="005B63A2" w:rsidRPr="00143624" w:rsidRDefault="005B63A2" w:rsidP="005B63A2">
      <w:pPr>
        <w:pStyle w:val="ActHead5"/>
      </w:pPr>
      <w:bookmarkStart w:id="10" w:name="_Toc64030268"/>
      <w:r w:rsidRPr="003F3E0B">
        <w:rPr>
          <w:rStyle w:val="CharSectno"/>
        </w:rPr>
        <w:t>30</w:t>
      </w:r>
      <w:r w:rsidR="00143624" w:rsidRPr="003F3E0B">
        <w:rPr>
          <w:rStyle w:val="CharSectno"/>
        </w:rPr>
        <w:noBreakHyphen/>
      </w:r>
      <w:r w:rsidRPr="003F3E0B">
        <w:rPr>
          <w:rStyle w:val="CharSectno"/>
        </w:rPr>
        <w:t>212.01</w:t>
      </w:r>
      <w:r w:rsidRPr="00143624">
        <w:t xml:space="preserve">  Valuation of gifts</w:t>
      </w:r>
      <w:bookmarkEnd w:id="10"/>
    </w:p>
    <w:p w:rsidR="005B63A2" w:rsidRPr="00143624" w:rsidRDefault="005B63A2" w:rsidP="005B63A2">
      <w:pPr>
        <w:pStyle w:val="subsection"/>
      </w:pPr>
      <w:r w:rsidRPr="00143624">
        <w:tab/>
      </w:r>
      <w:r w:rsidRPr="00143624">
        <w:tab/>
        <w:t>For the purposes of section</w:t>
      </w:r>
      <w:r w:rsidR="002B1A95" w:rsidRPr="00143624">
        <w:t> </w:t>
      </w:r>
      <w:r w:rsidRPr="00143624">
        <w:t>30</w:t>
      </w:r>
      <w:r w:rsidR="00143624">
        <w:noBreakHyphen/>
      </w:r>
      <w:r w:rsidRPr="00143624">
        <w:t>212 of the Act, this Division sets out:</w:t>
      </w:r>
    </w:p>
    <w:p w:rsidR="005B63A2" w:rsidRPr="00143624" w:rsidRDefault="005B63A2" w:rsidP="005B63A2">
      <w:pPr>
        <w:pStyle w:val="paragraph"/>
      </w:pPr>
      <w:r w:rsidRPr="00143624">
        <w:tab/>
        <w:t>(a)</w:t>
      </w:r>
      <w:r w:rsidRPr="00143624">
        <w:tab/>
        <w:t>the procedure for seeking a valuation from the Commissioner of a gift mentioned in that section; and</w:t>
      </w:r>
    </w:p>
    <w:p w:rsidR="005B63A2" w:rsidRPr="00143624" w:rsidRDefault="005B63A2" w:rsidP="005B63A2">
      <w:pPr>
        <w:pStyle w:val="paragraph"/>
      </w:pPr>
      <w:r w:rsidRPr="00143624">
        <w:tab/>
        <w:t>(b)</w:t>
      </w:r>
      <w:r w:rsidRPr="00143624">
        <w:tab/>
        <w:t>the amounts that the Commissioner may charge for making the valuation; and</w:t>
      </w:r>
    </w:p>
    <w:p w:rsidR="005B63A2" w:rsidRPr="00143624" w:rsidRDefault="005B63A2" w:rsidP="005B63A2">
      <w:pPr>
        <w:pStyle w:val="paragraph"/>
      </w:pPr>
      <w:r w:rsidRPr="00143624">
        <w:tab/>
        <w:t>(c)</w:t>
      </w:r>
      <w:r w:rsidRPr="00143624">
        <w:tab/>
        <w:t>arrangements for payment of those amounts.</w:t>
      </w:r>
    </w:p>
    <w:p w:rsidR="005B63A2" w:rsidRPr="00143624" w:rsidRDefault="005B63A2" w:rsidP="005B63A2">
      <w:pPr>
        <w:pStyle w:val="notetext"/>
      </w:pPr>
      <w:r w:rsidRPr="00143624">
        <w:t>Note:</w:t>
      </w:r>
      <w:r w:rsidRPr="00143624">
        <w:tab/>
        <w:t>Subsection</w:t>
      </w:r>
      <w:r w:rsidR="002B1A95" w:rsidRPr="00143624">
        <w:t> </w:t>
      </w:r>
      <w:r w:rsidRPr="00143624">
        <w:t>30</w:t>
      </w:r>
      <w:r w:rsidR="00143624">
        <w:noBreakHyphen/>
      </w:r>
      <w:r w:rsidRPr="00143624">
        <w:t>212(1) of the Act applies to a person who makes a gift that is covered by a provision of Division</w:t>
      </w:r>
      <w:r w:rsidR="002B1A95" w:rsidRPr="00143624">
        <w:t> </w:t>
      </w:r>
      <w:r w:rsidRPr="00143624">
        <w:t>30 of the Act that refers to the value of property as determined by the Commissioner.</w:t>
      </w:r>
    </w:p>
    <w:p w:rsidR="005B63A2" w:rsidRPr="00143624" w:rsidRDefault="005B63A2" w:rsidP="005B63A2">
      <w:pPr>
        <w:pStyle w:val="ActHead5"/>
      </w:pPr>
      <w:bookmarkStart w:id="11" w:name="_Toc64030269"/>
      <w:r w:rsidRPr="003F3E0B">
        <w:rPr>
          <w:rStyle w:val="CharSectno"/>
        </w:rPr>
        <w:t>30</w:t>
      </w:r>
      <w:r w:rsidR="00143624" w:rsidRPr="003F3E0B">
        <w:rPr>
          <w:rStyle w:val="CharSectno"/>
        </w:rPr>
        <w:noBreakHyphen/>
      </w:r>
      <w:r w:rsidRPr="003F3E0B">
        <w:rPr>
          <w:rStyle w:val="CharSectno"/>
        </w:rPr>
        <w:t>212.02</w:t>
      </w:r>
      <w:r w:rsidRPr="00143624">
        <w:t xml:space="preserve">  Application for valuation</w:t>
      </w:r>
      <w:bookmarkEnd w:id="11"/>
    </w:p>
    <w:p w:rsidR="005B63A2" w:rsidRPr="00143624" w:rsidRDefault="005B63A2" w:rsidP="005B63A2">
      <w:pPr>
        <w:pStyle w:val="subsection"/>
      </w:pPr>
      <w:r w:rsidRPr="00143624">
        <w:tab/>
      </w:r>
      <w:r w:rsidRPr="00143624">
        <w:tab/>
        <w:t>An application for a valuation must:</w:t>
      </w:r>
    </w:p>
    <w:p w:rsidR="005B63A2" w:rsidRPr="00143624" w:rsidRDefault="005B63A2" w:rsidP="005B63A2">
      <w:pPr>
        <w:pStyle w:val="paragraph"/>
      </w:pPr>
      <w:r w:rsidRPr="00143624">
        <w:tab/>
        <w:t>(a)</w:t>
      </w:r>
      <w:r w:rsidRPr="00143624">
        <w:tab/>
        <w:t>be in the approved form; and</w:t>
      </w:r>
    </w:p>
    <w:p w:rsidR="005B63A2" w:rsidRPr="00143624" w:rsidRDefault="005B63A2" w:rsidP="005B63A2">
      <w:pPr>
        <w:pStyle w:val="paragraph"/>
      </w:pPr>
      <w:r w:rsidRPr="00143624">
        <w:tab/>
        <w:t>(b)</w:t>
      </w:r>
      <w:r w:rsidRPr="00143624">
        <w:tab/>
        <w:t>be lodged with the Commissioner; and</w:t>
      </w:r>
    </w:p>
    <w:p w:rsidR="005B63A2" w:rsidRPr="00143624" w:rsidRDefault="005B63A2" w:rsidP="005B63A2">
      <w:pPr>
        <w:pStyle w:val="paragraph"/>
      </w:pPr>
      <w:r w:rsidRPr="00143624">
        <w:tab/>
        <w:t>(c)</w:t>
      </w:r>
      <w:r w:rsidRPr="00143624">
        <w:tab/>
        <w:t>include the deposit towards the charge for making the valuation required by the approved form, which must not be more than $1,000.</w:t>
      </w:r>
    </w:p>
    <w:p w:rsidR="005B63A2" w:rsidRPr="00143624" w:rsidRDefault="005B63A2" w:rsidP="005B63A2">
      <w:pPr>
        <w:pStyle w:val="notetext"/>
      </w:pPr>
      <w:r w:rsidRPr="00143624">
        <w:t>Note:</w:t>
      </w:r>
      <w:r w:rsidRPr="00143624">
        <w:tab/>
        <w:t xml:space="preserve">For </w:t>
      </w:r>
      <w:r w:rsidRPr="00143624">
        <w:rPr>
          <w:b/>
          <w:i/>
        </w:rPr>
        <w:t>approved form</w:t>
      </w:r>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ActHead5"/>
      </w:pPr>
      <w:bookmarkStart w:id="12" w:name="_Toc64030270"/>
      <w:r w:rsidRPr="003F3E0B">
        <w:rPr>
          <w:rStyle w:val="CharSectno"/>
        </w:rPr>
        <w:t>30</w:t>
      </w:r>
      <w:r w:rsidR="00143624" w:rsidRPr="003F3E0B">
        <w:rPr>
          <w:rStyle w:val="CharSectno"/>
        </w:rPr>
        <w:noBreakHyphen/>
      </w:r>
      <w:r w:rsidRPr="003F3E0B">
        <w:rPr>
          <w:rStyle w:val="CharSectno"/>
        </w:rPr>
        <w:t>212.03</w:t>
      </w:r>
      <w:r w:rsidRPr="00143624">
        <w:t xml:space="preserve">  Charge for making valuation</w:t>
      </w:r>
      <w:bookmarkEnd w:id="12"/>
    </w:p>
    <w:p w:rsidR="005B63A2" w:rsidRPr="00143624" w:rsidRDefault="005B63A2" w:rsidP="005B63A2">
      <w:pPr>
        <w:pStyle w:val="subsection"/>
      </w:pPr>
      <w:r w:rsidRPr="00143624">
        <w:tab/>
        <w:t>(1)</w:t>
      </w:r>
      <w:r w:rsidRPr="00143624">
        <w:tab/>
        <w:t>The amount of the charge for making the valuation is an amount equal to the sum of the actual cost of the valuation and all other costs to the Commissioner in obtaining the valuation.</w:t>
      </w:r>
    </w:p>
    <w:p w:rsidR="005B63A2" w:rsidRPr="00143624" w:rsidRDefault="005B63A2" w:rsidP="005B63A2">
      <w:pPr>
        <w:pStyle w:val="subsection"/>
      </w:pPr>
      <w:r w:rsidRPr="00143624">
        <w:tab/>
        <w:t>(2)</w:t>
      </w:r>
      <w:r w:rsidRPr="00143624">
        <w:tab/>
        <w:t>However, if the Commissioner starts the valuation but the application for the valuation is withdrawn or treated as having no effect under subsection 30</w:t>
      </w:r>
      <w:r w:rsidR="00143624">
        <w:noBreakHyphen/>
      </w:r>
      <w:r w:rsidRPr="00143624">
        <w:t>212.06(2), the amount of the charge for making the valuation is an amount equal to the costs to the Commissioner in obtaining the incomplete valuation.</w:t>
      </w:r>
    </w:p>
    <w:p w:rsidR="005B63A2" w:rsidRPr="00143624" w:rsidRDefault="005B63A2" w:rsidP="005B63A2">
      <w:pPr>
        <w:pStyle w:val="ActHead5"/>
      </w:pPr>
      <w:bookmarkStart w:id="13" w:name="_Toc64030271"/>
      <w:r w:rsidRPr="003F3E0B">
        <w:rPr>
          <w:rStyle w:val="CharSectno"/>
        </w:rPr>
        <w:t>30</w:t>
      </w:r>
      <w:r w:rsidR="00143624" w:rsidRPr="003F3E0B">
        <w:rPr>
          <w:rStyle w:val="CharSectno"/>
        </w:rPr>
        <w:noBreakHyphen/>
      </w:r>
      <w:r w:rsidRPr="003F3E0B">
        <w:rPr>
          <w:rStyle w:val="CharSectno"/>
        </w:rPr>
        <w:t>212.04</w:t>
      </w:r>
      <w:r w:rsidRPr="00143624">
        <w:t xml:space="preserve">  Advance payment of charge</w:t>
      </w:r>
      <w:bookmarkEnd w:id="13"/>
    </w:p>
    <w:p w:rsidR="005B63A2" w:rsidRPr="00143624" w:rsidRDefault="005B63A2" w:rsidP="005B63A2">
      <w:pPr>
        <w:pStyle w:val="subsection"/>
      </w:pPr>
      <w:r w:rsidRPr="00143624">
        <w:tab/>
        <w:t>(1)</w:t>
      </w:r>
      <w:r w:rsidRPr="00143624">
        <w:tab/>
        <w:t>The Commissioner may give the applicant a written statement:</w:t>
      </w:r>
    </w:p>
    <w:p w:rsidR="005B63A2" w:rsidRPr="00143624" w:rsidRDefault="005B63A2" w:rsidP="005B63A2">
      <w:pPr>
        <w:pStyle w:val="paragraph"/>
      </w:pPr>
      <w:r w:rsidRPr="00143624">
        <w:tab/>
        <w:t>(a)</w:t>
      </w:r>
      <w:r w:rsidRPr="00143624">
        <w:tab/>
        <w:t>requiring the applicant to give the Commissioner an advance payment of the charge that may be payable for making the valuation; and</w:t>
      </w:r>
    </w:p>
    <w:p w:rsidR="005B63A2" w:rsidRPr="00143624" w:rsidRDefault="005B63A2" w:rsidP="005B63A2">
      <w:pPr>
        <w:pStyle w:val="paragraph"/>
      </w:pPr>
      <w:r w:rsidRPr="00143624">
        <w:tab/>
        <w:t>(b)</w:t>
      </w:r>
      <w:r w:rsidRPr="00143624">
        <w:tab/>
        <w:t>stating the amount of the payment; and</w:t>
      </w:r>
    </w:p>
    <w:p w:rsidR="005B63A2" w:rsidRPr="00143624" w:rsidRDefault="005B63A2" w:rsidP="005B63A2">
      <w:pPr>
        <w:pStyle w:val="paragraph"/>
      </w:pPr>
      <w:r w:rsidRPr="00143624">
        <w:tab/>
        <w:t>(c)</w:t>
      </w:r>
      <w:r w:rsidRPr="00143624">
        <w:tab/>
        <w:t>explaining how the amount was worked out.</w:t>
      </w:r>
    </w:p>
    <w:p w:rsidR="005B63A2" w:rsidRPr="00143624" w:rsidRDefault="005B63A2" w:rsidP="005B63A2">
      <w:pPr>
        <w:pStyle w:val="subsection"/>
      </w:pPr>
      <w:r w:rsidRPr="00143624">
        <w:tab/>
        <w:t>(2)</w:t>
      </w:r>
      <w:r w:rsidRPr="00143624">
        <w:tab/>
        <w:t xml:space="preserve">The Commissioner may ask for more than one advance payment from the applicant under </w:t>
      </w:r>
      <w:r w:rsidR="002B1A95" w:rsidRPr="00143624">
        <w:t>subsection (</w:t>
      </w:r>
      <w:r w:rsidRPr="00143624">
        <w:t>1).</w:t>
      </w:r>
    </w:p>
    <w:p w:rsidR="005B63A2" w:rsidRPr="00143624" w:rsidRDefault="005B63A2" w:rsidP="005B63A2">
      <w:pPr>
        <w:pStyle w:val="subsection"/>
      </w:pPr>
      <w:r w:rsidRPr="00143624">
        <w:tab/>
        <w:t>(3)</w:t>
      </w:r>
      <w:r w:rsidRPr="00143624">
        <w:tab/>
        <w:t>The applicant must give the Commissioner the advance payment within 14 days after receiving the statement asking for the payment or within such longer period as the Commissioner allows.</w:t>
      </w:r>
    </w:p>
    <w:p w:rsidR="005B63A2" w:rsidRPr="00143624" w:rsidRDefault="005B63A2" w:rsidP="005B63A2">
      <w:pPr>
        <w:pStyle w:val="ActHead5"/>
      </w:pPr>
      <w:bookmarkStart w:id="14" w:name="_Toc64030272"/>
      <w:r w:rsidRPr="003F3E0B">
        <w:rPr>
          <w:rStyle w:val="CharSectno"/>
        </w:rPr>
        <w:lastRenderedPageBreak/>
        <w:t>30</w:t>
      </w:r>
      <w:r w:rsidR="00143624" w:rsidRPr="003F3E0B">
        <w:rPr>
          <w:rStyle w:val="CharSectno"/>
        </w:rPr>
        <w:noBreakHyphen/>
      </w:r>
      <w:r w:rsidRPr="003F3E0B">
        <w:rPr>
          <w:rStyle w:val="CharSectno"/>
        </w:rPr>
        <w:t>212.05</w:t>
      </w:r>
      <w:r w:rsidRPr="00143624">
        <w:t xml:space="preserve">  Commissioner not required to consider application until advance payment is paid</w:t>
      </w:r>
      <w:bookmarkEnd w:id="14"/>
    </w:p>
    <w:p w:rsidR="005B63A2" w:rsidRPr="00143624" w:rsidRDefault="005B63A2" w:rsidP="005B63A2">
      <w:pPr>
        <w:pStyle w:val="subsection"/>
      </w:pPr>
      <w:r w:rsidRPr="00143624">
        <w:tab/>
      </w:r>
      <w:r w:rsidRPr="00143624">
        <w:tab/>
        <w:t>If the Commissioner has required an advance payment of the charge under section 30</w:t>
      </w:r>
      <w:r w:rsidR="00143624">
        <w:noBreakHyphen/>
      </w:r>
      <w:r w:rsidRPr="00143624">
        <w:t>212.04, the Commissioner is not required to consider the application until the payment is paid.</w:t>
      </w:r>
    </w:p>
    <w:p w:rsidR="005B63A2" w:rsidRPr="00143624" w:rsidRDefault="005B63A2" w:rsidP="005B63A2">
      <w:pPr>
        <w:pStyle w:val="ActHead5"/>
      </w:pPr>
      <w:bookmarkStart w:id="15" w:name="_Toc64030273"/>
      <w:r w:rsidRPr="003F3E0B">
        <w:rPr>
          <w:rStyle w:val="CharSectno"/>
        </w:rPr>
        <w:t>30</w:t>
      </w:r>
      <w:r w:rsidR="00143624" w:rsidRPr="003F3E0B">
        <w:rPr>
          <w:rStyle w:val="CharSectno"/>
        </w:rPr>
        <w:noBreakHyphen/>
      </w:r>
      <w:r w:rsidRPr="003F3E0B">
        <w:rPr>
          <w:rStyle w:val="CharSectno"/>
        </w:rPr>
        <w:t>212.06</w:t>
      </w:r>
      <w:r w:rsidRPr="00143624">
        <w:t xml:space="preserve">  Applications treated as having no effect</w:t>
      </w:r>
      <w:bookmarkEnd w:id="15"/>
    </w:p>
    <w:p w:rsidR="005B63A2" w:rsidRPr="00143624" w:rsidRDefault="005B63A2" w:rsidP="005B63A2">
      <w:pPr>
        <w:pStyle w:val="subsection"/>
      </w:pPr>
      <w:r w:rsidRPr="00143624">
        <w:tab/>
        <w:t>(1)</w:t>
      </w:r>
      <w:r w:rsidRPr="00143624">
        <w:tab/>
        <w:t>If the application does not comply with section 30</w:t>
      </w:r>
      <w:r w:rsidR="00143624">
        <w:noBreakHyphen/>
      </w:r>
      <w:r w:rsidRPr="00143624">
        <w:t>212.02, the Commissioner must:</w:t>
      </w:r>
    </w:p>
    <w:p w:rsidR="005B63A2" w:rsidRPr="00143624" w:rsidRDefault="005B63A2" w:rsidP="005B63A2">
      <w:pPr>
        <w:pStyle w:val="paragraph"/>
      </w:pPr>
      <w:r w:rsidRPr="00143624">
        <w:tab/>
        <w:t>(a)</w:t>
      </w:r>
      <w:r w:rsidRPr="00143624">
        <w:tab/>
        <w:t>treat the application as having no effect; and</w:t>
      </w:r>
    </w:p>
    <w:p w:rsidR="005B63A2" w:rsidRPr="00143624" w:rsidRDefault="005B63A2" w:rsidP="005B63A2">
      <w:pPr>
        <w:pStyle w:val="paragraph"/>
      </w:pPr>
      <w:r w:rsidRPr="00143624">
        <w:tab/>
        <w:t>(b)</w:t>
      </w:r>
      <w:r w:rsidRPr="00143624">
        <w:tab/>
        <w:t>give the applicant a written statement that the application is being treated that way.</w:t>
      </w:r>
    </w:p>
    <w:p w:rsidR="005B63A2" w:rsidRPr="00143624" w:rsidRDefault="005B63A2" w:rsidP="005B63A2">
      <w:pPr>
        <w:pStyle w:val="subsection"/>
      </w:pPr>
      <w:r w:rsidRPr="00143624">
        <w:tab/>
        <w:t>(2)</w:t>
      </w:r>
      <w:r w:rsidRPr="00143624">
        <w:tab/>
        <w:t>If the Commissioner has required an advance payment of the charge under section 30</w:t>
      </w:r>
      <w:r w:rsidR="00143624">
        <w:noBreakHyphen/>
      </w:r>
      <w:r w:rsidRPr="00143624">
        <w:t>212.04, and the payment is not paid within the time mentioned in subsection 30</w:t>
      </w:r>
      <w:r w:rsidR="00143624">
        <w:noBreakHyphen/>
      </w:r>
      <w:r w:rsidRPr="00143624">
        <w:t>212.04(3):</w:t>
      </w:r>
    </w:p>
    <w:p w:rsidR="005B63A2" w:rsidRPr="00143624" w:rsidRDefault="005B63A2" w:rsidP="005B63A2">
      <w:pPr>
        <w:pStyle w:val="paragraph"/>
      </w:pPr>
      <w:r w:rsidRPr="00143624">
        <w:tab/>
        <w:t>(a)</w:t>
      </w:r>
      <w:r w:rsidRPr="00143624">
        <w:tab/>
        <w:t>the Commissioner must treat the application as having no effect after that time; and</w:t>
      </w:r>
    </w:p>
    <w:p w:rsidR="005B63A2" w:rsidRPr="00143624" w:rsidRDefault="005B63A2" w:rsidP="005B63A2">
      <w:pPr>
        <w:pStyle w:val="paragraph"/>
      </w:pPr>
      <w:r w:rsidRPr="00143624">
        <w:tab/>
        <w:t>(b)</w:t>
      </w:r>
      <w:r w:rsidRPr="00143624">
        <w:tab/>
        <w:t>the Commissioner must give the applicant a written statement that the application is being treated that way.</w:t>
      </w:r>
    </w:p>
    <w:p w:rsidR="005B63A2" w:rsidRPr="00143624" w:rsidRDefault="005B63A2" w:rsidP="005B63A2">
      <w:pPr>
        <w:pStyle w:val="notetext"/>
      </w:pPr>
      <w:r w:rsidRPr="00143624">
        <w:t>Note:</w:t>
      </w:r>
      <w:r w:rsidRPr="00143624">
        <w:tab/>
        <w:t xml:space="preserve">For an application that is treated as having no effect under </w:t>
      </w:r>
      <w:r w:rsidR="002B1A95" w:rsidRPr="00143624">
        <w:t>subsection (</w:t>
      </w:r>
      <w:r w:rsidRPr="00143624">
        <w:t>2), see subsection 30</w:t>
      </w:r>
      <w:r w:rsidR="00143624">
        <w:noBreakHyphen/>
      </w:r>
      <w:r w:rsidRPr="00143624">
        <w:t>212.03(2).</w:t>
      </w:r>
    </w:p>
    <w:p w:rsidR="005B63A2" w:rsidRPr="00143624" w:rsidRDefault="005B63A2" w:rsidP="005B63A2">
      <w:pPr>
        <w:pStyle w:val="ActHead5"/>
      </w:pPr>
      <w:bookmarkStart w:id="16" w:name="_Toc64030274"/>
      <w:r w:rsidRPr="003F3E0B">
        <w:rPr>
          <w:rStyle w:val="CharSectno"/>
        </w:rPr>
        <w:t>30</w:t>
      </w:r>
      <w:r w:rsidR="00143624" w:rsidRPr="003F3E0B">
        <w:rPr>
          <w:rStyle w:val="CharSectno"/>
        </w:rPr>
        <w:noBreakHyphen/>
      </w:r>
      <w:r w:rsidRPr="003F3E0B">
        <w:rPr>
          <w:rStyle w:val="CharSectno"/>
        </w:rPr>
        <w:t>212.07</w:t>
      </w:r>
      <w:r w:rsidRPr="00143624">
        <w:t xml:space="preserve">  Crediting and repaying valuation charges</w:t>
      </w:r>
      <w:bookmarkEnd w:id="16"/>
    </w:p>
    <w:p w:rsidR="005B63A2" w:rsidRPr="00143624" w:rsidRDefault="005B63A2" w:rsidP="005B63A2">
      <w:pPr>
        <w:pStyle w:val="subsection"/>
      </w:pPr>
      <w:r w:rsidRPr="00143624">
        <w:tab/>
        <w:t>(1)</w:t>
      </w:r>
      <w:r w:rsidRPr="00143624">
        <w:tab/>
        <w:t>The deposit paid under section 30</w:t>
      </w:r>
      <w:r w:rsidR="00143624">
        <w:noBreakHyphen/>
      </w:r>
      <w:r w:rsidRPr="00143624">
        <w:t>212.02 is to be credited against the charge for making the valuation.</w:t>
      </w:r>
    </w:p>
    <w:p w:rsidR="005B63A2" w:rsidRPr="00143624" w:rsidRDefault="005B63A2" w:rsidP="005B63A2">
      <w:pPr>
        <w:pStyle w:val="subsection"/>
      </w:pPr>
      <w:r w:rsidRPr="00143624">
        <w:tab/>
        <w:t>(2)</w:t>
      </w:r>
      <w:r w:rsidRPr="00143624">
        <w:tab/>
        <w:t>An advance payment of the charge paid under section 30</w:t>
      </w:r>
      <w:r w:rsidR="00143624">
        <w:noBreakHyphen/>
      </w:r>
      <w:r w:rsidRPr="00143624">
        <w:t>212.04 is to be credited against the charge for making the valuation.</w:t>
      </w:r>
    </w:p>
    <w:p w:rsidR="005B63A2" w:rsidRPr="00143624" w:rsidRDefault="005B63A2" w:rsidP="005B63A2">
      <w:pPr>
        <w:pStyle w:val="subsection"/>
      </w:pPr>
      <w:r w:rsidRPr="00143624">
        <w:rPr>
          <w:i/>
        </w:rPr>
        <w:tab/>
      </w:r>
      <w:r w:rsidRPr="00143624">
        <w:t>(3)</w:t>
      </w:r>
      <w:r w:rsidRPr="00143624">
        <w:tab/>
        <w:t>The charge payable for making the valuation is a debt due to the Commonwealth and recoverable in a court of competent jurisdiction.</w:t>
      </w:r>
    </w:p>
    <w:p w:rsidR="005B63A2" w:rsidRPr="00143624" w:rsidRDefault="005B63A2" w:rsidP="005B63A2">
      <w:pPr>
        <w:pStyle w:val="subsection"/>
      </w:pPr>
      <w:r w:rsidRPr="00143624">
        <w:tab/>
        <w:t>(4)</w:t>
      </w:r>
      <w:r w:rsidRPr="00143624">
        <w:tab/>
        <w:t xml:space="preserve">However, if the total of the amounts paid under </w:t>
      </w:r>
      <w:r w:rsidR="002B1A95" w:rsidRPr="00143624">
        <w:t>subsections (</w:t>
      </w:r>
      <w:r w:rsidRPr="00143624">
        <w:t>1) and (2) is more than the charge payable for making the valuation, the Commissioner must pay the difference to the applicant as soon as practicable.</w:t>
      </w:r>
    </w:p>
    <w:p w:rsidR="005B63A2" w:rsidRPr="00143624" w:rsidRDefault="005B63A2" w:rsidP="005B63A2">
      <w:pPr>
        <w:pStyle w:val="ActHead5"/>
      </w:pPr>
      <w:bookmarkStart w:id="17" w:name="_Toc64030275"/>
      <w:r w:rsidRPr="003F3E0B">
        <w:rPr>
          <w:rStyle w:val="CharSectno"/>
        </w:rPr>
        <w:t>30</w:t>
      </w:r>
      <w:r w:rsidR="00143624" w:rsidRPr="003F3E0B">
        <w:rPr>
          <w:rStyle w:val="CharSectno"/>
        </w:rPr>
        <w:noBreakHyphen/>
      </w:r>
      <w:r w:rsidRPr="003F3E0B">
        <w:rPr>
          <w:rStyle w:val="CharSectno"/>
        </w:rPr>
        <w:t>212.08</w:t>
      </w:r>
      <w:r w:rsidRPr="00143624">
        <w:t xml:space="preserve">  Valuation certificates</w:t>
      </w:r>
      <w:bookmarkEnd w:id="17"/>
    </w:p>
    <w:p w:rsidR="005B63A2" w:rsidRPr="00143624" w:rsidRDefault="005B63A2" w:rsidP="005B63A2">
      <w:pPr>
        <w:pStyle w:val="subsection"/>
      </w:pPr>
      <w:r w:rsidRPr="00143624">
        <w:tab/>
        <w:t>(1)</w:t>
      </w:r>
      <w:r w:rsidRPr="00143624">
        <w:tab/>
        <w:t>If the Commissioner completes the valuation, the Commissioner must give a valuation certificate to the applicant for the valuation.</w:t>
      </w:r>
    </w:p>
    <w:p w:rsidR="005B63A2" w:rsidRPr="00143624" w:rsidRDefault="005B63A2" w:rsidP="005B63A2">
      <w:pPr>
        <w:pStyle w:val="subsection"/>
      </w:pPr>
      <w:r w:rsidRPr="00143624">
        <w:tab/>
        <w:t>(2)</w:t>
      </w:r>
      <w:r w:rsidRPr="00143624">
        <w:tab/>
        <w:t xml:space="preserve">The Commissioner must approve, in writing, one or more forms of a valuation certificate for the purposes of </w:t>
      </w:r>
      <w:r w:rsidR="002B1A95" w:rsidRPr="00143624">
        <w:t>subsection (</w:t>
      </w:r>
      <w:r w:rsidRPr="00143624">
        <w:t>1).</w:t>
      </w:r>
    </w:p>
    <w:p w:rsidR="005B63A2" w:rsidRPr="00143624" w:rsidRDefault="005B63A2" w:rsidP="005B63A2">
      <w:pPr>
        <w:pStyle w:val="subsection"/>
      </w:pPr>
      <w:r w:rsidRPr="00143624">
        <w:tab/>
        <w:t>(3)</w:t>
      </w:r>
      <w:r w:rsidRPr="00143624">
        <w:tab/>
        <w:t>The certificate must include the following information:</w:t>
      </w:r>
    </w:p>
    <w:p w:rsidR="005B63A2" w:rsidRPr="00143624" w:rsidRDefault="005B63A2" w:rsidP="005B63A2">
      <w:pPr>
        <w:pStyle w:val="paragraph"/>
      </w:pPr>
      <w:r w:rsidRPr="00143624">
        <w:tab/>
        <w:t>(a)</w:t>
      </w:r>
      <w:r w:rsidRPr="00143624">
        <w:tab/>
        <w:t>the date on which the valuation was completed;</w:t>
      </w:r>
    </w:p>
    <w:p w:rsidR="005B63A2" w:rsidRPr="00143624" w:rsidRDefault="005B63A2" w:rsidP="005B63A2">
      <w:pPr>
        <w:pStyle w:val="paragraph"/>
      </w:pPr>
      <w:r w:rsidRPr="00143624">
        <w:tab/>
        <w:t>(b)</w:t>
      </w:r>
      <w:r w:rsidRPr="00143624">
        <w:tab/>
        <w:t>a description of any real property (including a lot and plan number, title reference and the location of the property);</w:t>
      </w:r>
    </w:p>
    <w:p w:rsidR="005B63A2" w:rsidRPr="00143624" w:rsidRDefault="005B63A2" w:rsidP="005B63A2">
      <w:pPr>
        <w:pStyle w:val="paragraph"/>
      </w:pPr>
      <w:r w:rsidRPr="00143624">
        <w:lastRenderedPageBreak/>
        <w:tab/>
        <w:t>(c)</w:t>
      </w:r>
      <w:r w:rsidRPr="00143624">
        <w:tab/>
        <w:t>a full description of property other than real property;</w:t>
      </w:r>
    </w:p>
    <w:p w:rsidR="005B63A2" w:rsidRPr="00143624" w:rsidRDefault="005B63A2" w:rsidP="005B63A2">
      <w:pPr>
        <w:pStyle w:val="paragraph"/>
      </w:pPr>
      <w:r w:rsidRPr="00143624">
        <w:tab/>
        <w:t>(d)</w:t>
      </w:r>
      <w:r w:rsidRPr="00143624">
        <w:tab/>
        <w:t>the period for which the valuation is in force;</w:t>
      </w:r>
    </w:p>
    <w:p w:rsidR="005B63A2" w:rsidRPr="00143624" w:rsidRDefault="005B63A2" w:rsidP="005B63A2">
      <w:pPr>
        <w:pStyle w:val="paragraph"/>
      </w:pPr>
      <w:r w:rsidRPr="00143624">
        <w:tab/>
        <w:t>(e)</w:t>
      </w:r>
      <w:r w:rsidRPr="00143624">
        <w:tab/>
        <w:t>a statement of the valuation.</w:t>
      </w:r>
    </w:p>
    <w:p w:rsidR="005B63A2" w:rsidRPr="00143624" w:rsidRDefault="005B63A2" w:rsidP="005B63A2">
      <w:pPr>
        <w:pStyle w:val="subsection"/>
      </w:pPr>
      <w:r w:rsidRPr="00143624">
        <w:tab/>
        <w:t>(4)</w:t>
      </w:r>
      <w:r w:rsidRPr="00143624">
        <w:tab/>
        <w:t>The certificate may include other information.</w:t>
      </w:r>
    </w:p>
    <w:p w:rsidR="005B63A2" w:rsidRPr="00143624" w:rsidRDefault="005B63A2" w:rsidP="005B63A2">
      <w:pPr>
        <w:pStyle w:val="subsection"/>
      </w:pPr>
      <w:r w:rsidRPr="00143624">
        <w:tab/>
        <w:t>(5)</w:t>
      </w:r>
      <w:r w:rsidRPr="00143624">
        <w:tab/>
        <w:t>The Commissioner must not give a valuation certificate to the applicant until:</w:t>
      </w:r>
    </w:p>
    <w:p w:rsidR="005B63A2" w:rsidRPr="00143624" w:rsidRDefault="005B63A2" w:rsidP="005B63A2">
      <w:pPr>
        <w:pStyle w:val="paragraph"/>
      </w:pPr>
      <w:r w:rsidRPr="00143624">
        <w:tab/>
        <w:t>(a)</w:t>
      </w:r>
      <w:r w:rsidRPr="00143624">
        <w:tab/>
        <w:t>the valuation has been completed; and</w:t>
      </w:r>
    </w:p>
    <w:p w:rsidR="005B63A2" w:rsidRPr="00143624" w:rsidRDefault="005B63A2" w:rsidP="005B63A2">
      <w:pPr>
        <w:pStyle w:val="paragraph"/>
      </w:pPr>
      <w:r w:rsidRPr="00143624">
        <w:tab/>
        <w:t>(b)</w:t>
      </w:r>
      <w:r w:rsidRPr="00143624">
        <w:tab/>
        <w:t>the Commissioner has received the full amount of the charge payable for making the valuation.</w:t>
      </w:r>
    </w:p>
    <w:p w:rsidR="005B63A2" w:rsidRPr="00143624" w:rsidRDefault="005B63A2" w:rsidP="005B63A2">
      <w:pPr>
        <w:pStyle w:val="ActHead3"/>
        <w:pageBreakBefore/>
      </w:pPr>
      <w:bookmarkStart w:id="18" w:name="_Toc64030276"/>
      <w:r w:rsidRPr="003F3E0B">
        <w:rPr>
          <w:rStyle w:val="CharDivNo"/>
        </w:rPr>
        <w:lastRenderedPageBreak/>
        <w:t>Division</w:t>
      </w:r>
      <w:r w:rsidR="002B1A95" w:rsidRPr="003F3E0B">
        <w:rPr>
          <w:rStyle w:val="CharDivNo"/>
        </w:rPr>
        <w:t> </w:t>
      </w:r>
      <w:r w:rsidRPr="003F3E0B">
        <w:rPr>
          <w:rStyle w:val="CharDivNo"/>
        </w:rPr>
        <w:t>31</w:t>
      </w:r>
      <w:r w:rsidRPr="00143624">
        <w:t>—</w:t>
      </w:r>
      <w:r w:rsidRPr="003F3E0B">
        <w:rPr>
          <w:rStyle w:val="CharDivText"/>
        </w:rPr>
        <w:t>Conservation covenants</w:t>
      </w:r>
      <w:bookmarkEnd w:id="18"/>
    </w:p>
    <w:p w:rsidR="005B63A2" w:rsidRPr="00143624" w:rsidRDefault="005B63A2" w:rsidP="005B63A2">
      <w:pPr>
        <w:pStyle w:val="ActHead5"/>
      </w:pPr>
      <w:bookmarkStart w:id="19" w:name="_Toc64030277"/>
      <w:r w:rsidRPr="003F3E0B">
        <w:rPr>
          <w:rStyle w:val="CharSectno"/>
        </w:rPr>
        <w:t>31</w:t>
      </w:r>
      <w:r w:rsidR="00143624" w:rsidRPr="003F3E0B">
        <w:rPr>
          <w:rStyle w:val="CharSectno"/>
        </w:rPr>
        <w:noBreakHyphen/>
      </w:r>
      <w:r w:rsidRPr="003F3E0B">
        <w:rPr>
          <w:rStyle w:val="CharSectno"/>
        </w:rPr>
        <w:t>15.01</w:t>
      </w:r>
      <w:r w:rsidRPr="00143624">
        <w:t xml:space="preserve">  Valuation of land</w:t>
      </w:r>
      <w:bookmarkEnd w:id="19"/>
    </w:p>
    <w:p w:rsidR="005B63A2" w:rsidRPr="00143624" w:rsidRDefault="005B63A2" w:rsidP="005B63A2">
      <w:pPr>
        <w:pStyle w:val="subsection"/>
      </w:pPr>
      <w:r w:rsidRPr="00143624">
        <w:tab/>
      </w:r>
      <w:r w:rsidRPr="00143624">
        <w:tab/>
        <w:t>For the purposes of section</w:t>
      </w:r>
      <w:r w:rsidR="002B1A95" w:rsidRPr="00143624">
        <w:t> </w:t>
      </w:r>
      <w:r w:rsidRPr="00143624">
        <w:t>31</w:t>
      </w:r>
      <w:r w:rsidR="00143624">
        <w:noBreakHyphen/>
      </w:r>
      <w:r w:rsidRPr="00143624">
        <w:t>15 of the Act, this Division sets out:</w:t>
      </w:r>
    </w:p>
    <w:p w:rsidR="005B63A2" w:rsidRPr="00143624" w:rsidRDefault="005B63A2" w:rsidP="005B63A2">
      <w:pPr>
        <w:pStyle w:val="paragraph"/>
      </w:pPr>
      <w:r w:rsidRPr="00143624">
        <w:tab/>
        <w:t>(a)</w:t>
      </w:r>
      <w:r w:rsidRPr="00143624">
        <w:tab/>
        <w:t>the procedure for seeking a valuation from the Commissioner of the change in the market value of the land mentioned in that section; and</w:t>
      </w:r>
    </w:p>
    <w:p w:rsidR="005B63A2" w:rsidRPr="00143624" w:rsidRDefault="005B63A2" w:rsidP="005B63A2">
      <w:pPr>
        <w:pStyle w:val="paragraph"/>
      </w:pPr>
      <w:r w:rsidRPr="00143624">
        <w:tab/>
        <w:t>(b)</w:t>
      </w:r>
      <w:r w:rsidRPr="00143624">
        <w:tab/>
        <w:t>the amounts that the Commissioner may charge for making the valuation; and</w:t>
      </w:r>
    </w:p>
    <w:p w:rsidR="005B63A2" w:rsidRPr="00143624" w:rsidRDefault="005B63A2" w:rsidP="005B63A2">
      <w:pPr>
        <w:pStyle w:val="paragraph"/>
      </w:pPr>
      <w:r w:rsidRPr="00143624">
        <w:tab/>
        <w:t>(c)</w:t>
      </w:r>
      <w:r w:rsidRPr="00143624">
        <w:tab/>
        <w:t>arrangements for payment of those amounts.</w:t>
      </w:r>
    </w:p>
    <w:p w:rsidR="005B63A2" w:rsidRPr="00143624" w:rsidRDefault="005B63A2" w:rsidP="005B63A2">
      <w:pPr>
        <w:pStyle w:val="notetext"/>
      </w:pPr>
      <w:r w:rsidRPr="00143624">
        <w:t>Note:</w:t>
      </w:r>
      <w:r w:rsidRPr="00143624">
        <w:tab/>
        <w:t>Section</w:t>
      </w:r>
      <w:r w:rsidR="002B1A95" w:rsidRPr="00143624">
        <w:t> </w:t>
      </w:r>
      <w:r w:rsidRPr="00143624">
        <w:t>31</w:t>
      </w:r>
      <w:r w:rsidR="00143624">
        <w:noBreakHyphen/>
      </w:r>
      <w:r w:rsidRPr="00143624">
        <w:t>15 of the Act applies to a person who enters into a conservation covenant over land owned by the person, if the conditions mentioned in subsection</w:t>
      </w:r>
      <w:r w:rsidR="002B1A95" w:rsidRPr="00143624">
        <w:t> </w:t>
      </w:r>
      <w:r w:rsidRPr="00143624">
        <w:t>31</w:t>
      </w:r>
      <w:r w:rsidR="00143624">
        <w:noBreakHyphen/>
      </w:r>
      <w:r w:rsidRPr="00143624">
        <w:t>5(2) of the Act are met.</w:t>
      </w:r>
    </w:p>
    <w:p w:rsidR="005B63A2" w:rsidRPr="00143624" w:rsidRDefault="005B63A2" w:rsidP="005B63A2">
      <w:pPr>
        <w:pStyle w:val="ActHead5"/>
      </w:pPr>
      <w:bookmarkStart w:id="20" w:name="_Toc64030278"/>
      <w:r w:rsidRPr="003F3E0B">
        <w:rPr>
          <w:rStyle w:val="CharSectno"/>
        </w:rPr>
        <w:t>31</w:t>
      </w:r>
      <w:r w:rsidR="00143624" w:rsidRPr="003F3E0B">
        <w:rPr>
          <w:rStyle w:val="CharSectno"/>
        </w:rPr>
        <w:noBreakHyphen/>
      </w:r>
      <w:r w:rsidRPr="003F3E0B">
        <w:rPr>
          <w:rStyle w:val="CharSectno"/>
        </w:rPr>
        <w:t>15.02</w:t>
      </w:r>
      <w:r w:rsidRPr="00143624">
        <w:t xml:space="preserve">  Application for valuation</w:t>
      </w:r>
      <w:bookmarkEnd w:id="20"/>
    </w:p>
    <w:p w:rsidR="005B63A2" w:rsidRPr="00143624" w:rsidRDefault="005B63A2" w:rsidP="005B63A2">
      <w:pPr>
        <w:pStyle w:val="subsection"/>
      </w:pPr>
      <w:r w:rsidRPr="00143624">
        <w:tab/>
      </w:r>
      <w:r w:rsidRPr="00143624">
        <w:tab/>
        <w:t>An application for a valuation must:</w:t>
      </w:r>
    </w:p>
    <w:p w:rsidR="005B63A2" w:rsidRPr="00143624" w:rsidRDefault="005B63A2" w:rsidP="005B63A2">
      <w:pPr>
        <w:pStyle w:val="paragraph"/>
      </w:pPr>
      <w:r w:rsidRPr="00143624">
        <w:tab/>
        <w:t>(a)</w:t>
      </w:r>
      <w:r w:rsidRPr="00143624">
        <w:tab/>
        <w:t>be in the approved form; and</w:t>
      </w:r>
    </w:p>
    <w:p w:rsidR="005B63A2" w:rsidRPr="00143624" w:rsidRDefault="005B63A2" w:rsidP="005B63A2">
      <w:pPr>
        <w:pStyle w:val="paragraph"/>
      </w:pPr>
      <w:r w:rsidRPr="00143624">
        <w:tab/>
        <w:t>(b)</w:t>
      </w:r>
      <w:r w:rsidRPr="00143624">
        <w:tab/>
        <w:t>be lodged with the Commissioner; and</w:t>
      </w:r>
    </w:p>
    <w:p w:rsidR="005B63A2" w:rsidRPr="00143624" w:rsidRDefault="005B63A2" w:rsidP="005B63A2">
      <w:pPr>
        <w:pStyle w:val="paragraph"/>
      </w:pPr>
      <w:r w:rsidRPr="00143624">
        <w:tab/>
        <w:t>(c)</w:t>
      </w:r>
      <w:r w:rsidRPr="00143624">
        <w:tab/>
        <w:t>include a copy of the conservation covenant; and</w:t>
      </w:r>
    </w:p>
    <w:p w:rsidR="005B63A2" w:rsidRPr="00143624" w:rsidRDefault="005B63A2" w:rsidP="005B63A2">
      <w:pPr>
        <w:pStyle w:val="paragraph"/>
      </w:pPr>
      <w:r w:rsidRPr="00143624">
        <w:tab/>
        <w:t>(d)</w:t>
      </w:r>
      <w:r w:rsidRPr="00143624">
        <w:tab/>
        <w:t>include the deposit towards the charge for making the valuation required by the approved form, which must not be more than $1,000.</w:t>
      </w:r>
    </w:p>
    <w:p w:rsidR="005B63A2" w:rsidRPr="00143624" w:rsidRDefault="005B63A2" w:rsidP="005B63A2">
      <w:pPr>
        <w:pStyle w:val="notetext"/>
      </w:pPr>
      <w:r w:rsidRPr="00143624">
        <w:t>Note:</w:t>
      </w:r>
      <w:r w:rsidRPr="00143624">
        <w:tab/>
        <w:t xml:space="preserve">For </w:t>
      </w:r>
      <w:r w:rsidRPr="00143624">
        <w:rPr>
          <w:b/>
          <w:i/>
        </w:rPr>
        <w:t>approved form</w:t>
      </w:r>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ActHead5"/>
      </w:pPr>
      <w:bookmarkStart w:id="21" w:name="_Toc64030279"/>
      <w:r w:rsidRPr="003F3E0B">
        <w:rPr>
          <w:rStyle w:val="CharSectno"/>
        </w:rPr>
        <w:t>31</w:t>
      </w:r>
      <w:r w:rsidR="00143624" w:rsidRPr="003F3E0B">
        <w:rPr>
          <w:rStyle w:val="CharSectno"/>
        </w:rPr>
        <w:noBreakHyphen/>
      </w:r>
      <w:r w:rsidRPr="003F3E0B">
        <w:rPr>
          <w:rStyle w:val="CharSectno"/>
        </w:rPr>
        <w:t>15.03</w:t>
      </w:r>
      <w:r w:rsidRPr="00143624">
        <w:t xml:space="preserve">  Charge for making valuation</w:t>
      </w:r>
      <w:bookmarkEnd w:id="21"/>
    </w:p>
    <w:p w:rsidR="005B63A2" w:rsidRPr="00143624" w:rsidRDefault="005B63A2" w:rsidP="005B63A2">
      <w:pPr>
        <w:pStyle w:val="subsection"/>
      </w:pPr>
      <w:r w:rsidRPr="00143624">
        <w:tab/>
        <w:t>(1)</w:t>
      </w:r>
      <w:r w:rsidRPr="00143624">
        <w:tab/>
        <w:t>The amount of the charge for making the valuation is an amount equal to the sum of the actual cost of the valuation and all other costs to the Commissioner in obtaining the valuation.</w:t>
      </w:r>
    </w:p>
    <w:p w:rsidR="005B63A2" w:rsidRPr="00143624" w:rsidRDefault="005B63A2" w:rsidP="005B63A2">
      <w:pPr>
        <w:pStyle w:val="subsection"/>
      </w:pPr>
      <w:r w:rsidRPr="00143624">
        <w:tab/>
        <w:t>(2)</w:t>
      </w:r>
      <w:r w:rsidRPr="00143624">
        <w:tab/>
        <w:t>However, if the Commissioner starts the valuation but the application for the valuation is withdrawn or treated as having no effect under subsection 31</w:t>
      </w:r>
      <w:r w:rsidR="00143624">
        <w:noBreakHyphen/>
      </w:r>
      <w:r w:rsidRPr="00143624">
        <w:t>15.06(2), the amount of the charge for making the valuation is an amount equal to the costs to the Commissioner in obtaining the incomplete valuation.</w:t>
      </w:r>
    </w:p>
    <w:p w:rsidR="005B63A2" w:rsidRPr="00143624" w:rsidRDefault="005B63A2" w:rsidP="005B63A2">
      <w:pPr>
        <w:pStyle w:val="ActHead5"/>
      </w:pPr>
      <w:bookmarkStart w:id="22" w:name="_Toc64030280"/>
      <w:r w:rsidRPr="003F3E0B">
        <w:rPr>
          <w:rStyle w:val="CharSectno"/>
        </w:rPr>
        <w:t>31</w:t>
      </w:r>
      <w:r w:rsidR="00143624" w:rsidRPr="003F3E0B">
        <w:rPr>
          <w:rStyle w:val="CharSectno"/>
        </w:rPr>
        <w:noBreakHyphen/>
      </w:r>
      <w:r w:rsidRPr="003F3E0B">
        <w:rPr>
          <w:rStyle w:val="CharSectno"/>
        </w:rPr>
        <w:t>15.04</w:t>
      </w:r>
      <w:r w:rsidRPr="00143624">
        <w:t xml:space="preserve">  Advance payment of charge</w:t>
      </w:r>
      <w:bookmarkEnd w:id="22"/>
    </w:p>
    <w:p w:rsidR="005B63A2" w:rsidRPr="00143624" w:rsidRDefault="005B63A2" w:rsidP="005B63A2">
      <w:pPr>
        <w:pStyle w:val="subsection"/>
      </w:pPr>
      <w:r w:rsidRPr="00143624">
        <w:tab/>
        <w:t>(1)</w:t>
      </w:r>
      <w:r w:rsidRPr="00143624">
        <w:tab/>
        <w:t>The Commissioner may give the applicant a written statement:</w:t>
      </w:r>
    </w:p>
    <w:p w:rsidR="005B63A2" w:rsidRPr="00143624" w:rsidRDefault="005B63A2" w:rsidP="005B63A2">
      <w:pPr>
        <w:pStyle w:val="paragraph"/>
      </w:pPr>
      <w:r w:rsidRPr="00143624">
        <w:tab/>
        <w:t>(a)</w:t>
      </w:r>
      <w:r w:rsidRPr="00143624">
        <w:tab/>
        <w:t>requiring the applicant to give the Commissioner an advance payment of the charge that may be payable for making the valuation; and</w:t>
      </w:r>
    </w:p>
    <w:p w:rsidR="005B63A2" w:rsidRPr="00143624" w:rsidRDefault="005B63A2" w:rsidP="005B63A2">
      <w:pPr>
        <w:pStyle w:val="paragraph"/>
      </w:pPr>
      <w:r w:rsidRPr="00143624">
        <w:tab/>
        <w:t>(b)</w:t>
      </w:r>
      <w:r w:rsidRPr="00143624">
        <w:tab/>
        <w:t>stating the amount of the payment; and</w:t>
      </w:r>
    </w:p>
    <w:p w:rsidR="005B63A2" w:rsidRPr="00143624" w:rsidRDefault="005B63A2" w:rsidP="005B63A2">
      <w:pPr>
        <w:pStyle w:val="paragraph"/>
      </w:pPr>
      <w:r w:rsidRPr="00143624">
        <w:tab/>
        <w:t>(c)</w:t>
      </w:r>
      <w:r w:rsidRPr="00143624">
        <w:tab/>
        <w:t>explaining how the amount was worked out.</w:t>
      </w:r>
    </w:p>
    <w:p w:rsidR="005B63A2" w:rsidRPr="00143624" w:rsidRDefault="005B63A2" w:rsidP="005B63A2">
      <w:pPr>
        <w:pStyle w:val="subsection"/>
      </w:pPr>
      <w:r w:rsidRPr="00143624">
        <w:tab/>
        <w:t>(2)</w:t>
      </w:r>
      <w:r w:rsidRPr="00143624">
        <w:tab/>
        <w:t xml:space="preserve">The Commissioner may ask for more than one advance payment from the applicant under </w:t>
      </w:r>
      <w:r w:rsidR="002B1A95" w:rsidRPr="00143624">
        <w:t>subsection (</w:t>
      </w:r>
      <w:r w:rsidRPr="00143624">
        <w:t>1).</w:t>
      </w:r>
    </w:p>
    <w:p w:rsidR="005B63A2" w:rsidRPr="00143624" w:rsidRDefault="005B63A2" w:rsidP="005B63A2">
      <w:pPr>
        <w:pStyle w:val="subsection"/>
      </w:pPr>
      <w:r w:rsidRPr="00143624">
        <w:tab/>
        <w:t>(3)</w:t>
      </w:r>
      <w:r w:rsidRPr="00143624">
        <w:tab/>
        <w:t>The applicant must give the Commissioner the advance payment within 14 days after receiving the statement asking for the payment or within such longer period as the Commissioner allows.</w:t>
      </w:r>
    </w:p>
    <w:p w:rsidR="005B63A2" w:rsidRPr="00143624" w:rsidRDefault="005B63A2" w:rsidP="005B63A2">
      <w:pPr>
        <w:pStyle w:val="ActHead5"/>
      </w:pPr>
      <w:bookmarkStart w:id="23" w:name="_Toc64030281"/>
      <w:r w:rsidRPr="003F3E0B">
        <w:rPr>
          <w:rStyle w:val="CharSectno"/>
        </w:rPr>
        <w:lastRenderedPageBreak/>
        <w:t>31</w:t>
      </w:r>
      <w:r w:rsidR="00143624" w:rsidRPr="003F3E0B">
        <w:rPr>
          <w:rStyle w:val="CharSectno"/>
        </w:rPr>
        <w:noBreakHyphen/>
      </w:r>
      <w:r w:rsidRPr="003F3E0B">
        <w:rPr>
          <w:rStyle w:val="CharSectno"/>
        </w:rPr>
        <w:t>15.05</w:t>
      </w:r>
      <w:r w:rsidRPr="00143624">
        <w:t xml:space="preserve">  Commissioner not required to consider application until advance payment is paid</w:t>
      </w:r>
      <w:bookmarkEnd w:id="23"/>
    </w:p>
    <w:p w:rsidR="005B63A2" w:rsidRPr="00143624" w:rsidRDefault="005B63A2" w:rsidP="005B63A2">
      <w:pPr>
        <w:pStyle w:val="subsection"/>
      </w:pPr>
      <w:r w:rsidRPr="00143624">
        <w:tab/>
      </w:r>
      <w:r w:rsidRPr="00143624">
        <w:tab/>
        <w:t>If the Commissioner has required an advance payment of the charge under section 31</w:t>
      </w:r>
      <w:r w:rsidR="00143624">
        <w:noBreakHyphen/>
      </w:r>
      <w:r w:rsidRPr="00143624">
        <w:t>15.04, the Commissioner is not required to consider the application until the payment is paid.</w:t>
      </w:r>
    </w:p>
    <w:p w:rsidR="005B63A2" w:rsidRPr="00143624" w:rsidRDefault="005B63A2" w:rsidP="005B63A2">
      <w:pPr>
        <w:pStyle w:val="ActHead5"/>
      </w:pPr>
      <w:bookmarkStart w:id="24" w:name="_Toc64030282"/>
      <w:r w:rsidRPr="003F3E0B">
        <w:rPr>
          <w:rStyle w:val="CharSectno"/>
        </w:rPr>
        <w:t>31</w:t>
      </w:r>
      <w:r w:rsidR="00143624" w:rsidRPr="003F3E0B">
        <w:rPr>
          <w:rStyle w:val="CharSectno"/>
        </w:rPr>
        <w:noBreakHyphen/>
      </w:r>
      <w:r w:rsidRPr="003F3E0B">
        <w:rPr>
          <w:rStyle w:val="CharSectno"/>
        </w:rPr>
        <w:t>15.06</w:t>
      </w:r>
      <w:r w:rsidRPr="00143624">
        <w:t xml:space="preserve">  Applications treated as having no effect</w:t>
      </w:r>
      <w:bookmarkEnd w:id="24"/>
    </w:p>
    <w:p w:rsidR="005B63A2" w:rsidRPr="00143624" w:rsidRDefault="005B63A2" w:rsidP="005B63A2">
      <w:pPr>
        <w:pStyle w:val="subsection"/>
      </w:pPr>
      <w:r w:rsidRPr="00143624">
        <w:tab/>
        <w:t>(1)</w:t>
      </w:r>
      <w:r w:rsidRPr="00143624">
        <w:tab/>
        <w:t>If the application for the valuation does not comply with section 31</w:t>
      </w:r>
      <w:r w:rsidR="00143624">
        <w:noBreakHyphen/>
      </w:r>
      <w:r w:rsidRPr="00143624">
        <w:t>15.02, the Commissioner must:</w:t>
      </w:r>
    </w:p>
    <w:p w:rsidR="005B63A2" w:rsidRPr="00143624" w:rsidRDefault="005B63A2" w:rsidP="005B63A2">
      <w:pPr>
        <w:pStyle w:val="paragraph"/>
      </w:pPr>
      <w:r w:rsidRPr="00143624">
        <w:tab/>
        <w:t>(a)</w:t>
      </w:r>
      <w:r w:rsidRPr="00143624">
        <w:tab/>
        <w:t>treat the application as having no effect; and</w:t>
      </w:r>
    </w:p>
    <w:p w:rsidR="005B63A2" w:rsidRPr="00143624" w:rsidRDefault="005B63A2" w:rsidP="005B63A2">
      <w:pPr>
        <w:pStyle w:val="paragraph"/>
      </w:pPr>
      <w:r w:rsidRPr="00143624">
        <w:tab/>
        <w:t>(b)</w:t>
      </w:r>
      <w:r w:rsidRPr="00143624">
        <w:tab/>
        <w:t>give the applicant a written statement that the application is being treated that way.</w:t>
      </w:r>
    </w:p>
    <w:p w:rsidR="005B63A2" w:rsidRPr="00143624" w:rsidRDefault="005B63A2" w:rsidP="005B63A2">
      <w:pPr>
        <w:pStyle w:val="subsection"/>
      </w:pPr>
      <w:r w:rsidRPr="00143624">
        <w:tab/>
        <w:t>(2)</w:t>
      </w:r>
      <w:r w:rsidRPr="00143624">
        <w:tab/>
        <w:t>If the Commissioner has required an advance payment of the charge under section 31</w:t>
      </w:r>
      <w:r w:rsidR="00143624">
        <w:noBreakHyphen/>
      </w:r>
      <w:r w:rsidRPr="00143624">
        <w:t>15.04, and the payment is not paid within the time mentioned in subsection 31</w:t>
      </w:r>
      <w:r w:rsidR="00143624">
        <w:noBreakHyphen/>
      </w:r>
      <w:r w:rsidRPr="00143624">
        <w:t>15.04(3), the Commissioner must:</w:t>
      </w:r>
    </w:p>
    <w:p w:rsidR="005B63A2" w:rsidRPr="00143624" w:rsidRDefault="005B63A2" w:rsidP="005B63A2">
      <w:pPr>
        <w:pStyle w:val="paragraph"/>
      </w:pPr>
      <w:r w:rsidRPr="00143624">
        <w:tab/>
        <w:t>(a)</w:t>
      </w:r>
      <w:r w:rsidRPr="00143624">
        <w:tab/>
        <w:t>treat the application as having no effect after that time; and</w:t>
      </w:r>
    </w:p>
    <w:p w:rsidR="005B63A2" w:rsidRPr="00143624" w:rsidRDefault="005B63A2" w:rsidP="005B63A2">
      <w:pPr>
        <w:pStyle w:val="paragraph"/>
      </w:pPr>
      <w:r w:rsidRPr="00143624">
        <w:tab/>
        <w:t>(b)</w:t>
      </w:r>
      <w:r w:rsidRPr="00143624">
        <w:tab/>
        <w:t>give the applicant a written statement that the application is being treated that way.</w:t>
      </w:r>
    </w:p>
    <w:p w:rsidR="005B63A2" w:rsidRPr="00143624" w:rsidRDefault="005B63A2" w:rsidP="005B63A2">
      <w:pPr>
        <w:pStyle w:val="notetext"/>
      </w:pPr>
      <w:r w:rsidRPr="00143624">
        <w:t>Note:</w:t>
      </w:r>
      <w:r w:rsidRPr="00143624">
        <w:tab/>
        <w:t xml:space="preserve">For an application that is treated as having no effect under </w:t>
      </w:r>
      <w:r w:rsidR="002B1A95" w:rsidRPr="00143624">
        <w:t>subsection (</w:t>
      </w:r>
      <w:r w:rsidRPr="00143624">
        <w:t>2), see subsection 31</w:t>
      </w:r>
      <w:r w:rsidR="00143624">
        <w:noBreakHyphen/>
      </w:r>
      <w:r w:rsidRPr="00143624">
        <w:t>15.03(2).</w:t>
      </w:r>
    </w:p>
    <w:p w:rsidR="005B63A2" w:rsidRPr="00143624" w:rsidRDefault="005B63A2" w:rsidP="005B63A2">
      <w:pPr>
        <w:pStyle w:val="ActHead5"/>
      </w:pPr>
      <w:bookmarkStart w:id="25" w:name="_Toc64030283"/>
      <w:r w:rsidRPr="003F3E0B">
        <w:rPr>
          <w:rStyle w:val="CharSectno"/>
        </w:rPr>
        <w:t>31</w:t>
      </w:r>
      <w:r w:rsidR="00143624" w:rsidRPr="003F3E0B">
        <w:rPr>
          <w:rStyle w:val="CharSectno"/>
        </w:rPr>
        <w:noBreakHyphen/>
      </w:r>
      <w:r w:rsidRPr="003F3E0B">
        <w:rPr>
          <w:rStyle w:val="CharSectno"/>
        </w:rPr>
        <w:t>15.07</w:t>
      </w:r>
      <w:r w:rsidRPr="00143624">
        <w:t xml:space="preserve">  Crediting and repaying valuation charges</w:t>
      </w:r>
      <w:bookmarkEnd w:id="25"/>
    </w:p>
    <w:p w:rsidR="005B63A2" w:rsidRPr="00143624" w:rsidRDefault="005B63A2" w:rsidP="005B63A2">
      <w:pPr>
        <w:pStyle w:val="subsection"/>
      </w:pPr>
      <w:r w:rsidRPr="00143624">
        <w:tab/>
        <w:t>(1)</w:t>
      </w:r>
      <w:r w:rsidRPr="00143624">
        <w:tab/>
        <w:t>The deposit paid under section 31</w:t>
      </w:r>
      <w:r w:rsidR="00143624">
        <w:noBreakHyphen/>
      </w:r>
      <w:r w:rsidRPr="00143624">
        <w:t>15.02 is to be credited against the charge for making the valuation.</w:t>
      </w:r>
    </w:p>
    <w:p w:rsidR="005B63A2" w:rsidRPr="00143624" w:rsidRDefault="005B63A2" w:rsidP="005B63A2">
      <w:pPr>
        <w:pStyle w:val="subsection"/>
      </w:pPr>
      <w:r w:rsidRPr="00143624">
        <w:tab/>
        <w:t>(2)</w:t>
      </w:r>
      <w:r w:rsidRPr="00143624">
        <w:tab/>
        <w:t>An advance payment of the charge paid under section 31</w:t>
      </w:r>
      <w:r w:rsidR="00143624">
        <w:noBreakHyphen/>
      </w:r>
      <w:r w:rsidRPr="00143624">
        <w:t>15.05 is to be credited against the charge for making the valuation.</w:t>
      </w:r>
    </w:p>
    <w:p w:rsidR="005B63A2" w:rsidRPr="00143624" w:rsidRDefault="005B63A2" w:rsidP="005B63A2">
      <w:pPr>
        <w:pStyle w:val="subsection"/>
      </w:pPr>
      <w:r w:rsidRPr="00143624">
        <w:tab/>
        <w:t>(3)</w:t>
      </w:r>
      <w:r w:rsidRPr="00143624">
        <w:tab/>
        <w:t>The charge payable for making the valuation is a debt due to the Commonwealth and recoverable in a court of competent jurisdiction.</w:t>
      </w:r>
    </w:p>
    <w:p w:rsidR="005B63A2" w:rsidRPr="00143624" w:rsidRDefault="005B63A2" w:rsidP="005B63A2">
      <w:pPr>
        <w:pStyle w:val="subsection"/>
      </w:pPr>
      <w:r w:rsidRPr="00143624">
        <w:tab/>
        <w:t>(4)</w:t>
      </w:r>
      <w:r w:rsidRPr="00143624">
        <w:tab/>
        <w:t xml:space="preserve">However, if the total of the amounts paid under </w:t>
      </w:r>
      <w:r w:rsidR="002B1A95" w:rsidRPr="00143624">
        <w:t>subsections (</w:t>
      </w:r>
      <w:r w:rsidRPr="00143624">
        <w:t>1) and (2) is more than the charge payable for making the valuation, the Commissioner must pay the difference to the applicant as soon as practicable.</w:t>
      </w:r>
    </w:p>
    <w:p w:rsidR="005B63A2" w:rsidRPr="00143624" w:rsidRDefault="005B63A2" w:rsidP="005B63A2">
      <w:pPr>
        <w:pStyle w:val="ActHead5"/>
      </w:pPr>
      <w:bookmarkStart w:id="26" w:name="_Toc64030284"/>
      <w:r w:rsidRPr="003F3E0B">
        <w:rPr>
          <w:rStyle w:val="CharSectno"/>
        </w:rPr>
        <w:t>31</w:t>
      </w:r>
      <w:r w:rsidR="00143624" w:rsidRPr="003F3E0B">
        <w:rPr>
          <w:rStyle w:val="CharSectno"/>
        </w:rPr>
        <w:noBreakHyphen/>
      </w:r>
      <w:r w:rsidRPr="003F3E0B">
        <w:rPr>
          <w:rStyle w:val="CharSectno"/>
        </w:rPr>
        <w:t>15.08</w:t>
      </w:r>
      <w:r w:rsidRPr="00143624">
        <w:t xml:space="preserve">  Valuation certificates</w:t>
      </w:r>
      <w:bookmarkEnd w:id="26"/>
    </w:p>
    <w:p w:rsidR="005B63A2" w:rsidRPr="00143624" w:rsidRDefault="005B63A2" w:rsidP="005B63A2">
      <w:pPr>
        <w:pStyle w:val="subsection"/>
      </w:pPr>
      <w:r w:rsidRPr="00143624">
        <w:tab/>
        <w:t>(1)</w:t>
      </w:r>
      <w:r w:rsidRPr="00143624">
        <w:tab/>
        <w:t>If the Commissioner completes the valuation, the Commissioner must give a valuation certificate to the applicant for the valuation.</w:t>
      </w:r>
    </w:p>
    <w:p w:rsidR="005B63A2" w:rsidRPr="00143624" w:rsidRDefault="005B63A2" w:rsidP="005B63A2">
      <w:pPr>
        <w:pStyle w:val="subsection"/>
      </w:pPr>
      <w:r w:rsidRPr="00143624">
        <w:tab/>
        <w:t>(2)</w:t>
      </w:r>
      <w:r w:rsidRPr="00143624">
        <w:tab/>
        <w:t xml:space="preserve">The Commissioner must approve, in writing, one or more forms of a valuation certificate for the purposes of </w:t>
      </w:r>
      <w:r w:rsidR="002B1A95" w:rsidRPr="00143624">
        <w:t>subsection (</w:t>
      </w:r>
      <w:r w:rsidRPr="00143624">
        <w:t>1).</w:t>
      </w:r>
    </w:p>
    <w:p w:rsidR="005B63A2" w:rsidRPr="00143624" w:rsidRDefault="005B63A2" w:rsidP="005B63A2">
      <w:pPr>
        <w:pStyle w:val="subsection"/>
      </w:pPr>
      <w:r w:rsidRPr="00143624">
        <w:tab/>
        <w:t>(3)</w:t>
      </w:r>
      <w:r w:rsidRPr="00143624">
        <w:tab/>
        <w:t>The certificate must include the following information:</w:t>
      </w:r>
    </w:p>
    <w:p w:rsidR="005B63A2" w:rsidRPr="00143624" w:rsidRDefault="005B63A2" w:rsidP="005B63A2">
      <w:pPr>
        <w:pStyle w:val="paragraph"/>
      </w:pPr>
      <w:r w:rsidRPr="00143624">
        <w:tab/>
        <w:t>(a)</w:t>
      </w:r>
      <w:r w:rsidRPr="00143624">
        <w:tab/>
        <w:t>the date on which the valuation was completed;</w:t>
      </w:r>
    </w:p>
    <w:p w:rsidR="005B63A2" w:rsidRPr="00143624" w:rsidRDefault="005B63A2" w:rsidP="005B63A2">
      <w:pPr>
        <w:pStyle w:val="paragraph"/>
      </w:pPr>
      <w:r w:rsidRPr="00143624">
        <w:tab/>
        <w:t>(b)</w:t>
      </w:r>
      <w:r w:rsidRPr="00143624">
        <w:tab/>
        <w:t>a description of the land (including a lot and plan number, title reference and the location of the land);</w:t>
      </w:r>
    </w:p>
    <w:p w:rsidR="005B63A2" w:rsidRPr="00143624" w:rsidRDefault="005B63A2" w:rsidP="005B63A2">
      <w:pPr>
        <w:pStyle w:val="paragraph"/>
      </w:pPr>
      <w:r w:rsidRPr="00143624">
        <w:lastRenderedPageBreak/>
        <w:tab/>
        <w:t>(c)</w:t>
      </w:r>
      <w:r w:rsidRPr="00143624">
        <w:tab/>
        <w:t>a statement of the market value of the land immediately before the conservation covenant was entered into;</w:t>
      </w:r>
    </w:p>
    <w:p w:rsidR="005B63A2" w:rsidRPr="00143624" w:rsidRDefault="005B63A2" w:rsidP="005B63A2">
      <w:pPr>
        <w:pStyle w:val="paragraph"/>
      </w:pPr>
      <w:r w:rsidRPr="00143624">
        <w:tab/>
        <w:t>(d)</w:t>
      </w:r>
      <w:r w:rsidRPr="00143624">
        <w:tab/>
        <w:t>a statement of the market value of the land immediately after the conservation covenant was entered into;</w:t>
      </w:r>
    </w:p>
    <w:p w:rsidR="005B63A2" w:rsidRPr="00143624" w:rsidRDefault="005B63A2" w:rsidP="005B63A2">
      <w:pPr>
        <w:pStyle w:val="paragraph"/>
      </w:pPr>
      <w:r w:rsidRPr="00143624">
        <w:tab/>
        <w:t>(e)</w:t>
      </w:r>
      <w:r w:rsidRPr="00143624">
        <w:tab/>
        <w:t xml:space="preserve">a statement of the difference between the market values mentioned in </w:t>
      </w:r>
      <w:r w:rsidR="002B1A95" w:rsidRPr="00143624">
        <w:t>paragraphs (</w:t>
      </w:r>
      <w:r w:rsidRPr="00143624">
        <w:t>c) and (d);</w:t>
      </w:r>
    </w:p>
    <w:p w:rsidR="005B63A2" w:rsidRPr="00143624" w:rsidRDefault="005B63A2" w:rsidP="005B63A2">
      <w:pPr>
        <w:pStyle w:val="paragraph"/>
      </w:pPr>
      <w:r w:rsidRPr="00143624">
        <w:tab/>
        <w:t>(f)</w:t>
      </w:r>
      <w:r w:rsidRPr="00143624">
        <w:tab/>
        <w:t xml:space="preserve">a statement of the extent to which the difference mentioned in </w:t>
      </w:r>
      <w:r w:rsidR="002B1A95" w:rsidRPr="00143624">
        <w:t>paragraph (</w:t>
      </w:r>
      <w:r w:rsidRPr="00143624">
        <w:t>e) is attributable to the conservation covenant being entered into.</w:t>
      </w:r>
    </w:p>
    <w:p w:rsidR="005B63A2" w:rsidRPr="00143624" w:rsidRDefault="005B63A2" w:rsidP="005B63A2">
      <w:pPr>
        <w:pStyle w:val="subsection"/>
      </w:pPr>
      <w:r w:rsidRPr="00143624">
        <w:tab/>
        <w:t>(4)</w:t>
      </w:r>
      <w:r w:rsidRPr="00143624">
        <w:tab/>
        <w:t>The certificate may include other information.</w:t>
      </w:r>
    </w:p>
    <w:p w:rsidR="005B63A2" w:rsidRPr="00143624" w:rsidRDefault="005B63A2" w:rsidP="005B63A2">
      <w:pPr>
        <w:pStyle w:val="subsection"/>
      </w:pPr>
      <w:r w:rsidRPr="00143624">
        <w:tab/>
        <w:t>(5)</w:t>
      </w:r>
      <w:r w:rsidRPr="00143624">
        <w:tab/>
        <w:t>The Commissioner must not give a valuation certificate to the applicant until:</w:t>
      </w:r>
    </w:p>
    <w:p w:rsidR="005B63A2" w:rsidRPr="00143624" w:rsidRDefault="005B63A2" w:rsidP="005B63A2">
      <w:pPr>
        <w:pStyle w:val="paragraph"/>
      </w:pPr>
      <w:r w:rsidRPr="00143624">
        <w:tab/>
        <w:t>(a)</w:t>
      </w:r>
      <w:r w:rsidRPr="00143624">
        <w:tab/>
        <w:t>the valuation has been completed; and</w:t>
      </w:r>
    </w:p>
    <w:p w:rsidR="005B63A2" w:rsidRPr="00143624" w:rsidRDefault="005B63A2" w:rsidP="005B63A2">
      <w:pPr>
        <w:pStyle w:val="paragraph"/>
      </w:pPr>
      <w:r w:rsidRPr="00143624">
        <w:tab/>
        <w:t>(b)</w:t>
      </w:r>
      <w:r w:rsidRPr="00143624">
        <w:tab/>
        <w:t>the Commissioner has received the full amount of the charge payable for making the valuation.</w:t>
      </w:r>
    </w:p>
    <w:p w:rsidR="005B63A2" w:rsidRPr="00143624" w:rsidRDefault="005B63A2" w:rsidP="005B63A2">
      <w:pPr>
        <w:pStyle w:val="ActHead2"/>
        <w:pageBreakBefore/>
      </w:pPr>
      <w:bookmarkStart w:id="27" w:name="_Toc64030285"/>
      <w:r w:rsidRPr="003F3E0B">
        <w:rPr>
          <w:rStyle w:val="CharPartNo"/>
        </w:rPr>
        <w:lastRenderedPageBreak/>
        <w:t>Part</w:t>
      </w:r>
      <w:r w:rsidR="002B1A95" w:rsidRPr="003F3E0B">
        <w:rPr>
          <w:rStyle w:val="CharPartNo"/>
        </w:rPr>
        <w:t> </w:t>
      </w:r>
      <w:r w:rsidRPr="003F3E0B">
        <w:rPr>
          <w:rStyle w:val="CharPartNo"/>
        </w:rPr>
        <w:t>2</w:t>
      </w:r>
      <w:r w:rsidR="00143624" w:rsidRPr="003F3E0B">
        <w:rPr>
          <w:rStyle w:val="CharPartNo"/>
        </w:rPr>
        <w:noBreakHyphen/>
      </w:r>
      <w:r w:rsidRPr="003F3E0B">
        <w:rPr>
          <w:rStyle w:val="CharPartNo"/>
        </w:rPr>
        <w:t>15</w:t>
      </w:r>
      <w:r w:rsidRPr="00143624">
        <w:t>—</w:t>
      </w:r>
      <w:r w:rsidRPr="003F3E0B">
        <w:rPr>
          <w:rStyle w:val="CharPartText"/>
        </w:rPr>
        <w:t>Non</w:t>
      </w:r>
      <w:r w:rsidR="00143624" w:rsidRPr="003F3E0B">
        <w:rPr>
          <w:rStyle w:val="CharPartText"/>
        </w:rPr>
        <w:noBreakHyphen/>
      </w:r>
      <w:r w:rsidRPr="003F3E0B">
        <w:rPr>
          <w:rStyle w:val="CharPartText"/>
        </w:rPr>
        <w:t>assessable income</w:t>
      </w:r>
      <w:bookmarkEnd w:id="27"/>
    </w:p>
    <w:p w:rsidR="005B63A2" w:rsidRPr="00143624" w:rsidRDefault="005B63A2" w:rsidP="005B63A2">
      <w:pPr>
        <w:pStyle w:val="ActHead3"/>
      </w:pPr>
      <w:bookmarkStart w:id="28" w:name="_Toc64030286"/>
      <w:r w:rsidRPr="003F3E0B">
        <w:rPr>
          <w:rStyle w:val="CharDivNo"/>
        </w:rPr>
        <w:t>Division</w:t>
      </w:r>
      <w:r w:rsidR="002B1A95" w:rsidRPr="003F3E0B">
        <w:rPr>
          <w:rStyle w:val="CharDivNo"/>
        </w:rPr>
        <w:t> </w:t>
      </w:r>
      <w:r w:rsidRPr="003F3E0B">
        <w:rPr>
          <w:rStyle w:val="CharDivNo"/>
        </w:rPr>
        <w:t>50</w:t>
      </w:r>
      <w:r w:rsidRPr="00143624">
        <w:t>—</w:t>
      </w:r>
      <w:r w:rsidRPr="003F3E0B">
        <w:rPr>
          <w:rStyle w:val="CharDivText"/>
        </w:rPr>
        <w:t>Exempt entities</w:t>
      </w:r>
      <w:bookmarkEnd w:id="28"/>
    </w:p>
    <w:p w:rsidR="005B63A2" w:rsidRPr="00143624" w:rsidRDefault="005B63A2" w:rsidP="005B63A2">
      <w:pPr>
        <w:pStyle w:val="ActHead4"/>
      </w:pPr>
      <w:bookmarkStart w:id="29" w:name="_Toc64030287"/>
      <w:r w:rsidRPr="003F3E0B">
        <w:rPr>
          <w:rStyle w:val="CharSubdNo"/>
        </w:rPr>
        <w:t>Subdivision</w:t>
      </w:r>
      <w:r w:rsidR="002B1A95" w:rsidRPr="003F3E0B">
        <w:rPr>
          <w:rStyle w:val="CharSubdNo"/>
        </w:rPr>
        <w:t> </w:t>
      </w:r>
      <w:r w:rsidRPr="003F3E0B">
        <w:rPr>
          <w:rStyle w:val="CharSubdNo"/>
        </w:rPr>
        <w:t>50</w:t>
      </w:r>
      <w:r w:rsidR="00143624" w:rsidRPr="003F3E0B">
        <w:rPr>
          <w:rStyle w:val="CharSubdNo"/>
        </w:rPr>
        <w:noBreakHyphen/>
      </w:r>
      <w:r w:rsidRPr="003F3E0B">
        <w:rPr>
          <w:rStyle w:val="CharSubdNo"/>
        </w:rPr>
        <w:t>A</w:t>
      </w:r>
      <w:r w:rsidRPr="00143624">
        <w:t>—</w:t>
      </w:r>
      <w:r w:rsidRPr="003F3E0B">
        <w:rPr>
          <w:rStyle w:val="CharSubdText"/>
        </w:rPr>
        <w:t>Various exempt entities</w:t>
      </w:r>
      <w:bookmarkEnd w:id="29"/>
    </w:p>
    <w:p w:rsidR="005B63A2" w:rsidRPr="00143624" w:rsidRDefault="005B63A2" w:rsidP="005B63A2">
      <w:pPr>
        <w:pStyle w:val="ActHead5"/>
      </w:pPr>
      <w:bookmarkStart w:id="30" w:name="_Toc64030288"/>
      <w:r w:rsidRPr="003F3E0B">
        <w:rPr>
          <w:rStyle w:val="CharSectno"/>
        </w:rPr>
        <w:t>50</w:t>
      </w:r>
      <w:r w:rsidR="00143624" w:rsidRPr="003F3E0B">
        <w:rPr>
          <w:rStyle w:val="CharSectno"/>
        </w:rPr>
        <w:noBreakHyphen/>
      </w:r>
      <w:r w:rsidRPr="003F3E0B">
        <w:rPr>
          <w:rStyle w:val="CharSectno"/>
        </w:rPr>
        <w:t>50.01</w:t>
      </w:r>
      <w:r w:rsidRPr="00143624">
        <w:t xml:space="preserve">  Prescribed institutions located outside Australia</w:t>
      </w:r>
      <w:bookmarkEnd w:id="30"/>
    </w:p>
    <w:p w:rsidR="005B63A2" w:rsidRPr="00143624" w:rsidRDefault="005B63A2" w:rsidP="005B63A2">
      <w:pPr>
        <w:pStyle w:val="subsection"/>
      </w:pPr>
      <w:r w:rsidRPr="00143624">
        <w:tab/>
      </w:r>
      <w:r w:rsidRPr="00143624">
        <w:tab/>
        <w:t>For the purposes of paragraph</w:t>
      </w:r>
      <w:r w:rsidR="002B1A95" w:rsidRPr="00143624">
        <w:t> </w:t>
      </w:r>
      <w:r w:rsidRPr="00143624">
        <w:t>50</w:t>
      </w:r>
      <w:r w:rsidR="00143624">
        <w:noBreakHyphen/>
      </w:r>
      <w:r w:rsidRPr="00143624">
        <w:t>50(1)(c) of the Act, each institution specified in an item in the following table is a prescribed institution.</w:t>
      </w:r>
    </w:p>
    <w:p w:rsidR="00D26815" w:rsidRPr="00143624" w:rsidRDefault="00D26815" w:rsidP="00D2681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26815" w:rsidRPr="00143624" w:rsidTr="00D26815">
        <w:trPr>
          <w:tblHeader/>
        </w:trPr>
        <w:tc>
          <w:tcPr>
            <w:tcW w:w="8313" w:type="dxa"/>
            <w:gridSpan w:val="2"/>
            <w:tcBorders>
              <w:top w:val="single" w:sz="12" w:space="0" w:color="auto"/>
              <w:bottom w:val="single" w:sz="6" w:space="0" w:color="auto"/>
            </w:tcBorders>
            <w:shd w:val="clear" w:color="auto" w:fill="auto"/>
          </w:tcPr>
          <w:p w:rsidR="00D26815" w:rsidRPr="00143624" w:rsidRDefault="00D26815" w:rsidP="00D26815">
            <w:pPr>
              <w:pStyle w:val="TableHeading"/>
              <w:rPr>
                <w:rStyle w:val="CharSectno"/>
              </w:rPr>
            </w:pPr>
            <w:r w:rsidRPr="00143624">
              <w:t>Prescribed institutions located outside Australia</w:t>
            </w:r>
          </w:p>
        </w:tc>
      </w:tr>
      <w:tr w:rsidR="00D26815" w:rsidRPr="00143624" w:rsidTr="00D26815">
        <w:trPr>
          <w:tblHeader/>
        </w:trPr>
        <w:tc>
          <w:tcPr>
            <w:tcW w:w="714" w:type="dxa"/>
            <w:tcBorders>
              <w:top w:val="single" w:sz="6" w:space="0" w:color="auto"/>
              <w:bottom w:val="single" w:sz="12" w:space="0" w:color="auto"/>
            </w:tcBorders>
            <w:shd w:val="clear" w:color="auto" w:fill="auto"/>
          </w:tcPr>
          <w:p w:rsidR="00D26815" w:rsidRPr="00143624" w:rsidRDefault="00D26815" w:rsidP="00D26815">
            <w:pPr>
              <w:pStyle w:val="TableHeading"/>
              <w:rPr>
                <w:rStyle w:val="CharSectno"/>
              </w:rPr>
            </w:pPr>
            <w:r w:rsidRPr="00143624">
              <w:t>Item</w:t>
            </w:r>
          </w:p>
        </w:tc>
        <w:tc>
          <w:tcPr>
            <w:tcW w:w="7599" w:type="dxa"/>
            <w:tcBorders>
              <w:top w:val="single" w:sz="6" w:space="0" w:color="auto"/>
              <w:bottom w:val="single" w:sz="12" w:space="0" w:color="auto"/>
            </w:tcBorders>
            <w:shd w:val="clear" w:color="auto" w:fill="auto"/>
          </w:tcPr>
          <w:p w:rsidR="00D26815" w:rsidRPr="00143624" w:rsidRDefault="00D26815" w:rsidP="00D26815">
            <w:pPr>
              <w:pStyle w:val="TableHeading"/>
              <w:rPr>
                <w:rStyle w:val="CharSectno"/>
              </w:rPr>
            </w:pPr>
            <w:r w:rsidRPr="00143624">
              <w:t>Name of institution</w:t>
            </w:r>
          </w:p>
        </w:tc>
      </w:tr>
      <w:tr w:rsidR="00D26815" w:rsidRPr="00143624" w:rsidTr="00D26815">
        <w:tc>
          <w:tcPr>
            <w:tcW w:w="714" w:type="dxa"/>
            <w:tcBorders>
              <w:top w:val="single" w:sz="12" w:space="0" w:color="auto"/>
            </w:tcBorders>
            <w:shd w:val="clear" w:color="auto" w:fill="auto"/>
          </w:tcPr>
          <w:p w:rsidR="00D26815" w:rsidRPr="00143624" w:rsidRDefault="00D26815" w:rsidP="00D26815">
            <w:pPr>
              <w:pStyle w:val="Tabletext"/>
              <w:rPr>
                <w:rStyle w:val="CharSectno"/>
              </w:rPr>
            </w:pPr>
            <w:r w:rsidRPr="00143624">
              <w:t>1</w:t>
            </w:r>
          </w:p>
        </w:tc>
        <w:tc>
          <w:tcPr>
            <w:tcW w:w="7599" w:type="dxa"/>
            <w:tcBorders>
              <w:top w:val="single" w:sz="12" w:space="0" w:color="auto"/>
            </w:tcBorders>
            <w:shd w:val="clear" w:color="auto" w:fill="auto"/>
          </w:tcPr>
          <w:p w:rsidR="00D26815" w:rsidRPr="00143624" w:rsidRDefault="00D26815" w:rsidP="00D26815">
            <w:pPr>
              <w:pStyle w:val="Tabletext"/>
            </w:pPr>
            <w:r w:rsidRPr="00143624">
              <w:t>Catholic Bishops’ Conference of the Pacific (Fiji)</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2</w:t>
            </w:r>
          </w:p>
        </w:tc>
        <w:tc>
          <w:tcPr>
            <w:tcW w:w="7599" w:type="dxa"/>
            <w:shd w:val="clear" w:color="auto" w:fill="auto"/>
          </w:tcPr>
          <w:p w:rsidR="00D26815" w:rsidRPr="00143624" w:rsidRDefault="00D26815" w:rsidP="00D26815">
            <w:pPr>
              <w:pStyle w:val="Tabletext"/>
            </w:pPr>
            <w:r w:rsidRPr="00143624">
              <w:t>Catholic Diocese of Rarotonga (Cook Islands)</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3</w:t>
            </w:r>
          </w:p>
        </w:tc>
        <w:tc>
          <w:tcPr>
            <w:tcW w:w="7599" w:type="dxa"/>
            <w:shd w:val="clear" w:color="auto" w:fill="auto"/>
          </w:tcPr>
          <w:p w:rsidR="00D26815" w:rsidRPr="00143624" w:rsidRDefault="00D26815" w:rsidP="00D26815">
            <w:pPr>
              <w:pStyle w:val="Tabletext"/>
            </w:pPr>
            <w:r w:rsidRPr="00143624">
              <w:t>Catholic Diocese of Bougainville (Papua New Guinea)</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4</w:t>
            </w:r>
          </w:p>
        </w:tc>
        <w:tc>
          <w:tcPr>
            <w:tcW w:w="7599" w:type="dxa"/>
            <w:shd w:val="clear" w:color="auto" w:fill="auto"/>
          </w:tcPr>
          <w:p w:rsidR="00D26815" w:rsidRPr="00143624" w:rsidRDefault="00D26815" w:rsidP="00D26815">
            <w:pPr>
              <w:pStyle w:val="Tabletext"/>
            </w:pPr>
            <w:r w:rsidRPr="00143624">
              <w:t>Catholic Diocese of Port Vila (Vanuatu)</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5</w:t>
            </w:r>
          </w:p>
        </w:tc>
        <w:tc>
          <w:tcPr>
            <w:tcW w:w="7599" w:type="dxa"/>
            <w:shd w:val="clear" w:color="auto" w:fill="auto"/>
          </w:tcPr>
          <w:p w:rsidR="00D26815" w:rsidRPr="00143624" w:rsidRDefault="00D26815" w:rsidP="00D26815">
            <w:pPr>
              <w:pStyle w:val="Tabletext"/>
            </w:pPr>
            <w:r w:rsidRPr="00143624">
              <w:t>Catholic Diocese of Suva (Fiji)</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6</w:t>
            </w:r>
          </w:p>
        </w:tc>
        <w:tc>
          <w:tcPr>
            <w:tcW w:w="7599" w:type="dxa"/>
            <w:shd w:val="clear" w:color="auto" w:fill="auto"/>
          </w:tcPr>
          <w:p w:rsidR="00D26815" w:rsidRPr="00143624" w:rsidRDefault="00D26815" w:rsidP="00D26815">
            <w:pPr>
              <w:pStyle w:val="Tabletext"/>
            </w:pPr>
            <w:r w:rsidRPr="00143624">
              <w:t>Catholic Diocese of Noumea (New Caledonia)</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7</w:t>
            </w:r>
          </w:p>
        </w:tc>
        <w:tc>
          <w:tcPr>
            <w:tcW w:w="7599" w:type="dxa"/>
            <w:shd w:val="clear" w:color="auto" w:fill="auto"/>
          </w:tcPr>
          <w:p w:rsidR="00D26815" w:rsidRPr="00143624" w:rsidRDefault="00D26815" w:rsidP="00D26815">
            <w:pPr>
              <w:pStyle w:val="Tabletext"/>
            </w:pPr>
            <w:r w:rsidRPr="00143624">
              <w:t>Catholic Diocese of Tonga</w:t>
            </w:r>
          </w:p>
        </w:tc>
      </w:tr>
      <w:tr w:rsidR="00D26815" w:rsidRPr="00143624" w:rsidTr="00D26815">
        <w:tc>
          <w:tcPr>
            <w:tcW w:w="714" w:type="dxa"/>
            <w:shd w:val="clear" w:color="auto" w:fill="auto"/>
          </w:tcPr>
          <w:p w:rsidR="00D26815" w:rsidRPr="00143624" w:rsidRDefault="00D26815" w:rsidP="00D26815">
            <w:pPr>
              <w:pStyle w:val="Tabletext"/>
              <w:rPr>
                <w:rStyle w:val="CharSectno"/>
              </w:rPr>
            </w:pPr>
            <w:r w:rsidRPr="00143624">
              <w:t>8</w:t>
            </w:r>
          </w:p>
        </w:tc>
        <w:tc>
          <w:tcPr>
            <w:tcW w:w="7599" w:type="dxa"/>
            <w:shd w:val="clear" w:color="auto" w:fill="auto"/>
          </w:tcPr>
          <w:p w:rsidR="00D26815" w:rsidRPr="00143624" w:rsidRDefault="00D26815" w:rsidP="00D26815">
            <w:pPr>
              <w:pStyle w:val="Tabletext"/>
            </w:pPr>
            <w:r w:rsidRPr="00143624">
              <w:t>Catholic Diocese of Auki (Solomon Islands)</w:t>
            </w:r>
          </w:p>
        </w:tc>
      </w:tr>
      <w:tr w:rsidR="00D26815" w:rsidRPr="00143624" w:rsidTr="00D26815">
        <w:tc>
          <w:tcPr>
            <w:tcW w:w="714" w:type="dxa"/>
            <w:tcBorders>
              <w:bottom w:val="single" w:sz="2" w:space="0" w:color="auto"/>
            </w:tcBorders>
            <w:shd w:val="clear" w:color="auto" w:fill="auto"/>
          </w:tcPr>
          <w:p w:rsidR="00D26815" w:rsidRPr="00143624" w:rsidRDefault="00D26815" w:rsidP="00D26815">
            <w:pPr>
              <w:pStyle w:val="Tabletext"/>
              <w:rPr>
                <w:rStyle w:val="CharSectno"/>
              </w:rPr>
            </w:pPr>
            <w:r w:rsidRPr="00143624">
              <w:t>9</w:t>
            </w:r>
          </w:p>
        </w:tc>
        <w:tc>
          <w:tcPr>
            <w:tcW w:w="7599" w:type="dxa"/>
            <w:tcBorders>
              <w:bottom w:val="single" w:sz="2" w:space="0" w:color="auto"/>
            </w:tcBorders>
            <w:shd w:val="clear" w:color="auto" w:fill="auto"/>
          </w:tcPr>
          <w:p w:rsidR="00D26815" w:rsidRPr="00143624" w:rsidRDefault="00D26815" w:rsidP="00D26815">
            <w:pPr>
              <w:pStyle w:val="Tabletext"/>
            </w:pPr>
            <w:r w:rsidRPr="00143624">
              <w:t xml:space="preserve">Catholic Archdiocese of </w:t>
            </w:r>
            <w:proofErr w:type="spellStart"/>
            <w:r w:rsidRPr="00143624">
              <w:t>Rabaul</w:t>
            </w:r>
            <w:proofErr w:type="spellEnd"/>
            <w:r w:rsidRPr="00143624">
              <w:t xml:space="preserve"> (Papua New Guinea)</w:t>
            </w:r>
          </w:p>
        </w:tc>
      </w:tr>
      <w:tr w:rsidR="00D26815" w:rsidRPr="00143624" w:rsidTr="00D26815">
        <w:tc>
          <w:tcPr>
            <w:tcW w:w="714" w:type="dxa"/>
            <w:tcBorders>
              <w:top w:val="single" w:sz="2" w:space="0" w:color="auto"/>
              <w:bottom w:val="single" w:sz="12" w:space="0" w:color="auto"/>
            </w:tcBorders>
            <w:shd w:val="clear" w:color="auto" w:fill="auto"/>
          </w:tcPr>
          <w:p w:rsidR="00D26815" w:rsidRPr="00143624" w:rsidRDefault="00D26815" w:rsidP="00D26815">
            <w:pPr>
              <w:pStyle w:val="Tabletext"/>
              <w:rPr>
                <w:rStyle w:val="CharSectno"/>
              </w:rPr>
            </w:pPr>
            <w:r w:rsidRPr="00143624">
              <w:t>10</w:t>
            </w:r>
          </w:p>
        </w:tc>
        <w:tc>
          <w:tcPr>
            <w:tcW w:w="7599" w:type="dxa"/>
            <w:tcBorders>
              <w:top w:val="single" w:sz="2" w:space="0" w:color="auto"/>
              <w:bottom w:val="single" w:sz="12" w:space="0" w:color="auto"/>
            </w:tcBorders>
            <w:shd w:val="clear" w:color="auto" w:fill="auto"/>
          </w:tcPr>
          <w:p w:rsidR="00D26815" w:rsidRPr="00143624" w:rsidRDefault="00D26815" w:rsidP="00D26815">
            <w:pPr>
              <w:pStyle w:val="Tabletext"/>
            </w:pPr>
            <w:r w:rsidRPr="00143624">
              <w:t>Diocese of Honiara Registered Trustees (Incorporated)</w:t>
            </w:r>
          </w:p>
        </w:tc>
      </w:tr>
    </w:tbl>
    <w:p w:rsidR="00D26815" w:rsidRPr="00143624" w:rsidRDefault="00D26815" w:rsidP="00D26815">
      <w:pPr>
        <w:pStyle w:val="Tabletext"/>
      </w:pPr>
    </w:p>
    <w:p w:rsidR="005B63A2" w:rsidRPr="00143624" w:rsidRDefault="005B63A2" w:rsidP="005B63A2">
      <w:pPr>
        <w:pStyle w:val="ActHead5"/>
      </w:pPr>
      <w:bookmarkStart w:id="31" w:name="_Toc64030289"/>
      <w:r w:rsidRPr="003F3E0B">
        <w:rPr>
          <w:rStyle w:val="CharSectno"/>
        </w:rPr>
        <w:t>50</w:t>
      </w:r>
      <w:r w:rsidR="00143624" w:rsidRPr="003F3E0B">
        <w:rPr>
          <w:rStyle w:val="CharSectno"/>
        </w:rPr>
        <w:noBreakHyphen/>
      </w:r>
      <w:r w:rsidRPr="003F3E0B">
        <w:rPr>
          <w:rStyle w:val="CharSectno"/>
        </w:rPr>
        <w:t>50.02</w:t>
      </w:r>
      <w:r w:rsidRPr="00143624">
        <w:t xml:space="preserve">  Prescribed institutions pursuing objectives principally outside Australia</w:t>
      </w:r>
      <w:bookmarkEnd w:id="31"/>
    </w:p>
    <w:p w:rsidR="005B63A2" w:rsidRPr="00143624" w:rsidRDefault="005B63A2" w:rsidP="005B63A2">
      <w:pPr>
        <w:pStyle w:val="subsection"/>
      </w:pPr>
      <w:r w:rsidRPr="00143624">
        <w:tab/>
      </w:r>
      <w:r w:rsidRPr="00143624">
        <w:tab/>
        <w:t>For the purposes of paragraph</w:t>
      </w:r>
      <w:r w:rsidR="002B1A95" w:rsidRPr="00143624">
        <w:t> </w:t>
      </w:r>
      <w:r w:rsidRPr="00143624">
        <w:t>50</w:t>
      </w:r>
      <w:r w:rsidR="00143624">
        <w:noBreakHyphen/>
      </w:r>
      <w:r w:rsidRPr="00143624">
        <w:t>50(1)(d) of the Act, each institution specified in column 1 of an item in the following table, and each institution that is a member of that institution, is a prescribed institution until the date specified (if any) in column 2 of the item.</w:t>
      </w:r>
    </w:p>
    <w:p w:rsidR="005B63A2" w:rsidRPr="00143624"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390"/>
        <w:gridCol w:w="1407"/>
      </w:tblGrid>
      <w:tr w:rsidR="005B63A2" w:rsidRPr="00143624" w:rsidTr="003104D0">
        <w:trPr>
          <w:tblHeader/>
        </w:trPr>
        <w:tc>
          <w:tcPr>
            <w:tcW w:w="5000" w:type="pct"/>
            <w:gridSpan w:val="3"/>
            <w:tcBorders>
              <w:top w:val="single" w:sz="12" w:space="0" w:color="auto"/>
              <w:bottom w:val="single" w:sz="6" w:space="0" w:color="auto"/>
            </w:tcBorders>
            <w:shd w:val="clear" w:color="auto" w:fill="auto"/>
          </w:tcPr>
          <w:p w:rsidR="005B63A2" w:rsidRPr="00143624" w:rsidRDefault="005B63A2" w:rsidP="005B63A2">
            <w:pPr>
              <w:pStyle w:val="TableHeading"/>
            </w:pPr>
            <w:r w:rsidRPr="00143624">
              <w:t>Prescribed institutions pursuing objectives principally outside Australia</w:t>
            </w:r>
          </w:p>
        </w:tc>
      </w:tr>
      <w:tr w:rsidR="005B63A2" w:rsidRPr="00143624" w:rsidTr="003104D0">
        <w:trPr>
          <w:trHeight w:val="615"/>
          <w:tblHeader/>
        </w:trPr>
        <w:tc>
          <w:tcPr>
            <w:tcW w:w="429" w:type="pct"/>
            <w:tcBorders>
              <w:top w:val="single" w:sz="6" w:space="0" w:color="auto"/>
            </w:tcBorders>
            <w:shd w:val="clear" w:color="auto" w:fill="auto"/>
          </w:tcPr>
          <w:p w:rsidR="005B63A2" w:rsidRPr="00143624" w:rsidRDefault="005B63A2" w:rsidP="005B63A2">
            <w:pPr>
              <w:pStyle w:val="TableHeading"/>
            </w:pPr>
            <w:r w:rsidRPr="00143624">
              <w:t>Item</w:t>
            </w:r>
          </w:p>
        </w:tc>
        <w:tc>
          <w:tcPr>
            <w:tcW w:w="3746" w:type="pct"/>
            <w:tcBorders>
              <w:top w:val="single" w:sz="6" w:space="0" w:color="auto"/>
            </w:tcBorders>
            <w:shd w:val="clear" w:color="auto" w:fill="auto"/>
          </w:tcPr>
          <w:p w:rsidR="005B63A2" w:rsidRPr="00143624" w:rsidRDefault="005B63A2" w:rsidP="005B63A2">
            <w:pPr>
              <w:pStyle w:val="TableHeading"/>
            </w:pPr>
            <w:r w:rsidRPr="00143624">
              <w:t>Column 1</w:t>
            </w:r>
          </w:p>
          <w:p w:rsidR="005B63A2" w:rsidRPr="00143624" w:rsidRDefault="005B63A2" w:rsidP="005B63A2">
            <w:pPr>
              <w:pStyle w:val="TableHeading"/>
            </w:pPr>
            <w:r w:rsidRPr="00143624">
              <w:t>Name of institution</w:t>
            </w:r>
          </w:p>
        </w:tc>
        <w:tc>
          <w:tcPr>
            <w:tcW w:w="825" w:type="pct"/>
            <w:tcBorders>
              <w:top w:val="single" w:sz="6" w:space="0" w:color="auto"/>
            </w:tcBorders>
            <w:shd w:val="clear" w:color="auto" w:fill="auto"/>
          </w:tcPr>
          <w:p w:rsidR="005B63A2" w:rsidRPr="00143624" w:rsidRDefault="005B63A2" w:rsidP="005B63A2">
            <w:pPr>
              <w:pStyle w:val="TableHeading"/>
            </w:pPr>
            <w:r w:rsidRPr="00143624">
              <w:t>Column 2</w:t>
            </w:r>
          </w:p>
          <w:p w:rsidR="005B63A2" w:rsidRPr="00143624" w:rsidRDefault="005B63A2" w:rsidP="005B63A2">
            <w:pPr>
              <w:pStyle w:val="TableHeading"/>
            </w:pPr>
            <w:r w:rsidRPr="00143624">
              <w:t>Ending date</w:t>
            </w:r>
          </w:p>
        </w:tc>
      </w:tr>
      <w:tr w:rsidR="005B63A2" w:rsidRPr="00143624" w:rsidTr="003104D0">
        <w:tc>
          <w:tcPr>
            <w:tcW w:w="429" w:type="pct"/>
            <w:tcBorders>
              <w:top w:val="single" w:sz="12" w:space="0" w:color="auto"/>
            </w:tcBorders>
            <w:shd w:val="clear" w:color="auto" w:fill="auto"/>
          </w:tcPr>
          <w:p w:rsidR="005B63A2" w:rsidRPr="00143624" w:rsidRDefault="005B63A2" w:rsidP="005B63A2">
            <w:pPr>
              <w:pStyle w:val="Tabletext"/>
            </w:pPr>
            <w:r w:rsidRPr="00143624">
              <w:t>1</w:t>
            </w:r>
          </w:p>
        </w:tc>
        <w:tc>
          <w:tcPr>
            <w:tcW w:w="3746" w:type="pct"/>
            <w:tcBorders>
              <w:top w:val="single" w:sz="12" w:space="0" w:color="auto"/>
            </w:tcBorders>
            <w:shd w:val="clear" w:color="auto" w:fill="auto"/>
          </w:tcPr>
          <w:p w:rsidR="005B63A2" w:rsidRPr="00143624" w:rsidRDefault="005B63A2" w:rsidP="005B63A2">
            <w:pPr>
              <w:pStyle w:val="Tabletext"/>
            </w:pPr>
            <w:proofErr w:type="spellStart"/>
            <w:r w:rsidRPr="00143624">
              <w:t>Alkitab</w:t>
            </w:r>
            <w:proofErr w:type="spellEnd"/>
            <w:r w:rsidRPr="00143624">
              <w:t xml:space="preserve"> Inc</w:t>
            </w:r>
          </w:p>
        </w:tc>
        <w:tc>
          <w:tcPr>
            <w:tcW w:w="825" w:type="pct"/>
            <w:tcBorders>
              <w:top w:val="single" w:sz="12" w:space="0" w:color="auto"/>
            </w:tcBorders>
            <w:shd w:val="clear" w:color="auto" w:fill="auto"/>
          </w:tcPr>
          <w:p w:rsidR="005B63A2" w:rsidRPr="00143624" w:rsidRDefault="005B63A2" w:rsidP="005B63A2">
            <w:pPr>
              <w:pStyle w:val="Tabletext"/>
            </w:pPr>
            <w:r w:rsidRPr="00143624">
              <w:t>none</w:t>
            </w:r>
          </w:p>
        </w:tc>
      </w:tr>
      <w:tr w:rsidR="005B63A2" w:rsidRPr="00143624" w:rsidTr="003104D0">
        <w:tc>
          <w:tcPr>
            <w:tcW w:w="429" w:type="pct"/>
            <w:shd w:val="clear" w:color="auto" w:fill="auto"/>
          </w:tcPr>
          <w:p w:rsidR="005B63A2" w:rsidRPr="00143624" w:rsidRDefault="005B63A2" w:rsidP="005B63A2">
            <w:pPr>
              <w:pStyle w:val="Tabletext"/>
            </w:pPr>
            <w:r w:rsidRPr="00143624">
              <w:t>2</w:t>
            </w:r>
          </w:p>
        </w:tc>
        <w:tc>
          <w:tcPr>
            <w:tcW w:w="3746" w:type="pct"/>
            <w:shd w:val="clear" w:color="auto" w:fill="auto"/>
          </w:tcPr>
          <w:p w:rsidR="005B63A2" w:rsidRPr="00143624" w:rsidRDefault="005B63A2" w:rsidP="005B63A2">
            <w:pPr>
              <w:pStyle w:val="Tabletext"/>
            </w:pPr>
            <w:r w:rsidRPr="00143624">
              <w:t>Asia</w:t>
            </w:r>
            <w:r w:rsidR="00143624">
              <w:noBreakHyphen/>
            </w:r>
            <w:r w:rsidRPr="00143624">
              <w:t>Pacific Christadelphian Bible Mission Incorporated</w:t>
            </w:r>
          </w:p>
        </w:tc>
        <w:tc>
          <w:tcPr>
            <w:tcW w:w="825" w:type="pct"/>
            <w:shd w:val="clear" w:color="auto" w:fill="auto"/>
          </w:tcPr>
          <w:p w:rsidR="005B63A2" w:rsidRPr="00143624" w:rsidRDefault="005B63A2" w:rsidP="005B63A2">
            <w:pPr>
              <w:pStyle w:val="Tabletext"/>
            </w:pPr>
            <w:r w:rsidRPr="00143624">
              <w:t>none</w:t>
            </w:r>
          </w:p>
        </w:tc>
      </w:tr>
      <w:tr w:rsidR="005B63A2" w:rsidRPr="00143624" w:rsidTr="003104D0">
        <w:tc>
          <w:tcPr>
            <w:tcW w:w="429" w:type="pct"/>
            <w:shd w:val="clear" w:color="auto" w:fill="auto"/>
          </w:tcPr>
          <w:p w:rsidR="005B63A2" w:rsidRPr="00143624" w:rsidRDefault="005B63A2" w:rsidP="005B63A2">
            <w:pPr>
              <w:pStyle w:val="Tabletext"/>
            </w:pPr>
            <w:r w:rsidRPr="00143624">
              <w:t>3</w:t>
            </w:r>
          </w:p>
        </w:tc>
        <w:tc>
          <w:tcPr>
            <w:tcW w:w="3746" w:type="pct"/>
            <w:shd w:val="clear" w:color="auto" w:fill="auto"/>
          </w:tcPr>
          <w:p w:rsidR="005B63A2" w:rsidRPr="00143624" w:rsidRDefault="005B63A2" w:rsidP="005B63A2">
            <w:pPr>
              <w:pStyle w:val="Tabletext"/>
            </w:pPr>
            <w:r w:rsidRPr="00143624">
              <w:t>Australian Advisory Council of the Christian Leaders’ Training College of Papua New Guinea</w:t>
            </w:r>
          </w:p>
        </w:tc>
        <w:tc>
          <w:tcPr>
            <w:tcW w:w="825" w:type="pct"/>
            <w:shd w:val="clear" w:color="auto" w:fill="auto"/>
          </w:tcPr>
          <w:p w:rsidR="005B63A2" w:rsidRPr="00143624" w:rsidRDefault="005B63A2" w:rsidP="005B63A2">
            <w:pPr>
              <w:pStyle w:val="Tabletext"/>
            </w:pPr>
            <w:r w:rsidRPr="00143624">
              <w:t>none</w:t>
            </w:r>
          </w:p>
        </w:tc>
      </w:tr>
      <w:tr w:rsidR="005B63A2" w:rsidRPr="00143624" w:rsidTr="003104D0">
        <w:tc>
          <w:tcPr>
            <w:tcW w:w="429" w:type="pct"/>
            <w:shd w:val="clear" w:color="auto" w:fill="auto"/>
          </w:tcPr>
          <w:p w:rsidR="005B63A2" w:rsidRPr="00143624" w:rsidRDefault="005B63A2" w:rsidP="005B63A2">
            <w:pPr>
              <w:pStyle w:val="Tabletext"/>
            </w:pPr>
            <w:r w:rsidRPr="00143624">
              <w:t>4</w:t>
            </w:r>
          </w:p>
        </w:tc>
        <w:tc>
          <w:tcPr>
            <w:tcW w:w="3746" w:type="pct"/>
            <w:shd w:val="clear" w:color="auto" w:fill="auto"/>
          </w:tcPr>
          <w:p w:rsidR="005B63A2" w:rsidRPr="00143624" w:rsidRDefault="005B63A2" w:rsidP="005B63A2">
            <w:pPr>
              <w:pStyle w:val="Tabletext"/>
            </w:pPr>
            <w:r w:rsidRPr="00143624">
              <w:t>Australian Evangelical Alliance Incorporated (Missions Interlink)</w:t>
            </w:r>
          </w:p>
        </w:tc>
        <w:tc>
          <w:tcPr>
            <w:tcW w:w="825" w:type="pct"/>
            <w:shd w:val="clear" w:color="auto" w:fill="auto"/>
          </w:tcPr>
          <w:p w:rsidR="005B63A2" w:rsidRPr="00143624" w:rsidRDefault="005B63A2" w:rsidP="005B63A2">
            <w:pPr>
              <w:pStyle w:val="Tabletext"/>
            </w:pPr>
            <w:r w:rsidRPr="00143624">
              <w:t>none</w:t>
            </w:r>
          </w:p>
        </w:tc>
      </w:tr>
      <w:tr w:rsidR="005B63A2" w:rsidRPr="00143624" w:rsidTr="003104D0">
        <w:tc>
          <w:tcPr>
            <w:tcW w:w="429" w:type="pct"/>
            <w:shd w:val="clear" w:color="auto" w:fill="auto"/>
          </w:tcPr>
          <w:p w:rsidR="005B63A2" w:rsidRPr="00143624" w:rsidRDefault="005B63A2" w:rsidP="005B63A2">
            <w:pPr>
              <w:pStyle w:val="Tabletext"/>
            </w:pPr>
            <w:r w:rsidRPr="00143624">
              <w:t>5</w:t>
            </w:r>
          </w:p>
        </w:tc>
        <w:tc>
          <w:tcPr>
            <w:tcW w:w="3746" w:type="pct"/>
            <w:shd w:val="clear" w:color="auto" w:fill="auto"/>
          </w:tcPr>
          <w:p w:rsidR="005B63A2" w:rsidRPr="00143624" w:rsidRDefault="005B63A2" w:rsidP="005B63A2">
            <w:pPr>
              <w:pStyle w:val="Tabletext"/>
            </w:pPr>
            <w:r w:rsidRPr="00143624">
              <w:t>Steer Incorporated</w:t>
            </w:r>
          </w:p>
        </w:tc>
        <w:tc>
          <w:tcPr>
            <w:tcW w:w="825" w:type="pct"/>
            <w:shd w:val="clear" w:color="auto" w:fill="auto"/>
          </w:tcPr>
          <w:p w:rsidR="005B63A2" w:rsidRPr="00143624" w:rsidRDefault="005B63A2" w:rsidP="005B63A2">
            <w:pPr>
              <w:pStyle w:val="Tabletext"/>
            </w:pPr>
            <w:r w:rsidRPr="00143624">
              <w:t>none</w:t>
            </w:r>
          </w:p>
        </w:tc>
      </w:tr>
      <w:tr w:rsidR="005B63A2" w:rsidRPr="00143624" w:rsidTr="003104D0">
        <w:tc>
          <w:tcPr>
            <w:tcW w:w="429" w:type="pct"/>
            <w:shd w:val="clear" w:color="auto" w:fill="auto"/>
          </w:tcPr>
          <w:p w:rsidR="005B63A2" w:rsidRPr="00143624" w:rsidRDefault="005B63A2" w:rsidP="005B63A2">
            <w:pPr>
              <w:pStyle w:val="Tabletext"/>
            </w:pPr>
            <w:r w:rsidRPr="00143624">
              <w:t>6</w:t>
            </w:r>
          </w:p>
        </w:tc>
        <w:tc>
          <w:tcPr>
            <w:tcW w:w="3746" w:type="pct"/>
            <w:shd w:val="clear" w:color="auto" w:fill="auto"/>
          </w:tcPr>
          <w:p w:rsidR="005B63A2" w:rsidRPr="00143624" w:rsidRDefault="005B63A2" w:rsidP="005B63A2">
            <w:pPr>
              <w:pStyle w:val="Tabletext"/>
            </w:pPr>
            <w:r w:rsidRPr="00143624">
              <w:t>The Trustees of the Marist Missions of the Pacific</w:t>
            </w:r>
          </w:p>
        </w:tc>
        <w:tc>
          <w:tcPr>
            <w:tcW w:w="825" w:type="pct"/>
            <w:shd w:val="clear" w:color="auto" w:fill="auto"/>
          </w:tcPr>
          <w:p w:rsidR="005B63A2" w:rsidRPr="00143624" w:rsidRDefault="005B63A2" w:rsidP="005B63A2">
            <w:pPr>
              <w:pStyle w:val="Tabletext"/>
            </w:pPr>
            <w:r w:rsidRPr="00143624">
              <w:t>none</w:t>
            </w:r>
          </w:p>
        </w:tc>
      </w:tr>
      <w:tr w:rsidR="005B63A2" w:rsidRPr="00143624" w:rsidTr="003104D0">
        <w:tc>
          <w:tcPr>
            <w:tcW w:w="429" w:type="pct"/>
            <w:shd w:val="clear" w:color="auto" w:fill="auto"/>
          </w:tcPr>
          <w:p w:rsidR="005B63A2" w:rsidRPr="00143624" w:rsidRDefault="005B63A2" w:rsidP="005B63A2">
            <w:pPr>
              <w:pStyle w:val="Tabletext"/>
            </w:pPr>
            <w:r w:rsidRPr="00143624">
              <w:t>7</w:t>
            </w:r>
          </w:p>
        </w:tc>
        <w:tc>
          <w:tcPr>
            <w:tcW w:w="3746" w:type="pct"/>
            <w:shd w:val="clear" w:color="auto" w:fill="auto"/>
          </w:tcPr>
          <w:p w:rsidR="005B63A2" w:rsidRPr="00143624" w:rsidRDefault="005B63A2" w:rsidP="005B63A2">
            <w:pPr>
              <w:pStyle w:val="Tabletext"/>
            </w:pPr>
            <w:r w:rsidRPr="00143624">
              <w:t>Zebedee Investments Limited</w:t>
            </w:r>
          </w:p>
        </w:tc>
        <w:tc>
          <w:tcPr>
            <w:tcW w:w="825" w:type="pct"/>
            <w:shd w:val="clear" w:color="auto" w:fill="auto"/>
          </w:tcPr>
          <w:p w:rsidR="005B63A2" w:rsidRPr="00143624" w:rsidRDefault="005B63A2" w:rsidP="005B63A2">
            <w:pPr>
              <w:pStyle w:val="Tabletext"/>
            </w:pPr>
            <w:r w:rsidRPr="00143624">
              <w:t>none</w:t>
            </w:r>
          </w:p>
        </w:tc>
      </w:tr>
      <w:tr w:rsidR="005B63A2" w:rsidRPr="00143624" w:rsidTr="003104D0">
        <w:tc>
          <w:tcPr>
            <w:tcW w:w="429" w:type="pct"/>
            <w:tcBorders>
              <w:top w:val="single" w:sz="2" w:space="0" w:color="auto"/>
              <w:bottom w:val="single" w:sz="2" w:space="0" w:color="auto"/>
            </w:tcBorders>
            <w:shd w:val="clear" w:color="auto" w:fill="auto"/>
          </w:tcPr>
          <w:p w:rsidR="005B63A2" w:rsidRPr="00143624" w:rsidRDefault="005B63A2" w:rsidP="005B63A2">
            <w:pPr>
              <w:pStyle w:val="Tabletext"/>
            </w:pPr>
            <w:r w:rsidRPr="00143624">
              <w:lastRenderedPageBreak/>
              <w:t>8</w:t>
            </w:r>
          </w:p>
        </w:tc>
        <w:tc>
          <w:tcPr>
            <w:tcW w:w="3746" w:type="pct"/>
            <w:tcBorders>
              <w:top w:val="single" w:sz="2" w:space="0" w:color="auto"/>
              <w:bottom w:val="single" w:sz="2" w:space="0" w:color="auto"/>
            </w:tcBorders>
            <w:shd w:val="clear" w:color="auto" w:fill="auto"/>
          </w:tcPr>
          <w:p w:rsidR="005B63A2" w:rsidRPr="00143624" w:rsidRDefault="005B63A2" w:rsidP="005B63A2">
            <w:pPr>
              <w:pStyle w:val="Tabletext"/>
            </w:pPr>
            <w:r w:rsidRPr="00143624">
              <w:t>Millennium Relief and Development Services Incorporated</w:t>
            </w:r>
          </w:p>
        </w:tc>
        <w:tc>
          <w:tcPr>
            <w:tcW w:w="825" w:type="pct"/>
            <w:tcBorders>
              <w:top w:val="single" w:sz="2" w:space="0" w:color="auto"/>
              <w:bottom w:val="single" w:sz="2" w:space="0" w:color="auto"/>
            </w:tcBorders>
            <w:shd w:val="clear" w:color="auto" w:fill="auto"/>
          </w:tcPr>
          <w:p w:rsidR="005B63A2" w:rsidRPr="00143624" w:rsidRDefault="005B63A2" w:rsidP="005B63A2">
            <w:pPr>
              <w:pStyle w:val="Tabletext"/>
            </w:pPr>
            <w:r w:rsidRPr="00143624">
              <w:t>none</w:t>
            </w:r>
          </w:p>
        </w:tc>
      </w:tr>
      <w:tr w:rsidR="005B63A2" w:rsidRPr="00143624" w:rsidTr="003104D0">
        <w:tc>
          <w:tcPr>
            <w:tcW w:w="429"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9</w:t>
            </w:r>
          </w:p>
        </w:tc>
        <w:tc>
          <w:tcPr>
            <w:tcW w:w="3746"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The MITRE Corporation</w:t>
            </w:r>
          </w:p>
        </w:tc>
        <w:tc>
          <w:tcPr>
            <w:tcW w:w="825"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30</w:t>
            </w:r>
            <w:r w:rsidR="002B1A95" w:rsidRPr="00143624">
              <w:t> </w:t>
            </w:r>
            <w:r w:rsidRPr="00143624">
              <w:t>June 2022</w:t>
            </w:r>
          </w:p>
        </w:tc>
      </w:tr>
    </w:tbl>
    <w:p w:rsidR="005B63A2" w:rsidRPr="00143624" w:rsidRDefault="005B63A2" w:rsidP="005B63A2">
      <w:pPr>
        <w:pStyle w:val="ActHead5"/>
      </w:pPr>
      <w:bookmarkStart w:id="32" w:name="_Toc64030290"/>
      <w:r w:rsidRPr="003F3E0B">
        <w:rPr>
          <w:rStyle w:val="CharSectno"/>
        </w:rPr>
        <w:t>50</w:t>
      </w:r>
      <w:r w:rsidR="00143624" w:rsidRPr="003F3E0B">
        <w:rPr>
          <w:rStyle w:val="CharSectno"/>
        </w:rPr>
        <w:noBreakHyphen/>
      </w:r>
      <w:r w:rsidRPr="003F3E0B">
        <w:rPr>
          <w:rStyle w:val="CharSectno"/>
        </w:rPr>
        <w:t>55.01</w:t>
      </w:r>
      <w:r w:rsidRPr="00143624">
        <w:t xml:space="preserve">  Prescribed institutions for items</w:t>
      </w:r>
      <w:r w:rsidR="002B1A95" w:rsidRPr="00143624">
        <w:t> </w:t>
      </w:r>
      <w:r w:rsidRPr="00143624">
        <w:t>1.3, 1.4, 6.1 and 6.2 in Division</w:t>
      </w:r>
      <w:r w:rsidR="002B1A95" w:rsidRPr="00143624">
        <w:t> </w:t>
      </w:r>
      <w:r w:rsidRPr="00143624">
        <w:t>50</w:t>
      </w:r>
      <w:r w:rsidR="00D26815" w:rsidRPr="00143624">
        <w:t xml:space="preserve"> of the Act</w:t>
      </w:r>
      <w:bookmarkEnd w:id="32"/>
    </w:p>
    <w:p w:rsidR="005B63A2" w:rsidRPr="00143624" w:rsidRDefault="005B63A2" w:rsidP="005B63A2">
      <w:pPr>
        <w:pStyle w:val="subsection"/>
      </w:pPr>
      <w:r w:rsidRPr="00143624">
        <w:tab/>
      </w:r>
      <w:r w:rsidRPr="00143624">
        <w:tab/>
        <w:t>For the purposes of paragraph</w:t>
      </w:r>
      <w:r w:rsidR="002B1A95" w:rsidRPr="00143624">
        <w:t> </w:t>
      </w:r>
      <w:r w:rsidRPr="00143624">
        <w:t>50</w:t>
      </w:r>
      <w:r w:rsidR="00143624">
        <w:noBreakHyphen/>
      </w:r>
      <w:r w:rsidRPr="00143624">
        <w:t>55(1)(c) of the Act, each institution mentioned in an item in the following table is a prescribed institution until the date specified (if any) in column 2 for the item.</w:t>
      </w:r>
    </w:p>
    <w:p w:rsidR="005B63A2" w:rsidRPr="00143624"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388"/>
        <w:gridCol w:w="1409"/>
      </w:tblGrid>
      <w:tr w:rsidR="005B63A2" w:rsidRPr="00143624" w:rsidTr="003104D0">
        <w:trPr>
          <w:tblHeader/>
        </w:trPr>
        <w:tc>
          <w:tcPr>
            <w:tcW w:w="5000" w:type="pct"/>
            <w:gridSpan w:val="3"/>
            <w:tcBorders>
              <w:top w:val="single" w:sz="12" w:space="0" w:color="auto"/>
              <w:bottom w:val="single" w:sz="6" w:space="0" w:color="auto"/>
            </w:tcBorders>
            <w:shd w:val="clear" w:color="auto" w:fill="auto"/>
          </w:tcPr>
          <w:p w:rsidR="005B63A2" w:rsidRPr="00143624" w:rsidRDefault="005B63A2" w:rsidP="005B63A2">
            <w:pPr>
              <w:pStyle w:val="TableHeading"/>
            </w:pPr>
            <w:r w:rsidRPr="00143624">
              <w:t>Prescribed institutions for items</w:t>
            </w:r>
            <w:r w:rsidR="002B1A95" w:rsidRPr="00143624">
              <w:t> </w:t>
            </w:r>
            <w:r w:rsidRPr="00143624">
              <w:t>1.3, 1.4, 6.1 and 6.2 in Division</w:t>
            </w:r>
            <w:r w:rsidR="002B1A95" w:rsidRPr="00143624">
              <w:t> </w:t>
            </w:r>
            <w:r w:rsidRPr="00143624">
              <w:t>50</w:t>
            </w:r>
            <w:r w:rsidR="00D26815" w:rsidRPr="00143624">
              <w:t xml:space="preserve"> of the Act</w:t>
            </w:r>
          </w:p>
        </w:tc>
      </w:tr>
      <w:tr w:rsidR="005B63A2" w:rsidRPr="00143624" w:rsidTr="003104D0">
        <w:trPr>
          <w:tblHeader/>
        </w:trPr>
        <w:tc>
          <w:tcPr>
            <w:tcW w:w="429"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Item</w:t>
            </w:r>
          </w:p>
        </w:tc>
        <w:tc>
          <w:tcPr>
            <w:tcW w:w="3745"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Column 1</w:t>
            </w:r>
          </w:p>
          <w:p w:rsidR="005B63A2" w:rsidRPr="00143624" w:rsidRDefault="005B63A2" w:rsidP="005B63A2">
            <w:pPr>
              <w:pStyle w:val="TableHeading"/>
            </w:pPr>
            <w:r w:rsidRPr="00143624">
              <w:t>Name of institution</w:t>
            </w:r>
          </w:p>
        </w:tc>
        <w:tc>
          <w:tcPr>
            <w:tcW w:w="825"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Column 2</w:t>
            </w:r>
          </w:p>
          <w:p w:rsidR="005B63A2" w:rsidRPr="00143624" w:rsidRDefault="005B63A2" w:rsidP="005B63A2">
            <w:pPr>
              <w:pStyle w:val="TableHeading"/>
            </w:pPr>
            <w:r w:rsidRPr="00143624">
              <w:t>Ending date</w:t>
            </w:r>
          </w:p>
        </w:tc>
      </w:tr>
      <w:tr w:rsidR="005B63A2" w:rsidRPr="00143624" w:rsidTr="003104D0">
        <w:tc>
          <w:tcPr>
            <w:tcW w:w="429" w:type="pct"/>
            <w:tcBorders>
              <w:top w:val="single" w:sz="12" w:space="0" w:color="auto"/>
              <w:bottom w:val="single" w:sz="12" w:space="0" w:color="auto"/>
            </w:tcBorders>
            <w:shd w:val="clear" w:color="auto" w:fill="auto"/>
          </w:tcPr>
          <w:p w:rsidR="005B63A2" w:rsidRPr="00143624" w:rsidRDefault="005B63A2" w:rsidP="005B63A2">
            <w:pPr>
              <w:pStyle w:val="Tabletext"/>
            </w:pPr>
            <w:r w:rsidRPr="00143624">
              <w:t>1</w:t>
            </w:r>
          </w:p>
        </w:tc>
        <w:tc>
          <w:tcPr>
            <w:tcW w:w="3745" w:type="pct"/>
            <w:tcBorders>
              <w:top w:val="single" w:sz="12" w:space="0" w:color="auto"/>
              <w:bottom w:val="single" w:sz="12" w:space="0" w:color="auto"/>
            </w:tcBorders>
            <w:shd w:val="clear" w:color="auto" w:fill="auto"/>
          </w:tcPr>
          <w:p w:rsidR="005B63A2" w:rsidRPr="00143624" w:rsidRDefault="005B63A2" w:rsidP="005B63A2">
            <w:pPr>
              <w:pStyle w:val="Tabletext"/>
            </w:pPr>
            <w:r w:rsidRPr="00143624">
              <w:t>Kiribati Phoenix Islands Protected Area Conservation Trust</w:t>
            </w:r>
          </w:p>
        </w:tc>
        <w:tc>
          <w:tcPr>
            <w:tcW w:w="825" w:type="pct"/>
            <w:tcBorders>
              <w:top w:val="single" w:sz="12" w:space="0" w:color="auto"/>
              <w:bottom w:val="single" w:sz="12" w:space="0" w:color="auto"/>
            </w:tcBorders>
            <w:shd w:val="clear" w:color="auto" w:fill="auto"/>
          </w:tcPr>
          <w:p w:rsidR="005B63A2" w:rsidRPr="00143624" w:rsidRDefault="005B63A2" w:rsidP="005B63A2">
            <w:pPr>
              <w:pStyle w:val="Tabletext"/>
            </w:pPr>
            <w:r w:rsidRPr="00143624">
              <w:t>30</w:t>
            </w:r>
            <w:r w:rsidR="002B1A95" w:rsidRPr="00143624">
              <w:t> </w:t>
            </w:r>
            <w:r w:rsidRPr="00143624">
              <w:t>June 2023</w:t>
            </w:r>
          </w:p>
        </w:tc>
      </w:tr>
    </w:tbl>
    <w:p w:rsidR="005B63A2" w:rsidRPr="00143624" w:rsidRDefault="005B63A2" w:rsidP="005B63A2">
      <w:pPr>
        <w:pStyle w:val="ActHead3"/>
        <w:pageBreakBefore/>
      </w:pPr>
      <w:bookmarkStart w:id="33" w:name="_Toc64030291"/>
      <w:r w:rsidRPr="003F3E0B">
        <w:rPr>
          <w:rStyle w:val="CharDivNo"/>
        </w:rPr>
        <w:lastRenderedPageBreak/>
        <w:t>Division</w:t>
      </w:r>
      <w:r w:rsidR="002B1A95" w:rsidRPr="003F3E0B">
        <w:rPr>
          <w:rStyle w:val="CharDivNo"/>
        </w:rPr>
        <w:t> </w:t>
      </w:r>
      <w:r w:rsidRPr="003F3E0B">
        <w:rPr>
          <w:rStyle w:val="CharDivNo"/>
        </w:rPr>
        <w:t>51</w:t>
      </w:r>
      <w:r w:rsidRPr="00143624">
        <w:t>—</w:t>
      </w:r>
      <w:r w:rsidRPr="003F3E0B">
        <w:rPr>
          <w:rStyle w:val="CharDivText"/>
        </w:rPr>
        <w:t>Exempt amounts</w:t>
      </w:r>
      <w:bookmarkEnd w:id="33"/>
    </w:p>
    <w:p w:rsidR="005B63A2" w:rsidRPr="00143624" w:rsidRDefault="005B63A2" w:rsidP="005B63A2">
      <w:pPr>
        <w:pStyle w:val="ActHead5"/>
      </w:pPr>
      <w:bookmarkStart w:id="34" w:name="_Toc64030292"/>
      <w:r w:rsidRPr="003F3E0B">
        <w:rPr>
          <w:rStyle w:val="CharSectno"/>
        </w:rPr>
        <w:t>51</w:t>
      </w:r>
      <w:r w:rsidR="00143624" w:rsidRPr="003F3E0B">
        <w:rPr>
          <w:rStyle w:val="CharSectno"/>
        </w:rPr>
        <w:noBreakHyphen/>
      </w:r>
      <w:r w:rsidRPr="003F3E0B">
        <w:rPr>
          <w:rStyle w:val="CharSectno"/>
        </w:rPr>
        <w:t>5.01</w:t>
      </w:r>
      <w:r w:rsidRPr="00143624">
        <w:t xml:space="preserve">  Defence allowances</w:t>
      </w:r>
      <w:bookmarkEnd w:id="34"/>
    </w:p>
    <w:p w:rsidR="005B63A2" w:rsidRPr="00143624" w:rsidRDefault="005B63A2" w:rsidP="005B63A2">
      <w:pPr>
        <w:pStyle w:val="subsection"/>
      </w:pPr>
      <w:r w:rsidRPr="00143624">
        <w:tab/>
        <w:t>(1)</w:t>
      </w:r>
      <w:r w:rsidRPr="00143624">
        <w:tab/>
        <w:t>For the purposes of items</w:t>
      </w:r>
      <w:r w:rsidR="002B1A95" w:rsidRPr="00143624">
        <w:t> </w:t>
      </w:r>
      <w:r w:rsidRPr="00143624">
        <w:t>1.1 and 1.2 of section</w:t>
      </w:r>
      <w:r w:rsidR="002B1A95" w:rsidRPr="00143624">
        <w:t> </w:t>
      </w:r>
      <w:r w:rsidRPr="00143624">
        <w:t>51</w:t>
      </w:r>
      <w:r w:rsidR="00143624">
        <w:noBreakHyphen/>
      </w:r>
      <w:r w:rsidRPr="00143624">
        <w:t>5 of the Act, an allowance specified in an item of the following table is prescribed if the allowance is either:</w:t>
      </w:r>
    </w:p>
    <w:p w:rsidR="005B63A2" w:rsidRPr="00143624" w:rsidRDefault="005B63A2" w:rsidP="005B63A2">
      <w:pPr>
        <w:pStyle w:val="paragraph"/>
      </w:pPr>
      <w:r w:rsidRPr="00143624">
        <w:tab/>
        <w:t>(a)</w:t>
      </w:r>
      <w:r w:rsidRPr="00143624">
        <w:tab/>
        <w:t>paid under the specified provision of the 2013 allowances determination; or</w:t>
      </w:r>
    </w:p>
    <w:p w:rsidR="005B63A2" w:rsidRPr="00143624" w:rsidRDefault="005B63A2" w:rsidP="005B63A2">
      <w:pPr>
        <w:pStyle w:val="paragraph"/>
      </w:pPr>
      <w:r w:rsidRPr="00143624">
        <w:tab/>
        <w:t>(b)</w:t>
      </w:r>
      <w:r w:rsidRPr="00143624">
        <w:tab/>
        <w:t>paid under the specified provision of the conditions determination.</w:t>
      </w:r>
    </w:p>
    <w:p w:rsidR="005B63A2" w:rsidRPr="00143624"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4790"/>
        <w:gridCol w:w="3007"/>
      </w:tblGrid>
      <w:tr w:rsidR="005B63A2" w:rsidRPr="00143624" w:rsidTr="003104D0">
        <w:trPr>
          <w:tblHeader/>
        </w:trPr>
        <w:tc>
          <w:tcPr>
            <w:tcW w:w="5000" w:type="pct"/>
            <w:gridSpan w:val="3"/>
            <w:tcBorders>
              <w:top w:val="single" w:sz="12" w:space="0" w:color="auto"/>
              <w:bottom w:val="single" w:sz="6" w:space="0" w:color="auto"/>
            </w:tcBorders>
            <w:shd w:val="clear" w:color="auto" w:fill="auto"/>
          </w:tcPr>
          <w:p w:rsidR="005B63A2" w:rsidRPr="00143624" w:rsidRDefault="005B63A2" w:rsidP="005B63A2">
            <w:pPr>
              <w:pStyle w:val="TableHeading"/>
            </w:pPr>
            <w:r w:rsidRPr="00143624">
              <w:t>Prescribed allowances</w:t>
            </w:r>
          </w:p>
        </w:tc>
      </w:tr>
      <w:tr w:rsidR="005B63A2" w:rsidRPr="00143624" w:rsidTr="003104D0">
        <w:trPr>
          <w:tblHeader/>
        </w:trPr>
        <w:tc>
          <w:tcPr>
            <w:tcW w:w="429"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Item</w:t>
            </w:r>
          </w:p>
        </w:tc>
        <w:tc>
          <w:tcPr>
            <w:tcW w:w="2808"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Column 1</w:t>
            </w:r>
          </w:p>
          <w:p w:rsidR="005B63A2" w:rsidRPr="00143624" w:rsidRDefault="005B63A2" w:rsidP="005B63A2">
            <w:pPr>
              <w:pStyle w:val="TableHeading"/>
            </w:pPr>
            <w:r w:rsidRPr="00143624">
              <w:t>Allowance</w:t>
            </w:r>
          </w:p>
        </w:tc>
        <w:tc>
          <w:tcPr>
            <w:tcW w:w="1763"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Column 2</w:t>
            </w:r>
          </w:p>
          <w:p w:rsidR="005B63A2" w:rsidRPr="00143624" w:rsidRDefault="005B63A2" w:rsidP="005B63A2">
            <w:pPr>
              <w:pStyle w:val="TableHeading"/>
            </w:pPr>
            <w:r w:rsidRPr="00143624">
              <w:t>Provision</w:t>
            </w:r>
          </w:p>
        </w:tc>
      </w:tr>
      <w:tr w:rsidR="005B63A2" w:rsidRPr="00143624" w:rsidTr="003104D0">
        <w:tc>
          <w:tcPr>
            <w:tcW w:w="429" w:type="pct"/>
            <w:tcBorders>
              <w:top w:val="single" w:sz="12" w:space="0" w:color="auto"/>
            </w:tcBorders>
            <w:shd w:val="clear" w:color="auto" w:fill="auto"/>
          </w:tcPr>
          <w:p w:rsidR="005B63A2" w:rsidRPr="00143624" w:rsidRDefault="005B63A2" w:rsidP="005B63A2">
            <w:pPr>
              <w:pStyle w:val="Tabletext"/>
            </w:pPr>
            <w:r w:rsidRPr="00143624">
              <w:t>1</w:t>
            </w:r>
          </w:p>
        </w:tc>
        <w:tc>
          <w:tcPr>
            <w:tcW w:w="2808" w:type="pct"/>
            <w:tcBorders>
              <w:top w:val="single" w:sz="12" w:space="0" w:color="auto"/>
            </w:tcBorders>
            <w:shd w:val="clear" w:color="auto" w:fill="auto"/>
          </w:tcPr>
          <w:p w:rsidR="005B63A2" w:rsidRPr="00143624" w:rsidRDefault="005B63A2" w:rsidP="005B63A2">
            <w:pPr>
              <w:pStyle w:val="Tabletext"/>
            </w:pPr>
            <w:r w:rsidRPr="00143624">
              <w:t>Separation allowance</w:t>
            </w:r>
          </w:p>
        </w:tc>
        <w:tc>
          <w:tcPr>
            <w:tcW w:w="1763" w:type="pct"/>
            <w:tcBorders>
              <w:top w:val="single" w:sz="12" w:space="0" w:color="auto"/>
            </w:tcBorders>
            <w:shd w:val="clear" w:color="auto" w:fill="auto"/>
          </w:tcPr>
          <w:p w:rsidR="005B63A2" w:rsidRPr="00143624" w:rsidRDefault="005B63A2" w:rsidP="005B63A2">
            <w:pPr>
              <w:pStyle w:val="Tabletext"/>
            </w:pPr>
            <w:r w:rsidRPr="00143624">
              <w:t>Division B.3 of the 2013 allowances determination</w:t>
            </w:r>
          </w:p>
        </w:tc>
      </w:tr>
      <w:tr w:rsidR="005B63A2" w:rsidRPr="00143624" w:rsidTr="003104D0">
        <w:tc>
          <w:tcPr>
            <w:tcW w:w="429" w:type="pct"/>
            <w:shd w:val="clear" w:color="auto" w:fill="auto"/>
          </w:tcPr>
          <w:p w:rsidR="005B63A2" w:rsidRPr="00143624" w:rsidRDefault="005B63A2" w:rsidP="005B63A2">
            <w:pPr>
              <w:pStyle w:val="Tabletext"/>
            </w:pPr>
            <w:r w:rsidRPr="00143624">
              <w:t>2</w:t>
            </w:r>
          </w:p>
        </w:tc>
        <w:tc>
          <w:tcPr>
            <w:tcW w:w="2808" w:type="pct"/>
            <w:shd w:val="clear" w:color="auto" w:fill="auto"/>
          </w:tcPr>
          <w:p w:rsidR="005B63A2" w:rsidRPr="00143624" w:rsidRDefault="005B63A2" w:rsidP="005B63A2">
            <w:pPr>
              <w:pStyle w:val="Tabletext"/>
            </w:pPr>
            <w:r w:rsidRPr="00143624">
              <w:t>Disturbance allowance</w:t>
            </w:r>
          </w:p>
        </w:tc>
        <w:tc>
          <w:tcPr>
            <w:tcW w:w="1763" w:type="pct"/>
            <w:shd w:val="clear" w:color="auto" w:fill="auto"/>
          </w:tcPr>
          <w:p w:rsidR="005B63A2" w:rsidRPr="00143624" w:rsidRDefault="005B63A2" w:rsidP="005B63A2">
            <w:pPr>
              <w:pStyle w:val="Tabletext"/>
            </w:pPr>
            <w:r w:rsidRPr="00143624">
              <w:t>Division</w:t>
            </w:r>
            <w:r w:rsidR="002B1A95" w:rsidRPr="00143624">
              <w:t> </w:t>
            </w:r>
            <w:r w:rsidRPr="00143624">
              <w:t>1 of Part</w:t>
            </w:r>
            <w:r w:rsidR="002B1A95" w:rsidRPr="00143624">
              <w:t> </w:t>
            </w:r>
            <w:r w:rsidRPr="00143624">
              <w:t>1 of Chapter</w:t>
            </w:r>
            <w:r w:rsidR="002B1A95" w:rsidRPr="00143624">
              <w:t> </w:t>
            </w:r>
            <w:r w:rsidRPr="00143624">
              <w:t>6 of the conditions determination</w:t>
            </w:r>
          </w:p>
        </w:tc>
      </w:tr>
      <w:tr w:rsidR="005B63A2" w:rsidRPr="00143624" w:rsidTr="003104D0">
        <w:tc>
          <w:tcPr>
            <w:tcW w:w="429" w:type="pct"/>
            <w:shd w:val="clear" w:color="auto" w:fill="auto"/>
          </w:tcPr>
          <w:p w:rsidR="005B63A2" w:rsidRPr="00143624" w:rsidRDefault="005B63A2" w:rsidP="005B63A2">
            <w:pPr>
              <w:pStyle w:val="Tabletext"/>
            </w:pPr>
            <w:r w:rsidRPr="00143624">
              <w:t>3</w:t>
            </w:r>
          </w:p>
        </w:tc>
        <w:tc>
          <w:tcPr>
            <w:tcW w:w="2808" w:type="pct"/>
            <w:shd w:val="clear" w:color="auto" w:fill="auto"/>
          </w:tcPr>
          <w:p w:rsidR="005B63A2" w:rsidRPr="00143624" w:rsidRDefault="005B63A2" w:rsidP="005B63A2">
            <w:pPr>
              <w:pStyle w:val="Tabletext"/>
            </w:pPr>
            <w:r w:rsidRPr="00143624">
              <w:t>Rent allowance paid to a member without dependants or to a member with dependants (unaccompanied)</w:t>
            </w:r>
          </w:p>
        </w:tc>
        <w:tc>
          <w:tcPr>
            <w:tcW w:w="1763" w:type="pct"/>
            <w:shd w:val="clear" w:color="auto" w:fill="auto"/>
          </w:tcPr>
          <w:p w:rsidR="005B63A2" w:rsidRPr="00143624" w:rsidRDefault="005B63A2" w:rsidP="005B63A2">
            <w:pPr>
              <w:pStyle w:val="Tabletext"/>
            </w:pPr>
            <w:r w:rsidRPr="00143624">
              <w:t>Division</w:t>
            </w:r>
            <w:r w:rsidR="002B1A95" w:rsidRPr="00143624">
              <w:t> </w:t>
            </w:r>
            <w:r w:rsidRPr="00143624">
              <w:t>1 of Part</w:t>
            </w:r>
            <w:r w:rsidR="002B1A95" w:rsidRPr="00143624">
              <w:t> </w:t>
            </w:r>
            <w:r w:rsidRPr="00143624">
              <w:t>8 of Chapter</w:t>
            </w:r>
            <w:r w:rsidR="002B1A95" w:rsidRPr="00143624">
              <w:t> </w:t>
            </w:r>
            <w:r w:rsidRPr="00143624">
              <w:t>7 of the conditions determination</w:t>
            </w:r>
          </w:p>
        </w:tc>
      </w:tr>
      <w:tr w:rsidR="005B63A2" w:rsidRPr="00143624" w:rsidTr="003104D0">
        <w:tc>
          <w:tcPr>
            <w:tcW w:w="429" w:type="pct"/>
            <w:shd w:val="clear" w:color="auto" w:fill="auto"/>
          </w:tcPr>
          <w:p w:rsidR="005B63A2" w:rsidRPr="00143624" w:rsidRDefault="005B63A2" w:rsidP="005B63A2">
            <w:pPr>
              <w:pStyle w:val="Tabletext"/>
            </w:pPr>
            <w:r w:rsidRPr="00143624">
              <w:t>4</w:t>
            </w:r>
          </w:p>
        </w:tc>
        <w:tc>
          <w:tcPr>
            <w:tcW w:w="2808" w:type="pct"/>
            <w:shd w:val="clear" w:color="auto" w:fill="auto"/>
          </w:tcPr>
          <w:p w:rsidR="005B63A2" w:rsidRPr="00143624" w:rsidRDefault="005B63A2" w:rsidP="005B63A2">
            <w:pPr>
              <w:pStyle w:val="Tabletext"/>
            </w:pPr>
            <w:r w:rsidRPr="00143624">
              <w:t>Education assistance</w:t>
            </w:r>
          </w:p>
        </w:tc>
        <w:tc>
          <w:tcPr>
            <w:tcW w:w="1763" w:type="pct"/>
            <w:shd w:val="clear" w:color="auto" w:fill="auto"/>
          </w:tcPr>
          <w:p w:rsidR="005B63A2" w:rsidRPr="00143624" w:rsidRDefault="005B63A2" w:rsidP="005B63A2">
            <w:pPr>
              <w:pStyle w:val="Tabletext"/>
            </w:pPr>
            <w:r w:rsidRPr="00143624">
              <w:t>Part</w:t>
            </w:r>
            <w:r w:rsidR="002B1A95" w:rsidRPr="00143624">
              <w:t> </w:t>
            </w:r>
            <w:r w:rsidRPr="00143624">
              <w:t>4 of Chapter</w:t>
            </w:r>
            <w:r w:rsidR="002B1A95" w:rsidRPr="00143624">
              <w:t> </w:t>
            </w:r>
            <w:r w:rsidRPr="00143624">
              <w:t>8 of the conditions determination</w:t>
            </w:r>
          </w:p>
        </w:tc>
      </w:tr>
      <w:tr w:rsidR="005B63A2" w:rsidRPr="00143624" w:rsidTr="003104D0">
        <w:tc>
          <w:tcPr>
            <w:tcW w:w="429" w:type="pct"/>
            <w:shd w:val="clear" w:color="auto" w:fill="auto"/>
          </w:tcPr>
          <w:p w:rsidR="005B63A2" w:rsidRPr="00143624" w:rsidRDefault="005B63A2" w:rsidP="005B63A2">
            <w:pPr>
              <w:pStyle w:val="Tabletext"/>
            </w:pPr>
            <w:r w:rsidRPr="00143624">
              <w:t>5</w:t>
            </w:r>
          </w:p>
        </w:tc>
        <w:tc>
          <w:tcPr>
            <w:tcW w:w="2808" w:type="pct"/>
            <w:shd w:val="clear" w:color="auto" w:fill="auto"/>
          </w:tcPr>
          <w:p w:rsidR="005B63A2" w:rsidRPr="00143624" w:rsidRDefault="005B63A2" w:rsidP="005B63A2">
            <w:pPr>
              <w:pStyle w:val="Tabletext"/>
            </w:pPr>
            <w:r w:rsidRPr="00143624">
              <w:t>Transfer allowance</w:t>
            </w:r>
          </w:p>
        </w:tc>
        <w:tc>
          <w:tcPr>
            <w:tcW w:w="1763" w:type="pct"/>
            <w:shd w:val="clear" w:color="auto" w:fill="auto"/>
          </w:tcPr>
          <w:p w:rsidR="005B63A2" w:rsidRPr="00143624" w:rsidRDefault="005B63A2" w:rsidP="005B63A2">
            <w:pPr>
              <w:pStyle w:val="Tabletext"/>
            </w:pPr>
            <w:r w:rsidRPr="00143624">
              <w:t>Division</w:t>
            </w:r>
            <w:r w:rsidR="002B1A95" w:rsidRPr="00143624">
              <w:t> </w:t>
            </w:r>
            <w:r w:rsidRPr="00143624">
              <w:t>3 of Part</w:t>
            </w:r>
            <w:r w:rsidR="002B1A95" w:rsidRPr="00143624">
              <w:t> </w:t>
            </w:r>
            <w:r w:rsidRPr="00143624">
              <w:t>3 of Chapter</w:t>
            </w:r>
            <w:r w:rsidR="002B1A95" w:rsidRPr="00143624">
              <w:t> </w:t>
            </w:r>
            <w:r w:rsidRPr="00143624">
              <w:t>14 of the conditions determination</w:t>
            </w:r>
          </w:p>
        </w:tc>
      </w:tr>
      <w:tr w:rsidR="005B63A2" w:rsidRPr="00143624" w:rsidTr="003104D0">
        <w:tc>
          <w:tcPr>
            <w:tcW w:w="429" w:type="pct"/>
            <w:shd w:val="clear" w:color="auto" w:fill="auto"/>
          </w:tcPr>
          <w:p w:rsidR="005B63A2" w:rsidRPr="00143624" w:rsidRDefault="005B63A2" w:rsidP="005B63A2">
            <w:pPr>
              <w:pStyle w:val="Tabletext"/>
            </w:pPr>
            <w:r w:rsidRPr="00143624">
              <w:t>6</w:t>
            </w:r>
          </w:p>
        </w:tc>
        <w:tc>
          <w:tcPr>
            <w:tcW w:w="2808" w:type="pct"/>
            <w:shd w:val="clear" w:color="auto" w:fill="auto"/>
          </w:tcPr>
          <w:p w:rsidR="005B63A2" w:rsidRPr="00143624" w:rsidRDefault="005B63A2" w:rsidP="005B63A2">
            <w:pPr>
              <w:pStyle w:val="Tabletext"/>
            </w:pPr>
            <w:r w:rsidRPr="00143624">
              <w:t>Reimbursement of education costs for a child educated at the location of a member’s long</w:t>
            </w:r>
            <w:r w:rsidR="00143624">
              <w:noBreakHyphen/>
            </w:r>
            <w:r w:rsidRPr="00143624">
              <w:t>term posting overseas</w:t>
            </w:r>
          </w:p>
        </w:tc>
        <w:tc>
          <w:tcPr>
            <w:tcW w:w="1763" w:type="pct"/>
            <w:shd w:val="clear" w:color="auto" w:fill="auto"/>
          </w:tcPr>
          <w:p w:rsidR="005B63A2" w:rsidRPr="00143624" w:rsidRDefault="005B63A2" w:rsidP="005B63A2">
            <w:pPr>
              <w:pStyle w:val="Tabletext"/>
            </w:pPr>
            <w:r w:rsidRPr="00143624">
              <w:t>Part</w:t>
            </w:r>
            <w:r w:rsidR="002B1A95" w:rsidRPr="00143624">
              <w:t> </w:t>
            </w:r>
            <w:r w:rsidRPr="00143624">
              <w:t>6 of Chapter</w:t>
            </w:r>
            <w:r w:rsidR="002B1A95" w:rsidRPr="00143624">
              <w:t> </w:t>
            </w:r>
            <w:r w:rsidRPr="00143624">
              <w:t>15 of the conditions determination</w:t>
            </w:r>
          </w:p>
        </w:tc>
      </w:tr>
      <w:tr w:rsidR="005B63A2" w:rsidRPr="00143624" w:rsidTr="003104D0">
        <w:tc>
          <w:tcPr>
            <w:tcW w:w="429" w:type="pct"/>
            <w:tcBorders>
              <w:bottom w:val="single" w:sz="2" w:space="0" w:color="auto"/>
            </w:tcBorders>
            <w:shd w:val="clear" w:color="auto" w:fill="auto"/>
          </w:tcPr>
          <w:p w:rsidR="005B63A2" w:rsidRPr="00143624" w:rsidRDefault="005B63A2" w:rsidP="005B63A2">
            <w:pPr>
              <w:pStyle w:val="Tabletext"/>
            </w:pPr>
            <w:r w:rsidRPr="00143624">
              <w:t>7</w:t>
            </w:r>
          </w:p>
        </w:tc>
        <w:tc>
          <w:tcPr>
            <w:tcW w:w="2808" w:type="pct"/>
            <w:tcBorders>
              <w:bottom w:val="single" w:sz="2" w:space="0" w:color="auto"/>
            </w:tcBorders>
            <w:shd w:val="clear" w:color="auto" w:fill="auto"/>
          </w:tcPr>
          <w:p w:rsidR="005B63A2" w:rsidRPr="00143624" w:rsidRDefault="005B63A2" w:rsidP="005B63A2">
            <w:pPr>
              <w:pStyle w:val="Tabletext"/>
            </w:pPr>
            <w:r w:rsidRPr="00143624">
              <w:t>Reimbursement of education costs for a child educated in Australia while the member is on a long</w:t>
            </w:r>
            <w:r w:rsidR="00143624">
              <w:noBreakHyphen/>
            </w:r>
            <w:r w:rsidRPr="00143624">
              <w:t>term posting overseas</w:t>
            </w:r>
          </w:p>
        </w:tc>
        <w:tc>
          <w:tcPr>
            <w:tcW w:w="1763" w:type="pct"/>
            <w:tcBorders>
              <w:bottom w:val="single" w:sz="2" w:space="0" w:color="auto"/>
            </w:tcBorders>
            <w:shd w:val="clear" w:color="auto" w:fill="auto"/>
          </w:tcPr>
          <w:p w:rsidR="005B63A2" w:rsidRPr="00143624" w:rsidRDefault="005B63A2" w:rsidP="005B63A2">
            <w:pPr>
              <w:pStyle w:val="Tabletext"/>
            </w:pPr>
            <w:r w:rsidRPr="00143624">
              <w:t>Division</w:t>
            </w:r>
            <w:r w:rsidR="002B1A95" w:rsidRPr="00143624">
              <w:t> </w:t>
            </w:r>
            <w:r w:rsidRPr="00143624">
              <w:t>5 of Part</w:t>
            </w:r>
            <w:r w:rsidR="002B1A95" w:rsidRPr="00143624">
              <w:t> </w:t>
            </w:r>
            <w:r w:rsidRPr="00143624">
              <w:t>6 of Chapter</w:t>
            </w:r>
            <w:r w:rsidR="002B1A95" w:rsidRPr="00143624">
              <w:t> </w:t>
            </w:r>
            <w:r w:rsidRPr="00143624">
              <w:t>15 of the conditions determination</w:t>
            </w:r>
          </w:p>
        </w:tc>
      </w:tr>
      <w:tr w:rsidR="005B63A2" w:rsidRPr="00143624" w:rsidTr="003104D0">
        <w:tc>
          <w:tcPr>
            <w:tcW w:w="429"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8</w:t>
            </w:r>
          </w:p>
        </w:tc>
        <w:tc>
          <w:tcPr>
            <w:tcW w:w="2808"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Deployment allowance</w:t>
            </w:r>
          </w:p>
        </w:tc>
        <w:tc>
          <w:tcPr>
            <w:tcW w:w="1763"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Division</w:t>
            </w:r>
            <w:r w:rsidR="002B1A95" w:rsidRPr="00143624">
              <w:t> </w:t>
            </w:r>
            <w:r w:rsidRPr="00143624">
              <w:t>1 of Part</w:t>
            </w:r>
            <w:r w:rsidR="002B1A95" w:rsidRPr="00143624">
              <w:t> </w:t>
            </w:r>
            <w:r w:rsidRPr="00143624">
              <w:t>7 of Chapter</w:t>
            </w:r>
            <w:r w:rsidR="002B1A95" w:rsidRPr="00143624">
              <w:t> </w:t>
            </w:r>
            <w:r w:rsidRPr="00143624">
              <w:t>17 of the conditions determination</w:t>
            </w:r>
          </w:p>
        </w:tc>
      </w:tr>
    </w:tbl>
    <w:p w:rsidR="005B63A2" w:rsidRPr="00143624" w:rsidRDefault="005B63A2" w:rsidP="005B63A2">
      <w:pPr>
        <w:pStyle w:val="Tabletext"/>
      </w:pPr>
    </w:p>
    <w:p w:rsidR="00634F89" w:rsidRPr="00143624" w:rsidRDefault="005B63A2" w:rsidP="005B63A2">
      <w:pPr>
        <w:pStyle w:val="subsection"/>
      </w:pPr>
      <w:r w:rsidRPr="00143624">
        <w:tab/>
      </w:r>
      <w:r w:rsidR="00634F89" w:rsidRPr="00143624">
        <w:t>(2)</w:t>
      </w:r>
      <w:r w:rsidR="00634F89" w:rsidRPr="00143624">
        <w:tab/>
        <w:t>For the purposes of item 1.7 of the table in section 51</w:t>
      </w:r>
      <w:r w:rsidR="00143624">
        <w:noBreakHyphen/>
      </w:r>
      <w:r w:rsidR="00634F89" w:rsidRPr="00143624">
        <w:t xml:space="preserve">5 of the Act, sections 14 and 14B of the </w:t>
      </w:r>
      <w:r w:rsidR="00634F89" w:rsidRPr="00143624">
        <w:rPr>
          <w:i/>
        </w:rPr>
        <w:t xml:space="preserve">Ombudsman </w:t>
      </w:r>
      <w:r w:rsidR="00143624" w:rsidRPr="00143624">
        <w:rPr>
          <w:i/>
        </w:rPr>
        <w:t>Regulations 2</w:t>
      </w:r>
      <w:r w:rsidR="00634F89" w:rsidRPr="00143624">
        <w:rPr>
          <w:i/>
        </w:rPr>
        <w:t>017</w:t>
      </w:r>
      <w:r w:rsidR="00634F89" w:rsidRPr="00143624">
        <w:t xml:space="preserve"> are prescribed.</w:t>
      </w:r>
    </w:p>
    <w:p w:rsidR="005B63A2" w:rsidRPr="00143624" w:rsidRDefault="00634F89" w:rsidP="005B63A2">
      <w:pPr>
        <w:pStyle w:val="subsection"/>
      </w:pPr>
      <w:r w:rsidRPr="00143624">
        <w:tab/>
      </w:r>
      <w:r w:rsidR="005B63A2" w:rsidRPr="00143624">
        <w:t>(</w:t>
      </w:r>
      <w:r w:rsidRPr="00143624">
        <w:t>3</w:t>
      </w:r>
      <w:r w:rsidR="005B63A2" w:rsidRPr="00143624">
        <w:t>)</w:t>
      </w:r>
      <w:r w:rsidR="005B63A2" w:rsidRPr="00143624">
        <w:tab/>
        <w:t>In this instrument:</w:t>
      </w:r>
    </w:p>
    <w:p w:rsidR="005B63A2" w:rsidRPr="00143624" w:rsidRDefault="005B63A2" w:rsidP="005B63A2">
      <w:pPr>
        <w:pStyle w:val="Definition"/>
      </w:pPr>
      <w:r w:rsidRPr="00143624">
        <w:rPr>
          <w:b/>
          <w:i/>
        </w:rPr>
        <w:t>2013 allowances determination</w:t>
      </w:r>
      <w:r w:rsidRPr="00143624">
        <w:t xml:space="preserve"> means </w:t>
      </w:r>
      <w:proofErr w:type="spellStart"/>
      <w:r w:rsidRPr="00143624">
        <w:rPr>
          <w:i/>
        </w:rPr>
        <w:t>DFRT</w:t>
      </w:r>
      <w:proofErr w:type="spellEnd"/>
      <w:r w:rsidRPr="00143624">
        <w:rPr>
          <w:i/>
        </w:rPr>
        <w:t xml:space="preserve"> Determination No.</w:t>
      </w:r>
      <w:r w:rsidR="002B1A95" w:rsidRPr="00143624">
        <w:rPr>
          <w:i/>
        </w:rPr>
        <w:t> </w:t>
      </w:r>
      <w:r w:rsidRPr="00143624">
        <w:rPr>
          <w:i/>
        </w:rPr>
        <w:t xml:space="preserve">11 of 2013, </w:t>
      </w:r>
      <w:proofErr w:type="spellStart"/>
      <w:r w:rsidRPr="00143624">
        <w:rPr>
          <w:i/>
        </w:rPr>
        <w:t>ADF</w:t>
      </w:r>
      <w:proofErr w:type="spellEnd"/>
      <w:r w:rsidRPr="00143624">
        <w:rPr>
          <w:i/>
        </w:rPr>
        <w:t xml:space="preserve"> Allowances</w:t>
      </w:r>
      <w:r w:rsidRPr="00143624">
        <w:t>, made under section</w:t>
      </w:r>
      <w:r w:rsidR="002B1A95" w:rsidRPr="00143624">
        <w:t> </w:t>
      </w:r>
      <w:r w:rsidRPr="00143624">
        <w:t xml:space="preserve">58H of the </w:t>
      </w:r>
      <w:r w:rsidRPr="00143624">
        <w:rPr>
          <w:i/>
        </w:rPr>
        <w:t>Defence Act 1903</w:t>
      </w:r>
      <w:r w:rsidRPr="00143624">
        <w:t>.</w:t>
      </w:r>
    </w:p>
    <w:p w:rsidR="005B63A2" w:rsidRPr="00143624" w:rsidRDefault="005B63A2" w:rsidP="005B63A2">
      <w:pPr>
        <w:pStyle w:val="notetext"/>
      </w:pPr>
      <w:r w:rsidRPr="00143624">
        <w:t>Note:</w:t>
      </w:r>
      <w:r w:rsidRPr="00143624">
        <w:tab/>
        <w:t xml:space="preserve">The 2013 allowances determination could in </w:t>
      </w:r>
      <w:r w:rsidR="00535C15" w:rsidRPr="00143624">
        <w:t>2021</w:t>
      </w:r>
      <w:r w:rsidRPr="00143624">
        <w:t xml:space="preserve"> be viewed on the Defence Force Remuneration Tribunal’s website (http://dfrt.gov.au).</w:t>
      </w:r>
    </w:p>
    <w:p w:rsidR="005B63A2" w:rsidRPr="00143624" w:rsidRDefault="005B63A2" w:rsidP="005B63A2">
      <w:pPr>
        <w:pStyle w:val="Definition"/>
      </w:pPr>
      <w:r w:rsidRPr="00143624">
        <w:rPr>
          <w:b/>
          <w:i/>
        </w:rPr>
        <w:t>conditions determination</w:t>
      </w:r>
      <w:r w:rsidRPr="00143624">
        <w:t xml:space="preserve"> means </w:t>
      </w:r>
      <w:r w:rsidRPr="00143624">
        <w:rPr>
          <w:i/>
        </w:rPr>
        <w:t>Defence Determination</w:t>
      </w:r>
      <w:r w:rsidR="002B1A95" w:rsidRPr="00143624">
        <w:rPr>
          <w:i/>
        </w:rPr>
        <w:t> </w:t>
      </w:r>
      <w:r w:rsidRPr="00143624">
        <w:rPr>
          <w:i/>
        </w:rPr>
        <w:t>2016/19, Conditions of service</w:t>
      </w:r>
      <w:r w:rsidRPr="00143624">
        <w:t>, made under section</w:t>
      </w:r>
      <w:r w:rsidR="002B1A95" w:rsidRPr="00143624">
        <w:t> </w:t>
      </w:r>
      <w:r w:rsidRPr="00143624">
        <w:t xml:space="preserve">58B of the </w:t>
      </w:r>
      <w:r w:rsidRPr="00143624">
        <w:rPr>
          <w:i/>
        </w:rPr>
        <w:t>Defence Act 1903</w:t>
      </w:r>
      <w:r w:rsidRPr="00143624">
        <w:t>.</w:t>
      </w:r>
    </w:p>
    <w:p w:rsidR="005B63A2" w:rsidRPr="00143624" w:rsidRDefault="005B63A2" w:rsidP="005B63A2">
      <w:pPr>
        <w:pStyle w:val="ActHead2"/>
        <w:pageBreakBefore/>
      </w:pPr>
      <w:bookmarkStart w:id="35" w:name="_Toc64030293"/>
      <w:r w:rsidRPr="003F3E0B">
        <w:rPr>
          <w:rStyle w:val="CharPartNo"/>
        </w:rPr>
        <w:lastRenderedPageBreak/>
        <w:t>Part</w:t>
      </w:r>
      <w:r w:rsidR="002B1A95" w:rsidRPr="003F3E0B">
        <w:rPr>
          <w:rStyle w:val="CharPartNo"/>
        </w:rPr>
        <w:t> </w:t>
      </w:r>
      <w:r w:rsidRPr="003F3E0B">
        <w:rPr>
          <w:rStyle w:val="CharPartNo"/>
        </w:rPr>
        <w:t>2</w:t>
      </w:r>
      <w:r w:rsidR="00143624" w:rsidRPr="003F3E0B">
        <w:rPr>
          <w:rStyle w:val="CharPartNo"/>
        </w:rPr>
        <w:noBreakHyphen/>
      </w:r>
      <w:r w:rsidRPr="003F3E0B">
        <w:rPr>
          <w:rStyle w:val="CharPartNo"/>
        </w:rPr>
        <w:t>20</w:t>
      </w:r>
      <w:r w:rsidRPr="00143624">
        <w:t>—</w:t>
      </w:r>
      <w:r w:rsidRPr="003F3E0B">
        <w:rPr>
          <w:rStyle w:val="CharPartText"/>
        </w:rPr>
        <w:t>Tax offsets</w:t>
      </w:r>
      <w:bookmarkEnd w:id="35"/>
    </w:p>
    <w:p w:rsidR="005B63A2" w:rsidRPr="00143624" w:rsidRDefault="005B63A2" w:rsidP="005B63A2">
      <w:pPr>
        <w:pStyle w:val="ActHead3"/>
      </w:pPr>
      <w:bookmarkStart w:id="36" w:name="_Toc64030294"/>
      <w:r w:rsidRPr="003F3E0B">
        <w:rPr>
          <w:rStyle w:val="CharDivNo"/>
        </w:rPr>
        <w:t>Division</w:t>
      </w:r>
      <w:r w:rsidR="002B1A95" w:rsidRPr="003F3E0B">
        <w:rPr>
          <w:rStyle w:val="CharDivNo"/>
        </w:rPr>
        <w:t> </w:t>
      </w:r>
      <w:r w:rsidRPr="003F3E0B">
        <w:rPr>
          <w:rStyle w:val="CharDivNo"/>
        </w:rPr>
        <w:t>61</w:t>
      </w:r>
      <w:r w:rsidRPr="00143624">
        <w:t>—</w:t>
      </w:r>
      <w:r w:rsidRPr="003F3E0B">
        <w:rPr>
          <w:rStyle w:val="CharDivText"/>
        </w:rPr>
        <w:t>Generally applicable tax offsets</w:t>
      </w:r>
      <w:bookmarkEnd w:id="36"/>
    </w:p>
    <w:p w:rsidR="005B63A2" w:rsidRPr="00143624" w:rsidRDefault="005B63A2" w:rsidP="005B63A2">
      <w:pPr>
        <w:pStyle w:val="ActHead4"/>
      </w:pPr>
      <w:bookmarkStart w:id="37" w:name="_Toc64030295"/>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61</w:t>
      </w:r>
      <w:r w:rsidR="00143624" w:rsidRPr="003F3E0B">
        <w:rPr>
          <w:rStyle w:val="CharSubdNo"/>
          <w:rFonts w:eastAsiaTheme="majorEastAsia"/>
        </w:rPr>
        <w:noBreakHyphen/>
      </w:r>
      <w:r w:rsidRPr="003F3E0B">
        <w:rPr>
          <w:rStyle w:val="CharSubdNo"/>
          <w:rFonts w:eastAsiaTheme="majorEastAsia"/>
        </w:rPr>
        <w:t>G</w:t>
      </w:r>
      <w:r w:rsidRPr="00143624">
        <w:t>—</w:t>
      </w:r>
      <w:r w:rsidRPr="003F3E0B">
        <w:rPr>
          <w:rStyle w:val="CharSubdText"/>
          <w:rFonts w:eastAsiaTheme="majorEastAsia"/>
        </w:rPr>
        <w:t>Private health insurance offset complementary to Part</w:t>
      </w:r>
      <w:r w:rsidR="002B1A95" w:rsidRPr="003F3E0B">
        <w:rPr>
          <w:rStyle w:val="CharSubdText"/>
          <w:rFonts w:eastAsiaTheme="majorEastAsia"/>
        </w:rPr>
        <w:t> </w:t>
      </w:r>
      <w:r w:rsidRPr="003F3E0B">
        <w:rPr>
          <w:rStyle w:val="CharSubdText"/>
          <w:rFonts w:eastAsiaTheme="majorEastAsia"/>
        </w:rPr>
        <w:t>2</w:t>
      </w:r>
      <w:r w:rsidR="00143624" w:rsidRPr="003F3E0B">
        <w:rPr>
          <w:rStyle w:val="CharSubdText"/>
          <w:rFonts w:eastAsiaTheme="majorEastAsia"/>
        </w:rPr>
        <w:noBreakHyphen/>
      </w:r>
      <w:r w:rsidRPr="003F3E0B">
        <w:rPr>
          <w:rStyle w:val="CharSubdText"/>
          <w:rFonts w:eastAsiaTheme="majorEastAsia"/>
        </w:rPr>
        <w:t>2 of the Private Health Insurance Act 2007</w:t>
      </w:r>
      <w:bookmarkEnd w:id="37"/>
    </w:p>
    <w:p w:rsidR="005B63A2" w:rsidRPr="00143624" w:rsidRDefault="005B63A2" w:rsidP="005B63A2">
      <w:pPr>
        <w:pStyle w:val="ActHead5"/>
      </w:pPr>
      <w:bookmarkStart w:id="38" w:name="_Toc64030296"/>
      <w:r w:rsidRPr="003F3E0B">
        <w:rPr>
          <w:rStyle w:val="CharSectno"/>
        </w:rPr>
        <w:t>61</w:t>
      </w:r>
      <w:r w:rsidR="00143624" w:rsidRPr="003F3E0B">
        <w:rPr>
          <w:rStyle w:val="CharSectno"/>
        </w:rPr>
        <w:noBreakHyphen/>
      </w:r>
      <w:r w:rsidRPr="003F3E0B">
        <w:rPr>
          <w:rStyle w:val="CharSectno"/>
        </w:rPr>
        <w:t>220.01</w:t>
      </w:r>
      <w:r w:rsidRPr="00143624">
        <w:t xml:space="preserve">  Private health insurer to provide annual statement to </w:t>
      </w:r>
      <w:proofErr w:type="spellStart"/>
      <w:r w:rsidRPr="00143624">
        <w:t>PHIIB</w:t>
      </w:r>
      <w:proofErr w:type="spellEnd"/>
      <w:r w:rsidRPr="00143624">
        <w:t xml:space="preserve"> if requested</w:t>
      </w:r>
      <w:bookmarkEnd w:id="38"/>
    </w:p>
    <w:p w:rsidR="005B63A2" w:rsidRPr="00143624" w:rsidRDefault="005B63A2" w:rsidP="005B63A2">
      <w:pPr>
        <w:pStyle w:val="subsection"/>
      </w:pPr>
      <w:r w:rsidRPr="00143624">
        <w:tab/>
        <w:t>(1)</w:t>
      </w:r>
      <w:r w:rsidRPr="00143624">
        <w:tab/>
        <w:t xml:space="preserve">If, during a financial year, a </w:t>
      </w:r>
      <w:proofErr w:type="spellStart"/>
      <w:r w:rsidRPr="00143624">
        <w:t>PHIIB</w:t>
      </w:r>
      <w:proofErr w:type="spellEnd"/>
      <w:r w:rsidRPr="00143624">
        <w:t xml:space="preserve"> insured during an earlier financial year under a complying health insurance policy by a private health insurer (within the meaning of the </w:t>
      </w:r>
      <w:r w:rsidRPr="00143624">
        <w:rPr>
          <w:i/>
          <w:iCs/>
          <w:color w:val="000000"/>
          <w:szCs w:val="22"/>
        </w:rPr>
        <w:t>Private Health Insurance Act 2007</w:t>
      </w:r>
      <w:r w:rsidRPr="00143624">
        <w:rPr>
          <w:iCs/>
          <w:color w:val="000000"/>
          <w:szCs w:val="22"/>
        </w:rPr>
        <w:t xml:space="preserve">) </w:t>
      </w:r>
      <w:r w:rsidRPr="00143624">
        <w:t>requests a statement about that policy for that earlier year, the private health insurer must provide a statement in accordance with this section.</w:t>
      </w:r>
    </w:p>
    <w:p w:rsidR="005B63A2" w:rsidRPr="00143624" w:rsidRDefault="005B63A2" w:rsidP="005B63A2">
      <w:pPr>
        <w:pStyle w:val="notetext"/>
      </w:pPr>
      <w:r w:rsidRPr="00143624">
        <w:t>Note:</w:t>
      </w:r>
      <w:r w:rsidRPr="00143624">
        <w:tab/>
        <w:t xml:space="preserve">For </w:t>
      </w:r>
      <w:r w:rsidRPr="00143624">
        <w:rPr>
          <w:b/>
          <w:i/>
        </w:rPr>
        <w:t>complying health insurance policy</w:t>
      </w:r>
      <w:r w:rsidRPr="00143624">
        <w:t xml:space="preserve"> and </w:t>
      </w:r>
      <w:proofErr w:type="spellStart"/>
      <w:r w:rsidRPr="00143624">
        <w:rPr>
          <w:b/>
          <w:i/>
        </w:rPr>
        <w:t>PHIIB</w:t>
      </w:r>
      <w:proofErr w:type="spellEnd"/>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subsection"/>
      </w:pPr>
      <w:r w:rsidRPr="00143624">
        <w:tab/>
        <w:t>(2)</w:t>
      </w:r>
      <w:r w:rsidRPr="00143624">
        <w:tab/>
        <w:t xml:space="preserve">The statement must be in the approved form, and provided to the </w:t>
      </w:r>
      <w:proofErr w:type="spellStart"/>
      <w:r w:rsidRPr="00143624">
        <w:t>PHIIB</w:t>
      </w:r>
      <w:proofErr w:type="spellEnd"/>
      <w:r w:rsidRPr="00143624">
        <w:t xml:space="preserve"> within 14 days after the day the request is received.</w:t>
      </w:r>
    </w:p>
    <w:p w:rsidR="005B63A2" w:rsidRPr="00143624" w:rsidRDefault="005B63A2" w:rsidP="005B63A2">
      <w:pPr>
        <w:pStyle w:val="notetext"/>
      </w:pPr>
      <w:r w:rsidRPr="00143624">
        <w:t>Note:</w:t>
      </w:r>
      <w:r w:rsidRPr="00143624">
        <w:tab/>
        <w:t xml:space="preserve">For </w:t>
      </w:r>
      <w:r w:rsidRPr="00143624">
        <w:rPr>
          <w:b/>
          <w:bCs/>
          <w:i/>
          <w:iCs/>
        </w:rPr>
        <w:t>approved form</w:t>
      </w:r>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subsection"/>
      </w:pPr>
      <w:r w:rsidRPr="00143624">
        <w:tab/>
        <w:t>(3)</w:t>
      </w:r>
      <w:r w:rsidRPr="00143624">
        <w:tab/>
        <w:t>The statement may include information in relation to the following:</w:t>
      </w:r>
    </w:p>
    <w:p w:rsidR="005B63A2" w:rsidRPr="00143624" w:rsidRDefault="005B63A2" w:rsidP="005B63A2">
      <w:pPr>
        <w:pStyle w:val="paragraph"/>
      </w:pPr>
      <w:r w:rsidRPr="00143624">
        <w:tab/>
        <w:t>(a)</w:t>
      </w:r>
      <w:r w:rsidRPr="00143624">
        <w:tab/>
        <w:t xml:space="preserve">the complying health insurance policy held by the </w:t>
      </w:r>
      <w:proofErr w:type="spellStart"/>
      <w:r w:rsidRPr="00143624">
        <w:t>PHIIB</w:t>
      </w:r>
      <w:proofErr w:type="spellEnd"/>
      <w:r w:rsidRPr="00143624">
        <w:t xml:space="preserve"> and payments made under the policy;</w:t>
      </w:r>
    </w:p>
    <w:p w:rsidR="005B63A2" w:rsidRPr="00143624" w:rsidRDefault="005B63A2" w:rsidP="005B63A2">
      <w:pPr>
        <w:pStyle w:val="paragraph"/>
      </w:pPr>
      <w:r w:rsidRPr="00143624">
        <w:tab/>
        <w:t>(b)</w:t>
      </w:r>
      <w:r w:rsidRPr="00143624">
        <w:tab/>
        <w:t>the premium, or amounts in respect of the premium, paid during the earlier financial year in relation to the policy;</w:t>
      </w:r>
    </w:p>
    <w:p w:rsidR="005B63A2" w:rsidRPr="00143624" w:rsidRDefault="005B63A2" w:rsidP="005B63A2">
      <w:pPr>
        <w:pStyle w:val="paragraph"/>
      </w:pPr>
      <w:r w:rsidRPr="00143624">
        <w:tab/>
        <w:t>(c)</w:t>
      </w:r>
      <w:r w:rsidRPr="00143624">
        <w:tab/>
        <w:t>any reductions of the premium payable, or an amount payable, during the earlier financial year.</w:t>
      </w:r>
    </w:p>
    <w:p w:rsidR="005B63A2" w:rsidRPr="00143624" w:rsidRDefault="005B63A2" w:rsidP="005B63A2">
      <w:pPr>
        <w:pStyle w:val="ActHead2"/>
        <w:pageBreakBefore/>
      </w:pPr>
      <w:bookmarkStart w:id="39" w:name="_Toc64030297"/>
      <w:r w:rsidRPr="003F3E0B">
        <w:rPr>
          <w:rStyle w:val="CharPartNo"/>
        </w:rPr>
        <w:lastRenderedPageBreak/>
        <w:t>Part</w:t>
      </w:r>
      <w:r w:rsidR="002B1A95" w:rsidRPr="003F3E0B">
        <w:rPr>
          <w:rStyle w:val="CharPartNo"/>
        </w:rPr>
        <w:t> </w:t>
      </w:r>
      <w:r w:rsidRPr="003F3E0B">
        <w:rPr>
          <w:rStyle w:val="CharPartNo"/>
        </w:rPr>
        <w:t>2</w:t>
      </w:r>
      <w:r w:rsidR="00143624" w:rsidRPr="003F3E0B">
        <w:rPr>
          <w:rStyle w:val="CharPartNo"/>
        </w:rPr>
        <w:noBreakHyphen/>
      </w:r>
      <w:r w:rsidRPr="003F3E0B">
        <w:rPr>
          <w:rStyle w:val="CharPartNo"/>
        </w:rPr>
        <w:t>25</w:t>
      </w:r>
      <w:r w:rsidRPr="00143624">
        <w:t>—</w:t>
      </w:r>
      <w:r w:rsidRPr="003F3E0B">
        <w:rPr>
          <w:rStyle w:val="CharPartText"/>
        </w:rPr>
        <w:t>Trading stock</w:t>
      </w:r>
      <w:bookmarkEnd w:id="39"/>
    </w:p>
    <w:p w:rsidR="005B63A2" w:rsidRPr="00143624" w:rsidRDefault="005B63A2" w:rsidP="005B63A2">
      <w:pPr>
        <w:pStyle w:val="ActHead3"/>
      </w:pPr>
      <w:bookmarkStart w:id="40" w:name="_Toc64030298"/>
      <w:r w:rsidRPr="003F3E0B">
        <w:rPr>
          <w:rStyle w:val="CharDivNo"/>
        </w:rPr>
        <w:t>Division</w:t>
      </w:r>
      <w:r w:rsidR="002B1A95" w:rsidRPr="003F3E0B">
        <w:rPr>
          <w:rStyle w:val="CharDivNo"/>
        </w:rPr>
        <w:t> </w:t>
      </w:r>
      <w:r w:rsidRPr="003F3E0B">
        <w:rPr>
          <w:rStyle w:val="CharDivNo"/>
        </w:rPr>
        <w:t>70</w:t>
      </w:r>
      <w:r w:rsidRPr="00143624">
        <w:t>—</w:t>
      </w:r>
      <w:r w:rsidRPr="003F3E0B">
        <w:rPr>
          <w:rStyle w:val="CharDivText"/>
        </w:rPr>
        <w:t>Trading stock</w:t>
      </w:r>
      <w:bookmarkEnd w:id="40"/>
    </w:p>
    <w:p w:rsidR="005B63A2" w:rsidRPr="00143624" w:rsidRDefault="005B63A2" w:rsidP="005B63A2">
      <w:pPr>
        <w:pStyle w:val="ActHead4"/>
      </w:pPr>
      <w:bookmarkStart w:id="41" w:name="_Toc64030299"/>
      <w:r w:rsidRPr="003F3E0B">
        <w:rPr>
          <w:rStyle w:val="CharSubdNo"/>
        </w:rPr>
        <w:t>Subdivision</w:t>
      </w:r>
      <w:r w:rsidR="002B1A95" w:rsidRPr="003F3E0B">
        <w:rPr>
          <w:rStyle w:val="CharSubdNo"/>
        </w:rPr>
        <w:t> </w:t>
      </w:r>
      <w:r w:rsidRPr="003F3E0B">
        <w:rPr>
          <w:rStyle w:val="CharSubdNo"/>
        </w:rPr>
        <w:t>70</w:t>
      </w:r>
      <w:r w:rsidR="00143624" w:rsidRPr="003F3E0B">
        <w:rPr>
          <w:rStyle w:val="CharSubdNo"/>
        </w:rPr>
        <w:noBreakHyphen/>
      </w:r>
      <w:r w:rsidRPr="003F3E0B">
        <w:rPr>
          <w:rStyle w:val="CharSubdNo"/>
        </w:rPr>
        <w:t>C</w:t>
      </w:r>
      <w:r w:rsidRPr="00143624">
        <w:t>—</w:t>
      </w:r>
      <w:r w:rsidRPr="003F3E0B">
        <w:rPr>
          <w:rStyle w:val="CharSubdText"/>
        </w:rPr>
        <w:t>Accounting for trading stock you hold at the start or end of the income year</w:t>
      </w:r>
      <w:bookmarkEnd w:id="41"/>
    </w:p>
    <w:p w:rsidR="005B63A2" w:rsidRPr="00143624" w:rsidRDefault="005B63A2" w:rsidP="005B63A2">
      <w:pPr>
        <w:pStyle w:val="ActHead5"/>
      </w:pPr>
      <w:bookmarkStart w:id="42" w:name="_Toc64030300"/>
      <w:r w:rsidRPr="003F3E0B">
        <w:rPr>
          <w:rStyle w:val="CharSectno"/>
        </w:rPr>
        <w:t>70</w:t>
      </w:r>
      <w:r w:rsidR="00143624" w:rsidRPr="003F3E0B">
        <w:rPr>
          <w:rStyle w:val="CharSectno"/>
        </w:rPr>
        <w:noBreakHyphen/>
      </w:r>
      <w:r w:rsidRPr="003F3E0B">
        <w:rPr>
          <w:rStyle w:val="CharSectno"/>
        </w:rPr>
        <w:t>55.01</w:t>
      </w:r>
      <w:r w:rsidRPr="00143624">
        <w:t xml:space="preserve">  Cost of natural increase of live stock</w:t>
      </w:r>
      <w:bookmarkEnd w:id="42"/>
    </w:p>
    <w:p w:rsidR="005B63A2" w:rsidRPr="00143624" w:rsidRDefault="005B63A2" w:rsidP="005B63A2">
      <w:pPr>
        <w:pStyle w:val="subsection"/>
      </w:pPr>
      <w:r w:rsidRPr="00143624">
        <w:tab/>
      </w:r>
      <w:r w:rsidRPr="00143624">
        <w:tab/>
        <w:t>For the purposes of paragraph</w:t>
      </w:r>
      <w:r w:rsidR="002B1A95" w:rsidRPr="00143624">
        <w:t> </w:t>
      </w:r>
      <w:r w:rsidRPr="00143624">
        <w:t>70</w:t>
      </w:r>
      <w:r w:rsidR="00143624">
        <w:noBreakHyphen/>
      </w:r>
      <w:r w:rsidRPr="00143624">
        <w:t xml:space="preserve">55(1)(b) of the Act, the cost prescribed for each animal in a class of </w:t>
      </w:r>
      <w:proofErr w:type="spellStart"/>
      <w:r w:rsidRPr="00143624">
        <w:t>live stock</w:t>
      </w:r>
      <w:proofErr w:type="spellEnd"/>
      <w:r w:rsidRPr="00143624">
        <w:t xml:space="preserve"> specified in column 1 of an item in the following table is the amount specified in column 2 of that item.</w:t>
      </w:r>
    </w:p>
    <w:p w:rsidR="005B63A2" w:rsidRPr="00143624"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5B63A2" w:rsidRPr="00143624" w:rsidTr="003104D0">
        <w:trPr>
          <w:tblHeader/>
        </w:trPr>
        <w:tc>
          <w:tcPr>
            <w:tcW w:w="5000" w:type="pct"/>
            <w:gridSpan w:val="3"/>
            <w:tcBorders>
              <w:top w:val="single" w:sz="12" w:space="0" w:color="auto"/>
              <w:bottom w:val="single" w:sz="6" w:space="0" w:color="auto"/>
            </w:tcBorders>
            <w:shd w:val="clear" w:color="auto" w:fill="auto"/>
          </w:tcPr>
          <w:p w:rsidR="005B63A2" w:rsidRPr="00143624" w:rsidRDefault="005B63A2" w:rsidP="005B63A2">
            <w:pPr>
              <w:pStyle w:val="TableHeading"/>
            </w:pPr>
            <w:r w:rsidRPr="00143624">
              <w:t>Cost of natural increase of live stock</w:t>
            </w:r>
          </w:p>
        </w:tc>
      </w:tr>
      <w:tr w:rsidR="005B63A2" w:rsidRPr="00143624" w:rsidTr="003104D0">
        <w:trPr>
          <w:tblHeader/>
        </w:trPr>
        <w:tc>
          <w:tcPr>
            <w:tcW w:w="429"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Item</w:t>
            </w:r>
          </w:p>
        </w:tc>
        <w:tc>
          <w:tcPr>
            <w:tcW w:w="2285"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Column 1</w:t>
            </w:r>
          </w:p>
          <w:p w:rsidR="005B63A2" w:rsidRPr="00143624" w:rsidRDefault="005B63A2" w:rsidP="005B63A2">
            <w:pPr>
              <w:pStyle w:val="TableHeading"/>
            </w:pPr>
            <w:r w:rsidRPr="00143624">
              <w:t>Class of live stock</w:t>
            </w:r>
          </w:p>
        </w:tc>
        <w:tc>
          <w:tcPr>
            <w:tcW w:w="2286"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Column 2</w:t>
            </w:r>
          </w:p>
          <w:p w:rsidR="005B63A2" w:rsidRPr="00143624" w:rsidRDefault="005B63A2" w:rsidP="005B63A2">
            <w:pPr>
              <w:pStyle w:val="TableHeading"/>
            </w:pPr>
            <w:r w:rsidRPr="00143624">
              <w:t>Cost $</w:t>
            </w:r>
          </w:p>
        </w:tc>
      </w:tr>
      <w:tr w:rsidR="005B63A2" w:rsidRPr="00143624" w:rsidTr="003104D0">
        <w:tc>
          <w:tcPr>
            <w:tcW w:w="429" w:type="pct"/>
            <w:tcBorders>
              <w:top w:val="single" w:sz="12" w:space="0" w:color="auto"/>
            </w:tcBorders>
            <w:shd w:val="clear" w:color="auto" w:fill="auto"/>
          </w:tcPr>
          <w:p w:rsidR="005B63A2" w:rsidRPr="00143624" w:rsidRDefault="005B63A2" w:rsidP="005B63A2">
            <w:pPr>
              <w:pStyle w:val="Tabletext"/>
            </w:pPr>
            <w:r w:rsidRPr="00143624">
              <w:t>1</w:t>
            </w:r>
          </w:p>
        </w:tc>
        <w:tc>
          <w:tcPr>
            <w:tcW w:w="2285" w:type="pct"/>
            <w:tcBorders>
              <w:top w:val="single" w:sz="12" w:space="0" w:color="auto"/>
            </w:tcBorders>
            <w:shd w:val="clear" w:color="auto" w:fill="auto"/>
          </w:tcPr>
          <w:p w:rsidR="005B63A2" w:rsidRPr="00143624" w:rsidRDefault="005B63A2" w:rsidP="005B63A2">
            <w:pPr>
              <w:pStyle w:val="Tabletext"/>
            </w:pPr>
            <w:r w:rsidRPr="00143624">
              <w:t>cattle</w:t>
            </w:r>
          </w:p>
        </w:tc>
        <w:tc>
          <w:tcPr>
            <w:tcW w:w="2286" w:type="pct"/>
            <w:tcBorders>
              <w:top w:val="single" w:sz="12" w:space="0" w:color="auto"/>
            </w:tcBorders>
            <w:shd w:val="clear" w:color="auto" w:fill="auto"/>
          </w:tcPr>
          <w:p w:rsidR="005B63A2" w:rsidRPr="00143624" w:rsidRDefault="005B63A2" w:rsidP="005B63A2">
            <w:pPr>
              <w:pStyle w:val="Tabletext"/>
            </w:pPr>
            <w:r w:rsidRPr="00143624">
              <w:t>20.00</w:t>
            </w:r>
          </w:p>
        </w:tc>
      </w:tr>
      <w:tr w:rsidR="005B63A2" w:rsidRPr="00143624" w:rsidTr="003104D0">
        <w:tc>
          <w:tcPr>
            <w:tcW w:w="429" w:type="pct"/>
            <w:shd w:val="clear" w:color="auto" w:fill="auto"/>
          </w:tcPr>
          <w:p w:rsidR="005B63A2" w:rsidRPr="00143624" w:rsidRDefault="005B63A2" w:rsidP="005B63A2">
            <w:pPr>
              <w:pStyle w:val="Tabletext"/>
            </w:pPr>
            <w:r w:rsidRPr="00143624">
              <w:t>2</w:t>
            </w:r>
          </w:p>
        </w:tc>
        <w:tc>
          <w:tcPr>
            <w:tcW w:w="2285" w:type="pct"/>
            <w:shd w:val="clear" w:color="auto" w:fill="auto"/>
          </w:tcPr>
          <w:p w:rsidR="005B63A2" w:rsidRPr="00143624" w:rsidRDefault="005B63A2" w:rsidP="005B63A2">
            <w:pPr>
              <w:pStyle w:val="Tabletext"/>
            </w:pPr>
            <w:r w:rsidRPr="00143624">
              <w:t>deer</w:t>
            </w:r>
          </w:p>
        </w:tc>
        <w:tc>
          <w:tcPr>
            <w:tcW w:w="2286" w:type="pct"/>
            <w:shd w:val="clear" w:color="auto" w:fill="auto"/>
          </w:tcPr>
          <w:p w:rsidR="005B63A2" w:rsidRPr="00143624" w:rsidRDefault="005B63A2" w:rsidP="005B63A2">
            <w:pPr>
              <w:pStyle w:val="Tabletext"/>
            </w:pPr>
            <w:r w:rsidRPr="00143624">
              <w:t>20.00</w:t>
            </w:r>
          </w:p>
        </w:tc>
      </w:tr>
      <w:tr w:rsidR="005B63A2" w:rsidRPr="00143624" w:rsidTr="003104D0">
        <w:tc>
          <w:tcPr>
            <w:tcW w:w="429" w:type="pct"/>
            <w:shd w:val="clear" w:color="auto" w:fill="auto"/>
          </w:tcPr>
          <w:p w:rsidR="005B63A2" w:rsidRPr="00143624" w:rsidRDefault="005B63A2" w:rsidP="005B63A2">
            <w:pPr>
              <w:pStyle w:val="Tabletext"/>
            </w:pPr>
            <w:r w:rsidRPr="00143624">
              <w:t>3</w:t>
            </w:r>
          </w:p>
        </w:tc>
        <w:tc>
          <w:tcPr>
            <w:tcW w:w="2285" w:type="pct"/>
            <w:shd w:val="clear" w:color="auto" w:fill="auto"/>
          </w:tcPr>
          <w:p w:rsidR="005B63A2" w:rsidRPr="00143624" w:rsidRDefault="005B63A2" w:rsidP="005B63A2">
            <w:pPr>
              <w:pStyle w:val="Tabletext"/>
            </w:pPr>
            <w:r w:rsidRPr="00143624">
              <w:t>emus</w:t>
            </w:r>
          </w:p>
        </w:tc>
        <w:tc>
          <w:tcPr>
            <w:tcW w:w="2286" w:type="pct"/>
            <w:shd w:val="clear" w:color="auto" w:fill="auto"/>
          </w:tcPr>
          <w:p w:rsidR="005B63A2" w:rsidRPr="00143624" w:rsidRDefault="005B63A2" w:rsidP="005B63A2">
            <w:pPr>
              <w:pStyle w:val="Tabletext"/>
            </w:pPr>
            <w:r w:rsidRPr="00143624">
              <w:t>8.00</w:t>
            </w:r>
          </w:p>
        </w:tc>
      </w:tr>
      <w:tr w:rsidR="005B63A2" w:rsidRPr="00143624" w:rsidTr="003104D0">
        <w:tc>
          <w:tcPr>
            <w:tcW w:w="429" w:type="pct"/>
            <w:shd w:val="clear" w:color="auto" w:fill="auto"/>
          </w:tcPr>
          <w:p w:rsidR="005B63A2" w:rsidRPr="00143624" w:rsidRDefault="005B63A2" w:rsidP="005B63A2">
            <w:pPr>
              <w:pStyle w:val="Tabletext"/>
            </w:pPr>
            <w:r w:rsidRPr="00143624">
              <w:t>4</w:t>
            </w:r>
          </w:p>
        </w:tc>
        <w:tc>
          <w:tcPr>
            <w:tcW w:w="2285" w:type="pct"/>
            <w:shd w:val="clear" w:color="auto" w:fill="auto"/>
          </w:tcPr>
          <w:p w:rsidR="005B63A2" w:rsidRPr="00143624" w:rsidRDefault="005B63A2" w:rsidP="005B63A2">
            <w:pPr>
              <w:pStyle w:val="Tabletext"/>
            </w:pPr>
            <w:r w:rsidRPr="00143624">
              <w:t>goats</w:t>
            </w:r>
          </w:p>
        </w:tc>
        <w:tc>
          <w:tcPr>
            <w:tcW w:w="2286" w:type="pct"/>
            <w:shd w:val="clear" w:color="auto" w:fill="auto"/>
          </w:tcPr>
          <w:p w:rsidR="005B63A2" w:rsidRPr="00143624" w:rsidRDefault="005B63A2" w:rsidP="005B63A2">
            <w:pPr>
              <w:pStyle w:val="Tabletext"/>
            </w:pPr>
            <w:r w:rsidRPr="00143624">
              <w:t>4.00</w:t>
            </w:r>
          </w:p>
        </w:tc>
      </w:tr>
      <w:tr w:rsidR="005B63A2" w:rsidRPr="00143624" w:rsidTr="003104D0">
        <w:tc>
          <w:tcPr>
            <w:tcW w:w="429" w:type="pct"/>
            <w:shd w:val="clear" w:color="auto" w:fill="auto"/>
          </w:tcPr>
          <w:p w:rsidR="005B63A2" w:rsidRPr="00143624" w:rsidRDefault="005B63A2" w:rsidP="005B63A2">
            <w:pPr>
              <w:pStyle w:val="Tabletext"/>
            </w:pPr>
            <w:r w:rsidRPr="00143624">
              <w:t>5</w:t>
            </w:r>
          </w:p>
        </w:tc>
        <w:tc>
          <w:tcPr>
            <w:tcW w:w="2285" w:type="pct"/>
            <w:shd w:val="clear" w:color="auto" w:fill="auto"/>
          </w:tcPr>
          <w:p w:rsidR="005B63A2" w:rsidRPr="00143624" w:rsidRDefault="005B63A2" w:rsidP="005B63A2">
            <w:pPr>
              <w:pStyle w:val="Tabletext"/>
            </w:pPr>
            <w:r w:rsidRPr="00143624">
              <w:t>horses</w:t>
            </w:r>
          </w:p>
        </w:tc>
        <w:tc>
          <w:tcPr>
            <w:tcW w:w="2286" w:type="pct"/>
            <w:shd w:val="clear" w:color="auto" w:fill="auto"/>
          </w:tcPr>
          <w:p w:rsidR="005B63A2" w:rsidRPr="00143624" w:rsidRDefault="005B63A2" w:rsidP="005B63A2">
            <w:pPr>
              <w:pStyle w:val="Tabletext"/>
            </w:pPr>
            <w:r w:rsidRPr="00143624">
              <w:t>20.00</w:t>
            </w:r>
          </w:p>
        </w:tc>
      </w:tr>
      <w:tr w:rsidR="005B63A2" w:rsidRPr="00143624" w:rsidTr="003104D0">
        <w:tc>
          <w:tcPr>
            <w:tcW w:w="429" w:type="pct"/>
            <w:shd w:val="clear" w:color="auto" w:fill="auto"/>
          </w:tcPr>
          <w:p w:rsidR="005B63A2" w:rsidRPr="00143624" w:rsidRDefault="005B63A2" w:rsidP="005B63A2">
            <w:pPr>
              <w:pStyle w:val="Tabletext"/>
            </w:pPr>
            <w:r w:rsidRPr="00143624">
              <w:t>6</w:t>
            </w:r>
          </w:p>
        </w:tc>
        <w:tc>
          <w:tcPr>
            <w:tcW w:w="2285" w:type="pct"/>
            <w:shd w:val="clear" w:color="auto" w:fill="auto"/>
          </w:tcPr>
          <w:p w:rsidR="005B63A2" w:rsidRPr="00143624" w:rsidRDefault="005B63A2" w:rsidP="005B63A2">
            <w:pPr>
              <w:pStyle w:val="Tabletext"/>
            </w:pPr>
            <w:r w:rsidRPr="00143624">
              <w:t>pigs</w:t>
            </w:r>
          </w:p>
        </w:tc>
        <w:tc>
          <w:tcPr>
            <w:tcW w:w="2286" w:type="pct"/>
            <w:shd w:val="clear" w:color="auto" w:fill="auto"/>
          </w:tcPr>
          <w:p w:rsidR="005B63A2" w:rsidRPr="00143624" w:rsidRDefault="005B63A2" w:rsidP="005B63A2">
            <w:pPr>
              <w:pStyle w:val="Tabletext"/>
            </w:pPr>
            <w:r w:rsidRPr="00143624">
              <w:t>12.00</w:t>
            </w:r>
          </w:p>
        </w:tc>
      </w:tr>
      <w:tr w:rsidR="005B63A2" w:rsidRPr="00143624" w:rsidTr="00D26815">
        <w:trPr>
          <w:trHeight w:val="69"/>
        </w:trPr>
        <w:tc>
          <w:tcPr>
            <w:tcW w:w="429" w:type="pct"/>
            <w:tcBorders>
              <w:bottom w:val="single" w:sz="2" w:space="0" w:color="auto"/>
            </w:tcBorders>
            <w:shd w:val="clear" w:color="auto" w:fill="auto"/>
          </w:tcPr>
          <w:p w:rsidR="005B63A2" w:rsidRPr="00143624" w:rsidRDefault="005B63A2" w:rsidP="005B63A2">
            <w:pPr>
              <w:pStyle w:val="Tabletext"/>
            </w:pPr>
            <w:r w:rsidRPr="00143624">
              <w:t>7</w:t>
            </w:r>
          </w:p>
        </w:tc>
        <w:tc>
          <w:tcPr>
            <w:tcW w:w="2285" w:type="pct"/>
            <w:tcBorders>
              <w:bottom w:val="single" w:sz="2" w:space="0" w:color="auto"/>
            </w:tcBorders>
            <w:shd w:val="clear" w:color="auto" w:fill="auto"/>
          </w:tcPr>
          <w:p w:rsidR="005B63A2" w:rsidRPr="00143624" w:rsidRDefault="005B63A2" w:rsidP="005B63A2">
            <w:pPr>
              <w:pStyle w:val="Tabletext"/>
            </w:pPr>
            <w:r w:rsidRPr="00143624">
              <w:t>poultry</w:t>
            </w:r>
          </w:p>
        </w:tc>
        <w:tc>
          <w:tcPr>
            <w:tcW w:w="2286" w:type="pct"/>
            <w:tcBorders>
              <w:bottom w:val="single" w:sz="2" w:space="0" w:color="auto"/>
            </w:tcBorders>
            <w:shd w:val="clear" w:color="auto" w:fill="auto"/>
          </w:tcPr>
          <w:p w:rsidR="005B63A2" w:rsidRPr="00143624" w:rsidRDefault="005B63A2" w:rsidP="005B63A2">
            <w:pPr>
              <w:pStyle w:val="Tabletext"/>
            </w:pPr>
            <w:r w:rsidRPr="00143624">
              <w:t>0.35</w:t>
            </w:r>
          </w:p>
        </w:tc>
      </w:tr>
      <w:tr w:rsidR="005B63A2" w:rsidRPr="00143624" w:rsidTr="003104D0">
        <w:tc>
          <w:tcPr>
            <w:tcW w:w="429"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8</w:t>
            </w:r>
          </w:p>
        </w:tc>
        <w:tc>
          <w:tcPr>
            <w:tcW w:w="2285"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sheep</w:t>
            </w:r>
          </w:p>
        </w:tc>
        <w:tc>
          <w:tcPr>
            <w:tcW w:w="2286"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4.00</w:t>
            </w:r>
          </w:p>
        </w:tc>
      </w:tr>
    </w:tbl>
    <w:p w:rsidR="005B63A2" w:rsidRPr="00143624" w:rsidRDefault="005B63A2" w:rsidP="005B63A2">
      <w:pPr>
        <w:pStyle w:val="ActHead2"/>
        <w:pageBreakBefore/>
      </w:pPr>
      <w:bookmarkStart w:id="43" w:name="_Toc64030301"/>
      <w:r w:rsidRPr="003F3E0B">
        <w:rPr>
          <w:rStyle w:val="CharPartNo"/>
        </w:rPr>
        <w:lastRenderedPageBreak/>
        <w:t>Part</w:t>
      </w:r>
      <w:r w:rsidR="002B1A95" w:rsidRPr="003F3E0B">
        <w:rPr>
          <w:rStyle w:val="CharPartNo"/>
        </w:rPr>
        <w:t> </w:t>
      </w:r>
      <w:r w:rsidRPr="003F3E0B">
        <w:rPr>
          <w:rStyle w:val="CharPartNo"/>
        </w:rPr>
        <w:t>2</w:t>
      </w:r>
      <w:r w:rsidR="00143624" w:rsidRPr="003F3E0B">
        <w:rPr>
          <w:rStyle w:val="CharPartNo"/>
        </w:rPr>
        <w:noBreakHyphen/>
      </w:r>
      <w:r w:rsidRPr="003F3E0B">
        <w:rPr>
          <w:rStyle w:val="CharPartNo"/>
        </w:rPr>
        <w:t>40</w:t>
      </w:r>
      <w:r w:rsidRPr="00143624">
        <w:t>—</w:t>
      </w:r>
      <w:r w:rsidRPr="003F3E0B">
        <w:rPr>
          <w:rStyle w:val="CharPartText"/>
        </w:rPr>
        <w:t xml:space="preserve">Rules affecting employees and other taxpayers receiving </w:t>
      </w:r>
      <w:proofErr w:type="spellStart"/>
      <w:r w:rsidRPr="003F3E0B">
        <w:rPr>
          <w:rStyle w:val="CharPartText"/>
        </w:rPr>
        <w:t>PAYG</w:t>
      </w:r>
      <w:proofErr w:type="spellEnd"/>
      <w:r w:rsidRPr="003F3E0B">
        <w:rPr>
          <w:rStyle w:val="CharPartText"/>
        </w:rPr>
        <w:t xml:space="preserve"> withholding payments</w:t>
      </w:r>
      <w:bookmarkEnd w:id="43"/>
    </w:p>
    <w:p w:rsidR="005B63A2" w:rsidRPr="00143624" w:rsidRDefault="005B63A2" w:rsidP="005B63A2">
      <w:pPr>
        <w:pStyle w:val="ActHead3"/>
      </w:pPr>
      <w:bookmarkStart w:id="44" w:name="_Toc64030302"/>
      <w:r w:rsidRPr="003F3E0B">
        <w:rPr>
          <w:rStyle w:val="CharDivNo"/>
        </w:rPr>
        <w:t>Division</w:t>
      </w:r>
      <w:r w:rsidR="002B1A95" w:rsidRPr="003F3E0B">
        <w:rPr>
          <w:rStyle w:val="CharDivNo"/>
        </w:rPr>
        <w:t> </w:t>
      </w:r>
      <w:r w:rsidRPr="003F3E0B">
        <w:rPr>
          <w:rStyle w:val="CharDivNo"/>
        </w:rPr>
        <w:t>83A</w:t>
      </w:r>
      <w:r w:rsidRPr="00143624">
        <w:t>—</w:t>
      </w:r>
      <w:r w:rsidRPr="003F3E0B">
        <w:rPr>
          <w:rStyle w:val="CharDivText"/>
        </w:rPr>
        <w:t>Employee share schemes</w:t>
      </w:r>
      <w:bookmarkEnd w:id="44"/>
    </w:p>
    <w:p w:rsidR="005B63A2" w:rsidRPr="00143624" w:rsidRDefault="005B63A2" w:rsidP="005B63A2">
      <w:pPr>
        <w:pStyle w:val="ActHead4"/>
      </w:pPr>
      <w:bookmarkStart w:id="45" w:name="_Toc64030303"/>
      <w:r w:rsidRPr="003F3E0B">
        <w:rPr>
          <w:rStyle w:val="CharSubdNo"/>
        </w:rPr>
        <w:t>Subdivision</w:t>
      </w:r>
      <w:r w:rsidR="002B1A95" w:rsidRPr="003F3E0B">
        <w:rPr>
          <w:rStyle w:val="CharSubdNo"/>
        </w:rPr>
        <w:t> </w:t>
      </w:r>
      <w:r w:rsidRPr="003F3E0B">
        <w:rPr>
          <w:rStyle w:val="CharSubdNo"/>
        </w:rPr>
        <w:t>83A</w:t>
      </w:r>
      <w:r w:rsidR="00143624" w:rsidRPr="003F3E0B">
        <w:rPr>
          <w:rStyle w:val="CharSubdNo"/>
        </w:rPr>
        <w:noBreakHyphen/>
      </w:r>
      <w:r w:rsidRPr="003F3E0B">
        <w:rPr>
          <w:rStyle w:val="CharSubdNo"/>
        </w:rPr>
        <w:t>A</w:t>
      </w:r>
      <w:r w:rsidRPr="00143624">
        <w:t>—</w:t>
      </w:r>
      <w:r w:rsidRPr="003F3E0B">
        <w:rPr>
          <w:rStyle w:val="CharSubdText"/>
        </w:rPr>
        <w:t>Objects of Division and key concepts</w:t>
      </w:r>
      <w:bookmarkEnd w:id="45"/>
    </w:p>
    <w:p w:rsidR="005B63A2" w:rsidRPr="00143624" w:rsidRDefault="005B63A2" w:rsidP="005B63A2">
      <w:pPr>
        <w:pStyle w:val="ActHead5"/>
      </w:pPr>
      <w:bookmarkStart w:id="46" w:name="_Toc64030304"/>
      <w:r w:rsidRPr="003F3E0B">
        <w:rPr>
          <w:rStyle w:val="CharSectno"/>
        </w:rPr>
        <w:t>83A</w:t>
      </w:r>
      <w:r w:rsidR="00143624" w:rsidRPr="003F3E0B">
        <w:rPr>
          <w:rStyle w:val="CharSectno"/>
        </w:rPr>
        <w:noBreakHyphen/>
      </w:r>
      <w:r w:rsidRPr="003F3E0B">
        <w:rPr>
          <w:rStyle w:val="CharSectno"/>
        </w:rPr>
        <w:t>5.01</w:t>
      </w:r>
      <w:r w:rsidRPr="00143624">
        <w:t xml:space="preserve">  Object of Division</w:t>
      </w:r>
      <w:r w:rsidR="002B1A95" w:rsidRPr="00143624">
        <w:t> </w:t>
      </w:r>
      <w:r w:rsidRPr="00143624">
        <w:t>83A</w:t>
      </w:r>
      <w:bookmarkEnd w:id="46"/>
    </w:p>
    <w:p w:rsidR="005B63A2" w:rsidRPr="00143624" w:rsidRDefault="005B63A2" w:rsidP="005B63A2">
      <w:pPr>
        <w:pStyle w:val="subsection"/>
      </w:pPr>
      <w:r w:rsidRPr="00143624">
        <w:tab/>
      </w:r>
      <w:r w:rsidRPr="00143624">
        <w:rPr>
          <w:vertAlign w:val="superscript"/>
        </w:rPr>
        <w:t xml:space="preserve"> </w:t>
      </w:r>
      <w:r w:rsidRPr="00143624">
        <w:tab/>
        <w:t>For the purposes of Division</w:t>
      </w:r>
      <w:r w:rsidR="002B1A95" w:rsidRPr="00143624">
        <w:t> </w:t>
      </w:r>
      <w:r w:rsidRPr="00143624">
        <w:t>83A of the Act, this Division preserves rules under the former Division</w:t>
      </w:r>
      <w:r w:rsidR="002B1A95" w:rsidRPr="00143624">
        <w:t> </w:t>
      </w:r>
      <w:r w:rsidRPr="00143624">
        <w:t>13A of Part</w:t>
      </w:r>
      <w:r w:rsidR="002B1A95" w:rsidRPr="00143624">
        <w:t> </w:t>
      </w:r>
      <w:r w:rsidRPr="00143624">
        <w:t xml:space="preserve">III of the </w:t>
      </w:r>
      <w:r w:rsidRPr="00143624">
        <w:rPr>
          <w:i/>
        </w:rPr>
        <w:t xml:space="preserve">Income Tax Assessment Act 1936 </w:t>
      </w:r>
      <w:r w:rsidRPr="00143624">
        <w:t>about valuing unlisted rights to acquire shares under an employee share scheme.</w:t>
      </w:r>
    </w:p>
    <w:p w:rsidR="005B63A2" w:rsidRPr="00143624" w:rsidRDefault="005B63A2" w:rsidP="005B63A2">
      <w:pPr>
        <w:pStyle w:val="ActHead4"/>
      </w:pPr>
      <w:bookmarkStart w:id="47" w:name="_Toc64030305"/>
      <w:r w:rsidRPr="003F3E0B">
        <w:rPr>
          <w:rStyle w:val="CharSubdNo"/>
        </w:rPr>
        <w:t>Subdivision</w:t>
      </w:r>
      <w:r w:rsidR="002B1A95" w:rsidRPr="003F3E0B">
        <w:rPr>
          <w:rStyle w:val="CharSubdNo"/>
        </w:rPr>
        <w:t> </w:t>
      </w:r>
      <w:r w:rsidRPr="003F3E0B">
        <w:rPr>
          <w:rStyle w:val="CharSubdNo"/>
        </w:rPr>
        <w:t>83A</w:t>
      </w:r>
      <w:r w:rsidR="00143624" w:rsidRPr="003F3E0B">
        <w:rPr>
          <w:rStyle w:val="CharSubdNo"/>
        </w:rPr>
        <w:noBreakHyphen/>
      </w:r>
      <w:r w:rsidRPr="003F3E0B">
        <w:rPr>
          <w:rStyle w:val="CharSubdNo"/>
        </w:rPr>
        <w:t>E</w:t>
      </w:r>
      <w:r w:rsidRPr="00143624">
        <w:t>—</w:t>
      </w:r>
      <w:r w:rsidRPr="003F3E0B">
        <w:rPr>
          <w:rStyle w:val="CharSubdText"/>
        </w:rPr>
        <w:t>Miscellaneous</w:t>
      </w:r>
      <w:bookmarkEnd w:id="47"/>
    </w:p>
    <w:p w:rsidR="005B63A2" w:rsidRPr="00143624" w:rsidRDefault="005B63A2" w:rsidP="005B63A2">
      <w:pPr>
        <w:pStyle w:val="ActHead5"/>
      </w:pPr>
      <w:bookmarkStart w:id="48" w:name="_Toc64030306"/>
      <w:r w:rsidRPr="003F3E0B">
        <w:rPr>
          <w:rStyle w:val="CharSectno"/>
        </w:rPr>
        <w:t>83A</w:t>
      </w:r>
      <w:r w:rsidR="00143624" w:rsidRPr="003F3E0B">
        <w:rPr>
          <w:rStyle w:val="CharSectno"/>
        </w:rPr>
        <w:noBreakHyphen/>
      </w:r>
      <w:r w:rsidRPr="003F3E0B">
        <w:rPr>
          <w:rStyle w:val="CharSectno"/>
        </w:rPr>
        <w:t>315.01</w:t>
      </w:r>
      <w:r w:rsidRPr="00143624">
        <w:t xml:space="preserve">  Value of certain </w:t>
      </w:r>
      <w:proofErr w:type="spellStart"/>
      <w:r w:rsidRPr="00143624">
        <w:t>ESS</w:t>
      </w:r>
      <w:proofErr w:type="spellEnd"/>
      <w:r w:rsidRPr="00143624">
        <w:t xml:space="preserve"> interests</w:t>
      </w:r>
      <w:bookmarkEnd w:id="48"/>
    </w:p>
    <w:p w:rsidR="005B63A2" w:rsidRPr="00143624" w:rsidRDefault="005B63A2" w:rsidP="005B63A2">
      <w:pPr>
        <w:pStyle w:val="subsection"/>
      </w:pPr>
      <w:r w:rsidRPr="00143624">
        <w:tab/>
        <w:t>(1)</w:t>
      </w:r>
      <w:r w:rsidRPr="00143624">
        <w:tab/>
        <w:t>For the purposes of subsection</w:t>
      </w:r>
      <w:r w:rsidR="002B1A95" w:rsidRPr="00143624">
        <w:t> </w:t>
      </w:r>
      <w:r w:rsidRPr="00143624">
        <w:t>83A</w:t>
      </w:r>
      <w:r w:rsidR="00143624">
        <w:noBreakHyphen/>
      </w:r>
      <w:r w:rsidRPr="00143624">
        <w:t xml:space="preserve">315(1) of the Act, the amount specified, in relation to an </w:t>
      </w:r>
      <w:proofErr w:type="spellStart"/>
      <w:r w:rsidRPr="00143624">
        <w:t>ESS</w:t>
      </w:r>
      <w:proofErr w:type="spellEnd"/>
      <w:r w:rsidRPr="00143624">
        <w:t xml:space="preserve"> interest that is an unlisted right that must be exercised within 15 years after the day when the beneficial interest in the right was acquired is, at the choice of the individual:</w:t>
      </w:r>
    </w:p>
    <w:p w:rsidR="005B63A2" w:rsidRPr="00143624" w:rsidRDefault="005B63A2" w:rsidP="005B63A2">
      <w:pPr>
        <w:pStyle w:val="paragraph"/>
      </w:pPr>
      <w:r w:rsidRPr="00143624">
        <w:tab/>
        <w:t>(a)</w:t>
      </w:r>
      <w:r w:rsidRPr="00143624">
        <w:tab/>
        <w:t>the market value of the right; or</w:t>
      </w:r>
    </w:p>
    <w:p w:rsidR="005B63A2" w:rsidRPr="00143624" w:rsidRDefault="005B63A2" w:rsidP="005B63A2">
      <w:pPr>
        <w:pStyle w:val="paragraph"/>
      </w:pPr>
      <w:r w:rsidRPr="00143624">
        <w:tab/>
        <w:t>(b)</w:t>
      </w:r>
      <w:r w:rsidRPr="00143624">
        <w:tab/>
        <w:t>the value worked out in accordance with sections 83A</w:t>
      </w:r>
      <w:r w:rsidR="00143624">
        <w:noBreakHyphen/>
      </w:r>
      <w:r w:rsidRPr="00143624">
        <w:t>315.02 to 83A</w:t>
      </w:r>
      <w:r w:rsidR="00143624">
        <w:noBreakHyphen/>
      </w:r>
      <w:r w:rsidRPr="00143624">
        <w:t>315.09.</w:t>
      </w:r>
    </w:p>
    <w:p w:rsidR="00C6554B" w:rsidRPr="00143624" w:rsidRDefault="00C6554B" w:rsidP="00C6554B">
      <w:pPr>
        <w:pStyle w:val="notetext"/>
      </w:pPr>
      <w:r w:rsidRPr="00143624">
        <w:t>Note:</w:t>
      </w:r>
      <w:r w:rsidRPr="00143624">
        <w:tab/>
        <w:t xml:space="preserve">The meaning of </w:t>
      </w:r>
      <w:r w:rsidRPr="00143624">
        <w:rPr>
          <w:b/>
          <w:i/>
        </w:rPr>
        <w:t xml:space="preserve">market value </w:t>
      </w:r>
      <w:r w:rsidRPr="00143624">
        <w:t>is affected by Subdivision 960</w:t>
      </w:r>
      <w:r w:rsidR="00143624">
        <w:noBreakHyphen/>
      </w:r>
      <w:r w:rsidRPr="00143624">
        <w:t xml:space="preserve">S of the Act. For example, </w:t>
      </w:r>
      <w:r w:rsidR="00F5399E" w:rsidRPr="00143624">
        <w:t>section 9</w:t>
      </w:r>
      <w:r w:rsidRPr="00143624">
        <w:t>60</w:t>
      </w:r>
      <w:r w:rsidR="00143624">
        <w:noBreakHyphen/>
      </w:r>
      <w:r w:rsidRPr="00143624">
        <w:t>410 affects how the market value of a non</w:t>
      </w:r>
      <w:r w:rsidR="00143624">
        <w:noBreakHyphen/>
      </w:r>
      <w:r w:rsidRPr="00143624">
        <w:t>cash benefit is worked out.</w:t>
      </w:r>
    </w:p>
    <w:p w:rsidR="005B63A2" w:rsidRPr="00143624" w:rsidRDefault="005B63A2" w:rsidP="005B63A2">
      <w:pPr>
        <w:pStyle w:val="subsection"/>
      </w:pPr>
      <w:r w:rsidRPr="00143624">
        <w:tab/>
        <w:t>(2)</w:t>
      </w:r>
      <w:r w:rsidRPr="00143624">
        <w:tab/>
        <w:t xml:space="preserve">However, if the deferred taxing point for the </w:t>
      </w:r>
      <w:proofErr w:type="spellStart"/>
      <w:r w:rsidRPr="00143624">
        <w:t>ESS</w:t>
      </w:r>
      <w:proofErr w:type="spellEnd"/>
      <w:r w:rsidRPr="00143624">
        <w:t xml:space="preserve"> interest is:</w:t>
      </w:r>
    </w:p>
    <w:p w:rsidR="005B63A2" w:rsidRPr="00143624" w:rsidRDefault="005B63A2" w:rsidP="005B63A2">
      <w:pPr>
        <w:pStyle w:val="paragraph"/>
      </w:pPr>
      <w:r w:rsidRPr="00143624">
        <w:tab/>
        <w:t>(a)</w:t>
      </w:r>
      <w:r w:rsidRPr="00143624">
        <w:tab/>
        <w:t>the day when the individual disposes of the interest (other than by exercising the right); or</w:t>
      </w:r>
    </w:p>
    <w:p w:rsidR="005B63A2" w:rsidRPr="00143624" w:rsidRDefault="005B63A2" w:rsidP="005B63A2">
      <w:pPr>
        <w:pStyle w:val="paragraph"/>
      </w:pPr>
      <w:r w:rsidRPr="00143624">
        <w:tab/>
        <w:t>(b)</w:t>
      </w:r>
      <w:r w:rsidRPr="00143624">
        <w:tab/>
        <w:t>if the individual exercises the right—the day when the individual disposes of the beneficial interest in the share acquired by exercising the right;</w:t>
      </w:r>
    </w:p>
    <w:p w:rsidR="005B63A2" w:rsidRPr="00143624" w:rsidRDefault="005B63A2" w:rsidP="005B63A2">
      <w:pPr>
        <w:pStyle w:val="subsection2"/>
      </w:pPr>
      <w:r w:rsidRPr="00143624">
        <w:t>the amount specified in relation to the right is the market value of the right or share acquired by exercising the right.</w:t>
      </w:r>
    </w:p>
    <w:p w:rsidR="005B63A2" w:rsidRPr="00143624" w:rsidRDefault="005B63A2" w:rsidP="005B63A2">
      <w:pPr>
        <w:pStyle w:val="ActHead5"/>
      </w:pPr>
      <w:bookmarkStart w:id="49" w:name="_Toc64030307"/>
      <w:r w:rsidRPr="003F3E0B">
        <w:rPr>
          <w:rStyle w:val="CharSectno"/>
        </w:rPr>
        <w:t>83A</w:t>
      </w:r>
      <w:r w:rsidR="00143624" w:rsidRPr="003F3E0B">
        <w:rPr>
          <w:rStyle w:val="CharSectno"/>
        </w:rPr>
        <w:noBreakHyphen/>
      </w:r>
      <w:r w:rsidRPr="003F3E0B">
        <w:rPr>
          <w:rStyle w:val="CharSectno"/>
        </w:rPr>
        <w:t>315.02</w:t>
      </w:r>
      <w:r w:rsidRPr="00143624">
        <w:t xml:space="preserve">  Valuing unlisted rights</w:t>
      </w:r>
      <w:bookmarkEnd w:id="49"/>
    </w:p>
    <w:p w:rsidR="005B63A2" w:rsidRPr="00143624" w:rsidRDefault="005B63A2" w:rsidP="005B63A2">
      <w:pPr>
        <w:pStyle w:val="subsection"/>
      </w:pPr>
      <w:r w:rsidRPr="00143624">
        <w:tab/>
        <w:t>(1)</w:t>
      </w:r>
      <w:r w:rsidRPr="00143624">
        <w:tab/>
        <w:t>The value of the unlisted right on a particular day is the greater of:</w:t>
      </w:r>
    </w:p>
    <w:p w:rsidR="005B63A2" w:rsidRPr="00143624" w:rsidRDefault="005B63A2" w:rsidP="005B63A2">
      <w:pPr>
        <w:pStyle w:val="paragraph"/>
      </w:pPr>
      <w:r w:rsidRPr="00143624">
        <w:tab/>
        <w:t>(a)</w:t>
      </w:r>
      <w:r w:rsidRPr="00143624">
        <w:tab/>
        <w:t>the market value, on the particular day, of the share that may be acquired by exercising the right, less the lowest amount that must be paid to exercise the right to acquire the beneficial interest in</w:t>
      </w:r>
      <w:r w:rsidRPr="00143624">
        <w:rPr>
          <w:i/>
        </w:rPr>
        <w:t xml:space="preserve"> </w:t>
      </w:r>
      <w:r w:rsidRPr="00143624">
        <w:t>the share; and</w:t>
      </w:r>
    </w:p>
    <w:p w:rsidR="005B63A2" w:rsidRPr="00143624" w:rsidRDefault="005B63A2" w:rsidP="005B63A2">
      <w:pPr>
        <w:pStyle w:val="paragraph"/>
      </w:pPr>
      <w:r w:rsidRPr="00143624">
        <w:tab/>
        <w:t>(b)</w:t>
      </w:r>
      <w:r w:rsidRPr="00143624">
        <w:tab/>
        <w:t>subject to sections 83A</w:t>
      </w:r>
      <w:r w:rsidR="00143624">
        <w:noBreakHyphen/>
      </w:r>
      <w:r w:rsidRPr="00143624">
        <w:t>315.03 and 83A</w:t>
      </w:r>
      <w:r w:rsidR="00143624">
        <w:noBreakHyphen/>
      </w:r>
      <w:r w:rsidRPr="00143624">
        <w:t>315.04, the value, on the particular day, of the right to acquire the beneficial interest in the share worked out in accordance with sections 83A</w:t>
      </w:r>
      <w:r w:rsidR="00143624">
        <w:noBreakHyphen/>
      </w:r>
      <w:r w:rsidRPr="00143624">
        <w:t>315.05 to 83A</w:t>
      </w:r>
      <w:r w:rsidR="00143624">
        <w:noBreakHyphen/>
      </w:r>
      <w:r w:rsidRPr="00143624">
        <w:t>315.09.</w:t>
      </w:r>
    </w:p>
    <w:p w:rsidR="005B63A2" w:rsidRPr="00143624" w:rsidRDefault="005B63A2" w:rsidP="005B63A2">
      <w:pPr>
        <w:pStyle w:val="subsection"/>
      </w:pPr>
      <w:r w:rsidRPr="00143624">
        <w:tab/>
        <w:t>(2)</w:t>
      </w:r>
      <w:r w:rsidRPr="00143624">
        <w:tab/>
        <w:t>In working out the value of a right for the purposes of this Division, anything that would prevent or restrict conversion of the right to money is to be disregarded.</w:t>
      </w:r>
    </w:p>
    <w:p w:rsidR="005B63A2" w:rsidRPr="00143624" w:rsidRDefault="005B63A2" w:rsidP="005B63A2">
      <w:pPr>
        <w:pStyle w:val="ActHead5"/>
      </w:pPr>
      <w:bookmarkStart w:id="50" w:name="_Toc64030308"/>
      <w:r w:rsidRPr="003F3E0B">
        <w:rPr>
          <w:rStyle w:val="CharSectno"/>
        </w:rPr>
        <w:lastRenderedPageBreak/>
        <w:t>83A</w:t>
      </w:r>
      <w:r w:rsidR="00143624" w:rsidRPr="003F3E0B">
        <w:rPr>
          <w:rStyle w:val="CharSectno"/>
        </w:rPr>
        <w:noBreakHyphen/>
      </w:r>
      <w:r w:rsidRPr="003F3E0B">
        <w:rPr>
          <w:rStyle w:val="CharSectno"/>
        </w:rPr>
        <w:t>315.03</w:t>
      </w:r>
      <w:r w:rsidRPr="00143624">
        <w:t xml:space="preserve">  Exercise price of right nil or cannot be determined</w:t>
      </w:r>
      <w:bookmarkEnd w:id="50"/>
    </w:p>
    <w:p w:rsidR="005B63A2" w:rsidRPr="00143624" w:rsidRDefault="005B63A2" w:rsidP="005B63A2">
      <w:pPr>
        <w:pStyle w:val="subsection"/>
      </w:pPr>
      <w:r w:rsidRPr="00143624">
        <w:tab/>
      </w:r>
      <w:r w:rsidRPr="00143624">
        <w:tab/>
        <w:t>If the lowest amount that must be paid to exercise the right to acquire the beneficial interest in a share is nil or cannot be determined, the value of the right on a particular day is the same as the market value of the share on that day.</w:t>
      </w:r>
    </w:p>
    <w:p w:rsidR="005B63A2" w:rsidRPr="00143624" w:rsidRDefault="005B63A2" w:rsidP="005B63A2">
      <w:pPr>
        <w:pStyle w:val="ActHead5"/>
      </w:pPr>
      <w:bookmarkStart w:id="51" w:name="_Toc64030309"/>
      <w:r w:rsidRPr="003F3E0B">
        <w:rPr>
          <w:rStyle w:val="CharSectno"/>
        </w:rPr>
        <w:t>83A</w:t>
      </w:r>
      <w:r w:rsidR="00143624" w:rsidRPr="003F3E0B">
        <w:rPr>
          <w:rStyle w:val="CharSectno"/>
        </w:rPr>
        <w:noBreakHyphen/>
      </w:r>
      <w:r w:rsidRPr="003F3E0B">
        <w:rPr>
          <w:rStyle w:val="CharSectno"/>
        </w:rPr>
        <w:t>315.04</w:t>
      </w:r>
      <w:r w:rsidRPr="00143624">
        <w:t xml:space="preserve">  Value of beneficial interests</w:t>
      </w:r>
      <w:bookmarkEnd w:id="51"/>
    </w:p>
    <w:p w:rsidR="005B63A2" w:rsidRPr="00143624" w:rsidRDefault="005B63A2" w:rsidP="005B63A2">
      <w:pPr>
        <w:pStyle w:val="subsection"/>
      </w:pPr>
      <w:r w:rsidRPr="00143624">
        <w:tab/>
      </w:r>
      <w:r w:rsidRPr="00143624">
        <w:tab/>
        <w:t>To avoid doubt, if an individual acquires the beneficial interest in a share or right, the value that is applicable for the purposes of this Division is the value of the share or right, not the value of the interest in the share or right.</w:t>
      </w:r>
    </w:p>
    <w:p w:rsidR="005B63A2" w:rsidRPr="00143624" w:rsidRDefault="005B63A2" w:rsidP="005B63A2">
      <w:pPr>
        <w:pStyle w:val="ActHead5"/>
      </w:pPr>
      <w:bookmarkStart w:id="52" w:name="_Toc64030310"/>
      <w:r w:rsidRPr="003F3E0B">
        <w:rPr>
          <w:rStyle w:val="CharSectno"/>
        </w:rPr>
        <w:t>83A</w:t>
      </w:r>
      <w:r w:rsidR="00143624" w:rsidRPr="003F3E0B">
        <w:rPr>
          <w:rStyle w:val="CharSectno"/>
        </w:rPr>
        <w:noBreakHyphen/>
      </w:r>
      <w:r w:rsidRPr="003F3E0B">
        <w:rPr>
          <w:rStyle w:val="CharSectno"/>
        </w:rPr>
        <w:t>315.05</w:t>
      </w:r>
      <w:r w:rsidRPr="00143624">
        <w:t xml:space="preserve">  Working out the value of a right to acquire the beneficial interest in a share</w:t>
      </w:r>
      <w:bookmarkEnd w:id="52"/>
    </w:p>
    <w:p w:rsidR="005B63A2" w:rsidRPr="00143624" w:rsidRDefault="005B63A2" w:rsidP="005B63A2">
      <w:pPr>
        <w:pStyle w:val="subsection"/>
      </w:pPr>
      <w:r w:rsidRPr="00143624">
        <w:tab/>
      </w:r>
      <w:r w:rsidRPr="00143624">
        <w:tab/>
        <w:t>For the purposes of paragraph 83A</w:t>
      </w:r>
      <w:r w:rsidR="00143624">
        <w:noBreakHyphen/>
      </w:r>
      <w:r w:rsidRPr="00143624">
        <w:t>315.02(1)(b), work out the value, on the particular day, of the right to acquire the beneficial interest in the share, using the following method statement.</w:t>
      </w:r>
    </w:p>
    <w:p w:rsidR="005B63A2" w:rsidRPr="00143624" w:rsidRDefault="005B63A2" w:rsidP="005B63A2">
      <w:pPr>
        <w:pStyle w:val="BoxHeadItalic"/>
      </w:pPr>
      <w:r w:rsidRPr="00143624">
        <w:t>Method statement</w:t>
      </w:r>
    </w:p>
    <w:p w:rsidR="005B63A2" w:rsidRPr="00143624" w:rsidRDefault="005B63A2" w:rsidP="005B63A2">
      <w:pPr>
        <w:pStyle w:val="BoxStep"/>
      </w:pPr>
      <w:r w:rsidRPr="00143624">
        <w:t>Step 1:</w:t>
      </w:r>
      <w:r w:rsidRPr="00143624">
        <w:tab/>
        <w:t xml:space="preserve">Apply the following formula. The result is the </w:t>
      </w:r>
      <w:r w:rsidRPr="00143624">
        <w:rPr>
          <w:b/>
          <w:i/>
        </w:rPr>
        <w:t>calculation percentage</w:t>
      </w:r>
      <w:r w:rsidRPr="00143624">
        <w:t>.</w:t>
      </w:r>
    </w:p>
    <w:p w:rsidR="005B63A2" w:rsidRPr="00143624" w:rsidRDefault="005B63A2" w:rsidP="005B63A2">
      <w:pPr>
        <w:pStyle w:val="BoxStep"/>
      </w:pPr>
      <w:r w:rsidRPr="00143624">
        <w:tab/>
      </w:r>
      <w:r w:rsidRPr="00143624">
        <w:tab/>
      </w:r>
      <w:r w:rsidR="005C75AD" w:rsidRPr="005C75AD">
        <w:drawing>
          <wp:inline distT="0" distB="0" distL="0" distR="0">
            <wp:extent cx="2667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762000"/>
                    </a:xfrm>
                    <a:prstGeom prst="rect">
                      <a:avLst/>
                    </a:prstGeom>
                    <a:noFill/>
                    <a:ln>
                      <a:noFill/>
                    </a:ln>
                  </pic:spPr>
                </pic:pic>
              </a:graphicData>
            </a:graphic>
          </wp:inline>
        </w:drawing>
      </w:r>
    </w:p>
    <w:p w:rsidR="005B63A2" w:rsidRPr="00143624" w:rsidRDefault="005B63A2" w:rsidP="005B63A2">
      <w:pPr>
        <w:pStyle w:val="BoxStep"/>
      </w:pPr>
      <w:r w:rsidRPr="00143624">
        <w:t>Step 2:</w:t>
      </w:r>
      <w:r w:rsidRPr="00143624">
        <w:tab/>
        <w:t>If the calculation percentage is less than 50%, the value of the right is nil.</w:t>
      </w:r>
    </w:p>
    <w:p w:rsidR="005B63A2" w:rsidRPr="00143624" w:rsidRDefault="005B63A2" w:rsidP="005B63A2">
      <w:pPr>
        <w:pStyle w:val="BoxStep"/>
      </w:pPr>
      <w:r w:rsidRPr="00143624">
        <w:tab/>
        <w:t>If the calculation percentage is equal to, or greater than, 50% but less than 110%, the value of the right is the value worked out under section 83A</w:t>
      </w:r>
      <w:r w:rsidR="00143624">
        <w:noBreakHyphen/>
      </w:r>
      <w:r w:rsidRPr="00143624">
        <w:t>315.08.</w:t>
      </w:r>
    </w:p>
    <w:p w:rsidR="005B63A2" w:rsidRPr="00143624" w:rsidRDefault="005B63A2" w:rsidP="005B63A2">
      <w:pPr>
        <w:pStyle w:val="BoxStep"/>
      </w:pPr>
      <w:r w:rsidRPr="00143624">
        <w:tab/>
        <w:t>If the calculation percentage is equal to, or greater than, 110%, the value of the right is the value worked out under section 83A</w:t>
      </w:r>
      <w:r w:rsidR="00143624">
        <w:noBreakHyphen/>
      </w:r>
      <w:r w:rsidRPr="00143624">
        <w:t>315.09.</w:t>
      </w:r>
    </w:p>
    <w:p w:rsidR="005B63A2" w:rsidRPr="00143624" w:rsidRDefault="005B63A2" w:rsidP="005B63A2">
      <w:pPr>
        <w:pStyle w:val="ActHead5"/>
      </w:pPr>
      <w:bookmarkStart w:id="53" w:name="_Toc64030311"/>
      <w:r w:rsidRPr="003F3E0B">
        <w:rPr>
          <w:rStyle w:val="CharSectno"/>
        </w:rPr>
        <w:t>83A</w:t>
      </w:r>
      <w:r w:rsidR="00143624" w:rsidRPr="003F3E0B">
        <w:rPr>
          <w:rStyle w:val="CharSectno"/>
        </w:rPr>
        <w:noBreakHyphen/>
      </w:r>
      <w:r w:rsidRPr="003F3E0B">
        <w:rPr>
          <w:rStyle w:val="CharSectno"/>
        </w:rPr>
        <w:t>315.08</w:t>
      </w:r>
      <w:r w:rsidRPr="00143624">
        <w:t xml:space="preserve">  Calculation percentages of 50% or more, and less than 110%</w:t>
      </w:r>
      <w:bookmarkEnd w:id="53"/>
    </w:p>
    <w:p w:rsidR="005B63A2" w:rsidRPr="00143624" w:rsidRDefault="005B63A2" w:rsidP="005B63A2">
      <w:pPr>
        <w:pStyle w:val="subsection"/>
      </w:pPr>
      <w:r w:rsidRPr="00143624">
        <w:tab/>
        <w:t>(1)</w:t>
      </w:r>
      <w:r w:rsidRPr="00143624">
        <w:tab/>
        <w:t xml:space="preserve">To work out the value of the right under this section, select the percentage (the </w:t>
      </w:r>
      <w:r w:rsidRPr="00143624">
        <w:rPr>
          <w:b/>
          <w:i/>
        </w:rPr>
        <w:t>calculation percentage</w:t>
      </w:r>
      <w:r w:rsidRPr="00143624">
        <w:t>) from an item in the following tables that corresponds to:</w:t>
      </w:r>
    </w:p>
    <w:p w:rsidR="005B63A2" w:rsidRPr="00143624" w:rsidRDefault="005B63A2" w:rsidP="005B63A2">
      <w:pPr>
        <w:pStyle w:val="paragraph"/>
      </w:pPr>
      <w:r w:rsidRPr="00143624">
        <w:tab/>
        <w:t>(a)</w:t>
      </w:r>
      <w:r w:rsidRPr="00143624">
        <w:tab/>
        <w:t>the period, in months, from the particular day (referred to in section 83A</w:t>
      </w:r>
      <w:r w:rsidR="00143624">
        <w:noBreakHyphen/>
      </w:r>
      <w:r w:rsidRPr="00143624">
        <w:t xml:space="preserve">315.02) until the last day on which the right may be exercised (the </w:t>
      </w:r>
      <w:r w:rsidRPr="00143624">
        <w:rPr>
          <w:b/>
          <w:i/>
        </w:rPr>
        <w:t>exercise period</w:t>
      </w:r>
      <w:r w:rsidRPr="00143624">
        <w:t>); and</w:t>
      </w:r>
    </w:p>
    <w:p w:rsidR="005B63A2" w:rsidRPr="00143624" w:rsidRDefault="005B63A2" w:rsidP="005B63A2">
      <w:pPr>
        <w:pStyle w:val="paragraph"/>
      </w:pPr>
      <w:r w:rsidRPr="00143624">
        <w:tab/>
        <w:t>(b)</w:t>
      </w:r>
      <w:r w:rsidRPr="00143624">
        <w:tab/>
        <w:t>the calculation percentage;</w:t>
      </w:r>
    </w:p>
    <w:p w:rsidR="005B63A2" w:rsidRPr="00143624" w:rsidRDefault="005B63A2" w:rsidP="005B63A2">
      <w:pPr>
        <w:pStyle w:val="subsection2"/>
      </w:pPr>
      <w:r w:rsidRPr="00143624">
        <w:t>and then multiply the amount, or lowest amount, that must be paid to exercise the right by the calculation percentage. The result is the</w:t>
      </w:r>
      <w:r w:rsidRPr="00143624">
        <w:rPr>
          <w:b/>
          <w:i/>
        </w:rPr>
        <w:t xml:space="preserve"> </w:t>
      </w:r>
      <w:r w:rsidRPr="00143624">
        <w:t>value of the right.</w:t>
      </w:r>
    </w:p>
    <w:p w:rsidR="005B63A2" w:rsidRPr="00143624" w:rsidRDefault="005B63A2" w:rsidP="005B63A2">
      <w:pPr>
        <w:pStyle w:val="notetext"/>
      </w:pPr>
      <w:r w:rsidRPr="00143624">
        <w:t>Note:</w:t>
      </w:r>
      <w:r w:rsidRPr="00143624">
        <w:tab/>
        <w:t>The following assumptions were used to work out the calculation percentages:</w:t>
      </w:r>
    </w:p>
    <w:p w:rsidR="005B63A2" w:rsidRPr="00143624" w:rsidRDefault="005B63A2" w:rsidP="005B63A2">
      <w:pPr>
        <w:pStyle w:val="notepara"/>
      </w:pPr>
      <w:r w:rsidRPr="00143624">
        <w:t>(a)</w:t>
      </w:r>
      <w:r w:rsidRPr="00143624">
        <w:tab/>
        <w:t>a risk</w:t>
      </w:r>
      <w:r w:rsidR="00143624">
        <w:noBreakHyphen/>
      </w:r>
      <w:r w:rsidRPr="00143624">
        <w:t>free interest rate of 4%;</w:t>
      </w:r>
    </w:p>
    <w:p w:rsidR="005B63A2" w:rsidRPr="00143624" w:rsidRDefault="005B63A2" w:rsidP="005B63A2">
      <w:pPr>
        <w:pStyle w:val="notepara"/>
      </w:pPr>
      <w:r w:rsidRPr="00143624">
        <w:lastRenderedPageBreak/>
        <w:t>(b)</w:t>
      </w:r>
      <w:r w:rsidRPr="00143624">
        <w:tab/>
        <w:t>a dividend yield of 4%;</w:t>
      </w:r>
    </w:p>
    <w:p w:rsidR="005B63A2" w:rsidRPr="00143624" w:rsidRDefault="005B63A2" w:rsidP="005B63A2">
      <w:pPr>
        <w:pStyle w:val="notepara"/>
      </w:pPr>
      <w:r w:rsidRPr="00143624">
        <w:t>(c)</w:t>
      </w:r>
      <w:r w:rsidRPr="00143624">
        <w:tab/>
        <w:t>volatility of 12%.</w:t>
      </w:r>
    </w:p>
    <w:p w:rsidR="005B63A2" w:rsidRPr="00143624"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3"/>
        <w:gridCol w:w="1163"/>
        <w:gridCol w:w="1018"/>
        <w:gridCol w:w="1018"/>
        <w:gridCol w:w="1018"/>
        <w:gridCol w:w="1018"/>
        <w:gridCol w:w="873"/>
        <w:gridCol w:w="872"/>
        <w:gridCol w:w="826"/>
      </w:tblGrid>
      <w:tr w:rsidR="005B63A2" w:rsidRPr="00143624" w:rsidTr="003104D0">
        <w:trPr>
          <w:tblHeader/>
        </w:trPr>
        <w:tc>
          <w:tcPr>
            <w:tcW w:w="5000" w:type="pct"/>
            <w:gridSpan w:val="9"/>
            <w:tcBorders>
              <w:top w:val="single" w:sz="12" w:space="0" w:color="auto"/>
              <w:bottom w:val="single" w:sz="6" w:space="0" w:color="auto"/>
            </w:tcBorders>
            <w:shd w:val="clear" w:color="auto" w:fill="auto"/>
          </w:tcPr>
          <w:p w:rsidR="005B63A2" w:rsidRPr="00143624" w:rsidRDefault="005B63A2" w:rsidP="005B63A2">
            <w:pPr>
              <w:pStyle w:val="TableHeading"/>
            </w:pPr>
            <w:r w:rsidRPr="00143624">
              <w:t>Calculation percentages 50 to 92.5</w:t>
            </w:r>
          </w:p>
        </w:tc>
      </w:tr>
      <w:tr w:rsidR="005B63A2" w:rsidRPr="00143624" w:rsidTr="003104D0">
        <w:trPr>
          <w:tblHeader/>
        </w:trPr>
        <w:tc>
          <w:tcPr>
            <w:tcW w:w="423" w:type="pct"/>
            <w:vMerge w:val="restart"/>
            <w:tcBorders>
              <w:top w:val="single" w:sz="6" w:space="0" w:color="auto"/>
            </w:tcBorders>
            <w:shd w:val="clear" w:color="auto" w:fill="auto"/>
          </w:tcPr>
          <w:p w:rsidR="005B63A2" w:rsidRPr="00143624" w:rsidRDefault="005B63A2" w:rsidP="005B63A2">
            <w:pPr>
              <w:pStyle w:val="TableHeading"/>
            </w:pPr>
            <w:r w:rsidRPr="00143624">
              <w:t>Item</w:t>
            </w:r>
          </w:p>
        </w:tc>
        <w:tc>
          <w:tcPr>
            <w:tcW w:w="682" w:type="pct"/>
            <w:vMerge w:val="restart"/>
            <w:tcBorders>
              <w:top w:val="single" w:sz="6" w:space="0" w:color="auto"/>
            </w:tcBorders>
            <w:shd w:val="clear" w:color="auto" w:fill="auto"/>
          </w:tcPr>
          <w:p w:rsidR="005B63A2" w:rsidRPr="00143624" w:rsidRDefault="005B63A2" w:rsidP="005B63A2">
            <w:pPr>
              <w:pStyle w:val="TableHeading"/>
            </w:pPr>
            <w:r w:rsidRPr="00143624">
              <w:t>Exercise period (months)</w:t>
            </w:r>
          </w:p>
        </w:tc>
        <w:tc>
          <w:tcPr>
            <w:tcW w:w="3895" w:type="pct"/>
            <w:gridSpan w:val="7"/>
            <w:tcBorders>
              <w:top w:val="single" w:sz="6" w:space="0" w:color="auto"/>
              <w:bottom w:val="nil"/>
            </w:tcBorders>
            <w:shd w:val="clear" w:color="auto" w:fill="auto"/>
          </w:tcPr>
          <w:p w:rsidR="005B63A2" w:rsidRPr="00143624" w:rsidRDefault="005B63A2" w:rsidP="005B63A2">
            <w:pPr>
              <w:pStyle w:val="TableHeading"/>
            </w:pPr>
            <w:r w:rsidRPr="00143624">
              <w:t>Calculation percentages</w:t>
            </w:r>
          </w:p>
        </w:tc>
      </w:tr>
      <w:tr w:rsidR="005B63A2" w:rsidRPr="00143624" w:rsidTr="003104D0">
        <w:trPr>
          <w:tblHeader/>
        </w:trPr>
        <w:tc>
          <w:tcPr>
            <w:tcW w:w="423" w:type="pct"/>
            <w:vMerge/>
            <w:tcBorders>
              <w:bottom w:val="single" w:sz="12" w:space="0" w:color="auto"/>
            </w:tcBorders>
            <w:shd w:val="clear" w:color="auto" w:fill="auto"/>
          </w:tcPr>
          <w:p w:rsidR="005B63A2" w:rsidRPr="00143624" w:rsidRDefault="005B63A2" w:rsidP="005B63A2">
            <w:pPr>
              <w:pStyle w:val="TableHeading"/>
            </w:pPr>
          </w:p>
        </w:tc>
        <w:tc>
          <w:tcPr>
            <w:tcW w:w="682" w:type="pct"/>
            <w:vMerge/>
            <w:tcBorders>
              <w:bottom w:val="single" w:sz="12" w:space="0" w:color="auto"/>
            </w:tcBorders>
            <w:shd w:val="clear" w:color="auto" w:fill="auto"/>
          </w:tcPr>
          <w:p w:rsidR="005B63A2" w:rsidRPr="00143624" w:rsidRDefault="005B63A2" w:rsidP="005B63A2">
            <w:pPr>
              <w:pStyle w:val="TableHeading"/>
            </w:pP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50 to 60</w:t>
            </w: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60 to 70</w:t>
            </w: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70 to 75</w:t>
            </w: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75 to 80</w:t>
            </w:r>
          </w:p>
        </w:tc>
        <w:tc>
          <w:tcPr>
            <w:tcW w:w="512" w:type="pct"/>
            <w:tcBorders>
              <w:top w:val="nil"/>
              <w:bottom w:val="single" w:sz="12" w:space="0" w:color="auto"/>
            </w:tcBorders>
            <w:shd w:val="clear" w:color="auto" w:fill="auto"/>
          </w:tcPr>
          <w:p w:rsidR="005B63A2" w:rsidRPr="00143624" w:rsidRDefault="005B63A2" w:rsidP="005B63A2">
            <w:pPr>
              <w:pStyle w:val="TableHeading"/>
            </w:pPr>
            <w:r w:rsidRPr="00143624">
              <w:t>80 to 85</w:t>
            </w:r>
          </w:p>
        </w:tc>
        <w:tc>
          <w:tcPr>
            <w:tcW w:w="511" w:type="pct"/>
            <w:tcBorders>
              <w:top w:val="nil"/>
              <w:bottom w:val="single" w:sz="12" w:space="0" w:color="auto"/>
            </w:tcBorders>
            <w:shd w:val="clear" w:color="auto" w:fill="auto"/>
          </w:tcPr>
          <w:p w:rsidR="005B63A2" w:rsidRPr="00143624" w:rsidRDefault="005B63A2" w:rsidP="005B63A2">
            <w:pPr>
              <w:pStyle w:val="TableHeading"/>
            </w:pPr>
            <w:r w:rsidRPr="00143624">
              <w:t>85 to 90</w:t>
            </w:r>
          </w:p>
        </w:tc>
        <w:tc>
          <w:tcPr>
            <w:tcW w:w="485" w:type="pct"/>
            <w:tcBorders>
              <w:top w:val="nil"/>
              <w:bottom w:val="single" w:sz="12" w:space="0" w:color="auto"/>
            </w:tcBorders>
            <w:shd w:val="clear" w:color="auto" w:fill="auto"/>
          </w:tcPr>
          <w:p w:rsidR="005B63A2" w:rsidRPr="00143624" w:rsidRDefault="005B63A2" w:rsidP="005B63A2">
            <w:pPr>
              <w:pStyle w:val="TableHeading"/>
            </w:pPr>
            <w:r w:rsidRPr="00143624">
              <w:t>90 to 92.5</w:t>
            </w:r>
          </w:p>
        </w:tc>
      </w:tr>
      <w:tr w:rsidR="005B63A2" w:rsidRPr="00143624" w:rsidTr="003104D0">
        <w:tc>
          <w:tcPr>
            <w:tcW w:w="423" w:type="pct"/>
            <w:tcBorders>
              <w:top w:val="single" w:sz="12" w:space="0" w:color="auto"/>
            </w:tcBorders>
            <w:shd w:val="clear" w:color="auto" w:fill="auto"/>
          </w:tcPr>
          <w:p w:rsidR="005B63A2" w:rsidRPr="00143624" w:rsidRDefault="005B63A2" w:rsidP="005B63A2">
            <w:pPr>
              <w:pStyle w:val="Tabletext"/>
            </w:pPr>
            <w:r w:rsidRPr="00143624">
              <w:t>1</w:t>
            </w:r>
          </w:p>
        </w:tc>
        <w:tc>
          <w:tcPr>
            <w:tcW w:w="682" w:type="pct"/>
            <w:tcBorders>
              <w:top w:val="single" w:sz="12" w:space="0" w:color="auto"/>
            </w:tcBorders>
            <w:shd w:val="clear" w:color="auto" w:fill="auto"/>
          </w:tcPr>
          <w:p w:rsidR="005B63A2" w:rsidRPr="00143624" w:rsidRDefault="005B63A2" w:rsidP="005B63A2">
            <w:pPr>
              <w:pStyle w:val="Tabletext"/>
            </w:pPr>
            <w:r w:rsidRPr="00143624">
              <w:t>168 to 180</w:t>
            </w:r>
          </w:p>
        </w:tc>
        <w:tc>
          <w:tcPr>
            <w:tcW w:w="597" w:type="pct"/>
            <w:tcBorders>
              <w:top w:val="single" w:sz="12" w:space="0" w:color="auto"/>
            </w:tcBorders>
            <w:shd w:val="clear" w:color="auto" w:fill="auto"/>
          </w:tcPr>
          <w:p w:rsidR="005B63A2" w:rsidRPr="00143624" w:rsidRDefault="005B63A2" w:rsidP="005B63A2">
            <w:pPr>
              <w:pStyle w:val="Tabletext"/>
            </w:pPr>
            <w:r w:rsidRPr="00143624">
              <w:t>0.5%</w:t>
            </w:r>
          </w:p>
        </w:tc>
        <w:tc>
          <w:tcPr>
            <w:tcW w:w="597" w:type="pct"/>
            <w:tcBorders>
              <w:top w:val="single" w:sz="12" w:space="0" w:color="auto"/>
            </w:tcBorders>
            <w:shd w:val="clear" w:color="auto" w:fill="auto"/>
          </w:tcPr>
          <w:p w:rsidR="005B63A2" w:rsidRPr="00143624" w:rsidRDefault="005B63A2" w:rsidP="005B63A2">
            <w:pPr>
              <w:pStyle w:val="Tabletext"/>
            </w:pPr>
            <w:r w:rsidRPr="00143624">
              <w:t>1.3%</w:t>
            </w:r>
          </w:p>
        </w:tc>
        <w:tc>
          <w:tcPr>
            <w:tcW w:w="597" w:type="pct"/>
            <w:tcBorders>
              <w:top w:val="single" w:sz="12" w:space="0" w:color="auto"/>
            </w:tcBorders>
            <w:shd w:val="clear" w:color="auto" w:fill="auto"/>
          </w:tcPr>
          <w:p w:rsidR="005B63A2" w:rsidRPr="00143624" w:rsidRDefault="005B63A2" w:rsidP="005B63A2">
            <w:pPr>
              <w:pStyle w:val="Tabletext"/>
            </w:pPr>
            <w:r w:rsidRPr="00143624">
              <w:t>2.6%</w:t>
            </w:r>
          </w:p>
        </w:tc>
        <w:tc>
          <w:tcPr>
            <w:tcW w:w="597" w:type="pct"/>
            <w:tcBorders>
              <w:top w:val="single" w:sz="12" w:space="0" w:color="auto"/>
            </w:tcBorders>
            <w:shd w:val="clear" w:color="auto" w:fill="auto"/>
          </w:tcPr>
          <w:p w:rsidR="005B63A2" w:rsidRPr="00143624" w:rsidRDefault="005B63A2" w:rsidP="005B63A2">
            <w:pPr>
              <w:pStyle w:val="Tabletext"/>
            </w:pPr>
            <w:r w:rsidRPr="00143624">
              <w:t>3.5%</w:t>
            </w:r>
          </w:p>
        </w:tc>
        <w:tc>
          <w:tcPr>
            <w:tcW w:w="512" w:type="pct"/>
            <w:tcBorders>
              <w:top w:val="single" w:sz="12" w:space="0" w:color="auto"/>
            </w:tcBorders>
            <w:shd w:val="clear" w:color="auto" w:fill="auto"/>
          </w:tcPr>
          <w:p w:rsidR="005B63A2" w:rsidRPr="00143624" w:rsidRDefault="005B63A2" w:rsidP="005B63A2">
            <w:pPr>
              <w:pStyle w:val="Tabletext"/>
            </w:pPr>
            <w:r w:rsidRPr="00143624">
              <w:t>4.6%</w:t>
            </w:r>
          </w:p>
        </w:tc>
        <w:tc>
          <w:tcPr>
            <w:tcW w:w="511" w:type="pct"/>
            <w:tcBorders>
              <w:top w:val="single" w:sz="12" w:space="0" w:color="auto"/>
            </w:tcBorders>
            <w:shd w:val="clear" w:color="auto" w:fill="auto"/>
          </w:tcPr>
          <w:p w:rsidR="005B63A2" w:rsidRPr="00143624" w:rsidRDefault="005B63A2" w:rsidP="005B63A2">
            <w:pPr>
              <w:pStyle w:val="Tabletext"/>
            </w:pPr>
            <w:r w:rsidRPr="00143624">
              <w:t>5.8%</w:t>
            </w:r>
          </w:p>
        </w:tc>
        <w:tc>
          <w:tcPr>
            <w:tcW w:w="485" w:type="pct"/>
            <w:tcBorders>
              <w:top w:val="single" w:sz="12" w:space="0" w:color="auto"/>
            </w:tcBorders>
            <w:shd w:val="clear" w:color="auto" w:fill="auto"/>
          </w:tcPr>
          <w:p w:rsidR="005B63A2" w:rsidRPr="00143624" w:rsidRDefault="005B63A2" w:rsidP="005B63A2">
            <w:pPr>
              <w:pStyle w:val="Tabletext"/>
            </w:pPr>
            <w:r w:rsidRPr="00143624">
              <w:t>7.1%</w:t>
            </w:r>
          </w:p>
        </w:tc>
      </w:tr>
      <w:tr w:rsidR="005B63A2" w:rsidRPr="00143624" w:rsidTr="003104D0">
        <w:tc>
          <w:tcPr>
            <w:tcW w:w="423" w:type="pct"/>
            <w:shd w:val="clear" w:color="auto" w:fill="auto"/>
          </w:tcPr>
          <w:p w:rsidR="005B63A2" w:rsidRPr="00143624" w:rsidRDefault="005B63A2" w:rsidP="005B63A2">
            <w:pPr>
              <w:pStyle w:val="Tabletext"/>
            </w:pPr>
            <w:r w:rsidRPr="00143624">
              <w:t>2</w:t>
            </w:r>
          </w:p>
        </w:tc>
        <w:tc>
          <w:tcPr>
            <w:tcW w:w="682" w:type="pct"/>
            <w:shd w:val="clear" w:color="auto" w:fill="auto"/>
          </w:tcPr>
          <w:p w:rsidR="005B63A2" w:rsidRPr="00143624" w:rsidRDefault="005B63A2" w:rsidP="005B63A2">
            <w:pPr>
              <w:pStyle w:val="Tabletext"/>
            </w:pPr>
            <w:r w:rsidRPr="00143624">
              <w:t>156 to 168</w:t>
            </w:r>
          </w:p>
        </w:tc>
        <w:tc>
          <w:tcPr>
            <w:tcW w:w="597" w:type="pct"/>
            <w:shd w:val="clear" w:color="auto" w:fill="auto"/>
          </w:tcPr>
          <w:p w:rsidR="005B63A2" w:rsidRPr="00143624" w:rsidRDefault="005B63A2" w:rsidP="005B63A2">
            <w:pPr>
              <w:pStyle w:val="Tabletext"/>
            </w:pPr>
            <w:r w:rsidRPr="00143624">
              <w:t>0.4%</w:t>
            </w:r>
          </w:p>
        </w:tc>
        <w:tc>
          <w:tcPr>
            <w:tcW w:w="597" w:type="pct"/>
            <w:shd w:val="clear" w:color="auto" w:fill="auto"/>
          </w:tcPr>
          <w:p w:rsidR="005B63A2" w:rsidRPr="00143624" w:rsidRDefault="005B63A2" w:rsidP="005B63A2">
            <w:pPr>
              <w:pStyle w:val="Tabletext"/>
            </w:pPr>
            <w:r w:rsidRPr="00143624">
              <w:t>1.2%</w:t>
            </w:r>
          </w:p>
        </w:tc>
        <w:tc>
          <w:tcPr>
            <w:tcW w:w="597" w:type="pct"/>
            <w:shd w:val="clear" w:color="auto" w:fill="auto"/>
          </w:tcPr>
          <w:p w:rsidR="005B63A2" w:rsidRPr="00143624" w:rsidRDefault="005B63A2" w:rsidP="005B63A2">
            <w:pPr>
              <w:pStyle w:val="Tabletext"/>
            </w:pPr>
            <w:r w:rsidRPr="00143624">
              <w:t>2.5%</w:t>
            </w:r>
          </w:p>
        </w:tc>
        <w:tc>
          <w:tcPr>
            <w:tcW w:w="597" w:type="pct"/>
            <w:shd w:val="clear" w:color="auto" w:fill="auto"/>
          </w:tcPr>
          <w:p w:rsidR="005B63A2" w:rsidRPr="00143624" w:rsidRDefault="005B63A2" w:rsidP="005B63A2">
            <w:pPr>
              <w:pStyle w:val="Tabletext"/>
            </w:pPr>
            <w:r w:rsidRPr="00143624">
              <w:t>3.4%</w:t>
            </w:r>
          </w:p>
        </w:tc>
        <w:tc>
          <w:tcPr>
            <w:tcW w:w="512" w:type="pct"/>
            <w:shd w:val="clear" w:color="auto" w:fill="auto"/>
          </w:tcPr>
          <w:p w:rsidR="005B63A2" w:rsidRPr="00143624" w:rsidRDefault="005B63A2" w:rsidP="005B63A2">
            <w:pPr>
              <w:pStyle w:val="Tabletext"/>
            </w:pPr>
            <w:r w:rsidRPr="00143624">
              <w:t>4.4%</w:t>
            </w:r>
          </w:p>
        </w:tc>
        <w:tc>
          <w:tcPr>
            <w:tcW w:w="511" w:type="pct"/>
            <w:shd w:val="clear" w:color="auto" w:fill="auto"/>
          </w:tcPr>
          <w:p w:rsidR="005B63A2" w:rsidRPr="00143624" w:rsidRDefault="005B63A2" w:rsidP="005B63A2">
            <w:pPr>
              <w:pStyle w:val="Tabletext"/>
            </w:pPr>
            <w:r w:rsidRPr="00143624">
              <w:t>5.7%</w:t>
            </w:r>
          </w:p>
        </w:tc>
        <w:tc>
          <w:tcPr>
            <w:tcW w:w="485" w:type="pct"/>
            <w:shd w:val="clear" w:color="auto" w:fill="auto"/>
          </w:tcPr>
          <w:p w:rsidR="005B63A2" w:rsidRPr="00143624" w:rsidRDefault="005B63A2" w:rsidP="005B63A2">
            <w:pPr>
              <w:pStyle w:val="Tabletext"/>
            </w:pPr>
            <w:r w:rsidRPr="00143624">
              <w:t>7.1%</w:t>
            </w:r>
          </w:p>
        </w:tc>
      </w:tr>
      <w:tr w:rsidR="005B63A2" w:rsidRPr="00143624" w:rsidTr="003104D0">
        <w:tc>
          <w:tcPr>
            <w:tcW w:w="423" w:type="pct"/>
            <w:shd w:val="clear" w:color="auto" w:fill="auto"/>
          </w:tcPr>
          <w:p w:rsidR="005B63A2" w:rsidRPr="00143624" w:rsidRDefault="005B63A2" w:rsidP="005B63A2">
            <w:pPr>
              <w:pStyle w:val="Tabletext"/>
            </w:pPr>
            <w:r w:rsidRPr="00143624">
              <w:t>3</w:t>
            </w:r>
          </w:p>
        </w:tc>
        <w:tc>
          <w:tcPr>
            <w:tcW w:w="682" w:type="pct"/>
            <w:shd w:val="clear" w:color="auto" w:fill="auto"/>
          </w:tcPr>
          <w:p w:rsidR="005B63A2" w:rsidRPr="00143624" w:rsidRDefault="005B63A2" w:rsidP="005B63A2">
            <w:pPr>
              <w:pStyle w:val="Tabletext"/>
            </w:pPr>
            <w:r w:rsidRPr="00143624">
              <w:t>144 to 156</w:t>
            </w:r>
          </w:p>
        </w:tc>
        <w:tc>
          <w:tcPr>
            <w:tcW w:w="597" w:type="pct"/>
            <w:shd w:val="clear" w:color="auto" w:fill="auto"/>
          </w:tcPr>
          <w:p w:rsidR="005B63A2" w:rsidRPr="00143624" w:rsidRDefault="005B63A2" w:rsidP="005B63A2">
            <w:pPr>
              <w:pStyle w:val="Tabletext"/>
            </w:pPr>
            <w:r w:rsidRPr="00143624">
              <w:t>0.4%</w:t>
            </w:r>
          </w:p>
        </w:tc>
        <w:tc>
          <w:tcPr>
            <w:tcW w:w="597" w:type="pct"/>
            <w:shd w:val="clear" w:color="auto" w:fill="auto"/>
          </w:tcPr>
          <w:p w:rsidR="005B63A2" w:rsidRPr="00143624" w:rsidRDefault="005B63A2" w:rsidP="005B63A2">
            <w:pPr>
              <w:pStyle w:val="Tabletext"/>
            </w:pPr>
            <w:r w:rsidRPr="00143624">
              <w:t>1.0%</w:t>
            </w:r>
          </w:p>
        </w:tc>
        <w:tc>
          <w:tcPr>
            <w:tcW w:w="597" w:type="pct"/>
            <w:shd w:val="clear" w:color="auto" w:fill="auto"/>
          </w:tcPr>
          <w:p w:rsidR="005B63A2" w:rsidRPr="00143624" w:rsidRDefault="005B63A2" w:rsidP="005B63A2">
            <w:pPr>
              <w:pStyle w:val="Tabletext"/>
            </w:pPr>
            <w:r w:rsidRPr="00143624">
              <w:t>2.3%</w:t>
            </w:r>
          </w:p>
        </w:tc>
        <w:tc>
          <w:tcPr>
            <w:tcW w:w="597" w:type="pct"/>
            <w:shd w:val="clear" w:color="auto" w:fill="auto"/>
          </w:tcPr>
          <w:p w:rsidR="005B63A2" w:rsidRPr="00143624" w:rsidRDefault="005B63A2" w:rsidP="005B63A2">
            <w:pPr>
              <w:pStyle w:val="Tabletext"/>
            </w:pPr>
            <w:r w:rsidRPr="00143624">
              <w:t>3.2%</w:t>
            </w:r>
          </w:p>
        </w:tc>
        <w:tc>
          <w:tcPr>
            <w:tcW w:w="512" w:type="pct"/>
            <w:shd w:val="clear" w:color="auto" w:fill="auto"/>
          </w:tcPr>
          <w:p w:rsidR="005B63A2" w:rsidRPr="00143624" w:rsidRDefault="005B63A2" w:rsidP="005B63A2">
            <w:pPr>
              <w:pStyle w:val="Tabletext"/>
            </w:pPr>
            <w:r w:rsidRPr="00143624">
              <w:t>4.3%</w:t>
            </w:r>
          </w:p>
        </w:tc>
        <w:tc>
          <w:tcPr>
            <w:tcW w:w="511" w:type="pct"/>
            <w:shd w:val="clear" w:color="auto" w:fill="auto"/>
          </w:tcPr>
          <w:p w:rsidR="005B63A2" w:rsidRPr="00143624" w:rsidRDefault="005B63A2" w:rsidP="005B63A2">
            <w:pPr>
              <w:pStyle w:val="Tabletext"/>
            </w:pPr>
            <w:r w:rsidRPr="00143624">
              <w:t>5.5%</w:t>
            </w:r>
          </w:p>
        </w:tc>
        <w:tc>
          <w:tcPr>
            <w:tcW w:w="485" w:type="pct"/>
            <w:shd w:val="clear" w:color="auto" w:fill="auto"/>
          </w:tcPr>
          <w:p w:rsidR="005B63A2" w:rsidRPr="00143624" w:rsidRDefault="005B63A2" w:rsidP="005B63A2">
            <w:pPr>
              <w:pStyle w:val="Tabletext"/>
            </w:pPr>
            <w:r w:rsidRPr="00143624">
              <w:t>7.0%</w:t>
            </w:r>
          </w:p>
        </w:tc>
      </w:tr>
      <w:tr w:rsidR="005B63A2" w:rsidRPr="00143624" w:rsidTr="003104D0">
        <w:tc>
          <w:tcPr>
            <w:tcW w:w="423" w:type="pct"/>
            <w:shd w:val="clear" w:color="auto" w:fill="auto"/>
          </w:tcPr>
          <w:p w:rsidR="005B63A2" w:rsidRPr="00143624" w:rsidRDefault="005B63A2" w:rsidP="005B63A2">
            <w:pPr>
              <w:pStyle w:val="Tabletext"/>
            </w:pPr>
            <w:r w:rsidRPr="00143624">
              <w:t>4</w:t>
            </w:r>
          </w:p>
        </w:tc>
        <w:tc>
          <w:tcPr>
            <w:tcW w:w="682" w:type="pct"/>
            <w:shd w:val="clear" w:color="auto" w:fill="auto"/>
          </w:tcPr>
          <w:p w:rsidR="005B63A2" w:rsidRPr="00143624" w:rsidRDefault="005B63A2" w:rsidP="005B63A2">
            <w:pPr>
              <w:pStyle w:val="Tabletext"/>
            </w:pPr>
            <w:r w:rsidRPr="00143624">
              <w:t>132 to 144</w:t>
            </w:r>
          </w:p>
        </w:tc>
        <w:tc>
          <w:tcPr>
            <w:tcW w:w="597" w:type="pct"/>
            <w:shd w:val="clear" w:color="auto" w:fill="auto"/>
          </w:tcPr>
          <w:p w:rsidR="005B63A2" w:rsidRPr="00143624" w:rsidRDefault="005B63A2" w:rsidP="005B63A2">
            <w:pPr>
              <w:pStyle w:val="Tabletext"/>
            </w:pPr>
            <w:r w:rsidRPr="00143624">
              <w:t>0.3%</w:t>
            </w:r>
          </w:p>
        </w:tc>
        <w:tc>
          <w:tcPr>
            <w:tcW w:w="597" w:type="pct"/>
            <w:shd w:val="clear" w:color="auto" w:fill="auto"/>
          </w:tcPr>
          <w:p w:rsidR="005B63A2" w:rsidRPr="00143624" w:rsidRDefault="005B63A2" w:rsidP="005B63A2">
            <w:pPr>
              <w:pStyle w:val="Tabletext"/>
            </w:pPr>
            <w:r w:rsidRPr="00143624">
              <w:t>0.9%</w:t>
            </w:r>
          </w:p>
        </w:tc>
        <w:tc>
          <w:tcPr>
            <w:tcW w:w="597" w:type="pct"/>
            <w:shd w:val="clear" w:color="auto" w:fill="auto"/>
          </w:tcPr>
          <w:p w:rsidR="005B63A2" w:rsidRPr="00143624" w:rsidRDefault="005B63A2" w:rsidP="005B63A2">
            <w:pPr>
              <w:pStyle w:val="Tabletext"/>
            </w:pPr>
            <w:r w:rsidRPr="00143624">
              <w:t>2.2%</w:t>
            </w:r>
          </w:p>
        </w:tc>
        <w:tc>
          <w:tcPr>
            <w:tcW w:w="597" w:type="pct"/>
            <w:shd w:val="clear" w:color="auto" w:fill="auto"/>
          </w:tcPr>
          <w:p w:rsidR="005B63A2" w:rsidRPr="00143624" w:rsidRDefault="005B63A2" w:rsidP="005B63A2">
            <w:pPr>
              <w:pStyle w:val="Tabletext"/>
            </w:pPr>
            <w:r w:rsidRPr="00143624">
              <w:t>3.0%</w:t>
            </w:r>
          </w:p>
        </w:tc>
        <w:tc>
          <w:tcPr>
            <w:tcW w:w="512" w:type="pct"/>
            <w:shd w:val="clear" w:color="auto" w:fill="auto"/>
          </w:tcPr>
          <w:p w:rsidR="005B63A2" w:rsidRPr="00143624" w:rsidRDefault="005B63A2" w:rsidP="005B63A2">
            <w:pPr>
              <w:pStyle w:val="Tabletext"/>
            </w:pPr>
            <w:r w:rsidRPr="00143624">
              <w:t>4.1%</w:t>
            </w:r>
          </w:p>
        </w:tc>
        <w:tc>
          <w:tcPr>
            <w:tcW w:w="511" w:type="pct"/>
            <w:shd w:val="clear" w:color="auto" w:fill="auto"/>
          </w:tcPr>
          <w:p w:rsidR="005B63A2" w:rsidRPr="00143624" w:rsidRDefault="005B63A2" w:rsidP="005B63A2">
            <w:pPr>
              <w:pStyle w:val="Tabletext"/>
            </w:pPr>
            <w:r w:rsidRPr="00143624">
              <w:t>5.4%</w:t>
            </w:r>
          </w:p>
        </w:tc>
        <w:tc>
          <w:tcPr>
            <w:tcW w:w="485" w:type="pct"/>
            <w:shd w:val="clear" w:color="auto" w:fill="auto"/>
          </w:tcPr>
          <w:p w:rsidR="005B63A2" w:rsidRPr="00143624" w:rsidRDefault="005B63A2" w:rsidP="005B63A2">
            <w:pPr>
              <w:pStyle w:val="Tabletext"/>
            </w:pPr>
            <w:r w:rsidRPr="00143624">
              <w:t>6.8%</w:t>
            </w:r>
          </w:p>
        </w:tc>
      </w:tr>
      <w:tr w:rsidR="005B63A2" w:rsidRPr="00143624" w:rsidTr="003104D0">
        <w:tc>
          <w:tcPr>
            <w:tcW w:w="423" w:type="pct"/>
            <w:shd w:val="clear" w:color="auto" w:fill="auto"/>
          </w:tcPr>
          <w:p w:rsidR="005B63A2" w:rsidRPr="00143624" w:rsidRDefault="005B63A2" w:rsidP="005B63A2">
            <w:pPr>
              <w:pStyle w:val="Tabletext"/>
            </w:pPr>
            <w:r w:rsidRPr="00143624">
              <w:t>5</w:t>
            </w:r>
          </w:p>
        </w:tc>
        <w:tc>
          <w:tcPr>
            <w:tcW w:w="682" w:type="pct"/>
            <w:shd w:val="clear" w:color="auto" w:fill="auto"/>
          </w:tcPr>
          <w:p w:rsidR="005B63A2" w:rsidRPr="00143624" w:rsidRDefault="005B63A2" w:rsidP="005B63A2">
            <w:pPr>
              <w:pStyle w:val="Tabletext"/>
            </w:pPr>
            <w:r w:rsidRPr="00143624">
              <w:t>120 to 132</w:t>
            </w:r>
          </w:p>
        </w:tc>
        <w:tc>
          <w:tcPr>
            <w:tcW w:w="597" w:type="pct"/>
            <w:shd w:val="clear" w:color="auto" w:fill="auto"/>
          </w:tcPr>
          <w:p w:rsidR="005B63A2" w:rsidRPr="00143624" w:rsidRDefault="005B63A2" w:rsidP="005B63A2">
            <w:pPr>
              <w:pStyle w:val="Tabletext"/>
            </w:pPr>
            <w:r w:rsidRPr="00143624">
              <w:t>0.2%</w:t>
            </w:r>
          </w:p>
        </w:tc>
        <w:tc>
          <w:tcPr>
            <w:tcW w:w="597" w:type="pct"/>
            <w:shd w:val="clear" w:color="auto" w:fill="auto"/>
          </w:tcPr>
          <w:p w:rsidR="005B63A2" w:rsidRPr="00143624" w:rsidRDefault="005B63A2" w:rsidP="005B63A2">
            <w:pPr>
              <w:pStyle w:val="Tabletext"/>
            </w:pPr>
            <w:r w:rsidRPr="00143624">
              <w:t>0.8%</w:t>
            </w:r>
          </w:p>
        </w:tc>
        <w:tc>
          <w:tcPr>
            <w:tcW w:w="597" w:type="pct"/>
            <w:shd w:val="clear" w:color="auto" w:fill="auto"/>
          </w:tcPr>
          <w:p w:rsidR="005B63A2" w:rsidRPr="00143624" w:rsidRDefault="005B63A2" w:rsidP="005B63A2">
            <w:pPr>
              <w:pStyle w:val="Tabletext"/>
            </w:pPr>
            <w:r w:rsidRPr="00143624">
              <w:t>2.0%</w:t>
            </w:r>
          </w:p>
        </w:tc>
        <w:tc>
          <w:tcPr>
            <w:tcW w:w="597" w:type="pct"/>
            <w:shd w:val="clear" w:color="auto" w:fill="auto"/>
          </w:tcPr>
          <w:p w:rsidR="005B63A2" w:rsidRPr="00143624" w:rsidRDefault="005B63A2" w:rsidP="005B63A2">
            <w:pPr>
              <w:pStyle w:val="Tabletext"/>
            </w:pPr>
            <w:r w:rsidRPr="00143624">
              <w:t>2.8%</w:t>
            </w:r>
          </w:p>
        </w:tc>
        <w:tc>
          <w:tcPr>
            <w:tcW w:w="512" w:type="pct"/>
            <w:shd w:val="clear" w:color="auto" w:fill="auto"/>
          </w:tcPr>
          <w:p w:rsidR="005B63A2" w:rsidRPr="00143624" w:rsidRDefault="005B63A2" w:rsidP="005B63A2">
            <w:pPr>
              <w:pStyle w:val="Tabletext"/>
            </w:pPr>
            <w:r w:rsidRPr="00143624">
              <w:t>3.9%</w:t>
            </w:r>
          </w:p>
        </w:tc>
        <w:tc>
          <w:tcPr>
            <w:tcW w:w="511" w:type="pct"/>
            <w:shd w:val="clear" w:color="auto" w:fill="auto"/>
          </w:tcPr>
          <w:p w:rsidR="005B63A2" w:rsidRPr="00143624" w:rsidRDefault="005B63A2" w:rsidP="005B63A2">
            <w:pPr>
              <w:pStyle w:val="Tabletext"/>
            </w:pPr>
            <w:r w:rsidRPr="00143624">
              <w:t>5.2%</w:t>
            </w:r>
          </w:p>
        </w:tc>
        <w:tc>
          <w:tcPr>
            <w:tcW w:w="485" w:type="pct"/>
            <w:shd w:val="clear" w:color="auto" w:fill="auto"/>
          </w:tcPr>
          <w:p w:rsidR="005B63A2" w:rsidRPr="00143624" w:rsidRDefault="005B63A2" w:rsidP="005B63A2">
            <w:pPr>
              <w:pStyle w:val="Tabletext"/>
            </w:pPr>
            <w:r w:rsidRPr="00143624">
              <w:t>6.6%</w:t>
            </w:r>
          </w:p>
        </w:tc>
      </w:tr>
      <w:tr w:rsidR="005B63A2" w:rsidRPr="00143624" w:rsidTr="003104D0">
        <w:tc>
          <w:tcPr>
            <w:tcW w:w="423" w:type="pct"/>
            <w:shd w:val="clear" w:color="auto" w:fill="auto"/>
          </w:tcPr>
          <w:p w:rsidR="005B63A2" w:rsidRPr="00143624" w:rsidRDefault="005B63A2" w:rsidP="005B63A2">
            <w:pPr>
              <w:pStyle w:val="Tabletext"/>
            </w:pPr>
            <w:r w:rsidRPr="00143624">
              <w:t>6</w:t>
            </w:r>
          </w:p>
        </w:tc>
        <w:tc>
          <w:tcPr>
            <w:tcW w:w="682" w:type="pct"/>
            <w:shd w:val="clear" w:color="auto" w:fill="auto"/>
          </w:tcPr>
          <w:p w:rsidR="005B63A2" w:rsidRPr="00143624" w:rsidRDefault="005B63A2" w:rsidP="005B63A2">
            <w:pPr>
              <w:pStyle w:val="Tabletext"/>
            </w:pPr>
            <w:r w:rsidRPr="00143624">
              <w:t>108 to 120</w:t>
            </w:r>
          </w:p>
        </w:tc>
        <w:tc>
          <w:tcPr>
            <w:tcW w:w="597" w:type="pct"/>
            <w:shd w:val="clear" w:color="auto" w:fill="auto"/>
          </w:tcPr>
          <w:p w:rsidR="005B63A2" w:rsidRPr="00143624" w:rsidRDefault="005B63A2" w:rsidP="005B63A2">
            <w:pPr>
              <w:pStyle w:val="Tabletext"/>
            </w:pPr>
            <w:r w:rsidRPr="00143624">
              <w:t>0.2%</w:t>
            </w:r>
          </w:p>
        </w:tc>
        <w:tc>
          <w:tcPr>
            <w:tcW w:w="597" w:type="pct"/>
            <w:shd w:val="clear" w:color="auto" w:fill="auto"/>
          </w:tcPr>
          <w:p w:rsidR="005B63A2" w:rsidRPr="00143624" w:rsidRDefault="005B63A2" w:rsidP="005B63A2">
            <w:pPr>
              <w:pStyle w:val="Tabletext"/>
            </w:pPr>
            <w:r w:rsidRPr="00143624">
              <w:t>0.7%</w:t>
            </w:r>
          </w:p>
        </w:tc>
        <w:tc>
          <w:tcPr>
            <w:tcW w:w="597" w:type="pct"/>
            <w:shd w:val="clear" w:color="auto" w:fill="auto"/>
          </w:tcPr>
          <w:p w:rsidR="005B63A2" w:rsidRPr="00143624" w:rsidRDefault="005B63A2" w:rsidP="005B63A2">
            <w:pPr>
              <w:pStyle w:val="Tabletext"/>
            </w:pPr>
            <w:r w:rsidRPr="00143624">
              <w:t>1.8%</w:t>
            </w:r>
          </w:p>
        </w:tc>
        <w:tc>
          <w:tcPr>
            <w:tcW w:w="597" w:type="pct"/>
            <w:shd w:val="clear" w:color="auto" w:fill="auto"/>
          </w:tcPr>
          <w:p w:rsidR="005B63A2" w:rsidRPr="00143624" w:rsidRDefault="005B63A2" w:rsidP="005B63A2">
            <w:pPr>
              <w:pStyle w:val="Tabletext"/>
            </w:pPr>
            <w:r w:rsidRPr="00143624">
              <w:t>2.6%</w:t>
            </w:r>
          </w:p>
        </w:tc>
        <w:tc>
          <w:tcPr>
            <w:tcW w:w="512" w:type="pct"/>
            <w:shd w:val="clear" w:color="auto" w:fill="auto"/>
          </w:tcPr>
          <w:p w:rsidR="005B63A2" w:rsidRPr="00143624" w:rsidRDefault="005B63A2" w:rsidP="005B63A2">
            <w:pPr>
              <w:pStyle w:val="Tabletext"/>
            </w:pPr>
            <w:r w:rsidRPr="00143624">
              <w:t>3.7%</w:t>
            </w:r>
          </w:p>
        </w:tc>
        <w:tc>
          <w:tcPr>
            <w:tcW w:w="511" w:type="pct"/>
            <w:shd w:val="clear" w:color="auto" w:fill="auto"/>
          </w:tcPr>
          <w:p w:rsidR="005B63A2" w:rsidRPr="00143624" w:rsidRDefault="005B63A2" w:rsidP="005B63A2">
            <w:pPr>
              <w:pStyle w:val="Tabletext"/>
            </w:pPr>
            <w:r w:rsidRPr="00143624">
              <w:t>4.9%</w:t>
            </w:r>
          </w:p>
        </w:tc>
        <w:tc>
          <w:tcPr>
            <w:tcW w:w="485" w:type="pct"/>
            <w:shd w:val="clear" w:color="auto" w:fill="auto"/>
          </w:tcPr>
          <w:p w:rsidR="005B63A2" w:rsidRPr="00143624" w:rsidRDefault="005B63A2" w:rsidP="005B63A2">
            <w:pPr>
              <w:pStyle w:val="Tabletext"/>
            </w:pPr>
            <w:r w:rsidRPr="00143624">
              <w:t>6.4%</w:t>
            </w:r>
          </w:p>
        </w:tc>
      </w:tr>
      <w:tr w:rsidR="005B63A2" w:rsidRPr="00143624" w:rsidTr="003104D0">
        <w:tc>
          <w:tcPr>
            <w:tcW w:w="423" w:type="pct"/>
            <w:shd w:val="clear" w:color="auto" w:fill="auto"/>
          </w:tcPr>
          <w:p w:rsidR="005B63A2" w:rsidRPr="00143624" w:rsidRDefault="005B63A2" w:rsidP="005B63A2">
            <w:pPr>
              <w:pStyle w:val="Tabletext"/>
            </w:pPr>
            <w:r w:rsidRPr="00143624">
              <w:t>7</w:t>
            </w:r>
          </w:p>
        </w:tc>
        <w:tc>
          <w:tcPr>
            <w:tcW w:w="682" w:type="pct"/>
            <w:shd w:val="clear" w:color="auto" w:fill="auto"/>
          </w:tcPr>
          <w:p w:rsidR="005B63A2" w:rsidRPr="00143624" w:rsidRDefault="005B63A2" w:rsidP="005B63A2">
            <w:pPr>
              <w:pStyle w:val="Tabletext"/>
            </w:pPr>
            <w:r w:rsidRPr="00143624">
              <w:t>96 to 108</w:t>
            </w:r>
          </w:p>
        </w:tc>
        <w:tc>
          <w:tcPr>
            <w:tcW w:w="597" w:type="pct"/>
            <w:shd w:val="clear" w:color="auto" w:fill="auto"/>
          </w:tcPr>
          <w:p w:rsidR="005B63A2" w:rsidRPr="00143624" w:rsidRDefault="005B63A2" w:rsidP="005B63A2">
            <w:pPr>
              <w:pStyle w:val="Tabletext"/>
            </w:pPr>
            <w:r w:rsidRPr="00143624">
              <w:t>0.1%</w:t>
            </w:r>
          </w:p>
        </w:tc>
        <w:tc>
          <w:tcPr>
            <w:tcW w:w="597" w:type="pct"/>
            <w:shd w:val="clear" w:color="auto" w:fill="auto"/>
          </w:tcPr>
          <w:p w:rsidR="005B63A2" w:rsidRPr="00143624" w:rsidRDefault="005B63A2" w:rsidP="005B63A2">
            <w:pPr>
              <w:pStyle w:val="Tabletext"/>
            </w:pPr>
            <w:r w:rsidRPr="00143624">
              <w:t>0.6%</w:t>
            </w:r>
          </w:p>
        </w:tc>
        <w:tc>
          <w:tcPr>
            <w:tcW w:w="597" w:type="pct"/>
            <w:shd w:val="clear" w:color="auto" w:fill="auto"/>
          </w:tcPr>
          <w:p w:rsidR="005B63A2" w:rsidRPr="00143624" w:rsidRDefault="005B63A2" w:rsidP="005B63A2">
            <w:pPr>
              <w:pStyle w:val="Tabletext"/>
            </w:pPr>
            <w:r w:rsidRPr="00143624">
              <w:t>1.6%</w:t>
            </w:r>
          </w:p>
        </w:tc>
        <w:tc>
          <w:tcPr>
            <w:tcW w:w="597" w:type="pct"/>
            <w:shd w:val="clear" w:color="auto" w:fill="auto"/>
          </w:tcPr>
          <w:p w:rsidR="005B63A2" w:rsidRPr="00143624" w:rsidRDefault="005B63A2" w:rsidP="005B63A2">
            <w:pPr>
              <w:pStyle w:val="Tabletext"/>
            </w:pPr>
            <w:r w:rsidRPr="00143624">
              <w:t>2.4%</w:t>
            </w:r>
          </w:p>
        </w:tc>
        <w:tc>
          <w:tcPr>
            <w:tcW w:w="512" w:type="pct"/>
            <w:shd w:val="clear" w:color="auto" w:fill="auto"/>
          </w:tcPr>
          <w:p w:rsidR="005B63A2" w:rsidRPr="00143624" w:rsidRDefault="005B63A2" w:rsidP="005B63A2">
            <w:pPr>
              <w:pStyle w:val="Tabletext"/>
            </w:pPr>
            <w:r w:rsidRPr="00143624">
              <w:t>3.4%</w:t>
            </w:r>
          </w:p>
        </w:tc>
        <w:tc>
          <w:tcPr>
            <w:tcW w:w="511" w:type="pct"/>
            <w:shd w:val="clear" w:color="auto" w:fill="auto"/>
          </w:tcPr>
          <w:p w:rsidR="005B63A2" w:rsidRPr="00143624" w:rsidRDefault="005B63A2" w:rsidP="005B63A2">
            <w:pPr>
              <w:pStyle w:val="Tabletext"/>
            </w:pPr>
            <w:r w:rsidRPr="00143624">
              <w:t>4.6%</w:t>
            </w:r>
          </w:p>
        </w:tc>
        <w:tc>
          <w:tcPr>
            <w:tcW w:w="485" w:type="pct"/>
            <w:shd w:val="clear" w:color="auto" w:fill="auto"/>
          </w:tcPr>
          <w:p w:rsidR="005B63A2" w:rsidRPr="00143624" w:rsidRDefault="005B63A2" w:rsidP="005B63A2">
            <w:pPr>
              <w:pStyle w:val="Tabletext"/>
            </w:pPr>
            <w:r w:rsidRPr="00143624">
              <w:t>6.1%</w:t>
            </w:r>
          </w:p>
        </w:tc>
      </w:tr>
      <w:tr w:rsidR="005B63A2" w:rsidRPr="00143624" w:rsidTr="003104D0">
        <w:tc>
          <w:tcPr>
            <w:tcW w:w="423" w:type="pct"/>
            <w:shd w:val="clear" w:color="auto" w:fill="auto"/>
          </w:tcPr>
          <w:p w:rsidR="005B63A2" w:rsidRPr="00143624" w:rsidRDefault="005B63A2" w:rsidP="005B63A2">
            <w:pPr>
              <w:pStyle w:val="Tabletext"/>
            </w:pPr>
            <w:r w:rsidRPr="00143624">
              <w:t>8</w:t>
            </w:r>
          </w:p>
        </w:tc>
        <w:tc>
          <w:tcPr>
            <w:tcW w:w="682" w:type="pct"/>
            <w:shd w:val="clear" w:color="auto" w:fill="auto"/>
          </w:tcPr>
          <w:p w:rsidR="005B63A2" w:rsidRPr="00143624" w:rsidRDefault="005B63A2" w:rsidP="005B63A2">
            <w:pPr>
              <w:pStyle w:val="Tabletext"/>
            </w:pPr>
            <w:r w:rsidRPr="00143624">
              <w:t>84 to 96</w:t>
            </w:r>
          </w:p>
        </w:tc>
        <w:tc>
          <w:tcPr>
            <w:tcW w:w="597" w:type="pct"/>
            <w:shd w:val="clear" w:color="auto" w:fill="auto"/>
          </w:tcPr>
          <w:p w:rsidR="005B63A2" w:rsidRPr="00143624" w:rsidRDefault="005B63A2" w:rsidP="005B63A2">
            <w:pPr>
              <w:pStyle w:val="Tabletext"/>
            </w:pPr>
            <w:r w:rsidRPr="00143624">
              <w:t>0.1%</w:t>
            </w:r>
          </w:p>
        </w:tc>
        <w:tc>
          <w:tcPr>
            <w:tcW w:w="597" w:type="pct"/>
            <w:shd w:val="clear" w:color="auto" w:fill="auto"/>
          </w:tcPr>
          <w:p w:rsidR="005B63A2" w:rsidRPr="00143624" w:rsidRDefault="005B63A2" w:rsidP="005B63A2">
            <w:pPr>
              <w:pStyle w:val="Tabletext"/>
            </w:pPr>
            <w:r w:rsidRPr="00143624">
              <w:t>0.4%</w:t>
            </w:r>
          </w:p>
        </w:tc>
        <w:tc>
          <w:tcPr>
            <w:tcW w:w="597" w:type="pct"/>
            <w:shd w:val="clear" w:color="auto" w:fill="auto"/>
          </w:tcPr>
          <w:p w:rsidR="005B63A2" w:rsidRPr="00143624" w:rsidRDefault="005B63A2" w:rsidP="005B63A2">
            <w:pPr>
              <w:pStyle w:val="Tabletext"/>
            </w:pPr>
            <w:r w:rsidRPr="00143624">
              <w:t>1.3%</w:t>
            </w:r>
          </w:p>
        </w:tc>
        <w:tc>
          <w:tcPr>
            <w:tcW w:w="597" w:type="pct"/>
            <w:shd w:val="clear" w:color="auto" w:fill="auto"/>
          </w:tcPr>
          <w:p w:rsidR="005B63A2" w:rsidRPr="00143624" w:rsidRDefault="005B63A2" w:rsidP="005B63A2">
            <w:pPr>
              <w:pStyle w:val="Tabletext"/>
            </w:pPr>
            <w:r w:rsidRPr="00143624">
              <w:t>2.1%</w:t>
            </w:r>
          </w:p>
        </w:tc>
        <w:tc>
          <w:tcPr>
            <w:tcW w:w="512" w:type="pct"/>
            <w:shd w:val="clear" w:color="auto" w:fill="auto"/>
          </w:tcPr>
          <w:p w:rsidR="005B63A2" w:rsidRPr="00143624" w:rsidRDefault="005B63A2" w:rsidP="005B63A2">
            <w:pPr>
              <w:pStyle w:val="Tabletext"/>
            </w:pPr>
            <w:r w:rsidRPr="00143624">
              <w:t>3.0%</w:t>
            </w:r>
          </w:p>
        </w:tc>
        <w:tc>
          <w:tcPr>
            <w:tcW w:w="511" w:type="pct"/>
            <w:shd w:val="clear" w:color="auto" w:fill="auto"/>
          </w:tcPr>
          <w:p w:rsidR="005B63A2" w:rsidRPr="00143624" w:rsidRDefault="005B63A2" w:rsidP="005B63A2">
            <w:pPr>
              <w:pStyle w:val="Tabletext"/>
            </w:pPr>
            <w:r w:rsidRPr="00143624">
              <w:t>4.3%</w:t>
            </w:r>
          </w:p>
        </w:tc>
        <w:tc>
          <w:tcPr>
            <w:tcW w:w="485" w:type="pct"/>
            <w:shd w:val="clear" w:color="auto" w:fill="auto"/>
          </w:tcPr>
          <w:p w:rsidR="005B63A2" w:rsidRPr="00143624" w:rsidRDefault="005B63A2" w:rsidP="005B63A2">
            <w:pPr>
              <w:pStyle w:val="Tabletext"/>
            </w:pPr>
            <w:r w:rsidRPr="00143624">
              <w:t>5.8%</w:t>
            </w:r>
          </w:p>
        </w:tc>
      </w:tr>
      <w:tr w:rsidR="005B63A2" w:rsidRPr="00143624" w:rsidTr="003104D0">
        <w:tc>
          <w:tcPr>
            <w:tcW w:w="423" w:type="pct"/>
            <w:shd w:val="clear" w:color="auto" w:fill="auto"/>
          </w:tcPr>
          <w:p w:rsidR="005B63A2" w:rsidRPr="00143624" w:rsidRDefault="005B63A2" w:rsidP="005B63A2">
            <w:pPr>
              <w:pStyle w:val="Tabletext"/>
            </w:pPr>
            <w:r w:rsidRPr="00143624">
              <w:t>9</w:t>
            </w:r>
          </w:p>
        </w:tc>
        <w:tc>
          <w:tcPr>
            <w:tcW w:w="682" w:type="pct"/>
            <w:shd w:val="clear" w:color="auto" w:fill="auto"/>
          </w:tcPr>
          <w:p w:rsidR="005B63A2" w:rsidRPr="00143624" w:rsidRDefault="005B63A2" w:rsidP="005B63A2">
            <w:pPr>
              <w:pStyle w:val="Tabletext"/>
            </w:pPr>
            <w:r w:rsidRPr="00143624">
              <w:t>72 to 84</w:t>
            </w:r>
          </w:p>
        </w:tc>
        <w:tc>
          <w:tcPr>
            <w:tcW w:w="597" w:type="pct"/>
            <w:shd w:val="clear" w:color="auto" w:fill="auto"/>
          </w:tcPr>
          <w:p w:rsidR="005B63A2" w:rsidRPr="00143624" w:rsidRDefault="005B63A2" w:rsidP="005B63A2">
            <w:pPr>
              <w:pStyle w:val="Tabletext"/>
            </w:pPr>
            <w:r w:rsidRPr="00143624">
              <w:t>0.1%</w:t>
            </w:r>
          </w:p>
        </w:tc>
        <w:tc>
          <w:tcPr>
            <w:tcW w:w="597" w:type="pct"/>
            <w:shd w:val="clear" w:color="auto" w:fill="auto"/>
          </w:tcPr>
          <w:p w:rsidR="005B63A2" w:rsidRPr="00143624" w:rsidRDefault="005B63A2" w:rsidP="005B63A2">
            <w:pPr>
              <w:pStyle w:val="Tabletext"/>
            </w:pPr>
            <w:r w:rsidRPr="00143624">
              <w:t>0.3%</w:t>
            </w:r>
          </w:p>
        </w:tc>
        <w:tc>
          <w:tcPr>
            <w:tcW w:w="597" w:type="pct"/>
            <w:shd w:val="clear" w:color="auto" w:fill="auto"/>
          </w:tcPr>
          <w:p w:rsidR="005B63A2" w:rsidRPr="00143624" w:rsidRDefault="005B63A2" w:rsidP="005B63A2">
            <w:pPr>
              <w:pStyle w:val="Tabletext"/>
            </w:pPr>
            <w:r w:rsidRPr="00143624">
              <w:t>1.1%</w:t>
            </w:r>
          </w:p>
        </w:tc>
        <w:tc>
          <w:tcPr>
            <w:tcW w:w="597" w:type="pct"/>
            <w:shd w:val="clear" w:color="auto" w:fill="auto"/>
          </w:tcPr>
          <w:p w:rsidR="005B63A2" w:rsidRPr="00143624" w:rsidRDefault="005B63A2" w:rsidP="005B63A2">
            <w:pPr>
              <w:pStyle w:val="Tabletext"/>
            </w:pPr>
            <w:r w:rsidRPr="00143624">
              <w:t>1.7%</w:t>
            </w:r>
          </w:p>
        </w:tc>
        <w:tc>
          <w:tcPr>
            <w:tcW w:w="512" w:type="pct"/>
            <w:shd w:val="clear" w:color="auto" w:fill="auto"/>
          </w:tcPr>
          <w:p w:rsidR="005B63A2" w:rsidRPr="00143624" w:rsidRDefault="005B63A2" w:rsidP="005B63A2">
            <w:pPr>
              <w:pStyle w:val="Tabletext"/>
            </w:pPr>
            <w:r w:rsidRPr="00143624">
              <w:t>2.7%</w:t>
            </w:r>
          </w:p>
        </w:tc>
        <w:tc>
          <w:tcPr>
            <w:tcW w:w="511" w:type="pct"/>
            <w:shd w:val="clear" w:color="auto" w:fill="auto"/>
          </w:tcPr>
          <w:p w:rsidR="005B63A2" w:rsidRPr="00143624" w:rsidRDefault="005B63A2" w:rsidP="005B63A2">
            <w:pPr>
              <w:pStyle w:val="Tabletext"/>
            </w:pPr>
            <w:r w:rsidRPr="00143624">
              <w:t>3.9%</w:t>
            </w:r>
          </w:p>
        </w:tc>
        <w:tc>
          <w:tcPr>
            <w:tcW w:w="485" w:type="pct"/>
            <w:shd w:val="clear" w:color="auto" w:fill="auto"/>
          </w:tcPr>
          <w:p w:rsidR="005B63A2" w:rsidRPr="00143624" w:rsidRDefault="005B63A2" w:rsidP="005B63A2">
            <w:pPr>
              <w:pStyle w:val="Tabletext"/>
            </w:pPr>
            <w:r w:rsidRPr="00143624">
              <w:t>5.4%</w:t>
            </w:r>
          </w:p>
        </w:tc>
      </w:tr>
      <w:tr w:rsidR="005B63A2" w:rsidRPr="00143624" w:rsidTr="003104D0">
        <w:tc>
          <w:tcPr>
            <w:tcW w:w="423" w:type="pct"/>
            <w:shd w:val="clear" w:color="auto" w:fill="auto"/>
          </w:tcPr>
          <w:p w:rsidR="005B63A2" w:rsidRPr="00143624" w:rsidRDefault="005B63A2" w:rsidP="005B63A2">
            <w:pPr>
              <w:pStyle w:val="Tabletext"/>
            </w:pPr>
            <w:r w:rsidRPr="00143624">
              <w:t>10</w:t>
            </w:r>
          </w:p>
        </w:tc>
        <w:tc>
          <w:tcPr>
            <w:tcW w:w="682" w:type="pct"/>
            <w:shd w:val="clear" w:color="auto" w:fill="auto"/>
          </w:tcPr>
          <w:p w:rsidR="005B63A2" w:rsidRPr="00143624" w:rsidRDefault="005B63A2" w:rsidP="005B63A2">
            <w:pPr>
              <w:pStyle w:val="Tabletext"/>
            </w:pPr>
            <w:r w:rsidRPr="00143624">
              <w:t>60 to 72</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0.2%</w:t>
            </w:r>
          </w:p>
        </w:tc>
        <w:tc>
          <w:tcPr>
            <w:tcW w:w="597" w:type="pct"/>
            <w:shd w:val="clear" w:color="auto" w:fill="auto"/>
          </w:tcPr>
          <w:p w:rsidR="005B63A2" w:rsidRPr="00143624" w:rsidRDefault="005B63A2" w:rsidP="005B63A2">
            <w:pPr>
              <w:pStyle w:val="Tabletext"/>
            </w:pPr>
            <w:r w:rsidRPr="00143624">
              <w:t>0.8%</w:t>
            </w:r>
          </w:p>
        </w:tc>
        <w:tc>
          <w:tcPr>
            <w:tcW w:w="597" w:type="pct"/>
            <w:shd w:val="clear" w:color="auto" w:fill="auto"/>
          </w:tcPr>
          <w:p w:rsidR="005B63A2" w:rsidRPr="00143624" w:rsidRDefault="005B63A2" w:rsidP="005B63A2">
            <w:pPr>
              <w:pStyle w:val="Tabletext"/>
            </w:pPr>
            <w:r w:rsidRPr="00143624">
              <w:t>1.4%</w:t>
            </w:r>
          </w:p>
        </w:tc>
        <w:tc>
          <w:tcPr>
            <w:tcW w:w="512" w:type="pct"/>
            <w:shd w:val="clear" w:color="auto" w:fill="auto"/>
          </w:tcPr>
          <w:p w:rsidR="005B63A2" w:rsidRPr="00143624" w:rsidRDefault="005B63A2" w:rsidP="005B63A2">
            <w:pPr>
              <w:pStyle w:val="Tabletext"/>
            </w:pPr>
            <w:r w:rsidRPr="00143624">
              <w:t>2.2%</w:t>
            </w:r>
          </w:p>
        </w:tc>
        <w:tc>
          <w:tcPr>
            <w:tcW w:w="511" w:type="pct"/>
            <w:shd w:val="clear" w:color="auto" w:fill="auto"/>
          </w:tcPr>
          <w:p w:rsidR="005B63A2" w:rsidRPr="00143624" w:rsidRDefault="005B63A2" w:rsidP="005B63A2">
            <w:pPr>
              <w:pStyle w:val="Tabletext"/>
            </w:pPr>
            <w:r w:rsidRPr="00143624">
              <w:t>3.4%</w:t>
            </w:r>
          </w:p>
        </w:tc>
        <w:tc>
          <w:tcPr>
            <w:tcW w:w="485" w:type="pct"/>
            <w:shd w:val="clear" w:color="auto" w:fill="auto"/>
          </w:tcPr>
          <w:p w:rsidR="005B63A2" w:rsidRPr="00143624" w:rsidRDefault="005B63A2" w:rsidP="005B63A2">
            <w:pPr>
              <w:pStyle w:val="Tabletext"/>
            </w:pPr>
            <w:r w:rsidRPr="00143624">
              <w:t>4.9%</w:t>
            </w:r>
          </w:p>
        </w:tc>
      </w:tr>
      <w:tr w:rsidR="005B63A2" w:rsidRPr="00143624" w:rsidTr="003104D0">
        <w:tc>
          <w:tcPr>
            <w:tcW w:w="423" w:type="pct"/>
            <w:shd w:val="clear" w:color="auto" w:fill="auto"/>
          </w:tcPr>
          <w:p w:rsidR="005B63A2" w:rsidRPr="00143624" w:rsidRDefault="005B63A2" w:rsidP="005B63A2">
            <w:pPr>
              <w:pStyle w:val="Tabletext"/>
            </w:pPr>
            <w:r w:rsidRPr="00143624">
              <w:t>11</w:t>
            </w:r>
          </w:p>
        </w:tc>
        <w:tc>
          <w:tcPr>
            <w:tcW w:w="682" w:type="pct"/>
            <w:shd w:val="clear" w:color="auto" w:fill="auto"/>
          </w:tcPr>
          <w:p w:rsidR="005B63A2" w:rsidRPr="00143624" w:rsidRDefault="005B63A2" w:rsidP="005B63A2">
            <w:pPr>
              <w:pStyle w:val="Tabletext"/>
            </w:pPr>
            <w:r w:rsidRPr="00143624">
              <w:t>48 to 60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0.1%</w:t>
            </w:r>
          </w:p>
        </w:tc>
        <w:tc>
          <w:tcPr>
            <w:tcW w:w="597" w:type="pct"/>
            <w:shd w:val="clear" w:color="auto" w:fill="auto"/>
          </w:tcPr>
          <w:p w:rsidR="005B63A2" w:rsidRPr="00143624" w:rsidRDefault="005B63A2" w:rsidP="005B63A2">
            <w:pPr>
              <w:pStyle w:val="Tabletext"/>
            </w:pPr>
            <w:r w:rsidRPr="00143624">
              <w:t>0.5%</w:t>
            </w:r>
          </w:p>
        </w:tc>
        <w:tc>
          <w:tcPr>
            <w:tcW w:w="597" w:type="pct"/>
            <w:shd w:val="clear" w:color="auto" w:fill="auto"/>
          </w:tcPr>
          <w:p w:rsidR="005B63A2" w:rsidRPr="00143624" w:rsidRDefault="005B63A2" w:rsidP="005B63A2">
            <w:pPr>
              <w:pStyle w:val="Tabletext"/>
            </w:pPr>
            <w:r w:rsidRPr="00143624">
              <w:t>1.0%</w:t>
            </w:r>
          </w:p>
        </w:tc>
        <w:tc>
          <w:tcPr>
            <w:tcW w:w="512" w:type="pct"/>
            <w:shd w:val="clear" w:color="auto" w:fill="auto"/>
          </w:tcPr>
          <w:p w:rsidR="005B63A2" w:rsidRPr="00143624" w:rsidRDefault="005B63A2" w:rsidP="005B63A2">
            <w:pPr>
              <w:pStyle w:val="Tabletext"/>
            </w:pPr>
            <w:r w:rsidRPr="00143624">
              <w:t>1.7%</w:t>
            </w:r>
          </w:p>
        </w:tc>
        <w:tc>
          <w:tcPr>
            <w:tcW w:w="511" w:type="pct"/>
            <w:shd w:val="clear" w:color="auto" w:fill="auto"/>
          </w:tcPr>
          <w:p w:rsidR="005B63A2" w:rsidRPr="00143624" w:rsidRDefault="005B63A2" w:rsidP="005B63A2">
            <w:pPr>
              <w:pStyle w:val="Tabletext"/>
            </w:pPr>
            <w:r w:rsidRPr="00143624">
              <w:t>2.8%</w:t>
            </w:r>
          </w:p>
        </w:tc>
        <w:tc>
          <w:tcPr>
            <w:tcW w:w="485" w:type="pct"/>
            <w:shd w:val="clear" w:color="auto" w:fill="auto"/>
          </w:tcPr>
          <w:p w:rsidR="005B63A2" w:rsidRPr="00143624" w:rsidRDefault="005B63A2" w:rsidP="005B63A2">
            <w:pPr>
              <w:pStyle w:val="Tabletext"/>
            </w:pPr>
            <w:r w:rsidRPr="00143624">
              <w:t>4.2%</w:t>
            </w:r>
          </w:p>
        </w:tc>
      </w:tr>
      <w:tr w:rsidR="005B63A2" w:rsidRPr="00143624" w:rsidTr="003104D0">
        <w:tc>
          <w:tcPr>
            <w:tcW w:w="423" w:type="pct"/>
            <w:shd w:val="clear" w:color="auto" w:fill="auto"/>
          </w:tcPr>
          <w:p w:rsidR="005B63A2" w:rsidRPr="00143624" w:rsidRDefault="005B63A2" w:rsidP="005B63A2">
            <w:pPr>
              <w:pStyle w:val="Tabletext"/>
            </w:pPr>
            <w:r w:rsidRPr="00143624">
              <w:t>12</w:t>
            </w:r>
          </w:p>
        </w:tc>
        <w:tc>
          <w:tcPr>
            <w:tcW w:w="682" w:type="pct"/>
            <w:shd w:val="clear" w:color="auto" w:fill="auto"/>
          </w:tcPr>
          <w:p w:rsidR="005B63A2" w:rsidRPr="00143624" w:rsidRDefault="005B63A2" w:rsidP="005B63A2">
            <w:pPr>
              <w:pStyle w:val="Tabletext"/>
            </w:pPr>
            <w:r w:rsidRPr="00143624">
              <w:t>36 to 48</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0.3%</w:t>
            </w:r>
          </w:p>
        </w:tc>
        <w:tc>
          <w:tcPr>
            <w:tcW w:w="597" w:type="pct"/>
            <w:shd w:val="clear" w:color="auto" w:fill="auto"/>
          </w:tcPr>
          <w:p w:rsidR="005B63A2" w:rsidRPr="00143624" w:rsidRDefault="005B63A2" w:rsidP="005B63A2">
            <w:pPr>
              <w:pStyle w:val="Tabletext"/>
            </w:pPr>
            <w:r w:rsidRPr="00143624">
              <w:t>0.6%</w:t>
            </w:r>
          </w:p>
        </w:tc>
        <w:tc>
          <w:tcPr>
            <w:tcW w:w="512" w:type="pct"/>
            <w:shd w:val="clear" w:color="auto" w:fill="auto"/>
          </w:tcPr>
          <w:p w:rsidR="005B63A2" w:rsidRPr="00143624" w:rsidRDefault="005B63A2" w:rsidP="005B63A2">
            <w:pPr>
              <w:pStyle w:val="Tabletext"/>
            </w:pPr>
            <w:r w:rsidRPr="00143624">
              <w:t>1.2%</w:t>
            </w:r>
          </w:p>
        </w:tc>
        <w:tc>
          <w:tcPr>
            <w:tcW w:w="511" w:type="pct"/>
            <w:shd w:val="clear" w:color="auto" w:fill="auto"/>
          </w:tcPr>
          <w:p w:rsidR="005B63A2" w:rsidRPr="00143624" w:rsidRDefault="005B63A2" w:rsidP="005B63A2">
            <w:pPr>
              <w:pStyle w:val="Tabletext"/>
            </w:pPr>
            <w:r w:rsidRPr="00143624">
              <w:t>2.1%</w:t>
            </w:r>
          </w:p>
        </w:tc>
        <w:tc>
          <w:tcPr>
            <w:tcW w:w="485" w:type="pct"/>
            <w:shd w:val="clear" w:color="auto" w:fill="auto"/>
          </w:tcPr>
          <w:p w:rsidR="005B63A2" w:rsidRPr="00143624" w:rsidRDefault="005B63A2" w:rsidP="005B63A2">
            <w:pPr>
              <w:pStyle w:val="Tabletext"/>
            </w:pPr>
            <w:r w:rsidRPr="00143624">
              <w:t>3.4%</w:t>
            </w:r>
          </w:p>
        </w:tc>
      </w:tr>
      <w:tr w:rsidR="005B63A2" w:rsidRPr="00143624" w:rsidTr="003104D0">
        <w:tc>
          <w:tcPr>
            <w:tcW w:w="423" w:type="pct"/>
            <w:shd w:val="clear" w:color="auto" w:fill="auto"/>
          </w:tcPr>
          <w:p w:rsidR="005B63A2" w:rsidRPr="00143624" w:rsidRDefault="005B63A2" w:rsidP="005B63A2">
            <w:pPr>
              <w:pStyle w:val="Tabletext"/>
            </w:pPr>
            <w:r w:rsidRPr="00143624">
              <w:t>13</w:t>
            </w:r>
          </w:p>
        </w:tc>
        <w:tc>
          <w:tcPr>
            <w:tcW w:w="682" w:type="pct"/>
            <w:shd w:val="clear" w:color="auto" w:fill="auto"/>
          </w:tcPr>
          <w:p w:rsidR="005B63A2" w:rsidRPr="00143624" w:rsidRDefault="005B63A2" w:rsidP="005B63A2">
            <w:pPr>
              <w:pStyle w:val="Tabletext"/>
            </w:pPr>
            <w:r w:rsidRPr="00143624">
              <w:t>24 to 36</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0.1%</w:t>
            </w:r>
          </w:p>
        </w:tc>
        <w:tc>
          <w:tcPr>
            <w:tcW w:w="597" w:type="pct"/>
            <w:shd w:val="clear" w:color="auto" w:fill="auto"/>
          </w:tcPr>
          <w:p w:rsidR="005B63A2" w:rsidRPr="00143624" w:rsidRDefault="005B63A2" w:rsidP="005B63A2">
            <w:pPr>
              <w:pStyle w:val="Tabletext"/>
            </w:pPr>
            <w:r w:rsidRPr="00143624">
              <w:t>0.3%</w:t>
            </w:r>
          </w:p>
        </w:tc>
        <w:tc>
          <w:tcPr>
            <w:tcW w:w="512" w:type="pct"/>
            <w:shd w:val="clear" w:color="auto" w:fill="auto"/>
          </w:tcPr>
          <w:p w:rsidR="005B63A2" w:rsidRPr="00143624" w:rsidRDefault="005B63A2" w:rsidP="005B63A2">
            <w:pPr>
              <w:pStyle w:val="Tabletext"/>
            </w:pPr>
            <w:r w:rsidRPr="00143624">
              <w:t>0.6%</w:t>
            </w:r>
          </w:p>
        </w:tc>
        <w:tc>
          <w:tcPr>
            <w:tcW w:w="511" w:type="pct"/>
            <w:shd w:val="clear" w:color="auto" w:fill="auto"/>
          </w:tcPr>
          <w:p w:rsidR="005B63A2" w:rsidRPr="00143624" w:rsidRDefault="005B63A2" w:rsidP="005B63A2">
            <w:pPr>
              <w:pStyle w:val="Tabletext"/>
            </w:pPr>
            <w:r w:rsidRPr="00143624">
              <w:t>1.3%</w:t>
            </w:r>
          </w:p>
        </w:tc>
        <w:tc>
          <w:tcPr>
            <w:tcW w:w="485" w:type="pct"/>
            <w:shd w:val="clear" w:color="auto" w:fill="auto"/>
          </w:tcPr>
          <w:p w:rsidR="005B63A2" w:rsidRPr="00143624" w:rsidRDefault="005B63A2" w:rsidP="005B63A2">
            <w:pPr>
              <w:pStyle w:val="Tabletext"/>
            </w:pPr>
            <w:r w:rsidRPr="00143624">
              <w:t>2.4%</w:t>
            </w:r>
          </w:p>
        </w:tc>
      </w:tr>
      <w:tr w:rsidR="005B63A2" w:rsidRPr="00143624" w:rsidTr="003104D0">
        <w:tc>
          <w:tcPr>
            <w:tcW w:w="423" w:type="pct"/>
            <w:shd w:val="clear" w:color="auto" w:fill="auto"/>
          </w:tcPr>
          <w:p w:rsidR="005B63A2" w:rsidRPr="00143624" w:rsidRDefault="005B63A2" w:rsidP="005B63A2">
            <w:pPr>
              <w:pStyle w:val="Tabletext"/>
            </w:pPr>
            <w:r w:rsidRPr="00143624">
              <w:t>14</w:t>
            </w:r>
          </w:p>
        </w:tc>
        <w:tc>
          <w:tcPr>
            <w:tcW w:w="682" w:type="pct"/>
            <w:shd w:val="clear" w:color="auto" w:fill="auto"/>
          </w:tcPr>
          <w:p w:rsidR="005B63A2" w:rsidRPr="00143624" w:rsidRDefault="005B63A2" w:rsidP="005B63A2">
            <w:pPr>
              <w:pStyle w:val="Tabletext"/>
            </w:pPr>
            <w:r w:rsidRPr="00143624">
              <w:t>18 to 24</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0.1%</w:t>
            </w:r>
          </w:p>
        </w:tc>
        <w:tc>
          <w:tcPr>
            <w:tcW w:w="512" w:type="pct"/>
            <w:shd w:val="clear" w:color="auto" w:fill="auto"/>
          </w:tcPr>
          <w:p w:rsidR="005B63A2" w:rsidRPr="00143624" w:rsidRDefault="005B63A2" w:rsidP="005B63A2">
            <w:pPr>
              <w:pStyle w:val="Tabletext"/>
            </w:pPr>
            <w:r w:rsidRPr="00143624">
              <w:t>0.3%</w:t>
            </w:r>
          </w:p>
        </w:tc>
        <w:tc>
          <w:tcPr>
            <w:tcW w:w="511" w:type="pct"/>
            <w:shd w:val="clear" w:color="auto" w:fill="auto"/>
          </w:tcPr>
          <w:p w:rsidR="005B63A2" w:rsidRPr="00143624" w:rsidRDefault="005B63A2" w:rsidP="005B63A2">
            <w:pPr>
              <w:pStyle w:val="Tabletext"/>
            </w:pPr>
            <w:r w:rsidRPr="00143624">
              <w:t>0.9%</w:t>
            </w:r>
          </w:p>
        </w:tc>
        <w:tc>
          <w:tcPr>
            <w:tcW w:w="485" w:type="pct"/>
            <w:shd w:val="clear" w:color="auto" w:fill="auto"/>
          </w:tcPr>
          <w:p w:rsidR="005B63A2" w:rsidRPr="00143624" w:rsidRDefault="005B63A2" w:rsidP="005B63A2">
            <w:pPr>
              <w:pStyle w:val="Tabletext"/>
            </w:pPr>
            <w:r w:rsidRPr="00143624">
              <w:t>1.8%</w:t>
            </w:r>
          </w:p>
        </w:tc>
      </w:tr>
      <w:tr w:rsidR="005B63A2" w:rsidRPr="00143624" w:rsidTr="003104D0">
        <w:tc>
          <w:tcPr>
            <w:tcW w:w="423" w:type="pct"/>
            <w:shd w:val="clear" w:color="auto" w:fill="auto"/>
          </w:tcPr>
          <w:p w:rsidR="005B63A2" w:rsidRPr="00143624" w:rsidRDefault="005B63A2" w:rsidP="005B63A2">
            <w:pPr>
              <w:pStyle w:val="Tabletext"/>
            </w:pPr>
            <w:r w:rsidRPr="00143624">
              <w:t>15</w:t>
            </w:r>
          </w:p>
        </w:tc>
        <w:tc>
          <w:tcPr>
            <w:tcW w:w="682" w:type="pct"/>
            <w:shd w:val="clear" w:color="auto" w:fill="auto"/>
          </w:tcPr>
          <w:p w:rsidR="005B63A2" w:rsidRPr="00143624" w:rsidRDefault="005B63A2" w:rsidP="005B63A2">
            <w:pPr>
              <w:pStyle w:val="Tabletext"/>
            </w:pPr>
            <w:r w:rsidRPr="00143624">
              <w:t>12 to 18</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12" w:type="pct"/>
            <w:shd w:val="clear" w:color="auto" w:fill="auto"/>
          </w:tcPr>
          <w:p w:rsidR="005B63A2" w:rsidRPr="00143624" w:rsidRDefault="005B63A2" w:rsidP="005B63A2">
            <w:pPr>
              <w:pStyle w:val="Tabletext"/>
            </w:pPr>
            <w:r w:rsidRPr="00143624">
              <w:t>0.1%</w:t>
            </w:r>
          </w:p>
        </w:tc>
        <w:tc>
          <w:tcPr>
            <w:tcW w:w="511" w:type="pct"/>
            <w:shd w:val="clear" w:color="auto" w:fill="auto"/>
          </w:tcPr>
          <w:p w:rsidR="005B63A2" w:rsidRPr="00143624" w:rsidRDefault="005B63A2" w:rsidP="005B63A2">
            <w:pPr>
              <w:pStyle w:val="Tabletext"/>
            </w:pPr>
            <w:r w:rsidRPr="00143624">
              <w:t>0.4%</w:t>
            </w:r>
          </w:p>
        </w:tc>
        <w:tc>
          <w:tcPr>
            <w:tcW w:w="485" w:type="pct"/>
            <w:shd w:val="clear" w:color="auto" w:fill="auto"/>
          </w:tcPr>
          <w:p w:rsidR="005B63A2" w:rsidRPr="00143624" w:rsidRDefault="005B63A2" w:rsidP="005B63A2">
            <w:pPr>
              <w:pStyle w:val="Tabletext"/>
            </w:pPr>
            <w:r w:rsidRPr="00143624">
              <w:t>1.1%</w:t>
            </w:r>
          </w:p>
        </w:tc>
      </w:tr>
      <w:tr w:rsidR="005B63A2" w:rsidRPr="00143624" w:rsidTr="003104D0">
        <w:tc>
          <w:tcPr>
            <w:tcW w:w="423" w:type="pct"/>
            <w:shd w:val="clear" w:color="auto" w:fill="auto"/>
          </w:tcPr>
          <w:p w:rsidR="005B63A2" w:rsidRPr="00143624" w:rsidRDefault="005B63A2" w:rsidP="005B63A2">
            <w:pPr>
              <w:pStyle w:val="Tabletext"/>
            </w:pPr>
            <w:r w:rsidRPr="00143624">
              <w:t>16</w:t>
            </w:r>
          </w:p>
        </w:tc>
        <w:tc>
          <w:tcPr>
            <w:tcW w:w="682" w:type="pct"/>
            <w:shd w:val="clear" w:color="auto" w:fill="auto"/>
          </w:tcPr>
          <w:p w:rsidR="005B63A2" w:rsidRPr="00143624" w:rsidRDefault="005B63A2" w:rsidP="005B63A2">
            <w:pPr>
              <w:pStyle w:val="Tabletext"/>
            </w:pPr>
            <w:r w:rsidRPr="00143624">
              <w:t>9 to 12</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12" w:type="pct"/>
            <w:shd w:val="clear" w:color="auto" w:fill="auto"/>
          </w:tcPr>
          <w:p w:rsidR="005B63A2" w:rsidRPr="00143624" w:rsidRDefault="005B63A2" w:rsidP="005B63A2">
            <w:pPr>
              <w:pStyle w:val="Tabletext"/>
            </w:pPr>
            <w:r w:rsidRPr="00143624">
              <w:t>0.1%</w:t>
            </w:r>
          </w:p>
        </w:tc>
        <w:tc>
          <w:tcPr>
            <w:tcW w:w="511" w:type="pct"/>
            <w:shd w:val="clear" w:color="auto" w:fill="auto"/>
          </w:tcPr>
          <w:p w:rsidR="005B63A2" w:rsidRPr="00143624" w:rsidRDefault="005B63A2" w:rsidP="005B63A2">
            <w:pPr>
              <w:pStyle w:val="Tabletext"/>
            </w:pPr>
            <w:r w:rsidRPr="00143624">
              <w:t>0.2%</w:t>
            </w:r>
          </w:p>
        </w:tc>
        <w:tc>
          <w:tcPr>
            <w:tcW w:w="485" w:type="pct"/>
            <w:shd w:val="clear" w:color="auto" w:fill="auto"/>
          </w:tcPr>
          <w:p w:rsidR="005B63A2" w:rsidRPr="00143624" w:rsidRDefault="005B63A2" w:rsidP="005B63A2">
            <w:pPr>
              <w:pStyle w:val="Tabletext"/>
            </w:pPr>
            <w:r w:rsidRPr="00143624">
              <w:t>0.8%</w:t>
            </w:r>
          </w:p>
        </w:tc>
      </w:tr>
      <w:tr w:rsidR="005B63A2" w:rsidRPr="00143624" w:rsidTr="003104D0">
        <w:tc>
          <w:tcPr>
            <w:tcW w:w="423" w:type="pct"/>
            <w:shd w:val="clear" w:color="auto" w:fill="auto"/>
          </w:tcPr>
          <w:p w:rsidR="005B63A2" w:rsidRPr="00143624" w:rsidRDefault="005B63A2" w:rsidP="005B63A2">
            <w:pPr>
              <w:pStyle w:val="Tabletext"/>
            </w:pPr>
            <w:r w:rsidRPr="00143624">
              <w:t>17</w:t>
            </w:r>
          </w:p>
        </w:tc>
        <w:tc>
          <w:tcPr>
            <w:tcW w:w="682" w:type="pct"/>
            <w:shd w:val="clear" w:color="auto" w:fill="auto"/>
          </w:tcPr>
          <w:p w:rsidR="005B63A2" w:rsidRPr="00143624" w:rsidRDefault="005B63A2" w:rsidP="005B63A2">
            <w:pPr>
              <w:pStyle w:val="Tabletext"/>
            </w:pPr>
            <w:r w:rsidRPr="00143624">
              <w:t>6 to 9</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97" w:type="pct"/>
            <w:shd w:val="clear" w:color="auto" w:fill="auto"/>
          </w:tcPr>
          <w:p w:rsidR="005B63A2" w:rsidRPr="00143624" w:rsidRDefault="005B63A2" w:rsidP="005B63A2">
            <w:pPr>
              <w:pStyle w:val="Tabletext"/>
            </w:pPr>
            <w:r w:rsidRPr="00143624">
              <w:t>0.0%</w:t>
            </w:r>
          </w:p>
        </w:tc>
        <w:tc>
          <w:tcPr>
            <w:tcW w:w="512" w:type="pct"/>
            <w:shd w:val="clear" w:color="auto" w:fill="auto"/>
          </w:tcPr>
          <w:p w:rsidR="005B63A2" w:rsidRPr="00143624" w:rsidRDefault="005B63A2" w:rsidP="005B63A2">
            <w:pPr>
              <w:pStyle w:val="Tabletext"/>
            </w:pPr>
            <w:r w:rsidRPr="00143624">
              <w:t>0.0%</w:t>
            </w:r>
          </w:p>
        </w:tc>
        <w:tc>
          <w:tcPr>
            <w:tcW w:w="511" w:type="pct"/>
            <w:shd w:val="clear" w:color="auto" w:fill="auto"/>
          </w:tcPr>
          <w:p w:rsidR="005B63A2" w:rsidRPr="00143624" w:rsidRDefault="005B63A2" w:rsidP="005B63A2">
            <w:pPr>
              <w:pStyle w:val="Tabletext"/>
            </w:pPr>
            <w:r w:rsidRPr="00143624">
              <w:t>0.1%</w:t>
            </w:r>
          </w:p>
        </w:tc>
        <w:tc>
          <w:tcPr>
            <w:tcW w:w="485" w:type="pct"/>
            <w:shd w:val="clear" w:color="auto" w:fill="auto"/>
          </w:tcPr>
          <w:p w:rsidR="005B63A2" w:rsidRPr="00143624" w:rsidRDefault="005B63A2" w:rsidP="005B63A2">
            <w:pPr>
              <w:pStyle w:val="Tabletext"/>
            </w:pPr>
            <w:r w:rsidRPr="00143624">
              <w:t>0.4%</w:t>
            </w:r>
          </w:p>
        </w:tc>
      </w:tr>
      <w:tr w:rsidR="005B63A2" w:rsidRPr="00143624" w:rsidTr="003104D0">
        <w:tc>
          <w:tcPr>
            <w:tcW w:w="423" w:type="pct"/>
            <w:tcBorders>
              <w:bottom w:val="single" w:sz="2" w:space="0" w:color="auto"/>
            </w:tcBorders>
            <w:shd w:val="clear" w:color="auto" w:fill="auto"/>
          </w:tcPr>
          <w:p w:rsidR="005B63A2" w:rsidRPr="00143624" w:rsidRDefault="005B63A2" w:rsidP="005B63A2">
            <w:pPr>
              <w:pStyle w:val="Tabletext"/>
            </w:pPr>
            <w:r w:rsidRPr="00143624">
              <w:t>18</w:t>
            </w:r>
          </w:p>
        </w:tc>
        <w:tc>
          <w:tcPr>
            <w:tcW w:w="682" w:type="pct"/>
            <w:tcBorders>
              <w:bottom w:val="single" w:sz="2" w:space="0" w:color="auto"/>
            </w:tcBorders>
            <w:shd w:val="clear" w:color="auto" w:fill="auto"/>
          </w:tcPr>
          <w:p w:rsidR="005B63A2" w:rsidRPr="00143624" w:rsidRDefault="005B63A2" w:rsidP="005B63A2">
            <w:pPr>
              <w:pStyle w:val="Tabletext"/>
            </w:pPr>
            <w:r w:rsidRPr="00143624">
              <w:t>3 to 6</w:t>
            </w:r>
          </w:p>
        </w:tc>
        <w:tc>
          <w:tcPr>
            <w:tcW w:w="597" w:type="pct"/>
            <w:tcBorders>
              <w:bottom w:val="single" w:sz="2" w:space="0" w:color="auto"/>
            </w:tcBorders>
            <w:shd w:val="clear" w:color="auto" w:fill="auto"/>
          </w:tcPr>
          <w:p w:rsidR="005B63A2" w:rsidRPr="00143624" w:rsidRDefault="005B63A2" w:rsidP="005B63A2">
            <w:pPr>
              <w:pStyle w:val="Tabletext"/>
            </w:pPr>
            <w:r w:rsidRPr="00143624">
              <w:t>0.0%</w:t>
            </w:r>
          </w:p>
        </w:tc>
        <w:tc>
          <w:tcPr>
            <w:tcW w:w="597" w:type="pct"/>
            <w:tcBorders>
              <w:bottom w:val="single" w:sz="2" w:space="0" w:color="auto"/>
            </w:tcBorders>
            <w:shd w:val="clear" w:color="auto" w:fill="auto"/>
          </w:tcPr>
          <w:p w:rsidR="005B63A2" w:rsidRPr="00143624" w:rsidRDefault="005B63A2" w:rsidP="005B63A2">
            <w:pPr>
              <w:pStyle w:val="Tabletext"/>
            </w:pPr>
            <w:r w:rsidRPr="00143624">
              <w:t>0.0%</w:t>
            </w:r>
          </w:p>
        </w:tc>
        <w:tc>
          <w:tcPr>
            <w:tcW w:w="597" w:type="pct"/>
            <w:tcBorders>
              <w:bottom w:val="single" w:sz="2" w:space="0" w:color="auto"/>
            </w:tcBorders>
            <w:shd w:val="clear" w:color="auto" w:fill="auto"/>
          </w:tcPr>
          <w:p w:rsidR="005B63A2" w:rsidRPr="00143624" w:rsidRDefault="005B63A2" w:rsidP="005B63A2">
            <w:pPr>
              <w:pStyle w:val="Tabletext"/>
            </w:pPr>
            <w:r w:rsidRPr="00143624">
              <w:t>0.0%</w:t>
            </w:r>
          </w:p>
        </w:tc>
        <w:tc>
          <w:tcPr>
            <w:tcW w:w="597" w:type="pct"/>
            <w:tcBorders>
              <w:bottom w:val="single" w:sz="2" w:space="0" w:color="auto"/>
            </w:tcBorders>
            <w:shd w:val="clear" w:color="auto" w:fill="auto"/>
          </w:tcPr>
          <w:p w:rsidR="005B63A2" w:rsidRPr="00143624" w:rsidRDefault="005B63A2" w:rsidP="005B63A2">
            <w:pPr>
              <w:pStyle w:val="Tabletext"/>
            </w:pPr>
            <w:r w:rsidRPr="00143624">
              <w:t>0.0%</w:t>
            </w:r>
          </w:p>
        </w:tc>
        <w:tc>
          <w:tcPr>
            <w:tcW w:w="512" w:type="pct"/>
            <w:tcBorders>
              <w:bottom w:val="single" w:sz="2" w:space="0" w:color="auto"/>
            </w:tcBorders>
            <w:shd w:val="clear" w:color="auto" w:fill="auto"/>
          </w:tcPr>
          <w:p w:rsidR="005B63A2" w:rsidRPr="00143624" w:rsidRDefault="005B63A2" w:rsidP="005B63A2">
            <w:pPr>
              <w:pStyle w:val="Tabletext"/>
            </w:pPr>
            <w:r w:rsidRPr="00143624">
              <w:t>0.0%</w:t>
            </w:r>
          </w:p>
        </w:tc>
        <w:tc>
          <w:tcPr>
            <w:tcW w:w="511" w:type="pct"/>
            <w:tcBorders>
              <w:bottom w:val="single" w:sz="2" w:space="0" w:color="auto"/>
            </w:tcBorders>
            <w:shd w:val="clear" w:color="auto" w:fill="auto"/>
          </w:tcPr>
          <w:p w:rsidR="005B63A2" w:rsidRPr="00143624" w:rsidRDefault="005B63A2" w:rsidP="005B63A2">
            <w:pPr>
              <w:pStyle w:val="Tabletext"/>
            </w:pPr>
            <w:r w:rsidRPr="00143624">
              <w:t>0.0%</w:t>
            </w:r>
          </w:p>
        </w:tc>
        <w:tc>
          <w:tcPr>
            <w:tcW w:w="485" w:type="pct"/>
            <w:tcBorders>
              <w:bottom w:val="single" w:sz="2" w:space="0" w:color="auto"/>
            </w:tcBorders>
            <w:shd w:val="clear" w:color="auto" w:fill="auto"/>
          </w:tcPr>
          <w:p w:rsidR="005B63A2" w:rsidRPr="00143624" w:rsidRDefault="005B63A2" w:rsidP="005B63A2">
            <w:pPr>
              <w:pStyle w:val="Tabletext"/>
            </w:pPr>
            <w:r w:rsidRPr="00143624">
              <w:t>0.1%</w:t>
            </w:r>
          </w:p>
        </w:tc>
      </w:tr>
      <w:tr w:rsidR="005B63A2" w:rsidRPr="00143624" w:rsidTr="003104D0">
        <w:tc>
          <w:tcPr>
            <w:tcW w:w="423"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19</w:t>
            </w:r>
          </w:p>
        </w:tc>
        <w:tc>
          <w:tcPr>
            <w:tcW w:w="682"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 to 3</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512"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511"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485"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r>
    </w:tbl>
    <w:p w:rsidR="005B63A2" w:rsidRPr="00143624" w:rsidRDefault="005B63A2" w:rsidP="005B63A2">
      <w:pPr>
        <w:pStyle w:val="Tabletext"/>
      </w:pPr>
    </w:p>
    <w:tbl>
      <w:tblPr>
        <w:tblW w:w="5000" w:type="pct"/>
        <w:tblBorders>
          <w:top w:val="single" w:sz="6" w:space="0" w:color="auto"/>
          <w:bottom w:val="single" w:sz="2" w:space="0" w:color="auto"/>
          <w:insideH w:val="single" w:sz="2" w:space="0" w:color="auto"/>
        </w:tblBorders>
        <w:tblLook w:val="0000" w:firstRow="0" w:lastRow="0" w:firstColumn="0" w:lastColumn="0" w:noHBand="0" w:noVBand="0"/>
      </w:tblPr>
      <w:tblGrid>
        <w:gridCol w:w="723"/>
        <w:gridCol w:w="10"/>
        <w:gridCol w:w="1153"/>
        <w:gridCol w:w="1018"/>
        <w:gridCol w:w="1018"/>
        <w:gridCol w:w="1018"/>
        <w:gridCol w:w="1018"/>
        <w:gridCol w:w="873"/>
        <w:gridCol w:w="872"/>
        <w:gridCol w:w="826"/>
      </w:tblGrid>
      <w:tr w:rsidR="005B63A2" w:rsidRPr="00143624" w:rsidTr="003104D0">
        <w:trPr>
          <w:tblHeader/>
        </w:trPr>
        <w:tc>
          <w:tcPr>
            <w:tcW w:w="5000" w:type="pct"/>
            <w:gridSpan w:val="10"/>
            <w:tcBorders>
              <w:top w:val="single" w:sz="12" w:space="0" w:color="auto"/>
              <w:bottom w:val="single" w:sz="6" w:space="0" w:color="auto"/>
            </w:tcBorders>
            <w:shd w:val="clear" w:color="auto" w:fill="auto"/>
          </w:tcPr>
          <w:p w:rsidR="005B63A2" w:rsidRPr="00143624" w:rsidRDefault="005B63A2" w:rsidP="005B63A2">
            <w:pPr>
              <w:pStyle w:val="TableHeading"/>
            </w:pPr>
            <w:r w:rsidRPr="00143624">
              <w:t>Calculation percentages 92.5 to less than to 110</w:t>
            </w:r>
          </w:p>
        </w:tc>
      </w:tr>
      <w:tr w:rsidR="005B63A2" w:rsidRPr="00143624" w:rsidTr="003104D0">
        <w:trPr>
          <w:tblHeader/>
        </w:trPr>
        <w:tc>
          <w:tcPr>
            <w:tcW w:w="429" w:type="pct"/>
            <w:gridSpan w:val="2"/>
            <w:vMerge w:val="restart"/>
            <w:tcBorders>
              <w:top w:val="single" w:sz="6" w:space="0" w:color="auto"/>
            </w:tcBorders>
            <w:shd w:val="clear" w:color="auto" w:fill="auto"/>
          </w:tcPr>
          <w:p w:rsidR="005B63A2" w:rsidRPr="00143624" w:rsidRDefault="005B63A2" w:rsidP="005B63A2">
            <w:pPr>
              <w:pStyle w:val="TableHeading"/>
            </w:pPr>
            <w:r w:rsidRPr="00143624">
              <w:t>Item</w:t>
            </w:r>
          </w:p>
        </w:tc>
        <w:tc>
          <w:tcPr>
            <w:tcW w:w="676" w:type="pct"/>
            <w:vMerge w:val="restart"/>
            <w:tcBorders>
              <w:top w:val="single" w:sz="6" w:space="0" w:color="auto"/>
            </w:tcBorders>
            <w:shd w:val="clear" w:color="auto" w:fill="auto"/>
          </w:tcPr>
          <w:p w:rsidR="005B63A2" w:rsidRPr="00143624" w:rsidRDefault="005B63A2" w:rsidP="005B63A2">
            <w:pPr>
              <w:pStyle w:val="TableHeading"/>
            </w:pPr>
            <w:r w:rsidRPr="00143624">
              <w:t>Exercise period (months)</w:t>
            </w:r>
          </w:p>
        </w:tc>
        <w:tc>
          <w:tcPr>
            <w:tcW w:w="3895" w:type="pct"/>
            <w:gridSpan w:val="7"/>
            <w:tcBorders>
              <w:top w:val="single" w:sz="6" w:space="0" w:color="auto"/>
              <w:bottom w:val="nil"/>
            </w:tcBorders>
            <w:shd w:val="clear" w:color="auto" w:fill="auto"/>
          </w:tcPr>
          <w:p w:rsidR="005B63A2" w:rsidRPr="00143624" w:rsidRDefault="005B63A2" w:rsidP="005B63A2">
            <w:pPr>
              <w:pStyle w:val="TableHeading"/>
            </w:pPr>
            <w:r w:rsidRPr="00143624">
              <w:t>Calculation percentage</w:t>
            </w:r>
          </w:p>
        </w:tc>
      </w:tr>
      <w:tr w:rsidR="005B63A2" w:rsidRPr="00143624" w:rsidTr="003104D0">
        <w:trPr>
          <w:tblHeader/>
        </w:trPr>
        <w:tc>
          <w:tcPr>
            <w:tcW w:w="429" w:type="pct"/>
            <w:gridSpan w:val="2"/>
            <w:vMerge/>
            <w:tcBorders>
              <w:bottom w:val="single" w:sz="12" w:space="0" w:color="auto"/>
            </w:tcBorders>
            <w:shd w:val="clear" w:color="auto" w:fill="auto"/>
          </w:tcPr>
          <w:p w:rsidR="005B63A2" w:rsidRPr="00143624" w:rsidRDefault="005B63A2" w:rsidP="005B63A2">
            <w:pPr>
              <w:pStyle w:val="TableHeading"/>
            </w:pPr>
          </w:p>
        </w:tc>
        <w:tc>
          <w:tcPr>
            <w:tcW w:w="676" w:type="pct"/>
            <w:vMerge/>
            <w:tcBorders>
              <w:bottom w:val="single" w:sz="12" w:space="0" w:color="auto"/>
            </w:tcBorders>
            <w:shd w:val="clear" w:color="auto" w:fill="auto"/>
          </w:tcPr>
          <w:p w:rsidR="005B63A2" w:rsidRPr="00143624" w:rsidRDefault="005B63A2" w:rsidP="005B63A2">
            <w:pPr>
              <w:pStyle w:val="TableHeading"/>
            </w:pP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92.5 to 95</w:t>
            </w: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95 to 97.5</w:t>
            </w: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97.5 to 100</w:t>
            </w:r>
          </w:p>
        </w:tc>
        <w:tc>
          <w:tcPr>
            <w:tcW w:w="597" w:type="pct"/>
            <w:tcBorders>
              <w:top w:val="nil"/>
              <w:bottom w:val="single" w:sz="12" w:space="0" w:color="auto"/>
            </w:tcBorders>
            <w:shd w:val="clear" w:color="auto" w:fill="auto"/>
          </w:tcPr>
          <w:p w:rsidR="005B63A2" w:rsidRPr="00143624" w:rsidRDefault="005B63A2" w:rsidP="005B63A2">
            <w:pPr>
              <w:pStyle w:val="TableHeading"/>
            </w:pPr>
            <w:r w:rsidRPr="00143624">
              <w:t>100 to 102.5</w:t>
            </w:r>
          </w:p>
        </w:tc>
        <w:tc>
          <w:tcPr>
            <w:tcW w:w="512" w:type="pct"/>
            <w:tcBorders>
              <w:top w:val="nil"/>
              <w:bottom w:val="single" w:sz="12" w:space="0" w:color="auto"/>
            </w:tcBorders>
            <w:shd w:val="clear" w:color="auto" w:fill="auto"/>
          </w:tcPr>
          <w:p w:rsidR="005B63A2" w:rsidRPr="00143624" w:rsidRDefault="005B63A2" w:rsidP="005B63A2">
            <w:pPr>
              <w:pStyle w:val="TableHeading"/>
            </w:pPr>
            <w:r w:rsidRPr="00143624">
              <w:t>102.5 to 105</w:t>
            </w:r>
          </w:p>
        </w:tc>
        <w:tc>
          <w:tcPr>
            <w:tcW w:w="511" w:type="pct"/>
            <w:tcBorders>
              <w:top w:val="nil"/>
              <w:bottom w:val="single" w:sz="12" w:space="0" w:color="auto"/>
            </w:tcBorders>
            <w:shd w:val="clear" w:color="auto" w:fill="auto"/>
          </w:tcPr>
          <w:p w:rsidR="005B63A2" w:rsidRPr="00143624" w:rsidRDefault="005B63A2" w:rsidP="005B63A2">
            <w:pPr>
              <w:pStyle w:val="TableHeading"/>
            </w:pPr>
            <w:r w:rsidRPr="00143624">
              <w:t>105 to 107.5</w:t>
            </w:r>
          </w:p>
        </w:tc>
        <w:tc>
          <w:tcPr>
            <w:tcW w:w="485" w:type="pct"/>
            <w:tcBorders>
              <w:top w:val="nil"/>
              <w:bottom w:val="single" w:sz="12" w:space="0" w:color="auto"/>
            </w:tcBorders>
            <w:shd w:val="clear" w:color="auto" w:fill="auto"/>
          </w:tcPr>
          <w:p w:rsidR="005B63A2" w:rsidRPr="00143624" w:rsidRDefault="005B63A2" w:rsidP="005B63A2">
            <w:pPr>
              <w:pStyle w:val="TableHeading"/>
            </w:pPr>
            <w:r w:rsidRPr="00143624">
              <w:t>107.5 to less than to 110</w:t>
            </w:r>
          </w:p>
        </w:tc>
      </w:tr>
      <w:tr w:rsidR="005B63A2" w:rsidRPr="00143624" w:rsidTr="003104D0">
        <w:tblPrEx>
          <w:tblBorders>
            <w:top w:val="single" w:sz="4" w:space="0" w:color="auto"/>
          </w:tblBorders>
        </w:tblPrEx>
        <w:tc>
          <w:tcPr>
            <w:tcW w:w="423" w:type="pct"/>
            <w:tcBorders>
              <w:top w:val="single" w:sz="12" w:space="0" w:color="auto"/>
            </w:tcBorders>
            <w:shd w:val="clear" w:color="auto" w:fill="auto"/>
          </w:tcPr>
          <w:p w:rsidR="005B63A2" w:rsidRPr="00143624" w:rsidRDefault="005B63A2" w:rsidP="005B63A2">
            <w:pPr>
              <w:pStyle w:val="Tabletext"/>
            </w:pPr>
            <w:r w:rsidRPr="00143624">
              <w:t>20</w:t>
            </w:r>
          </w:p>
        </w:tc>
        <w:tc>
          <w:tcPr>
            <w:tcW w:w="682" w:type="pct"/>
            <w:gridSpan w:val="2"/>
            <w:tcBorders>
              <w:top w:val="single" w:sz="12" w:space="0" w:color="auto"/>
            </w:tcBorders>
            <w:shd w:val="clear" w:color="auto" w:fill="auto"/>
          </w:tcPr>
          <w:p w:rsidR="005B63A2" w:rsidRPr="00143624" w:rsidRDefault="005B63A2" w:rsidP="005B63A2">
            <w:pPr>
              <w:pStyle w:val="Tabletext"/>
            </w:pPr>
            <w:r w:rsidRPr="00143624">
              <w:t>168 to 180</w:t>
            </w:r>
          </w:p>
        </w:tc>
        <w:tc>
          <w:tcPr>
            <w:tcW w:w="597" w:type="pct"/>
            <w:tcBorders>
              <w:top w:val="single" w:sz="12" w:space="0" w:color="auto"/>
            </w:tcBorders>
            <w:shd w:val="clear" w:color="auto" w:fill="auto"/>
          </w:tcPr>
          <w:p w:rsidR="005B63A2" w:rsidRPr="00143624" w:rsidRDefault="005B63A2" w:rsidP="005B63A2">
            <w:pPr>
              <w:pStyle w:val="Tabletext"/>
            </w:pPr>
            <w:r w:rsidRPr="00143624">
              <w:t>7.9%</w:t>
            </w:r>
          </w:p>
        </w:tc>
        <w:tc>
          <w:tcPr>
            <w:tcW w:w="597" w:type="pct"/>
            <w:tcBorders>
              <w:top w:val="single" w:sz="12" w:space="0" w:color="auto"/>
            </w:tcBorders>
            <w:shd w:val="clear" w:color="auto" w:fill="auto"/>
          </w:tcPr>
          <w:p w:rsidR="005B63A2" w:rsidRPr="00143624" w:rsidRDefault="005B63A2" w:rsidP="005B63A2">
            <w:pPr>
              <w:pStyle w:val="Tabletext"/>
            </w:pPr>
            <w:r w:rsidRPr="00143624">
              <w:t>8.6%</w:t>
            </w:r>
          </w:p>
        </w:tc>
        <w:tc>
          <w:tcPr>
            <w:tcW w:w="597" w:type="pct"/>
            <w:tcBorders>
              <w:top w:val="single" w:sz="12" w:space="0" w:color="auto"/>
            </w:tcBorders>
            <w:shd w:val="clear" w:color="auto" w:fill="auto"/>
          </w:tcPr>
          <w:p w:rsidR="005B63A2" w:rsidRPr="00143624" w:rsidRDefault="005B63A2" w:rsidP="005B63A2">
            <w:pPr>
              <w:pStyle w:val="Tabletext"/>
            </w:pPr>
            <w:r w:rsidRPr="00143624">
              <w:t>9.4%</w:t>
            </w:r>
          </w:p>
        </w:tc>
        <w:tc>
          <w:tcPr>
            <w:tcW w:w="597" w:type="pct"/>
            <w:tcBorders>
              <w:top w:val="single" w:sz="12" w:space="0" w:color="auto"/>
            </w:tcBorders>
            <w:shd w:val="clear" w:color="auto" w:fill="auto"/>
          </w:tcPr>
          <w:p w:rsidR="005B63A2" w:rsidRPr="00143624" w:rsidRDefault="005B63A2" w:rsidP="005B63A2">
            <w:pPr>
              <w:pStyle w:val="Tabletext"/>
            </w:pPr>
            <w:r w:rsidRPr="00143624">
              <w:t>10.3%</w:t>
            </w:r>
          </w:p>
        </w:tc>
        <w:tc>
          <w:tcPr>
            <w:tcW w:w="512" w:type="pct"/>
            <w:tcBorders>
              <w:top w:val="single" w:sz="12" w:space="0" w:color="auto"/>
            </w:tcBorders>
            <w:shd w:val="clear" w:color="auto" w:fill="auto"/>
          </w:tcPr>
          <w:p w:rsidR="005B63A2" w:rsidRPr="00143624" w:rsidRDefault="005B63A2" w:rsidP="005B63A2">
            <w:pPr>
              <w:pStyle w:val="Tabletext"/>
            </w:pPr>
            <w:r w:rsidRPr="00143624">
              <w:t>11.2%</w:t>
            </w:r>
          </w:p>
        </w:tc>
        <w:tc>
          <w:tcPr>
            <w:tcW w:w="511" w:type="pct"/>
            <w:tcBorders>
              <w:top w:val="single" w:sz="12" w:space="0" w:color="auto"/>
            </w:tcBorders>
            <w:shd w:val="clear" w:color="auto" w:fill="auto"/>
          </w:tcPr>
          <w:p w:rsidR="005B63A2" w:rsidRPr="00143624" w:rsidRDefault="005B63A2" w:rsidP="005B63A2">
            <w:pPr>
              <w:pStyle w:val="Tabletext"/>
            </w:pPr>
            <w:r w:rsidRPr="00143624">
              <w:t>12.2%</w:t>
            </w:r>
          </w:p>
        </w:tc>
        <w:tc>
          <w:tcPr>
            <w:tcW w:w="485" w:type="pct"/>
            <w:tcBorders>
              <w:top w:val="single" w:sz="12" w:space="0" w:color="auto"/>
            </w:tcBorders>
            <w:shd w:val="clear" w:color="auto" w:fill="auto"/>
          </w:tcPr>
          <w:p w:rsidR="005B63A2" w:rsidRPr="00143624" w:rsidRDefault="005B63A2" w:rsidP="005B63A2">
            <w:pPr>
              <w:pStyle w:val="Tabletext"/>
            </w:pPr>
            <w:r w:rsidRPr="00143624">
              <w:t>13.3%</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21</w:t>
            </w:r>
          </w:p>
        </w:tc>
        <w:tc>
          <w:tcPr>
            <w:tcW w:w="682" w:type="pct"/>
            <w:gridSpan w:val="2"/>
            <w:shd w:val="clear" w:color="auto" w:fill="auto"/>
          </w:tcPr>
          <w:p w:rsidR="005B63A2" w:rsidRPr="00143624" w:rsidRDefault="005B63A2" w:rsidP="005B63A2">
            <w:pPr>
              <w:pStyle w:val="Tabletext"/>
            </w:pPr>
            <w:r w:rsidRPr="00143624">
              <w:t>156 to 168</w:t>
            </w:r>
          </w:p>
        </w:tc>
        <w:tc>
          <w:tcPr>
            <w:tcW w:w="597" w:type="pct"/>
            <w:shd w:val="clear" w:color="auto" w:fill="auto"/>
          </w:tcPr>
          <w:p w:rsidR="005B63A2" w:rsidRPr="00143624" w:rsidRDefault="005B63A2" w:rsidP="005B63A2">
            <w:pPr>
              <w:pStyle w:val="Tabletext"/>
            </w:pPr>
            <w:r w:rsidRPr="00143624">
              <w:t>7.8%</w:t>
            </w:r>
          </w:p>
        </w:tc>
        <w:tc>
          <w:tcPr>
            <w:tcW w:w="597" w:type="pct"/>
            <w:shd w:val="clear" w:color="auto" w:fill="auto"/>
          </w:tcPr>
          <w:p w:rsidR="005B63A2" w:rsidRPr="00143624" w:rsidRDefault="005B63A2" w:rsidP="005B63A2">
            <w:pPr>
              <w:pStyle w:val="Tabletext"/>
            </w:pPr>
            <w:r w:rsidRPr="00143624">
              <w:t>8.6%</w:t>
            </w:r>
          </w:p>
        </w:tc>
        <w:tc>
          <w:tcPr>
            <w:tcW w:w="597" w:type="pct"/>
            <w:shd w:val="clear" w:color="auto" w:fill="auto"/>
          </w:tcPr>
          <w:p w:rsidR="005B63A2" w:rsidRPr="00143624" w:rsidRDefault="005B63A2" w:rsidP="005B63A2">
            <w:pPr>
              <w:pStyle w:val="Tabletext"/>
            </w:pPr>
            <w:r w:rsidRPr="00143624">
              <w:t>9.4%</w:t>
            </w:r>
          </w:p>
        </w:tc>
        <w:tc>
          <w:tcPr>
            <w:tcW w:w="597" w:type="pct"/>
            <w:shd w:val="clear" w:color="auto" w:fill="auto"/>
          </w:tcPr>
          <w:p w:rsidR="005B63A2" w:rsidRPr="00143624" w:rsidRDefault="005B63A2" w:rsidP="005B63A2">
            <w:pPr>
              <w:pStyle w:val="Tabletext"/>
            </w:pPr>
            <w:r w:rsidRPr="00143624">
              <w:t>10.3%</w:t>
            </w:r>
          </w:p>
        </w:tc>
        <w:tc>
          <w:tcPr>
            <w:tcW w:w="512" w:type="pct"/>
            <w:shd w:val="clear" w:color="auto" w:fill="auto"/>
          </w:tcPr>
          <w:p w:rsidR="005B63A2" w:rsidRPr="00143624" w:rsidRDefault="005B63A2" w:rsidP="005B63A2">
            <w:pPr>
              <w:pStyle w:val="Tabletext"/>
            </w:pPr>
            <w:r w:rsidRPr="00143624">
              <w:t>11.2%</w:t>
            </w:r>
          </w:p>
        </w:tc>
        <w:tc>
          <w:tcPr>
            <w:tcW w:w="511" w:type="pct"/>
            <w:shd w:val="clear" w:color="auto" w:fill="auto"/>
          </w:tcPr>
          <w:p w:rsidR="005B63A2" w:rsidRPr="00143624" w:rsidRDefault="005B63A2" w:rsidP="005B63A2">
            <w:pPr>
              <w:pStyle w:val="Tabletext"/>
            </w:pPr>
            <w:r w:rsidRPr="00143624">
              <w:t>12.2%</w:t>
            </w:r>
          </w:p>
        </w:tc>
        <w:tc>
          <w:tcPr>
            <w:tcW w:w="485" w:type="pct"/>
            <w:shd w:val="clear" w:color="auto" w:fill="auto"/>
          </w:tcPr>
          <w:p w:rsidR="005B63A2" w:rsidRPr="00143624" w:rsidRDefault="005B63A2" w:rsidP="005B63A2">
            <w:pPr>
              <w:pStyle w:val="Tabletext"/>
            </w:pPr>
            <w:r w:rsidRPr="00143624">
              <w:t>13.3%</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22</w:t>
            </w:r>
          </w:p>
        </w:tc>
        <w:tc>
          <w:tcPr>
            <w:tcW w:w="682" w:type="pct"/>
            <w:gridSpan w:val="2"/>
            <w:shd w:val="clear" w:color="auto" w:fill="auto"/>
          </w:tcPr>
          <w:p w:rsidR="005B63A2" w:rsidRPr="00143624" w:rsidRDefault="005B63A2" w:rsidP="005B63A2">
            <w:pPr>
              <w:pStyle w:val="Tabletext"/>
            </w:pPr>
            <w:r w:rsidRPr="00143624">
              <w:t>144 to 156</w:t>
            </w:r>
          </w:p>
        </w:tc>
        <w:tc>
          <w:tcPr>
            <w:tcW w:w="597" w:type="pct"/>
            <w:shd w:val="clear" w:color="auto" w:fill="auto"/>
          </w:tcPr>
          <w:p w:rsidR="005B63A2" w:rsidRPr="00143624" w:rsidRDefault="005B63A2" w:rsidP="005B63A2">
            <w:pPr>
              <w:pStyle w:val="Tabletext"/>
            </w:pPr>
            <w:r w:rsidRPr="00143624">
              <w:t>7.7%</w:t>
            </w:r>
          </w:p>
        </w:tc>
        <w:tc>
          <w:tcPr>
            <w:tcW w:w="597" w:type="pct"/>
            <w:shd w:val="clear" w:color="auto" w:fill="auto"/>
          </w:tcPr>
          <w:p w:rsidR="005B63A2" w:rsidRPr="00143624" w:rsidRDefault="005B63A2" w:rsidP="005B63A2">
            <w:pPr>
              <w:pStyle w:val="Tabletext"/>
            </w:pPr>
            <w:r w:rsidRPr="00143624">
              <w:t>8.5%</w:t>
            </w:r>
          </w:p>
        </w:tc>
        <w:tc>
          <w:tcPr>
            <w:tcW w:w="597" w:type="pct"/>
            <w:shd w:val="clear" w:color="auto" w:fill="auto"/>
          </w:tcPr>
          <w:p w:rsidR="005B63A2" w:rsidRPr="00143624" w:rsidRDefault="005B63A2" w:rsidP="005B63A2">
            <w:pPr>
              <w:pStyle w:val="Tabletext"/>
            </w:pPr>
            <w:r w:rsidRPr="00143624">
              <w:t>9.4%</w:t>
            </w:r>
          </w:p>
        </w:tc>
        <w:tc>
          <w:tcPr>
            <w:tcW w:w="597" w:type="pct"/>
            <w:shd w:val="clear" w:color="auto" w:fill="auto"/>
          </w:tcPr>
          <w:p w:rsidR="005B63A2" w:rsidRPr="00143624" w:rsidRDefault="005B63A2" w:rsidP="005B63A2">
            <w:pPr>
              <w:pStyle w:val="Tabletext"/>
            </w:pPr>
            <w:r w:rsidRPr="00143624">
              <w:t>10.3%</w:t>
            </w:r>
          </w:p>
        </w:tc>
        <w:tc>
          <w:tcPr>
            <w:tcW w:w="512" w:type="pct"/>
            <w:shd w:val="clear" w:color="auto" w:fill="auto"/>
          </w:tcPr>
          <w:p w:rsidR="005B63A2" w:rsidRPr="00143624" w:rsidRDefault="005B63A2" w:rsidP="005B63A2">
            <w:pPr>
              <w:pStyle w:val="Tabletext"/>
            </w:pPr>
            <w:r w:rsidRPr="00143624">
              <w:t>11.2%</w:t>
            </w:r>
          </w:p>
        </w:tc>
        <w:tc>
          <w:tcPr>
            <w:tcW w:w="511" w:type="pct"/>
            <w:shd w:val="clear" w:color="auto" w:fill="auto"/>
          </w:tcPr>
          <w:p w:rsidR="005B63A2" w:rsidRPr="00143624" w:rsidRDefault="005B63A2" w:rsidP="005B63A2">
            <w:pPr>
              <w:pStyle w:val="Tabletext"/>
            </w:pPr>
            <w:r w:rsidRPr="00143624">
              <w:t>12.2%</w:t>
            </w:r>
          </w:p>
        </w:tc>
        <w:tc>
          <w:tcPr>
            <w:tcW w:w="485" w:type="pct"/>
            <w:shd w:val="clear" w:color="auto" w:fill="auto"/>
          </w:tcPr>
          <w:p w:rsidR="005B63A2" w:rsidRPr="00143624" w:rsidRDefault="005B63A2" w:rsidP="005B63A2">
            <w:pPr>
              <w:pStyle w:val="Tabletext"/>
            </w:pPr>
            <w:r w:rsidRPr="00143624">
              <w:t>13.3%</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23</w:t>
            </w:r>
          </w:p>
        </w:tc>
        <w:tc>
          <w:tcPr>
            <w:tcW w:w="682" w:type="pct"/>
            <w:gridSpan w:val="2"/>
            <w:shd w:val="clear" w:color="auto" w:fill="auto"/>
          </w:tcPr>
          <w:p w:rsidR="005B63A2" w:rsidRPr="00143624" w:rsidRDefault="005B63A2" w:rsidP="005B63A2">
            <w:pPr>
              <w:pStyle w:val="Tabletext"/>
            </w:pPr>
            <w:r w:rsidRPr="00143624">
              <w:t>132 to 144</w:t>
            </w:r>
          </w:p>
        </w:tc>
        <w:tc>
          <w:tcPr>
            <w:tcW w:w="597" w:type="pct"/>
            <w:shd w:val="clear" w:color="auto" w:fill="auto"/>
          </w:tcPr>
          <w:p w:rsidR="005B63A2" w:rsidRPr="00143624" w:rsidRDefault="005B63A2" w:rsidP="005B63A2">
            <w:pPr>
              <w:pStyle w:val="Tabletext"/>
            </w:pPr>
            <w:r w:rsidRPr="00143624">
              <w:t>7.6%</w:t>
            </w:r>
          </w:p>
        </w:tc>
        <w:tc>
          <w:tcPr>
            <w:tcW w:w="597" w:type="pct"/>
            <w:shd w:val="clear" w:color="auto" w:fill="auto"/>
          </w:tcPr>
          <w:p w:rsidR="005B63A2" w:rsidRPr="00143624" w:rsidRDefault="005B63A2" w:rsidP="005B63A2">
            <w:pPr>
              <w:pStyle w:val="Tabletext"/>
            </w:pPr>
            <w:r w:rsidRPr="00143624">
              <w:t>8.4%</w:t>
            </w:r>
          </w:p>
        </w:tc>
        <w:tc>
          <w:tcPr>
            <w:tcW w:w="597" w:type="pct"/>
            <w:shd w:val="clear" w:color="auto" w:fill="auto"/>
          </w:tcPr>
          <w:p w:rsidR="005B63A2" w:rsidRPr="00143624" w:rsidRDefault="005B63A2" w:rsidP="005B63A2">
            <w:pPr>
              <w:pStyle w:val="Tabletext"/>
            </w:pPr>
            <w:r w:rsidRPr="00143624">
              <w:t>9.3%</w:t>
            </w:r>
          </w:p>
        </w:tc>
        <w:tc>
          <w:tcPr>
            <w:tcW w:w="597" w:type="pct"/>
            <w:shd w:val="clear" w:color="auto" w:fill="auto"/>
          </w:tcPr>
          <w:p w:rsidR="005B63A2" w:rsidRPr="00143624" w:rsidRDefault="005B63A2" w:rsidP="005B63A2">
            <w:pPr>
              <w:pStyle w:val="Tabletext"/>
            </w:pPr>
            <w:r w:rsidRPr="00143624">
              <w:t>10.2%</w:t>
            </w:r>
          </w:p>
        </w:tc>
        <w:tc>
          <w:tcPr>
            <w:tcW w:w="512" w:type="pct"/>
            <w:shd w:val="clear" w:color="auto" w:fill="auto"/>
          </w:tcPr>
          <w:p w:rsidR="005B63A2" w:rsidRPr="00143624" w:rsidRDefault="005B63A2" w:rsidP="005B63A2">
            <w:pPr>
              <w:pStyle w:val="Tabletext"/>
            </w:pPr>
            <w:r w:rsidRPr="00143624">
              <w:t>11.2%</w:t>
            </w:r>
          </w:p>
        </w:tc>
        <w:tc>
          <w:tcPr>
            <w:tcW w:w="511" w:type="pct"/>
            <w:shd w:val="clear" w:color="auto" w:fill="auto"/>
          </w:tcPr>
          <w:p w:rsidR="005B63A2" w:rsidRPr="00143624" w:rsidRDefault="005B63A2" w:rsidP="005B63A2">
            <w:pPr>
              <w:pStyle w:val="Tabletext"/>
            </w:pPr>
            <w:r w:rsidRPr="00143624">
              <w:t>12.2%</w:t>
            </w:r>
          </w:p>
        </w:tc>
        <w:tc>
          <w:tcPr>
            <w:tcW w:w="485" w:type="pct"/>
            <w:shd w:val="clear" w:color="auto" w:fill="auto"/>
          </w:tcPr>
          <w:p w:rsidR="005B63A2" w:rsidRPr="00143624" w:rsidRDefault="005B63A2" w:rsidP="005B63A2">
            <w:pPr>
              <w:pStyle w:val="Tabletext"/>
            </w:pPr>
            <w:r w:rsidRPr="00143624">
              <w:t>13.3%</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24</w:t>
            </w:r>
          </w:p>
        </w:tc>
        <w:tc>
          <w:tcPr>
            <w:tcW w:w="682" w:type="pct"/>
            <w:gridSpan w:val="2"/>
            <w:shd w:val="clear" w:color="auto" w:fill="auto"/>
          </w:tcPr>
          <w:p w:rsidR="005B63A2" w:rsidRPr="00143624" w:rsidRDefault="005B63A2" w:rsidP="005B63A2">
            <w:pPr>
              <w:pStyle w:val="Tabletext"/>
            </w:pPr>
            <w:r w:rsidRPr="00143624">
              <w:t>120 to 132</w:t>
            </w:r>
          </w:p>
        </w:tc>
        <w:tc>
          <w:tcPr>
            <w:tcW w:w="597" w:type="pct"/>
            <w:shd w:val="clear" w:color="auto" w:fill="auto"/>
          </w:tcPr>
          <w:p w:rsidR="005B63A2" w:rsidRPr="00143624" w:rsidRDefault="005B63A2" w:rsidP="005B63A2">
            <w:pPr>
              <w:pStyle w:val="Tabletext"/>
            </w:pPr>
            <w:r w:rsidRPr="00143624">
              <w:t>7.5%</w:t>
            </w:r>
          </w:p>
        </w:tc>
        <w:tc>
          <w:tcPr>
            <w:tcW w:w="597" w:type="pct"/>
            <w:shd w:val="clear" w:color="auto" w:fill="auto"/>
          </w:tcPr>
          <w:p w:rsidR="005B63A2" w:rsidRPr="00143624" w:rsidRDefault="005B63A2" w:rsidP="005B63A2">
            <w:pPr>
              <w:pStyle w:val="Tabletext"/>
            </w:pPr>
            <w:r w:rsidRPr="00143624">
              <w:t>8.3%</w:t>
            </w:r>
          </w:p>
        </w:tc>
        <w:tc>
          <w:tcPr>
            <w:tcW w:w="597" w:type="pct"/>
            <w:shd w:val="clear" w:color="auto" w:fill="auto"/>
          </w:tcPr>
          <w:p w:rsidR="005B63A2" w:rsidRPr="00143624" w:rsidRDefault="005B63A2" w:rsidP="005B63A2">
            <w:pPr>
              <w:pStyle w:val="Tabletext"/>
            </w:pPr>
            <w:r w:rsidRPr="00143624">
              <w:t>9.2%</w:t>
            </w:r>
          </w:p>
        </w:tc>
        <w:tc>
          <w:tcPr>
            <w:tcW w:w="597" w:type="pct"/>
            <w:shd w:val="clear" w:color="auto" w:fill="auto"/>
          </w:tcPr>
          <w:p w:rsidR="005B63A2" w:rsidRPr="00143624" w:rsidRDefault="005B63A2" w:rsidP="005B63A2">
            <w:pPr>
              <w:pStyle w:val="Tabletext"/>
            </w:pPr>
            <w:r w:rsidRPr="00143624">
              <w:t>10.2%</w:t>
            </w:r>
          </w:p>
        </w:tc>
        <w:tc>
          <w:tcPr>
            <w:tcW w:w="512" w:type="pct"/>
            <w:shd w:val="clear" w:color="auto" w:fill="auto"/>
          </w:tcPr>
          <w:p w:rsidR="005B63A2" w:rsidRPr="00143624" w:rsidRDefault="005B63A2" w:rsidP="005B63A2">
            <w:pPr>
              <w:pStyle w:val="Tabletext"/>
            </w:pPr>
            <w:r w:rsidRPr="00143624">
              <w:t>11.2%</w:t>
            </w:r>
          </w:p>
        </w:tc>
        <w:tc>
          <w:tcPr>
            <w:tcW w:w="511" w:type="pct"/>
            <w:shd w:val="clear" w:color="auto" w:fill="auto"/>
          </w:tcPr>
          <w:p w:rsidR="005B63A2" w:rsidRPr="00143624" w:rsidRDefault="005B63A2" w:rsidP="005B63A2">
            <w:pPr>
              <w:pStyle w:val="Tabletext"/>
            </w:pPr>
            <w:r w:rsidRPr="00143624">
              <w:t>12.2%</w:t>
            </w:r>
          </w:p>
        </w:tc>
        <w:tc>
          <w:tcPr>
            <w:tcW w:w="485" w:type="pct"/>
            <w:shd w:val="clear" w:color="auto" w:fill="auto"/>
          </w:tcPr>
          <w:p w:rsidR="005B63A2" w:rsidRPr="00143624" w:rsidRDefault="005B63A2" w:rsidP="005B63A2">
            <w:pPr>
              <w:pStyle w:val="Tabletext"/>
            </w:pPr>
            <w:r w:rsidRPr="00143624">
              <w:t>13.3%</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25</w:t>
            </w:r>
          </w:p>
        </w:tc>
        <w:tc>
          <w:tcPr>
            <w:tcW w:w="682" w:type="pct"/>
            <w:gridSpan w:val="2"/>
            <w:shd w:val="clear" w:color="auto" w:fill="auto"/>
          </w:tcPr>
          <w:p w:rsidR="005B63A2" w:rsidRPr="00143624" w:rsidRDefault="005B63A2" w:rsidP="005B63A2">
            <w:pPr>
              <w:pStyle w:val="Tabletext"/>
            </w:pPr>
            <w:r w:rsidRPr="00143624">
              <w:t>108 to 120</w:t>
            </w:r>
          </w:p>
        </w:tc>
        <w:tc>
          <w:tcPr>
            <w:tcW w:w="597" w:type="pct"/>
            <w:shd w:val="clear" w:color="auto" w:fill="auto"/>
          </w:tcPr>
          <w:p w:rsidR="005B63A2" w:rsidRPr="00143624" w:rsidRDefault="005B63A2" w:rsidP="005B63A2">
            <w:pPr>
              <w:pStyle w:val="Tabletext"/>
            </w:pPr>
            <w:r w:rsidRPr="00143624">
              <w:t>7.2%</w:t>
            </w:r>
          </w:p>
        </w:tc>
        <w:tc>
          <w:tcPr>
            <w:tcW w:w="597" w:type="pct"/>
            <w:shd w:val="clear" w:color="auto" w:fill="auto"/>
          </w:tcPr>
          <w:p w:rsidR="005B63A2" w:rsidRPr="00143624" w:rsidRDefault="005B63A2" w:rsidP="005B63A2">
            <w:pPr>
              <w:pStyle w:val="Tabletext"/>
            </w:pPr>
            <w:r w:rsidRPr="00143624">
              <w:t>8.1%</w:t>
            </w:r>
          </w:p>
        </w:tc>
        <w:tc>
          <w:tcPr>
            <w:tcW w:w="597" w:type="pct"/>
            <w:shd w:val="clear" w:color="auto" w:fill="auto"/>
          </w:tcPr>
          <w:p w:rsidR="005B63A2" w:rsidRPr="00143624" w:rsidRDefault="005B63A2" w:rsidP="005B63A2">
            <w:pPr>
              <w:pStyle w:val="Tabletext"/>
            </w:pPr>
            <w:r w:rsidRPr="00143624">
              <w:t>9.1%</w:t>
            </w:r>
          </w:p>
        </w:tc>
        <w:tc>
          <w:tcPr>
            <w:tcW w:w="597" w:type="pct"/>
            <w:shd w:val="clear" w:color="auto" w:fill="auto"/>
          </w:tcPr>
          <w:p w:rsidR="005B63A2" w:rsidRPr="00143624" w:rsidRDefault="005B63A2" w:rsidP="005B63A2">
            <w:pPr>
              <w:pStyle w:val="Tabletext"/>
            </w:pPr>
            <w:r w:rsidRPr="00143624">
              <w:t>10.0%</w:t>
            </w:r>
          </w:p>
        </w:tc>
        <w:tc>
          <w:tcPr>
            <w:tcW w:w="512" w:type="pct"/>
            <w:shd w:val="clear" w:color="auto" w:fill="auto"/>
          </w:tcPr>
          <w:p w:rsidR="005B63A2" w:rsidRPr="00143624" w:rsidRDefault="005B63A2" w:rsidP="005B63A2">
            <w:pPr>
              <w:pStyle w:val="Tabletext"/>
            </w:pPr>
            <w:r w:rsidRPr="00143624">
              <w:t>11.1%</w:t>
            </w:r>
          </w:p>
        </w:tc>
        <w:tc>
          <w:tcPr>
            <w:tcW w:w="511" w:type="pct"/>
            <w:shd w:val="clear" w:color="auto" w:fill="auto"/>
          </w:tcPr>
          <w:p w:rsidR="005B63A2" w:rsidRPr="00143624" w:rsidRDefault="005B63A2" w:rsidP="005B63A2">
            <w:pPr>
              <w:pStyle w:val="Tabletext"/>
            </w:pPr>
            <w:r w:rsidRPr="00143624">
              <w:t>12.1%</w:t>
            </w:r>
          </w:p>
        </w:tc>
        <w:tc>
          <w:tcPr>
            <w:tcW w:w="485" w:type="pct"/>
            <w:shd w:val="clear" w:color="auto" w:fill="auto"/>
          </w:tcPr>
          <w:p w:rsidR="005B63A2" w:rsidRPr="00143624" w:rsidRDefault="005B63A2" w:rsidP="005B63A2">
            <w:pPr>
              <w:pStyle w:val="Tabletext"/>
            </w:pPr>
            <w:r w:rsidRPr="00143624">
              <w:t>13.3%</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26</w:t>
            </w:r>
          </w:p>
        </w:tc>
        <w:tc>
          <w:tcPr>
            <w:tcW w:w="682" w:type="pct"/>
            <w:gridSpan w:val="2"/>
            <w:shd w:val="clear" w:color="auto" w:fill="auto"/>
          </w:tcPr>
          <w:p w:rsidR="005B63A2" w:rsidRPr="00143624" w:rsidRDefault="005B63A2" w:rsidP="005B63A2">
            <w:pPr>
              <w:pStyle w:val="Tabletext"/>
            </w:pPr>
            <w:r w:rsidRPr="00143624">
              <w:t>96 to 108</w:t>
            </w:r>
          </w:p>
        </w:tc>
        <w:tc>
          <w:tcPr>
            <w:tcW w:w="597" w:type="pct"/>
            <w:shd w:val="clear" w:color="auto" w:fill="auto"/>
          </w:tcPr>
          <w:p w:rsidR="005B63A2" w:rsidRPr="00143624" w:rsidRDefault="005B63A2" w:rsidP="005B63A2">
            <w:pPr>
              <w:pStyle w:val="Tabletext"/>
            </w:pPr>
            <w:r w:rsidRPr="00143624">
              <w:t>7.0%</w:t>
            </w:r>
          </w:p>
        </w:tc>
        <w:tc>
          <w:tcPr>
            <w:tcW w:w="597" w:type="pct"/>
            <w:shd w:val="clear" w:color="auto" w:fill="auto"/>
          </w:tcPr>
          <w:p w:rsidR="005B63A2" w:rsidRPr="00143624" w:rsidRDefault="005B63A2" w:rsidP="005B63A2">
            <w:pPr>
              <w:pStyle w:val="Tabletext"/>
            </w:pPr>
            <w:r w:rsidRPr="00143624">
              <w:t>7.9%</w:t>
            </w:r>
          </w:p>
        </w:tc>
        <w:tc>
          <w:tcPr>
            <w:tcW w:w="597" w:type="pct"/>
            <w:shd w:val="clear" w:color="auto" w:fill="auto"/>
          </w:tcPr>
          <w:p w:rsidR="005B63A2" w:rsidRPr="00143624" w:rsidRDefault="005B63A2" w:rsidP="005B63A2">
            <w:pPr>
              <w:pStyle w:val="Tabletext"/>
            </w:pPr>
            <w:r w:rsidRPr="00143624">
              <w:t>8.8%</w:t>
            </w:r>
          </w:p>
        </w:tc>
        <w:tc>
          <w:tcPr>
            <w:tcW w:w="597" w:type="pct"/>
            <w:shd w:val="clear" w:color="auto" w:fill="auto"/>
          </w:tcPr>
          <w:p w:rsidR="005B63A2" w:rsidRPr="00143624" w:rsidRDefault="005B63A2" w:rsidP="005B63A2">
            <w:pPr>
              <w:pStyle w:val="Tabletext"/>
            </w:pPr>
            <w:r w:rsidRPr="00143624">
              <w:t>9.8%</w:t>
            </w:r>
          </w:p>
        </w:tc>
        <w:tc>
          <w:tcPr>
            <w:tcW w:w="512" w:type="pct"/>
            <w:shd w:val="clear" w:color="auto" w:fill="auto"/>
          </w:tcPr>
          <w:p w:rsidR="005B63A2" w:rsidRPr="00143624" w:rsidRDefault="005B63A2" w:rsidP="005B63A2">
            <w:pPr>
              <w:pStyle w:val="Tabletext"/>
            </w:pPr>
            <w:r w:rsidRPr="00143624">
              <w:t>10.9%</w:t>
            </w:r>
          </w:p>
        </w:tc>
        <w:tc>
          <w:tcPr>
            <w:tcW w:w="511" w:type="pct"/>
            <w:shd w:val="clear" w:color="auto" w:fill="auto"/>
          </w:tcPr>
          <w:p w:rsidR="005B63A2" w:rsidRPr="00143624" w:rsidRDefault="005B63A2" w:rsidP="005B63A2">
            <w:pPr>
              <w:pStyle w:val="Tabletext"/>
            </w:pPr>
            <w:r w:rsidRPr="00143624">
              <w:t>12.0%</w:t>
            </w:r>
          </w:p>
        </w:tc>
        <w:tc>
          <w:tcPr>
            <w:tcW w:w="485" w:type="pct"/>
            <w:shd w:val="clear" w:color="auto" w:fill="auto"/>
          </w:tcPr>
          <w:p w:rsidR="005B63A2" w:rsidRPr="00143624" w:rsidRDefault="005B63A2" w:rsidP="005B63A2">
            <w:pPr>
              <w:pStyle w:val="Tabletext"/>
            </w:pPr>
            <w:r w:rsidRPr="00143624">
              <w:t>13.2%</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27</w:t>
            </w:r>
          </w:p>
        </w:tc>
        <w:tc>
          <w:tcPr>
            <w:tcW w:w="682" w:type="pct"/>
            <w:gridSpan w:val="2"/>
            <w:shd w:val="clear" w:color="auto" w:fill="auto"/>
          </w:tcPr>
          <w:p w:rsidR="005B63A2" w:rsidRPr="00143624" w:rsidRDefault="005B63A2" w:rsidP="005B63A2">
            <w:pPr>
              <w:pStyle w:val="Tabletext"/>
            </w:pPr>
            <w:r w:rsidRPr="00143624">
              <w:t>84 to 96</w:t>
            </w:r>
          </w:p>
        </w:tc>
        <w:tc>
          <w:tcPr>
            <w:tcW w:w="597" w:type="pct"/>
            <w:shd w:val="clear" w:color="auto" w:fill="auto"/>
          </w:tcPr>
          <w:p w:rsidR="005B63A2" w:rsidRPr="00143624" w:rsidRDefault="005B63A2" w:rsidP="005B63A2">
            <w:pPr>
              <w:pStyle w:val="Tabletext"/>
            </w:pPr>
            <w:r w:rsidRPr="00143624">
              <w:t>6.6%</w:t>
            </w:r>
          </w:p>
        </w:tc>
        <w:tc>
          <w:tcPr>
            <w:tcW w:w="597" w:type="pct"/>
            <w:shd w:val="clear" w:color="auto" w:fill="auto"/>
          </w:tcPr>
          <w:p w:rsidR="005B63A2" w:rsidRPr="00143624" w:rsidRDefault="005B63A2" w:rsidP="005B63A2">
            <w:pPr>
              <w:pStyle w:val="Tabletext"/>
            </w:pPr>
            <w:r w:rsidRPr="00143624">
              <w:t>7.6%</w:t>
            </w:r>
          </w:p>
        </w:tc>
        <w:tc>
          <w:tcPr>
            <w:tcW w:w="597" w:type="pct"/>
            <w:shd w:val="clear" w:color="auto" w:fill="auto"/>
          </w:tcPr>
          <w:p w:rsidR="005B63A2" w:rsidRPr="00143624" w:rsidRDefault="005B63A2" w:rsidP="005B63A2">
            <w:pPr>
              <w:pStyle w:val="Tabletext"/>
            </w:pPr>
            <w:r w:rsidRPr="00143624">
              <w:t>8.5%</w:t>
            </w:r>
          </w:p>
        </w:tc>
        <w:tc>
          <w:tcPr>
            <w:tcW w:w="597" w:type="pct"/>
            <w:shd w:val="clear" w:color="auto" w:fill="auto"/>
          </w:tcPr>
          <w:p w:rsidR="005B63A2" w:rsidRPr="00143624" w:rsidRDefault="005B63A2" w:rsidP="005B63A2">
            <w:pPr>
              <w:pStyle w:val="Tabletext"/>
            </w:pPr>
            <w:r w:rsidRPr="00143624">
              <w:t>9.6%</w:t>
            </w:r>
          </w:p>
        </w:tc>
        <w:tc>
          <w:tcPr>
            <w:tcW w:w="512" w:type="pct"/>
            <w:shd w:val="clear" w:color="auto" w:fill="auto"/>
          </w:tcPr>
          <w:p w:rsidR="005B63A2" w:rsidRPr="00143624" w:rsidRDefault="005B63A2" w:rsidP="005B63A2">
            <w:pPr>
              <w:pStyle w:val="Tabletext"/>
            </w:pPr>
            <w:r w:rsidRPr="00143624">
              <w:t>10.7%</w:t>
            </w:r>
          </w:p>
        </w:tc>
        <w:tc>
          <w:tcPr>
            <w:tcW w:w="511" w:type="pct"/>
            <w:shd w:val="clear" w:color="auto" w:fill="auto"/>
          </w:tcPr>
          <w:p w:rsidR="005B63A2" w:rsidRPr="00143624" w:rsidRDefault="005B63A2" w:rsidP="005B63A2">
            <w:pPr>
              <w:pStyle w:val="Tabletext"/>
            </w:pPr>
            <w:r w:rsidRPr="00143624">
              <w:t>11.8%</w:t>
            </w:r>
          </w:p>
        </w:tc>
        <w:tc>
          <w:tcPr>
            <w:tcW w:w="485" w:type="pct"/>
            <w:shd w:val="clear" w:color="auto" w:fill="auto"/>
          </w:tcPr>
          <w:p w:rsidR="005B63A2" w:rsidRPr="00143624" w:rsidRDefault="005B63A2" w:rsidP="005B63A2">
            <w:pPr>
              <w:pStyle w:val="Tabletext"/>
            </w:pPr>
            <w:r w:rsidRPr="00143624">
              <w:t>13.0%</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28</w:t>
            </w:r>
          </w:p>
        </w:tc>
        <w:tc>
          <w:tcPr>
            <w:tcW w:w="682" w:type="pct"/>
            <w:gridSpan w:val="2"/>
            <w:shd w:val="clear" w:color="auto" w:fill="auto"/>
          </w:tcPr>
          <w:p w:rsidR="005B63A2" w:rsidRPr="00143624" w:rsidRDefault="005B63A2" w:rsidP="005B63A2">
            <w:pPr>
              <w:pStyle w:val="Tabletext"/>
            </w:pPr>
            <w:r w:rsidRPr="00143624">
              <w:t>72 to 84</w:t>
            </w:r>
          </w:p>
        </w:tc>
        <w:tc>
          <w:tcPr>
            <w:tcW w:w="597" w:type="pct"/>
            <w:shd w:val="clear" w:color="auto" w:fill="auto"/>
          </w:tcPr>
          <w:p w:rsidR="005B63A2" w:rsidRPr="00143624" w:rsidRDefault="005B63A2" w:rsidP="005B63A2">
            <w:pPr>
              <w:pStyle w:val="Tabletext"/>
            </w:pPr>
            <w:r w:rsidRPr="00143624">
              <w:t>6.2%</w:t>
            </w:r>
          </w:p>
        </w:tc>
        <w:tc>
          <w:tcPr>
            <w:tcW w:w="597" w:type="pct"/>
            <w:shd w:val="clear" w:color="auto" w:fill="auto"/>
          </w:tcPr>
          <w:p w:rsidR="005B63A2" w:rsidRPr="00143624" w:rsidRDefault="005B63A2" w:rsidP="005B63A2">
            <w:pPr>
              <w:pStyle w:val="Tabletext"/>
            </w:pPr>
            <w:r w:rsidRPr="00143624">
              <w:t>7.2%</w:t>
            </w:r>
          </w:p>
        </w:tc>
        <w:tc>
          <w:tcPr>
            <w:tcW w:w="597" w:type="pct"/>
            <w:shd w:val="clear" w:color="auto" w:fill="auto"/>
          </w:tcPr>
          <w:p w:rsidR="005B63A2" w:rsidRPr="00143624" w:rsidRDefault="005B63A2" w:rsidP="005B63A2">
            <w:pPr>
              <w:pStyle w:val="Tabletext"/>
            </w:pPr>
            <w:r w:rsidRPr="00143624">
              <w:t>8.2%</w:t>
            </w:r>
          </w:p>
        </w:tc>
        <w:tc>
          <w:tcPr>
            <w:tcW w:w="597" w:type="pct"/>
            <w:shd w:val="clear" w:color="auto" w:fill="auto"/>
          </w:tcPr>
          <w:p w:rsidR="005B63A2" w:rsidRPr="00143624" w:rsidRDefault="005B63A2" w:rsidP="005B63A2">
            <w:pPr>
              <w:pStyle w:val="Tabletext"/>
            </w:pPr>
            <w:r w:rsidRPr="00143624">
              <w:t>9.2%</w:t>
            </w:r>
          </w:p>
        </w:tc>
        <w:tc>
          <w:tcPr>
            <w:tcW w:w="512" w:type="pct"/>
            <w:shd w:val="clear" w:color="auto" w:fill="auto"/>
          </w:tcPr>
          <w:p w:rsidR="005B63A2" w:rsidRPr="00143624" w:rsidRDefault="005B63A2" w:rsidP="005B63A2">
            <w:pPr>
              <w:pStyle w:val="Tabletext"/>
            </w:pPr>
            <w:r w:rsidRPr="00143624">
              <w:t>10.4%</w:t>
            </w:r>
          </w:p>
        </w:tc>
        <w:tc>
          <w:tcPr>
            <w:tcW w:w="511" w:type="pct"/>
            <w:shd w:val="clear" w:color="auto" w:fill="auto"/>
          </w:tcPr>
          <w:p w:rsidR="005B63A2" w:rsidRPr="00143624" w:rsidRDefault="005B63A2" w:rsidP="005B63A2">
            <w:pPr>
              <w:pStyle w:val="Tabletext"/>
            </w:pPr>
            <w:r w:rsidRPr="00143624">
              <w:t>11.6%</w:t>
            </w:r>
          </w:p>
        </w:tc>
        <w:tc>
          <w:tcPr>
            <w:tcW w:w="485" w:type="pct"/>
            <w:shd w:val="clear" w:color="auto" w:fill="auto"/>
          </w:tcPr>
          <w:p w:rsidR="005B63A2" w:rsidRPr="00143624" w:rsidRDefault="005B63A2" w:rsidP="005B63A2">
            <w:pPr>
              <w:pStyle w:val="Tabletext"/>
            </w:pPr>
            <w:r w:rsidRPr="00143624">
              <w:t>12.8%</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29</w:t>
            </w:r>
          </w:p>
        </w:tc>
        <w:tc>
          <w:tcPr>
            <w:tcW w:w="682" w:type="pct"/>
            <w:gridSpan w:val="2"/>
            <w:shd w:val="clear" w:color="auto" w:fill="auto"/>
          </w:tcPr>
          <w:p w:rsidR="005B63A2" w:rsidRPr="00143624" w:rsidRDefault="005B63A2" w:rsidP="005B63A2">
            <w:pPr>
              <w:pStyle w:val="Tabletext"/>
            </w:pPr>
            <w:r w:rsidRPr="00143624">
              <w:t>60 to 72</w:t>
            </w:r>
          </w:p>
        </w:tc>
        <w:tc>
          <w:tcPr>
            <w:tcW w:w="597" w:type="pct"/>
            <w:shd w:val="clear" w:color="auto" w:fill="auto"/>
          </w:tcPr>
          <w:p w:rsidR="005B63A2" w:rsidRPr="00143624" w:rsidRDefault="005B63A2" w:rsidP="005B63A2">
            <w:pPr>
              <w:pStyle w:val="Tabletext"/>
            </w:pPr>
            <w:r w:rsidRPr="00143624">
              <w:t>5.7%</w:t>
            </w:r>
          </w:p>
        </w:tc>
        <w:tc>
          <w:tcPr>
            <w:tcW w:w="597" w:type="pct"/>
            <w:shd w:val="clear" w:color="auto" w:fill="auto"/>
          </w:tcPr>
          <w:p w:rsidR="005B63A2" w:rsidRPr="00143624" w:rsidRDefault="005B63A2" w:rsidP="005B63A2">
            <w:pPr>
              <w:pStyle w:val="Tabletext"/>
            </w:pPr>
            <w:r w:rsidRPr="00143624">
              <w:t>6.7%</w:t>
            </w:r>
          </w:p>
        </w:tc>
        <w:tc>
          <w:tcPr>
            <w:tcW w:w="597" w:type="pct"/>
            <w:shd w:val="clear" w:color="auto" w:fill="auto"/>
          </w:tcPr>
          <w:p w:rsidR="005B63A2" w:rsidRPr="00143624" w:rsidRDefault="005B63A2" w:rsidP="005B63A2">
            <w:pPr>
              <w:pStyle w:val="Tabletext"/>
            </w:pPr>
            <w:r w:rsidRPr="00143624">
              <w:t>7.7%</w:t>
            </w:r>
          </w:p>
        </w:tc>
        <w:tc>
          <w:tcPr>
            <w:tcW w:w="597" w:type="pct"/>
            <w:shd w:val="clear" w:color="auto" w:fill="auto"/>
          </w:tcPr>
          <w:p w:rsidR="005B63A2" w:rsidRPr="00143624" w:rsidRDefault="005B63A2" w:rsidP="005B63A2">
            <w:pPr>
              <w:pStyle w:val="Tabletext"/>
            </w:pPr>
            <w:r w:rsidRPr="00143624">
              <w:t>8.8%</w:t>
            </w:r>
          </w:p>
        </w:tc>
        <w:tc>
          <w:tcPr>
            <w:tcW w:w="512" w:type="pct"/>
            <w:shd w:val="clear" w:color="auto" w:fill="auto"/>
          </w:tcPr>
          <w:p w:rsidR="005B63A2" w:rsidRPr="00143624" w:rsidRDefault="005B63A2" w:rsidP="005B63A2">
            <w:pPr>
              <w:pStyle w:val="Tabletext"/>
            </w:pPr>
            <w:r w:rsidRPr="00143624">
              <w:t>9.9%</w:t>
            </w:r>
          </w:p>
        </w:tc>
        <w:tc>
          <w:tcPr>
            <w:tcW w:w="511" w:type="pct"/>
            <w:shd w:val="clear" w:color="auto" w:fill="auto"/>
          </w:tcPr>
          <w:p w:rsidR="005B63A2" w:rsidRPr="00143624" w:rsidRDefault="005B63A2" w:rsidP="005B63A2">
            <w:pPr>
              <w:pStyle w:val="Tabletext"/>
            </w:pPr>
            <w:r w:rsidRPr="00143624">
              <w:t>11.2%</w:t>
            </w:r>
          </w:p>
        </w:tc>
        <w:tc>
          <w:tcPr>
            <w:tcW w:w="485" w:type="pct"/>
            <w:shd w:val="clear" w:color="auto" w:fill="auto"/>
          </w:tcPr>
          <w:p w:rsidR="005B63A2" w:rsidRPr="00143624" w:rsidRDefault="005B63A2" w:rsidP="005B63A2">
            <w:pPr>
              <w:pStyle w:val="Tabletext"/>
            </w:pPr>
            <w:r w:rsidRPr="00143624">
              <w:t>12.5%</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lastRenderedPageBreak/>
              <w:t>30</w:t>
            </w:r>
          </w:p>
        </w:tc>
        <w:tc>
          <w:tcPr>
            <w:tcW w:w="682" w:type="pct"/>
            <w:gridSpan w:val="2"/>
            <w:shd w:val="clear" w:color="auto" w:fill="auto"/>
          </w:tcPr>
          <w:p w:rsidR="005B63A2" w:rsidRPr="00143624" w:rsidRDefault="005B63A2" w:rsidP="005B63A2">
            <w:pPr>
              <w:pStyle w:val="Tabletext"/>
            </w:pPr>
            <w:r w:rsidRPr="00143624">
              <w:t>48 to 60</w:t>
            </w:r>
          </w:p>
        </w:tc>
        <w:tc>
          <w:tcPr>
            <w:tcW w:w="597" w:type="pct"/>
            <w:shd w:val="clear" w:color="auto" w:fill="auto"/>
          </w:tcPr>
          <w:p w:rsidR="005B63A2" w:rsidRPr="00143624" w:rsidRDefault="005B63A2" w:rsidP="005B63A2">
            <w:pPr>
              <w:pStyle w:val="Tabletext"/>
            </w:pPr>
            <w:r w:rsidRPr="00143624">
              <w:t>5.1%</w:t>
            </w:r>
          </w:p>
        </w:tc>
        <w:tc>
          <w:tcPr>
            <w:tcW w:w="597" w:type="pct"/>
            <w:shd w:val="clear" w:color="auto" w:fill="auto"/>
          </w:tcPr>
          <w:p w:rsidR="005B63A2" w:rsidRPr="00143624" w:rsidRDefault="005B63A2" w:rsidP="005B63A2">
            <w:pPr>
              <w:pStyle w:val="Tabletext"/>
            </w:pPr>
            <w:r w:rsidRPr="00143624">
              <w:t>6.0%</w:t>
            </w:r>
          </w:p>
        </w:tc>
        <w:tc>
          <w:tcPr>
            <w:tcW w:w="597" w:type="pct"/>
            <w:shd w:val="clear" w:color="auto" w:fill="auto"/>
          </w:tcPr>
          <w:p w:rsidR="005B63A2" w:rsidRPr="00143624" w:rsidRDefault="005B63A2" w:rsidP="005B63A2">
            <w:pPr>
              <w:pStyle w:val="Tabletext"/>
            </w:pPr>
            <w:r w:rsidRPr="00143624">
              <w:t>7.0%</w:t>
            </w:r>
          </w:p>
        </w:tc>
        <w:tc>
          <w:tcPr>
            <w:tcW w:w="597" w:type="pct"/>
            <w:shd w:val="clear" w:color="auto" w:fill="auto"/>
          </w:tcPr>
          <w:p w:rsidR="005B63A2" w:rsidRPr="00143624" w:rsidRDefault="005B63A2" w:rsidP="005B63A2">
            <w:pPr>
              <w:pStyle w:val="Tabletext"/>
            </w:pPr>
            <w:r w:rsidRPr="00143624">
              <w:t>8.2%</w:t>
            </w:r>
          </w:p>
        </w:tc>
        <w:tc>
          <w:tcPr>
            <w:tcW w:w="512" w:type="pct"/>
            <w:shd w:val="clear" w:color="auto" w:fill="auto"/>
          </w:tcPr>
          <w:p w:rsidR="005B63A2" w:rsidRPr="00143624" w:rsidRDefault="005B63A2" w:rsidP="005B63A2">
            <w:pPr>
              <w:pStyle w:val="Tabletext"/>
            </w:pPr>
            <w:r w:rsidRPr="00143624">
              <w:t>9.4%</w:t>
            </w:r>
          </w:p>
        </w:tc>
        <w:tc>
          <w:tcPr>
            <w:tcW w:w="511" w:type="pct"/>
            <w:shd w:val="clear" w:color="auto" w:fill="auto"/>
          </w:tcPr>
          <w:p w:rsidR="005B63A2" w:rsidRPr="00143624" w:rsidRDefault="005B63A2" w:rsidP="005B63A2">
            <w:pPr>
              <w:pStyle w:val="Tabletext"/>
            </w:pPr>
            <w:r w:rsidRPr="00143624">
              <w:t>10.7%</w:t>
            </w:r>
          </w:p>
        </w:tc>
        <w:tc>
          <w:tcPr>
            <w:tcW w:w="485" w:type="pct"/>
            <w:shd w:val="clear" w:color="auto" w:fill="auto"/>
          </w:tcPr>
          <w:p w:rsidR="005B63A2" w:rsidRPr="00143624" w:rsidRDefault="005B63A2" w:rsidP="005B63A2">
            <w:pPr>
              <w:pStyle w:val="Tabletext"/>
            </w:pPr>
            <w:r w:rsidRPr="00143624">
              <w:t>12.1%</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31</w:t>
            </w:r>
          </w:p>
        </w:tc>
        <w:tc>
          <w:tcPr>
            <w:tcW w:w="682" w:type="pct"/>
            <w:gridSpan w:val="2"/>
            <w:shd w:val="clear" w:color="auto" w:fill="auto"/>
          </w:tcPr>
          <w:p w:rsidR="005B63A2" w:rsidRPr="00143624" w:rsidRDefault="005B63A2" w:rsidP="005B63A2">
            <w:pPr>
              <w:pStyle w:val="Tabletext"/>
            </w:pPr>
            <w:r w:rsidRPr="00143624">
              <w:t>36 to 48</w:t>
            </w:r>
          </w:p>
        </w:tc>
        <w:tc>
          <w:tcPr>
            <w:tcW w:w="597" w:type="pct"/>
            <w:shd w:val="clear" w:color="auto" w:fill="auto"/>
          </w:tcPr>
          <w:p w:rsidR="005B63A2" w:rsidRPr="00143624" w:rsidRDefault="005B63A2" w:rsidP="005B63A2">
            <w:pPr>
              <w:pStyle w:val="Tabletext"/>
            </w:pPr>
            <w:r w:rsidRPr="00143624">
              <w:t>4.2%</w:t>
            </w:r>
          </w:p>
        </w:tc>
        <w:tc>
          <w:tcPr>
            <w:tcW w:w="597" w:type="pct"/>
            <w:shd w:val="clear" w:color="auto" w:fill="auto"/>
          </w:tcPr>
          <w:p w:rsidR="005B63A2" w:rsidRPr="00143624" w:rsidRDefault="005B63A2" w:rsidP="005B63A2">
            <w:pPr>
              <w:pStyle w:val="Tabletext"/>
            </w:pPr>
            <w:r w:rsidRPr="00143624">
              <w:t>5.2%</w:t>
            </w:r>
          </w:p>
        </w:tc>
        <w:tc>
          <w:tcPr>
            <w:tcW w:w="597" w:type="pct"/>
            <w:shd w:val="clear" w:color="auto" w:fill="auto"/>
          </w:tcPr>
          <w:p w:rsidR="005B63A2" w:rsidRPr="00143624" w:rsidRDefault="005B63A2" w:rsidP="005B63A2">
            <w:pPr>
              <w:pStyle w:val="Tabletext"/>
            </w:pPr>
            <w:r w:rsidRPr="00143624">
              <w:t>6.2%</w:t>
            </w:r>
          </w:p>
        </w:tc>
        <w:tc>
          <w:tcPr>
            <w:tcW w:w="597" w:type="pct"/>
            <w:shd w:val="clear" w:color="auto" w:fill="auto"/>
          </w:tcPr>
          <w:p w:rsidR="005B63A2" w:rsidRPr="00143624" w:rsidRDefault="005B63A2" w:rsidP="005B63A2">
            <w:pPr>
              <w:pStyle w:val="Tabletext"/>
            </w:pPr>
            <w:r w:rsidRPr="00143624">
              <w:t>7.4%</w:t>
            </w:r>
          </w:p>
        </w:tc>
        <w:tc>
          <w:tcPr>
            <w:tcW w:w="512" w:type="pct"/>
            <w:shd w:val="clear" w:color="auto" w:fill="auto"/>
          </w:tcPr>
          <w:p w:rsidR="005B63A2" w:rsidRPr="00143624" w:rsidRDefault="005B63A2" w:rsidP="005B63A2">
            <w:pPr>
              <w:pStyle w:val="Tabletext"/>
            </w:pPr>
            <w:r w:rsidRPr="00143624">
              <w:t>8.6%</w:t>
            </w:r>
          </w:p>
        </w:tc>
        <w:tc>
          <w:tcPr>
            <w:tcW w:w="511" w:type="pct"/>
            <w:shd w:val="clear" w:color="auto" w:fill="auto"/>
          </w:tcPr>
          <w:p w:rsidR="005B63A2" w:rsidRPr="00143624" w:rsidRDefault="005B63A2" w:rsidP="005B63A2">
            <w:pPr>
              <w:pStyle w:val="Tabletext"/>
            </w:pPr>
            <w:r w:rsidRPr="00143624">
              <w:t>10.0%</w:t>
            </w:r>
          </w:p>
        </w:tc>
        <w:tc>
          <w:tcPr>
            <w:tcW w:w="485" w:type="pct"/>
            <w:shd w:val="clear" w:color="auto" w:fill="auto"/>
          </w:tcPr>
          <w:p w:rsidR="005B63A2" w:rsidRPr="00143624" w:rsidRDefault="005B63A2" w:rsidP="005B63A2">
            <w:pPr>
              <w:pStyle w:val="Tabletext"/>
            </w:pPr>
            <w:r w:rsidRPr="00143624">
              <w:t>11.4%</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32</w:t>
            </w:r>
          </w:p>
        </w:tc>
        <w:tc>
          <w:tcPr>
            <w:tcW w:w="682" w:type="pct"/>
            <w:gridSpan w:val="2"/>
            <w:shd w:val="clear" w:color="auto" w:fill="auto"/>
          </w:tcPr>
          <w:p w:rsidR="005B63A2" w:rsidRPr="00143624" w:rsidRDefault="005B63A2" w:rsidP="005B63A2">
            <w:pPr>
              <w:pStyle w:val="Tabletext"/>
            </w:pPr>
            <w:r w:rsidRPr="00143624">
              <w:t>24 to 36</w:t>
            </w:r>
          </w:p>
        </w:tc>
        <w:tc>
          <w:tcPr>
            <w:tcW w:w="597" w:type="pct"/>
            <w:shd w:val="clear" w:color="auto" w:fill="auto"/>
          </w:tcPr>
          <w:p w:rsidR="005B63A2" w:rsidRPr="00143624" w:rsidRDefault="005B63A2" w:rsidP="005B63A2">
            <w:pPr>
              <w:pStyle w:val="Tabletext"/>
            </w:pPr>
            <w:r w:rsidRPr="00143624">
              <w:t>3.2%</w:t>
            </w:r>
          </w:p>
        </w:tc>
        <w:tc>
          <w:tcPr>
            <w:tcW w:w="597" w:type="pct"/>
            <w:shd w:val="clear" w:color="auto" w:fill="auto"/>
          </w:tcPr>
          <w:p w:rsidR="005B63A2" w:rsidRPr="00143624" w:rsidRDefault="005B63A2" w:rsidP="005B63A2">
            <w:pPr>
              <w:pStyle w:val="Tabletext"/>
            </w:pPr>
            <w:r w:rsidRPr="00143624">
              <w:t>4.1%</w:t>
            </w:r>
          </w:p>
        </w:tc>
        <w:tc>
          <w:tcPr>
            <w:tcW w:w="597" w:type="pct"/>
            <w:shd w:val="clear" w:color="auto" w:fill="auto"/>
          </w:tcPr>
          <w:p w:rsidR="005B63A2" w:rsidRPr="00143624" w:rsidRDefault="005B63A2" w:rsidP="005B63A2">
            <w:pPr>
              <w:pStyle w:val="Tabletext"/>
            </w:pPr>
            <w:r w:rsidRPr="00143624">
              <w:t>5.1%</w:t>
            </w:r>
          </w:p>
        </w:tc>
        <w:tc>
          <w:tcPr>
            <w:tcW w:w="597" w:type="pct"/>
            <w:shd w:val="clear" w:color="auto" w:fill="auto"/>
          </w:tcPr>
          <w:p w:rsidR="005B63A2" w:rsidRPr="00143624" w:rsidRDefault="005B63A2" w:rsidP="005B63A2">
            <w:pPr>
              <w:pStyle w:val="Tabletext"/>
            </w:pPr>
            <w:r w:rsidRPr="00143624">
              <w:t>6.3%</w:t>
            </w:r>
          </w:p>
        </w:tc>
        <w:tc>
          <w:tcPr>
            <w:tcW w:w="512" w:type="pct"/>
            <w:shd w:val="clear" w:color="auto" w:fill="auto"/>
          </w:tcPr>
          <w:p w:rsidR="005B63A2" w:rsidRPr="00143624" w:rsidRDefault="005B63A2" w:rsidP="005B63A2">
            <w:pPr>
              <w:pStyle w:val="Tabletext"/>
            </w:pPr>
            <w:r w:rsidRPr="00143624">
              <w:t>7.6%</w:t>
            </w:r>
          </w:p>
        </w:tc>
        <w:tc>
          <w:tcPr>
            <w:tcW w:w="511" w:type="pct"/>
            <w:shd w:val="clear" w:color="auto" w:fill="auto"/>
          </w:tcPr>
          <w:p w:rsidR="005B63A2" w:rsidRPr="00143624" w:rsidRDefault="005B63A2" w:rsidP="005B63A2">
            <w:pPr>
              <w:pStyle w:val="Tabletext"/>
            </w:pPr>
            <w:r w:rsidRPr="00143624">
              <w:t>9.0%</w:t>
            </w:r>
          </w:p>
        </w:tc>
        <w:tc>
          <w:tcPr>
            <w:tcW w:w="485" w:type="pct"/>
            <w:shd w:val="clear" w:color="auto" w:fill="auto"/>
          </w:tcPr>
          <w:p w:rsidR="005B63A2" w:rsidRPr="00143624" w:rsidRDefault="005B63A2" w:rsidP="005B63A2">
            <w:pPr>
              <w:pStyle w:val="Tabletext"/>
            </w:pPr>
            <w:r w:rsidRPr="00143624">
              <w:t>10.5%</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33</w:t>
            </w:r>
          </w:p>
        </w:tc>
        <w:tc>
          <w:tcPr>
            <w:tcW w:w="682" w:type="pct"/>
            <w:gridSpan w:val="2"/>
            <w:shd w:val="clear" w:color="auto" w:fill="auto"/>
          </w:tcPr>
          <w:p w:rsidR="005B63A2" w:rsidRPr="00143624" w:rsidRDefault="005B63A2" w:rsidP="005B63A2">
            <w:pPr>
              <w:pStyle w:val="Tabletext"/>
            </w:pPr>
            <w:r w:rsidRPr="00143624">
              <w:t>18 to 24</w:t>
            </w:r>
          </w:p>
        </w:tc>
        <w:tc>
          <w:tcPr>
            <w:tcW w:w="597" w:type="pct"/>
            <w:shd w:val="clear" w:color="auto" w:fill="auto"/>
          </w:tcPr>
          <w:p w:rsidR="005B63A2" w:rsidRPr="00143624" w:rsidRDefault="005B63A2" w:rsidP="005B63A2">
            <w:pPr>
              <w:pStyle w:val="Tabletext"/>
            </w:pPr>
            <w:r w:rsidRPr="00143624">
              <w:t>2.5%</w:t>
            </w:r>
          </w:p>
        </w:tc>
        <w:tc>
          <w:tcPr>
            <w:tcW w:w="597" w:type="pct"/>
            <w:shd w:val="clear" w:color="auto" w:fill="auto"/>
          </w:tcPr>
          <w:p w:rsidR="005B63A2" w:rsidRPr="00143624" w:rsidRDefault="005B63A2" w:rsidP="005B63A2">
            <w:pPr>
              <w:pStyle w:val="Tabletext"/>
            </w:pPr>
            <w:r w:rsidRPr="00143624">
              <w:t>3.4%</w:t>
            </w:r>
          </w:p>
        </w:tc>
        <w:tc>
          <w:tcPr>
            <w:tcW w:w="597" w:type="pct"/>
            <w:shd w:val="clear" w:color="auto" w:fill="auto"/>
          </w:tcPr>
          <w:p w:rsidR="005B63A2" w:rsidRPr="00143624" w:rsidRDefault="005B63A2" w:rsidP="005B63A2">
            <w:pPr>
              <w:pStyle w:val="Tabletext"/>
            </w:pPr>
            <w:r w:rsidRPr="00143624">
              <w:t>4.4%</w:t>
            </w:r>
          </w:p>
        </w:tc>
        <w:tc>
          <w:tcPr>
            <w:tcW w:w="597" w:type="pct"/>
            <w:shd w:val="clear" w:color="auto" w:fill="auto"/>
          </w:tcPr>
          <w:p w:rsidR="005B63A2" w:rsidRPr="00143624" w:rsidRDefault="005B63A2" w:rsidP="005B63A2">
            <w:pPr>
              <w:pStyle w:val="Tabletext"/>
            </w:pPr>
            <w:r w:rsidRPr="00143624">
              <w:t>5.5%</w:t>
            </w:r>
          </w:p>
        </w:tc>
        <w:tc>
          <w:tcPr>
            <w:tcW w:w="512" w:type="pct"/>
            <w:shd w:val="clear" w:color="auto" w:fill="auto"/>
          </w:tcPr>
          <w:p w:rsidR="005B63A2" w:rsidRPr="00143624" w:rsidRDefault="005B63A2" w:rsidP="005B63A2">
            <w:pPr>
              <w:pStyle w:val="Tabletext"/>
            </w:pPr>
            <w:r w:rsidRPr="00143624">
              <w:t>6.8%</w:t>
            </w:r>
          </w:p>
        </w:tc>
        <w:tc>
          <w:tcPr>
            <w:tcW w:w="511" w:type="pct"/>
            <w:shd w:val="clear" w:color="auto" w:fill="auto"/>
          </w:tcPr>
          <w:p w:rsidR="005B63A2" w:rsidRPr="00143624" w:rsidRDefault="005B63A2" w:rsidP="005B63A2">
            <w:pPr>
              <w:pStyle w:val="Tabletext"/>
            </w:pPr>
            <w:r w:rsidRPr="00143624">
              <w:t>8.3%</w:t>
            </w:r>
          </w:p>
        </w:tc>
        <w:tc>
          <w:tcPr>
            <w:tcW w:w="485" w:type="pct"/>
            <w:shd w:val="clear" w:color="auto" w:fill="auto"/>
          </w:tcPr>
          <w:p w:rsidR="005B63A2" w:rsidRPr="00143624" w:rsidRDefault="005B63A2" w:rsidP="005B63A2">
            <w:pPr>
              <w:pStyle w:val="Tabletext"/>
            </w:pPr>
            <w:r w:rsidRPr="00143624">
              <w:t>9.9%</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34</w:t>
            </w:r>
          </w:p>
        </w:tc>
        <w:tc>
          <w:tcPr>
            <w:tcW w:w="682" w:type="pct"/>
            <w:gridSpan w:val="2"/>
            <w:shd w:val="clear" w:color="auto" w:fill="auto"/>
          </w:tcPr>
          <w:p w:rsidR="005B63A2" w:rsidRPr="00143624" w:rsidRDefault="005B63A2" w:rsidP="005B63A2">
            <w:pPr>
              <w:pStyle w:val="Tabletext"/>
            </w:pPr>
            <w:r w:rsidRPr="00143624">
              <w:t>12 to 18</w:t>
            </w:r>
          </w:p>
        </w:tc>
        <w:tc>
          <w:tcPr>
            <w:tcW w:w="597" w:type="pct"/>
            <w:shd w:val="clear" w:color="auto" w:fill="auto"/>
          </w:tcPr>
          <w:p w:rsidR="005B63A2" w:rsidRPr="00143624" w:rsidRDefault="005B63A2" w:rsidP="005B63A2">
            <w:pPr>
              <w:pStyle w:val="Tabletext"/>
            </w:pPr>
            <w:r w:rsidRPr="00143624">
              <w:t>1.7%</w:t>
            </w:r>
          </w:p>
        </w:tc>
        <w:tc>
          <w:tcPr>
            <w:tcW w:w="597" w:type="pct"/>
            <w:shd w:val="clear" w:color="auto" w:fill="auto"/>
          </w:tcPr>
          <w:p w:rsidR="005B63A2" w:rsidRPr="00143624" w:rsidRDefault="005B63A2" w:rsidP="005B63A2">
            <w:pPr>
              <w:pStyle w:val="Tabletext"/>
            </w:pPr>
            <w:r w:rsidRPr="00143624">
              <w:t>2.5%</w:t>
            </w:r>
          </w:p>
        </w:tc>
        <w:tc>
          <w:tcPr>
            <w:tcW w:w="597" w:type="pct"/>
            <w:shd w:val="clear" w:color="auto" w:fill="auto"/>
          </w:tcPr>
          <w:p w:rsidR="005B63A2" w:rsidRPr="00143624" w:rsidRDefault="005B63A2" w:rsidP="005B63A2">
            <w:pPr>
              <w:pStyle w:val="Tabletext"/>
            </w:pPr>
            <w:r w:rsidRPr="00143624">
              <w:t>3.4%</w:t>
            </w:r>
          </w:p>
        </w:tc>
        <w:tc>
          <w:tcPr>
            <w:tcW w:w="597" w:type="pct"/>
            <w:shd w:val="clear" w:color="auto" w:fill="auto"/>
          </w:tcPr>
          <w:p w:rsidR="005B63A2" w:rsidRPr="00143624" w:rsidRDefault="005B63A2" w:rsidP="005B63A2">
            <w:pPr>
              <w:pStyle w:val="Tabletext"/>
            </w:pPr>
            <w:r w:rsidRPr="00143624">
              <w:t>4.6%</w:t>
            </w:r>
          </w:p>
        </w:tc>
        <w:tc>
          <w:tcPr>
            <w:tcW w:w="512" w:type="pct"/>
            <w:shd w:val="clear" w:color="auto" w:fill="auto"/>
          </w:tcPr>
          <w:p w:rsidR="005B63A2" w:rsidRPr="00143624" w:rsidRDefault="005B63A2" w:rsidP="005B63A2">
            <w:pPr>
              <w:pStyle w:val="Tabletext"/>
            </w:pPr>
            <w:r w:rsidRPr="00143624">
              <w:t>6.0%</w:t>
            </w:r>
          </w:p>
        </w:tc>
        <w:tc>
          <w:tcPr>
            <w:tcW w:w="511" w:type="pct"/>
            <w:shd w:val="clear" w:color="auto" w:fill="auto"/>
          </w:tcPr>
          <w:p w:rsidR="005B63A2" w:rsidRPr="00143624" w:rsidRDefault="005B63A2" w:rsidP="005B63A2">
            <w:pPr>
              <w:pStyle w:val="Tabletext"/>
            </w:pPr>
            <w:r w:rsidRPr="00143624">
              <w:t>7.5%</w:t>
            </w:r>
          </w:p>
        </w:tc>
        <w:tc>
          <w:tcPr>
            <w:tcW w:w="485" w:type="pct"/>
            <w:shd w:val="clear" w:color="auto" w:fill="auto"/>
          </w:tcPr>
          <w:p w:rsidR="005B63A2" w:rsidRPr="00143624" w:rsidRDefault="005B63A2" w:rsidP="005B63A2">
            <w:pPr>
              <w:pStyle w:val="Tabletext"/>
            </w:pPr>
            <w:r w:rsidRPr="00143624">
              <w:t>9.2%</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35</w:t>
            </w:r>
          </w:p>
        </w:tc>
        <w:tc>
          <w:tcPr>
            <w:tcW w:w="682" w:type="pct"/>
            <w:gridSpan w:val="2"/>
            <w:shd w:val="clear" w:color="auto" w:fill="auto"/>
          </w:tcPr>
          <w:p w:rsidR="005B63A2" w:rsidRPr="00143624" w:rsidRDefault="005B63A2" w:rsidP="005B63A2">
            <w:pPr>
              <w:pStyle w:val="Tabletext"/>
            </w:pPr>
            <w:r w:rsidRPr="00143624">
              <w:t>9 to 12</w:t>
            </w:r>
          </w:p>
        </w:tc>
        <w:tc>
          <w:tcPr>
            <w:tcW w:w="597" w:type="pct"/>
            <w:shd w:val="clear" w:color="auto" w:fill="auto"/>
          </w:tcPr>
          <w:p w:rsidR="005B63A2" w:rsidRPr="00143624" w:rsidRDefault="005B63A2" w:rsidP="005B63A2">
            <w:pPr>
              <w:pStyle w:val="Tabletext"/>
            </w:pPr>
            <w:r w:rsidRPr="00143624">
              <w:t>1.3%</w:t>
            </w:r>
          </w:p>
        </w:tc>
        <w:tc>
          <w:tcPr>
            <w:tcW w:w="597" w:type="pct"/>
            <w:shd w:val="clear" w:color="auto" w:fill="auto"/>
          </w:tcPr>
          <w:p w:rsidR="005B63A2" w:rsidRPr="00143624" w:rsidRDefault="005B63A2" w:rsidP="005B63A2">
            <w:pPr>
              <w:pStyle w:val="Tabletext"/>
            </w:pPr>
            <w:r w:rsidRPr="00143624">
              <w:t>2.0%</w:t>
            </w:r>
          </w:p>
        </w:tc>
        <w:tc>
          <w:tcPr>
            <w:tcW w:w="597" w:type="pct"/>
            <w:shd w:val="clear" w:color="auto" w:fill="auto"/>
          </w:tcPr>
          <w:p w:rsidR="005B63A2" w:rsidRPr="00143624" w:rsidRDefault="005B63A2" w:rsidP="005B63A2">
            <w:pPr>
              <w:pStyle w:val="Tabletext"/>
            </w:pPr>
            <w:r w:rsidRPr="00143624">
              <w:t>2.9%</w:t>
            </w:r>
          </w:p>
        </w:tc>
        <w:tc>
          <w:tcPr>
            <w:tcW w:w="597" w:type="pct"/>
            <w:shd w:val="clear" w:color="auto" w:fill="auto"/>
          </w:tcPr>
          <w:p w:rsidR="005B63A2" w:rsidRPr="00143624" w:rsidRDefault="005B63A2" w:rsidP="005B63A2">
            <w:pPr>
              <w:pStyle w:val="Tabletext"/>
            </w:pPr>
            <w:r w:rsidRPr="00143624">
              <w:t>4.0%</w:t>
            </w:r>
          </w:p>
        </w:tc>
        <w:tc>
          <w:tcPr>
            <w:tcW w:w="512" w:type="pct"/>
            <w:shd w:val="clear" w:color="auto" w:fill="auto"/>
          </w:tcPr>
          <w:p w:rsidR="005B63A2" w:rsidRPr="00143624" w:rsidRDefault="005B63A2" w:rsidP="005B63A2">
            <w:pPr>
              <w:pStyle w:val="Tabletext"/>
            </w:pPr>
            <w:r w:rsidRPr="00143624">
              <w:t>5.4%</w:t>
            </w:r>
          </w:p>
        </w:tc>
        <w:tc>
          <w:tcPr>
            <w:tcW w:w="511" w:type="pct"/>
            <w:shd w:val="clear" w:color="auto" w:fill="auto"/>
          </w:tcPr>
          <w:p w:rsidR="005B63A2" w:rsidRPr="00143624" w:rsidRDefault="005B63A2" w:rsidP="005B63A2">
            <w:pPr>
              <w:pStyle w:val="Tabletext"/>
            </w:pPr>
            <w:r w:rsidRPr="00143624">
              <w:t>7.0%</w:t>
            </w:r>
          </w:p>
        </w:tc>
        <w:tc>
          <w:tcPr>
            <w:tcW w:w="485" w:type="pct"/>
            <w:shd w:val="clear" w:color="auto" w:fill="auto"/>
          </w:tcPr>
          <w:p w:rsidR="005B63A2" w:rsidRPr="00143624" w:rsidRDefault="005B63A2" w:rsidP="005B63A2">
            <w:pPr>
              <w:pStyle w:val="Tabletext"/>
            </w:pPr>
            <w:r w:rsidRPr="00143624">
              <w:t>8.8%</w:t>
            </w:r>
          </w:p>
        </w:tc>
      </w:tr>
      <w:tr w:rsidR="005B63A2" w:rsidRPr="00143624" w:rsidTr="003104D0">
        <w:tblPrEx>
          <w:tblBorders>
            <w:top w:val="single" w:sz="4" w:space="0" w:color="auto"/>
          </w:tblBorders>
        </w:tblPrEx>
        <w:tc>
          <w:tcPr>
            <w:tcW w:w="423" w:type="pct"/>
            <w:shd w:val="clear" w:color="auto" w:fill="auto"/>
          </w:tcPr>
          <w:p w:rsidR="005B63A2" w:rsidRPr="00143624" w:rsidRDefault="005B63A2" w:rsidP="005B63A2">
            <w:pPr>
              <w:pStyle w:val="Tabletext"/>
            </w:pPr>
            <w:r w:rsidRPr="00143624">
              <w:t>36</w:t>
            </w:r>
          </w:p>
        </w:tc>
        <w:tc>
          <w:tcPr>
            <w:tcW w:w="682" w:type="pct"/>
            <w:gridSpan w:val="2"/>
            <w:shd w:val="clear" w:color="auto" w:fill="auto"/>
          </w:tcPr>
          <w:p w:rsidR="005B63A2" w:rsidRPr="00143624" w:rsidRDefault="005B63A2" w:rsidP="005B63A2">
            <w:pPr>
              <w:pStyle w:val="Tabletext"/>
            </w:pPr>
            <w:r w:rsidRPr="00143624">
              <w:t>6 to 9</w:t>
            </w:r>
          </w:p>
        </w:tc>
        <w:tc>
          <w:tcPr>
            <w:tcW w:w="597" w:type="pct"/>
            <w:shd w:val="clear" w:color="auto" w:fill="auto"/>
          </w:tcPr>
          <w:p w:rsidR="005B63A2" w:rsidRPr="00143624" w:rsidRDefault="005B63A2" w:rsidP="005B63A2">
            <w:pPr>
              <w:pStyle w:val="Tabletext"/>
            </w:pPr>
            <w:r w:rsidRPr="00143624">
              <w:t>0.8%</w:t>
            </w:r>
          </w:p>
        </w:tc>
        <w:tc>
          <w:tcPr>
            <w:tcW w:w="597" w:type="pct"/>
            <w:shd w:val="clear" w:color="auto" w:fill="auto"/>
          </w:tcPr>
          <w:p w:rsidR="005B63A2" w:rsidRPr="00143624" w:rsidRDefault="005B63A2" w:rsidP="005B63A2">
            <w:pPr>
              <w:pStyle w:val="Tabletext"/>
            </w:pPr>
            <w:r w:rsidRPr="00143624">
              <w:t>1.4%</w:t>
            </w:r>
          </w:p>
        </w:tc>
        <w:tc>
          <w:tcPr>
            <w:tcW w:w="597" w:type="pct"/>
            <w:shd w:val="clear" w:color="auto" w:fill="auto"/>
          </w:tcPr>
          <w:p w:rsidR="005B63A2" w:rsidRPr="00143624" w:rsidRDefault="005B63A2" w:rsidP="005B63A2">
            <w:pPr>
              <w:pStyle w:val="Tabletext"/>
            </w:pPr>
            <w:r w:rsidRPr="00143624">
              <w:t>2.2%</w:t>
            </w:r>
          </w:p>
        </w:tc>
        <w:tc>
          <w:tcPr>
            <w:tcW w:w="597" w:type="pct"/>
            <w:shd w:val="clear" w:color="auto" w:fill="auto"/>
          </w:tcPr>
          <w:p w:rsidR="005B63A2" w:rsidRPr="00143624" w:rsidRDefault="005B63A2" w:rsidP="005B63A2">
            <w:pPr>
              <w:pStyle w:val="Tabletext"/>
            </w:pPr>
            <w:r w:rsidRPr="00143624">
              <w:t>3.3%</w:t>
            </w:r>
          </w:p>
        </w:tc>
        <w:tc>
          <w:tcPr>
            <w:tcW w:w="512" w:type="pct"/>
            <w:shd w:val="clear" w:color="auto" w:fill="auto"/>
          </w:tcPr>
          <w:p w:rsidR="005B63A2" w:rsidRPr="00143624" w:rsidRDefault="005B63A2" w:rsidP="005B63A2">
            <w:pPr>
              <w:pStyle w:val="Tabletext"/>
            </w:pPr>
            <w:r w:rsidRPr="00143624">
              <w:t>4.7%</w:t>
            </w:r>
          </w:p>
        </w:tc>
        <w:tc>
          <w:tcPr>
            <w:tcW w:w="511" w:type="pct"/>
            <w:shd w:val="clear" w:color="auto" w:fill="auto"/>
          </w:tcPr>
          <w:p w:rsidR="005B63A2" w:rsidRPr="00143624" w:rsidRDefault="005B63A2" w:rsidP="005B63A2">
            <w:pPr>
              <w:pStyle w:val="Tabletext"/>
            </w:pPr>
            <w:r w:rsidRPr="00143624">
              <w:t>6.4%</w:t>
            </w:r>
          </w:p>
        </w:tc>
        <w:tc>
          <w:tcPr>
            <w:tcW w:w="485" w:type="pct"/>
            <w:shd w:val="clear" w:color="auto" w:fill="auto"/>
          </w:tcPr>
          <w:p w:rsidR="005B63A2" w:rsidRPr="00143624" w:rsidRDefault="005B63A2" w:rsidP="005B63A2">
            <w:pPr>
              <w:pStyle w:val="Tabletext"/>
            </w:pPr>
            <w:r w:rsidRPr="00143624">
              <w:t>8.3%</w:t>
            </w:r>
          </w:p>
        </w:tc>
      </w:tr>
      <w:tr w:rsidR="005B63A2" w:rsidRPr="00143624" w:rsidTr="003104D0">
        <w:tblPrEx>
          <w:tblBorders>
            <w:top w:val="single" w:sz="4" w:space="0" w:color="auto"/>
          </w:tblBorders>
        </w:tblPrEx>
        <w:tc>
          <w:tcPr>
            <w:tcW w:w="423" w:type="pct"/>
            <w:tcBorders>
              <w:bottom w:val="single" w:sz="2" w:space="0" w:color="auto"/>
            </w:tcBorders>
            <w:shd w:val="clear" w:color="auto" w:fill="auto"/>
          </w:tcPr>
          <w:p w:rsidR="005B63A2" w:rsidRPr="00143624" w:rsidRDefault="005B63A2" w:rsidP="005B63A2">
            <w:pPr>
              <w:pStyle w:val="Tabletext"/>
            </w:pPr>
            <w:r w:rsidRPr="00143624">
              <w:t>37</w:t>
            </w:r>
          </w:p>
        </w:tc>
        <w:tc>
          <w:tcPr>
            <w:tcW w:w="682" w:type="pct"/>
            <w:gridSpan w:val="2"/>
            <w:tcBorders>
              <w:bottom w:val="single" w:sz="2" w:space="0" w:color="auto"/>
            </w:tcBorders>
            <w:shd w:val="clear" w:color="auto" w:fill="auto"/>
          </w:tcPr>
          <w:p w:rsidR="005B63A2" w:rsidRPr="00143624" w:rsidRDefault="005B63A2" w:rsidP="005B63A2">
            <w:pPr>
              <w:pStyle w:val="Tabletext"/>
            </w:pPr>
            <w:r w:rsidRPr="00143624">
              <w:t>3 to 6</w:t>
            </w:r>
          </w:p>
        </w:tc>
        <w:tc>
          <w:tcPr>
            <w:tcW w:w="597" w:type="pct"/>
            <w:tcBorders>
              <w:bottom w:val="single" w:sz="2" w:space="0" w:color="auto"/>
            </w:tcBorders>
            <w:shd w:val="clear" w:color="auto" w:fill="auto"/>
          </w:tcPr>
          <w:p w:rsidR="005B63A2" w:rsidRPr="00143624" w:rsidRDefault="005B63A2" w:rsidP="005B63A2">
            <w:pPr>
              <w:pStyle w:val="Tabletext"/>
            </w:pPr>
            <w:r w:rsidRPr="00143624">
              <w:t>0.3%</w:t>
            </w:r>
          </w:p>
        </w:tc>
        <w:tc>
          <w:tcPr>
            <w:tcW w:w="597" w:type="pct"/>
            <w:tcBorders>
              <w:bottom w:val="single" w:sz="2" w:space="0" w:color="auto"/>
            </w:tcBorders>
            <w:shd w:val="clear" w:color="auto" w:fill="auto"/>
          </w:tcPr>
          <w:p w:rsidR="005B63A2" w:rsidRPr="00143624" w:rsidRDefault="005B63A2" w:rsidP="005B63A2">
            <w:pPr>
              <w:pStyle w:val="Tabletext"/>
            </w:pPr>
            <w:r w:rsidRPr="00143624">
              <w:t>0.6%</w:t>
            </w:r>
          </w:p>
        </w:tc>
        <w:tc>
          <w:tcPr>
            <w:tcW w:w="597" w:type="pct"/>
            <w:tcBorders>
              <w:bottom w:val="single" w:sz="2" w:space="0" w:color="auto"/>
            </w:tcBorders>
            <w:shd w:val="clear" w:color="auto" w:fill="auto"/>
          </w:tcPr>
          <w:p w:rsidR="005B63A2" w:rsidRPr="00143624" w:rsidRDefault="005B63A2" w:rsidP="005B63A2">
            <w:pPr>
              <w:pStyle w:val="Tabletext"/>
            </w:pPr>
            <w:r w:rsidRPr="00143624">
              <w:t>1.3%</w:t>
            </w:r>
          </w:p>
        </w:tc>
        <w:tc>
          <w:tcPr>
            <w:tcW w:w="597" w:type="pct"/>
            <w:tcBorders>
              <w:bottom w:val="single" w:sz="2" w:space="0" w:color="auto"/>
            </w:tcBorders>
            <w:shd w:val="clear" w:color="auto" w:fill="auto"/>
          </w:tcPr>
          <w:p w:rsidR="005B63A2" w:rsidRPr="00143624" w:rsidRDefault="005B63A2" w:rsidP="005B63A2">
            <w:pPr>
              <w:pStyle w:val="Tabletext"/>
            </w:pPr>
            <w:r w:rsidRPr="00143624">
              <w:t>2.4%</w:t>
            </w:r>
          </w:p>
        </w:tc>
        <w:tc>
          <w:tcPr>
            <w:tcW w:w="512" w:type="pct"/>
            <w:tcBorders>
              <w:bottom w:val="single" w:sz="2" w:space="0" w:color="auto"/>
            </w:tcBorders>
            <w:shd w:val="clear" w:color="auto" w:fill="auto"/>
          </w:tcPr>
          <w:p w:rsidR="005B63A2" w:rsidRPr="00143624" w:rsidRDefault="005B63A2" w:rsidP="005B63A2">
            <w:pPr>
              <w:pStyle w:val="Tabletext"/>
            </w:pPr>
            <w:r w:rsidRPr="00143624">
              <w:t>3.8%</w:t>
            </w:r>
          </w:p>
        </w:tc>
        <w:tc>
          <w:tcPr>
            <w:tcW w:w="511" w:type="pct"/>
            <w:tcBorders>
              <w:bottom w:val="single" w:sz="2" w:space="0" w:color="auto"/>
            </w:tcBorders>
            <w:shd w:val="clear" w:color="auto" w:fill="auto"/>
          </w:tcPr>
          <w:p w:rsidR="005B63A2" w:rsidRPr="00143624" w:rsidRDefault="005B63A2" w:rsidP="005B63A2">
            <w:pPr>
              <w:pStyle w:val="Tabletext"/>
            </w:pPr>
            <w:r w:rsidRPr="00143624">
              <w:t>5.7%</w:t>
            </w:r>
          </w:p>
        </w:tc>
        <w:tc>
          <w:tcPr>
            <w:tcW w:w="485" w:type="pct"/>
            <w:tcBorders>
              <w:bottom w:val="single" w:sz="2" w:space="0" w:color="auto"/>
            </w:tcBorders>
            <w:shd w:val="clear" w:color="auto" w:fill="auto"/>
          </w:tcPr>
          <w:p w:rsidR="005B63A2" w:rsidRPr="00143624" w:rsidRDefault="005B63A2" w:rsidP="005B63A2">
            <w:pPr>
              <w:pStyle w:val="Tabletext"/>
            </w:pPr>
            <w:r w:rsidRPr="00143624">
              <w:t>7.8%</w:t>
            </w:r>
          </w:p>
        </w:tc>
      </w:tr>
      <w:tr w:rsidR="005B63A2" w:rsidRPr="00143624" w:rsidTr="003104D0">
        <w:tblPrEx>
          <w:tblBorders>
            <w:top w:val="single" w:sz="4" w:space="0" w:color="auto"/>
          </w:tblBorders>
        </w:tblPrEx>
        <w:tc>
          <w:tcPr>
            <w:tcW w:w="423"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38</w:t>
            </w:r>
          </w:p>
        </w:tc>
        <w:tc>
          <w:tcPr>
            <w:tcW w:w="682" w:type="pct"/>
            <w:gridSpan w:val="2"/>
            <w:tcBorders>
              <w:top w:val="single" w:sz="2" w:space="0" w:color="auto"/>
              <w:bottom w:val="single" w:sz="12" w:space="0" w:color="auto"/>
            </w:tcBorders>
            <w:shd w:val="clear" w:color="auto" w:fill="auto"/>
          </w:tcPr>
          <w:p w:rsidR="005B63A2" w:rsidRPr="00143624" w:rsidRDefault="005B63A2" w:rsidP="005B63A2">
            <w:pPr>
              <w:pStyle w:val="Tabletext"/>
            </w:pPr>
            <w:r w:rsidRPr="00143624">
              <w:t>0 to 3</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0.0%</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0.1%</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0.5%</w:t>
            </w:r>
          </w:p>
        </w:tc>
        <w:tc>
          <w:tcPr>
            <w:tcW w:w="597"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1.4%</w:t>
            </w:r>
          </w:p>
        </w:tc>
        <w:tc>
          <w:tcPr>
            <w:tcW w:w="512"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3.0%</w:t>
            </w:r>
          </w:p>
        </w:tc>
        <w:tc>
          <w:tcPr>
            <w:tcW w:w="511"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5.1%</w:t>
            </w:r>
          </w:p>
        </w:tc>
        <w:tc>
          <w:tcPr>
            <w:tcW w:w="485"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7.5%</w:t>
            </w:r>
          </w:p>
        </w:tc>
      </w:tr>
    </w:tbl>
    <w:p w:rsidR="005B63A2" w:rsidRPr="00143624" w:rsidRDefault="005B63A2" w:rsidP="005B63A2">
      <w:pPr>
        <w:pStyle w:val="Tabletext"/>
      </w:pPr>
    </w:p>
    <w:p w:rsidR="005B63A2" w:rsidRPr="00143624" w:rsidRDefault="005B63A2" w:rsidP="005B63A2">
      <w:pPr>
        <w:pStyle w:val="subsection"/>
      </w:pPr>
      <w:r w:rsidRPr="00143624">
        <w:tab/>
        <w:t>(2)</w:t>
      </w:r>
      <w:r w:rsidRPr="00143624">
        <w:tab/>
        <w:t>If, in relation to a particular right:</w:t>
      </w:r>
    </w:p>
    <w:p w:rsidR="005B63A2" w:rsidRPr="00143624" w:rsidRDefault="005B63A2" w:rsidP="005B63A2">
      <w:pPr>
        <w:pStyle w:val="paragraph"/>
      </w:pPr>
      <w:r w:rsidRPr="00143624">
        <w:tab/>
        <w:t>(a)</w:t>
      </w:r>
      <w:r w:rsidRPr="00143624">
        <w:tab/>
        <w:t>the exercise period; or</w:t>
      </w:r>
    </w:p>
    <w:p w:rsidR="005B63A2" w:rsidRPr="00143624" w:rsidRDefault="005B63A2" w:rsidP="005B63A2">
      <w:pPr>
        <w:pStyle w:val="paragraph"/>
      </w:pPr>
      <w:r w:rsidRPr="00143624">
        <w:tab/>
        <w:t>(b)</w:t>
      </w:r>
      <w:r w:rsidRPr="00143624">
        <w:tab/>
        <w:t>the calculation percentage;</w:t>
      </w:r>
    </w:p>
    <w:p w:rsidR="005B63A2" w:rsidRPr="00143624" w:rsidRDefault="005B63A2" w:rsidP="005B63A2">
      <w:pPr>
        <w:pStyle w:val="subsection2"/>
      </w:pPr>
      <w:r w:rsidRPr="00143624">
        <w:t xml:space="preserve">is the top of one range in the table in </w:t>
      </w:r>
      <w:r w:rsidR="002B1A95" w:rsidRPr="00143624">
        <w:t>subsection (</w:t>
      </w:r>
      <w:r w:rsidRPr="00143624">
        <w:t>1) and is also the bottom of another range in the table, it is taken to be in the lower range and not in the higher range.</w:t>
      </w:r>
    </w:p>
    <w:p w:rsidR="005B63A2" w:rsidRPr="00143624" w:rsidRDefault="005B63A2" w:rsidP="005B63A2">
      <w:pPr>
        <w:pStyle w:val="ActHead5"/>
      </w:pPr>
      <w:bookmarkStart w:id="54" w:name="_Toc64030312"/>
      <w:r w:rsidRPr="003F3E0B">
        <w:rPr>
          <w:rStyle w:val="CharSectno"/>
        </w:rPr>
        <w:t>83A</w:t>
      </w:r>
      <w:r w:rsidR="00143624" w:rsidRPr="003F3E0B">
        <w:rPr>
          <w:rStyle w:val="CharSectno"/>
        </w:rPr>
        <w:noBreakHyphen/>
      </w:r>
      <w:r w:rsidRPr="003F3E0B">
        <w:rPr>
          <w:rStyle w:val="CharSectno"/>
        </w:rPr>
        <w:t>315.09</w:t>
      </w:r>
      <w:r w:rsidRPr="00143624">
        <w:t xml:space="preserve">  Base percentages for calculation percentages of 110% or more</w:t>
      </w:r>
      <w:bookmarkEnd w:id="54"/>
    </w:p>
    <w:p w:rsidR="005B63A2" w:rsidRPr="00143624" w:rsidRDefault="005B63A2" w:rsidP="005B63A2">
      <w:pPr>
        <w:pStyle w:val="subsection"/>
      </w:pPr>
      <w:r w:rsidRPr="00143624">
        <w:tab/>
        <w:t>(1)</w:t>
      </w:r>
      <w:r w:rsidRPr="00143624">
        <w:tab/>
        <w:t>The value of the right worked out under this section, is the amount worked out using the following formula:</w:t>
      </w:r>
    </w:p>
    <w:p w:rsidR="005B63A2" w:rsidRPr="00143624" w:rsidRDefault="005B63A2" w:rsidP="005B63A2">
      <w:pPr>
        <w:pStyle w:val="subsection"/>
      </w:pPr>
      <w:r w:rsidRPr="00143624">
        <w:tab/>
      </w:r>
      <w:r w:rsidRPr="00143624">
        <w:tab/>
      </w:r>
      <w:r w:rsidR="005C75AD" w:rsidRPr="005C75AD">
        <w:drawing>
          <wp:inline distT="0" distB="0" distL="0" distR="0">
            <wp:extent cx="35718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71875" cy="533400"/>
                    </a:xfrm>
                    <a:prstGeom prst="rect">
                      <a:avLst/>
                    </a:prstGeom>
                    <a:noFill/>
                    <a:ln>
                      <a:noFill/>
                    </a:ln>
                  </pic:spPr>
                </pic:pic>
              </a:graphicData>
            </a:graphic>
          </wp:inline>
        </w:drawing>
      </w:r>
    </w:p>
    <w:p w:rsidR="005B63A2" w:rsidRPr="00143624" w:rsidRDefault="005B63A2" w:rsidP="005B63A2">
      <w:pPr>
        <w:pStyle w:val="subsection"/>
      </w:pPr>
      <w:r w:rsidRPr="00143624">
        <w:tab/>
      </w:r>
      <w:r w:rsidRPr="00143624">
        <w:tab/>
        <w:t>where:</w:t>
      </w:r>
    </w:p>
    <w:p w:rsidR="005B63A2" w:rsidRPr="00143624" w:rsidRDefault="005B63A2" w:rsidP="005B63A2">
      <w:pPr>
        <w:pStyle w:val="Definition"/>
      </w:pPr>
      <w:r w:rsidRPr="00143624">
        <w:rPr>
          <w:b/>
          <w:i/>
        </w:rPr>
        <w:t>additional percentage</w:t>
      </w:r>
      <w:r w:rsidRPr="00143624">
        <w:t xml:space="preserve">, for a right with an exercise period specified in an item in column 1 of the table in </w:t>
      </w:r>
      <w:r w:rsidR="002B1A95" w:rsidRPr="00143624">
        <w:t>subsection (</w:t>
      </w:r>
      <w:r w:rsidRPr="00143624">
        <w:t>2), is the percentage specified in column 3 of the item.</w:t>
      </w:r>
    </w:p>
    <w:p w:rsidR="005B63A2" w:rsidRPr="00143624" w:rsidRDefault="005B63A2" w:rsidP="005B63A2">
      <w:pPr>
        <w:pStyle w:val="Definition"/>
      </w:pPr>
      <w:r w:rsidRPr="00143624">
        <w:rPr>
          <w:b/>
          <w:i/>
        </w:rPr>
        <w:t>base percentage</w:t>
      </w:r>
      <w:r w:rsidRPr="00143624">
        <w:t xml:space="preserve">, for a right with an exercise period specified in an item in column 1 of the table in </w:t>
      </w:r>
      <w:r w:rsidR="002B1A95" w:rsidRPr="00143624">
        <w:t>subsection (</w:t>
      </w:r>
      <w:r w:rsidRPr="00143624">
        <w:t>2), is the percentage specified in column 2 of the item.</w:t>
      </w:r>
    </w:p>
    <w:p w:rsidR="005B63A2" w:rsidRPr="00143624" w:rsidRDefault="005B63A2" w:rsidP="005B63A2">
      <w:pPr>
        <w:pStyle w:val="Definition"/>
      </w:pPr>
      <w:r w:rsidRPr="00143624">
        <w:rPr>
          <w:b/>
          <w:i/>
        </w:rPr>
        <w:t>excess</w:t>
      </w:r>
      <w:r w:rsidRPr="00143624">
        <w:rPr>
          <w:i/>
        </w:rPr>
        <w:t xml:space="preserve"> </w:t>
      </w:r>
      <w:r w:rsidRPr="00143624">
        <w:t>is the amount worked out using the following formula, disregarding any fraction:</w:t>
      </w:r>
    </w:p>
    <w:p w:rsidR="005B63A2" w:rsidRPr="00143624" w:rsidRDefault="005C75AD" w:rsidP="005B63A2">
      <w:pPr>
        <w:pStyle w:val="Definition"/>
      </w:pPr>
      <w:r w:rsidRPr="005C75AD">
        <w:drawing>
          <wp:inline distT="0" distB="0" distL="0" distR="0">
            <wp:extent cx="162877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a:ln>
                      <a:noFill/>
                    </a:ln>
                  </pic:spPr>
                </pic:pic>
              </a:graphicData>
            </a:graphic>
          </wp:inline>
        </w:drawing>
      </w:r>
    </w:p>
    <w:p w:rsidR="005B63A2" w:rsidRPr="00143624" w:rsidRDefault="005B63A2" w:rsidP="005B63A2">
      <w:pPr>
        <w:pStyle w:val="Definition"/>
      </w:pPr>
      <w:r w:rsidRPr="00143624">
        <w:rPr>
          <w:b/>
          <w:i/>
        </w:rPr>
        <w:lastRenderedPageBreak/>
        <w:t>exercise period</w:t>
      </w:r>
      <w:r w:rsidRPr="00143624">
        <w:rPr>
          <w:b/>
        </w:rPr>
        <w:t xml:space="preserve"> </w:t>
      </w:r>
      <w:r w:rsidRPr="00143624">
        <w:t>for a right is the period, in months, from the particular day (referred to in section 83A</w:t>
      </w:r>
      <w:r w:rsidR="00143624">
        <w:noBreakHyphen/>
      </w:r>
      <w:r w:rsidRPr="00143624">
        <w:t>315.02) until the last day on which the right may be exercised.</w:t>
      </w:r>
    </w:p>
    <w:p w:rsidR="005B63A2" w:rsidRPr="00143624" w:rsidRDefault="005B63A2" w:rsidP="005B63A2">
      <w:pPr>
        <w:pStyle w:val="subsection"/>
      </w:pPr>
      <w:r w:rsidRPr="00143624">
        <w:tab/>
        <w:t>(2)</w:t>
      </w:r>
      <w:r w:rsidRPr="00143624">
        <w:tab/>
        <w:t xml:space="preserve">The following table sets out base percentages and additional percentages for the purposes of </w:t>
      </w:r>
      <w:r w:rsidR="002B1A95" w:rsidRPr="00143624">
        <w:t>subsection (</w:t>
      </w:r>
      <w:r w:rsidRPr="00143624">
        <w:t>1).</w:t>
      </w:r>
    </w:p>
    <w:p w:rsidR="005B63A2" w:rsidRPr="00143624" w:rsidRDefault="005B63A2" w:rsidP="005B63A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2293"/>
        <w:gridCol w:w="2966"/>
        <w:gridCol w:w="2595"/>
      </w:tblGrid>
      <w:tr w:rsidR="005B63A2" w:rsidRPr="00143624" w:rsidTr="005B63A2">
        <w:trPr>
          <w:tblHeader/>
        </w:trPr>
        <w:tc>
          <w:tcPr>
            <w:tcW w:w="5000" w:type="pct"/>
            <w:gridSpan w:val="4"/>
            <w:tcBorders>
              <w:top w:val="single" w:sz="12" w:space="0" w:color="auto"/>
              <w:bottom w:val="single" w:sz="2" w:space="0" w:color="auto"/>
            </w:tcBorders>
            <w:shd w:val="clear" w:color="auto" w:fill="auto"/>
          </w:tcPr>
          <w:p w:rsidR="005B63A2" w:rsidRPr="00143624" w:rsidRDefault="005B63A2" w:rsidP="005B63A2">
            <w:pPr>
              <w:pStyle w:val="TableHeading"/>
            </w:pPr>
            <w:r w:rsidRPr="00143624">
              <w:t>Base percentages and additional percentages</w:t>
            </w:r>
          </w:p>
        </w:tc>
      </w:tr>
      <w:tr w:rsidR="005B63A2" w:rsidRPr="00143624" w:rsidTr="005B63A2">
        <w:trPr>
          <w:tblHeader/>
        </w:trPr>
        <w:tc>
          <w:tcPr>
            <w:tcW w:w="396" w:type="pct"/>
            <w:tcBorders>
              <w:top w:val="single" w:sz="2" w:space="0" w:color="auto"/>
              <w:bottom w:val="single" w:sz="12" w:space="0" w:color="auto"/>
            </w:tcBorders>
            <w:shd w:val="clear" w:color="auto" w:fill="auto"/>
          </w:tcPr>
          <w:p w:rsidR="005B63A2" w:rsidRPr="00143624" w:rsidRDefault="005B63A2" w:rsidP="005B63A2">
            <w:pPr>
              <w:pStyle w:val="TableHeading"/>
            </w:pPr>
            <w:r w:rsidRPr="00143624">
              <w:t>Item</w:t>
            </w:r>
          </w:p>
        </w:tc>
        <w:tc>
          <w:tcPr>
            <w:tcW w:w="1344" w:type="pct"/>
            <w:tcBorders>
              <w:top w:val="single" w:sz="2" w:space="0" w:color="auto"/>
              <w:bottom w:val="single" w:sz="12" w:space="0" w:color="auto"/>
            </w:tcBorders>
            <w:shd w:val="clear" w:color="auto" w:fill="auto"/>
          </w:tcPr>
          <w:p w:rsidR="005B63A2" w:rsidRPr="00143624" w:rsidRDefault="005B63A2" w:rsidP="005B63A2">
            <w:pPr>
              <w:pStyle w:val="TableHeading"/>
            </w:pPr>
            <w:r w:rsidRPr="00143624">
              <w:t>Column 1</w:t>
            </w:r>
          </w:p>
          <w:p w:rsidR="005B63A2" w:rsidRPr="00143624" w:rsidRDefault="005B63A2" w:rsidP="005B63A2">
            <w:pPr>
              <w:pStyle w:val="TableHeading"/>
            </w:pPr>
            <w:r w:rsidRPr="00143624">
              <w:t>Exercise period (months)</w:t>
            </w:r>
          </w:p>
        </w:tc>
        <w:tc>
          <w:tcPr>
            <w:tcW w:w="1739" w:type="pct"/>
            <w:tcBorders>
              <w:top w:val="single" w:sz="2" w:space="0" w:color="auto"/>
              <w:bottom w:val="single" w:sz="12" w:space="0" w:color="auto"/>
            </w:tcBorders>
            <w:shd w:val="clear" w:color="auto" w:fill="auto"/>
          </w:tcPr>
          <w:p w:rsidR="005B63A2" w:rsidRPr="00143624" w:rsidRDefault="005B63A2" w:rsidP="005B63A2">
            <w:pPr>
              <w:pStyle w:val="TableHeading"/>
            </w:pPr>
            <w:r w:rsidRPr="00143624">
              <w:t>Column 2</w:t>
            </w:r>
          </w:p>
          <w:p w:rsidR="005B63A2" w:rsidRPr="00143624" w:rsidRDefault="005B63A2" w:rsidP="005B63A2">
            <w:pPr>
              <w:pStyle w:val="TableHeading"/>
            </w:pPr>
            <w:r w:rsidRPr="00143624">
              <w:t>Base percentage</w:t>
            </w:r>
          </w:p>
        </w:tc>
        <w:tc>
          <w:tcPr>
            <w:tcW w:w="1522" w:type="pct"/>
            <w:tcBorders>
              <w:top w:val="single" w:sz="2" w:space="0" w:color="auto"/>
              <w:bottom w:val="single" w:sz="12" w:space="0" w:color="auto"/>
            </w:tcBorders>
            <w:shd w:val="clear" w:color="auto" w:fill="auto"/>
          </w:tcPr>
          <w:p w:rsidR="005B63A2" w:rsidRPr="00143624" w:rsidRDefault="005B63A2" w:rsidP="005B63A2">
            <w:pPr>
              <w:pStyle w:val="TableHeading"/>
            </w:pPr>
            <w:r w:rsidRPr="00143624">
              <w:t>Column 3</w:t>
            </w:r>
          </w:p>
          <w:p w:rsidR="005B63A2" w:rsidRPr="00143624" w:rsidRDefault="005B63A2" w:rsidP="005B63A2">
            <w:pPr>
              <w:pStyle w:val="TableHeading"/>
            </w:pPr>
            <w:r w:rsidRPr="00143624">
              <w:t>Additional percentage</w:t>
            </w:r>
          </w:p>
        </w:tc>
      </w:tr>
      <w:tr w:rsidR="005B63A2" w:rsidRPr="00143624" w:rsidTr="005B63A2">
        <w:tc>
          <w:tcPr>
            <w:tcW w:w="396" w:type="pct"/>
            <w:tcBorders>
              <w:top w:val="single" w:sz="12" w:space="0" w:color="auto"/>
            </w:tcBorders>
            <w:shd w:val="clear" w:color="auto" w:fill="auto"/>
          </w:tcPr>
          <w:p w:rsidR="005B63A2" w:rsidRPr="00143624" w:rsidRDefault="005B63A2" w:rsidP="005B63A2">
            <w:pPr>
              <w:pStyle w:val="Tabletext"/>
            </w:pPr>
            <w:r w:rsidRPr="00143624">
              <w:t>1</w:t>
            </w:r>
          </w:p>
        </w:tc>
        <w:tc>
          <w:tcPr>
            <w:tcW w:w="1344" w:type="pct"/>
            <w:tcBorders>
              <w:top w:val="single" w:sz="12" w:space="0" w:color="auto"/>
            </w:tcBorders>
            <w:shd w:val="clear" w:color="auto" w:fill="auto"/>
          </w:tcPr>
          <w:p w:rsidR="005B63A2" w:rsidRPr="00143624" w:rsidRDefault="005B63A2" w:rsidP="005B63A2">
            <w:pPr>
              <w:pStyle w:val="Tabletext"/>
            </w:pPr>
            <w:r w:rsidRPr="00143624">
              <w:t>168 to 180</w:t>
            </w:r>
          </w:p>
        </w:tc>
        <w:tc>
          <w:tcPr>
            <w:tcW w:w="1739" w:type="pct"/>
            <w:tcBorders>
              <w:top w:val="single" w:sz="12" w:space="0" w:color="auto"/>
            </w:tcBorders>
            <w:shd w:val="clear" w:color="auto" w:fill="auto"/>
          </w:tcPr>
          <w:p w:rsidR="005B63A2" w:rsidRPr="00143624" w:rsidRDefault="005B63A2" w:rsidP="005B63A2">
            <w:pPr>
              <w:pStyle w:val="Tabletext"/>
            </w:pPr>
            <w:r w:rsidRPr="00143624">
              <w:t>13.3%</w:t>
            </w:r>
          </w:p>
        </w:tc>
        <w:tc>
          <w:tcPr>
            <w:tcW w:w="1522" w:type="pct"/>
            <w:tcBorders>
              <w:top w:val="single" w:sz="12" w:space="0" w:color="auto"/>
            </w:tcBorders>
            <w:shd w:val="clear" w:color="auto" w:fill="auto"/>
          </w:tcPr>
          <w:p w:rsidR="005B63A2" w:rsidRPr="00143624" w:rsidRDefault="005B63A2" w:rsidP="005B63A2">
            <w:pPr>
              <w:pStyle w:val="Tabletext"/>
            </w:pPr>
            <w:r w:rsidRPr="00143624">
              <w:t>0.5%</w:t>
            </w:r>
          </w:p>
        </w:tc>
      </w:tr>
      <w:tr w:rsidR="005B63A2" w:rsidRPr="00143624" w:rsidTr="005B63A2">
        <w:tc>
          <w:tcPr>
            <w:tcW w:w="396" w:type="pct"/>
            <w:shd w:val="clear" w:color="auto" w:fill="auto"/>
          </w:tcPr>
          <w:p w:rsidR="005B63A2" w:rsidRPr="00143624" w:rsidRDefault="005B63A2" w:rsidP="005B63A2">
            <w:pPr>
              <w:pStyle w:val="Tabletext"/>
            </w:pPr>
            <w:r w:rsidRPr="00143624">
              <w:t>2</w:t>
            </w:r>
          </w:p>
        </w:tc>
        <w:tc>
          <w:tcPr>
            <w:tcW w:w="1344" w:type="pct"/>
            <w:shd w:val="clear" w:color="auto" w:fill="auto"/>
          </w:tcPr>
          <w:p w:rsidR="005B63A2" w:rsidRPr="00143624" w:rsidRDefault="005B63A2" w:rsidP="005B63A2">
            <w:pPr>
              <w:pStyle w:val="Tabletext"/>
            </w:pPr>
            <w:r w:rsidRPr="00143624">
              <w:t>156 to 168</w:t>
            </w:r>
          </w:p>
        </w:tc>
        <w:tc>
          <w:tcPr>
            <w:tcW w:w="1739" w:type="pct"/>
            <w:shd w:val="clear" w:color="auto" w:fill="auto"/>
          </w:tcPr>
          <w:p w:rsidR="005B63A2" w:rsidRPr="00143624" w:rsidRDefault="005B63A2" w:rsidP="005B63A2">
            <w:pPr>
              <w:pStyle w:val="Tabletext"/>
            </w:pPr>
            <w:r w:rsidRPr="00143624">
              <w:t>13.3%</w:t>
            </w:r>
          </w:p>
        </w:tc>
        <w:tc>
          <w:tcPr>
            <w:tcW w:w="1522" w:type="pct"/>
            <w:shd w:val="clear" w:color="auto" w:fill="auto"/>
          </w:tcPr>
          <w:p w:rsidR="005B63A2" w:rsidRPr="00143624" w:rsidRDefault="005B63A2" w:rsidP="005B63A2">
            <w:pPr>
              <w:pStyle w:val="Tabletext"/>
            </w:pPr>
            <w:r w:rsidRPr="00143624">
              <w:t>0.5%</w:t>
            </w:r>
          </w:p>
        </w:tc>
      </w:tr>
      <w:tr w:rsidR="005B63A2" w:rsidRPr="00143624" w:rsidTr="005B63A2">
        <w:tc>
          <w:tcPr>
            <w:tcW w:w="396" w:type="pct"/>
            <w:shd w:val="clear" w:color="auto" w:fill="auto"/>
          </w:tcPr>
          <w:p w:rsidR="005B63A2" w:rsidRPr="00143624" w:rsidRDefault="005B63A2" w:rsidP="005B63A2">
            <w:pPr>
              <w:pStyle w:val="Tabletext"/>
            </w:pPr>
            <w:r w:rsidRPr="00143624">
              <w:t>3</w:t>
            </w:r>
          </w:p>
        </w:tc>
        <w:tc>
          <w:tcPr>
            <w:tcW w:w="1344" w:type="pct"/>
            <w:shd w:val="clear" w:color="auto" w:fill="auto"/>
          </w:tcPr>
          <w:p w:rsidR="005B63A2" w:rsidRPr="00143624" w:rsidRDefault="005B63A2" w:rsidP="005B63A2">
            <w:pPr>
              <w:pStyle w:val="Tabletext"/>
            </w:pPr>
            <w:r w:rsidRPr="00143624">
              <w:t>144 to 156</w:t>
            </w:r>
          </w:p>
        </w:tc>
        <w:tc>
          <w:tcPr>
            <w:tcW w:w="1739" w:type="pct"/>
            <w:shd w:val="clear" w:color="auto" w:fill="auto"/>
          </w:tcPr>
          <w:p w:rsidR="005B63A2" w:rsidRPr="00143624" w:rsidRDefault="005B63A2" w:rsidP="005B63A2">
            <w:pPr>
              <w:pStyle w:val="Tabletext"/>
            </w:pPr>
            <w:r w:rsidRPr="00143624">
              <w:t>13.3%</w:t>
            </w:r>
          </w:p>
        </w:tc>
        <w:tc>
          <w:tcPr>
            <w:tcW w:w="1522" w:type="pct"/>
            <w:shd w:val="clear" w:color="auto" w:fill="auto"/>
          </w:tcPr>
          <w:p w:rsidR="005B63A2" w:rsidRPr="00143624" w:rsidRDefault="005B63A2" w:rsidP="005B63A2">
            <w:pPr>
              <w:pStyle w:val="Tabletext"/>
            </w:pPr>
            <w:r w:rsidRPr="00143624">
              <w:t>0.5%</w:t>
            </w:r>
          </w:p>
        </w:tc>
      </w:tr>
      <w:tr w:rsidR="005B63A2" w:rsidRPr="00143624" w:rsidTr="005B63A2">
        <w:tc>
          <w:tcPr>
            <w:tcW w:w="396" w:type="pct"/>
            <w:shd w:val="clear" w:color="auto" w:fill="auto"/>
          </w:tcPr>
          <w:p w:rsidR="005B63A2" w:rsidRPr="00143624" w:rsidRDefault="005B63A2" w:rsidP="005B63A2">
            <w:pPr>
              <w:pStyle w:val="Tabletext"/>
            </w:pPr>
            <w:r w:rsidRPr="00143624">
              <w:t>4</w:t>
            </w:r>
          </w:p>
        </w:tc>
        <w:tc>
          <w:tcPr>
            <w:tcW w:w="1344" w:type="pct"/>
            <w:shd w:val="clear" w:color="auto" w:fill="auto"/>
          </w:tcPr>
          <w:p w:rsidR="005B63A2" w:rsidRPr="00143624" w:rsidRDefault="005B63A2" w:rsidP="005B63A2">
            <w:pPr>
              <w:pStyle w:val="Tabletext"/>
            </w:pPr>
            <w:r w:rsidRPr="00143624">
              <w:t>132 to 144</w:t>
            </w:r>
          </w:p>
        </w:tc>
        <w:tc>
          <w:tcPr>
            <w:tcW w:w="1739" w:type="pct"/>
            <w:shd w:val="clear" w:color="auto" w:fill="auto"/>
          </w:tcPr>
          <w:p w:rsidR="005B63A2" w:rsidRPr="00143624" w:rsidRDefault="005B63A2" w:rsidP="005B63A2">
            <w:pPr>
              <w:pStyle w:val="Tabletext"/>
            </w:pPr>
            <w:r w:rsidRPr="00143624">
              <w:t>13.3%</w:t>
            </w:r>
          </w:p>
        </w:tc>
        <w:tc>
          <w:tcPr>
            <w:tcW w:w="1522" w:type="pct"/>
            <w:shd w:val="clear" w:color="auto" w:fill="auto"/>
          </w:tcPr>
          <w:p w:rsidR="005B63A2" w:rsidRPr="00143624" w:rsidRDefault="005B63A2" w:rsidP="005B63A2">
            <w:pPr>
              <w:pStyle w:val="Tabletext"/>
            </w:pPr>
            <w:r w:rsidRPr="00143624">
              <w:t>0.6%</w:t>
            </w:r>
          </w:p>
        </w:tc>
      </w:tr>
      <w:tr w:rsidR="005B63A2" w:rsidRPr="00143624" w:rsidTr="005B63A2">
        <w:tc>
          <w:tcPr>
            <w:tcW w:w="396" w:type="pct"/>
            <w:shd w:val="clear" w:color="auto" w:fill="auto"/>
          </w:tcPr>
          <w:p w:rsidR="005B63A2" w:rsidRPr="00143624" w:rsidRDefault="005B63A2" w:rsidP="005B63A2">
            <w:pPr>
              <w:pStyle w:val="Tabletext"/>
            </w:pPr>
            <w:r w:rsidRPr="00143624">
              <w:t>5</w:t>
            </w:r>
          </w:p>
        </w:tc>
        <w:tc>
          <w:tcPr>
            <w:tcW w:w="1344" w:type="pct"/>
            <w:shd w:val="clear" w:color="auto" w:fill="auto"/>
          </w:tcPr>
          <w:p w:rsidR="005B63A2" w:rsidRPr="00143624" w:rsidRDefault="005B63A2" w:rsidP="005B63A2">
            <w:pPr>
              <w:pStyle w:val="Tabletext"/>
            </w:pPr>
            <w:r w:rsidRPr="00143624">
              <w:t>120 to 132</w:t>
            </w:r>
          </w:p>
        </w:tc>
        <w:tc>
          <w:tcPr>
            <w:tcW w:w="1739" w:type="pct"/>
            <w:shd w:val="clear" w:color="auto" w:fill="auto"/>
          </w:tcPr>
          <w:p w:rsidR="005B63A2" w:rsidRPr="00143624" w:rsidRDefault="005B63A2" w:rsidP="005B63A2">
            <w:pPr>
              <w:pStyle w:val="Tabletext"/>
            </w:pPr>
            <w:r w:rsidRPr="00143624">
              <w:t>13.3%</w:t>
            </w:r>
          </w:p>
        </w:tc>
        <w:tc>
          <w:tcPr>
            <w:tcW w:w="1522" w:type="pct"/>
            <w:shd w:val="clear" w:color="auto" w:fill="auto"/>
          </w:tcPr>
          <w:p w:rsidR="005B63A2" w:rsidRPr="00143624" w:rsidRDefault="005B63A2" w:rsidP="005B63A2">
            <w:pPr>
              <w:pStyle w:val="Tabletext"/>
            </w:pPr>
            <w:r w:rsidRPr="00143624">
              <w:t>0.6%</w:t>
            </w:r>
          </w:p>
        </w:tc>
      </w:tr>
      <w:tr w:rsidR="005B63A2" w:rsidRPr="00143624" w:rsidTr="005B63A2">
        <w:tc>
          <w:tcPr>
            <w:tcW w:w="396" w:type="pct"/>
            <w:shd w:val="clear" w:color="auto" w:fill="auto"/>
          </w:tcPr>
          <w:p w:rsidR="005B63A2" w:rsidRPr="00143624" w:rsidRDefault="005B63A2" w:rsidP="005B63A2">
            <w:pPr>
              <w:pStyle w:val="Tabletext"/>
            </w:pPr>
            <w:r w:rsidRPr="00143624">
              <w:t>6</w:t>
            </w:r>
          </w:p>
        </w:tc>
        <w:tc>
          <w:tcPr>
            <w:tcW w:w="1344" w:type="pct"/>
            <w:shd w:val="clear" w:color="auto" w:fill="auto"/>
          </w:tcPr>
          <w:p w:rsidR="005B63A2" w:rsidRPr="00143624" w:rsidRDefault="005B63A2" w:rsidP="005B63A2">
            <w:pPr>
              <w:pStyle w:val="Tabletext"/>
            </w:pPr>
            <w:r w:rsidRPr="00143624">
              <w:t>108 to 120</w:t>
            </w:r>
          </w:p>
        </w:tc>
        <w:tc>
          <w:tcPr>
            <w:tcW w:w="1739" w:type="pct"/>
            <w:shd w:val="clear" w:color="auto" w:fill="auto"/>
          </w:tcPr>
          <w:p w:rsidR="005B63A2" w:rsidRPr="00143624" w:rsidRDefault="005B63A2" w:rsidP="005B63A2">
            <w:pPr>
              <w:pStyle w:val="Tabletext"/>
            </w:pPr>
            <w:r w:rsidRPr="00143624">
              <w:t>13.3%</w:t>
            </w:r>
          </w:p>
        </w:tc>
        <w:tc>
          <w:tcPr>
            <w:tcW w:w="1522" w:type="pct"/>
            <w:shd w:val="clear" w:color="auto" w:fill="auto"/>
          </w:tcPr>
          <w:p w:rsidR="005B63A2" w:rsidRPr="00143624" w:rsidRDefault="005B63A2" w:rsidP="005B63A2">
            <w:pPr>
              <w:pStyle w:val="Tabletext"/>
            </w:pPr>
            <w:r w:rsidRPr="00143624">
              <w:t>0.6%</w:t>
            </w:r>
          </w:p>
        </w:tc>
      </w:tr>
      <w:tr w:rsidR="005B63A2" w:rsidRPr="00143624" w:rsidTr="005B63A2">
        <w:tc>
          <w:tcPr>
            <w:tcW w:w="396" w:type="pct"/>
            <w:shd w:val="clear" w:color="auto" w:fill="auto"/>
          </w:tcPr>
          <w:p w:rsidR="005B63A2" w:rsidRPr="00143624" w:rsidRDefault="005B63A2" w:rsidP="005B63A2">
            <w:pPr>
              <w:pStyle w:val="Tabletext"/>
            </w:pPr>
            <w:r w:rsidRPr="00143624">
              <w:t>7</w:t>
            </w:r>
          </w:p>
        </w:tc>
        <w:tc>
          <w:tcPr>
            <w:tcW w:w="1344" w:type="pct"/>
            <w:shd w:val="clear" w:color="auto" w:fill="auto"/>
          </w:tcPr>
          <w:p w:rsidR="005B63A2" w:rsidRPr="00143624" w:rsidRDefault="005B63A2" w:rsidP="005B63A2">
            <w:pPr>
              <w:pStyle w:val="Tabletext"/>
            </w:pPr>
            <w:r w:rsidRPr="00143624">
              <w:t>96 to 108</w:t>
            </w:r>
          </w:p>
        </w:tc>
        <w:tc>
          <w:tcPr>
            <w:tcW w:w="1739" w:type="pct"/>
            <w:shd w:val="clear" w:color="auto" w:fill="auto"/>
          </w:tcPr>
          <w:p w:rsidR="005B63A2" w:rsidRPr="00143624" w:rsidRDefault="005B63A2" w:rsidP="005B63A2">
            <w:pPr>
              <w:pStyle w:val="Tabletext"/>
            </w:pPr>
            <w:r w:rsidRPr="00143624">
              <w:t>13.2%</w:t>
            </w:r>
          </w:p>
        </w:tc>
        <w:tc>
          <w:tcPr>
            <w:tcW w:w="1522" w:type="pct"/>
            <w:shd w:val="clear" w:color="auto" w:fill="auto"/>
          </w:tcPr>
          <w:p w:rsidR="005B63A2" w:rsidRPr="00143624" w:rsidRDefault="005B63A2" w:rsidP="005B63A2">
            <w:pPr>
              <w:pStyle w:val="Tabletext"/>
            </w:pPr>
            <w:r w:rsidRPr="00143624">
              <w:t>0.6%</w:t>
            </w:r>
          </w:p>
        </w:tc>
      </w:tr>
      <w:tr w:rsidR="005B63A2" w:rsidRPr="00143624" w:rsidTr="005B63A2">
        <w:tc>
          <w:tcPr>
            <w:tcW w:w="396" w:type="pct"/>
            <w:shd w:val="clear" w:color="auto" w:fill="auto"/>
          </w:tcPr>
          <w:p w:rsidR="005B63A2" w:rsidRPr="00143624" w:rsidRDefault="005B63A2" w:rsidP="005B63A2">
            <w:pPr>
              <w:pStyle w:val="Tabletext"/>
            </w:pPr>
            <w:r w:rsidRPr="00143624">
              <w:t>8</w:t>
            </w:r>
          </w:p>
        </w:tc>
        <w:tc>
          <w:tcPr>
            <w:tcW w:w="1344" w:type="pct"/>
            <w:shd w:val="clear" w:color="auto" w:fill="auto"/>
          </w:tcPr>
          <w:p w:rsidR="005B63A2" w:rsidRPr="00143624" w:rsidRDefault="005B63A2" w:rsidP="005B63A2">
            <w:pPr>
              <w:pStyle w:val="Tabletext"/>
            </w:pPr>
            <w:r w:rsidRPr="00143624">
              <w:t>84 to 96</w:t>
            </w:r>
          </w:p>
        </w:tc>
        <w:tc>
          <w:tcPr>
            <w:tcW w:w="1739" w:type="pct"/>
            <w:shd w:val="clear" w:color="auto" w:fill="auto"/>
          </w:tcPr>
          <w:p w:rsidR="005B63A2" w:rsidRPr="00143624" w:rsidRDefault="005B63A2" w:rsidP="005B63A2">
            <w:pPr>
              <w:pStyle w:val="Tabletext"/>
            </w:pPr>
            <w:r w:rsidRPr="00143624">
              <w:t>13.0%</w:t>
            </w:r>
          </w:p>
        </w:tc>
        <w:tc>
          <w:tcPr>
            <w:tcW w:w="1522" w:type="pct"/>
            <w:shd w:val="clear" w:color="auto" w:fill="auto"/>
          </w:tcPr>
          <w:p w:rsidR="005B63A2" w:rsidRPr="00143624" w:rsidRDefault="005B63A2" w:rsidP="005B63A2">
            <w:pPr>
              <w:pStyle w:val="Tabletext"/>
            </w:pPr>
            <w:r w:rsidRPr="00143624">
              <w:t>0.6%</w:t>
            </w:r>
          </w:p>
        </w:tc>
      </w:tr>
      <w:tr w:rsidR="005B63A2" w:rsidRPr="00143624" w:rsidTr="005B63A2">
        <w:tc>
          <w:tcPr>
            <w:tcW w:w="396" w:type="pct"/>
            <w:shd w:val="clear" w:color="auto" w:fill="auto"/>
          </w:tcPr>
          <w:p w:rsidR="005B63A2" w:rsidRPr="00143624" w:rsidRDefault="005B63A2" w:rsidP="005B63A2">
            <w:pPr>
              <w:pStyle w:val="Tabletext"/>
            </w:pPr>
            <w:r w:rsidRPr="00143624">
              <w:t>9</w:t>
            </w:r>
          </w:p>
        </w:tc>
        <w:tc>
          <w:tcPr>
            <w:tcW w:w="1344" w:type="pct"/>
            <w:shd w:val="clear" w:color="auto" w:fill="auto"/>
          </w:tcPr>
          <w:p w:rsidR="005B63A2" w:rsidRPr="00143624" w:rsidRDefault="005B63A2" w:rsidP="005B63A2">
            <w:pPr>
              <w:pStyle w:val="Tabletext"/>
            </w:pPr>
            <w:r w:rsidRPr="00143624">
              <w:t>72 to 84</w:t>
            </w:r>
          </w:p>
        </w:tc>
        <w:tc>
          <w:tcPr>
            <w:tcW w:w="1739" w:type="pct"/>
            <w:shd w:val="clear" w:color="auto" w:fill="auto"/>
          </w:tcPr>
          <w:p w:rsidR="005B63A2" w:rsidRPr="00143624" w:rsidRDefault="005B63A2" w:rsidP="005B63A2">
            <w:pPr>
              <w:pStyle w:val="Tabletext"/>
            </w:pPr>
            <w:r w:rsidRPr="00143624">
              <w:t>12.8%</w:t>
            </w:r>
          </w:p>
        </w:tc>
        <w:tc>
          <w:tcPr>
            <w:tcW w:w="1522" w:type="pct"/>
            <w:shd w:val="clear" w:color="auto" w:fill="auto"/>
          </w:tcPr>
          <w:p w:rsidR="005B63A2" w:rsidRPr="00143624" w:rsidRDefault="005B63A2" w:rsidP="005B63A2">
            <w:pPr>
              <w:pStyle w:val="Tabletext"/>
            </w:pPr>
            <w:r w:rsidRPr="00143624">
              <w:t>0.7%</w:t>
            </w:r>
          </w:p>
        </w:tc>
      </w:tr>
      <w:tr w:rsidR="005B63A2" w:rsidRPr="00143624" w:rsidTr="005B63A2">
        <w:tc>
          <w:tcPr>
            <w:tcW w:w="396" w:type="pct"/>
            <w:shd w:val="clear" w:color="auto" w:fill="auto"/>
          </w:tcPr>
          <w:p w:rsidR="005B63A2" w:rsidRPr="00143624" w:rsidRDefault="005B63A2" w:rsidP="005B63A2">
            <w:pPr>
              <w:pStyle w:val="Tabletext"/>
            </w:pPr>
            <w:r w:rsidRPr="00143624">
              <w:t>10</w:t>
            </w:r>
          </w:p>
        </w:tc>
        <w:tc>
          <w:tcPr>
            <w:tcW w:w="1344" w:type="pct"/>
            <w:shd w:val="clear" w:color="auto" w:fill="auto"/>
          </w:tcPr>
          <w:p w:rsidR="005B63A2" w:rsidRPr="00143624" w:rsidRDefault="005B63A2" w:rsidP="005B63A2">
            <w:pPr>
              <w:pStyle w:val="Tabletext"/>
            </w:pPr>
            <w:r w:rsidRPr="00143624">
              <w:t>60 to 72</w:t>
            </w:r>
          </w:p>
        </w:tc>
        <w:tc>
          <w:tcPr>
            <w:tcW w:w="1739" w:type="pct"/>
            <w:shd w:val="clear" w:color="auto" w:fill="auto"/>
          </w:tcPr>
          <w:p w:rsidR="005B63A2" w:rsidRPr="00143624" w:rsidRDefault="005B63A2" w:rsidP="005B63A2">
            <w:pPr>
              <w:pStyle w:val="Tabletext"/>
            </w:pPr>
            <w:r w:rsidRPr="00143624">
              <w:t>12.5%</w:t>
            </w:r>
          </w:p>
        </w:tc>
        <w:tc>
          <w:tcPr>
            <w:tcW w:w="1522" w:type="pct"/>
            <w:shd w:val="clear" w:color="auto" w:fill="auto"/>
          </w:tcPr>
          <w:p w:rsidR="005B63A2" w:rsidRPr="00143624" w:rsidRDefault="005B63A2" w:rsidP="005B63A2">
            <w:pPr>
              <w:pStyle w:val="Tabletext"/>
            </w:pPr>
            <w:r w:rsidRPr="00143624">
              <w:t>0.7%</w:t>
            </w:r>
          </w:p>
        </w:tc>
      </w:tr>
      <w:tr w:rsidR="005B63A2" w:rsidRPr="00143624" w:rsidTr="005B63A2">
        <w:tc>
          <w:tcPr>
            <w:tcW w:w="396" w:type="pct"/>
            <w:shd w:val="clear" w:color="auto" w:fill="auto"/>
          </w:tcPr>
          <w:p w:rsidR="005B63A2" w:rsidRPr="00143624" w:rsidRDefault="005B63A2" w:rsidP="005B63A2">
            <w:pPr>
              <w:pStyle w:val="Tabletext"/>
            </w:pPr>
            <w:r w:rsidRPr="00143624">
              <w:t>11</w:t>
            </w:r>
          </w:p>
        </w:tc>
        <w:tc>
          <w:tcPr>
            <w:tcW w:w="1344" w:type="pct"/>
            <w:shd w:val="clear" w:color="auto" w:fill="auto"/>
          </w:tcPr>
          <w:p w:rsidR="005B63A2" w:rsidRPr="00143624" w:rsidRDefault="005B63A2" w:rsidP="005B63A2">
            <w:pPr>
              <w:pStyle w:val="Tabletext"/>
            </w:pPr>
            <w:r w:rsidRPr="00143624">
              <w:t>48 to 60</w:t>
            </w:r>
          </w:p>
        </w:tc>
        <w:tc>
          <w:tcPr>
            <w:tcW w:w="1739" w:type="pct"/>
            <w:shd w:val="clear" w:color="auto" w:fill="auto"/>
          </w:tcPr>
          <w:p w:rsidR="005B63A2" w:rsidRPr="00143624" w:rsidRDefault="005B63A2" w:rsidP="005B63A2">
            <w:pPr>
              <w:pStyle w:val="Tabletext"/>
            </w:pPr>
            <w:r w:rsidRPr="00143624">
              <w:t>12.1%</w:t>
            </w:r>
          </w:p>
        </w:tc>
        <w:tc>
          <w:tcPr>
            <w:tcW w:w="1522" w:type="pct"/>
            <w:shd w:val="clear" w:color="auto" w:fill="auto"/>
          </w:tcPr>
          <w:p w:rsidR="005B63A2" w:rsidRPr="00143624" w:rsidRDefault="005B63A2" w:rsidP="005B63A2">
            <w:pPr>
              <w:pStyle w:val="Tabletext"/>
            </w:pPr>
            <w:r w:rsidRPr="00143624">
              <w:t>0.7%</w:t>
            </w:r>
          </w:p>
        </w:tc>
      </w:tr>
      <w:tr w:rsidR="005B63A2" w:rsidRPr="00143624" w:rsidTr="005B63A2">
        <w:tc>
          <w:tcPr>
            <w:tcW w:w="396" w:type="pct"/>
            <w:shd w:val="clear" w:color="auto" w:fill="auto"/>
          </w:tcPr>
          <w:p w:rsidR="005B63A2" w:rsidRPr="00143624" w:rsidRDefault="005B63A2" w:rsidP="005B63A2">
            <w:pPr>
              <w:pStyle w:val="Tabletext"/>
            </w:pPr>
            <w:r w:rsidRPr="00143624">
              <w:t>12</w:t>
            </w:r>
          </w:p>
        </w:tc>
        <w:tc>
          <w:tcPr>
            <w:tcW w:w="1344" w:type="pct"/>
            <w:shd w:val="clear" w:color="auto" w:fill="auto"/>
          </w:tcPr>
          <w:p w:rsidR="005B63A2" w:rsidRPr="00143624" w:rsidRDefault="005B63A2" w:rsidP="005B63A2">
            <w:pPr>
              <w:pStyle w:val="Tabletext"/>
            </w:pPr>
            <w:r w:rsidRPr="00143624">
              <w:t>36 to 48</w:t>
            </w:r>
          </w:p>
        </w:tc>
        <w:tc>
          <w:tcPr>
            <w:tcW w:w="1739" w:type="pct"/>
            <w:shd w:val="clear" w:color="auto" w:fill="auto"/>
          </w:tcPr>
          <w:p w:rsidR="005B63A2" w:rsidRPr="00143624" w:rsidRDefault="005B63A2" w:rsidP="005B63A2">
            <w:pPr>
              <w:pStyle w:val="Tabletext"/>
            </w:pPr>
            <w:r w:rsidRPr="00143624">
              <w:t>11.4%</w:t>
            </w:r>
          </w:p>
        </w:tc>
        <w:tc>
          <w:tcPr>
            <w:tcW w:w="1522" w:type="pct"/>
            <w:shd w:val="clear" w:color="auto" w:fill="auto"/>
          </w:tcPr>
          <w:p w:rsidR="005B63A2" w:rsidRPr="00143624" w:rsidRDefault="005B63A2" w:rsidP="005B63A2">
            <w:pPr>
              <w:pStyle w:val="Tabletext"/>
            </w:pPr>
            <w:r w:rsidRPr="00143624">
              <w:t>0.8%</w:t>
            </w:r>
          </w:p>
        </w:tc>
      </w:tr>
      <w:tr w:rsidR="005B63A2" w:rsidRPr="00143624" w:rsidTr="005B63A2">
        <w:tc>
          <w:tcPr>
            <w:tcW w:w="396" w:type="pct"/>
            <w:shd w:val="clear" w:color="auto" w:fill="auto"/>
          </w:tcPr>
          <w:p w:rsidR="005B63A2" w:rsidRPr="00143624" w:rsidRDefault="005B63A2" w:rsidP="005B63A2">
            <w:pPr>
              <w:pStyle w:val="Tabletext"/>
            </w:pPr>
            <w:r w:rsidRPr="00143624">
              <w:t>13</w:t>
            </w:r>
          </w:p>
        </w:tc>
        <w:tc>
          <w:tcPr>
            <w:tcW w:w="1344" w:type="pct"/>
            <w:shd w:val="clear" w:color="auto" w:fill="auto"/>
          </w:tcPr>
          <w:p w:rsidR="005B63A2" w:rsidRPr="00143624" w:rsidRDefault="005B63A2" w:rsidP="005B63A2">
            <w:pPr>
              <w:pStyle w:val="Tabletext"/>
            </w:pPr>
            <w:r w:rsidRPr="00143624">
              <w:t>24 to 36</w:t>
            </w:r>
          </w:p>
        </w:tc>
        <w:tc>
          <w:tcPr>
            <w:tcW w:w="1739" w:type="pct"/>
            <w:shd w:val="clear" w:color="auto" w:fill="auto"/>
          </w:tcPr>
          <w:p w:rsidR="005B63A2" w:rsidRPr="00143624" w:rsidRDefault="005B63A2" w:rsidP="005B63A2">
            <w:pPr>
              <w:pStyle w:val="Tabletext"/>
            </w:pPr>
            <w:r w:rsidRPr="00143624">
              <w:t>10.5%</w:t>
            </w:r>
          </w:p>
        </w:tc>
        <w:tc>
          <w:tcPr>
            <w:tcW w:w="1522" w:type="pct"/>
            <w:shd w:val="clear" w:color="auto" w:fill="auto"/>
          </w:tcPr>
          <w:p w:rsidR="005B63A2" w:rsidRPr="00143624" w:rsidRDefault="005B63A2" w:rsidP="005B63A2">
            <w:pPr>
              <w:pStyle w:val="Tabletext"/>
            </w:pPr>
            <w:r w:rsidRPr="00143624">
              <w:t>0.8%</w:t>
            </w:r>
          </w:p>
        </w:tc>
      </w:tr>
      <w:tr w:rsidR="005B63A2" w:rsidRPr="00143624" w:rsidTr="005B63A2">
        <w:tc>
          <w:tcPr>
            <w:tcW w:w="396" w:type="pct"/>
            <w:shd w:val="clear" w:color="auto" w:fill="auto"/>
          </w:tcPr>
          <w:p w:rsidR="005B63A2" w:rsidRPr="00143624" w:rsidRDefault="005B63A2" w:rsidP="005B63A2">
            <w:pPr>
              <w:pStyle w:val="Tabletext"/>
            </w:pPr>
            <w:r w:rsidRPr="00143624">
              <w:t>14</w:t>
            </w:r>
          </w:p>
        </w:tc>
        <w:tc>
          <w:tcPr>
            <w:tcW w:w="1344" w:type="pct"/>
            <w:shd w:val="clear" w:color="auto" w:fill="auto"/>
          </w:tcPr>
          <w:p w:rsidR="005B63A2" w:rsidRPr="00143624" w:rsidRDefault="005B63A2" w:rsidP="005B63A2">
            <w:pPr>
              <w:pStyle w:val="Tabletext"/>
            </w:pPr>
            <w:r w:rsidRPr="00143624">
              <w:t>18 to 24</w:t>
            </w:r>
          </w:p>
        </w:tc>
        <w:tc>
          <w:tcPr>
            <w:tcW w:w="1739" w:type="pct"/>
            <w:shd w:val="clear" w:color="auto" w:fill="auto"/>
          </w:tcPr>
          <w:p w:rsidR="005B63A2" w:rsidRPr="00143624" w:rsidRDefault="005B63A2" w:rsidP="005B63A2">
            <w:pPr>
              <w:pStyle w:val="Tabletext"/>
            </w:pPr>
            <w:r w:rsidRPr="00143624">
              <w:t>9.9%</w:t>
            </w:r>
          </w:p>
        </w:tc>
        <w:tc>
          <w:tcPr>
            <w:tcW w:w="1522" w:type="pct"/>
            <w:shd w:val="clear" w:color="auto" w:fill="auto"/>
          </w:tcPr>
          <w:p w:rsidR="005B63A2" w:rsidRPr="00143624" w:rsidRDefault="005B63A2" w:rsidP="005B63A2">
            <w:pPr>
              <w:pStyle w:val="Tabletext"/>
            </w:pPr>
            <w:r w:rsidRPr="00143624">
              <w:t>0.8%</w:t>
            </w:r>
          </w:p>
        </w:tc>
      </w:tr>
      <w:tr w:rsidR="005B63A2" w:rsidRPr="00143624" w:rsidTr="005B63A2">
        <w:tc>
          <w:tcPr>
            <w:tcW w:w="396" w:type="pct"/>
            <w:shd w:val="clear" w:color="auto" w:fill="auto"/>
          </w:tcPr>
          <w:p w:rsidR="005B63A2" w:rsidRPr="00143624" w:rsidRDefault="005B63A2" w:rsidP="005B63A2">
            <w:pPr>
              <w:pStyle w:val="Tabletext"/>
            </w:pPr>
            <w:r w:rsidRPr="00143624">
              <w:t>15</w:t>
            </w:r>
          </w:p>
        </w:tc>
        <w:tc>
          <w:tcPr>
            <w:tcW w:w="1344" w:type="pct"/>
            <w:shd w:val="clear" w:color="auto" w:fill="auto"/>
          </w:tcPr>
          <w:p w:rsidR="005B63A2" w:rsidRPr="00143624" w:rsidRDefault="005B63A2" w:rsidP="005B63A2">
            <w:pPr>
              <w:pStyle w:val="Tabletext"/>
            </w:pPr>
            <w:r w:rsidRPr="00143624">
              <w:t>12 to 18</w:t>
            </w:r>
          </w:p>
        </w:tc>
        <w:tc>
          <w:tcPr>
            <w:tcW w:w="1739" w:type="pct"/>
            <w:shd w:val="clear" w:color="auto" w:fill="auto"/>
          </w:tcPr>
          <w:p w:rsidR="005B63A2" w:rsidRPr="00143624" w:rsidRDefault="005B63A2" w:rsidP="005B63A2">
            <w:pPr>
              <w:pStyle w:val="Tabletext"/>
            </w:pPr>
            <w:r w:rsidRPr="00143624">
              <w:t>9.2%</w:t>
            </w:r>
          </w:p>
        </w:tc>
        <w:tc>
          <w:tcPr>
            <w:tcW w:w="1522" w:type="pct"/>
            <w:shd w:val="clear" w:color="auto" w:fill="auto"/>
          </w:tcPr>
          <w:p w:rsidR="005B63A2" w:rsidRPr="00143624" w:rsidRDefault="005B63A2" w:rsidP="005B63A2">
            <w:pPr>
              <w:pStyle w:val="Tabletext"/>
            </w:pPr>
            <w:r w:rsidRPr="00143624">
              <w:t>0.9%</w:t>
            </w:r>
          </w:p>
        </w:tc>
      </w:tr>
      <w:tr w:rsidR="005B63A2" w:rsidRPr="00143624" w:rsidTr="005B63A2">
        <w:tc>
          <w:tcPr>
            <w:tcW w:w="396" w:type="pct"/>
            <w:shd w:val="clear" w:color="auto" w:fill="auto"/>
          </w:tcPr>
          <w:p w:rsidR="005B63A2" w:rsidRPr="00143624" w:rsidRDefault="005B63A2" w:rsidP="005B63A2">
            <w:pPr>
              <w:pStyle w:val="Tabletext"/>
            </w:pPr>
            <w:r w:rsidRPr="00143624">
              <w:t>16</w:t>
            </w:r>
          </w:p>
        </w:tc>
        <w:tc>
          <w:tcPr>
            <w:tcW w:w="1344" w:type="pct"/>
            <w:shd w:val="clear" w:color="auto" w:fill="auto"/>
          </w:tcPr>
          <w:p w:rsidR="005B63A2" w:rsidRPr="00143624" w:rsidRDefault="005B63A2" w:rsidP="005B63A2">
            <w:pPr>
              <w:pStyle w:val="Tabletext"/>
            </w:pPr>
            <w:r w:rsidRPr="00143624">
              <w:t>9 to 12</w:t>
            </w:r>
          </w:p>
        </w:tc>
        <w:tc>
          <w:tcPr>
            <w:tcW w:w="1739" w:type="pct"/>
            <w:shd w:val="clear" w:color="auto" w:fill="auto"/>
          </w:tcPr>
          <w:p w:rsidR="005B63A2" w:rsidRPr="00143624" w:rsidRDefault="005B63A2" w:rsidP="005B63A2">
            <w:pPr>
              <w:pStyle w:val="Tabletext"/>
            </w:pPr>
            <w:r w:rsidRPr="00143624">
              <w:t>8.8%</w:t>
            </w:r>
          </w:p>
        </w:tc>
        <w:tc>
          <w:tcPr>
            <w:tcW w:w="1522" w:type="pct"/>
            <w:shd w:val="clear" w:color="auto" w:fill="auto"/>
          </w:tcPr>
          <w:p w:rsidR="005B63A2" w:rsidRPr="00143624" w:rsidRDefault="005B63A2" w:rsidP="005B63A2">
            <w:pPr>
              <w:pStyle w:val="Tabletext"/>
            </w:pPr>
            <w:r w:rsidRPr="00143624">
              <w:t>0.9%</w:t>
            </w:r>
          </w:p>
        </w:tc>
      </w:tr>
      <w:tr w:rsidR="005B63A2" w:rsidRPr="00143624" w:rsidTr="005B63A2">
        <w:tc>
          <w:tcPr>
            <w:tcW w:w="396" w:type="pct"/>
            <w:shd w:val="clear" w:color="auto" w:fill="auto"/>
          </w:tcPr>
          <w:p w:rsidR="005B63A2" w:rsidRPr="00143624" w:rsidRDefault="005B63A2" w:rsidP="005B63A2">
            <w:pPr>
              <w:pStyle w:val="Tabletext"/>
            </w:pPr>
            <w:r w:rsidRPr="00143624">
              <w:t>17</w:t>
            </w:r>
          </w:p>
        </w:tc>
        <w:tc>
          <w:tcPr>
            <w:tcW w:w="1344" w:type="pct"/>
            <w:shd w:val="clear" w:color="auto" w:fill="auto"/>
          </w:tcPr>
          <w:p w:rsidR="005B63A2" w:rsidRPr="00143624" w:rsidRDefault="005B63A2" w:rsidP="005B63A2">
            <w:pPr>
              <w:pStyle w:val="Tabletext"/>
            </w:pPr>
            <w:r w:rsidRPr="00143624">
              <w:t>6 to 9</w:t>
            </w:r>
          </w:p>
        </w:tc>
        <w:tc>
          <w:tcPr>
            <w:tcW w:w="1739" w:type="pct"/>
            <w:shd w:val="clear" w:color="auto" w:fill="auto"/>
          </w:tcPr>
          <w:p w:rsidR="005B63A2" w:rsidRPr="00143624" w:rsidRDefault="005B63A2" w:rsidP="005B63A2">
            <w:pPr>
              <w:pStyle w:val="Tabletext"/>
            </w:pPr>
            <w:r w:rsidRPr="00143624">
              <w:t>8.3%</w:t>
            </w:r>
          </w:p>
        </w:tc>
        <w:tc>
          <w:tcPr>
            <w:tcW w:w="1522" w:type="pct"/>
            <w:shd w:val="clear" w:color="auto" w:fill="auto"/>
          </w:tcPr>
          <w:p w:rsidR="005B63A2" w:rsidRPr="00143624" w:rsidRDefault="005B63A2" w:rsidP="005B63A2">
            <w:pPr>
              <w:pStyle w:val="Tabletext"/>
            </w:pPr>
            <w:r w:rsidRPr="00143624">
              <w:t>0.9%</w:t>
            </w:r>
          </w:p>
        </w:tc>
      </w:tr>
      <w:tr w:rsidR="005B63A2" w:rsidRPr="00143624" w:rsidTr="005B63A2">
        <w:tc>
          <w:tcPr>
            <w:tcW w:w="396" w:type="pct"/>
            <w:tcBorders>
              <w:bottom w:val="single" w:sz="4" w:space="0" w:color="auto"/>
            </w:tcBorders>
            <w:shd w:val="clear" w:color="auto" w:fill="auto"/>
          </w:tcPr>
          <w:p w:rsidR="005B63A2" w:rsidRPr="00143624" w:rsidRDefault="005B63A2" w:rsidP="005B63A2">
            <w:pPr>
              <w:pStyle w:val="Tabletext"/>
            </w:pPr>
            <w:r w:rsidRPr="00143624">
              <w:t>18</w:t>
            </w:r>
          </w:p>
        </w:tc>
        <w:tc>
          <w:tcPr>
            <w:tcW w:w="1344" w:type="pct"/>
            <w:tcBorders>
              <w:bottom w:val="single" w:sz="4" w:space="0" w:color="auto"/>
            </w:tcBorders>
            <w:shd w:val="clear" w:color="auto" w:fill="auto"/>
          </w:tcPr>
          <w:p w:rsidR="005B63A2" w:rsidRPr="00143624" w:rsidRDefault="005B63A2" w:rsidP="005B63A2">
            <w:pPr>
              <w:pStyle w:val="Tabletext"/>
            </w:pPr>
            <w:r w:rsidRPr="00143624">
              <w:t>3 to 6</w:t>
            </w:r>
          </w:p>
        </w:tc>
        <w:tc>
          <w:tcPr>
            <w:tcW w:w="1739" w:type="pct"/>
            <w:tcBorders>
              <w:bottom w:val="single" w:sz="4" w:space="0" w:color="auto"/>
            </w:tcBorders>
            <w:shd w:val="clear" w:color="auto" w:fill="auto"/>
          </w:tcPr>
          <w:p w:rsidR="005B63A2" w:rsidRPr="00143624" w:rsidRDefault="005B63A2" w:rsidP="005B63A2">
            <w:pPr>
              <w:pStyle w:val="Tabletext"/>
            </w:pPr>
            <w:r w:rsidRPr="00143624">
              <w:t>7.8%</w:t>
            </w:r>
          </w:p>
        </w:tc>
        <w:tc>
          <w:tcPr>
            <w:tcW w:w="1522" w:type="pct"/>
            <w:tcBorders>
              <w:bottom w:val="single" w:sz="4" w:space="0" w:color="auto"/>
            </w:tcBorders>
            <w:shd w:val="clear" w:color="auto" w:fill="auto"/>
          </w:tcPr>
          <w:p w:rsidR="005B63A2" w:rsidRPr="00143624" w:rsidRDefault="005B63A2" w:rsidP="005B63A2">
            <w:pPr>
              <w:pStyle w:val="Tabletext"/>
            </w:pPr>
            <w:r w:rsidRPr="00143624">
              <w:t>0.9%</w:t>
            </w:r>
          </w:p>
        </w:tc>
      </w:tr>
      <w:tr w:rsidR="005B63A2" w:rsidRPr="00143624" w:rsidTr="005B63A2">
        <w:tc>
          <w:tcPr>
            <w:tcW w:w="396" w:type="pct"/>
            <w:tcBorders>
              <w:bottom w:val="single" w:sz="12" w:space="0" w:color="auto"/>
            </w:tcBorders>
            <w:shd w:val="clear" w:color="auto" w:fill="auto"/>
          </w:tcPr>
          <w:p w:rsidR="005B63A2" w:rsidRPr="00143624" w:rsidRDefault="005B63A2" w:rsidP="005B63A2">
            <w:pPr>
              <w:pStyle w:val="Tabletext"/>
            </w:pPr>
            <w:r w:rsidRPr="00143624">
              <w:t>19</w:t>
            </w:r>
          </w:p>
        </w:tc>
        <w:tc>
          <w:tcPr>
            <w:tcW w:w="1344" w:type="pct"/>
            <w:tcBorders>
              <w:bottom w:val="single" w:sz="12" w:space="0" w:color="auto"/>
            </w:tcBorders>
            <w:shd w:val="clear" w:color="auto" w:fill="auto"/>
          </w:tcPr>
          <w:p w:rsidR="005B63A2" w:rsidRPr="00143624" w:rsidRDefault="005B63A2" w:rsidP="005B63A2">
            <w:pPr>
              <w:pStyle w:val="Tabletext"/>
            </w:pPr>
            <w:r w:rsidRPr="00143624">
              <w:t>0 to 3</w:t>
            </w:r>
          </w:p>
        </w:tc>
        <w:tc>
          <w:tcPr>
            <w:tcW w:w="1739" w:type="pct"/>
            <w:tcBorders>
              <w:bottom w:val="single" w:sz="12" w:space="0" w:color="auto"/>
            </w:tcBorders>
            <w:shd w:val="clear" w:color="auto" w:fill="auto"/>
          </w:tcPr>
          <w:p w:rsidR="005B63A2" w:rsidRPr="00143624" w:rsidRDefault="005B63A2" w:rsidP="005B63A2">
            <w:pPr>
              <w:pStyle w:val="Tabletext"/>
            </w:pPr>
            <w:r w:rsidRPr="00143624">
              <w:t>7.5%</w:t>
            </w:r>
          </w:p>
        </w:tc>
        <w:tc>
          <w:tcPr>
            <w:tcW w:w="1522" w:type="pct"/>
            <w:tcBorders>
              <w:bottom w:val="single" w:sz="12" w:space="0" w:color="auto"/>
            </w:tcBorders>
            <w:shd w:val="clear" w:color="auto" w:fill="auto"/>
          </w:tcPr>
          <w:p w:rsidR="005B63A2" w:rsidRPr="00143624" w:rsidRDefault="005B63A2" w:rsidP="005B63A2">
            <w:pPr>
              <w:pStyle w:val="Tabletext"/>
            </w:pPr>
            <w:r w:rsidRPr="00143624">
              <w:t>1.0%</w:t>
            </w:r>
          </w:p>
        </w:tc>
      </w:tr>
    </w:tbl>
    <w:p w:rsidR="005B63A2" w:rsidRPr="00143624" w:rsidRDefault="005B63A2" w:rsidP="005B63A2">
      <w:pPr>
        <w:pStyle w:val="notetext"/>
      </w:pPr>
      <w:r w:rsidRPr="00143624">
        <w:t>Note:</w:t>
      </w:r>
      <w:r w:rsidRPr="00143624">
        <w:tab/>
        <w:t>The following assumptions were used to work out the base percentages:</w:t>
      </w:r>
    </w:p>
    <w:p w:rsidR="005B63A2" w:rsidRPr="00143624" w:rsidRDefault="005B63A2" w:rsidP="005B63A2">
      <w:pPr>
        <w:pStyle w:val="notepara"/>
      </w:pPr>
      <w:r w:rsidRPr="00143624">
        <w:t>(a)</w:t>
      </w:r>
      <w:r w:rsidRPr="00143624">
        <w:tab/>
        <w:t>a risk</w:t>
      </w:r>
      <w:r w:rsidR="00143624">
        <w:noBreakHyphen/>
      </w:r>
      <w:r w:rsidRPr="00143624">
        <w:t>free interest rate of 4%;</w:t>
      </w:r>
    </w:p>
    <w:p w:rsidR="005B63A2" w:rsidRPr="00143624" w:rsidRDefault="005B63A2" w:rsidP="005B63A2">
      <w:pPr>
        <w:pStyle w:val="notepara"/>
      </w:pPr>
      <w:r w:rsidRPr="00143624">
        <w:t>(b)</w:t>
      </w:r>
      <w:r w:rsidRPr="00143624">
        <w:tab/>
        <w:t>a dividend yield of 4%;</w:t>
      </w:r>
    </w:p>
    <w:p w:rsidR="005B63A2" w:rsidRPr="00143624" w:rsidRDefault="005B63A2" w:rsidP="005B63A2">
      <w:pPr>
        <w:pStyle w:val="notepara"/>
      </w:pPr>
      <w:r w:rsidRPr="00143624">
        <w:t>(c)</w:t>
      </w:r>
      <w:r w:rsidRPr="00143624">
        <w:tab/>
        <w:t>volatility of 12%.</w:t>
      </w:r>
    </w:p>
    <w:p w:rsidR="005B63A2" w:rsidRPr="00143624" w:rsidRDefault="005B63A2" w:rsidP="005B63A2">
      <w:pPr>
        <w:pStyle w:val="subsection"/>
      </w:pPr>
      <w:r w:rsidRPr="00143624">
        <w:tab/>
        <w:t>(3)</w:t>
      </w:r>
      <w:r w:rsidRPr="00143624">
        <w:tab/>
        <w:t xml:space="preserve">If the exercise period is the top of one range in the table in </w:t>
      </w:r>
      <w:r w:rsidR="002B1A95" w:rsidRPr="00143624">
        <w:t>subsection (</w:t>
      </w:r>
      <w:r w:rsidRPr="00143624">
        <w:t>2) and is also the bottom of another range in the table, it is taken to be in the lower range and not in the higher range.</w:t>
      </w:r>
    </w:p>
    <w:p w:rsidR="005B63A2" w:rsidRPr="00143624" w:rsidRDefault="005B63A2" w:rsidP="005B63A2">
      <w:pPr>
        <w:pStyle w:val="ActHead1"/>
        <w:pageBreakBefore/>
      </w:pPr>
      <w:bookmarkStart w:id="55" w:name="_Toc64030313"/>
      <w:r w:rsidRPr="003F3E0B">
        <w:rPr>
          <w:rStyle w:val="CharChapNo"/>
        </w:rPr>
        <w:lastRenderedPageBreak/>
        <w:t>Chapter</w:t>
      </w:r>
      <w:r w:rsidR="002B1A95" w:rsidRPr="003F3E0B">
        <w:rPr>
          <w:rStyle w:val="CharChapNo"/>
        </w:rPr>
        <w:t> </w:t>
      </w:r>
      <w:r w:rsidRPr="003F3E0B">
        <w:rPr>
          <w:rStyle w:val="CharChapNo"/>
        </w:rPr>
        <w:t>3</w:t>
      </w:r>
      <w:r w:rsidRPr="00143624">
        <w:t>—</w:t>
      </w:r>
      <w:r w:rsidRPr="003F3E0B">
        <w:rPr>
          <w:rStyle w:val="CharChapText"/>
        </w:rPr>
        <w:t>Specialist liability rules</w:t>
      </w:r>
      <w:bookmarkEnd w:id="55"/>
    </w:p>
    <w:p w:rsidR="005B63A2" w:rsidRPr="00143624" w:rsidRDefault="005B63A2" w:rsidP="005B63A2">
      <w:pPr>
        <w:pStyle w:val="ActHead2"/>
      </w:pPr>
      <w:bookmarkStart w:id="56" w:name="_Toc64030314"/>
      <w:r w:rsidRPr="003F3E0B">
        <w:rPr>
          <w:rStyle w:val="CharPartNo"/>
        </w:rPr>
        <w:t>Part</w:t>
      </w:r>
      <w:r w:rsidR="002B1A95" w:rsidRPr="003F3E0B">
        <w:rPr>
          <w:rStyle w:val="CharPartNo"/>
        </w:rPr>
        <w:t> </w:t>
      </w:r>
      <w:r w:rsidRPr="003F3E0B">
        <w:rPr>
          <w:rStyle w:val="CharPartNo"/>
        </w:rPr>
        <w:t>3</w:t>
      </w:r>
      <w:r w:rsidR="00143624" w:rsidRPr="003F3E0B">
        <w:rPr>
          <w:rStyle w:val="CharPartNo"/>
        </w:rPr>
        <w:noBreakHyphen/>
      </w:r>
      <w:r w:rsidRPr="003F3E0B">
        <w:rPr>
          <w:rStyle w:val="CharPartNo"/>
        </w:rPr>
        <w:t>30</w:t>
      </w:r>
      <w:r w:rsidRPr="00143624">
        <w:t>—</w:t>
      </w:r>
      <w:r w:rsidRPr="003F3E0B">
        <w:rPr>
          <w:rStyle w:val="CharPartText"/>
        </w:rPr>
        <w:t>Superannuation</w:t>
      </w:r>
      <w:bookmarkEnd w:id="56"/>
    </w:p>
    <w:p w:rsidR="005B63A2" w:rsidRPr="00143624" w:rsidRDefault="005B63A2" w:rsidP="005B63A2">
      <w:pPr>
        <w:pStyle w:val="ActHead3"/>
      </w:pPr>
      <w:bookmarkStart w:id="57" w:name="_Toc64030315"/>
      <w:r w:rsidRPr="003F3E0B">
        <w:rPr>
          <w:rStyle w:val="CharDivNo"/>
        </w:rPr>
        <w:t>Division</w:t>
      </w:r>
      <w:r w:rsidR="002B1A95" w:rsidRPr="003F3E0B">
        <w:rPr>
          <w:rStyle w:val="CharDivNo"/>
        </w:rPr>
        <w:t> </w:t>
      </w:r>
      <w:r w:rsidRPr="003F3E0B">
        <w:rPr>
          <w:rStyle w:val="CharDivNo"/>
        </w:rPr>
        <w:t>290</w:t>
      </w:r>
      <w:r w:rsidRPr="00143624">
        <w:t>—</w:t>
      </w:r>
      <w:r w:rsidRPr="003F3E0B">
        <w:rPr>
          <w:rStyle w:val="CharDivText"/>
        </w:rPr>
        <w:t>Contributions to superannuation funds</w:t>
      </w:r>
      <w:bookmarkEnd w:id="57"/>
    </w:p>
    <w:p w:rsidR="005B63A2" w:rsidRPr="00143624" w:rsidRDefault="005B63A2" w:rsidP="005B63A2">
      <w:pPr>
        <w:pStyle w:val="ActHead4"/>
      </w:pPr>
      <w:bookmarkStart w:id="58" w:name="_Toc64030316"/>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290</w:t>
      </w:r>
      <w:r w:rsidR="00143624" w:rsidRPr="003F3E0B">
        <w:rPr>
          <w:rStyle w:val="CharSubdNo"/>
          <w:rFonts w:eastAsiaTheme="majorEastAsia"/>
        </w:rPr>
        <w:noBreakHyphen/>
      </w:r>
      <w:r w:rsidRPr="003F3E0B">
        <w:rPr>
          <w:rStyle w:val="CharSubdNo"/>
          <w:rFonts w:eastAsiaTheme="majorEastAsia"/>
        </w:rPr>
        <w:t>C</w:t>
      </w:r>
      <w:r w:rsidRPr="00143624">
        <w:t>—</w:t>
      </w:r>
      <w:r w:rsidRPr="003F3E0B">
        <w:rPr>
          <w:rStyle w:val="CharSubdText"/>
          <w:rFonts w:eastAsiaTheme="majorEastAsia"/>
        </w:rPr>
        <w:t>Deducting personal contributions</w:t>
      </w:r>
      <w:bookmarkEnd w:id="58"/>
    </w:p>
    <w:p w:rsidR="005B63A2" w:rsidRPr="00143624" w:rsidRDefault="005B63A2" w:rsidP="005B63A2">
      <w:pPr>
        <w:pStyle w:val="ActHead5"/>
      </w:pPr>
      <w:bookmarkStart w:id="59" w:name="_Toc64030317"/>
      <w:r w:rsidRPr="003F3E0B">
        <w:rPr>
          <w:rStyle w:val="CharSectno"/>
        </w:rPr>
        <w:t>290</w:t>
      </w:r>
      <w:r w:rsidR="00143624" w:rsidRPr="003F3E0B">
        <w:rPr>
          <w:rStyle w:val="CharSectno"/>
        </w:rPr>
        <w:noBreakHyphen/>
      </w:r>
      <w:r w:rsidRPr="003F3E0B">
        <w:rPr>
          <w:rStyle w:val="CharSectno"/>
        </w:rPr>
        <w:t>155.01</w:t>
      </w:r>
      <w:r w:rsidRPr="00143624">
        <w:t xml:space="preserve">  Complying superannuation fund condition—prescribed superannuation funds</w:t>
      </w:r>
      <w:bookmarkEnd w:id="59"/>
    </w:p>
    <w:p w:rsidR="005B63A2" w:rsidRPr="00143624" w:rsidRDefault="005B63A2" w:rsidP="005B63A2">
      <w:pPr>
        <w:pStyle w:val="subsection"/>
      </w:pPr>
      <w:r w:rsidRPr="00143624">
        <w:tab/>
      </w:r>
      <w:r w:rsidRPr="00143624">
        <w:tab/>
        <w:t>A superannuation fund is of a kind prescribed for the purposes of subparagraph</w:t>
      </w:r>
      <w:r w:rsidR="002B1A95" w:rsidRPr="00143624">
        <w:t> </w:t>
      </w:r>
      <w:r w:rsidRPr="00143624">
        <w:t>290</w:t>
      </w:r>
      <w:r w:rsidR="00143624">
        <w:noBreakHyphen/>
      </w:r>
      <w:r w:rsidRPr="00143624">
        <w:t>155(1)(a)(iii) of the Act if:</w:t>
      </w:r>
    </w:p>
    <w:p w:rsidR="005B63A2" w:rsidRPr="00143624" w:rsidRDefault="005B63A2" w:rsidP="005B63A2">
      <w:pPr>
        <w:pStyle w:val="paragraph"/>
      </w:pPr>
      <w:r w:rsidRPr="00143624">
        <w:tab/>
        <w:t>(a)</w:t>
      </w:r>
      <w:r w:rsidRPr="00143624">
        <w:tab/>
        <w:t>the fund has one or more members that have a superannuation interest in the fund that is a defined benefit interest; and</w:t>
      </w:r>
    </w:p>
    <w:p w:rsidR="005B63A2" w:rsidRPr="00143624" w:rsidRDefault="005B63A2" w:rsidP="005B63A2">
      <w:pPr>
        <w:pStyle w:val="paragraph"/>
      </w:pPr>
      <w:r w:rsidRPr="00143624">
        <w:tab/>
        <w:t>(b)</w:t>
      </w:r>
      <w:r w:rsidRPr="00143624">
        <w:tab/>
        <w:t>the trustee of the fund elects to have this section apply to the fund; and</w:t>
      </w:r>
    </w:p>
    <w:p w:rsidR="005B63A2" w:rsidRPr="00143624" w:rsidRDefault="005B63A2" w:rsidP="005B63A2">
      <w:pPr>
        <w:pStyle w:val="paragraph"/>
      </w:pPr>
      <w:r w:rsidRPr="00143624">
        <w:tab/>
        <w:t>(c)</w:t>
      </w:r>
      <w:r w:rsidRPr="00143624">
        <w:tab/>
        <w:t>the election:</w:t>
      </w:r>
    </w:p>
    <w:p w:rsidR="005B63A2" w:rsidRPr="00143624" w:rsidRDefault="005B63A2" w:rsidP="005B63A2">
      <w:pPr>
        <w:pStyle w:val="paragraphsub"/>
      </w:pPr>
      <w:r w:rsidRPr="00143624">
        <w:tab/>
        <w:t>(i)</w:t>
      </w:r>
      <w:r w:rsidRPr="00143624">
        <w:tab/>
        <w:t>is made before the start of the income year of the fund in which the contribution is made; and</w:t>
      </w:r>
    </w:p>
    <w:p w:rsidR="005B63A2" w:rsidRPr="00143624" w:rsidRDefault="005B63A2" w:rsidP="005B63A2">
      <w:pPr>
        <w:pStyle w:val="paragraphsub"/>
      </w:pPr>
      <w:r w:rsidRPr="00143624">
        <w:tab/>
        <w:t>(ii)</w:t>
      </w:r>
      <w:r w:rsidRPr="00143624">
        <w:tab/>
        <w:t>is not revoked before the start of that year; and</w:t>
      </w:r>
    </w:p>
    <w:p w:rsidR="005B63A2" w:rsidRPr="00143624" w:rsidRDefault="005B63A2" w:rsidP="005B63A2">
      <w:pPr>
        <w:pStyle w:val="paragraphsub"/>
      </w:pPr>
      <w:r w:rsidRPr="00143624">
        <w:tab/>
        <w:t>(iii)</w:t>
      </w:r>
      <w:r w:rsidRPr="00143624">
        <w:tab/>
        <w:t>is made by notifying the Commissioner in the approved form.</w:t>
      </w:r>
    </w:p>
    <w:p w:rsidR="005B63A2" w:rsidRPr="00143624" w:rsidRDefault="005B63A2" w:rsidP="005B63A2">
      <w:pPr>
        <w:pStyle w:val="notetext"/>
      </w:pPr>
      <w:r w:rsidRPr="00143624">
        <w:t>Note:</w:t>
      </w:r>
      <w:r w:rsidRPr="00143624">
        <w:tab/>
        <w:t xml:space="preserve">For </w:t>
      </w:r>
      <w:r w:rsidRPr="00143624">
        <w:rPr>
          <w:b/>
          <w:i/>
        </w:rPr>
        <w:t>approved form</w:t>
      </w:r>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ActHead5"/>
      </w:pPr>
      <w:bookmarkStart w:id="60" w:name="_Toc64030318"/>
      <w:r w:rsidRPr="003F3E0B">
        <w:rPr>
          <w:rStyle w:val="CharSectno"/>
        </w:rPr>
        <w:t>290</w:t>
      </w:r>
      <w:r w:rsidR="00143624" w:rsidRPr="003F3E0B">
        <w:rPr>
          <w:rStyle w:val="CharSectno"/>
        </w:rPr>
        <w:noBreakHyphen/>
      </w:r>
      <w:r w:rsidRPr="003F3E0B">
        <w:rPr>
          <w:rStyle w:val="CharSectno"/>
        </w:rPr>
        <w:t>155.05</w:t>
      </w:r>
      <w:r w:rsidRPr="00143624">
        <w:t xml:space="preserve">  Complying superannuation fund condition—prescribed contributions and superannuation funds</w:t>
      </w:r>
      <w:bookmarkEnd w:id="60"/>
    </w:p>
    <w:p w:rsidR="005B63A2" w:rsidRPr="00143624" w:rsidRDefault="005B63A2" w:rsidP="005B63A2">
      <w:pPr>
        <w:pStyle w:val="subsection"/>
      </w:pPr>
      <w:r w:rsidRPr="00143624">
        <w:tab/>
      </w:r>
      <w:r w:rsidRPr="00143624">
        <w:tab/>
        <w:t>For the purposes of paragraph</w:t>
      </w:r>
      <w:r w:rsidR="002B1A95" w:rsidRPr="00143624">
        <w:t> </w:t>
      </w:r>
      <w:r w:rsidRPr="00143624">
        <w:t>290</w:t>
      </w:r>
      <w:r w:rsidR="00143624">
        <w:noBreakHyphen/>
      </w:r>
      <w:r w:rsidRPr="00143624">
        <w:t>155(1)(b) of the Act, a contribution to a superannuation fund is a prescribed kind of contribution to a prescribed kind of superannuation fund if:</w:t>
      </w:r>
    </w:p>
    <w:p w:rsidR="005B63A2" w:rsidRPr="00143624" w:rsidRDefault="005B63A2" w:rsidP="005B63A2">
      <w:pPr>
        <w:pStyle w:val="paragraph"/>
      </w:pPr>
      <w:r w:rsidRPr="00143624">
        <w:tab/>
        <w:t>(a)</w:t>
      </w:r>
      <w:r w:rsidRPr="00143624">
        <w:tab/>
        <w:t>the contribution is a contribution made to a defined benefit interest; and</w:t>
      </w:r>
    </w:p>
    <w:p w:rsidR="005B63A2" w:rsidRPr="00143624" w:rsidRDefault="005B63A2" w:rsidP="005B63A2">
      <w:pPr>
        <w:pStyle w:val="paragraph"/>
      </w:pPr>
      <w:r w:rsidRPr="00143624">
        <w:tab/>
        <w:t>(b)</w:t>
      </w:r>
      <w:r w:rsidRPr="00143624">
        <w:tab/>
        <w:t>the superannuation fund is a fund in relation to which the trustee of the fund has elected that this section apply and the election:</w:t>
      </w:r>
    </w:p>
    <w:p w:rsidR="005B63A2" w:rsidRPr="00143624" w:rsidRDefault="005B63A2" w:rsidP="005B63A2">
      <w:pPr>
        <w:pStyle w:val="paragraphsub"/>
      </w:pPr>
      <w:r w:rsidRPr="00143624">
        <w:tab/>
        <w:t>(i)</w:t>
      </w:r>
      <w:r w:rsidRPr="00143624">
        <w:tab/>
        <w:t>is made before the start of the income year of the fund in which the contribution is made; and</w:t>
      </w:r>
    </w:p>
    <w:p w:rsidR="005B63A2" w:rsidRPr="00143624" w:rsidRDefault="005B63A2" w:rsidP="005B63A2">
      <w:pPr>
        <w:pStyle w:val="paragraphsub"/>
      </w:pPr>
      <w:r w:rsidRPr="00143624">
        <w:tab/>
        <w:t>(ii)</w:t>
      </w:r>
      <w:r w:rsidRPr="00143624">
        <w:tab/>
        <w:t>is not revoked before the start of that year; and</w:t>
      </w:r>
    </w:p>
    <w:p w:rsidR="005B63A2" w:rsidRPr="00143624" w:rsidRDefault="005B63A2" w:rsidP="005B63A2">
      <w:pPr>
        <w:pStyle w:val="paragraphsub"/>
      </w:pPr>
      <w:r w:rsidRPr="00143624">
        <w:tab/>
        <w:t>(iii)</w:t>
      </w:r>
      <w:r w:rsidRPr="00143624">
        <w:tab/>
        <w:t>is made by notifying the Commissioner in the approved form.</w:t>
      </w:r>
    </w:p>
    <w:p w:rsidR="005B63A2" w:rsidRPr="00143624" w:rsidRDefault="005B63A2" w:rsidP="005B63A2">
      <w:pPr>
        <w:pStyle w:val="notetext"/>
      </w:pPr>
      <w:r w:rsidRPr="00143624">
        <w:t>Note:</w:t>
      </w:r>
      <w:r w:rsidRPr="00143624">
        <w:tab/>
        <w:t xml:space="preserve">For </w:t>
      </w:r>
      <w:r w:rsidRPr="00143624">
        <w:rPr>
          <w:b/>
          <w:i/>
        </w:rPr>
        <w:t>approved form</w:t>
      </w:r>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ActHead5"/>
      </w:pPr>
      <w:bookmarkStart w:id="61" w:name="_Toc64030319"/>
      <w:r w:rsidRPr="003F3E0B">
        <w:rPr>
          <w:rStyle w:val="CharSectno"/>
        </w:rPr>
        <w:t>290</w:t>
      </w:r>
      <w:r w:rsidR="00143624" w:rsidRPr="003F3E0B">
        <w:rPr>
          <w:rStyle w:val="CharSectno"/>
        </w:rPr>
        <w:noBreakHyphen/>
      </w:r>
      <w:r w:rsidRPr="003F3E0B">
        <w:rPr>
          <w:rStyle w:val="CharSectno"/>
        </w:rPr>
        <w:t>170.01</w:t>
      </w:r>
      <w:r w:rsidRPr="00143624">
        <w:t xml:space="preserve">  Notice of intent to deduct contributions—contributions</w:t>
      </w:r>
      <w:r w:rsidR="00143624">
        <w:noBreakHyphen/>
      </w:r>
      <w:r w:rsidRPr="00143624">
        <w:t>splitting applications</w:t>
      </w:r>
      <w:bookmarkEnd w:id="61"/>
    </w:p>
    <w:p w:rsidR="005B63A2" w:rsidRPr="00143624" w:rsidRDefault="005B63A2" w:rsidP="005B63A2">
      <w:pPr>
        <w:pStyle w:val="subsection"/>
      </w:pPr>
      <w:r w:rsidRPr="00143624">
        <w:tab/>
      </w:r>
      <w:r w:rsidRPr="00143624">
        <w:tab/>
        <w:t xml:space="preserve">For </w:t>
      </w:r>
      <w:r w:rsidRPr="00143624">
        <w:rPr>
          <w:color w:val="000000"/>
        </w:rPr>
        <w:t xml:space="preserve">the purposes of </w:t>
      </w:r>
      <w:r w:rsidRPr="00143624">
        <w:t>subparagraph</w:t>
      </w:r>
      <w:r w:rsidR="002B1A95" w:rsidRPr="00143624">
        <w:t> </w:t>
      </w:r>
      <w:r w:rsidRPr="00143624">
        <w:t>290</w:t>
      </w:r>
      <w:r w:rsidR="00143624">
        <w:noBreakHyphen/>
      </w:r>
      <w:r w:rsidRPr="00143624">
        <w:t>170(2)(d)(i) of the Act, each of the following is a contributions</w:t>
      </w:r>
      <w:r w:rsidR="00143624">
        <w:noBreakHyphen/>
      </w:r>
      <w:r w:rsidRPr="00143624">
        <w:t>splitting application:</w:t>
      </w:r>
    </w:p>
    <w:p w:rsidR="005B63A2" w:rsidRPr="00143624" w:rsidRDefault="005B63A2" w:rsidP="005B63A2">
      <w:pPr>
        <w:pStyle w:val="paragraph"/>
      </w:pPr>
      <w:r w:rsidRPr="00143624">
        <w:rPr>
          <w:color w:val="000000"/>
        </w:rPr>
        <w:tab/>
        <w:t>(a)</w:t>
      </w:r>
      <w:r w:rsidRPr="00143624">
        <w:rPr>
          <w:color w:val="000000"/>
        </w:rPr>
        <w:tab/>
        <w:t>an application under regulation</w:t>
      </w:r>
      <w:r w:rsidR="002B1A95" w:rsidRPr="00143624">
        <w:rPr>
          <w:color w:val="000000"/>
        </w:rPr>
        <w:t> </w:t>
      </w:r>
      <w:r w:rsidRPr="00143624">
        <w:rPr>
          <w:color w:val="000000"/>
        </w:rPr>
        <w:t>6.44 (application to roll over, transfer or allot an amount of contributions) of the SIS Regulations;</w:t>
      </w:r>
    </w:p>
    <w:p w:rsidR="005B63A2" w:rsidRPr="00143624" w:rsidRDefault="005B63A2" w:rsidP="005B63A2">
      <w:pPr>
        <w:pStyle w:val="paragraph"/>
      </w:pPr>
      <w:r w:rsidRPr="00143624">
        <w:tab/>
        <w:t>(b)</w:t>
      </w:r>
      <w:r w:rsidRPr="00143624">
        <w:tab/>
        <w:t>an application under regulation</w:t>
      </w:r>
      <w:r w:rsidR="002B1A95" w:rsidRPr="00143624">
        <w:t> </w:t>
      </w:r>
      <w:r w:rsidRPr="00143624">
        <w:t>4.41 (application to roll over, transfer or allot an amount of contributions) of the RSA Regulations;</w:t>
      </w:r>
    </w:p>
    <w:p w:rsidR="005B63A2" w:rsidRPr="00143624" w:rsidRDefault="005B63A2" w:rsidP="005B63A2">
      <w:pPr>
        <w:pStyle w:val="paragraph"/>
      </w:pPr>
      <w:r w:rsidRPr="00143624">
        <w:lastRenderedPageBreak/>
        <w:tab/>
        <w:t>(c)</w:t>
      </w:r>
      <w:r w:rsidRPr="00143624">
        <w:tab/>
        <w:t>an application to deal with an amount in a way that would result in the amount becoming a contributions</w:t>
      </w:r>
      <w:r w:rsidR="00143624">
        <w:noBreakHyphen/>
      </w:r>
      <w:r w:rsidRPr="00143624">
        <w:t>splitting superannuation benefit in accordance with the SIS Regulations or the RSA Regulations.</w:t>
      </w:r>
    </w:p>
    <w:p w:rsidR="005B63A2" w:rsidRPr="00143624" w:rsidRDefault="005B63A2" w:rsidP="002F07B9">
      <w:pPr>
        <w:pStyle w:val="ActHead3"/>
        <w:pageBreakBefore/>
        <w:rPr>
          <w:color w:val="000000"/>
        </w:rPr>
      </w:pPr>
      <w:bookmarkStart w:id="62" w:name="_Toc64030320"/>
      <w:r w:rsidRPr="003F3E0B">
        <w:rPr>
          <w:rStyle w:val="CharDivNo"/>
        </w:rPr>
        <w:lastRenderedPageBreak/>
        <w:t>Division</w:t>
      </w:r>
      <w:r w:rsidR="002B1A95" w:rsidRPr="003F3E0B">
        <w:rPr>
          <w:rStyle w:val="CharDivNo"/>
        </w:rPr>
        <w:t> </w:t>
      </w:r>
      <w:r w:rsidRPr="003F3E0B">
        <w:rPr>
          <w:rStyle w:val="CharDivNo"/>
        </w:rPr>
        <w:t>291</w:t>
      </w:r>
      <w:r w:rsidRPr="00143624">
        <w:t>—</w:t>
      </w:r>
      <w:r w:rsidRPr="003F3E0B">
        <w:rPr>
          <w:rStyle w:val="CharDivText"/>
        </w:rPr>
        <w:t>Excess concessional contributions</w:t>
      </w:r>
      <w:bookmarkEnd w:id="62"/>
    </w:p>
    <w:p w:rsidR="005B63A2" w:rsidRPr="00143624" w:rsidRDefault="005B63A2" w:rsidP="005B63A2">
      <w:pPr>
        <w:pStyle w:val="ActHead4"/>
      </w:pPr>
      <w:bookmarkStart w:id="63" w:name="_Toc64030321"/>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291</w:t>
      </w:r>
      <w:r w:rsidR="00143624" w:rsidRPr="003F3E0B">
        <w:rPr>
          <w:rStyle w:val="CharSubdNo"/>
          <w:rFonts w:eastAsiaTheme="majorEastAsia"/>
        </w:rPr>
        <w:noBreakHyphen/>
      </w:r>
      <w:r w:rsidRPr="003F3E0B">
        <w:rPr>
          <w:rStyle w:val="CharSubdNo"/>
          <w:rFonts w:eastAsiaTheme="majorEastAsia"/>
        </w:rPr>
        <w:t>B</w:t>
      </w:r>
      <w:r w:rsidRPr="00143624">
        <w:rPr>
          <w:rFonts w:eastAsiaTheme="majorEastAsia"/>
        </w:rPr>
        <w:t>—</w:t>
      </w:r>
      <w:r w:rsidRPr="003F3E0B">
        <w:rPr>
          <w:rStyle w:val="CharSubdText"/>
          <w:rFonts w:eastAsiaTheme="majorEastAsia"/>
        </w:rPr>
        <w:t>Excess concessional contributions</w:t>
      </w:r>
      <w:bookmarkEnd w:id="63"/>
    </w:p>
    <w:p w:rsidR="005B63A2" w:rsidRPr="00143624" w:rsidRDefault="005B63A2" w:rsidP="005B63A2">
      <w:pPr>
        <w:pStyle w:val="ActHead5"/>
      </w:pPr>
      <w:bookmarkStart w:id="64" w:name="_Toc64030322"/>
      <w:r w:rsidRPr="003F3E0B">
        <w:rPr>
          <w:rStyle w:val="CharSectno"/>
        </w:rPr>
        <w:t>291</w:t>
      </w:r>
      <w:r w:rsidR="00143624" w:rsidRPr="003F3E0B">
        <w:rPr>
          <w:rStyle w:val="CharSectno"/>
        </w:rPr>
        <w:noBreakHyphen/>
      </w:r>
      <w:r w:rsidRPr="003F3E0B">
        <w:rPr>
          <w:rStyle w:val="CharSectno"/>
        </w:rPr>
        <w:t>25.01</w:t>
      </w:r>
      <w:r w:rsidRPr="00143624">
        <w:t xml:space="preserve">  Concessional contributions for a financial year</w:t>
      </w:r>
      <w:bookmarkEnd w:id="64"/>
    </w:p>
    <w:p w:rsidR="005B63A2" w:rsidRPr="00143624" w:rsidRDefault="005B63A2" w:rsidP="005B63A2">
      <w:pPr>
        <w:pStyle w:val="subsection"/>
        <w:rPr>
          <w:color w:val="000000"/>
        </w:rPr>
      </w:pPr>
      <w:r w:rsidRPr="00143624">
        <w:rPr>
          <w:color w:val="000000"/>
        </w:rPr>
        <w:tab/>
        <w:t>(1)</w:t>
      </w:r>
      <w:r w:rsidRPr="00143624">
        <w:rPr>
          <w:color w:val="000000"/>
        </w:rPr>
        <w:tab/>
        <w:t xml:space="preserve">For the purposes of </w:t>
      </w:r>
      <w:r w:rsidRPr="00143624">
        <w:t>subsection</w:t>
      </w:r>
      <w:r w:rsidR="002B1A95" w:rsidRPr="00143624">
        <w:t> </w:t>
      </w:r>
      <w:r w:rsidRPr="00143624">
        <w:t>291</w:t>
      </w:r>
      <w:r w:rsidR="00143624">
        <w:noBreakHyphen/>
      </w:r>
      <w:r w:rsidRPr="00143624">
        <w:t>25(3)</w:t>
      </w:r>
      <w:r w:rsidRPr="00143624">
        <w:rPr>
          <w:color w:val="000000"/>
        </w:rPr>
        <w:t xml:space="preserve"> of the Act, this section specifies conditions for the allocation of an amount in a complying superannuation plan.</w:t>
      </w:r>
    </w:p>
    <w:p w:rsidR="005B63A2" w:rsidRPr="00143624" w:rsidRDefault="005B63A2" w:rsidP="005B63A2">
      <w:pPr>
        <w:pStyle w:val="notetext"/>
      </w:pPr>
      <w:r w:rsidRPr="00143624">
        <w:t>Note:</w:t>
      </w:r>
      <w:r w:rsidRPr="00143624">
        <w:tab/>
        <w:t>If the amount meets the conditions of this section it will be an amount covered under subsection</w:t>
      </w:r>
      <w:r w:rsidR="002B1A95" w:rsidRPr="00143624">
        <w:t> </w:t>
      </w:r>
      <w:r w:rsidRPr="00143624">
        <w:t>291</w:t>
      </w:r>
      <w:r w:rsidR="00143624">
        <w:noBreakHyphen/>
      </w:r>
      <w:r w:rsidRPr="00143624">
        <w:t>25(3) of the Act. Such amounts are counted in determining an individual’s concessional contributions for a financial year.</w:t>
      </w:r>
    </w:p>
    <w:p w:rsidR="005B63A2" w:rsidRPr="00143624" w:rsidRDefault="005B63A2" w:rsidP="005B63A2">
      <w:pPr>
        <w:pStyle w:val="SubsectionHead"/>
      </w:pPr>
      <w:r w:rsidRPr="00143624">
        <w:t>Conditions—general</w:t>
      </w:r>
    </w:p>
    <w:p w:rsidR="005B63A2" w:rsidRPr="00143624" w:rsidRDefault="005B63A2" w:rsidP="005B63A2">
      <w:pPr>
        <w:pStyle w:val="subsection"/>
        <w:rPr>
          <w:color w:val="000000"/>
        </w:rPr>
      </w:pPr>
      <w:r w:rsidRPr="00143624">
        <w:rPr>
          <w:color w:val="000000"/>
        </w:rPr>
        <w:tab/>
        <w:t>(2)</w:t>
      </w:r>
      <w:r w:rsidRPr="00143624">
        <w:rPr>
          <w:color w:val="000000"/>
        </w:rPr>
        <w:tab/>
        <w:t>The conditions are that the amount is:</w:t>
      </w:r>
    </w:p>
    <w:p w:rsidR="005B63A2" w:rsidRPr="00143624" w:rsidRDefault="005B63A2" w:rsidP="005B63A2">
      <w:pPr>
        <w:pStyle w:val="paragraph"/>
      </w:pPr>
      <w:r w:rsidRPr="00143624">
        <w:rPr>
          <w:color w:val="000000"/>
        </w:rPr>
        <w:tab/>
        <w:t>(a)</w:t>
      </w:r>
      <w:r w:rsidRPr="00143624">
        <w:rPr>
          <w:color w:val="000000"/>
        </w:rPr>
        <w:tab/>
        <w:t>allocated under Division</w:t>
      </w:r>
      <w:r w:rsidR="002B1A95" w:rsidRPr="00143624">
        <w:rPr>
          <w:color w:val="000000"/>
        </w:rPr>
        <w:t> </w:t>
      </w:r>
      <w:r w:rsidRPr="00143624">
        <w:rPr>
          <w:color w:val="000000"/>
        </w:rPr>
        <w:t>7.2 of the SIS Regulations; and</w:t>
      </w:r>
    </w:p>
    <w:p w:rsidR="005B63A2" w:rsidRPr="00143624" w:rsidRDefault="005B63A2" w:rsidP="005B63A2">
      <w:pPr>
        <w:pStyle w:val="paragraph"/>
      </w:pPr>
      <w:r w:rsidRPr="00143624">
        <w:tab/>
        <w:t>(b)</w:t>
      </w:r>
      <w:r w:rsidRPr="00143624">
        <w:tab/>
        <w:t>an assessable contribution; and</w:t>
      </w:r>
    </w:p>
    <w:p w:rsidR="005B63A2" w:rsidRPr="00143624" w:rsidRDefault="005B63A2" w:rsidP="005B63A2">
      <w:pPr>
        <w:pStyle w:val="paragraph"/>
      </w:pPr>
      <w:r w:rsidRPr="00143624">
        <w:tab/>
        <w:t>(c)</w:t>
      </w:r>
      <w:r w:rsidRPr="00143624">
        <w:tab/>
        <w:t xml:space="preserve">not </w:t>
      </w:r>
      <w:r w:rsidRPr="00143624">
        <w:rPr>
          <w:color w:val="000000"/>
        </w:rPr>
        <w:t>an amount mentioned in item</w:t>
      </w:r>
      <w:r w:rsidR="002B1A95" w:rsidRPr="00143624">
        <w:rPr>
          <w:color w:val="000000"/>
        </w:rPr>
        <w:t> </w:t>
      </w:r>
      <w:r w:rsidRPr="00143624">
        <w:rPr>
          <w:color w:val="000000"/>
        </w:rPr>
        <w:t>2 of the table in subsection</w:t>
      </w:r>
      <w:r w:rsidR="002B1A95" w:rsidRPr="00143624">
        <w:rPr>
          <w:color w:val="000000"/>
        </w:rPr>
        <w:t> </w:t>
      </w:r>
      <w:r w:rsidRPr="00143624">
        <w:rPr>
          <w:color w:val="000000"/>
        </w:rPr>
        <w:t>295</w:t>
      </w:r>
      <w:r w:rsidR="00143624">
        <w:rPr>
          <w:color w:val="000000"/>
        </w:rPr>
        <w:noBreakHyphen/>
      </w:r>
      <w:r w:rsidRPr="00143624">
        <w:rPr>
          <w:color w:val="000000"/>
        </w:rPr>
        <w:t>190(1) of the Act</w:t>
      </w:r>
      <w:r w:rsidRPr="00143624">
        <w:t>; and</w:t>
      </w:r>
    </w:p>
    <w:p w:rsidR="005B63A2" w:rsidRPr="00143624" w:rsidRDefault="005B63A2" w:rsidP="005B63A2">
      <w:pPr>
        <w:pStyle w:val="paragraph"/>
      </w:pPr>
      <w:r w:rsidRPr="00143624">
        <w:tab/>
        <w:t>(d)</w:t>
      </w:r>
      <w:r w:rsidRPr="00143624">
        <w:tab/>
        <w:t>not an amount mentioned in subsection</w:t>
      </w:r>
      <w:r w:rsidR="002B1A95" w:rsidRPr="00143624">
        <w:t> </w:t>
      </w:r>
      <w:r w:rsidRPr="00143624">
        <w:t>295</w:t>
      </w:r>
      <w:r w:rsidR="00143624">
        <w:noBreakHyphen/>
      </w:r>
      <w:r w:rsidRPr="00143624">
        <w:t>200(2) of the Act.</w:t>
      </w:r>
    </w:p>
    <w:p w:rsidR="005B63A2" w:rsidRPr="00143624" w:rsidRDefault="005B63A2" w:rsidP="005B63A2">
      <w:pPr>
        <w:pStyle w:val="SubsectionHead"/>
      </w:pPr>
      <w:r w:rsidRPr="00143624">
        <w:t>Conditions—amount allocated from a reserve</w:t>
      </w:r>
    </w:p>
    <w:p w:rsidR="005B63A2" w:rsidRPr="00143624" w:rsidRDefault="005B63A2" w:rsidP="005B63A2">
      <w:pPr>
        <w:pStyle w:val="subsection"/>
      </w:pPr>
      <w:r w:rsidRPr="00143624">
        <w:tab/>
        <w:t>(3)</w:t>
      </w:r>
      <w:r w:rsidRPr="00143624">
        <w:tab/>
        <w:t xml:space="preserve">If the amount is allocated from a reserve and the amount does not meet the conditions in </w:t>
      </w:r>
      <w:r w:rsidR="002B1A95" w:rsidRPr="00143624">
        <w:t>subsection (</w:t>
      </w:r>
      <w:r w:rsidRPr="00143624">
        <w:t xml:space="preserve">2), the conditions are that neither </w:t>
      </w:r>
      <w:r w:rsidR="002B1A95" w:rsidRPr="00143624">
        <w:t>subsection (</w:t>
      </w:r>
      <w:r w:rsidRPr="00143624">
        <w:t>4) nor (5) applies to the amount.</w:t>
      </w:r>
    </w:p>
    <w:p w:rsidR="005B63A2" w:rsidRPr="00143624" w:rsidRDefault="005B63A2" w:rsidP="005B63A2">
      <w:pPr>
        <w:pStyle w:val="subsection"/>
      </w:pPr>
      <w:r w:rsidRPr="00143624">
        <w:tab/>
        <w:t>(4)</w:t>
      </w:r>
      <w:r w:rsidRPr="00143624">
        <w:tab/>
        <w:t>This subsection applies if:</w:t>
      </w:r>
    </w:p>
    <w:p w:rsidR="005B63A2" w:rsidRPr="00143624" w:rsidRDefault="005B63A2" w:rsidP="005B63A2">
      <w:pPr>
        <w:pStyle w:val="paragraph"/>
      </w:pPr>
      <w:r w:rsidRPr="00143624">
        <w:tab/>
        <w:t>(a)</w:t>
      </w:r>
      <w:r w:rsidRPr="00143624">
        <w:tab/>
        <w:t>the amount is allocated, in a fair and reasonable manner:</w:t>
      </w:r>
    </w:p>
    <w:p w:rsidR="005B63A2" w:rsidRPr="00143624" w:rsidRDefault="005B63A2" w:rsidP="005B63A2">
      <w:pPr>
        <w:pStyle w:val="paragraphsub"/>
      </w:pPr>
      <w:r w:rsidRPr="00143624">
        <w:tab/>
        <w:t>(i)</w:t>
      </w:r>
      <w:r w:rsidRPr="00143624">
        <w:tab/>
        <w:t>to an account for every member of the complying superannuation plan; or</w:t>
      </w:r>
    </w:p>
    <w:p w:rsidR="005B63A2" w:rsidRPr="00143624" w:rsidRDefault="005B63A2" w:rsidP="005B63A2">
      <w:pPr>
        <w:pStyle w:val="paragraphsub"/>
      </w:pPr>
      <w:r w:rsidRPr="00143624">
        <w:tab/>
        <w:t>(ii)</w:t>
      </w:r>
      <w:r w:rsidRPr="00143624">
        <w:tab/>
        <w:t>if the member is a member of a class of members of the complying superannuation plan, and the amount in the reserve relates only to that class of members—to an account for every member of the class; and</w:t>
      </w:r>
    </w:p>
    <w:p w:rsidR="005B63A2" w:rsidRPr="00143624" w:rsidRDefault="005B63A2" w:rsidP="005B63A2">
      <w:pPr>
        <w:pStyle w:val="paragraph"/>
      </w:pPr>
      <w:r w:rsidRPr="00143624">
        <w:rPr>
          <w:color w:val="000000"/>
        </w:rPr>
        <w:tab/>
        <w:t>(b)</w:t>
      </w:r>
      <w:r w:rsidRPr="00143624">
        <w:rPr>
          <w:color w:val="000000"/>
        </w:rPr>
        <w:tab/>
      </w:r>
      <w:r w:rsidRPr="00143624">
        <w:t>the amount that is allocated for the financial year is less than 5% of the value of the member’s interest in the complying superannuation plan at the time of allocation; and</w:t>
      </w:r>
    </w:p>
    <w:p w:rsidR="005B63A2" w:rsidRPr="00143624" w:rsidRDefault="005B63A2" w:rsidP="005B63A2">
      <w:pPr>
        <w:pStyle w:val="paragraph"/>
      </w:pPr>
      <w:r w:rsidRPr="00143624">
        <w:tab/>
        <w:t>(c)</w:t>
      </w:r>
      <w:r w:rsidRPr="00143624">
        <w:tab/>
        <w:t>the amount would not be assessable income of the complying superannuation plan if it were made as a contribution.</w:t>
      </w:r>
    </w:p>
    <w:p w:rsidR="005B63A2" w:rsidRPr="00143624" w:rsidRDefault="005B63A2" w:rsidP="005B63A2">
      <w:pPr>
        <w:pStyle w:val="subsection"/>
      </w:pPr>
      <w:r w:rsidRPr="00143624">
        <w:tab/>
        <w:t>(5)</w:t>
      </w:r>
      <w:r w:rsidRPr="00143624">
        <w:tab/>
        <w:t xml:space="preserve">This subsection applies if </w:t>
      </w:r>
      <w:r w:rsidRPr="00143624">
        <w:rPr>
          <w:color w:val="000000"/>
        </w:rPr>
        <w:t xml:space="preserve">the amount is allocated from a reserve used solely for the purpose of enabling the complying superannuation plan to discharge all or part of its liabilities (contingent or not), as soon as they become due, in respect of superannuation income stream benefits that are payable by the complying superannuation plan at that time, and </w:t>
      </w:r>
      <w:r w:rsidRPr="00143624">
        <w:t>any of the following applies:</w:t>
      </w:r>
    </w:p>
    <w:p w:rsidR="005B63A2" w:rsidRPr="00143624" w:rsidRDefault="005B63A2" w:rsidP="005B63A2">
      <w:pPr>
        <w:pStyle w:val="paragraph"/>
      </w:pPr>
      <w:r w:rsidRPr="00143624">
        <w:rPr>
          <w:color w:val="000000"/>
        </w:rPr>
        <w:tab/>
        <w:t>(a)</w:t>
      </w:r>
      <w:r w:rsidRPr="00143624">
        <w:rPr>
          <w:color w:val="000000"/>
        </w:rPr>
        <w:tab/>
      </w:r>
      <w:r w:rsidRPr="00143624">
        <w:t>the amount has been allocated to satisfy a pension liability of the plan paid during the financial year;</w:t>
      </w:r>
    </w:p>
    <w:p w:rsidR="005B63A2" w:rsidRPr="00143624" w:rsidRDefault="005B63A2" w:rsidP="005B63A2">
      <w:pPr>
        <w:pStyle w:val="paragraph"/>
      </w:pPr>
      <w:r w:rsidRPr="00143624">
        <w:tab/>
        <w:t>(b)</w:t>
      </w:r>
      <w:r w:rsidRPr="00143624">
        <w:tab/>
        <w:t xml:space="preserve">on the commutation of a superannuation income stream, except as a result of the death of the primary beneficiary, the amount is allocated to the </w:t>
      </w:r>
      <w:r w:rsidRPr="00143624">
        <w:lastRenderedPageBreak/>
        <w:t>recipient of the superannuation income stream, to commence another superannuation income stream, as soon as practicable;</w:t>
      </w:r>
    </w:p>
    <w:p w:rsidR="005B63A2" w:rsidRPr="00143624" w:rsidRDefault="005B63A2" w:rsidP="005B63A2">
      <w:pPr>
        <w:pStyle w:val="paragraph"/>
      </w:pPr>
      <w:r w:rsidRPr="00143624">
        <w:tab/>
        <w:t>(c)</w:t>
      </w:r>
      <w:r w:rsidRPr="00143624">
        <w:tab/>
        <w:t>on the commutation of a superannuation income stream as a result of the death of the primary beneficiary, the amount:</w:t>
      </w:r>
    </w:p>
    <w:p w:rsidR="005B63A2" w:rsidRPr="00143624" w:rsidRDefault="005B63A2" w:rsidP="005B63A2">
      <w:pPr>
        <w:pStyle w:val="paragraphsub"/>
      </w:pPr>
      <w:r w:rsidRPr="00143624">
        <w:rPr>
          <w:color w:val="000000"/>
        </w:rPr>
        <w:tab/>
        <w:t>(</w:t>
      </w:r>
      <w:r w:rsidRPr="00143624">
        <w:t>i)</w:t>
      </w:r>
      <w:r w:rsidRPr="00143624">
        <w:tab/>
        <w:t>is allocated to a death benefits dependant to discharge liabilities in respect of a superannuation income stream benefit that is payable by the plan as a result of the death; or</w:t>
      </w:r>
    </w:p>
    <w:p w:rsidR="005B63A2" w:rsidRPr="00143624" w:rsidRDefault="005B63A2" w:rsidP="005B63A2">
      <w:pPr>
        <w:pStyle w:val="paragraphsub"/>
      </w:pPr>
      <w:r w:rsidRPr="00143624">
        <w:tab/>
        <w:t>(ii)</w:t>
      </w:r>
      <w:r w:rsidRPr="00143624">
        <w:tab/>
        <w:t xml:space="preserve">if </w:t>
      </w:r>
      <w:r w:rsidR="002B1A95" w:rsidRPr="00143624">
        <w:t>subparagraph (</w:t>
      </w:r>
      <w:r w:rsidRPr="00143624">
        <w:t>i) does not apply—is paid as a superannuation lump sum and as a superannuation death benefit;</w:t>
      </w:r>
    </w:p>
    <w:p w:rsidR="005B63A2" w:rsidRPr="00143624" w:rsidRDefault="005B63A2" w:rsidP="005B63A2">
      <w:pPr>
        <w:pStyle w:val="paragraph"/>
      </w:pPr>
      <w:r w:rsidRPr="00143624">
        <w:tab/>
      </w:r>
      <w:r w:rsidRPr="00143624">
        <w:tab/>
        <w:t>as soon as practicable.</w:t>
      </w:r>
    </w:p>
    <w:p w:rsidR="005B63A2" w:rsidRPr="00143624" w:rsidRDefault="005B63A2" w:rsidP="005B63A2">
      <w:pPr>
        <w:pStyle w:val="subsection"/>
      </w:pPr>
      <w:r w:rsidRPr="00143624">
        <w:tab/>
        <w:t>(6)</w:t>
      </w:r>
      <w:r w:rsidRPr="00143624">
        <w:tab/>
        <w:t>If the amount is allocated from a reserve in lieu of a contribution to the complying superannuation plan (less any allowance for tax) which would have been assessable income of the complying superannuation plan, the amount that is allocated is to be multiplied by 1.176.</w:t>
      </w:r>
    </w:p>
    <w:p w:rsidR="005B63A2" w:rsidRPr="00143624" w:rsidRDefault="005B63A2" w:rsidP="005B63A2">
      <w:pPr>
        <w:pStyle w:val="ActHead4"/>
      </w:pPr>
      <w:bookmarkStart w:id="65" w:name="_Toc64030323"/>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291</w:t>
      </w:r>
      <w:r w:rsidR="00143624" w:rsidRPr="003F3E0B">
        <w:rPr>
          <w:rStyle w:val="CharSubdNo"/>
          <w:rFonts w:eastAsiaTheme="majorEastAsia"/>
        </w:rPr>
        <w:noBreakHyphen/>
      </w:r>
      <w:r w:rsidRPr="003F3E0B">
        <w:rPr>
          <w:rStyle w:val="CharSubdNo"/>
          <w:rFonts w:eastAsiaTheme="majorEastAsia"/>
        </w:rPr>
        <w:t>C</w:t>
      </w:r>
      <w:r w:rsidRPr="00143624">
        <w:t>—</w:t>
      </w:r>
      <w:r w:rsidRPr="003F3E0B">
        <w:rPr>
          <w:rStyle w:val="CharSubdText"/>
          <w:rFonts w:eastAsiaTheme="majorEastAsia"/>
        </w:rPr>
        <w:t>Modifications for defined benefit interests</w:t>
      </w:r>
      <w:bookmarkEnd w:id="65"/>
    </w:p>
    <w:p w:rsidR="005B63A2" w:rsidRPr="00143624" w:rsidRDefault="005B63A2" w:rsidP="005B63A2">
      <w:pPr>
        <w:pStyle w:val="ActHead5"/>
      </w:pPr>
      <w:bookmarkStart w:id="66" w:name="_Toc64030324"/>
      <w:r w:rsidRPr="003F3E0B">
        <w:rPr>
          <w:rStyle w:val="CharSectno"/>
        </w:rPr>
        <w:t>291</w:t>
      </w:r>
      <w:r w:rsidR="00143624" w:rsidRPr="003F3E0B">
        <w:rPr>
          <w:rStyle w:val="CharSectno"/>
        </w:rPr>
        <w:noBreakHyphen/>
      </w:r>
      <w:r w:rsidRPr="003F3E0B">
        <w:rPr>
          <w:rStyle w:val="CharSectno"/>
        </w:rPr>
        <w:t>170.01</w:t>
      </w:r>
      <w:r w:rsidRPr="00143624">
        <w:t xml:space="preserve">  Treatment of superannuation sub</w:t>
      </w:r>
      <w:r w:rsidR="00143624">
        <w:noBreakHyphen/>
      </w:r>
      <w:r w:rsidRPr="00143624">
        <w:t>funds</w:t>
      </w:r>
      <w:bookmarkEnd w:id="66"/>
    </w:p>
    <w:p w:rsidR="005B63A2" w:rsidRPr="00143624" w:rsidRDefault="005B63A2" w:rsidP="005B63A2">
      <w:pPr>
        <w:pStyle w:val="subsection"/>
      </w:pPr>
      <w:r w:rsidRPr="00143624">
        <w:tab/>
      </w:r>
      <w:r w:rsidRPr="00143624">
        <w:tab/>
        <w:t>If there are 2 or more superannuation sub</w:t>
      </w:r>
      <w:r w:rsidR="00143624">
        <w:noBreakHyphen/>
      </w:r>
      <w:r w:rsidRPr="00143624">
        <w:t xml:space="preserve">funds in relation to defined benefit members of a superannuation fund, apply this Subdivision and </w:t>
      </w:r>
      <w:r w:rsidR="00F5399E" w:rsidRPr="00143624">
        <w:t>Schedule 1</w:t>
      </w:r>
      <w:r w:rsidRPr="00143624">
        <w:t>A to the superannuation fund separately in respect of each superannuation sub</w:t>
      </w:r>
      <w:r w:rsidR="00143624">
        <w:noBreakHyphen/>
      </w:r>
      <w:r w:rsidRPr="00143624">
        <w:t>fund.</w:t>
      </w:r>
    </w:p>
    <w:p w:rsidR="005B63A2" w:rsidRPr="00143624" w:rsidRDefault="005B63A2" w:rsidP="005B63A2">
      <w:pPr>
        <w:pStyle w:val="ActHead5"/>
      </w:pPr>
      <w:bookmarkStart w:id="67" w:name="_Toc64030325"/>
      <w:r w:rsidRPr="003F3E0B">
        <w:rPr>
          <w:rStyle w:val="CharSectno"/>
        </w:rPr>
        <w:t>291</w:t>
      </w:r>
      <w:r w:rsidR="00143624" w:rsidRPr="003F3E0B">
        <w:rPr>
          <w:rStyle w:val="CharSectno"/>
        </w:rPr>
        <w:noBreakHyphen/>
      </w:r>
      <w:r w:rsidRPr="003F3E0B">
        <w:rPr>
          <w:rStyle w:val="CharSectno"/>
        </w:rPr>
        <w:t>170.02</w:t>
      </w:r>
      <w:r w:rsidRPr="00143624">
        <w:t xml:space="preserve">  Notional taxed contributions—contributions for funds with 5 or more defined benefit members</w:t>
      </w:r>
      <w:bookmarkEnd w:id="67"/>
    </w:p>
    <w:p w:rsidR="005B63A2" w:rsidRPr="00143624" w:rsidRDefault="005B63A2" w:rsidP="005B63A2">
      <w:pPr>
        <w:pStyle w:val="subsection"/>
      </w:pPr>
      <w:r w:rsidRPr="00143624">
        <w:tab/>
        <w:t>(1)</w:t>
      </w:r>
      <w:r w:rsidRPr="00143624">
        <w:tab/>
        <w:t>For the purposes of subsection</w:t>
      </w:r>
      <w:r w:rsidR="002B1A95" w:rsidRPr="00143624">
        <w:t> </w:t>
      </w:r>
      <w:r w:rsidRPr="00143624">
        <w:t>291</w:t>
      </w:r>
      <w:r w:rsidR="00143624">
        <w:noBreakHyphen/>
      </w:r>
      <w:r w:rsidRPr="00143624">
        <w:t xml:space="preserve">170(1) of the Act, this section gives the meaning of </w:t>
      </w:r>
      <w:r w:rsidRPr="00143624">
        <w:rPr>
          <w:b/>
          <w:i/>
        </w:rPr>
        <w:t>notional taxed contributions</w:t>
      </w:r>
      <w:r w:rsidRPr="00143624">
        <w:t xml:space="preserve"> for a financial year in respect of the defined benefit interest of a member of:</w:t>
      </w:r>
    </w:p>
    <w:p w:rsidR="005B63A2" w:rsidRPr="00143624" w:rsidRDefault="005B63A2" w:rsidP="005B63A2">
      <w:pPr>
        <w:pStyle w:val="paragraph"/>
      </w:pPr>
      <w:r w:rsidRPr="00143624">
        <w:rPr>
          <w:color w:val="000000"/>
        </w:rPr>
        <w:tab/>
        <w:t>(a)</w:t>
      </w:r>
      <w:r w:rsidRPr="00143624">
        <w:rPr>
          <w:color w:val="000000"/>
        </w:rPr>
        <w:tab/>
      </w:r>
      <w:r w:rsidRPr="00143624">
        <w:t xml:space="preserve">a superannuation fund </w:t>
      </w:r>
      <w:r w:rsidRPr="00143624">
        <w:rPr>
          <w:color w:val="000000"/>
        </w:rPr>
        <w:t>that has 5 or more defined benefit members (</w:t>
      </w:r>
      <w:r w:rsidRPr="00143624">
        <w:t xml:space="preserve">other than a fund to which </w:t>
      </w:r>
      <w:r w:rsidR="002B1A95" w:rsidRPr="00143624">
        <w:t>paragraph (</w:t>
      </w:r>
      <w:r w:rsidRPr="00143624">
        <w:t>6)(a) of this section applies)</w:t>
      </w:r>
      <w:r w:rsidRPr="00143624">
        <w:rPr>
          <w:color w:val="000000"/>
        </w:rPr>
        <w:t>; or</w:t>
      </w:r>
    </w:p>
    <w:p w:rsidR="005B63A2" w:rsidRPr="00143624" w:rsidRDefault="005B63A2" w:rsidP="005B63A2">
      <w:pPr>
        <w:pStyle w:val="paragraph"/>
      </w:pPr>
      <w:r w:rsidRPr="00143624">
        <w:tab/>
        <w:t>(b)</w:t>
      </w:r>
      <w:r w:rsidRPr="00143624">
        <w:tab/>
        <w:t xml:space="preserve">a superannuation fund to which </w:t>
      </w:r>
      <w:r w:rsidR="002B1A95" w:rsidRPr="00143624">
        <w:t>subsection (</w:t>
      </w:r>
      <w:r w:rsidRPr="00143624">
        <w:t>3), (4), (5) or (6) of this section applies.</w:t>
      </w:r>
    </w:p>
    <w:p w:rsidR="005B63A2" w:rsidRPr="00143624" w:rsidRDefault="005B63A2" w:rsidP="005B63A2">
      <w:pPr>
        <w:pStyle w:val="notetext"/>
      </w:pPr>
      <w:r w:rsidRPr="00143624">
        <w:t>Note:</w:t>
      </w:r>
      <w:r w:rsidRPr="00143624">
        <w:tab/>
        <w:t>Section 291</w:t>
      </w:r>
      <w:r w:rsidR="00143624">
        <w:noBreakHyphen/>
      </w:r>
      <w:r w:rsidRPr="00143624">
        <w:t>170.04 specifies circumstances in which, despite this section, the amount of notional taxed contributions is nil.</w:t>
      </w:r>
    </w:p>
    <w:p w:rsidR="005B63A2" w:rsidRPr="00143624" w:rsidRDefault="005B63A2" w:rsidP="005B63A2">
      <w:pPr>
        <w:pStyle w:val="subsection"/>
      </w:pPr>
      <w:r w:rsidRPr="00143624">
        <w:rPr>
          <w:color w:val="000000"/>
        </w:rPr>
        <w:tab/>
        <w:t>(2)</w:t>
      </w:r>
      <w:r w:rsidRPr="00143624">
        <w:rPr>
          <w:color w:val="000000"/>
        </w:rPr>
        <w:tab/>
        <w:t xml:space="preserve">The </w:t>
      </w:r>
      <w:r w:rsidRPr="00143624">
        <w:rPr>
          <w:b/>
          <w:i/>
          <w:color w:val="000000"/>
        </w:rPr>
        <w:t>notional taxed contributions</w:t>
      </w:r>
      <w:r w:rsidRPr="00143624">
        <w:rPr>
          <w:b/>
          <w:color w:val="000000"/>
        </w:rPr>
        <w:t xml:space="preserve"> </w:t>
      </w:r>
      <w:r w:rsidRPr="00143624">
        <w:rPr>
          <w:color w:val="000000"/>
        </w:rPr>
        <w:t xml:space="preserve">are the contributions that are determined by the trustee of the superannuation fund to be notional taxed contributions, using the method set out in </w:t>
      </w:r>
      <w:r w:rsidR="00F5399E" w:rsidRPr="00143624">
        <w:rPr>
          <w:color w:val="000000"/>
        </w:rPr>
        <w:t>Schedule 1</w:t>
      </w:r>
      <w:r w:rsidRPr="00143624">
        <w:rPr>
          <w:color w:val="000000"/>
        </w:rPr>
        <w:t>A.</w:t>
      </w:r>
    </w:p>
    <w:p w:rsidR="005B63A2" w:rsidRPr="00143624" w:rsidRDefault="005B63A2" w:rsidP="005B63A2">
      <w:pPr>
        <w:pStyle w:val="subsection"/>
      </w:pPr>
      <w:r w:rsidRPr="00143624">
        <w:tab/>
        <w:t>(3)</w:t>
      </w:r>
      <w:r w:rsidRPr="00143624">
        <w:tab/>
        <w:t xml:space="preserve">If a superannuation fund has 5 or more defined benefit members on </w:t>
      </w:r>
      <w:r w:rsidR="00F5399E" w:rsidRPr="00143624">
        <w:t>1 July</w:t>
      </w:r>
      <w:r w:rsidRPr="00143624">
        <w:t xml:space="preserve"> 2007, this subsection applies to the fund even if the number of defined benefit members of the fund becomes less than 5 at any time on or after </w:t>
      </w:r>
      <w:r w:rsidR="00F5399E" w:rsidRPr="00143624">
        <w:t>1 July</w:t>
      </w:r>
      <w:r w:rsidRPr="00143624">
        <w:t xml:space="preserve"> 2007.</w:t>
      </w:r>
    </w:p>
    <w:p w:rsidR="005B63A2" w:rsidRPr="00143624" w:rsidRDefault="005B63A2" w:rsidP="005B63A2">
      <w:pPr>
        <w:pStyle w:val="subsection"/>
      </w:pPr>
      <w:r w:rsidRPr="00143624">
        <w:tab/>
        <w:t>(4)</w:t>
      </w:r>
      <w:r w:rsidRPr="00143624">
        <w:tab/>
        <w:t>This subsection applies to a superannuation fund if:</w:t>
      </w:r>
    </w:p>
    <w:p w:rsidR="005B63A2" w:rsidRPr="00143624" w:rsidRDefault="005B63A2" w:rsidP="005B63A2">
      <w:pPr>
        <w:pStyle w:val="paragraph"/>
      </w:pPr>
      <w:r w:rsidRPr="00143624">
        <w:rPr>
          <w:color w:val="000000"/>
        </w:rPr>
        <w:tab/>
        <w:t>(a)</w:t>
      </w:r>
      <w:r w:rsidRPr="00143624">
        <w:rPr>
          <w:color w:val="000000"/>
        </w:rPr>
        <w:tab/>
        <w:t xml:space="preserve">the fund had 5 or more defined benefit members at any time before </w:t>
      </w:r>
      <w:r w:rsidR="00F5399E" w:rsidRPr="00143624">
        <w:rPr>
          <w:color w:val="000000"/>
        </w:rPr>
        <w:t>1 July</w:t>
      </w:r>
      <w:r w:rsidRPr="00143624">
        <w:rPr>
          <w:color w:val="000000"/>
        </w:rPr>
        <w:t xml:space="preserve"> 2007; and</w:t>
      </w:r>
    </w:p>
    <w:p w:rsidR="005B63A2" w:rsidRPr="00143624" w:rsidRDefault="005B63A2" w:rsidP="005B63A2">
      <w:pPr>
        <w:pStyle w:val="paragraph"/>
      </w:pPr>
      <w:r w:rsidRPr="00143624">
        <w:tab/>
        <w:t>(b)</w:t>
      </w:r>
      <w:r w:rsidRPr="00143624">
        <w:tab/>
        <w:t xml:space="preserve">the fund had fewer than 5 defined benefit members on </w:t>
      </w:r>
      <w:r w:rsidR="00F5399E" w:rsidRPr="00143624">
        <w:t>1 July</w:t>
      </w:r>
      <w:r w:rsidRPr="00143624">
        <w:t xml:space="preserve"> 2007; and</w:t>
      </w:r>
    </w:p>
    <w:p w:rsidR="005B63A2" w:rsidRPr="00143624" w:rsidRDefault="005B63A2" w:rsidP="005B63A2">
      <w:pPr>
        <w:pStyle w:val="paragraph"/>
      </w:pPr>
      <w:r w:rsidRPr="00143624">
        <w:tab/>
        <w:t>(c)</w:t>
      </w:r>
      <w:r w:rsidRPr="00143624">
        <w:tab/>
        <w:t xml:space="preserve">the fund had been in existence for 5 or more years at </w:t>
      </w:r>
      <w:r w:rsidR="00F5399E" w:rsidRPr="00143624">
        <w:t>1 July</w:t>
      </w:r>
      <w:r w:rsidRPr="00143624">
        <w:t xml:space="preserve"> 2007; and</w:t>
      </w:r>
    </w:p>
    <w:p w:rsidR="005B63A2" w:rsidRPr="00143624" w:rsidRDefault="005B63A2" w:rsidP="005B63A2">
      <w:pPr>
        <w:pStyle w:val="paragraph"/>
      </w:pPr>
      <w:r w:rsidRPr="00143624">
        <w:tab/>
        <w:t>(d)</w:t>
      </w:r>
      <w:r w:rsidRPr="00143624">
        <w:tab/>
        <w:t>the trustee of the fund is an RSE licensee; and</w:t>
      </w:r>
    </w:p>
    <w:p w:rsidR="005B63A2" w:rsidRPr="00143624" w:rsidRDefault="005B63A2" w:rsidP="005B63A2">
      <w:pPr>
        <w:pStyle w:val="paragraph"/>
      </w:pPr>
      <w:r w:rsidRPr="00143624">
        <w:lastRenderedPageBreak/>
        <w:tab/>
        <w:t>(e)</w:t>
      </w:r>
      <w:r w:rsidRPr="00143624">
        <w:tab/>
        <w:t>the employer</w:t>
      </w:r>
      <w:r w:rsidR="00143624">
        <w:noBreakHyphen/>
      </w:r>
      <w:r w:rsidRPr="00143624">
        <w:t>sponsor of the fund deals with each of the defined benefit members at arm’s length.</w:t>
      </w:r>
    </w:p>
    <w:p w:rsidR="005B63A2" w:rsidRPr="00143624" w:rsidRDefault="005B63A2" w:rsidP="005B63A2">
      <w:pPr>
        <w:pStyle w:val="subsection"/>
      </w:pPr>
      <w:r w:rsidRPr="00143624">
        <w:tab/>
        <w:t>(5)</w:t>
      </w:r>
      <w:r w:rsidRPr="00143624">
        <w:tab/>
        <w:t>If:</w:t>
      </w:r>
    </w:p>
    <w:p w:rsidR="005B63A2" w:rsidRPr="00143624" w:rsidRDefault="005B63A2" w:rsidP="005B63A2">
      <w:pPr>
        <w:pStyle w:val="paragraph"/>
      </w:pPr>
      <w:r w:rsidRPr="00143624">
        <w:tab/>
        <w:t>(a)</w:t>
      </w:r>
      <w:r w:rsidRPr="00143624">
        <w:tab/>
      </w:r>
      <w:r w:rsidR="002B1A95" w:rsidRPr="00143624">
        <w:t>subsection (</w:t>
      </w:r>
      <w:r w:rsidRPr="00143624">
        <w:t>3) or (4) applies to a superannuation fund (</w:t>
      </w:r>
      <w:r w:rsidRPr="00143624">
        <w:rPr>
          <w:b/>
          <w:i/>
        </w:rPr>
        <w:t>fund 1</w:t>
      </w:r>
      <w:r w:rsidRPr="00143624">
        <w:t>); and</w:t>
      </w:r>
    </w:p>
    <w:p w:rsidR="005B63A2" w:rsidRPr="00143624" w:rsidRDefault="005B63A2" w:rsidP="005B63A2">
      <w:pPr>
        <w:pStyle w:val="paragraph"/>
      </w:pPr>
      <w:r w:rsidRPr="00143624">
        <w:tab/>
        <w:t>(b)</w:t>
      </w:r>
      <w:r w:rsidRPr="00143624">
        <w:tab/>
        <w:t>the defined benefit members of fund 1 are transferred to another superannuation fund (</w:t>
      </w:r>
      <w:r w:rsidRPr="00143624">
        <w:rPr>
          <w:b/>
          <w:i/>
        </w:rPr>
        <w:t>fund 2</w:t>
      </w:r>
      <w:r w:rsidRPr="00143624">
        <w:t xml:space="preserve">) on or after </w:t>
      </w:r>
      <w:r w:rsidR="00F5399E" w:rsidRPr="00143624">
        <w:t>1 July</w:t>
      </w:r>
      <w:r w:rsidRPr="00143624">
        <w:t xml:space="preserve"> 2007 (whether directly or through a series of transfers between superannuation funds); and</w:t>
      </w:r>
    </w:p>
    <w:p w:rsidR="005B63A2" w:rsidRPr="00143624" w:rsidRDefault="005B63A2" w:rsidP="005B63A2">
      <w:pPr>
        <w:pStyle w:val="paragraph"/>
      </w:pPr>
      <w:r w:rsidRPr="00143624">
        <w:rPr>
          <w:color w:val="000000"/>
        </w:rPr>
        <w:tab/>
      </w:r>
      <w:r w:rsidRPr="00143624">
        <w:t>(c)</w:t>
      </w:r>
      <w:r w:rsidRPr="00143624">
        <w:tab/>
        <w:t>the trustee of fund 2 is an RSE licensee; and</w:t>
      </w:r>
    </w:p>
    <w:p w:rsidR="005B63A2" w:rsidRPr="00143624" w:rsidRDefault="005B63A2" w:rsidP="005B63A2">
      <w:pPr>
        <w:pStyle w:val="paragraph"/>
        <w:rPr>
          <w:color w:val="000000"/>
        </w:rPr>
      </w:pPr>
      <w:r w:rsidRPr="00143624">
        <w:rPr>
          <w:color w:val="000000"/>
        </w:rPr>
        <w:tab/>
      </w:r>
      <w:r w:rsidRPr="00143624">
        <w:t>(d)</w:t>
      </w:r>
      <w:r w:rsidRPr="00143624">
        <w:tab/>
        <w:t>the employer</w:t>
      </w:r>
      <w:r w:rsidR="00143624">
        <w:noBreakHyphen/>
      </w:r>
      <w:r w:rsidRPr="00143624">
        <w:t>sponsor of fund 2 deals with each of the defined benefit members of fund 2 at arm’s length;</w:t>
      </w:r>
    </w:p>
    <w:p w:rsidR="005B63A2" w:rsidRPr="00143624" w:rsidRDefault="005B63A2" w:rsidP="005B63A2">
      <w:pPr>
        <w:pStyle w:val="subsection2"/>
      </w:pPr>
      <w:r w:rsidRPr="00143624">
        <w:t>this subsection applies to fund 2.</w:t>
      </w:r>
    </w:p>
    <w:p w:rsidR="005B63A2" w:rsidRPr="00143624" w:rsidRDefault="005B63A2" w:rsidP="005B63A2">
      <w:pPr>
        <w:pStyle w:val="subsection"/>
      </w:pPr>
      <w:r w:rsidRPr="00143624">
        <w:tab/>
        <w:t>(6)</w:t>
      </w:r>
      <w:r w:rsidRPr="00143624">
        <w:tab/>
        <w:t>This subsection applies to a superannuation fund if:</w:t>
      </w:r>
    </w:p>
    <w:p w:rsidR="005B63A2" w:rsidRPr="00143624" w:rsidRDefault="005B63A2" w:rsidP="005B63A2">
      <w:pPr>
        <w:pStyle w:val="paragraph"/>
        <w:rPr>
          <w:color w:val="000000"/>
        </w:rPr>
      </w:pPr>
      <w:r w:rsidRPr="00143624">
        <w:rPr>
          <w:color w:val="000000"/>
        </w:rPr>
        <w:tab/>
        <w:t>(a)</w:t>
      </w:r>
      <w:r w:rsidRPr="00143624">
        <w:rPr>
          <w:color w:val="000000"/>
        </w:rPr>
        <w:tab/>
        <w:t>the fund had no defined benefit members on 30</w:t>
      </w:r>
      <w:r w:rsidR="002B1A95" w:rsidRPr="00143624">
        <w:rPr>
          <w:color w:val="000000"/>
        </w:rPr>
        <w:t> </w:t>
      </w:r>
      <w:r w:rsidRPr="00143624">
        <w:rPr>
          <w:color w:val="000000"/>
        </w:rPr>
        <w:t>June 2007; and</w:t>
      </w:r>
    </w:p>
    <w:p w:rsidR="005B63A2" w:rsidRPr="00143624" w:rsidRDefault="005B63A2" w:rsidP="005B63A2">
      <w:pPr>
        <w:pStyle w:val="paragraph"/>
      </w:pPr>
      <w:r w:rsidRPr="00143624">
        <w:tab/>
        <w:t>(b)</w:t>
      </w:r>
      <w:r w:rsidRPr="00143624">
        <w:tab/>
        <w:t>a person became a defined benefit member of the fund after that date; and</w:t>
      </w:r>
    </w:p>
    <w:p w:rsidR="005B63A2" w:rsidRPr="00143624" w:rsidRDefault="005B63A2" w:rsidP="005B63A2">
      <w:pPr>
        <w:pStyle w:val="paragraph"/>
      </w:pPr>
      <w:r w:rsidRPr="00143624">
        <w:tab/>
        <w:t>(c)</w:t>
      </w:r>
      <w:r w:rsidRPr="00143624">
        <w:tab/>
        <w:t>the number of defined benefit members of the fund (including the person) is at least 50; and</w:t>
      </w:r>
    </w:p>
    <w:p w:rsidR="005B63A2" w:rsidRPr="00143624" w:rsidRDefault="005B63A2" w:rsidP="005B63A2">
      <w:pPr>
        <w:pStyle w:val="paragraph"/>
      </w:pPr>
      <w:r w:rsidRPr="00143624">
        <w:tab/>
        <w:t>(d)</w:t>
      </w:r>
      <w:r w:rsidRPr="00143624">
        <w:tab/>
        <w:t>the employer</w:t>
      </w:r>
      <w:r w:rsidR="00143624">
        <w:noBreakHyphen/>
      </w:r>
      <w:r w:rsidRPr="00143624">
        <w:t>sponsor of the fund deals with each of the defined benefit members at arm’s length.</w:t>
      </w:r>
    </w:p>
    <w:p w:rsidR="005B63A2" w:rsidRPr="00143624" w:rsidRDefault="005B63A2" w:rsidP="005B63A2">
      <w:pPr>
        <w:pStyle w:val="ActHead5"/>
      </w:pPr>
      <w:bookmarkStart w:id="68" w:name="_Toc64030326"/>
      <w:r w:rsidRPr="003F3E0B">
        <w:rPr>
          <w:rStyle w:val="CharSectno"/>
        </w:rPr>
        <w:t>291</w:t>
      </w:r>
      <w:r w:rsidR="00143624" w:rsidRPr="003F3E0B">
        <w:rPr>
          <w:rStyle w:val="CharSectno"/>
        </w:rPr>
        <w:noBreakHyphen/>
      </w:r>
      <w:r w:rsidRPr="003F3E0B">
        <w:rPr>
          <w:rStyle w:val="CharSectno"/>
        </w:rPr>
        <w:t>170.03</w:t>
      </w:r>
      <w:r w:rsidRPr="00143624">
        <w:t xml:space="preserve">  Notional taxed contributions—contributions for funds to which section 291</w:t>
      </w:r>
      <w:r w:rsidR="00143624">
        <w:noBreakHyphen/>
      </w:r>
      <w:r w:rsidRPr="00143624">
        <w:t>170.02 does not apply</w:t>
      </w:r>
      <w:bookmarkEnd w:id="68"/>
    </w:p>
    <w:p w:rsidR="005B63A2" w:rsidRPr="00143624" w:rsidRDefault="005B63A2" w:rsidP="005B63A2">
      <w:pPr>
        <w:pStyle w:val="subsection"/>
      </w:pPr>
      <w:r w:rsidRPr="00143624">
        <w:tab/>
        <w:t>(1)</w:t>
      </w:r>
      <w:r w:rsidRPr="00143624">
        <w:tab/>
        <w:t>For the purposes of subsection</w:t>
      </w:r>
      <w:r w:rsidR="002B1A95" w:rsidRPr="00143624">
        <w:t> </w:t>
      </w:r>
      <w:r w:rsidRPr="00143624">
        <w:t>291</w:t>
      </w:r>
      <w:r w:rsidR="00143624">
        <w:noBreakHyphen/>
      </w:r>
      <w:r w:rsidRPr="00143624">
        <w:t xml:space="preserve">170(1) of the Act, this section gives the meaning of </w:t>
      </w:r>
      <w:r w:rsidRPr="00143624">
        <w:rPr>
          <w:b/>
          <w:i/>
        </w:rPr>
        <w:t>notional taxed contributions</w:t>
      </w:r>
      <w:r w:rsidRPr="00143624">
        <w:t xml:space="preserve"> for a financial year in respect of the defined benefit interest of a member of a superannuation </w:t>
      </w:r>
      <w:r w:rsidRPr="00143624">
        <w:rPr>
          <w:color w:val="000000"/>
        </w:rPr>
        <w:t>fund</w:t>
      </w:r>
      <w:r w:rsidRPr="00143624">
        <w:t xml:space="preserve"> (other than a superannuation </w:t>
      </w:r>
      <w:r w:rsidRPr="00143624">
        <w:rPr>
          <w:color w:val="000000"/>
        </w:rPr>
        <w:t>fund</w:t>
      </w:r>
      <w:r w:rsidRPr="00143624">
        <w:t xml:space="preserve"> to which section 291</w:t>
      </w:r>
      <w:r w:rsidR="00143624">
        <w:noBreakHyphen/>
      </w:r>
      <w:r w:rsidRPr="00143624">
        <w:t xml:space="preserve">170.02 </w:t>
      </w:r>
      <w:r w:rsidRPr="00143624">
        <w:rPr>
          <w:color w:val="000000"/>
        </w:rPr>
        <w:t xml:space="preserve">of this instrument </w:t>
      </w:r>
      <w:r w:rsidRPr="00143624">
        <w:t>applies).</w:t>
      </w:r>
    </w:p>
    <w:p w:rsidR="005B63A2" w:rsidRPr="00143624" w:rsidRDefault="005B63A2" w:rsidP="005B63A2">
      <w:pPr>
        <w:pStyle w:val="notetext"/>
      </w:pPr>
      <w:r w:rsidRPr="00143624">
        <w:t>Note:</w:t>
      </w:r>
      <w:r w:rsidRPr="00143624">
        <w:tab/>
        <w:t>Section 291</w:t>
      </w:r>
      <w:r w:rsidR="00143624">
        <w:noBreakHyphen/>
      </w:r>
      <w:r w:rsidRPr="00143624">
        <w:t>170.04 specifies circumstances in which, despite this section, the amount of notional taxed contributions is nil.</w:t>
      </w:r>
    </w:p>
    <w:p w:rsidR="005B63A2" w:rsidRPr="00143624" w:rsidRDefault="005B63A2" w:rsidP="005B63A2">
      <w:pPr>
        <w:pStyle w:val="subsection"/>
      </w:pPr>
      <w:r w:rsidRPr="00143624">
        <w:tab/>
        <w:t>(2)</w:t>
      </w:r>
      <w:r w:rsidRPr="00143624">
        <w:tab/>
        <w:t xml:space="preserve">The member’s </w:t>
      </w:r>
      <w:r w:rsidRPr="00143624">
        <w:rPr>
          <w:b/>
          <w:i/>
        </w:rPr>
        <w:t>notional taxed contributions</w:t>
      </w:r>
      <w:r w:rsidRPr="00143624">
        <w:t xml:space="preserve"> for the financial year are:</w:t>
      </w:r>
    </w:p>
    <w:p w:rsidR="005B63A2" w:rsidRPr="00143624" w:rsidRDefault="005B63A2" w:rsidP="005B63A2">
      <w:pPr>
        <w:pStyle w:val="paragraph"/>
      </w:pPr>
      <w:r w:rsidRPr="00143624">
        <w:tab/>
        <w:t>(a)</w:t>
      </w:r>
      <w:r w:rsidRPr="00143624">
        <w:tab/>
        <w:t xml:space="preserve">the amounts of assessable contributions which have been allocated to the member in the financial year in accordance with </w:t>
      </w:r>
      <w:r w:rsidR="00F5399E" w:rsidRPr="00143624">
        <w:t>regulation 7</w:t>
      </w:r>
      <w:r w:rsidR="00F91CFC" w:rsidRPr="00143624">
        <w:t>.11 of the SIS Regulations</w:t>
      </w:r>
      <w:r w:rsidRPr="00143624">
        <w:t>; and</w:t>
      </w:r>
    </w:p>
    <w:p w:rsidR="005B63A2" w:rsidRPr="00143624" w:rsidRDefault="005B63A2" w:rsidP="005B63A2">
      <w:pPr>
        <w:pStyle w:val="paragraph"/>
      </w:pPr>
      <w:r w:rsidRPr="00143624">
        <w:tab/>
        <w:t>(b)</w:t>
      </w:r>
      <w:r w:rsidRPr="00143624">
        <w:tab/>
        <w:t xml:space="preserve">if an amount is allocated to the member from a reserve, other than in the circumstances mentioned in </w:t>
      </w:r>
      <w:r w:rsidR="002B1A95" w:rsidRPr="00143624">
        <w:t>subsection (</w:t>
      </w:r>
      <w:r w:rsidR="00F91CFC" w:rsidRPr="00143624">
        <w:t>3</w:t>
      </w:r>
      <w:r w:rsidRPr="00143624">
        <w:t>):</w:t>
      </w:r>
    </w:p>
    <w:p w:rsidR="005B63A2" w:rsidRPr="00143624" w:rsidRDefault="005B63A2" w:rsidP="005B63A2">
      <w:pPr>
        <w:pStyle w:val="paragraphsub"/>
      </w:pPr>
      <w:r w:rsidRPr="00143624">
        <w:tab/>
        <w:t>(i)</w:t>
      </w:r>
      <w:r w:rsidRPr="00143624">
        <w:tab/>
        <w:t xml:space="preserve">the amount, unless </w:t>
      </w:r>
      <w:r w:rsidR="002B1A95" w:rsidRPr="00143624">
        <w:t>subparagraph (</w:t>
      </w:r>
      <w:r w:rsidRPr="00143624">
        <w:t>ii) applies; or</w:t>
      </w:r>
    </w:p>
    <w:p w:rsidR="005B63A2" w:rsidRPr="00143624" w:rsidRDefault="005B63A2" w:rsidP="005B63A2">
      <w:pPr>
        <w:pStyle w:val="paragraphsub"/>
      </w:pPr>
      <w:r w:rsidRPr="00143624">
        <w:tab/>
        <w:t>(ii)</w:t>
      </w:r>
      <w:r w:rsidRPr="00143624">
        <w:tab/>
        <w:t>if the amount is allocated in lieu of a contribution to the fund (less any allowance for tax) which would have been assessable income of the fund—the amount multiplied by 1.176.</w:t>
      </w:r>
    </w:p>
    <w:p w:rsidR="005B63A2" w:rsidRPr="00143624" w:rsidRDefault="005B63A2" w:rsidP="005B63A2">
      <w:pPr>
        <w:pStyle w:val="notetext"/>
      </w:pPr>
      <w:r w:rsidRPr="00143624">
        <w:t>Example:</w:t>
      </w:r>
      <w:r w:rsidRPr="00143624">
        <w:tab/>
      </w:r>
      <w:r w:rsidRPr="00143624">
        <w:rPr>
          <w:color w:val="000000"/>
        </w:rPr>
        <w:t xml:space="preserve">An employer has an obligation to make a $1,000 contribution. Instead of the employer making a contribution to the fund, the trustee allocates $850 to the member’s account (which is an amount </w:t>
      </w:r>
      <w:r w:rsidRPr="00143624">
        <w:t>equivalent</w:t>
      </w:r>
      <w:r w:rsidRPr="00143624">
        <w:rPr>
          <w:color w:val="000000"/>
        </w:rPr>
        <w:t xml:space="preserve"> to the amount that would be credited to the account after tax was paid). For the purposes of </w:t>
      </w:r>
      <w:r w:rsidR="002B1A95" w:rsidRPr="00143624">
        <w:rPr>
          <w:color w:val="000000"/>
        </w:rPr>
        <w:t>subparagraph (</w:t>
      </w:r>
      <w:r w:rsidRPr="00143624">
        <w:rPr>
          <w:color w:val="000000"/>
        </w:rPr>
        <w:t>b)(ii), t</w:t>
      </w:r>
      <w:r w:rsidRPr="00143624">
        <w:t>he amount of $850 is to be multiplied by 1.176.</w:t>
      </w:r>
    </w:p>
    <w:p w:rsidR="005B63A2" w:rsidRPr="00143624" w:rsidRDefault="005B63A2" w:rsidP="005B63A2">
      <w:pPr>
        <w:pStyle w:val="subsection"/>
      </w:pPr>
      <w:r w:rsidRPr="00143624">
        <w:tab/>
        <w:t>(</w:t>
      </w:r>
      <w:r w:rsidR="00F91CFC" w:rsidRPr="00143624">
        <w:t>3</w:t>
      </w:r>
      <w:r w:rsidRPr="00143624">
        <w:t>)</w:t>
      </w:r>
      <w:r w:rsidRPr="00143624">
        <w:tab/>
        <w:t xml:space="preserve">For the purposes of </w:t>
      </w:r>
      <w:r w:rsidR="002B1A95" w:rsidRPr="00143624">
        <w:t>paragraph (</w:t>
      </w:r>
      <w:r w:rsidRPr="00143624">
        <w:t>2)(b), the circumstances are that:</w:t>
      </w:r>
    </w:p>
    <w:p w:rsidR="005B63A2" w:rsidRPr="00143624" w:rsidRDefault="005B63A2" w:rsidP="005B63A2">
      <w:pPr>
        <w:pStyle w:val="paragraph"/>
      </w:pPr>
      <w:r w:rsidRPr="00143624">
        <w:tab/>
        <w:t>(a)</w:t>
      </w:r>
      <w:r w:rsidRPr="00143624">
        <w:tab/>
        <w:t xml:space="preserve">the amount is allocated from a reserve used solely for the purpose of enabling the fund to discharge all or part of its liabilities (contingent or </w:t>
      </w:r>
      <w:r w:rsidRPr="00143624">
        <w:lastRenderedPageBreak/>
        <w:t>not), as soon as they become due, in respect of superannuation income stream benefits that are payable by the fund at that time; and</w:t>
      </w:r>
    </w:p>
    <w:p w:rsidR="005B63A2" w:rsidRPr="00143624" w:rsidRDefault="005B63A2" w:rsidP="005B63A2">
      <w:pPr>
        <w:pStyle w:val="paragraph"/>
      </w:pPr>
      <w:r w:rsidRPr="00143624">
        <w:tab/>
        <w:t>(b)</w:t>
      </w:r>
      <w:r w:rsidRPr="00143624">
        <w:tab/>
        <w:t xml:space="preserve">any of the circumstances in </w:t>
      </w:r>
      <w:r w:rsidR="002B1A95" w:rsidRPr="00143624">
        <w:t>subsection (</w:t>
      </w:r>
      <w:r w:rsidR="00F91CFC" w:rsidRPr="00143624">
        <w:t>4</w:t>
      </w:r>
      <w:r w:rsidRPr="00143624">
        <w:t>) apply.</w:t>
      </w:r>
    </w:p>
    <w:p w:rsidR="005B63A2" w:rsidRPr="00143624" w:rsidRDefault="005B63A2" w:rsidP="005B63A2">
      <w:pPr>
        <w:pStyle w:val="subsection"/>
      </w:pPr>
      <w:r w:rsidRPr="00143624">
        <w:tab/>
        <w:t>(</w:t>
      </w:r>
      <w:r w:rsidR="00F91CFC" w:rsidRPr="00143624">
        <w:t>4</w:t>
      </w:r>
      <w:r w:rsidRPr="00143624">
        <w:t>)</w:t>
      </w:r>
      <w:r w:rsidRPr="00143624">
        <w:tab/>
        <w:t xml:space="preserve">For the purposes of </w:t>
      </w:r>
      <w:r w:rsidR="002B1A95" w:rsidRPr="00143624">
        <w:t>paragraph (</w:t>
      </w:r>
      <w:r w:rsidR="00F91CFC" w:rsidRPr="00143624">
        <w:t>3</w:t>
      </w:r>
      <w:r w:rsidRPr="00143624">
        <w:t>)(b), the circumstances are the following:</w:t>
      </w:r>
    </w:p>
    <w:p w:rsidR="005B63A2" w:rsidRPr="00143624" w:rsidRDefault="005B63A2" w:rsidP="005B63A2">
      <w:pPr>
        <w:pStyle w:val="paragraph"/>
      </w:pPr>
      <w:r w:rsidRPr="00143624">
        <w:rPr>
          <w:color w:val="000000"/>
        </w:rPr>
        <w:tab/>
        <w:t>(a)</w:t>
      </w:r>
      <w:r w:rsidRPr="00143624">
        <w:tab/>
        <w:t>the amount has been allocated to satisfy a pension liability of the fund paid during the financial year;</w:t>
      </w:r>
    </w:p>
    <w:p w:rsidR="005B63A2" w:rsidRPr="00143624" w:rsidRDefault="005B63A2" w:rsidP="005B63A2">
      <w:pPr>
        <w:pStyle w:val="paragraph"/>
      </w:pPr>
      <w:r w:rsidRPr="00143624">
        <w:tab/>
        <w:t>(b)</w:t>
      </w:r>
      <w:r w:rsidRPr="00143624">
        <w:tab/>
        <w:t>on the commutation of a superannuation income stream, except as a result of the death of the primary beneficiary, the amount is allocated to the recipient of the superannuation income stream, to commence another superannuation income stream, as soon as practicable;</w:t>
      </w:r>
    </w:p>
    <w:p w:rsidR="005B63A2" w:rsidRPr="00143624" w:rsidRDefault="005B63A2" w:rsidP="005B63A2">
      <w:pPr>
        <w:pStyle w:val="paragraph"/>
      </w:pPr>
      <w:r w:rsidRPr="00143624">
        <w:tab/>
        <w:t>(c)</w:t>
      </w:r>
      <w:r w:rsidRPr="00143624">
        <w:tab/>
        <w:t>on the commutation of a superannuation income stream as a result of the death of the primary beneficiary, the amount:</w:t>
      </w:r>
    </w:p>
    <w:p w:rsidR="005B63A2" w:rsidRPr="00143624" w:rsidRDefault="005B63A2" w:rsidP="005B63A2">
      <w:pPr>
        <w:pStyle w:val="paragraphsub"/>
      </w:pPr>
      <w:r w:rsidRPr="00143624">
        <w:rPr>
          <w:color w:val="000000"/>
        </w:rPr>
        <w:tab/>
        <w:t>(i</w:t>
      </w:r>
      <w:r w:rsidRPr="00143624">
        <w:t>)</w:t>
      </w:r>
      <w:r w:rsidRPr="00143624">
        <w:tab/>
        <w:t>is allocated to a death benefits dependant to discharge liabilities in respect of a superannuation income stream benefit that is payable by the fund as a result of the death; or</w:t>
      </w:r>
    </w:p>
    <w:p w:rsidR="005B63A2" w:rsidRPr="00143624" w:rsidRDefault="005B63A2" w:rsidP="005B63A2">
      <w:pPr>
        <w:pStyle w:val="paragraphsub"/>
        <w:rPr>
          <w:color w:val="000000"/>
        </w:rPr>
      </w:pPr>
      <w:r w:rsidRPr="00143624">
        <w:tab/>
        <w:t>(ii)</w:t>
      </w:r>
      <w:r w:rsidRPr="00143624">
        <w:tab/>
        <w:t xml:space="preserve">if </w:t>
      </w:r>
      <w:r w:rsidR="002B1A95" w:rsidRPr="00143624">
        <w:t>subparagraph (</w:t>
      </w:r>
      <w:r w:rsidRPr="00143624">
        <w:t>i) does not apply—is paid as a superannuation lump sum and as a superannuation death benefit;</w:t>
      </w:r>
    </w:p>
    <w:p w:rsidR="005B63A2" w:rsidRPr="00143624" w:rsidRDefault="005B63A2" w:rsidP="005B63A2">
      <w:pPr>
        <w:pStyle w:val="paragraph"/>
      </w:pPr>
      <w:r w:rsidRPr="00143624">
        <w:tab/>
      </w:r>
      <w:r w:rsidRPr="00143624">
        <w:tab/>
        <w:t>as soon as practicable.</w:t>
      </w:r>
    </w:p>
    <w:p w:rsidR="005B63A2" w:rsidRPr="00143624" w:rsidRDefault="005B63A2" w:rsidP="005B63A2">
      <w:pPr>
        <w:pStyle w:val="ActHead5"/>
      </w:pPr>
      <w:bookmarkStart w:id="69" w:name="_Toc64030327"/>
      <w:r w:rsidRPr="003F3E0B">
        <w:rPr>
          <w:rStyle w:val="CharSectno"/>
        </w:rPr>
        <w:t>291</w:t>
      </w:r>
      <w:r w:rsidR="00143624" w:rsidRPr="003F3E0B">
        <w:rPr>
          <w:rStyle w:val="CharSectno"/>
        </w:rPr>
        <w:noBreakHyphen/>
      </w:r>
      <w:r w:rsidRPr="003F3E0B">
        <w:rPr>
          <w:rStyle w:val="CharSectno"/>
        </w:rPr>
        <w:t>170.04</w:t>
      </w:r>
      <w:r w:rsidRPr="00143624">
        <w:t xml:space="preserve">  Notional taxed contributions—nil amount</w:t>
      </w:r>
      <w:bookmarkEnd w:id="69"/>
    </w:p>
    <w:p w:rsidR="005B63A2" w:rsidRPr="00143624" w:rsidRDefault="005B63A2" w:rsidP="005B63A2">
      <w:pPr>
        <w:pStyle w:val="subsection"/>
      </w:pPr>
      <w:r w:rsidRPr="00143624">
        <w:rPr>
          <w:color w:val="000000"/>
        </w:rPr>
        <w:tab/>
        <w:t>(1)</w:t>
      </w:r>
      <w:r w:rsidRPr="00143624">
        <w:rPr>
          <w:color w:val="000000"/>
        </w:rPr>
        <w:tab/>
        <w:t>For the purposes of subsection</w:t>
      </w:r>
      <w:r w:rsidR="002B1A95" w:rsidRPr="00143624">
        <w:rPr>
          <w:color w:val="000000"/>
        </w:rPr>
        <w:t> </w:t>
      </w:r>
      <w:r w:rsidRPr="00143624">
        <w:rPr>
          <w:color w:val="000000"/>
        </w:rPr>
        <w:t>291</w:t>
      </w:r>
      <w:r w:rsidR="00143624">
        <w:rPr>
          <w:color w:val="000000"/>
        </w:rPr>
        <w:noBreakHyphen/>
      </w:r>
      <w:r w:rsidRPr="00143624">
        <w:t xml:space="preserve">170(1) of the Act, this section specifies circumstances in which the amount of notional taxed contributions for a financial year in respect of the defined benefit interest of a member of a superannuation </w:t>
      </w:r>
      <w:r w:rsidRPr="00143624">
        <w:rPr>
          <w:color w:val="000000"/>
        </w:rPr>
        <w:t>fund</w:t>
      </w:r>
      <w:r w:rsidRPr="00143624">
        <w:t xml:space="preserve"> is nil.</w:t>
      </w:r>
    </w:p>
    <w:p w:rsidR="005B63A2" w:rsidRPr="00143624" w:rsidRDefault="005B63A2" w:rsidP="005B63A2">
      <w:pPr>
        <w:pStyle w:val="subsection"/>
      </w:pPr>
      <w:r w:rsidRPr="00143624">
        <w:tab/>
        <w:t>(2)</w:t>
      </w:r>
      <w:r w:rsidRPr="00143624">
        <w:tab/>
        <w:t>This section applies despite sections 291</w:t>
      </w:r>
      <w:r w:rsidR="00143624">
        <w:noBreakHyphen/>
      </w:r>
      <w:r w:rsidRPr="00143624">
        <w:t>170.02 and 291</w:t>
      </w:r>
      <w:r w:rsidR="00143624">
        <w:noBreakHyphen/>
      </w:r>
      <w:r w:rsidRPr="00143624">
        <w:t>170.03.</w:t>
      </w:r>
    </w:p>
    <w:p w:rsidR="005B63A2" w:rsidRPr="00143624" w:rsidRDefault="005B63A2" w:rsidP="005B63A2">
      <w:pPr>
        <w:pStyle w:val="subsection"/>
      </w:pPr>
      <w:r w:rsidRPr="00143624">
        <w:tab/>
        <w:t>(3)</w:t>
      </w:r>
      <w:r w:rsidRPr="00143624">
        <w:tab/>
        <w:t>A circumstance is that:</w:t>
      </w:r>
    </w:p>
    <w:p w:rsidR="005B63A2" w:rsidRPr="00143624" w:rsidRDefault="005B63A2" w:rsidP="005B63A2">
      <w:pPr>
        <w:pStyle w:val="paragraph"/>
      </w:pPr>
      <w:r w:rsidRPr="00143624">
        <w:rPr>
          <w:color w:val="000000"/>
        </w:rPr>
        <w:tab/>
        <w:t>(a)</w:t>
      </w:r>
      <w:r w:rsidRPr="00143624">
        <w:rPr>
          <w:color w:val="000000"/>
        </w:rPr>
        <w:tab/>
        <w:t>the defined benefit interest is held in a public sector superannuation scheme; and</w:t>
      </w:r>
    </w:p>
    <w:p w:rsidR="005B63A2" w:rsidRPr="00143624" w:rsidRDefault="005B63A2" w:rsidP="005B63A2">
      <w:pPr>
        <w:pStyle w:val="paragraph"/>
      </w:pPr>
      <w:r w:rsidRPr="00143624">
        <w:tab/>
        <w:t>(b)</w:t>
      </w:r>
      <w:r w:rsidRPr="00143624">
        <w:tab/>
        <w:t>none of the interest is sourced to any extent from:</w:t>
      </w:r>
    </w:p>
    <w:p w:rsidR="005B63A2" w:rsidRPr="00143624" w:rsidRDefault="005B63A2" w:rsidP="005B63A2">
      <w:pPr>
        <w:pStyle w:val="paragraphsub"/>
      </w:pPr>
      <w:r w:rsidRPr="00143624">
        <w:rPr>
          <w:color w:val="000000"/>
        </w:rPr>
        <w:tab/>
        <w:t>(i)</w:t>
      </w:r>
      <w:r w:rsidRPr="00143624">
        <w:rPr>
          <w:color w:val="000000"/>
        </w:rPr>
        <w:tab/>
        <w:t>contributions made into a superannuation fund; or</w:t>
      </w:r>
    </w:p>
    <w:p w:rsidR="005B63A2" w:rsidRPr="00143624" w:rsidRDefault="005B63A2" w:rsidP="005B63A2">
      <w:pPr>
        <w:pStyle w:val="paragraphsub"/>
      </w:pPr>
      <w:r w:rsidRPr="00143624">
        <w:tab/>
        <w:t>(ii)</w:t>
      </w:r>
      <w:r w:rsidRPr="00143624">
        <w:tab/>
        <w:t>earnings on such contributions;</w:t>
      </w:r>
    </w:p>
    <w:p w:rsidR="005B63A2" w:rsidRPr="00143624" w:rsidRDefault="005B63A2" w:rsidP="005B63A2">
      <w:pPr>
        <w:pStyle w:val="paragraph"/>
        <w:rPr>
          <w:color w:val="000000"/>
        </w:rPr>
      </w:pPr>
      <w:r w:rsidRPr="00143624">
        <w:rPr>
          <w:color w:val="000000"/>
        </w:rPr>
        <w:tab/>
      </w:r>
      <w:r w:rsidRPr="00143624">
        <w:rPr>
          <w:color w:val="000000"/>
        </w:rPr>
        <w:tab/>
        <w:t>unless the interest is an element taxed in the fund that is attributable to one or more roll</w:t>
      </w:r>
      <w:r w:rsidR="00143624">
        <w:rPr>
          <w:color w:val="000000"/>
        </w:rPr>
        <w:noBreakHyphen/>
      </w:r>
      <w:r w:rsidRPr="00143624">
        <w:rPr>
          <w:color w:val="000000"/>
        </w:rPr>
        <w:t>over superannuation benefits.</w:t>
      </w:r>
    </w:p>
    <w:p w:rsidR="005B63A2" w:rsidRPr="00143624" w:rsidRDefault="005B63A2" w:rsidP="005B63A2">
      <w:pPr>
        <w:pStyle w:val="subsection"/>
      </w:pPr>
      <w:r w:rsidRPr="00143624">
        <w:tab/>
        <w:t>(4)</w:t>
      </w:r>
      <w:r w:rsidRPr="00143624">
        <w:tab/>
        <w:t>A circumstance is that, for the whole of the financial year:</w:t>
      </w:r>
    </w:p>
    <w:p w:rsidR="005B63A2" w:rsidRPr="00143624" w:rsidRDefault="005B63A2" w:rsidP="005B63A2">
      <w:pPr>
        <w:pStyle w:val="paragraph"/>
      </w:pPr>
      <w:r w:rsidRPr="00143624">
        <w:rPr>
          <w:color w:val="000000"/>
        </w:rPr>
        <w:tab/>
        <w:t>(a)</w:t>
      </w:r>
      <w:r w:rsidRPr="00143624">
        <w:rPr>
          <w:color w:val="000000"/>
        </w:rPr>
        <w:tab/>
        <w:t>section 291</w:t>
      </w:r>
      <w:r w:rsidR="00143624">
        <w:rPr>
          <w:color w:val="000000"/>
        </w:rPr>
        <w:noBreakHyphen/>
      </w:r>
      <w:r w:rsidRPr="00143624">
        <w:rPr>
          <w:color w:val="000000"/>
        </w:rPr>
        <w:t xml:space="preserve">170.02 applied in relation to the </w:t>
      </w:r>
      <w:r w:rsidRPr="00143624">
        <w:t xml:space="preserve">superannuation </w:t>
      </w:r>
      <w:r w:rsidRPr="00143624">
        <w:rPr>
          <w:color w:val="000000"/>
        </w:rPr>
        <w:t>fund; and</w:t>
      </w:r>
    </w:p>
    <w:p w:rsidR="005B63A2" w:rsidRPr="00143624" w:rsidRDefault="005B63A2" w:rsidP="005B63A2">
      <w:pPr>
        <w:pStyle w:val="paragraph"/>
      </w:pPr>
      <w:r w:rsidRPr="00143624">
        <w:tab/>
        <w:t>(b)</w:t>
      </w:r>
      <w:r w:rsidRPr="00143624">
        <w:tab/>
        <w:t>the member was a non</w:t>
      </w:r>
      <w:r w:rsidR="00143624">
        <w:noBreakHyphen/>
      </w:r>
      <w:r w:rsidRPr="00143624">
        <w:t xml:space="preserve">accruing member of the fund for the financial year (see </w:t>
      </w:r>
      <w:r w:rsidR="002B1A95" w:rsidRPr="00143624">
        <w:t>subsections (</w:t>
      </w:r>
      <w:r w:rsidRPr="00143624">
        <w:t>5) to (8) of this section).</w:t>
      </w:r>
    </w:p>
    <w:p w:rsidR="005B63A2" w:rsidRPr="00143624" w:rsidRDefault="005B63A2" w:rsidP="005B63A2">
      <w:pPr>
        <w:pStyle w:val="subsection"/>
      </w:pPr>
      <w:r w:rsidRPr="00143624">
        <w:tab/>
        <w:t>(5)</w:t>
      </w:r>
      <w:r w:rsidRPr="00143624">
        <w:tab/>
        <w:t xml:space="preserve">The member was a </w:t>
      </w:r>
      <w:r w:rsidRPr="00143624">
        <w:rPr>
          <w:b/>
          <w:i/>
        </w:rPr>
        <w:t>non</w:t>
      </w:r>
      <w:r w:rsidR="00143624">
        <w:rPr>
          <w:b/>
          <w:i/>
        </w:rPr>
        <w:noBreakHyphen/>
      </w:r>
      <w:r w:rsidRPr="00143624">
        <w:rPr>
          <w:b/>
          <w:i/>
        </w:rPr>
        <w:t>accruing member</w:t>
      </w:r>
      <w:r w:rsidRPr="00143624">
        <w:t xml:space="preserve"> of the fund for the financial year if the member had no membership of the fund during the financial year other than membership as:</w:t>
      </w:r>
    </w:p>
    <w:p w:rsidR="005B63A2" w:rsidRPr="00143624" w:rsidRDefault="005B63A2" w:rsidP="005B63A2">
      <w:pPr>
        <w:pStyle w:val="paragraph"/>
      </w:pPr>
      <w:r w:rsidRPr="00143624">
        <w:tab/>
        <w:t>(a)</w:t>
      </w:r>
      <w:r w:rsidRPr="00143624">
        <w:tab/>
        <w:t>an on</w:t>
      </w:r>
      <w:r w:rsidR="00143624">
        <w:noBreakHyphen/>
      </w:r>
      <w:r w:rsidRPr="00143624">
        <w:t>hold member; or</w:t>
      </w:r>
    </w:p>
    <w:p w:rsidR="005B63A2" w:rsidRPr="00143624" w:rsidRDefault="005B63A2" w:rsidP="005B63A2">
      <w:pPr>
        <w:pStyle w:val="paragraph"/>
      </w:pPr>
      <w:r w:rsidRPr="00143624">
        <w:tab/>
        <w:t>(b)</w:t>
      </w:r>
      <w:r w:rsidRPr="00143624">
        <w:tab/>
        <w:t>a pensioned member.</w:t>
      </w:r>
    </w:p>
    <w:p w:rsidR="005B63A2" w:rsidRPr="00143624" w:rsidRDefault="005B63A2" w:rsidP="005B63A2">
      <w:pPr>
        <w:pStyle w:val="notetext"/>
      </w:pPr>
      <w:r w:rsidRPr="00143624">
        <w:t>Note:</w:t>
      </w:r>
      <w:r w:rsidRPr="00143624">
        <w:tab/>
        <w:t>A member could be an on</w:t>
      </w:r>
      <w:r w:rsidR="00143624">
        <w:noBreakHyphen/>
      </w:r>
      <w:r w:rsidRPr="00143624">
        <w:t>hold member of a fund for part of a financial year, and a pensioned member of the fund for another part of the financial year.</w:t>
      </w:r>
    </w:p>
    <w:p w:rsidR="005B63A2" w:rsidRPr="00143624" w:rsidRDefault="005B63A2" w:rsidP="005B63A2">
      <w:pPr>
        <w:pStyle w:val="subsection"/>
      </w:pPr>
      <w:r w:rsidRPr="00143624">
        <w:lastRenderedPageBreak/>
        <w:tab/>
        <w:t>(6)</w:t>
      </w:r>
      <w:r w:rsidRPr="00143624">
        <w:tab/>
        <w:t xml:space="preserve">The member was an </w:t>
      </w:r>
      <w:r w:rsidRPr="00143624">
        <w:rPr>
          <w:b/>
          <w:i/>
        </w:rPr>
        <w:t>on</w:t>
      </w:r>
      <w:r w:rsidR="00143624">
        <w:rPr>
          <w:b/>
          <w:i/>
        </w:rPr>
        <w:noBreakHyphen/>
      </w:r>
      <w:r w:rsidRPr="00143624">
        <w:rPr>
          <w:b/>
          <w:i/>
        </w:rPr>
        <w:t>hold member</w:t>
      </w:r>
      <w:r w:rsidRPr="00143624">
        <w:t xml:space="preserve"> of the fund if:</w:t>
      </w:r>
    </w:p>
    <w:p w:rsidR="005B63A2" w:rsidRPr="00143624" w:rsidRDefault="005B63A2" w:rsidP="005B63A2">
      <w:pPr>
        <w:pStyle w:val="paragraph"/>
      </w:pPr>
      <w:r w:rsidRPr="00143624">
        <w:rPr>
          <w:color w:val="000000"/>
        </w:rPr>
        <w:tab/>
        <w:t>(a)</w:t>
      </w:r>
      <w:r w:rsidRPr="00143624">
        <w:rPr>
          <w:color w:val="000000"/>
        </w:rPr>
        <w:tab/>
        <w:t>the member had a benefit entitlement in the fund, but no employer</w:t>
      </w:r>
      <w:r w:rsidR="00143624">
        <w:rPr>
          <w:color w:val="000000"/>
        </w:rPr>
        <w:noBreakHyphen/>
      </w:r>
      <w:r w:rsidRPr="00143624">
        <w:rPr>
          <w:color w:val="000000"/>
        </w:rPr>
        <w:t>provided benefits accrued to the member; and</w:t>
      </w:r>
    </w:p>
    <w:p w:rsidR="005B63A2" w:rsidRPr="00143624" w:rsidRDefault="005B63A2" w:rsidP="005B63A2">
      <w:pPr>
        <w:pStyle w:val="paragraph"/>
      </w:pPr>
      <w:r w:rsidRPr="00143624">
        <w:tab/>
        <w:t>(b)</w:t>
      </w:r>
      <w:r w:rsidRPr="00143624">
        <w:tab/>
        <w:t>the rules of the fund provided that the benefit:</w:t>
      </w:r>
    </w:p>
    <w:p w:rsidR="005B63A2" w:rsidRPr="00143624" w:rsidRDefault="005B63A2" w:rsidP="005B63A2">
      <w:pPr>
        <w:pStyle w:val="paragraphsub"/>
      </w:pPr>
      <w:r w:rsidRPr="00143624">
        <w:rPr>
          <w:color w:val="000000"/>
        </w:rPr>
        <w:tab/>
        <w:t>(i)</w:t>
      </w:r>
      <w:r w:rsidRPr="00143624">
        <w:rPr>
          <w:color w:val="000000"/>
        </w:rPr>
        <w:tab/>
        <w:t>was not to increase in nominal terms; or</w:t>
      </w:r>
    </w:p>
    <w:p w:rsidR="005B63A2" w:rsidRPr="00143624" w:rsidRDefault="005B63A2" w:rsidP="005B63A2">
      <w:pPr>
        <w:pStyle w:val="paragraphsub"/>
      </w:pPr>
      <w:r w:rsidRPr="00143624">
        <w:tab/>
        <w:t>(ii)</w:t>
      </w:r>
      <w:r w:rsidRPr="00143624">
        <w:tab/>
        <w:t>was to increase at a rate reflecting general price increases (for example, in accordance with the Consumer Price Index); or</w:t>
      </w:r>
    </w:p>
    <w:p w:rsidR="005B63A2" w:rsidRPr="00143624" w:rsidRDefault="005B63A2" w:rsidP="005B63A2">
      <w:pPr>
        <w:pStyle w:val="paragraphsub"/>
      </w:pPr>
      <w:r w:rsidRPr="00143624">
        <w:tab/>
        <w:t>(iii)</w:t>
      </w:r>
      <w:r w:rsidRPr="00143624">
        <w:tab/>
        <w:t>was to increase at a rate reflecting the general level of salary growth or salary growth for relevant fund membership (for example, in accordance with average weekly earnings, or average weekly ordinary time earnings, published by the Australian Statistician); or</w:t>
      </w:r>
    </w:p>
    <w:p w:rsidR="005B63A2" w:rsidRPr="00143624" w:rsidRDefault="005B63A2" w:rsidP="005B63A2">
      <w:pPr>
        <w:pStyle w:val="paragraphsub"/>
      </w:pPr>
      <w:r w:rsidRPr="00143624">
        <w:tab/>
        <w:t>(iv)</w:t>
      </w:r>
      <w:r w:rsidRPr="00143624">
        <w:tab/>
        <w:t>was to increase at the rate (if any) at which the salary on which the member’s benefit was based increased; or</w:t>
      </w:r>
    </w:p>
    <w:p w:rsidR="005B63A2" w:rsidRPr="00143624" w:rsidRDefault="005B63A2" w:rsidP="005B63A2">
      <w:pPr>
        <w:pStyle w:val="paragraphsub"/>
      </w:pPr>
      <w:r w:rsidRPr="00143624">
        <w:tab/>
        <w:t>(v)</w:t>
      </w:r>
      <w:r w:rsidRPr="00143624">
        <w:tab/>
        <w:t>was to increase at a rate reflecting the earning rate of the assets of the fund or the part of the fund to which the member belonged; or</w:t>
      </w:r>
    </w:p>
    <w:p w:rsidR="005B63A2" w:rsidRPr="00143624" w:rsidRDefault="005B63A2" w:rsidP="005B63A2">
      <w:pPr>
        <w:pStyle w:val="paragraphsub"/>
      </w:pPr>
      <w:r w:rsidRPr="00143624">
        <w:tab/>
        <w:t>(vi)</w:t>
      </w:r>
      <w:r w:rsidRPr="00143624">
        <w:tab/>
        <w:t>in the case of a deferred benefit—was to increase at a rate reflecting any reduction in the expected period in which pension payments were to be made and any deferral of the date when payments would start; or</w:t>
      </w:r>
    </w:p>
    <w:p w:rsidR="005B63A2" w:rsidRPr="00143624" w:rsidRDefault="005B63A2" w:rsidP="005B63A2">
      <w:pPr>
        <w:pStyle w:val="paragraphsub"/>
      </w:pPr>
      <w:r w:rsidRPr="00143624">
        <w:tab/>
        <w:t>(vii)</w:t>
      </w:r>
      <w:r w:rsidRPr="00143624">
        <w:tab/>
        <w:t xml:space="preserve">was to increase at a regular rate, or a rate worked out using a formula, that an actuary considered would not result in an increase that was more than the greatest of the increases mentioned in </w:t>
      </w:r>
      <w:r w:rsidR="002B1A95" w:rsidRPr="00143624">
        <w:t>subparagraphs (</w:t>
      </w:r>
      <w:r w:rsidRPr="00143624">
        <w:t>i) to (vi).</w:t>
      </w:r>
    </w:p>
    <w:p w:rsidR="005B63A2" w:rsidRPr="00143624" w:rsidRDefault="005B63A2" w:rsidP="005B63A2">
      <w:pPr>
        <w:pStyle w:val="subsection"/>
      </w:pPr>
      <w:r w:rsidRPr="00143624">
        <w:tab/>
        <w:t>(7)</w:t>
      </w:r>
      <w:r w:rsidRPr="00143624">
        <w:tab/>
        <w:t xml:space="preserve">The member was a </w:t>
      </w:r>
      <w:r w:rsidRPr="00143624">
        <w:rPr>
          <w:b/>
          <w:i/>
        </w:rPr>
        <w:t>pensioned member</w:t>
      </w:r>
      <w:r w:rsidRPr="00143624">
        <w:t xml:space="preserve"> of the fund if:</w:t>
      </w:r>
    </w:p>
    <w:p w:rsidR="005B63A2" w:rsidRPr="00143624" w:rsidRDefault="005B63A2" w:rsidP="005B63A2">
      <w:pPr>
        <w:pStyle w:val="paragraph"/>
      </w:pPr>
      <w:r w:rsidRPr="00143624">
        <w:rPr>
          <w:color w:val="000000"/>
        </w:rPr>
        <w:tab/>
        <w:t>(a)</w:t>
      </w:r>
      <w:r w:rsidRPr="00143624">
        <w:rPr>
          <w:color w:val="000000"/>
        </w:rPr>
        <w:tab/>
        <w:t xml:space="preserve">the member’s membership of the fund consisted only of the member receiving pension payments from the </w:t>
      </w:r>
      <w:r w:rsidRPr="00143624">
        <w:t xml:space="preserve">superannuation </w:t>
      </w:r>
      <w:r w:rsidRPr="00143624">
        <w:rPr>
          <w:color w:val="000000"/>
        </w:rPr>
        <w:t>fund; and</w:t>
      </w:r>
    </w:p>
    <w:p w:rsidR="005B63A2" w:rsidRPr="00143624" w:rsidRDefault="005B63A2" w:rsidP="005B63A2">
      <w:pPr>
        <w:pStyle w:val="paragraph"/>
      </w:pPr>
      <w:r w:rsidRPr="00143624">
        <w:tab/>
        <w:t>(b)</w:t>
      </w:r>
      <w:r w:rsidRPr="00143624">
        <w:tab/>
        <w:t>any of the following applied:</w:t>
      </w:r>
    </w:p>
    <w:p w:rsidR="005B63A2" w:rsidRPr="00143624" w:rsidRDefault="005B63A2" w:rsidP="005B63A2">
      <w:pPr>
        <w:pStyle w:val="paragraphsub"/>
      </w:pPr>
      <w:r w:rsidRPr="00143624">
        <w:rPr>
          <w:color w:val="000000"/>
        </w:rPr>
        <w:tab/>
        <w:t>(i)</w:t>
      </w:r>
      <w:r w:rsidRPr="00143624">
        <w:rPr>
          <w:color w:val="000000"/>
        </w:rPr>
        <w:tab/>
        <w:t>the pension payments were always the same amount;</w:t>
      </w:r>
    </w:p>
    <w:p w:rsidR="005B63A2" w:rsidRPr="00143624" w:rsidRDefault="005B63A2" w:rsidP="005B63A2">
      <w:pPr>
        <w:pStyle w:val="paragraphsub"/>
      </w:pPr>
      <w:r w:rsidRPr="00143624">
        <w:tab/>
        <w:t>(ii)</w:t>
      </w:r>
      <w:r w:rsidRPr="00143624">
        <w:tab/>
        <w:t>the pension payments were paid from an account that related only to the member, and no employer contributions were paid to the account for the benefit of the member;</w:t>
      </w:r>
    </w:p>
    <w:p w:rsidR="005B63A2" w:rsidRPr="00143624" w:rsidRDefault="005B63A2" w:rsidP="005B63A2">
      <w:pPr>
        <w:pStyle w:val="paragraphsub"/>
      </w:pPr>
      <w:r w:rsidRPr="00143624">
        <w:tab/>
        <w:t>(iii)</w:t>
      </w:r>
      <w:r w:rsidRPr="00143624">
        <w:tab/>
        <w:t>the pension payments increased at rates that were consistent with the rates prescribed under the rules of the fund that applied when the pension commenced to be paid.</w:t>
      </w:r>
    </w:p>
    <w:p w:rsidR="005B63A2" w:rsidRPr="00143624" w:rsidRDefault="005B63A2" w:rsidP="005B63A2">
      <w:pPr>
        <w:pStyle w:val="subsection"/>
        <w:rPr>
          <w:color w:val="000000"/>
        </w:rPr>
      </w:pPr>
      <w:r w:rsidRPr="00143624">
        <w:rPr>
          <w:color w:val="000000"/>
        </w:rPr>
        <w:tab/>
        <w:t>(8)</w:t>
      </w:r>
      <w:r w:rsidRPr="00143624">
        <w:rPr>
          <w:color w:val="000000"/>
        </w:rPr>
        <w:tab/>
        <w:t>For the purposes of determining whether a defined benefit member is a non</w:t>
      </w:r>
      <w:r w:rsidR="00143624">
        <w:rPr>
          <w:color w:val="000000"/>
        </w:rPr>
        <w:noBreakHyphen/>
      </w:r>
      <w:r w:rsidRPr="00143624">
        <w:rPr>
          <w:color w:val="000000"/>
        </w:rPr>
        <w:t>accruing member of the fund for a period, any employer contributions paid to the fund for the period to meet partially, or wholly, unfunded benefit liabilities of the fund are not to be treated as employer contributions for the benefit of the member for the period.</w:t>
      </w:r>
    </w:p>
    <w:p w:rsidR="005B63A2" w:rsidRPr="00143624" w:rsidRDefault="005B63A2" w:rsidP="005B63A2">
      <w:pPr>
        <w:pStyle w:val="ActHead5"/>
        <w:rPr>
          <w:b w:val="0"/>
        </w:rPr>
      </w:pPr>
      <w:bookmarkStart w:id="70" w:name="_Toc64030328"/>
      <w:r w:rsidRPr="003F3E0B">
        <w:rPr>
          <w:rStyle w:val="CharSectno"/>
        </w:rPr>
        <w:t>291</w:t>
      </w:r>
      <w:r w:rsidR="00143624" w:rsidRPr="003F3E0B">
        <w:rPr>
          <w:rStyle w:val="CharSectno"/>
        </w:rPr>
        <w:noBreakHyphen/>
      </w:r>
      <w:r w:rsidRPr="003F3E0B">
        <w:rPr>
          <w:rStyle w:val="CharSectno"/>
        </w:rPr>
        <w:t>170.05</w:t>
      </w:r>
      <w:r w:rsidRPr="00143624">
        <w:t xml:space="preserve">  Notional taxed contributions—conditions for paragraph</w:t>
      </w:r>
      <w:r w:rsidR="002B1A95" w:rsidRPr="00143624">
        <w:t> </w:t>
      </w:r>
      <w:r w:rsidRPr="00143624">
        <w:t>291</w:t>
      </w:r>
      <w:r w:rsidR="00143624">
        <w:noBreakHyphen/>
      </w:r>
      <w:r w:rsidRPr="00143624">
        <w:t>170(2)(d) and subparagraph</w:t>
      </w:r>
      <w:r w:rsidR="002B1A95" w:rsidRPr="00143624">
        <w:t> </w:t>
      </w:r>
      <w:r w:rsidRPr="00143624">
        <w:t>291</w:t>
      </w:r>
      <w:r w:rsidR="00143624">
        <w:noBreakHyphen/>
      </w:r>
      <w:r w:rsidRPr="00143624">
        <w:t xml:space="preserve">170(3)(e)(ii) of the </w:t>
      </w:r>
      <w:r w:rsidRPr="00143624">
        <w:rPr>
          <w:i/>
        </w:rPr>
        <w:t>Income Tax (Transitional Provisions) Act 1997</w:t>
      </w:r>
      <w:bookmarkEnd w:id="70"/>
    </w:p>
    <w:p w:rsidR="005B63A2" w:rsidRPr="00143624" w:rsidRDefault="005B63A2" w:rsidP="005B63A2">
      <w:pPr>
        <w:pStyle w:val="subsection"/>
      </w:pPr>
      <w:r w:rsidRPr="00143624">
        <w:tab/>
        <w:t>(1)</w:t>
      </w:r>
      <w:r w:rsidRPr="00143624">
        <w:tab/>
        <w:t>For the purposes of paragraph</w:t>
      </w:r>
      <w:r w:rsidR="002B1A95" w:rsidRPr="00143624">
        <w:t> </w:t>
      </w:r>
      <w:r w:rsidRPr="00143624">
        <w:t>291</w:t>
      </w:r>
      <w:r w:rsidR="00143624">
        <w:noBreakHyphen/>
      </w:r>
      <w:r w:rsidRPr="00143624">
        <w:t>170(2)(d) and subparagraph</w:t>
      </w:r>
      <w:r w:rsidR="002B1A95" w:rsidRPr="00143624">
        <w:t> </w:t>
      </w:r>
      <w:r w:rsidRPr="00143624">
        <w:t>291</w:t>
      </w:r>
      <w:r w:rsidR="00143624">
        <w:noBreakHyphen/>
      </w:r>
      <w:r w:rsidRPr="00143624">
        <w:t xml:space="preserve">170(3)(e)(ii) of the </w:t>
      </w:r>
      <w:r w:rsidRPr="00143624">
        <w:rPr>
          <w:i/>
        </w:rPr>
        <w:t>Income Tax (Transitional Provisions) Act 1997</w:t>
      </w:r>
      <w:r w:rsidRPr="00143624">
        <w:t>, this section:</w:t>
      </w:r>
    </w:p>
    <w:p w:rsidR="005B63A2" w:rsidRPr="00143624" w:rsidRDefault="005B63A2" w:rsidP="005B63A2">
      <w:pPr>
        <w:pStyle w:val="paragraph"/>
      </w:pPr>
      <w:r w:rsidRPr="00143624">
        <w:rPr>
          <w:color w:val="000000"/>
        </w:rPr>
        <w:tab/>
        <w:t>(a)</w:t>
      </w:r>
      <w:r w:rsidRPr="00143624">
        <w:rPr>
          <w:color w:val="000000"/>
        </w:rPr>
        <w:tab/>
        <w:t xml:space="preserve">applies in relation to a </w:t>
      </w:r>
      <w:r w:rsidRPr="00143624">
        <w:t xml:space="preserve">superannuation </w:t>
      </w:r>
      <w:r w:rsidRPr="00143624">
        <w:rPr>
          <w:color w:val="000000"/>
        </w:rPr>
        <w:t>fund to which section 291</w:t>
      </w:r>
      <w:r w:rsidR="00143624">
        <w:rPr>
          <w:color w:val="000000"/>
        </w:rPr>
        <w:noBreakHyphen/>
      </w:r>
      <w:r w:rsidRPr="00143624">
        <w:rPr>
          <w:color w:val="000000"/>
        </w:rPr>
        <w:t>170.02 of this instrument applies; and</w:t>
      </w:r>
    </w:p>
    <w:p w:rsidR="005B63A2" w:rsidRPr="00143624" w:rsidRDefault="005B63A2" w:rsidP="005B63A2">
      <w:pPr>
        <w:pStyle w:val="paragraph"/>
      </w:pPr>
      <w:r w:rsidRPr="00143624">
        <w:lastRenderedPageBreak/>
        <w:tab/>
        <w:t>(b)</w:t>
      </w:r>
      <w:r w:rsidRPr="00143624">
        <w:tab/>
        <w:t>specifies the conditions that are to be satisfied in relation to establishing whether a defined benefit member of the fund’s notional taxed contributions for a financial year in respect of a defined benefit interest in the fund are equal to the member’s basic concessional contributions cap for the financial year.</w:t>
      </w:r>
    </w:p>
    <w:p w:rsidR="005B63A2" w:rsidRPr="00143624" w:rsidRDefault="005B63A2" w:rsidP="005B63A2">
      <w:pPr>
        <w:pStyle w:val="subsection"/>
      </w:pPr>
      <w:r w:rsidRPr="00143624">
        <w:tab/>
        <w:t>(2)</w:t>
      </w:r>
      <w:r w:rsidRPr="00143624">
        <w:tab/>
        <w:t>A condition is that between 5</w:t>
      </w:r>
      <w:r w:rsidR="002B1A95" w:rsidRPr="00143624">
        <w:t> </w:t>
      </w:r>
      <w:r w:rsidRPr="00143624">
        <w:t>September 2006 and the time at which the new entrant rate</w:t>
      </w:r>
      <w:r w:rsidRPr="00143624">
        <w:rPr>
          <w:b/>
        </w:rPr>
        <w:t xml:space="preserve"> </w:t>
      </w:r>
      <w:r w:rsidRPr="00143624">
        <w:t xml:space="preserve">for the defined benefit member is worked out using </w:t>
      </w:r>
      <w:r w:rsidR="00F5399E" w:rsidRPr="00143624">
        <w:t>Schedule 1</w:t>
      </w:r>
      <w:r w:rsidRPr="00143624">
        <w:t>A:</w:t>
      </w:r>
    </w:p>
    <w:p w:rsidR="005B63A2" w:rsidRPr="00143624" w:rsidRDefault="005B63A2" w:rsidP="005B63A2">
      <w:pPr>
        <w:pStyle w:val="paragraph"/>
      </w:pPr>
      <w:r w:rsidRPr="00143624">
        <w:tab/>
        <w:t>(a)</w:t>
      </w:r>
      <w:r w:rsidRPr="00143624">
        <w:tab/>
        <w:t xml:space="preserve">the rules of any superannuation </w:t>
      </w:r>
      <w:r w:rsidRPr="00143624">
        <w:rPr>
          <w:color w:val="000000"/>
        </w:rPr>
        <w:t>fund</w:t>
      </w:r>
      <w:r w:rsidRPr="00143624">
        <w:t xml:space="preserve"> in which a relevant 2006 interest was held during that period have not changed to improve the member’s benefit; and</w:t>
      </w:r>
    </w:p>
    <w:p w:rsidR="005B63A2" w:rsidRPr="00143624" w:rsidRDefault="005B63A2" w:rsidP="005B63A2">
      <w:pPr>
        <w:pStyle w:val="paragraph"/>
      </w:pPr>
      <w:r w:rsidRPr="00143624">
        <w:tab/>
        <w:t>(b)</w:t>
      </w:r>
      <w:r w:rsidRPr="00143624">
        <w:tab/>
        <w:t>any of the following apply:</w:t>
      </w:r>
    </w:p>
    <w:p w:rsidR="005B63A2" w:rsidRPr="00143624" w:rsidRDefault="005B63A2" w:rsidP="005B63A2">
      <w:pPr>
        <w:pStyle w:val="paragraphsub"/>
      </w:pPr>
      <w:r w:rsidRPr="00143624">
        <w:tab/>
        <w:t>(i)</w:t>
      </w:r>
      <w:r w:rsidRPr="00143624">
        <w:tab/>
        <w:t>the member has not moved to a new benefit category;</w:t>
      </w:r>
    </w:p>
    <w:p w:rsidR="005B63A2" w:rsidRPr="00143624" w:rsidRDefault="005B63A2" w:rsidP="005B63A2">
      <w:pPr>
        <w:pStyle w:val="paragraphsub"/>
      </w:pPr>
      <w:r w:rsidRPr="00143624">
        <w:tab/>
        <w:t>(ii)</w:t>
      </w:r>
      <w:r w:rsidRPr="00143624">
        <w:tab/>
        <w:t>the member has moved to a new benefit category but the new benefit category does not provide the member with an improved level of benefit;</w:t>
      </w:r>
    </w:p>
    <w:p w:rsidR="005B63A2" w:rsidRPr="00143624" w:rsidRDefault="005B63A2" w:rsidP="005B63A2">
      <w:pPr>
        <w:pStyle w:val="paragraphsub"/>
      </w:pPr>
      <w:r w:rsidRPr="00143624">
        <w:tab/>
        <w:t>(iii)</w:t>
      </w:r>
      <w:r w:rsidRPr="00143624">
        <w:tab/>
        <w:t xml:space="preserve">the member has moved to a new benefit category but the move was only as a result of the necessary application of the rules of a superannuation </w:t>
      </w:r>
      <w:r w:rsidRPr="00143624">
        <w:rPr>
          <w:color w:val="000000"/>
        </w:rPr>
        <w:t>fund</w:t>
      </w:r>
      <w:r w:rsidRPr="00143624">
        <w:t xml:space="preserve"> referred to in </w:t>
      </w:r>
      <w:r w:rsidR="002B1A95" w:rsidRPr="00143624">
        <w:t>paragraph (</w:t>
      </w:r>
      <w:r w:rsidRPr="00143624">
        <w:t>a) that were, or of legislation that was, in force on 5</w:t>
      </w:r>
      <w:r w:rsidR="002B1A95" w:rsidRPr="00143624">
        <w:t> </w:t>
      </w:r>
      <w:r w:rsidRPr="00143624">
        <w:t>September 2006 and the member had no control over the application of the rules or legislation.</w:t>
      </w:r>
    </w:p>
    <w:p w:rsidR="006C6992" w:rsidRPr="00143624" w:rsidRDefault="005B63A2" w:rsidP="005B63A2">
      <w:pPr>
        <w:pStyle w:val="subsection"/>
      </w:pPr>
      <w:r w:rsidRPr="00143624">
        <w:tab/>
        <w:t>(3)</w:t>
      </w:r>
      <w:r w:rsidRPr="00143624">
        <w:tab/>
        <w:t>A condition is that the new entrant rate</w:t>
      </w:r>
      <w:r w:rsidRPr="00143624">
        <w:rPr>
          <w:b/>
        </w:rPr>
        <w:t xml:space="preserve"> </w:t>
      </w:r>
      <w:r w:rsidRPr="00143624">
        <w:t>for the defined benefit member, as worked out</w:t>
      </w:r>
      <w:r w:rsidR="006C6992" w:rsidRPr="00143624">
        <w:t>:</w:t>
      </w:r>
    </w:p>
    <w:p w:rsidR="006C6992" w:rsidRPr="00143624" w:rsidRDefault="006C6992" w:rsidP="006C6992">
      <w:pPr>
        <w:pStyle w:val="paragraph"/>
      </w:pPr>
      <w:r w:rsidRPr="00143624">
        <w:tab/>
        <w:t>(a)</w:t>
      </w:r>
      <w:r w:rsidRPr="00143624">
        <w:tab/>
        <w:t xml:space="preserve">before </w:t>
      </w:r>
      <w:r w:rsidR="00F5399E" w:rsidRPr="00143624">
        <w:t>1 July</w:t>
      </w:r>
      <w:r w:rsidR="0054118C" w:rsidRPr="00143624">
        <w:t xml:space="preserve"> 2021</w:t>
      </w:r>
      <w:r w:rsidRPr="00143624">
        <w:t>—</w:t>
      </w:r>
      <w:r w:rsidR="005B63A2" w:rsidRPr="00143624">
        <w:t xml:space="preserve">using </w:t>
      </w:r>
      <w:r w:rsidR="00F5399E" w:rsidRPr="00143624">
        <w:t>Schedule 1</w:t>
      </w:r>
      <w:r w:rsidR="005B63A2" w:rsidRPr="00143624">
        <w:t>A</w:t>
      </w:r>
      <w:r w:rsidRPr="00143624">
        <w:t xml:space="preserve"> to the </w:t>
      </w:r>
      <w:r w:rsidRPr="00143624">
        <w:rPr>
          <w:i/>
        </w:rPr>
        <w:t>Income Tax Assessment Regulations 1997</w:t>
      </w:r>
      <w:r w:rsidRPr="00143624">
        <w:t xml:space="preserve">; </w:t>
      </w:r>
      <w:r w:rsidR="0054118C" w:rsidRPr="00143624">
        <w:t>and</w:t>
      </w:r>
    </w:p>
    <w:p w:rsidR="006C6992" w:rsidRPr="00143624" w:rsidRDefault="006C6992" w:rsidP="006C6992">
      <w:pPr>
        <w:pStyle w:val="paragraph"/>
      </w:pPr>
      <w:r w:rsidRPr="00143624">
        <w:tab/>
        <w:t>(b)</w:t>
      </w:r>
      <w:r w:rsidRPr="00143624">
        <w:tab/>
        <w:t xml:space="preserve">on or after </w:t>
      </w:r>
      <w:r w:rsidR="00F5399E" w:rsidRPr="00143624">
        <w:t>1 July</w:t>
      </w:r>
      <w:r w:rsidR="0054118C" w:rsidRPr="00143624">
        <w:t xml:space="preserve"> 2021</w:t>
      </w:r>
      <w:r w:rsidRPr="00143624">
        <w:t xml:space="preserve">—using </w:t>
      </w:r>
      <w:r w:rsidR="00F5399E" w:rsidRPr="00143624">
        <w:t>Schedule 1</w:t>
      </w:r>
      <w:r w:rsidRPr="00143624">
        <w:t xml:space="preserve">A </w:t>
      </w:r>
      <w:r w:rsidR="0054118C" w:rsidRPr="00143624">
        <w:t>to</w:t>
      </w:r>
      <w:r w:rsidRPr="00143624">
        <w:t xml:space="preserve"> this instrument;</w:t>
      </w:r>
    </w:p>
    <w:p w:rsidR="005B63A2" w:rsidRPr="00143624" w:rsidRDefault="006C6992" w:rsidP="006C6992">
      <w:pPr>
        <w:pStyle w:val="subsection2"/>
      </w:pPr>
      <w:r w:rsidRPr="00143624">
        <w:t>either:</w:t>
      </w:r>
    </w:p>
    <w:p w:rsidR="005B63A2" w:rsidRPr="00143624" w:rsidRDefault="005B63A2" w:rsidP="005B63A2">
      <w:pPr>
        <w:pStyle w:val="paragraph"/>
      </w:pPr>
      <w:r w:rsidRPr="00143624">
        <w:tab/>
        <w:t>(</w:t>
      </w:r>
      <w:r w:rsidR="006C6992" w:rsidRPr="00143624">
        <w:t>c</w:t>
      </w:r>
      <w:r w:rsidRPr="00143624">
        <w:t>)</w:t>
      </w:r>
      <w:r w:rsidRPr="00143624">
        <w:tab/>
        <w:t>has not increased since it was first worked out; or</w:t>
      </w:r>
    </w:p>
    <w:p w:rsidR="005B63A2" w:rsidRPr="00143624" w:rsidRDefault="006C6992" w:rsidP="005B63A2">
      <w:pPr>
        <w:pStyle w:val="paragraph"/>
      </w:pPr>
      <w:r w:rsidRPr="00143624">
        <w:tab/>
        <w:t>(d</w:t>
      </w:r>
      <w:r w:rsidR="005B63A2" w:rsidRPr="00143624">
        <w:t>)</w:t>
      </w:r>
      <w:r w:rsidR="005B63A2" w:rsidRPr="00143624">
        <w:tab/>
        <w:t>has increased since it was first worked out</w:t>
      </w:r>
      <w:r w:rsidR="0054118C" w:rsidRPr="00143624">
        <w:t xml:space="preserve"> </w:t>
      </w:r>
      <w:r w:rsidR="005B63A2" w:rsidRPr="00143624">
        <w:t>only as a result of the following:</w:t>
      </w:r>
    </w:p>
    <w:p w:rsidR="005B63A2" w:rsidRPr="00143624" w:rsidRDefault="005B63A2" w:rsidP="005B63A2">
      <w:pPr>
        <w:pStyle w:val="paragraphsub"/>
      </w:pPr>
      <w:r w:rsidRPr="00143624">
        <w:tab/>
        <w:t>(i)</w:t>
      </w:r>
      <w:r w:rsidRPr="00143624">
        <w:tab/>
        <w:t xml:space="preserve">a change to the rules of a superannuation </w:t>
      </w:r>
      <w:r w:rsidRPr="00143624">
        <w:rPr>
          <w:color w:val="000000"/>
        </w:rPr>
        <w:t>fund</w:t>
      </w:r>
      <w:r w:rsidRPr="00143624">
        <w:t xml:space="preserve"> in which a relevant 2006 interest is or was held that increases a benefit as a result of a change that is made to satisfy the requirements of the </w:t>
      </w:r>
      <w:r w:rsidRPr="00143624">
        <w:rPr>
          <w:i/>
        </w:rPr>
        <w:t>Superannuation Guarantee (Administration) Act 1992</w:t>
      </w:r>
      <w:r w:rsidRPr="00143624">
        <w:t>;</w:t>
      </w:r>
    </w:p>
    <w:p w:rsidR="005B63A2" w:rsidRPr="00143624" w:rsidRDefault="005B63A2" w:rsidP="005B63A2">
      <w:pPr>
        <w:pStyle w:val="paragraphsub"/>
      </w:pPr>
      <w:r w:rsidRPr="00143624">
        <w:tab/>
        <w:t>(ii)</w:t>
      </w:r>
      <w:r w:rsidRPr="00143624">
        <w:tab/>
        <w:t xml:space="preserve">the member moving to a new benefit category because of the necessary application of the rules of a superannuation </w:t>
      </w:r>
      <w:r w:rsidRPr="00143624">
        <w:rPr>
          <w:color w:val="000000"/>
        </w:rPr>
        <w:t>fund</w:t>
      </w:r>
      <w:r w:rsidRPr="00143624">
        <w:t xml:space="preserve"> referred to in </w:t>
      </w:r>
      <w:r w:rsidR="002B1A95" w:rsidRPr="00143624">
        <w:t>subparagraph (</w:t>
      </w:r>
      <w:r w:rsidRPr="00143624">
        <w:t>i) that were, or of legislation that was, in force on 5</w:t>
      </w:r>
      <w:r w:rsidR="002B1A95" w:rsidRPr="00143624">
        <w:t> </w:t>
      </w:r>
      <w:r w:rsidRPr="00143624">
        <w:t>September 2006, if the member had no control over the application of the rules or legislation.</w:t>
      </w:r>
    </w:p>
    <w:p w:rsidR="005B63A2" w:rsidRPr="00143624" w:rsidRDefault="005B63A2" w:rsidP="005B63A2">
      <w:pPr>
        <w:pStyle w:val="subsection"/>
      </w:pPr>
      <w:r w:rsidRPr="00143624">
        <w:tab/>
        <w:t>(4)</w:t>
      </w:r>
      <w:r w:rsidRPr="00143624">
        <w:tab/>
        <w:t>A condition is that the method of calculating the defined benefit member’s superannuation salary:</w:t>
      </w:r>
    </w:p>
    <w:p w:rsidR="005B63A2" w:rsidRPr="00143624" w:rsidRDefault="005B63A2" w:rsidP="005B63A2">
      <w:pPr>
        <w:pStyle w:val="paragraph"/>
      </w:pPr>
      <w:r w:rsidRPr="00143624">
        <w:rPr>
          <w:color w:val="000000"/>
        </w:rPr>
        <w:tab/>
        <w:t>(a)</w:t>
      </w:r>
      <w:r w:rsidRPr="00143624">
        <w:rPr>
          <w:color w:val="000000"/>
        </w:rPr>
        <w:tab/>
        <w:t>has not been changed, in a way that would increase the salary, since 5</w:t>
      </w:r>
      <w:r w:rsidR="002B1A95" w:rsidRPr="00143624">
        <w:rPr>
          <w:color w:val="000000"/>
        </w:rPr>
        <w:t> </w:t>
      </w:r>
      <w:r w:rsidRPr="00143624">
        <w:rPr>
          <w:color w:val="000000"/>
        </w:rPr>
        <w:t>September 2006; or</w:t>
      </w:r>
    </w:p>
    <w:p w:rsidR="005B63A2" w:rsidRPr="00143624" w:rsidRDefault="005B63A2" w:rsidP="005B63A2">
      <w:pPr>
        <w:pStyle w:val="paragraph"/>
      </w:pPr>
      <w:r w:rsidRPr="00143624">
        <w:tab/>
        <w:t>(b)</w:t>
      </w:r>
      <w:r w:rsidRPr="00143624">
        <w:tab/>
        <w:t>has changed since 5</w:t>
      </w:r>
      <w:r w:rsidR="002B1A95" w:rsidRPr="00143624">
        <w:t> </w:t>
      </w:r>
      <w:r w:rsidRPr="00143624">
        <w:t xml:space="preserve">September 2006 only as a result of a change to the rules of a superannuation </w:t>
      </w:r>
      <w:r w:rsidRPr="00143624">
        <w:rPr>
          <w:color w:val="000000"/>
        </w:rPr>
        <w:t>fund</w:t>
      </w:r>
      <w:r w:rsidRPr="00143624">
        <w:t xml:space="preserve"> in which a relevant 2006 interest is or was held that increases a benefit as a result of a change that is made to satisfy the requirements of the </w:t>
      </w:r>
      <w:r w:rsidRPr="00143624">
        <w:rPr>
          <w:i/>
        </w:rPr>
        <w:t>Superannuation Guarantee (Administration) Act 1992</w:t>
      </w:r>
      <w:r w:rsidRPr="00143624">
        <w:t>.</w:t>
      </w:r>
    </w:p>
    <w:p w:rsidR="005B63A2" w:rsidRPr="00143624" w:rsidRDefault="005B63A2" w:rsidP="005B63A2">
      <w:pPr>
        <w:pStyle w:val="subsection"/>
      </w:pPr>
      <w:r w:rsidRPr="00143624">
        <w:lastRenderedPageBreak/>
        <w:tab/>
        <w:t>(5)</w:t>
      </w:r>
      <w:r w:rsidRPr="00143624">
        <w:tab/>
        <w:t>A condition is that either:</w:t>
      </w:r>
    </w:p>
    <w:p w:rsidR="005B63A2" w:rsidRPr="00143624" w:rsidRDefault="005B63A2" w:rsidP="005B63A2">
      <w:pPr>
        <w:pStyle w:val="paragraph"/>
      </w:pPr>
      <w:r w:rsidRPr="00143624">
        <w:tab/>
        <w:t>(a)</w:t>
      </w:r>
      <w:r w:rsidRPr="00143624">
        <w:tab/>
        <w:t>the rate of the defined benefit member’s superannuation salary has not increased, since 5</w:t>
      </w:r>
      <w:r w:rsidR="002B1A95" w:rsidRPr="00143624">
        <w:t> </w:t>
      </w:r>
      <w:r w:rsidRPr="00143624">
        <w:t>September 2006, by more than:</w:t>
      </w:r>
    </w:p>
    <w:p w:rsidR="005B63A2" w:rsidRPr="00143624" w:rsidRDefault="005B63A2" w:rsidP="005B63A2">
      <w:pPr>
        <w:pStyle w:val="paragraphsub"/>
      </w:pPr>
      <w:r w:rsidRPr="00143624">
        <w:tab/>
        <w:t>(i)</w:t>
      </w:r>
      <w:r w:rsidRPr="00143624">
        <w:tab/>
        <w:t>50% in 1 year; or</w:t>
      </w:r>
    </w:p>
    <w:p w:rsidR="005B63A2" w:rsidRPr="00143624" w:rsidRDefault="005B63A2" w:rsidP="005B63A2">
      <w:pPr>
        <w:pStyle w:val="paragraphsub"/>
      </w:pPr>
      <w:r w:rsidRPr="00143624">
        <w:tab/>
        <w:t>(ii)</w:t>
      </w:r>
      <w:r w:rsidRPr="00143624">
        <w:tab/>
        <w:t>75% over 3 years; or</w:t>
      </w:r>
    </w:p>
    <w:p w:rsidR="005B63A2" w:rsidRPr="00143624" w:rsidRDefault="005B63A2" w:rsidP="005B63A2">
      <w:pPr>
        <w:pStyle w:val="paragraph"/>
      </w:pPr>
      <w:r w:rsidRPr="00143624">
        <w:tab/>
        <w:t>(b)</w:t>
      </w:r>
      <w:r w:rsidRPr="00143624">
        <w:tab/>
        <w:t xml:space="preserve">the rate of superannuation salary has increased by more than the rate in </w:t>
      </w:r>
      <w:r w:rsidR="002B1A95" w:rsidRPr="00143624">
        <w:t>subparagraph (</w:t>
      </w:r>
      <w:r w:rsidRPr="00143624">
        <w:t>a)(i) or (ii) and:</w:t>
      </w:r>
    </w:p>
    <w:p w:rsidR="005B63A2" w:rsidRPr="00143624" w:rsidRDefault="005B63A2" w:rsidP="005B63A2">
      <w:pPr>
        <w:pStyle w:val="paragraphsub"/>
      </w:pPr>
      <w:r w:rsidRPr="00143624">
        <w:tab/>
        <w:t>(i)</w:t>
      </w:r>
      <w:r w:rsidRPr="00143624">
        <w:tab/>
        <w:t>the employer</w:t>
      </w:r>
      <w:r w:rsidR="00143624">
        <w:noBreakHyphen/>
      </w:r>
      <w:r w:rsidRPr="00143624">
        <w:t xml:space="preserve">sponsor of the superannuation </w:t>
      </w:r>
      <w:r w:rsidRPr="00143624">
        <w:rPr>
          <w:color w:val="000000"/>
        </w:rPr>
        <w:t>fund</w:t>
      </w:r>
      <w:r w:rsidRPr="00143624">
        <w:t xml:space="preserve"> in which, immediately after the rate increase, a relevant 2006 interest was held has advised the trustee of that fund that the increase in the rate is on an arm’s length basis; and</w:t>
      </w:r>
    </w:p>
    <w:p w:rsidR="005B63A2" w:rsidRPr="00143624" w:rsidRDefault="005B63A2" w:rsidP="005B63A2">
      <w:pPr>
        <w:pStyle w:val="paragraphsub"/>
      </w:pPr>
      <w:r w:rsidRPr="00143624">
        <w:tab/>
        <w:t>(ii)</w:t>
      </w:r>
      <w:r w:rsidRPr="00143624">
        <w:tab/>
        <w:t xml:space="preserve">the trustee of a superannuation </w:t>
      </w:r>
      <w:r w:rsidRPr="00143624">
        <w:rPr>
          <w:color w:val="000000"/>
        </w:rPr>
        <w:t>fund</w:t>
      </w:r>
      <w:r w:rsidRPr="00143624">
        <w:t xml:space="preserve"> in which a relevant 2006 interest was held after the rate increase notified the Commissioner, in writing, of the increase in the rate as soon as practicable after the increase occurred.</w:t>
      </w:r>
    </w:p>
    <w:p w:rsidR="005B63A2" w:rsidRPr="00143624" w:rsidRDefault="005B63A2" w:rsidP="005B63A2">
      <w:pPr>
        <w:pStyle w:val="subsection"/>
        <w:rPr>
          <w:color w:val="000000"/>
        </w:rPr>
      </w:pPr>
      <w:r w:rsidRPr="00143624">
        <w:rPr>
          <w:color w:val="000000"/>
        </w:rPr>
        <w:tab/>
        <w:t>(6)</w:t>
      </w:r>
      <w:r w:rsidRPr="00143624">
        <w:rPr>
          <w:color w:val="000000"/>
        </w:rPr>
        <w:tab/>
        <w:t>A condition is that no trustee or employer</w:t>
      </w:r>
      <w:r w:rsidR="00143624">
        <w:rPr>
          <w:color w:val="000000"/>
        </w:rPr>
        <w:noBreakHyphen/>
      </w:r>
      <w:r w:rsidRPr="00143624">
        <w:rPr>
          <w:color w:val="000000"/>
        </w:rPr>
        <w:t xml:space="preserve">sponsor of any </w:t>
      </w:r>
      <w:r w:rsidRPr="00143624">
        <w:t xml:space="preserve">superannuation </w:t>
      </w:r>
      <w:r w:rsidRPr="00143624">
        <w:rPr>
          <w:color w:val="000000"/>
        </w:rPr>
        <w:t xml:space="preserve">fund in </w:t>
      </w:r>
      <w:r w:rsidRPr="00143624">
        <w:t xml:space="preserve">which a relevant 2006 interest is or was held </w:t>
      </w:r>
      <w:r w:rsidRPr="00143624">
        <w:rPr>
          <w:color w:val="000000"/>
        </w:rPr>
        <w:t>has exercised a discretion to pay a benefit that is greater than the benefit that was assumed for the purpose of calculating the new entrant rate since 5</w:t>
      </w:r>
      <w:r w:rsidR="002B1A95" w:rsidRPr="00143624">
        <w:rPr>
          <w:color w:val="000000"/>
        </w:rPr>
        <w:t> </w:t>
      </w:r>
      <w:r w:rsidRPr="00143624">
        <w:rPr>
          <w:color w:val="000000"/>
        </w:rPr>
        <w:t>September 2006.</w:t>
      </w:r>
    </w:p>
    <w:p w:rsidR="005B63A2" w:rsidRPr="00143624" w:rsidRDefault="005B63A2" w:rsidP="005B63A2">
      <w:pPr>
        <w:pStyle w:val="ActHead5"/>
      </w:pPr>
      <w:bookmarkStart w:id="71" w:name="_Toc64030329"/>
      <w:r w:rsidRPr="003F3E0B">
        <w:rPr>
          <w:rStyle w:val="CharSectno"/>
        </w:rPr>
        <w:t>291</w:t>
      </w:r>
      <w:r w:rsidR="00143624" w:rsidRPr="003F3E0B">
        <w:rPr>
          <w:rStyle w:val="CharSectno"/>
        </w:rPr>
        <w:noBreakHyphen/>
      </w:r>
      <w:r w:rsidRPr="003F3E0B">
        <w:rPr>
          <w:rStyle w:val="CharSectno"/>
        </w:rPr>
        <w:t>170.07</w:t>
      </w:r>
      <w:r w:rsidRPr="00143624">
        <w:t xml:space="preserve">  Notional taxed contributions—conditions for paragraph</w:t>
      </w:r>
      <w:r w:rsidR="002B1A95" w:rsidRPr="00143624">
        <w:t> </w:t>
      </w:r>
      <w:r w:rsidRPr="00143624">
        <w:t>291</w:t>
      </w:r>
      <w:r w:rsidR="00143624">
        <w:noBreakHyphen/>
      </w:r>
      <w:r w:rsidRPr="00143624">
        <w:t>170(4)(d) and subparagraph</w:t>
      </w:r>
      <w:r w:rsidR="002B1A95" w:rsidRPr="00143624">
        <w:t> </w:t>
      </w:r>
      <w:r w:rsidRPr="00143624">
        <w:t>291</w:t>
      </w:r>
      <w:r w:rsidR="00143624">
        <w:noBreakHyphen/>
      </w:r>
      <w:r w:rsidRPr="00143624">
        <w:t xml:space="preserve">170(5)(e)(ii) of the </w:t>
      </w:r>
      <w:r w:rsidRPr="00143624">
        <w:rPr>
          <w:i/>
        </w:rPr>
        <w:t>Income Tax (Transitional Provisions) Act 1997</w:t>
      </w:r>
      <w:bookmarkEnd w:id="71"/>
    </w:p>
    <w:p w:rsidR="005B63A2" w:rsidRPr="00143624" w:rsidRDefault="005B63A2" w:rsidP="005B63A2">
      <w:pPr>
        <w:pStyle w:val="subsection"/>
      </w:pPr>
      <w:r w:rsidRPr="00143624">
        <w:tab/>
        <w:t>(1)</w:t>
      </w:r>
      <w:r w:rsidRPr="00143624">
        <w:tab/>
        <w:t>For the purposes of paragraph</w:t>
      </w:r>
      <w:r w:rsidR="002B1A95" w:rsidRPr="00143624">
        <w:t> </w:t>
      </w:r>
      <w:r w:rsidRPr="00143624">
        <w:t>291</w:t>
      </w:r>
      <w:r w:rsidR="00143624">
        <w:noBreakHyphen/>
      </w:r>
      <w:r w:rsidRPr="00143624">
        <w:t>170(4)(d) and subparagraph</w:t>
      </w:r>
      <w:r w:rsidR="002B1A95" w:rsidRPr="00143624">
        <w:t> </w:t>
      </w:r>
      <w:r w:rsidRPr="00143624">
        <w:t>291</w:t>
      </w:r>
      <w:r w:rsidR="00143624">
        <w:noBreakHyphen/>
      </w:r>
      <w:r w:rsidRPr="00143624">
        <w:t xml:space="preserve">170(5)(e)(ii) of the </w:t>
      </w:r>
      <w:r w:rsidRPr="00143624">
        <w:rPr>
          <w:i/>
        </w:rPr>
        <w:t>Income Tax (Transitional Provisions) Act 1997</w:t>
      </w:r>
      <w:r w:rsidRPr="00143624">
        <w:t>, this section:</w:t>
      </w:r>
    </w:p>
    <w:p w:rsidR="005B63A2" w:rsidRPr="00143624" w:rsidRDefault="005B63A2" w:rsidP="005B63A2">
      <w:pPr>
        <w:pStyle w:val="paragraph"/>
      </w:pPr>
      <w:r w:rsidRPr="00143624">
        <w:tab/>
        <w:t>(a)</w:t>
      </w:r>
      <w:r w:rsidRPr="00143624">
        <w:tab/>
      </w:r>
      <w:r w:rsidRPr="00143624">
        <w:rPr>
          <w:color w:val="000000"/>
        </w:rPr>
        <w:t xml:space="preserve">applies in relation to a </w:t>
      </w:r>
      <w:r w:rsidRPr="00143624">
        <w:t xml:space="preserve">superannuation </w:t>
      </w:r>
      <w:r w:rsidRPr="00143624">
        <w:rPr>
          <w:color w:val="000000"/>
        </w:rPr>
        <w:t>fund to which section 291</w:t>
      </w:r>
      <w:r w:rsidR="00143624">
        <w:rPr>
          <w:color w:val="000000"/>
        </w:rPr>
        <w:noBreakHyphen/>
      </w:r>
      <w:r w:rsidRPr="00143624">
        <w:rPr>
          <w:color w:val="000000"/>
        </w:rPr>
        <w:t>170.02 of this instrument applies</w:t>
      </w:r>
      <w:r w:rsidRPr="00143624">
        <w:t>; and</w:t>
      </w:r>
    </w:p>
    <w:p w:rsidR="005B63A2" w:rsidRPr="00143624" w:rsidRDefault="005B63A2" w:rsidP="005B63A2">
      <w:pPr>
        <w:pStyle w:val="paragraph"/>
      </w:pPr>
      <w:r w:rsidRPr="00143624">
        <w:tab/>
        <w:t>(b)</w:t>
      </w:r>
      <w:r w:rsidRPr="00143624">
        <w:tab/>
        <w:t>specifies the conditions that are to be satisfied in relation to establishing whether a defined benefit member of the fund’s notional taxed contributions for a financial year in respect of a defined benefit interest in the fund are equal to the member’s basic concessional contributions cap for the financial year.</w:t>
      </w:r>
    </w:p>
    <w:p w:rsidR="006C6992" w:rsidRPr="00143624" w:rsidRDefault="005B63A2" w:rsidP="005B63A2">
      <w:pPr>
        <w:pStyle w:val="subsection"/>
      </w:pPr>
      <w:r w:rsidRPr="00143624">
        <w:tab/>
        <w:t>(2)</w:t>
      </w:r>
      <w:r w:rsidRPr="00143624">
        <w:tab/>
        <w:t>A condition is that the new entrant rate</w:t>
      </w:r>
      <w:r w:rsidRPr="00143624">
        <w:rPr>
          <w:b/>
        </w:rPr>
        <w:t xml:space="preserve"> </w:t>
      </w:r>
      <w:r w:rsidRPr="00143624">
        <w:t>for the defined benefit member, as worked out</w:t>
      </w:r>
      <w:r w:rsidR="006C6992" w:rsidRPr="00143624">
        <w:t>:</w:t>
      </w:r>
    </w:p>
    <w:p w:rsidR="006C6992" w:rsidRPr="00143624" w:rsidRDefault="006C6992" w:rsidP="006C6992">
      <w:pPr>
        <w:pStyle w:val="paragraph"/>
      </w:pPr>
      <w:r w:rsidRPr="00143624">
        <w:tab/>
        <w:t>(a)</w:t>
      </w:r>
      <w:r w:rsidRPr="00143624">
        <w:tab/>
        <w:t xml:space="preserve">before </w:t>
      </w:r>
      <w:r w:rsidR="00F5399E" w:rsidRPr="00143624">
        <w:t>1 July</w:t>
      </w:r>
      <w:r w:rsidR="0054118C" w:rsidRPr="00143624">
        <w:t xml:space="preserve"> 2021</w:t>
      </w:r>
      <w:r w:rsidRPr="00143624">
        <w:t xml:space="preserve">—using </w:t>
      </w:r>
      <w:r w:rsidR="00F5399E" w:rsidRPr="00143624">
        <w:t>Schedule 1</w:t>
      </w:r>
      <w:r w:rsidRPr="00143624">
        <w:t xml:space="preserve">A to the </w:t>
      </w:r>
      <w:r w:rsidRPr="00143624">
        <w:rPr>
          <w:i/>
        </w:rPr>
        <w:t>Income Tax Assessment Regulations 1997</w:t>
      </w:r>
      <w:r w:rsidRPr="00143624">
        <w:t xml:space="preserve">; </w:t>
      </w:r>
      <w:r w:rsidR="0054118C" w:rsidRPr="00143624">
        <w:t>and</w:t>
      </w:r>
    </w:p>
    <w:p w:rsidR="006C6992" w:rsidRPr="00143624" w:rsidRDefault="006C6992" w:rsidP="006C6992">
      <w:pPr>
        <w:pStyle w:val="paragraph"/>
      </w:pPr>
      <w:r w:rsidRPr="00143624">
        <w:tab/>
        <w:t>(b)</w:t>
      </w:r>
      <w:r w:rsidRPr="00143624">
        <w:tab/>
        <w:t xml:space="preserve">on or after </w:t>
      </w:r>
      <w:r w:rsidR="00F5399E" w:rsidRPr="00143624">
        <w:t>1 July</w:t>
      </w:r>
      <w:r w:rsidR="0054118C" w:rsidRPr="00143624">
        <w:t xml:space="preserve"> 2021</w:t>
      </w:r>
      <w:r w:rsidRPr="00143624">
        <w:t xml:space="preserve">—using </w:t>
      </w:r>
      <w:r w:rsidR="00F5399E" w:rsidRPr="00143624">
        <w:t>Schedule 1</w:t>
      </w:r>
      <w:r w:rsidRPr="00143624">
        <w:t xml:space="preserve">A </w:t>
      </w:r>
      <w:r w:rsidR="0054118C" w:rsidRPr="00143624">
        <w:t>to</w:t>
      </w:r>
      <w:r w:rsidRPr="00143624">
        <w:t xml:space="preserve"> this instrument;</w:t>
      </w:r>
    </w:p>
    <w:p w:rsidR="006C6992" w:rsidRPr="00143624" w:rsidRDefault="006C6992" w:rsidP="006C6992">
      <w:pPr>
        <w:pStyle w:val="subsection2"/>
      </w:pPr>
      <w:r w:rsidRPr="00143624">
        <w:t>either:</w:t>
      </w:r>
    </w:p>
    <w:p w:rsidR="005B63A2" w:rsidRPr="00143624" w:rsidRDefault="005B63A2" w:rsidP="005B63A2">
      <w:pPr>
        <w:pStyle w:val="paragraph"/>
      </w:pPr>
      <w:r w:rsidRPr="00143624">
        <w:tab/>
        <w:t>(</w:t>
      </w:r>
      <w:r w:rsidR="006C6992" w:rsidRPr="00143624">
        <w:t>c</w:t>
      </w:r>
      <w:r w:rsidRPr="00143624">
        <w:t>)</w:t>
      </w:r>
      <w:r w:rsidRPr="00143624">
        <w:tab/>
        <w:t>has not increased since 12</w:t>
      </w:r>
      <w:r w:rsidR="002B1A95" w:rsidRPr="00143624">
        <w:t> </w:t>
      </w:r>
      <w:r w:rsidRPr="00143624">
        <w:t>May 2009; or</w:t>
      </w:r>
    </w:p>
    <w:p w:rsidR="005B63A2" w:rsidRPr="00143624" w:rsidRDefault="006C6992" w:rsidP="005B63A2">
      <w:pPr>
        <w:pStyle w:val="paragraph"/>
      </w:pPr>
      <w:r w:rsidRPr="00143624">
        <w:tab/>
        <w:t>(d</w:t>
      </w:r>
      <w:r w:rsidR="005B63A2" w:rsidRPr="00143624">
        <w:t>)</w:t>
      </w:r>
      <w:r w:rsidR="005B63A2" w:rsidRPr="00143624">
        <w:tab/>
        <w:t>has increased since 12</w:t>
      </w:r>
      <w:r w:rsidR="002B1A95" w:rsidRPr="00143624">
        <w:t> </w:t>
      </w:r>
      <w:r w:rsidR="005B63A2" w:rsidRPr="00143624">
        <w:t>May 2009 only as a result of the following:</w:t>
      </w:r>
    </w:p>
    <w:p w:rsidR="005B63A2" w:rsidRPr="00143624" w:rsidRDefault="005B63A2" w:rsidP="005B63A2">
      <w:pPr>
        <w:pStyle w:val="paragraphsub"/>
      </w:pPr>
      <w:r w:rsidRPr="00143624">
        <w:tab/>
        <w:t>(i)</w:t>
      </w:r>
      <w:r w:rsidRPr="00143624">
        <w:tab/>
        <w:t xml:space="preserve">a change to the rules of a superannuation </w:t>
      </w:r>
      <w:r w:rsidRPr="00143624">
        <w:rPr>
          <w:color w:val="000000"/>
        </w:rPr>
        <w:t>fund</w:t>
      </w:r>
      <w:r w:rsidRPr="00143624">
        <w:t xml:space="preserve"> in which a relevant 2009 interest is or was held that increases a benefit as a result of a change made to satisfy the requirements of the </w:t>
      </w:r>
      <w:r w:rsidRPr="00143624">
        <w:rPr>
          <w:i/>
        </w:rPr>
        <w:t>Superannuation Guarantee (Administration) Act 1992</w:t>
      </w:r>
      <w:r w:rsidRPr="00143624">
        <w:t>;</w:t>
      </w:r>
    </w:p>
    <w:p w:rsidR="005B63A2" w:rsidRPr="00143624" w:rsidRDefault="005B63A2" w:rsidP="005B63A2">
      <w:pPr>
        <w:pStyle w:val="paragraphsub"/>
      </w:pPr>
      <w:r w:rsidRPr="00143624">
        <w:tab/>
        <w:t>(ii)</w:t>
      </w:r>
      <w:r w:rsidRPr="00143624">
        <w:tab/>
        <w:t xml:space="preserve">the member moving to a new benefit category because of the necessary application of the rules of a superannuation </w:t>
      </w:r>
      <w:r w:rsidRPr="00143624">
        <w:rPr>
          <w:color w:val="000000"/>
        </w:rPr>
        <w:t>fund</w:t>
      </w:r>
      <w:r w:rsidRPr="00143624">
        <w:t xml:space="preserve"> referred to </w:t>
      </w:r>
      <w:r w:rsidRPr="00143624">
        <w:lastRenderedPageBreak/>
        <w:t xml:space="preserve">in </w:t>
      </w:r>
      <w:r w:rsidR="002B1A95" w:rsidRPr="00143624">
        <w:t>subparagraph (</w:t>
      </w:r>
      <w:r w:rsidRPr="00143624">
        <w:t>i) that were, or of legislation that was, in force on 5</w:t>
      </w:r>
      <w:r w:rsidR="002B1A95" w:rsidRPr="00143624">
        <w:t> </w:t>
      </w:r>
      <w:r w:rsidRPr="00143624">
        <w:t>September 2006, if the member had no control over the application of the rules or legislation.</w:t>
      </w:r>
    </w:p>
    <w:p w:rsidR="005B63A2" w:rsidRPr="00143624" w:rsidRDefault="005B63A2" w:rsidP="005B63A2">
      <w:pPr>
        <w:pStyle w:val="subsection"/>
      </w:pPr>
      <w:r w:rsidRPr="00143624">
        <w:tab/>
        <w:t>(3)</w:t>
      </w:r>
      <w:r w:rsidRPr="00143624">
        <w:tab/>
        <w:t>A condition is that the method of calculating the defined benefit member’s superannuation salary:</w:t>
      </w:r>
    </w:p>
    <w:p w:rsidR="005B63A2" w:rsidRPr="00143624" w:rsidRDefault="005B63A2" w:rsidP="005B63A2">
      <w:pPr>
        <w:pStyle w:val="paragraph"/>
      </w:pPr>
      <w:r w:rsidRPr="00143624">
        <w:tab/>
        <w:t>(a)</w:t>
      </w:r>
      <w:r w:rsidRPr="00143624">
        <w:tab/>
        <w:t>has not been changed, in a way that would increase the salary, since 12</w:t>
      </w:r>
      <w:r w:rsidR="002B1A95" w:rsidRPr="00143624">
        <w:t> </w:t>
      </w:r>
      <w:r w:rsidRPr="00143624">
        <w:t>May 2009; or</w:t>
      </w:r>
    </w:p>
    <w:p w:rsidR="005B63A2" w:rsidRPr="00143624" w:rsidRDefault="005B63A2" w:rsidP="005B63A2">
      <w:pPr>
        <w:pStyle w:val="paragraph"/>
      </w:pPr>
      <w:r w:rsidRPr="00143624">
        <w:tab/>
        <w:t>(b)</w:t>
      </w:r>
      <w:r w:rsidRPr="00143624">
        <w:tab/>
        <w:t>has changed since 12</w:t>
      </w:r>
      <w:r w:rsidR="002B1A95" w:rsidRPr="00143624">
        <w:t> </w:t>
      </w:r>
      <w:r w:rsidRPr="00143624">
        <w:t xml:space="preserve">May 2009 only as a result of a change to the rules of a superannuation </w:t>
      </w:r>
      <w:r w:rsidRPr="00143624">
        <w:rPr>
          <w:color w:val="000000"/>
        </w:rPr>
        <w:t>fund</w:t>
      </w:r>
      <w:r w:rsidRPr="00143624">
        <w:t xml:space="preserve"> in which a relevant 2009 interest is or was held that increases a benefit as a result of a change made to satisfy the requirements of the </w:t>
      </w:r>
      <w:r w:rsidRPr="00143624">
        <w:rPr>
          <w:i/>
        </w:rPr>
        <w:t>Superannuation Guarantee (Administration) Act 1992</w:t>
      </w:r>
      <w:r w:rsidRPr="00143624">
        <w:t>.</w:t>
      </w:r>
    </w:p>
    <w:p w:rsidR="005B63A2" w:rsidRPr="00143624" w:rsidRDefault="005B63A2" w:rsidP="005B63A2">
      <w:pPr>
        <w:pStyle w:val="subsection"/>
      </w:pPr>
      <w:r w:rsidRPr="00143624">
        <w:tab/>
        <w:t>(4)</w:t>
      </w:r>
      <w:r w:rsidRPr="00143624">
        <w:tab/>
        <w:t>A condition is that either:</w:t>
      </w:r>
    </w:p>
    <w:p w:rsidR="005B63A2" w:rsidRPr="00143624" w:rsidRDefault="005B63A2" w:rsidP="005B63A2">
      <w:pPr>
        <w:pStyle w:val="paragraph"/>
      </w:pPr>
      <w:r w:rsidRPr="00143624">
        <w:tab/>
        <w:t>(a)</w:t>
      </w:r>
      <w:r w:rsidRPr="00143624">
        <w:tab/>
        <w:t>the rate of the defined benefit member’s superannuation salary has not increased, since 12</w:t>
      </w:r>
      <w:r w:rsidR="002B1A95" w:rsidRPr="00143624">
        <w:t> </w:t>
      </w:r>
      <w:r w:rsidRPr="00143624">
        <w:t>May 2009, by more than:</w:t>
      </w:r>
    </w:p>
    <w:p w:rsidR="005B63A2" w:rsidRPr="00143624" w:rsidRDefault="005B63A2" w:rsidP="005B63A2">
      <w:pPr>
        <w:pStyle w:val="paragraphsub"/>
      </w:pPr>
      <w:r w:rsidRPr="00143624">
        <w:tab/>
        <w:t>(i)</w:t>
      </w:r>
      <w:r w:rsidRPr="00143624">
        <w:tab/>
        <w:t>50% in 1 year; or</w:t>
      </w:r>
    </w:p>
    <w:p w:rsidR="005B63A2" w:rsidRPr="00143624" w:rsidRDefault="005B63A2" w:rsidP="005B63A2">
      <w:pPr>
        <w:pStyle w:val="paragraphsub"/>
      </w:pPr>
      <w:r w:rsidRPr="00143624">
        <w:tab/>
        <w:t>(ii)</w:t>
      </w:r>
      <w:r w:rsidRPr="00143624">
        <w:tab/>
        <w:t>75% over 3 years; or</w:t>
      </w:r>
    </w:p>
    <w:p w:rsidR="005B63A2" w:rsidRPr="00143624" w:rsidRDefault="005B63A2" w:rsidP="005B63A2">
      <w:pPr>
        <w:pStyle w:val="paragraph"/>
      </w:pPr>
      <w:r w:rsidRPr="00143624">
        <w:tab/>
        <w:t>(b)</w:t>
      </w:r>
      <w:r w:rsidRPr="00143624">
        <w:tab/>
        <w:t xml:space="preserve">the rate of superannuation salary has increased by more than the rate in </w:t>
      </w:r>
      <w:r w:rsidR="002B1A95" w:rsidRPr="00143624">
        <w:t>subparagraph (</w:t>
      </w:r>
      <w:r w:rsidRPr="00143624">
        <w:t>a)(i) or (ii) and:</w:t>
      </w:r>
    </w:p>
    <w:p w:rsidR="005B63A2" w:rsidRPr="00143624" w:rsidRDefault="005B63A2" w:rsidP="005B63A2">
      <w:pPr>
        <w:pStyle w:val="paragraphsub"/>
      </w:pPr>
      <w:r w:rsidRPr="00143624">
        <w:tab/>
        <w:t>(i)</w:t>
      </w:r>
      <w:r w:rsidRPr="00143624">
        <w:tab/>
        <w:t>the employer</w:t>
      </w:r>
      <w:r w:rsidR="00143624">
        <w:noBreakHyphen/>
      </w:r>
      <w:r w:rsidRPr="00143624">
        <w:t xml:space="preserve">sponsor of the superannuation </w:t>
      </w:r>
      <w:r w:rsidRPr="00143624">
        <w:rPr>
          <w:color w:val="000000"/>
        </w:rPr>
        <w:t>fund</w:t>
      </w:r>
      <w:r w:rsidRPr="00143624">
        <w:t xml:space="preserve"> in which, immediately after the rate increase, a relevant 2009 interest was held has advised the trustee of that fund that the increase in the rate is on an arm’s length basis; and</w:t>
      </w:r>
    </w:p>
    <w:p w:rsidR="005B63A2" w:rsidRPr="00143624" w:rsidRDefault="005B63A2" w:rsidP="005B63A2">
      <w:pPr>
        <w:pStyle w:val="paragraphsub"/>
      </w:pPr>
      <w:r w:rsidRPr="00143624">
        <w:tab/>
        <w:t>(ii)</w:t>
      </w:r>
      <w:r w:rsidRPr="00143624">
        <w:tab/>
        <w:t xml:space="preserve">the trustee of a superannuation </w:t>
      </w:r>
      <w:r w:rsidRPr="00143624">
        <w:rPr>
          <w:color w:val="000000"/>
        </w:rPr>
        <w:t>fund</w:t>
      </w:r>
      <w:r w:rsidRPr="00143624">
        <w:t xml:space="preserve"> in which a relevant 2009 interest was held after the rate increase notified the Commissioner, in writing, of the increase in the rate as soon as practicable after the increase occurred.</w:t>
      </w:r>
    </w:p>
    <w:p w:rsidR="005B63A2" w:rsidRPr="00143624" w:rsidRDefault="005B63A2" w:rsidP="005B63A2">
      <w:pPr>
        <w:pStyle w:val="subsection"/>
      </w:pPr>
      <w:r w:rsidRPr="00143624">
        <w:tab/>
        <w:t>(5)</w:t>
      </w:r>
      <w:r w:rsidRPr="00143624">
        <w:tab/>
        <w:t>A condition is that no trustee or employer</w:t>
      </w:r>
      <w:r w:rsidR="00143624">
        <w:noBreakHyphen/>
      </w:r>
      <w:r w:rsidRPr="00143624">
        <w:t xml:space="preserve">sponsor of any superannuation </w:t>
      </w:r>
      <w:r w:rsidRPr="00143624">
        <w:rPr>
          <w:color w:val="000000"/>
        </w:rPr>
        <w:t>fund</w:t>
      </w:r>
      <w:r w:rsidRPr="00143624">
        <w:t xml:space="preserve"> in which a relevant 2009 interest is or was held has exercised a discretion to pay a benefit that is greater than the benefit that was assumed for the purpose of calculating the new entrant rate since 12</w:t>
      </w:r>
      <w:r w:rsidR="002B1A95" w:rsidRPr="00143624">
        <w:t> </w:t>
      </w:r>
      <w:r w:rsidRPr="00143624">
        <w:t>May 2009.</w:t>
      </w:r>
    </w:p>
    <w:p w:rsidR="005B63A2" w:rsidRPr="00143624" w:rsidRDefault="005B63A2" w:rsidP="005B63A2">
      <w:pPr>
        <w:pStyle w:val="ActHead3"/>
        <w:pageBreakBefore/>
      </w:pPr>
      <w:bookmarkStart w:id="72" w:name="_Toc64030330"/>
      <w:r w:rsidRPr="003F3E0B">
        <w:rPr>
          <w:rStyle w:val="CharDivNo"/>
        </w:rPr>
        <w:lastRenderedPageBreak/>
        <w:t>Division</w:t>
      </w:r>
      <w:r w:rsidR="002B1A95" w:rsidRPr="003F3E0B">
        <w:rPr>
          <w:rStyle w:val="CharDivNo"/>
        </w:rPr>
        <w:t> </w:t>
      </w:r>
      <w:r w:rsidRPr="003F3E0B">
        <w:rPr>
          <w:rStyle w:val="CharDivNo"/>
        </w:rPr>
        <w:t>292</w:t>
      </w:r>
      <w:r w:rsidRPr="00143624">
        <w:t>—</w:t>
      </w:r>
      <w:r w:rsidRPr="003F3E0B">
        <w:rPr>
          <w:rStyle w:val="CharDivText"/>
        </w:rPr>
        <w:t>Excess non</w:t>
      </w:r>
      <w:r w:rsidR="00143624" w:rsidRPr="003F3E0B">
        <w:rPr>
          <w:rStyle w:val="CharDivText"/>
        </w:rPr>
        <w:noBreakHyphen/>
      </w:r>
      <w:r w:rsidRPr="003F3E0B">
        <w:rPr>
          <w:rStyle w:val="CharDivText"/>
        </w:rPr>
        <w:t>concessional contributions</w:t>
      </w:r>
      <w:bookmarkEnd w:id="72"/>
    </w:p>
    <w:p w:rsidR="005B63A2" w:rsidRPr="00143624" w:rsidRDefault="005B63A2" w:rsidP="005B63A2">
      <w:pPr>
        <w:pStyle w:val="ActHead4"/>
      </w:pPr>
      <w:bookmarkStart w:id="73" w:name="_Toc64030331"/>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292</w:t>
      </w:r>
      <w:r w:rsidR="00143624" w:rsidRPr="003F3E0B">
        <w:rPr>
          <w:rStyle w:val="CharSubdNo"/>
          <w:rFonts w:eastAsiaTheme="majorEastAsia"/>
        </w:rPr>
        <w:noBreakHyphen/>
      </w:r>
      <w:r w:rsidRPr="003F3E0B">
        <w:rPr>
          <w:rStyle w:val="CharSubdNo"/>
          <w:rFonts w:eastAsiaTheme="majorEastAsia"/>
        </w:rPr>
        <w:t>C</w:t>
      </w:r>
      <w:r w:rsidRPr="00143624">
        <w:t>—</w:t>
      </w:r>
      <w:r w:rsidRPr="003F3E0B">
        <w:rPr>
          <w:rStyle w:val="CharSubdText"/>
          <w:rFonts w:eastAsiaTheme="majorEastAsia"/>
        </w:rPr>
        <w:t>Excess non</w:t>
      </w:r>
      <w:r w:rsidR="00143624" w:rsidRPr="003F3E0B">
        <w:rPr>
          <w:rStyle w:val="CharSubdText"/>
          <w:rFonts w:eastAsiaTheme="majorEastAsia"/>
        </w:rPr>
        <w:noBreakHyphen/>
      </w:r>
      <w:r w:rsidRPr="003F3E0B">
        <w:rPr>
          <w:rStyle w:val="CharSubdText"/>
          <w:rFonts w:eastAsiaTheme="majorEastAsia"/>
        </w:rPr>
        <w:t>concessional contributions tax</w:t>
      </w:r>
      <w:bookmarkEnd w:id="73"/>
    </w:p>
    <w:p w:rsidR="005B63A2" w:rsidRPr="00143624" w:rsidRDefault="005B63A2" w:rsidP="005B63A2">
      <w:pPr>
        <w:pStyle w:val="ActHead5"/>
      </w:pPr>
      <w:bookmarkStart w:id="74" w:name="_Toc64030332"/>
      <w:r w:rsidRPr="003F3E0B">
        <w:rPr>
          <w:rStyle w:val="CharSectno"/>
        </w:rPr>
        <w:t>292</w:t>
      </w:r>
      <w:r w:rsidR="00143624" w:rsidRPr="003F3E0B">
        <w:rPr>
          <w:rStyle w:val="CharSectno"/>
        </w:rPr>
        <w:noBreakHyphen/>
      </w:r>
      <w:r w:rsidRPr="003F3E0B">
        <w:rPr>
          <w:rStyle w:val="CharSectno"/>
        </w:rPr>
        <w:t>90.01</w:t>
      </w:r>
      <w:r w:rsidRPr="00143624">
        <w:t xml:space="preserve">  Non</w:t>
      </w:r>
      <w:r w:rsidR="00143624">
        <w:noBreakHyphen/>
      </w:r>
      <w:r w:rsidRPr="00143624">
        <w:t>concessional contributions for a financial year</w:t>
      </w:r>
      <w:bookmarkEnd w:id="74"/>
    </w:p>
    <w:p w:rsidR="005B63A2" w:rsidRPr="00143624" w:rsidRDefault="005B63A2" w:rsidP="005B63A2">
      <w:pPr>
        <w:pStyle w:val="subsection"/>
        <w:rPr>
          <w:color w:val="000000"/>
        </w:rPr>
      </w:pPr>
      <w:r w:rsidRPr="00143624">
        <w:rPr>
          <w:color w:val="000000"/>
        </w:rPr>
        <w:tab/>
        <w:t>(1)</w:t>
      </w:r>
      <w:r w:rsidRPr="00143624">
        <w:rPr>
          <w:color w:val="000000"/>
        </w:rPr>
        <w:tab/>
        <w:t>For the purposes of paragraph</w:t>
      </w:r>
      <w:r w:rsidR="002B1A95" w:rsidRPr="00143624">
        <w:rPr>
          <w:color w:val="000000"/>
        </w:rPr>
        <w:t> </w:t>
      </w:r>
      <w:r w:rsidRPr="00143624">
        <w:rPr>
          <w:color w:val="000000"/>
        </w:rPr>
        <w:t>292</w:t>
      </w:r>
      <w:r w:rsidR="00143624">
        <w:rPr>
          <w:color w:val="000000"/>
        </w:rPr>
        <w:noBreakHyphen/>
      </w:r>
      <w:r w:rsidRPr="00143624">
        <w:rPr>
          <w:color w:val="000000"/>
        </w:rPr>
        <w:t>90(4)(a) of the Act, this section specifies conditions for the allocation of an amount in a complying superannuation plan.</w:t>
      </w:r>
    </w:p>
    <w:p w:rsidR="005B63A2" w:rsidRPr="00143624" w:rsidRDefault="005B63A2" w:rsidP="005B63A2">
      <w:pPr>
        <w:pStyle w:val="notetext"/>
      </w:pPr>
      <w:r w:rsidRPr="00143624">
        <w:t>Note:</w:t>
      </w:r>
      <w:r w:rsidRPr="00143624">
        <w:tab/>
        <w:t>If the amount meets the conditions of this section it will be an amount covered by subsection</w:t>
      </w:r>
      <w:r w:rsidR="002B1A95" w:rsidRPr="00143624">
        <w:t> </w:t>
      </w:r>
      <w:r w:rsidRPr="00143624">
        <w:t>292</w:t>
      </w:r>
      <w:r w:rsidR="00143624">
        <w:noBreakHyphen/>
      </w:r>
      <w:r w:rsidRPr="00143624">
        <w:t>90(4) of the Act. Such amounts are counted in determining an individual’s non</w:t>
      </w:r>
      <w:r w:rsidR="00143624">
        <w:noBreakHyphen/>
      </w:r>
      <w:r w:rsidRPr="00143624">
        <w:t>concessional contributions for a financial year.</w:t>
      </w:r>
    </w:p>
    <w:p w:rsidR="005B63A2" w:rsidRPr="00143624" w:rsidRDefault="005B63A2" w:rsidP="005B63A2">
      <w:pPr>
        <w:pStyle w:val="subsection"/>
      </w:pPr>
      <w:r w:rsidRPr="00143624">
        <w:rPr>
          <w:color w:val="000000"/>
        </w:rPr>
        <w:tab/>
        <w:t>(2)</w:t>
      </w:r>
      <w:r w:rsidRPr="00143624">
        <w:rPr>
          <w:color w:val="000000"/>
        </w:rPr>
        <w:tab/>
        <w:t>The conditions are that the amount is:</w:t>
      </w:r>
    </w:p>
    <w:p w:rsidR="005B63A2" w:rsidRPr="00143624" w:rsidRDefault="005B63A2" w:rsidP="005B63A2">
      <w:pPr>
        <w:pStyle w:val="paragraph"/>
      </w:pPr>
      <w:r w:rsidRPr="00143624">
        <w:rPr>
          <w:color w:val="000000"/>
        </w:rPr>
        <w:tab/>
        <w:t>(a)</w:t>
      </w:r>
      <w:r w:rsidRPr="00143624">
        <w:rPr>
          <w:color w:val="000000"/>
        </w:rPr>
        <w:tab/>
        <w:t>allocated under Division</w:t>
      </w:r>
      <w:r w:rsidR="002B1A95" w:rsidRPr="00143624">
        <w:rPr>
          <w:color w:val="000000"/>
        </w:rPr>
        <w:t> </w:t>
      </w:r>
      <w:r w:rsidRPr="00143624">
        <w:rPr>
          <w:color w:val="000000"/>
        </w:rPr>
        <w:t>7.2 of the SIS Regulations; and</w:t>
      </w:r>
    </w:p>
    <w:p w:rsidR="005B63A2" w:rsidRPr="00143624" w:rsidRDefault="005B63A2" w:rsidP="005B63A2">
      <w:pPr>
        <w:pStyle w:val="paragraph"/>
      </w:pPr>
      <w:r w:rsidRPr="00143624">
        <w:tab/>
        <w:t>(b)</w:t>
      </w:r>
      <w:r w:rsidRPr="00143624">
        <w:tab/>
        <w:t>not an assessable contribution; and</w:t>
      </w:r>
    </w:p>
    <w:p w:rsidR="005B63A2" w:rsidRPr="00143624" w:rsidRDefault="005B63A2" w:rsidP="005B63A2">
      <w:pPr>
        <w:pStyle w:val="paragraph"/>
      </w:pPr>
      <w:r w:rsidRPr="00143624">
        <w:tab/>
        <w:t>(c)</w:t>
      </w:r>
      <w:r w:rsidRPr="00143624">
        <w:tab/>
        <w:t xml:space="preserve">not covered by </w:t>
      </w:r>
      <w:r w:rsidR="002B1A95" w:rsidRPr="00143624">
        <w:t>subsection (</w:t>
      </w:r>
      <w:r w:rsidRPr="00143624">
        <w:t>3).</w:t>
      </w:r>
    </w:p>
    <w:p w:rsidR="005B63A2" w:rsidRPr="00143624" w:rsidRDefault="005B63A2" w:rsidP="005B63A2">
      <w:pPr>
        <w:pStyle w:val="subsection"/>
      </w:pPr>
      <w:r w:rsidRPr="00143624">
        <w:tab/>
        <w:t>(3)</w:t>
      </w:r>
      <w:r w:rsidRPr="00143624">
        <w:tab/>
        <w:t>Each of the following amounts is covered by this subsection:</w:t>
      </w:r>
    </w:p>
    <w:p w:rsidR="005B63A2" w:rsidRPr="00143624" w:rsidRDefault="005B63A2" w:rsidP="005B63A2">
      <w:pPr>
        <w:pStyle w:val="paragraph"/>
      </w:pPr>
      <w:r w:rsidRPr="00143624">
        <w:rPr>
          <w:color w:val="000000"/>
        </w:rPr>
        <w:tab/>
        <w:t>(a)</w:t>
      </w:r>
      <w:r w:rsidRPr="00143624">
        <w:rPr>
          <w:color w:val="000000"/>
        </w:rPr>
        <w:tab/>
        <w:t>a Government co</w:t>
      </w:r>
      <w:r w:rsidR="00143624">
        <w:rPr>
          <w:color w:val="000000"/>
        </w:rPr>
        <w:noBreakHyphen/>
      </w:r>
      <w:r w:rsidRPr="00143624">
        <w:rPr>
          <w:color w:val="000000"/>
        </w:rPr>
        <w:t xml:space="preserve">contribution made under the </w:t>
      </w:r>
      <w:r w:rsidRPr="00143624">
        <w:rPr>
          <w:i/>
          <w:color w:val="000000"/>
        </w:rPr>
        <w:t>Superannuation (Government Co</w:t>
      </w:r>
      <w:r w:rsidR="00143624">
        <w:rPr>
          <w:i/>
          <w:color w:val="000000"/>
        </w:rPr>
        <w:noBreakHyphen/>
      </w:r>
      <w:r w:rsidRPr="00143624">
        <w:rPr>
          <w:i/>
          <w:color w:val="000000"/>
        </w:rPr>
        <w:t>contribution for Low Income Earners) Act 2003</w:t>
      </w:r>
      <w:r w:rsidRPr="00143624">
        <w:rPr>
          <w:color w:val="000000"/>
        </w:rPr>
        <w:t>;</w:t>
      </w:r>
    </w:p>
    <w:p w:rsidR="005B63A2" w:rsidRPr="00143624" w:rsidRDefault="005B63A2" w:rsidP="005B63A2">
      <w:pPr>
        <w:pStyle w:val="paragraph"/>
      </w:pPr>
      <w:r w:rsidRPr="00143624">
        <w:tab/>
        <w:t>(b)</w:t>
      </w:r>
      <w:r w:rsidRPr="00143624">
        <w:tab/>
        <w:t>a contribution covered under section</w:t>
      </w:r>
      <w:r w:rsidR="002B1A95" w:rsidRPr="00143624">
        <w:t> </w:t>
      </w:r>
      <w:r w:rsidRPr="00143624">
        <w:t>292</w:t>
      </w:r>
      <w:r w:rsidR="00143624">
        <w:noBreakHyphen/>
      </w:r>
      <w:r w:rsidRPr="00143624">
        <w:t>95 of the Act;</w:t>
      </w:r>
    </w:p>
    <w:p w:rsidR="005B63A2" w:rsidRPr="00143624" w:rsidRDefault="005B63A2" w:rsidP="005B63A2">
      <w:pPr>
        <w:pStyle w:val="paragraph"/>
      </w:pPr>
      <w:r w:rsidRPr="00143624">
        <w:tab/>
        <w:t>(c)</w:t>
      </w:r>
      <w:r w:rsidRPr="00143624">
        <w:tab/>
        <w:t>a contribution covered under section</w:t>
      </w:r>
      <w:r w:rsidR="002B1A95" w:rsidRPr="00143624">
        <w:t> </w:t>
      </w:r>
      <w:r w:rsidRPr="00143624">
        <w:t>292</w:t>
      </w:r>
      <w:r w:rsidR="00143624">
        <w:noBreakHyphen/>
      </w:r>
      <w:r w:rsidRPr="00143624">
        <w:t>100 of the Act, to the extent that it does not exceed the CGT cap amount when it is made;</w:t>
      </w:r>
    </w:p>
    <w:p w:rsidR="005B63A2" w:rsidRPr="00143624" w:rsidRDefault="005B63A2" w:rsidP="005B63A2">
      <w:pPr>
        <w:pStyle w:val="paragraph"/>
      </w:pPr>
      <w:r w:rsidRPr="00143624">
        <w:tab/>
        <w:t>(d)</w:t>
      </w:r>
      <w:r w:rsidRPr="00143624">
        <w:tab/>
        <w:t>a contribution made to a constitutionally protected fund (other than a contribution included in the contributions segment of the member’s superannuation interest in the fund);</w:t>
      </w:r>
    </w:p>
    <w:p w:rsidR="005B63A2" w:rsidRPr="00143624" w:rsidRDefault="005B63A2" w:rsidP="005B63A2">
      <w:pPr>
        <w:pStyle w:val="paragraph"/>
      </w:pPr>
      <w:r w:rsidRPr="00143624">
        <w:tab/>
        <w:t>(e)</w:t>
      </w:r>
      <w:r w:rsidRPr="00143624">
        <w:tab/>
        <w:t>contributions not included in the assessable income of the superannuation provider in relation to the superannuation plan because of a choice made under section</w:t>
      </w:r>
      <w:r w:rsidR="002B1A95" w:rsidRPr="00143624">
        <w:t> </w:t>
      </w:r>
      <w:r w:rsidRPr="00143624">
        <w:t>295</w:t>
      </w:r>
      <w:r w:rsidR="00143624">
        <w:noBreakHyphen/>
      </w:r>
      <w:r w:rsidRPr="00143624">
        <w:t>180 of the Act;</w:t>
      </w:r>
    </w:p>
    <w:p w:rsidR="005B63A2" w:rsidRPr="00143624" w:rsidRDefault="005B63A2" w:rsidP="005B63A2">
      <w:pPr>
        <w:pStyle w:val="paragraph"/>
      </w:pPr>
      <w:r w:rsidRPr="00143624">
        <w:tab/>
        <w:t>(f)</w:t>
      </w:r>
      <w:r w:rsidRPr="00143624">
        <w:tab/>
        <w:t>a contribution that is a roll</w:t>
      </w:r>
      <w:r w:rsidR="00143624">
        <w:noBreakHyphen/>
      </w:r>
      <w:r w:rsidRPr="00143624">
        <w:t>over superannuation benefit;</w:t>
      </w:r>
    </w:p>
    <w:p w:rsidR="005B63A2" w:rsidRPr="00143624" w:rsidRDefault="005B63A2" w:rsidP="005B63A2">
      <w:pPr>
        <w:pStyle w:val="paragraph"/>
      </w:pPr>
      <w:r w:rsidRPr="00143624">
        <w:tab/>
        <w:t>(g)</w:t>
      </w:r>
      <w:r w:rsidRPr="00143624">
        <w:tab/>
        <w:t>the tax free component of a directed termination payment (within the meaning of section</w:t>
      </w:r>
      <w:r w:rsidR="002B1A95" w:rsidRPr="00143624">
        <w:t> </w:t>
      </w:r>
      <w:r w:rsidRPr="00143624">
        <w:t>82</w:t>
      </w:r>
      <w:r w:rsidR="00143624">
        <w:noBreakHyphen/>
      </w:r>
      <w:r w:rsidRPr="00143624">
        <w:t xml:space="preserve">10F of the </w:t>
      </w:r>
      <w:r w:rsidRPr="00143624">
        <w:rPr>
          <w:i/>
        </w:rPr>
        <w:t>Income Tax (Transitional Provisions) Act 1997</w:t>
      </w:r>
      <w:r w:rsidRPr="00143624">
        <w:t>) made in the financial year on behalf of the member.</w:t>
      </w:r>
    </w:p>
    <w:p w:rsidR="005B63A2" w:rsidRPr="00143624" w:rsidRDefault="005B63A2" w:rsidP="005B63A2">
      <w:pPr>
        <w:pStyle w:val="ActHead3"/>
        <w:pageBreakBefore/>
      </w:pPr>
      <w:bookmarkStart w:id="75" w:name="_Toc64030333"/>
      <w:r w:rsidRPr="003F3E0B">
        <w:rPr>
          <w:rStyle w:val="CharDivNo"/>
        </w:rPr>
        <w:lastRenderedPageBreak/>
        <w:t>Division</w:t>
      </w:r>
      <w:r w:rsidR="002B1A95" w:rsidRPr="003F3E0B">
        <w:rPr>
          <w:rStyle w:val="CharDivNo"/>
        </w:rPr>
        <w:t> </w:t>
      </w:r>
      <w:r w:rsidRPr="003F3E0B">
        <w:rPr>
          <w:rStyle w:val="CharDivNo"/>
        </w:rPr>
        <w:t>293</w:t>
      </w:r>
      <w:r w:rsidRPr="00143624">
        <w:t>—</w:t>
      </w:r>
      <w:r w:rsidRPr="003F3E0B">
        <w:rPr>
          <w:rStyle w:val="CharDivText"/>
        </w:rPr>
        <w:t>Sustaining the superannuation contribution concession</w:t>
      </w:r>
      <w:bookmarkEnd w:id="75"/>
    </w:p>
    <w:p w:rsidR="005B63A2" w:rsidRPr="00143624" w:rsidRDefault="005B63A2" w:rsidP="005B63A2">
      <w:pPr>
        <w:pStyle w:val="ActHead4"/>
        <w:rPr>
          <w:rFonts w:eastAsiaTheme="majorEastAsia"/>
        </w:rPr>
      </w:pPr>
      <w:bookmarkStart w:id="76" w:name="_Toc64030334"/>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293</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Pr>
        <w:t>M</w:t>
      </w:r>
      <w:r w:rsidRPr="003F3E0B">
        <w:rPr>
          <w:rStyle w:val="CharSubdText"/>
          <w:rFonts w:eastAsiaTheme="majorEastAsia"/>
        </w:rPr>
        <w:t>odifications for defined benefit interests</w:t>
      </w:r>
      <w:bookmarkEnd w:id="76"/>
    </w:p>
    <w:p w:rsidR="005B63A2" w:rsidRPr="00143624" w:rsidRDefault="005B63A2" w:rsidP="005B63A2">
      <w:pPr>
        <w:pStyle w:val="ActHead5"/>
      </w:pPr>
      <w:bookmarkStart w:id="77" w:name="_Toc64030335"/>
      <w:r w:rsidRPr="003F3E0B">
        <w:rPr>
          <w:rStyle w:val="CharSectno"/>
        </w:rPr>
        <w:t>293</w:t>
      </w:r>
      <w:r w:rsidR="00143624" w:rsidRPr="003F3E0B">
        <w:rPr>
          <w:rStyle w:val="CharSectno"/>
        </w:rPr>
        <w:noBreakHyphen/>
      </w:r>
      <w:r w:rsidRPr="003F3E0B">
        <w:rPr>
          <w:rStyle w:val="CharSectno"/>
        </w:rPr>
        <w:t>115.05</w:t>
      </w:r>
      <w:r w:rsidRPr="00143624">
        <w:t xml:space="preserve">  Preliminary</w:t>
      </w:r>
      <w:bookmarkEnd w:id="77"/>
    </w:p>
    <w:p w:rsidR="005B63A2" w:rsidRPr="00143624" w:rsidRDefault="005B63A2" w:rsidP="005B63A2">
      <w:pPr>
        <w:pStyle w:val="subsection"/>
      </w:pPr>
      <w:r w:rsidRPr="00143624">
        <w:tab/>
        <w:t>(1)</w:t>
      </w:r>
      <w:r w:rsidRPr="00143624">
        <w:tab/>
        <w:t>This Subdivision is made for the purposes of subsection</w:t>
      </w:r>
      <w:r w:rsidR="002B1A95" w:rsidRPr="00143624">
        <w:t> </w:t>
      </w:r>
      <w:r w:rsidRPr="00143624">
        <w:t>293</w:t>
      </w:r>
      <w:r w:rsidR="00143624">
        <w:noBreakHyphen/>
      </w:r>
      <w:r w:rsidRPr="00143624">
        <w:t>115(1) of the Act.</w:t>
      </w:r>
    </w:p>
    <w:p w:rsidR="005B63A2" w:rsidRPr="00143624" w:rsidRDefault="005B63A2" w:rsidP="005B63A2">
      <w:pPr>
        <w:pStyle w:val="subsection"/>
      </w:pPr>
      <w:r w:rsidRPr="00143624">
        <w:tab/>
        <w:t>(2)</w:t>
      </w:r>
      <w:r w:rsidRPr="00143624">
        <w:tab/>
        <w:t>In this Subdivision:</w:t>
      </w:r>
    </w:p>
    <w:p w:rsidR="005B63A2" w:rsidRPr="00143624" w:rsidRDefault="005B63A2" w:rsidP="005B63A2">
      <w:pPr>
        <w:pStyle w:val="Definition"/>
        <w:rPr>
          <w:b/>
        </w:rPr>
      </w:pPr>
      <w:r w:rsidRPr="00143624">
        <w:rPr>
          <w:b/>
          <w:i/>
        </w:rPr>
        <w:t>accruing member</w:t>
      </w:r>
      <w:r w:rsidRPr="00143624">
        <w:t>, of a superannuation fund for a financial year, means a defined benefit member of the fund who is not a non</w:t>
      </w:r>
      <w:r w:rsidR="00143624">
        <w:noBreakHyphen/>
      </w:r>
      <w:r w:rsidRPr="00143624">
        <w:t>accruing member of the fund for the financial year.</w:t>
      </w:r>
    </w:p>
    <w:p w:rsidR="005B63A2" w:rsidRPr="00143624" w:rsidRDefault="005B63A2" w:rsidP="005B63A2">
      <w:pPr>
        <w:pStyle w:val="Definition"/>
      </w:pPr>
      <w:r w:rsidRPr="00143624">
        <w:rPr>
          <w:b/>
          <w:i/>
        </w:rPr>
        <w:t>non</w:t>
      </w:r>
      <w:r w:rsidR="00143624">
        <w:rPr>
          <w:b/>
          <w:i/>
        </w:rPr>
        <w:noBreakHyphen/>
      </w:r>
      <w:r w:rsidRPr="00143624">
        <w:rPr>
          <w:b/>
          <w:i/>
        </w:rPr>
        <w:t>accruing member</w:t>
      </w:r>
      <w:r w:rsidRPr="00143624">
        <w:t>, of a superannuation fund for a financial year, means:</w:t>
      </w:r>
    </w:p>
    <w:p w:rsidR="005B63A2" w:rsidRPr="00143624" w:rsidRDefault="005B63A2" w:rsidP="005B63A2">
      <w:pPr>
        <w:pStyle w:val="paragraph"/>
      </w:pPr>
      <w:r w:rsidRPr="00143624">
        <w:tab/>
        <w:t>(a)</w:t>
      </w:r>
      <w:r w:rsidRPr="00143624">
        <w:tab/>
        <w:t>a defined benefit member who is a non</w:t>
      </w:r>
      <w:r w:rsidR="00143624">
        <w:noBreakHyphen/>
      </w:r>
      <w:r w:rsidRPr="00143624">
        <w:t>accruing member of the fund for the financial year within the meaning of subsections 291</w:t>
      </w:r>
      <w:r w:rsidR="00143624">
        <w:noBreakHyphen/>
      </w:r>
      <w:r w:rsidRPr="00143624">
        <w:t>170.04(5) to (8); or</w:t>
      </w:r>
    </w:p>
    <w:p w:rsidR="005B63A2" w:rsidRPr="00143624" w:rsidRDefault="005B63A2" w:rsidP="005B63A2">
      <w:pPr>
        <w:pStyle w:val="paragraph"/>
      </w:pPr>
      <w:r w:rsidRPr="00143624">
        <w:tab/>
        <w:t>(b)</w:t>
      </w:r>
      <w:r w:rsidRPr="00143624">
        <w:tab/>
        <w:t>a member of the Governor</w:t>
      </w:r>
      <w:r w:rsidR="00143624">
        <w:noBreakHyphen/>
      </w:r>
      <w:r w:rsidRPr="00143624">
        <w:t>General Pension Scheme for the financial year, unless (for a member who is the Governor</w:t>
      </w:r>
      <w:r w:rsidR="00143624">
        <w:noBreakHyphen/>
      </w:r>
      <w:r w:rsidRPr="00143624">
        <w:t>General) the member commenced office in the financial year.</w:t>
      </w:r>
    </w:p>
    <w:p w:rsidR="005B63A2" w:rsidRPr="00143624" w:rsidRDefault="005B63A2" w:rsidP="005B63A2">
      <w:pPr>
        <w:pStyle w:val="ActHead5"/>
      </w:pPr>
      <w:bookmarkStart w:id="78" w:name="_Toc64030336"/>
      <w:r w:rsidRPr="003F3E0B">
        <w:rPr>
          <w:rStyle w:val="CharSectno"/>
        </w:rPr>
        <w:t>293</w:t>
      </w:r>
      <w:r w:rsidR="00143624" w:rsidRPr="003F3E0B">
        <w:rPr>
          <w:rStyle w:val="CharSectno"/>
        </w:rPr>
        <w:noBreakHyphen/>
      </w:r>
      <w:r w:rsidRPr="003F3E0B">
        <w:rPr>
          <w:rStyle w:val="CharSectno"/>
        </w:rPr>
        <w:t>115.10</w:t>
      </w:r>
      <w:r w:rsidRPr="00143624">
        <w:t xml:space="preserve">  Defined benefit contributions—non</w:t>
      </w:r>
      <w:r w:rsidR="00143624">
        <w:noBreakHyphen/>
      </w:r>
      <w:r w:rsidRPr="00143624">
        <w:t>accruing members</w:t>
      </w:r>
      <w:bookmarkEnd w:id="78"/>
    </w:p>
    <w:p w:rsidR="005B63A2" w:rsidRPr="00143624" w:rsidRDefault="005B63A2" w:rsidP="005B63A2">
      <w:pPr>
        <w:pStyle w:val="subsection"/>
      </w:pPr>
      <w:r w:rsidRPr="00143624">
        <w:tab/>
        <w:t>(1)</w:t>
      </w:r>
      <w:r w:rsidRPr="00143624">
        <w:tab/>
        <w:t>This section applies if you are a non</w:t>
      </w:r>
      <w:r w:rsidR="00143624">
        <w:noBreakHyphen/>
      </w:r>
      <w:r w:rsidRPr="00143624">
        <w:t>accruing member of a superannuation fund for a financial year.</w:t>
      </w:r>
    </w:p>
    <w:p w:rsidR="005B63A2" w:rsidRPr="00143624" w:rsidRDefault="005B63A2" w:rsidP="005B63A2">
      <w:pPr>
        <w:pStyle w:val="subsection"/>
      </w:pPr>
      <w:r w:rsidRPr="00143624">
        <w:tab/>
        <w:t>(2)</w:t>
      </w:r>
      <w:r w:rsidRPr="00143624">
        <w:tab/>
        <w:t xml:space="preserve">Your </w:t>
      </w:r>
      <w:r w:rsidRPr="00143624">
        <w:rPr>
          <w:b/>
          <w:i/>
        </w:rPr>
        <w:t>defined benefit contributions</w:t>
      </w:r>
      <w:r w:rsidRPr="00143624">
        <w:t xml:space="preserve"> for the financial year in respect of your defined benefit interest in the fund is nil.</w:t>
      </w:r>
    </w:p>
    <w:p w:rsidR="005B63A2" w:rsidRPr="00143624" w:rsidRDefault="005B63A2" w:rsidP="005B63A2">
      <w:pPr>
        <w:pStyle w:val="ActHead5"/>
      </w:pPr>
      <w:bookmarkStart w:id="79" w:name="_Toc64030337"/>
      <w:r w:rsidRPr="003F3E0B">
        <w:rPr>
          <w:rStyle w:val="CharSectno"/>
        </w:rPr>
        <w:t>293</w:t>
      </w:r>
      <w:r w:rsidR="00143624" w:rsidRPr="003F3E0B">
        <w:rPr>
          <w:rStyle w:val="CharSectno"/>
        </w:rPr>
        <w:noBreakHyphen/>
      </w:r>
      <w:r w:rsidRPr="003F3E0B">
        <w:rPr>
          <w:rStyle w:val="CharSectno"/>
        </w:rPr>
        <w:t>115.15</w:t>
      </w:r>
      <w:r w:rsidRPr="00143624">
        <w:t xml:space="preserve">  Defined benefit contributions—accruing members with funded benefit interests</w:t>
      </w:r>
      <w:bookmarkEnd w:id="79"/>
    </w:p>
    <w:p w:rsidR="005B63A2" w:rsidRPr="00143624" w:rsidRDefault="005B63A2" w:rsidP="005B63A2">
      <w:pPr>
        <w:pStyle w:val="subsection"/>
      </w:pPr>
      <w:r w:rsidRPr="00143624">
        <w:tab/>
        <w:t>(1)</w:t>
      </w:r>
      <w:r w:rsidRPr="00143624">
        <w:tab/>
        <w:t>This section applies if:</w:t>
      </w:r>
    </w:p>
    <w:p w:rsidR="005B63A2" w:rsidRPr="00143624" w:rsidRDefault="005B63A2" w:rsidP="005B63A2">
      <w:pPr>
        <w:pStyle w:val="paragraph"/>
      </w:pPr>
      <w:r w:rsidRPr="00143624">
        <w:tab/>
        <w:t>(a)</w:t>
      </w:r>
      <w:r w:rsidRPr="00143624">
        <w:tab/>
        <w:t>you are an accruing member of a superannuation fund for the financial year; and</w:t>
      </w:r>
    </w:p>
    <w:p w:rsidR="005B63A2" w:rsidRPr="00143624" w:rsidRDefault="005B63A2" w:rsidP="005B63A2">
      <w:pPr>
        <w:pStyle w:val="paragraph"/>
      </w:pPr>
      <w:r w:rsidRPr="00143624">
        <w:tab/>
        <w:t>(b)</w:t>
      </w:r>
      <w:r w:rsidRPr="00143624">
        <w:tab/>
        <w:t>your defined benefit interest in the fund for the financial year is a funded benefit interest.</w:t>
      </w:r>
    </w:p>
    <w:p w:rsidR="005B63A2" w:rsidRPr="00143624" w:rsidRDefault="005B63A2" w:rsidP="005B63A2">
      <w:pPr>
        <w:pStyle w:val="subsection"/>
      </w:pPr>
      <w:r w:rsidRPr="00143624">
        <w:tab/>
        <w:t>(2)</w:t>
      </w:r>
      <w:r w:rsidRPr="00143624">
        <w:tab/>
        <w:t xml:space="preserve">The interest is a </w:t>
      </w:r>
      <w:r w:rsidRPr="00143624">
        <w:rPr>
          <w:b/>
          <w:i/>
        </w:rPr>
        <w:t>funded benefit interest</w:t>
      </w:r>
      <w:r w:rsidRPr="00143624">
        <w:t xml:space="preserve"> if:</w:t>
      </w:r>
    </w:p>
    <w:p w:rsidR="005B63A2" w:rsidRPr="00143624" w:rsidRDefault="005B63A2" w:rsidP="005B63A2">
      <w:pPr>
        <w:pStyle w:val="paragraph"/>
      </w:pPr>
      <w:r w:rsidRPr="00143624">
        <w:tab/>
        <w:t>(a)</w:t>
      </w:r>
      <w:r w:rsidRPr="00143624">
        <w:tab/>
        <w:t>the interest is in a complying superannuation fund that is not a constitutionally protected fund; and</w:t>
      </w:r>
    </w:p>
    <w:p w:rsidR="005B63A2" w:rsidRPr="00143624" w:rsidRDefault="005B63A2" w:rsidP="005B63A2">
      <w:pPr>
        <w:pStyle w:val="paragraph"/>
      </w:pPr>
      <w:r w:rsidRPr="00143624">
        <w:tab/>
        <w:t>(b)</w:t>
      </w:r>
      <w:r w:rsidRPr="00143624">
        <w:tab/>
        <w:t>if the interest is in a public sector superannuation scheme:</w:t>
      </w:r>
    </w:p>
    <w:p w:rsidR="005B63A2" w:rsidRPr="00143624" w:rsidRDefault="005B63A2" w:rsidP="005B63A2">
      <w:pPr>
        <w:pStyle w:val="paragraphsub"/>
      </w:pPr>
      <w:r w:rsidRPr="00143624">
        <w:tab/>
        <w:t>(i)</w:t>
      </w:r>
      <w:r w:rsidRPr="00143624">
        <w:tab/>
        <w:t>the fund trustee has certified, for the financial year, that the fund trustee considers that the scheme will only ever pay superannuation benefits from contributions made to the scheme or earnings from the contributions; and</w:t>
      </w:r>
    </w:p>
    <w:p w:rsidR="005B63A2" w:rsidRPr="00143624" w:rsidRDefault="005B63A2" w:rsidP="005B63A2">
      <w:pPr>
        <w:pStyle w:val="paragraphsub"/>
      </w:pPr>
      <w:r w:rsidRPr="00143624">
        <w:tab/>
        <w:t>(ii)</w:t>
      </w:r>
      <w:r w:rsidRPr="00143624">
        <w:tab/>
        <w:t>the fund trustee has not chosen, under section</w:t>
      </w:r>
      <w:r w:rsidR="002B1A95" w:rsidRPr="00143624">
        <w:t> </w:t>
      </w:r>
      <w:r w:rsidRPr="00143624">
        <w:t>295</w:t>
      </w:r>
      <w:r w:rsidR="00143624">
        <w:noBreakHyphen/>
      </w:r>
      <w:r w:rsidRPr="00143624">
        <w:t>180 of the Act, to have contributions made by you, or on your behalf, excluded from the assessable income of the scheme for the financial year.</w:t>
      </w:r>
    </w:p>
    <w:p w:rsidR="005B63A2" w:rsidRPr="00143624" w:rsidRDefault="005B63A2" w:rsidP="005B63A2">
      <w:pPr>
        <w:pStyle w:val="subsection"/>
      </w:pPr>
      <w:r w:rsidRPr="00143624">
        <w:lastRenderedPageBreak/>
        <w:tab/>
        <w:t>(3)</w:t>
      </w:r>
      <w:r w:rsidRPr="00143624">
        <w:tab/>
        <w:t xml:space="preserve">Your </w:t>
      </w:r>
      <w:r w:rsidRPr="00143624">
        <w:rPr>
          <w:b/>
          <w:i/>
        </w:rPr>
        <w:t>defined benefit contributions</w:t>
      </w:r>
      <w:r w:rsidRPr="00143624">
        <w:t xml:space="preserve"> for the financial year in respect of the interest is your notional taxed contributions for the year in respect of the interest.</w:t>
      </w:r>
    </w:p>
    <w:p w:rsidR="005B63A2" w:rsidRPr="00143624" w:rsidRDefault="005B63A2" w:rsidP="005B63A2">
      <w:pPr>
        <w:pStyle w:val="notetext"/>
      </w:pPr>
      <w:r w:rsidRPr="00143624">
        <w:t>Note:</w:t>
      </w:r>
      <w:r w:rsidRPr="00143624">
        <w:tab/>
        <w:t xml:space="preserve">For </w:t>
      </w:r>
      <w:r w:rsidRPr="00143624">
        <w:rPr>
          <w:b/>
          <w:i/>
        </w:rPr>
        <w:t>notional taxed contributions</w:t>
      </w:r>
      <w:r w:rsidRPr="00143624">
        <w:t>, see section</w:t>
      </w:r>
      <w:r w:rsidR="002B1A95" w:rsidRPr="00143624">
        <w:t> </w:t>
      </w:r>
      <w:r w:rsidRPr="00143624">
        <w:t>291</w:t>
      </w:r>
      <w:r w:rsidR="00143624">
        <w:noBreakHyphen/>
      </w:r>
      <w:r w:rsidRPr="00143624">
        <w:t>170 of the Act and Subdivision</w:t>
      </w:r>
      <w:r w:rsidR="002B1A95" w:rsidRPr="00143624">
        <w:t> </w:t>
      </w:r>
      <w:r w:rsidRPr="00143624">
        <w:t>291</w:t>
      </w:r>
      <w:r w:rsidR="00143624">
        <w:noBreakHyphen/>
      </w:r>
      <w:r w:rsidRPr="00143624">
        <w:t>C of this instrument.</w:t>
      </w:r>
    </w:p>
    <w:p w:rsidR="005B63A2" w:rsidRPr="00143624" w:rsidRDefault="005B63A2" w:rsidP="005B63A2">
      <w:pPr>
        <w:pStyle w:val="subsection"/>
      </w:pPr>
      <w:r w:rsidRPr="00143624">
        <w:tab/>
        <w:t>(4)</w:t>
      </w:r>
      <w:r w:rsidRPr="00143624">
        <w:tab/>
        <w:t xml:space="preserve">In working out your notional taxed contributions for the purposes of </w:t>
      </w:r>
      <w:r w:rsidR="002B1A95" w:rsidRPr="00143624">
        <w:t>subsection (</w:t>
      </w:r>
      <w:r w:rsidRPr="00143624">
        <w:t>3), disregard Subdivision</w:t>
      </w:r>
      <w:r w:rsidR="002B1A95" w:rsidRPr="00143624">
        <w:t> </w:t>
      </w:r>
      <w:r w:rsidRPr="00143624">
        <w:t>291</w:t>
      </w:r>
      <w:r w:rsidR="00143624">
        <w:noBreakHyphen/>
      </w:r>
      <w:r w:rsidRPr="00143624">
        <w:t xml:space="preserve">C of the </w:t>
      </w:r>
      <w:r w:rsidRPr="00143624">
        <w:rPr>
          <w:i/>
        </w:rPr>
        <w:t>Income Tax (Transitional Provisions) Act 1997</w:t>
      </w:r>
      <w:r w:rsidRPr="00143624">
        <w:t>.</w:t>
      </w:r>
    </w:p>
    <w:p w:rsidR="005B63A2" w:rsidRPr="00143624" w:rsidRDefault="005B63A2" w:rsidP="005B63A2">
      <w:pPr>
        <w:pStyle w:val="ActHead5"/>
      </w:pPr>
      <w:bookmarkStart w:id="80" w:name="_Toc64030338"/>
      <w:r w:rsidRPr="003F3E0B">
        <w:rPr>
          <w:rStyle w:val="CharSectno"/>
        </w:rPr>
        <w:t>293</w:t>
      </w:r>
      <w:r w:rsidR="00143624" w:rsidRPr="003F3E0B">
        <w:rPr>
          <w:rStyle w:val="CharSectno"/>
        </w:rPr>
        <w:noBreakHyphen/>
      </w:r>
      <w:r w:rsidRPr="003F3E0B">
        <w:rPr>
          <w:rStyle w:val="CharSectno"/>
        </w:rPr>
        <w:t>115.20</w:t>
      </w:r>
      <w:r w:rsidRPr="00143624">
        <w:t xml:space="preserve">  Defined benefit contributions—accruing members with other interests</w:t>
      </w:r>
      <w:bookmarkEnd w:id="80"/>
    </w:p>
    <w:p w:rsidR="005B63A2" w:rsidRPr="00143624" w:rsidRDefault="005B63A2" w:rsidP="005B63A2">
      <w:pPr>
        <w:pStyle w:val="subsection"/>
      </w:pPr>
      <w:r w:rsidRPr="00143624">
        <w:tab/>
        <w:t>(1)</w:t>
      </w:r>
      <w:r w:rsidRPr="00143624">
        <w:tab/>
        <w:t>This section applies if:</w:t>
      </w:r>
    </w:p>
    <w:p w:rsidR="005B63A2" w:rsidRPr="00143624" w:rsidRDefault="005B63A2" w:rsidP="005B63A2">
      <w:pPr>
        <w:pStyle w:val="paragraph"/>
      </w:pPr>
      <w:r w:rsidRPr="00143624">
        <w:tab/>
        <w:t>(a)</w:t>
      </w:r>
      <w:r w:rsidRPr="00143624">
        <w:tab/>
        <w:t>you are an accruing member of a superannuation fund for the financial year; and</w:t>
      </w:r>
    </w:p>
    <w:p w:rsidR="005B63A2" w:rsidRPr="00143624" w:rsidRDefault="005B63A2" w:rsidP="005B63A2">
      <w:pPr>
        <w:pStyle w:val="paragraph"/>
      </w:pPr>
      <w:r w:rsidRPr="00143624">
        <w:tab/>
        <w:t>(b)</w:t>
      </w:r>
      <w:r w:rsidRPr="00143624">
        <w:tab/>
        <w:t>your defined benefit interest in the fund for the financial year is an interest other than a funded benefit interest.</w:t>
      </w:r>
    </w:p>
    <w:p w:rsidR="005B63A2" w:rsidRPr="00143624" w:rsidRDefault="005B63A2" w:rsidP="005B63A2">
      <w:pPr>
        <w:pStyle w:val="subsection"/>
      </w:pPr>
      <w:r w:rsidRPr="00143624">
        <w:tab/>
        <w:t>(2)</w:t>
      </w:r>
      <w:r w:rsidRPr="00143624">
        <w:tab/>
        <w:t xml:space="preserve">Your </w:t>
      </w:r>
      <w:r w:rsidRPr="00143624">
        <w:rPr>
          <w:b/>
          <w:i/>
        </w:rPr>
        <w:t>defined benefit contributions</w:t>
      </w:r>
      <w:r w:rsidRPr="00143624">
        <w:t xml:space="preserve"> for the financial year in respect of the interest is the amount worked out using the method in </w:t>
      </w:r>
      <w:r w:rsidR="00F5399E" w:rsidRPr="00143624">
        <w:t>Schedule 1</w:t>
      </w:r>
      <w:r w:rsidRPr="00143624">
        <w:t>AA.</w:t>
      </w:r>
    </w:p>
    <w:p w:rsidR="005B63A2" w:rsidRPr="00143624" w:rsidRDefault="005B63A2" w:rsidP="005B63A2">
      <w:pPr>
        <w:pStyle w:val="ActHead4"/>
      </w:pPr>
      <w:bookmarkStart w:id="81" w:name="_Toc64030339"/>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293</w:t>
      </w:r>
      <w:r w:rsidR="00143624" w:rsidRPr="003F3E0B">
        <w:rPr>
          <w:rStyle w:val="CharSubdNo"/>
          <w:rFonts w:eastAsiaTheme="majorEastAsia"/>
        </w:rPr>
        <w:noBreakHyphen/>
      </w:r>
      <w:r w:rsidRPr="003F3E0B">
        <w:rPr>
          <w:rStyle w:val="CharSubdNo"/>
          <w:rFonts w:eastAsiaTheme="majorEastAsia"/>
        </w:rPr>
        <w:t>E</w:t>
      </w:r>
      <w:r w:rsidRPr="00143624">
        <w:t>—</w:t>
      </w:r>
      <w:r w:rsidRPr="003F3E0B">
        <w:rPr>
          <w:rStyle w:val="CharSubdText"/>
          <w:rFonts w:eastAsiaTheme="majorEastAsia"/>
        </w:rPr>
        <w:t>Modifications for constitutionally protected State higher level office holders</w:t>
      </w:r>
      <w:bookmarkEnd w:id="81"/>
    </w:p>
    <w:p w:rsidR="005B63A2" w:rsidRPr="00143624" w:rsidRDefault="005B63A2" w:rsidP="005B63A2">
      <w:pPr>
        <w:pStyle w:val="ActHead5"/>
      </w:pPr>
      <w:bookmarkStart w:id="82" w:name="_Toc64030340"/>
      <w:r w:rsidRPr="003F3E0B">
        <w:rPr>
          <w:rStyle w:val="CharSectno"/>
        </w:rPr>
        <w:t>293</w:t>
      </w:r>
      <w:r w:rsidR="00143624" w:rsidRPr="003F3E0B">
        <w:rPr>
          <w:rStyle w:val="CharSectno"/>
        </w:rPr>
        <w:noBreakHyphen/>
      </w:r>
      <w:r w:rsidRPr="003F3E0B">
        <w:rPr>
          <w:rStyle w:val="CharSectno"/>
        </w:rPr>
        <w:t>145.01</w:t>
      </w:r>
      <w:r w:rsidRPr="00143624">
        <w:t xml:space="preserve">  Constitutionally protected State higher level office holders</w:t>
      </w:r>
      <w:bookmarkEnd w:id="82"/>
    </w:p>
    <w:p w:rsidR="005B63A2" w:rsidRPr="00143624" w:rsidRDefault="005B63A2" w:rsidP="005B63A2">
      <w:pPr>
        <w:pStyle w:val="subsection"/>
      </w:pPr>
      <w:r w:rsidRPr="00143624">
        <w:tab/>
      </w:r>
      <w:r w:rsidRPr="00143624">
        <w:tab/>
        <w:t xml:space="preserve">For </w:t>
      </w:r>
      <w:r w:rsidRPr="00143624">
        <w:rPr>
          <w:color w:val="000000"/>
        </w:rPr>
        <w:t xml:space="preserve">the purposes of </w:t>
      </w:r>
      <w:r w:rsidRPr="00143624">
        <w:t>paragraph</w:t>
      </w:r>
      <w:r w:rsidR="002B1A95" w:rsidRPr="00143624">
        <w:t> </w:t>
      </w:r>
      <w:r w:rsidRPr="00143624">
        <w:t>293</w:t>
      </w:r>
      <w:r w:rsidR="00143624">
        <w:noBreakHyphen/>
      </w:r>
      <w:r w:rsidRPr="00143624">
        <w:t>145(1)(b) of the Act, the following individuals are declared:</w:t>
      </w:r>
    </w:p>
    <w:p w:rsidR="005B63A2" w:rsidRPr="00143624" w:rsidRDefault="005B63A2" w:rsidP="005B63A2">
      <w:pPr>
        <w:pStyle w:val="paragraph"/>
      </w:pPr>
      <w:r w:rsidRPr="00143624">
        <w:tab/>
        <w:t>(a)</w:t>
      </w:r>
      <w:r w:rsidRPr="00143624">
        <w:tab/>
        <w:t>a Minister of the government of a State;</w:t>
      </w:r>
    </w:p>
    <w:p w:rsidR="005B63A2" w:rsidRPr="00143624" w:rsidRDefault="005B63A2" w:rsidP="005B63A2">
      <w:pPr>
        <w:pStyle w:val="paragraph"/>
      </w:pPr>
      <w:r w:rsidRPr="00143624">
        <w:tab/>
        <w:t>(b)</w:t>
      </w:r>
      <w:r w:rsidRPr="00143624">
        <w:tab/>
        <w:t>a member of the staff of a Minister of the government of a State;</w:t>
      </w:r>
    </w:p>
    <w:p w:rsidR="005B63A2" w:rsidRPr="00143624" w:rsidRDefault="005B63A2" w:rsidP="005B63A2">
      <w:pPr>
        <w:pStyle w:val="paragraph"/>
      </w:pPr>
      <w:r w:rsidRPr="00143624">
        <w:tab/>
        <w:t>(c)</w:t>
      </w:r>
      <w:r w:rsidRPr="00143624">
        <w:tab/>
        <w:t>the Governor of a State;</w:t>
      </w:r>
    </w:p>
    <w:p w:rsidR="005B63A2" w:rsidRPr="00143624" w:rsidRDefault="005B63A2" w:rsidP="005B63A2">
      <w:pPr>
        <w:pStyle w:val="paragraph"/>
      </w:pPr>
      <w:r w:rsidRPr="00143624">
        <w:tab/>
        <w:t>(d)</w:t>
      </w:r>
      <w:r w:rsidRPr="00143624">
        <w:tab/>
        <w:t>a member of staff of the Governor of a State;</w:t>
      </w:r>
    </w:p>
    <w:p w:rsidR="005B63A2" w:rsidRPr="00143624" w:rsidRDefault="005B63A2" w:rsidP="005B63A2">
      <w:pPr>
        <w:pStyle w:val="paragraph"/>
      </w:pPr>
      <w:r w:rsidRPr="00143624">
        <w:tab/>
        <w:t>(e)</w:t>
      </w:r>
      <w:r w:rsidRPr="00143624">
        <w:tab/>
        <w:t>a member of the Parliament of a State;</w:t>
      </w:r>
    </w:p>
    <w:p w:rsidR="005B63A2" w:rsidRPr="00143624" w:rsidRDefault="005B63A2" w:rsidP="005B63A2">
      <w:pPr>
        <w:pStyle w:val="paragraph"/>
      </w:pPr>
      <w:r w:rsidRPr="00143624">
        <w:tab/>
        <w:t>(f)</w:t>
      </w:r>
      <w:r w:rsidRPr="00143624">
        <w:tab/>
        <w:t>the Clerk of a house of the Parliament of a State;</w:t>
      </w:r>
    </w:p>
    <w:p w:rsidR="005B63A2" w:rsidRPr="00143624" w:rsidRDefault="005B63A2" w:rsidP="005B63A2">
      <w:pPr>
        <w:pStyle w:val="paragraph"/>
      </w:pPr>
      <w:r w:rsidRPr="00143624">
        <w:tab/>
        <w:t>(g)</w:t>
      </w:r>
      <w:r w:rsidRPr="00143624">
        <w:tab/>
        <w:t>the head of a Department of the Public Service of a State or a statutory office holder of equivalent seniority, including a statutory office holder who is the head of an instrumentality or agency of a State;</w:t>
      </w:r>
    </w:p>
    <w:p w:rsidR="005B63A2" w:rsidRPr="00143624" w:rsidRDefault="005B63A2" w:rsidP="005B63A2">
      <w:pPr>
        <w:pStyle w:val="paragraph"/>
      </w:pPr>
      <w:r w:rsidRPr="00143624">
        <w:tab/>
        <w:t>(h)</w:t>
      </w:r>
      <w:r w:rsidRPr="00143624">
        <w:tab/>
        <w:t>a judge, justice or magistrate of the court of a State.</w:t>
      </w:r>
    </w:p>
    <w:p w:rsidR="005B63A2" w:rsidRPr="00143624" w:rsidRDefault="005B63A2" w:rsidP="005B63A2">
      <w:pPr>
        <w:pStyle w:val="ActHead3"/>
        <w:pageBreakBefore/>
      </w:pPr>
      <w:bookmarkStart w:id="83" w:name="_Toc64030341"/>
      <w:r w:rsidRPr="003F3E0B">
        <w:rPr>
          <w:rStyle w:val="CharDivNo"/>
        </w:rPr>
        <w:lastRenderedPageBreak/>
        <w:t>Division</w:t>
      </w:r>
      <w:r w:rsidR="002B1A95" w:rsidRPr="003F3E0B">
        <w:rPr>
          <w:rStyle w:val="CharDivNo"/>
        </w:rPr>
        <w:t> </w:t>
      </w:r>
      <w:r w:rsidRPr="003F3E0B">
        <w:rPr>
          <w:rStyle w:val="CharDivNo"/>
        </w:rPr>
        <w:t>294</w:t>
      </w:r>
      <w:r w:rsidRPr="00143624">
        <w:t>—</w:t>
      </w:r>
      <w:r w:rsidRPr="003F3E0B">
        <w:rPr>
          <w:rStyle w:val="CharDivText"/>
        </w:rPr>
        <w:t>Transfer balance cap</w:t>
      </w:r>
      <w:bookmarkEnd w:id="83"/>
    </w:p>
    <w:p w:rsidR="005B63A2" w:rsidRPr="00143624" w:rsidRDefault="005B63A2" w:rsidP="005B63A2">
      <w:pPr>
        <w:pStyle w:val="ActHead4"/>
      </w:pPr>
      <w:bookmarkStart w:id="84" w:name="_Toc64030342"/>
      <w:r w:rsidRPr="003F3E0B">
        <w:rPr>
          <w:rStyle w:val="CharSubdNo"/>
        </w:rPr>
        <w:t>Subdivision</w:t>
      </w:r>
      <w:r w:rsidR="002B1A95" w:rsidRPr="003F3E0B">
        <w:rPr>
          <w:rStyle w:val="CharSubdNo"/>
        </w:rPr>
        <w:t> </w:t>
      </w:r>
      <w:r w:rsidRPr="003F3E0B">
        <w:rPr>
          <w:rStyle w:val="CharSubdNo"/>
        </w:rPr>
        <w:t>294</w:t>
      </w:r>
      <w:r w:rsidR="00143624" w:rsidRPr="003F3E0B">
        <w:rPr>
          <w:rStyle w:val="CharSubdNo"/>
        </w:rPr>
        <w:noBreakHyphen/>
      </w:r>
      <w:r w:rsidRPr="003F3E0B">
        <w:rPr>
          <w:rStyle w:val="CharSubdNo"/>
        </w:rPr>
        <w:t>B</w:t>
      </w:r>
      <w:r w:rsidRPr="00143624">
        <w:t>—</w:t>
      </w:r>
      <w:r w:rsidRPr="003F3E0B">
        <w:rPr>
          <w:rStyle w:val="CharSubdText"/>
        </w:rPr>
        <w:t>Transfer balance account</w:t>
      </w:r>
      <w:bookmarkEnd w:id="84"/>
    </w:p>
    <w:p w:rsidR="005B63A2" w:rsidRPr="00143624" w:rsidRDefault="005B63A2" w:rsidP="005B63A2">
      <w:pPr>
        <w:pStyle w:val="ActHead5"/>
      </w:pPr>
      <w:bookmarkStart w:id="85" w:name="_Toc64030343"/>
      <w:r w:rsidRPr="003F3E0B">
        <w:rPr>
          <w:rStyle w:val="CharSectno"/>
        </w:rPr>
        <w:t>294</w:t>
      </w:r>
      <w:r w:rsidR="00143624" w:rsidRPr="003F3E0B">
        <w:rPr>
          <w:rStyle w:val="CharSectno"/>
        </w:rPr>
        <w:noBreakHyphen/>
      </w:r>
      <w:r w:rsidRPr="003F3E0B">
        <w:rPr>
          <w:rStyle w:val="CharSectno"/>
        </w:rPr>
        <w:t>25.01</w:t>
      </w:r>
      <w:r w:rsidRPr="00143624">
        <w:t xml:space="preserve">  Credit in transfer balance account—payment of consideration for interest supporting deferred superannuation income stream</w:t>
      </w:r>
      <w:bookmarkEnd w:id="85"/>
    </w:p>
    <w:p w:rsidR="005B63A2" w:rsidRPr="00143624" w:rsidRDefault="005B63A2" w:rsidP="005B63A2">
      <w:pPr>
        <w:pStyle w:val="subsection"/>
      </w:pPr>
      <w:r w:rsidRPr="00143624">
        <w:tab/>
        <w:t>(1)</w:t>
      </w:r>
      <w:r w:rsidRPr="00143624">
        <w:tab/>
        <w:t>For the purposes of item</w:t>
      </w:r>
      <w:r w:rsidR="002B1A95" w:rsidRPr="00143624">
        <w:t> </w:t>
      </w:r>
      <w:r w:rsidRPr="00143624">
        <w:t>5 of the table in subsection</w:t>
      </w:r>
      <w:r w:rsidR="002B1A95" w:rsidRPr="00143624">
        <w:t> </w:t>
      </w:r>
      <w:r w:rsidRPr="00143624">
        <w:t>294</w:t>
      </w:r>
      <w:r w:rsidR="00143624">
        <w:noBreakHyphen/>
      </w:r>
      <w:r w:rsidRPr="00143624">
        <w:t>25(1) of the Act, a transfer balance credit arises under this section in your transfer balance account if:</w:t>
      </w:r>
    </w:p>
    <w:p w:rsidR="005B63A2" w:rsidRPr="00143624" w:rsidRDefault="005B63A2" w:rsidP="005B63A2">
      <w:pPr>
        <w:pStyle w:val="paragraph"/>
      </w:pPr>
      <w:r w:rsidRPr="00143624">
        <w:tab/>
        <w:t>(a)</w:t>
      </w:r>
      <w:r w:rsidRPr="00143624">
        <w:tab/>
        <w:t>you are the retirement phase recipient of a superannuation income stream; and</w:t>
      </w:r>
    </w:p>
    <w:p w:rsidR="005B63A2" w:rsidRPr="00143624" w:rsidRDefault="005B63A2" w:rsidP="005B63A2">
      <w:pPr>
        <w:pStyle w:val="paragraph"/>
      </w:pPr>
      <w:r w:rsidRPr="00143624">
        <w:tab/>
        <w:t>(b)</w:t>
      </w:r>
      <w:r w:rsidRPr="00143624">
        <w:tab/>
        <w:t>the superannuation income stream is a deferred superannuation income stream; and</w:t>
      </w:r>
    </w:p>
    <w:p w:rsidR="005B63A2" w:rsidRPr="00143624" w:rsidRDefault="005B63A2" w:rsidP="005B63A2">
      <w:pPr>
        <w:pStyle w:val="paragraph"/>
      </w:pPr>
      <w:r w:rsidRPr="00143624">
        <w:tab/>
        <w:t>(c)</w:t>
      </w:r>
      <w:r w:rsidRPr="00143624">
        <w:tab/>
        <w:t>after you start to be the retirement phase recipient of the superannuation income stream, you pay an amount of consideration for the superannuation interest that supports the superannuation income stream.</w:t>
      </w:r>
    </w:p>
    <w:p w:rsidR="005B63A2" w:rsidRPr="00143624" w:rsidRDefault="005B63A2" w:rsidP="005B63A2">
      <w:pPr>
        <w:pStyle w:val="subsection"/>
      </w:pPr>
      <w:r w:rsidRPr="00143624">
        <w:tab/>
        <w:t>(2)</w:t>
      </w:r>
      <w:r w:rsidRPr="00143624">
        <w:tab/>
        <w:t>The amount of the credit is the amount of the consideration.</w:t>
      </w:r>
    </w:p>
    <w:p w:rsidR="005B63A2" w:rsidRPr="00143624" w:rsidRDefault="005B63A2" w:rsidP="005B63A2">
      <w:pPr>
        <w:pStyle w:val="subsection"/>
      </w:pPr>
      <w:r w:rsidRPr="00143624">
        <w:tab/>
        <w:t>(3)</w:t>
      </w:r>
      <w:r w:rsidRPr="00143624">
        <w:tab/>
        <w:t>The credit arises at the time you pay the consideration.</w:t>
      </w:r>
    </w:p>
    <w:p w:rsidR="005B63A2" w:rsidRPr="00143624" w:rsidRDefault="005B63A2" w:rsidP="005B63A2">
      <w:pPr>
        <w:pStyle w:val="ActHead4"/>
      </w:pPr>
      <w:bookmarkStart w:id="86" w:name="_Toc64030344"/>
      <w:r w:rsidRPr="003F3E0B">
        <w:rPr>
          <w:rStyle w:val="CharSubdNo"/>
        </w:rPr>
        <w:t>Subdivision</w:t>
      </w:r>
      <w:r w:rsidR="002B1A95" w:rsidRPr="003F3E0B">
        <w:rPr>
          <w:rStyle w:val="CharSubdNo"/>
        </w:rPr>
        <w:t> </w:t>
      </w:r>
      <w:r w:rsidRPr="003F3E0B">
        <w:rPr>
          <w:rStyle w:val="CharSubdNo"/>
        </w:rPr>
        <w:t>294</w:t>
      </w:r>
      <w:r w:rsidR="00143624" w:rsidRPr="003F3E0B">
        <w:rPr>
          <w:rStyle w:val="CharSubdNo"/>
        </w:rPr>
        <w:noBreakHyphen/>
      </w:r>
      <w:r w:rsidRPr="003F3E0B">
        <w:rPr>
          <w:rStyle w:val="CharSubdNo"/>
        </w:rPr>
        <w:t>C</w:t>
      </w:r>
      <w:r w:rsidRPr="00143624">
        <w:t>—</w:t>
      </w:r>
      <w:r w:rsidRPr="003F3E0B">
        <w:rPr>
          <w:rStyle w:val="CharSubdText"/>
        </w:rPr>
        <w:t>Transfer balance debits</w:t>
      </w:r>
      <w:bookmarkEnd w:id="86"/>
    </w:p>
    <w:p w:rsidR="005B63A2" w:rsidRPr="00143624" w:rsidRDefault="005B63A2" w:rsidP="005B63A2">
      <w:pPr>
        <w:pStyle w:val="ActHead5"/>
      </w:pPr>
      <w:bookmarkStart w:id="87" w:name="_Toc64030345"/>
      <w:r w:rsidRPr="003F3E0B">
        <w:rPr>
          <w:rStyle w:val="CharSectno"/>
        </w:rPr>
        <w:t>294</w:t>
      </w:r>
      <w:r w:rsidR="00143624" w:rsidRPr="003F3E0B">
        <w:rPr>
          <w:rStyle w:val="CharSectno"/>
        </w:rPr>
        <w:noBreakHyphen/>
      </w:r>
      <w:r w:rsidRPr="003F3E0B">
        <w:rPr>
          <w:rStyle w:val="CharSectno"/>
        </w:rPr>
        <w:t>80.01</w:t>
      </w:r>
      <w:r w:rsidRPr="00143624">
        <w:t xml:space="preserve">  Debit in transfer balance account—reduction in amount of superannuation income stream benefit</w:t>
      </w:r>
      <w:bookmarkEnd w:id="87"/>
    </w:p>
    <w:p w:rsidR="005B63A2" w:rsidRPr="00143624" w:rsidRDefault="005B63A2" w:rsidP="005B63A2">
      <w:pPr>
        <w:pStyle w:val="subsection"/>
      </w:pPr>
      <w:r w:rsidRPr="00143624">
        <w:tab/>
        <w:t>(1)</w:t>
      </w:r>
      <w:r w:rsidRPr="00143624">
        <w:tab/>
        <w:t>For the purposes of item</w:t>
      </w:r>
      <w:r w:rsidR="002B1A95" w:rsidRPr="00143624">
        <w:t> </w:t>
      </w:r>
      <w:r w:rsidRPr="00143624">
        <w:t>8 of the table in subsection</w:t>
      </w:r>
      <w:r w:rsidR="002B1A95" w:rsidRPr="00143624">
        <w:t> </w:t>
      </w:r>
      <w:r w:rsidRPr="00143624">
        <w:t>294</w:t>
      </w:r>
      <w:r w:rsidR="00143624">
        <w:noBreakHyphen/>
      </w:r>
      <w:r w:rsidRPr="00143624">
        <w:t>80(1) of the Act, a transfer balance debit arises under this section in your transfer balance account if:</w:t>
      </w:r>
    </w:p>
    <w:p w:rsidR="005B63A2" w:rsidRPr="00143624" w:rsidRDefault="005B63A2" w:rsidP="005B63A2">
      <w:pPr>
        <w:pStyle w:val="paragraph"/>
      </w:pPr>
      <w:r w:rsidRPr="00143624">
        <w:tab/>
        <w:t>(a)</w:t>
      </w:r>
      <w:r w:rsidRPr="00143624">
        <w:tab/>
        <w:t>you are the retirement phase recipient of a superannuation income stream; and</w:t>
      </w:r>
    </w:p>
    <w:p w:rsidR="005B63A2" w:rsidRPr="00143624" w:rsidRDefault="005B63A2" w:rsidP="005B63A2">
      <w:pPr>
        <w:pStyle w:val="paragraph"/>
      </w:pPr>
      <w:r w:rsidRPr="00143624">
        <w:tab/>
        <w:t>(b)</w:t>
      </w:r>
      <w:r w:rsidRPr="00143624">
        <w:tab/>
        <w:t>the superannuation income stream is a capped defined benefit income stream that:</w:t>
      </w:r>
    </w:p>
    <w:p w:rsidR="005B63A2" w:rsidRPr="00143624" w:rsidRDefault="005B63A2" w:rsidP="005B63A2">
      <w:pPr>
        <w:pStyle w:val="paragraphsub"/>
      </w:pPr>
      <w:r w:rsidRPr="00143624">
        <w:tab/>
        <w:t>(i)</w:t>
      </w:r>
      <w:r w:rsidRPr="00143624">
        <w:tab/>
        <w:t>is covered by item</w:t>
      </w:r>
      <w:r w:rsidR="002B1A95" w:rsidRPr="00143624">
        <w:t> </w:t>
      </w:r>
      <w:r w:rsidRPr="00143624">
        <w:t>1 or 2 of the table in subsection</w:t>
      </w:r>
      <w:r w:rsidR="002B1A95" w:rsidRPr="00143624">
        <w:t> </w:t>
      </w:r>
      <w:r w:rsidRPr="00143624">
        <w:t>294</w:t>
      </w:r>
      <w:r w:rsidR="00143624">
        <w:noBreakHyphen/>
      </w:r>
      <w:r w:rsidRPr="00143624">
        <w:t>130(1) of the Act; or</w:t>
      </w:r>
    </w:p>
    <w:p w:rsidR="005B63A2" w:rsidRPr="00143624" w:rsidRDefault="005B63A2" w:rsidP="005B63A2">
      <w:pPr>
        <w:pStyle w:val="paragraphsub"/>
      </w:pPr>
      <w:r w:rsidRPr="00143624">
        <w:tab/>
        <w:t>(ii)</w:t>
      </w:r>
      <w:r w:rsidRPr="00143624">
        <w:tab/>
        <w:t>is prescribed by section 294</w:t>
      </w:r>
      <w:r w:rsidR="00143624">
        <w:noBreakHyphen/>
      </w:r>
      <w:r w:rsidRPr="00143624">
        <w:t>130.01 of this instrument (but is not a superannuation income stream to which subsection 294</w:t>
      </w:r>
      <w:r w:rsidR="00143624">
        <w:noBreakHyphen/>
      </w:r>
      <w:r w:rsidRPr="00143624">
        <w:t>130.01(5) of this instrument applies); and</w:t>
      </w:r>
    </w:p>
    <w:p w:rsidR="005B63A2" w:rsidRPr="00143624" w:rsidRDefault="005B63A2" w:rsidP="005B63A2">
      <w:pPr>
        <w:pStyle w:val="paragraph"/>
      </w:pPr>
      <w:r w:rsidRPr="00143624">
        <w:tab/>
        <w:t>(c)</w:t>
      </w:r>
      <w:r w:rsidRPr="00143624">
        <w:tab/>
        <w:t xml:space="preserve">you are entitled to receive a superannuation income stream benefit (the </w:t>
      </w:r>
      <w:r w:rsidRPr="00143624">
        <w:rPr>
          <w:b/>
          <w:i/>
        </w:rPr>
        <w:t>earlier benefit</w:t>
      </w:r>
      <w:r w:rsidRPr="00143624">
        <w:t xml:space="preserve">) from the superannuation income stream at a time (the </w:t>
      </w:r>
      <w:r w:rsidRPr="00143624">
        <w:rPr>
          <w:b/>
          <w:i/>
        </w:rPr>
        <w:t>earlier time</w:t>
      </w:r>
      <w:r w:rsidRPr="00143624">
        <w:t>); and</w:t>
      </w:r>
    </w:p>
    <w:p w:rsidR="005B63A2" w:rsidRPr="00143624" w:rsidRDefault="005B63A2" w:rsidP="005B63A2">
      <w:pPr>
        <w:pStyle w:val="paragraph"/>
      </w:pPr>
      <w:r w:rsidRPr="00143624">
        <w:tab/>
        <w:t>(d)</w:t>
      </w:r>
      <w:r w:rsidRPr="00143624">
        <w:tab/>
        <w:t xml:space="preserve">the amount of the next superannuation income stream benefit (the </w:t>
      </w:r>
      <w:r w:rsidRPr="00143624">
        <w:rPr>
          <w:b/>
          <w:i/>
        </w:rPr>
        <w:t>later benefit</w:t>
      </w:r>
      <w:r w:rsidRPr="00143624">
        <w:t>) that you are entitled to receive from the superannuation income stream falls short of the amount of the earlier benefit; and</w:t>
      </w:r>
    </w:p>
    <w:p w:rsidR="005B63A2" w:rsidRPr="00143624" w:rsidRDefault="005B63A2" w:rsidP="005B63A2">
      <w:pPr>
        <w:pStyle w:val="paragraph"/>
      </w:pPr>
      <w:r w:rsidRPr="00143624">
        <w:tab/>
        <w:t>(e)</w:t>
      </w:r>
      <w:r w:rsidRPr="00143624">
        <w:tab/>
        <w:t>that shortfall is not attributable to any of the following:</w:t>
      </w:r>
    </w:p>
    <w:p w:rsidR="005B63A2" w:rsidRPr="00143624" w:rsidRDefault="005B63A2" w:rsidP="005B63A2">
      <w:pPr>
        <w:pStyle w:val="paragraphsub"/>
      </w:pPr>
      <w:r w:rsidRPr="00143624">
        <w:tab/>
        <w:t>(i)</w:t>
      </w:r>
      <w:r w:rsidRPr="00143624">
        <w:tab/>
        <w:t>circumstances that cause a transfer balance debit to arise in your transfer balance account (other than because of this section);</w:t>
      </w:r>
    </w:p>
    <w:p w:rsidR="005B63A2" w:rsidRPr="00143624" w:rsidRDefault="005B63A2" w:rsidP="005B63A2">
      <w:pPr>
        <w:pStyle w:val="paragraphsub"/>
      </w:pPr>
      <w:r w:rsidRPr="00143624">
        <w:lastRenderedPageBreak/>
        <w:tab/>
        <w:t>(ii)</w:t>
      </w:r>
      <w:r w:rsidRPr="00143624">
        <w:tab/>
        <w:t xml:space="preserve"> a CPI adjustment in the amount of superannuation income stream benefits that you are entitled to receive from the superannuation income stream.</w:t>
      </w:r>
    </w:p>
    <w:p w:rsidR="005B63A2" w:rsidRPr="00143624" w:rsidRDefault="005B63A2" w:rsidP="005B63A2">
      <w:pPr>
        <w:pStyle w:val="subsection"/>
      </w:pPr>
      <w:r w:rsidRPr="00143624">
        <w:tab/>
        <w:t>(2)</w:t>
      </w:r>
      <w:r w:rsidRPr="00143624">
        <w:tab/>
        <w:t>The amount of the debit is:</w:t>
      </w:r>
    </w:p>
    <w:p w:rsidR="005B63A2" w:rsidRPr="00143624" w:rsidRDefault="005B63A2" w:rsidP="005B63A2">
      <w:pPr>
        <w:pStyle w:val="paragraph"/>
      </w:pPr>
      <w:r w:rsidRPr="00143624">
        <w:tab/>
        <w:t>(a)</w:t>
      </w:r>
      <w:r w:rsidRPr="00143624">
        <w:tab/>
        <w:t>the special value, just before the earlier time, of the superannuation interest that supports the superannuation income stream; less</w:t>
      </w:r>
    </w:p>
    <w:p w:rsidR="005B63A2" w:rsidRPr="00143624" w:rsidRDefault="005B63A2" w:rsidP="005B63A2">
      <w:pPr>
        <w:pStyle w:val="paragraph"/>
      </w:pPr>
      <w:r w:rsidRPr="00143624">
        <w:tab/>
        <w:t>(b)</w:t>
      </w:r>
      <w:r w:rsidRPr="00143624">
        <w:tab/>
        <w:t xml:space="preserve">the special value, just before the time (the </w:t>
      </w:r>
      <w:r w:rsidRPr="00143624">
        <w:rPr>
          <w:b/>
          <w:i/>
        </w:rPr>
        <w:t>later time</w:t>
      </w:r>
      <w:r w:rsidRPr="00143624">
        <w:t>) at which you are entitled to receive the later benefit, of that superannuation interest.</w:t>
      </w:r>
    </w:p>
    <w:p w:rsidR="005B63A2" w:rsidRPr="00143624" w:rsidRDefault="005B63A2" w:rsidP="005B63A2">
      <w:pPr>
        <w:pStyle w:val="subsection"/>
      </w:pPr>
      <w:r w:rsidRPr="00143624">
        <w:tab/>
        <w:t>(3)</w:t>
      </w:r>
      <w:r w:rsidRPr="00143624">
        <w:tab/>
        <w:t>The debit arises at the later time.</w:t>
      </w:r>
    </w:p>
    <w:p w:rsidR="005B63A2" w:rsidRPr="00143624" w:rsidRDefault="005B63A2" w:rsidP="005B63A2">
      <w:pPr>
        <w:pStyle w:val="ActHead5"/>
      </w:pPr>
      <w:bookmarkStart w:id="88" w:name="_Toc64030346"/>
      <w:r w:rsidRPr="003F3E0B">
        <w:rPr>
          <w:rStyle w:val="CharSectno"/>
        </w:rPr>
        <w:t>294</w:t>
      </w:r>
      <w:r w:rsidR="00143624" w:rsidRPr="003F3E0B">
        <w:rPr>
          <w:rStyle w:val="CharSectno"/>
        </w:rPr>
        <w:noBreakHyphen/>
      </w:r>
      <w:r w:rsidRPr="003F3E0B">
        <w:rPr>
          <w:rStyle w:val="CharSectno"/>
        </w:rPr>
        <w:t>80.02</w:t>
      </w:r>
      <w:r w:rsidRPr="00143624">
        <w:t xml:space="preserve">  Debit in transfer balance account—reduction in amount of superannuation income stream benefit</w:t>
      </w:r>
      <w:bookmarkEnd w:id="88"/>
    </w:p>
    <w:p w:rsidR="005B63A2" w:rsidRPr="00143624" w:rsidRDefault="005B63A2" w:rsidP="005B63A2">
      <w:pPr>
        <w:pStyle w:val="subsection"/>
      </w:pPr>
      <w:r w:rsidRPr="00143624">
        <w:tab/>
        <w:t>(1)</w:t>
      </w:r>
      <w:r w:rsidRPr="00143624">
        <w:tab/>
        <w:t>For the purposes of item</w:t>
      </w:r>
      <w:r w:rsidR="002B1A95" w:rsidRPr="00143624">
        <w:t> </w:t>
      </w:r>
      <w:r w:rsidRPr="00143624">
        <w:t>8 of the table in subsection</w:t>
      </w:r>
      <w:r w:rsidR="002B1A95" w:rsidRPr="00143624">
        <w:t> </w:t>
      </w:r>
      <w:r w:rsidRPr="00143624">
        <w:t>294</w:t>
      </w:r>
      <w:r w:rsidR="00143624">
        <w:noBreakHyphen/>
      </w:r>
      <w:r w:rsidRPr="00143624">
        <w:t>80(1) of the Act, a transfer balance debit arises under this section in your transfer balance account if:</w:t>
      </w:r>
    </w:p>
    <w:p w:rsidR="005B63A2" w:rsidRPr="00143624" w:rsidRDefault="005B63A2" w:rsidP="005B63A2">
      <w:pPr>
        <w:pStyle w:val="paragraph"/>
      </w:pPr>
      <w:r w:rsidRPr="00143624">
        <w:tab/>
        <w:t>(a)</w:t>
      </w:r>
      <w:r w:rsidRPr="00143624">
        <w:tab/>
        <w:t xml:space="preserve">you are or were a retirement phase recipient of a deferred superannuation income stream </w:t>
      </w:r>
      <w:r w:rsidR="001E4A8D" w:rsidRPr="00143624">
        <w:t xml:space="preserve">mentioned in </w:t>
      </w:r>
      <w:r w:rsidRPr="00143624">
        <w:t>subsection 307</w:t>
      </w:r>
      <w:r w:rsidR="00143624">
        <w:noBreakHyphen/>
      </w:r>
      <w:r w:rsidRPr="00143624">
        <w:t>205.02C(1) of this instrument supported by a superannuation interest; and</w:t>
      </w:r>
    </w:p>
    <w:p w:rsidR="005B63A2" w:rsidRPr="00143624" w:rsidRDefault="005B63A2" w:rsidP="005B63A2">
      <w:pPr>
        <w:pStyle w:val="paragraph"/>
      </w:pPr>
      <w:r w:rsidRPr="00143624">
        <w:tab/>
        <w:t>(b)</w:t>
      </w:r>
      <w:r w:rsidRPr="00143624">
        <w:tab/>
        <w:t>but for section 294</w:t>
      </w:r>
      <w:r w:rsidR="00143624">
        <w:noBreakHyphen/>
      </w:r>
      <w:r w:rsidRPr="00143624">
        <w:t>80.03 of this instrument, a transfer balance debit would arise at a time under item</w:t>
      </w:r>
      <w:r w:rsidR="002B1A95" w:rsidRPr="00143624">
        <w:t> </w:t>
      </w:r>
      <w:r w:rsidRPr="00143624">
        <w:t>5 or 6 of the table in subsection</w:t>
      </w:r>
      <w:r w:rsidR="002B1A95" w:rsidRPr="00143624">
        <w:t> </w:t>
      </w:r>
      <w:r w:rsidRPr="00143624">
        <w:t>294</w:t>
      </w:r>
      <w:r w:rsidR="00143624">
        <w:noBreakHyphen/>
      </w:r>
      <w:r w:rsidRPr="00143624">
        <w:t>80(1) of the Act in your transfer balance account because of the superannuation income stream.</w:t>
      </w:r>
    </w:p>
    <w:p w:rsidR="005B63A2" w:rsidRPr="00143624" w:rsidRDefault="005B63A2" w:rsidP="005B63A2">
      <w:pPr>
        <w:pStyle w:val="subsection"/>
      </w:pPr>
      <w:r w:rsidRPr="00143624">
        <w:tab/>
        <w:t>(2)</w:t>
      </w:r>
      <w:r w:rsidRPr="00143624">
        <w:tab/>
        <w:t>The amount of the debit is the total amount of the superannuation benefits that would be payable if you voluntarily caused the superannuation interest to cease at that time.</w:t>
      </w:r>
    </w:p>
    <w:p w:rsidR="005B63A2" w:rsidRPr="00143624" w:rsidRDefault="005B63A2" w:rsidP="005B63A2">
      <w:pPr>
        <w:pStyle w:val="subsection"/>
      </w:pPr>
      <w:r w:rsidRPr="00143624">
        <w:tab/>
        <w:t>(3)</w:t>
      </w:r>
      <w:r w:rsidRPr="00143624">
        <w:tab/>
        <w:t>The debit arises at that time.</w:t>
      </w:r>
    </w:p>
    <w:p w:rsidR="005B63A2" w:rsidRPr="00143624" w:rsidRDefault="005B63A2" w:rsidP="005B63A2">
      <w:pPr>
        <w:pStyle w:val="ActHead5"/>
      </w:pPr>
      <w:bookmarkStart w:id="89" w:name="_Toc64030347"/>
      <w:r w:rsidRPr="003F3E0B">
        <w:rPr>
          <w:rStyle w:val="CharSectno"/>
        </w:rPr>
        <w:t>294</w:t>
      </w:r>
      <w:r w:rsidR="00143624" w:rsidRPr="003F3E0B">
        <w:rPr>
          <w:rStyle w:val="CharSectno"/>
        </w:rPr>
        <w:noBreakHyphen/>
      </w:r>
      <w:r w:rsidRPr="003F3E0B">
        <w:rPr>
          <w:rStyle w:val="CharSectno"/>
        </w:rPr>
        <w:t>80.03</w:t>
      </w:r>
      <w:r w:rsidRPr="00143624">
        <w:t xml:space="preserve">  Debit in transfer balance account—certain items of table in subsection</w:t>
      </w:r>
      <w:r w:rsidR="002B1A95" w:rsidRPr="00143624">
        <w:t> </w:t>
      </w:r>
      <w:r w:rsidRPr="00143624">
        <w:t>294</w:t>
      </w:r>
      <w:r w:rsidR="00143624">
        <w:noBreakHyphen/>
      </w:r>
      <w:r w:rsidRPr="00143624">
        <w:t>80(1) of the Act do not apply to certain superannuation income streams</w:t>
      </w:r>
      <w:bookmarkEnd w:id="89"/>
    </w:p>
    <w:p w:rsidR="005B63A2" w:rsidRPr="00143624" w:rsidRDefault="005B63A2" w:rsidP="005B63A2">
      <w:pPr>
        <w:pStyle w:val="subsection"/>
      </w:pPr>
      <w:r w:rsidRPr="00143624">
        <w:tab/>
      </w:r>
      <w:r w:rsidRPr="00143624">
        <w:tab/>
        <w:t>For the purposes of subsection</w:t>
      </w:r>
      <w:r w:rsidR="002B1A95" w:rsidRPr="00143624">
        <w:t> </w:t>
      </w:r>
      <w:r w:rsidRPr="00143624">
        <w:t>294</w:t>
      </w:r>
      <w:r w:rsidR="00143624">
        <w:noBreakHyphen/>
      </w:r>
      <w:r w:rsidRPr="00143624">
        <w:t>80(3) of the Act, items</w:t>
      </w:r>
      <w:r w:rsidR="002B1A95" w:rsidRPr="00143624">
        <w:t> </w:t>
      </w:r>
      <w:r w:rsidRPr="00143624">
        <w:t>5 and 6 of the table in subsection</w:t>
      </w:r>
      <w:r w:rsidR="002B1A95" w:rsidRPr="00143624">
        <w:t> </w:t>
      </w:r>
      <w:r w:rsidRPr="00143624">
        <w:t>294</w:t>
      </w:r>
      <w:r w:rsidR="00143624">
        <w:noBreakHyphen/>
      </w:r>
      <w:r w:rsidRPr="00143624">
        <w:t xml:space="preserve">80(1) of the Act do not apply to deferred superannuation income streams </w:t>
      </w:r>
      <w:r w:rsidR="00C030DC" w:rsidRPr="00143624">
        <w:t xml:space="preserve">mentioned in </w:t>
      </w:r>
      <w:r w:rsidRPr="00143624">
        <w:t>subsection 307</w:t>
      </w:r>
      <w:r w:rsidR="00143624">
        <w:noBreakHyphen/>
      </w:r>
      <w:r w:rsidRPr="00143624">
        <w:t>205.02C(1)</w:t>
      </w:r>
      <w:r w:rsidR="00783762" w:rsidRPr="00143624">
        <w:t xml:space="preserve"> of this instrument</w:t>
      </w:r>
      <w:r w:rsidRPr="00143624">
        <w:t>.</w:t>
      </w:r>
    </w:p>
    <w:p w:rsidR="005B63A2" w:rsidRPr="00143624" w:rsidRDefault="005B63A2" w:rsidP="005B63A2">
      <w:pPr>
        <w:pStyle w:val="ActHead4"/>
      </w:pPr>
      <w:bookmarkStart w:id="90" w:name="_Toc64030348"/>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294</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Fonts w:eastAsiaTheme="majorEastAsia"/>
        </w:rPr>
        <w:t>Modifications for certain defined benefit income streams</w:t>
      </w:r>
      <w:bookmarkEnd w:id="90"/>
    </w:p>
    <w:p w:rsidR="005B63A2" w:rsidRPr="00143624" w:rsidRDefault="005B63A2" w:rsidP="005B63A2">
      <w:pPr>
        <w:pStyle w:val="ActHead5"/>
      </w:pPr>
      <w:bookmarkStart w:id="91" w:name="_Toc64030349"/>
      <w:r w:rsidRPr="003F3E0B">
        <w:rPr>
          <w:rStyle w:val="CharSectno"/>
        </w:rPr>
        <w:t>294</w:t>
      </w:r>
      <w:r w:rsidR="00143624" w:rsidRPr="003F3E0B">
        <w:rPr>
          <w:rStyle w:val="CharSectno"/>
        </w:rPr>
        <w:noBreakHyphen/>
      </w:r>
      <w:r w:rsidRPr="003F3E0B">
        <w:rPr>
          <w:rStyle w:val="CharSectno"/>
        </w:rPr>
        <w:t>130.01</w:t>
      </w:r>
      <w:r w:rsidRPr="00143624">
        <w:t xml:space="preserve">  Meaning of capped defined benefit income stream</w:t>
      </w:r>
      <w:bookmarkEnd w:id="91"/>
    </w:p>
    <w:p w:rsidR="005B63A2" w:rsidRPr="00143624" w:rsidRDefault="005B63A2" w:rsidP="005B63A2">
      <w:pPr>
        <w:pStyle w:val="subsection"/>
      </w:pPr>
      <w:r w:rsidRPr="00143624">
        <w:tab/>
        <w:t>(1)</w:t>
      </w:r>
      <w:r w:rsidRPr="00143624">
        <w:tab/>
        <w:t>For the purposes of subsection</w:t>
      </w:r>
      <w:r w:rsidR="002B1A95" w:rsidRPr="00143624">
        <w:t> </w:t>
      </w:r>
      <w:r w:rsidRPr="00143624">
        <w:t>294</w:t>
      </w:r>
      <w:r w:rsidR="00143624">
        <w:noBreakHyphen/>
      </w:r>
      <w:r w:rsidRPr="00143624">
        <w:t xml:space="preserve">130(2) of the Act, a superannuation income stream is prescribed if </w:t>
      </w:r>
      <w:r w:rsidR="002B1A95" w:rsidRPr="00143624">
        <w:t>subsection (</w:t>
      </w:r>
      <w:r w:rsidRPr="00143624">
        <w:t>2), (3), (4), (5) or (6) of this section applies to the superannuation income stream.</w:t>
      </w:r>
    </w:p>
    <w:p w:rsidR="005B63A2" w:rsidRPr="00143624" w:rsidRDefault="005B63A2" w:rsidP="005B63A2">
      <w:pPr>
        <w:pStyle w:val="notetext"/>
      </w:pPr>
      <w:r w:rsidRPr="00143624">
        <w:t>Note:</w:t>
      </w:r>
      <w:r w:rsidRPr="00143624">
        <w:tab/>
        <w:t xml:space="preserve">A superannuation income stream prescribed under this section is a </w:t>
      </w:r>
      <w:r w:rsidRPr="00143624">
        <w:rPr>
          <w:b/>
          <w:i/>
        </w:rPr>
        <w:t>capped defined benefit income stream</w:t>
      </w:r>
      <w:r w:rsidRPr="00143624">
        <w:t xml:space="preserve"> (see subsection</w:t>
      </w:r>
      <w:r w:rsidR="002B1A95" w:rsidRPr="00143624">
        <w:t> </w:t>
      </w:r>
      <w:r w:rsidRPr="00143624">
        <w:t>294</w:t>
      </w:r>
      <w:r w:rsidR="00143624">
        <w:noBreakHyphen/>
      </w:r>
      <w:r w:rsidRPr="00143624">
        <w:t>130(2) of the Act).</w:t>
      </w:r>
    </w:p>
    <w:p w:rsidR="005B63A2" w:rsidRPr="00143624" w:rsidRDefault="005B63A2" w:rsidP="005B63A2">
      <w:pPr>
        <w:pStyle w:val="subsection"/>
      </w:pPr>
      <w:r w:rsidRPr="00143624">
        <w:lastRenderedPageBreak/>
        <w:tab/>
        <w:t>(2)</w:t>
      </w:r>
      <w:r w:rsidRPr="00143624">
        <w:tab/>
        <w:t>This subsection applies to a superannuation income stream if it is a pension for the purposes of the SIS Act that is provided under rules:</w:t>
      </w:r>
    </w:p>
    <w:p w:rsidR="005B63A2" w:rsidRPr="00143624" w:rsidRDefault="005B63A2" w:rsidP="005B63A2">
      <w:pPr>
        <w:pStyle w:val="paragraph"/>
      </w:pPr>
      <w:r w:rsidRPr="00143624">
        <w:tab/>
        <w:t>(a)</w:t>
      </w:r>
      <w:r w:rsidRPr="00143624">
        <w:tab/>
        <w:t>that are in existence on 29</w:t>
      </w:r>
      <w:r w:rsidR="002B1A95" w:rsidRPr="00143624">
        <w:t> </w:t>
      </w:r>
      <w:r w:rsidRPr="00143624">
        <w:t>June 2007; and</w:t>
      </w:r>
    </w:p>
    <w:p w:rsidR="005B63A2" w:rsidRPr="00143624" w:rsidRDefault="005B63A2" w:rsidP="005B63A2">
      <w:pPr>
        <w:pStyle w:val="paragraph"/>
      </w:pPr>
      <w:r w:rsidRPr="00143624">
        <w:tab/>
        <w:t>(b)</w:t>
      </w:r>
      <w:r w:rsidRPr="00143624">
        <w:tab/>
        <w:t>that would meet the standards of subregulation</w:t>
      </w:r>
      <w:r w:rsidR="002B1A95" w:rsidRPr="00143624">
        <w:t> </w:t>
      </w:r>
      <w:r w:rsidRPr="00143624">
        <w:t>1.06(2) of the SIS Regulations except for the circumstances in which those rules allow for either or both of the following:</w:t>
      </w:r>
    </w:p>
    <w:p w:rsidR="005B63A2" w:rsidRPr="00143624" w:rsidRDefault="005B63A2" w:rsidP="005B63A2">
      <w:pPr>
        <w:pStyle w:val="paragraphsub"/>
      </w:pPr>
      <w:r w:rsidRPr="00143624">
        <w:tab/>
        <w:t>(i)</w:t>
      </w:r>
      <w:r w:rsidRPr="00143624">
        <w:tab/>
        <w:t>the pension to be commuted;</w:t>
      </w:r>
    </w:p>
    <w:p w:rsidR="005B63A2" w:rsidRPr="00143624" w:rsidRDefault="005B63A2" w:rsidP="005B63A2">
      <w:pPr>
        <w:pStyle w:val="paragraphsub"/>
      </w:pPr>
      <w:r w:rsidRPr="00143624">
        <w:tab/>
        <w:t>(ii)</w:t>
      </w:r>
      <w:r w:rsidRPr="00143624">
        <w:tab/>
        <w:t>the variation or cessation of pension payments in respect of a child of the deceased primary or reversionary beneficiary.</w:t>
      </w:r>
    </w:p>
    <w:p w:rsidR="005B63A2" w:rsidRPr="00143624" w:rsidRDefault="005B63A2" w:rsidP="005B63A2">
      <w:pPr>
        <w:pStyle w:val="subsection"/>
      </w:pPr>
      <w:r w:rsidRPr="00143624">
        <w:tab/>
        <w:t>(3)</w:t>
      </w:r>
      <w:r w:rsidRPr="00143624">
        <w:tab/>
        <w:t>This subsection applies to a superannuation income stream if:</w:t>
      </w:r>
    </w:p>
    <w:p w:rsidR="005B63A2" w:rsidRPr="00143624" w:rsidRDefault="005B63A2" w:rsidP="005B63A2">
      <w:pPr>
        <w:pStyle w:val="paragraph"/>
      </w:pPr>
      <w:r w:rsidRPr="00143624">
        <w:tab/>
        <w:t>(a)</w:t>
      </w:r>
      <w:r w:rsidRPr="00143624">
        <w:tab/>
        <w:t>it arises as a direct result of the payment of an involuntary roll</w:t>
      </w:r>
      <w:r w:rsidR="00143624">
        <w:noBreakHyphen/>
      </w:r>
      <w:r w:rsidRPr="00143624">
        <w:t>over superannuation benefit to a successor fund; and</w:t>
      </w:r>
    </w:p>
    <w:p w:rsidR="005B63A2" w:rsidRPr="00143624" w:rsidRDefault="005B63A2" w:rsidP="005B63A2">
      <w:pPr>
        <w:pStyle w:val="paragraph"/>
      </w:pPr>
      <w:r w:rsidRPr="00143624">
        <w:tab/>
        <w:t>(b)</w:t>
      </w:r>
      <w:r w:rsidRPr="00143624">
        <w:tab/>
        <w:t>it is a pension for the purposes of the SIS Act that is paid from the successor fund; and</w:t>
      </w:r>
    </w:p>
    <w:p w:rsidR="005B63A2" w:rsidRPr="00143624" w:rsidRDefault="005B63A2" w:rsidP="005B63A2">
      <w:pPr>
        <w:pStyle w:val="paragraph"/>
      </w:pPr>
      <w:r w:rsidRPr="00143624">
        <w:tab/>
        <w:t>(c)</w:t>
      </w:r>
      <w:r w:rsidRPr="00143624">
        <w:tab/>
        <w:t>the rules under which a pension was provided by the fund that made the payment of the involuntary roll</w:t>
      </w:r>
      <w:r w:rsidR="00143624">
        <w:noBreakHyphen/>
      </w:r>
      <w:r w:rsidRPr="00143624">
        <w:t xml:space="preserve">over superannuation benefit satisfied </w:t>
      </w:r>
      <w:r w:rsidR="002B1A95" w:rsidRPr="00143624">
        <w:t>subsection (</w:t>
      </w:r>
      <w:r w:rsidRPr="00143624">
        <w:t>2) at the time of transfer; and</w:t>
      </w:r>
    </w:p>
    <w:p w:rsidR="005B63A2" w:rsidRPr="00143624" w:rsidRDefault="005B63A2" w:rsidP="005B63A2">
      <w:pPr>
        <w:pStyle w:val="paragraph"/>
      </w:pPr>
      <w:r w:rsidRPr="00143624">
        <w:tab/>
        <w:t>(d)</w:t>
      </w:r>
      <w:r w:rsidRPr="00143624">
        <w:tab/>
        <w:t xml:space="preserve">the rules of the successor fund under which the superannuation income stream is provided satisfy </w:t>
      </w:r>
      <w:r w:rsidR="002B1A95" w:rsidRPr="00143624">
        <w:t>paragraph (</w:t>
      </w:r>
      <w:r w:rsidRPr="00143624">
        <w:t>2)(b).</w:t>
      </w:r>
    </w:p>
    <w:p w:rsidR="005B63A2" w:rsidRPr="00143624" w:rsidRDefault="005B63A2" w:rsidP="005B63A2">
      <w:pPr>
        <w:pStyle w:val="subsection"/>
      </w:pPr>
      <w:r w:rsidRPr="00143624">
        <w:tab/>
        <w:t>(4)</w:t>
      </w:r>
      <w:r w:rsidRPr="00143624">
        <w:tab/>
        <w:t>This subsection applies to a superannuation income stream if:</w:t>
      </w:r>
    </w:p>
    <w:p w:rsidR="005B63A2" w:rsidRPr="00143624" w:rsidRDefault="005B63A2" w:rsidP="005B63A2">
      <w:pPr>
        <w:pStyle w:val="paragraph"/>
      </w:pPr>
      <w:r w:rsidRPr="00143624">
        <w:tab/>
        <w:t>(a)</w:t>
      </w:r>
      <w:r w:rsidRPr="00143624">
        <w:tab/>
        <w:t>it is covered by item</w:t>
      </w:r>
      <w:r w:rsidR="002B1A95" w:rsidRPr="00143624">
        <w:t> </w:t>
      </w:r>
      <w:r w:rsidRPr="00143624">
        <w:t>2 of the table in subsection</w:t>
      </w:r>
      <w:r w:rsidR="002B1A95" w:rsidRPr="00143624">
        <w:t> </w:t>
      </w:r>
      <w:r w:rsidRPr="00143624">
        <w:t>294</w:t>
      </w:r>
      <w:r w:rsidR="00143624">
        <w:noBreakHyphen/>
      </w:r>
      <w:r w:rsidRPr="00143624">
        <w:t>130(1) of the Act; and</w:t>
      </w:r>
    </w:p>
    <w:p w:rsidR="005B63A2" w:rsidRPr="00143624" w:rsidRDefault="005B63A2" w:rsidP="005B63A2">
      <w:pPr>
        <w:pStyle w:val="paragraph"/>
      </w:pPr>
      <w:r w:rsidRPr="00143624">
        <w:tab/>
        <w:t>(b)</w:t>
      </w:r>
      <w:r w:rsidRPr="00143624">
        <w:tab/>
        <w:t xml:space="preserve">it starts to be in the retirement phase on or after </w:t>
      </w:r>
      <w:r w:rsidR="00F5399E" w:rsidRPr="00143624">
        <w:t>1 July</w:t>
      </w:r>
      <w:r w:rsidRPr="00143624">
        <w:t xml:space="preserve"> 2017; and</w:t>
      </w:r>
    </w:p>
    <w:p w:rsidR="005B63A2" w:rsidRPr="00143624" w:rsidRDefault="005B63A2" w:rsidP="005B63A2">
      <w:pPr>
        <w:pStyle w:val="paragraph"/>
      </w:pPr>
      <w:r w:rsidRPr="00143624">
        <w:tab/>
        <w:t>(c)</w:t>
      </w:r>
      <w:r w:rsidRPr="00143624">
        <w:tab/>
        <w:t>it arises as a direct result of the payment of an involuntary roll</w:t>
      </w:r>
      <w:r w:rsidR="00143624">
        <w:noBreakHyphen/>
      </w:r>
      <w:r w:rsidRPr="00143624">
        <w:t>over superannuation benefit to a successor fund.</w:t>
      </w:r>
    </w:p>
    <w:p w:rsidR="005B63A2" w:rsidRPr="00143624" w:rsidRDefault="005B63A2" w:rsidP="005B63A2">
      <w:pPr>
        <w:pStyle w:val="subsection"/>
      </w:pPr>
      <w:r w:rsidRPr="00143624">
        <w:tab/>
        <w:t>(5)</w:t>
      </w:r>
      <w:r w:rsidRPr="00143624">
        <w:tab/>
        <w:t>This subsection applies to a superannuation income stream if:</w:t>
      </w:r>
    </w:p>
    <w:p w:rsidR="005B63A2" w:rsidRPr="00143624" w:rsidRDefault="005B63A2" w:rsidP="005B63A2">
      <w:pPr>
        <w:pStyle w:val="paragraph"/>
      </w:pPr>
      <w:r w:rsidRPr="00143624">
        <w:tab/>
        <w:t>(a)</w:t>
      </w:r>
      <w:r w:rsidRPr="00143624">
        <w:tab/>
        <w:t>it is covered by any of items</w:t>
      </w:r>
      <w:r w:rsidR="002B1A95" w:rsidRPr="00143624">
        <w:t> </w:t>
      </w:r>
      <w:r w:rsidRPr="00143624">
        <w:t>3 to 7 of the table in subsection</w:t>
      </w:r>
      <w:r w:rsidR="002B1A95" w:rsidRPr="00143624">
        <w:t> </w:t>
      </w:r>
      <w:r w:rsidRPr="00143624">
        <w:t>294</w:t>
      </w:r>
      <w:r w:rsidR="00143624">
        <w:noBreakHyphen/>
      </w:r>
      <w:r w:rsidRPr="00143624">
        <w:t>130(1) of the Act; and</w:t>
      </w:r>
    </w:p>
    <w:p w:rsidR="005B63A2" w:rsidRPr="00143624" w:rsidRDefault="005B63A2" w:rsidP="005B63A2">
      <w:pPr>
        <w:pStyle w:val="paragraph"/>
      </w:pPr>
      <w:r w:rsidRPr="00143624">
        <w:tab/>
        <w:t>(b)</w:t>
      </w:r>
      <w:r w:rsidRPr="00143624">
        <w:tab/>
        <w:t xml:space="preserve">it starts to be in the retirement phase on or after </w:t>
      </w:r>
      <w:r w:rsidR="00F5399E" w:rsidRPr="00143624">
        <w:t>1 July</w:t>
      </w:r>
      <w:r w:rsidRPr="00143624">
        <w:t xml:space="preserve"> 2017; and</w:t>
      </w:r>
    </w:p>
    <w:p w:rsidR="005B63A2" w:rsidRPr="00143624" w:rsidRDefault="005B63A2" w:rsidP="005B63A2">
      <w:pPr>
        <w:pStyle w:val="paragraph"/>
      </w:pPr>
      <w:r w:rsidRPr="00143624">
        <w:tab/>
        <w:t>(c)</w:t>
      </w:r>
      <w:r w:rsidRPr="00143624">
        <w:tab/>
        <w:t>it arises as a direct result of the payment of an involuntary roll</w:t>
      </w:r>
      <w:r w:rsidR="00143624">
        <w:noBreakHyphen/>
      </w:r>
      <w:r w:rsidRPr="00143624">
        <w:t>over superannuation benefit to a successor fund.</w:t>
      </w:r>
    </w:p>
    <w:p w:rsidR="005B63A2" w:rsidRPr="00143624" w:rsidRDefault="005B63A2" w:rsidP="005B63A2">
      <w:pPr>
        <w:pStyle w:val="subsection"/>
      </w:pPr>
      <w:r w:rsidRPr="00143624">
        <w:tab/>
        <w:t>(6)</w:t>
      </w:r>
      <w:r w:rsidRPr="00143624">
        <w:tab/>
        <w:t>This subsection applies to a superannuation income stream if it is a pension for the purposes of the SIS Act that is provided:</w:t>
      </w:r>
    </w:p>
    <w:p w:rsidR="005B63A2" w:rsidRPr="00143624" w:rsidRDefault="005B63A2" w:rsidP="005B63A2">
      <w:pPr>
        <w:pStyle w:val="paragraph"/>
      </w:pPr>
      <w:r w:rsidRPr="00143624">
        <w:tab/>
        <w:t>(a)</w:t>
      </w:r>
      <w:r w:rsidRPr="00143624">
        <w:tab/>
        <w:t>on the grounds of invalidity under a public sector superannuation scheme; and</w:t>
      </w:r>
    </w:p>
    <w:p w:rsidR="005B63A2" w:rsidRPr="00143624" w:rsidRDefault="005B63A2" w:rsidP="005B63A2">
      <w:pPr>
        <w:pStyle w:val="paragraph"/>
      </w:pPr>
      <w:r w:rsidRPr="00143624">
        <w:tab/>
        <w:t>(b)</w:t>
      </w:r>
      <w:r w:rsidRPr="00143624">
        <w:tab/>
        <w:t>under rules that would meet the standards of subregulation</w:t>
      </w:r>
      <w:r w:rsidR="002B1A95" w:rsidRPr="00143624">
        <w:t> </w:t>
      </w:r>
      <w:r w:rsidRPr="00143624">
        <w:t>1.06(2) of the SIS Regulations except to the extent that those rules allow for the variation, suspension or cessation of pension payments due to any of the following:</w:t>
      </w:r>
    </w:p>
    <w:p w:rsidR="005B63A2" w:rsidRPr="00143624" w:rsidRDefault="005B63A2" w:rsidP="005B63A2">
      <w:pPr>
        <w:pStyle w:val="paragraphsub"/>
      </w:pPr>
      <w:r w:rsidRPr="00143624">
        <w:tab/>
        <w:t>(i)</w:t>
      </w:r>
      <w:r w:rsidRPr="00143624">
        <w:tab/>
        <w:t>the primary beneficiary’s level of incapacity being reclassified;</w:t>
      </w:r>
    </w:p>
    <w:p w:rsidR="005B63A2" w:rsidRPr="00143624" w:rsidRDefault="005B63A2" w:rsidP="005B63A2">
      <w:pPr>
        <w:pStyle w:val="paragraphsub"/>
      </w:pPr>
      <w:r w:rsidRPr="00143624">
        <w:tab/>
        <w:t>(ii)</w:t>
      </w:r>
      <w:r w:rsidRPr="00143624">
        <w:tab/>
        <w:t>the primary beneficiary’s personal earnings changing;</w:t>
      </w:r>
    </w:p>
    <w:p w:rsidR="005B63A2" w:rsidRPr="00143624" w:rsidRDefault="005B63A2" w:rsidP="005B63A2">
      <w:pPr>
        <w:pStyle w:val="paragraphsub"/>
      </w:pPr>
      <w:r w:rsidRPr="00143624">
        <w:tab/>
        <w:t>(iii)</w:t>
      </w:r>
      <w:r w:rsidRPr="00143624">
        <w:tab/>
        <w:t>the primary beneficiary being employed by a participating employer of the relevant superannuation scheme;</w:t>
      </w:r>
    </w:p>
    <w:p w:rsidR="005B63A2" w:rsidRPr="00143624" w:rsidRDefault="005B63A2" w:rsidP="005B63A2">
      <w:pPr>
        <w:pStyle w:val="paragraphsub"/>
      </w:pPr>
      <w:r w:rsidRPr="00143624">
        <w:tab/>
        <w:t>(iv)</w:t>
      </w:r>
      <w:r w:rsidRPr="00143624">
        <w:tab/>
        <w:t>the primary beneficiary failing to provide information as required by the rules;</w:t>
      </w:r>
    </w:p>
    <w:p w:rsidR="005B63A2" w:rsidRPr="00143624" w:rsidRDefault="005B63A2" w:rsidP="005B63A2">
      <w:pPr>
        <w:pStyle w:val="paragraphsub"/>
      </w:pPr>
      <w:r w:rsidRPr="00143624">
        <w:tab/>
        <w:t>(v)</w:t>
      </w:r>
      <w:r w:rsidRPr="00143624">
        <w:tab/>
        <w:t>the primary beneficiary reaching a particular age.</w:t>
      </w:r>
    </w:p>
    <w:p w:rsidR="005B63A2" w:rsidRPr="00143624" w:rsidRDefault="005B63A2" w:rsidP="005B63A2">
      <w:pPr>
        <w:pStyle w:val="ActHead5"/>
      </w:pPr>
      <w:bookmarkStart w:id="92" w:name="_Toc64030350"/>
      <w:r w:rsidRPr="003F3E0B">
        <w:rPr>
          <w:rStyle w:val="CharSectno"/>
        </w:rPr>
        <w:lastRenderedPageBreak/>
        <w:t>294</w:t>
      </w:r>
      <w:r w:rsidR="00143624" w:rsidRPr="003F3E0B">
        <w:rPr>
          <w:rStyle w:val="CharSectno"/>
        </w:rPr>
        <w:noBreakHyphen/>
      </w:r>
      <w:r w:rsidRPr="003F3E0B">
        <w:rPr>
          <w:rStyle w:val="CharSectno"/>
        </w:rPr>
        <w:t>135.01</w:t>
      </w:r>
      <w:r w:rsidRPr="00143624">
        <w:t xml:space="preserve">  Transfer balance credit—determining special value of a superannuation interest</w:t>
      </w:r>
      <w:bookmarkEnd w:id="92"/>
    </w:p>
    <w:p w:rsidR="005B63A2" w:rsidRPr="00143624" w:rsidRDefault="005B63A2" w:rsidP="005B63A2">
      <w:pPr>
        <w:pStyle w:val="subsection"/>
      </w:pPr>
      <w:r w:rsidRPr="00143624">
        <w:tab/>
        <w:t>(1)</w:t>
      </w:r>
      <w:r w:rsidRPr="00143624">
        <w:tab/>
        <w:t>For the purposes of subsection</w:t>
      </w:r>
      <w:r w:rsidR="002B1A95" w:rsidRPr="00143624">
        <w:t> </w:t>
      </w:r>
      <w:r w:rsidRPr="00143624">
        <w:t>294</w:t>
      </w:r>
      <w:r w:rsidR="00143624">
        <w:noBreakHyphen/>
      </w:r>
      <w:r w:rsidRPr="00143624">
        <w:t xml:space="preserve">135(4) of the Act, the </w:t>
      </w:r>
      <w:r w:rsidRPr="00143624">
        <w:rPr>
          <w:b/>
          <w:i/>
        </w:rPr>
        <w:t>special value</w:t>
      </w:r>
      <w:r w:rsidRPr="00143624">
        <w:t>, at a particular time, of a superannuation interest that supports an income stream that is, or was at any time, a superannuation income stream prescribed by section 294</w:t>
      </w:r>
      <w:r w:rsidR="00143624">
        <w:noBreakHyphen/>
      </w:r>
      <w:r w:rsidRPr="00143624">
        <w:t>130.01 of this instrument, is the amount worked out using the formula:</w:t>
      </w:r>
    </w:p>
    <w:p w:rsidR="005B63A2" w:rsidRPr="00143624" w:rsidRDefault="005B63A2" w:rsidP="005B63A2">
      <w:pPr>
        <w:pStyle w:val="subsection"/>
      </w:pPr>
      <w:r w:rsidRPr="00143624">
        <w:tab/>
      </w:r>
      <w:r w:rsidRPr="00143624">
        <w:tab/>
      </w:r>
      <w:r w:rsidR="005C75AD" w:rsidRPr="005C75AD">
        <w:drawing>
          <wp:inline distT="0" distB="0" distL="0" distR="0">
            <wp:extent cx="1304925" cy="2762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p>
    <w:p w:rsidR="005B63A2" w:rsidRPr="00143624" w:rsidRDefault="005B63A2" w:rsidP="005B63A2">
      <w:pPr>
        <w:pStyle w:val="subsection"/>
      </w:pPr>
      <w:r w:rsidRPr="00143624">
        <w:tab/>
      </w:r>
      <w:r w:rsidRPr="00143624">
        <w:tab/>
        <w:t>where:</w:t>
      </w:r>
    </w:p>
    <w:p w:rsidR="005B63A2" w:rsidRPr="00143624" w:rsidRDefault="005B63A2" w:rsidP="005B63A2">
      <w:pPr>
        <w:pStyle w:val="Definition"/>
      </w:pPr>
      <w:r w:rsidRPr="00143624">
        <w:rPr>
          <w:b/>
          <w:i/>
        </w:rPr>
        <w:t>annual entitlement</w:t>
      </w:r>
      <w:r w:rsidRPr="00143624">
        <w:t xml:space="preserve"> means the amount worked out by:</w:t>
      </w:r>
    </w:p>
    <w:p w:rsidR="005B63A2" w:rsidRPr="00143624" w:rsidRDefault="005B63A2" w:rsidP="005B63A2">
      <w:pPr>
        <w:pStyle w:val="paragraph"/>
      </w:pPr>
      <w:r w:rsidRPr="00143624">
        <w:tab/>
        <w:t>(a)</w:t>
      </w:r>
      <w:r w:rsidRPr="00143624">
        <w:tab/>
        <w:t>dividing the amount of the first superannuation income stream benefit you are entitled to receive from the income stream just after that time by the number of whole days to which that benefit relates; and</w:t>
      </w:r>
    </w:p>
    <w:p w:rsidR="005B63A2" w:rsidRPr="00143624" w:rsidRDefault="005B63A2" w:rsidP="005B63A2">
      <w:pPr>
        <w:pStyle w:val="paragraph"/>
      </w:pPr>
      <w:r w:rsidRPr="00143624">
        <w:tab/>
        <w:t>(b)</w:t>
      </w:r>
      <w:r w:rsidRPr="00143624">
        <w:tab/>
        <w:t>multiplying the result by 365.</w:t>
      </w:r>
    </w:p>
    <w:p w:rsidR="005B63A2" w:rsidRPr="00143624" w:rsidRDefault="005B63A2" w:rsidP="005B63A2">
      <w:pPr>
        <w:pStyle w:val="subsection"/>
      </w:pPr>
      <w:r w:rsidRPr="00143624">
        <w:tab/>
        <w:t>(2)</w:t>
      </w:r>
      <w:r w:rsidRPr="00143624">
        <w:tab/>
      </w:r>
      <w:r w:rsidR="002B1A95" w:rsidRPr="00143624">
        <w:t>Subsection (</w:t>
      </w:r>
      <w:r w:rsidRPr="00143624">
        <w:t xml:space="preserve">1) does not apply to a superannuation interest covered by </w:t>
      </w:r>
      <w:r w:rsidR="002B1A95" w:rsidRPr="00143624">
        <w:t>subsection (</w:t>
      </w:r>
      <w:r w:rsidRPr="00143624">
        <w:t>3).</w:t>
      </w:r>
    </w:p>
    <w:p w:rsidR="005B63A2" w:rsidRPr="00143624" w:rsidRDefault="005B63A2" w:rsidP="005B63A2">
      <w:pPr>
        <w:pStyle w:val="subsection"/>
      </w:pPr>
      <w:r w:rsidRPr="00143624">
        <w:tab/>
        <w:t>(3)</w:t>
      </w:r>
      <w:r w:rsidRPr="00143624">
        <w:tab/>
        <w:t>This subsection covers a superannuation interest that supports an income stream that is, or was at any time, a superannuation income stream prescribed by section 294</w:t>
      </w:r>
      <w:r w:rsidR="00143624">
        <w:noBreakHyphen/>
      </w:r>
      <w:r w:rsidRPr="00143624">
        <w:t>130.01 to which subsection 294</w:t>
      </w:r>
      <w:r w:rsidR="00143624">
        <w:noBreakHyphen/>
      </w:r>
      <w:r w:rsidRPr="00143624">
        <w:t>130.01(5) applies.</w:t>
      </w:r>
    </w:p>
    <w:p w:rsidR="005B63A2" w:rsidRPr="00143624" w:rsidRDefault="005B63A2" w:rsidP="005B63A2">
      <w:pPr>
        <w:pStyle w:val="subsection"/>
      </w:pPr>
      <w:r w:rsidRPr="00143624">
        <w:tab/>
        <w:t>(4)</w:t>
      </w:r>
      <w:r w:rsidRPr="00143624">
        <w:tab/>
        <w:t>For the purposes of subsection</w:t>
      </w:r>
      <w:r w:rsidR="002B1A95" w:rsidRPr="00143624">
        <w:t> </w:t>
      </w:r>
      <w:r w:rsidRPr="00143624">
        <w:t>294</w:t>
      </w:r>
      <w:r w:rsidR="00143624">
        <w:noBreakHyphen/>
      </w:r>
      <w:r w:rsidRPr="00143624">
        <w:t xml:space="preserve">135(4) of the Act, the </w:t>
      </w:r>
      <w:r w:rsidRPr="00143624">
        <w:rPr>
          <w:b/>
          <w:i/>
        </w:rPr>
        <w:t>special value</w:t>
      </w:r>
      <w:r w:rsidRPr="00143624">
        <w:t xml:space="preserve">, at a particular time, of a superannuation interest covered by </w:t>
      </w:r>
      <w:r w:rsidR="002B1A95" w:rsidRPr="00143624">
        <w:t>subsection (</w:t>
      </w:r>
      <w:r w:rsidRPr="00143624">
        <w:t>3) of this section is the amount worked out in respect of that time under subsection</w:t>
      </w:r>
      <w:r w:rsidR="002B1A95" w:rsidRPr="00143624">
        <w:t> </w:t>
      </w:r>
      <w:r w:rsidRPr="00143624">
        <w:t>294</w:t>
      </w:r>
      <w:r w:rsidR="00143624">
        <w:noBreakHyphen/>
      </w:r>
      <w:r w:rsidRPr="00143624">
        <w:t>135(3) of the Act.</w:t>
      </w:r>
    </w:p>
    <w:p w:rsidR="005B63A2" w:rsidRPr="00143624" w:rsidRDefault="005B63A2" w:rsidP="005B63A2">
      <w:pPr>
        <w:pStyle w:val="subsection"/>
      </w:pPr>
      <w:r w:rsidRPr="00143624">
        <w:tab/>
        <w:t>(5)</w:t>
      </w:r>
      <w:r w:rsidRPr="00143624">
        <w:tab/>
        <w:t xml:space="preserve">For the purposes of </w:t>
      </w:r>
      <w:r w:rsidR="002B1A95" w:rsidRPr="00143624">
        <w:t>subsection (</w:t>
      </w:r>
      <w:r w:rsidRPr="00143624">
        <w:t>4) of this section, treat the reference in subsection</w:t>
      </w:r>
      <w:r w:rsidR="002B1A95" w:rsidRPr="00143624">
        <w:t> </w:t>
      </w:r>
      <w:r w:rsidRPr="00143624">
        <w:t>294</w:t>
      </w:r>
      <w:r w:rsidR="00143624">
        <w:noBreakHyphen/>
      </w:r>
      <w:r w:rsidRPr="00143624">
        <w:t>135(3) of the Act to a capped defined benefit income stream covered by any of items</w:t>
      </w:r>
      <w:r w:rsidR="002B1A95" w:rsidRPr="00143624">
        <w:t> </w:t>
      </w:r>
      <w:r w:rsidRPr="00143624">
        <w:t>3 to 7 of the table in subsection</w:t>
      </w:r>
      <w:r w:rsidR="002B1A95" w:rsidRPr="00143624">
        <w:t> </w:t>
      </w:r>
      <w:r w:rsidRPr="00143624">
        <w:t>294</w:t>
      </w:r>
      <w:r w:rsidR="00143624">
        <w:noBreakHyphen/>
      </w:r>
      <w:r w:rsidRPr="00143624">
        <w:t xml:space="preserve">130(1) as instead being a reference to the income stream mentioned in </w:t>
      </w:r>
      <w:r w:rsidR="002B1A95" w:rsidRPr="00143624">
        <w:t>subsection (</w:t>
      </w:r>
      <w:r w:rsidRPr="00143624">
        <w:t>3) of this section.</w:t>
      </w:r>
    </w:p>
    <w:p w:rsidR="005B63A2" w:rsidRPr="00143624" w:rsidRDefault="005B63A2" w:rsidP="005B63A2">
      <w:pPr>
        <w:pStyle w:val="ActHead5"/>
      </w:pPr>
      <w:bookmarkStart w:id="93" w:name="_Toc64030351"/>
      <w:r w:rsidRPr="003F3E0B">
        <w:rPr>
          <w:rStyle w:val="CharSectno"/>
        </w:rPr>
        <w:t>294</w:t>
      </w:r>
      <w:r w:rsidR="00143624" w:rsidRPr="003F3E0B">
        <w:rPr>
          <w:rStyle w:val="CharSectno"/>
        </w:rPr>
        <w:noBreakHyphen/>
      </w:r>
      <w:r w:rsidRPr="003F3E0B">
        <w:rPr>
          <w:rStyle w:val="CharSectno"/>
        </w:rPr>
        <w:t>145.01</w:t>
      </w:r>
      <w:r w:rsidRPr="00143624">
        <w:t xml:space="preserve">  Transfer balance debits—determining debit value of a superannuation interest</w:t>
      </w:r>
      <w:bookmarkEnd w:id="93"/>
    </w:p>
    <w:p w:rsidR="005B63A2" w:rsidRPr="00143624" w:rsidRDefault="005B63A2" w:rsidP="005B63A2">
      <w:pPr>
        <w:pStyle w:val="subsection"/>
      </w:pPr>
      <w:r w:rsidRPr="00143624">
        <w:tab/>
        <w:t>(1)</w:t>
      </w:r>
      <w:r w:rsidRPr="00143624">
        <w:tab/>
        <w:t>For the purposes of subsection</w:t>
      </w:r>
      <w:r w:rsidR="002B1A95" w:rsidRPr="00143624">
        <w:t> </w:t>
      </w:r>
      <w:r w:rsidRPr="00143624">
        <w:t>294</w:t>
      </w:r>
      <w:r w:rsidR="00143624">
        <w:noBreakHyphen/>
      </w:r>
      <w:r w:rsidRPr="00143624">
        <w:t xml:space="preserve">145(7) of the Act, the </w:t>
      </w:r>
      <w:r w:rsidRPr="00143624">
        <w:rPr>
          <w:b/>
          <w:i/>
        </w:rPr>
        <w:t>debit value</w:t>
      </w:r>
      <w:r w:rsidRPr="00143624">
        <w:t>, at a particular time, of a superannuation interest that supports an income stream that is, or was at any time, a superannuation income stream prescribed by section 294</w:t>
      </w:r>
      <w:r w:rsidR="00143624">
        <w:noBreakHyphen/>
      </w:r>
      <w:r w:rsidRPr="00143624">
        <w:t>130.01 of this instrument, is:</w:t>
      </w:r>
    </w:p>
    <w:p w:rsidR="005B63A2" w:rsidRPr="00143624" w:rsidRDefault="005B63A2" w:rsidP="005B63A2">
      <w:pPr>
        <w:pStyle w:val="paragraph"/>
      </w:pPr>
      <w:r w:rsidRPr="00143624">
        <w:tab/>
        <w:t>(a)</w:t>
      </w:r>
      <w:r w:rsidRPr="00143624">
        <w:tab/>
        <w:t>the amount of the transfer balance credit that arose in your transfer balance account in respect of the income stream; less</w:t>
      </w:r>
    </w:p>
    <w:p w:rsidR="005B63A2" w:rsidRPr="00143624" w:rsidRDefault="005B63A2" w:rsidP="005B63A2">
      <w:pPr>
        <w:pStyle w:val="paragraph"/>
      </w:pPr>
      <w:r w:rsidRPr="00143624">
        <w:tab/>
        <w:t>(b)</w:t>
      </w:r>
      <w:r w:rsidRPr="00143624">
        <w:tab/>
        <w:t>the amount of any transfer balance debits (apart from debits arising under item</w:t>
      </w:r>
      <w:r w:rsidR="002B1A95" w:rsidRPr="00143624">
        <w:t> </w:t>
      </w:r>
      <w:r w:rsidRPr="00143624">
        <w:t>4 of the table in subsection</w:t>
      </w:r>
      <w:r w:rsidR="002B1A95" w:rsidRPr="00143624">
        <w:t> </w:t>
      </w:r>
      <w:r w:rsidRPr="00143624">
        <w:t>294</w:t>
      </w:r>
      <w:r w:rsidR="00143624">
        <w:noBreakHyphen/>
      </w:r>
      <w:r w:rsidRPr="00143624">
        <w:t>80(1) of the Act) that have arisen in your transfer balance account in respect of the income stream before that time.</w:t>
      </w:r>
    </w:p>
    <w:p w:rsidR="005B63A2" w:rsidRPr="00143624" w:rsidRDefault="005B63A2" w:rsidP="005B63A2">
      <w:pPr>
        <w:pStyle w:val="subsection"/>
      </w:pPr>
      <w:r w:rsidRPr="00143624">
        <w:tab/>
        <w:t>(2)</w:t>
      </w:r>
      <w:r w:rsidRPr="00143624">
        <w:tab/>
      </w:r>
      <w:r w:rsidR="002B1A95" w:rsidRPr="00143624">
        <w:t>Subsection (</w:t>
      </w:r>
      <w:r w:rsidRPr="00143624">
        <w:t xml:space="preserve">1) does not apply to a superannuation interest covered by </w:t>
      </w:r>
      <w:r w:rsidR="002B1A95" w:rsidRPr="00143624">
        <w:t>subsection (</w:t>
      </w:r>
      <w:r w:rsidRPr="00143624">
        <w:t>3).</w:t>
      </w:r>
    </w:p>
    <w:p w:rsidR="005B63A2" w:rsidRPr="00143624" w:rsidRDefault="005B63A2" w:rsidP="005B63A2">
      <w:pPr>
        <w:pStyle w:val="subsection"/>
      </w:pPr>
      <w:r w:rsidRPr="00143624">
        <w:lastRenderedPageBreak/>
        <w:tab/>
        <w:t>(3)</w:t>
      </w:r>
      <w:r w:rsidRPr="00143624">
        <w:tab/>
        <w:t>This subsection covers a superannuation interest that supports an income stream that is, or was at any time, a superannuation income stream prescribed by section 294</w:t>
      </w:r>
      <w:r w:rsidR="00143624">
        <w:noBreakHyphen/>
      </w:r>
      <w:r w:rsidRPr="00143624">
        <w:t>130.01 to which subsection 294</w:t>
      </w:r>
      <w:r w:rsidR="00143624">
        <w:noBreakHyphen/>
      </w:r>
      <w:r w:rsidRPr="00143624">
        <w:t>130.01(5) applies.</w:t>
      </w:r>
    </w:p>
    <w:p w:rsidR="005B63A2" w:rsidRPr="00143624" w:rsidRDefault="005B63A2" w:rsidP="005B63A2">
      <w:pPr>
        <w:pStyle w:val="subsection"/>
      </w:pPr>
      <w:r w:rsidRPr="00143624">
        <w:tab/>
        <w:t>(4)</w:t>
      </w:r>
      <w:r w:rsidRPr="00143624">
        <w:tab/>
        <w:t>For the purposes of subsection</w:t>
      </w:r>
      <w:r w:rsidR="002B1A95" w:rsidRPr="00143624">
        <w:t> </w:t>
      </w:r>
      <w:r w:rsidRPr="00143624">
        <w:t>294</w:t>
      </w:r>
      <w:r w:rsidR="00143624">
        <w:noBreakHyphen/>
      </w:r>
      <w:r w:rsidRPr="00143624">
        <w:t xml:space="preserve">145(7) of the Act, the </w:t>
      </w:r>
      <w:r w:rsidRPr="00143624">
        <w:rPr>
          <w:b/>
          <w:i/>
        </w:rPr>
        <w:t>debit value</w:t>
      </w:r>
      <w:r w:rsidRPr="00143624">
        <w:t xml:space="preserve">, at a particular time, of a superannuation interest covered by </w:t>
      </w:r>
      <w:r w:rsidR="002B1A95" w:rsidRPr="00143624">
        <w:t>subsection (</w:t>
      </w:r>
      <w:r w:rsidRPr="00143624">
        <w:t>3) of this section is the amount worked out in respect of that time under subsection</w:t>
      </w:r>
      <w:r w:rsidR="002B1A95" w:rsidRPr="00143624">
        <w:t> </w:t>
      </w:r>
      <w:r w:rsidRPr="00143624">
        <w:t>294</w:t>
      </w:r>
      <w:r w:rsidR="00143624">
        <w:noBreakHyphen/>
      </w:r>
      <w:r w:rsidRPr="00143624">
        <w:t>145(6) of the Act.</w:t>
      </w:r>
    </w:p>
    <w:p w:rsidR="005B63A2" w:rsidRPr="00143624" w:rsidRDefault="005B63A2" w:rsidP="005B63A2">
      <w:pPr>
        <w:pStyle w:val="subsection"/>
      </w:pPr>
      <w:r w:rsidRPr="00143624">
        <w:tab/>
        <w:t>(5)</w:t>
      </w:r>
      <w:r w:rsidRPr="00143624">
        <w:tab/>
        <w:t xml:space="preserve">For the purposes of </w:t>
      </w:r>
      <w:r w:rsidR="002B1A95" w:rsidRPr="00143624">
        <w:t>subsection (</w:t>
      </w:r>
      <w:r w:rsidRPr="00143624">
        <w:t>4) of this section, treat the reference in subsection</w:t>
      </w:r>
      <w:r w:rsidR="002B1A95" w:rsidRPr="00143624">
        <w:t> </w:t>
      </w:r>
      <w:r w:rsidRPr="00143624">
        <w:t>294</w:t>
      </w:r>
      <w:r w:rsidR="00143624">
        <w:noBreakHyphen/>
      </w:r>
      <w:r w:rsidRPr="00143624">
        <w:t>145(6) of the Act to a capped defined benefit income stream covered by any of items</w:t>
      </w:r>
      <w:r w:rsidR="002B1A95" w:rsidRPr="00143624">
        <w:t> </w:t>
      </w:r>
      <w:r w:rsidRPr="00143624">
        <w:t>3 to 7 of the table in subsection</w:t>
      </w:r>
      <w:r w:rsidR="002B1A95" w:rsidRPr="00143624">
        <w:t> </w:t>
      </w:r>
      <w:r w:rsidRPr="00143624">
        <w:t>294</w:t>
      </w:r>
      <w:r w:rsidR="00143624">
        <w:noBreakHyphen/>
      </w:r>
      <w:r w:rsidRPr="00143624">
        <w:t xml:space="preserve">130(1) as instead being a reference to the income stream mentioned in </w:t>
      </w:r>
      <w:r w:rsidR="002B1A95" w:rsidRPr="00143624">
        <w:t>subsection (</w:t>
      </w:r>
      <w:r w:rsidRPr="00143624">
        <w:t>3) of this section.</w:t>
      </w:r>
    </w:p>
    <w:p w:rsidR="005B63A2" w:rsidRPr="00143624" w:rsidRDefault="005B63A2" w:rsidP="005B63A2">
      <w:pPr>
        <w:pStyle w:val="ActHead3"/>
        <w:pageBreakBefore/>
        <w:rPr>
          <w:color w:val="000000"/>
        </w:rPr>
      </w:pPr>
      <w:bookmarkStart w:id="94" w:name="_Toc64030352"/>
      <w:r w:rsidRPr="003F3E0B">
        <w:rPr>
          <w:rStyle w:val="CharDivNo"/>
        </w:rPr>
        <w:lastRenderedPageBreak/>
        <w:t>Division</w:t>
      </w:r>
      <w:r w:rsidR="002B1A95" w:rsidRPr="003F3E0B">
        <w:rPr>
          <w:rStyle w:val="CharDivNo"/>
        </w:rPr>
        <w:t> </w:t>
      </w:r>
      <w:r w:rsidRPr="003F3E0B">
        <w:rPr>
          <w:rStyle w:val="CharDivNo"/>
        </w:rPr>
        <w:t>295</w:t>
      </w:r>
      <w:r w:rsidRPr="00143624">
        <w:rPr>
          <w:color w:val="000000"/>
        </w:rPr>
        <w:t>—</w:t>
      </w:r>
      <w:r w:rsidRPr="003F3E0B">
        <w:rPr>
          <w:rStyle w:val="CharDivText"/>
        </w:rPr>
        <w:t>Taxation of superannuation entities</w:t>
      </w:r>
      <w:bookmarkEnd w:id="94"/>
    </w:p>
    <w:p w:rsidR="005B63A2" w:rsidRPr="00143624" w:rsidRDefault="005B63A2" w:rsidP="005B63A2">
      <w:pPr>
        <w:pStyle w:val="ActHead4"/>
        <w:rPr>
          <w:rFonts w:eastAsiaTheme="majorEastAsia"/>
        </w:rPr>
      </w:pPr>
      <w:bookmarkStart w:id="95" w:name="_Toc64030353"/>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295</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Fonts w:eastAsiaTheme="majorEastAsia"/>
        </w:rPr>
        <w:t>Contributions excluded</w:t>
      </w:r>
      <w:bookmarkEnd w:id="95"/>
    </w:p>
    <w:p w:rsidR="005B63A2" w:rsidRPr="00143624" w:rsidRDefault="005B63A2" w:rsidP="005B63A2">
      <w:pPr>
        <w:pStyle w:val="ActHead5"/>
        <w:rPr>
          <w:rFonts w:eastAsia="MS Mincho"/>
        </w:rPr>
      </w:pPr>
      <w:bookmarkStart w:id="96" w:name="_Toc64030354"/>
      <w:r w:rsidRPr="003F3E0B">
        <w:rPr>
          <w:rStyle w:val="CharSectno"/>
          <w:rFonts w:eastAsia="MS Mincho"/>
        </w:rPr>
        <w:t>295</w:t>
      </w:r>
      <w:r w:rsidR="00143624" w:rsidRPr="003F3E0B">
        <w:rPr>
          <w:rStyle w:val="CharSectno"/>
          <w:rFonts w:eastAsia="MS Mincho"/>
        </w:rPr>
        <w:noBreakHyphen/>
      </w:r>
      <w:r w:rsidRPr="003F3E0B">
        <w:rPr>
          <w:rStyle w:val="CharSectno"/>
          <w:rFonts w:eastAsia="MS Mincho"/>
        </w:rPr>
        <w:t>265.01</w:t>
      </w:r>
      <w:r w:rsidRPr="00143624">
        <w:rPr>
          <w:rFonts w:eastAsia="MS Mincho"/>
        </w:rPr>
        <w:t xml:space="preserve">  Application of pre</w:t>
      </w:r>
      <w:r w:rsidR="00143624">
        <w:rPr>
          <w:rFonts w:eastAsia="MS Mincho"/>
        </w:rPr>
        <w:noBreakHyphen/>
      </w:r>
      <w:r w:rsidR="00F5399E" w:rsidRPr="00143624">
        <w:rPr>
          <w:rFonts w:eastAsia="MS Mincho"/>
        </w:rPr>
        <w:t>1 July</w:t>
      </w:r>
      <w:r w:rsidRPr="00143624">
        <w:rPr>
          <w:rFonts w:eastAsia="MS Mincho"/>
        </w:rPr>
        <w:t xml:space="preserve"> 88 funding credits—limit on choice</w:t>
      </w:r>
      <w:bookmarkEnd w:id="96"/>
    </w:p>
    <w:p w:rsidR="005B63A2" w:rsidRPr="00143624" w:rsidRDefault="005B63A2" w:rsidP="005B63A2">
      <w:pPr>
        <w:pStyle w:val="subsection"/>
        <w:rPr>
          <w:rFonts w:eastAsia="MS Mincho"/>
          <w:color w:val="000000"/>
        </w:rPr>
      </w:pPr>
      <w:r w:rsidRPr="00143624">
        <w:rPr>
          <w:rFonts w:eastAsia="MS Mincho"/>
          <w:color w:val="000000"/>
        </w:rPr>
        <w:tab/>
        <w:t>(1)</w:t>
      </w:r>
      <w:r w:rsidRPr="00143624">
        <w:rPr>
          <w:rFonts w:eastAsia="MS Mincho"/>
          <w:color w:val="000000"/>
        </w:rPr>
        <w:tab/>
        <w:t xml:space="preserve">For </w:t>
      </w:r>
      <w:r w:rsidRPr="00143624">
        <w:rPr>
          <w:color w:val="000000"/>
        </w:rPr>
        <w:t xml:space="preserve">the purposes of </w:t>
      </w:r>
      <w:r w:rsidRPr="00143624">
        <w:rPr>
          <w:rFonts w:eastAsia="MS Mincho"/>
          <w:color w:val="000000"/>
        </w:rPr>
        <w:t>paragraph</w:t>
      </w:r>
      <w:r w:rsidR="002B1A95" w:rsidRPr="00143624">
        <w:rPr>
          <w:rFonts w:eastAsia="MS Mincho"/>
          <w:color w:val="000000"/>
        </w:rPr>
        <w:t> </w:t>
      </w:r>
      <w:r w:rsidRPr="00143624">
        <w:rPr>
          <w:rFonts w:eastAsia="MS Mincho"/>
        </w:rPr>
        <w:t>295</w:t>
      </w:r>
      <w:r w:rsidR="00143624">
        <w:rPr>
          <w:rFonts w:eastAsia="MS Mincho"/>
        </w:rPr>
        <w:noBreakHyphen/>
      </w:r>
      <w:r w:rsidRPr="00143624">
        <w:rPr>
          <w:rFonts w:eastAsia="MS Mincho"/>
        </w:rPr>
        <w:t>265</w:t>
      </w:r>
      <w:r w:rsidRPr="00143624">
        <w:rPr>
          <w:rFonts w:eastAsia="MS Mincho"/>
          <w:color w:val="000000"/>
        </w:rPr>
        <w:t xml:space="preserve">(7)(a) of the Act, this section prescribes the manner in which a </w:t>
      </w:r>
      <w:r w:rsidRPr="00143624">
        <w:rPr>
          <w:color w:val="000000"/>
        </w:rPr>
        <w:t>superannuation provider in relation to a superannuation fund</w:t>
      </w:r>
      <w:r w:rsidRPr="00143624">
        <w:rPr>
          <w:rFonts w:eastAsia="MS Mincho"/>
          <w:color w:val="000000"/>
        </w:rPr>
        <w:t xml:space="preserve"> is to work out the amount applicable to the fund, under subsection</w:t>
      </w:r>
      <w:r w:rsidR="002B1A95" w:rsidRPr="00143624">
        <w:rPr>
          <w:rFonts w:eastAsia="MS Mincho"/>
          <w:color w:val="000000"/>
        </w:rPr>
        <w:t> </w:t>
      </w:r>
      <w:r w:rsidRPr="00143624">
        <w:rPr>
          <w:rFonts w:eastAsia="MS Mincho"/>
          <w:color w:val="000000"/>
        </w:rPr>
        <w:t>295</w:t>
      </w:r>
      <w:r w:rsidR="00143624">
        <w:rPr>
          <w:rFonts w:eastAsia="MS Mincho"/>
          <w:color w:val="000000"/>
        </w:rPr>
        <w:noBreakHyphen/>
      </w:r>
      <w:r w:rsidRPr="00143624">
        <w:rPr>
          <w:rFonts w:eastAsia="MS Mincho"/>
          <w:color w:val="000000"/>
        </w:rPr>
        <w:t>265(6) of the Act, for an income year.</w:t>
      </w:r>
    </w:p>
    <w:p w:rsidR="005B63A2" w:rsidRPr="00143624" w:rsidRDefault="005B63A2" w:rsidP="005B63A2">
      <w:pPr>
        <w:pStyle w:val="subsection"/>
        <w:rPr>
          <w:rFonts w:eastAsia="MS Mincho"/>
        </w:rPr>
      </w:pPr>
      <w:r w:rsidRPr="00143624">
        <w:rPr>
          <w:rFonts w:eastAsia="MS Mincho"/>
        </w:rPr>
        <w:tab/>
        <w:t>(2)</w:t>
      </w:r>
      <w:r w:rsidRPr="00143624">
        <w:rPr>
          <w:rFonts w:eastAsia="MS Mincho"/>
        </w:rPr>
        <w:tab/>
        <w:t>The superannuation provider must use an actuary to work out the amount applicable to the fund for an income year.</w:t>
      </w:r>
    </w:p>
    <w:p w:rsidR="005B63A2" w:rsidRPr="00143624" w:rsidRDefault="005B63A2" w:rsidP="005B63A2">
      <w:pPr>
        <w:pStyle w:val="SubsectionHead"/>
        <w:rPr>
          <w:rFonts w:eastAsia="MS Mincho"/>
        </w:rPr>
      </w:pPr>
      <w:r w:rsidRPr="00143624">
        <w:rPr>
          <w:rFonts w:eastAsia="MS Mincho"/>
        </w:rPr>
        <w:t>Method 1—Funding credit valuation process</w:t>
      </w:r>
    </w:p>
    <w:p w:rsidR="005B63A2" w:rsidRPr="00143624" w:rsidRDefault="005B63A2" w:rsidP="005B63A2">
      <w:pPr>
        <w:pStyle w:val="subsection"/>
        <w:rPr>
          <w:rFonts w:eastAsia="MS Mincho"/>
        </w:rPr>
      </w:pPr>
      <w:r w:rsidRPr="00143624">
        <w:rPr>
          <w:rFonts w:eastAsia="MS Mincho"/>
        </w:rPr>
        <w:tab/>
        <w:t>(3)</w:t>
      </w:r>
      <w:r w:rsidRPr="00143624">
        <w:rPr>
          <w:rFonts w:eastAsia="MS Mincho"/>
        </w:rPr>
        <w:tab/>
        <w:t>The method in section 295</w:t>
      </w:r>
      <w:r w:rsidR="00143624">
        <w:rPr>
          <w:rFonts w:eastAsia="MS Mincho"/>
        </w:rPr>
        <w:noBreakHyphen/>
      </w:r>
      <w:r w:rsidRPr="00143624">
        <w:rPr>
          <w:rFonts w:eastAsia="MS Mincho"/>
        </w:rPr>
        <w:t>265.02 (</w:t>
      </w:r>
      <w:r w:rsidRPr="00143624">
        <w:rPr>
          <w:rFonts w:eastAsia="MS Mincho"/>
          <w:b/>
          <w:i/>
        </w:rPr>
        <w:t>method 1</w:t>
      </w:r>
      <w:r w:rsidRPr="00143624">
        <w:rPr>
          <w:rFonts w:eastAsia="MS Mincho"/>
        </w:rPr>
        <w:t>) must be used for an income year, unless:</w:t>
      </w:r>
    </w:p>
    <w:p w:rsidR="005B63A2" w:rsidRPr="00143624" w:rsidRDefault="005B63A2" w:rsidP="005B63A2">
      <w:pPr>
        <w:pStyle w:val="paragraph"/>
        <w:rPr>
          <w:rFonts w:eastAsia="MS Mincho"/>
        </w:rPr>
      </w:pPr>
      <w:r w:rsidRPr="00143624">
        <w:rPr>
          <w:rFonts w:eastAsia="MS Mincho"/>
          <w:color w:val="000000"/>
        </w:rPr>
        <w:tab/>
        <w:t>(a)</w:t>
      </w:r>
      <w:r w:rsidRPr="00143624">
        <w:rPr>
          <w:rFonts w:eastAsia="MS Mincho"/>
          <w:color w:val="000000"/>
        </w:rPr>
        <w:tab/>
        <w:t xml:space="preserve">the conditions mentioned in </w:t>
      </w:r>
      <w:r w:rsidR="002B1A95" w:rsidRPr="00143624">
        <w:rPr>
          <w:rFonts w:eastAsia="MS Mincho"/>
          <w:color w:val="000000"/>
        </w:rPr>
        <w:t>subsection (</w:t>
      </w:r>
      <w:r w:rsidRPr="00143624">
        <w:rPr>
          <w:rFonts w:eastAsia="MS Mincho"/>
          <w:color w:val="000000"/>
        </w:rPr>
        <w:t xml:space="preserve">8) of this section for using </w:t>
      </w:r>
      <w:r w:rsidRPr="00143624">
        <w:rPr>
          <w:rFonts w:eastAsia="MS Mincho"/>
        </w:rPr>
        <w:t>the method in section 295</w:t>
      </w:r>
      <w:r w:rsidR="00143624">
        <w:rPr>
          <w:rFonts w:eastAsia="MS Mincho"/>
        </w:rPr>
        <w:noBreakHyphen/>
      </w:r>
      <w:r w:rsidRPr="00143624">
        <w:rPr>
          <w:rFonts w:eastAsia="MS Mincho"/>
        </w:rPr>
        <w:t>265.05 (</w:t>
      </w:r>
      <w:r w:rsidRPr="00143624">
        <w:rPr>
          <w:rFonts w:eastAsia="MS Mincho"/>
          <w:b/>
          <w:i/>
          <w:color w:val="000000"/>
        </w:rPr>
        <w:t>method 2</w:t>
      </w:r>
      <w:r w:rsidRPr="00143624">
        <w:rPr>
          <w:rFonts w:eastAsia="MS Mincho"/>
          <w:color w:val="000000"/>
        </w:rPr>
        <w:t>) are met; and</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 xml:space="preserve">the </w:t>
      </w:r>
      <w:r w:rsidRPr="00143624">
        <w:rPr>
          <w:color w:val="000000"/>
        </w:rPr>
        <w:t xml:space="preserve">superannuation provider’s </w:t>
      </w:r>
      <w:r w:rsidRPr="00143624">
        <w:rPr>
          <w:rFonts w:eastAsia="MS Mincho"/>
        </w:rPr>
        <w:t>actuary decides that using method 2 is appropriate.</w:t>
      </w:r>
    </w:p>
    <w:p w:rsidR="005B63A2" w:rsidRPr="00143624" w:rsidRDefault="005B63A2" w:rsidP="005B63A2">
      <w:pPr>
        <w:pStyle w:val="SubsectionHead"/>
        <w:rPr>
          <w:rFonts w:eastAsia="MS Mincho"/>
        </w:rPr>
      </w:pPr>
      <w:r w:rsidRPr="00143624">
        <w:rPr>
          <w:rFonts w:eastAsia="MS Mincho"/>
        </w:rPr>
        <w:t>Amount applicable to the fund</w:t>
      </w:r>
    </w:p>
    <w:p w:rsidR="005B63A2" w:rsidRPr="00143624" w:rsidRDefault="005B63A2" w:rsidP="005B63A2">
      <w:pPr>
        <w:pStyle w:val="subsection"/>
        <w:rPr>
          <w:rFonts w:eastAsia="MS Mincho"/>
        </w:rPr>
      </w:pPr>
      <w:r w:rsidRPr="00143624">
        <w:rPr>
          <w:rFonts w:eastAsia="MS Mincho"/>
        </w:rPr>
        <w:tab/>
        <w:t>(4)</w:t>
      </w:r>
      <w:r w:rsidRPr="00143624">
        <w:rPr>
          <w:rFonts w:eastAsia="MS Mincho"/>
        </w:rPr>
        <w:tab/>
        <w:t xml:space="preserve">Subject to </w:t>
      </w:r>
      <w:r w:rsidR="002B1A95" w:rsidRPr="00143624">
        <w:rPr>
          <w:rFonts w:eastAsia="MS Mincho"/>
        </w:rPr>
        <w:t>subsection (</w:t>
      </w:r>
      <w:r w:rsidRPr="00143624">
        <w:rPr>
          <w:rFonts w:eastAsia="MS Mincho"/>
        </w:rPr>
        <w:t>5), the amount applicable to the fund for an income year is the least of the following amounts:</w:t>
      </w:r>
    </w:p>
    <w:p w:rsidR="005B63A2" w:rsidRPr="00143624" w:rsidRDefault="005B63A2" w:rsidP="005B63A2">
      <w:pPr>
        <w:pStyle w:val="paragraph"/>
        <w:rPr>
          <w:rFonts w:eastAsia="MS Mincho"/>
        </w:rPr>
      </w:pPr>
      <w:r w:rsidRPr="00143624">
        <w:rPr>
          <w:rFonts w:eastAsia="MS Mincho"/>
          <w:color w:val="000000"/>
        </w:rPr>
        <w:tab/>
        <w:t>(a)</w:t>
      </w:r>
      <w:r w:rsidRPr="00143624">
        <w:rPr>
          <w:rFonts w:eastAsia="MS Mincho"/>
          <w:color w:val="000000"/>
        </w:rPr>
        <w:tab/>
      </w:r>
      <w:r w:rsidRPr="00143624">
        <w:rPr>
          <w:color w:val="000000"/>
        </w:rPr>
        <w:t>the amount of pre</w:t>
      </w:r>
      <w:r w:rsidR="00143624">
        <w:rPr>
          <w:rFonts w:eastAsia="MS Mincho"/>
          <w:color w:val="000000"/>
        </w:rPr>
        <w:noBreakHyphen/>
      </w:r>
      <w:r w:rsidR="00F5399E" w:rsidRPr="00143624">
        <w:rPr>
          <w:color w:val="000000"/>
        </w:rPr>
        <w:t>1 July</w:t>
      </w:r>
      <w:r w:rsidRPr="00143624">
        <w:rPr>
          <w:color w:val="000000"/>
        </w:rPr>
        <w:t xml:space="preserve"> 88 funding credits unused at the end of the previous income year</w:t>
      </w:r>
      <w:r w:rsidRPr="00143624">
        <w:rPr>
          <w:rFonts w:eastAsia="MS Mincho"/>
          <w:color w:val="000000"/>
        </w:rPr>
        <w:t>;</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the value of unfunded pre</w:t>
      </w:r>
      <w:r w:rsidR="00143624">
        <w:rPr>
          <w:rFonts w:eastAsia="MS Mincho"/>
        </w:rPr>
        <w:noBreakHyphen/>
      </w:r>
      <w:r w:rsidR="00F5399E" w:rsidRPr="00143624">
        <w:rPr>
          <w:rFonts w:eastAsia="MS Mincho"/>
        </w:rPr>
        <w:t>1 July</w:t>
      </w:r>
      <w:r w:rsidRPr="00143624">
        <w:rPr>
          <w:rFonts w:eastAsia="MS Mincho"/>
        </w:rPr>
        <w:t xml:space="preserve"> 88 liabilities for the income year, determined by the superannuation provider’s actuary in accordance with step 3 of method 1 or method 2;</w:t>
      </w:r>
    </w:p>
    <w:p w:rsidR="005B63A2" w:rsidRPr="00143624" w:rsidRDefault="005B63A2" w:rsidP="005B63A2">
      <w:pPr>
        <w:pStyle w:val="paragraph"/>
        <w:ind w:right="-150"/>
        <w:rPr>
          <w:rFonts w:eastAsia="MS Mincho"/>
        </w:rPr>
      </w:pPr>
      <w:r w:rsidRPr="00143624">
        <w:rPr>
          <w:rFonts w:eastAsia="MS Mincho"/>
        </w:rPr>
        <w:tab/>
        <w:t>(c)</w:t>
      </w:r>
      <w:r w:rsidRPr="00143624">
        <w:rPr>
          <w:rFonts w:eastAsia="MS Mincho"/>
        </w:rPr>
        <w:tab/>
        <w:t>the pre</w:t>
      </w:r>
      <w:r w:rsidR="00143624">
        <w:rPr>
          <w:rFonts w:eastAsia="MS Mincho"/>
        </w:rPr>
        <w:noBreakHyphen/>
      </w:r>
      <w:r w:rsidR="00F5399E" w:rsidRPr="00143624">
        <w:rPr>
          <w:rFonts w:eastAsia="MS Mincho"/>
        </w:rPr>
        <w:t>1 July</w:t>
      </w:r>
      <w:r w:rsidRPr="00143624">
        <w:rPr>
          <w:rFonts w:eastAsia="MS Mincho"/>
        </w:rPr>
        <w:t xml:space="preserve"> 88 taxable contributions</w:t>
      </w:r>
      <w:r w:rsidRPr="00143624">
        <w:rPr>
          <w:rFonts w:eastAsia="MS Mincho"/>
          <w:b/>
        </w:rPr>
        <w:t xml:space="preserve"> </w:t>
      </w:r>
      <w:r w:rsidRPr="00143624">
        <w:rPr>
          <w:rFonts w:eastAsia="MS Mincho"/>
        </w:rPr>
        <w:t>for the income year, worked out in accordance with step 4 of method 1 or method 2.</w:t>
      </w:r>
    </w:p>
    <w:p w:rsidR="005B63A2" w:rsidRPr="00143624" w:rsidRDefault="005B63A2" w:rsidP="005B63A2">
      <w:pPr>
        <w:pStyle w:val="subsection"/>
        <w:rPr>
          <w:rFonts w:eastAsia="MS Mincho"/>
        </w:rPr>
      </w:pPr>
      <w:r w:rsidRPr="00143624">
        <w:tab/>
        <w:t>(5)</w:t>
      </w:r>
      <w:r w:rsidRPr="00143624">
        <w:tab/>
        <w:t xml:space="preserve">The amount identified in accordance with </w:t>
      </w:r>
      <w:r w:rsidR="002B1A95" w:rsidRPr="00143624">
        <w:t>subsection (</w:t>
      </w:r>
      <w:r w:rsidRPr="00143624">
        <w:t>4) must then be adjusted for all transfers of funding credits and relevant liabilities into or out of the fund.</w:t>
      </w:r>
    </w:p>
    <w:p w:rsidR="005B63A2" w:rsidRPr="00143624" w:rsidRDefault="005B63A2" w:rsidP="005B63A2">
      <w:pPr>
        <w:pStyle w:val="subsection"/>
        <w:rPr>
          <w:rFonts w:eastAsia="MS Mincho"/>
          <w:color w:val="000000"/>
        </w:rPr>
      </w:pPr>
      <w:r w:rsidRPr="00143624">
        <w:rPr>
          <w:rFonts w:eastAsia="MS Mincho"/>
          <w:color w:val="000000"/>
        </w:rPr>
        <w:tab/>
        <w:t>(6)</w:t>
      </w:r>
      <w:r w:rsidRPr="00143624">
        <w:rPr>
          <w:rFonts w:eastAsia="MS Mincho"/>
          <w:color w:val="000000"/>
        </w:rPr>
        <w:tab/>
        <w:t xml:space="preserve">The amounts mentioned in </w:t>
      </w:r>
      <w:r w:rsidR="002B1A95" w:rsidRPr="00143624">
        <w:rPr>
          <w:rFonts w:eastAsia="MS Mincho"/>
          <w:color w:val="000000"/>
        </w:rPr>
        <w:t>paragraphs (</w:t>
      </w:r>
      <w:r w:rsidRPr="00143624">
        <w:rPr>
          <w:rFonts w:eastAsia="MS Mincho"/>
          <w:color w:val="000000"/>
        </w:rPr>
        <w:t xml:space="preserve">4)(a), (b) and (c), and the amount as adjusted under </w:t>
      </w:r>
      <w:r w:rsidR="002B1A95" w:rsidRPr="00143624">
        <w:rPr>
          <w:rFonts w:eastAsia="MS Mincho"/>
          <w:color w:val="000000"/>
        </w:rPr>
        <w:t>subsection (</w:t>
      </w:r>
      <w:r w:rsidRPr="00143624">
        <w:rPr>
          <w:rFonts w:eastAsia="MS Mincho"/>
          <w:color w:val="000000"/>
        </w:rPr>
        <w:t>5), must be certified by the superannuation provider’s actuary.</w:t>
      </w:r>
    </w:p>
    <w:p w:rsidR="005B63A2" w:rsidRPr="00143624" w:rsidRDefault="005B63A2" w:rsidP="005B63A2">
      <w:pPr>
        <w:pStyle w:val="subsection"/>
        <w:rPr>
          <w:rFonts w:eastAsia="MS Mincho"/>
          <w:color w:val="000000"/>
        </w:rPr>
      </w:pPr>
      <w:r w:rsidRPr="00143624">
        <w:rPr>
          <w:rFonts w:eastAsia="MS Mincho"/>
          <w:color w:val="000000"/>
        </w:rPr>
        <w:tab/>
        <w:t>(7)</w:t>
      </w:r>
      <w:r w:rsidRPr="00143624">
        <w:rPr>
          <w:rFonts w:eastAsia="MS Mincho"/>
          <w:color w:val="000000"/>
        </w:rPr>
        <w:tab/>
        <w:t xml:space="preserve">The superannuation provider must ensure that, on request, the actuary that certifies an amount under </w:t>
      </w:r>
      <w:r w:rsidR="002B1A95" w:rsidRPr="00143624">
        <w:rPr>
          <w:rFonts w:eastAsia="MS Mincho"/>
          <w:color w:val="000000"/>
        </w:rPr>
        <w:t>subsection (</w:t>
      </w:r>
      <w:r w:rsidRPr="00143624">
        <w:rPr>
          <w:rFonts w:eastAsia="MS Mincho"/>
          <w:color w:val="000000"/>
        </w:rPr>
        <w:t>6) provides the superannuation provider with sufficient information to enable another actuary to check the certification.</w:t>
      </w:r>
    </w:p>
    <w:p w:rsidR="005B63A2" w:rsidRPr="00143624" w:rsidRDefault="005B63A2" w:rsidP="005B63A2">
      <w:pPr>
        <w:pStyle w:val="SubsectionHead"/>
        <w:keepNext w:val="0"/>
        <w:spacing w:before="180"/>
        <w:rPr>
          <w:rFonts w:eastAsia="MS Mincho"/>
        </w:rPr>
      </w:pPr>
      <w:r w:rsidRPr="00143624">
        <w:rPr>
          <w:rFonts w:eastAsia="MS Mincho"/>
        </w:rPr>
        <w:t>Method 2—Notionally updated funding credit valuation process</w:t>
      </w:r>
    </w:p>
    <w:p w:rsidR="005B63A2" w:rsidRPr="00143624" w:rsidRDefault="005B63A2" w:rsidP="005B63A2">
      <w:pPr>
        <w:pStyle w:val="subsection"/>
        <w:rPr>
          <w:rFonts w:eastAsia="MS Mincho"/>
        </w:rPr>
      </w:pPr>
      <w:r w:rsidRPr="00143624">
        <w:rPr>
          <w:rFonts w:eastAsia="MS Mincho"/>
        </w:rPr>
        <w:tab/>
        <w:t>(8)</w:t>
      </w:r>
      <w:r w:rsidRPr="00143624">
        <w:rPr>
          <w:rFonts w:eastAsia="MS Mincho"/>
        </w:rPr>
        <w:tab/>
        <w:t>The superannuation provider may use method 2 for an income year if:</w:t>
      </w:r>
    </w:p>
    <w:p w:rsidR="005B63A2" w:rsidRPr="00143624" w:rsidRDefault="005B63A2" w:rsidP="005B63A2">
      <w:pPr>
        <w:pStyle w:val="paragraph"/>
        <w:rPr>
          <w:rFonts w:eastAsia="MS Mincho"/>
        </w:rPr>
      </w:pPr>
      <w:r w:rsidRPr="00143624">
        <w:rPr>
          <w:rFonts w:eastAsia="MS Mincho"/>
          <w:color w:val="000000"/>
        </w:rPr>
        <w:tab/>
        <w:t>(a)</w:t>
      </w:r>
      <w:r w:rsidRPr="00143624">
        <w:rPr>
          <w:rFonts w:eastAsia="MS Mincho"/>
          <w:color w:val="000000"/>
        </w:rPr>
        <w:tab/>
        <w:t>the superannuation provider’s actuary can identify, at the start of the income year, that the value of unfunded pre</w:t>
      </w:r>
      <w:r w:rsidR="00143624">
        <w:rPr>
          <w:rFonts w:eastAsia="MS Mincho"/>
          <w:color w:val="000000"/>
        </w:rPr>
        <w:noBreakHyphen/>
      </w:r>
      <w:r w:rsidR="00F5399E" w:rsidRPr="00143624">
        <w:rPr>
          <w:rFonts w:eastAsia="MS Mincho"/>
          <w:color w:val="000000"/>
        </w:rPr>
        <w:t>1 July</w:t>
      </w:r>
      <w:r w:rsidRPr="00143624">
        <w:rPr>
          <w:rFonts w:eastAsia="MS Mincho"/>
          <w:color w:val="000000"/>
        </w:rPr>
        <w:t xml:space="preserve"> 88 liabilities for the </w:t>
      </w:r>
      <w:r w:rsidRPr="00143624">
        <w:rPr>
          <w:rFonts w:eastAsia="MS Mincho"/>
          <w:color w:val="000000"/>
        </w:rPr>
        <w:lastRenderedPageBreak/>
        <w:t xml:space="preserve">income year exceeds the amount that the </w:t>
      </w:r>
      <w:r w:rsidRPr="00143624">
        <w:rPr>
          <w:color w:val="000000"/>
        </w:rPr>
        <w:t>superannuation provider</w:t>
      </w:r>
      <w:r w:rsidRPr="00143624">
        <w:rPr>
          <w:rFonts w:eastAsia="MS Mincho"/>
          <w:color w:val="000000"/>
        </w:rPr>
        <w:t xml:space="preserve"> wishes to specify for </w:t>
      </w:r>
      <w:r w:rsidRPr="00143624">
        <w:rPr>
          <w:color w:val="000000"/>
        </w:rPr>
        <w:t xml:space="preserve">the purposes of </w:t>
      </w:r>
      <w:r w:rsidRPr="00143624">
        <w:rPr>
          <w:rFonts w:eastAsia="MS Mincho"/>
          <w:color w:val="000000"/>
        </w:rPr>
        <w:t>subsection</w:t>
      </w:r>
      <w:r w:rsidR="002B1A95" w:rsidRPr="00143624">
        <w:rPr>
          <w:rFonts w:eastAsia="MS Mincho"/>
          <w:color w:val="000000"/>
        </w:rPr>
        <w:t> </w:t>
      </w:r>
      <w:r w:rsidRPr="00143624">
        <w:rPr>
          <w:rFonts w:eastAsia="MS Mincho"/>
          <w:color w:val="000000"/>
        </w:rPr>
        <w:t>295</w:t>
      </w:r>
      <w:r w:rsidR="00143624">
        <w:rPr>
          <w:rFonts w:eastAsia="MS Mincho"/>
          <w:color w:val="000000"/>
        </w:rPr>
        <w:noBreakHyphen/>
      </w:r>
      <w:r w:rsidRPr="00143624">
        <w:rPr>
          <w:rFonts w:eastAsia="MS Mincho"/>
          <w:color w:val="000000"/>
        </w:rPr>
        <w:t>265(1) of the Act; and</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the income year is the first or second year after an income year for which method 1 was used to calculate the amount applicable to the fund.</w:t>
      </w:r>
    </w:p>
    <w:p w:rsidR="005B63A2" w:rsidRPr="00143624" w:rsidRDefault="005B63A2" w:rsidP="005B63A2">
      <w:pPr>
        <w:pStyle w:val="SubsectionHead"/>
        <w:rPr>
          <w:rFonts w:eastAsia="MS Mincho"/>
        </w:rPr>
      </w:pPr>
      <w:r w:rsidRPr="00143624">
        <w:rPr>
          <w:rFonts w:eastAsia="MS Mincho"/>
        </w:rPr>
        <w:t>Professional standards must be followed etc.</w:t>
      </w:r>
    </w:p>
    <w:p w:rsidR="005B63A2" w:rsidRPr="00143624" w:rsidRDefault="005B63A2" w:rsidP="005B63A2">
      <w:pPr>
        <w:pStyle w:val="subsection"/>
        <w:rPr>
          <w:rFonts w:eastAsia="MS Mincho"/>
        </w:rPr>
      </w:pPr>
      <w:r w:rsidRPr="00143624">
        <w:rPr>
          <w:rFonts w:eastAsia="MS Mincho"/>
        </w:rPr>
        <w:tab/>
        <w:t>(9)</w:t>
      </w:r>
      <w:r w:rsidRPr="00143624">
        <w:rPr>
          <w:rFonts w:eastAsia="MS Mincho"/>
        </w:rPr>
        <w:tab/>
        <w:t>The superannuation provider must ensure that, in making a calculation under or applying method 1 or 2, the superannuation provider’s actuary:</w:t>
      </w:r>
    </w:p>
    <w:p w:rsidR="005B63A2" w:rsidRPr="00143624" w:rsidRDefault="005B63A2" w:rsidP="005B63A2">
      <w:pPr>
        <w:pStyle w:val="paragraph"/>
        <w:rPr>
          <w:rFonts w:eastAsia="MS Mincho"/>
        </w:rPr>
      </w:pPr>
      <w:r w:rsidRPr="00143624">
        <w:rPr>
          <w:rFonts w:eastAsia="MS Mincho"/>
          <w:color w:val="000000"/>
        </w:rPr>
        <w:tab/>
        <w:t>(a)</w:t>
      </w:r>
      <w:r w:rsidRPr="00143624">
        <w:rPr>
          <w:rFonts w:eastAsia="MS Mincho"/>
          <w:color w:val="000000"/>
        </w:rPr>
        <w:tab/>
        <w:t>follows any professional standards prepared by the Institute of Actuaries of Australia; and</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has regard to any professional guidance notes prepared by the Institute of Actuaries of Australia;</w:t>
      </w:r>
    </w:p>
    <w:p w:rsidR="005B63A2" w:rsidRPr="00143624" w:rsidRDefault="005B63A2" w:rsidP="005B63A2">
      <w:pPr>
        <w:pStyle w:val="subsection2"/>
        <w:rPr>
          <w:rFonts w:eastAsia="MS Mincho"/>
          <w:color w:val="000000"/>
        </w:rPr>
      </w:pPr>
      <w:r w:rsidRPr="00143624">
        <w:rPr>
          <w:rFonts w:eastAsia="MS Mincho"/>
          <w:color w:val="000000"/>
        </w:rPr>
        <w:t>that relate to the determination of accrued benefits mentioned in method 1 or 2.</w:t>
      </w:r>
    </w:p>
    <w:p w:rsidR="005B63A2" w:rsidRPr="00143624" w:rsidRDefault="005B63A2" w:rsidP="005B63A2">
      <w:pPr>
        <w:pStyle w:val="SubsectionHead"/>
        <w:rPr>
          <w:rFonts w:eastAsia="MS Mincho"/>
        </w:rPr>
      </w:pPr>
      <w:r w:rsidRPr="00143624">
        <w:rPr>
          <w:rFonts w:eastAsia="MS Mincho"/>
        </w:rPr>
        <w:t>Superannuation provider must provide information to support working out, if requested</w:t>
      </w:r>
    </w:p>
    <w:p w:rsidR="005B63A2" w:rsidRPr="00143624" w:rsidRDefault="005B63A2" w:rsidP="005B63A2">
      <w:pPr>
        <w:pStyle w:val="subsection"/>
        <w:rPr>
          <w:rFonts w:eastAsia="MS Mincho"/>
          <w:color w:val="000000"/>
        </w:rPr>
      </w:pPr>
      <w:r w:rsidRPr="00143624">
        <w:rPr>
          <w:rFonts w:eastAsia="MS Mincho"/>
          <w:color w:val="000000"/>
        </w:rPr>
        <w:tab/>
        <w:t>(10)</w:t>
      </w:r>
      <w:r w:rsidRPr="00143624">
        <w:rPr>
          <w:rFonts w:eastAsia="MS Mincho"/>
          <w:color w:val="000000"/>
        </w:rPr>
        <w:tab/>
        <w:t xml:space="preserve">The </w:t>
      </w:r>
      <w:r w:rsidRPr="00143624">
        <w:rPr>
          <w:color w:val="000000"/>
        </w:rPr>
        <w:t>superannuation provider</w:t>
      </w:r>
      <w:r w:rsidRPr="00143624">
        <w:rPr>
          <w:rFonts w:eastAsia="MS Mincho"/>
          <w:color w:val="000000"/>
        </w:rPr>
        <w:t xml:space="preserve"> must, if requested to do so</w:t>
      </w:r>
      <w:r w:rsidR="004D49A9" w:rsidRPr="00143624">
        <w:rPr>
          <w:rFonts w:eastAsia="MS Mincho"/>
          <w:color w:val="000000"/>
        </w:rPr>
        <w:t xml:space="preserve"> by the Commissioner</w:t>
      </w:r>
      <w:r w:rsidRPr="00143624">
        <w:rPr>
          <w:rFonts w:eastAsia="MS Mincho"/>
          <w:color w:val="000000"/>
        </w:rPr>
        <w:t xml:space="preserve">, provide </w:t>
      </w:r>
      <w:r w:rsidR="00345158" w:rsidRPr="00143624">
        <w:rPr>
          <w:rFonts w:eastAsia="MS Mincho"/>
          <w:color w:val="000000"/>
        </w:rPr>
        <w:t xml:space="preserve">the Commissioner with </w:t>
      </w:r>
      <w:r w:rsidRPr="00143624">
        <w:rPr>
          <w:rFonts w:eastAsia="MS Mincho"/>
          <w:color w:val="000000"/>
        </w:rPr>
        <w:t xml:space="preserve">sufficient information to support </w:t>
      </w:r>
      <w:r w:rsidR="00345158" w:rsidRPr="00143624">
        <w:rPr>
          <w:rFonts w:eastAsia="MS Mincho"/>
          <w:color w:val="000000"/>
        </w:rPr>
        <w:t xml:space="preserve">the provider’s </w:t>
      </w:r>
      <w:r w:rsidRPr="00143624">
        <w:rPr>
          <w:rFonts w:eastAsia="MS Mincho"/>
          <w:color w:val="000000"/>
        </w:rPr>
        <w:t>working out of the amount applicable to the fund under subsection</w:t>
      </w:r>
      <w:r w:rsidR="002B1A95" w:rsidRPr="00143624">
        <w:rPr>
          <w:rFonts w:eastAsia="MS Mincho"/>
          <w:color w:val="000000"/>
        </w:rPr>
        <w:t> </w:t>
      </w:r>
      <w:r w:rsidRPr="00143624">
        <w:rPr>
          <w:rFonts w:eastAsia="MS Mincho"/>
          <w:color w:val="000000"/>
        </w:rPr>
        <w:t>295</w:t>
      </w:r>
      <w:r w:rsidR="00143624">
        <w:rPr>
          <w:rFonts w:eastAsia="MS Mincho"/>
          <w:color w:val="000000"/>
        </w:rPr>
        <w:noBreakHyphen/>
      </w:r>
      <w:r w:rsidRPr="00143624">
        <w:rPr>
          <w:rFonts w:eastAsia="MS Mincho"/>
          <w:color w:val="000000"/>
        </w:rPr>
        <w:t>265(6) of the Act for an income year.</w:t>
      </w:r>
    </w:p>
    <w:p w:rsidR="005B63A2" w:rsidRPr="00143624" w:rsidRDefault="005B63A2" w:rsidP="005B63A2">
      <w:pPr>
        <w:pStyle w:val="ActHead5"/>
        <w:rPr>
          <w:rFonts w:eastAsia="MS Mincho"/>
        </w:rPr>
      </w:pPr>
      <w:bookmarkStart w:id="97" w:name="_Toc64030355"/>
      <w:r w:rsidRPr="003F3E0B">
        <w:rPr>
          <w:rStyle w:val="CharSectno"/>
          <w:rFonts w:eastAsia="MS Mincho"/>
        </w:rPr>
        <w:t>295</w:t>
      </w:r>
      <w:r w:rsidR="00143624" w:rsidRPr="003F3E0B">
        <w:rPr>
          <w:rStyle w:val="CharSectno"/>
          <w:rFonts w:eastAsia="MS Mincho"/>
        </w:rPr>
        <w:noBreakHyphen/>
      </w:r>
      <w:r w:rsidRPr="003F3E0B">
        <w:rPr>
          <w:rStyle w:val="CharSectno"/>
          <w:rFonts w:eastAsia="MS Mincho"/>
        </w:rPr>
        <w:t>265.02</w:t>
      </w:r>
      <w:r w:rsidRPr="00143624">
        <w:rPr>
          <w:rFonts w:eastAsia="MS Mincho"/>
        </w:rPr>
        <w:t xml:space="preserve">  Method 1—Funding credit valuation process</w:t>
      </w:r>
      <w:bookmarkEnd w:id="97"/>
    </w:p>
    <w:p w:rsidR="005B63A2" w:rsidRPr="00143624" w:rsidRDefault="005B63A2" w:rsidP="005B63A2">
      <w:pPr>
        <w:pStyle w:val="subsection"/>
        <w:rPr>
          <w:rFonts w:eastAsia="MS Mincho"/>
        </w:rPr>
      </w:pPr>
      <w:r w:rsidRPr="00143624">
        <w:rPr>
          <w:rFonts w:eastAsia="MS Mincho"/>
        </w:rPr>
        <w:tab/>
        <w:t>(1)</w:t>
      </w:r>
      <w:r w:rsidRPr="00143624">
        <w:rPr>
          <w:rFonts w:eastAsia="MS Mincho"/>
        </w:rPr>
        <w:tab/>
        <w:t xml:space="preserve">The following is method 1 for the purposes of </w:t>
      </w:r>
      <w:r w:rsidRPr="00143624">
        <w:rPr>
          <w:rFonts w:eastAsia="MS Mincho"/>
          <w:color w:val="000000"/>
        </w:rPr>
        <w:t xml:space="preserve">section </w:t>
      </w:r>
      <w:r w:rsidRPr="00143624">
        <w:rPr>
          <w:rFonts w:eastAsia="MS Mincho"/>
        </w:rPr>
        <w:t>295</w:t>
      </w:r>
      <w:r w:rsidR="00143624">
        <w:rPr>
          <w:rFonts w:eastAsia="MS Mincho"/>
        </w:rPr>
        <w:noBreakHyphen/>
      </w:r>
      <w:r w:rsidRPr="00143624">
        <w:rPr>
          <w:rFonts w:eastAsia="MS Mincho"/>
        </w:rPr>
        <w:t>265.01.</w:t>
      </w:r>
    </w:p>
    <w:p w:rsidR="005B63A2" w:rsidRPr="00143624" w:rsidRDefault="005B63A2" w:rsidP="005B63A2">
      <w:pPr>
        <w:pStyle w:val="BoxHeadItalic"/>
      </w:pPr>
      <w:r w:rsidRPr="00143624">
        <w:t>Method statement</w:t>
      </w:r>
    </w:p>
    <w:p w:rsidR="005B63A2" w:rsidRPr="00143624" w:rsidRDefault="005B63A2" w:rsidP="005B63A2">
      <w:pPr>
        <w:pStyle w:val="BoxStep"/>
        <w:rPr>
          <w:rFonts w:eastAsia="MS Mincho"/>
        </w:rPr>
      </w:pPr>
      <w:r w:rsidRPr="00143624">
        <w:t>Step 1:</w:t>
      </w:r>
      <w:r w:rsidRPr="00143624">
        <w:tab/>
      </w:r>
      <w:r w:rsidRPr="00143624">
        <w:rPr>
          <w:rFonts w:eastAsia="MS Mincho"/>
        </w:rPr>
        <w:t>For an income year for which a superannuation provider chooses to reduce the amount of contributions that would otherwise be included in a superannuation fund’s assessable income, calculate, in accordance with section 295</w:t>
      </w:r>
      <w:r w:rsidR="00143624">
        <w:rPr>
          <w:rFonts w:eastAsia="MS Mincho"/>
        </w:rPr>
        <w:noBreakHyphen/>
      </w:r>
      <w:r w:rsidRPr="00143624">
        <w:rPr>
          <w:rFonts w:eastAsia="MS Mincho"/>
        </w:rPr>
        <w:t>265.03, the discounted present value of liabilities as at the start of that income year that relates to membership completed.</w:t>
      </w:r>
    </w:p>
    <w:p w:rsidR="005B63A2" w:rsidRPr="00143624" w:rsidRDefault="005B63A2" w:rsidP="005B63A2">
      <w:pPr>
        <w:pStyle w:val="BoxStep"/>
        <w:rPr>
          <w:rFonts w:eastAsia="MS Mincho"/>
        </w:rPr>
      </w:pPr>
      <w:r w:rsidRPr="00143624">
        <w:rPr>
          <w:rFonts w:eastAsia="MS Mincho"/>
        </w:rPr>
        <w:tab/>
        <w:t>The discounted present value of liabilities for all members apportioned to pre</w:t>
      </w:r>
      <w:r w:rsidR="00143624">
        <w:rPr>
          <w:rFonts w:eastAsia="MS Mincho"/>
        </w:rPr>
        <w:noBreakHyphen/>
      </w:r>
      <w:r w:rsidR="00F5399E" w:rsidRPr="00143624">
        <w:rPr>
          <w:rFonts w:eastAsia="MS Mincho"/>
        </w:rPr>
        <w:t>1 July</w:t>
      </w:r>
      <w:r w:rsidRPr="00143624">
        <w:rPr>
          <w:rFonts w:eastAsia="MS Mincho"/>
        </w:rPr>
        <w:t xml:space="preserve"> 88 membership is the </w:t>
      </w:r>
      <w:r w:rsidRPr="00143624">
        <w:rPr>
          <w:rFonts w:eastAsia="MS Mincho"/>
          <w:b/>
          <w:i/>
        </w:rPr>
        <w:t>value of pre</w:t>
      </w:r>
      <w:r w:rsidR="00143624">
        <w:rPr>
          <w:rFonts w:eastAsia="MS Mincho"/>
          <w:b/>
          <w:i/>
        </w:rPr>
        <w:noBreakHyphen/>
      </w:r>
      <w:r w:rsidR="00F5399E" w:rsidRPr="00143624">
        <w:rPr>
          <w:rFonts w:eastAsia="MS Mincho"/>
          <w:b/>
          <w:i/>
        </w:rPr>
        <w:t>1 July</w:t>
      </w:r>
      <w:r w:rsidRPr="00143624">
        <w:rPr>
          <w:rFonts w:eastAsia="MS Mincho"/>
          <w:b/>
          <w:i/>
        </w:rPr>
        <w:t xml:space="preserve"> 88 liabilities</w:t>
      </w:r>
      <w:r w:rsidRPr="00143624">
        <w:rPr>
          <w:rFonts w:eastAsia="MS Mincho"/>
        </w:rPr>
        <w:t xml:space="preserve"> for the income year.</w:t>
      </w:r>
    </w:p>
    <w:p w:rsidR="005B63A2" w:rsidRPr="00143624" w:rsidRDefault="005B63A2" w:rsidP="005B63A2">
      <w:pPr>
        <w:pStyle w:val="BoxStep"/>
        <w:rPr>
          <w:rFonts w:eastAsia="MS Mincho"/>
        </w:rPr>
      </w:pPr>
      <w:r w:rsidRPr="00143624">
        <w:rPr>
          <w:rFonts w:eastAsia="MS Mincho"/>
        </w:rPr>
        <w:t>Step 2:</w:t>
      </w:r>
      <w:r w:rsidRPr="00143624">
        <w:rPr>
          <w:rFonts w:eastAsia="MS Mincho"/>
        </w:rPr>
        <w:tab/>
        <w:t>Calculate, in accordance with section 295</w:t>
      </w:r>
      <w:r w:rsidR="00143624">
        <w:rPr>
          <w:rFonts w:eastAsia="MS Mincho"/>
        </w:rPr>
        <w:noBreakHyphen/>
      </w:r>
      <w:r w:rsidRPr="00143624">
        <w:rPr>
          <w:rFonts w:eastAsia="MS Mincho"/>
        </w:rPr>
        <w:t>265.04, the total amount of superannuation fund assets at their market value at the start of the income year, on the basis on which the superannuation provider’s actuary would consider appropriate for a valuation under Part</w:t>
      </w:r>
      <w:r w:rsidR="002B1A95" w:rsidRPr="00143624">
        <w:rPr>
          <w:rFonts w:eastAsia="MS Mincho"/>
        </w:rPr>
        <w:t> </w:t>
      </w:r>
      <w:r w:rsidRPr="00143624">
        <w:rPr>
          <w:rFonts w:eastAsia="MS Mincho"/>
        </w:rPr>
        <w:t>9 of the SIS Regulations.</w:t>
      </w:r>
    </w:p>
    <w:p w:rsidR="005B63A2" w:rsidRPr="00143624" w:rsidRDefault="005B63A2" w:rsidP="005B63A2">
      <w:pPr>
        <w:pStyle w:val="BoxStep"/>
        <w:rPr>
          <w:rFonts w:eastAsia="MS Mincho"/>
        </w:rPr>
      </w:pPr>
      <w:r w:rsidRPr="00143624">
        <w:rPr>
          <w:rFonts w:eastAsia="MS Mincho"/>
        </w:rPr>
        <w:tab/>
        <w:t xml:space="preserve">The result is the </w:t>
      </w:r>
      <w:r w:rsidRPr="00143624">
        <w:rPr>
          <w:rFonts w:eastAsia="MS Mincho"/>
          <w:b/>
          <w:i/>
        </w:rPr>
        <w:t>assets available to fund pre</w:t>
      </w:r>
      <w:r w:rsidR="00143624">
        <w:rPr>
          <w:rFonts w:eastAsia="MS Mincho"/>
          <w:b/>
          <w:i/>
        </w:rPr>
        <w:noBreakHyphen/>
      </w:r>
      <w:r w:rsidR="00F5399E" w:rsidRPr="00143624">
        <w:rPr>
          <w:rFonts w:eastAsia="MS Mincho"/>
          <w:b/>
          <w:i/>
        </w:rPr>
        <w:t>1 July</w:t>
      </w:r>
      <w:r w:rsidRPr="00143624">
        <w:rPr>
          <w:rFonts w:eastAsia="MS Mincho"/>
          <w:b/>
          <w:i/>
        </w:rPr>
        <w:t xml:space="preserve"> 88 liabilities</w:t>
      </w:r>
      <w:r w:rsidRPr="00143624">
        <w:rPr>
          <w:rFonts w:eastAsia="MS Mincho"/>
        </w:rPr>
        <w:t xml:space="preserve"> for the income year.</w:t>
      </w:r>
    </w:p>
    <w:p w:rsidR="005B63A2" w:rsidRPr="00143624" w:rsidRDefault="005B63A2" w:rsidP="005B63A2">
      <w:pPr>
        <w:pStyle w:val="BoxStep"/>
        <w:rPr>
          <w:rFonts w:eastAsia="MS Mincho"/>
        </w:rPr>
      </w:pPr>
      <w:r w:rsidRPr="00143624">
        <w:rPr>
          <w:rFonts w:eastAsia="MS Mincho"/>
        </w:rPr>
        <w:t>Step 3:</w:t>
      </w:r>
      <w:r w:rsidRPr="00143624">
        <w:rPr>
          <w:rFonts w:eastAsia="MS Mincho"/>
        </w:rPr>
        <w:tab/>
        <w:t>Deduct the assets available to fund pre</w:t>
      </w:r>
      <w:r w:rsidR="00143624">
        <w:rPr>
          <w:rFonts w:eastAsia="MS Mincho"/>
        </w:rPr>
        <w:noBreakHyphen/>
      </w:r>
      <w:r w:rsidR="00F5399E" w:rsidRPr="00143624">
        <w:rPr>
          <w:rFonts w:eastAsia="MS Mincho"/>
        </w:rPr>
        <w:t>1 July</w:t>
      </w:r>
      <w:r w:rsidRPr="00143624">
        <w:rPr>
          <w:rFonts w:eastAsia="MS Mincho"/>
        </w:rPr>
        <w:t xml:space="preserve"> 88 liabilities for the income year from the value of pre</w:t>
      </w:r>
      <w:r w:rsidR="00143624">
        <w:rPr>
          <w:rFonts w:eastAsia="MS Mincho"/>
        </w:rPr>
        <w:noBreakHyphen/>
      </w:r>
      <w:r w:rsidR="00F5399E" w:rsidRPr="00143624">
        <w:rPr>
          <w:rFonts w:eastAsia="MS Mincho"/>
        </w:rPr>
        <w:t>1 July</w:t>
      </w:r>
      <w:r w:rsidRPr="00143624">
        <w:rPr>
          <w:rFonts w:eastAsia="MS Mincho"/>
        </w:rPr>
        <w:t xml:space="preserve"> 88 liabilities for the income year.</w:t>
      </w:r>
    </w:p>
    <w:p w:rsidR="005B63A2" w:rsidRPr="00143624" w:rsidRDefault="005B63A2" w:rsidP="005B63A2">
      <w:pPr>
        <w:pStyle w:val="BoxStep"/>
        <w:rPr>
          <w:rFonts w:eastAsia="MS Mincho"/>
        </w:rPr>
      </w:pPr>
      <w:r w:rsidRPr="00143624">
        <w:rPr>
          <w:rFonts w:eastAsia="MS Mincho"/>
        </w:rPr>
        <w:lastRenderedPageBreak/>
        <w:tab/>
        <w:t xml:space="preserve">The result is the </w:t>
      </w:r>
      <w:r w:rsidRPr="00143624">
        <w:rPr>
          <w:rFonts w:eastAsia="MS Mincho"/>
          <w:b/>
          <w:i/>
        </w:rPr>
        <w:t>value of unfunded pre</w:t>
      </w:r>
      <w:r w:rsidR="00143624">
        <w:rPr>
          <w:rFonts w:eastAsia="MS Mincho"/>
          <w:b/>
          <w:i/>
        </w:rPr>
        <w:noBreakHyphen/>
      </w:r>
      <w:r w:rsidR="00F5399E" w:rsidRPr="00143624">
        <w:rPr>
          <w:rFonts w:eastAsia="MS Mincho"/>
          <w:b/>
          <w:i/>
        </w:rPr>
        <w:t>1 July</w:t>
      </w:r>
      <w:r w:rsidRPr="00143624">
        <w:rPr>
          <w:rFonts w:eastAsia="MS Mincho"/>
          <w:b/>
          <w:i/>
        </w:rPr>
        <w:t xml:space="preserve"> 88 liabilities</w:t>
      </w:r>
      <w:r w:rsidRPr="00143624">
        <w:rPr>
          <w:rFonts w:eastAsia="MS Mincho"/>
        </w:rPr>
        <w:t xml:space="preserve"> for the income year.</w:t>
      </w:r>
    </w:p>
    <w:p w:rsidR="005B63A2" w:rsidRPr="00143624" w:rsidRDefault="005B63A2" w:rsidP="005B63A2">
      <w:pPr>
        <w:pStyle w:val="BoxStep"/>
        <w:rPr>
          <w:rFonts w:eastAsia="MS Mincho"/>
        </w:rPr>
      </w:pPr>
      <w:r w:rsidRPr="00143624">
        <w:rPr>
          <w:rFonts w:eastAsia="MS Mincho"/>
        </w:rPr>
        <w:t>Step 4:</w:t>
      </w:r>
      <w:r w:rsidRPr="00143624">
        <w:rPr>
          <w:rFonts w:eastAsia="MS Mincho"/>
        </w:rPr>
        <w:tab/>
        <w:t>The amount of taxable contributions that are allocated to fund that value of unfunded pre</w:t>
      </w:r>
      <w:r w:rsidR="00143624">
        <w:rPr>
          <w:rFonts w:eastAsia="MS Mincho"/>
        </w:rPr>
        <w:noBreakHyphen/>
      </w:r>
      <w:r w:rsidR="00F5399E" w:rsidRPr="00143624">
        <w:rPr>
          <w:rFonts w:eastAsia="MS Mincho"/>
        </w:rPr>
        <w:t>1 July</w:t>
      </w:r>
      <w:r w:rsidRPr="00143624">
        <w:rPr>
          <w:rFonts w:eastAsia="MS Mincho"/>
        </w:rPr>
        <w:t xml:space="preserve"> 88 liabilities, as notified by the superannuation provider to the actuary, are the </w:t>
      </w:r>
      <w:r w:rsidRPr="00143624">
        <w:rPr>
          <w:rFonts w:eastAsia="MS Mincho"/>
          <w:b/>
          <w:i/>
        </w:rPr>
        <w:t>pre</w:t>
      </w:r>
      <w:r w:rsidR="00143624">
        <w:rPr>
          <w:rFonts w:eastAsia="MS Mincho"/>
          <w:b/>
          <w:i/>
        </w:rPr>
        <w:noBreakHyphen/>
      </w:r>
      <w:r w:rsidR="00F5399E" w:rsidRPr="00143624">
        <w:rPr>
          <w:rFonts w:eastAsia="MS Mincho"/>
          <w:b/>
          <w:i/>
        </w:rPr>
        <w:t>1 July</w:t>
      </w:r>
      <w:r w:rsidRPr="00143624">
        <w:rPr>
          <w:rFonts w:eastAsia="MS Mincho"/>
          <w:b/>
          <w:i/>
        </w:rPr>
        <w:t xml:space="preserve"> 88 taxable contributions</w:t>
      </w:r>
      <w:r w:rsidRPr="00143624">
        <w:rPr>
          <w:rFonts w:eastAsia="MS Mincho"/>
        </w:rPr>
        <w:t xml:space="preserve"> for the income year.</w:t>
      </w:r>
    </w:p>
    <w:p w:rsidR="005B63A2" w:rsidRPr="00143624" w:rsidRDefault="005B63A2" w:rsidP="005B63A2">
      <w:pPr>
        <w:pStyle w:val="subsection"/>
      </w:pPr>
      <w:r w:rsidRPr="00143624">
        <w:rPr>
          <w:rFonts w:eastAsia="MS Mincho"/>
        </w:rPr>
        <w:tab/>
        <w:t>(2)</w:t>
      </w:r>
      <w:r w:rsidRPr="00143624">
        <w:rPr>
          <w:rFonts w:eastAsia="MS Mincho"/>
        </w:rPr>
        <w:tab/>
      </w:r>
      <w:r w:rsidRPr="00143624">
        <w:t xml:space="preserve">The superannuation provider’s actuary must retain the following documentation for the income year for </w:t>
      </w:r>
      <w:r w:rsidRPr="00143624">
        <w:rPr>
          <w:rFonts w:eastAsia="MS Mincho"/>
        </w:rPr>
        <w:t>not less than 5 years</w:t>
      </w:r>
      <w:r w:rsidRPr="00143624">
        <w:t>:</w:t>
      </w:r>
    </w:p>
    <w:p w:rsidR="005B63A2" w:rsidRPr="00143624" w:rsidRDefault="005B63A2" w:rsidP="005B63A2">
      <w:pPr>
        <w:pStyle w:val="paragraph"/>
        <w:rPr>
          <w:rFonts w:eastAsia="MS Mincho"/>
        </w:rPr>
      </w:pPr>
      <w:r w:rsidRPr="00143624">
        <w:rPr>
          <w:rFonts w:eastAsia="MS Mincho"/>
        </w:rPr>
        <w:tab/>
        <w:t>(a)</w:t>
      </w:r>
      <w:r w:rsidRPr="00143624">
        <w:rPr>
          <w:rFonts w:eastAsia="MS Mincho"/>
        </w:rPr>
        <w:tab/>
        <w:t>documentation of the liability and valuation apportionment calculations for step 1 of method 1;</w:t>
      </w:r>
    </w:p>
    <w:p w:rsidR="005B63A2" w:rsidRPr="00143624" w:rsidRDefault="005B63A2" w:rsidP="005B63A2">
      <w:pPr>
        <w:pStyle w:val="paragraph"/>
        <w:rPr>
          <w:rFonts w:eastAsia="MS Mincho"/>
        </w:rPr>
      </w:pPr>
      <w:r w:rsidRPr="00143624">
        <w:tab/>
        <w:t>(b)</w:t>
      </w:r>
      <w:r w:rsidRPr="00143624">
        <w:tab/>
      </w:r>
      <w:r w:rsidRPr="00143624">
        <w:rPr>
          <w:rFonts w:eastAsia="MS Mincho"/>
        </w:rPr>
        <w:t>documentation to support calculations made for the asset apportionment for step 2 of method 1.</w:t>
      </w:r>
    </w:p>
    <w:p w:rsidR="005B63A2" w:rsidRPr="00143624" w:rsidRDefault="005B63A2" w:rsidP="005B63A2">
      <w:pPr>
        <w:pStyle w:val="subsection"/>
        <w:rPr>
          <w:rFonts w:eastAsia="MS Mincho"/>
        </w:rPr>
      </w:pPr>
      <w:r w:rsidRPr="00143624">
        <w:rPr>
          <w:rFonts w:eastAsia="MS Mincho"/>
        </w:rPr>
        <w:tab/>
        <w:t>(3)</w:t>
      </w:r>
      <w:r w:rsidRPr="00143624">
        <w:rPr>
          <w:rFonts w:eastAsia="MS Mincho"/>
        </w:rPr>
        <w:tab/>
        <w:t>The superannuation provider must retain documentation to support calculations of pre</w:t>
      </w:r>
      <w:r w:rsidR="00143624">
        <w:rPr>
          <w:rFonts w:eastAsia="MS Mincho"/>
        </w:rPr>
        <w:noBreakHyphen/>
      </w:r>
      <w:r w:rsidR="00F5399E" w:rsidRPr="00143624">
        <w:rPr>
          <w:rFonts w:eastAsia="MS Mincho"/>
        </w:rPr>
        <w:t>1 July</w:t>
      </w:r>
      <w:r w:rsidRPr="00143624">
        <w:rPr>
          <w:rFonts w:eastAsia="MS Mincho"/>
        </w:rPr>
        <w:t xml:space="preserve"> 88 taxable contributions for the income year for not less than 5 years.</w:t>
      </w:r>
    </w:p>
    <w:p w:rsidR="005B63A2" w:rsidRPr="00143624" w:rsidRDefault="005B63A2" w:rsidP="005B63A2">
      <w:pPr>
        <w:pStyle w:val="ActHead5"/>
        <w:rPr>
          <w:rFonts w:eastAsia="MS Mincho"/>
        </w:rPr>
      </w:pPr>
      <w:bookmarkStart w:id="98" w:name="_Toc64030356"/>
      <w:r w:rsidRPr="003F3E0B">
        <w:rPr>
          <w:rStyle w:val="CharSectno"/>
          <w:rFonts w:eastAsia="MS Mincho"/>
        </w:rPr>
        <w:t>295</w:t>
      </w:r>
      <w:r w:rsidR="00143624" w:rsidRPr="003F3E0B">
        <w:rPr>
          <w:rStyle w:val="CharSectno"/>
          <w:rFonts w:eastAsia="MS Mincho"/>
        </w:rPr>
        <w:noBreakHyphen/>
      </w:r>
      <w:r w:rsidRPr="003F3E0B">
        <w:rPr>
          <w:rStyle w:val="CharSectno"/>
          <w:rFonts w:eastAsia="MS Mincho"/>
        </w:rPr>
        <w:t>265.03</w:t>
      </w:r>
      <w:r w:rsidRPr="00143624">
        <w:rPr>
          <w:rFonts w:eastAsia="MS Mincho"/>
        </w:rPr>
        <w:t xml:space="preserve">  How to calculate the discounted present value of liabilities for step 1 of method 1</w:t>
      </w:r>
      <w:bookmarkEnd w:id="98"/>
    </w:p>
    <w:p w:rsidR="005B63A2" w:rsidRPr="00143624" w:rsidRDefault="005B63A2" w:rsidP="005B63A2">
      <w:pPr>
        <w:pStyle w:val="subsection"/>
        <w:rPr>
          <w:rFonts w:eastAsia="MS Mincho"/>
        </w:rPr>
      </w:pPr>
      <w:r w:rsidRPr="00143624">
        <w:rPr>
          <w:rFonts w:eastAsia="MS Mincho"/>
        </w:rPr>
        <w:tab/>
        <w:t>(1)</w:t>
      </w:r>
      <w:r w:rsidRPr="00143624">
        <w:rPr>
          <w:rFonts w:eastAsia="MS Mincho"/>
        </w:rPr>
        <w:tab/>
      </w:r>
      <w:r w:rsidRPr="00143624">
        <w:t>This section sets out how to calculate</w:t>
      </w:r>
      <w:r w:rsidRPr="00143624">
        <w:rPr>
          <w:rFonts w:eastAsia="MS Mincho"/>
        </w:rPr>
        <w:t xml:space="preserve"> the discounted present value </w:t>
      </w:r>
      <w:r w:rsidRPr="00143624">
        <w:rPr>
          <w:rFonts w:eastAsia="MS Mincho"/>
          <w:lang w:eastAsia="en-US"/>
        </w:rPr>
        <w:t xml:space="preserve">of liabilities for step 1 of method 1 </w:t>
      </w:r>
      <w:r w:rsidRPr="00143624">
        <w:rPr>
          <w:rFonts w:eastAsia="MS Mincho"/>
        </w:rPr>
        <w:t>in section 295</w:t>
      </w:r>
      <w:r w:rsidR="00143624">
        <w:rPr>
          <w:rFonts w:eastAsia="MS Mincho"/>
        </w:rPr>
        <w:noBreakHyphen/>
      </w:r>
      <w:r w:rsidRPr="00143624">
        <w:rPr>
          <w:rFonts w:eastAsia="MS Mincho"/>
        </w:rPr>
        <w:t>265.02.</w:t>
      </w:r>
    </w:p>
    <w:p w:rsidR="005B63A2" w:rsidRPr="00143624" w:rsidRDefault="005B63A2" w:rsidP="005B63A2">
      <w:pPr>
        <w:pStyle w:val="subsection"/>
        <w:rPr>
          <w:rFonts w:eastAsia="MS Mincho"/>
        </w:rPr>
      </w:pPr>
      <w:r w:rsidRPr="00143624">
        <w:rPr>
          <w:rFonts w:eastAsia="MS Mincho"/>
        </w:rPr>
        <w:tab/>
        <w:t>(2)</w:t>
      </w:r>
      <w:r w:rsidRPr="00143624">
        <w:rPr>
          <w:rFonts w:eastAsia="MS Mincho"/>
        </w:rPr>
        <w:tab/>
        <w:t>The basis for the calculation in step 1 of method 1 must be the actuarial valuation basis relevant to the income year in question which the superannuation provider’s actuary would consider appropriate for a valuation under Part</w:t>
      </w:r>
      <w:r w:rsidR="002B1A95" w:rsidRPr="00143624">
        <w:rPr>
          <w:rFonts w:eastAsia="MS Mincho"/>
        </w:rPr>
        <w:t> </w:t>
      </w:r>
      <w:r w:rsidRPr="00143624">
        <w:rPr>
          <w:rFonts w:eastAsia="MS Mincho"/>
        </w:rPr>
        <w:t>9 of the SIS Regulations.</w:t>
      </w:r>
    </w:p>
    <w:p w:rsidR="005B63A2" w:rsidRPr="00143624" w:rsidRDefault="005B63A2" w:rsidP="005B63A2">
      <w:pPr>
        <w:pStyle w:val="subsection"/>
        <w:rPr>
          <w:rFonts w:eastAsia="MS Mincho"/>
        </w:rPr>
      </w:pPr>
      <w:r w:rsidRPr="00143624">
        <w:rPr>
          <w:rFonts w:eastAsia="MS Mincho"/>
        </w:rPr>
        <w:tab/>
        <w:t>(3)</w:t>
      </w:r>
      <w:r w:rsidRPr="00143624">
        <w:rPr>
          <w:rFonts w:eastAsia="MS Mincho"/>
        </w:rPr>
        <w:tab/>
        <w:t>In making the calculation, exclude the following liabilities that are not provided from taxable contributions:</w:t>
      </w:r>
    </w:p>
    <w:p w:rsidR="005B63A2" w:rsidRPr="00143624" w:rsidRDefault="005B63A2" w:rsidP="005B63A2">
      <w:pPr>
        <w:pStyle w:val="paragraph"/>
        <w:rPr>
          <w:rFonts w:eastAsia="MS Mincho"/>
        </w:rPr>
      </w:pPr>
      <w:r w:rsidRPr="00143624">
        <w:rPr>
          <w:rFonts w:eastAsia="MS Mincho"/>
        </w:rPr>
        <w:tab/>
        <w:t>(a)</w:t>
      </w:r>
      <w:r w:rsidRPr="00143624">
        <w:rPr>
          <w:rFonts w:eastAsia="MS Mincho"/>
        </w:rPr>
        <w:tab/>
        <w:t>liabilities representing benefits financed by undeducted contributions (within the meaning of subsection</w:t>
      </w:r>
      <w:r w:rsidR="002B1A95" w:rsidRPr="00143624">
        <w:rPr>
          <w:rFonts w:eastAsia="MS Mincho"/>
        </w:rPr>
        <w:t> </w:t>
      </w:r>
      <w:r w:rsidRPr="00143624">
        <w:rPr>
          <w:rFonts w:eastAsia="MS Mincho"/>
        </w:rPr>
        <w:t xml:space="preserve">27A(1) of the </w:t>
      </w:r>
      <w:r w:rsidRPr="00143624">
        <w:rPr>
          <w:rFonts w:eastAsia="MS Mincho"/>
          <w:i/>
        </w:rPr>
        <w:t>Income Tax Assessment Act 1936</w:t>
      </w:r>
      <w:r w:rsidRPr="00143624">
        <w:rPr>
          <w:rFonts w:eastAsia="MS Mincho"/>
        </w:rPr>
        <w:t xml:space="preserve"> as in force just before 15</w:t>
      </w:r>
      <w:r w:rsidR="002B1A95" w:rsidRPr="00143624">
        <w:rPr>
          <w:rFonts w:eastAsia="MS Mincho"/>
        </w:rPr>
        <w:t> </w:t>
      </w:r>
      <w:r w:rsidRPr="00143624">
        <w:rPr>
          <w:rFonts w:eastAsia="MS Mincho"/>
        </w:rPr>
        <w:t>March 2007);</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liabilities representing benefits or components that are expected to be treated as paid from an untaxed source;</w:t>
      </w:r>
    </w:p>
    <w:p w:rsidR="005B63A2" w:rsidRPr="00143624" w:rsidRDefault="005B63A2" w:rsidP="005B63A2">
      <w:pPr>
        <w:pStyle w:val="noteToPara"/>
        <w:rPr>
          <w:rFonts w:eastAsia="MS Mincho"/>
        </w:rPr>
      </w:pPr>
      <w:r w:rsidRPr="00143624">
        <w:rPr>
          <w:rFonts w:eastAsia="MS Mincho"/>
        </w:rPr>
        <w:t>Example:</w:t>
      </w:r>
      <w:r w:rsidRPr="00143624">
        <w:rPr>
          <w:rFonts w:eastAsia="MS Mincho"/>
        </w:rPr>
        <w:tab/>
        <w:t>Pensions provided on an emerging cost or pay as you go basis, with corresponding elections being made under subsection</w:t>
      </w:r>
      <w:r w:rsidR="002B1A95" w:rsidRPr="00143624">
        <w:rPr>
          <w:rFonts w:eastAsia="MS Mincho"/>
        </w:rPr>
        <w:t> </w:t>
      </w:r>
      <w:r w:rsidRPr="00143624">
        <w:rPr>
          <w:rFonts w:eastAsia="MS Mincho"/>
        </w:rPr>
        <w:t>295</w:t>
      </w:r>
      <w:r w:rsidR="00143624">
        <w:rPr>
          <w:rFonts w:eastAsia="MS Mincho"/>
        </w:rPr>
        <w:noBreakHyphen/>
      </w:r>
      <w:r w:rsidRPr="00143624">
        <w:rPr>
          <w:rFonts w:eastAsia="MS Mincho"/>
        </w:rPr>
        <w:t>180(1) of the Act.</w:t>
      </w:r>
    </w:p>
    <w:p w:rsidR="005B63A2" w:rsidRPr="00143624" w:rsidRDefault="005B63A2" w:rsidP="005B63A2">
      <w:pPr>
        <w:pStyle w:val="paragraph"/>
        <w:rPr>
          <w:rFonts w:eastAsia="MS Mincho"/>
        </w:rPr>
      </w:pPr>
      <w:r w:rsidRPr="00143624">
        <w:rPr>
          <w:rFonts w:eastAsia="MS Mincho"/>
        </w:rPr>
        <w:tab/>
        <w:t>(c)</w:t>
      </w:r>
      <w:r w:rsidRPr="00143624">
        <w:rPr>
          <w:rFonts w:eastAsia="MS Mincho"/>
        </w:rPr>
        <w:tab/>
        <w:t>liabilities for entitlements relating to membership and for which corresponding assets can be identified;</w:t>
      </w:r>
    </w:p>
    <w:p w:rsidR="005B63A2" w:rsidRPr="00143624" w:rsidRDefault="005B63A2" w:rsidP="005B63A2">
      <w:pPr>
        <w:pStyle w:val="noteToPara"/>
        <w:rPr>
          <w:rFonts w:eastAsia="MS Mincho"/>
        </w:rPr>
      </w:pPr>
      <w:r w:rsidRPr="00143624">
        <w:rPr>
          <w:rFonts w:eastAsia="MS Mincho"/>
        </w:rPr>
        <w:t>Example:</w:t>
      </w:r>
      <w:r w:rsidRPr="00143624">
        <w:rPr>
          <w:rFonts w:eastAsia="MS Mincho"/>
        </w:rPr>
        <w:tab/>
      </w:r>
      <w:r w:rsidR="00F52D50" w:rsidRPr="00143624">
        <w:rPr>
          <w:rFonts w:eastAsia="MS Mincho"/>
        </w:rPr>
        <w:t xml:space="preserve"> </w:t>
      </w:r>
      <w:r w:rsidRPr="00143624">
        <w:rPr>
          <w:rFonts w:eastAsia="MS Mincho"/>
        </w:rPr>
        <w:t>Fully funded productivity, superannuation guarantee or salary sacrifice account balances.</w:t>
      </w:r>
    </w:p>
    <w:p w:rsidR="005B63A2" w:rsidRPr="00143624" w:rsidRDefault="005B63A2" w:rsidP="005B63A2">
      <w:pPr>
        <w:pStyle w:val="paragraph"/>
        <w:rPr>
          <w:rFonts w:eastAsia="MS Mincho"/>
        </w:rPr>
      </w:pPr>
      <w:r w:rsidRPr="00143624">
        <w:rPr>
          <w:rFonts w:eastAsia="MS Mincho"/>
        </w:rPr>
        <w:tab/>
        <w:t>(d)</w:t>
      </w:r>
      <w:r w:rsidRPr="00143624">
        <w:rPr>
          <w:rFonts w:eastAsia="MS Mincho"/>
        </w:rPr>
        <w:tab/>
        <w:t>liabilities representing death and disability benefits for which costs are claimed as deductible under section</w:t>
      </w:r>
      <w:r w:rsidR="002B1A95" w:rsidRPr="00143624">
        <w:rPr>
          <w:rFonts w:eastAsia="MS Mincho"/>
        </w:rPr>
        <w:t> </w:t>
      </w:r>
      <w:r w:rsidRPr="00143624">
        <w:rPr>
          <w:rFonts w:eastAsia="MS Mincho"/>
        </w:rPr>
        <w:t>295</w:t>
      </w:r>
      <w:r w:rsidR="00143624">
        <w:rPr>
          <w:rFonts w:eastAsia="MS Mincho"/>
        </w:rPr>
        <w:noBreakHyphen/>
      </w:r>
      <w:r w:rsidRPr="00143624">
        <w:rPr>
          <w:rFonts w:eastAsia="MS Mincho"/>
        </w:rPr>
        <w:t>465 or 295</w:t>
      </w:r>
      <w:r w:rsidR="00143624">
        <w:rPr>
          <w:rFonts w:eastAsia="MS Mincho"/>
        </w:rPr>
        <w:noBreakHyphen/>
      </w:r>
      <w:r w:rsidRPr="00143624">
        <w:rPr>
          <w:rFonts w:eastAsia="MS Mincho"/>
        </w:rPr>
        <w:t>470 of the Act.</w:t>
      </w:r>
    </w:p>
    <w:p w:rsidR="005B63A2" w:rsidRPr="00143624" w:rsidRDefault="005B63A2" w:rsidP="005B63A2">
      <w:pPr>
        <w:pStyle w:val="subsection"/>
        <w:rPr>
          <w:rFonts w:eastAsia="MS Mincho"/>
        </w:rPr>
      </w:pPr>
      <w:r w:rsidRPr="00143624">
        <w:rPr>
          <w:rFonts w:eastAsia="MS Mincho"/>
        </w:rPr>
        <w:tab/>
        <w:t>(4)</w:t>
      </w:r>
      <w:r w:rsidRPr="00143624">
        <w:rPr>
          <w:rFonts w:eastAsia="MS Mincho"/>
        </w:rPr>
        <w:tab/>
        <w:t>Apportion the discounted present value of the liabilities, between:</w:t>
      </w:r>
    </w:p>
    <w:p w:rsidR="005B63A2" w:rsidRPr="00143624" w:rsidRDefault="005B63A2" w:rsidP="005B63A2">
      <w:pPr>
        <w:pStyle w:val="paragraph"/>
        <w:rPr>
          <w:rFonts w:eastAsia="MS Mincho"/>
        </w:rPr>
      </w:pPr>
      <w:r w:rsidRPr="00143624">
        <w:rPr>
          <w:rFonts w:eastAsia="MS Mincho"/>
        </w:rPr>
        <w:tab/>
        <w:t>(a)</w:t>
      </w:r>
      <w:r w:rsidRPr="00143624">
        <w:rPr>
          <w:rFonts w:eastAsia="MS Mincho"/>
        </w:rPr>
        <w:tab/>
        <w:t xml:space="preserve">the period of superannuation fund membership completed before </w:t>
      </w:r>
      <w:r w:rsidR="00F5399E" w:rsidRPr="00143624">
        <w:rPr>
          <w:rFonts w:eastAsia="MS Mincho"/>
        </w:rPr>
        <w:t>1 July</w:t>
      </w:r>
      <w:r w:rsidRPr="00143624">
        <w:rPr>
          <w:rFonts w:eastAsia="MS Mincho"/>
        </w:rPr>
        <w:t xml:space="preserve"> 1988; and</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 xml:space="preserve">the period of superannuation fund membership completed on and after </w:t>
      </w:r>
      <w:r w:rsidR="00F5399E" w:rsidRPr="00143624">
        <w:rPr>
          <w:rFonts w:eastAsia="MS Mincho"/>
        </w:rPr>
        <w:t>1 July</w:t>
      </w:r>
      <w:r w:rsidRPr="00143624">
        <w:rPr>
          <w:rFonts w:eastAsia="MS Mincho"/>
        </w:rPr>
        <w:t xml:space="preserve"> 1988;</w:t>
      </w:r>
    </w:p>
    <w:p w:rsidR="005B63A2" w:rsidRPr="00143624" w:rsidRDefault="005B63A2" w:rsidP="005B63A2">
      <w:pPr>
        <w:pStyle w:val="subsection2"/>
        <w:rPr>
          <w:rFonts w:eastAsia="MS Mincho"/>
          <w:color w:val="000000"/>
        </w:rPr>
      </w:pPr>
      <w:r w:rsidRPr="00143624">
        <w:lastRenderedPageBreak/>
        <w:t xml:space="preserve">for </w:t>
      </w:r>
      <w:r w:rsidRPr="00143624">
        <w:rPr>
          <w:rFonts w:eastAsia="MS Mincho"/>
        </w:rPr>
        <w:t>each</w:t>
      </w:r>
      <w:r w:rsidRPr="00143624">
        <w:t xml:space="preserve"> superannuation fund member or former member for </w:t>
      </w:r>
      <w:r w:rsidRPr="00143624">
        <w:rPr>
          <w:rFonts w:eastAsia="MS Mincho"/>
        </w:rPr>
        <w:t>whom</w:t>
      </w:r>
      <w:r w:rsidRPr="00143624">
        <w:t xml:space="preserve"> a liability is being valued</w:t>
      </w:r>
      <w:r w:rsidRPr="00143624">
        <w:rPr>
          <w:rFonts w:eastAsia="MS Mincho"/>
          <w:color w:val="000000"/>
        </w:rPr>
        <w:t>.</w:t>
      </w:r>
    </w:p>
    <w:p w:rsidR="005B63A2" w:rsidRPr="00143624" w:rsidRDefault="005B63A2" w:rsidP="005B63A2">
      <w:pPr>
        <w:pStyle w:val="subsection"/>
        <w:rPr>
          <w:rFonts w:eastAsia="MS Mincho"/>
        </w:rPr>
      </w:pPr>
      <w:r w:rsidRPr="00143624">
        <w:rPr>
          <w:rFonts w:eastAsia="MS Mincho"/>
        </w:rPr>
        <w:tab/>
        <w:t>(5)</w:t>
      </w:r>
      <w:r w:rsidRPr="00143624">
        <w:rPr>
          <w:rFonts w:eastAsia="MS Mincho"/>
        </w:rPr>
        <w:tab/>
        <w:t>The apportionment must be made having regard to the following requirements and principles:</w:t>
      </w:r>
    </w:p>
    <w:p w:rsidR="005B63A2" w:rsidRPr="00143624" w:rsidRDefault="005B63A2" w:rsidP="005B63A2">
      <w:pPr>
        <w:pStyle w:val="paragraph"/>
        <w:rPr>
          <w:rFonts w:eastAsia="MS Mincho"/>
        </w:rPr>
      </w:pPr>
      <w:r w:rsidRPr="00143624">
        <w:rPr>
          <w:rFonts w:eastAsia="MS Mincho"/>
        </w:rPr>
        <w:tab/>
        <w:t>(a)</w:t>
      </w:r>
      <w:r w:rsidRPr="00143624">
        <w:rPr>
          <w:rFonts w:eastAsia="MS Mincho"/>
        </w:rPr>
        <w:tab/>
        <w:t>superannuation fund membership must be consistent with the definition used by the fund to determine the benefit being valued;</w:t>
      </w:r>
    </w:p>
    <w:p w:rsidR="005B63A2" w:rsidRPr="00143624" w:rsidRDefault="005B63A2" w:rsidP="005B63A2">
      <w:pPr>
        <w:pStyle w:val="paragraph"/>
        <w:rPr>
          <w:rFonts w:eastAsia="MS Mincho"/>
        </w:rPr>
      </w:pPr>
      <w:r w:rsidRPr="00143624">
        <w:rPr>
          <w:rFonts w:eastAsia="MS Mincho"/>
        </w:rPr>
        <w:tab/>
        <w:t>(b)</w:t>
      </w:r>
      <w:r w:rsidRPr="00143624">
        <w:rPr>
          <w:rFonts w:eastAsia="MS Mincho"/>
        </w:rPr>
        <w:tab/>
        <w:t>an alternative method for apportioning the discounted present value of liabilities may be used only if the superannuation provider’s actuary certifies that the method will provide a reasonable approximation of the apportionment;</w:t>
      </w:r>
    </w:p>
    <w:p w:rsidR="005B63A2" w:rsidRPr="00143624" w:rsidRDefault="005B63A2" w:rsidP="005B63A2">
      <w:pPr>
        <w:pStyle w:val="paragraph"/>
        <w:rPr>
          <w:rFonts w:eastAsia="MS Mincho"/>
        </w:rPr>
      </w:pPr>
      <w:r w:rsidRPr="00143624">
        <w:rPr>
          <w:rFonts w:eastAsia="MS Mincho"/>
        </w:rPr>
        <w:tab/>
        <w:t>(c)</w:t>
      </w:r>
      <w:r w:rsidRPr="00143624">
        <w:rPr>
          <w:rFonts w:eastAsia="MS Mincho"/>
        </w:rPr>
        <w:tab/>
        <w:t>a linear apportionment method will generally be used, but an apportionment method that reflects non</w:t>
      </w:r>
      <w:r w:rsidR="00143624">
        <w:rPr>
          <w:rFonts w:eastAsia="MS Mincho"/>
        </w:rPr>
        <w:noBreakHyphen/>
      </w:r>
      <w:r w:rsidRPr="00143624">
        <w:rPr>
          <w:rFonts w:eastAsia="MS Mincho"/>
        </w:rPr>
        <w:t xml:space="preserve">linear accrual of entitlements may be used if the superannuation provider’s actuary considers that such a method achieves an outcome that is consistent with the principle that funding credits can only be used against contributions intended to provide for entitlements relating to membership completed before </w:t>
      </w:r>
      <w:r w:rsidR="00F5399E" w:rsidRPr="00143624">
        <w:rPr>
          <w:rFonts w:eastAsia="MS Mincho"/>
        </w:rPr>
        <w:t>1 July</w:t>
      </w:r>
      <w:r w:rsidRPr="00143624">
        <w:rPr>
          <w:rFonts w:eastAsia="MS Mincho"/>
        </w:rPr>
        <w:t xml:space="preserve"> 1988.</w:t>
      </w:r>
    </w:p>
    <w:p w:rsidR="005B63A2" w:rsidRPr="00143624" w:rsidRDefault="005B63A2" w:rsidP="005B63A2">
      <w:pPr>
        <w:pStyle w:val="ActHead5"/>
        <w:rPr>
          <w:rFonts w:eastAsia="MS Mincho"/>
        </w:rPr>
      </w:pPr>
      <w:bookmarkStart w:id="99" w:name="_Toc64030357"/>
      <w:r w:rsidRPr="003F3E0B">
        <w:rPr>
          <w:rStyle w:val="CharSectno"/>
          <w:rFonts w:eastAsia="MS Mincho"/>
        </w:rPr>
        <w:t>295</w:t>
      </w:r>
      <w:r w:rsidR="00143624" w:rsidRPr="003F3E0B">
        <w:rPr>
          <w:rStyle w:val="CharSectno"/>
          <w:rFonts w:eastAsia="MS Mincho"/>
        </w:rPr>
        <w:noBreakHyphen/>
      </w:r>
      <w:r w:rsidRPr="003F3E0B">
        <w:rPr>
          <w:rStyle w:val="CharSectno"/>
          <w:rFonts w:eastAsia="MS Mincho"/>
        </w:rPr>
        <w:t>265.04</w:t>
      </w:r>
      <w:r w:rsidRPr="00143624">
        <w:rPr>
          <w:rFonts w:eastAsia="MS Mincho"/>
        </w:rPr>
        <w:t xml:space="preserve">  How to calculate the </w:t>
      </w:r>
      <w:r w:rsidRPr="00143624">
        <w:rPr>
          <w:rFonts w:eastAsia="MS Mincho"/>
          <w:lang w:eastAsia="en-US"/>
        </w:rPr>
        <w:t>assets available to fund pre</w:t>
      </w:r>
      <w:r w:rsidR="00143624">
        <w:rPr>
          <w:rFonts w:eastAsia="MS Mincho"/>
          <w:lang w:eastAsia="en-US"/>
        </w:rPr>
        <w:noBreakHyphen/>
      </w:r>
      <w:r w:rsidR="00F5399E" w:rsidRPr="00143624">
        <w:rPr>
          <w:rFonts w:eastAsia="MS Mincho"/>
          <w:lang w:eastAsia="en-US"/>
        </w:rPr>
        <w:t>1 July</w:t>
      </w:r>
      <w:r w:rsidRPr="00143624">
        <w:rPr>
          <w:rFonts w:eastAsia="MS Mincho"/>
          <w:lang w:eastAsia="en-US"/>
        </w:rPr>
        <w:t xml:space="preserve"> 88 liabilities </w:t>
      </w:r>
      <w:r w:rsidRPr="00143624">
        <w:rPr>
          <w:rFonts w:eastAsia="MS Mincho"/>
        </w:rPr>
        <w:t>for step 2 of method 1</w:t>
      </w:r>
      <w:bookmarkEnd w:id="99"/>
    </w:p>
    <w:p w:rsidR="005B63A2" w:rsidRPr="00143624" w:rsidRDefault="005B63A2" w:rsidP="005B63A2">
      <w:pPr>
        <w:pStyle w:val="subsection"/>
        <w:rPr>
          <w:rFonts w:eastAsia="MS Mincho"/>
        </w:rPr>
      </w:pPr>
      <w:r w:rsidRPr="00143624">
        <w:rPr>
          <w:rFonts w:eastAsia="MS Mincho"/>
        </w:rPr>
        <w:tab/>
        <w:t>(1)</w:t>
      </w:r>
      <w:r w:rsidRPr="00143624">
        <w:rPr>
          <w:rFonts w:eastAsia="MS Mincho"/>
        </w:rPr>
        <w:tab/>
      </w:r>
      <w:r w:rsidRPr="00143624">
        <w:t>This section sets out how to c</w:t>
      </w:r>
      <w:r w:rsidRPr="00143624">
        <w:rPr>
          <w:rFonts w:eastAsia="MS Mincho"/>
        </w:rPr>
        <w:t xml:space="preserve">alculate the </w:t>
      </w:r>
      <w:r w:rsidRPr="00143624">
        <w:rPr>
          <w:rFonts w:eastAsia="MS Mincho"/>
          <w:lang w:eastAsia="en-US"/>
        </w:rPr>
        <w:t>assets available to fund pre</w:t>
      </w:r>
      <w:r w:rsidR="00143624">
        <w:rPr>
          <w:rFonts w:eastAsia="MS Mincho"/>
          <w:lang w:eastAsia="en-US"/>
        </w:rPr>
        <w:noBreakHyphen/>
      </w:r>
      <w:r w:rsidR="00F5399E" w:rsidRPr="00143624">
        <w:rPr>
          <w:rFonts w:eastAsia="MS Mincho"/>
          <w:lang w:eastAsia="en-US"/>
        </w:rPr>
        <w:t>1 July</w:t>
      </w:r>
      <w:r w:rsidRPr="00143624">
        <w:rPr>
          <w:rFonts w:eastAsia="MS Mincho"/>
          <w:lang w:eastAsia="en-US"/>
        </w:rPr>
        <w:t xml:space="preserve"> 88 liabilities</w:t>
      </w:r>
      <w:r w:rsidRPr="00143624">
        <w:rPr>
          <w:rFonts w:eastAsia="MS Mincho"/>
        </w:rPr>
        <w:t xml:space="preserve"> for step 2 of method 1</w:t>
      </w:r>
      <w:r w:rsidRPr="00143624">
        <w:rPr>
          <w:rFonts w:eastAsia="MS Mincho"/>
          <w:lang w:eastAsia="en-US"/>
        </w:rPr>
        <w:t xml:space="preserve"> </w:t>
      </w:r>
      <w:r w:rsidRPr="00143624">
        <w:rPr>
          <w:rFonts w:eastAsia="MS Mincho"/>
        </w:rPr>
        <w:t>in section 295</w:t>
      </w:r>
      <w:r w:rsidR="00143624">
        <w:rPr>
          <w:rFonts w:eastAsia="MS Mincho"/>
        </w:rPr>
        <w:noBreakHyphen/>
      </w:r>
      <w:r w:rsidRPr="00143624">
        <w:rPr>
          <w:rFonts w:eastAsia="MS Mincho"/>
        </w:rPr>
        <w:t>265.02.</w:t>
      </w:r>
    </w:p>
    <w:p w:rsidR="005B63A2" w:rsidRPr="00143624" w:rsidRDefault="005B63A2" w:rsidP="005B63A2">
      <w:pPr>
        <w:pStyle w:val="subsection"/>
        <w:rPr>
          <w:rFonts w:eastAsia="MS Mincho"/>
        </w:rPr>
      </w:pPr>
      <w:r w:rsidRPr="00143624">
        <w:tab/>
        <w:t>(2)</w:t>
      </w:r>
      <w:r w:rsidRPr="00143624">
        <w:tab/>
        <w:t>In making the calculation in step 2 of method 1,</w:t>
      </w:r>
      <w:r w:rsidRPr="00143624">
        <w:rPr>
          <w:rFonts w:eastAsia="MS Mincho"/>
        </w:rPr>
        <w:t xml:space="preserve"> allow deductions for realisation costs and charges incurred in the normal course of operation of the superannuation fund.</w:t>
      </w:r>
    </w:p>
    <w:p w:rsidR="005B63A2" w:rsidRPr="00143624" w:rsidRDefault="005B63A2" w:rsidP="005B63A2">
      <w:pPr>
        <w:pStyle w:val="subsection"/>
        <w:rPr>
          <w:rFonts w:eastAsia="MS Mincho"/>
        </w:rPr>
      </w:pPr>
      <w:r w:rsidRPr="00143624">
        <w:tab/>
        <w:t>(3)</w:t>
      </w:r>
      <w:r w:rsidRPr="00143624">
        <w:tab/>
      </w:r>
      <w:r w:rsidRPr="00143624">
        <w:rPr>
          <w:rFonts w:eastAsia="MS Mincho"/>
        </w:rPr>
        <w:t>Deduct the amount of assets that relate to excluded liabilities mentioned in subsection 295</w:t>
      </w:r>
      <w:r w:rsidR="00143624">
        <w:rPr>
          <w:rFonts w:eastAsia="MS Mincho"/>
        </w:rPr>
        <w:noBreakHyphen/>
      </w:r>
      <w:r w:rsidRPr="00143624">
        <w:rPr>
          <w:rFonts w:eastAsia="MS Mincho"/>
        </w:rPr>
        <w:t>265.03(3).</w:t>
      </w:r>
    </w:p>
    <w:p w:rsidR="005B63A2" w:rsidRPr="00143624" w:rsidRDefault="005B63A2" w:rsidP="005B63A2">
      <w:pPr>
        <w:pStyle w:val="subsection"/>
        <w:rPr>
          <w:rFonts w:eastAsia="MS Mincho"/>
        </w:rPr>
      </w:pPr>
      <w:r w:rsidRPr="00143624">
        <w:rPr>
          <w:rFonts w:eastAsia="MS Mincho"/>
        </w:rPr>
        <w:tab/>
        <w:t>(4)</w:t>
      </w:r>
      <w:r w:rsidRPr="00143624">
        <w:rPr>
          <w:rFonts w:eastAsia="MS Mincho"/>
        </w:rPr>
        <w:tab/>
        <w:t>All remaining assets should be treated as available to fund pre</w:t>
      </w:r>
      <w:r w:rsidR="00143624">
        <w:rPr>
          <w:rFonts w:eastAsia="MS Mincho"/>
        </w:rPr>
        <w:noBreakHyphen/>
      </w:r>
      <w:r w:rsidR="00F5399E" w:rsidRPr="00143624">
        <w:rPr>
          <w:rFonts w:eastAsia="MS Mincho"/>
        </w:rPr>
        <w:t>1 July</w:t>
      </w:r>
      <w:r w:rsidRPr="00143624">
        <w:rPr>
          <w:rFonts w:eastAsia="MS Mincho"/>
        </w:rPr>
        <w:t xml:space="preserve"> 88 liabilities unless the superannuation provider can provide the superannuation provider’s actuary with written evidence to support exclusion of both an amount of assets and a corresponding value of liabilities.</w:t>
      </w:r>
    </w:p>
    <w:p w:rsidR="005B63A2" w:rsidRPr="00143624" w:rsidRDefault="005B63A2" w:rsidP="005B63A2">
      <w:pPr>
        <w:pStyle w:val="ActHead5"/>
      </w:pPr>
      <w:bookmarkStart w:id="100" w:name="_Toc64030358"/>
      <w:r w:rsidRPr="003F3E0B">
        <w:rPr>
          <w:rStyle w:val="CharSectno"/>
          <w:rFonts w:eastAsia="MS Mincho"/>
        </w:rPr>
        <w:t>295</w:t>
      </w:r>
      <w:r w:rsidR="00143624" w:rsidRPr="003F3E0B">
        <w:rPr>
          <w:rStyle w:val="CharSectno"/>
          <w:rFonts w:eastAsia="MS Mincho"/>
        </w:rPr>
        <w:noBreakHyphen/>
      </w:r>
      <w:r w:rsidRPr="003F3E0B">
        <w:rPr>
          <w:rStyle w:val="CharSectno"/>
          <w:rFonts w:eastAsia="MS Mincho"/>
        </w:rPr>
        <w:t>265.05</w:t>
      </w:r>
      <w:r w:rsidRPr="00143624">
        <w:rPr>
          <w:rFonts w:eastAsia="MS Mincho"/>
        </w:rPr>
        <w:t xml:space="preserve">  </w:t>
      </w:r>
      <w:r w:rsidRPr="00143624">
        <w:t>Method 2—Notionally updated funding credit valuation process</w:t>
      </w:r>
      <w:bookmarkEnd w:id="100"/>
    </w:p>
    <w:p w:rsidR="005B63A2" w:rsidRPr="00143624" w:rsidRDefault="005B63A2" w:rsidP="005B63A2">
      <w:pPr>
        <w:pStyle w:val="subsection"/>
        <w:rPr>
          <w:rFonts w:eastAsia="MS Mincho"/>
        </w:rPr>
      </w:pPr>
      <w:r w:rsidRPr="00143624">
        <w:rPr>
          <w:rFonts w:eastAsia="MS Mincho"/>
        </w:rPr>
        <w:tab/>
        <w:t>(1)</w:t>
      </w:r>
      <w:r w:rsidRPr="00143624">
        <w:rPr>
          <w:rFonts w:eastAsia="MS Mincho"/>
        </w:rPr>
        <w:tab/>
        <w:t xml:space="preserve">The following is method 2 for the purposes of </w:t>
      </w:r>
      <w:r w:rsidRPr="00143624">
        <w:rPr>
          <w:rFonts w:eastAsia="MS Mincho"/>
          <w:color w:val="000000"/>
        </w:rPr>
        <w:t xml:space="preserve">section </w:t>
      </w:r>
      <w:r w:rsidRPr="00143624">
        <w:rPr>
          <w:rFonts w:eastAsia="MS Mincho"/>
        </w:rPr>
        <w:t>295</w:t>
      </w:r>
      <w:r w:rsidR="00143624">
        <w:rPr>
          <w:rFonts w:eastAsia="MS Mincho"/>
        </w:rPr>
        <w:noBreakHyphen/>
      </w:r>
      <w:r w:rsidRPr="00143624">
        <w:rPr>
          <w:rFonts w:eastAsia="MS Mincho"/>
        </w:rPr>
        <w:t>265.01.</w:t>
      </w:r>
    </w:p>
    <w:p w:rsidR="005B63A2" w:rsidRPr="00143624" w:rsidRDefault="005B63A2" w:rsidP="005B63A2">
      <w:pPr>
        <w:pStyle w:val="BoxHeadItalic"/>
      </w:pPr>
      <w:r w:rsidRPr="00143624">
        <w:t>Method statement</w:t>
      </w:r>
    </w:p>
    <w:p w:rsidR="005B63A2" w:rsidRPr="00143624" w:rsidRDefault="005B63A2" w:rsidP="005B63A2">
      <w:pPr>
        <w:pStyle w:val="BoxStep"/>
        <w:rPr>
          <w:rFonts w:eastAsia="MS Mincho"/>
          <w:color w:val="000000"/>
        </w:rPr>
      </w:pPr>
      <w:r w:rsidRPr="00143624">
        <w:t>Step 1:</w:t>
      </w:r>
      <w:r w:rsidRPr="00143624">
        <w:tab/>
      </w:r>
      <w:r w:rsidRPr="00143624">
        <w:rPr>
          <w:rFonts w:eastAsia="MS Mincho"/>
        </w:rPr>
        <w:t xml:space="preserve">For an income year (the </w:t>
      </w:r>
      <w:r w:rsidRPr="00143624">
        <w:rPr>
          <w:rFonts w:eastAsia="MS Mincho"/>
          <w:b/>
          <w:i/>
        </w:rPr>
        <w:t>current income year</w:t>
      </w:r>
      <w:r w:rsidRPr="00143624">
        <w:rPr>
          <w:rFonts w:eastAsia="MS Mincho"/>
        </w:rPr>
        <w:t xml:space="preserve">), the superannuation provider’s </w:t>
      </w:r>
      <w:r w:rsidRPr="00143624">
        <w:rPr>
          <w:rFonts w:eastAsia="MS Mincho"/>
          <w:color w:val="000000"/>
        </w:rPr>
        <w:t>actuary must notionally adjust the value of pre</w:t>
      </w:r>
      <w:r w:rsidR="00143624">
        <w:rPr>
          <w:rFonts w:eastAsia="MS Mincho"/>
          <w:color w:val="000000"/>
        </w:rPr>
        <w:noBreakHyphen/>
      </w:r>
      <w:r w:rsidR="00F5399E" w:rsidRPr="00143624">
        <w:rPr>
          <w:rFonts w:eastAsia="MS Mincho"/>
          <w:color w:val="000000"/>
        </w:rPr>
        <w:t>1 July</w:t>
      </w:r>
      <w:r w:rsidRPr="00143624">
        <w:rPr>
          <w:rFonts w:eastAsia="MS Mincho"/>
          <w:color w:val="000000"/>
        </w:rPr>
        <w:t xml:space="preserve"> 88 liabilities of the superannuation fund for the previous income year from the start of the previous income year to the start of the current income year, taking into </w:t>
      </w:r>
      <w:r w:rsidRPr="00143624">
        <w:rPr>
          <w:rFonts w:eastAsia="MS Mincho"/>
        </w:rPr>
        <w:t>account</w:t>
      </w:r>
      <w:r w:rsidRPr="00143624">
        <w:rPr>
          <w:rFonts w:eastAsia="MS Mincho"/>
          <w:color w:val="000000"/>
        </w:rPr>
        <w:t xml:space="preserve"> any factors likely to affect that value.</w:t>
      </w:r>
    </w:p>
    <w:p w:rsidR="005B63A2" w:rsidRPr="00143624" w:rsidRDefault="005B63A2" w:rsidP="005B63A2">
      <w:pPr>
        <w:pStyle w:val="BoxStep"/>
      </w:pPr>
      <w:r w:rsidRPr="00143624">
        <w:rPr>
          <w:rFonts w:eastAsia="MS Mincho"/>
        </w:rPr>
        <w:tab/>
        <w:t xml:space="preserve">In making a calculation the actuary must have regard to the </w:t>
      </w:r>
      <w:r w:rsidRPr="00143624">
        <w:t xml:space="preserve">valuation basis that would be used by the </w:t>
      </w:r>
      <w:r w:rsidRPr="00143624">
        <w:rPr>
          <w:rFonts w:eastAsia="MS Mincho"/>
        </w:rPr>
        <w:t>fund</w:t>
      </w:r>
      <w:r w:rsidRPr="00143624">
        <w:t xml:space="preserve"> if method 1 were being used for the current income year.</w:t>
      </w:r>
    </w:p>
    <w:p w:rsidR="005B63A2" w:rsidRPr="00143624" w:rsidRDefault="005B63A2" w:rsidP="005B63A2">
      <w:pPr>
        <w:pStyle w:val="BoxStep"/>
      </w:pPr>
      <w:r w:rsidRPr="00143624">
        <w:lastRenderedPageBreak/>
        <w:tab/>
        <w:t>In making a calculation the actuary must have regard to actual experience gained from the operation of the fund if the experience is materially different from valuation assumptions used in the calculation of the value of pre</w:t>
      </w:r>
      <w:r w:rsidR="00143624">
        <w:noBreakHyphen/>
      </w:r>
      <w:r w:rsidR="00F5399E" w:rsidRPr="00143624">
        <w:t>1 July</w:t>
      </w:r>
      <w:r w:rsidRPr="00143624">
        <w:t xml:space="preserve"> 88 liabilities for </w:t>
      </w:r>
      <w:r w:rsidRPr="00143624">
        <w:rPr>
          <w:rFonts w:eastAsia="MS Mincho"/>
        </w:rPr>
        <w:t>the previous income year</w:t>
      </w:r>
      <w:r w:rsidRPr="00143624">
        <w:t>.</w:t>
      </w:r>
    </w:p>
    <w:p w:rsidR="005B63A2" w:rsidRPr="00143624" w:rsidRDefault="005B63A2" w:rsidP="005B63A2">
      <w:pPr>
        <w:pStyle w:val="BoxStep"/>
      </w:pPr>
      <w:r w:rsidRPr="00143624">
        <w:tab/>
        <w:t>The result is the</w:t>
      </w:r>
      <w:r w:rsidRPr="00143624">
        <w:rPr>
          <w:b/>
          <w:i/>
        </w:rPr>
        <w:t xml:space="preserve"> value</w:t>
      </w:r>
      <w:r w:rsidRPr="00143624">
        <w:rPr>
          <w:i/>
        </w:rPr>
        <w:t xml:space="preserve"> </w:t>
      </w:r>
      <w:r w:rsidRPr="00143624">
        <w:rPr>
          <w:b/>
          <w:i/>
        </w:rPr>
        <w:t>of pre</w:t>
      </w:r>
      <w:r w:rsidR="00143624">
        <w:rPr>
          <w:b/>
          <w:i/>
        </w:rPr>
        <w:noBreakHyphen/>
      </w:r>
      <w:r w:rsidR="00F5399E" w:rsidRPr="00143624">
        <w:rPr>
          <w:b/>
          <w:i/>
        </w:rPr>
        <w:t>1 July</w:t>
      </w:r>
      <w:r w:rsidRPr="00143624">
        <w:rPr>
          <w:b/>
          <w:i/>
        </w:rPr>
        <w:t xml:space="preserve"> 88 liabilities</w:t>
      </w:r>
      <w:r w:rsidRPr="00143624">
        <w:t xml:space="preserve"> for </w:t>
      </w:r>
      <w:r w:rsidRPr="00143624">
        <w:rPr>
          <w:rFonts w:eastAsia="MS Mincho"/>
        </w:rPr>
        <w:t>the current income year</w:t>
      </w:r>
      <w:r w:rsidRPr="00143624">
        <w:t>.</w:t>
      </w:r>
    </w:p>
    <w:p w:rsidR="005B63A2" w:rsidRPr="00143624" w:rsidRDefault="005B63A2" w:rsidP="005B63A2">
      <w:pPr>
        <w:pStyle w:val="BoxStep"/>
      </w:pPr>
      <w:r w:rsidRPr="00143624">
        <w:t>Step 2:</w:t>
      </w:r>
      <w:r w:rsidRPr="00143624">
        <w:tab/>
        <w:t>The actuary must notionally adjust the assets available to fund pre</w:t>
      </w:r>
      <w:r w:rsidR="00143624">
        <w:noBreakHyphen/>
      </w:r>
      <w:r w:rsidR="00F5399E" w:rsidRPr="00143624">
        <w:t>1 July</w:t>
      </w:r>
      <w:r w:rsidRPr="00143624">
        <w:t xml:space="preserve"> 88 liabilities </w:t>
      </w:r>
      <w:r w:rsidRPr="00143624">
        <w:rPr>
          <w:rFonts w:eastAsia="MS Mincho"/>
          <w:color w:val="000000"/>
        </w:rPr>
        <w:t xml:space="preserve">of the superannuation fund for the previous income year </w:t>
      </w:r>
      <w:r w:rsidRPr="00143624">
        <w:t>from the start of the previous income year to the start of the current income year, taking into account any factors likely to affect those assets, including by:</w:t>
      </w:r>
    </w:p>
    <w:p w:rsidR="005B63A2" w:rsidRPr="00143624" w:rsidRDefault="005B63A2" w:rsidP="005B63A2">
      <w:pPr>
        <w:pStyle w:val="BoxPara"/>
      </w:pPr>
      <w:r w:rsidRPr="00143624">
        <w:tab/>
        <w:t>(a)</w:t>
      </w:r>
      <w:r w:rsidRPr="00143624">
        <w:tab/>
        <w:t>adding taxable contributions allocated to fund pre</w:t>
      </w:r>
      <w:r w:rsidR="00143624">
        <w:noBreakHyphen/>
      </w:r>
      <w:r w:rsidR="00F5399E" w:rsidRPr="00143624">
        <w:t>1 July</w:t>
      </w:r>
      <w:r w:rsidRPr="00143624">
        <w:t xml:space="preserve"> 88 taxed liabilities in the previous income year; and</w:t>
      </w:r>
    </w:p>
    <w:p w:rsidR="005B63A2" w:rsidRPr="00143624" w:rsidRDefault="005B63A2" w:rsidP="005B63A2">
      <w:pPr>
        <w:pStyle w:val="BoxPara"/>
      </w:pPr>
      <w:r w:rsidRPr="00143624">
        <w:tab/>
        <w:t>(b)</w:t>
      </w:r>
      <w:r w:rsidRPr="00143624">
        <w:tab/>
        <w:t>deducting the employer</w:t>
      </w:r>
      <w:r w:rsidR="00143624">
        <w:noBreakHyphen/>
      </w:r>
      <w:r w:rsidRPr="00143624">
        <w:t>financed component of pre</w:t>
      </w:r>
      <w:r w:rsidR="00143624">
        <w:noBreakHyphen/>
      </w:r>
      <w:r w:rsidR="00F5399E" w:rsidRPr="00143624">
        <w:t>1 July</w:t>
      </w:r>
      <w:r w:rsidRPr="00143624">
        <w:t xml:space="preserve"> 88 taxed benefits paid out during the previous income year; and</w:t>
      </w:r>
    </w:p>
    <w:p w:rsidR="005B63A2" w:rsidRPr="00143624" w:rsidRDefault="005B63A2" w:rsidP="005B63A2">
      <w:pPr>
        <w:pStyle w:val="BoxPara"/>
      </w:pPr>
      <w:r w:rsidRPr="00143624">
        <w:tab/>
        <w:t>(c)</w:t>
      </w:r>
      <w:r w:rsidRPr="00143624">
        <w:tab/>
        <w:t>adding actual investment earnings net of the tax and expenses relating to investment income for the previous income year using a basis that is consistent with the underlying investment earnings achieved and normal practices of the superannuation fund.</w:t>
      </w:r>
    </w:p>
    <w:p w:rsidR="005B63A2" w:rsidRPr="00143624" w:rsidRDefault="005B63A2" w:rsidP="005B63A2">
      <w:pPr>
        <w:pStyle w:val="BoxStep"/>
      </w:pPr>
      <w:r w:rsidRPr="00143624">
        <w:tab/>
        <w:t xml:space="preserve">The result is the </w:t>
      </w:r>
      <w:r w:rsidRPr="00143624">
        <w:rPr>
          <w:b/>
          <w:i/>
        </w:rPr>
        <w:t>assets available to fund pre</w:t>
      </w:r>
      <w:r w:rsidR="00143624">
        <w:rPr>
          <w:b/>
          <w:i/>
        </w:rPr>
        <w:noBreakHyphen/>
      </w:r>
      <w:r w:rsidR="00F5399E" w:rsidRPr="00143624">
        <w:rPr>
          <w:b/>
          <w:i/>
        </w:rPr>
        <w:t>1 July</w:t>
      </w:r>
      <w:r w:rsidRPr="00143624">
        <w:rPr>
          <w:b/>
          <w:i/>
        </w:rPr>
        <w:t xml:space="preserve"> 88 liabilities </w:t>
      </w:r>
      <w:r w:rsidRPr="00143624">
        <w:rPr>
          <w:rFonts w:eastAsia="MS Mincho"/>
        </w:rPr>
        <w:t>for the current income year</w:t>
      </w:r>
      <w:r w:rsidRPr="00143624">
        <w:t>.</w:t>
      </w:r>
    </w:p>
    <w:p w:rsidR="005B63A2" w:rsidRPr="00143624" w:rsidRDefault="005B63A2" w:rsidP="005B63A2">
      <w:pPr>
        <w:pStyle w:val="BoxStep"/>
      </w:pPr>
      <w:r w:rsidRPr="00143624">
        <w:t>Step 3:</w:t>
      </w:r>
      <w:r w:rsidRPr="00143624">
        <w:tab/>
        <w:t>Deduct the assets available to fund pre</w:t>
      </w:r>
      <w:r w:rsidR="00143624">
        <w:noBreakHyphen/>
      </w:r>
      <w:r w:rsidR="00F5399E" w:rsidRPr="00143624">
        <w:t>1 July</w:t>
      </w:r>
      <w:r w:rsidRPr="00143624">
        <w:t xml:space="preserve"> 88 liabilities for the </w:t>
      </w:r>
      <w:r w:rsidRPr="00143624">
        <w:rPr>
          <w:rFonts w:eastAsia="MS Mincho"/>
        </w:rPr>
        <w:t>current income year</w:t>
      </w:r>
      <w:r w:rsidRPr="00143624">
        <w:t xml:space="preserve"> from the value of pre</w:t>
      </w:r>
      <w:r w:rsidR="00143624">
        <w:noBreakHyphen/>
      </w:r>
      <w:r w:rsidR="00F5399E" w:rsidRPr="00143624">
        <w:t>1 July</w:t>
      </w:r>
      <w:r w:rsidRPr="00143624">
        <w:t xml:space="preserve"> 88 liabilities for </w:t>
      </w:r>
      <w:r w:rsidRPr="00143624">
        <w:rPr>
          <w:rFonts w:eastAsia="MS Mincho"/>
        </w:rPr>
        <w:t>the current income year</w:t>
      </w:r>
      <w:r w:rsidRPr="00143624">
        <w:t>.</w:t>
      </w:r>
    </w:p>
    <w:p w:rsidR="005B63A2" w:rsidRPr="00143624" w:rsidRDefault="005B63A2" w:rsidP="005B63A2">
      <w:pPr>
        <w:pStyle w:val="BoxStep"/>
      </w:pPr>
      <w:r w:rsidRPr="00143624">
        <w:tab/>
        <w:t xml:space="preserve">The result is the </w:t>
      </w:r>
      <w:r w:rsidRPr="00143624">
        <w:rPr>
          <w:b/>
          <w:i/>
        </w:rPr>
        <w:t>value of unfunded pre</w:t>
      </w:r>
      <w:r w:rsidR="00143624">
        <w:rPr>
          <w:b/>
          <w:i/>
        </w:rPr>
        <w:noBreakHyphen/>
      </w:r>
      <w:r w:rsidR="00F5399E" w:rsidRPr="00143624">
        <w:rPr>
          <w:b/>
          <w:i/>
        </w:rPr>
        <w:t>1 July</w:t>
      </w:r>
      <w:r w:rsidRPr="00143624">
        <w:rPr>
          <w:b/>
          <w:i/>
        </w:rPr>
        <w:t xml:space="preserve"> 88 liabilities</w:t>
      </w:r>
      <w:r w:rsidRPr="00143624">
        <w:t xml:space="preserve"> for </w:t>
      </w:r>
      <w:r w:rsidRPr="00143624">
        <w:rPr>
          <w:rFonts w:eastAsia="MS Mincho"/>
        </w:rPr>
        <w:t>the current income year</w:t>
      </w:r>
      <w:r w:rsidRPr="00143624">
        <w:t>.</w:t>
      </w:r>
    </w:p>
    <w:p w:rsidR="005B63A2" w:rsidRPr="00143624" w:rsidRDefault="005B63A2" w:rsidP="005B63A2">
      <w:pPr>
        <w:pStyle w:val="BoxStep"/>
      </w:pPr>
      <w:r w:rsidRPr="00143624">
        <w:t>Step 4:</w:t>
      </w:r>
      <w:r w:rsidRPr="00143624">
        <w:tab/>
        <w:t>The amount of taxable contributions that are allocated to fund that value of unfunded pre</w:t>
      </w:r>
      <w:r w:rsidR="00143624">
        <w:noBreakHyphen/>
      </w:r>
      <w:r w:rsidR="00F5399E" w:rsidRPr="00143624">
        <w:t>1 July</w:t>
      </w:r>
      <w:r w:rsidRPr="00143624">
        <w:t xml:space="preserve"> 88 liabilities, as notified by the superannuation provider to the actuary, are the </w:t>
      </w:r>
      <w:r w:rsidRPr="00143624">
        <w:rPr>
          <w:b/>
          <w:i/>
        </w:rPr>
        <w:t>pre</w:t>
      </w:r>
      <w:r w:rsidR="00143624">
        <w:rPr>
          <w:b/>
          <w:i/>
        </w:rPr>
        <w:noBreakHyphen/>
      </w:r>
      <w:r w:rsidR="00F5399E" w:rsidRPr="00143624">
        <w:rPr>
          <w:b/>
          <w:i/>
        </w:rPr>
        <w:t>1 July</w:t>
      </w:r>
      <w:r w:rsidRPr="00143624">
        <w:rPr>
          <w:b/>
          <w:i/>
        </w:rPr>
        <w:t xml:space="preserve"> 88 taxable contributions</w:t>
      </w:r>
      <w:r w:rsidRPr="00143624">
        <w:rPr>
          <w:b/>
        </w:rPr>
        <w:t xml:space="preserve"> </w:t>
      </w:r>
      <w:r w:rsidRPr="00143624">
        <w:t>for the current income year.</w:t>
      </w:r>
    </w:p>
    <w:p w:rsidR="005B63A2" w:rsidRPr="00143624" w:rsidRDefault="005B63A2" w:rsidP="005B63A2">
      <w:pPr>
        <w:pStyle w:val="subsection"/>
      </w:pPr>
      <w:r w:rsidRPr="00143624">
        <w:rPr>
          <w:rFonts w:eastAsia="MS Mincho"/>
        </w:rPr>
        <w:tab/>
        <w:t>(2)</w:t>
      </w:r>
      <w:r w:rsidRPr="00143624">
        <w:rPr>
          <w:rFonts w:eastAsia="MS Mincho"/>
        </w:rPr>
        <w:tab/>
      </w:r>
      <w:r w:rsidRPr="00143624">
        <w:t xml:space="preserve">The superannuation provider’s actuary must retain the following documentation for the income year for </w:t>
      </w:r>
      <w:r w:rsidRPr="00143624">
        <w:rPr>
          <w:rFonts w:eastAsia="MS Mincho"/>
        </w:rPr>
        <w:t>not less than 5 years</w:t>
      </w:r>
      <w:r w:rsidRPr="00143624">
        <w:t>:</w:t>
      </w:r>
    </w:p>
    <w:p w:rsidR="005B63A2" w:rsidRPr="00143624" w:rsidRDefault="005B63A2" w:rsidP="005B63A2">
      <w:pPr>
        <w:pStyle w:val="paragraph"/>
      </w:pPr>
      <w:r w:rsidRPr="00143624">
        <w:tab/>
        <w:t>(a)</w:t>
      </w:r>
      <w:r w:rsidRPr="00143624">
        <w:tab/>
        <w:t>documentation to support the notional updating of the value of pre</w:t>
      </w:r>
      <w:r w:rsidR="00143624">
        <w:noBreakHyphen/>
      </w:r>
      <w:r w:rsidR="00F5399E" w:rsidRPr="00143624">
        <w:t>1 July</w:t>
      </w:r>
      <w:r w:rsidRPr="00143624">
        <w:t xml:space="preserve"> 88 liabilities for step 1 of method 2;</w:t>
      </w:r>
    </w:p>
    <w:p w:rsidR="005B63A2" w:rsidRPr="00143624" w:rsidRDefault="005B63A2" w:rsidP="005B63A2">
      <w:pPr>
        <w:pStyle w:val="paragraph"/>
      </w:pPr>
      <w:r w:rsidRPr="00143624">
        <w:tab/>
        <w:t>(b)</w:t>
      </w:r>
      <w:r w:rsidRPr="00143624">
        <w:tab/>
        <w:t xml:space="preserve">documentation </w:t>
      </w:r>
      <w:r w:rsidRPr="00143624">
        <w:rPr>
          <w:rFonts w:eastAsia="MS Mincho"/>
        </w:rPr>
        <w:t>to support the notional updating of the assets available to fund pre</w:t>
      </w:r>
      <w:r w:rsidR="00143624">
        <w:rPr>
          <w:rFonts w:eastAsia="MS Mincho"/>
        </w:rPr>
        <w:noBreakHyphen/>
      </w:r>
      <w:r w:rsidR="00F5399E" w:rsidRPr="00143624">
        <w:rPr>
          <w:rFonts w:eastAsia="MS Mincho"/>
        </w:rPr>
        <w:t>1 July</w:t>
      </w:r>
      <w:r w:rsidRPr="00143624">
        <w:rPr>
          <w:rFonts w:eastAsia="MS Mincho"/>
        </w:rPr>
        <w:t xml:space="preserve"> 88 liabilities </w:t>
      </w:r>
      <w:r w:rsidRPr="00143624">
        <w:t>for step 2 of method 2</w:t>
      </w:r>
      <w:r w:rsidRPr="00143624">
        <w:rPr>
          <w:rFonts w:eastAsia="MS Mincho"/>
        </w:rPr>
        <w:t>.</w:t>
      </w:r>
    </w:p>
    <w:p w:rsidR="005B63A2" w:rsidRPr="00143624" w:rsidRDefault="005B63A2" w:rsidP="005B63A2">
      <w:pPr>
        <w:pStyle w:val="subsection"/>
      </w:pPr>
      <w:r w:rsidRPr="00143624">
        <w:tab/>
        <w:t>(3)</w:t>
      </w:r>
      <w:r w:rsidRPr="00143624">
        <w:tab/>
        <w:t>The superannuation provider must retain documentation to support calculations of pre</w:t>
      </w:r>
      <w:r w:rsidR="00143624">
        <w:noBreakHyphen/>
      </w:r>
      <w:r w:rsidR="00F5399E" w:rsidRPr="00143624">
        <w:t>1 July</w:t>
      </w:r>
      <w:r w:rsidRPr="00143624">
        <w:t xml:space="preserve"> 88 taxable contributions for the income year for not less than 5 years.</w:t>
      </w:r>
    </w:p>
    <w:p w:rsidR="005B63A2" w:rsidRPr="00143624" w:rsidRDefault="005B63A2" w:rsidP="005B63A2">
      <w:pPr>
        <w:pStyle w:val="ActHead4"/>
      </w:pPr>
      <w:bookmarkStart w:id="101" w:name="_Toc64030359"/>
      <w:r w:rsidRPr="003F3E0B">
        <w:rPr>
          <w:rStyle w:val="CharSubdNo"/>
          <w:rFonts w:eastAsiaTheme="majorEastAsia"/>
        </w:rPr>
        <w:lastRenderedPageBreak/>
        <w:t>Subdivision</w:t>
      </w:r>
      <w:r w:rsidR="002B1A95" w:rsidRPr="003F3E0B">
        <w:rPr>
          <w:rStyle w:val="CharSubdNo"/>
          <w:rFonts w:eastAsiaTheme="majorEastAsia"/>
        </w:rPr>
        <w:t> </w:t>
      </w:r>
      <w:r w:rsidRPr="003F3E0B">
        <w:rPr>
          <w:rStyle w:val="CharSubdNo"/>
          <w:rFonts w:eastAsiaTheme="majorEastAsia"/>
        </w:rPr>
        <w:t>295</w:t>
      </w:r>
      <w:r w:rsidR="00143624" w:rsidRPr="003F3E0B">
        <w:rPr>
          <w:rStyle w:val="CharSubdNo"/>
          <w:rFonts w:eastAsiaTheme="majorEastAsia"/>
        </w:rPr>
        <w:noBreakHyphen/>
      </w:r>
      <w:r w:rsidRPr="003F3E0B">
        <w:rPr>
          <w:rStyle w:val="CharSubdNo"/>
          <w:rFonts w:eastAsiaTheme="majorEastAsia"/>
        </w:rPr>
        <w:t>F</w:t>
      </w:r>
      <w:r w:rsidRPr="00143624">
        <w:t>—</w:t>
      </w:r>
      <w:r w:rsidRPr="003F3E0B">
        <w:rPr>
          <w:rStyle w:val="CharSubdText"/>
          <w:rFonts w:eastAsiaTheme="majorEastAsia"/>
        </w:rPr>
        <w:t>Exempt income</w:t>
      </w:r>
      <w:bookmarkEnd w:id="101"/>
    </w:p>
    <w:p w:rsidR="005B63A2" w:rsidRPr="00143624" w:rsidRDefault="005B63A2" w:rsidP="005B63A2">
      <w:pPr>
        <w:pStyle w:val="ActHead5"/>
      </w:pPr>
      <w:bookmarkStart w:id="102" w:name="_Toc64030360"/>
      <w:r w:rsidRPr="003F3E0B">
        <w:rPr>
          <w:rStyle w:val="CharSectno"/>
        </w:rPr>
        <w:t>295</w:t>
      </w:r>
      <w:r w:rsidR="00143624" w:rsidRPr="003F3E0B">
        <w:rPr>
          <w:rStyle w:val="CharSectno"/>
        </w:rPr>
        <w:noBreakHyphen/>
      </w:r>
      <w:r w:rsidRPr="003F3E0B">
        <w:rPr>
          <w:rStyle w:val="CharSectno"/>
        </w:rPr>
        <w:t>385.01</w:t>
      </w:r>
      <w:r w:rsidRPr="00143624">
        <w:t xml:space="preserve">  Segregated current pension assets—prescribed superannuation income stream benefits</w:t>
      </w:r>
      <w:bookmarkEnd w:id="102"/>
    </w:p>
    <w:p w:rsidR="005B63A2" w:rsidRPr="00143624" w:rsidRDefault="005B63A2" w:rsidP="005B63A2">
      <w:pPr>
        <w:pStyle w:val="subsection"/>
      </w:pPr>
      <w:r w:rsidRPr="00143624">
        <w:tab/>
      </w:r>
      <w:r w:rsidRPr="00143624">
        <w:tab/>
        <w:t>For the purposes of section</w:t>
      </w:r>
      <w:r w:rsidR="002B1A95" w:rsidRPr="00143624">
        <w:t> </w:t>
      </w:r>
      <w:r w:rsidRPr="00143624">
        <w:t>295</w:t>
      </w:r>
      <w:r w:rsidR="00143624">
        <w:noBreakHyphen/>
      </w:r>
      <w:r w:rsidRPr="00143624">
        <w:t>385 of the Act, the following superannuation income stream benefits are prescribed:</w:t>
      </w:r>
    </w:p>
    <w:p w:rsidR="005B63A2" w:rsidRPr="00143624" w:rsidRDefault="005B63A2" w:rsidP="005B63A2">
      <w:pPr>
        <w:pStyle w:val="paragraph"/>
      </w:pPr>
      <w:r w:rsidRPr="00143624">
        <w:tab/>
        <w:t>(a)</w:t>
      </w:r>
      <w:r w:rsidRPr="00143624">
        <w:tab/>
        <w:t>an RP superannuation income stream benefit of a superannuation fund payable from:</w:t>
      </w:r>
    </w:p>
    <w:p w:rsidR="005B63A2" w:rsidRPr="00143624" w:rsidRDefault="005B63A2" w:rsidP="005B63A2">
      <w:pPr>
        <w:pStyle w:val="paragraphsub"/>
      </w:pPr>
      <w:r w:rsidRPr="00143624">
        <w:tab/>
        <w:t>(i)</w:t>
      </w:r>
      <w:r w:rsidRPr="00143624">
        <w:tab/>
        <w:t>an allocated pension within the meaning of the SIS Regulations; or</w:t>
      </w:r>
    </w:p>
    <w:p w:rsidR="005B63A2" w:rsidRPr="00143624" w:rsidRDefault="005B63A2" w:rsidP="005B63A2">
      <w:pPr>
        <w:pStyle w:val="paragraphsub"/>
      </w:pPr>
      <w:r w:rsidRPr="00143624">
        <w:tab/>
        <w:t>(ii)</w:t>
      </w:r>
      <w:r w:rsidRPr="00143624">
        <w:tab/>
        <w:t>a market linked pension within the meaning of the SIS Regulations; or</w:t>
      </w:r>
    </w:p>
    <w:p w:rsidR="005B63A2" w:rsidRPr="00143624" w:rsidRDefault="005B63A2" w:rsidP="005B63A2">
      <w:pPr>
        <w:pStyle w:val="paragraphsub"/>
      </w:pPr>
      <w:r w:rsidRPr="00143624">
        <w:tab/>
        <w:t>(iii)</w:t>
      </w:r>
      <w:r w:rsidRPr="00143624">
        <w:tab/>
        <w:t>an account</w:t>
      </w:r>
      <w:r w:rsidR="00143624">
        <w:noBreakHyphen/>
      </w:r>
      <w:r w:rsidRPr="00143624">
        <w:t>based pension within the meaning of the SIS Regulations;</w:t>
      </w:r>
    </w:p>
    <w:p w:rsidR="005B63A2" w:rsidRPr="00143624" w:rsidRDefault="005B63A2" w:rsidP="005B63A2">
      <w:pPr>
        <w:pStyle w:val="paragraph"/>
      </w:pPr>
      <w:r w:rsidRPr="00143624">
        <w:tab/>
        <w:t>(b)</w:t>
      </w:r>
      <w:r w:rsidRPr="00143624">
        <w:tab/>
        <w:t>a superannuation benefit payable, from a superannuation interest, in respect of a right mentioned in subsection 307</w:t>
      </w:r>
      <w:r w:rsidR="00143624">
        <w:noBreakHyphen/>
      </w:r>
      <w:r w:rsidRPr="00143624">
        <w:t>70.02(2) that is covered by subsection 307</w:t>
      </w:r>
      <w:r w:rsidR="00143624">
        <w:noBreakHyphen/>
      </w:r>
      <w:r w:rsidRPr="00143624">
        <w:t>70.02(3), if, immediately before the death mentioned in paragraph 307</w:t>
      </w:r>
      <w:r w:rsidR="00143624">
        <w:noBreakHyphen/>
      </w:r>
      <w:r w:rsidRPr="00143624">
        <w:t xml:space="preserve">70.02(2)(a), the superannuation interest supported a pension mentioned in </w:t>
      </w:r>
      <w:r w:rsidR="002B1A95" w:rsidRPr="00143624">
        <w:t>subparagraph (</w:t>
      </w:r>
      <w:r w:rsidRPr="00143624">
        <w:t>a)(i), (ii) or (iii) of this section payable to the deceased mentioned in paragraph 307</w:t>
      </w:r>
      <w:r w:rsidR="00143624">
        <w:noBreakHyphen/>
      </w:r>
      <w:r w:rsidRPr="00143624">
        <w:t>70.02(2)(a);</w:t>
      </w:r>
    </w:p>
    <w:p w:rsidR="005B63A2" w:rsidRPr="00143624" w:rsidRDefault="005B63A2" w:rsidP="005B63A2">
      <w:pPr>
        <w:pStyle w:val="paragraph"/>
      </w:pPr>
      <w:r w:rsidRPr="00143624">
        <w:tab/>
        <w:t>(c)</w:t>
      </w:r>
      <w:r w:rsidRPr="00143624">
        <w:tab/>
        <w:t>a superannuation benefit payable from a superannuation interest that supports a new superannuation income stream in relation to which subsection 307</w:t>
      </w:r>
      <w:r w:rsidR="00143624">
        <w:noBreakHyphen/>
      </w:r>
      <w:r w:rsidRPr="00143624">
        <w:t>70.02(4) applies (as affected by subsection 307</w:t>
      </w:r>
      <w:r w:rsidR="00143624">
        <w:noBreakHyphen/>
      </w:r>
      <w:r w:rsidRPr="00143624">
        <w:t>70.02(5)), if the superannuation income stream payable to the deceased mentioned in paragraph 307</w:t>
      </w:r>
      <w:r w:rsidR="00143624">
        <w:noBreakHyphen/>
      </w:r>
      <w:r w:rsidRPr="00143624">
        <w:t xml:space="preserve">70.02(4)(a) was a pension mentioned in </w:t>
      </w:r>
      <w:r w:rsidR="002B1A95" w:rsidRPr="00143624">
        <w:t>subparagraph (</w:t>
      </w:r>
      <w:r w:rsidRPr="00143624">
        <w:t>a)(i), (ii) or (iii) of this section.</w:t>
      </w:r>
    </w:p>
    <w:p w:rsidR="005B63A2" w:rsidRPr="00143624" w:rsidRDefault="005B63A2" w:rsidP="005B63A2">
      <w:pPr>
        <w:pStyle w:val="notetext"/>
      </w:pPr>
      <w:r w:rsidRPr="00143624">
        <w:t>Note 1:</w:t>
      </w:r>
      <w:r w:rsidRPr="00143624">
        <w:tab/>
        <w:t xml:space="preserve">Certain assets that enable a superannuation fund to discharge liabilities in respect of superannuation income stream benefits that are RP superannuation income stream benefits and are prescribed under this section are </w:t>
      </w:r>
      <w:r w:rsidRPr="00143624">
        <w:rPr>
          <w:b/>
          <w:i/>
        </w:rPr>
        <w:t>segregated current pension assets</w:t>
      </w:r>
      <w:r w:rsidRPr="00143624">
        <w:t xml:space="preserve"> of the fund (see subsection</w:t>
      </w:r>
      <w:r w:rsidR="002B1A95" w:rsidRPr="00143624">
        <w:t> </w:t>
      </w:r>
      <w:r w:rsidRPr="00143624">
        <w:t>295</w:t>
      </w:r>
      <w:r w:rsidR="00143624">
        <w:noBreakHyphen/>
      </w:r>
      <w:r w:rsidRPr="00143624">
        <w:t>385(4) of the Act).</w:t>
      </w:r>
    </w:p>
    <w:p w:rsidR="005B63A2" w:rsidRPr="00143624" w:rsidRDefault="005B63A2" w:rsidP="005B63A2">
      <w:pPr>
        <w:pStyle w:val="notetext"/>
      </w:pPr>
      <w:r w:rsidRPr="00143624">
        <w:t>Note 2:</w:t>
      </w:r>
      <w:r w:rsidRPr="00143624">
        <w:tab/>
        <w:t>Section 307</w:t>
      </w:r>
      <w:r w:rsidR="00143624">
        <w:noBreakHyphen/>
      </w:r>
      <w:r w:rsidRPr="00143624">
        <w:t xml:space="preserve">205.02 does not apply to a superannuation income stream mentioned in </w:t>
      </w:r>
      <w:r w:rsidR="002B1A95" w:rsidRPr="00143624">
        <w:t>paragraph (</w:t>
      </w:r>
      <w:r w:rsidRPr="00143624">
        <w:t>a) of this section (see paragraph 307</w:t>
      </w:r>
      <w:r w:rsidR="00143624">
        <w:noBreakHyphen/>
      </w:r>
      <w:r w:rsidRPr="00143624">
        <w:t>205.02(2)(a)).</w:t>
      </w:r>
    </w:p>
    <w:p w:rsidR="005B63A2" w:rsidRPr="00143624" w:rsidRDefault="005B63A2" w:rsidP="005B63A2">
      <w:pPr>
        <w:pStyle w:val="ActHead4"/>
      </w:pPr>
      <w:bookmarkStart w:id="103" w:name="_Toc64030361"/>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295</w:t>
      </w:r>
      <w:r w:rsidR="00143624" w:rsidRPr="003F3E0B">
        <w:rPr>
          <w:rStyle w:val="CharSubdNo"/>
          <w:rFonts w:eastAsiaTheme="majorEastAsia"/>
        </w:rPr>
        <w:noBreakHyphen/>
      </w:r>
      <w:r w:rsidRPr="003F3E0B">
        <w:rPr>
          <w:rStyle w:val="CharSubdNo"/>
          <w:rFonts w:eastAsiaTheme="majorEastAsia"/>
        </w:rPr>
        <w:t>G</w:t>
      </w:r>
      <w:r w:rsidRPr="00143624">
        <w:t>—</w:t>
      </w:r>
      <w:r w:rsidRPr="003F3E0B">
        <w:rPr>
          <w:rStyle w:val="CharSubdText"/>
          <w:rFonts w:eastAsiaTheme="majorEastAsia"/>
        </w:rPr>
        <w:t>Deductions</w:t>
      </w:r>
      <w:bookmarkEnd w:id="103"/>
    </w:p>
    <w:p w:rsidR="005B63A2" w:rsidRPr="00143624" w:rsidRDefault="005B63A2" w:rsidP="005B63A2">
      <w:pPr>
        <w:pStyle w:val="ActHead5"/>
      </w:pPr>
      <w:bookmarkStart w:id="104" w:name="_Toc64030362"/>
      <w:r w:rsidRPr="003F3E0B">
        <w:rPr>
          <w:rStyle w:val="CharSectno"/>
        </w:rPr>
        <w:t>295</w:t>
      </w:r>
      <w:r w:rsidR="00143624" w:rsidRPr="003F3E0B">
        <w:rPr>
          <w:rStyle w:val="CharSectno"/>
        </w:rPr>
        <w:noBreakHyphen/>
      </w:r>
      <w:r w:rsidRPr="003F3E0B">
        <w:rPr>
          <w:rStyle w:val="CharSectno"/>
        </w:rPr>
        <w:t>465.01</w:t>
      </w:r>
      <w:r w:rsidRPr="00143624">
        <w:t xml:space="preserve">   Complying funds—deductions for insurance premiums</w:t>
      </w:r>
      <w:bookmarkEnd w:id="104"/>
    </w:p>
    <w:p w:rsidR="005B63A2" w:rsidRPr="00143624" w:rsidRDefault="005B63A2" w:rsidP="005B63A2">
      <w:pPr>
        <w:pStyle w:val="subsection"/>
      </w:pPr>
      <w:r w:rsidRPr="00143624">
        <w:tab/>
        <w:t>(1)</w:t>
      </w:r>
      <w:r w:rsidRPr="00143624">
        <w:tab/>
        <w:t>For the purposes of subsections</w:t>
      </w:r>
      <w:r w:rsidR="002B1A95" w:rsidRPr="00143624">
        <w:t> </w:t>
      </w:r>
      <w:r w:rsidRPr="00143624">
        <w:t>295</w:t>
      </w:r>
      <w:r w:rsidR="00143624">
        <w:noBreakHyphen/>
      </w:r>
      <w:r w:rsidRPr="00143624">
        <w:t>465(1B) and (2A) of the Act, the proportion specified in an item in the following table in relation to an insurance policy specified in the item may be treated:</w:t>
      </w:r>
    </w:p>
    <w:p w:rsidR="005B63A2" w:rsidRPr="00143624" w:rsidRDefault="005B63A2" w:rsidP="005B63A2">
      <w:pPr>
        <w:pStyle w:val="paragraph"/>
      </w:pPr>
      <w:r w:rsidRPr="00143624">
        <w:tab/>
        <w:t>(a)</w:t>
      </w:r>
      <w:r w:rsidRPr="00143624">
        <w:tab/>
        <w:t>as being attributable to the liability of the complying superannuation fund which pays for the policy to provide benefits referred to in section</w:t>
      </w:r>
      <w:r w:rsidR="002B1A95" w:rsidRPr="00143624">
        <w:t> </w:t>
      </w:r>
      <w:r w:rsidRPr="00143624">
        <w:t>295</w:t>
      </w:r>
      <w:r w:rsidR="00143624">
        <w:noBreakHyphen/>
      </w:r>
      <w:r w:rsidRPr="00143624">
        <w:t>460 of the Act; and</w:t>
      </w:r>
    </w:p>
    <w:p w:rsidR="005B63A2" w:rsidRPr="00143624" w:rsidRDefault="005B63A2" w:rsidP="005B63A2">
      <w:pPr>
        <w:pStyle w:val="paragraph"/>
      </w:pPr>
      <w:r w:rsidRPr="00143624">
        <w:tab/>
        <w:t>(b)</w:t>
      </w:r>
      <w:r w:rsidRPr="00143624">
        <w:tab/>
        <w:t>as being the amount a complying superannuation fund could reasonably be expected to pay in an arm’s length transaction to obtain an insurance policy to cover it for its current or contingent liabilities to provide benefits referred to in section</w:t>
      </w:r>
      <w:r w:rsidR="002B1A95" w:rsidRPr="00143624">
        <w:t> </w:t>
      </w:r>
      <w:r w:rsidRPr="00143624">
        <w:t>295</w:t>
      </w:r>
      <w:r w:rsidR="00143624">
        <w:noBreakHyphen/>
      </w:r>
      <w:r w:rsidRPr="00143624">
        <w:t>460 of the Act.</w:t>
      </w:r>
    </w:p>
    <w:p w:rsidR="005B63A2" w:rsidRPr="00143624"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5614"/>
        <w:gridCol w:w="2183"/>
      </w:tblGrid>
      <w:tr w:rsidR="005B63A2" w:rsidRPr="00143624" w:rsidTr="005B63A2">
        <w:trPr>
          <w:tblHeader/>
        </w:trPr>
        <w:tc>
          <w:tcPr>
            <w:tcW w:w="5000" w:type="pct"/>
            <w:gridSpan w:val="3"/>
            <w:tcBorders>
              <w:top w:val="single" w:sz="12" w:space="0" w:color="auto"/>
              <w:bottom w:val="single" w:sz="6" w:space="0" w:color="auto"/>
            </w:tcBorders>
            <w:shd w:val="clear" w:color="auto" w:fill="auto"/>
          </w:tcPr>
          <w:p w:rsidR="005B63A2" w:rsidRPr="00143624" w:rsidRDefault="005B63A2" w:rsidP="005B63A2">
            <w:pPr>
              <w:pStyle w:val="TableHeading"/>
            </w:pPr>
            <w:r w:rsidRPr="00143624">
              <w:lastRenderedPageBreak/>
              <w:t>Deductible portion of premiums</w:t>
            </w:r>
          </w:p>
        </w:tc>
      </w:tr>
      <w:tr w:rsidR="005B63A2" w:rsidRPr="00143624" w:rsidTr="005E7429">
        <w:trPr>
          <w:tblHeader/>
        </w:trPr>
        <w:tc>
          <w:tcPr>
            <w:tcW w:w="429"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Item</w:t>
            </w:r>
          </w:p>
        </w:tc>
        <w:tc>
          <w:tcPr>
            <w:tcW w:w="3291"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Insurance policy</w:t>
            </w:r>
          </w:p>
        </w:tc>
        <w:tc>
          <w:tcPr>
            <w:tcW w:w="1280" w:type="pct"/>
            <w:tcBorders>
              <w:top w:val="single" w:sz="6" w:space="0" w:color="auto"/>
              <w:bottom w:val="single" w:sz="12" w:space="0" w:color="auto"/>
            </w:tcBorders>
            <w:shd w:val="clear" w:color="auto" w:fill="auto"/>
          </w:tcPr>
          <w:p w:rsidR="005B63A2" w:rsidRPr="00143624" w:rsidRDefault="005B63A2" w:rsidP="005B63A2">
            <w:pPr>
              <w:pStyle w:val="TableHeading"/>
            </w:pPr>
            <w:r w:rsidRPr="00143624">
              <w:t>Specified proportion %</w:t>
            </w:r>
          </w:p>
        </w:tc>
      </w:tr>
      <w:tr w:rsidR="005B63A2" w:rsidRPr="00143624" w:rsidTr="005E7429">
        <w:tc>
          <w:tcPr>
            <w:tcW w:w="429" w:type="pct"/>
            <w:tcBorders>
              <w:top w:val="single" w:sz="12" w:space="0" w:color="auto"/>
            </w:tcBorders>
            <w:shd w:val="clear" w:color="auto" w:fill="auto"/>
          </w:tcPr>
          <w:p w:rsidR="005B63A2" w:rsidRPr="00143624" w:rsidRDefault="005B63A2" w:rsidP="005B63A2">
            <w:pPr>
              <w:pStyle w:val="Tabletext"/>
            </w:pPr>
            <w:r w:rsidRPr="00143624">
              <w:t>1</w:t>
            </w:r>
          </w:p>
        </w:tc>
        <w:tc>
          <w:tcPr>
            <w:tcW w:w="3291" w:type="pct"/>
            <w:tcBorders>
              <w:top w:val="single" w:sz="12" w:space="0" w:color="auto"/>
            </w:tcBorders>
            <w:shd w:val="clear" w:color="auto" w:fill="auto"/>
          </w:tcPr>
          <w:p w:rsidR="005B63A2" w:rsidRPr="00143624" w:rsidRDefault="005B63A2" w:rsidP="005B63A2">
            <w:pPr>
              <w:pStyle w:val="Tabletext"/>
            </w:pPr>
            <w:r w:rsidRPr="00143624">
              <w:t>TPD any occupation</w:t>
            </w:r>
          </w:p>
        </w:tc>
        <w:tc>
          <w:tcPr>
            <w:tcW w:w="1280" w:type="pct"/>
            <w:tcBorders>
              <w:top w:val="single" w:sz="12" w:space="0" w:color="auto"/>
            </w:tcBorders>
            <w:shd w:val="clear" w:color="auto" w:fill="auto"/>
          </w:tcPr>
          <w:p w:rsidR="005B63A2" w:rsidRPr="00143624" w:rsidRDefault="005B63A2" w:rsidP="005B63A2">
            <w:pPr>
              <w:pStyle w:val="Tabletext"/>
            </w:pPr>
            <w:r w:rsidRPr="00143624">
              <w:t>100</w:t>
            </w:r>
          </w:p>
        </w:tc>
      </w:tr>
      <w:tr w:rsidR="005B63A2" w:rsidRPr="00143624" w:rsidTr="005E7429">
        <w:tc>
          <w:tcPr>
            <w:tcW w:w="429" w:type="pct"/>
            <w:shd w:val="clear" w:color="auto" w:fill="auto"/>
          </w:tcPr>
          <w:p w:rsidR="005B63A2" w:rsidRPr="00143624" w:rsidRDefault="005B63A2" w:rsidP="005B63A2">
            <w:pPr>
              <w:pStyle w:val="Tabletext"/>
            </w:pPr>
            <w:r w:rsidRPr="00143624">
              <w:t>2</w:t>
            </w:r>
          </w:p>
        </w:tc>
        <w:tc>
          <w:tcPr>
            <w:tcW w:w="3291" w:type="pct"/>
            <w:shd w:val="clear" w:color="auto" w:fill="auto"/>
          </w:tcPr>
          <w:p w:rsidR="005B63A2" w:rsidRPr="00143624" w:rsidRDefault="005B63A2" w:rsidP="005B63A2">
            <w:pPr>
              <w:pStyle w:val="Tabletext"/>
            </w:pPr>
            <w:r w:rsidRPr="00143624">
              <w:t>TPD any occupation with one or more of the following inclusions:</w:t>
            </w:r>
          </w:p>
          <w:p w:rsidR="005B63A2" w:rsidRPr="00143624" w:rsidRDefault="005B63A2" w:rsidP="005B63A2">
            <w:pPr>
              <w:pStyle w:val="Tablea"/>
            </w:pPr>
            <w:r w:rsidRPr="00143624">
              <w:t>(a) activities of daily living;</w:t>
            </w:r>
          </w:p>
          <w:p w:rsidR="005B63A2" w:rsidRPr="00143624" w:rsidRDefault="005B63A2" w:rsidP="005B63A2">
            <w:pPr>
              <w:pStyle w:val="Tablea"/>
            </w:pPr>
            <w:r w:rsidRPr="00143624">
              <w:t>(b) cognitive loss;</w:t>
            </w:r>
          </w:p>
          <w:p w:rsidR="005B63A2" w:rsidRPr="00143624" w:rsidRDefault="005B63A2" w:rsidP="005B63A2">
            <w:pPr>
              <w:pStyle w:val="Tablea"/>
            </w:pPr>
            <w:r w:rsidRPr="00143624">
              <w:t>(c) loss of limb;</w:t>
            </w:r>
          </w:p>
          <w:p w:rsidR="005B63A2" w:rsidRPr="00143624" w:rsidRDefault="005B63A2" w:rsidP="005B63A2">
            <w:pPr>
              <w:pStyle w:val="Tablea"/>
            </w:pPr>
            <w:r w:rsidRPr="00143624">
              <w:t>(d) domestic (home) duties</w:t>
            </w:r>
          </w:p>
        </w:tc>
        <w:tc>
          <w:tcPr>
            <w:tcW w:w="1280" w:type="pct"/>
            <w:shd w:val="clear" w:color="auto" w:fill="auto"/>
          </w:tcPr>
          <w:p w:rsidR="005B63A2" w:rsidRPr="00143624" w:rsidRDefault="005B63A2" w:rsidP="005B63A2">
            <w:pPr>
              <w:pStyle w:val="Tabletext"/>
            </w:pPr>
            <w:r w:rsidRPr="00143624">
              <w:t>100</w:t>
            </w:r>
          </w:p>
        </w:tc>
      </w:tr>
      <w:tr w:rsidR="005B63A2" w:rsidRPr="00143624" w:rsidTr="005E7429">
        <w:tc>
          <w:tcPr>
            <w:tcW w:w="429" w:type="pct"/>
            <w:shd w:val="clear" w:color="auto" w:fill="auto"/>
          </w:tcPr>
          <w:p w:rsidR="005B63A2" w:rsidRPr="00143624" w:rsidRDefault="005B63A2" w:rsidP="005B63A2">
            <w:pPr>
              <w:pStyle w:val="Tabletext"/>
            </w:pPr>
            <w:r w:rsidRPr="00143624">
              <w:t>3</w:t>
            </w:r>
          </w:p>
        </w:tc>
        <w:tc>
          <w:tcPr>
            <w:tcW w:w="3291" w:type="pct"/>
            <w:shd w:val="clear" w:color="auto" w:fill="auto"/>
          </w:tcPr>
          <w:p w:rsidR="005B63A2" w:rsidRPr="00143624" w:rsidRDefault="005B63A2" w:rsidP="005B63A2">
            <w:pPr>
              <w:pStyle w:val="Tabletext"/>
            </w:pPr>
            <w:r w:rsidRPr="00143624">
              <w:t>TPD own occupation</w:t>
            </w:r>
          </w:p>
        </w:tc>
        <w:tc>
          <w:tcPr>
            <w:tcW w:w="1280" w:type="pct"/>
            <w:shd w:val="clear" w:color="auto" w:fill="auto"/>
          </w:tcPr>
          <w:p w:rsidR="005B63A2" w:rsidRPr="00143624" w:rsidRDefault="005B63A2" w:rsidP="005B63A2">
            <w:pPr>
              <w:pStyle w:val="Tabletext"/>
            </w:pPr>
            <w:r w:rsidRPr="00143624">
              <w:t>67</w:t>
            </w:r>
          </w:p>
        </w:tc>
      </w:tr>
      <w:tr w:rsidR="005B63A2" w:rsidRPr="00143624" w:rsidTr="005E7429">
        <w:tc>
          <w:tcPr>
            <w:tcW w:w="429" w:type="pct"/>
            <w:shd w:val="clear" w:color="auto" w:fill="auto"/>
          </w:tcPr>
          <w:p w:rsidR="005B63A2" w:rsidRPr="00143624" w:rsidRDefault="005B63A2" w:rsidP="005B63A2">
            <w:pPr>
              <w:pStyle w:val="Tabletext"/>
            </w:pPr>
            <w:r w:rsidRPr="00143624">
              <w:t>4</w:t>
            </w:r>
          </w:p>
        </w:tc>
        <w:tc>
          <w:tcPr>
            <w:tcW w:w="3291" w:type="pct"/>
            <w:shd w:val="clear" w:color="auto" w:fill="auto"/>
          </w:tcPr>
          <w:p w:rsidR="005B63A2" w:rsidRPr="00143624" w:rsidRDefault="005B63A2" w:rsidP="005B63A2">
            <w:pPr>
              <w:pStyle w:val="Tabletext"/>
            </w:pPr>
            <w:r w:rsidRPr="00143624">
              <w:t>TPD own occupation with one or more of the following inclusions:</w:t>
            </w:r>
          </w:p>
          <w:p w:rsidR="005B63A2" w:rsidRPr="00143624" w:rsidRDefault="005B63A2" w:rsidP="005B63A2">
            <w:pPr>
              <w:pStyle w:val="Tablea"/>
            </w:pPr>
            <w:r w:rsidRPr="00143624">
              <w:t>(a) activities of daily living;</w:t>
            </w:r>
          </w:p>
          <w:p w:rsidR="005B63A2" w:rsidRPr="00143624" w:rsidRDefault="005B63A2" w:rsidP="005B63A2">
            <w:pPr>
              <w:pStyle w:val="Tablea"/>
            </w:pPr>
            <w:r w:rsidRPr="00143624">
              <w:t>(b) cognitive loss;</w:t>
            </w:r>
          </w:p>
          <w:p w:rsidR="005B63A2" w:rsidRPr="00143624" w:rsidRDefault="005B63A2" w:rsidP="005B63A2">
            <w:pPr>
              <w:pStyle w:val="Tablea"/>
            </w:pPr>
            <w:r w:rsidRPr="00143624">
              <w:t>(c) loss of limb;</w:t>
            </w:r>
          </w:p>
          <w:p w:rsidR="005B63A2" w:rsidRPr="00143624" w:rsidRDefault="005B63A2" w:rsidP="005B63A2">
            <w:pPr>
              <w:pStyle w:val="Tablea"/>
            </w:pPr>
            <w:r w:rsidRPr="00143624">
              <w:t>(d) domestic (home) duties</w:t>
            </w:r>
          </w:p>
        </w:tc>
        <w:tc>
          <w:tcPr>
            <w:tcW w:w="1280" w:type="pct"/>
            <w:shd w:val="clear" w:color="auto" w:fill="auto"/>
          </w:tcPr>
          <w:p w:rsidR="005B63A2" w:rsidRPr="00143624" w:rsidRDefault="005B63A2" w:rsidP="005B63A2">
            <w:pPr>
              <w:pStyle w:val="Tabletext"/>
            </w:pPr>
            <w:r w:rsidRPr="00143624">
              <w:t>67</w:t>
            </w:r>
          </w:p>
        </w:tc>
      </w:tr>
      <w:tr w:rsidR="005B63A2" w:rsidRPr="00143624" w:rsidTr="005E7429">
        <w:tc>
          <w:tcPr>
            <w:tcW w:w="429" w:type="pct"/>
            <w:tcBorders>
              <w:bottom w:val="single" w:sz="2" w:space="0" w:color="auto"/>
            </w:tcBorders>
            <w:shd w:val="clear" w:color="auto" w:fill="auto"/>
          </w:tcPr>
          <w:p w:rsidR="005B63A2" w:rsidRPr="00143624" w:rsidRDefault="005B63A2" w:rsidP="005B63A2">
            <w:pPr>
              <w:pStyle w:val="Tabletext"/>
            </w:pPr>
            <w:r w:rsidRPr="00143624">
              <w:t>5</w:t>
            </w:r>
          </w:p>
        </w:tc>
        <w:tc>
          <w:tcPr>
            <w:tcW w:w="3291" w:type="pct"/>
            <w:tcBorders>
              <w:bottom w:val="single" w:sz="2" w:space="0" w:color="auto"/>
            </w:tcBorders>
            <w:shd w:val="clear" w:color="auto" w:fill="auto"/>
          </w:tcPr>
          <w:p w:rsidR="005B63A2" w:rsidRPr="00143624" w:rsidRDefault="005B63A2" w:rsidP="005B63A2">
            <w:pPr>
              <w:pStyle w:val="Tabletext"/>
            </w:pPr>
            <w:r w:rsidRPr="00143624">
              <w:t>TPD own occupation bundled with death (life) cover</w:t>
            </w:r>
          </w:p>
        </w:tc>
        <w:tc>
          <w:tcPr>
            <w:tcW w:w="1280" w:type="pct"/>
            <w:tcBorders>
              <w:bottom w:val="single" w:sz="2" w:space="0" w:color="auto"/>
            </w:tcBorders>
            <w:shd w:val="clear" w:color="auto" w:fill="auto"/>
          </w:tcPr>
          <w:p w:rsidR="005B63A2" w:rsidRPr="00143624" w:rsidRDefault="005B63A2" w:rsidP="005B63A2">
            <w:pPr>
              <w:pStyle w:val="Tabletext"/>
            </w:pPr>
            <w:r w:rsidRPr="00143624">
              <w:t>80</w:t>
            </w:r>
          </w:p>
        </w:tc>
      </w:tr>
      <w:tr w:rsidR="005B63A2" w:rsidRPr="00143624" w:rsidTr="005E7429">
        <w:tc>
          <w:tcPr>
            <w:tcW w:w="429"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6</w:t>
            </w:r>
          </w:p>
        </w:tc>
        <w:tc>
          <w:tcPr>
            <w:tcW w:w="3291"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TPD own occupation bundled with death (life) cover with one or more of the following inclusions:</w:t>
            </w:r>
          </w:p>
          <w:p w:rsidR="005B63A2" w:rsidRPr="00143624" w:rsidRDefault="005B63A2" w:rsidP="005B63A2">
            <w:pPr>
              <w:pStyle w:val="Tablea"/>
            </w:pPr>
            <w:r w:rsidRPr="00143624">
              <w:t>(a) activities of daily living;</w:t>
            </w:r>
          </w:p>
          <w:p w:rsidR="005B63A2" w:rsidRPr="00143624" w:rsidRDefault="005B63A2" w:rsidP="005B63A2">
            <w:pPr>
              <w:pStyle w:val="Tablea"/>
            </w:pPr>
            <w:r w:rsidRPr="00143624">
              <w:t>(b) cognitive loss;</w:t>
            </w:r>
          </w:p>
          <w:p w:rsidR="005B63A2" w:rsidRPr="00143624" w:rsidRDefault="005B63A2" w:rsidP="005B63A2">
            <w:pPr>
              <w:pStyle w:val="Tablea"/>
            </w:pPr>
            <w:r w:rsidRPr="00143624">
              <w:t>(c) loss of limb;</w:t>
            </w:r>
          </w:p>
          <w:p w:rsidR="005B63A2" w:rsidRPr="00143624" w:rsidRDefault="005B63A2" w:rsidP="005B63A2">
            <w:pPr>
              <w:pStyle w:val="Tablea"/>
            </w:pPr>
            <w:r w:rsidRPr="00143624">
              <w:t>(d) domestic (home) duties</w:t>
            </w:r>
          </w:p>
        </w:tc>
        <w:tc>
          <w:tcPr>
            <w:tcW w:w="1280" w:type="pct"/>
            <w:tcBorders>
              <w:top w:val="single" w:sz="2" w:space="0" w:color="auto"/>
              <w:bottom w:val="single" w:sz="12" w:space="0" w:color="auto"/>
            </w:tcBorders>
            <w:shd w:val="clear" w:color="auto" w:fill="auto"/>
          </w:tcPr>
          <w:p w:rsidR="005B63A2" w:rsidRPr="00143624" w:rsidRDefault="005B63A2" w:rsidP="005B63A2">
            <w:pPr>
              <w:pStyle w:val="Tabletext"/>
            </w:pPr>
            <w:r w:rsidRPr="00143624">
              <w:t>80</w:t>
            </w:r>
          </w:p>
        </w:tc>
      </w:tr>
    </w:tbl>
    <w:p w:rsidR="005B63A2" w:rsidRPr="00143624" w:rsidRDefault="005B63A2" w:rsidP="005B63A2">
      <w:pPr>
        <w:pStyle w:val="subsection"/>
      </w:pPr>
      <w:r w:rsidRPr="00143624">
        <w:tab/>
        <w:t>(2)</w:t>
      </w:r>
      <w:r w:rsidRPr="00143624">
        <w:tab/>
        <w:t xml:space="preserve">A proportion specified in the table in </w:t>
      </w:r>
      <w:r w:rsidR="002B1A95" w:rsidRPr="00143624">
        <w:t>subsection (</w:t>
      </w:r>
      <w:r w:rsidRPr="00143624">
        <w:t xml:space="preserve">1) may be treated as referred to in </w:t>
      </w:r>
      <w:r w:rsidR="002B1A95" w:rsidRPr="00143624">
        <w:t>subsection (</w:t>
      </w:r>
      <w:r w:rsidRPr="00143624">
        <w:t xml:space="preserve">1) only if the conditions to which the insurance policy that relates to the proportion is subject are either more restrictive than or have substantially the same meaning as the conditions described in the definition of the policy in </w:t>
      </w:r>
      <w:r w:rsidR="002B1A95" w:rsidRPr="00143624">
        <w:t>subsection (</w:t>
      </w:r>
      <w:r w:rsidRPr="00143624">
        <w:t>5).</w:t>
      </w:r>
    </w:p>
    <w:p w:rsidR="005B63A2" w:rsidRPr="00143624" w:rsidRDefault="005B63A2" w:rsidP="005B63A2">
      <w:pPr>
        <w:pStyle w:val="subsection"/>
      </w:pPr>
      <w:r w:rsidRPr="00143624">
        <w:tab/>
        <w:t>(3)</w:t>
      </w:r>
      <w:r w:rsidRPr="00143624">
        <w:tab/>
        <w:t xml:space="preserve">However, if a member is required to meet a criterion to be eligible for a benefit under an insurance policy in addition to the criteria that are essential to the matters identified in the definition of the policy in </w:t>
      </w:r>
      <w:r w:rsidR="002B1A95" w:rsidRPr="00143624">
        <w:t>subsection (</w:t>
      </w:r>
      <w:r w:rsidRPr="00143624">
        <w:t>5), the additional criterion may be disregarded.</w:t>
      </w:r>
    </w:p>
    <w:p w:rsidR="005B63A2" w:rsidRPr="00143624" w:rsidRDefault="005B63A2" w:rsidP="005B63A2">
      <w:pPr>
        <w:pStyle w:val="subsection"/>
      </w:pPr>
      <w:r w:rsidRPr="00143624">
        <w:tab/>
        <w:t>(4)</w:t>
      </w:r>
      <w:r w:rsidRPr="00143624">
        <w:tab/>
        <w:t xml:space="preserve">The use of a specified proportion in the table in </w:t>
      </w:r>
      <w:r w:rsidR="002B1A95" w:rsidRPr="00143624">
        <w:t>subsection (</w:t>
      </w:r>
      <w:r w:rsidRPr="00143624">
        <w:t>1) in respect of a particular insurance policy is not affected by the inclusion in the insurance policy of a benefit payable to a member because a terminal medical condition exists in relation to the member.</w:t>
      </w:r>
    </w:p>
    <w:p w:rsidR="005B63A2" w:rsidRPr="00143624" w:rsidRDefault="005B63A2" w:rsidP="005B63A2">
      <w:pPr>
        <w:pStyle w:val="notetext"/>
      </w:pPr>
      <w:r w:rsidRPr="00143624">
        <w:t>Note:</w:t>
      </w:r>
      <w:r w:rsidRPr="00143624">
        <w:tab/>
        <w:t xml:space="preserve">For </w:t>
      </w:r>
      <w:r w:rsidRPr="00143624">
        <w:rPr>
          <w:b/>
          <w:i/>
        </w:rPr>
        <w:t>terminal medical condition</w:t>
      </w:r>
      <w:r w:rsidRPr="00143624">
        <w:t xml:space="preserve">, see </w:t>
      </w:r>
      <w:r w:rsidR="00F5399E" w:rsidRPr="00143624">
        <w:t>section 9</w:t>
      </w:r>
      <w:r w:rsidRPr="00143624">
        <w:t>95</w:t>
      </w:r>
      <w:r w:rsidR="00143624">
        <w:noBreakHyphen/>
      </w:r>
      <w:r w:rsidRPr="00143624">
        <w:t>1 of the Act and section 995</w:t>
      </w:r>
      <w:r w:rsidR="00143624">
        <w:noBreakHyphen/>
      </w:r>
      <w:r w:rsidRPr="00143624">
        <w:t>1.06 of this instrument.</w:t>
      </w:r>
    </w:p>
    <w:p w:rsidR="005B63A2" w:rsidRPr="00143624" w:rsidRDefault="005B63A2" w:rsidP="005B63A2">
      <w:pPr>
        <w:pStyle w:val="subsection"/>
      </w:pPr>
      <w:r w:rsidRPr="00143624">
        <w:tab/>
        <w:t>(5)</w:t>
      </w:r>
      <w:r w:rsidRPr="00143624">
        <w:tab/>
        <w:t>In this instrument:</w:t>
      </w:r>
    </w:p>
    <w:p w:rsidR="005B63A2" w:rsidRPr="00143624" w:rsidRDefault="005B63A2" w:rsidP="005B63A2">
      <w:pPr>
        <w:pStyle w:val="Definition"/>
      </w:pPr>
      <w:r w:rsidRPr="00143624">
        <w:rPr>
          <w:b/>
          <w:i/>
        </w:rPr>
        <w:t>activities of daily living</w:t>
      </w:r>
      <w:r w:rsidRPr="00143624">
        <w:t xml:space="preserve"> means a component of a disability insurance policy that insures against a disability that results in a member’s total and permanent inability to perform at least 2 of the following activities without the assistance of another person:</w:t>
      </w:r>
    </w:p>
    <w:p w:rsidR="005B63A2" w:rsidRPr="00143624" w:rsidRDefault="005B63A2" w:rsidP="005B63A2">
      <w:pPr>
        <w:pStyle w:val="paragraph"/>
      </w:pPr>
      <w:r w:rsidRPr="00143624">
        <w:tab/>
        <w:t>(a)</w:t>
      </w:r>
      <w:r w:rsidRPr="00143624">
        <w:tab/>
        <w:t>bathing and showering;</w:t>
      </w:r>
    </w:p>
    <w:p w:rsidR="005B63A2" w:rsidRPr="00143624" w:rsidRDefault="005B63A2" w:rsidP="005B63A2">
      <w:pPr>
        <w:pStyle w:val="paragraph"/>
      </w:pPr>
      <w:r w:rsidRPr="00143624">
        <w:tab/>
        <w:t>(b)</w:t>
      </w:r>
      <w:r w:rsidRPr="00143624">
        <w:tab/>
        <w:t>dressing and undressing;</w:t>
      </w:r>
    </w:p>
    <w:p w:rsidR="005B63A2" w:rsidRPr="00143624" w:rsidRDefault="005B63A2" w:rsidP="005B63A2">
      <w:pPr>
        <w:pStyle w:val="paragraph"/>
      </w:pPr>
      <w:r w:rsidRPr="00143624">
        <w:lastRenderedPageBreak/>
        <w:tab/>
        <w:t>(c)</w:t>
      </w:r>
      <w:r w:rsidRPr="00143624">
        <w:tab/>
        <w:t>eating and drinking;</w:t>
      </w:r>
    </w:p>
    <w:p w:rsidR="005B63A2" w:rsidRPr="00143624" w:rsidRDefault="005B63A2" w:rsidP="005B63A2">
      <w:pPr>
        <w:pStyle w:val="paragraph"/>
      </w:pPr>
      <w:r w:rsidRPr="00143624">
        <w:tab/>
        <w:t>(d)</w:t>
      </w:r>
      <w:r w:rsidRPr="00143624">
        <w:tab/>
        <w:t>mobility, to the extent of being able to get in and out of bed or a chair, and move from place to place without using a wheelchair;</w:t>
      </w:r>
    </w:p>
    <w:p w:rsidR="005B63A2" w:rsidRPr="00143624" w:rsidRDefault="005B63A2" w:rsidP="005B63A2">
      <w:pPr>
        <w:pStyle w:val="paragraph"/>
      </w:pPr>
      <w:r w:rsidRPr="00143624">
        <w:tab/>
        <w:t>(e)</w:t>
      </w:r>
      <w:r w:rsidRPr="00143624">
        <w:tab/>
        <w:t>the ability to use a toilet.</w:t>
      </w:r>
    </w:p>
    <w:p w:rsidR="005B63A2" w:rsidRPr="00143624" w:rsidRDefault="005B63A2" w:rsidP="005B63A2">
      <w:pPr>
        <w:pStyle w:val="Definition"/>
      </w:pPr>
      <w:r w:rsidRPr="00143624">
        <w:rPr>
          <w:b/>
          <w:i/>
        </w:rPr>
        <w:t xml:space="preserve">bundled </w:t>
      </w:r>
      <w:r w:rsidRPr="00143624">
        <w:t>means a situation in which:</w:t>
      </w:r>
    </w:p>
    <w:p w:rsidR="005B63A2" w:rsidRPr="00143624" w:rsidRDefault="005B63A2" w:rsidP="005B63A2">
      <w:pPr>
        <w:pStyle w:val="paragraph"/>
      </w:pPr>
      <w:r w:rsidRPr="00143624">
        <w:tab/>
        <w:t>(a)</w:t>
      </w:r>
      <w:r w:rsidRPr="00143624">
        <w:tab/>
        <w:t>the TPD and death (life) components of the combined insurance premium are not separately identified; and</w:t>
      </w:r>
    </w:p>
    <w:p w:rsidR="005B63A2" w:rsidRPr="00143624" w:rsidRDefault="005B63A2" w:rsidP="005B63A2">
      <w:pPr>
        <w:pStyle w:val="paragraph"/>
        <w:rPr>
          <w:strike/>
        </w:rPr>
      </w:pPr>
      <w:r w:rsidRPr="00143624">
        <w:tab/>
        <w:t>(b)</w:t>
      </w:r>
      <w:r w:rsidRPr="00143624">
        <w:tab/>
        <w:t>the amount payable to the insured person in relation to the TPD component does not exceed the amount payable in relation to the insured person in relation to the death (life) component.</w:t>
      </w:r>
    </w:p>
    <w:p w:rsidR="005B63A2" w:rsidRPr="00143624" w:rsidRDefault="005B63A2" w:rsidP="005B63A2">
      <w:pPr>
        <w:pStyle w:val="Definition"/>
      </w:pPr>
      <w:r w:rsidRPr="00143624">
        <w:rPr>
          <w:b/>
          <w:i/>
        </w:rPr>
        <w:t>cognitive loss</w:t>
      </w:r>
      <w:r w:rsidRPr="00143624">
        <w:t xml:space="preserve"> means a component of a disability insurance policy that insures against a member suffering a permanent deterioration or loss of cognitive functioning or intellectual capacity that requires the person to be under the continuous care and supervision of another person.</w:t>
      </w:r>
    </w:p>
    <w:p w:rsidR="005B63A2" w:rsidRPr="00143624" w:rsidRDefault="005B63A2" w:rsidP="005B63A2">
      <w:pPr>
        <w:pStyle w:val="Definition"/>
      </w:pPr>
      <w:r w:rsidRPr="00143624">
        <w:rPr>
          <w:b/>
          <w:i/>
        </w:rPr>
        <w:t>death (life) cover</w:t>
      </w:r>
      <w:r w:rsidRPr="00143624">
        <w:t xml:space="preserve"> means insurance against the liability to provide a superannuation death benefit.</w:t>
      </w:r>
    </w:p>
    <w:p w:rsidR="005B63A2" w:rsidRPr="00143624" w:rsidRDefault="005B63A2" w:rsidP="005B63A2">
      <w:pPr>
        <w:pStyle w:val="notetext"/>
      </w:pPr>
      <w:r w:rsidRPr="00143624">
        <w:t>Note:</w:t>
      </w:r>
      <w:r w:rsidRPr="00143624">
        <w:tab/>
        <w:t xml:space="preserve">For </w:t>
      </w:r>
      <w:r w:rsidRPr="00143624">
        <w:rPr>
          <w:b/>
          <w:i/>
        </w:rPr>
        <w:t>superannuation death benefit</w:t>
      </w:r>
      <w:r w:rsidRPr="00143624">
        <w:t>, see sub</w:t>
      </w:r>
      <w:r w:rsidR="00F5399E" w:rsidRPr="00143624">
        <w:t>section 9</w:t>
      </w:r>
      <w:r w:rsidRPr="00143624">
        <w:t>95</w:t>
      </w:r>
      <w:r w:rsidR="00143624">
        <w:noBreakHyphen/>
      </w:r>
      <w:r w:rsidRPr="00143624">
        <w:t>1(1) of the Act.</w:t>
      </w:r>
    </w:p>
    <w:p w:rsidR="005B63A2" w:rsidRPr="00143624" w:rsidRDefault="005B63A2" w:rsidP="005B63A2">
      <w:pPr>
        <w:pStyle w:val="Definition"/>
      </w:pPr>
      <w:r w:rsidRPr="00143624">
        <w:rPr>
          <w:b/>
          <w:i/>
        </w:rPr>
        <w:t xml:space="preserve">domestic (home) duties </w:t>
      </w:r>
      <w:r w:rsidRPr="00143624">
        <w:t>means a component of a disability insurance policy that insures against a disability that results in a member being:</w:t>
      </w:r>
    </w:p>
    <w:p w:rsidR="005B63A2" w:rsidRPr="00143624" w:rsidRDefault="005B63A2" w:rsidP="005B63A2">
      <w:pPr>
        <w:pStyle w:val="paragraph"/>
      </w:pPr>
      <w:r w:rsidRPr="00143624">
        <w:tab/>
        <w:t>(a)</w:t>
      </w:r>
      <w:r w:rsidRPr="00143624">
        <w:tab/>
        <w:t>unable to perform the member’s normal domestic duties; and</w:t>
      </w:r>
    </w:p>
    <w:p w:rsidR="005B63A2" w:rsidRPr="00143624" w:rsidRDefault="005B63A2" w:rsidP="005B63A2">
      <w:pPr>
        <w:pStyle w:val="paragraph"/>
      </w:pPr>
      <w:r w:rsidRPr="00143624">
        <w:tab/>
        <w:t>(b)</w:t>
      </w:r>
      <w:r w:rsidRPr="00143624">
        <w:tab/>
        <w:t>unable to leave the member’s home unaided; and</w:t>
      </w:r>
    </w:p>
    <w:p w:rsidR="005B63A2" w:rsidRPr="00143624" w:rsidRDefault="005B63A2" w:rsidP="005B63A2">
      <w:pPr>
        <w:pStyle w:val="paragraph"/>
      </w:pPr>
      <w:r w:rsidRPr="00143624">
        <w:tab/>
        <w:t>(c)</w:t>
      </w:r>
      <w:r w:rsidRPr="00143624">
        <w:tab/>
        <w:t>incapacitated to such an extent that the member is unlikely to ever engage in normal domestic duties or any gainful employment.</w:t>
      </w:r>
    </w:p>
    <w:p w:rsidR="005B63A2" w:rsidRPr="00143624" w:rsidRDefault="005B63A2" w:rsidP="005B63A2">
      <w:pPr>
        <w:pStyle w:val="Definition"/>
      </w:pPr>
      <w:r w:rsidRPr="00143624">
        <w:rPr>
          <w:b/>
          <w:i/>
        </w:rPr>
        <w:t>loss of limb</w:t>
      </w:r>
      <w:r w:rsidRPr="00143624">
        <w:t xml:space="preserve"> means a component of a disability insurance policy that insures against the permanent loss of:</w:t>
      </w:r>
    </w:p>
    <w:p w:rsidR="005B63A2" w:rsidRPr="00143624" w:rsidRDefault="005B63A2" w:rsidP="005B63A2">
      <w:pPr>
        <w:pStyle w:val="paragraph"/>
      </w:pPr>
      <w:r w:rsidRPr="00143624">
        <w:tab/>
        <w:t>(a)</w:t>
      </w:r>
      <w:r w:rsidRPr="00143624">
        <w:tab/>
        <w:t>the sight in both the member’s eyes resulting in blindness; or</w:t>
      </w:r>
    </w:p>
    <w:p w:rsidR="005B63A2" w:rsidRPr="00143624" w:rsidRDefault="005B63A2" w:rsidP="005B63A2">
      <w:pPr>
        <w:pStyle w:val="paragraph"/>
      </w:pPr>
      <w:r w:rsidRPr="00143624">
        <w:tab/>
        <w:t>(b)</w:t>
      </w:r>
      <w:r w:rsidRPr="00143624">
        <w:tab/>
        <w:t>the use of 2 or more of the member’s limbs, feet or hands; or</w:t>
      </w:r>
    </w:p>
    <w:p w:rsidR="005B63A2" w:rsidRPr="00143624" w:rsidRDefault="005B63A2" w:rsidP="005B63A2">
      <w:pPr>
        <w:pStyle w:val="paragraph"/>
      </w:pPr>
      <w:r w:rsidRPr="00143624">
        <w:tab/>
        <w:t>(c)</w:t>
      </w:r>
      <w:r w:rsidRPr="00143624">
        <w:tab/>
        <w:t>the sight in one of the member’s eyes resulting in blindness in that eye and the use of one of the member’s limbs, feet or hands.</w:t>
      </w:r>
    </w:p>
    <w:p w:rsidR="005B63A2" w:rsidRPr="00143624" w:rsidRDefault="005B63A2" w:rsidP="005B63A2">
      <w:pPr>
        <w:pStyle w:val="Definition"/>
      </w:pPr>
      <w:r w:rsidRPr="00143624">
        <w:rPr>
          <w:b/>
          <w:i/>
        </w:rPr>
        <w:t xml:space="preserve">normal domestic duties </w:t>
      </w:r>
      <w:r w:rsidRPr="00143624">
        <w:t>means the tasks performed by an individual whose sole occupation is to maintain the individual’s family home, including:</w:t>
      </w:r>
    </w:p>
    <w:p w:rsidR="005B63A2" w:rsidRPr="00143624" w:rsidRDefault="005B63A2" w:rsidP="005B63A2">
      <w:pPr>
        <w:pStyle w:val="paragraph"/>
      </w:pPr>
      <w:r w:rsidRPr="00143624">
        <w:tab/>
        <w:t>(a)</w:t>
      </w:r>
      <w:r w:rsidRPr="00143624">
        <w:tab/>
        <w:t>unassisted cleaning of the individual’s home; and</w:t>
      </w:r>
    </w:p>
    <w:p w:rsidR="005B63A2" w:rsidRPr="00143624" w:rsidRDefault="005B63A2" w:rsidP="005B63A2">
      <w:pPr>
        <w:pStyle w:val="paragraph"/>
      </w:pPr>
      <w:r w:rsidRPr="00143624">
        <w:tab/>
        <w:t>(b)</w:t>
      </w:r>
      <w:r w:rsidRPr="00143624">
        <w:tab/>
        <w:t>cooking of meals for the individual’s family; and</w:t>
      </w:r>
    </w:p>
    <w:p w:rsidR="005B63A2" w:rsidRPr="00143624" w:rsidRDefault="005B63A2" w:rsidP="005B63A2">
      <w:pPr>
        <w:pStyle w:val="paragraph"/>
      </w:pPr>
      <w:r w:rsidRPr="00143624">
        <w:tab/>
        <w:t>(c)</w:t>
      </w:r>
      <w:r w:rsidRPr="00143624">
        <w:tab/>
        <w:t>doing the laundry for the individual’s family; and</w:t>
      </w:r>
    </w:p>
    <w:p w:rsidR="005B63A2" w:rsidRPr="00143624" w:rsidRDefault="005B63A2" w:rsidP="005B63A2">
      <w:pPr>
        <w:pStyle w:val="paragraph"/>
      </w:pPr>
      <w:r w:rsidRPr="00143624">
        <w:tab/>
        <w:t>(d)</w:t>
      </w:r>
      <w:r w:rsidRPr="00143624">
        <w:tab/>
        <w:t>shopping for food for the individual’s family; and</w:t>
      </w:r>
    </w:p>
    <w:p w:rsidR="005B63A2" w:rsidRPr="00143624" w:rsidRDefault="005B63A2" w:rsidP="005B63A2">
      <w:pPr>
        <w:pStyle w:val="paragraph"/>
        <w:rPr>
          <w:b/>
        </w:rPr>
      </w:pPr>
      <w:r w:rsidRPr="00143624">
        <w:tab/>
        <w:t>(e)</w:t>
      </w:r>
      <w:r w:rsidRPr="00143624">
        <w:tab/>
        <w:t>taking care of any dependent children.</w:t>
      </w:r>
    </w:p>
    <w:p w:rsidR="005B63A2" w:rsidRPr="00143624" w:rsidRDefault="005B63A2" w:rsidP="005B63A2">
      <w:pPr>
        <w:pStyle w:val="Definition"/>
      </w:pPr>
      <w:r w:rsidRPr="00143624">
        <w:rPr>
          <w:b/>
          <w:i/>
        </w:rPr>
        <w:t>TPD any occupation</w:t>
      </w:r>
      <w:r w:rsidRPr="00143624">
        <w:t xml:space="preserve"> means insurance against the member suffering an illness or injury that is likely to result in the member’s permanent inability to engage in gainful employment for which the member is reasonably qualified by education, training or experience.</w:t>
      </w:r>
    </w:p>
    <w:p w:rsidR="005B63A2" w:rsidRPr="00143624" w:rsidRDefault="005B63A2" w:rsidP="005B63A2">
      <w:pPr>
        <w:pStyle w:val="Definition"/>
      </w:pPr>
      <w:r w:rsidRPr="00143624">
        <w:rPr>
          <w:b/>
          <w:i/>
        </w:rPr>
        <w:t>TPD own occupation</w:t>
      </w:r>
      <w:r w:rsidRPr="00143624">
        <w:t xml:space="preserve"> means insurance against the member suffering an illness or injury that is likely to result in the member’s permanent inability to engage in gainful employment in the member’s own occupation, where inability to engage </w:t>
      </w:r>
      <w:r w:rsidRPr="00143624">
        <w:lastRenderedPageBreak/>
        <w:t>in gainful employment includes the inability to work otherwise than in a substantially reduced capacity to that in which the member worked before suffering the illness or injury.</w:t>
      </w:r>
    </w:p>
    <w:p w:rsidR="00EF666B" w:rsidRPr="00143624" w:rsidRDefault="00EF666B" w:rsidP="002F07B9">
      <w:pPr>
        <w:pStyle w:val="ActHead3"/>
        <w:pageBreakBefore/>
      </w:pPr>
      <w:bookmarkStart w:id="105" w:name="_Toc64030363"/>
      <w:r w:rsidRPr="003F3E0B">
        <w:rPr>
          <w:rStyle w:val="CharDivNo"/>
        </w:rPr>
        <w:lastRenderedPageBreak/>
        <w:t>Division</w:t>
      </w:r>
      <w:r w:rsidR="002B1A95" w:rsidRPr="003F3E0B">
        <w:rPr>
          <w:rStyle w:val="CharDivNo"/>
        </w:rPr>
        <w:t> </w:t>
      </w:r>
      <w:r w:rsidRPr="003F3E0B">
        <w:rPr>
          <w:rStyle w:val="CharDivNo"/>
        </w:rPr>
        <w:t>301</w:t>
      </w:r>
      <w:r w:rsidRPr="00143624">
        <w:rPr>
          <w:color w:val="000000"/>
        </w:rPr>
        <w:t>—</w:t>
      </w:r>
      <w:r w:rsidRPr="003F3E0B">
        <w:rPr>
          <w:rStyle w:val="CharDivText"/>
        </w:rPr>
        <w:t>Superannuation member benefits paid from complying plans etc.</w:t>
      </w:r>
      <w:bookmarkEnd w:id="105"/>
    </w:p>
    <w:p w:rsidR="00EF666B" w:rsidRPr="00143624" w:rsidRDefault="00EF666B" w:rsidP="00EF666B">
      <w:pPr>
        <w:pStyle w:val="ActHead4"/>
      </w:pPr>
      <w:bookmarkStart w:id="106" w:name="_Toc64030364"/>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301</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Fonts w:eastAsiaTheme="majorEastAsia"/>
        </w:rPr>
        <w:t>Departing Australia superannuation payments</w:t>
      </w:r>
      <w:bookmarkEnd w:id="106"/>
    </w:p>
    <w:p w:rsidR="00EF666B" w:rsidRPr="00143624" w:rsidRDefault="00EF666B" w:rsidP="00EF666B">
      <w:pPr>
        <w:pStyle w:val="ActHead5"/>
      </w:pPr>
      <w:bookmarkStart w:id="107" w:name="_Toc64030365"/>
      <w:r w:rsidRPr="003F3E0B">
        <w:rPr>
          <w:rStyle w:val="CharSectno"/>
        </w:rPr>
        <w:t>301</w:t>
      </w:r>
      <w:r w:rsidR="00143624" w:rsidRPr="003F3E0B">
        <w:rPr>
          <w:rStyle w:val="CharSectno"/>
        </w:rPr>
        <w:noBreakHyphen/>
      </w:r>
      <w:r w:rsidRPr="003F3E0B">
        <w:rPr>
          <w:rStyle w:val="CharSectno"/>
        </w:rPr>
        <w:t>170.01</w:t>
      </w:r>
      <w:r w:rsidRPr="00143624">
        <w:t xml:space="preserve">  Departing Australia superannuation payments</w:t>
      </w:r>
      <w:bookmarkEnd w:id="107"/>
    </w:p>
    <w:p w:rsidR="00EF666B" w:rsidRPr="00143624" w:rsidRDefault="00EF666B" w:rsidP="00EF666B">
      <w:pPr>
        <w:pStyle w:val="subsection"/>
      </w:pPr>
      <w:r w:rsidRPr="00143624">
        <w:tab/>
      </w:r>
      <w:r w:rsidRPr="00143624">
        <w:tab/>
        <w:t xml:space="preserve">For </w:t>
      </w:r>
      <w:r w:rsidRPr="00143624">
        <w:rPr>
          <w:color w:val="000000"/>
        </w:rPr>
        <w:t xml:space="preserve">the purposes of </w:t>
      </w:r>
      <w:r w:rsidRPr="00143624">
        <w:t>subparagraph</w:t>
      </w:r>
      <w:r w:rsidR="002B1A95" w:rsidRPr="00143624">
        <w:t> </w:t>
      </w:r>
      <w:r w:rsidRPr="00143624">
        <w:t>301</w:t>
      </w:r>
      <w:r w:rsidR="00143624">
        <w:noBreakHyphen/>
      </w:r>
      <w:r w:rsidRPr="00143624">
        <w:t>170(1)(b)(i) of the Act, the following regulations are specified:</w:t>
      </w:r>
    </w:p>
    <w:p w:rsidR="00EF666B" w:rsidRPr="00143624" w:rsidRDefault="00EF666B" w:rsidP="00EF666B">
      <w:pPr>
        <w:pStyle w:val="paragraph"/>
      </w:pPr>
      <w:r w:rsidRPr="00143624">
        <w:rPr>
          <w:color w:val="000000"/>
        </w:rPr>
        <w:tab/>
        <w:t>(a)</w:t>
      </w:r>
      <w:r w:rsidRPr="00143624">
        <w:rPr>
          <w:color w:val="000000"/>
        </w:rPr>
        <w:tab/>
        <w:t>regulations</w:t>
      </w:r>
      <w:r w:rsidR="002B1A95" w:rsidRPr="00143624">
        <w:rPr>
          <w:color w:val="000000"/>
        </w:rPr>
        <w:t> </w:t>
      </w:r>
      <w:r w:rsidRPr="00143624">
        <w:rPr>
          <w:color w:val="000000"/>
        </w:rPr>
        <w:t>6.20A, 6.20B and 6.24A of the SIS Regulations;</w:t>
      </w:r>
    </w:p>
    <w:p w:rsidR="00EF666B" w:rsidRPr="00143624" w:rsidRDefault="00EF666B" w:rsidP="00EF666B">
      <w:pPr>
        <w:pStyle w:val="paragraph"/>
      </w:pPr>
      <w:r w:rsidRPr="00143624">
        <w:tab/>
        <w:t>(b)</w:t>
      </w:r>
      <w:r w:rsidRPr="00143624">
        <w:tab/>
        <w:t>regulation</w:t>
      </w:r>
      <w:r w:rsidR="002B1A95" w:rsidRPr="00143624">
        <w:t> </w:t>
      </w:r>
      <w:r w:rsidRPr="00143624">
        <w:t>4.23A of the RSA Regulations.</w:t>
      </w:r>
    </w:p>
    <w:p w:rsidR="00EF666B" w:rsidRPr="00143624" w:rsidRDefault="00EF666B" w:rsidP="00EF666B">
      <w:pPr>
        <w:pStyle w:val="notetext"/>
      </w:pPr>
      <w:r w:rsidRPr="00143624">
        <w:t>Note:</w:t>
      </w:r>
      <w:r w:rsidRPr="00143624">
        <w:tab/>
        <w:t xml:space="preserve">A superannuation lump sum paid to a person in accordance with the regulations specified in this section is a </w:t>
      </w:r>
      <w:r w:rsidRPr="00143624">
        <w:rPr>
          <w:b/>
          <w:i/>
        </w:rPr>
        <w:t>departing Australia superannuation payment</w:t>
      </w:r>
      <w:r w:rsidRPr="00143624">
        <w:t xml:space="preserve"> (see subsection</w:t>
      </w:r>
      <w:r w:rsidR="002B1A95" w:rsidRPr="00143624">
        <w:t> </w:t>
      </w:r>
      <w:r w:rsidRPr="00143624">
        <w:t>301</w:t>
      </w:r>
      <w:r w:rsidR="00143624">
        <w:noBreakHyphen/>
      </w:r>
      <w:r w:rsidRPr="00143624">
        <w:t>170(1) of the Act).</w:t>
      </w:r>
    </w:p>
    <w:p w:rsidR="00EF666B" w:rsidRPr="00143624" w:rsidRDefault="00EF666B" w:rsidP="00EF666B">
      <w:pPr>
        <w:pStyle w:val="ActHead4"/>
      </w:pPr>
      <w:bookmarkStart w:id="108" w:name="_Toc64030366"/>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301</w:t>
      </w:r>
      <w:r w:rsidR="00143624" w:rsidRPr="003F3E0B">
        <w:rPr>
          <w:rStyle w:val="CharSubdNo"/>
          <w:rFonts w:eastAsiaTheme="majorEastAsia"/>
        </w:rPr>
        <w:noBreakHyphen/>
      </w:r>
      <w:r w:rsidRPr="003F3E0B">
        <w:rPr>
          <w:rStyle w:val="CharSubdNo"/>
          <w:rFonts w:eastAsiaTheme="majorEastAsia"/>
        </w:rPr>
        <w:t>E</w:t>
      </w:r>
      <w:r w:rsidRPr="00143624">
        <w:t>—</w:t>
      </w:r>
      <w:r w:rsidRPr="003F3E0B">
        <w:rPr>
          <w:rStyle w:val="CharSubdText"/>
          <w:rFonts w:eastAsiaTheme="majorEastAsia"/>
        </w:rPr>
        <w:t>Superannuation lump sum member benefits less than $200</w:t>
      </w:r>
      <w:bookmarkEnd w:id="108"/>
    </w:p>
    <w:p w:rsidR="00EF666B" w:rsidRPr="00143624" w:rsidRDefault="00EF666B" w:rsidP="00EF666B">
      <w:pPr>
        <w:pStyle w:val="ActHead5"/>
      </w:pPr>
      <w:bookmarkStart w:id="109" w:name="_Toc64030367"/>
      <w:r w:rsidRPr="003F3E0B">
        <w:rPr>
          <w:rStyle w:val="CharSectno"/>
        </w:rPr>
        <w:t>301</w:t>
      </w:r>
      <w:r w:rsidR="00143624" w:rsidRPr="003F3E0B">
        <w:rPr>
          <w:rStyle w:val="CharSectno"/>
        </w:rPr>
        <w:noBreakHyphen/>
      </w:r>
      <w:r w:rsidRPr="003F3E0B">
        <w:rPr>
          <w:rStyle w:val="CharSectno"/>
        </w:rPr>
        <w:t>225.01</w:t>
      </w:r>
      <w:r w:rsidRPr="00143624">
        <w:t xml:space="preserve">  Superannuation lump sum member benefits less than $200 are tax free</w:t>
      </w:r>
      <w:bookmarkEnd w:id="109"/>
    </w:p>
    <w:p w:rsidR="00EF666B" w:rsidRPr="00143624" w:rsidRDefault="00EF666B" w:rsidP="00EF666B">
      <w:pPr>
        <w:pStyle w:val="subsection"/>
      </w:pPr>
      <w:r w:rsidRPr="00143624">
        <w:rPr>
          <w:color w:val="000000"/>
        </w:rPr>
        <w:tab/>
        <w:t>(1)</w:t>
      </w:r>
      <w:r w:rsidRPr="00143624">
        <w:rPr>
          <w:color w:val="000000"/>
        </w:rPr>
        <w:tab/>
        <w:t>For the purposes of paragraph</w:t>
      </w:r>
      <w:r w:rsidR="002B1A95" w:rsidRPr="00143624">
        <w:rPr>
          <w:color w:val="000000"/>
        </w:rPr>
        <w:t> </w:t>
      </w:r>
      <w:r w:rsidRPr="00143624">
        <w:rPr>
          <w:color w:val="000000"/>
        </w:rPr>
        <w:t>301</w:t>
      </w:r>
      <w:r w:rsidR="00143624">
        <w:rPr>
          <w:color w:val="000000"/>
        </w:rPr>
        <w:noBreakHyphen/>
      </w:r>
      <w:r w:rsidRPr="00143624">
        <w:rPr>
          <w:color w:val="000000"/>
        </w:rPr>
        <w:t>225(1)(d) of the Act, this section specifies requirements in relation to a superannuation member benefit.</w:t>
      </w:r>
    </w:p>
    <w:p w:rsidR="00EF666B" w:rsidRPr="00143624" w:rsidRDefault="00EF666B" w:rsidP="00EF666B">
      <w:pPr>
        <w:pStyle w:val="notetext"/>
      </w:pPr>
      <w:r w:rsidRPr="00143624">
        <w:rPr>
          <w:color w:val="000000"/>
        </w:rPr>
        <w:t>Note:</w:t>
      </w:r>
      <w:r w:rsidRPr="00143624">
        <w:rPr>
          <w:color w:val="000000"/>
        </w:rPr>
        <w:tab/>
        <w:t>The effect of section</w:t>
      </w:r>
      <w:r w:rsidR="002B1A95" w:rsidRPr="00143624">
        <w:rPr>
          <w:color w:val="000000"/>
        </w:rPr>
        <w:t> </w:t>
      </w:r>
      <w:r w:rsidRPr="00143624">
        <w:rPr>
          <w:color w:val="000000"/>
        </w:rPr>
        <w:t>301</w:t>
      </w:r>
      <w:r w:rsidR="00143624">
        <w:rPr>
          <w:color w:val="000000"/>
        </w:rPr>
        <w:noBreakHyphen/>
      </w:r>
      <w:r w:rsidRPr="00143624">
        <w:rPr>
          <w:color w:val="000000"/>
        </w:rPr>
        <w:t xml:space="preserve">225 of the Act is that a superannuation member benefit is not assessable income and is not exempt income in certain circumstances (which include satisfying the requirements in </w:t>
      </w:r>
      <w:r w:rsidR="002B1A95" w:rsidRPr="00143624">
        <w:rPr>
          <w:color w:val="000000"/>
        </w:rPr>
        <w:t>subsection (</w:t>
      </w:r>
      <w:r w:rsidRPr="00143624">
        <w:rPr>
          <w:color w:val="000000"/>
        </w:rPr>
        <w:t>2) of this section).</w:t>
      </w:r>
    </w:p>
    <w:p w:rsidR="00EF666B" w:rsidRPr="00143624" w:rsidRDefault="00EF666B" w:rsidP="00EF666B">
      <w:pPr>
        <w:pStyle w:val="subsection"/>
      </w:pPr>
      <w:r w:rsidRPr="00143624">
        <w:tab/>
        <w:t>(2)</w:t>
      </w:r>
      <w:r w:rsidRPr="00143624">
        <w:tab/>
        <w:t>A requirement is that the member’s benefit must be released under:</w:t>
      </w:r>
    </w:p>
    <w:p w:rsidR="00EF666B" w:rsidRPr="00143624" w:rsidRDefault="00EF666B" w:rsidP="00EF666B">
      <w:pPr>
        <w:pStyle w:val="paragraph"/>
      </w:pPr>
      <w:r w:rsidRPr="00143624">
        <w:tab/>
        <w:t>(a)</w:t>
      </w:r>
      <w:r w:rsidRPr="00143624">
        <w:tab/>
        <w:t>item</w:t>
      </w:r>
      <w:r w:rsidR="002B1A95" w:rsidRPr="00143624">
        <w:t> </w:t>
      </w:r>
      <w:r w:rsidRPr="00143624">
        <w:t>104 or 111 of Part</w:t>
      </w:r>
      <w:r w:rsidR="002B1A95" w:rsidRPr="00143624">
        <w:t> </w:t>
      </w:r>
      <w:r w:rsidRPr="00143624">
        <w:t xml:space="preserve">1 of </w:t>
      </w:r>
      <w:r w:rsidR="00F5399E" w:rsidRPr="00143624">
        <w:t>Schedule 1</w:t>
      </w:r>
      <w:r w:rsidRPr="00143624">
        <w:t xml:space="preserve"> to the SIS Regulations; or</w:t>
      </w:r>
    </w:p>
    <w:p w:rsidR="00EF666B" w:rsidRPr="00143624" w:rsidRDefault="00EF666B" w:rsidP="00EF666B">
      <w:pPr>
        <w:pStyle w:val="paragraph"/>
      </w:pPr>
      <w:r w:rsidRPr="00143624">
        <w:tab/>
        <w:t>(b)</w:t>
      </w:r>
      <w:r w:rsidRPr="00143624">
        <w:tab/>
        <w:t>item</w:t>
      </w:r>
      <w:r w:rsidR="002B1A95" w:rsidRPr="00143624">
        <w:t> </w:t>
      </w:r>
      <w:r w:rsidRPr="00143624">
        <w:t>211 of Part</w:t>
      </w:r>
      <w:r w:rsidR="002B1A95" w:rsidRPr="00143624">
        <w:t> </w:t>
      </w:r>
      <w:r w:rsidRPr="00143624">
        <w:t xml:space="preserve">2 of </w:t>
      </w:r>
      <w:r w:rsidR="00F5399E" w:rsidRPr="00143624">
        <w:t>Schedule 1</w:t>
      </w:r>
      <w:r w:rsidRPr="00143624">
        <w:t xml:space="preserve"> to the SIS Regulations; or</w:t>
      </w:r>
    </w:p>
    <w:p w:rsidR="00EF666B" w:rsidRPr="00143624" w:rsidRDefault="00EF666B" w:rsidP="00EF666B">
      <w:pPr>
        <w:pStyle w:val="paragraph"/>
      </w:pPr>
      <w:r w:rsidRPr="00143624">
        <w:tab/>
        <w:t>(c)</w:t>
      </w:r>
      <w:r w:rsidRPr="00143624">
        <w:tab/>
        <w:t>item</w:t>
      </w:r>
      <w:r w:rsidR="002B1A95" w:rsidRPr="00143624">
        <w:t> </w:t>
      </w:r>
      <w:r w:rsidRPr="00143624">
        <w:t>111 of Schedule</w:t>
      </w:r>
      <w:r w:rsidR="002B1A95" w:rsidRPr="00143624">
        <w:t> </w:t>
      </w:r>
      <w:r w:rsidRPr="00143624">
        <w:t>2 to the RSA Regulations.</w:t>
      </w:r>
    </w:p>
    <w:p w:rsidR="00EF666B" w:rsidRPr="00143624" w:rsidRDefault="00EF666B" w:rsidP="00EF666B">
      <w:pPr>
        <w:pStyle w:val="ActHead3"/>
        <w:pageBreakBefore/>
        <w:rPr>
          <w:color w:val="000000"/>
        </w:rPr>
      </w:pPr>
      <w:bookmarkStart w:id="110" w:name="_Toc64030368"/>
      <w:r w:rsidRPr="003F3E0B">
        <w:rPr>
          <w:rStyle w:val="CharDivNo"/>
        </w:rPr>
        <w:lastRenderedPageBreak/>
        <w:t>Division</w:t>
      </w:r>
      <w:r w:rsidR="002B1A95" w:rsidRPr="003F3E0B">
        <w:rPr>
          <w:rStyle w:val="CharDivNo"/>
        </w:rPr>
        <w:t> </w:t>
      </w:r>
      <w:r w:rsidRPr="003F3E0B">
        <w:rPr>
          <w:rStyle w:val="CharDivNo"/>
        </w:rPr>
        <w:t>302</w:t>
      </w:r>
      <w:r w:rsidRPr="00143624">
        <w:rPr>
          <w:color w:val="000000"/>
        </w:rPr>
        <w:t>—</w:t>
      </w:r>
      <w:r w:rsidRPr="003F3E0B">
        <w:rPr>
          <w:rStyle w:val="CharDivText"/>
        </w:rPr>
        <w:t>Superannuation death benefits paid from complying plans etc.</w:t>
      </w:r>
      <w:bookmarkEnd w:id="110"/>
    </w:p>
    <w:p w:rsidR="00EF666B" w:rsidRPr="00143624" w:rsidRDefault="00EF666B" w:rsidP="00EF666B">
      <w:pPr>
        <w:pStyle w:val="ActHead4"/>
        <w:rPr>
          <w:rFonts w:eastAsiaTheme="majorEastAsia"/>
        </w:rPr>
      </w:pPr>
      <w:bookmarkStart w:id="111" w:name="_Toc64030369"/>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302</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Fonts w:eastAsiaTheme="majorEastAsia"/>
        </w:rPr>
        <w:t>Definitions relating to dependants</w:t>
      </w:r>
      <w:bookmarkEnd w:id="111"/>
    </w:p>
    <w:p w:rsidR="00EF666B" w:rsidRPr="00143624" w:rsidRDefault="00EF666B" w:rsidP="00EF666B">
      <w:pPr>
        <w:pStyle w:val="ActHead5"/>
      </w:pPr>
      <w:bookmarkStart w:id="112" w:name="_Toc64030370"/>
      <w:r w:rsidRPr="003F3E0B">
        <w:rPr>
          <w:rStyle w:val="CharSectno"/>
        </w:rPr>
        <w:t>302</w:t>
      </w:r>
      <w:r w:rsidR="00143624" w:rsidRPr="003F3E0B">
        <w:rPr>
          <w:rStyle w:val="CharSectno"/>
        </w:rPr>
        <w:noBreakHyphen/>
      </w:r>
      <w:r w:rsidRPr="003F3E0B">
        <w:rPr>
          <w:rStyle w:val="CharSectno"/>
        </w:rPr>
        <w:t>195.01</w:t>
      </w:r>
      <w:r w:rsidRPr="00143624">
        <w:t xml:space="preserve">  Circumstances in which a person died in the line of duty</w:t>
      </w:r>
      <w:bookmarkEnd w:id="112"/>
    </w:p>
    <w:p w:rsidR="00EF666B" w:rsidRPr="00143624" w:rsidRDefault="00EF666B" w:rsidP="00EF666B">
      <w:pPr>
        <w:pStyle w:val="subsection"/>
      </w:pPr>
      <w:r w:rsidRPr="00143624">
        <w:tab/>
        <w:t>(1)</w:t>
      </w:r>
      <w:r w:rsidRPr="00143624">
        <w:tab/>
        <w:t>For the purposes of subsection</w:t>
      </w:r>
      <w:r w:rsidR="002B1A95" w:rsidRPr="00143624">
        <w:t> </w:t>
      </w:r>
      <w:r w:rsidRPr="00143624">
        <w:t>302</w:t>
      </w:r>
      <w:r w:rsidR="00143624">
        <w:noBreakHyphen/>
      </w:r>
      <w:r w:rsidRPr="00143624">
        <w:t>195(3) of the Act, this section specifies the different circumstances in which a military or police person</w:t>
      </w:r>
      <w:r w:rsidRPr="00143624">
        <w:rPr>
          <w:b/>
          <w:i/>
        </w:rPr>
        <w:t xml:space="preserve"> </w:t>
      </w:r>
      <w:r w:rsidRPr="00143624">
        <w:t xml:space="preserve">(the </w:t>
      </w:r>
      <w:r w:rsidRPr="00143624">
        <w:rPr>
          <w:b/>
          <w:i/>
        </w:rPr>
        <w:t>deceased person</w:t>
      </w:r>
      <w:r w:rsidRPr="00143624">
        <w:t>) died in the line of duty.</w:t>
      </w:r>
    </w:p>
    <w:p w:rsidR="00EF666B" w:rsidRPr="00143624" w:rsidRDefault="00EF666B" w:rsidP="00EF666B">
      <w:pPr>
        <w:pStyle w:val="notetext"/>
      </w:pPr>
      <w:r w:rsidRPr="00143624">
        <w:t xml:space="preserve">Note 1: </w:t>
      </w:r>
      <w:r w:rsidRPr="00143624">
        <w:tab/>
        <w:t xml:space="preserve">For </w:t>
      </w:r>
      <w:r w:rsidRPr="00143624">
        <w:rPr>
          <w:b/>
          <w:i/>
        </w:rPr>
        <w:t>military or police person</w:t>
      </w:r>
      <w:r w:rsidRPr="00143624">
        <w:t>, see section 995</w:t>
      </w:r>
      <w:r w:rsidR="00143624">
        <w:noBreakHyphen/>
      </w:r>
      <w:r w:rsidRPr="00143624">
        <w:t>1.01.</w:t>
      </w:r>
    </w:p>
    <w:p w:rsidR="00EF666B" w:rsidRPr="00143624" w:rsidRDefault="00EF666B" w:rsidP="00EF666B">
      <w:pPr>
        <w:pStyle w:val="notetext"/>
      </w:pPr>
      <w:r w:rsidRPr="00143624">
        <w:t>Note 2:</w:t>
      </w:r>
      <w:r w:rsidRPr="00143624">
        <w:tab/>
        <w:t>However, if the deceased person died in a circumstance set out in section 302</w:t>
      </w:r>
      <w:r w:rsidR="00143624">
        <w:noBreakHyphen/>
      </w:r>
      <w:r w:rsidRPr="00143624">
        <w:t>195.02, the person has not died in the line of duty for the purposes of subsection</w:t>
      </w:r>
      <w:r w:rsidR="002B1A95" w:rsidRPr="00143624">
        <w:t> </w:t>
      </w:r>
      <w:r w:rsidRPr="00143624">
        <w:t>302</w:t>
      </w:r>
      <w:r w:rsidR="00143624">
        <w:noBreakHyphen/>
      </w:r>
      <w:r w:rsidRPr="00143624">
        <w:t>195(3) of the Act.</w:t>
      </w:r>
    </w:p>
    <w:p w:rsidR="00EF666B" w:rsidRPr="00143624" w:rsidRDefault="00EF666B" w:rsidP="00EF666B">
      <w:pPr>
        <w:pStyle w:val="notetext"/>
      </w:pPr>
      <w:r w:rsidRPr="00143624">
        <w:t>Note 3:</w:t>
      </w:r>
      <w:r w:rsidRPr="00143624">
        <w:tab/>
        <w:t>This section is relevant for working out whether an individual is a death benefits dependant of a person under section</w:t>
      </w:r>
      <w:r w:rsidR="002B1A95" w:rsidRPr="00143624">
        <w:t> </w:t>
      </w:r>
      <w:r w:rsidRPr="00143624">
        <w:t>302</w:t>
      </w:r>
      <w:r w:rsidR="00143624">
        <w:noBreakHyphen/>
      </w:r>
      <w:r w:rsidRPr="00143624">
        <w:t>195 of the Act.</w:t>
      </w:r>
    </w:p>
    <w:p w:rsidR="00EF666B" w:rsidRPr="00143624" w:rsidRDefault="00EF666B" w:rsidP="00EF666B">
      <w:pPr>
        <w:pStyle w:val="SubsectionHead"/>
      </w:pPr>
      <w:r w:rsidRPr="00143624">
        <w:t>Performance of duties</w:t>
      </w:r>
    </w:p>
    <w:p w:rsidR="00EF666B" w:rsidRPr="00143624" w:rsidRDefault="00EF666B" w:rsidP="00EF666B">
      <w:pPr>
        <w:pStyle w:val="subsection"/>
      </w:pPr>
      <w:r w:rsidRPr="00143624">
        <w:tab/>
        <w:t>(2)</w:t>
      </w:r>
      <w:r w:rsidRPr="00143624">
        <w:tab/>
        <w:t>A circumstance is that the deceased person died while performing the duties of a military or police person.</w:t>
      </w:r>
    </w:p>
    <w:p w:rsidR="00EF666B" w:rsidRPr="00143624" w:rsidRDefault="00EF666B" w:rsidP="00EF666B">
      <w:pPr>
        <w:pStyle w:val="subsection"/>
      </w:pPr>
      <w:r w:rsidRPr="00143624">
        <w:tab/>
        <w:t>(3)</w:t>
      </w:r>
      <w:r w:rsidRPr="00143624">
        <w:tab/>
        <w:t>A circumstance is that:</w:t>
      </w:r>
    </w:p>
    <w:p w:rsidR="00EF666B" w:rsidRPr="00143624" w:rsidRDefault="00EF666B" w:rsidP="00EF666B">
      <w:pPr>
        <w:pStyle w:val="paragraph"/>
      </w:pPr>
      <w:r w:rsidRPr="00143624">
        <w:tab/>
        <w:t>(a)</w:t>
      </w:r>
      <w:r w:rsidRPr="00143624">
        <w:tab/>
        <w:t>the deceased person was off duty at the time of the deceased person’s death; and</w:t>
      </w:r>
    </w:p>
    <w:p w:rsidR="00EF666B" w:rsidRPr="00143624" w:rsidRDefault="00EF666B" w:rsidP="00EF666B">
      <w:pPr>
        <w:pStyle w:val="paragraph"/>
      </w:pPr>
      <w:r w:rsidRPr="00143624">
        <w:tab/>
        <w:t>(b)</w:t>
      </w:r>
      <w:r w:rsidRPr="00143624">
        <w:tab/>
        <w:t>the deceased person’s death occurred:</w:t>
      </w:r>
    </w:p>
    <w:p w:rsidR="00EF666B" w:rsidRPr="00143624" w:rsidRDefault="00EF666B" w:rsidP="00EF666B">
      <w:pPr>
        <w:pStyle w:val="paragraphsub"/>
      </w:pPr>
      <w:r w:rsidRPr="00143624">
        <w:tab/>
        <w:t>(i)</w:t>
      </w:r>
      <w:r w:rsidRPr="00143624">
        <w:tab/>
        <w:t>in the course of an attempt to arrest a suspected offender; or</w:t>
      </w:r>
    </w:p>
    <w:p w:rsidR="00EF666B" w:rsidRPr="00143624" w:rsidRDefault="00EF666B" w:rsidP="00EF666B">
      <w:pPr>
        <w:pStyle w:val="paragraphsub"/>
      </w:pPr>
      <w:r w:rsidRPr="00143624">
        <w:tab/>
        <w:t>(ii)</w:t>
      </w:r>
      <w:r w:rsidRPr="00143624">
        <w:tab/>
        <w:t>in the course of an attempt to prevent an offence; or</w:t>
      </w:r>
    </w:p>
    <w:p w:rsidR="00EF666B" w:rsidRPr="00143624" w:rsidRDefault="00EF666B" w:rsidP="00EF666B">
      <w:pPr>
        <w:pStyle w:val="paragraphsub"/>
      </w:pPr>
      <w:r w:rsidRPr="00143624">
        <w:tab/>
        <w:t>(iii)</w:t>
      </w:r>
      <w:r w:rsidRPr="00143624">
        <w:tab/>
        <w:t>in the course of an attempt to rescue a person; or</w:t>
      </w:r>
    </w:p>
    <w:p w:rsidR="00EF666B" w:rsidRPr="00143624" w:rsidRDefault="00EF666B" w:rsidP="00EF666B">
      <w:pPr>
        <w:pStyle w:val="paragraphsub"/>
      </w:pPr>
      <w:r w:rsidRPr="00143624">
        <w:tab/>
        <w:t>(iv)</w:t>
      </w:r>
      <w:r w:rsidRPr="00143624">
        <w:tab/>
        <w:t>while the deceased person was travelling to a place of work as a result of being recalled to duty.</w:t>
      </w:r>
    </w:p>
    <w:p w:rsidR="00EF666B" w:rsidRPr="00143624" w:rsidRDefault="00EF666B" w:rsidP="00EF666B">
      <w:pPr>
        <w:pStyle w:val="SubsectionHead"/>
      </w:pPr>
      <w:r w:rsidRPr="00143624">
        <w:t>Injury</w:t>
      </w:r>
    </w:p>
    <w:p w:rsidR="00EF666B" w:rsidRPr="00143624" w:rsidRDefault="00EF666B" w:rsidP="00EF666B">
      <w:pPr>
        <w:pStyle w:val="subsection"/>
      </w:pPr>
      <w:r w:rsidRPr="00143624">
        <w:tab/>
        <w:t>(4)</w:t>
      </w:r>
      <w:r w:rsidRPr="00143624">
        <w:tab/>
        <w:t>A circumstance is that the deceased person:</w:t>
      </w:r>
    </w:p>
    <w:p w:rsidR="00EF666B" w:rsidRPr="00143624" w:rsidRDefault="00EF666B" w:rsidP="00EF666B">
      <w:pPr>
        <w:pStyle w:val="paragraph"/>
      </w:pPr>
      <w:r w:rsidRPr="00143624">
        <w:tab/>
        <w:t>(a)</w:t>
      </w:r>
      <w:r w:rsidRPr="00143624">
        <w:tab/>
        <w:t>died within 12 months after sustaining an injury; and</w:t>
      </w:r>
    </w:p>
    <w:p w:rsidR="00EF666B" w:rsidRPr="00143624" w:rsidRDefault="00EF666B" w:rsidP="00EF666B">
      <w:pPr>
        <w:pStyle w:val="paragraph"/>
      </w:pPr>
      <w:r w:rsidRPr="00143624">
        <w:tab/>
        <w:t>(b)</w:t>
      </w:r>
      <w:r w:rsidRPr="00143624">
        <w:tab/>
        <w:t>died as a result of sustaining the injury; and</w:t>
      </w:r>
    </w:p>
    <w:p w:rsidR="00EF666B" w:rsidRPr="00143624" w:rsidRDefault="00EF666B" w:rsidP="00EF666B">
      <w:pPr>
        <w:pStyle w:val="paragraph"/>
      </w:pPr>
      <w:r w:rsidRPr="00143624">
        <w:tab/>
        <w:t>(c)</w:t>
      </w:r>
      <w:r w:rsidRPr="00143624">
        <w:tab/>
        <w:t>sustained the injury while performing the duties of a military or police person.</w:t>
      </w:r>
    </w:p>
    <w:p w:rsidR="00EF666B" w:rsidRPr="00143624" w:rsidRDefault="00EF666B" w:rsidP="00EF666B">
      <w:pPr>
        <w:pStyle w:val="subsection"/>
      </w:pPr>
      <w:r w:rsidRPr="00143624">
        <w:tab/>
        <w:t>(5)</w:t>
      </w:r>
      <w:r w:rsidRPr="00143624">
        <w:tab/>
        <w:t>A circumstance is that the deceased person:</w:t>
      </w:r>
    </w:p>
    <w:p w:rsidR="00EF666B" w:rsidRPr="00143624" w:rsidRDefault="00EF666B" w:rsidP="00EF666B">
      <w:pPr>
        <w:pStyle w:val="paragraph"/>
      </w:pPr>
      <w:r w:rsidRPr="00143624">
        <w:tab/>
        <w:t>(a)</w:t>
      </w:r>
      <w:r w:rsidRPr="00143624">
        <w:tab/>
        <w:t>was off duty at the time of sustaining an injury; and</w:t>
      </w:r>
    </w:p>
    <w:p w:rsidR="00EF666B" w:rsidRPr="00143624" w:rsidRDefault="00EF666B" w:rsidP="00EF666B">
      <w:pPr>
        <w:pStyle w:val="paragraph"/>
      </w:pPr>
      <w:r w:rsidRPr="00143624">
        <w:tab/>
        <w:t>(b)</w:t>
      </w:r>
      <w:r w:rsidRPr="00143624">
        <w:tab/>
        <w:t>sustained the injury:</w:t>
      </w:r>
    </w:p>
    <w:p w:rsidR="00EF666B" w:rsidRPr="00143624" w:rsidRDefault="00EF666B" w:rsidP="00EF666B">
      <w:pPr>
        <w:pStyle w:val="paragraphsub"/>
      </w:pPr>
      <w:r w:rsidRPr="00143624">
        <w:tab/>
        <w:t>(i)</w:t>
      </w:r>
      <w:r w:rsidRPr="00143624">
        <w:tab/>
        <w:t>in the course of an attempt to arrest a suspected offender; or</w:t>
      </w:r>
    </w:p>
    <w:p w:rsidR="00EF666B" w:rsidRPr="00143624" w:rsidRDefault="00EF666B" w:rsidP="00EF666B">
      <w:pPr>
        <w:pStyle w:val="paragraphsub"/>
      </w:pPr>
      <w:r w:rsidRPr="00143624">
        <w:tab/>
        <w:t>(ii)</w:t>
      </w:r>
      <w:r w:rsidRPr="00143624">
        <w:tab/>
        <w:t>in the course of an attempt to prevent an offence; or</w:t>
      </w:r>
    </w:p>
    <w:p w:rsidR="00EF666B" w:rsidRPr="00143624" w:rsidRDefault="00EF666B" w:rsidP="00EF666B">
      <w:pPr>
        <w:pStyle w:val="paragraphsub"/>
      </w:pPr>
      <w:r w:rsidRPr="00143624">
        <w:tab/>
        <w:t>(iii)</w:t>
      </w:r>
      <w:r w:rsidRPr="00143624">
        <w:tab/>
        <w:t>in the course of an attempt to rescue a person; or</w:t>
      </w:r>
    </w:p>
    <w:p w:rsidR="00EF666B" w:rsidRPr="00143624" w:rsidRDefault="00EF666B" w:rsidP="00EF666B">
      <w:pPr>
        <w:pStyle w:val="paragraphsub"/>
      </w:pPr>
      <w:r w:rsidRPr="00143624">
        <w:tab/>
        <w:t>(iv)</w:t>
      </w:r>
      <w:r w:rsidRPr="00143624">
        <w:tab/>
        <w:t>while the deceased person was travelling to a place of work as a result of being recalled to duty; and</w:t>
      </w:r>
    </w:p>
    <w:p w:rsidR="00EF666B" w:rsidRPr="00143624" w:rsidRDefault="00EF666B" w:rsidP="00EF666B">
      <w:pPr>
        <w:pStyle w:val="paragraph"/>
      </w:pPr>
      <w:r w:rsidRPr="00143624">
        <w:lastRenderedPageBreak/>
        <w:tab/>
        <w:t>(c)</w:t>
      </w:r>
      <w:r w:rsidRPr="00143624">
        <w:tab/>
        <w:t>died within 12 months after sustaining the injury; and</w:t>
      </w:r>
    </w:p>
    <w:p w:rsidR="00EF666B" w:rsidRPr="00143624" w:rsidRDefault="00EF666B" w:rsidP="00EF666B">
      <w:pPr>
        <w:pStyle w:val="paragraph"/>
      </w:pPr>
      <w:r w:rsidRPr="00143624">
        <w:tab/>
        <w:t>(d)</w:t>
      </w:r>
      <w:r w:rsidRPr="00143624">
        <w:tab/>
        <w:t>died as a result of sustaining the injury.</w:t>
      </w:r>
    </w:p>
    <w:p w:rsidR="00EF666B" w:rsidRPr="00143624" w:rsidRDefault="00EF666B" w:rsidP="00EF666B">
      <w:pPr>
        <w:pStyle w:val="SubsectionHead"/>
      </w:pPr>
      <w:r w:rsidRPr="00143624">
        <w:t>Overseas service</w:t>
      </w:r>
    </w:p>
    <w:p w:rsidR="00EF666B" w:rsidRPr="00143624" w:rsidRDefault="00EF666B" w:rsidP="00EF666B">
      <w:pPr>
        <w:pStyle w:val="subsection"/>
      </w:pPr>
      <w:r w:rsidRPr="00143624">
        <w:tab/>
        <w:t>(6)</w:t>
      </w:r>
      <w:r w:rsidRPr="00143624">
        <w:tab/>
        <w:t>A circumstance is that the deceased person:</w:t>
      </w:r>
    </w:p>
    <w:p w:rsidR="00EF666B" w:rsidRPr="00143624" w:rsidRDefault="00EF666B" w:rsidP="00EF666B">
      <w:pPr>
        <w:pStyle w:val="paragraph"/>
      </w:pPr>
      <w:r w:rsidRPr="00143624">
        <w:tab/>
        <w:t>(a)</w:t>
      </w:r>
      <w:r w:rsidRPr="00143624">
        <w:tab/>
        <w:t>was a member of the Defence Force; and</w:t>
      </w:r>
    </w:p>
    <w:p w:rsidR="00EF666B" w:rsidRPr="00143624" w:rsidRDefault="00EF666B" w:rsidP="00EF666B">
      <w:pPr>
        <w:pStyle w:val="paragraph"/>
      </w:pPr>
      <w:r w:rsidRPr="00143624">
        <w:tab/>
        <w:t>(b)</w:t>
      </w:r>
      <w:r w:rsidRPr="00143624">
        <w:tab/>
        <w:t>died while serving overseas, if the service was:</w:t>
      </w:r>
    </w:p>
    <w:p w:rsidR="00EF666B" w:rsidRPr="00143624" w:rsidRDefault="00EF666B" w:rsidP="00EF666B">
      <w:pPr>
        <w:pStyle w:val="paragraphsub"/>
      </w:pPr>
      <w:r w:rsidRPr="00143624">
        <w:tab/>
        <w:t>(i)</w:t>
      </w:r>
      <w:r w:rsidRPr="00143624">
        <w:tab/>
        <w:t>warlike service mentioned in paragraph</w:t>
      </w:r>
      <w:r w:rsidR="002B1A95" w:rsidRPr="00143624">
        <w:t> </w:t>
      </w:r>
      <w:r w:rsidRPr="00143624">
        <w:t xml:space="preserve">6(1)(a) of the </w:t>
      </w:r>
      <w:r w:rsidRPr="00143624">
        <w:rPr>
          <w:i/>
          <w:iCs/>
        </w:rPr>
        <w:t>Military Rehabilitation and Compensation Act 2004</w:t>
      </w:r>
      <w:r w:rsidRPr="00143624">
        <w:t>; or</w:t>
      </w:r>
    </w:p>
    <w:p w:rsidR="00EF666B" w:rsidRPr="00143624" w:rsidRDefault="00EF666B" w:rsidP="00EF666B">
      <w:pPr>
        <w:pStyle w:val="paragraphsub"/>
      </w:pPr>
      <w:r w:rsidRPr="00143624">
        <w:tab/>
        <w:t>(ii)</w:t>
      </w:r>
      <w:r w:rsidRPr="00143624">
        <w:tab/>
        <w:t>non</w:t>
      </w:r>
      <w:r w:rsidR="00143624">
        <w:noBreakHyphen/>
      </w:r>
      <w:r w:rsidRPr="00143624">
        <w:t>warlike service mentioned in paragraph</w:t>
      </w:r>
      <w:r w:rsidR="002B1A95" w:rsidRPr="00143624">
        <w:t> </w:t>
      </w:r>
      <w:r w:rsidRPr="00143624">
        <w:t xml:space="preserve">6(1)(b) of the </w:t>
      </w:r>
      <w:r w:rsidRPr="00143624">
        <w:rPr>
          <w:i/>
          <w:iCs/>
        </w:rPr>
        <w:t>Military Rehabilitation and Compensation Act 2004</w:t>
      </w:r>
      <w:r w:rsidRPr="00143624">
        <w:t>.</w:t>
      </w:r>
    </w:p>
    <w:p w:rsidR="00EF666B" w:rsidRPr="00143624" w:rsidRDefault="00EF666B" w:rsidP="00EF666B">
      <w:pPr>
        <w:pStyle w:val="subsection"/>
      </w:pPr>
      <w:r w:rsidRPr="00143624">
        <w:tab/>
        <w:t>(7)</w:t>
      </w:r>
      <w:r w:rsidRPr="00143624">
        <w:tab/>
        <w:t>A circumstance is that the deceased person:</w:t>
      </w:r>
    </w:p>
    <w:p w:rsidR="00EF666B" w:rsidRPr="00143624" w:rsidRDefault="00EF666B" w:rsidP="00EF666B">
      <w:pPr>
        <w:pStyle w:val="paragraph"/>
      </w:pPr>
      <w:r w:rsidRPr="00143624">
        <w:tab/>
        <w:t>(a)</w:t>
      </w:r>
      <w:r w:rsidRPr="00143624">
        <w:tab/>
        <w:t xml:space="preserve">was a member of the Australian Federal Police or a protective service officer within the meaning of the </w:t>
      </w:r>
      <w:r w:rsidRPr="00143624">
        <w:rPr>
          <w:i/>
          <w:iCs/>
        </w:rPr>
        <w:t>Australian Federal Police Act 1979</w:t>
      </w:r>
      <w:r w:rsidRPr="00143624">
        <w:t>; and</w:t>
      </w:r>
    </w:p>
    <w:p w:rsidR="00EF666B" w:rsidRPr="00143624" w:rsidRDefault="00EF666B" w:rsidP="00EF666B">
      <w:pPr>
        <w:pStyle w:val="paragraph"/>
      </w:pPr>
      <w:r w:rsidRPr="00143624">
        <w:tab/>
        <w:t>(b)</w:t>
      </w:r>
      <w:r w:rsidRPr="00143624">
        <w:tab/>
        <w:t>died while serving overseas, if the service was:</w:t>
      </w:r>
    </w:p>
    <w:p w:rsidR="00EF666B" w:rsidRPr="00143624" w:rsidRDefault="00EF666B" w:rsidP="00EF666B">
      <w:pPr>
        <w:pStyle w:val="paragraphsub"/>
      </w:pPr>
      <w:r w:rsidRPr="00143624">
        <w:tab/>
        <w:t>(i)</w:t>
      </w:r>
      <w:r w:rsidRPr="00143624">
        <w:tab/>
        <w:t>at a place specified in a determination under subsection</w:t>
      </w:r>
      <w:r w:rsidR="002B1A95" w:rsidRPr="00143624">
        <w:t> </w:t>
      </w:r>
      <w:r w:rsidRPr="00143624">
        <w:t xml:space="preserve">40H(1) of the </w:t>
      </w:r>
      <w:r w:rsidRPr="00143624">
        <w:rPr>
          <w:i/>
          <w:iCs/>
        </w:rPr>
        <w:t>Australian Federal Police Act 1979</w:t>
      </w:r>
      <w:r w:rsidRPr="00143624">
        <w:t>; and</w:t>
      </w:r>
    </w:p>
    <w:p w:rsidR="00EF666B" w:rsidRPr="00143624" w:rsidRDefault="00EF666B" w:rsidP="00EF666B">
      <w:pPr>
        <w:pStyle w:val="paragraphsub"/>
      </w:pPr>
      <w:r w:rsidRPr="00143624">
        <w:tab/>
        <w:t>(ii)</w:t>
      </w:r>
      <w:r w:rsidRPr="00143624">
        <w:tab/>
        <w:t>on a peace</w:t>
      </w:r>
      <w:r w:rsidR="00143624">
        <w:noBreakHyphen/>
      </w:r>
      <w:r w:rsidRPr="00143624">
        <w:t>keeping or capacity</w:t>
      </w:r>
      <w:r w:rsidR="00143624">
        <w:noBreakHyphen/>
      </w:r>
      <w:r w:rsidRPr="00143624">
        <w:t>building mission.</w:t>
      </w:r>
    </w:p>
    <w:p w:rsidR="00EF666B" w:rsidRPr="00143624" w:rsidRDefault="00EF666B" w:rsidP="00EF666B">
      <w:pPr>
        <w:pStyle w:val="subsection"/>
      </w:pPr>
      <w:r w:rsidRPr="00143624">
        <w:tab/>
        <w:t>(8)</w:t>
      </w:r>
      <w:r w:rsidRPr="00143624">
        <w:tab/>
        <w:t>A circumstance is that the deceased person:</w:t>
      </w:r>
    </w:p>
    <w:p w:rsidR="00EF666B" w:rsidRPr="00143624" w:rsidRDefault="00EF666B" w:rsidP="00EF666B">
      <w:pPr>
        <w:pStyle w:val="paragraph"/>
      </w:pPr>
      <w:r w:rsidRPr="00143624">
        <w:tab/>
        <w:t>(a)</w:t>
      </w:r>
      <w:r w:rsidRPr="00143624">
        <w:tab/>
        <w:t>was a member of a State or Territory police force; and</w:t>
      </w:r>
    </w:p>
    <w:p w:rsidR="00EF666B" w:rsidRPr="00143624" w:rsidRDefault="00EF666B" w:rsidP="00EF666B">
      <w:pPr>
        <w:pStyle w:val="paragraph"/>
      </w:pPr>
      <w:r w:rsidRPr="00143624">
        <w:tab/>
        <w:t>(b)</w:t>
      </w:r>
      <w:r w:rsidRPr="00143624">
        <w:tab/>
        <w:t>died while serving overseas, if the service was:</w:t>
      </w:r>
    </w:p>
    <w:p w:rsidR="00EF666B" w:rsidRPr="00143624" w:rsidRDefault="00EF666B" w:rsidP="00EF666B">
      <w:pPr>
        <w:pStyle w:val="paragraphsub"/>
      </w:pPr>
      <w:r w:rsidRPr="00143624">
        <w:tab/>
        <w:t>(i)</w:t>
      </w:r>
      <w:r w:rsidRPr="00143624">
        <w:tab/>
        <w:t>undertaken as a special member of the Australian Federal Police under section</w:t>
      </w:r>
      <w:r w:rsidR="002B1A95" w:rsidRPr="00143624">
        <w:t> </w:t>
      </w:r>
      <w:r w:rsidRPr="00143624">
        <w:t xml:space="preserve">40E of the </w:t>
      </w:r>
      <w:r w:rsidRPr="00143624">
        <w:rPr>
          <w:i/>
          <w:iCs/>
        </w:rPr>
        <w:t>Australian Federal Police Act 1979</w:t>
      </w:r>
      <w:r w:rsidRPr="00143624">
        <w:t>; and</w:t>
      </w:r>
    </w:p>
    <w:p w:rsidR="00EF666B" w:rsidRPr="00143624" w:rsidRDefault="00EF666B" w:rsidP="00EF666B">
      <w:pPr>
        <w:pStyle w:val="paragraphsub"/>
      </w:pPr>
      <w:r w:rsidRPr="00143624">
        <w:tab/>
        <w:t>(ii)</w:t>
      </w:r>
      <w:r w:rsidRPr="00143624">
        <w:tab/>
        <w:t>on a peace</w:t>
      </w:r>
      <w:r w:rsidR="00143624">
        <w:noBreakHyphen/>
      </w:r>
      <w:r w:rsidRPr="00143624">
        <w:t>keeping or capacity</w:t>
      </w:r>
      <w:r w:rsidR="00143624">
        <w:noBreakHyphen/>
      </w:r>
      <w:r w:rsidRPr="00143624">
        <w:t>building mission.</w:t>
      </w:r>
    </w:p>
    <w:p w:rsidR="00EF666B" w:rsidRPr="00143624" w:rsidRDefault="00EF666B" w:rsidP="00EF666B">
      <w:pPr>
        <w:pStyle w:val="SubsectionHead"/>
      </w:pPr>
      <w:r w:rsidRPr="00143624">
        <w:t>Consequences of duties</w:t>
      </w:r>
    </w:p>
    <w:p w:rsidR="00EF666B" w:rsidRPr="00143624" w:rsidRDefault="00EF666B" w:rsidP="00EF666B">
      <w:pPr>
        <w:pStyle w:val="subsection"/>
      </w:pPr>
      <w:r w:rsidRPr="00143624">
        <w:tab/>
        <w:t>(9)</w:t>
      </w:r>
      <w:r w:rsidRPr="00143624">
        <w:tab/>
        <w:t>A circumstance is that, as a result of action taken because the deceased person was a military or police person, the deceased person sustained an injury from which the deceased person died:</w:t>
      </w:r>
    </w:p>
    <w:p w:rsidR="00EF666B" w:rsidRPr="00143624" w:rsidRDefault="00EF666B" w:rsidP="00EF666B">
      <w:pPr>
        <w:pStyle w:val="paragraph"/>
      </w:pPr>
      <w:r w:rsidRPr="00143624">
        <w:tab/>
        <w:t>(a)</w:t>
      </w:r>
      <w:r w:rsidRPr="00143624">
        <w:tab/>
        <w:t>immediately; or</w:t>
      </w:r>
    </w:p>
    <w:p w:rsidR="00EF666B" w:rsidRPr="00143624" w:rsidRDefault="00EF666B" w:rsidP="00EF666B">
      <w:pPr>
        <w:pStyle w:val="paragraph"/>
      </w:pPr>
      <w:r w:rsidRPr="00143624">
        <w:tab/>
        <w:t>(b)</w:t>
      </w:r>
      <w:r w:rsidRPr="00143624">
        <w:tab/>
        <w:t>within 12 months after sustaining the injury.</w:t>
      </w:r>
    </w:p>
    <w:p w:rsidR="00EF666B" w:rsidRPr="00143624" w:rsidRDefault="00EF666B" w:rsidP="00EF666B">
      <w:pPr>
        <w:pStyle w:val="notetext"/>
      </w:pPr>
      <w:r w:rsidRPr="00143624">
        <w:t>Example:</w:t>
      </w:r>
      <w:r w:rsidRPr="00143624">
        <w:rPr>
          <w:i/>
        </w:rPr>
        <w:tab/>
      </w:r>
      <w:r w:rsidRPr="00143624">
        <w:t>The deceased person was killed in retaliation for an action taken in the deceased person’s capacity as a member of a State or Territory police force.</w:t>
      </w:r>
    </w:p>
    <w:p w:rsidR="00EF666B" w:rsidRPr="00143624" w:rsidRDefault="00EF666B" w:rsidP="00EF666B">
      <w:pPr>
        <w:pStyle w:val="SubsectionHead"/>
      </w:pPr>
      <w:r w:rsidRPr="00143624">
        <w:t>Uncertainty about circumstances of death</w:t>
      </w:r>
    </w:p>
    <w:p w:rsidR="00EF666B" w:rsidRPr="00143624" w:rsidRDefault="00EF666B" w:rsidP="00EF666B">
      <w:pPr>
        <w:pStyle w:val="subsection"/>
      </w:pPr>
      <w:r w:rsidRPr="00143624">
        <w:tab/>
        <w:t>(10)</w:t>
      </w:r>
      <w:r w:rsidRPr="00143624">
        <w:tab/>
        <w:t>A circumstance is that:</w:t>
      </w:r>
    </w:p>
    <w:p w:rsidR="00EF666B" w:rsidRPr="00143624" w:rsidRDefault="00EF666B" w:rsidP="00EF666B">
      <w:pPr>
        <w:pStyle w:val="paragraph"/>
      </w:pPr>
      <w:r w:rsidRPr="00143624">
        <w:tab/>
        <w:t>(a)</w:t>
      </w:r>
      <w:r w:rsidRPr="00143624">
        <w:tab/>
        <w:t xml:space="preserve">the deceased person has died in a circumstance in any of </w:t>
      </w:r>
      <w:r w:rsidR="002B1A95" w:rsidRPr="00143624">
        <w:t>subsections (</w:t>
      </w:r>
      <w:r w:rsidRPr="00143624">
        <w:t>2) to (9); and</w:t>
      </w:r>
    </w:p>
    <w:p w:rsidR="00EF666B" w:rsidRPr="00143624" w:rsidRDefault="00EF666B" w:rsidP="00EF666B">
      <w:pPr>
        <w:pStyle w:val="paragraph"/>
      </w:pPr>
      <w:r w:rsidRPr="00143624">
        <w:tab/>
        <w:t>(b)</w:t>
      </w:r>
      <w:r w:rsidRPr="00143624">
        <w:tab/>
        <w:t>it is not certain, after reasonable inquiry, whether the deceased person has died in a circumstance specified in section 302</w:t>
      </w:r>
      <w:r w:rsidR="00143624">
        <w:noBreakHyphen/>
      </w:r>
      <w:r w:rsidRPr="00143624">
        <w:t>195.02.</w:t>
      </w:r>
    </w:p>
    <w:p w:rsidR="00EF666B" w:rsidRPr="00143624" w:rsidRDefault="00EF666B" w:rsidP="00EF666B">
      <w:pPr>
        <w:pStyle w:val="SubsectionHead"/>
      </w:pPr>
      <w:r w:rsidRPr="00143624">
        <w:t>Interpretation</w:t>
      </w:r>
    </w:p>
    <w:p w:rsidR="00EF666B" w:rsidRPr="00143624" w:rsidRDefault="00EF666B" w:rsidP="00EF666B">
      <w:pPr>
        <w:pStyle w:val="subsection"/>
      </w:pPr>
      <w:r w:rsidRPr="00143624">
        <w:tab/>
        <w:t>(11)</w:t>
      </w:r>
      <w:r w:rsidRPr="00143624">
        <w:tab/>
        <w:t>For the purposes of this section and section 302</w:t>
      </w:r>
      <w:r w:rsidR="00143624">
        <w:noBreakHyphen/>
      </w:r>
      <w:r w:rsidRPr="00143624">
        <w:t>195.02, the time when a person is off duty includes a time when the person is:</w:t>
      </w:r>
    </w:p>
    <w:p w:rsidR="00EF666B" w:rsidRPr="00143624" w:rsidRDefault="00EF666B" w:rsidP="00EF666B">
      <w:pPr>
        <w:pStyle w:val="paragraph"/>
      </w:pPr>
      <w:r w:rsidRPr="00143624">
        <w:lastRenderedPageBreak/>
        <w:tab/>
        <w:t>(a)</w:t>
      </w:r>
      <w:r w:rsidRPr="00143624">
        <w:tab/>
        <w:t>travelling to or from the person’s place of work; or</w:t>
      </w:r>
    </w:p>
    <w:p w:rsidR="00EF666B" w:rsidRPr="00143624" w:rsidRDefault="00EF666B" w:rsidP="00EF666B">
      <w:pPr>
        <w:pStyle w:val="paragraph"/>
      </w:pPr>
      <w:r w:rsidRPr="00143624">
        <w:tab/>
        <w:t>(b)</w:t>
      </w:r>
      <w:r w:rsidRPr="00143624">
        <w:tab/>
        <w:t>on a rostered day off work; or</w:t>
      </w:r>
    </w:p>
    <w:p w:rsidR="00EF666B" w:rsidRPr="00143624" w:rsidRDefault="00EF666B" w:rsidP="00EF666B">
      <w:pPr>
        <w:pStyle w:val="paragraph"/>
      </w:pPr>
      <w:r w:rsidRPr="00143624">
        <w:tab/>
        <w:t>(c)</w:t>
      </w:r>
      <w:r w:rsidRPr="00143624">
        <w:tab/>
        <w:t>on leave from work.</w:t>
      </w:r>
    </w:p>
    <w:p w:rsidR="00EF666B" w:rsidRPr="00143624" w:rsidRDefault="00EF666B" w:rsidP="00EF666B">
      <w:pPr>
        <w:pStyle w:val="ActHead5"/>
      </w:pPr>
      <w:bookmarkStart w:id="113" w:name="_Toc64030371"/>
      <w:r w:rsidRPr="003F3E0B">
        <w:rPr>
          <w:rStyle w:val="CharSectno"/>
        </w:rPr>
        <w:t>302</w:t>
      </w:r>
      <w:r w:rsidR="00143624" w:rsidRPr="003F3E0B">
        <w:rPr>
          <w:rStyle w:val="CharSectno"/>
        </w:rPr>
        <w:noBreakHyphen/>
      </w:r>
      <w:r w:rsidRPr="003F3E0B">
        <w:rPr>
          <w:rStyle w:val="CharSectno"/>
        </w:rPr>
        <w:t>195.02</w:t>
      </w:r>
      <w:r w:rsidRPr="00143624">
        <w:t xml:space="preserve">  Circumstances in which a person has not died in the line of duty</w:t>
      </w:r>
      <w:bookmarkEnd w:id="113"/>
    </w:p>
    <w:p w:rsidR="00EF666B" w:rsidRPr="00143624" w:rsidRDefault="00EF666B" w:rsidP="00EF666B">
      <w:pPr>
        <w:pStyle w:val="subsection"/>
      </w:pPr>
      <w:r w:rsidRPr="00143624">
        <w:tab/>
        <w:t>(1)</w:t>
      </w:r>
      <w:r w:rsidRPr="00143624">
        <w:tab/>
        <w:t>For the purposes of subsection</w:t>
      </w:r>
      <w:r w:rsidR="002B1A95" w:rsidRPr="00143624">
        <w:t> </w:t>
      </w:r>
      <w:r w:rsidRPr="00143624">
        <w:t>302</w:t>
      </w:r>
      <w:r w:rsidR="00143624">
        <w:noBreakHyphen/>
      </w:r>
      <w:r w:rsidRPr="00143624">
        <w:t>195(3) of the Act, this section specifies different circumstances in which, despite section 302</w:t>
      </w:r>
      <w:r w:rsidR="00143624">
        <w:noBreakHyphen/>
      </w:r>
      <w:r w:rsidRPr="00143624">
        <w:t>195.01, a military or police person</w:t>
      </w:r>
      <w:r w:rsidRPr="00143624">
        <w:rPr>
          <w:b/>
          <w:i/>
        </w:rPr>
        <w:t xml:space="preserve"> </w:t>
      </w:r>
      <w:r w:rsidRPr="00143624">
        <w:t xml:space="preserve">(the </w:t>
      </w:r>
      <w:r w:rsidRPr="00143624">
        <w:rPr>
          <w:b/>
          <w:i/>
        </w:rPr>
        <w:t>deceased person</w:t>
      </w:r>
      <w:r w:rsidRPr="00143624">
        <w:t>) has not died in the line of duty.</w:t>
      </w:r>
    </w:p>
    <w:p w:rsidR="00EF666B" w:rsidRPr="00143624" w:rsidRDefault="00EF666B" w:rsidP="00EF666B">
      <w:pPr>
        <w:pStyle w:val="SubsectionHead"/>
      </w:pPr>
      <w:r w:rsidRPr="00143624">
        <w:t>Off duty</w:t>
      </w:r>
    </w:p>
    <w:p w:rsidR="00EF666B" w:rsidRPr="00143624" w:rsidRDefault="00EF666B" w:rsidP="00EF666B">
      <w:pPr>
        <w:pStyle w:val="subsection"/>
      </w:pPr>
      <w:r w:rsidRPr="00143624">
        <w:tab/>
        <w:t>(2)</w:t>
      </w:r>
      <w:r w:rsidRPr="00143624">
        <w:tab/>
        <w:t>A circumstance is that:</w:t>
      </w:r>
    </w:p>
    <w:p w:rsidR="00EF666B" w:rsidRPr="00143624" w:rsidRDefault="00EF666B" w:rsidP="00EF666B">
      <w:pPr>
        <w:pStyle w:val="paragraph"/>
      </w:pPr>
      <w:r w:rsidRPr="00143624">
        <w:tab/>
        <w:t>(a)</w:t>
      </w:r>
      <w:r w:rsidRPr="00143624">
        <w:tab/>
        <w:t>the deceased person was off duty at the time of death; and</w:t>
      </w:r>
    </w:p>
    <w:p w:rsidR="00EF666B" w:rsidRPr="00143624" w:rsidRDefault="00EF666B" w:rsidP="00EF666B">
      <w:pPr>
        <w:pStyle w:val="paragraph"/>
      </w:pPr>
      <w:r w:rsidRPr="00143624">
        <w:tab/>
        <w:t>(b)</w:t>
      </w:r>
      <w:r w:rsidRPr="00143624">
        <w:tab/>
        <w:t>none of subsections 302</w:t>
      </w:r>
      <w:r w:rsidR="00143624">
        <w:noBreakHyphen/>
      </w:r>
      <w:r w:rsidRPr="00143624">
        <w:t>195.01(3), (6), (7), (8) and (9) apply.</w:t>
      </w:r>
    </w:p>
    <w:p w:rsidR="00EF666B" w:rsidRPr="00143624" w:rsidRDefault="00EF666B" w:rsidP="00EF666B">
      <w:pPr>
        <w:pStyle w:val="subsection"/>
      </w:pPr>
      <w:r w:rsidRPr="00143624">
        <w:tab/>
        <w:t>(3)</w:t>
      </w:r>
      <w:r w:rsidRPr="00143624">
        <w:tab/>
        <w:t>A circumstance is that:</w:t>
      </w:r>
    </w:p>
    <w:p w:rsidR="00EF666B" w:rsidRPr="00143624" w:rsidRDefault="00EF666B" w:rsidP="00EF666B">
      <w:pPr>
        <w:pStyle w:val="paragraph"/>
      </w:pPr>
      <w:r w:rsidRPr="00143624">
        <w:tab/>
        <w:t>(a)</w:t>
      </w:r>
      <w:r w:rsidRPr="00143624">
        <w:tab/>
        <w:t>the deceased person died as a result of sustaining an injury; and</w:t>
      </w:r>
    </w:p>
    <w:p w:rsidR="00EF666B" w:rsidRPr="00143624" w:rsidRDefault="00EF666B" w:rsidP="00EF666B">
      <w:pPr>
        <w:pStyle w:val="paragraph"/>
      </w:pPr>
      <w:r w:rsidRPr="00143624">
        <w:tab/>
        <w:t>(b)</w:t>
      </w:r>
      <w:r w:rsidRPr="00143624">
        <w:tab/>
        <w:t>the deceased person was off duty at the time of sustaining the injury; and</w:t>
      </w:r>
    </w:p>
    <w:p w:rsidR="00EF666B" w:rsidRPr="00143624" w:rsidRDefault="00EF666B" w:rsidP="00EF666B">
      <w:pPr>
        <w:pStyle w:val="paragraph"/>
      </w:pPr>
      <w:r w:rsidRPr="00143624">
        <w:tab/>
        <w:t>(c)</w:t>
      </w:r>
      <w:r w:rsidRPr="00143624">
        <w:tab/>
        <w:t>none of subsections 302</w:t>
      </w:r>
      <w:r w:rsidR="00143624">
        <w:noBreakHyphen/>
      </w:r>
      <w:r w:rsidRPr="00143624">
        <w:t>195.01(5), (6), (7), (8) and (9) apply.</w:t>
      </w:r>
    </w:p>
    <w:p w:rsidR="00EF666B" w:rsidRPr="00143624" w:rsidRDefault="00EF666B" w:rsidP="00EF666B">
      <w:pPr>
        <w:pStyle w:val="SubsectionHead"/>
      </w:pPr>
      <w:r w:rsidRPr="00143624">
        <w:t>Incidental activity</w:t>
      </w:r>
    </w:p>
    <w:p w:rsidR="00EF666B" w:rsidRPr="00143624" w:rsidRDefault="00EF666B" w:rsidP="00EF666B">
      <w:pPr>
        <w:pStyle w:val="subsection"/>
      </w:pPr>
      <w:r w:rsidRPr="00143624">
        <w:tab/>
        <w:t>(4)</w:t>
      </w:r>
      <w:r w:rsidRPr="00143624">
        <w:tab/>
        <w:t>A circumstance is that:</w:t>
      </w:r>
    </w:p>
    <w:p w:rsidR="00EF666B" w:rsidRPr="00143624" w:rsidRDefault="00EF666B" w:rsidP="00EF666B">
      <w:pPr>
        <w:pStyle w:val="paragraph"/>
      </w:pPr>
      <w:r w:rsidRPr="00143624">
        <w:tab/>
        <w:t>(a)</w:t>
      </w:r>
      <w:r w:rsidRPr="00143624">
        <w:tab/>
        <w:t>the deceased person’s death related to an activity that was not directly related to the performance of the deceased person’s duties; and</w:t>
      </w:r>
    </w:p>
    <w:p w:rsidR="00EF666B" w:rsidRPr="00143624" w:rsidRDefault="00EF666B" w:rsidP="00EF666B">
      <w:pPr>
        <w:pStyle w:val="paragraph"/>
      </w:pPr>
      <w:r w:rsidRPr="00143624">
        <w:tab/>
        <w:t>(b)</w:t>
      </w:r>
      <w:r w:rsidRPr="00143624">
        <w:tab/>
        <w:t>none of subsections 302</w:t>
      </w:r>
      <w:r w:rsidR="00143624">
        <w:noBreakHyphen/>
      </w:r>
      <w:r w:rsidRPr="00143624">
        <w:t>195.01(6), (7) and (8) apply.</w:t>
      </w:r>
    </w:p>
    <w:p w:rsidR="00EF666B" w:rsidRPr="00143624" w:rsidRDefault="00EF666B" w:rsidP="00EF666B">
      <w:pPr>
        <w:pStyle w:val="notetext"/>
      </w:pPr>
      <w:r w:rsidRPr="00143624">
        <w:t>Example</w:t>
      </w:r>
      <w:r w:rsidRPr="00143624">
        <w:rPr>
          <w:i/>
        </w:rPr>
        <w:t>:</w:t>
      </w:r>
      <w:r w:rsidRPr="00143624">
        <w:rPr>
          <w:i/>
        </w:rPr>
        <w:tab/>
      </w:r>
      <w:r w:rsidRPr="00143624">
        <w:t>The person’s death related to undertaking a sporting activity.</w:t>
      </w:r>
    </w:p>
    <w:p w:rsidR="00EF666B" w:rsidRPr="00143624" w:rsidRDefault="00EF666B" w:rsidP="00EF666B">
      <w:pPr>
        <w:pStyle w:val="SubsectionHead"/>
      </w:pPr>
      <w:r w:rsidRPr="00143624">
        <w:t>Death after retirement</w:t>
      </w:r>
    </w:p>
    <w:p w:rsidR="00EF666B" w:rsidRPr="00143624" w:rsidRDefault="00EF666B" w:rsidP="00EF666B">
      <w:pPr>
        <w:pStyle w:val="subsection"/>
      </w:pPr>
      <w:r w:rsidRPr="00143624">
        <w:tab/>
        <w:t>(5)</w:t>
      </w:r>
      <w:r w:rsidRPr="00143624">
        <w:tab/>
        <w:t>A circumstance is that:</w:t>
      </w:r>
    </w:p>
    <w:p w:rsidR="00EF666B" w:rsidRPr="00143624" w:rsidRDefault="00EF666B" w:rsidP="00EF666B">
      <w:pPr>
        <w:pStyle w:val="paragraph"/>
      </w:pPr>
      <w:r w:rsidRPr="00143624">
        <w:tab/>
        <w:t>(a)</w:t>
      </w:r>
      <w:r w:rsidRPr="00143624">
        <w:tab/>
        <w:t>the deceased person died after retiring from being a military or police person; and</w:t>
      </w:r>
    </w:p>
    <w:p w:rsidR="00EF666B" w:rsidRPr="00143624" w:rsidRDefault="00EF666B" w:rsidP="00EF666B">
      <w:pPr>
        <w:pStyle w:val="paragraph"/>
      </w:pPr>
      <w:r w:rsidRPr="00143624">
        <w:tab/>
        <w:t>(b)</w:t>
      </w:r>
      <w:r w:rsidRPr="00143624">
        <w:tab/>
        <w:t>none of subsections 302</w:t>
      </w:r>
      <w:r w:rsidR="00143624">
        <w:noBreakHyphen/>
      </w:r>
      <w:r w:rsidRPr="00143624">
        <w:t>195.01(4), (5) and (9) apply.</w:t>
      </w:r>
    </w:p>
    <w:p w:rsidR="00EF666B" w:rsidRPr="00143624" w:rsidRDefault="00EF666B" w:rsidP="00EF666B">
      <w:pPr>
        <w:pStyle w:val="SubsectionHead"/>
      </w:pPr>
      <w:r w:rsidRPr="00143624">
        <w:t>Suicide</w:t>
      </w:r>
    </w:p>
    <w:p w:rsidR="00EF666B" w:rsidRPr="00143624" w:rsidRDefault="00EF666B" w:rsidP="00EF666B">
      <w:pPr>
        <w:pStyle w:val="subsection"/>
      </w:pPr>
      <w:r w:rsidRPr="00143624">
        <w:tab/>
        <w:t>(6)</w:t>
      </w:r>
      <w:r w:rsidRPr="00143624">
        <w:tab/>
        <w:t>A circumstance is that the deceased person died as a result of committing suicide.</w:t>
      </w:r>
    </w:p>
    <w:p w:rsidR="00EF666B" w:rsidRPr="00143624" w:rsidRDefault="00EF666B" w:rsidP="00EF666B">
      <w:pPr>
        <w:pStyle w:val="SubsectionHead"/>
      </w:pPr>
      <w:r w:rsidRPr="00143624">
        <w:t>Natural causes or disease</w:t>
      </w:r>
    </w:p>
    <w:p w:rsidR="00EF666B" w:rsidRPr="00143624" w:rsidRDefault="00EF666B" w:rsidP="00EF666B">
      <w:pPr>
        <w:pStyle w:val="subsection"/>
      </w:pPr>
      <w:r w:rsidRPr="00143624">
        <w:tab/>
        <w:t>(7)</w:t>
      </w:r>
      <w:r w:rsidRPr="00143624">
        <w:tab/>
        <w:t>A circumstance is that:</w:t>
      </w:r>
    </w:p>
    <w:p w:rsidR="00EF666B" w:rsidRPr="00143624" w:rsidRDefault="00EF666B" w:rsidP="00EF666B">
      <w:pPr>
        <w:pStyle w:val="paragraph"/>
      </w:pPr>
      <w:r w:rsidRPr="00143624">
        <w:tab/>
        <w:t>(a)</w:t>
      </w:r>
      <w:r w:rsidRPr="00143624">
        <w:tab/>
        <w:t>the deceased person died as a result of:</w:t>
      </w:r>
    </w:p>
    <w:p w:rsidR="00EF666B" w:rsidRPr="00143624" w:rsidRDefault="00EF666B" w:rsidP="00EF666B">
      <w:pPr>
        <w:pStyle w:val="paragraphsub"/>
      </w:pPr>
      <w:r w:rsidRPr="00143624">
        <w:tab/>
        <w:t>(i)</w:t>
      </w:r>
      <w:r w:rsidRPr="00143624">
        <w:tab/>
        <w:t>natural causes; or</w:t>
      </w:r>
    </w:p>
    <w:p w:rsidR="00EF666B" w:rsidRPr="00143624" w:rsidRDefault="00EF666B" w:rsidP="00EF666B">
      <w:pPr>
        <w:pStyle w:val="paragraphsub"/>
      </w:pPr>
      <w:r w:rsidRPr="00143624">
        <w:tab/>
        <w:t>(ii)</w:t>
      </w:r>
      <w:r w:rsidRPr="00143624">
        <w:tab/>
        <w:t>an illness or disease; and</w:t>
      </w:r>
    </w:p>
    <w:p w:rsidR="00EF666B" w:rsidRPr="00143624" w:rsidRDefault="00EF666B" w:rsidP="00EF666B">
      <w:pPr>
        <w:pStyle w:val="paragraph"/>
      </w:pPr>
      <w:r w:rsidRPr="00143624">
        <w:tab/>
        <w:t>(b)</w:t>
      </w:r>
      <w:r w:rsidRPr="00143624">
        <w:tab/>
        <w:t>none of subsections 302</w:t>
      </w:r>
      <w:r w:rsidR="00143624">
        <w:noBreakHyphen/>
      </w:r>
      <w:r w:rsidRPr="00143624">
        <w:t>195.01(6), (7) and (8) apply.</w:t>
      </w:r>
    </w:p>
    <w:p w:rsidR="00EF666B" w:rsidRPr="00143624" w:rsidRDefault="00EF666B" w:rsidP="00EF666B">
      <w:pPr>
        <w:pStyle w:val="ActHead5"/>
      </w:pPr>
      <w:bookmarkStart w:id="114" w:name="_Toc64030372"/>
      <w:r w:rsidRPr="003F3E0B">
        <w:rPr>
          <w:rStyle w:val="CharSectno"/>
        </w:rPr>
        <w:lastRenderedPageBreak/>
        <w:t>302</w:t>
      </w:r>
      <w:r w:rsidR="00143624" w:rsidRPr="003F3E0B">
        <w:rPr>
          <w:rStyle w:val="CharSectno"/>
        </w:rPr>
        <w:noBreakHyphen/>
      </w:r>
      <w:r w:rsidRPr="003F3E0B">
        <w:rPr>
          <w:rStyle w:val="CharSectno"/>
        </w:rPr>
        <w:t>200.01</w:t>
      </w:r>
      <w:r w:rsidRPr="00143624">
        <w:t xml:space="preserve">  What is an interdependency relationship—matters to be taken into account</w:t>
      </w:r>
      <w:bookmarkEnd w:id="114"/>
    </w:p>
    <w:p w:rsidR="00EF666B" w:rsidRPr="00143624" w:rsidRDefault="00EF666B" w:rsidP="00EF666B">
      <w:pPr>
        <w:pStyle w:val="subsection"/>
      </w:pPr>
      <w:r w:rsidRPr="00143624">
        <w:rPr>
          <w:color w:val="000000"/>
        </w:rPr>
        <w:tab/>
        <w:t>(1)</w:t>
      </w:r>
      <w:r w:rsidRPr="00143624">
        <w:rPr>
          <w:color w:val="000000"/>
        </w:rPr>
        <w:tab/>
        <w:t>For the purposes of paragraph</w:t>
      </w:r>
      <w:r w:rsidR="002B1A95" w:rsidRPr="00143624">
        <w:rPr>
          <w:color w:val="000000"/>
        </w:rPr>
        <w:t> </w:t>
      </w:r>
      <w:r w:rsidRPr="00143624">
        <w:rPr>
          <w:color w:val="000000"/>
        </w:rPr>
        <w:t>302</w:t>
      </w:r>
      <w:r w:rsidR="00143624">
        <w:rPr>
          <w:color w:val="000000"/>
        </w:rPr>
        <w:noBreakHyphen/>
      </w:r>
      <w:r w:rsidRPr="00143624">
        <w:rPr>
          <w:color w:val="000000"/>
        </w:rPr>
        <w:t xml:space="preserve">200(3)(a) of the Act, this section specifies matters that are to be taken into account in determining whether 2 persons have an interdependency relationship </w:t>
      </w:r>
      <w:r w:rsidRPr="00143624">
        <w:t>under section</w:t>
      </w:r>
      <w:r w:rsidR="002B1A95" w:rsidRPr="00143624">
        <w:t> </w:t>
      </w:r>
      <w:r w:rsidRPr="00143624">
        <w:t>302</w:t>
      </w:r>
      <w:r w:rsidR="00143624">
        <w:noBreakHyphen/>
      </w:r>
      <w:r w:rsidRPr="00143624">
        <w:t>200 of the Act</w:t>
      </w:r>
      <w:r w:rsidRPr="00143624">
        <w:rPr>
          <w:color w:val="000000"/>
        </w:rPr>
        <w:t>.</w:t>
      </w:r>
    </w:p>
    <w:p w:rsidR="00EF666B" w:rsidRPr="00143624" w:rsidRDefault="00EF666B" w:rsidP="00EF666B">
      <w:pPr>
        <w:pStyle w:val="subsection"/>
      </w:pPr>
      <w:r w:rsidRPr="00143624">
        <w:tab/>
        <w:t>(2)</w:t>
      </w:r>
      <w:r w:rsidRPr="00143624">
        <w:tab/>
        <w:t>The matters are:</w:t>
      </w:r>
    </w:p>
    <w:p w:rsidR="00EF666B" w:rsidRPr="00143624" w:rsidRDefault="00EF666B" w:rsidP="00EF666B">
      <w:pPr>
        <w:pStyle w:val="paragraph"/>
      </w:pPr>
      <w:r w:rsidRPr="00143624">
        <w:tab/>
        <w:t>(a)</w:t>
      </w:r>
      <w:r w:rsidRPr="00143624">
        <w:tab/>
        <w:t>all of the circumstances of the relationship between the persons, including (where relevant):</w:t>
      </w:r>
    </w:p>
    <w:p w:rsidR="00EF666B" w:rsidRPr="00143624" w:rsidRDefault="00EF666B" w:rsidP="00EF666B">
      <w:pPr>
        <w:pStyle w:val="paragraphsub"/>
      </w:pPr>
      <w:r w:rsidRPr="00143624">
        <w:rPr>
          <w:color w:val="000000"/>
        </w:rPr>
        <w:tab/>
        <w:t>(i)</w:t>
      </w:r>
      <w:r w:rsidRPr="00143624">
        <w:rPr>
          <w:color w:val="000000"/>
        </w:rPr>
        <w:tab/>
        <w:t>the duration of the relationship; and</w:t>
      </w:r>
    </w:p>
    <w:p w:rsidR="00EF666B" w:rsidRPr="00143624" w:rsidRDefault="00EF666B" w:rsidP="00EF666B">
      <w:pPr>
        <w:pStyle w:val="paragraphsub"/>
      </w:pPr>
      <w:r w:rsidRPr="00143624">
        <w:tab/>
        <w:t>(ii)</w:t>
      </w:r>
      <w:r w:rsidRPr="00143624">
        <w:tab/>
        <w:t>whether or not a sexual relationship exists; and</w:t>
      </w:r>
    </w:p>
    <w:p w:rsidR="00EF666B" w:rsidRPr="00143624" w:rsidRDefault="00EF666B" w:rsidP="00EF666B">
      <w:pPr>
        <w:pStyle w:val="paragraphsub"/>
      </w:pPr>
      <w:r w:rsidRPr="00143624">
        <w:tab/>
        <w:t>(iii)</w:t>
      </w:r>
      <w:r w:rsidRPr="00143624">
        <w:tab/>
        <w:t>the ownership, use and acquisition of property; and</w:t>
      </w:r>
    </w:p>
    <w:p w:rsidR="00EF666B" w:rsidRPr="00143624" w:rsidRDefault="00EF666B" w:rsidP="00EF666B">
      <w:pPr>
        <w:pStyle w:val="paragraphsub"/>
      </w:pPr>
      <w:r w:rsidRPr="00143624">
        <w:tab/>
        <w:t>(iv)</w:t>
      </w:r>
      <w:r w:rsidRPr="00143624">
        <w:tab/>
        <w:t>the degree of mutual commitment to a shared life; and</w:t>
      </w:r>
    </w:p>
    <w:p w:rsidR="00EF666B" w:rsidRPr="00143624" w:rsidRDefault="00EF666B" w:rsidP="00EF666B">
      <w:pPr>
        <w:pStyle w:val="paragraphsub"/>
      </w:pPr>
      <w:r w:rsidRPr="00143624">
        <w:tab/>
        <w:t>(v)</w:t>
      </w:r>
      <w:r w:rsidRPr="00143624">
        <w:tab/>
        <w:t>the care and support of children; and</w:t>
      </w:r>
    </w:p>
    <w:p w:rsidR="00EF666B" w:rsidRPr="00143624" w:rsidRDefault="00EF666B" w:rsidP="00EF666B">
      <w:pPr>
        <w:pStyle w:val="paragraphsub"/>
      </w:pPr>
      <w:r w:rsidRPr="00143624">
        <w:tab/>
        <w:t>(vi)</w:t>
      </w:r>
      <w:r w:rsidRPr="00143624">
        <w:tab/>
        <w:t>the reputation and public aspects of the relationship; and</w:t>
      </w:r>
    </w:p>
    <w:p w:rsidR="00EF666B" w:rsidRPr="00143624" w:rsidRDefault="00EF666B" w:rsidP="00EF666B">
      <w:pPr>
        <w:pStyle w:val="paragraphsub"/>
      </w:pPr>
      <w:r w:rsidRPr="00143624">
        <w:tab/>
        <w:t>(vii)</w:t>
      </w:r>
      <w:r w:rsidRPr="00143624">
        <w:tab/>
        <w:t>the degree of emotional support; and</w:t>
      </w:r>
    </w:p>
    <w:p w:rsidR="00EF666B" w:rsidRPr="00143624" w:rsidRDefault="00EF666B" w:rsidP="00EF666B">
      <w:pPr>
        <w:pStyle w:val="paragraphsub"/>
      </w:pPr>
      <w:r w:rsidRPr="00143624">
        <w:tab/>
        <w:t>(viii)</w:t>
      </w:r>
      <w:r w:rsidRPr="00143624">
        <w:tab/>
        <w:t>the extent to which the relationship is one of mere convenience; and</w:t>
      </w:r>
    </w:p>
    <w:p w:rsidR="00EF666B" w:rsidRPr="00143624" w:rsidRDefault="00EF666B" w:rsidP="00EF666B">
      <w:pPr>
        <w:pStyle w:val="paragraphsub"/>
      </w:pPr>
      <w:r w:rsidRPr="00143624">
        <w:tab/>
        <w:t>(ix)</w:t>
      </w:r>
      <w:r w:rsidRPr="00143624">
        <w:tab/>
        <w:t>any evidence suggesting that the parties intend the relationship to be permanent; and</w:t>
      </w:r>
    </w:p>
    <w:p w:rsidR="00EF666B" w:rsidRPr="00143624" w:rsidRDefault="00EF666B" w:rsidP="00EF666B">
      <w:pPr>
        <w:pStyle w:val="paragraph"/>
      </w:pPr>
      <w:r w:rsidRPr="00143624">
        <w:rPr>
          <w:color w:val="000000"/>
        </w:rPr>
        <w:tab/>
        <w:t>(b)</w:t>
      </w:r>
      <w:r w:rsidRPr="00143624">
        <w:rPr>
          <w:color w:val="000000"/>
        </w:rPr>
        <w:tab/>
        <w:t>the existence of a statutory declaration signed by one of the persons to the effect that the person is, or (in the case of a statutory declaration made after the end of the relationship) was, in an interdependency relationship with the other person.</w:t>
      </w:r>
    </w:p>
    <w:p w:rsidR="00EF666B" w:rsidRPr="00143624" w:rsidRDefault="00EF666B" w:rsidP="00EF666B">
      <w:pPr>
        <w:pStyle w:val="ActHead5"/>
      </w:pPr>
      <w:bookmarkStart w:id="115" w:name="_Toc64030373"/>
      <w:r w:rsidRPr="003F3E0B">
        <w:rPr>
          <w:rStyle w:val="CharSectno"/>
        </w:rPr>
        <w:t>302</w:t>
      </w:r>
      <w:r w:rsidR="00143624" w:rsidRPr="003F3E0B">
        <w:rPr>
          <w:rStyle w:val="CharSectno"/>
        </w:rPr>
        <w:noBreakHyphen/>
      </w:r>
      <w:r w:rsidRPr="003F3E0B">
        <w:rPr>
          <w:rStyle w:val="CharSectno"/>
        </w:rPr>
        <w:t>200.02</w:t>
      </w:r>
      <w:r w:rsidRPr="00143624">
        <w:t xml:space="preserve">  What is an interdependency relationship—existence of relationship</w:t>
      </w:r>
      <w:bookmarkEnd w:id="115"/>
    </w:p>
    <w:p w:rsidR="00EF666B" w:rsidRPr="00143624" w:rsidRDefault="00EF666B" w:rsidP="00EF666B">
      <w:pPr>
        <w:pStyle w:val="subsection"/>
      </w:pPr>
      <w:r w:rsidRPr="00143624">
        <w:tab/>
        <w:t>(1)</w:t>
      </w:r>
      <w:r w:rsidRPr="00143624">
        <w:tab/>
        <w:t>For the purposes of paragraph</w:t>
      </w:r>
      <w:r w:rsidR="002B1A95" w:rsidRPr="00143624">
        <w:t> </w:t>
      </w:r>
      <w:r w:rsidRPr="00143624">
        <w:t>302</w:t>
      </w:r>
      <w:r w:rsidR="00143624">
        <w:noBreakHyphen/>
      </w:r>
      <w:r w:rsidRPr="00143624">
        <w:t>200(3)(b) of the Act, this section specifies circumstances in which 2 persons have, or do not have, an interdependency relationship under section</w:t>
      </w:r>
      <w:r w:rsidR="002B1A95" w:rsidRPr="00143624">
        <w:t> </w:t>
      </w:r>
      <w:r w:rsidRPr="00143624">
        <w:t>302</w:t>
      </w:r>
      <w:r w:rsidR="00143624">
        <w:noBreakHyphen/>
      </w:r>
      <w:r w:rsidRPr="00143624">
        <w:t>200 of the Act.</w:t>
      </w:r>
    </w:p>
    <w:p w:rsidR="00EF666B" w:rsidRPr="00143624" w:rsidRDefault="00EF666B" w:rsidP="00EF666B">
      <w:pPr>
        <w:pStyle w:val="SubsectionHead"/>
      </w:pPr>
      <w:r w:rsidRPr="00143624">
        <w:t>Interdependency relationship</w:t>
      </w:r>
    </w:p>
    <w:p w:rsidR="00EF666B" w:rsidRPr="00143624" w:rsidRDefault="00EF666B" w:rsidP="00EF666B">
      <w:pPr>
        <w:pStyle w:val="subsection"/>
      </w:pPr>
      <w:r w:rsidRPr="00143624">
        <w:tab/>
        <w:t>(2)</w:t>
      </w:r>
      <w:r w:rsidRPr="00143624">
        <w:tab/>
        <w:t>Two persons have an interdependency relationship if:</w:t>
      </w:r>
    </w:p>
    <w:p w:rsidR="00EF666B" w:rsidRPr="00143624" w:rsidRDefault="00EF666B" w:rsidP="00EF666B">
      <w:pPr>
        <w:pStyle w:val="paragraph"/>
      </w:pPr>
      <w:r w:rsidRPr="00143624">
        <w:rPr>
          <w:color w:val="000000"/>
        </w:rPr>
        <w:tab/>
        <w:t>(a)</w:t>
      </w:r>
      <w:r w:rsidRPr="00143624">
        <w:rPr>
          <w:color w:val="000000"/>
        </w:rPr>
        <w:tab/>
        <w:t>they satisfy the requirements of paragraphs 302</w:t>
      </w:r>
      <w:r w:rsidR="00143624">
        <w:rPr>
          <w:color w:val="000000"/>
        </w:rPr>
        <w:noBreakHyphen/>
      </w:r>
      <w:r w:rsidRPr="00143624">
        <w:rPr>
          <w:color w:val="000000"/>
        </w:rPr>
        <w:t>200(1)(a) to (c) of the Act; and</w:t>
      </w:r>
    </w:p>
    <w:p w:rsidR="00EF666B" w:rsidRPr="00143624" w:rsidRDefault="00EF666B" w:rsidP="00EF666B">
      <w:pPr>
        <w:pStyle w:val="paragraph"/>
      </w:pPr>
      <w:r w:rsidRPr="00143624">
        <w:tab/>
        <w:t>(b)</w:t>
      </w:r>
      <w:r w:rsidRPr="00143624">
        <w:tab/>
        <w:t>one or both of them provides the other with support and care of a type and quality normally provided in a close personal relationship, rather than by a mere friend or flatmate.</w:t>
      </w:r>
    </w:p>
    <w:p w:rsidR="00EF666B" w:rsidRPr="00143624" w:rsidRDefault="00EF666B" w:rsidP="00EF666B">
      <w:pPr>
        <w:pStyle w:val="notetext"/>
      </w:pPr>
      <w:r w:rsidRPr="00143624">
        <w:t>Note:</w:t>
      </w:r>
      <w:r w:rsidRPr="00143624">
        <w:tab/>
        <w:t>For example, care normally provided in a close personal relationship rather than by a friend or flatmate includes the following:</w:t>
      </w:r>
    </w:p>
    <w:p w:rsidR="00EF666B" w:rsidRPr="00143624" w:rsidRDefault="00EF666B" w:rsidP="00EF666B">
      <w:pPr>
        <w:pStyle w:val="notepara"/>
      </w:pPr>
      <w:r w:rsidRPr="00143624">
        <w:t>(a)</w:t>
      </w:r>
      <w:r w:rsidRPr="00143624">
        <w:tab/>
        <w:t>significant care provided for the other person when the other person is unwell;</w:t>
      </w:r>
    </w:p>
    <w:p w:rsidR="00EF666B" w:rsidRPr="00143624" w:rsidRDefault="00EF666B" w:rsidP="00EF666B">
      <w:pPr>
        <w:pStyle w:val="notepara"/>
      </w:pPr>
      <w:r w:rsidRPr="00143624">
        <w:t>(b)</w:t>
      </w:r>
      <w:r w:rsidRPr="00143624">
        <w:tab/>
        <w:t>significant care provided for the other person when the other person is suffering emotionally.</w:t>
      </w:r>
    </w:p>
    <w:p w:rsidR="00EF666B" w:rsidRPr="00143624" w:rsidRDefault="00EF666B" w:rsidP="00EF666B">
      <w:pPr>
        <w:pStyle w:val="subsection"/>
      </w:pPr>
      <w:r w:rsidRPr="00143624">
        <w:tab/>
        <w:t>(3)</w:t>
      </w:r>
      <w:r w:rsidRPr="00143624">
        <w:tab/>
        <w:t>Two persons have an interdependency relationship if:</w:t>
      </w:r>
    </w:p>
    <w:p w:rsidR="00EF666B" w:rsidRPr="00143624" w:rsidRDefault="00EF666B" w:rsidP="00EF666B">
      <w:pPr>
        <w:pStyle w:val="paragraph"/>
      </w:pPr>
      <w:r w:rsidRPr="00143624">
        <w:rPr>
          <w:color w:val="000000"/>
        </w:rPr>
        <w:tab/>
        <w:t>(a)</w:t>
      </w:r>
      <w:r w:rsidRPr="00143624">
        <w:rPr>
          <w:color w:val="000000"/>
        </w:rPr>
        <w:tab/>
        <w:t>they have a close personal relationship; and</w:t>
      </w:r>
    </w:p>
    <w:p w:rsidR="00EF666B" w:rsidRPr="00143624" w:rsidRDefault="00EF666B" w:rsidP="00EF666B">
      <w:pPr>
        <w:pStyle w:val="paragraph"/>
      </w:pPr>
      <w:r w:rsidRPr="00143624">
        <w:tab/>
        <w:t>(b)</w:t>
      </w:r>
      <w:r w:rsidRPr="00143624">
        <w:tab/>
        <w:t>they do not satisfy one or more of the other requirements set out in subsection</w:t>
      </w:r>
      <w:r w:rsidR="002B1A95" w:rsidRPr="00143624">
        <w:t> </w:t>
      </w:r>
      <w:r w:rsidRPr="00143624">
        <w:t>302</w:t>
      </w:r>
      <w:r w:rsidR="00143624">
        <w:noBreakHyphen/>
      </w:r>
      <w:r w:rsidRPr="00143624">
        <w:t>200(1) of the Act; and</w:t>
      </w:r>
    </w:p>
    <w:p w:rsidR="00EF666B" w:rsidRPr="00143624" w:rsidRDefault="00EF666B" w:rsidP="00EF666B">
      <w:pPr>
        <w:pStyle w:val="paragraph"/>
      </w:pPr>
      <w:r w:rsidRPr="00143624">
        <w:lastRenderedPageBreak/>
        <w:tab/>
        <w:t>(c)</w:t>
      </w:r>
      <w:r w:rsidRPr="00143624">
        <w:tab/>
        <w:t>the reason they do not satisfy those requirements is that they are temporarily living apart.</w:t>
      </w:r>
    </w:p>
    <w:p w:rsidR="00EF666B" w:rsidRPr="00143624" w:rsidRDefault="00EF666B" w:rsidP="00EF666B">
      <w:pPr>
        <w:pStyle w:val="notetext"/>
        <w:rPr>
          <w:color w:val="000000"/>
        </w:rPr>
      </w:pPr>
      <w:r w:rsidRPr="00143624">
        <w:t>Note:</w:t>
      </w:r>
      <w:r w:rsidRPr="00143624">
        <w:tab/>
        <w:t xml:space="preserve">For example, 2 persons may satisfy </w:t>
      </w:r>
      <w:r w:rsidR="002B1A95" w:rsidRPr="00143624">
        <w:t>paragraph (</w:t>
      </w:r>
      <w:r w:rsidRPr="00143624">
        <w:t>c) if one</w:t>
      </w:r>
      <w:r w:rsidRPr="00143624">
        <w:rPr>
          <w:color w:val="000000"/>
        </w:rPr>
        <w:t xml:space="preserve"> of the </w:t>
      </w:r>
      <w:r w:rsidRPr="00143624">
        <w:t>persons</w:t>
      </w:r>
      <w:r w:rsidRPr="00143624">
        <w:rPr>
          <w:color w:val="000000"/>
        </w:rPr>
        <w:t xml:space="preserve"> is temporarily working overseas or is in gaol.</w:t>
      </w:r>
    </w:p>
    <w:p w:rsidR="00EF666B" w:rsidRPr="00143624" w:rsidRDefault="00EF666B" w:rsidP="00EF666B">
      <w:pPr>
        <w:pStyle w:val="subsection"/>
      </w:pPr>
      <w:r w:rsidRPr="00143624">
        <w:tab/>
        <w:t>(4)</w:t>
      </w:r>
      <w:r w:rsidRPr="00143624">
        <w:tab/>
        <w:t>Two persons have an interdependency relationship if:</w:t>
      </w:r>
    </w:p>
    <w:p w:rsidR="00EF666B" w:rsidRPr="00143624" w:rsidRDefault="00EF666B" w:rsidP="00EF666B">
      <w:pPr>
        <w:pStyle w:val="paragraph"/>
      </w:pPr>
      <w:r w:rsidRPr="00143624">
        <w:rPr>
          <w:color w:val="000000"/>
        </w:rPr>
        <w:tab/>
        <w:t>(a)</w:t>
      </w:r>
      <w:r w:rsidRPr="00143624">
        <w:rPr>
          <w:color w:val="000000"/>
        </w:rPr>
        <w:tab/>
        <w:t>they have a close personal relationship; and</w:t>
      </w:r>
    </w:p>
    <w:p w:rsidR="00EF666B" w:rsidRPr="00143624" w:rsidRDefault="00EF666B" w:rsidP="00EF666B">
      <w:pPr>
        <w:pStyle w:val="paragraph"/>
      </w:pPr>
      <w:r w:rsidRPr="00143624">
        <w:tab/>
        <w:t>(b)</w:t>
      </w:r>
      <w:r w:rsidRPr="00143624">
        <w:tab/>
        <w:t>they do not satisfy one or more of the other requirements set out in subsection</w:t>
      </w:r>
      <w:r w:rsidR="002B1A95" w:rsidRPr="00143624">
        <w:t> </w:t>
      </w:r>
      <w:r w:rsidRPr="00143624">
        <w:t>302</w:t>
      </w:r>
      <w:r w:rsidR="00143624">
        <w:noBreakHyphen/>
      </w:r>
      <w:r w:rsidRPr="00143624">
        <w:t>200(1) of the Act; and</w:t>
      </w:r>
    </w:p>
    <w:p w:rsidR="00EF666B" w:rsidRPr="00143624" w:rsidRDefault="00EF666B" w:rsidP="00EF666B">
      <w:pPr>
        <w:pStyle w:val="paragraph"/>
      </w:pPr>
      <w:r w:rsidRPr="00143624">
        <w:tab/>
        <w:t>(c)</w:t>
      </w:r>
      <w:r w:rsidRPr="00143624">
        <w:tab/>
        <w:t>the reason they do not satisfy those requirements is that either or both of them suffer from a disability.</w:t>
      </w:r>
    </w:p>
    <w:p w:rsidR="00EF666B" w:rsidRPr="00143624" w:rsidRDefault="00EF666B" w:rsidP="00EF666B">
      <w:pPr>
        <w:pStyle w:val="SubsectionHead"/>
      </w:pPr>
      <w:r w:rsidRPr="00143624">
        <w:t>No interdependency relationship</w:t>
      </w:r>
    </w:p>
    <w:p w:rsidR="00EF666B" w:rsidRPr="00143624" w:rsidRDefault="00EF666B" w:rsidP="00EF666B">
      <w:pPr>
        <w:pStyle w:val="subsection"/>
      </w:pPr>
      <w:r w:rsidRPr="00143624">
        <w:tab/>
        <w:t>(5)</w:t>
      </w:r>
      <w:r w:rsidRPr="00143624">
        <w:tab/>
        <w:t>Two persons do not have an interdependency relationship if one of them provides domestic support and personal care to the other:</w:t>
      </w:r>
    </w:p>
    <w:p w:rsidR="00EF666B" w:rsidRPr="00143624" w:rsidRDefault="00EF666B" w:rsidP="00EF666B">
      <w:pPr>
        <w:pStyle w:val="paragraph"/>
      </w:pPr>
      <w:r w:rsidRPr="00143624">
        <w:rPr>
          <w:color w:val="000000"/>
        </w:rPr>
        <w:tab/>
        <w:t>(a)</w:t>
      </w:r>
      <w:r w:rsidRPr="00143624">
        <w:rPr>
          <w:color w:val="000000"/>
        </w:rPr>
        <w:tab/>
        <w:t>under an employment contract or a contract for services; or</w:t>
      </w:r>
    </w:p>
    <w:p w:rsidR="00EF666B" w:rsidRPr="00143624" w:rsidRDefault="00EF666B" w:rsidP="00EF666B">
      <w:pPr>
        <w:pStyle w:val="paragraph"/>
      </w:pPr>
      <w:r w:rsidRPr="00143624">
        <w:tab/>
        <w:t>(b)</w:t>
      </w:r>
      <w:r w:rsidRPr="00143624">
        <w:tab/>
        <w:t>on behalf of another person or organisation such as a government agency, a body corporate or a benevolent or charitable organisation.</w:t>
      </w:r>
    </w:p>
    <w:p w:rsidR="00EF666B" w:rsidRPr="00143624" w:rsidRDefault="00EF666B" w:rsidP="00EF666B">
      <w:pPr>
        <w:pStyle w:val="ActHead3"/>
        <w:pageBreakBefore/>
        <w:rPr>
          <w:color w:val="000000"/>
        </w:rPr>
      </w:pPr>
      <w:bookmarkStart w:id="116" w:name="_Toc64030374"/>
      <w:r w:rsidRPr="003F3E0B">
        <w:rPr>
          <w:rStyle w:val="CharDivNo"/>
        </w:rPr>
        <w:lastRenderedPageBreak/>
        <w:t>Division</w:t>
      </w:r>
      <w:r w:rsidR="002B1A95" w:rsidRPr="003F3E0B">
        <w:rPr>
          <w:rStyle w:val="CharDivNo"/>
        </w:rPr>
        <w:t> </w:t>
      </w:r>
      <w:r w:rsidRPr="003F3E0B">
        <w:rPr>
          <w:rStyle w:val="CharDivNo"/>
        </w:rPr>
        <w:t>306</w:t>
      </w:r>
      <w:r w:rsidRPr="00143624">
        <w:rPr>
          <w:color w:val="000000"/>
        </w:rPr>
        <w:t>—</w:t>
      </w:r>
      <w:r w:rsidRPr="003F3E0B">
        <w:rPr>
          <w:rStyle w:val="CharDivText"/>
        </w:rPr>
        <w:t>Roll</w:t>
      </w:r>
      <w:r w:rsidR="00143624" w:rsidRPr="003F3E0B">
        <w:rPr>
          <w:rStyle w:val="CharDivText"/>
        </w:rPr>
        <w:noBreakHyphen/>
      </w:r>
      <w:r w:rsidRPr="003F3E0B">
        <w:rPr>
          <w:rStyle w:val="CharDivText"/>
        </w:rPr>
        <w:t>overs etc.</w:t>
      </w:r>
      <w:bookmarkEnd w:id="116"/>
    </w:p>
    <w:p w:rsidR="00EF666B" w:rsidRPr="00143624" w:rsidRDefault="00EF666B" w:rsidP="00EF666B">
      <w:pPr>
        <w:pStyle w:val="ActHead5"/>
      </w:pPr>
      <w:bookmarkStart w:id="117" w:name="_Toc64030375"/>
      <w:r w:rsidRPr="003F3E0B">
        <w:rPr>
          <w:rStyle w:val="CharSectno"/>
        </w:rPr>
        <w:t>306</w:t>
      </w:r>
      <w:r w:rsidR="00143624" w:rsidRPr="003F3E0B">
        <w:rPr>
          <w:rStyle w:val="CharSectno"/>
        </w:rPr>
        <w:noBreakHyphen/>
      </w:r>
      <w:r w:rsidRPr="003F3E0B">
        <w:rPr>
          <w:rStyle w:val="CharSectno"/>
        </w:rPr>
        <w:t>10.01</w:t>
      </w:r>
      <w:r w:rsidRPr="00143624">
        <w:t xml:space="preserve">  Roll</w:t>
      </w:r>
      <w:r w:rsidR="00143624">
        <w:noBreakHyphen/>
      </w:r>
      <w:r w:rsidRPr="00143624">
        <w:t>over superannuation benefit</w:t>
      </w:r>
      <w:bookmarkEnd w:id="117"/>
    </w:p>
    <w:p w:rsidR="00EF666B" w:rsidRPr="00143624" w:rsidRDefault="00EF666B" w:rsidP="00EF666B">
      <w:pPr>
        <w:pStyle w:val="subsection"/>
      </w:pPr>
      <w:r w:rsidRPr="00143624">
        <w:tab/>
      </w:r>
      <w:r w:rsidRPr="00143624">
        <w:tab/>
        <w:t>For the purposes of paragraph</w:t>
      </w:r>
      <w:r w:rsidR="002B1A95" w:rsidRPr="00143624">
        <w:t> </w:t>
      </w:r>
      <w:r w:rsidRPr="00143624">
        <w:t>306</w:t>
      </w:r>
      <w:r w:rsidR="00143624">
        <w:noBreakHyphen/>
      </w:r>
      <w:r w:rsidRPr="00143624">
        <w:t>10(b) of the Act, each of the following kinds of superannuation benefit is specified:</w:t>
      </w:r>
    </w:p>
    <w:p w:rsidR="00EF666B" w:rsidRPr="00143624" w:rsidRDefault="00EF666B" w:rsidP="00EF666B">
      <w:pPr>
        <w:pStyle w:val="paragraph"/>
      </w:pPr>
      <w:r w:rsidRPr="00143624">
        <w:tab/>
        <w:t>(a)</w:t>
      </w:r>
      <w:r w:rsidRPr="00143624">
        <w:tab/>
        <w:t>a superannuation death benefit, unless it is paid to an entitled recipient covered by subregulation</w:t>
      </w:r>
      <w:r w:rsidR="002B1A95" w:rsidRPr="00143624">
        <w:t> </w:t>
      </w:r>
      <w:r w:rsidRPr="00143624">
        <w:t>6.21(2A) of the SIS Regulations or subregulation</w:t>
      </w:r>
      <w:r w:rsidR="002B1A95" w:rsidRPr="00143624">
        <w:t> </w:t>
      </w:r>
      <w:r w:rsidRPr="00143624">
        <w:t>4.24(3A) of the RSA Regulations;</w:t>
      </w:r>
    </w:p>
    <w:p w:rsidR="00EF666B" w:rsidRPr="00143624" w:rsidRDefault="00EF666B" w:rsidP="00EF666B">
      <w:pPr>
        <w:pStyle w:val="paragraph"/>
      </w:pPr>
      <w:r w:rsidRPr="00143624">
        <w:tab/>
        <w:t>(b)</w:t>
      </w:r>
      <w:r w:rsidRPr="00143624">
        <w:tab/>
        <w:t>a benefit to which section</w:t>
      </w:r>
      <w:r w:rsidR="002B1A95" w:rsidRPr="00143624">
        <w:t> </w:t>
      </w:r>
      <w:r w:rsidRPr="00143624">
        <w:t>303</w:t>
      </w:r>
      <w:r w:rsidR="00143624">
        <w:noBreakHyphen/>
      </w:r>
      <w:r w:rsidRPr="00143624">
        <w:t>10 of the Act, or section</w:t>
      </w:r>
      <w:r w:rsidR="002B1A95" w:rsidRPr="00143624">
        <w:t> </w:t>
      </w:r>
      <w:r w:rsidRPr="00143624">
        <w:t>303</w:t>
      </w:r>
      <w:r w:rsidR="00143624">
        <w:noBreakHyphen/>
      </w:r>
      <w:r w:rsidRPr="00143624">
        <w:t xml:space="preserve">10 of the </w:t>
      </w:r>
      <w:r w:rsidRPr="00143624">
        <w:rPr>
          <w:i/>
        </w:rPr>
        <w:t>Income Tax (Transitional Provisions) Act 1997</w:t>
      </w:r>
      <w:r w:rsidRPr="00143624">
        <w:t>, applies.</w:t>
      </w:r>
    </w:p>
    <w:p w:rsidR="00EF666B" w:rsidRPr="00143624" w:rsidRDefault="00EF666B" w:rsidP="00EF666B">
      <w:pPr>
        <w:pStyle w:val="notetext"/>
      </w:pPr>
      <w:r w:rsidRPr="00143624">
        <w:t>Note:</w:t>
      </w:r>
      <w:r w:rsidRPr="00143624">
        <w:tab/>
        <w:t xml:space="preserve">These kinds of superannuation benefits are not </w:t>
      </w:r>
      <w:r w:rsidRPr="00143624">
        <w:rPr>
          <w:b/>
          <w:i/>
        </w:rPr>
        <w:t>roll</w:t>
      </w:r>
      <w:r w:rsidR="00143624">
        <w:rPr>
          <w:b/>
          <w:i/>
        </w:rPr>
        <w:noBreakHyphen/>
      </w:r>
      <w:r w:rsidRPr="00143624">
        <w:rPr>
          <w:b/>
          <w:i/>
        </w:rPr>
        <w:t>over superannuation benefits</w:t>
      </w:r>
      <w:r w:rsidRPr="00143624">
        <w:t xml:space="preserve"> (see section</w:t>
      </w:r>
      <w:r w:rsidR="002B1A95" w:rsidRPr="00143624">
        <w:t> </w:t>
      </w:r>
      <w:r w:rsidRPr="00143624">
        <w:t>306</w:t>
      </w:r>
      <w:r w:rsidR="00143624">
        <w:noBreakHyphen/>
      </w:r>
      <w:r w:rsidRPr="00143624">
        <w:t>10 of the Act).</w:t>
      </w:r>
    </w:p>
    <w:p w:rsidR="00EF666B" w:rsidRPr="00143624" w:rsidRDefault="00EF666B" w:rsidP="00EF666B">
      <w:pPr>
        <w:pStyle w:val="ActHead3"/>
        <w:pageBreakBefore/>
      </w:pPr>
      <w:bookmarkStart w:id="118" w:name="_Toc64030376"/>
      <w:r w:rsidRPr="003F3E0B">
        <w:rPr>
          <w:rStyle w:val="CharDivNo"/>
        </w:rPr>
        <w:lastRenderedPageBreak/>
        <w:t>Division</w:t>
      </w:r>
      <w:r w:rsidR="002B1A95" w:rsidRPr="003F3E0B">
        <w:rPr>
          <w:rStyle w:val="CharDivNo"/>
        </w:rPr>
        <w:t> </w:t>
      </w:r>
      <w:r w:rsidRPr="003F3E0B">
        <w:rPr>
          <w:rStyle w:val="CharDivNo"/>
        </w:rPr>
        <w:t>307</w:t>
      </w:r>
      <w:r w:rsidRPr="00143624">
        <w:rPr>
          <w:color w:val="000000"/>
        </w:rPr>
        <w:t>—</w:t>
      </w:r>
      <w:r w:rsidRPr="003F3E0B">
        <w:rPr>
          <w:rStyle w:val="CharDivText"/>
        </w:rPr>
        <w:t>Key concepts relating to superannuation benefits</w:t>
      </w:r>
      <w:bookmarkEnd w:id="118"/>
    </w:p>
    <w:p w:rsidR="00634F89" w:rsidRPr="00143624" w:rsidRDefault="00634F89" w:rsidP="00634F89">
      <w:pPr>
        <w:pStyle w:val="ActHead4"/>
      </w:pPr>
      <w:bookmarkStart w:id="119" w:name="_Toc64030377"/>
      <w:r w:rsidRPr="003F3E0B">
        <w:rPr>
          <w:rStyle w:val="CharSubdNo"/>
        </w:rPr>
        <w:t>Subdivision 307</w:t>
      </w:r>
      <w:r w:rsidR="00143624" w:rsidRPr="003F3E0B">
        <w:rPr>
          <w:rStyle w:val="CharSubdNo"/>
        </w:rPr>
        <w:noBreakHyphen/>
      </w:r>
      <w:r w:rsidRPr="003F3E0B">
        <w:rPr>
          <w:rStyle w:val="CharSubdNo"/>
        </w:rPr>
        <w:t>A</w:t>
      </w:r>
      <w:r w:rsidRPr="00143624">
        <w:t>—</w:t>
      </w:r>
      <w:r w:rsidRPr="003F3E0B">
        <w:rPr>
          <w:rStyle w:val="CharSubdText"/>
        </w:rPr>
        <w:t>Superannuation benefits generally</w:t>
      </w:r>
      <w:bookmarkEnd w:id="119"/>
    </w:p>
    <w:p w:rsidR="00634F89" w:rsidRPr="00143624" w:rsidRDefault="00634F89" w:rsidP="00634F89">
      <w:pPr>
        <w:pStyle w:val="ActHead5"/>
      </w:pPr>
      <w:bookmarkStart w:id="120" w:name="_Toc64030378"/>
      <w:r w:rsidRPr="003F3E0B">
        <w:rPr>
          <w:rStyle w:val="CharSectno"/>
        </w:rPr>
        <w:t>307</w:t>
      </w:r>
      <w:r w:rsidR="00143624" w:rsidRPr="003F3E0B">
        <w:rPr>
          <w:rStyle w:val="CharSectno"/>
        </w:rPr>
        <w:noBreakHyphen/>
      </w:r>
      <w:r w:rsidRPr="003F3E0B">
        <w:rPr>
          <w:rStyle w:val="CharSectno"/>
        </w:rPr>
        <w:t>5.01</w:t>
      </w:r>
      <w:r w:rsidRPr="00143624">
        <w:t xml:space="preserve">  What is a superannuation benefit?</w:t>
      </w:r>
      <w:bookmarkEnd w:id="120"/>
    </w:p>
    <w:p w:rsidR="00634F89" w:rsidRPr="00143624" w:rsidRDefault="00634F89" w:rsidP="00634F89">
      <w:pPr>
        <w:pStyle w:val="subsection"/>
      </w:pPr>
      <w:r w:rsidRPr="00143624">
        <w:tab/>
      </w:r>
      <w:r w:rsidRPr="00143624">
        <w:tab/>
        <w:t>For the purposes of subparagraph 307</w:t>
      </w:r>
      <w:r w:rsidR="00143624">
        <w:noBreakHyphen/>
      </w:r>
      <w:r w:rsidRPr="00143624">
        <w:t xml:space="preserve">5(7)(a)(ii) of the Act, the </w:t>
      </w:r>
      <w:r w:rsidRPr="00143624">
        <w:rPr>
          <w:i/>
        </w:rPr>
        <w:t xml:space="preserve">Family Law (Superannuation) </w:t>
      </w:r>
      <w:r w:rsidR="00143624" w:rsidRPr="00143624">
        <w:rPr>
          <w:i/>
        </w:rPr>
        <w:t>Regulations 2</w:t>
      </w:r>
      <w:r w:rsidRPr="00143624">
        <w:rPr>
          <w:i/>
        </w:rPr>
        <w:t>001</w:t>
      </w:r>
      <w:r w:rsidRPr="00143624">
        <w:t xml:space="preserve"> are prescribed.</w:t>
      </w:r>
    </w:p>
    <w:p w:rsidR="00EF666B" w:rsidRPr="00143624" w:rsidRDefault="00EF666B" w:rsidP="00EF666B">
      <w:pPr>
        <w:pStyle w:val="ActHead4"/>
      </w:pPr>
      <w:bookmarkStart w:id="121" w:name="_Toc64030379"/>
      <w:r w:rsidRPr="003F3E0B">
        <w:rPr>
          <w:rStyle w:val="CharSubdNo"/>
        </w:rPr>
        <w:t>Subdivision</w:t>
      </w:r>
      <w:r w:rsidR="002B1A95" w:rsidRPr="003F3E0B">
        <w:rPr>
          <w:rStyle w:val="CharSubdNo"/>
        </w:rPr>
        <w:t> </w:t>
      </w:r>
      <w:r w:rsidRPr="003F3E0B">
        <w:rPr>
          <w:rStyle w:val="CharSubdNo"/>
        </w:rPr>
        <w:t>307</w:t>
      </w:r>
      <w:r w:rsidR="00143624" w:rsidRPr="003F3E0B">
        <w:rPr>
          <w:rStyle w:val="CharSubdNo"/>
        </w:rPr>
        <w:noBreakHyphen/>
      </w:r>
      <w:r w:rsidRPr="003F3E0B">
        <w:rPr>
          <w:rStyle w:val="CharSubdNo"/>
        </w:rPr>
        <w:t>B</w:t>
      </w:r>
      <w:r w:rsidRPr="00143624">
        <w:t>—</w:t>
      </w:r>
      <w:r w:rsidRPr="003F3E0B">
        <w:rPr>
          <w:rStyle w:val="CharSubdText"/>
        </w:rPr>
        <w:t>Superannuation lump sums and superannuation income stream benefits</w:t>
      </w:r>
      <w:bookmarkEnd w:id="121"/>
    </w:p>
    <w:p w:rsidR="00EF666B" w:rsidRPr="00143624" w:rsidRDefault="00EF666B" w:rsidP="00EF666B">
      <w:pPr>
        <w:pStyle w:val="ActHead5"/>
      </w:pPr>
      <w:bookmarkStart w:id="122" w:name="_Toc64030380"/>
      <w:r w:rsidRPr="003F3E0B">
        <w:rPr>
          <w:rStyle w:val="CharSectno"/>
        </w:rPr>
        <w:t>307</w:t>
      </w:r>
      <w:r w:rsidR="00143624" w:rsidRPr="003F3E0B">
        <w:rPr>
          <w:rStyle w:val="CharSectno"/>
        </w:rPr>
        <w:noBreakHyphen/>
      </w:r>
      <w:r w:rsidRPr="003F3E0B">
        <w:rPr>
          <w:rStyle w:val="CharSectno"/>
        </w:rPr>
        <w:t>70.01</w:t>
      </w:r>
      <w:r w:rsidRPr="00143624">
        <w:t xml:space="preserve">  Superannuation income stream benefits</w:t>
      </w:r>
      <w:bookmarkEnd w:id="122"/>
    </w:p>
    <w:p w:rsidR="00EF666B" w:rsidRPr="00143624" w:rsidRDefault="00EF666B" w:rsidP="00EF666B">
      <w:pPr>
        <w:pStyle w:val="subsection"/>
      </w:pPr>
      <w:r w:rsidRPr="00143624">
        <w:tab/>
      </w:r>
      <w:r w:rsidRPr="00143624">
        <w:tab/>
        <w:t>For the purposes of subsection</w:t>
      </w:r>
      <w:r w:rsidR="002B1A95" w:rsidRPr="00143624">
        <w:t> </w:t>
      </w:r>
      <w:r w:rsidRPr="00143624">
        <w:t>307</w:t>
      </w:r>
      <w:r w:rsidR="00143624">
        <w:noBreakHyphen/>
      </w:r>
      <w:r w:rsidRPr="00143624">
        <w:t xml:space="preserve">70(1) of the Act (definition of </w:t>
      </w:r>
      <w:r w:rsidRPr="00143624">
        <w:rPr>
          <w:b/>
          <w:i/>
        </w:rPr>
        <w:t>superannuation income stream benefit</w:t>
      </w:r>
      <w:r w:rsidRPr="00143624">
        <w:t>), all superannuation benefits are specified.</w:t>
      </w:r>
    </w:p>
    <w:p w:rsidR="00EF666B" w:rsidRPr="00143624" w:rsidRDefault="00EF666B" w:rsidP="00EF666B">
      <w:pPr>
        <w:pStyle w:val="ActHead5"/>
        <w:rPr>
          <w:i/>
        </w:rPr>
      </w:pPr>
      <w:bookmarkStart w:id="123" w:name="_Toc64030381"/>
      <w:r w:rsidRPr="003F3E0B">
        <w:rPr>
          <w:rStyle w:val="CharSectno"/>
        </w:rPr>
        <w:t>307</w:t>
      </w:r>
      <w:r w:rsidR="00143624" w:rsidRPr="003F3E0B">
        <w:rPr>
          <w:rStyle w:val="CharSectno"/>
        </w:rPr>
        <w:noBreakHyphen/>
      </w:r>
      <w:r w:rsidRPr="003F3E0B">
        <w:rPr>
          <w:rStyle w:val="CharSectno"/>
        </w:rPr>
        <w:t>70.02</w:t>
      </w:r>
      <w:r w:rsidRPr="00143624">
        <w:t xml:space="preserve">  Meaning of </w:t>
      </w:r>
      <w:r w:rsidRPr="00143624">
        <w:rPr>
          <w:i/>
        </w:rPr>
        <w:t>superannuation income stream</w:t>
      </w:r>
      <w:bookmarkEnd w:id="123"/>
    </w:p>
    <w:p w:rsidR="00EF666B" w:rsidRPr="00143624" w:rsidRDefault="00EF666B" w:rsidP="00EF666B">
      <w:pPr>
        <w:pStyle w:val="subsection"/>
      </w:pPr>
      <w:r w:rsidRPr="00143624">
        <w:tab/>
        <w:t>(1)</w:t>
      </w:r>
      <w:r w:rsidRPr="00143624">
        <w:tab/>
        <w:t>For the purposes of subsection</w:t>
      </w:r>
      <w:r w:rsidR="002B1A95" w:rsidRPr="00143624">
        <w:t> </w:t>
      </w:r>
      <w:r w:rsidRPr="00143624">
        <w:t>307</w:t>
      </w:r>
      <w:r w:rsidR="00143624">
        <w:noBreakHyphen/>
      </w:r>
      <w:r w:rsidRPr="00143624">
        <w:t xml:space="preserve">70(2) of the Act, a </w:t>
      </w:r>
      <w:r w:rsidRPr="00143624">
        <w:rPr>
          <w:b/>
          <w:i/>
        </w:rPr>
        <w:t>superannuation income stream</w:t>
      </w:r>
      <w:r w:rsidRPr="00143624">
        <w:t xml:space="preserve"> is:</w:t>
      </w:r>
    </w:p>
    <w:p w:rsidR="00EF666B" w:rsidRPr="00143624" w:rsidRDefault="00EF666B" w:rsidP="00EF666B">
      <w:pPr>
        <w:pStyle w:val="paragraph"/>
      </w:pPr>
      <w:r w:rsidRPr="00143624">
        <w:tab/>
      </w:r>
      <w:r w:rsidRPr="00143624">
        <w:rPr>
          <w:lang w:eastAsia="en-US"/>
        </w:rPr>
        <w:t>(a)</w:t>
      </w:r>
      <w:r w:rsidRPr="00143624">
        <w:tab/>
        <w:t>an income stream that is taken to be:</w:t>
      </w:r>
    </w:p>
    <w:p w:rsidR="00EF666B" w:rsidRPr="00143624" w:rsidRDefault="00EF666B" w:rsidP="00EF666B">
      <w:pPr>
        <w:pStyle w:val="paragraphsub"/>
      </w:pPr>
      <w:r w:rsidRPr="00143624">
        <w:tab/>
        <w:t>(i)</w:t>
      </w:r>
      <w:r w:rsidRPr="00143624">
        <w:tab/>
        <w:t>an annuity for the purposes of the SIS Act in accordance with subregulation</w:t>
      </w:r>
      <w:r w:rsidR="002B1A95" w:rsidRPr="00143624">
        <w:t> </w:t>
      </w:r>
      <w:r w:rsidRPr="00143624">
        <w:t>1.05(1) of the SIS Regulations; or</w:t>
      </w:r>
    </w:p>
    <w:p w:rsidR="00EF666B" w:rsidRPr="00143624" w:rsidRDefault="00EF666B" w:rsidP="00EF666B">
      <w:pPr>
        <w:pStyle w:val="paragraphsub"/>
      </w:pPr>
      <w:r w:rsidRPr="00143624">
        <w:tab/>
        <w:t>(ii)</w:t>
      </w:r>
      <w:r w:rsidRPr="00143624">
        <w:tab/>
        <w:t>a pension for the purposes of the SIS Act in accordance with subregulation</w:t>
      </w:r>
      <w:r w:rsidR="002B1A95" w:rsidRPr="00143624">
        <w:t> </w:t>
      </w:r>
      <w:r w:rsidRPr="00143624">
        <w:t>1.06(1) of the SIS Regulations; or</w:t>
      </w:r>
    </w:p>
    <w:p w:rsidR="00EF666B" w:rsidRPr="00143624" w:rsidRDefault="00EF666B" w:rsidP="00EF666B">
      <w:pPr>
        <w:pStyle w:val="paragraphsub"/>
      </w:pPr>
      <w:r w:rsidRPr="00143624">
        <w:tab/>
        <w:t>(iii)</w:t>
      </w:r>
      <w:r w:rsidRPr="00143624">
        <w:tab/>
        <w:t>a pension for the purposes of the RSA Act in accordance with regulation</w:t>
      </w:r>
      <w:r w:rsidR="002B1A95" w:rsidRPr="00143624">
        <w:t> </w:t>
      </w:r>
      <w:r w:rsidRPr="00143624">
        <w:t>1.07 of the RSA Regulations; or</w:t>
      </w:r>
    </w:p>
    <w:p w:rsidR="00EF666B" w:rsidRPr="00143624" w:rsidRDefault="00EF666B" w:rsidP="00EF666B">
      <w:pPr>
        <w:pStyle w:val="paragraph"/>
      </w:pPr>
      <w:r w:rsidRPr="00143624">
        <w:tab/>
        <w:t>(b)</w:t>
      </w:r>
      <w:r w:rsidRPr="00143624">
        <w:tab/>
        <w:t>an income stream that:</w:t>
      </w:r>
    </w:p>
    <w:p w:rsidR="00EF666B" w:rsidRPr="00143624" w:rsidRDefault="00EF666B" w:rsidP="00EF666B">
      <w:pPr>
        <w:pStyle w:val="paragraphsub"/>
      </w:pPr>
      <w:r w:rsidRPr="00143624">
        <w:tab/>
        <w:t>(i)</w:t>
      </w:r>
      <w:r w:rsidRPr="00143624">
        <w:tab/>
        <w:t>is an annuity or pension within the meaning of the SIS Act; and</w:t>
      </w:r>
    </w:p>
    <w:p w:rsidR="00EF666B" w:rsidRPr="00143624" w:rsidRDefault="00EF666B" w:rsidP="00EF666B">
      <w:pPr>
        <w:pStyle w:val="paragraphsub"/>
      </w:pPr>
      <w:r w:rsidRPr="00143624">
        <w:tab/>
        <w:t>(ii)</w:t>
      </w:r>
      <w:r w:rsidRPr="00143624">
        <w:tab/>
        <w:t>commenced before 20</w:t>
      </w:r>
      <w:r w:rsidR="002B1A95" w:rsidRPr="00143624">
        <w:t> </w:t>
      </w:r>
      <w:r w:rsidRPr="00143624">
        <w:t>September 2007; or</w:t>
      </w:r>
    </w:p>
    <w:p w:rsidR="00EF666B" w:rsidRPr="00143624" w:rsidRDefault="00EF666B" w:rsidP="00EF666B">
      <w:pPr>
        <w:pStyle w:val="paragraph"/>
      </w:pPr>
      <w:r w:rsidRPr="00143624">
        <w:tab/>
        <w:t>(c)</w:t>
      </w:r>
      <w:r w:rsidRPr="00143624">
        <w:tab/>
        <w:t>a deferred superannuation income stream that is taken to be:</w:t>
      </w:r>
    </w:p>
    <w:p w:rsidR="00EF666B" w:rsidRPr="00143624" w:rsidRDefault="00EF666B" w:rsidP="00EF666B">
      <w:pPr>
        <w:pStyle w:val="paragraphsub"/>
      </w:pPr>
      <w:r w:rsidRPr="00143624">
        <w:tab/>
        <w:t>(i)</w:t>
      </w:r>
      <w:r w:rsidRPr="00143624">
        <w:tab/>
        <w:t>an annuity for the purposes of the SIS Act in accordance with subregulation</w:t>
      </w:r>
      <w:r w:rsidR="002B1A95" w:rsidRPr="00143624">
        <w:t> </w:t>
      </w:r>
      <w:r w:rsidRPr="00143624">
        <w:t>1.05(1) of the SIS Regulations because the contract for the provision of the income stream meets the standards of subregulation</w:t>
      </w:r>
      <w:r w:rsidR="002B1A95" w:rsidRPr="00143624">
        <w:t> </w:t>
      </w:r>
      <w:r w:rsidRPr="00143624">
        <w:t>1.06A(2) of the SIS Regulations; or</w:t>
      </w:r>
    </w:p>
    <w:p w:rsidR="00EF666B" w:rsidRPr="00143624" w:rsidRDefault="00EF666B" w:rsidP="00EF666B">
      <w:pPr>
        <w:pStyle w:val="paragraphsub"/>
      </w:pPr>
      <w:r w:rsidRPr="00143624">
        <w:tab/>
        <w:t>(ii)</w:t>
      </w:r>
      <w:r w:rsidRPr="00143624">
        <w:tab/>
        <w:t>a pension for the purposes of the SIS Act in accordance with subregulation</w:t>
      </w:r>
      <w:r w:rsidR="002B1A95" w:rsidRPr="00143624">
        <w:t> </w:t>
      </w:r>
      <w:r w:rsidRPr="00143624">
        <w:t>1.06(1) of the SIS Regulations because the rules for the provision of the income stream meet the standards of subregulation</w:t>
      </w:r>
      <w:r w:rsidR="002B1A95" w:rsidRPr="00143624">
        <w:t> </w:t>
      </w:r>
      <w:r w:rsidRPr="00143624">
        <w:t>1.06A(2) of the SIS Regulations; or</w:t>
      </w:r>
    </w:p>
    <w:p w:rsidR="00EF666B" w:rsidRPr="00143624" w:rsidRDefault="00EF666B" w:rsidP="00EF666B">
      <w:pPr>
        <w:pStyle w:val="paragraph"/>
      </w:pPr>
      <w:r w:rsidRPr="00143624">
        <w:tab/>
        <w:t>(d)</w:t>
      </w:r>
      <w:r w:rsidRPr="00143624">
        <w:tab/>
        <w:t>for the purposes of sections</w:t>
      </w:r>
      <w:r w:rsidR="002B1A95" w:rsidRPr="00143624">
        <w:t> </w:t>
      </w:r>
      <w:r w:rsidRPr="00143624">
        <w:t>295</w:t>
      </w:r>
      <w:r w:rsidR="00143624">
        <w:noBreakHyphen/>
      </w:r>
      <w:r w:rsidRPr="00143624">
        <w:t>385, 295</w:t>
      </w:r>
      <w:r w:rsidR="00143624">
        <w:noBreakHyphen/>
      </w:r>
      <w:r w:rsidRPr="00143624">
        <w:t>390, 295</w:t>
      </w:r>
      <w:r w:rsidR="00143624">
        <w:noBreakHyphen/>
      </w:r>
      <w:r w:rsidRPr="00143624">
        <w:t>395, 320</w:t>
      </w:r>
      <w:r w:rsidR="00143624">
        <w:noBreakHyphen/>
      </w:r>
      <w:r w:rsidRPr="00143624">
        <w:t>246 and 320</w:t>
      </w:r>
      <w:r w:rsidR="00143624">
        <w:noBreakHyphen/>
      </w:r>
      <w:r w:rsidRPr="00143624">
        <w:t xml:space="preserve">247 of the Act—one or more rights (whether contingent or not), to the extent that they are covered by </w:t>
      </w:r>
      <w:r w:rsidR="002B1A95" w:rsidRPr="00143624">
        <w:t>subsection (</w:t>
      </w:r>
      <w:r w:rsidRPr="00143624">
        <w:t>3).</w:t>
      </w:r>
    </w:p>
    <w:p w:rsidR="00EF666B" w:rsidRPr="00143624" w:rsidRDefault="00EF666B" w:rsidP="00EF666B">
      <w:pPr>
        <w:pStyle w:val="subsection"/>
      </w:pPr>
      <w:r w:rsidRPr="00143624">
        <w:tab/>
        <w:t>(2)</w:t>
      </w:r>
      <w:r w:rsidRPr="00143624">
        <w:tab/>
      </w:r>
      <w:r w:rsidR="002B1A95" w:rsidRPr="00143624">
        <w:t>Subsection (</w:t>
      </w:r>
      <w:r w:rsidRPr="00143624">
        <w:t>3) applies if:</w:t>
      </w:r>
    </w:p>
    <w:p w:rsidR="00EF666B" w:rsidRPr="00143624" w:rsidRDefault="00EF666B" w:rsidP="00EF666B">
      <w:pPr>
        <w:pStyle w:val="paragraph"/>
      </w:pPr>
      <w:r w:rsidRPr="00143624">
        <w:lastRenderedPageBreak/>
        <w:tab/>
        <w:t>(a)</w:t>
      </w:r>
      <w:r w:rsidRPr="00143624">
        <w:tab/>
        <w:t xml:space="preserve">immediately before the death of a person (the </w:t>
      </w:r>
      <w:r w:rsidRPr="00143624">
        <w:rPr>
          <w:b/>
          <w:i/>
        </w:rPr>
        <w:t>deceased</w:t>
      </w:r>
      <w:r w:rsidRPr="00143624">
        <w:t>), a superannuation interest was supporting a superannuation income stream payable to the deceased; and</w:t>
      </w:r>
    </w:p>
    <w:p w:rsidR="00EF666B" w:rsidRPr="00143624" w:rsidRDefault="00EF666B" w:rsidP="00EF666B">
      <w:pPr>
        <w:pStyle w:val="paragraph"/>
      </w:pPr>
      <w:r w:rsidRPr="00143624">
        <w:tab/>
        <w:t>(b)</w:t>
      </w:r>
      <w:r w:rsidRPr="00143624">
        <w:tab/>
        <w:t>the superannuation income stream did not automatically revert to another person on the death of the deceased; and</w:t>
      </w:r>
    </w:p>
    <w:p w:rsidR="00EF666B" w:rsidRPr="00143624" w:rsidRDefault="00EF666B" w:rsidP="00EF666B">
      <w:pPr>
        <w:pStyle w:val="paragraph"/>
      </w:pPr>
      <w:r w:rsidRPr="00143624">
        <w:tab/>
        <w:t>(c)</w:t>
      </w:r>
      <w:r w:rsidRPr="00143624">
        <w:tab/>
        <w:t>one or more other persons each have a right (whether contingent or not) to be paid an amount that will be a superannuation benefit from the superannuation interest; and</w:t>
      </w:r>
    </w:p>
    <w:p w:rsidR="00EF666B" w:rsidRPr="00143624" w:rsidRDefault="00EF666B" w:rsidP="00EF666B">
      <w:pPr>
        <w:pStyle w:val="paragraph"/>
      </w:pPr>
      <w:r w:rsidRPr="00143624">
        <w:tab/>
        <w:t>(d)</w:t>
      </w:r>
      <w:r w:rsidRPr="00143624">
        <w:tab/>
        <w:t xml:space="preserve">each such right arises on the death of the deceased, and ceases to exist immediately after the payment of the amount mentioned in </w:t>
      </w:r>
      <w:r w:rsidR="002B1A95" w:rsidRPr="00143624">
        <w:t>paragraph (</w:t>
      </w:r>
      <w:r w:rsidRPr="00143624">
        <w:t>c).</w:t>
      </w:r>
    </w:p>
    <w:p w:rsidR="00EF666B" w:rsidRPr="00143624" w:rsidRDefault="00EF666B" w:rsidP="00EF666B">
      <w:pPr>
        <w:pStyle w:val="subsection"/>
      </w:pPr>
      <w:r w:rsidRPr="00143624">
        <w:tab/>
        <w:t>(3)</w:t>
      </w:r>
      <w:r w:rsidRPr="00143624">
        <w:tab/>
        <w:t xml:space="preserve">For the purposes of </w:t>
      </w:r>
      <w:r w:rsidR="002B1A95" w:rsidRPr="00143624">
        <w:t>paragraph (</w:t>
      </w:r>
      <w:r w:rsidRPr="00143624">
        <w:t>1)(d), this subsection covers each such right, to the extent that the value of the superannuation interest has not increased (other than through investment earnings) on or after the deceased’s death.</w:t>
      </w:r>
    </w:p>
    <w:p w:rsidR="00EF666B" w:rsidRPr="00143624" w:rsidRDefault="00EF666B" w:rsidP="00EF666B">
      <w:pPr>
        <w:pStyle w:val="subsection"/>
      </w:pPr>
      <w:r w:rsidRPr="00143624">
        <w:tab/>
        <w:t>(4)</w:t>
      </w:r>
      <w:r w:rsidRPr="00143624">
        <w:tab/>
      </w:r>
      <w:r w:rsidR="002B1A95" w:rsidRPr="00143624">
        <w:t>Subsections (</w:t>
      </w:r>
      <w:r w:rsidRPr="00143624">
        <w:t>5) and (6) apply if:</w:t>
      </w:r>
    </w:p>
    <w:p w:rsidR="00EF666B" w:rsidRPr="00143624" w:rsidRDefault="00EF666B" w:rsidP="00EF666B">
      <w:pPr>
        <w:pStyle w:val="paragraph"/>
      </w:pPr>
      <w:r w:rsidRPr="00143624">
        <w:tab/>
        <w:t>(a)</w:t>
      </w:r>
      <w:r w:rsidRPr="00143624">
        <w:tab/>
        <w:t xml:space="preserve">immediately before the death of a person (the </w:t>
      </w:r>
      <w:r w:rsidRPr="00143624">
        <w:rPr>
          <w:b/>
          <w:i/>
        </w:rPr>
        <w:t>deceased</w:t>
      </w:r>
      <w:r w:rsidRPr="00143624">
        <w:t>), a superannuation interest was supporting a superannuation income stream payable to the deceased; and</w:t>
      </w:r>
    </w:p>
    <w:p w:rsidR="00EF666B" w:rsidRPr="00143624" w:rsidRDefault="00EF666B" w:rsidP="00EF666B">
      <w:pPr>
        <w:pStyle w:val="paragraph"/>
      </w:pPr>
      <w:r w:rsidRPr="00143624">
        <w:tab/>
        <w:t>(b)</w:t>
      </w:r>
      <w:r w:rsidRPr="00143624">
        <w:tab/>
        <w:t>the superannuation income stream did not automatically revert to another person on the death of the deceased; and</w:t>
      </w:r>
    </w:p>
    <w:p w:rsidR="00EF666B" w:rsidRPr="00143624" w:rsidRDefault="00EF666B" w:rsidP="00EF666B">
      <w:pPr>
        <w:pStyle w:val="paragraph"/>
      </w:pPr>
      <w:r w:rsidRPr="00143624">
        <w:tab/>
        <w:t>(c)</w:t>
      </w:r>
      <w:r w:rsidRPr="00143624">
        <w:tab/>
        <w:t>one or more persons each have a right (whether contingent or not) to commence a new superannuation income stream using an amount applied from the superannuation interest; and</w:t>
      </w:r>
    </w:p>
    <w:p w:rsidR="00EF666B" w:rsidRPr="00143624" w:rsidRDefault="00EF666B" w:rsidP="00EF666B">
      <w:pPr>
        <w:pStyle w:val="paragraph"/>
      </w:pPr>
      <w:r w:rsidRPr="00143624">
        <w:tab/>
        <w:t>(d)</w:t>
      </w:r>
      <w:r w:rsidRPr="00143624">
        <w:tab/>
        <w:t xml:space="preserve">each such right arises on the death of the deceased, and ceases to exist at the time the relevant new superannuation income stream commences (disregarding </w:t>
      </w:r>
      <w:r w:rsidR="002B1A95" w:rsidRPr="00143624">
        <w:t>paragraph (</w:t>
      </w:r>
      <w:r w:rsidRPr="00143624">
        <w:t>5)(a)); and</w:t>
      </w:r>
    </w:p>
    <w:p w:rsidR="00EF666B" w:rsidRPr="00143624" w:rsidRDefault="00EF666B" w:rsidP="00EF666B">
      <w:pPr>
        <w:pStyle w:val="paragraph"/>
      </w:pPr>
      <w:r w:rsidRPr="00143624">
        <w:tab/>
        <w:t>(e)</w:t>
      </w:r>
      <w:r w:rsidRPr="00143624">
        <w:tab/>
        <w:t xml:space="preserve">each of the new income streams is of a kind mentioned in </w:t>
      </w:r>
      <w:r w:rsidR="002B1A95" w:rsidRPr="00143624">
        <w:t>paragraph (</w:t>
      </w:r>
      <w:r w:rsidRPr="00143624">
        <w:t>1)(a).</w:t>
      </w:r>
    </w:p>
    <w:p w:rsidR="00EF666B" w:rsidRPr="00143624" w:rsidRDefault="00EF666B" w:rsidP="00EF666B">
      <w:pPr>
        <w:pStyle w:val="subsection"/>
      </w:pPr>
      <w:r w:rsidRPr="00143624">
        <w:tab/>
        <w:t>(5)</w:t>
      </w:r>
      <w:r w:rsidRPr="00143624">
        <w:rPr>
          <w:lang w:eastAsia="en-US"/>
        </w:rPr>
        <w:tab/>
        <w:t>For the purposes of sections</w:t>
      </w:r>
      <w:r w:rsidR="002B1A95" w:rsidRPr="00143624">
        <w:rPr>
          <w:lang w:eastAsia="en-US"/>
        </w:rPr>
        <w:t> </w:t>
      </w:r>
      <w:r w:rsidRPr="00143624">
        <w:rPr>
          <w:lang w:eastAsia="en-US"/>
        </w:rPr>
        <w:t>295</w:t>
      </w:r>
      <w:r w:rsidR="00143624">
        <w:rPr>
          <w:lang w:eastAsia="en-US"/>
        </w:rPr>
        <w:noBreakHyphen/>
      </w:r>
      <w:r w:rsidRPr="00143624">
        <w:rPr>
          <w:lang w:eastAsia="en-US"/>
        </w:rPr>
        <w:t>385, 295</w:t>
      </w:r>
      <w:r w:rsidR="00143624">
        <w:rPr>
          <w:lang w:eastAsia="en-US"/>
        </w:rPr>
        <w:noBreakHyphen/>
      </w:r>
      <w:r w:rsidRPr="00143624">
        <w:rPr>
          <w:lang w:eastAsia="en-US"/>
        </w:rPr>
        <w:t>390, 295</w:t>
      </w:r>
      <w:r w:rsidR="00143624">
        <w:rPr>
          <w:lang w:eastAsia="en-US"/>
        </w:rPr>
        <w:noBreakHyphen/>
      </w:r>
      <w:r w:rsidRPr="00143624">
        <w:rPr>
          <w:lang w:eastAsia="en-US"/>
        </w:rPr>
        <w:t>395, 320</w:t>
      </w:r>
      <w:r w:rsidR="00143624">
        <w:rPr>
          <w:lang w:eastAsia="en-US"/>
        </w:rPr>
        <w:noBreakHyphen/>
      </w:r>
      <w:r w:rsidRPr="00143624">
        <w:rPr>
          <w:lang w:eastAsia="en-US"/>
        </w:rPr>
        <w:t>24</w:t>
      </w:r>
      <w:r w:rsidRPr="00143624">
        <w:t>6 and 320</w:t>
      </w:r>
      <w:r w:rsidR="00143624">
        <w:noBreakHyphen/>
      </w:r>
      <w:r w:rsidRPr="00143624">
        <w:t xml:space="preserve">247 of the Act, in applying </w:t>
      </w:r>
      <w:r w:rsidR="002B1A95" w:rsidRPr="00143624">
        <w:t>paragraph (</w:t>
      </w:r>
      <w:r w:rsidRPr="00143624">
        <w:t>1)(a):</w:t>
      </w:r>
    </w:p>
    <w:p w:rsidR="00EF666B" w:rsidRPr="00143624" w:rsidRDefault="00EF666B" w:rsidP="00EF666B">
      <w:pPr>
        <w:pStyle w:val="paragraph"/>
      </w:pPr>
      <w:r w:rsidRPr="00143624">
        <w:tab/>
        <w:t>(a)</w:t>
      </w:r>
      <w:r w:rsidRPr="00143624">
        <w:tab/>
        <w:t xml:space="preserve">treat each new superannuation income stream mentioned in </w:t>
      </w:r>
      <w:r w:rsidR="002B1A95" w:rsidRPr="00143624">
        <w:t>paragraph (</w:t>
      </w:r>
      <w:r w:rsidRPr="00143624">
        <w:t>4)(c) as commencing on the death of the deceased; and</w:t>
      </w:r>
    </w:p>
    <w:p w:rsidR="00EF666B" w:rsidRPr="00143624" w:rsidRDefault="00EF666B" w:rsidP="00EF666B">
      <w:pPr>
        <w:pStyle w:val="paragraph"/>
      </w:pPr>
      <w:r w:rsidRPr="00143624">
        <w:tab/>
        <w:t>(b)</w:t>
      </w:r>
      <w:r w:rsidRPr="00143624">
        <w:tab/>
        <w:t>during the period:</w:t>
      </w:r>
    </w:p>
    <w:p w:rsidR="00EF666B" w:rsidRPr="00143624" w:rsidRDefault="00EF666B" w:rsidP="00EF666B">
      <w:pPr>
        <w:pStyle w:val="paragraphsub"/>
      </w:pPr>
      <w:r w:rsidRPr="00143624">
        <w:tab/>
        <w:t>(i)</w:t>
      </w:r>
      <w:r w:rsidRPr="00143624">
        <w:tab/>
        <w:t>starting on the death of the deceased; and</w:t>
      </w:r>
    </w:p>
    <w:p w:rsidR="00EF666B" w:rsidRPr="00143624" w:rsidRDefault="00EF666B" w:rsidP="00EF666B">
      <w:pPr>
        <w:pStyle w:val="paragraphsub"/>
      </w:pPr>
      <w:r w:rsidRPr="00143624">
        <w:tab/>
        <w:t>(ii)</w:t>
      </w:r>
      <w:r w:rsidRPr="00143624">
        <w:tab/>
        <w:t xml:space="preserve">ending at the time the new superannuation income stream commences (disregarding </w:t>
      </w:r>
      <w:r w:rsidR="002B1A95" w:rsidRPr="00143624">
        <w:t>paragraph (</w:t>
      </w:r>
      <w:r w:rsidRPr="00143624">
        <w:t>a));</w:t>
      </w:r>
    </w:p>
    <w:p w:rsidR="00EF666B" w:rsidRPr="00143624" w:rsidRDefault="00EF666B" w:rsidP="00EF666B">
      <w:pPr>
        <w:pStyle w:val="paragraph"/>
      </w:pPr>
      <w:r w:rsidRPr="00143624">
        <w:tab/>
      </w:r>
      <w:r w:rsidRPr="00143624">
        <w:tab/>
        <w:t>take account of the value of the superannuation interest only to the extent that the value has not increased (other than through investment earnings) on or after the deceased’s death.</w:t>
      </w:r>
    </w:p>
    <w:p w:rsidR="00EF666B" w:rsidRPr="00143624" w:rsidRDefault="00EF666B" w:rsidP="00EF666B">
      <w:pPr>
        <w:pStyle w:val="subsection"/>
      </w:pPr>
      <w:r w:rsidRPr="00143624">
        <w:tab/>
        <w:t>(6)</w:t>
      </w:r>
      <w:r w:rsidRPr="00143624">
        <w:tab/>
        <w:t xml:space="preserve">For the purposes of </w:t>
      </w:r>
      <w:r w:rsidR="002B1A95" w:rsidRPr="00143624">
        <w:t>subsections (</w:t>
      </w:r>
      <w:r w:rsidRPr="00143624">
        <w:t xml:space="preserve">2) and (3), disregard a right mentioned in </w:t>
      </w:r>
      <w:r w:rsidR="002B1A95" w:rsidRPr="00143624">
        <w:t>paragraph (</w:t>
      </w:r>
      <w:r w:rsidRPr="00143624">
        <w:t>4)(c).</w:t>
      </w:r>
    </w:p>
    <w:p w:rsidR="00EF666B" w:rsidRPr="00143624" w:rsidRDefault="00EF666B" w:rsidP="00EF666B">
      <w:pPr>
        <w:pStyle w:val="ActHead4"/>
      </w:pPr>
      <w:bookmarkStart w:id="124" w:name="_Toc64030382"/>
      <w:r w:rsidRPr="003F3E0B">
        <w:rPr>
          <w:rStyle w:val="CharSubdNo"/>
          <w:rFonts w:eastAsiaTheme="majorEastAsia"/>
        </w:rPr>
        <w:lastRenderedPageBreak/>
        <w:t>Subdivision</w:t>
      </w:r>
      <w:r w:rsidR="002B1A95" w:rsidRPr="003F3E0B">
        <w:rPr>
          <w:rStyle w:val="CharSubdNo"/>
          <w:rFonts w:eastAsiaTheme="majorEastAsia"/>
        </w:rPr>
        <w:t> </w:t>
      </w:r>
      <w:r w:rsidRPr="003F3E0B">
        <w:rPr>
          <w:rStyle w:val="CharSubdNo"/>
          <w:rFonts w:eastAsiaTheme="majorEastAsia"/>
        </w:rPr>
        <w:t>307</w:t>
      </w:r>
      <w:r w:rsidR="00143624" w:rsidRPr="003F3E0B">
        <w:rPr>
          <w:rStyle w:val="CharSubdNo"/>
          <w:rFonts w:eastAsiaTheme="majorEastAsia"/>
        </w:rPr>
        <w:noBreakHyphen/>
      </w:r>
      <w:r w:rsidRPr="003F3E0B">
        <w:rPr>
          <w:rStyle w:val="CharSubdNo"/>
          <w:rFonts w:eastAsiaTheme="majorEastAsia"/>
        </w:rPr>
        <w:t>C</w:t>
      </w:r>
      <w:r w:rsidRPr="00143624">
        <w:t>—</w:t>
      </w:r>
      <w:r w:rsidRPr="003F3E0B">
        <w:rPr>
          <w:rStyle w:val="CharSubdText"/>
          <w:rFonts w:eastAsiaTheme="majorEastAsia"/>
        </w:rPr>
        <w:t>Components of a superannuation benefit</w:t>
      </w:r>
      <w:bookmarkEnd w:id="124"/>
    </w:p>
    <w:p w:rsidR="00EF666B" w:rsidRPr="00143624" w:rsidRDefault="00EF666B" w:rsidP="00EF666B">
      <w:pPr>
        <w:pStyle w:val="ActHead5"/>
      </w:pPr>
      <w:bookmarkStart w:id="125" w:name="_Toc64030383"/>
      <w:r w:rsidRPr="003F3E0B">
        <w:rPr>
          <w:rStyle w:val="CharSectno"/>
        </w:rPr>
        <w:t>307</w:t>
      </w:r>
      <w:r w:rsidR="00143624" w:rsidRPr="003F3E0B">
        <w:rPr>
          <w:rStyle w:val="CharSectno"/>
        </w:rPr>
        <w:noBreakHyphen/>
      </w:r>
      <w:r w:rsidRPr="003F3E0B">
        <w:rPr>
          <w:rStyle w:val="CharSectno"/>
        </w:rPr>
        <w:t>125.01</w:t>
      </w:r>
      <w:r w:rsidRPr="00143624">
        <w:t xml:space="preserve">  Components of member benefits accruing before </w:t>
      </w:r>
      <w:r w:rsidR="00F5399E" w:rsidRPr="00143624">
        <w:t>1 July</w:t>
      </w:r>
      <w:r w:rsidRPr="00143624">
        <w:t xml:space="preserve"> 1999 paid from the Military Superannuation and Benefits Scheme</w:t>
      </w:r>
      <w:bookmarkEnd w:id="125"/>
    </w:p>
    <w:p w:rsidR="00EF666B" w:rsidRPr="00143624" w:rsidRDefault="00EF666B" w:rsidP="00EF666B">
      <w:pPr>
        <w:pStyle w:val="subsection"/>
      </w:pPr>
      <w:r w:rsidRPr="00143624">
        <w:tab/>
        <w:t>(1)</w:t>
      </w:r>
      <w:r w:rsidRPr="00143624">
        <w:tab/>
        <w:t>For the purposes of paragraph</w:t>
      </w:r>
      <w:r w:rsidR="002B1A95" w:rsidRPr="00143624">
        <w:t> </w:t>
      </w:r>
      <w:r w:rsidRPr="00143624">
        <w:t>307</w:t>
      </w:r>
      <w:r w:rsidR="00143624">
        <w:noBreakHyphen/>
      </w:r>
      <w:r w:rsidRPr="00143624">
        <w:t xml:space="preserve">125(4)(a) of the Act, </w:t>
      </w:r>
      <w:r w:rsidR="002B1A95" w:rsidRPr="00143624">
        <w:t>subsection (</w:t>
      </w:r>
      <w:r w:rsidRPr="00143624">
        <w:t>2) specifies an alternative method for determining components of a superannuation benefit:</w:t>
      </w:r>
    </w:p>
    <w:p w:rsidR="00EF666B" w:rsidRPr="00143624" w:rsidRDefault="00EF666B" w:rsidP="00EF666B">
      <w:pPr>
        <w:pStyle w:val="paragraph"/>
      </w:pPr>
      <w:r w:rsidRPr="00143624">
        <w:tab/>
        <w:t>(a)</w:t>
      </w:r>
      <w:r w:rsidRPr="00143624">
        <w:tab/>
        <w:t xml:space="preserve">accruing before </w:t>
      </w:r>
      <w:r w:rsidR="00F5399E" w:rsidRPr="00143624">
        <w:t>1 July</w:t>
      </w:r>
      <w:r w:rsidRPr="00143624">
        <w:t xml:space="preserve"> 1999; and</w:t>
      </w:r>
    </w:p>
    <w:p w:rsidR="00EF666B" w:rsidRPr="00143624" w:rsidRDefault="00EF666B" w:rsidP="00EF666B">
      <w:pPr>
        <w:pStyle w:val="paragraph"/>
      </w:pPr>
      <w:r w:rsidRPr="00143624">
        <w:tab/>
        <w:t>(b)</w:t>
      </w:r>
      <w:r w:rsidRPr="00143624">
        <w:tab/>
        <w:t xml:space="preserve">paid from the Military Superannuation and Benefits Scheme on or after </w:t>
      </w:r>
      <w:r w:rsidR="00F5399E" w:rsidRPr="00143624">
        <w:t>1 July</w:t>
      </w:r>
      <w:r w:rsidRPr="00143624">
        <w:t xml:space="preserve"> 2007 in respect of a member who is below preservation age;</w:t>
      </w:r>
    </w:p>
    <w:p w:rsidR="00EF666B" w:rsidRPr="00143624" w:rsidRDefault="00EF666B" w:rsidP="00EF666B">
      <w:pPr>
        <w:pStyle w:val="subsection2"/>
      </w:pPr>
      <w:r w:rsidRPr="00143624">
        <w:t>where the member chooses to use the alternative method.</w:t>
      </w:r>
    </w:p>
    <w:p w:rsidR="00EF666B" w:rsidRPr="00143624" w:rsidRDefault="00EF666B" w:rsidP="00EF666B">
      <w:pPr>
        <w:pStyle w:val="subsection"/>
      </w:pPr>
      <w:r w:rsidRPr="00143624">
        <w:tab/>
        <w:t>(2)</w:t>
      </w:r>
      <w:r w:rsidRPr="00143624">
        <w:tab/>
        <w:t xml:space="preserve">The alternative method is a method chosen by the member which complies with </w:t>
      </w:r>
      <w:r w:rsidR="002B1A95" w:rsidRPr="00143624">
        <w:t>subsection (</w:t>
      </w:r>
      <w:r w:rsidRPr="00143624">
        <w:t>3).</w:t>
      </w:r>
    </w:p>
    <w:p w:rsidR="00EF666B" w:rsidRPr="00143624" w:rsidRDefault="00EF666B" w:rsidP="00EF666B">
      <w:pPr>
        <w:pStyle w:val="subsection"/>
      </w:pPr>
      <w:r w:rsidRPr="00143624">
        <w:tab/>
        <w:t>(3)</w:t>
      </w:r>
      <w:r w:rsidRPr="00143624">
        <w:tab/>
        <w:t xml:space="preserve">For </w:t>
      </w:r>
      <w:r w:rsidRPr="00143624">
        <w:rPr>
          <w:color w:val="000000"/>
        </w:rPr>
        <w:t xml:space="preserve">the purposes of </w:t>
      </w:r>
      <w:r w:rsidR="002B1A95" w:rsidRPr="00143624">
        <w:t>subsection (</w:t>
      </w:r>
      <w:r w:rsidRPr="00143624">
        <w:t xml:space="preserve">2), the maximum amount that the member may determine as a component of the person’s member benefits accruing before </w:t>
      </w:r>
      <w:r w:rsidR="00F5399E" w:rsidRPr="00143624">
        <w:t>1 July</w:t>
      </w:r>
      <w:r w:rsidRPr="00143624">
        <w:t xml:space="preserve"> 1999, whether by a single choice or cumulatively, may not exceed:</w:t>
      </w:r>
    </w:p>
    <w:p w:rsidR="00EF666B" w:rsidRPr="00143624" w:rsidRDefault="00EF666B" w:rsidP="00EF666B">
      <w:pPr>
        <w:pStyle w:val="paragraph"/>
      </w:pPr>
      <w:r w:rsidRPr="00143624">
        <w:tab/>
        <w:t>(a)</w:t>
      </w:r>
      <w:r w:rsidRPr="00143624">
        <w:tab/>
        <w:t xml:space="preserve">for the tax free component of the person’s member benefits accruing before </w:t>
      </w:r>
      <w:r w:rsidR="00F5399E" w:rsidRPr="00143624">
        <w:t>1 July</w:t>
      </w:r>
      <w:r w:rsidRPr="00143624">
        <w:t xml:space="preserve"> 1999—the amount worked out under section</w:t>
      </w:r>
      <w:r w:rsidR="002B1A95" w:rsidRPr="00143624">
        <w:t> </w:t>
      </w:r>
      <w:r w:rsidRPr="00143624">
        <w:t>307</w:t>
      </w:r>
      <w:r w:rsidR="00143624">
        <w:noBreakHyphen/>
      </w:r>
      <w:r w:rsidRPr="00143624">
        <w:t>210 of the Act for the superannuation interest; and</w:t>
      </w:r>
    </w:p>
    <w:p w:rsidR="00EF666B" w:rsidRPr="00143624" w:rsidRDefault="00EF666B" w:rsidP="00EF666B">
      <w:pPr>
        <w:pStyle w:val="paragraph"/>
      </w:pPr>
      <w:r w:rsidRPr="00143624">
        <w:tab/>
        <w:t>(b)</w:t>
      </w:r>
      <w:r w:rsidRPr="00143624">
        <w:tab/>
        <w:t xml:space="preserve">for the taxable component of the person’s member benefits accruing before </w:t>
      </w:r>
      <w:r w:rsidR="00F5399E" w:rsidRPr="00143624">
        <w:t>1 July</w:t>
      </w:r>
      <w:r w:rsidRPr="00143624">
        <w:t xml:space="preserve"> 1999—the amount worked out under section</w:t>
      </w:r>
      <w:r w:rsidR="002B1A95" w:rsidRPr="00143624">
        <w:t> </w:t>
      </w:r>
      <w:r w:rsidRPr="00143624">
        <w:t>307</w:t>
      </w:r>
      <w:r w:rsidR="00143624">
        <w:noBreakHyphen/>
      </w:r>
      <w:r w:rsidRPr="00143624">
        <w:t>215 of the Act for the superannuation interest.</w:t>
      </w:r>
    </w:p>
    <w:p w:rsidR="00EF666B" w:rsidRPr="00143624" w:rsidRDefault="00EF666B" w:rsidP="00EF666B">
      <w:pPr>
        <w:pStyle w:val="notetext"/>
      </w:pPr>
      <w:r w:rsidRPr="00143624">
        <w:t>Example:</w:t>
      </w:r>
      <w:r w:rsidRPr="00143624">
        <w:rPr>
          <w:i/>
        </w:rPr>
        <w:tab/>
      </w:r>
      <w:r w:rsidRPr="00143624">
        <w:t xml:space="preserve">A member of the Military Superannuation and Benefits Scheme has an amount of member benefits accruing before </w:t>
      </w:r>
      <w:r w:rsidR="00F5399E" w:rsidRPr="00143624">
        <w:t>1 July</w:t>
      </w:r>
      <w:r w:rsidRPr="00143624">
        <w:t xml:space="preserve"> 1999 of $1,000. Just before the benefit is paid, the value of the tax free component is $800 and the taxable component is $200. Before reaching preservation age, the member takes a lump sum benefit of $900.</w:t>
      </w:r>
    </w:p>
    <w:p w:rsidR="00EF666B" w:rsidRPr="00143624" w:rsidRDefault="00EF666B" w:rsidP="00EF666B">
      <w:pPr>
        <w:pStyle w:val="notetext"/>
        <w:spacing w:before="60"/>
      </w:pPr>
      <w:r w:rsidRPr="00143624">
        <w:tab/>
        <w:t xml:space="preserve">Under </w:t>
      </w:r>
      <w:r w:rsidR="002B1A95" w:rsidRPr="00143624">
        <w:t>subsection (</w:t>
      </w:r>
      <w:r w:rsidRPr="00143624">
        <w:t xml:space="preserve">2), the member is able to determine the amount of the benefit that will be the tax free component and the amount that will be the taxable component of the benefit. However, </w:t>
      </w:r>
      <w:r w:rsidR="002B1A95" w:rsidRPr="00143624">
        <w:t>subsection (</w:t>
      </w:r>
      <w:r w:rsidRPr="00143624">
        <w:t>3) prevents the member from treating more than $800 of the superannuation benefit as tax free.</w:t>
      </w:r>
    </w:p>
    <w:p w:rsidR="00EF666B" w:rsidRPr="00143624" w:rsidRDefault="00EF666B" w:rsidP="00EF666B">
      <w:pPr>
        <w:pStyle w:val="notetext"/>
      </w:pPr>
      <w:r w:rsidRPr="00143624">
        <w:t>Note:</w:t>
      </w:r>
      <w:r w:rsidRPr="00143624">
        <w:tab/>
        <w:t>A preserved superannuation benefit paid in respect of a member of the Military Superannuation and Benefits Scheme is paid in accordance with subsection</w:t>
      </w:r>
      <w:r w:rsidR="002B1A95" w:rsidRPr="00143624">
        <w:t> </w:t>
      </w:r>
      <w:r w:rsidRPr="00143624">
        <w:t>307</w:t>
      </w:r>
      <w:r w:rsidR="00143624">
        <w:noBreakHyphen/>
      </w:r>
      <w:r w:rsidRPr="00143624">
        <w:t>125(2) of the Act.</w:t>
      </w:r>
    </w:p>
    <w:p w:rsidR="00EF666B" w:rsidRPr="00143624" w:rsidRDefault="00EF666B" w:rsidP="00EF666B">
      <w:pPr>
        <w:pStyle w:val="subsection"/>
      </w:pPr>
      <w:r w:rsidRPr="00143624">
        <w:tab/>
        <w:t>(4)</w:t>
      </w:r>
      <w:r w:rsidRPr="00143624">
        <w:tab/>
        <w:t>In this instrument:</w:t>
      </w:r>
    </w:p>
    <w:p w:rsidR="00EF666B" w:rsidRPr="00143624" w:rsidRDefault="00EF666B" w:rsidP="00EF666B">
      <w:pPr>
        <w:pStyle w:val="Definition"/>
      </w:pPr>
      <w:r w:rsidRPr="00143624">
        <w:rPr>
          <w:b/>
          <w:i/>
        </w:rPr>
        <w:t>Military Superannuation and Benefits Scheme</w:t>
      </w:r>
      <w:r w:rsidRPr="00143624">
        <w:t xml:space="preserve"> means the scheme that is established by clause</w:t>
      </w:r>
      <w:r w:rsidR="002B1A95" w:rsidRPr="00143624">
        <w:t> </w:t>
      </w:r>
      <w:r w:rsidRPr="00143624">
        <w:t>2 of the Military Superannuation and Benefits Trust Deed.</w:t>
      </w:r>
    </w:p>
    <w:p w:rsidR="00EF666B" w:rsidRPr="00143624" w:rsidRDefault="00EF666B" w:rsidP="00EF666B">
      <w:pPr>
        <w:pStyle w:val="notetext"/>
      </w:pPr>
      <w:r w:rsidRPr="00143624">
        <w:t>Note:</w:t>
      </w:r>
      <w:r w:rsidRPr="00143624">
        <w:tab/>
        <w:t>The Trust Deed is made under the</w:t>
      </w:r>
      <w:r w:rsidRPr="00143624">
        <w:rPr>
          <w:i/>
        </w:rPr>
        <w:t xml:space="preserve"> Military Superannuation and Benefits Act 1991</w:t>
      </w:r>
      <w:r w:rsidRPr="00143624">
        <w:t>.</w:t>
      </w:r>
    </w:p>
    <w:p w:rsidR="00EF666B" w:rsidRPr="00143624" w:rsidRDefault="00EF666B" w:rsidP="00EF666B">
      <w:pPr>
        <w:pStyle w:val="ActHead5"/>
      </w:pPr>
      <w:bookmarkStart w:id="126" w:name="_Toc64030384"/>
      <w:r w:rsidRPr="003F3E0B">
        <w:rPr>
          <w:rStyle w:val="CharSectno"/>
        </w:rPr>
        <w:t>307</w:t>
      </w:r>
      <w:r w:rsidR="00143624" w:rsidRPr="003F3E0B">
        <w:rPr>
          <w:rStyle w:val="CharSectno"/>
        </w:rPr>
        <w:noBreakHyphen/>
      </w:r>
      <w:r w:rsidRPr="003F3E0B">
        <w:rPr>
          <w:rStyle w:val="CharSectno"/>
        </w:rPr>
        <w:t>125.02</w:t>
      </w:r>
      <w:r w:rsidRPr="00143624">
        <w:t xml:space="preserve">  Components of superannuation benefits after death of recipient of superannuation income stream</w:t>
      </w:r>
      <w:bookmarkEnd w:id="126"/>
    </w:p>
    <w:p w:rsidR="00EF666B" w:rsidRPr="00143624" w:rsidRDefault="00EF666B" w:rsidP="00EF666B">
      <w:pPr>
        <w:pStyle w:val="subsection"/>
      </w:pPr>
      <w:r w:rsidRPr="00143624">
        <w:tab/>
        <w:t>(1)</w:t>
      </w:r>
      <w:r w:rsidRPr="00143624">
        <w:tab/>
        <w:t>For the purposes of paragraph</w:t>
      </w:r>
      <w:r w:rsidR="002B1A95" w:rsidRPr="00143624">
        <w:t> </w:t>
      </w:r>
      <w:r w:rsidRPr="00143624">
        <w:t>307</w:t>
      </w:r>
      <w:r w:rsidR="00143624">
        <w:noBreakHyphen/>
      </w:r>
      <w:r w:rsidRPr="00143624">
        <w:t xml:space="preserve">125(4)(a) of the Act, </w:t>
      </w:r>
      <w:r w:rsidR="002B1A95" w:rsidRPr="00143624">
        <w:t>subsection (</w:t>
      </w:r>
      <w:r w:rsidRPr="00143624">
        <w:t xml:space="preserve">3) specifies an alternative method for determining the components of a superannuation benefit referred to in </w:t>
      </w:r>
      <w:r w:rsidR="002B1A95" w:rsidRPr="00143624">
        <w:t>paragraph (</w:t>
      </w:r>
      <w:r w:rsidRPr="00143624">
        <w:t>3)(a) or (b) if:</w:t>
      </w:r>
    </w:p>
    <w:p w:rsidR="00EF666B" w:rsidRPr="00143624" w:rsidRDefault="00EF666B" w:rsidP="00EF666B">
      <w:pPr>
        <w:pStyle w:val="paragraph"/>
      </w:pPr>
      <w:r w:rsidRPr="00143624">
        <w:tab/>
        <w:t>(a)</w:t>
      </w:r>
      <w:r w:rsidRPr="00143624">
        <w:tab/>
        <w:t xml:space="preserve">immediately before the death of a person (the </w:t>
      </w:r>
      <w:r w:rsidRPr="00143624">
        <w:rPr>
          <w:b/>
          <w:i/>
        </w:rPr>
        <w:t>deceased</w:t>
      </w:r>
      <w:r w:rsidRPr="00143624">
        <w:t xml:space="preserve">), a superannuation interest (the </w:t>
      </w:r>
      <w:r w:rsidRPr="00143624">
        <w:rPr>
          <w:b/>
          <w:i/>
        </w:rPr>
        <w:t>relevant superannuation interest</w:t>
      </w:r>
      <w:r w:rsidRPr="00143624">
        <w:t xml:space="preserve">) was supporting a superannuation income stream (the </w:t>
      </w:r>
      <w:r w:rsidRPr="00143624">
        <w:rPr>
          <w:b/>
          <w:i/>
        </w:rPr>
        <w:t>original superannuation income stream</w:t>
      </w:r>
      <w:r w:rsidRPr="00143624">
        <w:t>) payable to the deceased; and</w:t>
      </w:r>
    </w:p>
    <w:p w:rsidR="00EF666B" w:rsidRPr="00143624" w:rsidRDefault="00EF666B" w:rsidP="00EF666B">
      <w:pPr>
        <w:pStyle w:val="paragraph"/>
      </w:pPr>
      <w:r w:rsidRPr="00143624">
        <w:lastRenderedPageBreak/>
        <w:tab/>
        <w:t>(b)</w:t>
      </w:r>
      <w:r w:rsidRPr="00143624">
        <w:tab/>
        <w:t>the original superannuation income stream did not automatically revert to another person on the deceased’s death; and</w:t>
      </w:r>
    </w:p>
    <w:p w:rsidR="00EF666B" w:rsidRPr="00143624" w:rsidRDefault="00EF666B" w:rsidP="00EF666B">
      <w:pPr>
        <w:pStyle w:val="paragraph"/>
      </w:pPr>
      <w:r w:rsidRPr="00143624">
        <w:tab/>
        <w:t>(c)</w:t>
      </w:r>
      <w:r w:rsidRPr="00143624">
        <w:tab/>
        <w:t>no amounts, other than investment earnings, have been added to the relevant superannuation interest on or after the deceased’s death; and</w:t>
      </w:r>
    </w:p>
    <w:p w:rsidR="00EF666B" w:rsidRPr="00143624" w:rsidRDefault="00EF666B" w:rsidP="00EF666B">
      <w:pPr>
        <w:pStyle w:val="paragraph"/>
        <w:rPr>
          <w:rFonts w:ascii="Arial" w:hAnsi="Arial" w:cs="Arial"/>
          <w:sz w:val="20"/>
        </w:rPr>
      </w:pPr>
      <w:r w:rsidRPr="00143624">
        <w:tab/>
        <w:t>(d)</w:t>
      </w:r>
      <w:r w:rsidRPr="00143624">
        <w:tab/>
        <w:t>one or both of the following occurs after the deceased’s death:</w:t>
      </w:r>
    </w:p>
    <w:p w:rsidR="00EF666B" w:rsidRPr="00143624" w:rsidRDefault="00EF666B" w:rsidP="00EF666B">
      <w:pPr>
        <w:pStyle w:val="paragraphsub"/>
      </w:pPr>
      <w:r w:rsidRPr="00143624">
        <w:tab/>
        <w:t>(i)</w:t>
      </w:r>
      <w:r w:rsidRPr="00143624">
        <w:tab/>
        <w:t>a superannuation death benefit that is a superannuation lump sum is paid using only an amount from the relevant superannuation interest;</w:t>
      </w:r>
    </w:p>
    <w:p w:rsidR="00EF666B" w:rsidRPr="00143624" w:rsidRDefault="00EF666B" w:rsidP="00EF666B">
      <w:pPr>
        <w:pStyle w:val="paragraphsub"/>
      </w:pPr>
      <w:r w:rsidRPr="00143624">
        <w:tab/>
        <w:t>(ii)</w:t>
      </w:r>
      <w:r w:rsidRPr="00143624">
        <w:tab/>
        <w:t xml:space="preserve">a superannuation income stream (the </w:t>
      </w:r>
      <w:r w:rsidRPr="00143624">
        <w:rPr>
          <w:b/>
          <w:i/>
        </w:rPr>
        <w:t>new superannuation income stream</w:t>
      </w:r>
      <w:r w:rsidRPr="00143624">
        <w:t>) is commenced using only an amount applied from the relevant superannuation interest.</w:t>
      </w:r>
    </w:p>
    <w:p w:rsidR="00EF666B" w:rsidRPr="00143624" w:rsidRDefault="00EF666B" w:rsidP="00EF666B">
      <w:pPr>
        <w:pStyle w:val="subsection"/>
      </w:pPr>
      <w:r w:rsidRPr="00143624">
        <w:tab/>
        <w:t>(2)</w:t>
      </w:r>
      <w:r w:rsidRPr="00143624">
        <w:tab/>
        <w:t xml:space="preserve">For the purposes of </w:t>
      </w:r>
      <w:r w:rsidR="002B1A95" w:rsidRPr="00143624">
        <w:t>paragraph (</w:t>
      </w:r>
      <w:r w:rsidRPr="00143624">
        <w:t>1)(c), investment earnings includes:</w:t>
      </w:r>
    </w:p>
    <w:p w:rsidR="00EF666B" w:rsidRPr="00143624" w:rsidRDefault="00EF666B" w:rsidP="00EF666B">
      <w:pPr>
        <w:pStyle w:val="paragraph"/>
      </w:pPr>
      <w:r w:rsidRPr="00143624">
        <w:tab/>
        <w:t>(a)</w:t>
      </w:r>
      <w:r w:rsidRPr="00143624">
        <w:tab/>
        <w:t>an amount paid under a policy of insurance on the life of the deceased; and</w:t>
      </w:r>
    </w:p>
    <w:p w:rsidR="00EF666B" w:rsidRPr="00143624" w:rsidRDefault="00EF666B" w:rsidP="00EF666B">
      <w:pPr>
        <w:pStyle w:val="paragraph"/>
      </w:pPr>
      <w:r w:rsidRPr="00143624">
        <w:tab/>
        <w:t>(b)</w:t>
      </w:r>
      <w:r w:rsidRPr="00143624">
        <w:tab/>
        <w:t>an amount arising from self</w:t>
      </w:r>
      <w:r w:rsidR="00143624">
        <w:noBreakHyphen/>
      </w:r>
      <w:r w:rsidRPr="00143624">
        <w:t>insurance.</w:t>
      </w:r>
    </w:p>
    <w:p w:rsidR="00EF666B" w:rsidRPr="00143624" w:rsidRDefault="00EF666B" w:rsidP="00EF666B">
      <w:pPr>
        <w:pStyle w:val="subsection"/>
      </w:pPr>
      <w:r w:rsidRPr="00143624">
        <w:tab/>
        <w:t>(3)</w:t>
      </w:r>
      <w:r w:rsidRPr="00143624">
        <w:tab/>
        <w:t>The following method sets out how to work out the tax free component and taxable component of:</w:t>
      </w:r>
    </w:p>
    <w:p w:rsidR="00EF666B" w:rsidRPr="00143624" w:rsidRDefault="00EF666B" w:rsidP="00EF666B">
      <w:pPr>
        <w:pStyle w:val="paragraph"/>
        <w:rPr>
          <w:rFonts w:ascii="Arial" w:hAnsi="Arial" w:cs="Arial"/>
          <w:sz w:val="20"/>
        </w:rPr>
      </w:pPr>
      <w:r w:rsidRPr="00143624">
        <w:tab/>
        <w:t>(a)</w:t>
      </w:r>
      <w:r w:rsidRPr="00143624">
        <w:tab/>
        <w:t xml:space="preserve">a superannuation death benefit mentioned in </w:t>
      </w:r>
      <w:r w:rsidR="002B1A95" w:rsidRPr="00143624">
        <w:t>subparagraph (</w:t>
      </w:r>
      <w:r w:rsidRPr="00143624">
        <w:t>1)(d)(i);</w:t>
      </w:r>
      <w:r w:rsidRPr="00143624">
        <w:rPr>
          <w:rFonts w:ascii="Arial" w:hAnsi="Arial" w:cs="Arial"/>
          <w:sz w:val="20"/>
        </w:rPr>
        <w:t xml:space="preserve"> </w:t>
      </w:r>
      <w:r w:rsidRPr="00143624">
        <w:t>or</w:t>
      </w:r>
    </w:p>
    <w:p w:rsidR="00EF666B" w:rsidRPr="00143624" w:rsidRDefault="00EF666B" w:rsidP="00EF666B">
      <w:pPr>
        <w:pStyle w:val="paragraph"/>
      </w:pPr>
      <w:r w:rsidRPr="00143624">
        <w:tab/>
        <w:t>(b)</w:t>
      </w:r>
      <w:r w:rsidRPr="00143624">
        <w:tab/>
        <w:t xml:space="preserve">a superannuation benefit paid from a superannuation interest that supports the new superannuation income stream mentioned in </w:t>
      </w:r>
      <w:r w:rsidR="002B1A95" w:rsidRPr="00143624">
        <w:t>subparagraph (</w:t>
      </w:r>
      <w:r w:rsidRPr="00143624">
        <w:t>1)(d)(ii).</w:t>
      </w:r>
    </w:p>
    <w:p w:rsidR="00EF666B" w:rsidRPr="00143624" w:rsidRDefault="00EF666B" w:rsidP="00EF666B">
      <w:pPr>
        <w:pStyle w:val="BoxHeadItalic"/>
      </w:pPr>
      <w:r w:rsidRPr="00143624">
        <w:t>Method statement</w:t>
      </w:r>
    </w:p>
    <w:p w:rsidR="00EF666B" w:rsidRPr="00143624" w:rsidRDefault="00EF666B" w:rsidP="00EF666B">
      <w:pPr>
        <w:pStyle w:val="BoxStep"/>
        <w:spacing w:before="120"/>
      </w:pPr>
      <w:r w:rsidRPr="00143624">
        <w:t>Step 1.</w:t>
      </w:r>
      <w:r w:rsidRPr="00143624">
        <w:tab/>
        <w:t>Reduce the amount of the benefit by the extent, if any, to which the benefit is attributable to any of the following:</w:t>
      </w:r>
    </w:p>
    <w:p w:rsidR="00EF666B" w:rsidRPr="00143624" w:rsidRDefault="00EF666B" w:rsidP="00EF666B">
      <w:pPr>
        <w:pStyle w:val="BoxPara"/>
      </w:pPr>
      <w:r w:rsidRPr="00143624">
        <w:tab/>
        <w:t>(a)</w:t>
      </w:r>
      <w:r w:rsidRPr="00143624">
        <w:tab/>
        <w:t>an amount paid on or after the death of the deceased under a policy of insurance on the life of the deceased;</w:t>
      </w:r>
    </w:p>
    <w:p w:rsidR="00EF666B" w:rsidRPr="00143624" w:rsidRDefault="00EF666B" w:rsidP="00EF666B">
      <w:pPr>
        <w:pStyle w:val="BoxPara"/>
        <w:rPr>
          <w:strike/>
        </w:rPr>
      </w:pPr>
      <w:r w:rsidRPr="00143624">
        <w:tab/>
        <w:t>(b)</w:t>
      </w:r>
      <w:r w:rsidRPr="00143624">
        <w:tab/>
        <w:t>an amount arising on or after the death of the deceased from self</w:t>
      </w:r>
      <w:r w:rsidR="00143624">
        <w:noBreakHyphen/>
      </w:r>
      <w:r w:rsidRPr="00143624">
        <w:t>insurance.</w:t>
      </w:r>
    </w:p>
    <w:p w:rsidR="00EF666B" w:rsidRPr="00143624" w:rsidRDefault="00EF666B" w:rsidP="00EF666B">
      <w:pPr>
        <w:pStyle w:val="BoxStep"/>
      </w:pPr>
      <w:r w:rsidRPr="00143624">
        <w:t>Step 2.</w:t>
      </w:r>
      <w:r w:rsidRPr="00143624">
        <w:tab/>
        <w:t>The tax free component of the benefit is the amount that represents the same proportion of the amount resulting from step 1 as the tax free component of the relevant superannuation interest bore to the value of the relevant superannuation interest when the original superannuation income stream commenced.</w:t>
      </w:r>
    </w:p>
    <w:p w:rsidR="00EF666B" w:rsidRPr="00143624" w:rsidRDefault="00EF666B" w:rsidP="00EF666B">
      <w:pPr>
        <w:pStyle w:val="BoxStep"/>
      </w:pPr>
      <w:r w:rsidRPr="00143624">
        <w:t>Step 3.</w:t>
      </w:r>
      <w:r w:rsidRPr="00143624">
        <w:tab/>
        <w:t>The taxable component of the benefit is the amount of the benefit less the tax free component of the benefit worked out under step 2.</w:t>
      </w:r>
    </w:p>
    <w:p w:rsidR="00EF666B" w:rsidRPr="00143624" w:rsidRDefault="00EF666B" w:rsidP="00EF666B">
      <w:pPr>
        <w:pStyle w:val="ActHead4"/>
      </w:pPr>
      <w:bookmarkStart w:id="127" w:name="_Toc64030385"/>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307</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Fonts w:eastAsiaTheme="majorEastAsia"/>
        </w:rPr>
        <w:t>Superannuation interests</w:t>
      </w:r>
      <w:bookmarkEnd w:id="127"/>
    </w:p>
    <w:p w:rsidR="00EF666B" w:rsidRPr="00143624" w:rsidRDefault="00EF666B" w:rsidP="00EF666B">
      <w:pPr>
        <w:pStyle w:val="ActHead5"/>
      </w:pPr>
      <w:bookmarkStart w:id="128" w:name="_Toc64030386"/>
      <w:r w:rsidRPr="003F3E0B">
        <w:rPr>
          <w:rStyle w:val="CharSectno"/>
        </w:rPr>
        <w:t>307</w:t>
      </w:r>
      <w:r w:rsidR="00143624" w:rsidRPr="003F3E0B">
        <w:rPr>
          <w:rStyle w:val="CharSectno"/>
        </w:rPr>
        <w:noBreakHyphen/>
      </w:r>
      <w:r w:rsidRPr="003F3E0B">
        <w:rPr>
          <w:rStyle w:val="CharSectno"/>
        </w:rPr>
        <w:t>200.01</w:t>
      </w:r>
      <w:r w:rsidRPr="00143624">
        <w:t xml:space="preserve">  Application of sections</w:t>
      </w:r>
      <w:r w:rsidR="002B1A95" w:rsidRPr="00143624">
        <w:t> </w:t>
      </w:r>
      <w:r w:rsidRPr="00143624">
        <w:t>307</w:t>
      </w:r>
      <w:r w:rsidR="00143624">
        <w:noBreakHyphen/>
      </w:r>
      <w:r w:rsidRPr="00143624">
        <w:t>200.02 to 307</w:t>
      </w:r>
      <w:r w:rsidR="00143624">
        <w:noBreakHyphen/>
      </w:r>
      <w:r w:rsidRPr="00143624">
        <w:t>200.05 to Subdivisions</w:t>
      </w:r>
      <w:r w:rsidR="002B1A95" w:rsidRPr="00143624">
        <w:t> </w:t>
      </w:r>
      <w:r w:rsidRPr="00143624">
        <w:t>291</w:t>
      </w:r>
      <w:r w:rsidR="00143624">
        <w:noBreakHyphen/>
      </w:r>
      <w:r w:rsidRPr="00143624">
        <w:t>C and 293</w:t>
      </w:r>
      <w:r w:rsidR="00143624">
        <w:noBreakHyphen/>
      </w:r>
      <w:r w:rsidRPr="00143624">
        <w:t>D of the Act</w:t>
      </w:r>
      <w:bookmarkEnd w:id="128"/>
    </w:p>
    <w:p w:rsidR="00EF666B" w:rsidRPr="00143624" w:rsidRDefault="00EF666B" w:rsidP="00EF666B">
      <w:pPr>
        <w:pStyle w:val="subsection"/>
      </w:pPr>
      <w:r w:rsidRPr="00143624">
        <w:tab/>
      </w:r>
      <w:r w:rsidRPr="00143624">
        <w:tab/>
        <w:t>For the purposes of section</w:t>
      </w:r>
      <w:r w:rsidR="002B1A95" w:rsidRPr="00143624">
        <w:t> </w:t>
      </w:r>
      <w:r w:rsidRPr="00143624">
        <w:t>307</w:t>
      </w:r>
      <w:r w:rsidR="00143624">
        <w:noBreakHyphen/>
      </w:r>
      <w:r w:rsidRPr="00143624">
        <w:t>200 of the Act, sections</w:t>
      </w:r>
      <w:r w:rsidR="002B1A95" w:rsidRPr="00143624">
        <w:t> </w:t>
      </w:r>
      <w:r w:rsidRPr="00143624">
        <w:t>307</w:t>
      </w:r>
      <w:r w:rsidR="00143624">
        <w:noBreakHyphen/>
      </w:r>
      <w:r w:rsidRPr="00143624">
        <w:t>200.02 to 307</w:t>
      </w:r>
      <w:r w:rsidR="00143624">
        <w:noBreakHyphen/>
      </w:r>
      <w:r w:rsidRPr="00143624">
        <w:t>200.05 specify ways of treating superannuation interests other than for the purposes of:</w:t>
      </w:r>
    </w:p>
    <w:p w:rsidR="00EF666B" w:rsidRPr="00143624" w:rsidRDefault="00EF666B" w:rsidP="00EF666B">
      <w:pPr>
        <w:pStyle w:val="paragraph"/>
      </w:pPr>
      <w:r w:rsidRPr="00143624">
        <w:lastRenderedPageBreak/>
        <w:tab/>
        <w:t>(a)</w:t>
      </w:r>
      <w:r w:rsidRPr="00143624">
        <w:tab/>
        <w:t>calculating an amount of contributions under Subdivision</w:t>
      </w:r>
      <w:r w:rsidR="002B1A95" w:rsidRPr="00143624">
        <w:t> </w:t>
      </w:r>
      <w:r w:rsidRPr="00143624">
        <w:t>291</w:t>
      </w:r>
      <w:r w:rsidR="00143624">
        <w:noBreakHyphen/>
      </w:r>
      <w:r w:rsidRPr="00143624">
        <w:t>C of the Act; or</w:t>
      </w:r>
    </w:p>
    <w:p w:rsidR="00EF666B" w:rsidRPr="00143624" w:rsidRDefault="00EF666B" w:rsidP="00EF666B">
      <w:pPr>
        <w:pStyle w:val="paragraph"/>
      </w:pPr>
      <w:r w:rsidRPr="00143624">
        <w:tab/>
        <w:t>(b)</w:t>
      </w:r>
      <w:r w:rsidRPr="00143624">
        <w:tab/>
        <w:t>calculating low tax contributions under Subdivision</w:t>
      </w:r>
      <w:r w:rsidR="002B1A95" w:rsidRPr="00143624">
        <w:t> </w:t>
      </w:r>
      <w:r w:rsidRPr="00143624">
        <w:t>293</w:t>
      </w:r>
      <w:r w:rsidR="00143624">
        <w:noBreakHyphen/>
      </w:r>
      <w:r w:rsidRPr="00143624">
        <w:t>D of the Act.</w:t>
      </w:r>
    </w:p>
    <w:p w:rsidR="00EF666B" w:rsidRPr="00143624" w:rsidRDefault="00EF666B" w:rsidP="00EF666B">
      <w:pPr>
        <w:pStyle w:val="ActHead5"/>
      </w:pPr>
      <w:bookmarkStart w:id="129" w:name="_Toc64030387"/>
      <w:r w:rsidRPr="003F3E0B">
        <w:rPr>
          <w:rStyle w:val="CharSectno"/>
        </w:rPr>
        <w:t>307</w:t>
      </w:r>
      <w:r w:rsidR="00143624" w:rsidRPr="003F3E0B">
        <w:rPr>
          <w:rStyle w:val="CharSectno"/>
        </w:rPr>
        <w:noBreakHyphen/>
      </w:r>
      <w:r w:rsidRPr="003F3E0B">
        <w:rPr>
          <w:rStyle w:val="CharSectno"/>
        </w:rPr>
        <w:t>200.02</w:t>
      </w:r>
      <w:r w:rsidRPr="00143624">
        <w:t xml:space="preserve">  Meaning of superannuation interests</w:t>
      </w:r>
      <w:r w:rsidRPr="00143624">
        <w:rPr>
          <w:i/>
        </w:rPr>
        <w:t>—</w:t>
      </w:r>
      <w:r w:rsidRPr="00143624">
        <w:t>treating superannuation interests as 1 superannuation interest (self</w:t>
      </w:r>
      <w:r w:rsidR="00143624">
        <w:noBreakHyphen/>
      </w:r>
      <w:r w:rsidRPr="00143624">
        <w:t>managed superannuation funds)</w:t>
      </w:r>
      <w:bookmarkEnd w:id="129"/>
    </w:p>
    <w:p w:rsidR="00EF666B" w:rsidRPr="00143624" w:rsidRDefault="00EF666B" w:rsidP="00EF666B">
      <w:pPr>
        <w:pStyle w:val="subsection"/>
      </w:pPr>
      <w:r w:rsidRPr="00143624">
        <w:tab/>
      </w:r>
      <w:r w:rsidRPr="00143624">
        <w:tab/>
        <w:t>For the purposes of subsection</w:t>
      </w:r>
      <w:r w:rsidR="002B1A95" w:rsidRPr="00143624">
        <w:t> </w:t>
      </w:r>
      <w:r w:rsidRPr="00143624">
        <w:t>307</w:t>
      </w:r>
      <w:r w:rsidR="00143624">
        <w:noBreakHyphen/>
      </w:r>
      <w:r w:rsidRPr="00143624">
        <w:t>200(2) of the Act, 2 or more superannuation interests that a member holds in a self</w:t>
      </w:r>
      <w:r w:rsidR="00143624">
        <w:noBreakHyphen/>
      </w:r>
      <w:r w:rsidRPr="00143624">
        <w:t>managed superannuation fund are to be treated as one superannuation interest by:</w:t>
      </w:r>
    </w:p>
    <w:p w:rsidR="00EF666B" w:rsidRPr="00143624" w:rsidRDefault="00EF666B" w:rsidP="00EF666B">
      <w:pPr>
        <w:pStyle w:val="paragraph"/>
      </w:pPr>
      <w:r w:rsidRPr="00143624">
        <w:tab/>
        <w:t>(a)</w:t>
      </w:r>
      <w:r w:rsidRPr="00143624">
        <w:tab/>
        <w:t>treating every amount, benefit or entitlement that the member holds in the fund as one superannuation interest; but</w:t>
      </w:r>
    </w:p>
    <w:p w:rsidR="00EF666B" w:rsidRPr="00143624" w:rsidRDefault="00EF666B" w:rsidP="00EF666B">
      <w:pPr>
        <w:pStyle w:val="paragraph"/>
      </w:pPr>
      <w:r w:rsidRPr="00143624">
        <w:tab/>
        <w:t>(b)</w:t>
      </w:r>
      <w:r w:rsidRPr="00143624">
        <w:tab/>
        <w:t>excluding from that treatment any amount, benefit or entitlement that is to be treated as 2 or more superannuation interests in accordance with section 307</w:t>
      </w:r>
      <w:r w:rsidR="00143624">
        <w:noBreakHyphen/>
      </w:r>
      <w:r w:rsidRPr="00143624">
        <w:t>200.05.</w:t>
      </w:r>
    </w:p>
    <w:p w:rsidR="00EF666B" w:rsidRPr="00143624" w:rsidRDefault="00EF666B" w:rsidP="00EF666B">
      <w:pPr>
        <w:pStyle w:val="ActHead5"/>
      </w:pPr>
      <w:bookmarkStart w:id="130" w:name="_Toc64030388"/>
      <w:r w:rsidRPr="003F3E0B">
        <w:rPr>
          <w:rStyle w:val="CharSectno"/>
        </w:rPr>
        <w:t>307</w:t>
      </w:r>
      <w:r w:rsidR="00143624" w:rsidRPr="003F3E0B">
        <w:rPr>
          <w:rStyle w:val="CharSectno"/>
        </w:rPr>
        <w:noBreakHyphen/>
      </w:r>
      <w:r w:rsidRPr="003F3E0B">
        <w:rPr>
          <w:rStyle w:val="CharSectno"/>
        </w:rPr>
        <w:t>200.03</w:t>
      </w:r>
      <w:r w:rsidRPr="00143624">
        <w:t xml:space="preserve">  Meaning of superannuation interests—treating a superannuation interest as 2 or more superannuation interests (public sector schemes)</w:t>
      </w:r>
      <w:bookmarkEnd w:id="130"/>
    </w:p>
    <w:p w:rsidR="00EF666B" w:rsidRPr="00143624" w:rsidRDefault="00EF666B" w:rsidP="00EF666B">
      <w:pPr>
        <w:pStyle w:val="subsection"/>
      </w:pPr>
      <w:r w:rsidRPr="00143624">
        <w:tab/>
        <w:t>(1)</w:t>
      </w:r>
      <w:r w:rsidRPr="00143624">
        <w:tab/>
        <w:t>For the purposes of subsection</w:t>
      </w:r>
      <w:r w:rsidR="002B1A95" w:rsidRPr="00143624">
        <w:t> </w:t>
      </w:r>
      <w:r w:rsidRPr="00143624">
        <w:t>307</w:t>
      </w:r>
      <w:r w:rsidR="00143624">
        <w:noBreakHyphen/>
      </w:r>
      <w:r w:rsidRPr="00143624">
        <w:t xml:space="preserve">200(1) of the Act, a superannuation interest in a public sector superannuation scheme is to be treated as the 2 superannuation interests referred to in </w:t>
      </w:r>
      <w:r w:rsidR="002B1A95" w:rsidRPr="00143624">
        <w:t>subsection (</w:t>
      </w:r>
      <w:r w:rsidRPr="00143624">
        <w:t xml:space="preserve">3) in the circumstances specified in </w:t>
      </w:r>
      <w:r w:rsidR="002B1A95" w:rsidRPr="00143624">
        <w:t>subsection (</w:t>
      </w:r>
      <w:r w:rsidRPr="00143624">
        <w:t>2).</w:t>
      </w:r>
    </w:p>
    <w:p w:rsidR="00EF666B" w:rsidRPr="00143624" w:rsidRDefault="00EF666B" w:rsidP="00EF666B">
      <w:pPr>
        <w:pStyle w:val="subsection"/>
      </w:pPr>
      <w:r w:rsidRPr="00143624">
        <w:tab/>
        <w:t>(2)</w:t>
      </w:r>
      <w:r w:rsidRPr="00143624">
        <w:tab/>
        <w:t>The interest is to be treated as 2 interests if:</w:t>
      </w:r>
    </w:p>
    <w:p w:rsidR="00EF666B" w:rsidRPr="00143624" w:rsidRDefault="00EF666B" w:rsidP="00EF666B">
      <w:pPr>
        <w:pStyle w:val="paragraph"/>
      </w:pPr>
      <w:r w:rsidRPr="00143624">
        <w:tab/>
        <w:t>(a)</w:t>
      </w:r>
      <w:r w:rsidRPr="00143624">
        <w:tab/>
        <w:t>the superannuation benefit that is to be paid from the scheme is sourced:</w:t>
      </w:r>
    </w:p>
    <w:p w:rsidR="00EF666B" w:rsidRPr="00143624" w:rsidRDefault="00EF666B" w:rsidP="00EF666B">
      <w:pPr>
        <w:pStyle w:val="paragraphsub"/>
      </w:pPr>
      <w:r w:rsidRPr="00143624">
        <w:tab/>
        <w:t>(i)</w:t>
      </w:r>
      <w:r w:rsidRPr="00143624">
        <w:tab/>
        <w:t>partly from contributions made into the scheme or earnings on those contributions; and</w:t>
      </w:r>
    </w:p>
    <w:p w:rsidR="00EF666B" w:rsidRPr="00143624" w:rsidRDefault="00EF666B" w:rsidP="00EF666B">
      <w:pPr>
        <w:pStyle w:val="paragraphsub"/>
      </w:pPr>
      <w:r w:rsidRPr="00143624">
        <w:tab/>
        <w:t>(ii)</w:t>
      </w:r>
      <w:r w:rsidRPr="00143624">
        <w:tab/>
        <w:t>partly from one or more other sources; or</w:t>
      </w:r>
    </w:p>
    <w:p w:rsidR="00EF666B" w:rsidRPr="00143624" w:rsidRDefault="00EF666B" w:rsidP="00EF666B">
      <w:pPr>
        <w:pStyle w:val="paragraph"/>
      </w:pPr>
      <w:r w:rsidRPr="00143624">
        <w:tab/>
        <w:t>(b)</w:t>
      </w:r>
      <w:r w:rsidRPr="00143624">
        <w:tab/>
        <w:t>the superannuation benefits that are to be paid from the scheme are sourced:</w:t>
      </w:r>
    </w:p>
    <w:p w:rsidR="00EF666B" w:rsidRPr="00143624" w:rsidRDefault="00EF666B" w:rsidP="00EF666B">
      <w:pPr>
        <w:pStyle w:val="paragraphsub"/>
      </w:pPr>
      <w:r w:rsidRPr="00143624">
        <w:tab/>
        <w:t>(i)</w:t>
      </w:r>
      <w:r w:rsidRPr="00143624">
        <w:tab/>
        <w:t>partly from contributions made into the scheme or earnings on those contributions; and</w:t>
      </w:r>
    </w:p>
    <w:p w:rsidR="00EF666B" w:rsidRPr="00143624" w:rsidRDefault="00EF666B" w:rsidP="00EF666B">
      <w:pPr>
        <w:pStyle w:val="paragraphsub"/>
      </w:pPr>
      <w:r w:rsidRPr="00143624">
        <w:tab/>
        <w:t>(ii)</w:t>
      </w:r>
      <w:r w:rsidRPr="00143624">
        <w:tab/>
        <w:t>partly from one or more other sources.</w:t>
      </w:r>
    </w:p>
    <w:p w:rsidR="00EF666B" w:rsidRPr="00143624" w:rsidRDefault="00EF666B" w:rsidP="00EF666B">
      <w:pPr>
        <w:pStyle w:val="subsection"/>
      </w:pPr>
      <w:r w:rsidRPr="00143624">
        <w:tab/>
        <w:t>(3)</w:t>
      </w:r>
      <w:r w:rsidRPr="00143624">
        <w:tab/>
        <w:t>The 2 interests are:</w:t>
      </w:r>
    </w:p>
    <w:p w:rsidR="00EF666B" w:rsidRPr="00143624" w:rsidRDefault="00EF666B" w:rsidP="00EF666B">
      <w:pPr>
        <w:pStyle w:val="paragraph"/>
      </w:pPr>
      <w:r w:rsidRPr="00143624">
        <w:tab/>
        <w:t>(a)</w:t>
      </w:r>
      <w:r w:rsidRPr="00143624">
        <w:tab/>
        <w:t>an interest that consists of the contributions made into the scheme and the earnings on those contributions; and</w:t>
      </w:r>
    </w:p>
    <w:p w:rsidR="00EF666B" w:rsidRPr="00143624" w:rsidRDefault="00EF666B" w:rsidP="00EF666B">
      <w:pPr>
        <w:pStyle w:val="paragraph"/>
      </w:pPr>
      <w:r w:rsidRPr="00143624">
        <w:tab/>
        <w:t>(b)</w:t>
      </w:r>
      <w:r w:rsidRPr="00143624">
        <w:tab/>
        <w:t>an interest that consists of the remainder of the amount sourced from the other source or sources.</w:t>
      </w:r>
    </w:p>
    <w:p w:rsidR="00EF666B" w:rsidRPr="00143624" w:rsidRDefault="00EF666B" w:rsidP="00EF666B">
      <w:pPr>
        <w:pStyle w:val="subsection"/>
      </w:pPr>
      <w:r w:rsidRPr="00143624">
        <w:tab/>
        <w:t>(4)</w:t>
      </w:r>
      <w:r w:rsidRPr="00143624">
        <w:tab/>
        <w:t>For the purposes of this section, an amount specified in a notice given under subsection</w:t>
      </w:r>
      <w:r w:rsidR="002B1A95" w:rsidRPr="00143624">
        <w:t> </w:t>
      </w:r>
      <w:r w:rsidRPr="00143624">
        <w:t>307</w:t>
      </w:r>
      <w:r w:rsidR="00143624">
        <w:noBreakHyphen/>
      </w:r>
      <w:r w:rsidRPr="00143624">
        <w:t>285(1) of the Act by the trustee of a scheme is not treated as contributions made into the scheme or earnings on those contributions.</w:t>
      </w:r>
    </w:p>
    <w:p w:rsidR="00EF666B" w:rsidRPr="00143624" w:rsidRDefault="00EF666B" w:rsidP="00EF666B">
      <w:pPr>
        <w:pStyle w:val="ActHead5"/>
      </w:pPr>
      <w:bookmarkStart w:id="131" w:name="_Toc64030389"/>
      <w:r w:rsidRPr="003F3E0B">
        <w:rPr>
          <w:rStyle w:val="CharSectno"/>
        </w:rPr>
        <w:lastRenderedPageBreak/>
        <w:t>307</w:t>
      </w:r>
      <w:r w:rsidR="00143624" w:rsidRPr="003F3E0B">
        <w:rPr>
          <w:rStyle w:val="CharSectno"/>
        </w:rPr>
        <w:noBreakHyphen/>
      </w:r>
      <w:r w:rsidRPr="003F3E0B">
        <w:rPr>
          <w:rStyle w:val="CharSectno"/>
        </w:rPr>
        <w:t>200.05</w:t>
      </w:r>
      <w:r w:rsidRPr="00143624">
        <w:t xml:space="preserve">  Meaning of superannuation interests—treating a superannuation interest as 2 or more superannuation interests (superannuation income streams)</w:t>
      </w:r>
      <w:bookmarkEnd w:id="131"/>
    </w:p>
    <w:p w:rsidR="00EF666B" w:rsidRPr="00143624" w:rsidRDefault="00EF666B" w:rsidP="00EF666B">
      <w:pPr>
        <w:pStyle w:val="subsection"/>
      </w:pPr>
      <w:r w:rsidRPr="00143624">
        <w:tab/>
      </w:r>
      <w:r w:rsidRPr="00143624">
        <w:tab/>
        <w:t>For the purposes of subsection</w:t>
      </w:r>
      <w:r w:rsidR="002B1A95" w:rsidRPr="00143624">
        <w:t> </w:t>
      </w:r>
      <w:r w:rsidRPr="00143624">
        <w:t>307</w:t>
      </w:r>
      <w:r w:rsidR="00143624">
        <w:noBreakHyphen/>
      </w:r>
      <w:r w:rsidRPr="00143624">
        <w:t>200(1) of the Act, if a superannuation income stream:</w:t>
      </w:r>
    </w:p>
    <w:p w:rsidR="00EF666B" w:rsidRPr="00143624" w:rsidRDefault="00EF666B" w:rsidP="00EF666B">
      <w:pPr>
        <w:pStyle w:val="paragraph"/>
      </w:pPr>
      <w:r w:rsidRPr="00143624">
        <w:tab/>
        <w:t>(a)</w:t>
      </w:r>
      <w:r w:rsidRPr="00143624">
        <w:tab/>
        <w:t>is payable; or</w:t>
      </w:r>
    </w:p>
    <w:p w:rsidR="00EF666B" w:rsidRPr="00143624" w:rsidRDefault="00EF666B" w:rsidP="00EF666B">
      <w:pPr>
        <w:pStyle w:val="paragraph"/>
      </w:pPr>
      <w:r w:rsidRPr="00143624">
        <w:tab/>
        <w:t>(b)</w:t>
      </w:r>
      <w:r w:rsidRPr="00143624">
        <w:tab/>
        <w:t>will be payable, and it is a deferred superannuation income stream covered by paragraph 307</w:t>
      </w:r>
      <w:r w:rsidR="00143624">
        <w:noBreakHyphen/>
      </w:r>
      <w:r w:rsidRPr="00143624">
        <w:t>70.02(1)(c);</w:t>
      </w:r>
    </w:p>
    <w:p w:rsidR="00EF666B" w:rsidRPr="00143624" w:rsidRDefault="00EF666B" w:rsidP="00EF666B">
      <w:pPr>
        <w:pStyle w:val="subsection2"/>
      </w:pPr>
      <w:r w:rsidRPr="00143624">
        <w:t>an amount that supports the superannuation income stream is always to be treated as a separate superannuation interest.</w:t>
      </w:r>
    </w:p>
    <w:p w:rsidR="00EF666B" w:rsidRPr="00143624" w:rsidRDefault="00EF666B" w:rsidP="00EF666B">
      <w:pPr>
        <w:pStyle w:val="ActHead5"/>
      </w:pPr>
      <w:bookmarkStart w:id="132" w:name="_Toc64030390"/>
      <w:r w:rsidRPr="003F3E0B">
        <w:rPr>
          <w:rStyle w:val="CharSectno"/>
        </w:rPr>
        <w:t>307</w:t>
      </w:r>
      <w:r w:rsidR="00143624" w:rsidRPr="003F3E0B">
        <w:rPr>
          <w:rStyle w:val="CharSectno"/>
        </w:rPr>
        <w:noBreakHyphen/>
      </w:r>
      <w:r w:rsidRPr="003F3E0B">
        <w:rPr>
          <w:rStyle w:val="CharSectno"/>
        </w:rPr>
        <w:t>205.01</w:t>
      </w:r>
      <w:r w:rsidRPr="00143624">
        <w:t xml:space="preserve">  Value of superannuation interest for calculating pre</w:t>
      </w:r>
      <w:r w:rsidR="00143624">
        <w:noBreakHyphen/>
      </w:r>
      <w:r w:rsidRPr="00143624">
        <w:t>July 83 amount for members in the contributions and investment phase</w:t>
      </w:r>
      <w:bookmarkEnd w:id="132"/>
    </w:p>
    <w:p w:rsidR="00EF666B" w:rsidRPr="00143624" w:rsidRDefault="00EF666B" w:rsidP="00EF666B">
      <w:pPr>
        <w:pStyle w:val="subsection"/>
      </w:pPr>
      <w:r w:rsidRPr="00143624">
        <w:rPr>
          <w:color w:val="000000"/>
        </w:rPr>
        <w:tab/>
        <w:t>(1)</w:t>
      </w:r>
      <w:r w:rsidRPr="00143624">
        <w:rPr>
          <w:color w:val="000000"/>
        </w:rPr>
        <w:tab/>
        <w:t>For the purposes of paragraph</w:t>
      </w:r>
      <w:r w:rsidR="002B1A95" w:rsidRPr="00143624">
        <w:rPr>
          <w:color w:val="000000"/>
        </w:rPr>
        <w:t> </w:t>
      </w:r>
      <w:r w:rsidRPr="00143624">
        <w:t>307</w:t>
      </w:r>
      <w:r w:rsidR="00143624">
        <w:noBreakHyphen/>
      </w:r>
      <w:r w:rsidRPr="00143624">
        <w:t>205(1)(a)</w:t>
      </w:r>
      <w:r w:rsidRPr="00143624">
        <w:rPr>
          <w:color w:val="000000"/>
        </w:rPr>
        <w:t xml:space="preserve"> of the Act, this section specifies methods for determining the value of a superannuation interest of a member of a superannuation fund at a particular time for the purposes of calculating the pre</w:t>
      </w:r>
      <w:r w:rsidR="00143624">
        <w:rPr>
          <w:color w:val="000000"/>
        </w:rPr>
        <w:noBreakHyphen/>
      </w:r>
      <w:r w:rsidRPr="00143624">
        <w:rPr>
          <w:color w:val="000000"/>
        </w:rPr>
        <w:t>July 83 amount of the crystallised segment of a tax free component under section</w:t>
      </w:r>
      <w:r w:rsidR="002B1A95" w:rsidRPr="00143624">
        <w:rPr>
          <w:color w:val="000000"/>
        </w:rPr>
        <w:t> </w:t>
      </w:r>
      <w:r w:rsidRPr="00143624">
        <w:rPr>
          <w:color w:val="000000"/>
        </w:rPr>
        <w:t>307</w:t>
      </w:r>
      <w:r w:rsidR="00143624">
        <w:rPr>
          <w:color w:val="000000"/>
        </w:rPr>
        <w:noBreakHyphen/>
      </w:r>
      <w:r w:rsidRPr="00143624">
        <w:rPr>
          <w:color w:val="000000"/>
        </w:rPr>
        <w:t>225 of the Act.</w:t>
      </w:r>
    </w:p>
    <w:p w:rsidR="00EF666B" w:rsidRPr="00143624" w:rsidRDefault="00EF666B" w:rsidP="00EF666B">
      <w:pPr>
        <w:pStyle w:val="notetext"/>
        <w:rPr>
          <w:color w:val="000000"/>
        </w:rPr>
      </w:pPr>
      <w:r w:rsidRPr="00143624">
        <w:rPr>
          <w:color w:val="000000"/>
        </w:rPr>
        <w:t>Note:</w:t>
      </w:r>
      <w:r w:rsidRPr="00143624">
        <w:rPr>
          <w:color w:val="000000"/>
        </w:rPr>
        <w:tab/>
        <w:t>Calculating the pre</w:t>
      </w:r>
      <w:r w:rsidR="00143624">
        <w:rPr>
          <w:color w:val="000000"/>
        </w:rPr>
        <w:noBreakHyphen/>
      </w:r>
      <w:r w:rsidRPr="00143624">
        <w:rPr>
          <w:color w:val="000000"/>
        </w:rPr>
        <w:t xml:space="preserve">July 83 amount of the crystallised segment of the tax free component will require the superannuation interest to be valued before </w:t>
      </w:r>
      <w:r w:rsidR="00F5399E" w:rsidRPr="00143624">
        <w:rPr>
          <w:color w:val="000000"/>
        </w:rPr>
        <w:t>1 July</w:t>
      </w:r>
      <w:r w:rsidRPr="00143624">
        <w:rPr>
          <w:color w:val="000000"/>
        </w:rPr>
        <w:t xml:space="preserve"> 2007. This calculation will only be performed for a superannuation interest in the accumulation phase, and only for a superannuation interest in which part of the taxable component is comprised of an element taxed in the fund.</w:t>
      </w:r>
    </w:p>
    <w:p w:rsidR="00EF666B" w:rsidRPr="00143624" w:rsidRDefault="00EF666B" w:rsidP="00EF666B">
      <w:pPr>
        <w:pStyle w:val="SubsectionHead"/>
        <w:spacing w:before="180"/>
      </w:pPr>
      <w:r w:rsidRPr="00143624">
        <w:t>Defined benefit interest</w:t>
      </w:r>
    </w:p>
    <w:p w:rsidR="00EF666B" w:rsidRPr="00143624" w:rsidRDefault="00EF666B" w:rsidP="00EF666B">
      <w:pPr>
        <w:pStyle w:val="subsection"/>
      </w:pPr>
      <w:r w:rsidRPr="00143624">
        <w:rPr>
          <w:color w:val="000000"/>
        </w:rPr>
        <w:tab/>
        <w:t>(2)</w:t>
      </w:r>
      <w:r w:rsidRPr="00143624">
        <w:rPr>
          <w:color w:val="000000"/>
        </w:rPr>
        <w:tab/>
        <w:t>For a superannuation interest that is a defined benefit interest, the method is as follows.</w:t>
      </w:r>
    </w:p>
    <w:p w:rsidR="00EF666B" w:rsidRPr="00143624" w:rsidRDefault="00EF666B" w:rsidP="00EF666B">
      <w:pPr>
        <w:pStyle w:val="BoxHeadItalic"/>
      </w:pPr>
      <w:r w:rsidRPr="00143624">
        <w:t>Method statement</w:t>
      </w:r>
    </w:p>
    <w:p w:rsidR="00EF666B" w:rsidRPr="00143624" w:rsidRDefault="00EF666B" w:rsidP="00EF666B">
      <w:pPr>
        <w:pStyle w:val="BoxStep"/>
      </w:pPr>
      <w:r w:rsidRPr="00143624">
        <w:t>Step 1.</w:t>
      </w:r>
      <w:r w:rsidRPr="00143624">
        <w:tab/>
        <w:t>Calculate, in accordance with section 307</w:t>
      </w:r>
      <w:r w:rsidR="00143624">
        <w:noBreakHyphen/>
      </w:r>
      <w:r w:rsidRPr="00143624">
        <w:t xml:space="preserve">205.01A, the value of the </w:t>
      </w:r>
      <w:r w:rsidRPr="00143624">
        <w:rPr>
          <w:rFonts w:eastAsia="MS Mincho"/>
        </w:rPr>
        <w:t>retirement</w:t>
      </w:r>
      <w:r w:rsidRPr="00143624">
        <w:t xml:space="preserve"> benefit that would have been payable if the member:</w:t>
      </w:r>
    </w:p>
    <w:p w:rsidR="00EF666B" w:rsidRPr="00143624" w:rsidRDefault="00EF666B" w:rsidP="00EF666B">
      <w:pPr>
        <w:pStyle w:val="BoxPara"/>
      </w:pPr>
      <w:r w:rsidRPr="00143624">
        <w:tab/>
        <w:t>(a)</w:t>
      </w:r>
      <w:r w:rsidRPr="00143624">
        <w:tab/>
        <w:t xml:space="preserve">had been </w:t>
      </w:r>
      <w:r w:rsidRPr="00143624">
        <w:rPr>
          <w:rFonts w:eastAsia="MS Mincho"/>
        </w:rPr>
        <w:t>eligible</w:t>
      </w:r>
      <w:r w:rsidRPr="00143624">
        <w:t xml:space="preserve"> to retire immediately before </w:t>
      </w:r>
      <w:r w:rsidR="00F5399E" w:rsidRPr="00143624">
        <w:t>1 July</w:t>
      </w:r>
      <w:r w:rsidRPr="00143624">
        <w:t xml:space="preserve"> 2007; and</w:t>
      </w:r>
    </w:p>
    <w:p w:rsidR="00EF666B" w:rsidRPr="00143624" w:rsidRDefault="00EF666B" w:rsidP="00EF666B">
      <w:pPr>
        <w:pStyle w:val="BoxPara"/>
      </w:pPr>
      <w:r w:rsidRPr="00143624">
        <w:tab/>
        <w:t>(b)</w:t>
      </w:r>
      <w:r w:rsidRPr="00143624">
        <w:tab/>
        <w:t xml:space="preserve">had </w:t>
      </w:r>
      <w:r w:rsidRPr="00143624">
        <w:rPr>
          <w:rFonts w:eastAsia="MS Mincho"/>
        </w:rPr>
        <w:t>elected</w:t>
      </w:r>
      <w:r w:rsidRPr="00143624">
        <w:t xml:space="preserve"> to do so.</w:t>
      </w:r>
    </w:p>
    <w:p w:rsidR="00EF666B" w:rsidRPr="00143624" w:rsidRDefault="00EF666B" w:rsidP="00EF666B">
      <w:pPr>
        <w:pStyle w:val="BoxNote"/>
      </w:pPr>
      <w:r w:rsidRPr="00143624">
        <w:tab/>
        <w:t>Note:</w:t>
      </w:r>
      <w:r w:rsidRPr="00143624">
        <w:tab/>
        <w:t>If the member is no longer in the employment which gave rise to the interest, but the interest is preserved in the scheme, retirement is taken to be the point at which the benefit is payable without penalty to the member.</w:t>
      </w:r>
    </w:p>
    <w:p w:rsidR="00EF666B" w:rsidRPr="00143624" w:rsidRDefault="00EF666B" w:rsidP="00EF666B">
      <w:pPr>
        <w:pStyle w:val="BoxStep"/>
        <w:rPr>
          <w:color w:val="000000"/>
        </w:rPr>
      </w:pPr>
      <w:r w:rsidRPr="00143624">
        <w:rPr>
          <w:color w:val="000000"/>
        </w:rPr>
        <w:t>Step 2.</w:t>
      </w:r>
      <w:r w:rsidRPr="00143624">
        <w:rPr>
          <w:color w:val="000000"/>
        </w:rPr>
        <w:tab/>
        <w:t>If a superannuation lump sum benefit, including a roll</w:t>
      </w:r>
      <w:r w:rsidR="00143624">
        <w:rPr>
          <w:color w:val="000000"/>
        </w:rPr>
        <w:noBreakHyphen/>
      </w:r>
      <w:r w:rsidRPr="00143624">
        <w:rPr>
          <w:color w:val="000000"/>
        </w:rPr>
        <w:t xml:space="preserve">over superannuation benefit, would have been payable had the member resigned, or withdrawn the benefit, immediately before </w:t>
      </w:r>
      <w:r w:rsidR="00F5399E" w:rsidRPr="00143624">
        <w:rPr>
          <w:color w:val="000000"/>
        </w:rPr>
        <w:t>1 July</w:t>
      </w:r>
      <w:r w:rsidRPr="00143624">
        <w:rPr>
          <w:color w:val="000000"/>
        </w:rPr>
        <w:t xml:space="preserve"> 2007, calculate the value of that benefit.</w:t>
      </w:r>
    </w:p>
    <w:p w:rsidR="00EF666B" w:rsidRPr="00143624" w:rsidRDefault="00EF666B" w:rsidP="00EF666B">
      <w:pPr>
        <w:pStyle w:val="BoxStep"/>
      </w:pPr>
      <w:r w:rsidRPr="00143624">
        <w:t>Step 3.</w:t>
      </w:r>
      <w:r w:rsidRPr="00143624">
        <w:tab/>
        <w:t>The value of the superannuation interest is the greater of the values worked out using steps 1 and 2.</w:t>
      </w:r>
    </w:p>
    <w:p w:rsidR="00EF666B" w:rsidRPr="00143624" w:rsidRDefault="00EF666B" w:rsidP="00EF666B">
      <w:pPr>
        <w:pStyle w:val="BoxStep"/>
      </w:pPr>
      <w:r w:rsidRPr="00143624">
        <w:rPr>
          <w:color w:val="000000"/>
        </w:rPr>
        <w:lastRenderedPageBreak/>
        <w:tab/>
        <w:t>If no value can be determined under step 2, the value of the superannuation interest is the value determined under step 1.</w:t>
      </w:r>
    </w:p>
    <w:p w:rsidR="00EF666B" w:rsidRPr="00143624" w:rsidRDefault="00EF666B" w:rsidP="00EF666B">
      <w:pPr>
        <w:pStyle w:val="SubsectionHead"/>
      </w:pPr>
      <w:r w:rsidRPr="00143624">
        <w:t>Interest other than defined benefit interest</w:t>
      </w:r>
    </w:p>
    <w:p w:rsidR="00EF666B" w:rsidRPr="00143624" w:rsidRDefault="00EF666B" w:rsidP="00EF666B">
      <w:pPr>
        <w:pStyle w:val="subsection"/>
      </w:pPr>
      <w:r w:rsidRPr="00143624">
        <w:rPr>
          <w:color w:val="000000"/>
        </w:rPr>
        <w:tab/>
        <w:t>(3)</w:t>
      </w:r>
      <w:r w:rsidRPr="00143624">
        <w:rPr>
          <w:color w:val="000000"/>
        </w:rPr>
        <w:tab/>
        <w:t>For a superannuation interest that is not a defined benefit interest, the method is as follows.</w:t>
      </w:r>
    </w:p>
    <w:p w:rsidR="00EF666B" w:rsidRPr="00143624" w:rsidRDefault="00EF666B" w:rsidP="00EF666B">
      <w:pPr>
        <w:pStyle w:val="BoxHeadItalic"/>
      </w:pPr>
      <w:r w:rsidRPr="00143624">
        <w:t>Method statement</w:t>
      </w:r>
    </w:p>
    <w:p w:rsidR="00EF666B" w:rsidRPr="00143624" w:rsidRDefault="00EF666B" w:rsidP="00EF666B">
      <w:pPr>
        <w:pStyle w:val="BoxStep"/>
        <w:rPr>
          <w:color w:val="000000"/>
        </w:rPr>
      </w:pPr>
      <w:r w:rsidRPr="00143624">
        <w:t>Step 1.</w:t>
      </w:r>
      <w:r w:rsidRPr="00143624">
        <w:tab/>
        <w:t xml:space="preserve">Assume that the member was eligible to retire immediately before </w:t>
      </w:r>
      <w:r w:rsidR="00F5399E" w:rsidRPr="00143624">
        <w:t>1 July</w:t>
      </w:r>
      <w:r w:rsidRPr="00143624">
        <w:t xml:space="preserve"> 2007, and work out the total amount of all the superannuation lump sums that could be payable from the interest at that time. The </w:t>
      </w:r>
      <w:r w:rsidRPr="00143624">
        <w:rPr>
          <w:color w:val="000000"/>
        </w:rPr>
        <w:t xml:space="preserve">value of the superannuation interest </w:t>
      </w:r>
      <w:r w:rsidRPr="00143624">
        <w:t xml:space="preserve">is the total amount, </w:t>
      </w:r>
      <w:r w:rsidRPr="00143624">
        <w:rPr>
          <w:color w:val="000000"/>
        </w:rPr>
        <w:t>unless step 2 applies.</w:t>
      </w:r>
    </w:p>
    <w:p w:rsidR="00EF666B" w:rsidRPr="00143624" w:rsidRDefault="00EF666B" w:rsidP="00EF666B">
      <w:pPr>
        <w:pStyle w:val="BoxStep"/>
      </w:pPr>
      <w:r w:rsidRPr="00143624">
        <w:t>Step 2.</w:t>
      </w:r>
      <w:r w:rsidRPr="00143624">
        <w:tab/>
      </w:r>
      <w:r w:rsidRPr="00143624">
        <w:rPr>
          <w:color w:val="000000"/>
        </w:rPr>
        <w:t>If the total amount worked out under step 1 is less than the total amount actually or notionally allocated to the member (other than because of superannuation contributions surcharge liabilities, insurance costs or other fees, taxes and charges), the value of the superannuation interest is the amount actually or notionally allocated to the member.</w:t>
      </w:r>
    </w:p>
    <w:p w:rsidR="00EF666B" w:rsidRPr="00143624" w:rsidRDefault="00EF666B" w:rsidP="00EF666B">
      <w:pPr>
        <w:pStyle w:val="ActHead5"/>
      </w:pPr>
      <w:bookmarkStart w:id="133" w:name="_Toc64030391"/>
      <w:r w:rsidRPr="003F3E0B">
        <w:rPr>
          <w:rStyle w:val="CharSectno"/>
        </w:rPr>
        <w:t>307</w:t>
      </w:r>
      <w:r w:rsidR="00143624" w:rsidRPr="003F3E0B">
        <w:rPr>
          <w:rStyle w:val="CharSectno"/>
        </w:rPr>
        <w:noBreakHyphen/>
      </w:r>
      <w:r w:rsidRPr="003F3E0B">
        <w:rPr>
          <w:rStyle w:val="CharSectno"/>
        </w:rPr>
        <w:t>205.01A</w:t>
      </w:r>
      <w:r w:rsidRPr="00143624">
        <w:t xml:space="preserve">  How to calculate the value of a retirement benefit for step 1 of the method in subsection 307</w:t>
      </w:r>
      <w:r w:rsidR="00143624">
        <w:noBreakHyphen/>
      </w:r>
      <w:r w:rsidRPr="00143624">
        <w:t>205.01(2)</w:t>
      </w:r>
      <w:bookmarkEnd w:id="133"/>
    </w:p>
    <w:p w:rsidR="00EF666B" w:rsidRPr="00143624" w:rsidRDefault="00EF666B" w:rsidP="00EF666B">
      <w:pPr>
        <w:pStyle w:val="subsection"/>
      </w:pPr>
      <w:r w:rsidRPr="00143624">
        <w:tab/>
        <w:t>(1)</w:t>
      </w:r>
      <w:r w:rsidRPr="00143624">
        <w:tab/>
        <w:t>This section sets out how to calculate the value of a retirement benefit for the purposes of step 1 of the method in subsection 307</w:t>
      </w:r>
      <w:r w:rsidR="00143624">
        <w:noBreakHyphen/>
      </w:r>
      <w:r w:rsidRPr="00143624">
        <w:t>205.01(2).</w:t>
      </w:r>
    </w:p>
    <w:p w:rsidR="00EF666B" w:rsidRPr="00143624" w:rsidRDefault="00EF666B" w:rsidP="00EF666B">
      <w:pPr>
        <w:pStyle w:val="subsection"/>
      </w:pPr>
      <w:r w:rsidRPr="00143624">
        <w:tab/>
        <w:t>(2)</w:t>
      </w:r>
      <w:r w:rsidRPr="00143624">
        <w:tab/>
        <w:t>If the retirement benefit depends upon the member’s age, service or salary, or upon the employer’s consent, the value is to be calculated on the assumption that:</w:t>
      </w:r>
    </w:p>
    <w:p w:rsidR="00EF666B" w:rsidRPr="00143624" w:rsidRDefault="00EF666B" w:rsidP="00EF666B">
      <w:pPr>
        <w:pStyle w:val="paragraph"/>
      </w:pPr>
      <w:r w:rsidRPr="00143624">
        <w:tab/>
        <w:t>(a)</w:t>
      </w:r>
      <w:r w:rsidRPr="00143624">
        <w:tab/>
        <w:t xml:space="preserve">the member’s service was the member’s actual service immediately before </w:t>
      </w:r>
      <w:r w:rsidR="00F5399E" w:rsidRPr="00143624">
        <w:t>1 July</w:t>
      </w:r>
      <w:r w:rsidRPr="00143624">
        <w:t xml:space="preserve"> 2007; and</w:t>
      </w:r>
    </w:p>
    <w:p w:rsidR="00EF666B" w:rsidRPr="00143624" w:rsidRDefault="00EF666B" w:rsidP="00EF666B">
      <w:pPr>
        <w:pStyle w:val="paragraph"/>
      </w:pPr>
      <w:r w:rsidRPr="00143624">
        <w:tab/>
        <w:t>(b)</w:t>
      </w:r>
      <w:r w:rsidRPr="00143624">
        <w:tab/>
        <w:t>the member’s age was the greater of:</w:t>
      </w:r>
    </w:p>
    <w:p w:rsidR="00EF666B" w:rsidRPr="00143624" w:rsidRDefault="00EF666B" w:rsidP="00EF666B">
      <w:pPr>
        <w:pStyle w:val="paragraphsub"/>
      </w:pPr>
      <w:r w:rsidRPr="00143624">
        <w:tab/>
        <w:t>(i)</w:t>
      </w:r>
      <w:r w:rsidRPr="00143624">
        <w:tab/>
        <w:t>the minimum age at which a retirement benefit could be taken without requiring the employer’s consent; and</w:t>
      </w:r>
    </w:p>
    <w:p w:rsidR="00EF666B" w:rsidRPr="00143624" w:rsidRDefault="00EF666B" w:rsidP="00EF666B">
      <w:pPr>
        <w:pStyle w:val="paragraphsub"/>
      </w:pPr>
      <w:r w:rsidRPr="00143624">
        <w:tab/>
        <w:t>(ii)</w:t>
      </w:r>
      <w:r w:rsidRPr="00143624">
        <w:tab/>
        <w:t xml:space="preserve">the member’s actual age immediately before </w:t>
      </w:r>
      <w:r w:rsidR="00F5399E" w:rsidRPr="00143624">
        <w:t>1 July</w:t>
      </w:r>
      <w:r w:rsidRPr="00143624">
        <w:t xml:space="preserve"> 2007; and</w:t>
      </w:r>
    </w:p>
    <w:p w:rsidR="00EF666B" w:rsidRPr="00143624" w:rsidRDefault="00EF666B" w:rsidP="00EF666B">
      <w:pPr>
        <w:pStyle w:val="paragraph"/>
      </w:pPr>
      <w:r w:rsidRPr="00143624">
        <w:tab/>
        <w:t>(c)</w:t>
      </w:r>
      <w:r w:rsidRPr="00143624">
        <w:tab/>
        <w:t xml:space="preserve">the member’s salary was the member’s salary for superannuation purposes immediately before </w:t>
      </w:r>
      <w:r w:rsidR="00F5399E" w:rsidRPr="00143624">
        <w:t>1 July</w:t>
      </w:r>
      <w:r w:rsidRPr="00143624">
        <w:t xml:space="preserve"> 2007; and</w:t>
      </w:r>
    </w:p>
    <w:p w:rsidR="00EF666B" w:rsidRPr="00143624" w:rsidRDefault="00EF666B" w:rsidP="00EF666B">
      <w:pPr>
        <w:pStyle w:val="paragraph"/>
      </w:pPr>
      <w:r w:rsidRPr="00143624">
        <w:tab/>
        <w:t>(d)</w:t>
      </w:r>
      <w:r w:rsidRPr="00143624">
        <w:tab/>
        <w:t>the employer consents to the retirement.</w:t>
      </w:r>
    </w:p>
    <w:p w:rsidR="00EF666B" w:rsidRPr="00143624" w:rsidRDefault="00EF666B" w:rsidP="00EF666B">
      <w:pPr>
        <w:pStyle w:val="subsection"/>
      </w:pPr>
      <w:r w:rsidRPr="00143624">
        <w:tab/>
        <w:t>(3)</w:t>
      </w:r>
      <w:r w:rsidRPr="00143624">
        <w:tab/>
        <w:t>If part or all of the retirement benefit can be paid as a superannuation income stream, then the value of that income stream is determined as the product of:</w:t>
      </w:r>
    </w:p>
    <w:p w:rsidR="00EF666B" w:rsidRPr="00143624" w:rsidRDefault="00EF666B" w:rsidP="00EF666B">
      <w:pPr>
        <w:pStyle w:val="paragraph"/>
      </w:pPr>
      <w:r w:rsidRPr="00143624">
        <w:tab/>
        <w:t>(a)</w:t>
      </w:r>
      <w:r w:rsidRPr="00143624">
        <w:tab/>
        <w:t>the annual rate of the superannuation income stream that would have been paid had the maximum proportion of the benefit possible been taken as an income stream; and</w:t>
      </w:r>
    </w:p>
    <w:p w:rsidR="00EF666B" w:rsidRPr="00143624" w:rsidRDefault="00EF666B" w:rsidP="00EF666B">
      <w:pPr>
        <w:pStyle w:val="paragraph"/>
      </w:pPr>
      <w:r w:rsidRPr="00143624">
        <w:tab/>
        <w:t>(b)</w:t>
      </w:r>
      <w:r w:rsidRPr="00143624">
        <w:tab/>
        <w:t xml:space="preserve">the applicable factor for the superannuation income stream that would have been paid set out in clause 1 of </w:t>
      </w:r>
      <w:r w:rsidR="00F5399E" w:rsidRPr="00143624">
        <w:t>Schedule 1</w:t>
      </w:r>
      <w:r w:rsidRPr="00143624">
        <w:t>B.</w:t>
      </w:r>
    </w:p>
    <w:p w:rsidR="00EF666B" w:rsidRPr="00143624" w:rsidRDefault="00EF666B" w:rsidP="00EF666B">
      <w:pPr>
        <w:pStyle w:val="subsection"/>
      </w:pPr>
      <w:r w:rsidRPr="00143624">
        <w:tab/>
        <w:t>(4)</w:t>
      </w:r>
      <w:r w:rsidRPr="00143624">
        <w:tab/>
        <w:t>The total value of the retirement benefit is the sum of:</w:t>
      </w:r>
    </w:p>
    <w:p w:rsidR="00EF666B" w:rsidRPr="00143624" w:rsidRDefault="00EF666B" w:rsidP="00EF666B">
      <w:pPr>
        <w:pStyle w:val="paragraph"/>
      </w:pPr>
      <w:r w:rsidRPr="00143624">
        <w:lastRenderedPageBreak/>
        <w:tab/>
        <w:t>(a)</w:t>
      </w:r>
      <w:r w:rsidRPr="00143624">
        <w:tab/>
        <w:t>the value of the superannuation income stream so determined; and</w:t>
      </w:r>
    </w:p>
    <w:p w:rsidR="00EF666B" w:rsidRPr="00143624" w:rsidRDefault="00EF666B" w:rsidP="00EF666B">
      <w:pPr>
        <w:pStyle w:val="paragraph"/>
      </w:pPr>
      <w:r w:rsidRPr="00143624">
        <w:tab/>
        <w:t>(b)</w:t>
      </w:r>
      <w:r w:rsidRPr="00143624">
        <w:tab/>
        <w:t>any lump sum that would have been payable under the assumptions described above had the member taken the maximum possible proportion of the member’s benefit as an income stream.</w:t>
      </w:r>
    </w:p>
    <w:p w:rsidR="00EF666B" w:rsidRPr="00143624" w:rsidRDefault="00EF666B" w:rsidP="00EF666B">
      <w:pPr>
        <w:pStyle w:val="subsection"/>
      </w:pPr>
      <w:r w:rsidRPr="00143624">
        <w:tab/>
        <w:t>(5)</w:t>
      </w:r>
      <w:r w:rsidRPr="00143624">
        <w:tab/>
        <w:t>If the superannuation benefit can only be paid as a lump sum, then the value of the retirement benefit is the amount of that lump sum.</w:t>
      </w:r>
    </w:p>
    <w:p w:rsidR="00EF666B" w:rsidRPr="00143624" w:rsidRDefault="00EF666B" w:rsidP="00EF666B">
      <w:pPr>
        <w:pStyle w:val="ActHead5"/>
      </w:pPr>
      <w:bookmarkStart w:id="134" w:name="_Toc64030392"/>
      <w:r w:rsidRPr="003F3E0B">
        <w:rPr>
          <w:rStyle w:val="CharSectno"/>
        </w:rPr>
        <w:t>307</w:t>
      </w:r>
      <w:r w:rsidR="00143624" w:rsidRPr="003F3E0B">
        <w:rPr>
          <w:rStyle w:val="CharSectno"/>
        </w:rPr>
        <w:noBreakHyphen/>
      </w:r>
      <w:r w:rsidRPr="003F3E0B">
        <w:rPr>
          <w:rStyle w:val="CharSectno"/>
        </w:rPr>
        <w:t>205.02</w:t>
      </w:r>
      <w:r w:rsidRPr="00143624">
        <w:t xml:space="preserve">  Value of superannuation interest</w:t>
      </w:r>
      <w:bookmarkEnd w:id="134"/>
    </w:p>
    <w:p w:rsidR="00EF666B" w:rsidRPr="00143624" w:rsidRDefault="00EF666B" w:rsidP="00EF666B">
      <w:pPr>
        <w:pStyle w:val="subsection"/>
      </w:pPr>
      <w:r w:rsidRPr="00143624">
        <w:rPr>
          <w:color w:val="000000"/>
        </w:rPr>
        <w:tab/>
        <w:t>(1)</w:t>
      </w:r>
      <w:r w:rsidRPr="00143624">
        <w:rPr>
          <w:color w:val="000000"/>
        </w:rPr>
        <w:tab/>
      </w:r>
      <w:r w:rsidRPr="00143624">
        <w:t>For the purposes of paragraph</w:t>
      </w:r>
      <w:r w:rsidR="002B1A95" w:rsidRPr="00143624">
        <w:t> </w:t>
      </w:r>
      <w:r w:rsidRPr="00143624">
        <w:t>307</w:t>
      </w:r>
      <w:r w:rsidR="00143624">
        <w:noBreakHyphen/>
      </w:r>
      <w:r w:rsidRPr="00143624">
        <w:t xml:space="preserve">205(1)(a) of the Act, this section specifies a method for determining the value of a superannuation interest at a particular time if the interest supports a superannuation income stream to which </w:t>
      </w:r>
      <w:r w:rsidR="002B1A95" w:rsidRPr="00143624">
        <w:t>subsection (</w:t>
      </w:r>
      <w:r w:rsidRPr="00143624">
        <w:t>2) applies.</w:t>
      </w:r>
    </w:p>
    <w:p w:rsidR="00EF666B" w:rsidRPr="00143624" w:rsidRDefault="00EF666B" w:rsidP="00EF666B">
      <w:pPr>
        <w:pStyle w:val="notetext"/>
      </w:pPr>
      <w:r w:rsidRPr="00143624">
        <w:rPr>
          <w:color w:val="000000"/>
        </w:rPr>
        <w:t>Note:</w:t>
      </w:r>
      <w:r w:rsidRPr="00143624">
        <w:rPr>
          <w:color w:val="000000"/>
        </w:rPr>
        <w:tab/>
        <w:t>The proportioning rule in section</w:t>
      </w:r>
      <w:r w:rsidR="002B1A95" w:rsidRPr="00143624">
        <w:rPr>
          <w:color w:val="000000"/>
        </w:rPr>
        <w:t> </w:t>
      </w:r>
      <w:r w:rsidRPr="00143624">
        <w:rPr>
          <w:color w:val="000000"/>
        </w:rPr>
        <w:t>307</w:t>
      </w:r>
      <w:r w:rsidR="00143624">
        <w:rPr>
          <w:color w:val="000000"/>
        </w:rPr>
        <w:noBreakHyphen/>
      </w:r>
      <w:r w:rsidRPr="00143624">
        <w:rPr>
          <w:color w:val="000000"/>
        </w:rPr>
        <w:t>125 of the Act requires the tax free component and taxable component of a superannuation benefit to be paid out in the same proportion as they make up of the underlying interest. A value of the superannuation interest is required to ensure that the proportioning rule operates appropriately.</w:t>
      </w:r>
    </w:p>
    <w:p w:rsidR="00EF666B" w:rsidRPr="00143624" w:rsidRDefault="00EF666B" w:rsidP="00EF666B">
      <w:pPr>
        <w:pStyle w:val="subsection"/>
      </w:pPr>
      <w:r w:rsidRPr="00143624">
        <w:tab/>
        <w:t>(2)</w:t>
      </w:r>
      <w:r w:rsidRPr="00143624">
        <w:tab/>
        <w:t>This subsection applies to a superannuation income stream or a superannuation annuity, other than:</w:t>
      </w:r>
    </w:p>
    <w:p w:rsidR="00EF666B" w:rsidRPr="00143624" w:rsidRDefault="00EF666B" w:rsidP="00EF666B">
      <w:pPr>
        <w:pStyle w:val="paragraph"/>
      </w:pPr>
      <w:r w:rsidRPr="00143624">
        <w:tab/>
        <w:t>(a)</w:t>
      </w:r>
      <w:r w:rsidRPr="00143624">
        <w:tab/>
        <w:t>a superannuation income stream that is a pension mentioned in subparagraph 295</w:t>
      </w:r>
      <w:r w:rsidR="00143624">
        <w:noBreakHyphen/>
      </w:r>
      <w:r w:rsidRPr="00143624">
        <w:t>385.01(a)(i), (ii) or (iii); or</w:t>
      </w:r>
    </w:p>
    <w:p w:rsidR="00EF666B" w:rsidRPr="00143624" w:rsidRDefault="00EF666B" w:rsidP="00EF666B">
      <w:pPr>
        <w:pStyle w:val="paragraph"/>
      </w:pPr>
      <w:r w:rsidRPr="00143624">
        <w:tab/>
        <w:t>(b)</w:t>
      </w:r>
      <w:r w:rsidRPr="00143624">
        <w:tab/>
        <w:t>a superannuation income stream or a superannuation annuity for which the rules providing for the income stream or annuity are based on:</w:t>
      </w:r>
    </w:p>
    <w:p w:rsidR="00EF666B" w:rsidRPr="00143624" w:rsidRDefault="00EF666B" w:rsidP="00EF666B">
      <w:pPr>
        <w:pStyle w:val="paragraphsub"/>
      </w:pPr>
      <w:r w:rsidRPr="00143624">
        <w:tab/>
        <w:t>(i)</w:t>
      </w:r>
      <w:r w:rsidRPr="00143624">
        <w:tab/>
        <w:t>an identifiable lump sum amount; or</w:t>
      </w:r>
    </w:p>
    <w:p w:rsidR="00EF666B" w:rsidRPr="00143624" w:rsidRDefault="00EF666B" w:rsidP="00EF666B">
      <w:pPr>
        <w:pStyle w:val="paragraphsub"/>
      </w:pPr>
      <w:r w:rsidRPr="00143624">
        <w:tab/>
        <w:t>(ii)</w:t>
      </w:r>
      <w:r w:rsidRPr="00143624">
        <w:tab/>
        <w:t>the amount available in the member’s account; or</w:t>
      </w:r>
    </w:p>
    <w:p w:rsidR="00EF666B" w:rsidRPr="00143624" w:rsidRDefault="00EF666B" w:rsidP="00EF666B">
      <w:pPr>
        <w:pStyle w:val="paragraph"/>
      </w:pPr>
      <w:r w:rsidRPr="00143624">
        <w:tab/>
        <w:t>(c)</w:t>
      </w:r>
      <w:r w:rsidRPr="00143624">
        <w:tab/>
        <w:t>a superannuation income stream that is supported by a superannuation interest that can be valued under paragraph 307</w:t>
      </w:r>
      <w:r w:rsidR="00143624">
        <w:noBreakHyphen/>
      </w:r>
      <w:r w:rsidRPr="00143624">
        <w:t>205.02B(a); or</w:t>
      </w:r>
    </w:p>
    <w:p w:rsidR="00EF666B" w:rsidRPr="00143624" w:rsidRDefault="00EF666B" w:rsidP="00EF666B">
      <w:pPr>
        <w:pStyle w:val="paragraph"/>
        <w:rPr>
          <w:color w:val="000000"/>
        </w:rPr>
      </w:pPr>
      <w:r w:rsidRPr="00143624">
        <w:tab/>
        <w:t>(d)</w:t>
      </w:r>
      <w:r w:rsidRPr="00143624">
        <w:tab/>
        <w:t>a superannuation income stream that is supported by a superannuation interest that can be valued under section</w:t>
      </w:r>
      <w:r w:rsidRPr="00143624">
        <w:rPr>
          <w:color w:val="000000"/>
        </w:rPr>
        <w:t xml:space="preserve"> 307</w:t>
      </w:r>
      <w:r w:rsidR="00143624">
        <w:rPr>
          <w:color w:val="000000"/>
        </w:rPr>
        <w:noBreakHyphen/>
      </w:r>
      <w:r w:rsidRPr="00143624">
        <w:rPr>
          <w:color w:val="000000"/>
        </w:rPr>
        <w:t>205.02C, 307</w:t>
      </w:r>
      <w:r w:rsidR="00143624">
        <w:rPr>
          <w:color w:val="000000"/>
        </w:rPr>
        <w:noBreakHyphen/>
      </w:r>
      <w:r w:rsidRPr="00143624">
        <w:rPr>
          <w:color w:val="000000"/>
        </w:rPr>
        <w:t xml:space="preserve">205.02D or </w:t>
      </w:r>
      <w:r w:rsidRPr="00143624">
        <w:t>307</w:t>
      </w:r>
      <w:r w:rsidR="00143624">
        <w:noBreakHyphen/>
      </w:r>
      <w:r w:rsidRPr="00143624">
        <w:t>205.02E</w:t>
      </w:r>
      <w:r w:rsidRPr="00143624">
        <w:rPr>
          <w:color w:val="000000"/>
        </w:rPr>
        <w:t>.</w:t>
      </w:r>
    </w:p>
    <w:p w:rsidR="00EF666B" w:rsidRPr="00143624" w:rsidRDefault="00EF666B" w:rsidP="00EF666B">
      <w:pPr>
        <w:pStyle w:val="subsection"/>
      </w:pPr>
      <w:r w:rsidRPr="00143624">
        <w:tab/>
        <w:t>(3)</w:t>
      </w:r>
      <w:r w:rsidRPr="00143624">
        <w:tab/>
        <w:t>The value of the interest at a particular time is the sum of:</w:t>
      </w:r>
    </w:p>
    <w:p w:rsidR="00EF666B" w:rsidRPr="00143624" w:rsidRDefault="00EF666B" w:rsidP="00EF666B">
      <w:pPr>
        <w:pStyle w:val="paragraph"/>
      </w:pPr>
      <w:r w:rsidRPr="00143624">
        <w:tab/>
        <w:t>(a)</w:t>
      </w:r>
      <w:r w:rsidRPr="00143624">
        <w:tab/>
        <w:t>the product of:</w:t>
      </w:r>
    </w:p>
    <w:p w:rsidR="00EF666B" w:rsidRPr="00143624" w:rsidRDefault="00EF666B" w:rsidP="00EF666B">
      <w:pPr>
        <w:pStyle w:val="paragraphsub"/>
      </w:pPr>
      <w:r w:rsidRPr="00143624">
        <w:rPr>
          <w:color w:val="000000"/>
        </w:rPr>
        <w:tab/>
        <w:t>(i)</w:t>
      </w:r>
      <w:r w:rsidRPr="00143624">
        <w:rPr>
          <w:color w:val="000000"/>
        </w:rPr>
        <w:tab/>
        <w:t>the annual amount of the superannuation income stream payable in respect of the superannuation interest at that time; and</w:t>
      </w:r>
    </w:p>
    <w:p w:rsidR="00EF666B" w:rsidRPr="00143624" w:rsidRDefault="00EF666B" w:rsidP="00EF666B">
      <w:pPr>
        <w:pStyle w:val="paragraphsub"/>
      </w:pPr>
      <w:r w:rsidRPr="00143624">
        <w:tab/>
        <w:t>(ii)</w:t>
      </w:r>
      <w:r w:rsidRPr="00143624">
        <w:tab/>
        <w:t xml:space="preserve">the applicable factor for the </w:t>
      </w:r>
      <w:r w:rsidRPr="00143624">
        <w:rPr>
          <w:color w:val="000000"/>
        </w:rPr>
        <w:t xml:space="preserve">superannuation income stream </w:t>
      </w:r>
      <w:r w:rsidRPr="00143624">
        <w:t xml:space="preserve">set out in clause 1 of </w:t>
      </w:r>
      <w:r w:rsidR="00F5399E" w:rsidRPr="00143624">
        <w:t>Schedule 1</w:t>
      </w:r>
      <w:r w:rsidRPr="00143624">
        <w:t>B; and</w:t>
      </w:r>
    </w:p>
    <w:p w:rsidR="00EF666B" w:rsidRPr="00143624" w:rsidRDefault="00EF666B" w:rsidP="00EF666B">
      <w:pPr>
        <w:pStyle w:val="paragraph"/>
      </w:pPr>
      <w:r w:rsidRPr="00143624">
        <w:tab/>
        <w:t>(b)</w:t>
      </w:r>
      <w:r w:rsidRPr="00143624">
        <w:tab/>
        <w:t>the product of:</w:t>
      </w:r>
    </w:p>
    <w:p w:rsidR="00EF666B" w:rsidRPr="00143624" w:rsidRDefault="00EF666B" w:rsidP="00EF666B">
      <w:pPr>
        <w:pStyle w:val="paragraphsub"/>
      </w:pPr>
      <w:r w:rsidRPr="00143624">
        <w:rPr>
          <w:color w:val="000000"/>
        </w:rPr>
        <w:tab/>
        <w:t>(i)</w:t>
      </w:r>
      <w:r w:rsidRPr="00143624">
        <w:rPr>
          <w:color w:val="000000"/>
        </w:rPr>
        <w:tab/>
        <w:t xml:space="preserve">the nominal value of the superannuation lump sum, if any, which is payable in respect of the interest at a time in the future, other than a future lump sum which is a commutation of the income stream included in </w:t>
      </w:r>
      <w:r w:rsidR="002B1A95" w:rsidRPr="00143624">
        <w:rPr>
          <w:color w:val="000000"/>
        </w:rPr>
        <w:t>subparagraph (</w:t>
      </w:r>
      <w:r w:rsidRPr="00143624">
        <w:rPr>
          <w:color w:val="000000"/>
        </w:rPr>
        <w:t>a)(i); and</w:t>
      </w:r>
    </w:p>
    <w:p w:rsidR="00EF666B" w:rsidRPr="00143624" w:rsidRDefault="00EF666B" w:rsidP="00EF666B">
      <w:pPr>
        <w:pStyle w:val="paragraphsub"/>
      </w:pPr>
      <w:r w:rsidRPr="00143624">
        <w:tab/>
        <w:t>(ii)</w:t>
      </w:r>
      <w:r w:rsidRPr="00143624">
        <w:tab/>
        <w:t xml:space="preserve">the applicable factor for the </w:t>
      </w:r>
      <w:r w:rsidRPr="00143624">
        <w:rPr>
          <w:color w:val="000000"/>
        </w:rPr>
        <w:t xml:space="preserve">superannuation lump sum </w:t>
      </w:r>
      <w:r w:rsidRPr="00143624">
        <w:t xml:space="preserve">set out in clause 2 of </w:t>
      </w:r>
      <w:r w:rsidR="00F5399E" w:rsidRPr="00143624">
        <w:t>Schedule 1</w:t>
      </w:r>
      <w:r w:rsidRPr="00143624">
        <w:t>B.</w:t>
      </w:r>
    </w:p>
    <w:p w:rsidR="00EF666B" w:rsidRPr="00143624" w:rsidRDefault="00EF666B" w:rsidP="00EF666B">
      <w:pPr>
        <w:pStyle w:val="ActHead5"/>
      </w:pPr>
      <w:bookmarkStart w:id="135" w:name="_Toc64030393"/>
      <w:r w:rsidRPr="003F3E0B">
        <w:rPr>
          <w:rStyle w:val="CharSectno"/>
        </w:rPr>
        <w:lastRenderedPageBreak/>
        <w:t>307</w:t>
      </w:r>
      <w:r w:rsidR="00143624" w:rsidRPr="003F3E0B">
        <w:rPr>
          <w:rStyle w:val="CharSectno"/>
        </w:rPr>
        <w:noBreakHyphen/>
      </w:r>
      <w:r w:rsidRPr="003F3E0B">
        <w:rPr>
          <w:rStyle w:val="CharSectno"/>
        </w:rPr>
        <w:t>205.02A</w:t>
      </w:r>
      <w:r w:rsidRPr="00143624">
        <w:t xml:space="preserve">  Value of superannuation interest—superannuation income streams or superannuation annuities based on identifiable amounts</w:t>
      </w:r>
      <w:bookmarkEnd w:id="135"/>
    </w:p>
    <w:p w:rsidR="00EF666B" w:rsidRPr="00143624" w:rsidRDefault="00EF666B" w:rsidP="00EF666B">
      <w:pPr>
        <w:pStyle w:val="subsection"/>
      </w:pPr>
      <w:r w:rsidRPr="00143624">
        <w:tab/>
      </w:r>
      <w:r w:rsidRPr="00143624">
        <w:tab/>
        <w:t>For the purposes of paragraph</w:t>
      </w:r>
      <w:r w:rsidR="002B1A95" w:rsidRPr="00143624">
        <w:t> </w:t>
      </w:r>
      <w:r w:rsidRPr="00143624">
        <w:t>307</w:t>
      </w:r>
      <w:r w:rsidR="00143624">
        <w:noBreakHyphen/>
      </w:r>
      <w:r w:rsidRPr="00143624">
        <w:t>205(1)(a) of the Act, the value of an individual’s superannuation interest that supports a superannuation income stream or a superannuation annuity mentioned in paragraph 307</w:t>
      </w:r>
      <w:r w:rsidR="00143624">
        <w:noBreakHyphen/>
      </w:r>
      <w:r w:rsidRPr="00143624">
        <w:t>205.02(2)(b) but not in paragraph 307</w:t>
      </w:r>
      <w:r w:rsidR="00143624">
        <w:noBreakHyphen/>
      </w:r>
      <w:r w:rsidRPr="00143624">
        <w:t>205.02(2)(d) is:</w:t>
      </w:r>
    </w:p>
    <w:p w:rsidR="00EF666B" w:rsidRPr="00143624" w:rsidRDefault="00EF666B" w:rsidP="00EF666B">
      <w:pPr>
        <w:pStyle w:val="paragraph"/>
      </w:pPr>
      <w:r w:rsidRPr="00143624">
        <w:tab/>
        <w:t>(a)</w:t>
      </w:r>
      <w:r w:rsidRPr="00143624">
        <w:tab/>
        <w:t>the identifiable lump sum amount; or</w:t>
      </w:r>
    </w:p>
    <w:p w:rsidR="00EF666B" w:rsidRPr="00143624" w:rsidRDefault="00EF666B" w:rsidP="00EF666B">
      <w:pPr>
        <w:pStyle w:val="paragraph"/>
      </w:pPr>
      <w:r w:rsidRPr="00143624">
        <w:tab/>
        <w:t>(b)</w:t>
      </w:r>
      <w:r w:rsidRPr="00143624">
        <w:tab/>
        <w:t>the amount available in the individual’s account.</w:t>
      </w:r>
    </w:p>
    <w:p w:rsidR="00EF666B" w:rsidRPr="00143624" w:rsidRDefault="00EF666B" w:rsidP="00EF666B">
      <w:pPr>
        <w:pStyle w:val="ActHead5"/>
      </w:pPr>
      <w:bookmarkStart w:id="136" w:name="_Toc64030394"/>
      <w:r w:rsidRPr="003F3E0B">
        <w:rPr>
          <w:rStyle w:val="CharSectno"/>
        </w:rPr>
        <w:t>307</w:t>
      </w:r>
      <w:r w:rsidR="00143624" w:rsidRPr="003F3E0B">
        <w:rPr>
          <w:rStyle w:val="CharSectno"/>
        </w:rPr>
        <w:noBreakHyphen/>
      </w:r>
      <w:r w:rsidRPr="003F3E0B">
        <w:rPr>
          <w:rStyle w:val="CharSectno"/>
        </w:rPr>
        <w:t>205.02B</w:t>
      </w:r>
      <w:r w:rsidRPr="00143624">
        <w:t xml:space="preserve">  Value of superannuation interest—public sector superannuation schemes</w:t>
      </w:r>
      <w:bookmarkEnd w:id="136"/>
    </w:p>
    <w:p w:rsidR="00EF666B" w:rsidRPr="00143624" w:rsidRDefault="00EF666B" w:rsidP="00EF666B">
      <w:pPr>
        <w:pStyle w:val="subsection"/>
      </w:pPr>
      <w:r w:rsidRPr="00143624">
        <w:tab/>
      </w:r>
      <w:r w:rsidRPr="00143624">
        <w:tab/>
        <w:t>For the purposes of paragraph</w:t>
      </w:r>
      <w:r w:rsidR="002B1A95" w:rsidRPr="00143624">
        <w:t> </w:t>
      </w:r>
      <w:r w:rsidRPr="00143624">
        <w:t>307</w:t>
      </w:r>
      <w:r w:rsidR="00143624">
        <w:noBreakHyphen/>
      </w:r>
      <w:r w:rsidRPr="00143624">
        <w:t>205(1)(a) of the Act, a superannuation interest in a public sector superannuation scheme is to be valued:</w:t>
      </w:r>
    </w:p>
    <w:p w:rsidR="00EF666B" w:rsidRPr="00143624" w:rsidRDefault="00EF666B" w:rsidP="00EF666B">
      <w:pPr>
        <w:pStyle w:val="paragraph"/>
      </w:pPr>
      <w:r w:rsidRPr="00143624">
        <w:tab/>
        <w:t>(a)</w:t>
      </w:r>
      <w:r w:rsidRPr="00143624">
        <w:tab/>
        <w:t>by using the practice for valuing a superannuation interest (other than an interest that supports a superannuation income stream mentioned in paragraph 307</w:t>
      </w:r>
      <w:r w:rsidR="00143624">
        <w:noBreakHyphen/>
      </w:r>
      <w:r w:rsidRPr="00143624">
        <w:t>205.02(2)(a)) that was used by the scheme immediately before 28</w:t>
      </w:r>
      <w:r w:rsidR="002B1A95" w:rsidRPr="00143624">
        <w:t> </w:t>
      </w:r>
      <w:r w:rsidRPr="00143624">
        <w:t>June 2007; or</w:t>
      </w:r>
    </w:p>
    <w:p w:rsidR="00EF666B" w:rsidRPr="00143624" w:rsidRDefault="00EF666B" w:rsidP="00EF666B">
      <w:pPr>
        <w:pStyle w:val="paragraph"/>
      </w:pPr>
      <w:r w:rsidRPr="00143624">
        <w:tab/>
        <w:t>(b)</w:t>
      </w:r>
      <w:r w:rsidRPr="00143624">
        <w:tab/>
        <w:t>if there was not a practice for valuing an interest at that time—by using the method in subsection 307</w:t>
      </w:r>
      <w:r w:rsidR="00143624">
        <w:noBreakHyphen/>
      </w:r>
      <w:r w:rsidRPr="00143624">
        <w:t>205.02(3).</w:t>
      </w:r>
    </w:p>
    <w:p w:rsidR="00EF666B" w:rsidRPr="00143624" w:rsidRDefault="00EF666B" w:rsidP="00EF666B">
      <w:pPr>
        <w:pStyle w:val="ActHead5"/>
      </w:pPr>
      <w:bookmarkStart w:id="137" w:name="_Toc64030395"/>
      <w:r w:rsidRPr="003F3E0B">
        <w:rPr>
          <w:rStyle w:val="CharSectno"/>
        </w:rPr>
        <w:t>307</w:t>
      </w:r>
      <w:r w:rsidR="00143624" w:rsidRPr="003F3E0B">
        <w:rPr>
          <w:rStyle w:val="CharSectno"/>
        </w:rPr>
        <w:noBreakHyphen/>
      </w:r>
      <w:r w:rsidRPr="003F3E0B">
        <w:rPr>
          <w:rStyle w:val="CharSectno"/>
        </w:rPr>
        <w:t>205.02C</w:t>
      </w:r>
      <w:r w:rsidRPr="00143624">
        <w:t xml:space="preserve">  Value of superannuation interest—deferred superannuation income streams</w:t>
      </w:r>
      <w:bookmarkEnd w:id="137"/>
    </w:p>
    <w:p w:rsidR="00EF666B" w:rsidRPr="00143624" w:rsidRDefault="00EF666B" w:rsidP="00EF666B">
      <w:pPr>
        <w:pStyle w:val="subsection"/>
        <w:rPr>
          <w:color w:val="000000"/>
        </w:rPr>
      </w:pPr>
      <w:r w:rsidRPr="00143624">
        <w:rPr>
          <w:color w:val="000000"/>
        </w:rPr>
        <w:tab/>
        <w:t>(1)</w:t>
      </w:r>
      <w:r w:rsidRPr="00143624">
        <w:rPr>
          <w:color w:val="000000"/>
        </w:rPr>
        <w:tab/>
        <w:t>For the purposes of paragraph</w:t>
      </w:r>
      <w:r w:rsidR="002B1A95" w:rsidRPr="00143624">
        <w:rPr>
          <w:color w:val="000000"/>
        </w:rPr>
        <w:t> </w:t>
      </w:r>
      <w:r w:rsidRPr="00143624">
        <w:rPr>
          <w:color w:val="000000"/>
        </w:rPr>
        <w:t>307</w:t>
      </w:r>
      <w:r w:rsidR="00143624">
        <w:rPr>
          <w:color w:val="000000"/>
        </w:rPr>
        <w:noBreakHyphen/>
      </w:r>
      <w:r w:rsidRPr="00143624">
        <w:rPr>
          <w:color w:val="000000"/>
        </w:rPr>
        <w:t xml:space="preserve">205(1)(a) of the Act, </w:t>
      </w:r>
      <w:r w:rsidRPr="00143624">
        <w:t>this section specifies a method for determining the</w:t>
      </w:r>
      <w:r w:rsidRPr="00143624">
        <w:rPr>
          <w:color w:val="000000"/>
        </w:rPr>
        <w:t xml:space="preserve"> value at a particular time of an individual’s superannuation interest that supports a deferred superannuation income stream that:</w:t>
      </w:r>
    </w:p>
    <w:p w:rsidR="00EF666B" w:rsidRPr="00143624" w:rsidRDefault="00EF666B" w:rsidP="00EF666B">
      <w:pPr>
        <w:pStyle w:val="paragraph"/>
      </w:pPr>
      <w:r w:rsidRPr="00143624">
        <w:tab/>
        <w:t>(a)</w:t>
      </w:r>
      <w:r w:rsidRPr="00143624">
        <w:tab/>
        <w:t>is covered by paragraph 307</w:t>
      </w:r>
      <w:r w:rsidR="00143624">
        <w:noBreakHyphen/>
      </w:r>
      <w:r w:rsidRPr="00143624">
        <w:t>70.02(1)(c); and</w:t>
      </w:r>
    </w:p>
    <w:p w:rsidR="00EF666B" w:rsidRPr="00143624" w:rsidRDefault="00EF666B" w:rsidP="00EF666B">
      <w:pPr>
        <w:pStyle w:val="paragraph"/>
      </w:pPr>
      <w:r w:rsidRPr="00143624">
        <w:tab/>
        <w:t>(b)</w:t>
      </w:r>
      <w:r w:rsidRPr="00143624">
        <w:tab/>
        <w:t xml:space="preserve">is neither a </w:t>
      </w:r>
      <w:r w:rsidRPr="00143624">
        <w:rPr>
          <w:color w:val="000000"/>
        </w:rPr>
        <w:t>pooled investment pension nor a pooled investment annuity.</w:t>
      </w:r>
    </w:p>
    <w:p w:rsidR="00EF666B" w:rsidRPr="00143624" w:rsidRDefault="00EF666B" w:rsidP="00EF666B">
      <w:pPr>
        <w:pStyle w:val="subsection"/>
        <w:rPr>
          <w:color w:val="000000"/>
        </w:rPr>
      </w:pPr>
      <w:r w:rsidRPr="00143624">
        <w:rPr>
          <w:color w:val="000000"/>
        </w:rPr>
        <w:tab/>
        <w:t>(2)</w:t>
      </w:r>
      <w:r w:rsidRPr="00143624">
        <w:rPr>
          <w:color w:val="000000"/>
        </w:rPr>
        <w:tab/>
        <w:t>The value of the interest at a particular time is the greater of:</w:t>
      </w:r>
    </w:p>
    <w:p w:rsidR="00EF666B" w:rsidRPr="00143624" w:rsidRDefault="00EF666B" w:rsidP="00EF666B">
      <w:pPr>
        <w:pStyle w:val="paragraph"/>
        <w:rPr>
          <w:color w:val="000000"/>
        </w:rPr>
      </w:pPr>
      <w:r w:rsidRPr="00143624">
        <w:rPr>
          <w:color w:val="000000"/>
        </w:rPr>
        <w:tab/>
        <w:t>(a)</w:t>
      </w:r>
      <w:r w:rsidRPr="00143624">
        <w:rPr>
          <w:color w:val="000000"/>
        </w:rPr>
        <w:tab/>
        <w:t xml:space="preserve">the sum of each amount </w:t>
      </w:r>
      <w:r w:rsidRPr="00143624">
        <w:t xml:space="preserve">of consideration paid for the interest for the income stream, and that amount’s associated notional earnings, as worked out under </w:t>
      </w:r>
      <w:r w:rsidR="002B1A95" w:rsidRPr="00143624">
        <w:t>subsection (</w:t>
      </w:r>
      <w:r w:rsidRPr="00143624">
        <w:t>3) for the day that includes that time; and</w:t>
      </w:r>
    </w:p>
    <w:p w:rsidR="00EF666B" w:rsidRPr="00143624" w:rsidRDefault="00EF666B" w:rsidP="00EF666B">
      <w:pPr>
        <w:pStyle w:val="paragraph"/>
        <w:rPr>
          <w:color w:val="000000"/>
        </w:rPr>
      </w:pPr>
      <w:r w:rsidRPr="00143624">
        <w:rPr>
          <w:color w:val="000000"/>
        </w:rPr>
        <w:tab/>
        <w:t>(b)</w:t>
      </w:r>
      <w:r w:rsidRPr="00143624">
        <w:rPr>
          <w:color w:val="000000"/>
        </w:rPr>
        <w:tab/>
        <w:t>the total amount of the superannuation benefits that would become payable if the individual voluntarily caused the interest to cease at that time.</w:t>
      </w:r>
    </w:p>
    <w:p w:rsidR="00EF666B" w:rsidRPr="00143624" w:rsidRDefault="00EF666B" w:rsidP="00EF666B">
      <w:pPr>
        <w:pStyle w:val="notetext"/>
      </w:pPr>
      <w:r w:rsidRPr="00143624">
        <w:t>Note:</w:t>
      </w:r>
      <w:r w:rsidRPr="00143624">
        <w:tab/>
      </w:r>
      <w:r w:rsidR="002B1A95" w:rsidRPr="00143624">
        <w:t>Subsection (</w:t>
      </w:r>
      <w:r w:rsidRPr="00143624">
        <w:t>3) works out a total amount made up of the amount of consideration and its associated notional earnings.</w:t>
      </w:r>
    </w:p>
    <w:p w:rsidR="00EF666B" w:rsidRPr="00143624" w:rsidRDefault="00EF666B" w:rsidP="00EF666B">
      <w:pPr>
        <w:pStyle w:val="subsection"/>
      </w:pPr>
      <w:r w:rsidRPr="00143624">
        <w:tab/>
        <w:t>(3)</w:t>
      </w:r>
      <w:r w:rsidRPr="00143624">
        <w:tab/>
        <w:t xml:space="preserve">An </w:t>
      </w:r>
      <w:r w:rsidRPr="00143624">
        <w:rPr>
          <w:color w:val="000000"/>
        </w:rPr>
        <w:t xml:space="preserve">amount </w:t>
      </w:r>
      <w:r w:rsidRPr="00143624">
        <w:t xml:space="preserve">of consideration paid for the interest for the income stream, and that amount’s associated notional earnings, for a particular day (the </w:t>
      </w:r>
      <w:r w:rsidRPr="00143624">
        <w:rPr>
          <w:b/>
          <w:i/>
        </w:rPr>
        <w:t>valuing day</w:t>
      </w:r>
      <w:r w:rsidRPr="00143624">
        <w:t>) is worked out by applying the following formula for each adjustment day (from the earliest to the latest):</w:t>
      </w:r>
    </w:p>
    <w:p w:rsidR="00EF666B" w:rsidRPr="00143624" w:rsidRDefault="00EF666B" w:rsidP="00EF666B">
      <w:pPr>
        <w:pStyle w:val="subsection"/>
      </w:pPr>
      <w:r w:rsidRPr="00143624">
        <w:tab/>
      </w:r>
      <w:r w:rsidRPr="00143624">
        <w:tab/>
      </w:r>
      <w:r w:rsidR="005C75AD" w:rsidRPr="005C75AD">
        <w:drawing>
          <wp:inline distT="0" distB="0" distL="0" distR="0">
            <wp:extent cx="3448050" cy="638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48050" cy="638175"/>
                    </a:xfrm>
                    <a:prstGeom prst="rect">
                      <a:avLst/>
                    </a:prstGeom>
                    <a:noFill/>
                    <a:ln>
                      <a:noFill/>
                    </a:ln>
                  </pic:spPr>
                </pic:pic>
              </a:graphicData>
            </a:graphic>
          </wp:inline>
        </w:drawing>
      </w:r>
    </w:p>
    <w:p w:rsidR="00EF666B" w:rsidRPr="00143624" w:rsidRDefault="00EF666B" w:rsidP="00EF666B">
      <w:pPr>
        <w:pStyle w:val="subsection2"/>
      </w:pPr>
      <w:r w:rsidRPr="00143624">
        <w:t>where:</w:t>
      </w:r>
    </w:p>
    <w:p w:rsidR="00EF666B" w:rsidRPr="00143624" w:rsidRDefault="00EF666B" w:rsidP="00EF666B">
      <w:pPr>
        <w:pStyle w:val="Definition"/>
      </w:pPr>
      <w:r w:rsidRPr="00143624">
        <w:rPr>
          <w:b/>
          <w:i/>
        </w:rPr>
        <w:lastRenderedPageBreak/>
        <w:t>above threshold rate</w:t>
      </w:r>
      <w:r w:rsidRPr="00143624">
        <w:t>, for a particular day, is the above threshold rate determined for that day under subsection</w:t>
      </w:r>
      <w:r w:rsidR="002B1A95" w:rsidRPr="00143624">
        <w:t> </w:t>
      </w:r>
      <w:r w:rsidRPr="00143624">
        <w:t xml:space="preserve">1082(2) of the </w:t>
      </w:r>
      <w:r w:rsidRPr="00143624">
        <w:rPr>
          <w:i/>
        </w:rPr>
        <w:t>Social Security Act 1991</w:t>
      </w:r>
      <w:r w:rsidRPr="00143624">
        <w:t>.</w:t>
      </w:r>
    </w:p>
    <w:p w:rsidR="00EF666B" w:rsidRPr="00143624" w:rsidRDefault="00EF666B" w:rsidP="00EF666B">
      <w:pPr>
        <w:pStyle w:val="Definition"/>
      </w:pPr>
      <w:r w:rsidRPr="00143624">
        <w:rPr>
          <w:b/>
          <w:i/>
        </w:rPr>
        <w:t>adjustment day</w:t>
      </w:r>
      <w:r w:rsidRPr="00143624">
        <w:t xml:space="preserve"> is each of the following:</w:t>
      </w:r>
    </w:p>
    <w:p w:rsidR="00EF666B" w:rsidRPr="00143624" w:rsidRDefault="00EF666B" w:rsidP="00EF666B">
      <w:pPr>
        <w:pStyle w:val="paragraph"/>
      </w:pPr>
      <w:r w:rsidRPr="00143624">
        <w:tab/>
        <w:t>(a)</w:t>
      </w:r>
      <w:r w:rsidRPr="00143624">
        <w:tab/>
        <w:t>each 12</w:t>
      </w:r>
      <w:r w:rsidR="00143624">
        <w:noBreakHyphen/>
      </w:r>
      <w:r w:rsidRPr="00143624">
        <w:t>month anniversary of the consideration payment day that happens before the valuing day;</w:t>
      </w:r>
    </w:p>
    <w:p w:rsidR="00EF666B" w:rsidRPr="00143624" w:rsidRDefault="00EF666B" w:rsidP="00EF666B">
      <w:pPr>
        <w:pStyle w:val="paragraph"/>
      </w:pPr>
      <w:r w:rsidRPr="00143624">
        <w:tab/>
        <w:t>(b)</w:t>
      </w:r>
      <w:r w:rsidRPr="00143624">
        <w:tab/>
        <w:t>the valuing day.</w:t>
      </w:r>
    </w:p>
    <w:p w:rsidR="00EF666B" w:rsidRPr="00143624" w:rsidRDefault="00EF666B" w:rsidP="00EF666B">
      <w:pPr>
        <w:pStyle w:val="Definition"/>
      </w:pPr>
      <w:r w:rsidRPr="00143624">
        <w:rPr>
          <w:b/>
          <w:i/>
        </w:rPr>
        <w:t>applicable above threshold rate</w:t>
      </w:r>
      <w:r w:rsidRPr="00143624">
        <w:t>, for a particular day, is:</w:t>
      </w:r>
    </w:p>
    <w:p w:rsidR="00EF666B" w:rsidRPr="00143624" w:rsidRDefault="00EF666B" w:rsidP="00EF666B">
      <w:pPr>
        <w:pStyle w:val="paragraph"/>
      </w:pPr>
      <w:r w:rsidRPr="00143624">
        <w:tab/>
        <w:t>(a)</w:t>
      </w:r>
      <w:r w:rsidRPr="00143624">
        <w:tab/>
        <w:t>if that day is a 12</w:t>
      </w:r>
      <w:r w:rsidR="00143624">
        <w:noBreakHyphen/>
      </w:r>
      <w:r w:rsidRPr="00143624">
        <w:t>month anniversary of the consideration payment day—the above threshold rate for that day; or</w:t>
      </w:r>
    </w:p>
    <w:p w:rsidR="00EF666B" w:rsidRPr="00143624" w:rsidRDefault="00EF666B" w:rsidP="00EF666B">
      <w:pPr>
        <w:pStyle w:val="paragraph"/>
      </w:pPr>
      <w:r w:rsidRPr="00143624">
        <w:tab/>
        <w:t>(b)</w:t>
      </w:r>
      <w:r w:rsidRPr="00143624">
        <w:tab/>
        <w:t>if that day is the valuing day—the proportion of the above threshold rate for that day equal to the number of days that the valuing day is in the 12 months starting on the day after:</w:t>
      </w:r>
    </w:p>
    <w:p w:rsidR="00EF666B" w:rsidRPr="00143624" w:rsidRDefault="00EF666B" w:rsidP="00EF666B">
      <w:pPr>
        <w:pStyle w:val="paragraphsub"/>
      </w:pPr>
      <w:r w:rsidRPr="00143624">
        <w:tab/>
        <w:t>(i)</w:t>
      </w:r>
      <w:r w:rsidRPr="00143624">
        <w:tab/>
        <w:t>if the valuing day is at least 12 months after the consideration payment day—the most recent 12</w:t>
      </w:r>
      <w:r w:rsidR="00143624">
        <w:noBreakHyphen/>
      </w:r>
      <w:r w:rsidRPr="00143624">
        <w:t>month anniversary of the consideration payment day; or</w:t>
      </w:r>
    </w:p>
    <w:p w:rsidR="00EF666B" w:rsidRPr="00143624" w:rsidRDefault="00EF666B" w:rsidP="00EF666B">
      <w:pPr>
        <w:pStyle w:val="paragraphsub"/>
      </w:pPr>
      <w:r w:rsidRPr="00143624">
        <w:tab/>
        <w:t>(ii)</w:t>
      </w:r>
      <w:r w:rsidRPr="00143624">
        <w:tab/>
        <w:t>otherwise—the consideration payment day.</w:t>
      </w:r>
    </w:p>
    <w:p w:rsidR="00EF666B" w:rsidRPr="00143624" w:rsidRDefault="00EF666B" w:rsidP="00EF666B">
      <w:pPr>
        <w:pStyle w:val="Definition"/>
      </w:pPr>
      <w:r w:rsidRPr="00143624">
        <w:rPr>
          <w:b/>
          <w:i/>
        </w:rPr>
        <w:t>compounded amount of consideration just before the adjustment day</w:t>
      </w:r>
      <w:r w:rsidRPr="00143624">
        <w:t xml:space="preserve"> is:</w:t>
      </w:r>
    </w:p>
    <w:p w:rsidR="00EF666B" w:rsidRPr="00143624" w:rsidRDefault="00EF666B" w:rsidP="00EF666B">
      <w:pPr>
        <w:pStyle w:val="paragraph"/>
      </w:pPr>
      <w:r w:rsidRPr="00143624">
        <w:tab/>
        <w:t>(a)</w:t>
      </w:r>
      <w:r w:rsidRPr="00143624">
        <w:tab/>
        <w:t>for the earliest adjustment day—the amount of consideration; or</w:t>
      </w:r>
    </w:p>
    <w:p w:rsidR="00EF666B" w:rsidRPr="00143624" w:rsidRDefault="00EF666B" w:rsidP="00EF666B">
      <w:pPr>
        <w:pStyle w:val="paragraph"/>
      </w:pPr>
      <w:r w:rsidRPr="00143624">
        <w:tab/>
        <w:t>(b)</w:t>
      </w:r>
      <w:r w:rsidRPr="00143624">
        <w:tab/>
        <w:t>for each later adjustment day—the result of applying the formula for the most recent earlier adjustment day.</w:t>
      </w:r>
    </w:p>
    <w:p w:rsidR="00EF666B" w:rsidRPr="00143624" w:rsidRDefault="00EF666B" w:rsidP="00EF666B">
      <w:pPr>
        <w:pStyle w:val="Definition"/>
      </w:pPr>
      <w:r w:rsidRPr="00143624">
        <w:rPr>
          <w:b/>
          <w:i/>
        </w:rPr>
        <w:t>consideration payment day</w:t>
      </w:r>
      <w:r w:rsidRPr="00143624">
        <w:t xml:space="preserve"> is the day the amount of consideration was paid.</w:t>
      </w:r>
    </w:p>
    <w:p w:rsidR="00EF666B" w:rsidRPr="00143624" w:rsidRDefault="00EF666B" w:rsidP="00EF666B">
      <w:pPr>
        <w:pStyle w:val="ActHead5"/>
      </w:pPr>
      <w:bookmarkStart w:id="138" w:name="_Toc64030396"/>
      <w:r w:rsidRPr="003F3E0B">
        <w:rPr>
          <w:rStyle w:val="CharSectno"/>
        </w:rPr>
        <w:t>307</w:t>
      </w:r>
      <w:r w:rsidR="00143624" w:rsidRPr="003F3E0B">
        <w:rPr>
          <w:rStyle w:val="CharSectno"/>
        </w:rPr>
        <w:noBreakHyphen/>
      </w:r>
      <w:r w:rsidRPr="003F3E0B">
        <w:rPr>
          <w:rStyle w:val="CharSectno"/>
        </w:rPr>
        <w:t>205.02D</w:t>
      </w:r>
      <w:r w:rsidRPr="00143624">
        <w:t xml:space="preserve">  Value of superannuation interest—pooled investment pensions</w:t>
      </w:r>
      <w:bookmarkEnd w:id="138"/>
    </w:p>
    <w:p w:rsidR="00EF666B" w:rsidRPr="00143624" w:rsidRDefault="00EF666B" w:rsidP="00EF666B">
      <w:pPr>
        <w:pStyle w:val="subsection"/>
      </w:pPr>
      <w:r w:rsidRPr="00143624">
        <w:rPr>
          <w:color w:val="000000"/>
        </w:rPr>
        <w:tab/>
        <w:t>(1)</w:t>
      </w:r>
      <w:r w:rsidRPr="00143624">
        <w:rPr>
          <w:color w:val="000000"/>
        </w:rPr>
        <w:tab/>
        <w:t>For the purposes of paragraph</w:t>
      </w:r>
      <w:r w:rsidR="002B1A95" w:rsidRPr="00143624">
        <w:rPr>
          <w:color w:val="000000"/>
        </w:rPr>
        <w:t> </w:t>
      </w:r>
      <w:r w:rsidRPr="00143624">
        <w:rPr>
          <w:color w:val="000000"/>
        </w:rPr>
        <w:t>307</w:t>
      </w:r>
      <w:r w:rsidR="00143624">
        <w:rPr>
          <w:color w:val="000000"/>
        </w:rPr>
        <w:noBreakHyphen/>
      </w:r>
      <w:r w:rsidRPr="00143624">
        <w:rPr>
          <w:color w:val="000000"/>
        </w:rPr>
        <w:t>205(1)(a) of the Act, the value at a particular time of an individual’s superannuation interest that supports a pooled investment pension is the value of so much of the collective pool of assets in the fund at that time as is:</w:t>
      </w:r>
    </w:p>
    <w:p w:rsidR="00EF666B" w:rsidRPr="00143624" w:rsidRDefault="00EF666B" w:rsidP="00EF666B">
      <w:pPr>
        <w:pStyle w:val="paragraph"/>
        <w:rPr>
          <w:color w:val="000000"/>
        </w:rPr>
      </w:pPr>
      <w:r w:rsidRPr="00143624">
        <w:rPr>
          <w:color w:val="000000"/>
        </w:rPr>
        <w:tab/>
        <w:t>(a)</w:t>
      </w:r>
      <w:r w:rsidRPr="00143624">
        <w:rPr>
          <w:color w:val="000000"/>
        </w:rPr>
        <w:tab/>
        <w:t>attributed to the individual under the rules of the fund; and</w:t>
      </w:r>
    </w:p>
    <w:p w:rsidR="00EF666B" w:rsidRPr="00143624" w:rsidRDefault="00EF666B" w:rsidP="00EF666B">
      <w:pPr>
        <w:pStyle w:val="paragraph"/>
        <w:rPr>
          <w:color w:val="000000"/>
        </w:rPr>
      </w:pPr>
      <w:r w:rsidRPr="00143624">
        <w:rPr>
          <w:color w:val="000000"/>
        </w:rPr>
        <w:tab/>
        <w:t>(b)</w:t>
      </w:r>
      <w:r w:rsidRPr="00143624">
        <w:rPr>
          <w:color w:val="000000"/>
        </w:rPr>
        <w:tab/>
        <w:t>specified in an actuary’s certificate.</w:t>
      </w:r>
    </w:p>
    <w:p w:rsidR="00EF666B" w:rsidRPr="00143624" w:rsidRDefault="00EF666B" w:rsidP="00EF666B">
      <w:pPr>
        <w:pStyle w:val="subsection"/>
      </w:pPr>
      <w:r w:rsidRPr="00143624">
        <w:rPr>
          <w:color w:val="000000"/>
        </w:rPr>
        <w:tab/>
        <w:t>(2)</w:t>
      </w:r>
      <w:r w:rsidRPr="00143624">
        <w:rPr>
          <w:color w:val="000000"/>
        </w:rPr>
        <w:tab/>
        <w:t xml:space="preserve">A </w:t>
      </w:r>
      <w:r w:rsidRPr="00143624">
        <w:rPr>
          <w:b/>
          <w:i/>
          <w:color w:val="000000"/>
        </w:rPr>
        <w:t>pooled investment pension</w:t>
      </w:r>
      <w:r w:rsidRPr="00143624">
        <w:rPr>
          <w:color w:val="000000"/>
        </w:rPr>
        <w:t xml:space="preserve"> is a superannuation income stream supported by an individual’s superannuation interest if:</w:t>
      </w:r>
    </w:p>
    <w:p w:rsidR="00EF666B" w:rsidRPr="00143624" w:rsidRDefault="00EF666B" w:rsidP="00EF666B">
      <w:pPr>
        <w:pStyle w:val="paragraph"/>
      </w:pPr>
      <w:r w:rsidRPr="00143624">
        <w:tab/>
        <w:t>(a)</w:t>
      </w:r>
      <w:r w:rsidRPr="00143624">
        <w:tab/>
        <w:t>the interest is in a superannuation fund; and</w:t>
      </w:r>
    </w:p>
    <w:p w:rsidR="00EF666B" w:rsidRPr="00143624" w:rsidRDefault="00EF666B" w:rsidP="00EF666B">
      <w:pPr>
        <w:pStyle w:val="paragraph"/>
      </w:pPr>
      <w:r w:rsidRPr="00143624">
        <w:tab/>
        <w:t>(b)</w:t>
      </w:r>
      <w:r w:rsidRPr="00143624">
        <w:tab/>
        <w:t>the rules for the provision of the income stream ensure that, once payments of the income stream start, the income stream is to continue for the remainder of the individual’s life; and</w:t>
      </w:r>
    </w:p>
    <w:p w:rsidR="00EF666B" w:rsidRPr="00143624" w:rsidRDefault="00EF666B" w:rsidP="00EF666B">
      <w:pPr>
        <w:pStyle w:val="paragraph"/>
      </w:pPr>
      <w:r w:rsidRPr="00143624">
        <w:tab/>
        <w:t>(c)</w:t>
      </w:r>
      <w:r w:rsidRPr="00143624">
        <w:tab/>
        <w:t>the rules for the provision of the income stream ensure that the amounts of those payments are determined by having regard to:</w:t>
      </w:r>
    </w:p>
    <w:p w:rsidR="00EF666B" w:rsidRPr="00143624" w:rsidRDefault="00EF666B" w:rsidP="00EF666B">
      <w:pPr>
        <w:pStyle w:val="paragraphsub"/>
      </w:pPr>
      <w:r w:rsidRPr="00143624">
        <w:tab/>
        <w:t>(i)</w:t>
      </w:r>
      <w:r w:rsidRPr="00143624">
        <w:tab/>
        <w:t>the age, life expectancy or other factors relevant to the mortality of each individual who has that kind of superannuation interest in the fund; and</w:t>
      </w:r>
    </w:p>
    <w:p w:rsidR="00EF666B" w:rsidRPr="00143624" w:rsidRDefault="00EF666B" w:rsidP="00EF666B">
      <w:pPr>
        <w:pStyle w:val="paragraphsub"/>
      </w:pPr>
      <w:r w:rsidRPr="00143624">
        <w:tab/>
        <w:t>(ii)</w:t>
      </w:r>
      <w:r w:rsidRPr="00143624">
        <w:tab/>
        <w:t>the pool of assets in the fund held for the collective benefit of those individuals.</w:t>
      </w:r>
    </w:p>
    <w:p w:rsidR="00EF666B" w:rsidRPr="00143624" w:rsidRDefault="00EF666B" w:rsidP="00EF666B">
      <w:pPr>
        <w:pStyle w:val="ActHead5"/>
      </w:pPr>
      <w:bookmarkStart w:id="139" w:name="_Toc64030397"/>
      <w:r w:rsidRPr="003F3E0B">
        <w:rPr>
          <w:rStyle w:val="CharSectno"/>
        </w:rPr>
        <w:lastRenderedPageBreak/>
        <w:t>307</w:t>
      </w:r>
      <w:r w:rsidR="00143624" w:rsidRPr="003F3E0B">
        <w:rPr>
          <w:rStyle w:val="CharSectno"/>
        </w:rPr>
        <w:noBreakHyphen/>
      </w:r>
      <w:r w:rsidRPr="003F3E0B">
        <w:rPr>
          <w:rStyle w:val="CharSectno"/>
        </w:rPr>
        <w:t>205.02E</w:t>
      </w:r>
      <w:r w:rsidRPr="00143624">
        <w:t xml:space="preserve">  Value of superannuation interest—pooled investment annuities</w:t>
      </w:r>
      <w:bookmarkEnd w:id="139"/>
    </w:p>
    <w:p w:rsidR="00EF666B" w:rsidRPr="00143624" w:rsidRDefault="00EF666B" w:rsidP="00EF666B">
      <w:pPr>
        <w:pStyle w:val="subsection"/>
      </w:pPr>
      <w:r w:rsidRPr="00143624">
        <w:rPr>
          <w:color w:val="000000"/>
        </w:rPr>
        <w:tab/>
        <w:t>(1)</w:t>
      </w:r>
      <w:r w:rsidRPr="00143624">
        <w:rPr>
          <w:color w:val="000000"/>
        </w:rPr>
        <w:tab/>
        <w:t>For the purposes of paragraph</w:t>
      </w:r>
      <w:r w:rsidR="002B1A95" w:rsidRPr="00143624">
        <w:rPr>
          <w:color w:val="000000"/>
        </w:rPr>
        <w:t> </w:t>
      </w:r>
      <w:r w:rsidRPr="00143624">
        <w:rPr>
          <w:color w:val="000000"/>
        </w:rPr>
        <w:t>307</w:t>
      </w:r>
      <w:r w:rsidR="00143624">
        <w:rPr>
          <w:color w:val="000000"/>
        </w:rPr>
        <w:noBreakHyphen/>
      </w:r>
      <w:r w:rsidRPr="00143624">
        <w:rPr>
          <w:color w:val="000000"/>
        </w:rPr>
        <w:t xml:space="preserve">205(1)(a) of the Act, the value at a particular time of an individual’s superannuation interest that supports a pooled investment annuity is the value of so much of the collective pool of assets </w:t>
      </w:r>
      <w:r w:rsidRPr="00143624">
        <w:t xml:space="preserve">held by the life insurance company </w:t>
      </w:r>
      <w:r w:rsidRPr="00143624">
        <w:rPr>
          <w:color w:val="000000"/>
        </w:rPr>
        <w:t>at that time as is:</w:t>
      </w:r>
    </w:p>
    <w:p w:rsidR="00EF666B" w:rsidRPr="00143624" w:rsidRDefault="00EF666B" w:rsidP="00EF666B">
      <w:pPr>
        <w:pStyle w:val="paragraph"/>
        <w:rPr>
          <w:color w:val="000000"/>
        </w:rPr>
      </w:pPr>
      <w:r w:rsidRPr="00143624">
        <w:rPr>
          <w:color w:val="000000"/>
        </w:rPr>
        <w:tab/>
        <w:t>(a)</w:t>
      </w:r>
      <w:r w:rsidRPr="00143624">
        <w:rPr>
          <w:color w:val="000000"/>
        </w:rPr>
        <w:tab/>
        <w:t xml:space="preserve">attributed to the individual under the </w:t>
      </w:r>
      <w:r w:rsidRPr="00143624">
        <w:t xml:space="preserve">contract for the provision of the </w:t>
      </w:r>
      <w:r w:rsidRPr="00143624">
        <w:rPr>
          <w:color w:val="000000"/>
        </w:rPr>
        <w:t>pooled investment annuity; and</w:t>
      </w:r>
    </w:p>
    <w:p w:rsidR="00EF666B" w:rsidRPr="00143624" w:rsidRDefault="00EF666B" w:rsidP="00EF666B">
      <w:pPr>
        <w:pStyle w:val="paragraph"/>
        <w:rPr>
          <w:color w:val="000000"/>
        </w:rPr>
      </w:pPr>
      <w:r w:rsidRPr="00143624">
        <w:rPr>
          <w:color w:val="000000"/>
        </w:rPr>
        <w:tab/>
        <w:t>(b)</w:t>
      </w:r>
      <w:r w:rsidRPr="00143624">
        <w:rPr>
          <w:color w:val="000000"/>
        </w:rPr>
        <w:tab/>
        <w:t>specified in an actuary’s certificate.</w:t>
      </w:r>
    </w:p>
    <w:p w:rsidR="00EF666B" w:rsidRPr="00143624" w:rsidRDefault="00EF666B" w:rsidP="00EF666B">
      <w:pPr>
        <w:pStyle w:val="subsection"/>
      </w:pPr>
      <w:r w:rsidRPr="00143624">
        <w:rPr>
          <w:color w:val="000000"/>
        </w:rPr>
        <w:tab/>
        <w:t>(2)</w:t>
      </w:r>
      <w:r w:rsidRPr="00143624">
        <w:rPr>
          <w:color w:val="000000"/>
        </w:rPr>
        <w:tab/>
        <w:t xml:space="preserve">A </w:t>
      </w:r>
      <w:r w:rsidRPr="00143624">
        <w:rPr>
          <w:b/>
          <w:i/>
          <w:color w:val="000000"/>
        </w:rPr>
        <w:t>pooled investment annuity</w:t>
      </w:r>
      <w:r w:rsidRPr="00143624">
        <w:rPr>
          <w:color w:val="000000"/>
        </w:rPr>
        <w:t xml:space="preserve"> is a superannuation income stream supported by an individual’s superannuation interest if:</w:t>
      </w:r>
    </w:p>
    <w:p w:rsidR="00EF666B" w:rsidRPr="00143624" w:rsidRDefault="00EF666B" w:rsidP="00EF666B">
      <w:pPr>
        <w:pStyle w:val="paragraph"/>
      </w:pPr>
      <w:r w:rsidRPr="00143624">
        <w:tab/>
        <w:t>(a)</w:t>
      </w:r>
      <w:r w:rsidRPr="00143624">
        <w:tab/>
        <w:t>the superannuation income stream is a superannuation annuity provided by a life insurance company; and</w:t>
      </w:r>
    </w:p>
    <w:p w:rsidR="00EF666B" w:rsidRPr="00143624" w:rsidRDefault="00EF666B" w:rsidP="00EF666B">
      <w:pPr>
        <w:pStyle w:val="paragraph"/>
      </w:pPr>
      <w:r w:rsidRPr="00143624">
        <w:tab/>
        <w:t>(b)</w:t>
      </w:r>
      <w:r w:rsidRPr="00143624">
        <w:tab/>
        <w:t>the contract for the provision of the income stream ensures that, once payments of the income stream start, the income stream is to continue for the remainder of the individual’s life; and</w:t>
      </w:r>
    </w:p>
    <w:p w:rsidR="00EF666B" w:rsidRPr="00143624" w:rsidRDefault="00EF666B" w:rsidP="00EF666B">
      <w:pPr>
        <w:pStyle w:val="paragraph"/>
      </w:pPr>
      <w:r w:rsidRPr="00143624">
        <w:tab/>
        <w:t>(c)</w:t>
      </w:r>
      <w:r w:rsidRPr="00143624">
        <w:tab/>
        <w:t>the contract for the provision of the income stream ensures that the amounts of those payments are determined by having regard to:</w:t>
      </w:r>
    </w:p>
    <w:p w:rsidR="00EF666B" w:rsidRPr="00143624" w:rsidRDefault="00EF666B" w:rsidP="00EF666B">
      <w:pPr>
        <w:pStyle w:val="paragraphsub"/>
      </w:pPr>
      <w:r w:rsidRPr="00143624">
        <w:tab/>
        <w:t>(i)</w:t>
      </w:r>
      <w:r w:rsidRPr="00143624">
        <w:tab/>
        <w:t>the age, life expectancy or other factors relevant to the mortality of each individual who has that kind of superannuation interest with the life insurance company; and</w:t>
      </w:r>
    </w:p>
    <w:p w:rsidR="00EF666B" w:rsidRPr="00143624" w:rsidRDefault="00EF666B" w:rsidP="00EF666B">
      <w:pPr>
        <w:pStyle w:val="paragraphsub"/>
      </w:pPr>
      <w:r w:rsidRPr="00143624">
        <w:tab/>
        <w:t>(ii)</w:t>
      </w:r>
      <w:r w:rsidRPr="00143624">
        <w:tab/>
        <w:t>the pool of assets held by the life insurance company for the collective benefit of those individuals; and</w:t>
      </w:r>
    </w:p>
    <w:p w:rsidR="00EF666B" w:rsidRPr="00143624" w:rsidRDefault="00EF666B" w:rsidP="00EF666B">
      <w:pPr>
        <w:pStyle w:val="paragraph"/>
      </w:pPr>
      <w:r w:rsidRPr="00143624">
        <w:tab/>
        <w:t>(d)</w:t>
      </w:r>
      <w:r w:rsidRPr="00143624">
        <w:tab/>
        <w:t>at least 50 entities have superannuation interests (of any kind) with the life insurance company.</w:t>
      </w:r>
    </w:p>
    <w:p w:rsidR="00EF666B" w:rsidRPr="00143624" w:rsidRDefault="00EF666B" w:rsidP="00EF666B">
      <w:pPr>
        <w:pStyle w:val="ActHead2"/>
        <w:pageBreakBefore/>
      </w:pPr>
      <w:bookmarkStart w:id="140" w:name="_Toc64030398"/>
      <w:r w:rsidRPr="003F3E0B">
        <w:rPr>
          <w:rStyle w:val="CharPartNo"/>
        </w:rPr>
        <w:lastRenderedPageBreak/>
        <w:t>Part</w:t>
      </w:r>
      <w:r w:rsidR="002B1A95" w:rsidRPr="003F3E0B">
        <w:rPr>
          <w:rStyle w:val="CharPartNo"/>
        </w:rPr>
        <w:t> </w:t>
      </w:r>
      <w:r w:rsidRPr="003F3E0B">
        <w:rPr>
          <w:rStyle w:val="CharPartNo"/>
        </w:rPr>
        <w:t>3</w:t>
      </w:r>
      <w:r w:rsidR="00143624" w:rsidRPr="003F3E0B">
        <w:rPr>
          <w:rStyle w:val="CharPartNo"/>
        </w:rPr>
        <w:noBreakHyphen/>
      </w:r>
      <w:r w:rsidRPr="003F3E0B">
        <w:rPr>
          <w:rStyle w:val="CharPartNo"/>
        </w:rPr>
        <w:t>45</w:t>
      </w:r>
      <w:r w:rsidRPr="00143624">
        <w:t>—</w:t>
      </w:r>
      <w:r w:rsidRPr="003F3E0B">
        <w:rPr>
          <w:rStyle w:val="CharPartText"/>
        </w:rPr>
        <w:t>Rules for particular industries and occupations</w:t>
      </w:r>
      <w:bookmarkEnd w:id="140"/>
    </w:p>
    <w:p w:rsidR="00EF666B" w:rsidRPr="00143624" w:rsidRDefault="00EF666B" w:rsidP="00EF666B">
      <w:pPr>
        <w:pStyle w:val="ActHead3"/>
      </w:pPr>
      <w:bookmarkStart w:id="141" w:name="_Toc64030399"/>
      <w:r w:rsidRPr="003F3E0B">
        <w:rPr>
          <w:rStyle w:val="CharDivNo"/>
        </w:rPr>
        <w:t>Division</w:t>
      </w:r>
      <w:r w:rsidR="002B1A95" w:rsidRPr="003F3E0B">
        <w:rPr>
          <w:rStyle w:val="CharDivNo"/>
        </w:rPr>
        <w:t> </w:t>
      </w:r>
      <w:r w:rsidRPr="003F3E0B">
        <w:rPr>
          <w:rStyle w:val="CharDivNo"/>
        </w:rPr>
        <w:t>393</w:t>
      </w:r>
      <w:r w:rsidRPr="00143624">
        <w:t>—</w:t>
      </w:r>
      <w:r w:rsidRPr="003F3E0B">
        <w:rPr>
          <w:rStyle w:val="CharDivText"/>
        </w:rPr>
        <w:t>Farm management deposits</w:t>
      </w:r>
      <w:bookmarkEnd w:id="141"/>
    </w:p>
    <w:p w:rsidR="00EF666B" w:rsidRPr="00143624" w:rsidRDefault="00EF666B" w:rsidP="00EF666B">
      <w:pPr>
        <w:pStyle w:val="ActHead4"/>
      </w:pPr>
      <w:bookmarkStart w:id="142" w:name="_Toc64030400"/>
      <w:r w:rsidRPr="003F3E0B">
        <w:rPr>
          <w:rStyle w:val="CharSubdNo"/>
        </w:rPr>
        <w:t>Subdivision</w:t>
      </w:r>
      <w:r w:rsidR="002B1A95" w:rsidRPr="003F3E0B">
        <w:rPr>
          <w:rStyle w:val="CharSubdNo"/>
        </w:rPr>
        <w:t> </w:t>
      </w:r>
      <w:r w:rsidRPr="003F3E0B">
        <w:rPr>
          <w:rStyle w:val="CharSubdNo"/>
        </w:rPr>
        <w:t>393</w:t>
      </w:r>
      <w:r w:rsidR="00143624" w:rsidRPr="003F3E0B">
        <w:rPr>
          <w:rStyle w:val="CharSubdNo"/>
        </w:rPr>
        <w:noBreakHyphen/>
      </w:r>
      <w:r w:rsidRPr="003F3E0B">
        <w:rPr>
          <w:rStyle w:val="CharSubdNo"/>
        </w:rPr>
        <w:t>B</w:t>
      </w:r>
      <w:r w:rsidRPr="00143624">
        <w:t>—</w:t>
      </w:r>
      <w:r w:rsidRPr="003F3E0B">
        <w:rPr>
          <w:rStyle w:val="CharSubdText"/>
        </w:rPr>
        <w:t>Meaning of farm management deposit and owner</w:t>
      </w:r>
      <w:bookmarkEnd w:id="142"/>
    </w:p>
    <w:p w:rsidR="00EF666B" w:rsidRPr="00143624" w:rsidRDefault="00EF666B" w:rsidP="00EF666B">
      <w:pPr>
        <w:pStyle w:val="ActHead5"/>
      </w:pPr>
      <w:bookmarkStart w:id="143" w:name="_Toc64030401"/>
      <w:r w:rsidRPr="003F3E0B">
        <w:rPr>
          <w:rStyle w:val="CharSectno"/>
        </w:rPr>
        <w:t>393</w:t>
      </w:r>
      <w:r w:rsidR="00143624" w:rsidRPr="003F3E0B">
        <w:rPr>
          <w:rStyle w:val="CharSectno"/>
        </w:rPr>
        <w:noBreakHyphen/>
      </w:r>
      <w:r w:rsidRPr="003F3E0B">
        <w:rPr>
          <w:rStyle w:val="CharSectno"/>
        </w:rPr>
        <w:t>20.01</w:t>
      </w:r>
      <w:r w:rsidRPr="00143624">
        <w:t xml:space="preserve">  Application form for a farm management deposit—information given by depositor</w:t>
      </w:r>
      <w:bookmarkEnd w:id="143"/>
    </w:p>
    <w:p w:rsidR="00EF666B" w:rsidRPr="00143624" w:rsidRDefault="00EF666B" w:rsidP="00EF666B">
      <w:pPr>
        <w:pStyle w:val="subsection"/>
      </w:pPr>
      <w:r w:rsidRPr="00143624">
        <w:tab/>
      </w:r>
      <w:r w:rsidRPr="00143624">
        <w:tab/>
        <w:t>For the purposes of paragraph</w:t>
      </w:r>
      <w:r w:rsidR="002B1A95" w:rsidRPr="00143624">
        <w:t> </w:t>
      </w:r>
      <w:r w:rsidRPr="00143624">
        <w:t>393</w:t>
      </w:r>
      <w:r w:rsidR="00143624">
        <w:noBreakHyphen/>
      </w:r>
      <w:r w:rsidRPr="00143624">
        <w:t>20(2)(b) of the Act, a form used to apply to an FMD provider to make a farm management deposit must require the depositor to provide the following information:</w:t>
      </w:r>
    </w:p>
    <w:p w:rsidR="00EF666B" w:rsidRPr="00143624" w:rsidRDefault="00EF666B" w:rsidP="00EF666B">
      <w:pPr>
        <w:pStyle w:val="paragraph"/>
      </w:pPr>
      <w:r w:rsidRPr="00143624">
        <w:tab/>
        <w:t>(a)</w:t>
      </w:r>
      <w:r w:rsidRPr="00143624">
        <w:tab/>
        <w:t>the depositor’s name, address, date of birth and telephone number;</w:t>
      </w:r>
    </w:p>
    <w:p w:rsidR="00EF666B" w:rsidRPr="00143624" w:rsidRDefault="00EF666B" w:rsidP="00EF666B">
      <w:pPr>
        <w:pStyle w:val="paragraph"/>
      </w:pPr>
      <w:r w:rsidRPr="00143624">
        <w:tab/>
        <w:t>(b)</w:t>
      </w:r>
      <w:r w:rsidRPr="00143624">
        <w:tab/>
        <w:t>the amount of the deposit;</w:t>
      </w:r>
    </w:p>
    <w:p w:rsidR="00EF666B" w:rsidRPr="00143624" w:rsidRDefault="00EF666B" w:rsidP="00EF666B">
      <w:pPr>
        <w:pStyle w:val="paragraph"/>
      </w:pPr>
      <w:r w:rsidRPr="00143624">
        <w:tab/>
        <w:t>(c)</w:t>
      </w:r>
      <w:r w:rsidRPr="00143624">
        <w:tab/>
        <w:t>a description of the major commodity or commodities produced in the year of the deposit;</w:t>
      </w:r>
    </w:p>
    <w:p w:rsidR="00EF666B" w:rsidRPr="00143624" w:rsidRDefault="00EF666B" w:rsidP="00EF666B">
      <w:pPr>
        <w:pStyle w:val="paragraph"/>
      </w:pPr>
      <w:r w:rsidRPr="00143624">
        <w:tab/>
        <w:t>(d)</w:t>
      </w:r>
      <w:r w:rsidRPr="00143624">
        <w:tab/>
        <w:t>if the depositor is not the owner of the deposit—the owner’s name, address and date of birth.</w:t>
      </w:r>
    </w:p>
    <w:p w:rsidR="00EF666B" w:rsidRPr="00143624" w:rsidRDefault="00EF666B" w:rsidP="00EF666B">
      <w:pPr>
        <w:pStyle w:val="notetext"/>
      </w:pPr>
      <w:r w:rsidRPr="00143624">
        <w:t>Note 1:</w:t>
      </w:r>
      <w:r w:rsidRPr="00143624">
        <w:tab/>
        <w:t>Subsection</w:t>
      </w:r>
      <w:r w:rsidR="002B1A95" w:rsidRPr="00143624">
        <w:t> </w:t>
      </w:r>
      <w:r w:rsidRPr="00143624">
        <w:t>393</w:t>
      </w:r>
      <w:r w:rsidR="00143624">
        <w:noBreakHyphen/>
      </w:r>
      <w:r w:rsidRPr="00143624">
        <w:t>20(2) of the Act requires a depositor to apply to an FMD provider to make a farm management deposit with the FMD provider.</w:t>
      </w:r>
    </w:p>
    <w:p w:rsidR="00EF666B" w:rsidRPr="00143624" w:rsidRDefault="00EF666B" w:rsidP="00EF666B">
      <w:pPr>
        <w:pStyle w:val="notetext"/>
      </w:pPr>
      <w:r w:rsidRPr="00143624">
        <w:t>Note 2:</w:t>
      </w:r>
      <w:r w:rsidRPr="00143624">
        <w:tab/>
        <w:t>Under paragraph</w:t>
      </w:r>
      <w:r w:rsidR="002B1A95" w:rsidRPr="00143624">
        <w:t> </w:t>
      </w:r>
      <w:r w:rsidRPr="00143624">
        <w:t>393</w:t>
      </w:r>
      <w:r w:rsidR="00143624">
        <w:noBreakHyphen/>
      </w:r>
      <w:r w:rsidRPr="00143624">
        <w:t>20(2)(a) of the Act, the application form must also permit the depositor to state the owner’s tax file number in the form.</w:t>
      </w:r>
    </w:p>
    <w:p w:rsidR="00EF666B" w:rsidRPr="00143624" w:rsidRDefault="00EF666B" w:rsidP="00EF666B">
      <w:pPr>
        <w:pStyle w:val="ActHead5"/>
      </w:pPr>
      <w:bookmarkStart w:id="144" w:name="_Toc64030402"/>
      <w:r w:rsidRPr="003F3E0B">
        <w:rPr>
          <w:rStyle w:val="CharSectno"/>
        </w:rPr>
        <w:t>393</w:t>
      </w:r>
      <w:r w:rsidR="00143624" w:rsidRPr="003F3E0B">
        <w:rPr>
          <w:rStyle w:val="CharSectno"/>
        </w:rPr>
        <w:noBreakHyphen/>
      </w:r>
      <w:r w:rsidRPr="003F3E0B">
        <w:rPr>
          <w:rStyle w:val="CharSectno"/>
        </w:rPr>
        <w:t>20.02</w:t>
      </w:r>
      <w:r w:rsidRPr="00143624">
        <w:t xml:space="preserve">  Application form for a farm management deposit—information given to depositor</w:t>
      </w:r>
      <w:bookmarkEnd w:id="144"/>
    </w:p>
    <w:p w:rsidR="00EF666B" w:rsidRPr="00143624" w:rsidRDefault="00EF666B" w:rsidP="00EF666B">
      <w:pPr>
        <w:pStyle w:val="subsection"/>
      </w:pPr>
      <w:r w:rsidRPr="00143624">
        <w:tab/>
      </w:r>
      <w:r w:rsidRPr="00143624">
        <w:tab/>
        <w:t>For the purposes of paragraph</w:t>
      </w:r>
      <w:r w:rsidR="002B1A95" w:rsidRPr="00143624">
        <w:t> </w:t>
      </w:r>
      <w:r w:rsidRPr="00143624">
        <w:t>393</w:t>
      </w:r>
      <w:r w:rsidR="00143624">
        <w:noBreakHyphen/>
      </w:r>
      <w:r w:rsidRPr="00143624">
        <w:t>20(2)(c) of the Act, a form used to apply to an FMD provider to make a farm management deposit must contain:</w:t>
      </w:r>
    </w:p>
    <w:p w:rsidR="00EF666B" w:rsidRPr="00143624" w:rsidRDefault="00EF666B" w:rsidP="00EF666B">
      <w:pPr>
        <w:pStyle w:val="paragraph"/>
      </w:pPr>
      <w:r w:rsidRPr="00143624">
        <w:tab/>
        <w:t>(a)</w:t>
      </w:r>
      <w:r w:rsidRPr="00143624">
        <w:tab/>
        <w:t>one of the statements set out in Part</w:t>
      </w:r>
      <w:r w:rsidR="002B1A95" w:rsidRPr="00143624">
        <w:t> </w:t>
      </w:r>
      <w:r w:rsidRPr="00143624">
        <w:t xml:space="preserve">1 of </w:t>
      </w:r>
      <w:r w:rsidR="00F5399E" w:rsidRPr="00143624">
        <w:t>Schedule 1</w:t>
      </w:r>
      <w:r w:rsidRPr="00143624">
        <w:t>C; and</w:t>
      </w:r>
    </w:p>
    <w:p w:rsidR="00EF666B" w:rsidRPr="00143624" w:rsidRDefault="00EF666B" w:rsidP="00EF666B">
      <w:pPr>
        <w:pStyle w:val="paragraph"/>
      </w:pPr>
      <w:r w:rsidRPr="00143624">
        <w:tab/>
        <w:t>(b)</w:t>
      </w:r>
      <w:r w:rsidRPr="00143624">
        <w:tab/>
        <w:t>statements to the effect of the statements set out in Part</w:t>
      </w:r>
      <w:r w:rsidR="002B1A95" w:rsidRPr="00143624">
        <w:t> </w:t>
      </w:r>
      <w:r w:rsidRPr="00143624">
        <w:t xml:space="preserve">2 of </w:t>
      </w:r>
      <w:r w:rsidR="00F5399E" w:rsidRPr="00143624">
        <w:t>Schedule 1</w:t>
      </w:r>
      <w:r w:rsidRPr="00143624">
        <w:t>C; and</w:t>
      </w:r>
    </w:p>
    <w:p w:rsidR="00EF666B" w:rsidRPr="00143624" w:rsidRDefault="00EF666B" w:rsidP="00EF666B">
      <w:pPr>
        <w:pStyle w:val="paragraph"/>
      </w:pPr>
      <w:r w:rsidRPr="00143624">
        <w:tab/>
        <w:t>(c)</w:t>
      </w:r>
      <w:r w:rsidRPr="00143624">
        <w:tab/>
        <w:t>statements setting out</w:t>
      </w:r>
      <w:r w:rsidRPr="00143624">
        <w:rPr>
          <w:i/>
        </w:rPr>
        <w:t xml:space="preserve"> </w:t>
      </w:r>
      <w:r w:rsidRPr="00143624">
        <w:t>the additional information required by Part</w:t>
      </w:r>
      <w:r w:rsidR="002B1A95" w:rsidRPr="00143624">
        <w:t> </w:t>
      </w:r>
      <w:r w:rsidRPr="00143624">
        <w:t xml:space="preserve">3 of </w:t>
      </w:r>
      <w:r w:rsidR="00F5399E" w:rsidRPr="00143624">
        <w:t>Schedule 1</w:t>
      </w:r>
      <w:r w:rsidRPr="00143624">
        <w:t>C.</w:t>
      </w:r>
    </w:p>
    <w:p w:rsidR="00EF666B" w:rsidRPr="00143624" w:rsidRDefault="00EF666B" w:rsidP="00EF666B">
      <w:pPr>
        <w:pStyle w:val="notetext"/>
      </w:pPr>
      <w:r w:rsidRPr="00143624">
        <w:t>Note 1:</w:t>
      </w:r>
      <w:r w:rsidRPr="00143624">
        <w:tab/>
        <w:t>Subsection</w:t>
      </w:r>
      <w:r w:rsidR="002B1A95" w:rsidRPr="00143624">
        <w:t> </w:t>
      </w:r>
      <w:r w:rsidRPr="00143624">
        <w:t>393</w:t>
      </w:r>
      <w:r w:rsidR="00143624">
        <w:noBreakHyphen/>
      </w:r>
      <w:r w:rsidRPr="00143624">
        <w:t>20(2) of the Act requires a depositor to apply to an FMD provider to make a farm management deposit with the FMD provider.</w:t>
      </w:r>
    </w:p>
    <w:p w:rsidR="00EF666B" w:rsidRPr="00143624" w:rsidRDefault="00EF666B" w:rsidP="00EF666B">
      <w:pPr>
        <w:pStyle w:val="notetext"/>
      </w:pPr>
      <w:r w:rsidRPr="00143624">
        <w:t>Note 2:</w:t>
      </w:r>
      <w:r w:rsidRPr="00143624">
        <w:tab/>
        <w:t>Under paragraph</w:t>
      </w:r>
      <w:r w:rsidR="002B1A95" w:rsidRPr="00143624">
        <w:t> </w:t>
      </w:r>
      <w:r w:rsidRPr="00143624">
        <w:t>393</w:t>
      </w:r>
      <w:r w:rsidR="00143624">
        <w:noBreakHyphen/>
      </w:r>
      <w:r w:rsidRPr="00143624">
        <w:t>20(2)(c) of the Act, the statements required by this section to be included in an application form are to be read by the depositor when completing the form.</w:t>
      </w:r>
    </w:p>
    <w:p w:rsidR="00EF666B" w:rsidRPr="00143624" w:rsidRDefault="00EF666B" w:rsidP="00EF666B">
      <w:pPr>
        <w:pStyle w:val="ActHead5"/>
      </w:pPr>
      <w:bookmarkStart w:id="145" w:name="_Toc64030403"/>
      <w:r w:rsidRPr="003F3E0B">
        <w:rPr>
          <w:rStyle w:val="CharSectno"/>
        </w:rPr>
        <w:t>393</w:t>
      </w:r>
      <w:r w:rsidR="00143624" w:rsidRPr="003F3E0B">
        <w:rPr>
          <w:rStyle w:val="CharSectno"/>
        </w:rPr>
        <w:noBreakHyphen/>
      </w:r>
      <w:r w:rsidRPr="003F3E0B">
        <w:rPr>
          <w:rStyle w:val="CharSectno"/>
        </w:rPr>
        <w:t>40.01</w:t>
      </w:r>
      <w:r w:rsidRPr="00143624">
        <w:t xml:space="preserve">  Repayment of farm management deposit in the event of a natural disaster</w:t>
      </w:r>
      <w:bookmarkEnd w:id="145"/>
    </w:p>
    <w:p w:rsidR="00EF666B" w:rsidRPr="00143624" w:rsidRDefault="00EF666B" w:rsidP="00EF666B">
      <w:pPr>
        <w:pStyle w:val="subsection"/>
      </w:pPr>
      <w:r w:rsidRPr="00143624">
        <w:tab/>
      </w:r>
      <w:r w:rsidRPr="00143624">
        <w:tab/>
        <w:t>For the purposes of paragraphs 393</w:t>
      </w:r>
      <w:r w:rsidR="00143624">
        <w:noBreakHyphen/>
      </w:r>
      <w:r w:rsidRPr="00143624">
        <w:t>40(3A)(a) and (b) of the Act, the circumstances that are to be satisfied in relation to a repayment of the whole or a part of a farm management deposit are:</w:t>
      </w:r>
    </w:p>
    <w:p w:rsidR="00EF666B" w:rsidRPr="00143624" w:rsidRDefault="00EF666B" w:rsidP="00EF666B">
      <w:pPr>
        <w:pStyle w:val="paragraph"/>
      </w:pPr>
      <w:r w:rsidRPr="00143624">
        <w:tab/>
        <w:t>(a)</w:t>
      </w:r>
      <w:r w:rsidRPr="00143624">
        <w:tab/>
        <w:t xml:space="preserve">recovery assistance has been provided as a Category C measure, in the form of a recovery grant for a primary producer, in accordance with the </w:t>
      </w:r>
      <w:r w:rsidRPr="00143624">
        <w:lastRenderedPageBreak/>
        <w:t>Disaster Recovery Funding Arrangements 2018, determined by the Minister for Law Enforcement and Cyber Security on 5</w:t>
      </w:r>
      <w:r w:rsidR="002B1A95" w:rsidRPr="00143624">
        <w:t> </w:t>
      </w:r>
      <w:r w:rsidRPr="00143624">
        <w:t>June 2018; and</w:t>
      </w:r>
    </w:p>
    <w:p w:rsidR="00EF666B" w:rsidRPr="00143624" w:rsidRDefault="00EF666B" w:rsidP="00EF666B">
      <w:pPr>
        <w:pStyle w:val="paragraph"/>
      </w:pPr>
      <w:r w:rsidRPr="00143624">
        <w:tab/>
        <w:t>(b)</w:t>
      </w:r>
      <w:r w:rsidRPr="00143624">
        <w:tab/>
        <w:t>the recovery assistance was first provided during the 12 month period mentioned in subsection</w:t>
      </w:r>
      <w:r w:rsidR="002B1A95" w:rsidRPr="00143624">
        <w:t> </w:t>
      </w:r>
      <w:r w:rsidRPr="00143624">
        <w:t>393</w:t>
      </w:r>
      <w:r w:rsidR="00143624">
        <w:noBreakHyphen/>
      </w:r>
      <w:r w:rsidRPr="00143624">
        <w:t>40(1) of the Act; and</w:t>
      </w:r>
    </w:p>
    <w:p w:rsidR="00EF666B" w:rsidRPr="00143624" w:rsidRDefault="00EF666B" w:rsidP="00EF666B">
      <w:pPr>
        <w:pStyle w:val="paragraph"/>
      </w:pPr>
      <w:r w:rsidRPr="00143624">
        <w:tab/>
        <w:t>(c)</w:t>
      </w:r>
      <w:r w:rsidRPr="00143624">
        <w:tab/>
        <w:t>the farm management deposit was repaid after the recovery assistance was first provided.</w:t>
      </w:r>
    </w:p>
    <w:p w:rsidR="00EF666B" w:rsidRPr="00143624" w:rsidRDefault="00EF666B" w:rsidP="00EF666B">
      <w:pPr>
        <w:pStyle w:val="notetext"/>
      </w:pPr>
      <w:r w:rsidRPr="00143624">
        <w:t>Note 1:</w:t>
      </w:r>
      <w:r w:rsidRPr="00143624">
        <w:tab/>
        <w:t>A repayment that satisfies the circumstances in this section is not precluded from being a farm management deposit under subsections</w:t>
      </w:r>
      <w:r w:rsidR="002B1A95" w:rsidRPr="00143624">
        <w:t> </w:t>
      </w:r>
      <w:r w:rsidRPr="00143624">
        <w:t>393</w:t>
      </w:r>
      <w:r w:rsidR="00143624">
        <w:noBreakHyphen/>
      </w:r>
      <w:r w:rsidRPr="00143624">
        <w:t>40(1) or (2) of the Act.</w:t>
      </w:r>
    </w:p>
    <w:p w:rsidR="00EF666B" w:rsidRPr="00143624" w:rsidRDefault="00EF666B" w:rsidP="00EF666B">
      <w:pPr>
        <w:pStyle w:val="notetext"/>
      </w:pPr>
      <w:r w:rsidRPr="00143624">
        <w:t>Note 2:</w:t>
      </w:r>
      <w:r w:rsidRPr="00143624">
        <w:tab/>
        <w:t xml:space="preserve">The Disaster Recovery Funding Arrangements 2018 could in </w:t>
      </w:r>
      <w:r w:rsidR="00535C15" w:rsidRPr="00143624">
        <w:t>2021</w:t>
      </w:r>
      <w:r w:rsidRPr="00143624">
        <w:t xml:space="preserve"> be viewed on the DisasterAssist website (https://www.disasterassist.gov.au).</w:t>
      </w:r>
    </w:p>
    <w:p w:rsidR="007D17C5" w:rsidRPr="00143624" w:rsidRDefault="007D17C5" w:rsidP="007D17C5">
      <w:pPr>
        <w:pStyle w:val="ActHead1"/>
        <w:pageBreakBefore/>
      </w:pPr>
      <w:bookmarkStart w:id="146" w:name="_Toc64030404"/>
      <w:r w:rsidRPr="003F3E0B">
        <w:rPr>
          <w:rStyle w:val="CharChapNo"/>
        </w:rPr>
        <w:lastRenderedPageBreak/>
        <w:t>Chapter</w:t>
      </w:r>
      <w:r w:rsidR="002B1A95" w:rsidRPr="003F3E0B">
        <w:rPr>
          <w:rStyle w:val="CharChapNo"/>
        </w:rPr>
        <w:t> </w:t>
      </w:r>
      <w:r w:rsidRPr="003F3E0B">
        <w:rPr>
          <w:rStyle w:val="CharChapNo"/>
        </w:rPr>
        <w:t>4</w:t>
      </w:r>
      <w:r w:rsidRPr="00143624">
        <w:t>—</w:t>
      </w:r>
      <w:r w:rsidRPr="003F3E0B">
        <w:rPr>
          <w:rStyle w:val="CharChapText"/>
        </w:rPr>
        <w:t>International aspects of income tax</w:t>
      </w:r>
      <w:bookmarkEnd w:id="146"/>
    </w:p>
    <w:p w:rsidR="007D17C5" w:rsidRPr="00143624" w:rsidRDefault="007D17C5" w:rsidP="007D17C5">
      <w:pPr>
        <w:pStyle w:val="ActHead2"/>
      </w:pPr>
      <w:bookmarkStart w:id="147" w:name="_Toc64030405"/>
      <w:r w:rsidRPr="003F3E0B">
        <w:rPr>
          <w:rStyle w:val="CharPartNo"/>
        </w:rPr>
        <w:t>Part</w:t>
      </w:r>
      <w:r w:rsidR="002B1A95" w:rsidRPr="003F3E0B">
        <w:rPr>
          <w:rStyle w:val="CharPartNo"/>
        </w:rPr>
        <w:t> </w:t>
      </w:r>
      <w:r w:rsidRPr="003F3E0B">
        <w:rPr>
          <w:rStyle w:val="CharPartNo"/>
        </w:rPr>
        <w:t>4</w:t>
      </w:r>
      <w:r w:rsidR="00143624" w:rsidRPr="003F3E0B">
        <w:rPr>
          <w:rStyle w:val="CharPartNo"/>
        </w:rPr>
        <w:noBreakHyphen/>
      </w:r>
      <w:r w:rsidRPr="003F3E0B">
        <w:rPr>
          <w:rStyle w:val="CharPartNo"/>
        </w:rPr>
        <w:t>5</w:t>
      </w:r>
      <w:r w:rsidRPr="00143624">
        <w:t>—</w:t>
      </w:r>
      <w:r w:rsidRPr="003F3E0B">
        <w:rPr>
          <w:rStyle w:val="CharPartText"/>
        </w:rPr>
        <w:t>General</w:t>
      </w:r>
      <w:bookmarkEnd w:id="147"/>
    </w:p>
    <w:p w:rsidR="007D17C5" w:rsidRPr="00143624" w:rsidRDefault="007D17C5" w:rsidP="007D17C5">
      <w:pPr>
        <w:pStyle w:val="ActHead3"/>
      </w:pPr>
      <w:bookmarkStart w:id="148" w:name="_Toc64030406"/>
      <w:r w:rsidRPr="003F3E0B">
        <w:rPr>
          <w:rStyle w:val="CharDivNo"/>
        </w:rPr>
        <w:t>Division</w:t>
      </w:r>
      <w:r w:rsidR="002B1A95" w:rsidRPr="003F3E0B">
        <w:rPr>
          <w:rStyle w:val="CharDivNo"/>
        </w:rPr>
        <w:t> </w:t>
      </w:r>
      <w:r w:rsidRPr="003F3E0B">
        <w:rPr>
          <w:rStyle w:val="CharDivNo"/>
        </w:rPr>
        <w:t>775</w:t>
      </w:r>
      <w:r w:rsidRPr="00143624">
        <w:t>—</w:t>
      </w:r>
      <w:r w:rsidRPr="003F3E0B">
        <w:rPr>
          <w:rStyle w:val="CharDivText"/>
        </w:rPr>
        <w:t>Foreign currency gains and losses</w:t>
      </w:r>
      <w:bookmarkEnd w:id="148"/>
    </w:p>
    <w:p w:rsidR="007D17C5" w:rsidRPr="00143624" w:rsidRDefault="007D17C5" w:rsidP="007D17C5">
      <w:pPr>
        <w:pStyle w:val="ActHead4"/>
      </w:pPr>
      <w:bookmarkStart w:id="149" w:name="_Toc64030407"/>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775</w:t>
      </w:r>
      <w:r w:rsidR="00143624" w:rsidRPr="003F3E0B">
        <w:rPr>
          <w:rStyle w:val="CharSubdNo"/>
          <w:rFonts w:eastAsiaTheme="majorEastAsia"/>
        </w:rPr>
        <w:noBreakHyphen/>
      </w:r>
      <w:r w:rsidRPr="003F3E0B">
        <w:rPr>
          <w:rStyle w:val="CharSubdNo"/>
          <w:rFonts w:eastAsiaTheme="majorEastAsia"/>
        </w:rPr>
        <w:t>B</w:t>
      </w:r>
      <w:r w:rsidRPr="00143624">
        <w:t>—</w:t>
      </w:r>
      <w:r w:rsidRPr="003F3E0B">
        <w:rPr>
          <w:rStyle w:val="CharSubdText"/>
          <w:rFonts w:eastAsiaTheme="majorEastAsia"/>
        </w:rPr>
        <w:t>Realisation of forex gains or losses</w:t>
      </w:r>
      <w:bookmarkEnd w:id="149"/>
    </w:p>
    <w:p w:rsidR="007D17C5" w:rsidRPr="00143624" w:rsidRDefault="007D17C5" w:rsidP="007D17C5">
      <w:pPr>
        <w:pStyle w:val="ActHead5"/>
      </w:pPr>
      <w:bookmarkStart w:id="150" w:name="_Toc64030408"/>
      <w:r w:rsidRPr="003F3E0B">
        <w:rPr>
          <w:rStyle w:val="CharSectno"/>
        </w:rPr>
        <w:t>775</w:t>
      </w:r>
      <w:r w:rsidR="00143624" w:rsidRPr="003F3E0B">
        <w:rPr>
          <w:rStyle w:val="CharSectno"/>
        </w:rPr>
        <w:noBreakHyphen/>
      </w:r>
      <w:r w:rsidRPr="003F3E0B">
        <w:rPr>
          <w:rStyle w:val="CharSectno"/>
        </w:rPr>
        <w:t>145.01</w:t>
      </w:r>
      <w:r w:rsidRPr="00143624">
        <w:t xml:space="preserve">  Application of forex events to currency and fungible rights and obligations</w:t>
      </w:r>
      <w:bookmarkEnd w:id="150"/>
    </w:p>
    <w:p w:rsidR="007D17C5" w:rsidRPr="00143624" w:rsidRDefault="007D17C5" w:rsidP="007D17C5">
      <w:pPr>
        <w:pStyle w:val="subsection"/>
      </w:pPr>
      <w:r w:rsidRPr="00143624">
        <w:tab/>
        <w:t>(1)</w:t>
      </w:r>
      <w:r w:rsidRPr="00143624">
        <w:tab/>
        <w:t>For the purposes of subsection</w:t>
      </w:r>
      <w:r w:rsidR="002B1A95" w:rsidRPr="00143624">
        <w:t> </w:t>
      </w:r>
      <w:r w:rsidRPr="00143624">
        <w:t>775</w:t>
      </w:r>
      <w:r w:rsidR="00143624">
        <w:noBreakHyphen/>
      </w:r>
      <w:r w:rsidRPr="00143624">
        <w:t>145(2) of the Act:</w:t>
      </w:r>
    </w:p>
    <w:p w:rsidR="007D17C5" w:rsidRPr="00143624" w:rsidRDefault="007D17C5" w:rsidP="007D17C5">
      <w:pPr>
        <w:pStyle w:val="paragraph"/>
      </w:pPr>
      <w:r w:rsidRPr="00143624">
        <w:tab/>
        <w:t>(a)</w:t>
      </w:r>
      <w:r w:rsidRPr="00143624">
        <w:tab/>
        <w:t xml:space="preserve">forex realisation event 1 applies to foreign currency, on a weighted average basis, in the circumstances in </w:t>
      </w:r>
      <w:r w:rsidR="002B1A95" w:rsidRPr="00143624">
        <w:t>subsection (</w:t>
      </w:r>
      <w:r w:rsidRPr="00143624">
        <w:t>2) of this section; and</w:t>
      </w:r>
    </w:p>
    <w:p w:rsidR="007D17C5" w:rsidRPr="00143624" w:rsidRDefault="007D17C5" w:rsidP="007D17C5">
      <w:pPr>
        <w:pStyle w:val="paragraph"/>
      </w:pPr>
      <w:r w:rsidRPr="00143624">
        <w:tab/>
        <w:t>(b)</w:t>
      </w:r>
      <w:r w:rsidRPr="00143624">
        <w:tab/>
        <w:t xml:space="preserve">both of forex realisation events 1 and 2 apply to a fungible right, or a part of a fungible right, to receive foreign currency, on a weighted average basis, in the circumstances in </w:t>
      </w:r>
      <w:r w:rsidR="002B1A95" w:rsidRPr="00143624">
        <w:t>subsection (</w:t>
      </w:r>
      <w:r w:rsidRPr="00143624">
        <w:t>2) of this section; and</w:t>
      </w:r>
    </w:p>
    <w:p w:rsidR="007D17C5" w:rsidRPr="00143624" w:rsidRDefault="007D17C5" w:rsidP="007D17C5">
      <w:pPr>
        <w:pStyle w:val="paragraph"/>
      </w:pPr>
      <w:r w:rsidRPr="00143624">
        <w:tab/>
        <w:t>(c)</w:t>
      </w:r>
      <w:r w:rsidRPr="00143624">
        <w:tab/>
        <w:t xml:space="preserve">forex realisation event 4 applies to a fungible obligation, or a part of a fungible obligation, to pay foreign currency, on a weighted average basis, in the circumstances in </w:t>
      </w:r>
      <w:r w:rsidR="002B1A95" w:rsidRPr="00143624">
        <w:t>subsection (</w:t>
      </w:r>
      <w:r w:rsidRPr="00143624">
        <w:t>2) of this section.</w:t>
      </w:r>
    </w:p>
    <w:p w:rsidR="007D17C5" w:rsidRPr="00143624" w:rsidRDefault="007D17C5" w:rsidP="007D17C5">
      <w:pPr>
        <w:pStyle w:val="subsection"/>
      </w:pPr>
      <w:r w:rsidRPr="00143624">
        <w:tab/>
        <w:t>(2)</w:t>
      </w:r>
      <w:r w:rsidRPr="00143624">
        <w:tab/>
        <w:t xml:space="preserve">For the purposes of </w:t>
      </w:r>
      <w:r w:rsidR="002B1A95" w:rsidRPr="00143624">
        <w:t>paragraphs (</w:t>
      </w:r>
      <w:r w:rsidRPr="00143624">
        <w:t>1)(a), (b) and (c), the circumstances are that an election to use a weighted average basis:</w:t>
      </w:r>
    </w:p>
    <w:p w:rsidR="007D17C5" w:rsidRPr="00143624" w:rsidRDefault="007D17C5" w:rsidP="007D17C5">
      <w:pPr>
        <w:pStyle w:val="paragraph"/>
      </w:pPr>
      <w:r w:rsidRPr="00143624">
        <w:rPr>
          <w:color w:val="000000"/>
        </w:rPr>
        <w:tab/>
        <w:t>(a)</w:t>
      </w:r>
      <w:r w:rsidRPr="00143624">
        <w:rPr>
          <w:color w:val="000000"/>
        </w:rPr>
        <w:tab/>
        <w:t>has been made in writing; and</w:t>
      </w:r>
    </w:p>
    <w:p w:rsidR="007D17C5" w:rsidRPr="00143624" w:rsidRDefault="007D17C5" w:rsidP="007D17C5">
      <w:pPr>
        <w:pStyle w:val="paragraph"/>
      </w:pPr>
      <w:r w:rsidRPr="00143624">
        <w:tab/>
        <w:t>(b)</w:t>
      </w:r>
      <w:r w:rsidRPr="00143624">
        <w:tab/>
        <w:t xml:space="preserve">complies with </w:t>
      </w:r>
      <w:r w:rsidR="002B1A95" w:rsidRPr="00143624">
        <w:t>subsection (</w:t>
      </w:r>
      <w:r w:rsidRPr="00143624">
        <w:t>3); and</w:t>
      </w:r>
    </w:p>
    <w:p w:rsidR="007D17C5" w:rsidRPr="00143624" w:rsidRDefault="007D17C5" w:rsidP="007D17C5">
      <w:pPr>
        <w:pStyle w:val="paragraph"/>
      </w:pPr>
      <w:r w:rsidRPr="00143624">
        <w:tab/>
        <w:t>(c)</w:t>
      </w:r>
      <w:r w:rsidRPr="00143624">
        <w:tab/>
        <w:t xml:space="preserve">has not been withdrawn in accordance with </w:t>
      </w:r>
      <w:r w:rsidR="002B1A95" w:rsidRPr="00143624">
        <w:t>subsection (</w:t>
      </w:r>
      <w:r w:rsidRPr="00143624">
        <w:t>5).</w:t>
      </w:r>
    </w:p>
    <w:p w:rsidR="007D17C5" w:rsidRPr="00143624" w:rsidRDefault="007D17C5" w:rsidP="007D17C5">
      <w:pPr>
        <w:pStyle w:val="SubsectionHead"/>
      </w:pPr>
      <w:r w:rsidRPr="00143624">
        <w:t>Requirements for election</w:t>
      </w:r>
    </w:p>
    <w:p w:rsidR="007D17C5" w:rsidRPr="00143624" w:rsidRDefault="007D17C5" w:rsidP="007D17C5">
      <w:pPr>
        <w:pStyle w:val="subsection"/>
      </w:pPr>
      <w:r w:rsidRPr="00143624">
        <w:tab/>
        <w:t>(3)</w:t>
      </w:r>
      <w:r w:rsidRPr="00143624">
        <w:tab/>
        <w:t>An election complies with this subsection if it includes:</w:t>
      </w:r>
    </w:p>
    <w:p w:rsidR="007D17C5" w:rsidRPr="00143624" w:rsidRDefault="007D17C5" w:rsidP="007D17C5">
      <w:pPr>
        <w:pStyle w:val="paragraph"/>
      </w:pPr>
      <w:r w:rsidRPr="00143624">
        <w:tab/>
        <w:t>(a)</w:t>
      </w:r>
      <w:r w:rsidRPr="00143624">
        <w:tab/>
        <w:t>a commencement date of:</w:t>
      </w:r>
    </w:p>
    <w:p w:rsidR="007D17C5" w:rsidRPr="00143624" w:rsidRDefault="007D17C5" w:rsidP="007D17C5">
      <w:pPr>
        <w:pStyle w:val="paragraphsub"/>
        <w:rPr>
          <w:color w:val="000000"/>
        </w:rPr>
      </w:pPr>
      <w:r w:rsidRPr="00143624">
        <w:rPr>
          <w:color w:val="000000"/>
        </w:rPr>
        <w:tab/>
        <w:t>(i)</w:t>
      </w:r>
      <w:r w:rsidRPr="00143624">
        <w:rPr>
          <w:color w:val="000000"/>
        </w:rPr>
        <w:tab/>
        <w:t>the date on which it is made; or</w:t>
      </w:r>
    </w:p>
    <w:p w:rsidR="007D17C5" w:rsidRPr="00143624" w:rsidRDefault="007D17C5" w:rsidP="007D17C5">
      <w:pPr>
        <w:pStyle w:val="paragraphsub"/>
      </w:pPr>
      <w:r w:rsidRPr="00143624">
        <w:tab/>
        <w:t>(ii)</w:t>
      </w:r>
      <w:r w:rsidRPr="00143624">
        <w:tab/>
        <w:t>if the election is made not later than 90 days after 27</w:t>
      </w:r>
      <w:r w:rsidR="002B1A95" w:rsidRPr="00143624">
        <w:t> </w:t>
      </w:r>
      <w:r w:rsidRPr="00143624">
        <w:t>April 2005—the applicable commencement date mentioned in section</w:t>
      </w:r>
      <w:r w:rsidR="002B1A95" w:rsidRPr="00143624">
        <w:t> </w:t>
      </w:r>
      <w:r w:rsidRPr="00143624">
        <w:t>775</w:t>
      </w:r>
      <w:r w:rsidR="00143624">
        <w:noBreakHyphen/>
      </w:r>
      <w:r w:rsidRPr="00143624">
        <w:t>155 of the Act; or</w:t>
      </w:r>
    </w:p>
    <w:p w:rsidR="007D17C5" w:rsidRPr="00143624" w:rsidRDefault="007D17C5" w:rsidP="007D17C5">
      <w:pPr>
        <w:pStyle w:val="paragraphsub"/>
      </w:pPr>
      <w:r w:rsidRPr="00143624">
        <w:tab/>
        <w:t>(iii)</w:t>
      </w:r>
      <w:r w:rsidRPr="00143624">
        <w:tab/>
      </w:r>
      <w:r w:rsidR="00F5399E" w:rsidRPr="00143624">
        <w:t>1 July</w:t>
      </w:r>
      <w:r w:rsidRPr="00143624">
        <w:t xml:space="preserve"> 2004; and</w:t>
      </w:r>
    </w:p>
    <w:p w:rsidR="007D17C5" w:rsidRPr="00143624" w:rsidRDefault="007D17C5" w:rsidP="007D17C5">
      <w:pPr>
        <w:pStyle w:val="paragraph"/>
      </w:pPr>
      <w:r w:rsidRPr="00143624">
        <w:tab/>
        <w:t>(b)</w:t>
      </w:r>
      <w:r w:rsidRPr="00143624">
        <w:tab/>
        <w:t>a statement that the election is for all of the forex realisation events that are applicable to the fungible thing to which the election relates to apply, on a weighted average basis, to:</w:t>
      </w:r>
    </w:p>
    <w:p w:rsidR="007D17C5" w:rsidRPr="00143624" w:rsidRDefault="007D17C5" w:rsidP="007D17C5">
      <w:pPr>
        <w:pStyle w:val="paragraphsub"/>
      </w:pPr>
      <w:r w:rsidRPr="00143624">
        <w:rPr>
          <w:color w:val="000000"/>
        </w:rPr>
        <w:tab/>
        <w:t>(i)</w:t>
      </w:r>
      <w:r w:rsidRPr="00143624">
        <w:rPr>
          <w:color w:val="000000"/>
        </w:rPr>
        <w:tab/>
        <w:t>all fungible things (other than a fungible thing in relation to which a choice under Subdivision</w:t>
      </w:r>
      <w:r w:rsidR="002B1A95" w:rsidRPr="00143624">
        <w:rPr>
          <w:color w:val="000000"/>
        </w:rPr>
        <w:t> </w:t>
      </w:r>
      <w:r w:rsidRPr="00143624">
        <w:rPr>
          <w:color w:val="000000"/>
        </w:rPr>
        <w:t>775</w:t>
      </w:r>
      <w:r w:rsidR="00143624">
        <w:rPr>
          <w:color w:val="000000"/>
        </w:rPr>
        <w:noBreakHyphen/>
      </w:r>
      <w:r w:rsidRPr="00143624">
        <w:rPr>
          <w:color w:val="000000"/>
        </w:rPr>
        <w:t>E of the Act is in effect); or</w:t>
      </w:r>
    </w:p>
    <w:p w:rsidR="007D17C5" w:rsidRPr="00143624" w:rsidRDefault="007D17C5" w:rsidP="007D17C5">
      <w:pPr>
        <w:pStyle w:val="paragraphsub"/>
      </w:pPr>
      <w:r w:rsidRPr="00143624">
        <w:tab/>
        <w:t>(ii)</w:t>
      </w:r>
      <w:r w:rsidRPr="00143624">
        <w:tab/>
        <w:t>one or more specified classes of fungible things, other than a fungible thing in relation to which a choice under Subdivision</w:t>
      </w:r>
      <w:r w:rsidR="002B1A95" w:rsidRPr="00143624">
        <w:t> </w:t>
      </w:r>
      <w:r w:rsidRPr="00143624">
        <w:t>775</w:t>
      </w:r>
      <w:r w:rsidR="00143624">
        <w:noBreakHyphen/>
      </w:r>
      <w:r w:rsidRPr="00143624">
        <w:t>E of the Act is in effect, in circumstances (explained in the statement) in which the effect of the election would reasonably be expected to be the reduction of the costs of compliance with the income tax law; or</w:t>
      </w:r>
    </w:p>
    <w:p w:rsidR="007D17C5" w:rsidRPr="00143624" w:rsidRDefault="007D17C5" w:rsidP="007D17C5">
      <w:pPr>
        <w:pStyle w:val="paragraphsub"/>
      </w:pPr>
      <w:r w:rsidRPr="00143624">
        <w:tab/>
        <w:t>(iii)</w:t>
      </w:r>
      <w:r w:rsidRPr="00143624">
        <w:tab/>
        <w:t xml:space="preserve">one or more specified fungible things in circumstances (explained in the statement) in which the effect of the election would be consistent </w:t>
      </w:r>
      <w:r w:rsidRPr="00143624">
        <w:lastRenderedPageBreak/>
        <w:t>with the treatment of those fungible things in the accounting records of the entity making the election, if those records were prepared in accordance with generally accepted accounting principles.</w:t>
      </w:r>
    </w:p>
    <w:p w:rsidR="007D17C5" w:rsidRPr="00143624" w:rsidRDefault="007D17C5" w:rsidP="007D17C5">
      <w:pPr>
        <w:pStyle w:val="subsection"/>
        <w:rPr>
          <w:color w:val="000000"/>
        </w:rPr>
      </w:pPr>
      <w:r w:rsidRPr="00143624">
        <w:rPr>
          <w:color w:val="000000"/>
        </w:rPr>
        <w:tab/>
        <w:t>(4)</w:t>
      </w:r>
      <w:r w:rsidRPr="00143624">
        <w:rPr>
          <w:color w:val="000000"/>
        </w:rPr>
        <w:tab/>
        <w:t xml:space="preserve">An election that complies with </w:t>
      </w:r>
      <w:r w:rsidR="002B1A95" w:rsidRPr="00143624">
        <w:rPr>
          <w:color w:val="000000"/>
        </w:rPr>
        <w:t>subsection (</w:t>
      </w:r>
      <w:r w:rsidRPr="00143624">
        <w:rPr>
          <w:color w:val="000000"/>
        </w:rPr>
        <w:t xml:space="preserve">3) takes effect in accordance with </w:t>
      </w:r>
      <w:r w:rsidR="002B1A95" w:rsidRPr="00143624">
        <w:rPr>
          <w:color w:val="000000"/>
        </w:rPr>
        <w:t>subsection (</w:t>
      </w:r>
      <w:r w:rsidRPr="00143624">
        <w:rPr>
          <w:color w:val="000000"/>
        </w:rPr>
        <w:t>3).</w:t>
      </w:r>
    </w:p>
    <w:p w:rsidR="007D17C5" w:rsidRPr="00143624" w:rsidRDefault="007D17C5" w:rsidP="007D17C5">
      <w:pPr>
        <w:pStyle w:val="SubsectionHead"/>
      </w:pPr>
      <w:r w:rsidRPr="00143624">
        <w:t>When an election may be withdrawn</w:t>
      </w:r>
    </w:p>
    <w:p w:rsidR="007D17C5" w:rsidRPr="00143624" w:rsidRDefault="007D17C5" w:rsidP="007D17C5">
      <w:pPr>
        <w:pStyle w:val="subsection"/>
      </w:pPr>
      <w:r w:rsidRPr="00143624">
        <w:tab/>
        <w:t>(5)</w:t>
      </w:r>
      <w:r w:rsidRPr="00143624">
        <w:tab/>
        <w:t xml:space="preserve">An entity may withdraw an election only if </w:t>
      </w:r>
      <w:r w:rsidRPr="00143624">
        <w:rPr>
          <w:color w:val="000000"/>
        </w:rPr>
        <w:t xml:space="preserve">it does not appear, on reasonable grounds, that the election is being withdrawn for a principal purpose of obtaining a tax benefit and </w:t>
      </w:r>
      <w:r w:rsidRPr="00143624">
        <w:t>either:</w:t>
      </w:r>
    </w:p>
    <w:p w:rsidR="007D17C5" w:rsidRPr="00143624" w:rsidRDefault="007D17C5" w:rsidP="007D17C5">
      <w:pPr>
        <w:pStyle w:val="paragraph"/>
      </w:pPr>
      <w:r w:rsidRPr="00143624">
        <w:tab/>
        <w:t>(a)</w:t>
      </w:r>
      <w:r w:rsidRPr="00143624">
        <w:tab/>
        <w:t>if accounting records in relation to the treatment of fungible things to which the election applies are being kept by the entity and prepared in accordance with generally accepted accounting principles—the election is being withdrawn because there has been a change to the entity’s accounting practices; or</w:t>
      </w:r>
    </w:p>
    <w:p w:rsidR="007D17C5" w:rsidRPr="00143624" w:rsidRDefault="007D17C5" w:rsidP="007D17C5">
      <w:pPr>
        <w:pStyle w:val="paragraph"/>
      </w:pPr>
      <w:r w:rsidRPr="00143624">
        <w:tab/>
        <w:t>(b)</w:t>
      </w:r>
      <w:r w:rsidRPr="00143624">
        <w:tab/>
        <w:t>if:</w:t>
      </w:r>
    </w:p>
    <w:p w:rsidR="007D17C5" w:rsidRPr="00143624" w:rsidRDefault="007D17C5" w:rsidP="007D17C5">
      <w:pPr>
        <w:pStyle w:val="paragraphsub"/>
      </w:pPr>
      <w:r w:rsidRPr="00143624">
        <w:tab/>
        <w:t>(i)</w:t>
      </w:r>
      <w:r w:rsidRPr="00143624">
        <w:tab/>
        <w:t>accounting records in relation to the treatment of fungible things to which the election applies by the entity are not being kept by the entity and prepared in accordance with generally accepted accounting principles; and</w:t>
      </w:r>
    </w:p>
    <w:p w:rsidR="007D17C5" w:rsidRPr="00143624" w:rsidRDefault="007D17C5" w:rsidP="007D17C5">
      <w:pPr>
        <w:pStyle w:val="paragraphsub"/>
      </w:pPr>
      <w:r w:rsidRPr="00143624">
        <w:tab/>
        <w:t>(ii)</w:t>
      </w:r>
      <w:r w:rsidRPr="00143624">
        <w:tab/>
        <w:t xml:space="preserve">the election includes the statement mentioned in </w:t>
      </w:r>
      <w:r w:rsidR="002B1A95" w:rsidRPr="00143624">
        <w:t>subparagraph (</w:t>
      </w:r>
      <w:r w:rsidRPr="00143624">
        <w:t>3)(b)(ii);</w:t>
      </w:r>
    </w:p>
    <w:p w:rsidR="007D17C5" w:rsidRPr="00143624" w:rsidRDefault="007D17C5" w:rsidP="007D17C5">
      <w:pPr>
        <w:pStyle w:val="paragraph"/>
      </w:pPr>
      <w:r w:rsidRPr="00143624">
        <w:tab/>
      </w:r>
      <w:r w:rsidRPr="00143624">
        <w:tab/>
        <w:t xml:space="preserve">there has been a change in the entity’s circumstances that makes the statement mentioned in </w:t>
      </w:r>
      <w:r w:rsidR="002B1A95" w:rsidRPr="00143624">
        <w:t>subparagraph (</w:t>
      </w:r>
      <w:r w:rsidRPr="00143624">
        <w:t>3)(b)(ii) incorrect.</w:t>
      </w:r>
    </w:p>
    <w:p w:rsidR="007D17C5" w:rsidRPr="00143624" w:rsidRDefault="007D17C5" w:rsidP="007D17C5">
      <w:pPr>
        <w:pStyle w:val="notetext"/>
      </w:pPr>
      <w:r w:rsidRPr="00143624">
        <w:t>Note 1:</w:t>
      </w:r>
      <w:r w:rsidRPr="00143624">
        <w:tab/>
        <w:t>A tax benefit may be an incidental consequence of the withdrawal of an election.</w:t>
      </w:r>
    </w:p>
    <w:p w:rsidR="007D17C5" w:rsidRPr="00143624" w:rsidRDefault="007D17C5" w:rsidP="007D17C5">
      <w:pPr>
        <w:pStyle w:val="notetext"/>
      </w:pPr>
      <w:r w:rsidRPr="00143624">
        <w:t>Note 2:</w:t>
      </w:r>
      <w:r w:rsidRPr="00143624">
        <w:tab/>
        <w:t>A weighted average basis (see section</w:t>
      </w:r>
      <w:r w:rsidR="002B1A95" w:rsidRPr="00143624">
        <w:t> </w:t>
      </w:r>
      <w:r w:rsidRPr="00143624">
        <w:t>775</w:t>
      </w:r>
      <w:r w:rsidR="00143624">
        <w:noBreakHyphen/>
      </w:r>
      <w:r w:rsidRPr="00143624">
        <w:t>145 of the Act) is used to allow:</w:t>
      </w:r>
    </w:p>
    <w:p w:rsidR="007D17C5" w:rsidRPr="00143624" w:rsidRDefault="007D17C5" w:rsidP="007D17C5">
      <w:pPr>
        <w:pStyle w:val="notepara"/>
      </w:pPr>
      <w:r w:rsidRPr="00143624">
        <w:t>(a)</w:t>
      </w:r>
      <w:r w:rsidRPr="00143624">
        <w:tab/>
        <w:t>the cost of a fungible amount or part of a fungible amount; or</w:t>
      </w:r>
    </w:p>
    <w:p w:rsidR="007D17C5" w:rsidRPr="00143624" w:rsidRDefault="007D17C5" w:rsidP="007D17C5">
      <w:pPr>
        <w:pStyle w:val="notepara"/>
      </w:pPr>
      <w:r w:rsidRPr="00143624">
        <w:t>(b)</w:t>
      </w:r>
      <w:r w:rsidRPr="00143624">
        <w:tab/>
        <w:t>in the case of a fungible obligation, or a part of a fungible obligation—the proceeds of assuming the obligation or the part of the fungible obligation;</w:t>
      </w:r>
    </w:p>
    <w:p w:rsidR="007D17C5" w:rsidRPr="00143624" w:rsidRDefault="007D17C5" w:rsidP="007D17C5">
      <w:pPr>
        <w:pStyle w:val="notetext"/>
        <w:spacing w:before="40"/>
        <w:rPr>
          <w:color w:val="000000"/>
        </w:rPr>
      </w:pPr>
      <w:r w:rsidRPr="00143624">
        <w:rPr>
          <w:color w:val="000000"/>
        </w:rPr>
        <w:tab/>
        <w:t>at a particular time to be determined by the weighted average cost of the amounts that were previously added to the fungible amount.</w:t>
      </w:r>
    </w:p>
    <w:p w:rsidR="007D17C5" w:rsidRPr="00143624" w:rsidRDefault="007D17C5" w:rsidP="007D17C5">
      <w:pPr>
        <w:pStyle w:val="ActHead3"/>
        <w:pageBreakBefore/>
      </w:pPr>
      <w:bookmarkStart w:id="151" w:name="_Toc64030409"/>
      <w:r w:rsidRPr="003F3E0B">
        <w:rPr>
          <w:rStyle w:val="CharDivNo"/>
        </w:rPr>
        <w:lastRenderedPageBreak/>
        <w:t>Division</w:t>
      </w:r>
      <w:r w:rsidR="002B1A95" w:rsidRPr="003F3E0B">
        <w:rPr>
          <w:rStyle w:val="CharDivNo"/>
        </w:rPr>
        <w:t> </w:t>
      </w:r>
      <w:r w:rsidRPr="003F3E0B">
        <w:rPr>
          <w:rStyle w:val="CharDivNo"/>
        </w:rPr>
        <w:t>830</w:t>
      </w:r>
      <w:r w:rsidRPr="00143624">
        <w:t>—</w:t>
      </w:r>
      <w:r w:rsidRPr="003F3E0B">
        <w:rPr>
          <w:rStyle w:val="CharDivText"/>
        </w:rPr>
        <w:t>Foreign hybrids</w:t>
      </w:r>
      <w:bookmarkEnd w:id="151"/>
    </w:p>
    <w:p w:rsidR="007D17C5" w:rsidRPr="00143624" w:rsidRDefault="007D17C5" w:rsidP="007D17C5">
      <w:pPr>
        <w:pStyle w:val="ActHead4"/>
      </w:pPr>
      <w:bookmarkStart w:id="152" w:name="_Toc64030410"/>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830</w:t>
      </w:r>
      <w:r w:rsidR="00143624" w:rsidRPr="003F3E0B">
        <w:rPr>
          <w:rStyle w:val="CharSubdNo"/>
          <w:rFonts w:eastAsiaTheme="majorEastAsia"/>
        </w:rPr>
        <w:noBreakHyphen/>
      </w:r>
      <w:r w:rsidRPr="003F3E0B">
        <w:rPr>
          <w:rStyle w:val="CharSubdNo"/>
          <w:rFonts w:eastAsiaTheme="majorEastAsia"/>
        </w:rPr>
        <w:t>A</w:t>
      </w:r>
      <w:r w:rsidRPr="00143624">
        <w:t>—</w:t>
      </w:r>
      <w:r w:rsidRPr="003F3E0B">
        <w:rPr>
          <w:rStyle w:val="CharSubdText"/>
          <w:rFonts w:eastAsiaTheme="majorEastAsia"/>
        </w:rPr>
        <w:t>Meaning of “foreign hybrid”</w:t>
      </w:r>
      <w:bookmarkEnd w:id="152"/>
    </w:p>
    <w:p w:rsidR="007D17C5" w:rsidRPr="00143624" w:rsidRDefault="007D17C5" w:rsidP="007D17C5">
      <w:pPr>
        <w:pStyle w:val="ActHead5"/>
      </w:pPr>
      <w:bookmarkStart w:id="153" w:name="_Toc64030411"/>
      <w:r w:rsidRPr="003F3E0B">
        <w:rPr>
          <w:rStyle w:val="CharSectno"/>
        </w:rPr>
        <w:t>830</w:t>
      </w:r>
      <w:r w:rsidR="00143624" w:rsidRPr="003F3E0B">
        <w:rPr>
          <w:rStyle w:val="CharSectno"/>
        </w:rPr>
        <w:noBreakHyphen/>
      </w:r>
      <w:r w:rsidRPr="003F3E0B">
        <w:rPr>
          <w:rStyle w:val="CharSectno"/>
        </w:rPr>
        <w:t>15.01</w:t>
      </w:r>
      <w:r w:rsidRPr="00143624">
        <w:t xml:space="preserve">  Foreign hybrid company</w:t>
      </w:r>
      <w:bookmarkEnd w:id="153"/>
    </w:p>
    <w:p w:rsidR="007D17C5" w:rsidRPr="00143624" w:rsidRDefault="007D17C5" w:rsidP="007D17C5">
      <w:pPr>
        <w:pStyle w:val="subsection"/>
      </w:pPr>
      <w:r w:rsidRPr="00143624">
        <w:tab/>
      </w:r>
      <w:r w:rsidRPr="00143624">
        <w:tab/>
        <w:t>For the purposes of paragraph</w:t>
      </w:r>
      <w:r w:rsidR="002B1A95" w:rsidRPr="00143624">
        <w:t> </w:t>
      </w:r>
      <w:r w:rsidRPr="00143624">
        <w:t>830</w:t>
      </w:r>
      <w:r w:rsidR="00143624">
        <w:noBreakHyphen/>
      </w:r>
      <w:r w:rsidRPr="00143624">
        <w:t xml:space="preserve">15(3)(c) of the Act, it is a requirement for a company in relation to an income year, that the company be a limited liability partnership for the purposes of the </w:t>
      </w:r>
      <w:r w:rsidRPr="00143624">
        <w:rPr>
          <w:i/>
        </w:rPr>
        <w:t>Limited Liability Partnerships Act 2000</w:t>
      </w:r>
      <w:r w:rsidRPr="00143624">
        <w:t xml:space="preserve"> (UK).</w:t>
      </w:r>
    </w:p>
    <w:p w:rsidR="007D17C5" w:rsidRPr="00143624" w:rsidRDefault="007D17C5" w:rsidP="007D17C5">
      <w:pPr>
        <w:pStyle w:val="notetext"/>
      </w:pPr>
      <w:r w:rsidRPr="00143624">
        <w:t>Note:</w:t>
      </w:r>
      <w:r w:rsidRPr="00143624">
        <w:tab/>
        <w:t>This requirement must be satisfied at all times during the income year when the company is in existence (see paragraph</w:t>
      </w:r>
      <w:r w:rsidR="002B1A95" w:rsidRPr="00143624">
        <w:t> </w:t>
      </w:r>
      <w:r w:rsidRPr="00143624">
        <w:t>830</w:t>
      </w:r>
      <w:r w:rsidR="00143624">
        <w:noBreakHyphen/>
      </w:r>
      <w:r w:rsidRPr="00143624">
        <w:t>15(1)(a) of the Act).</w:t>
      </w:r>
    </w:p>
    <w:p w:rsidR="007D17C5" w:rsidRPr="00143624" w:rsidRDefault="007D17C5" w:rsidP="007D17C5">
      <w:pPr>
        <w:pStyle w:val="ActHead1"/>
        <w:pageBreakBefore/>
      </w:pPr>
      <w:bookmarkStart w:id="154" w:name="_Toc64030412"/>
      <w:r w:rsidRPr="003F3E0B">
        <w:rPr>
          <w:rStyle w:val="CharChapNo"/>
        </w:rPr>
        <w:lastRenderedPageBreak/>
        <w:t>Chapter</w:t>
      </w:r>
      <w:r w:rsidR="002B1A95" w:rsidRPr="003F3E0B">
        <w:rPr>
          <w:rStyle w:val="CharChapNo"/>
        </w:rPr>
        <w:t> </w:t>
      </w:r>
      <w:r w:rsidRPr="003F3E0B">
        <w:rPr>
          <w:rStyle w:val="CharChapNo"/>
        </w:rPr>
        <w:t>6</w:t>
      </w:r>
      <w:r w:rsidRPr="00143624">
        <w:t>—</w:t>
      </w:r>
      <w:r w:rsidRPr="003F3E0B">
        <w:rPr>
          <w:rStyle w:val="CharChapText"/>
        </w:rPr>
        <w:t>The Dictionary</w:t>
      </w:r>
      <w:bookmarkEnd w:id="154"/>
    </w:p>
    <w:p w:rsidR="007D17C5" w:rsidRPr="00143624" w:rsidRDefault="007D17C5" w:rsidP="007D17C5">
      <w:pPr>
        <w:pStyle w:val="ActHead2"/>
      </w:pPr>
      <w:bookmarkStart w:id="155" w:name="_Toc64030413"/>
      <w:r w:rsidRPr="003F3E0B">
        <w:rPr>
          <w:rStyle w:val="CharPartNo"/>
        </w:rPr>
        <w:t>Part</w:t>
      </w:r>
      <w:r w:rsidR="002B1A95" w:rsidRPr="003F3E0B">
        <w:rPr>
          <w:rStyle w:val="CharPartNo"/>
        </w:rPr>
        <w:t> </w:t>
      </w:r>
      <w:r w:rsidRPr="003F3E0B">
        <w:rPr>
          <w:rStyle w:val="CharPartNo"/>
        </w:rPr>
        <w:t>6</w:t>
      </w:r>
      <w:r w:rsidR="00143624" w:rsidRPr="003F3E0B">
        <w:rPr>
          <w:rStyle w:val="CharPartNo"/>
        </w:rPr>
        <w:noBreakHyphen/>
      </w:r>
      <w:r w:rsidRPr="003F3E0B">
        <w:rPr>
          <w:rStyle w:val="CharPartNo"/>
        </w:rPr>
        <w:t>1</w:t>
      </w:r>
      <w:r w:rsidRPr="00143624">
        <w:t>—</w:t>
      </w:r>
      <w:r w:rsidRPr="003F3E0B">
        <w:rPr>
          <w:rStyle w:val="CharPartText"/>
        </w:rPr>
        <w:t>Concepts and topics</w:t>
      </w:r>
      <w:bookmarkEnd w:id="155"/>
    </w:p>
    <w:p w:rsidR="007D17C5" w:rsidRPr="00143624" w:rsidRDefault="007D17C5" w:rsidP="007D17C5">
      <w:pPr>
        <w:pStyle w:val="ActHead3"/>
      </w:pPr>
      <w:bookmarkStart w:id="156" w:name="_Toc64030414"/>
      <w:r w:rsidRPr="003F3E0B">
        <w:rPr>
          <w:rStyle w:val="CharDivNo"/>
        </w:rPr>
        <w:t>Division</w:t>
      </w:r>
      <w:r w:rsidR="002B1A95" w:rsidRPr="003F3E0B">
        <w:rPr>
          <w:rStyle w:val="CharDivNo"/>
        </w:rPr>
        <w:t> </w:t>
      </w:r>
      <w:r w:rsidRPr="003F3E0B">
        <w:rPr>
          <w:rStyle w:val="CharDivNo"/>
        </w:rPr>
        <w:t>960</w:t>
      </w:r>
      <w:r w:rsidRPr="00143624">
        <w:t>—</w:t>
      </w:r>
      <w:r w:rsidRPr="003F3E0B">
        <w:rPr>
          <w:rStyle w:val="CharDivText"/>
        </w:rPr>
        <w:t>General</w:t>
      </w:r>
      <w:bookmarkEnd w:id="156"/>
    </w:p>
    <w:p w:rsidR="007D17C5" w:rsidRPr="00143624" w:rsidRDefault="007D17C5" w:rsidP="007D17C5">
      <w:pPr>
        <w:pStyle w:val="ActHead4"/>
      </w:pPr>
      <w:bookmarkStart w:id="157" w:name="_Toc64030415"/>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960</w:t>
      </w:r>
      <w:r w:rsidR="00143624" w:rsidRPr="003F3E0B">
        <w:rPr>
          <w:rStyle w:val="CharSubdNo"/>
          <w:rFonts w:eastAsiaTheme="majorEastAsia"/>
        </w:rPr>
        <w:noBreakHyphen/>
      </w:r>
      <w:r w:rsidRPr="003F3E0B">
        <w:rPr>
          <w:rStyle w:val="CharSubdNo"/>
          <w:rFonts w:eastAsiaTheme="majorEastAsia"/>
        </w:rPr>
        <w:t>C</w:t>
      </w:r>
      <w:r w:rsidRPr="00143624">
        <w:t>—</w:t>
      </w:r>
      <w:r w:rsidRPr="003F3E0B">
        <w:rPr>
          <w:rStyle w:val="CharSubdText"/>
          <w:rFonts w:eastAsiaTheme="majorEastAsia"/>
        </w:rPr>
        <w:t>Foreign currency</w:t>
      </w:r>
      <w:bookmarkEnd w:id="157"/>
    </w:p>
    <w:p w:rsidR="007D17C5" w:rsidRPr="00143624" w:rsidRDefault="007D17C5" w:rsidP="007D17C5">
      <w:pPr>
        <w:pStyle w:val="ActHead5"/>
      </w:pPr>
      <w:bookmarkStart w:id="158" w:name="_Toc64030416"/>
      <w:r w:rsidRPr="003F3E0B">
        <w:rPr>
          <w:rStyle w:val="CharSectno"/>
        </w:rPr>
        <w:t>960</w:t>
      </w:r>
      <w:r w:rsidR="00143624" w:rsidRPr="003F3E0B">
        <w:rPr>
          <w:rStyle w:val="CharSectno"/>
        </w:rPr>
        <w:noBreakHyphen/>
      </w:r>
      <w:r w:rsidRPr="003F3E0B">
        <w:rPr>
          <w:rStyle w:val="CharSectno"/>
        </w:rPr>
        <w:t>50.01</w:t>
      </w:r>
      <w:r w:rsidRPr="00143624">
        <w:t xml:space="preserve">  Translation of foreign currency amounts into Australian currency—modification of special translation rules</w:t>
      </w:r>
      <w:bookmarkEnd w:id="158"/>
    </w:p>
    <w:p w:rsidR="007D17C5" w:rsidRPr="00143624" w:rsidRDefault="007D17C5" w:rsidP="007D17C5">
      <w:pPr>
        <w:pStyle w:val="subsection"/>
      </w:pPr>
      <w:r w:rsidRPr="00143624">
        <w:tab/>
        <w:t>(1)</w:t>
      </w:r>
      <w:r w:rsidRPr="00143624">
        <w:tab/>
        <w:t>For the purposes of sub</w:t>
      </w:r>
      <w:r w:rsidR="00F5399E" w:rsidRPr="00143624">
        <w:t>section 9</w:t>
      </w:r>
      <w:r w:rsidRPr="00143624">
        <w:t>60</w:t>
      </w:r>
      <w:r w:rsidR="00143624">
        <w:noBreakHyphen/>
      </w:r>
      <w:r w:rsidRPr="00143624">
        <w:t>50(7) of the Act, the table in sub</w:t>
      </w:r>
      <w:r w:rsidR="00F5399E" w:rsidRPr="00143624">
        <w:t>section 9</w:t>
      </w:r>
      <w:r w:rsidRPr="00143624">
        <w:t>60</w:t>
      </w:r>
      <w:r w:rsidR="00143624">
        <w:noBreakHyphen/>
      </w:r>
      <w:r w:rsidRPr="00143624">
        <w:t>50(6) of the Act is modified by omitting item</w:t>
      </w:r>
      <w:r w:rsidR="002B1A95" w:rsidRPr="00143624">
        <w:t> </w:t>
      </w:r>
      <w:r w:rsidRPr="00143624">
        <w:t>8 and substituting the following items:</w:t>
      </w:r>
    </w:p>
    <w:p w:rsidR="007D17C5" w:rsidRPr="00143624"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527"/>
        <w:gridCol w:w="2724"/>
        <w:gridCol w:w="5278"/>
      </w:tblGrid>
      <w:tr w:rsidR="007D17C5" w:rsidRPr="00143624" w:rsidTr="009558BE">
        <w:trPr>
          <w:trHeight w:val="1760"/>
        </w:trPr>
        <w:tc>
          <w:tcPr>
            <w:tcW w:w="309" w:type="pct"/>
            <w:tcBorders>
              <w:top w:val="nil"/>
            </w:tcBorders>
            <w:shd w:val="clear" w:color="auto" w:fill="auto"/>
          </w:tcPr>
          <w:p w:rsidR="007D17C5" w:rsidRPr="00143624" w:rsidRDefault="007D17C5" w:rsidP="009558BE">
            <w:pPr>
              <w:pStyle w:val="Tabletext"/>
              <w:ind w:left="-52"/>
            </w:pPr>
            <w:r w:rsidRPr="00143624">
              <w:t>8</w:t>
            </w:r>
          </w:p>
        </w:tc>
        <w:tc>
          <w:tcPr>
            <w:tcW w:w="1597" w:type="pct"/>
            <w:tcBorders>
              <w:top w:val="nil"/>
            </w:tcBorders>
            <w:shd w:val="clear" w:color="auto" w:fill="auto"/>
          </w:tcPr>
          <w:p w:rsidR="007D17C5" w:rsidRPr="00143624" w:rsidRDefault="007D17C5" w:rsidP="009558BE">
            <w:pPr>
              <w:pStyle w:val="Tabletext"/>
            </w:pPr>
            <w:r w:rsidRPr="00143624">
              <w:t>an amount that you deduct (other than under section</w:t>
            </w:r>
            <w:r w:rsidR="002B1A95" w:rsidRPr="00143624">
              <w:t> </w:t>
            </w:r>
            <w:r w:rsidRPr="00143624">
              <w:t>25</w:t>
            </w:r>
            <w:r w:rsidR="00143624">
              <w:noBreakHyphen/>
            </w:r>
            <w:r w:rsidRPr="00143624">
              <w:t>35 or Division</w:t>
            </w:r>
            <w:r w:rsidR="002B1A95" w:rsidRPr="00143624">
              <w:t> </w:t>
            </w:r>
            <w:r w:rsidRPr="00143624">
              <w:t>40)</w:t>
            </w:r>
          </w:p>
        </w:tc>
        <w:tc>
          <w:tcPr>
            <w:tcW w:w="3094" w:type="pct"/>
            <w:tcBorders>
              <w:top w:val="nil"/>
            </w:tcBorders>
            <w:shd w:val="clear" w:color="auto" w:fill="auto"/>
          </w:tcPr>
          <w:p w:rsidR="007D17C5" w:rsidRPr="00143624" w:rsidRDefault="007D17C5" w:rsidP="009558BE">
            <w:pPr>
              <w:pStyle w:val="Tablea"/>
            </w:pPr>
            <w:r w:rsidRPr="00143624">
              <w:t>(a) if the amount is paid at or before the time when it became deductible—the amount is to be translated into Australian currency at the exchange rate applicable at the time of payment; or</w:t>
            </w:r>
          </w:p>
          <w:p w:rsidR="007D17C5" w:rsidRPr="00143624" w:rsidRDefault="007D17C5" w:rsidP="009558BE">
            <w:pPr>
              <w:pStyle w:val="Tablea"/>
            </w:pPr>
            <w:r w:rsidRPr="00143624">
              <w:t>(b) in any other case—the amount is to be translated into Australian currency at the exchange rate applicable at the time when it became deductible.</w:t>
            </w:r>
          </w:p>
        </w:tc>
      </w:tr>
      <w:tr w:rsidR="007D17C5" w:rsidRPr="00143624" w:rsidTr="009558BE">
        <w:trPr>
          <w:trHeight w:val="840"/>
        </w:trPr>
        <w:tc>
          <w:tcPr>
            <w:tcW w:w="309" w:type="pct"/>
            <w:shd w:val="clear" w:color="auto" w:fill="auto"/>
          </w:tcPr>
          <w:p w:rsidR="007D17C5" w:rsidRPr="00143624" w:rsidRDefault="007D17C5" w:rsidP="009558BE">
            <w:pPr>
              <w:pStyle w:val="Tabletext"/>
              <w:ind w:left="-52"/>
            </w:pPr>
            <w:r w:rsidRPr="00143624">
              <w:t>8A</w:t>
            </w:r>
          </w:p>
        </w:tc>
        <w:tc>
          <w:tcPr>
            <w:tcW w:w="1597" w:type="pct"/>
            <w:shd w:val="clear" w:color="auto" w:fill="auto"/>
          </w:tcPr>
          <w:p w:rsidR="007D17C5" w:rsidRPr="00143624" w:rsidRDefault="007D17C5" w:rsidP="009558BE">
            <w:pPr>
              <w:pStyle w:val="Tabletext"/>
            </w:pPr>
            <w:r w:rsidRPr="00143624">
              <w:t>an amount of a debt that you deduct under section</w:t>
            </w:r>
            <w:r w:rsidR="002B1A95" w:rsidRPr="00143624">
              <w:t> </w:t>
            </w:r>
            <w:r w:rsidRPr="00143624">
              <w:t>25</w:t>
            </w:r>
            <w:r w:rsidR="00143624">
              <w:noBreakHyphen/>
            </w:r>
            <w:r w:rsidRPr="00143624">
              <w:t>35</w:t>
            </w:r>
          </w:p>
        </w:tc>
        <w:tc>
          <w:tcPr>
            <w:tcW w:w="3094" w:type="pct"/>
            <w:shd w:val="clear" w:color="auto" w:fill="auto"/>
          </w:tcPr>
          <w:p w:rsidR="007D17C5" w:rsidRPr="00143624" w:rsidRDefault="007D17C5" w:rsidP="009558BE">
            <w:pPr>
              <w:pStyle w:val="Tablea"/>
              <w:ind w:right="-108"/>
            </w:pPr>
            <w:r w:rsidRPr="00143624">
              <w:t>(a) if the debt was included in your assessable income—the amount is to be translated into Australian currency at the exchange rate applicable at the time of translating the income; or</w:t>
            </w:r>
          </w:p>
          <w:p w:rsidR="007D17C5" w:rsidRPr="00143624" w:rsidRDefault="007D17C5" w:rsidP="009558BE">
            <w:pPr>
              <w:pStyle w:val="Tablea"/>
              <w:keepNext/>
              <w:keepLines/>
            </w:pPr>
            <w:r w:rsidRPr="00143624">
              <w:t>(b) if the debt was in respect of money that you lent—the amount is to be translated into Australian currency at the exchange rate applicable at the time of translating the money that was lent; or</w:t>
            </w:r>
          </w:p>
          <w:p w:rsidR="007D17C5" w:rsidRPr="00143624" w:rsidRDefault="007D17C5" w:rsidP="009558BE">
            <w:pPr>
              <w:pStyle w:val="Tablea"/>
              <w:ind w:right="-108"/>
            </w:pPr>
            <w:r w:rsidRPr="00143624">
              <w:t>(c) if you bought the debt—the amount is to be translated into Australian currency at the exchange rate applicable at the time of translating the debt that you bought.</w:t>
            </w:r>
          </w:p>
        </w:tc>
      </w:tr>
      <w:tr w:rsidR="007D17C5" w:rsidRPr="00143624" w:rsidTr="009558BE">
        <w:tc>
          <w:tcPr>
            <w:tcW w:w="309" w:type="pct"/>
            <w:tcBorders>
              <w:bottom w:val="single" w:sz="2" w:space="0" w:color="auto"/>
            </w:tcBorders>
            <w:shd w:val="clear" w:color="auto" w:fill="auto"/>
          </w:tcPr>
          <w:p w:rsidR="007D17C5" w:rsidRPr="00143624" w:rsidRDefault="007D17C5" w:rsidP="009558BE">
            <w:pPr>
              <w:pStyle w:val="Tabletext"/>
              <w:ind w:left="-52"/>
            </w:pPr>
            <w:r w:rsidRPr="00143624">
              <w:t>8B</w:t>
            </w:r>
          </w:p>
        </w:tc>
        <w:tc>
          <w:tcPr>
            <w:tcW w:w="1597" w:type="pct"/>
            <w:tcBorders>
              <w:bottom w:val="single" w:sz="2" w:space="0" w:color="auto"/>
            </w:tcBorders>
            <w:shd w:val="clear" w:color="auto" w:fill="auto"/>
          </w:tcPr>
          <w:p w:rsidR="007D17C5" w:rsidRPr="00143624" w:rsidRDefault="007D17C5" w:rsidP="009558BE">
            <w:pPr>
              <w:pStyle w:val="Tabletext"/>
            </w:pPr>
            <w:r w:rsidRPr="00143624">
              <w:t xml:space="preserve">the value of an amount to which a contract (a </w:t>
            </w:r>
            <w:r w:rsidRPr="00143624">
              <w:rPr>
                <w:b/>
                <w:i/>
              </w:rPr>
              <w:t>spot foreign exchange contract</w:t>
            </w:r>
            <w:r w:rsidRPr="00143624">
              <w:t>) for the exchange of amounts in different currencies relates if:</w:t>
            </w:r>
          </w:p>
          <w:p w:rsidR="007D17C5" w:rsidRPr="00143624" w:rsidRDefault="007D17C5" w:rsidP="009558BE">
            <w:pPr>
              <w:pStyle w:val="Tablea"/>
            </w:pPr>
            <w:r w:rsidRPr="00143624">
              <w:t>(a) the spot foreign exchange contract includes a requirement that consideration be provided within 2 business days after the contract is entered into; and</w:t>
            </w:r>
          </w:p>
          <w:p w:rsidR="007D17C5" w:rsidRPr="00143624" w:rsidRDefault="007D17C5" w:rsidP="009558BE">
            <w:pPr>
              <w:pStyle w:val="Tablea"/>
            </w:pPr>
            <w:r w:rsidRPr="00143624">
              <w:t>(b) that requirement is satisfied</w:t>
            </w:r>
          </w:p>
        </w:tc>
        <w:tc>
          <w:tcPr>
            <w:tcW w:w="3094" w:type="pct"/>
            <w:tcBorders>
              <w:bottom w:val="single" w:sz="2" w:space="0" w:color="auto"/>
            </w:tcBorders>
            <w:shd w:val="clear" w:color="auto" w:fill="auto"/>
          </w:tcPr>
          <w:p w:rsidR="007D17C5" w:rsidRPr="00143624" w:rsidRDefault="007D17C5" w:rsidP="009558BE">
            <w:pPr>
              <w:pStyle w:val="Tabletext"/>
            </w:pPr>
            <w:r w:rsidRPr="00143624">
              <w:t>the value of the amount to which the contract relates is to be translated into Australian currency at the exchange rate applicable at the tax recognition time (within the meaning of Division</w:t>
            </w:r>
            <w:r w:rsidR="002B1A95" w:rsidRPr="00143624">
              <w:t> </w:t>
            </w:r>
            <w:r w:rsidRPr="00143624">
              <w:t>775) referred to in the forex realisation event that happens on payment or receipt of that amount, unless the entity’s usual business practice is not to translate the amount at the exchange rate applicable at the tax recognition time for the purpose of recording the transaction in the entity’s accounting records.</w:t>
            </w:r>
          </w:p>
          <w:p w:rsidR="007D17C5" w:rsidRPr="00143624" w:rsidRDefault="007D17C5" w:rsidP="009558BE">
            <w:pPr>
              <w:pStyle w:val="notemargin"/>
            </w:pPr>
            <w:r w:rsidRPr="00143624">
              <w:t>Note:</w:t>
            </w:r>
            <w:r w:rsidRPr="00143624">
              <w:tab/>
              <w:t>An entity’s usual business practice may be to translate amounts into Australian currency at a different exchange rate because the entity recognises gains and losses under spot foreign exchange contracts in the entity’s accounting records.</w:t>
            </w:r>
          </w:p>
        </w:tc>
      </w:tr>
      <w:tr w:rsidR="007D17C5" w:rsidRPr="00143624" w:rsidTr="009558BE">
        <w:tc>
          <w:tcPr>
            <w:tcW w:w="309" w:type="pct"/>
            <w:tcBorders>
              <w:top w:val="single" w:sz="2" w:space="0" w:color="auto"/>
              <w:bottom w:val="nil"/>
            </w:tcBorders>
            <w:shd w:val="clear" w:color="auto" w:fill="auto"/>
          </w:tcPr>
          <w:p w:rsidR="007D17C5" w:rsidRPr="00143624" w:rsidRDefault="007D17C5" w:rsidP="009558BE">
            <w:pPr>
              <w:pStyle w:val="Tabletext"/>
              <w:ind w:left="-52"/>
            </w:pPr>
            <w:bookmarkStart w:id="159" w:name="CU_5141046"/>
            <w:bookmarkStart w:id="160" w:name="CU_5138000"/>
            <w:bookmarkEnd w:id="159"/>
            <w:bookmarkEnd w:id="160"/>
            <w:r w:rsidRPr="00143624">
              <w:t>8C</w:t>
            </w:r>
          </w:p>
        </w:tc>
        <w:tc>
          <w:tcPr>
            <w:tcW w:w="1597" w:type="pct"/>
            <w:tcBorders>
              <w:top w:val="single" w:sz="2" w:space="0" w:color="auto"/>
              <w:bottom w:val="nil"/>
            </w:tcBorders>
            <w:shd w:val="clear" w:color="auto" w:fill="auto"/>
          </w:tcPr>
          <w:p w:rsidR="007D17C5" w:rsidRPr="00143624" w:rsidRDefault="007D17C5" w:rsidP="009558BE">
            <w:pPr>
              <w:pStyle w:val="Tabletext"/>
            </w:pPr>
            <w:r w:rsidRPr="00143624">
              <w:t xml:space="preserve">the value of an amount to which a contract (a </w:t>
            </w:r>
            <w:r w:rsidRPr="00143624">
              <w:rPr>
                <w:b/>
                <w:i/>
              </w:rPr>
              <w:t>spot contract</w:t>
            </w:r>
            <w:r w:rsidRPr="00143624">
              <w:t xml:space="preserve">) for the exchange of an amount in a foreign </w:t>
            </w:r>
            <w:r w:rsidRPr="00143624">
              <w:lastRenderedPageBreak/>
              <w:t>currency and a security relates if:</w:t>
            </w:r>
          </w:p>
          <w:p w:rsidR="007D17C5" w:rsidRPr="00143624" w:rsidRDefault="007D17C5" w:rsidP="009558BE">
            <w:pPr>
              <w:pStyle w:val="Tablea"/>
            </w:pPr>
            <w:r w:rsidRPr="00143624">
              <w:t>(a) the spot contract includes a requirement that consideration be provided within 2 business days after the contract is entered into; and</w:t>
            </w:r>
          </w:p>
          <w:p w:rsidR="007D17C5" w:rsidRPr="00143624" w:rsidRDefault="007D17C5" w:rsidP="009558BE">
            <w:pPr>
              <w:pStyle w:val="Tablea"/>
            </w:pPr>
            <w:r w:rsidRPr="00143624">
              <w:t>(b) that requirement is satisfied</w:t>
            </w:r>
          </w:p>
        </w:tc>
        <w:tc>
          <w:tcPr>
            <w:tcW w:w="3094" w:type="pct"/>
            <w:tcBorders>
              <w:top w:val="single" w:sz="2" w:space="0" w:color="auto"/>
              <w:bottom w:val="nil"/>
            </w:tcBorders>
            <w:shd w:val="clear" w:color="auto" w:fill="auto"/>
          </w:tcPr>
          <w:p w:rsidR="007D17C5" w:rsidRPr="00143624" w:rsidRDefault="007D17C5" w:rsidP="009558BE">
            <w:pPr>
              <w:pStyle w:val="Tabletext"/>
            </w:pPr>
            <w:r w:rsidRPr="00143624">
              <w:lastRenderedPageBreak/>
              <w:t>the value of the amount to which the contract relates is to be translated into Australian currency at the exchange rate applicable at the tax recognition time (within the meaning of Division</w:t>
            </w:r>
            <w:r w:rsidR="002B1A95" w:rsidRPr="00143624">
              <w:t> </w:t>
            </w:r>
            <w:r w:rsidRPr="00143624">
              <w:t xml:space="preserve">775) referred to in the forex realisation event that </w:t>
            </w:r>
            <w:r w:rsidRPr="00143624">
              <w:lastRenderedPageBreak/>
              <w:t>happens on payment or receipt of that amount, unless the entity’s usual business practice is not to translate the amount at the exchange rate applicable at the tax recognition time for the purpose of recording the transaction in the entity’s accounting records.</w:t>
            </w:r>
          </w:p>
          <w:p w:rsidR="007D17C5" w:rsidRPr="00143624" w:rsidRDefault="007D17C5" w:rsidP="009558BE">
            <w:pPr>
              <w:pStyle w:val="notemargin"/>
            </w:pPr>
            <w:r w:rsidRPr="00143624">
              <w:t>Note:</w:t>
            </w:r>
            <w:r w:rsidRPr="00143624">
              <w:tab/>
              <w:t>An entity’s usual business practice may be to translate amounts into Australian currency at a different exchange rate because the entity recognises gains and losses under spot contracts in the entity’s accounting records.</w:t>
            </w:r>
          </w:p>
        </w:tc>
      </w:tr>
    </w:tbl>
    <w:p w:rsidR="007D17C5" w:rsidRPr="00143624" w:rsidRDefault="007D17C5" w:rsidP="007D17C5">
      <w:pPr>
        <w:pStyle w:val="Tabletext"/>
        <w:rPr>
          <w:color w:val="000000"/>
        </w:rPr>
      </w:pPr>
    </w:p>
    <w:p w:rsidR="007D17C5" w:rsidRPr="00143624" w:rsidRDefault="007D17C5" w:rsidP="007D17C5">
      <w:pPr>
        <w:pStyle w:val="subsection"/>
      </w:pPr>
      <w:r w:rsidRPr="00143624">
        <w:tab/>
        <w:t>(2)</w:t>
      </w:r>
      <w:r w:rsidRPr="00143624">
        <w:tab/>
        <w:t>For the purposes of sub</w:t>
      </w:r>
      <w:r w:rsidR="00F5399E" w:rsidRPr="00143624">
        <w:t>section 9</w:t>
      </w:r>
      <w:r w:rsidRPr="00143624">
        <w:t>60</w:t>
      </w:r>
      <w:r w:rsidR="00143624">
        <w:noBreakHyphen/>
      </w:r>
      <w:r w:rsidRPr="00143624">
        <w:t>50(7) of the Act, the table in sub</w:t>
      </w:r>
      <w:r w:rsidR="00F5399E" w:rsidRPr="00143624">
        <w:t>section 9</w:t>
      </w:r>
      <w:r w:rsidRPr="00143624">
        <w:t>60</w:t>
      </w:r>
      <w:r w:rsidR="00143624">
        <w:noBreakHyphen/>
      </w:r>
      <w:r w:rsidRPr="00143624">
        <w:t>50(6) of the Act is modified by adding after item</w:t>
      </w:r>
      <w:r w:rsidR="002B1A95" w:rsidRPr="00143624">
        <w:t> </w:t>
      </w:r>
      <w:r w:rsidRPr="00143624">
        <w:t>11 the following items:</w:t>
      </w:r>
    </w:p>
    <w:p w:rsidR="007D17C5" w:rsidRPr="00143624" w:rsidRDefault="007D17C5" w:rsidP="007D17C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2811"/>
        <w:gridCol w:w="5000"/>
      </w:tblGrid>
      <w:tr w:rsidR="007D17C5" w:rsidRPr="00143624" w:rsidTr="009558BE">
        <w:tc>
          <w:tcPr>
            <w:tcW w:w="421" w:type="pct"/>
            <w:tcBorders>
              <w:top w:val="nil"/>
              <w:bottom w:val="single" w:sz="4" w:space="0" w:color="auto"/>
            </w:tcBorders>
            <w:shd w:val="clear" w:color="auto" w:fill="auto"/>
          </w:tcPr>
          <w:p w:rsidR="007D17C5" w:rsidRPr="00143624" w:rsidRDefault="007D17C5" w:rsidP="009558BE">
            <w:pPr>
              <w:pStyle w:val="Tabletext"/>
            </w:pPr>
            <w:r w:rsidRPr="00143624">
              <w:t>11A</w:t>
            </w:r>
          </w:p>
        </w:tc>
        <w:tc>
          <w:tcPr>
            <w:tcW w:w="1648" w:type="pct"/>
            <w:tcBorders>
              <w:top w:val="nil"/>
              <w:bottom w:val="single" w:sz="4" w:space="0" w:color="auto"/>
            </w:tcBorders>
            <w:shd w:val="clear" w:color="auto" w:fill="auto"/>
          </w:tcPr>
          <w:p w:rsidR="007D17C5" w:rsidRPr="00143624" w:rsidRDefault="007D17C5" w:rsidP="009558BE">
            <w:pPr>
              <w:pStyle w:val="Tabletext"/>
            </w:pPr>
            <w:r w:rsidRPr="00143624">
              <w:t>an amount (other than an amount of a receipt or a payment) to which none of the above items applies</w:t>
            </w:r>
          </w:p>
        </w:tc>
        <w:tc>
          <w:tcPr>
            <w:tcW w:w="2931" w:type="pct"/>
            <w:tcBorders>
              <w:top w:val="nil"/>
              <w:bottom w:val="single" w:sz="4" w:space="0" w:color="auto"/>
            </w:tcBorders>
            <w:shd w:val="clear" w:color="auto" w:fill="auto"/>
          </w:tcPr>
          <w:p w:rsidR="007D17C5" w:rsidRPr="00143624" w:rsidRDefault="007D17C5" w:rsidP="009558BE">
            <w:pPr>
              <w:pStyle w:val="Tabletext"/>
            </w:pPr>
            <w:r w:rsidRPr="00143624">
              <w:t>the amount is to be translated into Australian currency at an exchange rate that is reasonable having regard to the circumstances.</w:t>
            </w:r>
          </w:p>
        </w:tc>
      </w:tr>
      <w:tr w:rsidR="007D17C5" w:rsidRPr="00143624" w:rsidTr="009558BE">
        <w:tc>
          <w:tcPr>
            <w:tcW w:w="421" w:type="pct"/>
            <w:tcBorders>
              <w:top w:val="single" w:sz="4" w:space="0" w:color="auto"/>
              <w:bottom w:val="nil"/>
            </w:tcBorders>
            <w:shd w:val="clear" w:color="auto" w:fill="auto"/>
          </w:tcPr>
          <w:p w:rsidR="007D17C5" w:rsidRPr="00143624" w:rsidRDefault="007D17C5" w:rsidP="009558BE">
            <w:pPr>
              <w:pStyle w:val="Tabletext"/>
            </w:pPr>
            <w:r w:rsidRPr="00143624">
              <w:t>12</w:t>
            </w:r>
          </w:p>
        </w:tc>
        <w:tc>
          <w:tcPr>
            <w:tcW w:w="1648" w:type="pct"/>
            <w:tcBorders>
              <w:top w:val="single" w:sz="4" w:space="0" w:color="auto"/>
              <w:bottom w:val="nil"/>
            </w:tcBorders>
            <w:shd w:val="clear" w:color="auto" w:fill="auto"/>
          </w:tcPr>
          <w:p w:rsidR="007D17C5" w:rsidRPr="00143624" w:rsidRDefault="007D17C5" w:rsidP="009558BE">
            <w:pPr>
              <w:pStyle w:val="Tabletext"/>
            </w:pPr>
            <w:r w:rsidRPr="00143624">
              <w:t>an amount to which any of items</w:t>
            </w:r>
            <w:r w:rsidR="002B1A95" w:rsidRPr="00143624">
              <w:t> </w:t>
            </w:r>
            <w:r w:rsidRPr="00143624">
              <w:t>1 to 11A (inclusive) applies</w:t>
            </w:r>
          </w:p>
        </w:tc>
        <w:tc>
          <w:tcPr>
            <w:tcW w:w="2931" w:type="pct"/>
            <w:tcBorders>
              <w:top w:val="single" w:sz="4" w:space="0" w:color="auto"/>
              <w:bottom w:val="nil"/>
            </w:tcBorders>
            <w:shd w:val="clear" w:color="auto" w:fill="auto"/>
          </w:tcPr>
          <w:p w:rsidR="007D17C5" w:rsidRPr="00143624" w:rsidRDefault="007D17C5" w:rsidP="009558BE">
            <w:pPr>
              <w:pStyle w:val="Tabletext"/>
            </w:pPr>
            <w:r w:rsidRPr="00143624">
              <w:t>as an alternative to the result mentioned in the item, the amount may be translated into Australian currency using any of the rules set out in Schedule</w:t>
            </w:r>
            <w:r w:rsidR="002B1A95" w:rsidRPr="00143624">
              <w:t> </w:t>
            </w:r>
            <w:r w:rsidRPr="00143624">
              <w:t xml:space="preserve">2 to the </w:t>
            </w:r>
            <w:r w:rsidR="00535C15" w:rsidRPr="00143624">
              <w:rPr>
                <w:i/>
              </w:rPr>
              <w:t xml:space="preserve">Income Tax Assessment (1997 Act) </w:t>
            </w:r>
            <w:r w:rsidR="00143624" w:rsidRPr="00143624">
              <w:rPr>
                <w:i/>
              </w:rPr>
              <w:t>Regulations 2</w:t>
            </w:r>
            <w:r w:rsidR="00535C15" w:rsidRPr="00143624">
              <w:rPr>
                <w:i/>
              </w:rPr>
              <w:t>021</w:t>
            </w:r>
            <w:r w:rsidRPr="00143624">
              <w:t>.</w:t>
            </w:r>
          </w:p>
        </w:tc>
      </w:tr>
    </w:tbl>
    <w:p w:rsidR="007D17C5" w:rsidRPr="00143624" w:rsidRDefault="007D17C5" w:rsidP="007D17C5">
      <w:pPr>
        <w:pStyle w:val="subsection"/>
      </w:pPr>
      <w:r w:rsidRPr="00143624">
        <w:rPr>
          <w:color w:val="000000"/>
        </w:rPr>
        <w:tab/>
        <w:t>(3)</w:t>
      </w:r>
      <w:r w:rsidRPr="00143624">
        <w:rPr>
          <w:color w:val="000000"/>
        </w:rPr>
        <w:tab/>
        <w:t>For the purposes of sub</w:t>
      </w:r>
      <w:r w:rsidR="00F5399E" w:rsidRPr="00143624">
        <w:rPr>
          <w:color w:val="000000"/>
        </w:rPr>
        <w:t>section 9</w:t>
      </w:r>
      <w:r w:rsidRPr="00143624">
        <w:rPr>
          <w:color w:val="000000"/>
        </w:rPr>
        <w:t>60</w:t>
      </w:r>
      <w:r w:rsidR="00143624">
        <w:rPr>
          <w:color w:val="000000"/>
        </w:rPr>
        <w:noBreakHyphen/>
      </w:r>
      <w:r w:rsidRPr="00143624">
        <w:rPr>
          <w:color w:val="000000"/>
        </w:rPr>
        <w:t>50(8) of the Act, Schedule</w:t>
      </w:r>
      <w:r w:rsidR="002B1A95" w:rsidRPr="00143624">
        <w:rPr>
          <w:color w:val="000000"/>
        </w:rPr>
        <w:t> </w:t>
      </w:r>
      <w:r w:rsidRPr="00143624">
        <w:rPr>
          <w:color w:val="000000"/>
        </w:rPr>
        <w:t>2 to this instrument sets out requirements in relation to the translation of amounts into Australian currency.</w:t>
      </w:r>
    </w:p>
    <w:p w:rsidR="007D17C5" w:rsidRPr="00143624" w:rsidRDefault="007D17C5" w:rsidP="007D17C5">
      <w:pPr>
        <w:pStyle w:val="ActHead4"/>
      </w:pPr>
      <w:bookmarkStart w:id="161" w:name="_Toc64030417"/>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960</w:t>
      </w:r>
      <w:r w:rsidR="00143624" w:rsidRPr="003F3E0B">
        <w:rPr>
          <w:rStyle w:val="CharSubdNo"/>
          <w:rFonts w:eastAsiaTheme="majorEastAsia"/>
        </w:rPr>
        <w:noBreakHyphen/>
      </w:r>
      <w:r w:rsidRPr="003F3E0B">
        <w:rPr>
          <w:rStyle w:val="CharSubdNo"/>
          <w:rFonts w:eastAsiaTheme="majorEastAsia"/>
        </w:rPr>
        <w:t>D</w:t>
      </w:r>
      <w:r w:rsidRPr="00143624">
        <w:t>—</w:t>
      </w:r>
      <w:r w:rsidRPr="003F3E0B">
        <w:rPr>
          <w:rStyle w:val="CharSubdText"/>
          <w:rFonts w:eastAsiaTheme="majorEastAsia"/>
        </w:rPr>
        <w:t>Functional currency</w:t>
      </w:r>
      <w:bookmarkEnd w:id="161"/>
    </w:p>
    <w:p w:rsidR="007D17C5" w:rsidRPr="00143624" w:rsidRDefault="007D17C5" w:rsidP="007D17C5">
      <w:pPr>
        <w:pStyle w:val="ActHead5"/>
      </w:pPr>
      <w:bookmarkStart w:id="162" w:name="_Toc64030418"/>
      <w:r w:rsidRPr="003F3E0B">
        <w:rPr>
          <w:rStyle w:val="CharSectno"/>
        </w:rPr>
        <w:t>960</w:t>
      </w:r>
      <w:r w:rsidR="00143624" w:rsidRPr="003F3E0B">
        <w:rPr>
          <w:rStyle w:val="CharSectno"/>
        </w:rPr>
        <w:noBreakHyphen/>
      </w:r>
      <w:r w:rsidRPr="003F3E0B">
        <w:rPr>
          <w:rStyle w:val="CharSectno"/>
        </w:rPr>
        <w:t>80.01</w:t>
      </w:r>
      <w:r w:rsidRPr="00143624">
        <w:t xml:space="preserve">  Translation rules—translation into applicable functional currency</w:t>
      </w:r>
      <w:bookmarkEnd w:id="162"/>
    </w:p>
    <w:p w:rsidR="007D17C5" w:rsidRPr="00143624" w:rsidRDefault="007D17C5" w:rsidP="007D17C5">
      <w:pPr>
        <w:pStyle w:val="subsection"/>
      </w:pPr>
      <w:r w:rsidRPr="00143624">
        <w:tab/>
      </w:r>
      <w:r w:rsidRPr="00143624">
        <w:tab/>
        <w:t>For the purposes of sub</w:t>
      </w:r>
      <w:r w:rsidR="00F5399E" w:rsidRPr="00143624">
        <w:t>section 9</w:t>
      </w:r>
      <w:r w:rsidRPr="00143624">
        <w:t>60</w:t>
      </w:r>
      <w:r w:rsidR="00143624">
        <w:noBreakHyphen/>
      </w:r>
      <w:r w:rsidRPr="00143624">
        <w:t>80(7) of the Act, the requirements set out in Schedule</w:t>
      </w:r>
      <w:r w:rsidR="002B1A95" w:rsidRPr="00143624">
        <w:t> </w:t>
      </w:r>
      <w:r w:rsidRPr="00143624">
        <w:t>2 to this instrument in relation to the translation of amounts into Australian currency have effect in relation to the translation of amounts into the applicable functional currency as if:</w:t>
      </w:r>
    </w:p>
    <w:p w:rsidR="007D17C5" w:rsidRPr="00143624" w:rsidRDefault="007D17C5" w:rsidP="007D17C5">
      <w:pPr>
        <w:pStyle w:val="paragraph"/>
      </w:pPr>
      <w:r w:rsidRPr="00143624">
        <w:rPr>
          <w:color w:val="000000"/>
        </w:rPr>
        <w:tab/>
        <w:t>(a)</w:t>
      </w:r>
      <w:r w:rsidRPr="00143624">
        <w:rPr>
          <w:color w:val="000000"/>
        </w:rPr>
        <w:tab/>
        <w:t>each reference in that Schedule to Australian currency were a reference to the applicable functional currency; and</w:t>
      </w:r>
    </w:p>
    <w:p w:rsidR="007D17C5" w:rsidRPr="00143624" w:rsidRDefault="007D17C5" w:rsidP="007D17C5">
      <w:pPr>
        <w:pStyle w:val="paragraph"/>
      </w:pPr>
      <w:r w:rsidRPr="00143624">
        <w:tab/>
        <w:t>(b)</w:t>
      </w:r>
      <w:r w:rsidRPr="00143624">
        <w:tab/>
        <w:t>the modifications set out in the following table were made:</w:t>
      </w:r>
    </w:p>
    <w:p w:rsidR="007D17C5" w:rsidRPr="00143624" w:rsidRDefault="007D17C5" w:rsidP="007D17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842"/>
        <w:gridCol w:w="3782"/>
      </w:tblGrid>
      <w:tr w:rsidR="007D17C5" w:rsidRPr="00143624" w:rsidTr="009558BE">
        <w:trPr>
          <w:tblHeader/>
        </w:trPr>
        <w:tc>
          <w:tcPr>
            <w:tcW w:w="8313" w:type="dxa"/>
            <w:gridSpan w:val="4"/>
            <w:tcBorders>
              <w:top w:val="single" w:sz="12" w:space="0" w:color="auto"/>
              <w:bottom w:val="single" w:sz="6" w:space="0" w:color="auto"/>
            </w:tcBorders>
            <w:shd w:val="clear" w:color="auto" w:fill="auto"/>
          </w:tcPr>
          <w:p w:rsidR="007D17C5" w:rsidRPr="00143624" w:rsidRDefault="007D17C5" w:rsidP="009558BE">
            <w:pPr>
              <w:pStyle w:val="TableHeading"/>
            </w:pPr>
            <w:r w:rsidRPr="00143624">
              <w:t>Modifications to Schedule</w:t>
            </w:r>
            <w:r w:rsidR="002B1A95" w:rsidRPr="00143624">
              <w:t> </w:t>
            </w:r>
            <w:r w:rsidRPr="00143624">
              <w:t>2</w:t>
            </w:r>
          </w:p>
        </w:tc>
      </w:tr>
      <w:tr w:rsidR="007D17C5" w:rsidRPr="00143624" w:rsidTr="009558BE">
        <w:trPr>
          <w:tblHeader/>
        </w:trPr>
        <w:tc>
          <w:tcPr>
            <w:tcW w:w="714"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1975"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Provision</w:t>
            </w:r>
          </w:p>
        </w:tc>
        <w:tc>
          <w:tcPr>
            <w:tcW w:w="1842"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After</w:t>
            </w:r>
          </w:p>
        </w:tc>
        <w:tc>
          <w:tcPr>
            <w:tcW w:w="3782"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Insert</w:t>
            </w:r>
          </w:p>
        </w:tc>
      </w:tr>
      <w:tr w:rsidR="007D17C5" w:rsidRPr="00143624" w:rsidTr="009558BE">
        <w:tc>
          <w:tcPr>
            <w:tcW w:w="714" w:type="dxa"/>
            <w:tcBorders>
              <w:top w:val="single" w:sz="12" w:space="0" w:color="auto"/>
              <w:bottom w:val="single" w:sz="2" w:space="0" w:color="auto"/>
            </w:tcBorders>
            <w:shd w:val="clear" w:color="auto" w:fill="auto"/>
          </w:tcPr>
          <w:p w:rsidR="007D17C5" w:rsidRPr="00143624" w:rsidRDefault="007D17C5" w:rsidP="009558BE">
            <w:pPr>
              <w:pStyle w:val="Tabletext"/>
            </w:pPr>
            <w:r w:rsidRPr="00143624">
              <w:t>1</w:t>
            </w:r>
          </w:p>
        </w:tc>
        <w:tc>
          <w:tcPr>
            <w:tcW w:w="1975" w:type="dxa"/>
            <w:tcBorders>
              <w:top w:val="single" w:sz="12" w:space="0" w:color="auto"/>
              <w:bottom w:val="single" w:sz="2" w:space="0" w:color="auto"/>
            </w:tcBorders>
            <w:shd w:val="clear" w:color="auto" w:fill="auto"/>
          </w:tcPr>
          <w:p w:rsidR="007D17C5" w:rsidRPr="00143624" w:rsidRDefault="007D17C5" w:rsidP="009558BE">
            <w:pPr>
              <w:pStyle w:val="Tabletext"/>
            </w:pPr>
            <w:r w:rsidRPr="00143624">
              <w:t>Subclause</w:t>
            </w:r>
            <w:r w:rsidR="002B1A95" w:rsidRPr="00143624">
              <w:t> </w:t>
            </w:r>
            <w:r w:rsidRPr="00143624">
              <w:t>2(2)</w:t>
            </w:r>
          </w:p>
        </w:tc>
        <w:tc>
          <w:tcPr>
            <w:tcW w:w="1842" w:type="dxa"/>
            <w:tcBorders>
              <w:top w:val="single" w:sz="12" w:space="0" w:color="auto"/>
              <w:bottom w:val="single" w:sz="2" w:space="0" w:color="auto"/>
            </w:tcBorders>
            <w:shd w:val="clear" w:color="auto" w:fill="auto"/>
          </w:tcPr>
          <w:p w:rsidR="007D17C5" w:rsidRPr="00143624" w:rsidRDefault="007D17C5" w:rsidP="009558BE">
            <w:pPr>
              <w:pStyle w:val="Tabletext"/>
            </w:pPr>
            <w:r w:rsidRPr="00143624">
              <w:t>year</w:t>
            </w:r>
          </w:p>
        </w:tc>
        <w:tc>
          <w:tcPr>
            <w:tcW w:w="3782" w:type="dxa"/>
            <w:tcBorders>
              <w:top w:val="single" w:sz="12" w:space="0" w:color="auto"/>
              <w:bottom w:val="single" w:sz="2" w:space="0" w:color="auto"/>
            </w:tcBorders>
            <w:shd w:val="clear" w:color="auto" w:fill="auto"/>
          </w:tcPr>
          <w:p w:rsidR="007D17C5" w:rsidRPr="00143624" w:rsidRDefault="007D17C5" w:rsidP="009558BE">
            <w:pPr>
              <w:pStyle w:val="Tabletext"/>
            </w:pPr>
            <w:r w:rsidRPr="00143624">
              <w:t>(or, if the entity is an attributable taxpayer in relation to a CFC, each subsequent day in the CFC’s statutory accounting period)</w:t>
            </w:r>
          </w:p>
        </w:tc>
      </w:tr>
      <w:tr w:rsidR="007D17C5" w:rsidRPr="00143624" w:rsidTr="009558BE">
        <w:tc>
          <w:tcPr>
            <w:tcW w:w="714"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2</w:t>
            </w:r>
          </w:p>
        </w:tc>
        <w:tc>
          <w:tcPr>
            <w:tcW w:w="1975" w:type="dxa"/>
            <w:tcBorders>
              <w:top w:val="single" w:sz="2" w:space="0" w:color="auto"/>
              <w:bottom w:val="single" w:sz="12" w:space="0" w:color="auto"/>
            </w:tcBorders>
            <w:shd w:val="clear" w:color="auto" w:fill="auto"/>
          </w:tcPr>
          <w:p w:rsidR="007D17C5" w:rsidRPr="00143624" w:rsidRDefault="00F5399E" w:rsidP="009558BE">
            <w:pPr>
              <w:pStyle w:val="Tabletext"/>
            </w:pPr>
            <w:r w:rsidRPr="00143624">
              <w:t>Paragraph 2</w:t>
            </w:r>
            <w:r w:rsidR="007D17C5" w:rsidRPr="00143624">
              <w:t>(3)(a)</w:t>
            </w:r>
          </w:p>
        </w:tc>
        <w:tc>
          <w:tcPr>
            <w:tcW w:w="1842"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activities</w:t>
            </w:r>
          </w:p>
        </w:tc>
        <w:tc>
          <w:tcPr>
            <w:tcW w:w="3782"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(or, if the entity is an attributable taxpayer in relation to a CFC, the use of the rate would not be appropriate having regard to the CFC’s business or activities)</w:t>
            </w:r>
          </w:p>
        </w:tc>
      </w:tr>
    </w:tbl>
    <w:p w:rsidR="007D17C5" w:rsidRPr="00143624" w:rsidRDefault="007D17C5" w:rsidP="007D17C5">
      <w:pPr>
        <w:pStyle w:val="ActHead5"/>
      </w:pPr>
      <w:bookmarkStart w:id="163" w:name="_Toc64030419"/>
      <w:r w:rsidRPr="003F3E0B">
        <w:rPr>
          <w:rStyle w:val="CharSectno"/>
        </w:rPr>
        <w:lastRenderedPageBreak/>
        <w:t>960</w:t>
      </w:r>
      <w:r w:rsidR="00143624" w:rsidRPr="003F3E0B">
        <w:rPr>
          <w:rStyle w:val="CharSectno"/>
        </w:rPr>
        <w:noBreakHyphen/>
      </w:r>
      <w:r w:rsidRPr="003F3E0B">
        <w:rPr>
          <w:rStyle w:val="CharSectno"/>
        </w:rPr>
        <w:t>80.02</w:t>
      </w:r>
      <w:r w:rsidRPr="00143624">
        <w:t xml:space="preserve">  Translation rules for an attributable taxpayer of a CFC—translation into applicable functional currency</w:t>
      </w:r>
      <w:bookmarkEnd w:id="163"/>
    </w:p>
    <w:p w:rsidR="007D17C5" w:rsidRPr="00143624" w:rsidRDefault="007D17C5" w:rsidP="007D17C5">
      <w:pPr>
        <w:pStyle w:val="subsection"/>
      </w:pPr>
      <w:r w:rsidRPr="00143624">
        <w:tab/>
      </w:r>
      <w:r w:rsidRPr="00143624">
        <w:tab/>
        <w:t>For the purposes of sub</w:t>
      </w:r>
      <w:r w:rsidR="00F5399E" w:rsidRPr="00143624">
        <w:t>section 9</w:t>
      </w:r>
      <w:r w:rsidRPr="00143624">
        <w:t>60</w:t>
      </w:r>
      <w:r w:rsidR="00143624">
        <w:noBreakHyphen/>
      </w:r>
      <w:r w:rsidRPr="00143624">
        <w:t>80(7) of the Act, if:</w:t>
      </w:r>
    </w:p>
    <w:p w:rsidR="007D17C5" w:rsidRPr="00143624" w:rsidRDefault="007D17C5" w:rsidP="007D17C5">
      <w:pPr>
        <w:pStyle w:val="paragraph"/>
      </w:pPr>
      <w:r w:rsidRPr="00143624">
        <w:rPr>
          <w:color w:val="000000"/>
        </w:rPr>
        <w:tab/>
        <w:t>(a)</w:t>
      </w:r>
      <w:r w:rsidRPr="00143624">
        <w:rPr>
          <w:color w:val="000000"/>
        </w:rPr>
        <w:tab/>
        <w:t>an entity is an attributable taxpayer in relation to a CFC; and</w:t>
      </w:r>
    </w:p>
    <w:p w:rsidR="007D17C5" w:rsidRPr="00143624" w:rsidRDefault="007D17C5" w:rsidP="007D17C5">
      <w:pPr>
        <w:pStyle w:val="paragraph"/>
      </w:pPr>
      <w:r w:rsidRPr="00143624">
        <w:tab/>
        <w:t>(b)</w:t>
      </w:r>
      <w:r w:rsidRPr="00143624">
        <w:tab/>
        <w:t>the CFC has prepared financial accounts in accordance with standards to which subsection</w:t>
      </w:r>
      <w:r w:rsidR="002B1A95" w:rsidRPr="00143624">
        <w:t> </w:t>
      </w:r>
      <w:r w:rsidRPr="00143624">
        <w:t>820</w:t>
      </w:r>
      <w:r w:rsidR="00143624">
        <w:noBreakHyphen/>
      </w:r>
      <w:r w:rsidRPr="00143624">
        <w:t>960(1C) or (1D) of the Act relates; and</w:t>
      </w:r>
    </w:p>
    <w:p w:rsidR="007D17C5" w:rsidRPr="00143624" w:rsidRDefault="007D17C5" w:rsidP="007D17C5">
      <w:pPr>
        <w:pStyle w:val="paragraph"/>
      </w:pPr>
      <w:r w:rsidRPr="00143624">
        <w:tab/>
        <w:t>(c)</w:t>
      </w:r>
      <w:r w:rsidRPr="00143624">
        <w:tab/>
        <w:t>those financial accounts translate amounts into the applicable functional currency using particular exchange rates; and</w:t>
      </w:r>
    </w:p>
    <w:p w:rsidR="007D17C5" w:rsidRPr="00143624" w:rsidRDefault="007D17C5" w:rsidP="007D17C5">
      <w:pPr>
        <w:pStyle w:val="paragraph"/>
      </w:pPr>
      <w:r w:rsidRPr="00143624">
        <w:tab/>
        <w:t>(d)</w:t>
      </w:r>
      <w:r w:rsidRPr="00143624">
        <w:tab/>
        <w:t>the entity wishes to translate an amount into the applicable functional currency, using the exchange rate used to translate a corresponding amount in the financial accounts;</w:t>
      </w:r>
    </w:p>
    <w:p w:rsidR="007D17C5" w:rsidRPr="00143624" w:rsidRDefault="007D17C5" w:rsidP="007D17C5">
      <w:pPr>
        <w:pStyle w:val="subsection2"/>
        <w:rPr>
          <w:color w:val="000000"/>
        </w:rPr>
      </w:pPr>
      <w:r w:rsidRPr="00143624">
        <w:rPr>
          <w:color w:val="000000"/>
        </w:rPr>
        <w:t>the entity must translate all amounts into the applicable functional currency using the exchange rates that were used in the financial accounts to translate corresponding amounts.</w:t>
      </w:r>
    </w:p>
    <w:p w:rsidR="007D17C5" w:rsidRPr="00143624" w:rsidRDefault="007D17C5" w:rsidP="007D17C5">
      <w:pPr>
        <w:pStyle w:val="ActHead5"/>
      </w:pPr>
      <w:bookmarkStart w:id="164" w:name="_Toc64030420"/>
      <w:r w:rsidRPr="003F3E0B">
        <w:rPr>
          <w:rStyle w:val="CharSectno"/>
        </w:rPr>
        <w:t>960</w:t>
      </w:r>
      <w:r w:rsidR="00143624" w:rsidRPr="003F3E0B">
        <w:rPr>
          <w:rStyle w:val="CharSectno"/>
        </w:rPr>
        <w:noBreakHyphen/>
      </w:r>
      <w:r w:rsidRPr="003F3E0B">
        <w:rPr>
          <w:rStyle w:val="CharSectno"/>
        </w:rPr>
        <w:t>80.03</w:t>
      </w:r>
      <w:r w:rsidRPr="00143624">
        <w:t xml:space="preserve">  Translation rules—translation from applicable functional currency into Australian currency</w:t>
      </w:r>
      <w:bookmarkEnd w:id="164"/>
    </w:p>
    <w:p w:rsidR="007D17C5" w:rsidRPr="00143624" w:rsidRDefault="007D17C5" w:rsidP="007D17C5">
      <w:pPr>
        <w:pStyle w:val="subsection"/>
      </w:pPr>
      <w:r w:rsidRPr="00143624">
        <w:tab/>
        <w:t>(1)</w:t>
      </w:r>
      <w:r w:rsidRPr="00143624">
        <w:tab/>
        <w:t>For the purposes of sub</w:t>
      </w:r>
      <w:r w:rsidR="00F5399E" w:rsidRPr="00143624">
        <w:t>section 9</w:t>
      </w:r>
      <w:r w:rsidRPr="00143624">
        <w:t>60</w:t>
      </w:r>
      <w:r w:rsidR="00143624">
        <w:noBreakHyphen/>
      </w:r>
      <w:r w:rsidRPr="00143624">
        <w:t>80(7) of the Act, this section provides requirements that an entity must comply with in translating an amount from the applicable functional currency into Australian currency.</w:t>
      </w:r>
    </w:p>
    <w:p w:rsidR="007D17C5" w:rsidRPr="00143624" w:rsidRDefault="007D17C5" w:rsidP="007D17C5">
      <w:pPr>
        <w:pStyle w:val="SubsectionHead"/>
      </w:pPr>
      <w:r w:rsidRPr="00143624">
        <w:t>Amount that is not the attributable income of a CFC</w:t>
      </w:r>
    </w:p>
    <w:p w:rsidR="007D17C5" w:rsidRPr="00143624" w:rsidRDefault="007D17C5" w:rsidP="007D17C5">
      <w:pPr>
        <w:pStyle w:val="subsection"/>
      </w:pPr>
      <w:r w:rsidRPr="00143624">
        <w:tab/>
        <w:t>(2)</w:t>
      </w:r>
      <w:r w:rsidRPr="00143624">
        <w:tab/>
        <w:t>If, on or after 27</w:t>
      </w:r>
      <w:r w:rsidR="002B1A95" w:rsidRPr="00143624">
        <w:t> </w:t>
      </w:r>
      <w:r w:rsidRPr="00143624">
        <w:t>April 2</w:t>
      </w:r>
      <w:r w:rsidRPr="00143624">
        <w:rPr>
          <w:lang w:eastAsia="en-US"/>
        </w:rPr>
        <w:t>005</w:t>
      </w:r>
      <w:r w:rsidRPr="00143624">
        <w:rPr>
          <w:i/>
        </w:rPr>
        <w:t>,</w:t>
      </w:r>
      <w:r w:rsidRPr="00143624">
        <w:t xml:space="preserve"> an entity translates an amount that is not the attributable income of a CFC from the applicable functional currency into Australian currency on a day in accordance with an item of the table in sub</w:t>
      </w:r>
      <w:r w:rsidR="00F5399E" w:rsidRPr="00143624">
        <w:t>section 9</w:t>
      </w:r>
      <w:r w:rsidRPr="00143624">
        <w:t>60</w:t>
      </w:r>
      <w:r w:rsidR="00143624">
        <w:noBreakHyphen/>
      </w:r>
      <w:r w:rsidRPr="00143624">
        <w:t>80(1) of the Act, the entity must translate the amount using:</w:t>
      </w:r>
    </w:p>
    <w:p w:rsidR="007D17C5" w:rsidRPr="00143624" w:rsidRDefault="007D17C5" w:rsidP="007D17C5">
      <w:pPr>
        <w:pStyle w:val="paragraph"/>
      </w:pPr>
      <w:r w:rsidRPr="00143624">
        <w:rPr>
          <w:color w:val="000000"/>
        </w:rPr>
        <w:tab/>
        <w:t>(a)</w:t>
      </w:r>
      <w:r w:rsidRPr="00143624">
        <w:rPr>
          <w:color w:val="000000"/>
        </w:rPr>
        <w:tab/>
        <w:t>an exchange rate that is an average of all of the exchange rates during the period, not exceeding 12 months, in which the entity carries on the relevant business or other activity; or</w:t>
      </w:r>
    </w:p>
    <w:p w:rsidR="007D17C5" w:rsidRPr="00143624" w:rsidRDefault="007D17C5" w:rsidP="007D17C5">
      <w:pPr>
        <w:pStyle w:val="paragraph"/>
      </w:pPr>
      <w:r w:rsidRPr="00143624">
        <w:tab/>
        <w:t>(b)</w:t>
      </w:r>
      <w:r w:rsidRPr="00143624">
        <w:tab/>
        <w:t>if the entity makes an election in writing to use the exchange rate applicable on the last day of the entity’s income year—that exchange rate.</w:t>
      </w:r>
    </w:p>
    <w:p w:rsidR="007D17C5" w:rsidRPr="00143624" w:rsidRDefault="007D17C5" w:rsidP="007D17C5">
      <w:pPr>
        <w:pStyle w:val="SubsectionHead"/>
      </w:pPr>
      <w:r w:rsidRPr="00143624">
        <w:t>Amount that is the attributable income of a CFC</w:t>
      </w:r>
    </w:p>
    <w:p w:rsidR="007D17C5" w:rsidRPr="00143624" w:rsidRDefault="007D17C5" w:rsidP="007D17C5">
      <w:pPr>
        <w:pStyle w:val="subsection"/>
      </w:pPr>
      <w:r w:rsidRPr="00143624">
        <w:tab/>
        <w:t>(3)</w:t>
      </w:r>
      <w:r w:rsidRPr="00143624">
        <w:tab/>
        <w:t>If, on or after 27</w:t>
      </w:r>
      <w:r w:rsidR="002B1A95" w:rsidRPr="00143624">
        <w:t> </w:t>
      </w:r>
      <w:r w:rsidRPr="00143624">
        <w:t>April 2005</w:t>
      </w:r>
      <w:r w:rsidRPr="00143624">
        <w:rPr>
          <w:i/>
        </w:rPr>
        <w:t>,</w:t>
      </w:r>
      <w:r w:rsidRPr="00143624">
        <w:t xml:space="preserve"> an entity that is an attributable taxpayer in relation to a CFC translates an amount that is the attributable income of a CFC from the applicable functional currency into Australian currency on a day in accordance with an item of the table in sub</w:t>
      </w:r>
      <w:r w:rsidR="00F5399E" w:rsidRPr="00143624">
        <w:t>section 9</w:t>
      </w:r>
      <w:r w:rsidRPr="00143624">
        <w:t>60</w:t>
      </w:r>
      <w:r w:rsidR="00143624">
        <w:noBreakHyphen/>
      </w:r>
      <w:r w:rsidRPr="00143624">
        <w:t>80(1) of the Act, the entity must translate the amount using:</w:t>
      </w:r>
    </w:p>
    <w:p w:rsidR="007D17C5" w:rsidRPr="00143624" w:rsidRDefault="007D17C5" w:rsidP="007D17C5">
      <w:pPr>
        <w:pStyle w:val="paragraph"/>
      </w:pPr>
      <w:r w:rsidRPr="00143624">
        <w:rPr>
          <w:color w:val="000000"/>
        </w:rPr>
        <w:tab/>
        <w:t>(a)</w:t>
      </w:r>
      <w:r w:rsidRPr="00143624">
        <w:rPr>
          <w:color w:val="000000"/>
        </w:rPr>
        <w:tab/>
        <w:t>an exchange rate that is an average of all of the exchange rates during the period, not exceeding 12 months, in which the CFC carries on the relevant business or other activity; or</w:t>
      </w:r>
    </w:p>
    <w:p w:rsidR="007D17C5" w:rsidRPr="00143624" w:rsidRDefault="007D17C5" w:rsidP="007D17C5">
      <w:pPr>
        <w:pStyle w:val="paragraph"/>
      </w:pPr>
      <w:r w:rsidRPr="00143624">
        <w:tab/>
        <w:t>(b)</w:t>
      </w:r>
      <w:r w:rsidRPr="00143624">
        <w:tab/>
        <w:t>if the entity makes an election in writing to use the exchange rate applicable on the last day of the CFC’s statutory accounting period—that exchange rate.</w:t>
      </w:r>
    </w:p>
    <w:p w:rsidR="007D17C5" w:rsidRPr="00143624" w:rsidRDefault="007D17C5" w:rsidP="007D17C5">
      <w:pPr>
        <w:pStyle w:val="subsection"/>
        <w:rPr>
          <w:color w:val="000000"/>
        </w:rPr>
      </w:pPr>
      <w:r w:rsidRPr="00143624">
        <w:rPr>
          <w:color w:val="000000"/>
        </w:rPr>
        <w:tab/>
        <w:t>(4)</w:t>
      </w:r>
      <w:r w:rsidRPr="00143624">
        <w:rPr>
          <w:color w:val="000000"/>
        </w:rPr>
        <w:tab/>
        <w:t xml:space="preserve">An election under </w:t>
      </w:r>
      <w:r w:rsidR="002B1A95" w:rsidRPr="00143624">
        <w:rPr>
          <w:color w:val="000000"/>
        </w:rPr>
        <w:t>paragraph (</w:t>
      </w:r>
      <w:r w:rsidRPr="00143624">
        <w:rPr>
          <w:color w:val="000000"/>
        </w:rPr>
        <w:t>2)(b) or (3)(b) is irrevocable.</w:t>
      </w:r>
    </w:p>
    <w:p w:rsidR="007D17C5" w:rsidRPr="00143624" w:rsidRDefault="007D17C5" w:rsidP="007D17C5">
      <w:pPr>
        <w:pStyle w:val="ActHead3"/>
        <w:pageBreakBefore/>
      </w:pPr>
      <w:bookmarkStart w:id="165" w:name="_Toc64030421"/>
      <w:r w:rsidRPr="003F3E0B">
        <w:rPr>
          <w:rStyle w:val="CharDivNo"/>
        </w:rPr>
        <w:lastRenderedPageBreak/>
        <w:t>Division</w:t>
      </w:r>
      <w:r w:rsidR="002B1A95" w:rsidRPr="003F3E0B">
        <w:rPr>
          <w:rStyle w:val="CharDivNo"/>
        </w:rPr>
        <w:t> </w:t>
      </w:r>
      <w:r w:rsidRPr="003F3E0B">
        <w:rPr>
          <w:rStyle w:val="CharDivNo"/>
        </w:rPr>
        <w:t>974</w:t>
      </w:r>
      <w:r w:rsidRPr="00143624">
        <w:t>—</w:t>
      </w:r>
      <w:r w:rsidRPr="003F3E0B">
        <w:rPr>
          <w:rStyle w:val="CharDivText"/>
        </w:rPr>
        <w:t>Debt and equity interests</w:t>
      </w:r>
      <w:bookmarkEnd w:id="165"/>
    </w:p>
    <w:p w:rsidR="007D17C5" w:rsidRPr="00143624" w:rsidRDefault="007D17C5" w:rsidP="007D17C5">
      <w:pPr>
        <w:pStyle w:val="ActHead4"/>
        <w:rPr>
          <w:rFonts w:eastAsiaTheme="majorEastAsia"/>
        </w:rPr>
      </w:pPr>
      <w:bookmarkStart w:id="166" w:name="_Toc64030422"/>
      <w:r w:rsidRPr="003F3E0B">
        <w:rPr>
          <w:rStyle w:val="CharSubdNo"/>
          <w:rFonts w:eastAsiaTheme="majorEastAsia"/>
        </w:rPr>
        <w:t>Subdivision</w:t>
      </w:r>
      <w:r w:rsidR="002B1A95" w:rsidRPr="003F3E0B">
        <w:rPr>
          <w:rStyle w:val="CharSubdNo"/>
          <w:rFonts w:eastAsiaTheme="majorEastAsia"/>
        </w:rPr>
        <w:t> </w:t>
      </w:r>
      <w:r w:rsidRPr="003F3E0B">
        <w:rPr>
          <w:rStyle w:val="CharSubdNo"/>
          <w:rFonts w:eastAsiaTheme="majorEastAsia"/>
        </w:rPr>
        <w:t>974</w:t>
      </w:r>
      <w:r w:rsidR="00143624" w:rsidRPr="003F3E0B">
        <w:rPr>
          <w:rStyle w:val="CharSubdNo"/>
          <w:rFonts w:eastAsiaTheme="majorEastAsia"/>
        </w:rPr>
        <w:noBreakHyphen/>
      </w:r>
      <w:r w:rsidRPr="003F3E0B">
        <w:rPr>
          <w:rStyle w:val="CharSubdNo"/>
          <w:rFonts w:eastAsiaTheme="majorEastAsia"/>
        </w:rPr>
        <w:t>F</w:t>
      </w:r>
      <w:r w:rsidRPr="00143624">
        <w:t>—</w:t>
      </w:r>
      <w:r w:rsidRPr="003F3E0B">
        <w:rPr>
          <w:rStyle w:val="CharSubdText"/>
          <w:rFonts w:eastAsiaTheme="majorEastAsia"/>
        </w:rPr>
        <w:t>Related concepts</w:t>
      </w:r>
      <w:bookmarkEnd w:id="166"/>
    </w:p>
    <w:p w:rsidR="007D17C5" w:rsidRPr="00143624" w:rsidRDefault="007D17C5" w:rsidP="007D17C5">
      <w:pPr>
        <w:pStyle w:val="ActHead5"/>
      </w:pPr>
      <w:bookmarkStart w:id="167" w:name="_Toc64030423"/>
      <w:r w:rsidRPr="003F3E0B">
        <w:rPr>
          <w:rStyle w:val="CharSectno"/>
        </w:rPr>
        <w:t>974</w:t>
      </w:r>
      <w:r w:rsidR="00143624" w:rsidRPr="003F3E0B">
        <w:rPr>
          <w:rStyle w:val="CharSectno"/>
        </w:rPr>
        <w:noBreakHyphen/>
      </w:r>
      <w:r w:rsidRPr="003F3E0B">
        <w:rPr>
          <w:rStyle w:val="CharSectno"/>
        </w:rPr>
        <w:t>135.01</w:t>
      </w:r>
      <w:r w:rsidRPr="00143624">
        <w:t xml:space="preserve">  Non</w:t>
      </w:r>
      <w:r w:rsidR="00143624">
        <w:noBreakHyphen/>
      </w:r>
      <w:r w:rsidRPr="00143624">
        <w:t>cumulative redeemable preference shares issued by credit union or mutual building society</w:t>
      </w:r>
      <w:bookmarkEnd w:id="167"/>
    </w:p>
    <w:p w:rsidR="007D17C5" w:rsidRPr="00143624" w:rsidRDefault="007D17C5" w:rsidP="007D17C5">
      <w:pPr>
        <w:pStyle w:val="subsection"/>
      </w:pPr>
      <w:r w:rsidRPr="00143624">
        <w:tab/>
        <w:t>(1)</w:t>
      </w:r>
      <w:r w:rsidRPr="00143624">
        <w:tab/>
        <w:t>For the purposes of paragraph</w:t>
      </w:r>
      <w:r w:rsidR="002B1A95" w:rsidRPr="00143624">
        <w:t> </w:t>
      </w:r>
      <w:r w:rsidRPr="00143624">
        <w:t>974</w:t>
      </w:r>
      <w:r w:rsidR="00143624">
        <w:noBreakHyphen/>
      </w:r>
      <w:r w:rsidRPr="00143624">
        <w:t>135(8)(d) of the Act, the obligation in respect of the return of investment on the redemption of a non</w:t>
      </w:r>
      <w:r w:rsidR="00143624">
        <w:noBreakHyphen/>
      </w:r>
      <w:r w:rsidRPr="00143624">
        <w:t>cumulative redeemable preference share issued by an entity that is:</w:t>
      </w:r>
    </w:p>
    <w:p w:rsidR="007D17C5" w:rsidRPr="00143624" w:rsidRDefault="007D17C5" w:rsidP="007D17C5">
      <w:pPr>
        <w:pStyle w:val="paragraph"/>
      </w:pPr>
      <w:r w:rsidRPr="00143624">
        <w:tab/>
        <w:t>(a)</w:t>
      </w:r>
      <w:r w:rsidRPr="00143624">
        <w:tab/>
        <w:t>a credit union; or</w:t>
      </w:r>
    </w:p>
    <w:p w:rsidR="007D17C5" w:rsidRPr="00143624" w:rsidRDefault="007D17C5" w:rsidP="007D17C5">
      <w:pPr>
        <w:pStyle w:val="paragraph"/>
      </w:pPr>
      <w:r w:rsidRPr="00143624">
        <w:tab/>
        <w:t>(b)</w:t>
      </w:r>
      <w:r w:rsidRPr="00143624">
        <w:tab/>
        <w:t>a mutual building society that is an ADI;</w:t>
      </w:r>
    </w:p>
    <w:p w:rsidR="007D17C5" w:rsidRPr="00143624" w:rsidRDefault="007D17C5" w:rsidP="007D17C5">
      <w:pPr>
        <w:pStyle w:val="subsection2"/>
      </w:pPr>
      <w:r w:rsidRPr="00143624">
        <w:t>is not an effectively non</w:t>
      </w:r>
      <w:r w:rsidR="00143624">
        <w:noBreakHyphen/>
      </w:r>
      <w:r w:rsidRPr="00143624">
        <w:t xml:space="preserve">contingent obligation if it meets the criteria in </w:t>
      </w:r>
      <w:r w:rsidR="002B1A95" w:rsidRPr="00143624">
        <w:t>subsection (</w:t>
      </w:r>
      <w:r w:rsidRPr="00143624">
        <w:t>2) of this section.</w:t>
      </w:r>
    </w:p>
    <w:p w:rsidR="007D17C5" w:rsidRPr="00143624" w:rsidRDefault="007D17C5" w:rsidP="007D17C5">
      <w:pPr>
        <w:pStyle w:val="subsection"/>
      </w:pPr>
      <w:r w:rsidRPr="00143624">
        <w:tab/>
        <w:t>(2)</w:t>
      </w:r>
      <w:r w:rsidRPr="00143624">
        <w:tab/>
        <w:t>The criteria in this subsection are:</w:t>
      </w:r>
    </w:p>
    <w:p w:rsidR="007D17C5" w:rsidRPr="00143624" w:rsidRDefault="007D17C5" w:rsidP="007D17C5">
      <w:pPr>
        <w:pStyle w:val="paragraph"/>
      </w:pPr>
      <w:r w:rsidRPr="00143624">
        <w:tab/>
        <w:t>(a)</w:t>
      </w:r>
      <w:r w:rsidRPr="00143624">
        <w:tab/>
        <w:t>the share is issued on or after 4</w:t>
      </w:r>
      <w:r w:rsidR="002B1A95" w:rsidRPr="00143624">
        <w:t> </w:t>
      </w:r>
      <w:r w:rsidRPr="00143624">
        <w:t>March 2003; and</w:t>
      </w:r>
    </w:p>
    <w:p w:rsidR="007D17C5" w:rsidRPr="00143624" w:rsidRDefault="007D17C5" w:rsidP="007D17C5">
      <w:pPr>
        <w:pStyle w:val="paragraph"/>
      </w:pPr>
      <w:r w:rsidRPr="00143624">
        <w:tab/>
        <w:t>(b)</w:t>
      </w:r>
      <w:r w:rsidRPr="00143624">
        <w:tab/>
        <w:t>the share satisfies, at the time it is issued, the criteria set out in paragraph</w:t>
      </w:r>
      <w:r w:rsidR="002B1A95" w:rsidRPr="00143624">
        <w:t> </w:t>
      </w:r>
      <w:r w:rsidRPr="00143624">
        <w:t xml:space="preserve">1 of </w:t>
      </w:r>
      <w:r w:rsidRPr="00143624">
        <w:rPr>
          <w:rFonts w:ascii="Helvetica Neue" w:hAnsi="Helvetica Neue"/>
        </w:rPr>
        <w:t xml:space="preserve">Attachment H to the </w:t>
      </w:r>
      <w:r w:rsidRPr="00143624">
        <w:rPr>
          <w:rFonts w:ascii="Helvetica Neue" w:hAnsi="Helvetica Neue"/>
          <w:i/>
        </w:rPr>
        <w:t>Banking (prudential standard) determination No.</w:t>
      </w:r>
      <w:r w:rsidR="002B1A95" w:rsidRPr="00143624">
        <w:rPr>
          <w:rFonts w:ascii="Helvetica Neue" w:hAnsi="Helvetica Neue" w:hint="eastAsia"/>
          <w:i/>
        </w:rPr>
        <w:t> </w:t>
      </w:r>
      <w:r w:rsidRPr="00143624">
        <w:rPr>
          <w:rFonts w:ascii="Helvetica Neue" w:hAnsi="Helvetica Neue"/>
          <w:i/>
        </w:rPr>
        <w:t>4 of 2017</w:t>
      </w:r>
      <w:r w:rsidRPr="00143624">
        <w:t>; and</w:t>
      </w:r>
    </w:p>
    <w:p w:rsidR="007D17C5" w:rsidRPr="00143624" w:rsidRDefault="007D17C5" w:rsidP="007D17C5">
      <w:pPr>
        <w:pStyle w:val="paragraph"/>
      </w:pPr>
      <w:r w:rsidRPr="00143624">
        <w:tab/>
        <w:t>(c)</w:t>
      </w:r>
      <w:r w:rsidRPr="00143624">
        <w:tab/>
        <w:t>the share is issued subject to the following terms and conditions:</w:t>
      </w:r>
    </w:p>
    <w:p w:rsidR="007D17C5" w:rsidRPr="00143624" w:rsidRDefault="007D17C5" w:rsidP="007D17C5">
      <w:pPr>
        <w:pStyle w:val="paragraphsub"/>
      </w:pPr>
      <w:r w:rsidRPr="00143624">
        <w:tab/>
        <w:t>(i)</w:t>
      </w:r>
      <w:r w:rsidRPr="00143624">
        <w:tab/>
        <w:t>the share has a minimum term of 5 years;</w:t>
      </w:r>
    </w:p>
    <w:p w:rsidR="007D17C5" w:rsidRPr="00143624" w:rsidRDefault="007D17C5" w:rsidP="007D17C5">
      <w:pPr>
        <w:pStyle w:val="paragraphsub"/>
      </w:pPr>
      <w:r w:rsidRPr="00143624">
        <w:tab/>
        <w:t>(ii)</w:t>
      </w:r>
      <w:r w:rsidRPr="00143624">
        <w:tab/>
        <w:t>dividend payments for the share are to be paid only out of operating profits from the current year or the immediately previous year, and only to the extent that payment is permitted by law and by relevant regulatory authorities;</w:t>
      </w:r>
    </w:p>
    <w:p w:rsidR="007D17C5" w:rsidRPr="00143624" w:rsidRDefault="007D17C5" w:rsidP="007D17C5">
      <w:pPr>
        <w:pStyle w:val="paragraphsub"/>
      </w:pPr>
      <w:r w:rsidRPr="00143624">
        <w:tab/>
        <w:t>(iii)</w:t>
      </w:r>
      <w:r w:rsidRPr="00143624">
        <w:tab/>
        <w:t>dividend payments for the share are not cumulative;</w:t>
      </w:r>
    </w:p>
    <w:p w:rsidR="007D17C5" w:rsidRPr="00143624" w:rsidRDefault="007D17C5" w:rsidP="007D17C5">
      <w:pPr>
        <w:pStyle w:val="paragraphsub"/>
      </w:pPr>
      <w:r w:rsidRPr="00143624">
        <w:tab/>
        <w:t>(iv)</w:t>
      </w:r>
      <w:r w:rsidRPr="00143624">
        <w:tab/>
        <w:t>any payments made in relation to the share out of net profits or net assets have preferential rights over payments made in relation to ordinary shares (if any) from the same sources;</w:t>
      </w:r>
    </w:p>
    <w:p w:rsidR="007D17C5" w:rsidRPr="00143624" w:rsidRDefault="007D17C5" w:rsidP="007D17C5">
      <w:pPr>
        <w:pStyle w:val="paragraphsub"/>
      </w:pPr>
      <w:r w:rsidRPr="00143624">
        <w:tab/>
        <w:t>(v)</w:t>
      </w:r>
      <w:r w:rsidRPr="00143624">
        <w:tab/>
        <w:t>if the share is to be redeemed—the redemption cannot be carried out without the approval of the entity’s board;</w:t>
      </w:r>
    </w:p>
    <w:p w:rsidR="007D17C5" w:rsidRPr="00143624" w:rsidRDefault="007D17C5" w:rsidP="007D17C5">
      <w:pPr>
        <w:pStyle w:val="paragraphsub"/>
      </w:pPr>
      <w:r w:rsidRPr="00143624">
        <w:tab/>
        <w:t>(vi)</w:t>
      </w:r>
      <w:r w:rsidRPr="00143624">
        <w:tab/>
        <w:t xml:space="preserve">if the share is to be redeemed, but the redemption of the share would place the entity in breach of a prudential standard made under the </w:t>
      </w:r>
      <w:r w:rsidRPr="00143624">
        <w:rPr>
          <w:i/>
        </w:rPr>
        <w:t>Banking Act 1959</w:t>
      </w:r>
      <w:r w:rsidRPr="00143624">
        <w:t>—the redemption cannot be carried out without the approval of APRA; and</w:t>
      </w:r>
    </w:p>
    <w:p w:rsidR="007D17C5" w:rsidRPr="00143624" w:rsidRDefault="007D17C5" w:rsidP="007D17C5">
      <w:pPr>
        <w:pStyle w:val="paragraph"/>
      </w:pPr>
      <w:r w:rsidRPr="00143624">
        <w:tab/>
        <w:t>(d)</w:t>
      </w:r>
      <w:r w:rsidRPr="00143624">
        <w:tab/>
        <w:t>the redemption is carried out on or after 4</w:t>
      </w:r>
      <w:r w:rsidR="002B1A95" w:rsidRPr="00143624">
        <w:t> </w:t>
      </w:r>
      <w:r w:rsidRPr="00143624">
        <w:t>March 2003; and</w:t>
      </w:r>
    </w:p>
    <w:p w:rsidR="007D17C5" w:rsidRPr="00143624" w:rsidRDefault="007D17C5" w:rsidP="007D17C5">
      <w:pPr>
        <w:pStyle w:val="paragraph"/>
      </w:pPr>
      <w:r w:rsidRPr="00143624">
        <w:tab/>
        <w:t>(e)</w:t>
      </w:r>
      <w:r w:rsidRPr="00143624">
        <w:tab/>
        <w:t>the share is issued only to a member of the entity; and</w:t>
      </w:r>
    </w:p>
    <w:p w:rsidR="007D17C5" w:rsidRPr="00143624" w:rsidRDefault="007D17C5" w:rsidP="007D17C5">
      <w:pPr>
        <w:pStyle w:val="paragraph"/>
      </w:pPr>
      <w:r w:rsidRPr="00143624">
        <w:tab/>
        <w:t>(f)</w:t>
      </w:r>
      <w:r w:rsidRPr="00143624">
        <w:tab/>
        <w:t>a member of the entity and its connected entities can together hold not more than 10% by value of the shares of that kind issued by the entity.</w:t>
      </w:r>
    </w:p>
    <w:p w:rsidR="007D17C5" w:rsidRPr="00143624" w:rsidRDefault="007D17C5" w:rsidP="007D17C5">
      <w:pPr>
        <w:pStyle w:val="noteToPara"/>
      </w:pPr>
      <w:r w:rsidRPr="00143624">
        <w:t>Note:</w:t>
      </w:r>
      <w:r w:rsidRPr="00143624">
        <w:tab/>
        <w:t xml:space="preserve">For </w:t>
      </w:r>
      <w:r w:rsidRPr="00143624">
        <w:rPr>
          <w:b/>
          <w:i/>
        </w:rPr>
        <w:t>connected entity</w:t>
      </w:r>
      <w:r w:rsidRPr="00143624">
        <w:t>, see sub</w:t>
      </w:r>
      <w:r w:rsidR="00F5399E" w:rsidRPr="00143624">
        <w:t>section 9</w:t>
      </w:r>
      <w:r w:rsidRPr="00143624">
        <w:t>95</w:t>
      </w:r>
      <w:r w:rsidR="00143624">
        <w:noBreakHyphen/>
      </w:r>
      <w:r w:rsidRPr="00143624">
        <w:t>1(1) of the Act.</w:t>
      </w:r>
    </w:p>
    <w:p w:rsidR="007D17C5" w:rsidRPr="00143624" w:rsidRDefault="007D17C5" w:rsidP="007D17C5">
      <w:pPr>
        <w:pStyle w:val="ActHead5"/>
      </w:pPr>
      <w:bookmarkStart w:id="168" w:name="_Toc64030424"/>
      <w:r w:rsidRPr="003F3E0B">
        <w:rPr>
          <w:rStyle w:val="CharSectno"/>
        </w:rPr>
        <w:t>974</w:t>
      </w:r>
      <w:r w:rsidR="00143624" w:rsidRPr="003F3E0B">
        <w:rPr>
          <w:rStyle w:val="CharSectno"/>
        </w:rPr>
        <w:noBreakHyphen/>
      </w:r>
      <w:r w:rsidRPr="003F3E0B">
        <w:rPr>
          <w:rStyle w:val="CharSectno"/>
        </w:rPr>
        <w:t>135.02</w:t>
      </w:r>
      <w:r w:rsidRPr="00143624">
        <w:t xml:space="preserve">  Redeemable preference shares</w:t>
      </w:r>
      <w:bookmarkEnd w:id="168"/>
    </w:p>
    <w:p w:rsidR="007D17C5" w:rsidRPr="00143624" w:rsidRDefault="007D17C5" w:rsidP="007D17C5">
      <w:pPr>
        <w:pStyle w:val="subsection"/>
      </w:pPr>
      <w:r w:rsidRPr="00143624">
        <w:tab/>
      </w:r>
      <w:r w:rsidRPr="00143624">
        <w:tab/>
        <w:t>For the purposes of paragraph</w:t>
      </w:r>
      <w:r w:rsidR="002B1A95" w:rsidRPr="00143624">
        <w:t> </w:t>
      </w:r>
      <w:r w:rsidRPr="00143624">
        <w:t>974</w:t>
      </w:r>
      <w:r w:rsidR="00143624">
        <w:noBreakHyphen/>
      </w:r>
      <w:r w:rsidRPr="00143624">
        <w:t>135(8)(a) of the Act, an obligation to redeem or buy back a preference share in relation to a company is not a contingent obligation merely because a requirement exists, under a law, to the effect that:</w:t>
      </w:r>
    </w:p>
    <w:p w:rsidR="007D17C5" w:rsidRPr="00143624" w:rsidRDefault="007D17C5" w:rsidP="007D17C5">
      <w:pPr>
        <w:pStyle w:val="paragraph"/>
      </w:pPr>
      <w:r w:rsidRPr="00143624">
        <w:lastRenderedPageBreak/>
        <w:tab/>
        <w:t>(a)</w:t>
      </w:r>
      <w:r w:rsidRPr="00143624">
        <w:tab/>
        <w:t>the redemption or buy back must not prejudice the company’s ability to pay its creditors; or</w:t>
      </w:r>
    </w:p>
    <w:p w:rsidR="007D17C5" w:rsidRPr="00143624" w:rsidRDefault="007D17C5" w:rsidP="007D17C5">
      <w:pPr>
        <w:pStyle w:val="paragraph"/>
      </w:pPr>
      <w:r w:rsidRPr="00143624">
        <w:tab/>
        <w:t>(b)</w:t>
      </w:r>
      <w:r w:rsidRPr="00143624">
        <w:tab/>
        <w:t>the redemption or buy back must not cause the company’s remaining assets to become insufficient to pay any of the company’s debts for which provision for payment has not otherwise been made.</w:t>
      </w:r>
    </w:p>
    <w:p w:rsidR="007D17C5" w:rsidRPr="00143624" w:rsidRDefault="007D17C5" w:rsidP="007D17C5">
      <w:pPr>
        <w:pStyle w:val="ActHead5"/>
      </w:pPr>
      <w:bookmarkStart w:id="169" w:name="_Toc64030425"/>
      <w:r w:rsidRPr="003F3E0B">
        <w:rPr>
          <w:rStyle w:val="CharSectno"/>
        </w:rPr>
        <w:t>974</w:t>
      </w:r>
      <w:r w:rsidR="00143624" w:rsidRPr="003F3E0B">
        <w:rPr>
          <w:rStyle w:val="CharSectno"/>
        </w:rPr>
        <w:noBreakHyphen/>
      </w:r>
      <w:r w:rsidRPr="003F3E0B">
        <w:rPr>
          <w:rStyle w:val="CharSectno"/>
        </w:rPr>
        <w:t>135.03</w:t>
      </w:r>
      <w:r w:rsidRPr="00143624">
        <w:t xml:space="preserve">  Term cumulative subordinated note with insolvency or capital adequacy conditions</w:t>
      </w:r>
      <w:bookmarkEnd w:id="169"/>
    </w:p>
    <w:p w:rsidR="007D17C5" w:rsidRPr="00143624" w:rsidRDefault="007D17C5" w:rsidP="007D17C5">
      <w:pPr>
        <w:pStyle w:val="subsection"/>
      </w:pPr>
      <w:r w:rsidRPr="00143624">
        <w:tab/>
        <w:t>(1)</w:t>
      </w:r>
      <w:r w:rsidRPr="00143624">
        <w:tab/>
        <w:t xml:space="preserve">This section applies to an obligation to pay the principal or interest on a relevant term subordinated note at a particular time on or after </w:t>
      </w:r>
      <w:r w:rsidR="00F5399E" w:rsidRPr="00143624">
        <w:t>1 July</w:t>
      </w:r>
      <w:r w:rsidRPr="00143624">
        <w:t xml:space="preserve"> 2001.</w:t>
      </w:r>
    </w:p>
    <w:p w:rsidR="007D17C5" w:rsidRPr="00143624" w:rsidRDefault="007D17C5" w:rsidP="007D17C5">
      <w:pPr>
        <w:pStyle w:val="subsection"/>
      </w:pPr>
      <w:r w:rsidRPr="00143624">
        <w:tab/>
        <w:t>(2)</w:t>
      </w:r>
      <w:r w:rsidRPr="00143624">
        <w:tab/>
        <w:t>For the purposes of paragraphs 974</w:t>
      </w:r>
      <w:r w:rsidR="00143624">
        <w:noBreakHyphen/>
      </w:r>
      <w:r w:rsidRPr="00143624">
        <w:t>135(8)(a) and (b) of the Act, the fact that the obligation is subject to insolvency or capital adequacy conditions does not in itself prevent the obligation from being a non</w:t>
      </w:r>
      <w:r w:rsidR="00143624">
        <w:noBreakHyphen/>
      </w:r>
      <w:r w:rsidRPr="00143624">
        <w:t>contingent obligation.</w:t>
      </w:r>
    </w:p>
    <w:p w:rsidR="007D17C5" w:rsidRPr="00143624" w:rsidRDefault="007D17C5" w:rsidP="007D17C5">
      <w:pPr>
        <w:pStyle w:val="SubsectionHead"/>
      </w:pPr>
      <w:r w:rsidRPr="00143624">
        <w:t xml:space="preserve">Meaning of </w:t>
      </w:r>
      <w:r w:rsidRPr="00143624">
        <w:rPr>
          <w:b/>
        </w:rPr>
        <w:t>relevant</w:t>
      </w:r>
    </w:p>
    <w:p w:rsidR="007D17C5" w:rsidRPr="00143624" w:rsidRDefault="007D17C5" w:rsidP="007D17C5">
      <w:pPr>
        <w:pStyle w:val="subsection"/>
      </w:pPr>
      <w:r w:rsidRPr="00143624">
        <w:tab/>
        <w:t>(3)</w:t>
      </w:r>
      <w:r w:rsidRPr="00143624">
        <w:tab/>
      </w:r>
      <w:r w:rsidRPr="00143624">
        <w:rPr>
          <w:color w:val="000000"/>
        </w:rPr>
        <w:t xml:space="preserve">A </w:t>
      </w:r>
      <w:r w:rsidRPr="00143624">
        <w:t xml:space="preserve">term subordinated note is </w:t>
      </w:r>
      <w:r w:rsidRPr="00143624">
        <w:rPr>
          <w:b/>
          <w:i/>
        </w:rPr>
        <w:t>relevant</w:t>
      </w:r>
      <w:r w:rsidRPr="00143624">
        <w:t xml:space="preserve"> if:</w:t>
      </w:r>
    </w:p>
    <w:p w:rsidR="007D17C5" w:rsidRPr="00143624" w:rsidRDefault="007D17C5" w:rsidP="007D17C5">
      <w:pPr>
        <w:pStyle w:val="paragraph"/>
      </w:pPr>
      <w:r w:rsidRPr="00143624">
        <w:tab/>
        <w:t>(a)</w:t>
      </w:r>
      <w:r w:rsidRPr="00143624">
        <w:tab/>
        <w:t>at the time of the note’s issue:</w:t>
      </w:r>
    </w:p>
    <w:p w:rsidR="007D17C5" w:rsidRPr="00143624" w:rsidRDefault="007D17C5" w:rsidP="007D17C5">
      <w:pPr>
        <w:pStyle w:val="paragraphsub"/>
      </w:pPr>
      <w:r w:rsidRPr="00143624">
        <w:tab/>
        <w:t>(i)</w:t>
      </w:r>
      <w:r w:rsidRPr="00143624">
        <w:tab/>
        <w:t>the note does not constitute or meet the requirements of a Tier 1 capital instrument; and</w:t>
      </w:r>
    </w:p>
    <w:p w:rsidR="007D17C5" w:rsidRPr="00143624" w:rsidRDefault="007D17C5" w:rsidP="007D17C5">
      <w:pPr>
        <w:pStyle w:val="paragraphsub"/>
      </w:pPr>
      <w:r w:rsidRPr="00143624">
        <w:tab/>
        <w:t>(ii)</w:t>
      </w:r>
      <w:r w:rsidRPr="00143624">
        <w:tab/>
        <w:t>the note does not form part of the Tier 1 capital of the issuer of the note, or a connected entity, and the reason for the note not doing so is not that the instrument is in excess of the Tier 1 capital required for the purposes of prudential standards that deal with capital adequacy; and</w:t>
      </w:r>
    </w:p>
    <w:p w:rsidR="007D17C5" w:rsidRPr="00143624" w:rsidRDefault="007D17C5" w:rsidP="007D17C5">
      <w:pPr>
        <w:pStyle w:val="paragraph"/>
      </w:pPr>
      <w:r w:rsidRPr="00143624">
        <w:tab/>
        <w:t>(b)</w:t>
      </w:r>
      <w:r w:rsidRPr="00143624">
        <w:tab/>
        <w:t>the note has a term of not more than 30 years; and</w:t>
      </w:r>
    </w:p>
    <w:p w:rsidR="007D17C5" w:rsidRPr="00143624" w:rsidRDefault="007D17C5" w:rsidP="007D17C5">
      <w:pPr>
        <w:pStyle w:val="paragraph"/>
      </w:pPr>
      <w:r w:rsidRPr="00143624">
        <w:tab/>
        <w:t>(c)</w:t>
      </w:r>
      <w:r w:rsidRPr="00143624">
        <w:tab/>
        <w:t>the note does not include an unconditional right to extend the term of the note beyond a total term of 30 years; and</w:t>
      </w:r>
    </w:p>
    <w:p w:rsidR="007D17C5" w:rsidRPr="00143624" w:rsidRDefault="007D17C5" w:rsidP="007D17C5">
      <w:pPr>
        <w:pStyle w:val="paragraph"/>
      </w:pPr>
      <w:r w:rsidRPr="00143624">
        <w:tab/>
        <w:t>(d)</w:t>
      </w:r>
      <w:r w:rsidRPr="00143624">
        <w:tab/>
        <w:t>the note is subject to a condition that any payment of the principal or interest beyond the date on which it would otherwise be payable must accumulate (with or without compounding); and</w:t>
      </w:r>
    </w:p>
    <w:p w:rsidR="007D17C5" w:rsidRPr="00143624" w:rsidRDefault="007D17C5" w:rsidP="007D17C5">
      <w:pPr>
        <w:pStyle w:val="paragraph"/>
      </w:pPr>
      <w:r w:rsidRPr="00143624">
        <w:tab/>
        <w:t>(e)</w:t>
      </w:r>
      <w:r w:rsidRPr="00143624">
        <w:tab/>
        <w:t>the note does not give the issuer of the note an unconditional right to decline to provide a financial benefit that is equal in nominal value to the issue price of the note to settle the obligations under the note.</w:t>
      </w:r>
    </w:p>
    <w:p w:rsidR="007D17C5" w:rsidRPr="00143624" w:rsidRDefault="007D17C5" w:rsidP="007D17C5">
      <w:pPr>
        <w:pStyle w:val="SubsectionHead"/>
      </w:pPr>
      <w:r w:rsidRPr="00143624">
        <w:t xml:space="preserve">Meaning of </w:t>
      </w:r>
      <w:r w:rsidRPr="00143624">
        <w:rPr>
          <w:b/>
        </w:rPr>
        <w:t>insolvency or capital adequacy conditions</w:t>
      </w:r>
    </w:p>
    <w:p w:rsidR="007D17C5" w:rsidRPr="00143624" w:rsidRDefault="007D17C5" w:rsidP="007D17C5">
      <w:pPr>
        <w:pStyle w:val="subsection"/>
      </w:pPr>
      <w:r w:rsidRPr="00143624">
        <w:tab/>
        <w:t>(4)</w:t>
      </w:r>
      <w:r w:rsidRPr="00143624">
        <w:tab/>
      </w:r>
      <w:r w:rsidRPr="00143624">
        <w:rPr>
          <w:color w:val="000000"/>
        </w:rPr>
        <w:t>C</w:t>
      </w:r>
      <w:r w:rsidRPr="00143624">
        <w:t xml:space="preserve">onditions applying to the obligation are </w:t>
      </w:r>
      <w:r w:rsidRPr="00143624">
        <w:rPr>
          <w:b/>
          <w:i/>
        </w:rPr>
        <w:t>insolvency or capital adequacy conditions</w:t>
      </w:r>
      <w:r w:rsidRPr="00143624">
        <w:t xml:space="preserve"> if they have the effect that the issuer of the note is obliged or able to defer the payment of the principal or interest beyond the date on which it would otherwise be payable if, on that date:</w:t>
      </w:r>
    </w:p>
    <w:p w:rsidR="007D17C5" w:rsidRPr="00143624" w:rsidRDefault="007D17C5" w:rsidP="007D17C5">
      <w:pPr>
        <w:pStyle w:val="paragraph"/>
      </w:pPr>
      <w:r w:rsidRPr="00143624">
        <w:tab/>
        <w:t>(a)</w:t>
      </w:r>
      <w:r w:rsidRPr="00143624">
        <w:tab/>
        <w:t>the issuer of the note is insolvent, or would become insolvent if the payment were made; or</w:t>
      </w:r>
    </w:p>
    <w:p w:rsidR="007D17C5" w:rsidRPr="00143624" w:rsidRDefault="007D17C5" w:rsidP="007D17C5">
      <w:pPr>
        <w:pStyle w:val="paragraph"/>
      </w:pPr>
      <w:r w:rsidRPr="00143624">
        <w:tab/>
        <w:t>(b)</w:t>
      </w:r>
      <w:r w:rsidRPr="00143624">
        <w:tab/>
        <w:t>if the issuer of the note is an entity that is regulated by APRA or a comparable foreign regulator—the issuer is in breach of its capital adequacy ratio or would be in breach if the payment were made.</w:t>
      </w:r>
    </w:p>
    <w:p w:rsidR="007D17C5" w:rsidRPr="00143624" w:rsidRDefault="007D17C5" w:rsidP="007D17C5">
      <w:pPr>
        <w:pStyle w:val="SubsectionHead"/>
      </w:pPr>
      <w:r w:rsidRPr="00143624">
        <w:lastRenderedPageBreak/>
        <w:t>Obligations to pay before 15</w:t>
      </w:r>
      <w:r w:rsidR="002B1A95" w:rsidRPr="00143624">
        <w:t> </w:t>
      </w:r>
      <w:r w:rsidRPr="00143624">
        <w:t>April 2010</w:t>
      </w:r>
    </w:p>
    <w:p w:rsidR="007D17C5" w:rsidRPr="00143624" w:rsidRDefault="007D17C5" w:rsidP="007D17C5">
      <w:pPr>
        <w:pStyle w:val="subsection"/>
      </w:pPr>
      <w:r w:rsidRPr="00143624">
        <w:tab/>
        <w:t>(5)</w:t>
      </w:r>
      <w:r w:rsidRPr="00143624">
        <w:tab/>
        <w:t>If the obligation is an obligation to pay at a time before 15</w:t>
      </w:r>
      <w:r w:rsidR="002B1A95" w:rsidRPr="00143624">
        <w:t> </w:t>
      </w:r>
      <w:r w:rsidRPr="00143624">
        <w:t>April 2010, this section applies only to the extent that applying it would not have the result that:</w:t>
      </w:r>
    </w:p>
    <w:p w:rsidR="007D17C5" w:rsidRPr="00143624" w:rsidRDefault="007D17C5" w:rsidP="007D17C5">
      <w:pPr>
        <w:pStyle w:val="paragraph"/>
      </w:pPr>
      <w:r w:rsidRPr="00143624">
        <w:tab/>
        <w:t>(a)</w:t>
      </w:r>
      <w:r w:rsidRPr="00143624">
        <w:tab/>
        <w:t>the rights of a person (other than the Commonwealth or an authority of the Commonwealth) immediately before 15</w:t>
      </w:r>
      <w:r w:rsidR="002B1A95" w:rsidRPr="00143624">
        <w:t> </w:t>
      </w:r>
      <w:r w:rsidRPr="00143624">
        <w:t>April 2010 would be affected so as to disadvantage the person; or</w:t>
      </w:r>
    </w:p>
    <w:p w:rsidR="007D17C5" w:rsidRPr="00143624" w:rsidRDefault="007D17C5" w:rsidP="007D17C5">
      <w:pPr>
        <w:pStyle w:val="paragraph"/>
      </w:pPr>
      <w:r w:rsidRPr="00143624">
        <w:tab/>
        <w:t>(b)</w:t>
      </w:r>
      <w:r w:rsidRPr="00143624">
        <w:tab/>
        <w:t>liabilities would be imposed on a person (other than the Commonwealth or an authority of the Commonwealth), for anything done or omitted to be done before 15</w:t>
      </w:r>
      <w:r w:rsidR="002B1A95" w:rsidRPr="00143624">
        <w:t> </w:t>
      </w:r>
      <w:r w:rsidRPr="00143624">
        <w:t>April 2010.</w:t>
      </w:r>
    </w:p>
    <w:p w:rsidR="007D17C5" w:rsidRPr="00143624" w:rsidRDefault="007D17C5" w:rsidP="007D17C5">
      <w:pPr>
        <w:pStyle w:val="ActHead5"/>
      </w:pPr>
      <w:bookmarkStart w:id="170" w:name="_Toc64030426"/>
      <w:r w:rsidRPr="003F3E0B">
        <w:rPr>
          <w:rStyle w:val="CharSectno"/>
        </w:rPr>
        <w:t>974</w:t>
      </w:r>
      <w:r w:rsidR="00143624" w:rsidRPr="003F3E0B">
        <w:rPr>
          <w:rStyle w:val="CharSectno"/>
        </w:rPr>
        <w:noBreakHyphen/>
      </w:r>
      <w:r w:rsidRPr="003F3E0B">
        <w:rPr>
          <w:rStyle w:val="CharSectno"/>
        </w:rPr>
        <w:t>135.04</w:t>
      </w:r>
      <w:r w:rsidRPr="00143624">
        <w:t xml:space="preserve">  Perpetual cumulative subordinated note with profitability, insolvency or negative earnings conditions</w:t>
      </w:r>
      <w:bookmarkEnd w:id="170"/>
    </w:p>
    <w:p w:rsidR="007D17C5" w:rsidRPr="00143624" w:rsidRDefault="007D17C5" w:rsidP="007D17C5">
      <w:pPr>
        <w:pStyle w:val="subsection"/>
      </w:pPr>
      <w:r w:rsidRPr="00143624">
        <w:rPr>
          <w:color w:val="000000"/>
        </w:rPr>
        <w:tab/>
        <w:t>(1)</w:t>
      </w:r>
      <w:r w:rsidRPr="00143624">
        <w:rPr>
          <w:color w:val="000000"/>
        </w:rPr>
        <w:tab/>
        <w:t xml:space="preserve">This section applies to an obligation to pay interest on a relevant perpetual subordinated note at a particular time on or after </w:t>
      </w:r>
      <w:r w:rsidR="00F5399E" w:rsidRPr="00143624">
        <w:rPr>
          <w:color w:val="000000"/>
        </w:rPr>
        <w:t>1 July</w:t>
      </w:r>
      <w:r w:rsidRPr="00143624">
        <w:rPr>
          <w:color w:val="000000"/>
        </w:rPr>
        <w:t xml:space="preserve"> 2001.</w:t>
      </w:r>
    </w:p>
    <w:p w:rsidR="007D17C5" w:rsidRPr="00143624" w:rsidRDefault="007D17C5" w:rsidP="007D17C5">
      <w:pPr>
        <w:pStyle w:val="subsection"/>
        <w:rPr>
          <w:color w:val="000000"/>
        </w:rPr>
      </w:pPr>
      <w:r w:rsidRPr="00143624">
        <w:rPr>
          <w:color w:val="000000"/>
        </w:rPr>
        <w:tab/>
        <w:t>(2)</w:t>
      </w:r>
      <w:r w:rsidRPr="00143624">
        <w:rPr>
          <w:color w:val="000000"/>
        </w:rPr>
        <w:tab/>
        <w:t>For the purposes of paragraphs 974</w:t>
      </w:r>
      <w:r w:rsidR="00143624">
        <w:rPr>
          <w:color w:val="000000"/>
        </w:rPr>
        <w:noBreakHyphen/>
      </w:r>
      <w:r w:rsidRPr="00143624">
        <w:rPr>
          <w:color w:val="000000"/>
        </w:rPr>
        <w:t>135(8)(a) and (b) of the Act, the fact that the obligation is subject to profitability, insolvency or negative earnings conditions does not in itself prevent the obligation from being a non</w:t>
      </w:r>
      <w:r w:rsidR="00143624">
        <w:rPr>
          <w:color w:val="000000"/>
        </w:rPr>
        <w:noBreakHyphen/>
      </w:r>
      <w:r w:rsidRPr="00143624">
        <w:rPr>
          <w:color w:val="000000"/>
        </w:rPr>
        <w:t>contingent obligation.</w:t>
      </w:r>
    </w:p>
    <w:p w:rsidR="007D17C5" w:rsidRPr="00143624" w:rsidRDefault="007D17C5" w:rsidP="007D17C5">
      <w:pPr>
        <w:pStyle w:val="SubsectionHead"/>
      </w:pPr>
      <w:r w:rsidRPr="00143624">
        <w:t xml:space="preserve">Meaning of </w:t>
      </w:r>
      <w:r w:rsidRPr="00143624">
        <w:rPr>
          <w:b/>
        </w:rPr>
        <w:t>relevant perpetual subordinated note</w:t>
      </w:r>
    </w:p>
    <w:p w:rsidR="007D17C5" w:rsidRPr="00143624" w:rsidRDefault="007D17C5" w:rsidP="007D17C5">
      <w:pPr>
        <w:pStyle w:val="subsection"/>
      </w:pPr>
      <w:r w:rsidRPr="00143624">
        <w:tab/>
        <w:t>(3)</w:t>
      </w:r>
      <w:r w:rsidRPr="00143624">
        <w:tab/>
        <w:t xml:space="preserve">A </w:t>
      </w:r>
      <w:r w:rsidRPr="00143624">
        <w:rPr>
          <w:b/>
          <w:i/>
        </w:rPr>
        <w:t>relevant perpetual subordinated note</w:t>
      </w:r>
      <w:r w:rsidRPr="00143624">
        <w:t xml:space="preserve"> is a perpetual subordinated note that:</w:t>
      </w:r>
    </w:p>
    <w:p w:rsidR="007D17C5" w:rsidRPr="00143624" w:rsidRDefault="007D17C5" w:rsidP="007D17C5">
      <w:pPr>
        <w:pStyle w:val="paragraph"/>
      </w:pPr>
      <w:r w:rsidRPr="00143624">
        <w:tab/>
        <w:t>(a)</w:t>
      </w:r>
      <w:r w:rsidRPr="00143624">
        <w:tab/>
        <w:t>at the time of the note’s issue:</w:t>
      </w:r>
    </w:p>
    <w:p w:rsidR="007D17C5" w:rsidRPr="00143624" w:rsidRDefault="007D17C5" w:rsidP="007D17C5">
      <w:pPr>
        <w:pStyle w:val="paragraphsub"/>
      </w:pPr>
      <w:r w:rsidRPr="00143624">
        <w:rPr>
          <w:color w:val="000000"/>
        </w:rPr>
        <w:tab/>
        <w:t>(i)</w:t>
      </w:r>
      <w:r w:rsidRPr="00143624">
        <w:rPr>
          <w:color w:val="000000"/>
        </w:rPr>
        <w:tab/>
        <w:t>does not constitute or meet the requirements of a Tier 1 capital instrument; and</w:t>
      </w:r>
    </w:p>
    <w:p w:rsidR="007D17C5" w:rsidRPr="00143624" w:rsidRDefault="007D17C5" w:rsidP="007D17C5">
      <w:pPr>
        <w:pStyle w:val="paragraphsub"/>
      </w:pPr>
      <w:r w:rsidRPr="00143624">
        <w:tab/>
        <w:t>(ii)</w:t>
      </w:r>
      <w:r w:rsidRPr="00143624">
        <w:tab/>
      </w:r>
      <w:r w:rsidRPr="00143624">
        <w:rPr>
          <w:shd w:val="clear" w:color="auto" w:fill="FFFFFF"/>
        </w:rPr>
        <w:t xml:space="preserve">does not form part of the Tier 1 capital of the issuer of the note, or a connected entity, and the reason for </w:t>
      </w:r>
      <w:r w:rsidRPr="00143624">
        <w:t>the note</w:t>
      </w:r>
      <w:r w:rsidRPr="00143624">
        <w:rPr>
          <w:shd w:val="clear" w:color="auto" w:fill="FFFFFF"/>
        </w:rPr>
        <w:t xml:space="preserve"> not doing so is not that the instrument is in excess of the Tier 1 capital required for the purposes of prudential standards that deal with capital adequacy</w:t>
      </w:r>
      <w:r w:rsidRPr="00143624">
        <w:t>; and</w:t>
      </w:r>
    </w:p>
    <w:p w:rsidR="007D17C5" w:rsidRPr="00143624" w:rsidRDefault="007D17C5" w:rsidP="007D17C5">
      <w:pPr>
        <w:pStyle w:val="paragraph"/>
      </w:pPr>
      <w:r w:rsidRPr="00143624">
        <w:rPr>
          <w:color w:val="000000"/>
        </w:rPr>
        <w:tab/>
        <w:t>(b)</w:t>
      </w:r>
      <w:r w:rsidRPr="00143624">
        <w:rPr>
          <w:color w:val="000000"/>
        </w:rPr>
        <w:tab/>
        <w:t>would be a debt interest but for the obligation being subject to one or more profitability, insolvency or negative earnings conditions; and</w:t>
      </w:r>
    </w:p>
    <w:p w:rsidR="007D17C5" w:rsidRPr="00143624" w:rsidRDefault="007D17C5" w:rsidP="007D17C5">
      <w:pPr>
        <w:pStyle w:val="paragraph"/>
      </w:pPr>
      <w:r w:rsidRPr="00143624">
        <w:tab/>
        <w:t>(c)</w:t>
      </w:r>
      <w:r w:rsidRPr="00143624">
        <w:tab/>
        <w:t>is subject to the condition that any deferred interest must accumulate (with or without compounding); and</w:t>
      </w:r>
    </w:p>
    <w:p w:rsidR="007D17C5" w:rsidRPr="00143624" w:rsidRDefault="007D17C5" w:rsidP="007D17C5">
      <w:pPr>
        <w:pStyle w:val="paragraph"/>
      </w:pPr>
      <w:r w:rsidRPr="00143624">
        <w:tab/>
        <w:t>(d)</w:t>
      </w:r>
      <w:r w:rsidRPr="00143624">
        <w:tab/>
        <w:t>was issued by:</w:t>
      </w:r>
    </w:p>
    <w:p w:rsidR="007D17C5" w:rsidRPr="00143624" w:rsidRDefault="007D17C5" w:rsidP="007D17C5">
      <w:pPr>
        <w:pStyle w:val="paragraphsub"/>
      </w:pPr>
      <w:r w:rsidRPr="00143624">
        <w:rPr>
          <w:color w:val="000000"/>
        </w:rPr>
        <w:tab/>
        <w:t>(i)</w:t>
      </w:r>
      <w:r w:rsidRPr="00143624">
        <w:rPr>
          <w:color w:val="000000"/>
        </w:rPr>
        <w:tab/>
        <w:t>an ADI that is a bank or non</w:t>
      </w:r>
      <w:r w:rsidR="00143624">
        <w:rPr>
          <w:color w:val="000000"/>
        </w:rPr>
        <w:noBreakHyphen/>
      </w:r>
      <w:r w:rsidRPr="00143624">
        <w:rPr>
          <w:color w:val="000000"/>
        </w:rPr>
        <w:t>mutual building society and that is regulated for prudential purposes by APRA; or</w:t>
      </w:r>
    </w:p>
    <w:p w:rsidR="007D17C5" w:rsidRPr="00143624" w:rsidRDefault="007D17C5" w:rsidP="007D17C5">
      <w:pPr>
        <w:pStyle w:val="paragraphsub"/>
      </w:pPr>
      <w:r w:rsidRPr="00143624">
        <w:tab/>
        <w:t>(ii)</w:t>
      </w:r>
      <w:r w:rsidRPr="00143624">
        <w:tab/>
        <w:t xml:space="preserve">a subsidiary of an ADI mentioned in </w:t>
      </w:r>
      <w:r w:rsidR="002B1A95" w:rsidRPr="00143624">
        <w:t>subparagraph (</w:t>
      </w:r>
      <w:r w:rsidRPr="00143624">
        <w:t>i), being a subsidiary that is regulated with the ADI for prudential purposes by APRA; or</w:t>
      </w:r>
    </w:p>
    <w:p w:rsidR="007D17C5" w:rsidRPr="00143624" w:rsidRDefault="007D17C5" w:rsidP="007D17C5">
      <w:pPr>
        <w:pStyle w:val="paragraphsub"/>
      </w:pPr>
      <w:r w:rsidRPr="00143624">
        <w:tab/>
        <w:t>(iii)</w:t>
      </w:r>
      <w:r w:rsidRPr="00143624">
        <w:tab/>
        <w:t xml:space="preserve">an entity that </w:t>
      </w:r>
      <w:r w:rsidRPr="00143624">
        <w:rPr>
          <w:color w:val="000000"/>
        </w:rPr>
        <w:t xml:space="preserve">has undertaken to comply with prudential standards, issued by APRA, that deal with capital adequacy and </w:t>
      </w:r>
      <w:r w:rsidRPr="00143624">
        <w:t>is regulated for prudential purposes by APRA; or</w:t>
      </w:r>
    </w:p>
    <w:p w:rsidR="007D17C5" w:rsidRPr="00143624" w:rsidRDefault="007D17C5" w:rsidP="007D17C5">
      <w:pPr>
        <w:pStyle w:val="paragraphsub"/>
      </w:pPr>
      <w:r w:rsidRPr="00143624">
        <w:rPr>
          <w:color w:val="000000"/>
        </w:rPr>
        <w:tab/>
        <w:t>(iv)</w:t>
      </w:r>
      <w:r w:rsidRPr="00143624">
        <w:rPr>
          <w:color w:val="000000"/>
        </w:rPr>
        <w:tab/>
        <w:t xml:space="preserve">a subsidiary of an entity mentioned in </w:t>
      </w:r>
      <w:r w:rsidR="002B1A95" w:rsidRPr="00143624">
        <w:rPr>
          <w:color w:val="000000"/>
        </w:rPr>
        <w:t>subparagraph (</w:t>
      </w:r>
      <w:r w:rsidRPr="00143624">
        <w:rPr>
          <w:color w:val="000000"/>
        </w:rPr>
        <w:t>iii) that is covered by the undertaking mentioned in that subparagraph; or</w:t>
      </w:r>
    </w:p>
    <w:p w:rsidR="007D17C5" w:rsidRPr="00143624" w:rsidRDefault="007D17C5" w:rsidP="007D17C5">
      <w:pPr>
        <w:pStyle w:val="paragraphsub"/>
      </w:pPr>
      <w:r w:rsidRPr="00143624">
        <w:tab/>
        <w:t>(v)</w:t>
      </w:r>
      <w:r w:rsidRPr="00143624">
        <w:tab/>
        <w:t xml:space="preserve">an entity that is regulated for prudential purposes </w:t>
      </w:r>
      <w:r w:rsidRPr="00143624">
        <w:rPr>
          <w:color w:val="000000"/>
        </w:rPr>
        <w:t xml:space="preserve">by a foreign prudential regulator that has a prudential regulatory role comparable to that of APRA and </w:t>
      </w:r>
      <w:r w:rsidRPr="00143624">
        <w:t>under ADI capital adequacy requirements comparable to those of APRA; and</w:t>
      </w:r>
    </w:p>
    <w:p w:rsidR="007D17C5" w:rsidRPr="00143624" w:rsidRDefault="007D17C5" w:rsidP="007D17C5">
      <w:pPr>
        <w:pStyle w:val="paragraph"/>
      </w:pPr>
      <w:r w:rsidRPr="00143624">
        <w:lastRenderedPageBreak/>
        <w:tab/>
        <w:t>(e)</w:t>
      </w:r>
      <w:r w:rsidRPr="00143624">
        <w:tab/>
        <w:t>does not give the issuer of the note an unconditional right to decline to provide a financial benefit that is equal in nominal value to the issue price of the note to settle the obligations under the note.</w:t>
      </w:r>
    </w:p>
    <w:p w:rsidR="007D17C5" w:rsidRPr="00143624" w:rsidRDefault="007D17C5" w:rsidP="007D17C5">
      <w:pPr>
        <w:pStyle w:val="SubsectionHead"/>
      </w:pPr>
      <w:r w:rsidRPr="00143624">
        <w:t xml:space="preserve">Meaning of </w:t>
      </w:r>
      <w:r w:rsidRPr="00143624">
        <w:rPr>
          <w:b/>
        </w:rPr>
        <w:t>profitability, insolvency or negative earnings conditions</w:t>
      </w:r>
    </w:p>
    <w:p w:rsidR="007D17C5" w:rsidRPr="00143624" w:rsidRDefault="007D17C5" w:rsidP="007D17C5">
      <w:pPr>
        <w:pStyle w:val="subsection"/>
      </w:pPr>
      <w:r w:rsidRPr="00143624">
        <w:tab/>
        <w:t>(4)</w:t>
      </w:r>
      <w:r w:rsidRPr="00143624">
        <w:tab/>
        <w:t xml:space="preserve">Conditions applying to the obligation are </w:t>
      </w:r>
      <w:r w:rsidRPr="00143624">
        <w:rPr>
          <w:b/>
          <w:i/>
        </w:rPr>
        <w:t>profitability, insolvency or negative earnings conditions</w:t>
      </w:r>
      <w:r w:rsidRPr="00143624">
        <w:t xml:space="preserve"> if they have the effect that the issuer of the note is able, or obliged, to defer the payment of the interest (with or without compounding) beyond the date on which it would otherwise be payable if, on that date:</w:t>
      </w:r>
    </w:p>
    <w:p w:rsidR="007D17C5" w:rsidRPr="00143624" w:rsidRDefault="007D17C5" w:rsidP="007D17C5">
      <w:pPr>
        <w:pStyle w:val="paragraph"/>
      </w:pPr>
      <w:r w:rsidRPr="00143624">
        <w:rPr>
          <w:color w:val="000000"/>
        </w:rPr>
        <w:tab/>
        <w:t>(a)</w:t>
      </w:r>
      <w:r w:rsidRPr="00143624">
        <w:rPr>
          <w:color w:val="000000"/>
        </w:rPr>
        <w:tab/>
        <w:t>profitability does not justify the payment; or</w:t>
      </w:r>
    </w:p>
    <w:p w:rsidR="007D17C5" w:rsidRPr="00143624" w:rsidRDefault="007D17C5" w:rsidP="007D17C5">
      <w:pPr>
        <w:pStyle w:val="paragraph"/>
      </w:pPr>
      <w:r w:rsidRPr="00143624">
        <w:tab/>
        <w:t>(b)</w:t>
      </w:r>
      <w:r w:rsidRPr="00143624">
        <w:tab/>
        <w:t>the issuer of the note is insolvent, or would become insolvent if the payment were made; or</w:t>
      </w:r>
    </w:p>
    <w:p w:rsidR="007D17C5" w:rsidRPr="00143624" w:rsidRDefault="007D17C5" w:rsidP="007D17C5">
      <w:pPr>
        <w:pStyle w:val="paragraph"/>
      </w:pPr>
      <w:r w:rsidRPr="00143624">
        <w:tab/>
        <w:t>(c)</w:t>
      </w:r>
      <w:r w:rsidRPr="00143624">
        <w:tab/>
        <w:t>a dividend has not been declared or paid on a class or classes of share capital of the issuer during a specified period that:</w:t>
      </w:r>
    </w:p>
    <w:p w:rsidR="007D17C5" w:rsidRPr="00143624" w:rsidRDefault="007D17C5" w:rsidP="007D17C5">
      <w:pPr>
        <w:pStyle w:val="paragraphsub"/>
      </w:pPr>
      <w:r w:rsidRPr="00143624">
        <w:rPr>
          <w:color w:val="000000"/>
        </w:rPr>
        <w:tab/>
        <w:t>(i)</w:t>
      </w:r>
      <w:r w:rsidRPr="00143624">
        <w:rPr>
          <w:color w:val="000000"/>
        </w:rPr>
        <w:tab/>
        <w:t>immediately precedes that date; and</w:t>
      </w:r>
    </w:p>
    <w:p w:rsidR="007D17C5" w:rsidRPr="00143624" w:rsidRDefault="007D17C5" w:rsidP="007D17C5">
      <w:pPr>
        <w:pStyle w:val="paragraphsub"/>
      </w:pPr>
      <w:r w:rsidRPr="00143624">
        <w:tab/>
        <w:t>(ii)</w:t>
      </w:r>
      <w:r w:rsidRPr="00143624">
        <w:tab/>
        <w:t>is no more than 24 months; or</w:t>
      </w:r>
    </w:p>
    <w:p w:rsidR="007D17C5" w:rsidRPr="00143624" w:rsidRDefault="007D17C5" w:rsidP="007D17C5">
      <w:pPr>
        <w:pStyle w:val="paragraph"/>
        <w:rPr>
          <w:color w:val="000000"/>
        </w:rPr>
      </w:pPr>
      <w:r w:rsidRPr="00143624">
        <w:rPr>
          <w:color w:val="000000"/>
        </w:rPr>
        <w:tab/>
        <w:t>(d)</w:t>
      </w:r>
      <w:r w:rsidRPr="00143624">
        <w:rPr>
          <w:color w:val="000000"/>
        </w:rPr>
        <w:tab/>
        <w:t>the issuer’s retained earnings are negative, or would be negative if the payment were made.</w:t>
      </w:r>
    </w:p>
    <w:p w:rsidR="007D17C5" w:rsidRPr="00143624" w:rsidRDefault="007D17C5" w:rsidP="007D17C5">
      <w:pPr>
        <w:pStyle w:val="SubsectionHead"/>
      </w:pPr>
      <w:r w:rsidRPr="00143624">
        <w:t>Obligations to pay before 16</w:t>
      </w:r>
      <w:r w:rsidR="002B1A95" w:rsidRPr="00143624">
        <w:t> </w:t>
      </w:r>
      <w:r w:rsidRPr="00143624">
        <w:t>March 2011</w:t>
      </w:r>
    </w:p>
    <w:p w:rsidR="007D17C5" w:rsidRPr="00143624" w:rsidRDefault="007D17C5" w:rsidP="007D17C5">
      <w:pPr>
        <w:pStyle w:val="subsection"/>
      </w:pPr>
      <w:r w:rsidRPr="00143624">
        <w:tab/>
        <w:t>(5)</w:t>
      </w:r>
      <w:r w:rsidRPr="00143624">
        <w:tab/>
        <w:t>If the obligation is an obligation to pay at a time before 16</w:t>
      </w:r>
      <w:r w:rsidR="002B1A95" w:rsidRPr="00143624">
        <w:t> </w:t>
      </w:r>
      <w:r w:rsidRPr="00143624">
        <w:t>March 2011 this section applies only to the extent that applying it would not have the result that:</w:t>
      </w:r>
    </w:p>
    <w:p w:rsidR="007D17C5" w:rsidRPr="00143624" w:rsidRDefault="007D17C5" w:rsidP="007D17C5">
      <w:pPr>
        <w:pStyle w:val="paragraph"/>
        <w:jc w:val="both"/>
      </w:pPr>
      <w:r w:rsidRPr="00143624">
        <w:rPr>
          <w:color w:val="000000"/>
        </w:rPr>
        <w:tab/>
        <w:t>(a)</w:t>
      </w:r>
      <w:r w:rsidRPr="00143624">
        <w:rPr>
          <w:color w:val="000000"/>
        </w:rPr>
        <w:tab/>
        <w:t>the rights of a person (other than the Commonwealth or an authority of the Commonwealth) immediately before that day would be affected so as to disadvantage that person; or</w:t>
      </w:r>
    </w:p>
    <w:p w:rsidR="007D17C5" w:rsidRPr="00143624" w:rsidRDefault="007D17C5" w:rsidP="007D17C5">
      <w:pPr>
        <w:pStyle w:val="paragraph"/>
      </w:pPr>
      <w:r w:rsidRPr="00143624">
        <w:tab/>
        <w:t>(b)</w:t>
      </w:r>
      <w:r w:rsidRPr="00143624">
        <w:tab/>
        <w:t>liabilities would be imposed on a person (other than the Commonwealth or an authority of the Commonwealth) for anything done or omitted to be done before that day.</w:t>
      </w:r>
    </w:p>
    <w:p w:rsidR="007D17C5" w:rsidRPr="00143624" w:rsidRDefault="007D17C5" w:rsidP="007D17C5">
      <w:pPr>
        <w:pStyle w:val="notetext"/>
        <w:rPr>
          <w:color w:val="000000"/>
        </w:rPr>
      </w:pPr>
      <w:r w:rsidRPr="00143624">
        <w:rPr>
          <w:color w:val="000000"/>
        </w:rPr>
        <w:t>Note:</w:t>
      </w:r>
      <w:r w:rsidRPr="00143624">
        <w:rPr>
          <w:color w:val="000000"/>
        </w:rPr>
        <w:tab/>
        <w:t>The application of this section to a perpetual subordinated note does not mean that the note, together with one or more related schemes, cannot give rise to an equity interest.</w:t>
      </w:r>
    </w:p>
    <w:p w:rsidR="007D17C5" w:rsidRPr="00143624" w:rsidRDefault="007D17C5" w:rsidP="007D17C5">
      <w:pPr>
        <w:pStyle w:val="ActHead5"/>
      </w:pPr>
      <w:bookmarkStart w:id="171" w:name="_Toc64030427"/>
      <w:r w:rsidRPr="003F3E0B">
        <w:rPr>
          <w:rStyle w:val="CharSectno"/>
        </w:rPr>
        <w:t>974</w:t>
      </w:r>
      <w:r w:rsidR="00143624" w:rsidRPr="003F3E0B">
        <w:rPr>
          <w:rStyle w:val="CharSectno"/>
        </w:rPr>
        <w:noBreakHyphen/>
      </w:r>
      <w:r w:rsidRPr="003F3E0B">
        <w:rPr>
          <w:rStyle w:val="CharSectno"/>
        </w:rPr>
        <w:t>135.05</w:t>
      </w:r>
      <w:r w:rsidRPr="00143624">
        <w:t xml:space="preserve">  Term cumulative subordinated note with non</w:t>
      </w:r>
      <w:r w:rsidR="00143624">
        <w:noBreakHyphen/>
      </w:r>
      <w:r w:rsidRPr="00143624">
        <w:t>viability condition</w:t>
      </w:r>
      <w:bookmarkEnd w:id="171"/>
    </w:p>
    <w:p w:rsidR="007D17C5" w:rsidRPr="00143624" w:rsidRDefault="007D17C5" w:rsidP="007D17C5">
      <w:pPr>
        <w:pStyle w:val="subsection"/>
      </w:pPr>
      <w:r w:rsidRPr="00143624">
        <w:tab/>
        <w:t>(1)</w:t>
      </w:r>
      <w:r w:rsidRPr="00143624">
        <w:tab/>
        <w:t>This section applies to an obligation to pay the principal or interest on a relevant term subordinated note at a particular time on or after 12</w:t>
      </w:r>
      <w:r w:rsidR="002B1A95" w:rsidRPr="00143624">
        <w:t> </w:t>
      </w:r>
      <w:r w:rsidRPr="00143624">
        <w:t>December 2012.</w:t>
      </w:r>
    </w:p>
    <w:p w:rsidR="007D17C5" w:rsidRPr="00143624" w:rsidRDefault="007D17C5" w:rsidP="007D17C5">
      <w:pPr>
        <w:pStyle w:val="subsection"/>
      </w:pPr>
      <w:r w:rsidRPr="00143624">
        <w:tab/>
        <w:t>(2)</w:t>
      </w:r>
      <w:r w:rsidRPr="00143624">
        <w:tab/>
        <w:t>For the purposes of paragraphs 974</w:t>
      </w:r>
      <w:r w:rsidR="00143624">
        <w:noBreakHyphen/>
      </w:r>
      <w:r w:rsidRPr="00143624">
        <w:t>135(8)(a) and (b) of the Act, the fact that the obligation is subject to a non</w:t>
      </w:r>
      <w:r w:rsidR="00143624">
        <w:noBreakHyphen/>
      </w:r>
      <w:r w:rsidRPr="00143624">
        <w:t>viability condition does not in itself prevent the obligation from being a non</w:t>
      </w:r>
      <w:r w:rsidR="00143624">
        <w:noBreakHyphen/>
      </w:r>
      <w:r w:rsidRPr="00143624">
        <w:t>contingent obligation.</w:t>
      </w:r>
    </w:p>
    <w:p w:rsidR="007D17C5" w:rsidRPr="00143624" w:rsidRDefault="007D17C5" w:rsidP="007D17C5">
      <w:pPr>
        <w:pStyle w:val="SubsectionHead"/>
      </w:pPr>
      <w:r w:rsidRPr="00143624">
        <w:t xml:space="preserve">Meaning of </w:t>
      </w:r>
      <w:r w:rsidRPr="00143624">
        <w:rPr>
          <w:b/>
        </w:rPr>
        <w:t>relevant</w:t>
      </w:r>
    </w:p>
    <w:p w:rsidR="007D17C5" w:rsidRPr="00143624" w:rsidRDefault="007D17C5" w:rsidP="007D17C5">
      <w:pPr>
        <w:pStyle w:val="subsection"/>
      </w:pPr>
      <w:r w:rsidRPr="00143624">
        <w:tab/>
        <w:t>(3)</w:t>
      </w:r>
      <w:r w:rsidRPr="00143624">
        <w:tab/>
        <w:t xml:space="preserve">A term subordinated note is </w:t>
      </w:r>
      <w:r w:rsidRPr="00143624">
        <w:rPr>
          <w:b/>
          <w:i/>
        </w:rPr>
        <w:t>relevant</w:t>
      </w:r>
      <w:r w:rsidRPr="00143624">
        <w:t xml:space="preserve"> if:</w:t>
      </w:r>
    </w:p>
    <w:p w:rsidR="007D17C5" w:rsidRPr="00143624" w:rsidRDefault="007D17C5" w:rsidP="007D17C5">
      <w:pPr>
        <w:pStyle w:val="paragraph"/>
      </w:pPr>
      <w:r w:rsidRPr="00143624">
        <w:tab/>
        <w:t>(a)</w:t>
      </w:r>
      <w:r w:rsidRPr="00143624">
        <w:tab/>
        <w:t>the note is issued by an entity regulated for prudential purposes by APRA or a subsidiary of an entity that is regulated for prudential purposes by APRA; and</w:t>
      </w:r>
    </w:p>
    <w:p w:rsidR="007D17C5" w:rsidRPr="00143624" w:rsidRDefault="007D17C5" w:rsidP="007D17C5">
      <w:pPr>
        <w:pStyle w:val="paragraph"/>
      </w:pPr>
      <w:r w:rsidRPr="00143624">
        <w:tab/>
        <w:t>(b)</w:t>
      </w:r>
      <w:r w:rsidRPr="00143624">
        <w:tab/>
        <w:t>when the note is issued:</w:t>
      </w:r>
    </w:p>
    <w:p w:rsidR="007D17C5" w:rsidRPr="00143624" w:rsidRDefault="007D17C5" w:rsidP="007D17C5">
      <w:pPr>
        <w:pStyle w:val="paragraphsub"/>
      </w:pPr>
      <w:r w:rsidRPr="00143624">
        <w:tab/>
        <w:t>(i)</w:t>
      </w:r>
      <w:r w:rsidRPr="00143624">
        <w:tab/>
        <w:t>the note does not constitute or meet the requirements of a Tier 1 capital instrument; and</w:t>
      </w:r>
    </w:p>
    <w:p w:rsidR="007D17C5" w:rsidRPr="00143624" w:rsidRDefault="007D17C5" w:rsidP="007D17C5">
      <w:pPr>
        <w:pStyle w:val="paragraphsub"/>
      </w:pPr>
      <w:r w:rsidRPr="00143624">
        <w:lastRenderedPageBreak/>
        <w:tab/>
        <w:t>(ii)</w:t>
      </w:r>
      <w:r w:rsidRPr="00143624">
        <w:tab/>
        <w:t>the note does not form part of the Tier 1 capital of the issuer of the note, and the reason for the note not doing so is not that the instrument is in excess of the Tier 1 capital required for the purposes of prudential standards that deal with capital adequacy; and</w:t>
      </w:r>
    </w:p>
    <w:p w:rsidR="007D17C5" w:rsidRPr="00143624" w:rsidRDefault="007D17C5" w:rsidP="007D17C5">
      <w:pPr>
        <w:pStyle w:val="paragraph"/>
      </w:pPr>
      <w:r w:rsidRPr="00143624">
        <w:tab/>
        <w:t>(c)</w:t>
      </w:r>
      <w:r w:rsidRPr="00143624">
        <w:tab/>
        <w:t>the note has a term of no more than 30 years, and the note does not include an unconditional right to extend the term of the note beyond a total term of 30 years; and</w:t>
      </w:r>
    </w:p>
    <w:p w:rsidR="007D17C5" w:rsidRPr="00143624" w:rsidRDefault="007D17C5" w:rsidP="007D17C5">
      <w:pPr>
        <w:pStyle w:val="paragraph"/>
      </w:pPr>
      <w:r w:rsidRPr="00143624">
        <w:tab/>
        <w:t>(d)</w:t>
      </w:r>
      <w:r w:rsidRPr="00143624">
        <w:tab/>
        <w:t>the note is subject to a condition that, unless a non</w:t>
      </w:r>
      <w:r w:rsidR="00143624">
        <w:noBreakHyphen/>
      </w:r>
      <w:r w:rsidRPr="00143624">
        <w:t>viability trigger event occurs, any payment of the principal or interest beyond the date on which it would otherwise be payable must accumulate (with or without compounding); and</w:t>
      </w:r>
    </w:p>
    <w:p w:rsidR="007D17C5" w:rsidRPr="00143624" w:rsidRDefault="007D17C5" w:rsidP="007D17C5">
      <w:pPr>
        <w:pStyle w:val="paragraph"/>
      </w:pPr>
      <w:r w:rsidRPr="00143624">
        <w:tab/>
        <w:t>(e)</w:t>
      </w:r>
      <w:r w:rsidRPr="00143624">
        <w:tab/>
        <w:t>the note does not give the issuer of the note an unconditional right to decline to provide a financial benefit that is equal in nominal value to the issue price of the note to settle the obligations under the note.</w:t>
      </w:r>
    </w:p>
    <w:p w:rsidR="007D17C5" w:rsidRPr="00143624" w:rsidRDefault="007D17C5" w:rsidP="007D17C5">
      <w:pPr>
        <w:pStyle w:val="notetext"/>
      </w:pPr>
      <w:r w:rsidRPr="00143624">
        <w:t>Note:</w:t>
      </w:r>
      <w:r w:rsidRPr="00143624">
        <w:tab/>
        <w:t>Whether the note constitutes or meets the requirements of a Tier 1 capital instrument, or forms part of the Tier 1 capital of the issuer, is determined under the prudential standards that apply to the issuer.</w:t>
      </w:r>
    </w:p>
    <w:p w:rsidR="007D17C5" w:rsidRPr="00143624" w:rsidRDefault="007D17C5" w:rsidP="007D17C5">
      <w:pPr>
        <w:pStyle w:val="SubsectionHead"/>
      </w:pPr>
      <w:r w:rsidRPr="00143624">
        <w:t xml:space="preserve">Meaning of </w:t>
      </w:r>
      <w:r w:rsidRPr="00143624">
        <w:rPr>
          <w:b/>
        </w:rPr>
        <w:t>non</w:t>
      </w:r>
      <w:r w:rsidR="00143624">
        <w:rPr>
          <w:b/>
        </w:rPr>
        <w:noBreakHyphen/>
      </w:r>
      <w:r w:rsidRPr="00143624">
        <w:rPr>
          <w:b/>
        </w:rPr>
        <w:t>viability condition</w:t>
      </w:r>
    </w:p>
    <w:p w:rsidR="007D17C5" w:rsidRPr="00143624" w:rsidRDefault="007D17C5" w:rsidP="007D17C5">
      <w:pPr>
        <w:pStyle w:val="subsection"/>
      </w:pPr>
      <w:r w:rsidRPr="00143624">
        <w:tab/>
        <w:t>(4)</w:t>
      </w:r>
      <w:r w:rsidRPr="00143624">
        <w:tab/>
        <w:t xml:space="preserve">A condition applying to the obligation is a </w:t>
      </w:r>
      <w:r w:rsidRPr="00143624">
        <w:rPr>
          <w:b/>
          <w:i/>
        </w:rPr>
        <w:t>non</w:t>
      </w:r>
      <w:r w:rsidR="00143624">
        <w:rPr>
          <w:b/>
          <w:i/>
        </w:rPr>
        <w:noBreakHyphen/>
      </w:r>
      <w:r w:rsidRPr="00143624">
        <w:rPr>
          <w:b/>
          <w:i/>
        </w:rPr>
        <w:t>viability condition</w:t>
      </w:r>
      <w:r w:rsidRPr="00143624">
        <w:t xml:space="preserve"> if the condition has the effect that, if a non</w:t>
      </w:r>
      <w:r w:rsidR="00143624">
        <w:noBreakHyphen/>
      </w:r>
      <w:r w:rsidRPr="00143624">
        <w:t>viability trigger event occurs, the note must be:</w:t>
      </w:r>
    </w:p>
    <w:p w:rsidR="007D17C5" w:rsidRPr="00143624" w:rsidRDefault="007D17C5" w:rsidP="007D17C5">
      <w:pPr>
        <w:pStyle w:val="paragraph"/>
      </w:pPr>
      <w:r w:rsidRPr="00143624">
        <w:tab/>
        <w:t>(a)</w:t>
      </w:r>
      <w:r w:rsidRPr="00143624">
        <w:tab/>
        <w:t>written off; or</w:t>
      </w:r>
    </w:p>
    <w:p w:rsidR="007D17C5" w:rsidRPr="00143624" w:rsidRDefault="007D17C5" w:rsidP="007D17C5">
      <w:pPr>
        <w:pStyle w:val="paragraph"/>
      </w:pPr>
      <w:r w:rsidRPr="00143624">
        <w:tab/>
        <w:t>(b)</w:t>
      </w:r>
      <w:r w:rsidRPr="00143624">
        <w:tab/>
        <w:t>converted into ordinary shares of the issuer of the note or of a parent entity of the issuer; or</w:t>
      </w:r>
    </w:p>
    <w:p w:rsidR="007D17C5" w:rsidRPr="00143624" w:rsidRDefault="007D17C5" w:rsidP="007D17C5">
      <w:pPr>
        <w:pStyle w:val="paragraph"/>
      </w:pPr>
      <w:r w:rsidRPr="00143624">
        <w:tab/>
        <w:t>(c)</w:t>
      </w:r>
      <w:r w:rsidRPr="00143624">
        <w:tab/>
        <w:t>converted into mutual equity interests of the issuer of the note or of a parent entity of the issuer.</w:t>
      </w:r>
    </w:p>
    <w:p w:rsidR="007D17C5" w:rsidRPr="00143624" w:rsidRDefault="007D17C5" w:rsidP="007D17C5">
      <w:pPr>
        <w:pStyle w:val="SubsectionHead"/>
      </w:pPr>
      <w:r w:rsidRPr="00143624">
        <w:t xml:space="preserve">Meaning of </w:t>
      </w:r>
      <w:r w:rsidRPr="00143624">
        <w:rPr>
          <w:b/>
        </w:rPr>
        <w:t>non</w:t>
      </w:r>
      <w:r w:rsidR="00143624">
        <w:rPr>
          <w:b/>
        </w:rPr>
        <w:noBreakHyphen/>
      </w:r>
      <w:r w:rsidRPr="00143624">
        <w:rPr>
          <w:b/>
        </w:rPr>
        <w:t>viability trigger event</w:t>
      </w:r>
    </w:p>
    <w:p w:rsidR="007D17C5" w:rsidRPr="00143624" w:rsidRDefault="007D17C5" w:rsidP="007D17C5">
      <w:pPr>
        <w:pStyle w:val="subsection"/>
      </w:pPr>
      <w:r w:rsidRPr="00143624">
        <w:tab/>
        <w:t>(5)</w:t>
      </w:r>
      <w:r w:rsidRPr="00143624">
        <w:tab/>
        <w:t xml:space="preserve">A </w:t>
      </w:r>
      <w:r w:rsidRPr="00143624">
        <w:rPr>
          <w:b/>
          <w:i/>
        </w:rPr>
        <w:t>non</w:t>
      </w:r>
      <w:r w:rsidR="00143624">
        <w:rPr>
          <w:b/>
          <w:i/>
        </w:rPr>
        <w:noBreakHyphen/>
      </w:r>
      <w:r w:rsidRPr="00143624">
        <w:rPr>
          <w:b/>
          <w:i/>
        </w:rPr>
        <w:t>viability trigger event</w:t>
      </w:r>
      <w:r w:rsidRPr="00143624">
        <w:t>, in relation to a note, is any of the following:</w:t>
      </w:r>
    </w:p>
    <w:p w:rsidR="007D17C5" w:rsidRPr="00143624" w:rsidRDefault="007D17C5" w:rsidP="007D17C5">
      <w:pPr>
        <w:pStyle w:val="paragraph"/>
      </w:pPr>
      <w:r w:rsidRPr="00143624">
        <w:tab/>
        <w:t>(a)</w:t>
      </w:r>
      <w:r w:rsidRPr="00143624">
        <w:tab/>
        <w:t>APRA or a comparable foreign regulator issues a notice, in writing, to the issuer of the note stating that conversion or write</w:t>
      </w:r>
      <w:r w:rsidR="00143624">
        <w:noBreakHyphen/>
      </w:r>
      <w:r w:rsidRPr="00143624">
        <w:t>off of capital instruments issued by the issuer is necessary because, without it, APRA or the foreign regulator considers that the issuer will become non</w:t>
      </w:r>
      <w:r w:rsidR="00143624">
        <w:noBreakHyphen/>
      </w:r>
      <w:r w:rsidRPr="00143624">
        <w:t>viable;</w:t>
      </w:r>
    </w:p>
    <w:p w:rsidR="007D17C5" w:rsidRPr="00143624" w:rsidRDefault="007D17C5" w:rsidP="007D17C5">
      <w:pPr>
        <w:pStyle w:val="paragraph"/>
      </w:pPr>
      <w:r w:rsidRPr="00143624">
        <w:tab/>
        <w:t>(b)</w:t>
      </w:r>
      <w:r w:rsidRPr="00143624">
        <w:tab/>
        <w:t>APRA or a comparable foreign regulator determines, in writing given to the issuer of the note, that without an injection of capital, or equivalent support, from the public sector</w:t>
      </w:r>
      <w:r w:rsidRPr="00143624">
        <w:rPr>
          <w:i/>
        </w:rPr>
        <w:t xml:space="preserve"> </w:t>
      </w:r>
      <w:r w:rsidRPr="00143624">
        <w:t>the issuer will become non</w:t>
      </w:r>
      <w:r w:rsidR="00143624">
        <w:noBreakHyphen/>
      </w:r>
      <w:r w:rsidRPr="00143624">
        <w:t>viable;</w:t>
      </w:r>
    </w:p>
    <w:p w:rsidR="007D17C5" w:rsidRPr="00143624" w:rsidRDefault="007D17C5" w:rsidP="007D17C5">
      <w:pPr>
        <w:pStyle w:val="paragraph"/>
      </w:pPr>
      <w:r w:rsidRPr="00143624">
        <w:tab/>
        <w:t>(c)</w:t>
      </w:r>
      <w:r w:rsidRPr="00143624">
        <w:tab/>
        <w:t>APRA or a comparable foreign regulator issues a notice, in writing, to a parent entity of the issuer of the note stating that conversion or write</w:t>
      </w:r>
      <w:r w:rsidR="00143624">
        <w:noBreakHyphen/>
      </w:r>
      <w:r w:rsidRPr="00143624">
        <w:t>off of capital instruments is necessary because, without it, APRA or the foreign regulator considers that the parent entity or the issuer will become non</w:t>
      </w:r>
      <w:r w:rsidR="00143624">
        <w:noBreakHyphen/>
      </w:r>
      <w:r w:rsidRPr="00143624">
        <w:t>viable;</w:t>
      </w:r>
    </w:p>
    <w:p w:rsidR="007D17C5" w:rsidRPr="00143624" w:rsidRDefault="007D17C5" w:rsidP="007D17C5">
      <w:pPr>
        <w:pStyle w:val="paragraph"/>
      </w:pPr>
      <w:r w:rsidRPr="00143624">
        <w:tab/>
        <w:t>(d)</w:t>
      </w:r>
      <w:r w:rsidRPr="00143624">
        <w:tab/>
        <w:t>APRA or a comparable foreign regulator determines, in writing given to a parent entity of the issuer of the note, that without an injection of capital, or equivalent support, from the public sector</w:t>
      </w:r>
      <w:r w:rsidRPr="00143624">
        <w:rPr>
          <w:i/>
        </w:rPr>
        <w:t xml:space="preserve"> </w:t>
      </w:r>
      <w:r w:rsidRPr="00143624">
        <w:t>the parent entity or the issuer will become non</w:t>
      </w:r>
      <w:r w:rsidR="00143624">
        <w:noBreakHyphen/>
      </w:r>
      <w:r w:rsidRPr="00143624">
        <w:t>viable.</w:t>
      </w:r>
    </w:p>
    <w:p w:rsidR="007D17C5" w:rsidRPr="00143624" w:rsidRDefault="007D17C5" w:rsidP="007D17C5">
      <w:pPr>
        <w:pStyle w:val="subsection"/>
      </w:pPr>
      <w:r w:rsidRPr="00143624">
        <w:tab/>
        <w:t>(6)</w:t>
      </w:r>
      <w:r w:rsidRPr="00143624">
        <w:tab/>
        <w:t xml:space="preserve">For the purposes of this section, </w:t>
      </w:r>
      <w:r w:rsidRPr="00143624">
        <w:rPr>
          <w:b/>
          <w:i/>
        </w:rPr>
        <w:t>mutual equity interests</w:t>
      </w:r>
      <w:r w:rsidRPr="00143624">
        <w:t xml:space="preserve"> has the same meaning as in section</w:t>
      </w:r>
      <w:r w:rsidR="002B1A95" w:rsidRPr="00143624">
        <w:t> </w:t>
      </w:r>
      <w:r w:rsidRPr="00143624">
        <w:t xml:space="preserve">11CAA of the </w:t>
      </w:r>
      <w:r w:rsidRPr="00143624">
        <w:rPr>
          <w:i/>
        </w:rPr>
        <w:t>Banking Act 1959</w:t>
      </w:r>
      <w:r w:rsidRPr="00143624">
        <w:t>.</w:t>
      </w:r>
    </w:p>
    <w:p w:rsidR="007D17C5" w:rsidRPr="00143624" w:rsidRDefault="007D17C5" w:rsidP="00D96087">
      <w:pPr>
        <w:pStyle w:val="ActHead2"/>
        <w:pageBreakBefore/>
      </w:pPr>
      <w:bookmarkStart w:id="172" w:name="_Toc64030428"/>
      <w:r w:rsidRPr="003F3E0B">
        <w:rPr>
          <w:rStyle w:val="CharPartNo"/>
        </w:rPr>
        <w:lastRenderedPageBreak/>
        <w:t>Part</w:t>
      </w:r>
      <w:r w:rsidR="002B1A95" w:rsidRPr="003F3E0B">
        <w:rPr>
          <w:rStyle w:val="CharPartNo"/>
        </w:rPr>
        <w:t> </w:t>
      </w:r>
      <w:r w:rsidRPr="003F3E0B">
        <w:rPr>
          <w:rStyle w:val="CharPartNo"/>
        </w:rPr>
        <w:t>6</w:t>
      </w:r>
      <w:r w:rsidR="00143624" w:rsidRPr="003F3E0B">
        <w:rPr>
          <w:rStyle w:val="CharPartNo"/>
        </w:rPr>
        <w:noBreakHyphen/>
      </w:r>
      <w:r w:rsidRPr="003F3E0B">
        <w:rPr>
          <w:rStyle w:val="CharPartNo"/>
        </w:rPr>
        <w:t>5</w:t>
      </w:r>
      <w:r w:rsidRPr="00143624">
        <w:t>—</w:t>
      </w:r>
      <w:r w:rsidRPr="003F3E0B">
        <w:rPr>
          <w:rStyle w:val="CharPartText"/>
        </w:rPr>
        <w:t>Dictionary definitions</w:t>
      </w:r>
      <w:bookmarkEnd w:id="172"/>
    </w:p>
    <w:p w:rsidR="007D17C5" w:rsidRPr="00143624" w:rsidRDefault="007D17C5" w:rsidP="007D17C5">
      <w:pPr>
        <w:pStyle w:val="ActHead3"/>
      </w:pPr>
      <w:bookmarkStart w:id="173" w:name="_Toc64030429"/>
      <w:r w:rsidRPr="003F3E0B">
        <w:rPr>
          <w:rStyle w:val="CharDivNo"/>
        </w:rPr>
        <w:t>Division</w:t>
      </w:r>
      <w:r w:rsidR="002B1A95" w:rsidRPr="003F3E0B">
        <w:rPr>
          <w:rStyle w:val="CharDivNo"/>
        </w:rPr>
        <w:t> </w:t>
      </w:r>
      <w:r w:rsidRPr="003F3E0B">
        <w:rPr>
          <w:rStyle w:val="CharDivNo"/>
        </w:rPr>
        <w:t>995</w:t>
      </w:r>
      <w:r w:rsidRPr="00143624">
        <w:t>—</w:t>
      </w:r>
      <w:r w:rsidRPr="003F3E0B">
        <w:rPr>
          <w:rStyle w:val="CharDivText"/>
        </w:rPr>
        <w:t>Definitions</w:t>
      </w:r>
      <w:bookmarkEnd w:id="173"/>
    </w:p>
    <w:p w:rsidR="007D17C5" w:rsidRPr="00143624" w:rsidRDefault="007D17C5" w:rsidP="007D17C5">
      <w:pPr>
        <w:pStyle w:val="ActHead5"/>
      </w:pPr>
      <w:bookmarkStart w:id="174" w:name="_Toc64030430"/>
      <w:r w:rsidRPr="003F3E0B">
        <w:rPr>
          <w:rStyle w:val="CharSectno"/>
        </w:rPr>
        <w:t>995</w:t>
      </w:r>
      <w:r w:rsidR="00143624" w:rsidRPr="003F3E0B">
        <w:rPr>
          <w:rStyle w:val="CharSectno"/>
        </w:rPr>
        <w:noBreakHyphen/>
      </w:r>
      <w:r w:rsidRPr="003F3E0B">
        <w:rPr>
          <w:rStyle w:val="CharSectno"/>
        </w:rPr>
        <w:t>1.01</w:t>
      </w:r>
      <w:r w:rsidRPr="00143624">
        <w:t xml:space="preserve">  Definitions</w:t>
      </w:r>
      <w:bookmarkEnd w:id="174"/>
    </w:p>
    <w:p w:rsidR="007D17C5" w:rsidRPr="00143624" w:rsidRDefault="007D17C5" w:rsidP="007D17C5">
      <w:pPr>
        <w:pStyle w:val="notetext"/>
      </w:pPr>
      <w:r w:rsidRPr="00143624">
        <w:t>Note:</w:t>
      </w:r>
      <w:r w:rsidRPr="00143624">
        <w:tab/>
        <w:t>A number of expressions used in this instrument are defined in the Act, including the following:</w:t>
      </w:r>
    </w:p>
    <w:p w:rsidR="007D17C5" w:rsidRPr="00143624" w:rsidRDefault="007D17C5" w:rsidP="007D17C5">
      <w:pPr>
        <w:pStyle w:val="notepara"/>
      </w:pPr>
      <w:r w:rsidRPr="00143624">
        <w:t>(a)</w:t>
      </w:r>
      <w:r w:rsidRPr="00143624">
        <w:tab/>
        <w:t>superannuation benefit;</w:t>
      </w:r>
    </w:p>
    <w:p w:rsidR="007D17C5" w:rsidRPr="00143624" w:rsidRDefault="007D17C5" w:rsidP="007D17C5">
      <w:pPr>
        <w:pStyle w:val="notepara"/>
      </w:pPr>
      <w:r w:rsidRPr="00143624">
        <w:t>(b)</w:t>
      </w:r>
      <w:r w:rsidRPr="00143624">
        <w:tab/>
        <w:t>superannuation income stream benefit.</w:t>
      </w:r>
    </w:p>
    <w:p w:rsidR="007D17C5" w:rsidRPr="00143624" w:rsidRDefault="007D17C5" w:rsidP="007D17C5">
      <w:pPr>
        <w:pStyle w:val="subsection"/>
      </w:pPr>
      <w:r w:rsidRPr="00143624">
        <w:tab/>
      </w:r>
      <w:r w:rsidRPr="00143624">
        <w:tab/>
        <w:t>In this instrument:</w:t>
      </w:r>
    </w:p>
    <w:p w:rsidR="007D17C5" w:rsidRPr="00143624" w:rsidRDefault="007D17C5" w:rsidP="007D17C5">
      <w:pPr>
        <w:pStyle w:val="Definition"/>
      </w:pPr>
      <w:r w:rsidRPr="00143624">
        <w:rPr>
          <w:b/>
          <w:i/>
        </w:rPr>
        <w:t xml:space="preserve">2013 allowances determination </w:t>
      </w:r>
      <w:r w:rsidRPr="00143624">
        <w:t>has the meaning given by subsection 51</w:t>
      </w:r>
      <w:r w:rsidR="00143624">
        <w:noBreakHyphen/>
      </w:r>
      <w:r w:rsidRPr="00143624">
        <w:t>5.01(</w:t>
      </w:r>
      <w:r w:rsidR="00634F89" w:rsidRPr="00143624">
        <w:t>3</w:t>
      </w:r>
      <w:r w:rsidRPr="00143624">
        <w:t>).</w:t>
      </w:r>
    </w:p>
    <w:p w:rsidR="007D17C5" w:rsidRPr="00143624" w:rsidRDefault="007D17C5" w:rsidP="007D17C5">
      <w:pPr>
        <w:pStyle w:val="Definition"/>
      </w:pPr>
      <w:r w:rsidRPr="00143624">
        <w:rPr>
          <w:b/>
          <w:i/>
        </w:rPr>
        <w:t>accruing member</w:t>
      </w:r>
      <w:r w:rsidRPr="00143624">
        <w:t>:</w:t>
      </w:r>
    </w:p>
    <w:p w:rsidR="007D17C5" w:rsidRPr="00143624" w:rsidRDefault="007D17C5" w:rsidP="007D17C5">
      <w:pPr>
        <w:pStyle w:val="paragraph"/>
      </w:pPr>
      <w:r w:rsidRPr="00143624">
        <w:tab/>
        <w:t>(a)</w:t>
      </w:r>
      <w:r w:rsidRPr="00143624">
        <w:tab/>
        <w:t xml:space="preserve">for the purposes of </w:t>
      </w:r>
      <w:r w:rsidR="00F5399E" w:rsidRPr="00143624">
        <w:t>Schedule 1</w:t>
      </w:r>
      <w:r w:rsidRPr="00143624">
        <w:t>A—has the meaning given by clause 1.1 of that Schedule; and</w:t>
      </w:r>
    </w:p>
    <w:p w:rsidR="007D17C5" w:rsidRPr="00143624" w:rsidRDefault="007D17C5" w:rsidP="007D17C5">
      <w:pPr>
        <w:pStyle w:val="paragraph"/>
      </w:pPr>
      <w:r w:rsidRPr="00143624">
        <w:tab/>
        <w:t>(b)</w:t>
      </w:r>
      <w:r w:rsidRPr="00143624">
        <w:tab/>
        <w:t>for the purposes of Subdivision</w:t>
      </w:r>
      <w:r w:rsidR="002B1A95" w:rsidRPr="00143624">
        <w:t> </w:t>
      </w:r>
      <w:r w:rsidRPr="00143624">
        <w:t>293</w:t>
      </w:r>
      <w:r w:rsidR="00143624">
        <w:noBreakHyphen/>
      </w:r>
      <w:r w:rsidRPr="00143624">
        <w:t xml:space="preserve">D and </w:t>
      </w:r>
      <w:r w:rsidR="00F5399E" w:rsidRPr="00143624">
        <w:t>Schedule 1</w:t>
      </w:r>
      <w:r w:rsidRPr="00143624">
        <w:t>AA—has the meaning given by subsection 293</w:t>
      </w:r>
      <w:r w:rsidR="00143624">
        <w:noBreakHyphen/>
      </w:r>
      <w:r w:rsidRPr="00143624">
        <w:t>115.05(2).</w:t>
      </w:r>
    </w:p>
    <w:p w:rsidR="007D17C5" w:rsidRPr="00143624" w:rsidRDefault="007D17C5" w:rsidP="007D17C5">
      <w:pPr>
        <w:pStyle w:val="Definition"/>
      </w:pPr>
      <w:r w:rsidRPr="00143624">
        <w:rPr>
          <w:b/>
          <w:i/>
        </w:rPr>
        <w:t>Act</w:t>
      </w:r>
      <w:r w:rsidRPr="00143624">
        <w:t xml:space="preserve"> means the </w:t>
      </w:r>
      <w:r w:rsidRPr="00143624">
        <w:rPr>
          <w:i/>
        </w:rPr>
        <w:t>Income Tax Assessment Act 1997</w:t>
      </w:r>
      <w:r w:rsidRPr="00143624">
        <w:t>.</w:t>
      </w:r>
    </w:p>
    <w:p w:rsidR="007D17C5" w:rsidRPr="00143624" w:rsidRDefault="007D17C5" w:rsidP="007D17C5">
      <w:pPr>
        <w:pStyle w:val="Definition"/>
      </w:pPr>
      <w:r w:rsidRPr="00143624">
        <w:rPr>
          <w:b/>
          <w:i/>
        </w:rPr>
        <w:t xml:space="preserve">activities of daily living </w:t>
      </w:r>
      <w:r w:rsidRPr="00143624">
        <w:t>has the meaning given by subsection 295</w:t>
      </w:r>
      <w:r w:rsidR="00143624">
        <w:noBreakHyphen/>
      </w:r>
      <w:r w:rsidRPr="00143624">
        <w:t>465.01(5).</w:t>
      </w:r>
    </w:p>
    <w:p w:rsidR="007D17C5" w:rsidRPr="00143624" w:rsidRDefault="007D17C5" w:rsidP="007D17C5">
      <w:pPr>
        <w:pStyle w:val="Definition"/>
      </w:pPr>
      <w:r w:rsidRPr="00143624">
        <w:rPr>
          <w:b/>
          <w:i/>
        </w:rPr>
        <w:t>approved stock exchange</w:t>
      </w:r>
      <w:r w:rsidRPr="00143624">
        <w:t>: see section 995</w:t>
      </w:r>
      <w:r w:rsidR="00143624">
        <w:noBreakHyphen/>
      </w:r>
      <w:r w:rsidRPr="00143624">
        <w:t>1.02.</w:t>
      </w:r>
    </w:p>
    <w:p w:rsidR="007D17C5" w:rsidRPr="00143624" w:rsidRDefault="007D17C5" w:rsidP="007D17C5">
      <w:pPr>
        <w:pStyle w:val="Definition"/>
      </w:pPr>
      <w:r w:rsidRPr="00143624">
        <w:rPr>
          <w:b/>
          <w:i/>
        </w:rPr>
        <w:t>assessable contribution</w:t>
      </w:r>
      <w:r w:rsidRPr="00143624">
        <w:t xml:space="preserve"> means an amount included in the assessable income of an entity by Subdivision</w:t>
      </w:r>
      <w:r w:rsidR="002B1A95" w:rsidRPr="00143624">
        <w:t> </w:t>
      </w:r>
      <w:r w:rsidRPr="00143624">
        <w:t>295</w:t>
      </w:r>
      <w:r w:rsidR="00143624">
        <w:noBreakHyphen/>
      </w:r>
      <w:r w:rsidRPr="00143624">
        <w:t>C of the Act, disregarding item</w:t>
      </w:r>
      <w:r w:rsidR="002B1A95" w:rsidRPr="00143624">
        <w:t> </w:t>
      </w:r>
      <w:r w:rsidRPr="00143624">
        <w:t>5.3 of the table in section</w:t>
      </w:r>
      <w:r w:rsidR="002B1A95" w:rsidRPr="00143624">
        <w:t> </w:t>
      </w:r>
      <w:r w:rsidRPr="00143624">
        <w:t>50</w:t>
      </w:r>
      <w:r w:rsidR="00143624">
        <w:noBreakHyphen/>
      </w:r>
      <w:r w:rsidRPr="00143624">
        <w:t>25 of the Act (income tax exemption for constitutionally protected funds) and Subdivision</w:t>
      </w:r>
      <w:r w:rsidR="002B1A95" w:rsidRPr="00143624">
        <w:t> </w:t>
      </w:r>
      <w:r w:rsidRPr="00143624">
        <w:t>295</w:t>
      </w:r>
      <w:r w:rsidR="00143624">
        <w:noBreakHyphen/>
      </w:r>
      <w:r w:rsidRPr="00143624">
        <w:t>D of the Act (about excluded contributions).</w:t>
      </w:r>
    </w:p>
    <w:p w:rsidR="007D17C5" w:rsidRPr="00143624" w:rsidRDefault="007D17C5" w:rsidP="007D17C5">
      <w:pPr>
        <w:pStyle w:val="Definition"/>
        <w:rPr>
          <w:b/>
          <w:i/>
        </w:rPr>
      </w:pPr>
      <w:r w:rsidRPr="00143624">
        <w:rPr>
          <w:b/>
          <w:i/>
        </w:rPr>
        <w:t>benefit category</w:t>
      </w:r>
      <w:r w:rsidRPr="00143624">
        <w:t>:</w:t>
      </w:r>
    </w:p>
    <w:p w:rsidR="007D17C5" w:rsidRPr="00143624" w:rsidRDefault="007D17C5" w:rsidP="007D17C5">
      <w:pPr>
        <w:pStyle w:val="paragraph"/>
      </w:pPr>
      <w:r w:rsidRPr="00143624">
        <w:tab/>
        <w:t>(a)</w:t>
      </w:r>
      <w:r w:rsidRPr="00143624">
        <w:tab/>
        <w:t>for the purposes of Subdivision</w:t>
      </w:r>
      <w:r w:rsidR="002B1A95" w:rsidRPr="00143624">
        <w:t> </w:t>
      </w:r>
      <w:r w:rsidRPr="00143624">
        <w:t>291</w:t>
      </w:r>
      <w:r w:rsidR="00143624">
        <w:noBreakHyphen/>
      </w:r>
      <w:r w:rsidRPr="00143624">
        <w:t xml:space="preserve">C and </w:t>
      </w:r>
      <w:r w:rsidR="00F5399E" w:rsidRPr="00143624">
        <w:t>Schedule 1</w:t>
      </w:r>
      <w:r w:rsidRPr="00143624">
        <w:t>A—has the meaning given by clause 1.2 of that Schedule; and</w:t>
      </w:r>
    </w:p>
    <w:p w:rsidR="007D17C5" w:rsidRPr="00143624" w:rsidRDefault="007D17C5" w:rsidP="007D17C5">
      <w:pPr>
        <w:pStyle w:val="paragraph"/>
      </w:pPr>
      <w:r w:rsidRPr="00143624">
        <w:tab/>
        <w:t>(b)</w:t>
      </w:r>
      <w:r w:rsidRPr="00143624">
        <w:tab/>
        <w:t xml:space="preserve">for the purposes of </w:t>
      </w:r>
      <w:r w:rsidR="00F5399E" w:rsidRPr="00143624">
        <w:t>Schedule 1</w:t>
      </w:r>
      <w:r w:rsidRPr="00143624">
        <w:t>AA—has the meaning given by clause 2 of that Schedule.</w:t>
      </w:r>
    </w:p>
    <w:p w:rsidR="007D17C5" w:rsidRPr="00143624" w:rsidRDefault="007D17C5" w:rsidP="007D17C5">
      <w:pPr>
        <w:pStyle w:val="Definition"/>
      </w:pPr>
      <w:r w:rsidRPr="00143624">
        <w:rPr>
          <w:b/>
          <w:i/>
        </w:rPr>
        <w:t xml:space="preserve">bundled </w:t>
      </w:r>
      <w:r w:rsidRPr="00143624">
        <w:t>has the meaning given by subsection 295</w:t>
      </w:r>
      <w:r w:rsidR="00143624">
        <w:noBreakHyphen/>
      </w:r>
      <w:r w:rsidRPr="00143624">
        <w:t>465.01(5).</w:t>
      </w:r>
    </w:p>
    <w:p w:rsidR="007D17C5" w:rsidRPr="00143624" w:rsidRDefault="007D17C5" w:rsidP="007D17C5">
      <w:pPr>
        <w:pStyle w:val="Definition"/>
      </w:pPr>
      <w:r w:rsidRPr="00143624">
        <w:rPr>
          <w:b/>
          <w:i/>
        </w:rPr>
        <w:t>cognitive loss</w:t>
      </w:r>
      <w:r w:rsidRPr="00143624">
        <w:t xml:space="preserve"> has the meaning given by subsection 295</w:t>
      </w:r>
      <w:r w:rsidR="00143624">
        <w:noBreakHyphen/>
      </w:r>
      <w:r w:rsidRPr="00143624">
        <w:t>465.01(5).</w:t>
      </w:r>
    </w:p>
    <w:p w:rsidR="007D17C5" w:rsidRPr="00143624" w:rsidRDefault="007D17C5" w:rsidP="007D17C5">
      <w:pPr>
        <w:pStyle w:val="Definition"/>
        <w:rPr>
          <w:b/>
          <w:i/>
        </w:rPr>
      </w:pPr>
      <w:r w:rsidRPr="00143624">
        <w:rPr>
          <w:b/>
          <w:i/>
        </w:rPr>
        <w:t xml:space="preserve">conditions determination </w:t>
      </w:r>
      <w:r w:rsidRPr="00143624">
        <w:t>has the meaning given by subsection 51</w:t>
      </w:r>
      <w:r w:rsidR="00143624">
        <w:noBreakHyphen/>
      </w:r>
      <w:r w:rsidRPr="00143624">
        <w:t>5.01(</w:t>
      </w:r>
      <w:r w:rsidR="00634F89" w:rsidRPr="00143624">
        <w:t>3</w:t>
      </w:r>
      <w:r w:rsidRPr="00143624">
        <w:t>).</w:t>
      </w:r>
    </w:p>
    <w:p w:rsidR="007D17C5" w:rsidRPr="00143624" w:rsidRDefault="007D17C5" w:rsidP="007D17C5">
      <w:pPr>
        <w:pStyle w:val="Definition"/>
      </w:pPr>
      <w:r w:rsidRPr="00143624">
        <w:rPr>
          <w:b/>
          <w:i/>
        </w:rPr>
        <w:t>constitutionally protected fund</w:t>
      </w:r>
      <w:r w:rsidRPr="00143624">
        <w:t>: see section 995</w:t>
      </w:r>
      <w:r w:rsidR="00143624">
        <w:noBreakHyphen/>
      </w:r>
      <w:r w:rsidRPr="00143624">
        <w:t>1.03.</w:t>
      </w:r>
    </w:p>
    <w:p w:rsidR="007D17C5" w:rsidRPr="00143624" w:rsidRDefault="007D17C5" w:rsidP="007D17C5">
      <w:pPr>
        <w:pStyle w:val="Definition"/>
        <w:rPr>
          <w:color w:val="000000"/>
        </w:rPr>
      </w:pPr>
      <w:r w:rsidRPr="00143624">
        <w:rPr>
          <w:b/>
          <w:i/>
        </w:rPr>
        <w:t>death (life) cover</w:t>
      </w:r>
      <w:r w:rsidRPr="00143624">
        <w:t xml:space="preserve"> has the meaning given by subsection 295</w:t>
      </w:r>
      <w:r w:rsidR="00143624">
        <w:noBreakHyphen/>
      </w:r>
      <w:r w:rsidRPr="00143624">
        <w:t>465.01(5).</w:t>
      </w:r>
    </w:p>
    <w:p w:rsidR="007D17C5" w:rsidRPr="00143624" w:rsidRDefault="007D17C5" w:rsidP="007D17C5">
      <w:pPr>
        <w:pStyle w:val="Definition"/>
        <w:rPr>
          <w:b/>
          <w:i/>
        </w:rPr>
      </w:pPr>
      <w:r w:rsidRPr="00143624">
        <w:rPr>
          <w:b/>
          <w:i/>
        </w:rPr>
        <w:t>defined benefit fund</w:t>
      </w:r>
      <w:r w:rsidRPr="00143624">
        <w:t>:</w:t>
      </w:r>
    </w:p>
    <w:p w:rsidR="007D17C5" w:rsidRPr="00143624" w:rsidRDefault="007D17C5" w:rsidP="007D17C5">
      <w:pPr>
        <w:pStyle w:val="paragraph"/>
      </w:pPr>
      <w:r w:rsidRPr="00143624">
        <w:tab/>
        <w:t>(a)</w:t>
      </w:r>
      <w:r w:rsidRPr="00143624">
        <w:tab/>
        <w:t xml:space="preserve">for the purposes of </w:t>
      </w:r>
      <w:r w:rsidR="00F5399E" w:rsidRPr="00143624">
        <w:t>Schedule 1</w:t>
      </w:r>
      <w:r w:rsidRPr="00143624">
        <w:t>A—has the meaning given by clause 1.3 of that Schedule; and</w:t>
      </w:r>
    </w:p>
    <w:p w:rsidR="007D17C5" w:rsidRPr="00143624" w:rsidRDefault="007D17C5" w:rsidP="007D17C5">
      <w:pPr>
        <w:pStyle w:val="paragraph"/>
      </w:pPr>
      <w:r w:rsidRPr="00143624">
        <w:tab/>
        <w:t>(b)</w:t>
      </w:r>
      <w:r w:rsidRPr="00143624">
        <w:tab/>
        <w:t xml:space="preserve">for the purposes of </w:t>
      </w:r>
      <w:r w:rsidR="00F5399E" w:rsidRPr="00143624">
        <w:t>Schedule 1</w:t>
      </w:r>
      <w:r w:rsidRPr="00143624">
        <w:t>AA—has the meaning given by clause 2A of that Schedule.</w:t>
      </w:r>
    </w:p>
    <w:p w:rsidR="007D17C5" w:rsidRPr="00143624" w:rsidRDefault="007D17C5" w:rsidP="007D17C5">
      <w:pPr>
        <w:pStyle w:val="Definition"/>
      </w:pPr>
      <w:r w:rsidRPr="00143624">
        <w:rPr>
          <w:b/>
          <w:i/>
          <w:color w:val="000000"/>
        </w:rPr>
        <w:lastRenderedPageBreak/>
        <w:t>defined benefit member</w:t>
      </w:r>
      <w:r w:rsidRPr="00143624">
        <w:t>:</w:t>
      </w:r>
    </w:p>
    <w:p w:rsidR="007D17C5" w:rsidRPr="00143624" w:rsidRDefault="007D17C5" w:rsidP="007D17C5">
      <w:pPr>
        <w:pStyle w:val="paragraph"/>
      </w:pPr>
      <w:r w:rsidRPr="00143624">
        <w:tab/>
        <w:t>(a)</w:t>
      </w:r>
      <w:r w:rsidRPr="00143624">
        <w:tab/>
        <w:t>means a member of a superannuation fund whose entitlements to superannuation benefits (other than benefits payable on death or disability) are defined by reference to one or more of the following matters:</w:t>
      </w:r>
    </w:p>
    <w:p w:rsidR="007D17C5" w:rsidRPr="00143624" w:rsidRDefault="007D17C5" w:rsidP="007D17C5">
      <w:pPr>
        <w:pStyle w:val="paragraphsub"/>
      </w:pPr>
      <w:r w:rsidRPr="00143624">
        <w:rPr>
          <w:color w:val="000000"/>
        </w:rPr>
        <w:tab/>
        <w:t>(i)</w:t>
      </w:r>
      <w:r w:rsidRPr="00143624">
        <w:rPr>
          <w:color w:val="000000"/>
        </w:rPr>
        <w:tab/>
        <w:t>the member’s salary, or allowance in the nature of salary, at a particular date or averaged over a period;</w:t>
      </w:r>
    </w:p>
    <w:p w:rsidR="007D17C5" w:rsidRPr="00143624" w:rsidRDefault="007D17C5" w:rsidP="007D17C5">
      <w:pPr>
        <w:pStyle w:val="paragraphsub"/>
      </w:pPr>
      <w:r w:rsidRPr="00143624">
        <w:tab/>
        <w:t>(ii)</w:t>
      </w:r>
      <w:r w:rsidRPr="00143624">
        <w:tab/>
        <w:t>another individual’s salary, or allowance in the nature of salary, at a particular date or averaged over a period;</w:t>
      </w:r>
    </w:p>
    <w:p w:rsidR="007D17C5" w:rsidRPr="00143624" w:rsidRDefault="007D17C5" w:rsidP="007D17C5">
      <w:pPr>
        <w:pStyle w:val="paragraphsub"/>
      </w:pPr>
      <w:r w:rsidRPr="00143624">
        <w:tab/>
        <w:t>(iii)</w:t>
      </w:r>
      <w:r w:rsidRPr="00143624">
        <w:tab/>
        <w:t>a specified amount;</w:t>
      </w:r>
    </w:p>
    <w:p w:rsidR="007D17C5" w:rsidRPr="00143624" w:rsidRDefault="007D17C5" w:rsidP="007D17C5">
      <w:pPr>
        <w:pStyle w:val="paragraphsub"/>
      </w:pPr>
      <w:r w:rsidRPr="00143624">
        <w:tab/>
        <w:t>(iv)</w:t>
      </w:r>
      <w:r w:rsidRPr="00143624">
        <w:tab/>
        <w:t>specified conversion factors;</w:t>
      </w:r>
    </w:p>
    <w:p w:rsidR="007D17C5" w:rsidRPr="00143624" w:rsidRDefault="007D17C5" w:rsidP="007D17C5">
      <w:pPr>
        <w:pStyle w:val="paragraph"/>
      </w:pPr>
      <w:r w:rsidRPr="00143624">
        <w:tab/>
      </w:r>
      <w:r w:rsidRPr="00143624">
        <w:tab/>
        <w:t>other than a member of a superannuation fund whose entitlements to superannuation are defined solely by reference to one or more of the following matters:</w:t>
      </w:r>
    </w:p>
    <w:p w:rsidR="007D17C5" w:rsidRPr="00143624" w:rsidRDefault="007D17C5" w:rsidP="007D17C5">
      <w:pPr>
        <w:pStyle w:val="paragraphsub"/>
      </w:pPr>
      <w:r w:rsidRPr="00143624">
        <w:rPr>
          <w:color w:val="000000"/>
        </w:rPr>
        <w:tab/>
        <w:t>(v)</w:t>
      </w:r>
      <w:r w:rsidRPr="00143624">
        <w:rPr>
          <w:color w:val="000000"/>
        </w:rPr>
        <w:tab/>
        <w:t>the member’s disability superannuation benefits;</w:t>
      </w:r>
    </w:p>
    <w:p w:rsidR="007D17C5" w:rsidRPr="00143624" w:rsidRDefault="007D17C5" w:rsidP="007D17C5">
      <w:pPr>
        <w:pStyle w:val="paragraphsub"/>
      </w:pPr>
      <w:r w:rsidRPr="00143624">
        <w:tab/>
        <w:t>(vi)</w:t>
      </w:r>
      <w:r w:rsidRPr="00143624">
        <w:tab/>
        <w:t>the member’s superannuation death benefits;</w:t>
      </w:r>
    </w:p>
    <w:p w:rsidR="007D17C5" w:rsidRPr="00143624" w:rsidRDefault="007D17C5" w:rsidP="007D17C5">
      <w:pPr>
        <w:pStyle w:val="paragraphsub"/>
      </w:pPr>
      <w:r w:rsidRPr="00143624">
        <w:tab/>
        <w:t>(vii)</w:t>
      </w:r>
      <w:r w:rsidRPr="00143624">
        <w:tab/>
        <w:t>payments of amounts mentioned in paragraph</w:t>
      </w:r>
      <w:r w:rsidR="002B1A95" w:rsidRPr="00143624">
        <w:t> </w:t>
      </w:r>
      <w:r w:rsidRPr="00143624">
        <w:t>307</w:t>
      </w:r>
      <w:r w:rsidR="00143624">
        <w:noBreakHyphen/>
      </w:r>
      <w:r w:rsidRPr="00143624">
        <w:t>10(a) of the Act (which relates to temporary disability payments); and</w:t>
      </w:r>
    </w:p>
    <w:p w:rsidR="007D17C5" w:rsidRPr="00143624" w:rsidRDefault="007D17C5" w:rsidP="007D17C5">
      <w:pPr>
        <w:pStyle w:val="paragraph"/>
      </w:pPr>
      <w:r w:rsidRPr="00143624">
        <w:tab/>
        <w:t>(b)</w:t>
      </w:r>
      <w:r w:rsidRPr="00143624">
        <w:tab/>
        <w:t xml:space="preserve">in clause 3.6 of </w:t>
      </w:r>
      <w:r w:rsidR="00F5399E" w:rsidRPr="00143624">
        <w:t>Schedule 1</w:t>
      </w:r>
      <w:r w:rsidRPr="00143624">
        <w:t xml:space="preserve">A—has a meaning affected by </w:t>
      </w:r>
      <w:r w:rsidR="002B1A95" w:rsidRPr="00143624">
        <w:t>subclause (</w:t>
      </w:r>
      <w:r w:rsidRPr="00143624">
        <w:t>4) of that clause; and</w:t>
      </w:r>
    </w:p>
    <w:p w:rsidR="007D17C5" w:rsidRPr="00143624" w:rsidRDefault="007D17C5" w:rsidP="007D17C5">
      <w:pPr>
        <w:pStyle w:val="paragraph"/>
      </w:pPr>
      <w:r w:rsidRPr="00143624">
        <w:tab/>
        <w:t>(c)</w:t>
      </w:r>
      <w:r w:rsidRPr="00143624">
        <w:tab/>
        <w:t xml:space="preserve">in clause 15 of </w:t>
      </w:r>
      <w:r w:rsidR="00F5399E" w:rsidRPr="00143624">
        <w:t>Schedule 1</w:t>
      </w:r>
      <w:r w:rsidRPr="00143624">
        <w:t xml:space="preserve">AA—has a meaning affected by </w:t>
      </w:r>
      <w:r w:rsidR="002B1A95" w:rsidRPr="00143624">
        <w:t>subclause (</w:t>
      </w:r>
      <w:r w:rsidRPr="00143624">
        <w:t>4) of that clause.</w:t>
      </w:r>
    </w:p>
    <w:p w:rsidR="007D17C5" w:rsidRPr="00143624" w:rsidRDefault="007D17C5" w:rsidP="007D17C5">
      <w:pPr>
        <w:pStyle w:val="Definition"/>
        <w:rPr>
          <w:b/>
          <w:i/>
        </w:rPr>
      </w:pPr>
      <w:r w:rsidRPr="00143624">
        <w:rPr>
          <w:b/>
          <w:i/>
        </w:rPr>
        <w:t xml:space="preserve">domestic (home) duties </w:t>
      </w:r>
      <w:r w:rsidRPr="00143624">
        <w:t>has the meaning given by subsection 295</w:t>
      </w:r>
      <w:r w:rsidR="00143624">
        <w:noBreakHyphen/>
      </w:r>
      <w:r w:rsidRPr="00143624">
        <w:t>465.01(5).</w:t>
      </w:r>
    </w:p>
    <w:p w:rsidR="007D17C5" w:rsidRPr="00143624" w:rsidRDefault="007D17C5" w:rsidP="007D17C5">
      <w:pPr>
        <w:pStyle w:val="Definition"/>
        <w:rPr>
          <w:color w:val="000000"/>
        </w:rPr>
      </w:pPr>
      <w:r w:rsidRPr="00143624">
        <w:rPr>
          <w:b/>
          <w:bCs/>
          <w:i/>
          <w:color w:val="000000"/>
        </w:rPr>
        <w:t>employer</w:t>
      </w:r>
      <w:r w:rsidR="00143624">
        <w:rPr>
          <w:b/>
          <w:bCs/>
          <w:i/>
          <w:color w:val="000000"/>
        </w:rPr>
        <w:noBreakHyphen/>
      </w:r>
      <w:r w:rsidRPr="00143624">
        <w:rPr>
          <w:b/>
          <w:bCs/>
          <w:i/>
          <w:color w:val="000000"/>
        </w:rPr>
        <w:t>sponsor</w:t>
      </w:r>
      <w:r w:rsidRPr="00143624">
        <w:rPr>
          <w:bCs/>
          <w:color w:val="000000"/>
        </w:rPr>
        <w:t xml:space="preserve"> has the</w:t>
      </w:r>
      <w:r w:rsidRPr="00143624">
        <w:rPr>
          <w:color w:val="000000"/>
        </w:rPr>
        <w:t xml:space="preserve"> meaning given by subsection</w:t>
      </w:r>
      <w:r w:rsidR="002B1A95" w:rsidRPr="00143624">
        <w:rPr>
          <w:color w:val="000000"/>
        </w:rPr>
        <w:t> </w:t>
      </w:r>
      <w:r w:rsidRPr="00143624">
        <w:rPr>
          <w:color w:val="000000"/>
        </w:rPr>
        <w:t>16(1) of the SIS Act.</w:t>
      </w:r>
    </w:p>
    <w:p w:rsidR="007D17C5" w:rsidRPr="00143624" w:rsidRDefault="007D17C5" w:rsidP="007D17C5">
      <w:pPr>
        <w:pStyle w:val="Definition"/>
      </w:pPr>
      <w:r w:rsidRPr="00143624">
        <w:rPr>
          <w:b/>
          <w:i/>
        </w:rPr>
        <w:t>funded benefit interest</w:t>
      </w:r>
      <w:r w:rsidRPr="00143624">
        <w:t xml:space="preserve"> has the meaning given by subsection 293</w:t>
      </w:r>
      <w:r w:rsidR="00143624">
        <w:noBreakHyphen/>
      </w:r>
      <w:r w:rsidRPr="00143624">
        <w:t>115.15(2).</w:t>
      </w:r>
    </w:p>
    <w:p w:rsidR="007D17C5" w:rsidRPr="00143624" w:rsidRDefault="007D17C5" w:rsidP="007D17C5">
      <w:pPr>
        <w:pStyle w:val="Definition"/>
      </w:pPr>
      <w:r w:rsidRPr="00143624">
        <w:rPr>
          <w:b/>
          <w:i/>
        </w:rPr>
        <w:t>Governor</w:t>
      </w:r>
      <w:r w:rsidR="00143624">
        <w:rPr>
          <w:b/>
          <w:i/>
        </w:rPr>
        <w:noBreakHyphen/>
      </w:r>
      <w:r w:rsidRPr="00143624">
        <w:rPr>
          <w:b/>
          <w:i/>
        </w:rPr>
        <w:t xml:space="preserve">General Pension Scheme </w:t>
      </w:r>
      <w:r w:rsidRPr="00143624">
        <w:t>means the Governor</w:t>
      </w:r>
      <w:r w:rsidR="00143624">
        <w:noBreakHyphen/>
      </w:r>
      <w:r w:rsidRPr="00143624">
        <w:t>General Pension Scheme constituted by allowances payable under section</w:t>
      </w:r>
      <w:r w:rsidR="002B1A95" w:rsidRPr="00143624">
        <w:t> </w:t>
      </w:r>
      <w:r w:rsidRPr="00143624">
        <w:t xml:space="preserve">4 of the </w:t>
      </w:r>
      <w:r w:rsidRPr="00143624">
        <w:rPr>
          <w:i/>
        </w:rPr>
        <w:t>Governor</w:t>
      </w:r>
      <w:r w:rsidR="00143624">
        <w:rPr>
          <w:i/>
        </w:rPr>
        <w:noBreakHyphen/>
      </w:r>
      <w:r w:rsidRPr="00143624">
        <w:rPr>
          <w:i/>
        </w:rPr>
        <w:t>General Act 1974</w:t>
      </w:r>
      <w:r w:rsidRPr="00143624">
        <w:t>.</w:t>
      </w:r>
    </w:p>
    <w:p w:rsidR="007D17C5" w:rsidRPr="00143624" w:rsidRDefault="007D17C5" w:rsidP="007D17C5">
      <w:pPr>
        <w:pStyle w:val="Definition"/>
      </w:pPr>
      <w:r w:rsidRPr="00143624">
        <w:rPr>
          <w:b/>
          <w:i/>
          <w:color w:val="000000"/>
        </w:rPr>
        <w:t>insolvent</w:t>
      </w:r>
      <w:r w:rsidRPr="00143624">
        <w:t>, for an issuer, means:</w:t>
      </w:r>
    </w:p>
    <w:p w:rsidR="007D17C5" w:rsidRPr="00143624" w:rsidRDefault="007D17C5" w:rsidP="007D17C5">
      <w:pPr>
        <w:pStyle w:val="paragraph"/>
      </w:pPr>
      <w:r w:rsidRPr="00143624">
        <w:rPr>
          <w:color w:val="000000"/>
        </w:rPr>
        <w:tab/>
        <w:t>(a)</w:t>
      </w:r>
      <w:r w:rsidRPr="00143624">
        <w:rPr>
          <w:color w:val="000000"/>
        </w:rPr>
        <w:tab/>
        <w:t>the issuer cannot pay its debts as they fall due; or</w:t>
      </w:r>
    </w:p>
    <w:p w:rsidR="007D17C5" w:rsidRPr="00143624" w:rsidRDefault="007D17C5" w:rsidP="007D17C5">
      <w:pPr>
        <w:pStyle w:val="paragraph"/>
      </w:pPr>
      <w:r w:rsidRPr="00143624">
        <w:tab/>
        <w:t>(b)</w:t>
      </w:r>
      <w:r w:rsidRPr="00143624">
        <w:tab/>
        <w:t>the issuer’s liabilities exceed its assets.</w:t>
      </w:r>
    </w:p>
    <w:p w:rsidR="007D17C5" w:rsidRPr="00143624" w:rsidRDefault="007D17C5" w:rsidP="007D17C5">
      <w:pPr>
        <w:pStyle w:val="Definition"/>
        <w:rPr>
          <w:b/>
          <w:i/>
        </w:rPr>
      </w:pPr>
      <w:r w:rsidRPr="00143624">
        <w:rPr>
          <w:b/>
          <w:i/>
        </w:rPr>
        <w:t xml:space="preserve">loss of limb </w:t>
      </w:r>
      <w:r w:rsidRPr="00143624">
        <w:t>has the meaning given by subsection 295</w:t>
      </w:r>
      <w:r w:rsidR="00143624">
        <w:noBreakHyphen/>
      </w:r>
      <w:r w:rsidRPr="00143624">
        <w:t>465.01(5).</w:t>
      </w:r>
    </w:p>
    <w:p w:rsidR="007D17C5" w:rsidRPr="00143624" w:rsidRDefault="007D17C5" w:rsidP="007D17C5">
      <w:pPr>
        <w:pStyle w:val="Definition"/>
      </w:pPr>
      <w:r w:rsidRPr="00143624">
        <w:rPr>
          <w:b/>
          <w:i/>
        </w:rPr>
        <w:t>member contributions</w:t>
      </w:r>
      <w:r w:rsidRPr="00143624">
        <w:t xml:space="preserve"> has the meaning given by subregulation</w:t>
      </w:r>
      <w:r w:rsidR="002B1A95" w:rsidRPr="00143624">
        <w:t> </w:t>
      </w:r>
      <w:r w:rsidRPr="00143624">
        <w:t>5.01(1) of the SIS Regulations.</w:t>
      </w:r>
    </w:p>
    <w:p w:rsidR="007D17C5" w:rsidRPr="00143624" w:rsidRDefault="007D17C5" w:rsidP="007D17C5">
      <w:pPr>
        <w:pStyle w:val="Definition"/>
        <w:rPr>
          <w:b/>
        </w:rPr>
      </w:pPr>
      <w:r w:rsidRPr="00143624">
        <w:rPr>
          <w:b/>
          <w:i/>
        </w:rPr>
        <w:t>military or police person</w:t>
      </w:r>
      <w:r w:rsidRPr="00143624">
        <w:rPr>
          <w:b/>
        </w:rPr>
        <w:t xml:space="preserve"> </w:t>
      </w:r>
      <w:r w:rsidRPr="00143624">
        <w:t>means</w:t>
      </w:r>
      <w:r w:rsidRPr="00143624">
        <w:rPr>
          <w:b/>
        </w:rPr>
        <w:t xml:space="preserve"> </w:t>
      </w:r>
      <w:r w:rsidRPr="00143624">
        <w:t>a person mentioned in paragraph</w:t>
      </w:r>
      <w:r w:rsidR="002B1A95" w:rsidRPr="00143624">
        <w:t> </w:t>
      </w:r>
      <w:r w:rsidRPr="00143624">
        <w:t>302</w:t>
      </w:r>
      <w:r w:rsidR="00143624">
        <w:noBreakHyphen/>
      </w:r>
      <w:r w:rsidRPr="00143624">
        <w:t>195(2)(a), (b) or (c) of the Act.</w:t>
      </w:r>
    </w:p>
    <w:p w:rsidR="007D17C5" w:rsidRPr="00143624" w:rsidRDefault="007D17C5" w:rsidP="007D17C5">
      <w:pPr>
        <w:pStyle w:val="Definition"/>
        <w:rPr>
          <w:b/>
          <w:i/>
        </w:rPr>
      </w:pPr>
      <w:r w:rsidRPr="00143624">
        <w:rPr>
          <w:b/>
          <w:i/>
        </w:rPr>
        <w:t>Military Superannuation and Benefits Scheme</w:t>
      </w:r>
      <w:r w:rsidRPr="00143624">
        <w:t xml:space="preserve"> has the meaning given by section 307</w:t>
      </w:r>
      <w:r w:rsidR="00143624">
        <w:noBreakHyphen/>
      </w:r>
      <w:r w:rsidRPr="00143624">
        <w:t>125.01.</w:t>
      </w:r>
    </w:p>
    <w:p w:rsidR="007D17C5" w:rsidRPr="00143624" w:rsidRDefault="007D17C5" w:rsidP="007D17C5">
      <w:pPr>
        <w:pStyle w:val="Definition"/>
      </w:pPr>
      <w:r w:rsidRPr="00143624">
        <w:rPr>
          <w:b/>
          <w:i/>
        </w:rPr>
        <w:t>non</w:t>
      </w:r>
      <w:r w:rsidR="00143624">
        <w:rPr>
          <w:b/>
          <w:i/>
        </w:rPr>
        <w:noBreakHyphen/>
      </w:r>
      <w:r w:rsidRPr="00143624">
        <w:rPr>
          <w:b/>
          <w:i/>
        </w:rPr>
        <w:t>accruing member</w:t>
      </w:r>
      <w:r w:rsidRPr="00143624">
        <w:t>:</w:t>
      </w:r>
    </w:p>
    <w:p w:rsidR="007D17C5" w:rsidRPr="00143624" w:rsidRDefault="007D17C5" w:rsidP="007D17C5">
      <w:pPr>
        <w:pStyle w:val="paragraph"/>
      </w:pPr>
      <w:r w:rsidRPr="00143624">
        <w:tab/>
        <w:t>(a)</w:t>
      </w:r>
      <w:r w:rsidRPr="00143624">
        <w:tab/>
        <w:t>for the purposes of section 291</w:t>
      </w:r>
      <w:r w:rsidR="00143624">
        <w:noBreakHyphen/>
      </w:r>
      <w:r w:rsidRPr="00143624">
        <w:t xml:space="preserve">170.04 and </w:t>
      </w:r>
      <w:r w:rsidR="00F5399E" w:rsidRPr="00143624">
        <w:t>Schedule 1</w:t>
      </w:r>
      <w:r w:rsidRPr="00143624">
        <w:t>A</w:t>
      </w:r>
      <w:r w:rsidRPr="00143624">
        <w:rPr>
          <w:rFonts w:eastAsiaTheme="majorEastAsia"/>
        </w:rPr>
        <w:t xml:space="preserve">—has </w:t>
      </w:r>
      <w:r w:rsidRPr="00143624">
        <w:t>the meaning given by subsection 291</w:t>
      </w:r>
      <w:r w:rsidR="00143624">
        <w:noBreakHyphen/>
      </w:r>
      <w:r w:rsidRPr="00143624">
        <w:t>170.04(5); and</w:t>
      </w:r>
    </w:p>
    <w:p w:rsidR="007D17C5" w:rsidRPr="00143624" w:rsidRDefault="007D17C5" w:rsidP="007D17C5">
      <w:pPr>
        <w:pStyle w:val="paragraph"/>
      </w:pPr>
      <w:r w:rsidRPr="00143624">
        <w:tab/>
        <w:t>(b)</w:t>
      </w:r>
      <w:r w:rsidRPr="00143624">
        <w:tab/>
        <w:t>for the purposes of Subdivision</w:t>
      </w:r>
      <w:r w:rsidR="002B1A95" w:rsidRPr="00143624">
        <w:t> </w:t>
      </w:r>
      <w:r w:rsidRPr="00143624">
        <w:t>293</w:t>
      </w:r>
      <w:r w:rsidR="00143624">
        <w:noBreakHyphen/>
      </w:r>
      <w:r w:rsidRPr="00143624">
        <w:t>D—has the meaning given by subsection 293</w:t>
      </w:r>
      <w:r w:rsidR="00143624">
        <w:noBreakHyphen/>
      </w:r>
      <w:r w:rsidRPr="00143624">
        <w:t>115.05(2).</w:t>
      </w:r>
    </w:p>
    <w:p w:rsidR="007D17C5" w:rsidRPr="00143624" w:rsidRDefault="007D17C5" w:rsidP="007D17C5">
      <w:pPr>
        <w:pStyle w:val="Definition"/>
      </w:pPr>
      <w:r w:rsidRPr="00143624">
        <w:rPr>
          <w:b/>
          <w:i/>
        </w:rPr>
        <w:lastRenderedPageBreak/>
        <w:t xml:space="preserve">normal domestic duties </w:t>
      </w:r>
      <w:r w:rsidRPr="00143624">
        <w:t>has the meaning given by subsection 295</w:t>
      </w:r>
      <w:r w:rsidR="00143624">
        <w:noBreakHyphen/>
      </w:r>
      <w:r w:rsidRPr="00143624">
        <w:t>465.01(5).</w:t>
      </w:r>
    </w:p>
    <w:p w:rsidR="007D17C5" w:rsidRPr="00143624" w:rsidRDefault="007D17C5" w:rsidP="007D17C5">
      <w:pPr>
        <w:pStyle w:val="Definition"/>
      </w:pPr>
      <w:r w:rsidRPr="00143624">
        <w:rPr>
          <w:b/>
          <w:i/>
        </w:rPr>
        <w:t>on</w:t>
      </w:r>
      <w:r w:rsidR="00143624">
        <w:rPr>
          <w:b/>
          <w:i/>
        </w:rPr>
        <w:noBreakHyphen/>
      </w:r>
      <w:r w:rsidRPr="00143624">
        <w:rPr>
          <w:b/>
          <w:i/>
        </w:rPr>
        <w:t>hold member</w:t>
      </w:r>
      <w:r w:rsidRPr="00143624">
        <w:t xml:space="preserve"> has the meaning given by subsection 291</w:t>
      </w:r>
      <w:r w:rsidR="00143624">
        <w:noBreakHyphen/>
      </w:r>
      <w:r w:rsidRPr="00143624">
        <w:t>170.04(6).</w:t>
      </w:r>
    </w:p>
    <w:p w:rsidR="007D17C5" w:rsidRPr="00143624" w:rsidRDefault="007D17C5" w:rsidP="007D17C5">
      <w:pPr>
        <w:pStyle w:val="Definition"/>
      </w:pPr>
      <w:r w:rsidRPr="00143624">
        <w:rPr>
          <w:b/>
          <w:i/>
        </w:rPr>
        <w:t>pensioned member</w:t>
      </w:r>
      <w:r w:rsidRPr="00143624">
        <w:t xml:space="preserve"> has the meaning given by subsection 291</w:t>
      </w:r>
      <w:r w:rsidR="00143624">
        <w:noBreakHyphen/>
      </w:r>
      <w:r w:rsidRPr="00143624">
        <w:t>170.04(7).</w:t>
      </w:r>
    </w:p>
    <w:p w:rsidR="007D17C5" w:rsidRPr="00143624" w:rsidRDefault="007D17C5" w:rsidP="007D17C5">
      <w:pPr>
        <w:pStyle w:val="Definition"/>
      </w:pPr>
      <w:r w:rsidRPr="00143624">
        <w:rPr>
          <w:b/>
          <w:i/>
          <w:color w:val="000000"/>
        </w:rPr>
        <w:t>pooled investment annuity</w:t>
      </w:r>
      <w:r w:rsidRPr="00143624">
        <w:rPr>
          <w:color w:val="000000"/>
        </w:rPr>
        <w:t xml:space="preserve"> has the meaning given by sub</w:t>
      </w:r>
      <w:r w:rsidRPr="00143624">
        <w:t>section</w:t>
      </w:r>
      <w:r w:rsidRPr="00143624">
        <w:rPr>
          <w:color w:val="000000"/>
        </w:rPr>
        <w:t xml:space="preserve"> </w:t>
      </w:r>
      <w:r w:rsidRPr="00143624">
        <w:t>307</w:t>
      </w:r>
      <w:r w:rsidR="00143624">
        <w:noBreakHyphen/>
      </w:r>
      <w:r w:rsidRPr="00143624">
        <w:t>205.02E(2).</w:t>
      </w:r>
    </w:p>
    <w:p w:rsidR="007D17C5" w:rsidRPr="00143624" w:rsidRDefault="007D17C5" w:rsidP="007D17C5">
      <w:pPr>
        <w:pStyle w:val="Definition"/>
      </w:pPr>
      <w:r w:rsidRPr="00143624">
        <w:rPr>
          <w:b/>
          <w:i/>
          <w:color w:val="000000"/>
        </w:rPr>
        <w:t>pooled investment pension</w:t>
      </w:r>
      <w:r w:rsidRPr="00143624">
        <w:rPr>
          <w:color w:val="000000"/>
        </w:rPr>
        <w:t xml:space="preserve"> has the meaning given by sub</w:t>
      </w:r>
      <w:r w:rsidRPr="00143624">
        <w:t>section</w:t>
      </w:r>
      <w:r w:rsidRPr="00143624">
        <w:rPr>
          <w:color w:val="000000"/>
        </w:rPr>
        <w:t xml:space="preserve"> </w:t>
      </w:r>
      <w:r w:rsidRPr="00143624">
        <w:t>307</w:t>
      </w:r>
      <w:r w:rsidR="00143624">
        <w:noBreakHyphen/>
      </w:r>
      <w:r w:rsidRPr="00143624">
        <w:t>205.02D(2).</w:t>
      </w:r>
    </w:p>
    <w:p w:rsidR="007D17C5" w:rsidRPr="00143624" w:rsidRDefault="007D17C5" w:rsidP="007D17C5">
      <w:pPr>
        <w:pStyle w:val="Definition"/>
      </w:pPr>
      <w:r w:rsidRPr="00143624">
        <w:rPr>
          <w:b/>
          <w:i/>
        </w:rPr>
        <w:t>registered organisation</w:t>
      </w:r>
      <w:r w:rsidRPr="00143624">
        <w:t xml:space="preserve"> has the meaning given by subsection</w:t>
      </w:r>
      <w:r w:rsidR="002B1A95" w:rsidRPr="00143624">
        <w:t> </w:t>
      </w:r>
      <w:r w:rsidRPr="00143624">
        <w:t>10(1) of the SIS Act.</w:t>
      </w:r>
    </w:p>
    <w:p w:rsidR="007D17C5" w:rsidRPr="00143624" w:rsidRDefault="007D17C5" w:rsidP="007D17C5">
      <w:pPr>
        <w:pStyle w:val="Definition"/>
      </w:pPr>
      <w:r w:rsidRPr="00143624">
        <w:rPr>
          <w:b/>
          <w:i/>
        </w:rPr>
        <w:t>relevant 2006 interest</w:t>
      </w:r>
      <w:r w:rsidRPr="00143624">
        <w:t>, in relation to a member, means:</w:t>
      </w:r>
    </w:p>
    <w:p w:rsidR="007D17C5" w:rsidRPr="00143624" w:rsidRDefault="007D17C5" w:rsidP="007D17C5">
      <w:pPr>
        <w:pStyle w:val="paragraph"/>
      </w:pPr>
      <w:r w:rsidRPr="00143624">
        <w:tab/>
        <w:t>(a)</w:t>
      </w:r>
      <w:r w:rsidRPr="00143624">
        <w:tab/>
        <w:t>a defined benefit interest held by the member on 5</w:t>
      </w:r>
      <w:r w:rsidR="002B1A95" w:rsidRPr="00143624">
        <w:t> </w:t>
      </w:r>
      <w:r w:rsidRPr="00143624">
        <w:t>September 2006; or</w:t>
      </w:r>
    </w:p>
    <w:p w:rsidR="007D17C5" w:rsidRPr="00143624" w:rsidRDefault="007D17C5" w:rsidP="007D17C5">
      <w:pPr>
        <w:pStyle w:val="paragraph"/>
      </w:pPr>
      <w:r w:rsidRPr="00143624">
        <w:tab/>
        <w:t>(b)</w:t>
      </w:r>
      <w:r w:rsidRPr="00143624">
        <w:tab/>
        <w:t xml:space="preserve">any superannuation interest to which the entire value of the interest mentioned in </w:t>
      </w:r>
      <w:r w:rsidR="002B1A95" w:rsidRPr="00143624">
        <w:t>paragraph (</w:t>
      </w:r>
      <w:r w:rsidRPr="00143624">
        <w:t>a) was transferred (whether directly or through a series of transfers between superannuation interests).</w:t>
      </w:r>
    </w:p>
    <w:p w:rsidR="007D17C5" w:rsidRPr="00143624" w:rsidRDefault="007D17C5" w:rsidP="007D17C5">
      <w:pPr>
        <w:pStyle w:val="Definition"/>
      </w:pPr>
      <w:r w:rsidRPr="00143624">
        <w:rPr>
          <w:b/>
          <w:i/>
        </w:rPr>
        <w:t>relevant 2009 interest</w:t>
      </w:r>
      <w:r w:rsidRPr="00143624">
        <w:t>, in relation to a member, means:</w:t>
      </w:r>
    </w:p>
    <w:p w:rsidR="007D17C5" w:rsidRPr="00143624" w:rsidRDefault="007D17C5" w:rsidP="007D17C5">
      <w:pPr>
        <w:pStyle w:val="paragraph"/>
      </w:pPr>
      <w:r w:rsidRPr="00143624">
        <w:tab/>
        <w:t>(a)</w:t>
      </w:r>
      <w:r w:rsidRPr="00143624">
        <w:tab/>
        <w:t>a defined benefit interest held by the member on 12</w:t>
      </w:r>
      <w:r w:rsidR="002B1A95" w:rsidRPr="00143624">
        <w:t> </w:t>
      </w:r>
      <w:r w:rsidRPr="00143624">
        <w:t>May 2009; or</w:t>
      </w:r>
    </w:p>
    <w:p w:rsidR="007D17C5" w:rsidRPr="00143624" w:rsidRDefault="007D17C5" w:rsidP="007D17C5">
      <w:pPr>
        <w:pStyle w:val="paragraph"/>
      </w:pPr>
      <w:r w:rsidRPr="00143624">
        <w:tab/>
        <w:t>(b)</w:t>
      </w:r>
      <w:r w:rsidRPr="00143624">
        <w:tab/>
        <w:t xml:space="preserve">any superannuation interest to which the entire value of the interest mentioned in </w:t>
      </w:r>
      <w:r w:rsidR="002B1A95" w:rsidRPr="00143624">
        <w:t>paragraph (</w:t>
      </w:r>
      <w:r w:rsidRPr="00143624">
        <w:t>a) was transferred (whether directly or through a series of transfers between superannuation interests).</w:t>
      </w:r>
    </w:p>
    <w:p w:rsidR="007D17C5" w:rsidRPr="00143624" w:rsidRDefault="007D17C5" w:rsidP="007D17C5">
      <w:pPr>
        <w:pStyle w:val="Definition"/>
      </w:pPr>
      <w:r w:rsidRPr="00143624">
        <w:rPr>
          <w:b/>
          <w:i/>
        </w:rPr>
        <w:t xml:space="preserve">RSA Act </w:t>
      </w:r>
      <w:r w:rsidRPr="00143624">
        <w:t xml:space="preserve">means the </w:t>
      </w:r>
      <w:r w:rsidRPr="00143624">
        <w:rPr>
          <w:i/>
        </w:rPr>
        <w:t>Retirement Savings Accounts Act 1997</w:t>
      </w:r>
      <w:r w:rsidRPr="00143624">
        <w:t>.</w:t>
      </w:r>
    </w:p>
    <w:p w:rsidR="007D17C5" w:rsidRPr="00143624" w:rsidRDefault="007D17C5" w:rsidP="007D17C5">
      <w:pPr>
        <w:pStyle w:val="Definition"/>
      </w:pPr>
      <w:r w:rsidRPr="00143624">
        <w:rPr>
          <w:b/>
          <w:i/>
        </w:rPr>
        <w:t xml:space="preserve">RSA Regulations </w:t>
      </w:r>
      <w:r w:rsidRPr="00143624">
        <w:t xml:space="preserve">means the </w:t>
      </w:r>
      <w:r w:rsidRPr="00143624">
        <w:rPr>
          <w:i/>
        </w:rPr>
        <w:t>Retirement Savings Accounts Regulations</w:t>
      </w:r>
      <w:r w:rsidR="002B1A95" w:rsidRPr="00143624">
        <w:rPr>
          <w:i/>
        </w:rPr>
        <w:t> </w:t>
      </w:r>
      <w:r w:rsidRPr="00143624">
        <w:rPr>
          <w:i/>
        </w:rPr>
        <w:t>1997</w:t>
      </w:r>
      <w:r w:rsidRPr="00143624">
        <w:t>.</w:t>
      </w:r>
    </w:p>
    <w:p w:rsidR="007D17C5" w:rsidRPr="00143624" w:rsidRDefault="007D17C5" w:rsidP="007D17C5">
      <w:pPr>
        <w:pStyle w:val="Definition"/>
      </w:pPr>
      <w:r w:rsidRPr="00143624">
        <w:rPr>
          <w:b/>
          <w:i/>
        </w:rPr>
        <w:t>RSE licensee</w:t>
      </w:r>
      <w:r w:rsidRPr="00143624">
        <w:t xml:space="preserve"> has the same meaning as in the SIS Act.</w:t>
      </w:r>
    </w:p>
    <w:p w:rsidR="007D17C5" w:rsidRPr="00143624" w:rsidRDefault="007D17C5" w:rsidP="007D17C5">
      <w:pPr>
        <w:pStyle w:val="Definition"/>
      </w:pPr>
      <w:r w:rsidRPr="00143624">
        <w:rPr>
          <w:b/>
          <w:i/>
        </w:rPr>
        <w:t xml:space="preserve">SIS Act </w:t>
      </w:r>
      <w:r w:rsidRPr="00143624">
        <w:t xml:space="preserve">means the </w:t>
      </w:r>
      <w:r w:rsidRPr="00143624">
        <w:rPr>
          <w:i/>
        </w:rPr>
        <w:t>Superannuation Industry (Supervision) Act 1993</w:t>
      </w:r>
      <w:r w:rsidRPr="00143624">
        <w:t>.</w:t>
      </w:r>
    </w:p>
    <w:p w:rsidR="007D17C5" w:rsidRPr="00143624" w:rsidRDefault="007D17C5" w:rsidP="007D17C5">
      <w:pPr>
        <w:pStyle w:val="Definition"/>
      </w:pPr>
      <w:r w:rsidRPr="00143624">
        <w:rPr>
          <w:b/>
          <w:i/>
        </w:rPr>
        <w:t xml:space="preserve">SIS Regulations </w:t>
      </w:r>
      <w:r w:rsidRPr="00143624">
        <w:t xml:space="preserve">means the </w:t>
      </w:r>
      <w:r w:rsidRPr="00143624">
        <w:rPr>
          <w:i/>
        </w:rPr>
        <w:t>Superannuation Industry (Supervision) Regulations</w:t>
      </w:r>
      <w:r w:rsidR="002B1A95" w:rsidRPr="00143624">
        <w:rPr>
          <w:i/>
        </w:rPr>
        <w:t> </w:t>
      </w:r>
      <w:r w:rsidRPr="00143624">
        <w:rPr>
          <w:i/>
        </w:rPr>
        <w:t>1994</w:t>
      </w:r>
      <w:r w:rsidRPr="00143624">
        <w:t>.</w:t>
      </w:r>
    </w:p>
    <w:p w:rsidR="007D17C5" w:rsidRPr="00143624" w:rsidRDefault="007D17C5" w:rsidP="007D17C5">
      <w:pPr>
        <w:pStyle w:val="Definition"/>
      </w:pPr>
      <w:r w:rsidRPr="00143624">
        <w:rPr>
          <w:b/>
          <w:i/>
          <w:color w:val="000000"/>
        </w:rPr>
        <w:t>superannuation annuity</w:t>
      </w:r>
      <w:r w:rsidRPr="00143624">
        <w:rPr>
          <w:color w:val="000000"/>
        </w:rPr>
        <w:t>: see</w:t>
      </w:r>
      <w:r w:rsidRPr="00143624">
        <w:t xml:space="preserve"> section 995</w:t>
      </w:r>
      <w:r w:rsidR="00143624">
        <w:noBreakHyphen/>
      </w:r>
      <w:r w:rsidRPr="00143624">
        <w:t>1.05.</w:t>
      </w:r>
    </w:p>
    <w:p w:rsidR="007D17C5" w:rsidRPr="00143624" w:rsidRDefault="007D17C5" w:rsidP="007D17C5">
      <w:pPr>
        <w:pStyle w:val="Definition"/>
      </w:pPr>
      <w:r w:rsidRPr="00143624">
        <w:rPr>
          <w:b/>
          <w:i/>
        </w:rPr>
        <w:t>superannuation income stream</w:t>
      </w:r>
      <w:r w:rsidRPr="00143624">
        <w:t>: see section 307</w:t>
      </w:r>
      <w:r w:rsidR="00143624">
        <w:noBreakHyphen/>
      </w:r>
      <w:r w:rsidRPr="00143624">
        <w:t>70.02.</w:t>
      </w:r>
    </w:p>
    <w:p w:rsidR="007D17C5" w:rsidRPr="00143624" w:rsidRDefault="007D17C5" w:rsidP="007D17C5">
      <w:pPr>
        <w:pStyle w:val="Definition"/>
      </w:pPr>
      <w:r w:rsidRPr="00143624">
        <w:rPr>
          <w:b/>
          <w:i/>
        </w:rPr>
        <w:t>superannuation salary</w:t>
      </w:r>
      <w:r w:rsidRPr="00143624">
        <w:t xml:space="preserve"> means the salary used to determine a person’s entitlement to superannuation benefits.</w:t>
      </w:r>
    </w:p>
    <w:p w:rsidR="007D17C5" w:rsidRPr="00143624" w:rsidRDefault="007D17C5" w:rsidP="007D17C5">
      <w:pPr>
        <w:pStyle w:val="Definition"/>
      </w:pPr>
      <w:r w:rsidRPr="00143624">
        <w:rPr>
          <w:b/>
          <w:i/>
        </w:rPr>
        <w:t>superannuation sub</w:t>
      </w:r>
      <w:r w:rsidR="00143624">
        <w:rPr>
          <w:b/>
          <w:i/>
        </w:rPr>
        <w:noBreakHyphen/>
      </w:r>
      <w:r w:rsidRPr="00143624">
        <w:rPr>
          <w:b/>
          <w:i/>
        </w:rPr>
        <w:t>fund</w:t>
      </w:r>
      <w:r w:rsidRPr="00143624">
        <w:t>, in relation to defined benefit members of a superannuation fund</w:t>
      </w:r>
      <w:r w:rsidRPr="00143624">
        <w:rPr>
          <w:color w:val="000000"/>
        </w:rPr>
        <w:t xml:space="preserve">, means an arrangement in the fund which </w:t>
      </w:r>
      <w:r w:rsidRPr="00143624">
        <w:t>satisfies the following conditions:</w:t>
      </w:r>
    </w:p>
    <w:p w:rsidR="007D17C5" w:rsidRPr="00143624" w:rsidRDefault="007D17C5" w:rsidP="007D17C5">
      <w:pPr>
        <w:pStyle w:val="paragraph"/>
      </w:pPr>
      <w:r w:rsidRPr="00143624">
        <w:tab/>
        <w:t>(a)</w:t>
      </w:r>
      <w:r w:rsidRPr="00143624">
        <w:tab/>
        <w:t>there are separately identifiable assets and separately identifiable beneficiaries;</w:t>
      </w:r>
    </w:p>
    <w:p w:rsidR="007D17C5" w:rsidRPr="00143624" w:rsidRDefault="007D17C5" w:rsidP="007D17C5">
      <w:pPr>
        <w:pStyle w:val="paragraph"/>
      </w:pPr>
      <w:r w:rsidRPr="00143624">
        <w:tab/>
        <w:t>(b)</w:t>
      </w:r>
      <w:r w:rsidRPr="00143624">
        <w:tab/>
        <w:t>the interest of each beneficiary is determined by reference only to the conditions governing that arrangement;</w:t>
      </w:r>
    </w:p>
    <w:p w:rsidR="007D17C5" w:rsidRPr="00143624" w:rsidRDefault="007D17C5" w:rsidP="007D17C5">
      <w:pPr>
        <w:pStyle w:val="paragraph"/>
      </w:pPr>
      <w:r w:rsidRPr="00143624">
        <w:tab/>
        <w:t>(c)</w:t>
      </w:r>
      <w:r w:rsidRPr="00143624">
        <w:tab/>
        <w:t>the defined benefit members have the same employer</w:t>
      </w:r>
      <w:r w:rsidR="00143624">
        <w:noBreakHyphen/>
      </w:r>
      <w:r w:rsidRPr="00143624">
        <w:t>sponsor;</w:t>
      </w:r>
    </w:p>
    <w:p w:rsidR="007D17C5" w:rsidRPr="00143624" w:rsidRDefault="007D17C5" w:rsidP="007D17C5">
      <w:pPr>
        <w:pStyle w:val="paragraph"/>
      </w:pPr>
      <w:r w:rsidRPr="00143624">
        <w:tab/>
        <w:t>(d)</w:t>
      </w:r>
      <w:r w:rsidRPr="00143624">
        <w:tab/>
        <w:t>the employer</w:t>
      </w:r>
      <w:r w:rsidR="00143624">
        <w:noBreakHyphen/>
      </w:r>
      <w:r w:rsidRPr="00143624">
        <w:t>sponsor deals with each of the defined benefit members at arm’s length.</w:t>
      </w:r>
    </w:p>
    <w:p w:rsidR="007D17C5" w:rsidRPr="00143624" w:rsidRDefault="007D17C5" w:rsidP="007D17C5">
      <w:pPr>
        <w:pStyle w:val="Definition"/>
        <w:rPr>
          <w:b/>
          <w:i/>
        </w:rPr>
      </w:pPr>
      <w:r w:rsidRPr="00143624">
        <w:rPr>
          <w:b/>
          <w:i/>
        </w:rPr>
        <w:lastRenderedPageBreak/>
        <w:t>terminal medical condition</w:t>
      </w:r>
      <w:r w:rsidRPr="00143624">
        <w:t>: see section 995</w:t>
      </w:r>
      <w:r w:rsidR="00143624">
        <w:noBreakHyphen/>
      </w:r>
      <w:r w:rsidRPr="00143624">
        <w:t>1.06.</w:t>
      </w:r>
    </w:p>
    <w:p w:rsidR="007D17C5" w:rsidRPr="00143624" w:rsidRDefault="007D17C5" w:rsidP="007D17C5">
      <w:pPr>
        <w:pStyle w:val="Definition"/>
      </w:pPr>
      <w:r w:rsidRPr="00143624">
        <w:rPr>
          <w:b/>
          <w:i/>
        </w:rPr>
        <w:t xml:space="preserve">TPD any occupation </w:t>
      </w:r>
      <w:r w:rsidRPr="00143624">
        <w:t>has the meaning given by subsection 295</w:t>
      </w:r>
      <w:r w:rsidR="00143624">
        <w:noBreakHyphen/>
      </w:r>
      <w:r w:rsidRPr="00143624">
        <w:t>465.01(5).</w:t>
      </w:r>
    </w:p>
    <w:p w:rsidR="007D17C5" w:rsidRPr="00143624" w:rsidRDefault="007D17C5" w:rsidP="007D17C5">
      <w:pPr>
        <w:pStyle w:val="Definition"/>
      </w:pPr>
      <w:r w:rsidRPr="00143624">
        <w:rPr>
          <w:b/>
          <w:i/>
        </w:rPr>
        <w:t xml:space="preserve">TPD own occupation </w:t>
      </w:r>
      <w:r w:rsidRPr="00143624">
        <w:t>has the meaning given by subsection 295</w:t>
      </w:r>
      <w:r w:rsidR="00143624">
        <w:noBreakHyphen/>
      </w:r>
      <w:r w:rsidRPr="00143624">
        <w:t>465.01(5).</w:t>
      </w:r>
    </w:p>
    <w:p w:rsidR="007D17C5" w:rsidRPr="00143624" w:rsidRDefault="007D17C5" w:rsidP="007D17C5">
      <w:pPr>
        <w:pStyle w:val="ActHead5"/>
      </w:pPr>
      <w:bookmarkStart w:id="175" w:name="_Toc64030431"/>
      <w:r w:rsidRPr="003F3E0B">
        <w:rPr>
          <w:rStyle w:val="CharSectno"/>
        </w:rPr>
        <w:t>995</w:t>
      </w:r>
      <w:r w:rsidR="00143624" w:rsidRPr="003F3E0B">
        <w:rPr>
          <w:rStyle w:val="CharSectno"/>
        </w:rPr>
        <w:noBreakHyphen/>
      </w:r>
      <w:r w:rsidRPr="003F3E0B">
        <w:rPr>
          <w:rStyle w:val="CharSectno"/>
        </w:rPr>
        <w:t>1.02</w:t>
      </w:r>
      <w:r w:rsidRPr="00143624">
        <w:t xml:space="preserve">  Approved stock exchanges</w:t>
      </w:r>
      <w:bookmarkEnd w:id="175"/>
    </w:p>
    <w:p w:rsidR="007D17C5" w:rsidRPr="00143624" w:rsidRDefault="007D17C5" w:rsidP="007D17C5">
      <w:pPr>
        <w:pStyle w:val="subsection"/>
      </w:pPr>
      <w:r w:rsidRPr="00143624">
        <w:tab/>
      </w:r>
      <w:r w:rsidRPr="00143624">
        <w:tab/>
        <w:t>The stock exchanges specified in Schedule</w:t>
      </w:r>
      <w:r w:rsidR="002B1A95" w:rsidRPr="00143624">
        <w:t> </w:t>
      </w:r>
      <w:r w:rsidRPr="00143624">
        <w:t xml:space="preserve">3 are named for the purposes of the definition of </w:t>
      </w:r>
      <w:r w:rsidRPr="00143624">
        <w:rPr>
          <w:b/>
          <w:i/>
        </w:rPr>
        <w:t>approved stock exchange</w:t>
      </w:r>
      <w:r w:rsidRPr="00143624">
        <w:t xml:space="preserve"> in sub</w:t>
      </w:r>
      <w:r w:rsidR="00F5399E" w:rsidRPr="00143624">
        <w:t>section 9</w:t>
      </w:r>
      <w:r w:rsidRPr="00143624">
        <w:t>95</w:t>
      </w:r>
      <w:r w:rsidR="00143624">
        <w:noBreakHyphen/>
      </w:r>
      <w:r w:rsidRPr="00143624">
        <w:t>1(1) of the Act.</w:t>
      </w:r>
    </w:p>
    <w:p w:rsidR="007D17C5" w:rsidRPr="00143624" w:rsidRDefault="007D17C5" w:rsidP="007D17C5">
      <w:pPr>
        <w:pStyle w:val="ActHead5"/>
      </w:pPr>
      <w:bookmarkStart w:id="176" w:name="_Toc64030432"/>
      <w:r w:rsidRPr="003F3E0B">
        <w:rPr>
          <w:rStyle w:val="CharSectno"/>
        </w:rPr>
        <w:t>995</w:t>
      </w:r>
      <w:r w:rsidR="00143624" w:rsidRPr="003F3E0B">
        <w:rPr>
          <w:rStyle w:val="CharSectno"/>
        </w:rPr>
        <w:noBreakHyphen/>
      </w:r>
      <w:r w:rsidRPr="003F3E0B">
        <w:rPr>
          <w:rStyle w:val="CharSectno"/>
        </w:rPr>
        <w:t>1.03</w:t>
      </w:r>
      <w:r w:rsidRPr="00143624">
        <w:t xml:space="preserve">  Constitutionally protected funds</w:t>
      </w:r>
      <w:bookmarkEnd w:id="176"/>
    </w:p>
    <w:p w:rsidR="007D17C5" w:rsidRPr="00143624" w:rsidRDefault="007D17C5" w:rsidP="007D17C5">
      <w:pPr>
        <w:pStyle w:val="subsection"/>
      </w:pPr>
      <w:r w:rsidRPr="00143624">
        <w:tab/>
      </w:r>
      <w:r w:rsidRPr="00143624">
        <w:tab/>
        <w:t xml:space="preserve">For the purposes of the definition of </w:t>
      </w:r>
      <w:r w:rsidRPr="00143624">
        <w:rPr>
          <w:b/>
          <w:i/>
        </w:rPr>
        <w:t>constitutionally protected fund</w:t>
      </w:r>
      <w:r w:rsidRPr="00143624">
        <w:t xml:space="preserve"> in sub</w:t>
      </w:r>
      <w:r w:rsidR="00F5399E" w:rsidRPr="00143624">
        <w:t>section 9</w:t>
      </w:r>
      <w:r w:rsidRPr="00143624">
        <w:t>95</w:t>
      </w:r>
      <w:r w:rsidR="00143624">
        <w:noBreakHyphen/>
      </w:r>
      <w:r w:rsidRPr="00143624">
        <w:t>1(1) of the Act, a fund:</w:t>
      </w:r>
    </w:p>
    <w:p w:rsidR="007D17C5" w:rsidRPr="00143624" w:rsidRDefault="007D17C5" w:rsidP="007D17C5">
      <w:pPr>
        <w:pStyle w:val="paragraph"/>
      </w:pPr>
      <w:r w:rsidRPr="00143624">
        <w:rPr>
          <w:color w:val="000000"/>
        </w:rPr>
        <w:tab/>
        <w:t>(a)</w:t>
      </w:r>
      <w:r w:rsidRPr="00143624">
        <w:rPr>
          <w:color w:val="000000"/>
        </w:rPr>
        <w:tab/>
        <w:t>of the kind to which, in the absence of item</w:t>
      </w:r>
      <w:r w:rsidR="002B1A95" w:rsidRPr="00143624">
        <w:rPr>
          <w:color w:val="000000"/>
        </w:rPr>
        <w:t> </w:t>
      </w:r>
      <w:r w:rsidRPr="00143624">
        <w:rPr>
          <w:color w:val="000000"/>
        </w:rPr>
        <w:t>5.3 of section</w:t>
      </w:r>
      <w:r w:rsidR="002B1A95" w:rsidRPr="00143624">
        <w:rPr>
          <w:color w:val="000000"/>
        </w:rPr>
        <w:t> </w:t>
      </w:r>
      <w:r w:rsidRPr="00143624">
        <w:rPr>
          <w:color w:val="000000"/>
        </w:rPr>
        <w:t>50</w:t>
      </w:r>
      <w:r w:rsidR="00143624">
        <w:rPr>
          <w:color w:val="000000"/>
        </w:rPr>
        <w:noBreakHyphen/>
      </w:r>
      <w:r w:rsidRPr="00143624">
        <w:rPr>
          <w:color w:val="000000"/>
        </w:rPr>
        <w:t>25 of the Act, Division</w:t>
      </w:r>
      <w:r w:rsidR="002B1A95" w:rsidRPr="00143624">
        <w:rPr>
          <w:color w:val="000000"/>
        </w:rPr>
        <w:t> </w:t>
      </w:r>
      <w:r w:rsidRPr="00143624">
        <w:rPr>
          <w:color w:val="000000"/>
        </w:rPr>
        <w:t>295 of the Act would apply; and</w:t>
      </w:r>
    </w:p>
    <w:p w:rsidR="007D17C5" w:rsidRPr="00143624" w:rsidRDefault="007D17C5" w:rsidP="007D17C5">
      <w:pPr>
        <w:pStyle w:val="paragraph"/>
        <w:rPr>
          <w:color w:val="000000"/>
        </w:rPr>
      </w:pPr>
      <w:r w:rsidRPr="00143624">
        <w:tab/>
        <w:t>(b)</w:t>
      </w:r>
      <w:r w:rsidRPr="00143624">
        <w:tab/>
        <w:t xml:space="preserve">established by </w:t>
      </w:r>
      <w:r w:rsidRPr="00143624">
        <w:rPr>
          <w:color w:val="000000"/>
        </w:rPr>
        <w:t>a State Act, or a provision of a State Act, mentioned in an item of the following table</w:t>
      </w:r>
      <w:r w:rsidR="003A35DD" w:rsidRPr="00143624">
        <w:rPr>
          <w:color w:val="000000"/>
        </w:rPr>
        <w:t>, as in force at the time this section commences</w:t>
      </w:r>
      <w:r w:rsidRPr="00143624">
        <w:rPr>
          <w:color w:val="000000"/>
        </w:rPr>
        <w:t>;</w:t>
      </w:r>
    </w:p>
    <w:p w:rsidR="007D17C5" w:rsidRPr="00143624" w:rsidRDefault="007D17C5" w:rsidP="007D17C5">
      <w:pPr>
        <w:pStyle w:val="subsection2"/>
      </w:pPr>
      <w:r w:rsidRPr="00143624">
        <w:t>is declared to be a constitutionally protected fund.</w:t>
      </w:r>
    </w:p>
    <w:p w:rsidR="007D17C5" w:rsidRPr="00143624" w:rsidRDefault="007D17C5" w:rsidP="007D17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D17C5" w:rsidRPr="00143624" w:rsidTr="009558BE">
        <w:trPr>
          <w:tblHeader/>
        </w:trPr>
        <w:tc>
          <w:tcPr>
            <w:tcW w:w="8313" w:type="dxa"/>
            <w:gridSpan w:val="2"/>
            <w:tcBorders>
              <w:top w:val="single" w:sz="12" w:space="0" w:color="auto"/>
              <w:bottom w:val="single" w:sz="6" w:space="0" w:color="auto"/>
            </w:tcBorders>
            <w:shd w:val="clear" w:color="auto" w:fill="auto"/>
          </w:tcPr>
          <w:p w:rsidR="007D17C5" w:rsidRPr="00143624" w:rsidRDefault="007D17C5" w:rsidP="009558BE">
            <w:pPr>
              <w:pStyle w:val="TableHeading"/>
            </w:pPr>
            <w:r w:rsidRPr="00143624">
              <w:t>State Acts or provisions of State Acts establishing constitutionally protected funds</w:t>
            </w:r>
          </w:p>
        </w:tc>
      </w:tr>
      <w:tr w:rsidR="007D17C5" w:rsidRPr="00143624" w:rsidTr="009558BE">
        <w:trPr>
          <w:tblHeader/>
        </w:trPr>
        <w:tc>
          <w:tcPr>
            <w:tcW w:w="714"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7599"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State Act or provision of State Act</w:t>
            </w:r>
          </w:p>
        </w:tc>
      </w:tr>
      <w:tr w:rsidR="007D17C5" w:rsidRPr="00143624" w:rsidTr="009558BE">
        <w:tc>
          <w:tcPr>
            <w:tcW w:w="714" w:type="dxa"/>
            <w:tcBorders>
              <w:top w:val="single" w:sz="12" w:space="0" w:color="auto"/>
            </w:tcBorders>
            <w:shd w:val="clear" w:color="auto" w:fill="auto"/>
          </w:tcPr>
          <w:p w:rsidR="007D17C5" w:rsidRPr="00143624" w:rsidRDefault="007D17C5" w:rsidP="009558BE">
            <w:pPr>
              <w:pStyle w:val="Tabletext"/>
            </w:pPr>
            <w:r w:rsidRPr="00143624">
              <w:t>1</w:t>
            </w:r>
          </w:p>
        </w:tc>
        <w:tc>
          <w:tcPr>
            <w:tcW w:w="7599" w:type="dxa"/>
            <w:tcBorders>
              <w:top w:val="single" w:sz="12" w:space="0" w:color="auto"/>
            </w:tcBorders>
            <w:shd w:val="clear" w:color="auto" w:fill="auto"/>
          </w:tcPr>
          <w:p w:rsidR="007D17C5" w:rsidRPr="00143624" w:rsidRDefault="007D17C5" w:rsidP="009558BE">
            <w:pPr>
              <w:pStyle w:val="Tabletext"/>
            </w:pPr>
            <w:r w:rsidRPr="00143624">
              <w:rPr>
                <w:i/>
                <w:color w:val="000000"/>
              </w:rPr>
              <w:t xml:space="preserve">Judges’ Pensions Act 1953 </w:t>
            </w:r>
            <w:r w:rsidRPr="00143624">
              <w:rPr>
                <w:color w:val="000000"/>
              </w:rPr>
              <w:t>(NSW)</w:t>
            </w:r>
          </w:p>
        </w:tc>
      </w:tr>
      <w:tr w:rsidR="007D17C5" w:rsidRPr="00143624" w:rsidTr="009558BE">
        <w:tc>
          <w:tcPr>
            <w:tcW w:w="714" w:type="dxa"/>
            <w:shd w:val="clear" w:color="auto" w:fill="auto"/>
          </w:tcPr>
          <w:p w:rsidR="007D17C5" w:rsidRPr="00143624" w:rsidRDefault="007D17C5" w:rsidP="009558BE">
            <w:pPr>
              <w:pStyle w:val="Tabletext"/>
            </w:pPr>
            <w:r w:rsidRPr="00143624">
              <w:t>2</w:t>
            </w:r>
          </w:p>
        </w:tc>
        <w:tc>
          <w:tcPr>
            <w:tcW w:w="7599" w:type="dxa"/>
            <w:shd w:val="clear" w:color="auto" w:fill="auto"/>
          </w:tcPr>
          <w:p w:rsidR="007D17C5" w:rsidRPr="00143624" w:rsidRDefault="007D17C5" w:rsidP="009558BE">
            <w:pPr>
              <w:pStyle w:val="Tabletext"/>
            </w:pPr>
            <w:r w:rsidRPr="00143624">
              <w:rPr>
                <w:i/>
                <w:color w:val="000000"/>
              </w:rPr>
              <w:t>Attorney</w:t>
            </w:r>
            <w:r w:rsidR="00143624">
              <w:rPr>
                <w:i/>
                <w:color w:val="000000"/>
              </w:rPr>
              <w:noBreakHyphen/>
            </w:r>
            <w:r w:rsidRPr="00143624">
              <w:rPr>
                <w:i/>
                <w:color w:val="000000"/>
              </w:rPr>
              <w:t>General and Solicitor</w:t>
            </w:r>
            <w:r w:rsidR="00143624">
              <w:rPr>
                <w:i/>
                <w:color w:val="000000"/>
              </w:rPr>
              <w:noBreakHyphen/>
            </w:r>
            <w:r w:rsidRPr="00143624">
              <w:rPr>
                <w:i/>
                <w:color w:val="000000"/>
              </w:rPr>
              <w:t xml:space="preserve">General Act 1972 </w:t>
            </w:r>
            <w:r w:rsidRPr="00143624">
              <w:rPr>
                <w:color w:val="000000"/>
              </w:rPr>
              <w:t>(Vic.)</w:t>
            </w:r>
          </w:p>
        </w:tc>
      </w:tr>
      <w:tr w:rsidR="007D17C5" w:rsidRPr="00143624" w:rsidTr="009558BE">
        <w:tc>
          <w:tcPr>
            <w:tcW w:w="714" w:type="dxa"/>
            <w:shd w:val="clear" w:color="auto" w:fill="auto"/>
          </w:tcPr>
          <w:p w:rsidR="007D17C5" w:rsidRPr="00143624" w:rsidRDefault="007D17C5" w:rsidP="009558BE">
            <w:pPr>
              <w:pStyle w:val="Tabletext"/>
            </w:pPr>
            <w:r w:rsidRPr="00143624">
              <w:t>3</w:t>
            </w:r>
          </w:p>
        </w:tc>
        <w:tc>
          <w:tcPr>
            <w:tcW w:w="7599" w:type="dxa"/>
            <w:shd w:val="clear" w:color="auto" w:fill="auto"/>
          </w:tcPr>
          <w:p w:rsidR="007D17C5" w:rsidRPr="00143624" w:rsidRDefault="007D17C5" w:rsidP="009558BE">
            <w:pPr>
              <w:pStyle w:val="Tabletext"/>
            </w:pPr>
            <w:r w:rsidRPr="00143624">
              <w:rPr>
                <w:i/>
                <w:color w:val="000000"/>
              </w:rPr>
              <w:t>Coal Mines (Pensions) Act 1958</w:t>
            </w:r>
            <w:r w:rsidRPr="00143624">
              <w:rPr>
                <w:b/>
                <w:color w:val="000000"/>
              </w:rPr>
              <w:t xml:space="preserve"> </w:t>
            </w:r>
            <w:r w:rsidRPr="00143624">
              <w:rPr>
                <w:color w:val="000000"/>
              </w:rPr>
              <w:t>(Vic.)</w:t>
            </w:r>
          </w:p>
        </w:tc>
      </w:tr>
      <w:tr w:rsidR="007D17C5" w:rsidRPr="00143624" w:rsidTr="009558BE">
        <w:tc>
          <w:tcPr>
            <w:tcW w:w="714" w:type="dxa"/>
            <w:shd w:val="clear" w:color="auto" w:fill="auto"/>
          </w:tcPr>
          <w:p w:rsidR="007D17C5" w:rsidRPr="00143624" w:rsidRDefault="007D17C5" w:rsidP="009558BE">
            <w:pPr>
              <w:pStyle w:val="Tabletext"/>
            </w:pPr>
            <w:r w:rsidRPr="00143624">
              <w:t>4</w:t>
            </w:r>
          </w:p>
        </w:tc>
        <w:tc>
          <w:tcPr>
            <w:tcW w:w="7599" w:type="dxa"/>
            <w:shd w:val="clear" w:color="auto" w:fill="auto"/>
          </w:tcPr>
          <w:p w:rsidR="007D17C5" w:rsidRPr="00143624" w:rsidRDefault="007D17C5" w:rsidP="009558BE">
            <w:pPr>
              <w:pStyle w:val="Tabletext"/>
            </w:pPr>
            <w:r w:rsidRPr="00143624">
              <w:rPr>
                <w:i/>
                <w:color w:val="000000"/>
              </w:rPr>
              <w:t>Constitution Act 1975</w:t>
            </w:r>
            <w:r w:rsidRPr="00143624">
              <w:rPr>
                <w:color w:val="000000"/>
              </w:rPr>
              <w:t xml:space="preserve"> (Vic.)</w:t>
            </w:r>
          </w:p>
        </w:tc>
      </w:tr>
      <w:tr w:rsidR="007D17C5" w:rsidRPr="00143624" w:rsidTr="009558BE">
        <w:tc>
          <w:tcPr>
            <w:tcW w:w="714" w:type="dxa"/>
            <w:shd w:val="clear" w:color="auto" w:fill="auto"/>
          </w:tcPr>
          <w:p w:rsidR="007D17C5" w:rsidRPr="00143624" w:rsidRDefault="007D17C5" w:rsidP="009558BE">
            <w:pPr>
              <w:pStyle w:val="Tabletext"/>
            </w:pPr>
            <w:r w:rsidRPr="00143624">
              <w:t>5</w:t>
            </w:r>
          </w:p>
        </w:tc>
        <w:tc>
          <w:tcPr>
            <w:tcW w:w="7599" w:type="dxa"/>
            <w:shd w:val="clear" w:color="auto" w:fill="auto"/>
          </w:tcPr>
          <w:p w:rsidR="007D17C5" w:rsidRPr="00143624" w:rsidRDefault="007D17C5" w:rsidP="009558BE">
            <w:pPr>
              <w:pStyle w:val="Tabletext"/>
            </w:pPr>
            <w:r w:rsidRPr="00143624">
              <w:rPr>
                <w:i/>
                <w:color w:val="000000"/>
              </w:rPr>
              <w:t>County Court Act 1958</w:t>
            </w:r>
            <w:r w:rsidRPr="00143624">
              <w:rPr>
                <w:color w:val="000000"/>
              </w:rPr>
              <w:t xml:space="preserve"> (Vic.)</w:t>
            </w:r>
          </w:p>
        </w:tc>
      </w:tr>
      <w:tr w:rsidR="007D17C5" w:rsidRPr="00143624" w:rsidTr="009558BE">
        <w:tc>
          <w:tcPr>
            <w:tcW w:w="714" w:type="dxa"/>
            <w:shd w:val="clear" w:color="auto" w:fill="auto"/>
          </w:tcPr>
          <w:p w:rsidR="007D17C5" w:rsidRPr="00143624" w:rsidRDefault="007D17C5" w:rsidP="009558BE">
            <w:pPr>
              <w:pStyle w:val="Tabletext"/>
            </w:pPr>
            <w:r w:rsidRPr="00143624">
              <w:t>6</w:t>
            </w:r>
          </w:p>
        </w:tc>
        <w:tc>
          <w:tcPr>
            <w:tcW w:w="7599" w:type="dxa"/>
            <w:shd w:val="clear" w:color="auto" w:fill="auto"/>
          </w:tcPr>
          <w:p w:rsidR="007D17C5" w:rsidRPr="00143624" w:rsidRDefault="007D17C5" w:rsidP="009558BE">
            <w:pPr>
              <w:pStyle w:val="Tabletext"/>
            </w:pPr>
            <w:r w:rsidRPr="00143624">
              <w:rPr>
                <w:i/>
              </w:rPr>
              <w:t>Magistrates’ Court Act 1989</w:t>
            </w:r>
            <w:r w:rsidRPr="00143624">
              <w:t xml:space="preserve"> </w:t>
            </w:r>
            <w:r w:rsidRPr="00143624">
              <w:rPr>
                <w:color w:val="000000"/>
              </w:rPr>
              <w:t>(Vic.)</w:t>
            </w:r>
          </w:p>
        </w:tc>
      </w:tr>
      <w:tr w:rsidR="007D17C5" w:rsidRPr="00143624" w:rsidTr="009558BE">
        <w:tc>
          <w:tcPr>
            <w:tcW w:w="714" w:type="dxa"/>
            <w:shd w:val="clear" w:color="auto" w:fill="auto"/>
          </w:tcPr>
          <w:p w:rsidR="007D17C5" w:rsidRPr="00143624" w:rsidRDefault="007D17C5" w:rsidP="009558BE">
            <w:pPr>
              <w:pStyle w:val="Tabletext"/>
            </w:pPr>
            <w:r w:rsidRPr="00143624">
              <w:t>7</w:t>
            </w:r>
          </w:p>
        </w:tc>
        <w:tc>
          <w:tcPr>
            <w:tcW w:w="7599" w:type="dxa"/>
            <w:shd w:val="clear" w:color="auto" w:fill="auto"/>
          </w:tcPr>
          <w:p w:rsidR="007D17C5" w:rsidRPr="00143624" w:rsidRDefault="007D17C5" w:rsidP="009558BE">
            <w:pPr>
              <w:pStyle w:val="Tabletext"/>
            </w:pPr>
            <w:r w:rsidRPr="00143624">
              <w:rPr>
                <w:color w:val="000000"/>
              </w:rPr>
              <w:t>sub</w:t>
            </w:r>
            <w:r w:rsidR="00F5399E" w:rsidRPr="00143624">
              <w:rPr>
                <w:color w:val="000000"/>
              </w:rPr>
              <w:t>section 9</w:t>
            </w:r>
            <w:r w:rsidRPr="00143624">
              <w:rPr>
                <w:color w:val="000000"/>
              </w:rPr>
              <w:t xml:space="preserve">(2) of the </w:t>
            </w:r>
            <w:r w:rsidRPr="00143624">
              <w:rPr>
                <w:i/>
                <w:color w:val="000000"/>
              </w:rPr>
              <w:t>Ombudsman Act 1973</w:t>
            </w:r>
            <w:r w:rsidRPr="00143624">
              <w:rPr>
                <w:color w:val="000000"/>
              </w:rPr>
              <w:t xml:space="preserve"> (Vic.)</w:t>
            </w:r>
          </w:p>
        </w:tc>
      </w:tr>
      <w:tr w:rsidR="007D17C5" w:rsidRPr="00143624" w:rsidTr="009558BE">
        <w:tc>
          <w:tcPr>
            <w:tcW w:w="714" w:type="dxa"/>
            <w:shd w:val="clear" w:color="auto" w:fill="auto"/>
          </w:tcPr>
          <w:p w:rsidR="007D17C5" w:rsidRPr="00143624" w:rsidRDefault="007D17C5" w:rsidP="009558BE">
            <w:pPr>
              <w:pStyle w:val="Tabletext"/>
            </w:pPr>
            <w:r w:rsidRPr="00143624">
              <w:t>8</w:t>
            </w:r>
          </w:p>
        </w:tc>
        <w:tc>
          <w:tcPr>
            <w:tcW w:w="7599" w:type="dxa"/>
            <w:shd w:val="clear" w:color="auto" w:fill="auto"/>
          </w:tcPr>
          <w:p w:rsidR="007D17C5" w:rsidRPr="00143624" w:rsidRDefault="007D17C5" w:rsidP="009558BE">
            <w:pPr>
              <w:pStyle w:val="Tabletext"/>
            </w:pPr>
            <w:r w:rsidRPr="00143624">
              <w:rPr>
                <w:i/>
              </w:rPr>
              <w:t>Public Prosecutions Act 1994</w:t>
            </w:r>
            <w:r w:rsidRPr="00143624">
              <w:t xml:space="preserve"> </w:t>
            </w:r>
            <w:r w:rsidRPr="00143624">
              <w:rPr>
                <w:color w:val="000000"/>
              </w:rPr>
              <w:t>(Vic.)</w:t>
            </w:r>
          </w:p>
        </w:tc>
      </w:tr>
      <w:tr w:rsidR="007D17C5" w:rsidRPr="00143624" w:rsidTr="009558BE">
        <w:tc>
          <w:tcPr>
            <w:tcW w:w="714" w:type="dxa"/>
            <w:shd w:val="clear" w:color="auto" w:fill="auto"/>
          </w:tcPr>
          <w:p w:rsidR="007D17C5" w:rsidRPr="00143624" w:rsidRDefault="007D17C5" w:rsidP="009558BE">
            <w:pPr>
              <w:pStyle w:val="Tabletext"/>
            </w:pPr>
            <w:r w:rsidRPr="00143624">
              <w:t>9</w:t>
            </w:r>
          </w:p>
        </w:tc>
        <w:tc>
          <w:tcPr>
            <w:tcW w:w="7599" w:type="dxa"/>
            <w:shd w:val="clear" w:color="auto" w:fill="auto"/>
          </w:tcPr>
          <w:p w:rsidR="007D17C5" w:rsidRPr="00143624" w:rsidRDefault="007D17C5" w:rsidP="009558BE">
            <w:pPr>
              <w:pStyle w:val="Tabletext"/>
            </w:pPr>
            <w:r w:rsidRPr="00143624">
              <w:rPr>
                <w:i/>
                <w:color w:val="000000"/>
              </w:rPr>
              <w:t>Supreme Court Act 1986</w:t>
            </w:r>
            <w:r w:rsidRPr="00143624">
              <w:rPr>
                <w:color w:val="000000"/>
              </w:rPr>
              <w:t xml:space="preserve"> (Vic.)</w:t>
            </w:r>
          </w:p>
        </w:tc>
      </w:tr>
      <w:tr w:rsidR="007D17C5" w:rsidRPr="00143624" w:rsidTr="009558BE">
        <w:tc>
          <w:tcPr>
            <w:tcW w:w="714" w:type="dxa"/>
            <w:shd w:val="clear" w:color="auto" w:fill="auto"/>
          </w:tcPr>
          <w:p w:rsidR="007D17C5" w:rsidRPr="00143624" w:rsidRDefault="007D17C5" w:rsidP="009558BE">
            <w:pPr>
              <w:pStyle w:val="Tabletext"/>
            </w:pPr>
            <w:r w:rsidRPr="00143624">
              <w:t>10</w:t>
            </w:r>
          </w:p>
        </w:tc>
        <w:tc>
          <w:tcPr>
            <w:tcW w:w="7599" w:type="dxa"/>
            <w:shd w:val="clear" w:color="auto" w:fill="auto"/>
          </w:tcPr>
          <w:p w:rsidR="007D17C5" w:rsidRPr="00143624" w:rsidRDefault="007D17C5" w:rsidP="009558BE">
            <w:pPr>
              <w:pStyle w:val="Tabletext"/>
            </w:pPr>
            <w:r w:rsidRPr="00143624">
              <w:rPr>
                <w:i/>
                <w:color w:val="000000"/>
              </w:rPr>
              <w:t xml:space="preserve">Governors (Salary and Pensions) Act 2003 </w:t>
            </w:r>
            <w:r w:rsidRPr="00143624">
              <w:rPr>
                <w:color w:val="000000"/>
              </w:rPr>
              <w:t>(Qld)</w:t>
            </w:r>
          </w:p>
        </w:tc>
      </w:tr>
      <w:tr w:rsidR="007D17C5" w:rsidRPr="00143624" w:rsidTr="009558BE">
        <w:tc>
          <w:tcPr>
            <w:tcW w:w="714" w:type="dxa"/>
            <w:shd w:val="clear" w:color="auto" w:fill="auto"/>
          </w:tcPr>
          <w:p w:rsidR="007D17C5" w:rsidRPr="00143624" w:rsidRDefault="007D17C5" w:rsidP="009558BE">
            <w:pPr>
              <w:pStyle w:val="Tabletext"/>
            </w:pPr>
            <w:r w:rsidRPr="00143624">
              <w:t>11</w:t>
            </w:r>
          </w:p>
        </w:tc>
        <w:tc>
          <w:tcPr>
            <w:tcW w:w="7599" w:type="dxa"/>
            <w:shd w:val="clear" w:color="auto" w:fill="auto"/>
          </w:tcPr>
          <w:p w:rsidR="007D17C5" w:rsidRPr="00143624" w:rsidRDefault="007D17C5" w:rsidP="009558BE">
            <w:pPr>
              <w:pStyle w:val="Tabletext"/>
            </w:pPr>
            <w:r w:rsidRPr="00143624">
              <w:rPr>
                <w:i/>
                <w:color w:val="000000"/>
              </w:rPr>
              <w:t xml:space="preserve">Judges (Pensions and Long Leave) Act 1957 </w:t>
            </w:r>
            <w:r w:rsidRPr="00143624">
              <w:rPr>
                <w:color w:val="000000"/>
              </w:rPr>
              <w:t>(Qld)</w:t>
            </w:r>
          </w:p>
        </w:tc>
      </w:tr>
      <w:tr w:rsidR="007D17C5" w:rsidRPr="00143624" w:rsidTr="009558BE">
        <w:tc>
          <w:tcPr>
            <w:tcW w:w="714" w:type="dxa"/>
            <w:shd w:val="clear" w:color="auto" w:fill="auto"/>
          </w:tcPr>
          <w:p w:rsidR="007D17C5" w:rsidRPr="00143624" w:rsidRDefault="007D17C5" w:rsidP="009558BE">
            <w:pPr>
              <w:pStyle w:val="Tabletext"/>
            </w:pPr>
            <w:r w:rsidRPr="00143624">
              <w:t>12</w:t>
            </w:r>
          </w:p>
        </w:tc>
        <w:tc>
          <w:tcPr>
            <w:tcW w:w="7599" w:type="dxa"/>
            <w:shd w:val="clear" w:color="auto" w:fill="auto"/>
          </w:tcPr>
          <w:p w:rsidR="007D17C5" w:rsidRPr="00143624" w:rsidRDefault="007D17C5" w:rsidP="009558BE">
            <w:pPr>
              <w:pStyle w:val="Tabletext"/>
            </w:pPr>
            <w:r w:rsidRPr="00143624">
              <w:rPr>
                <w:i/>
                <w:color w:val="000000"/>
              </w:rPr>
              <w:t xml:space="preserve">Judges’ Salaries and Pensions Act 1950 </w:t>
            </w:r>
            <w:r w:rsidRPr="00143624">
              <w:rPr>
                <w:color w:val="000000"/>
              </w:rPr>
              <w:t>(WA)</w:t>
            </w:r>
          </w:p>
        </w:tc>
      </w:tr>
      <w:tr w:rsidR="007D17C5" w:rsidRPr="00143624" w:rsidTr="009558BE">
        <w:tc>
          <w:tcPr>
            <w:tcW w:w="714" w:type="dxa"/>
            <w:shd w:val="clear" w:color="auto" w:fill="auto"/>
          </w:tcPr>
          <w:p w:rsidR="007D17C5" w:rsidRPr="00143624" w:rsidRDefault="007D17C5" w:rsidP="009558BE">
            <w:pPr>
              <w:pStyle w:val="Tabletext"/>
            </w:pPr>
            <w:r w:rsidRPr="00143624">
              <w:t>13</w:t>
            </w:r>
          </w:p>
        </w:tc>
        <w:tc>
          <w:tcPr>
            <w:tcW w:w="7599" w:type="dxa"/>
            <w:shd w:val="clear" w:color="auto" w:fill="auto"/>
          </w:tcPr>
          <w:p w:rsidR="007D17C5" w:rsidRPr="00143624" w:rsidRDefault="007D17C5" w:rsidP="009558BE">
            <w:pPr>
              <w:pStyle w:val="Tabletext"/>
            </w:pPr>
            <w:r w:rsidRPr="00143624">
              <w:rPr>
                <w:i/>
                <w:color w:val="000000"/>
              </w:rPr>
              <w:t xml:space="preserve">Parliamentary Superannuation Act 1970 </w:t>
            </w:r>
            <w:r w:rsidRPr="00143624">
              <w:rPr>
                <w:color w:val="000000"/>
              </w:rPr>
              <w:t>(WA)</w:t>
            </w:r>
          </w:p>
        </w:tc>
      </w:tr>
      <w:tr w:rsidR="007D17C5" w:rsidRPr="00143624" w:rsidTr="009558BE">
        <w:tc>
          <w:tcPr>
            <w:tcW w:w="714" w:type="dxa"/>
            <w:shd w:val="clear" w:color="auto" w:fill="auto"/>
          </w:tcPr>
          <w:p w:rsidR="007D17C5" w:rsidRPr="00143624" w:rsidRDefault="007D17C5" w:rsidP="009558BE">
            <w:pPr>
              <w:pStyle w:val="Tabletext"/>
            </w:pPr>
            <w:r w:rsidRPr="00143624">
              <w:t>14</w:t>
            </w:r>
          </w:p>
        </w:tc>
        <w:tc>
          <w:tcPr>
            <w:tcW w:w="7599" w:type="dxa"/>
            <w:shd w:val="clear" w:color="auto" w:fill="auto"/>
          </w:tcPr>
          <w:p w:rsidR="007D17C5" w:rsidRPr="00143624" w:rsidRDefault="007D17C5" w:rsidP="009558BE">
            <w:pPr>
              <w:pStyle w:val="Tabletext"/>
            </w:pPr>
            <w:r w:rsidRPr="00143624">
              <w:rPr>
                <w:i/>
                <w:color w:val="000000"/>
              </w:rPr>
              <w:t xml:space="preserve">State Superannuation Act 2000 </w:t>
            </w:r>
            <w:r w:rsidRPr="00143624">
              <w:rPr>
                <w:color w:val="000000"/>
              </w:rPr>
              <w:t>(WA)</w:t>
            </w:r>
          </w:p>
        </w:tc>
      </w:tr>
      <w:tr w:rsidR="007D17C5" w:rsidRPr="00143624" w:rsidTr="009558BE">
        <w:tc>
          <w:tcPr>
            <w:tcW w:w="714" w:type="dxa"/>
            <w:shd w:val="clear" w:color="auto" w:fill="auto"/>
          </w:tcPr>
          <w:p w:rsidR="007D17C5" w:rsidRPr="00143624" w:rsidRDefault="007D17C5" w:rsidP="009558BE">
            <w:pPr>
              <w:pStyle w:val="Tabletext"/>
            </w:pPr>
            <w:r w:rsidRPr="00143624">
              <w:t>15</w:t>
            </w:r>
          </w:p>
        </w:tc>
        <w:tc>
          <w:tcPr>
            <w:tcW w:w="7599" w:type="dxa"/>
            <w:shd w:val="clear" w:color="auto" w:fill="auto"/>
          </w:tcPr>
          <w:p w:rsidR="007D17C5" w:rsidRPr="00143624" w:rsidRDefault="007D17C5" w:rsidP="009558BE">
            <w:pPr>
              <w:pStyle w:val="Tabletext"/>
            </w:pPr>
            <w:r w:rsidRPr="00143624">
              <w:rPr>
                <w:i/>
                <w:color w:val="000000"/>
              </w:rPr>
              <w:t xml:space="preserve">Governors’ Pensions Act 1976 </w:t>
            </w:r>
            <w:r w:rsidRPr="00143624">
              <w:rPr>
                <w:color w:val="000000"/>
              </w:rPr>
              <w:t>(SA)</w:t>
            </w:r>
          </w:p>
        </w:tc>
      </w:tr>
      <w:tr w:rsidR="007D17C5" w:rsidRPr="00143624" w:rsidTr="009558BE">
        <w:tc>
          <w:tcPr>
            <w:tcW w:w="714" w:type="dxa"/>
            <w:shd w:val="clear" w:color="auto" w:fill="auto"/>
          </w:tcPr>
          <w:p w:rsidR="007D17C5" w:rsidRPr="00143624" w:rsidRDefault="007D17C5" w:rsidP="009558BE">
            <w:pPr>
              <w:pStyle w:val="Tabletext"/>
            </w:pPr>
            <w:r w:rsidRPr="00143624">
              <w:t>16</w:t>
            </w:r>
          </w:p>
        </w:tc>
        <w:tc>
          <w:tcPr>
            <w:tcW w:w="7599" w:type="dxa"/>
            <w:shd w:val="clear" w:color="auto" w:fill="auto"/>
          </w:tcPr>
          <w:p w:rsidR="007D17C5" w:rsidRPr="00143624" w:rsidRDefault="007D17C5" w:rsidP="009558BE">
            <w:pPr>
              <w:pStyle w:val="Tabletext"/>
            </w:pPr>
            <w:r w:rsidRPr="00143624">
              <w:rPr>
                <w:i/>
                <w:color w:val="000000"/>
              </w:rPr>
              <w:t xml:space="preserve">Judges’ Pensions Act 1971 </w:t>
            </w:r>
            <w:r w:rsidRPr="00143624">
              <w:rPr>
                <w:color w:val="000000"/>
              </w:rPr>
              <w:t>(SA)</w:t>
            </w:r>
          </w:p>
        </w:tc>
      </w:tr>
      <w:tr w:rsidR="007D17C5" w:rsidRPr="00143624" w:rsidTr="009558BE">
        <w:tc>
          <w:tcPr>
            <w:tcW w:w="714" w:type="dxa"/>
            <w:shd w:val="clear" w:color="auto" w:fill="auto"/>
          </w:tcPr>
          <w:p w:rsidR="007D17C5" w:rsidRPr="00143624" w:rsidRDefault="007D17C5" w:rsidP="009558BE">
            <w:pPr>
              <w:pStyle w:val="Tabletext"/>
            </w:pPr>
            <w:r w:rsidRPr="00143624">
              <w:t>17</w:t>
            </w:r>
          </w:p>
        </w:tc>
        <w:tc>
          <w:tcPr>
            <w:tcW w:w="7599" w:type="dxa"/>
            <w:shd w:val="clear" w:color="auto" w:fill="auto"/>
          </w:tcPr>
          <w:p w:rsidR="007D17C5" w:rsidRPr="00143624" w:rsidRDefault="007D17C5" w:rsidP="009558BE">
            <w:pPr>
              <w:pStyle w:val="Tabletext"/>
            </w:pPr>
            <w:r w:rsidRPr="00143624">
              <w:rPr>
                <w:i/>
                <w:color w:val="000000"/>
              </w:rPr>
              <w:t xml:space="preserve">Parliamentary Superannuation Act 1974 </w:t>
            </w:r>
            <w:r w:rsidRPr="00143624">
              <w:rPr>
                <w:color w:val="000000"/>
              </w:rPr>
              <w:t>(SA)</w:t>
            </w:r>
          </w:p>
        </w:tc>
      </w:tr>
      <w:tr w:rsidR="007D17C5" w:rsidRPr="00143624" w:rsidTr="009558BE">
        <w:tc>
          <w:tcPr>
            <w:tcW w:w="714" w:type="dxa"/>
            <w:shd w:val="clear" w:color="auto" w:fill="auto"/>
          </w:tcPr>
          <w:p w:rsidR="007D17C5" w:rsidRPr="00143624" w:rsidRDefault="007D17C5" w:rsidP="009558BE">
            <w:pPr>
              <w:pStyle w:val="Tabletext"/>
            </w:pPr>
            <w:r w:rsidRPr="00143624">
              <w:t>18</w:t>
            </w:r>
          </w:p>
        </w:tc>
        <w:tc>
          <w:tcPr>
            <w:tcW w:w="7599" w:type="dxa"/>
            <w:shd w:val="clear" w:color="auto" w:fill="auto"/>
          </w:tcPr>
          <w:p w:rsidR="007D17C5" w:rsidRPr="00143624" w:rsidRDefault="007D17C5" w:rsidP="009558BE">
            <w:pPr>
              <w:pStyle w:val="Tabletext"/>
            </w:pPr>
            <w:r w:rsidRPr="00143624">
              <w:rPr>
                <w:i/>
                <w:color w:val="000000"/>
              </w:rPr>
              <w:t>Police Superannuation Act 1990</w:t>
            </w:r>
            <w:r w:rsidRPr="00143624">
              <w:rPr>
                <w:color w:val="000000"/>
              </w:rPr>
              <w:t xml:space="preserve"> (SA)</w:t>
            </w:r>
          </w:p>
        </w:tc>
      </w:tr>
      <w:tr w:rsidR="007D17C5" w:rsidRPr="00143624" w:rsidTr="009558BE">
        <w:tc>
          <w:tcPr>
            <w:tcW w:w="714" w:type="dxa"/>
            <w:shd w:val="clear" w:color="auto" w:fill="auto"/>
          </w:tcPr>
          <w:p w:rsidR="007D17C5" w:rsidRPr="00143624" w:rsidRDefault="007D17C5" w:rsidP="009558BE">
            <w:pPr>
              <w:pStyle w:val="Tabletext"/>
            </w:pPr>
            <w:r w:rsidRPr="00143624">
              <w:t>19</w:t>
            </w:r>
          </w:p>
        </w:tc>
        <w:tc>
          <w:tcPr>
            <w:tcW w:w="7599" w:type="dxa"/>
            <w:shd w:val="clear" w:color="auto" w:fill="auto"/>
          </w:tcPr>
          <w:p w:rsidR="007D17C5" w:rsidRPr="00143624" w:rsidDel="007052BF" w:rsidRDefault="007D17C5" w:rsidP="009558BE">
            <w:pPr>
              <w:pStyle w:val="Tabletext"/>
            </w:pPr>
            <w:r w:rsidRPr="00143624">
              <w:t xml:space="preserve">a provision of the </w:t>
            </w:r>
            <w:r w:rsidRPr="00143624">
              <w:rPr>
                <w:i/>
              </w:rPr>
              <w:t xml:space="preserve">Southern State Superannuation Act 2009 </w:t>
            </w:r>
            <w:r w:rsidRPr="00143624">
              <w:t>(SA) (other than paragraph</w:t>
            </w:r>
            <w:r w:rsidR="002B1A95" w:rsidRPr="00143624">
              <w:t> </w:t>
            </w:r>
            <w:r w:rsidRPr="00143624">
              <w:t>30(2)(h))</w:t>
            </w:r>
          </w:p>
        </w:tc>
      </w:tr>
      <w:tr w:rsidR="007D17C5" w:rsidRPr="00143624" w:rsidTr="009558BE">
        <w:tc>
          <w:tcPr>
            <w:tcW w:w="714" w:type="dxa"/>
            <w:tcBorders>
              <w:bottom w:val="single" w:sz="2" w:space="0" w:color="auto"/>
            </w:tcBorders>
            <w:shd w:val="clear" w:color="auto" w:fill="auto"/>
          </w:tcPr>
          <w:p w:rsidR="007D17C5" w:rsidRPr="00143624" w:rsidRDefault="007D17C5" w:rsidP="009558BE">
            <w:pPr>
              <w:pStyle w:val="Tabletext"/>
            </w:pPr>
            <w:r w:rsidRPr="00143624">
              <w:t>20</w:t>
            </w:r>
          </w:p>
        </w:tc>
        <w:tc>
          <w:tcPr>
            <w:tcW w:w="7599" w:type="dxa"/>
            <w:tcBorders>
              <w:bottom w:val="single" w:sz="2" w:space="0" w:color="auto"/>
            </w:tcBorders>
            <w:shd w:val="clear" w:color="auto" w:fill="auto"/>
          </w:tcPr>
          <w:p w:rsidR="007D17C5" w:rsidRPr="00143624" w:rsidRDefault="007D17C5" w:rsidP="009558BE">
            <w:pPr>
              <w:pStyle w:val="Tabletext"/>
            </w:pPr>
            <w:r w:rsidRPr="00143624">
              <w:t xml:space="preserve">a provision of the </w:t>
            </w:r>
            <w:r w:rsidRPr="00143624">
              <w:rPr>
                <w:i/>
                <w:color w:val="000000"/>
              </w:rPr>
              <w:t>Superannuation Act 1988</w:t>
            </w:r>
            <w:r w:rsidRPr="00143624">
              <w:rPr>
                <w:color w:val="000000"/>
              </w:rPr>
              <w:t xml:space="preserve"> (SA) (other than section</w:t>
            </w:r>
            <w:r w:rsidR="002B1A95" w:rsidRPr="00143624">
              <w:rPr>
                <w:color w:val="000000"/>
              </w:rPr>
              <w:t> </w:t>
            </w:r>
            <w:r w:rsidRPr="00143624">
              <w:rPr>
                <w:color w:val="000000"/>
              </w:rPr>
              <w:t>52 and Schedule</w:t>
            </w:r>
            <w:r w:rsidR="002B1A95" w:rsidRPr="00143624">
              <w:rPr>
                <w:color w:val="000000"/>
              </w:rPr>
              <w:t> </w:t>
            </w:r>
            <w:r w:rsidRPr="00143624">
              <w:rPr>
                <w:color w:val="000000"/>
              </w:rPr>
              <w:t>3)</w:t>
            </w:r>
          </w:p>
        </w:tc>
      </w:tr>
      <w:tr w:rsidR="007D17C5" w:rsidRPr="00143624" w:rsidTr="009558BE">
        <w:tc>
          <w:tcPr>
            <w:tcW w:w="714"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21</w:t>
            </w:r>
          </w:p>
        </w:tc>
        <w:tc>
          <w:tcPr>
            <w:tcW w:w="7599"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rPr>
                <w:i/>
                <w:color w:val="000000"/>
              </w:rPr>
              <w:t xml:space="preserve">Judges’ Contributory Pensions Act 1968 </w:t>
            </w:r>
            <w:r w:rsidRPr="00143624">
              <w:rPr>
                <w:color w:val="000000"/>
              </w:rPr>
              <w:t>(Tas.)</w:t>
            </w:r>
          </w:p>
        </w:tc>
      </w:tr>
    </w:tbl>
    <w:p w:rsidR="007D17C5" w:rsidRPr="00143624" w:rsidRDefault="007D17C5" w:rsidP="007D17C5">
      <w:pPr>
        <w:pStyle w:val="ActHead5"/>
        <w:rPr>
          <w:i/>
        </w:rPr>
      </w:pPr>
      <w:bookmarkStart w:id="177" w:name="_Toc64030433"/>
      <w:r w:rsidRPr="003F3E0B">
        <w:rPr>
          <w:rStyle w:val="CharSectno"/>
        </w:rPr>
        <w:lastRenderedPageBreak/>
        <w:t>995</w:t>
      </w:r>
      <w:r w:rsidR="00143624" w:rsidRPr="003F3E0B">
        <w:rPr>
          <w:rStyle w:val="CharSectno"/>
        </w:rPr>
        <w:noBreakHyphen/>
      </w:r>
      <w:r w:rsidRPr="003F3E0B">
        <w:rPr>
          <w:rStyle w:val="CharSectno"/>
        </w:rPr>
        <w:t>1.04</w:t>
      </w:r>
      <w:r w:rsidRPr="00143624">
        <w:t xml:space="preserve">  Definition of </w:t>
      </w:r>
      <w:r w:rsidRPr="00143624">
        <w:rPr>
          <w:i/>
        </w:rPr>
        <w:t>contributions</w:t>
      </w:r>
      <w:r w:rsidR="00143624">
        <w:rPr>
          <w:i/>
        </w:rPr>
        <w:noBreakHyphen/>
      </w:r>
      <w:r w:rsidRPr="00143624">
        <w:rPr>
          <w:i/>
        </w:rPr>
        <w:t>splitting superannuation benefit</w:t>
      </w:r>
      <w:bookmarkEnd w:id="177"/>
    </w:p>
    <w:p w:rsidR="007D17C5" w:rsidRPr="00143624" w:rsidRDefault="007D17C5" w:rsidP="007D17C5">
      <w:pPr>
        <w:pStyle w:val="subsection"/>
      </w:pPr>
      <w:r w:rsidRPr="00143624">
        <w:tab/>
      </w:r>
      <w:r w:rsidRPr="00143624">
        <w:tab/>
        <w:t xml:space="preserve">For the purposes of the definition of </w:t>
      </w:r>
      <w:r w:rsidRPr="00143624">
        <w:rPr>
          <w:b/>
          <w:i/>
        </w:rPr>
        <w:t>contributions</w:t>
      </w:r>
      <w:r w:rsidR="00143624">
        <w:rPr>
          <w:b/>
          <w:i/>
        </w:rPr>
        <w:noBreakHyphen/>
      </w:r>
      <w:r w:rsidRPr="00143624">
        <w:rPr>
          <w:b/>
          <w:i/>
        </w:rPr>
        <w:t xml:space="preserve">splitting superannuation benefit </w:t>
      </w:r>
      <w:r w:rsidRPr="00143624">
        <w:t>in sub</w:t>
      </w:r>
      <w:r w:rsidR="00F5399E" w:rsidRPr="00143624">
        <w:t>section 9</w:t>
      </w:r>
      <w:r w:rsidRPr="00143624">
        <w:t>95</w:t>
      </w:r>
      <w:r w:rsidR="00143624">
        <w:noBreakHyphen/>
      </w:r>
      <w:r w:rsidRPr="00143624">
        <w:t xml:space="preserve">1(1) of the Act, </w:t>
      </w:r>
      <w:r w:rsidRPr="00143624">
        <w:rPr>
          <w:b/>
          <w:i/>
        </w:rPr>
        <w:t>contributions</w:t>
      </w:r>
      <w:r w:rsidR="00143624">
        <w:rPr>
          <w:b/>
          <w:i/>
        </w:rPr>
        <w:noBreakHyphen/>
      </w:r>
      <w:r w:rsidRPr="00143624">
        <w:rPr>
          <w:b/>
          <w:i/>
        </w:rPr>
        <w:t xml:space="preserve">splitting superannuation benefit </w:t>
      </w:r>
      <w:r w:rsidRPr="00143624">
        <w:t>means:</w:t>
      </w:r>
    </w:p>
    <w:p w:rsidR="007D17C5" w:rsidRPr="00143624" w:rsidRDefault="007D17C5" w:rsidP="007D17C5">
      <w:pPr>
        <w:pStyle w:val="paragraph"/>
      </w:pPr>
      <w:r w:rsidRPr="00143624">
        <w:tab/>
        <w:t>(a)</w:t>
      </w:r>
      <w:r w:rsidRPr="00143624">
        <w:tab/>
        <w:t>a payment made in accordance with subregulation</w:t>
      </w:r>
      <w:r w:rsidR="002B1A95" w:rsidRPr="00143624">
        <w:t> </w:t>
      </w:r>
      <w:r w:rsidRPr="00143624">
        <w:t>4.42(2) of the RSA Regulations; or</w:t>
      </w:r>
    </w:p>
    <w:p w:rsidR="007D17C5" w:rsidRPr="00143624" w:rsidRDefault="007D17C5" w:rsidP="007D17C5">
      <w:pPr>
        <w:pStyle w:val="paragraph"/>
      </w:pPr>
      <w:r w:rsidRPr="00143624">
        <w:tab/>
        <w:t>(b)</w:t>
      </w:r>
      <w:r w:rsidRPr="00143624">
        <w:tab/>
        <w:t>a payment made in accordance with subregulation</w:t>
      </w:r>
      <w:r w:rsidR="002B1A95" w:rsidRPr="00143624">
        <w:t> </w:t>
      </w:r>
      <w:r w:rsidRPr="00143624">
        <w:t>6.45(2) of the SIS Regulations.</w:t>
      </w:r>
    </w:p>
    <w:p w:rsidR="007D17C5" w:rsidRPr="00143624" w:rsidRDefault="007D17C5" w:rsidP="007D17C5">
      <w:pPr>
        <w:pStyle w:val="ActHead5"/>
      </w:pPr>
      <w:bookmarkStart w:id="178" w:name="_Toc64030434"/>
      <w:r w:rsidRPr="003F3E0B">
        <w:rPr>
          <w:rStyle w:val="CharSectno"/>
        </w:rPr>
        <w:t>995</w:t>
      </w:r>
      <w:r w:rsidR="00143624" w:rsidRPr="003F3E0B">
        <w:rPr>
          <w:rStyle w:val="CharSectno"/>
        </w:rPr>
        <w:noBreakHyphen/>
      </w:r>
      <w:r w:rsidRPr="003F3E0B">
        <w:rPr>
          <w:rStyle w:val="CharSectno"/>
        </w:rPr>
        <w:t>1.05</w:t>
      </w:r>
      <w:r w:rsidRPr="00143624">
        <w:t xml:space="preserve">  Meaning of </w:t>
      </w:r>
      <w:r w:rsidRPr="00143624">
        <w:rPr>
          <w:i/>
          <w:color w:val="000000"/>
        </w:rPr>
        <w:t>superannuation annuity</w:t>
      </w:r>
      <w:bookmarkEnd w:id="178"/>
    </w:p>
    <w:p w:rsidR="007D17C5" w:rsidRPr="00143624" w:rsidRDefault="007D17C5" w:rsidP="007D17C5">
      <w:pPr>
        <w:pStyle w:val="Definition"/>
      </w:pPr>
      <w:r w:rsidRPr="00143624">
        <w:t xml:space="preserve">For the purposes of the definition of </w:t>
      </w:r>
      <w:r w:rsidRPr="00143624">
        <w:rPr>
          <w:b/>
          <w:i/>
          <w:color w:val="000000"/>
        </w:rPr>
        <w:t>superannuation annuity</w:t>
      </w:r>
      <w:r w:rsidRPr="00143624">
        <w:rPr>
          <w:color w:val="000000"/>
        </w:rPr>
        <w:t xml:space="preserve"> in </w:t>
      </w:r>
      <w:r w:rsidRPr="00143624">
        <w:t>sub</w:t>
      </w:r>
      <w:r w:rsidR="00F5399E" w:rsidRPr="00143624">
        <w:t>section 9</w:t>
      </w:r>
      <w:r w:rsidRPr="00143624">
        <w:t>95</w:t>
      </w:r>
      <w:r w:rsidR="00143624">
        <w:noBreakHyphen/>
      </w:r>
      <w:r w:rsidRPr="00143624">
        <w:t>1(1) of the Act</w:t>
      </w:r>
      <w:r w:rsidRPr="00143624">
        <w:rPr>
          <w:color w:val="000000"/>
        </w:rPr>
        <w:t>,</w:t>
      </w:r>
      <w:r w:rsidRPr="00143624">
        <w:t xml:space="preserve"> </w:t>
      </w:r>
      <w:r w:rsidRPr="00143624">
        <w:rPr>
          <w:b/>
          <w:i/>
          <w:color w:val="000000"/>
        </w:rPr>
        <w:t xml:space="preserve">superannuation annuity </w:t>
      </w:r>
      <w:r w:rsidRPr="00143624">
        <w:t>means:</w:t>
      </w:r>
    </w:p>
    <w:p w:rsidR="007D17C5" w:rsidRPr="00143624" w:rsidRDefault="007D17C5" w:rsidP="007D17C5">
      <w:pPr>
        <w:pStyle w:val="paragraph"/>
      </w:pPr>
      <w:r w:rsidRPr="00143624">
        <w:tab/>
        <w:t>(a)</w:t>
      </w:r>
      <w:r w:rsidRPr="00143624">
        <w:tab/>
        <w:t>an income stream that:</w:t>
      </w:r>
    </w:p>
    <w:p w:rsidR="007D17C5" w:rsidRPr="00143624" w:rsidRDefault="007D17C5" w:rsidP="007D17C5">
      <w:pPr>
        <w:pStyle w:val="paragraphsub"/>
      </w:pPr>
      <w:r w:rsidRPr="00143624">
        <w:rPr>
          <w:color w:val="000000"/>
        </w:rPr>
        <w:tab/>
        <w:t>(i)</w:t>
      </w:r>
      <w:r w:rsidRPr="00143624">
        <w:rPr>
          <w:color w:val="000000"/>
        </w:rPr>
        <w:tab/>
        <w:t>is issued by a life insurance company or registered organisation; and</w:t>
      </w:r>
    </w:p>
    <w:p w:rsidR="007D17C5" w:rsidRPr="00143624" w:rsidRDefault="007D17C5" w:rsidP="007D17C5">
      <w:pPr>
        <w:pStyle w:val="paragraphsub"/>
      </w:pPr>
      <w:r w:rsidRPr="00143624">
        <w:tab/>
        <w:t>(ii)</w:t>
      </w:r>
      <w:r w:rsidRPr="00143624">
        <w:tab/>
        <w:t>commenced before 20</w:t>
      </w:r>
      <w:r w:rsidR="002B1A95" w:rsidRPr="00143624">
        <w:t> </w:t>
      </w:r>
      <w:r w:rsidRPr="00143624">
        <w:t>September 2007; and</w:t>
      </w:r>
    </w:p>
    <w:p w:rsidR="007D17C5" w:rsidRPr="00143624" w:rsidRDefault="007D17C5" w:rsidP="007D17C5">
      <w:pPr>
        <w:pStyle w:val="paragraphsub"/>
      </w:pPr>
      <w:r w:rsidRPr="00143624">
        <w:tab/>
        <w:t>(iii)</w:t>
      </w:r>
      <w:r w:rsidRPr="00143624">
        <w:tab/>
        <w:t xml:space="preserve">is an annuity within the meaning of </w:t>
      </w:r>
      <w:r w:rsidRPr="00143624">
        <w:rPr>
          <w:color w:val="000000"/>
        </w:rPr>
        <w:t>subsection</w:t>
      </w:r>
      <w:r w:rsidR="002B1A95" w:rsidRPr="00143624">
        <w:rPr>
          <w:color w:val="000000"/>
        </w:rPr>
        <w:t> </w:t>
      </w:r>
      <w:r w:rsidRPr="00143624">
        <w:rPr>
          <w:color w:val="000000"/>
        </w:rPr>
        <w:t>10(1) of the SIS Act or is a benefit mentioned in</w:t>
      </w:r>
      <w:r w:rsidRPr="00143624">
        <w:t xml:space="preserve"> subregulation</w:t>
      </w:r>
      <w:r w:rsidR="002B1A95" w:rsidRPr="00143624">
        <w:t> </w:t>
      </w:r>
      <w:r w:rsidRPr="00143624">
        <w:t>1.07(1A) of the RSA Regulations; or</w:t>
      </w:r>
    </w:p>
    <w:p w:rsidR="007D17C5" w:rsidRPr="00143624" w:rsidRDefault="007D17C5" w:rsidP="007D17C5">
      <w:pPr>
        <w:pStyle w:val="paragraph"/>
      </w:pPr>
      <w:r w:rsidRPr="00143624">
        <w:tab/>
        <w:t>(b)</w:t>
      </w:r>
      <w:r w:rsidRPr="00143624">
        <w:tab/>
        <w:t>an income stream that:</w:t>
      </w:r>
    </w:p>
    <w:p w:rsidR="007D17C5" w:rsidRPr="00143624" w:rsidRDefault="007D17C5" w:rsidP="007D17C5">
      <w:pPr>
        <w:pStyle w:val="paragraphsub"/>
      </w:pPr>
      <w:r w:rsidRPr="00143624">
        <w:rPr>
          <w:color w:val="000000"/>
        </w:rPr>
        <w:tab/>
        <w:t>(i)</w:t>
      </w:r>
      <w:r w:rsidRPr="00143624">
        <w:rPr>
          <w:color w:val="000000"/>
        </w:rPr>
        <w:tab/>
        <w:t>is issued by a life insurance company or registered organisation; and</w:t>
      </w:r>
    </w:p>
    <w:p w:rsidR="007D17C5" w:rsidRPr="00143624" w:rsidRDefault="007D17C5" w:rsidP="007D17C5">
      <w:pPr>
        <w:pStyle w:val="paragraphsub"/>
      </w:pPr>
      <w:r w:rsidRPr="00143624">
        <w:tab/>
        <w:t>(ii)</w:t>
      </w:r>
      <w:r w:rsidRPr="00143624">
        <w:tab/>
        <w:t>is taken to be an annuity for the purposes of the SIS Act in accordance with subregulation</w:t>
      </w:r>
      <w:r w:rsidR="002B1A95" w:rsidRPr="00143624">
        <w:t> </w:t>
      </w:r>
      <w:r w:rsidRPr="00143624">
        <w:t>1.05(1) of the SIS Regulations; or</w:t>
      </w:r>
    </w:p>
    <w:p w:rsidR="007D17C5" w:rsidRPr="00143624" w:rsidRDefault="007D17C5" w:rsidP="007D17C5">
      <w:pPr>
        <w:pStyle w:val="paragraph"/>
      </w:pPr>
      <w:r w:rsidRPr="00143624">
        <w:tab/>
        <w:t>(c)</w:t>
      </w:r>
      <w:r w:rsidRPr="00143624">
        <w:tab/>
        <w:t>a deferred superannuation income stream that is taken to be an annuity for the purposes of the SIS Act in accordance with subregulation</w:t>
      </w:r>
      <w:r w:rsidR="002B1A95" w:rsidRPr="00143624">
        <w:t> </w:t>
      </w:r>
      <w:r w:rsidRPr="00143624">
        <w:t>1.05(1) of the SIS Regulations because the contract for the provision of the income stream meets the standards of subregulation</w:t>
      </w:r>
      <w:r w:rsidR="002B1A95" w:rsidRPr="00143624">
        <w:t> </w:t>
      </w:r>
      <w:r w:rsidRPr="00143624">
        <w:t>1.06A(2) of the SIS Regulations.</w:t>
      </w:r>
    </w:p>
    <w:p w:rsidR="007D17C5" w:rsidRPr="00143624" w:rsidRDefault="007D17C5" w:rsidP="007D17C5">
      <w:pPr>
        <w:pStyle w:val="ActHead5"/>
      </w:pPr>
      <w:bookmarkStart w:id="179" w:name="_Toc64030435"/>
      <w:r w:rsidRPr="003F3E0B">
        <w:rPr>
          <w:rStyle w:val="CharSectno"/>
        </w:rPr>
        <w:t>995</w:t>
      </w:r>
      <w:r w:rsidR="00143624" w:rsidRPr="003F3E0B">
        <w:rPr>
          <w:rStyle w:val="CharSectno"/>
        </w:rPr>
        <w:noBreakHyphen/>
      </w:r>
      <w:r w:rsidRPr="003F3E0B">
        <w:rPr>
          <w:rStyle w:val="CharSectno"/>
        </w:rPr>
        <w:t>1.06</w:t>
      </w:r>
      <w:r w:rsidRPr="00143624">
        <w:t xml:space="preserve">  Meaning of </w:t>
      </w:r>
      <w:r w:rsidRPr="00143624">
        <w:rPr>
          <w:i/>
        </w:rPr>
        <w:t>terminal medical condition</w:t>
      </w:r>
      <w:bookmarkEnd w:id="179"/>
    </w:p>
    <w:p w:rsidR="007D17C5" w:rsidRPr="00143624" w:rsidRDefault="007D17C5" w:rsidP="007D17C5">
      <w:pPr>
        <w:pStyle w:val="subsection"/>
      </w:pPr>
      <w:r w:rsidRPr="00143624">
        <w:tab/>
      </w:r>
      <w:r w:rsidRPr="00143624">
        <w:tab/>
        <w:t xml:space="preserve">For the purposes of the definition of </w:t>
      </w:r>
      <w:r w:rsidRPr="00143624">
        <w:rPr>
          <w:b/>
          <w:i/>
        </w:rPr>
        <w:t>terminal medical condition</w:t>
      </w:r>
      <w:r w:rsidRPr="00143624">
        <w:t xml:space="preserve"> in sub</w:t>
      </w:r>
      <w:r w:rsidR="00F5399E" w:rsidRPr="00143624">
        <w:t>section 9</w:t>
      </w:r>
      <w:r w:rsidRPr="00143624">
        <w:t>95</w:t>
      </w:r>
      <w:r w:rsidR="00143624">
        <w:noBreakHyphen/>
      </w:r>
      <w:r w:rsidRPr="00143624">
        <w:t xml:space="preserve">1(1) of the Act, a </w:t>
      </w:r>
      <w:r w:rsidRPr="00143624">
        <w:rPr>
          <w:b/>
          <w:i/>
        </w:rPr>
        <w:t>terminal medical condition</w:t>
      </w:r>
      <w:r w:rsidRPr="00143624">
        <w:t xml:space="preserve"> exists in relation to a person at a particular time if the following circumstances exist:</w:t>
      </w:r>
    </w:p>
    <w:p w:rsidR="007D17C5" w:rsidRPr="00143624" w:rsidRDefault="007D17C5" w:rsidP="007D17C5">
      <w:pPr>
        <w:pStyle w:val="paragraph"/>
      </w:pPr>
      <w:r w:rsidRPr="00143624">
        <w:tab/>
        <w:t>(a)</w:t>
      </w:r>
      <w:r w:rsidRPr="00143624">
        <w:tab/>
        <w:t xml:space="preserve">2 registered medical practitioners have certified, jointly or separately, that the person suffers from an illness, or has incurred an injury, that is likely to result in the death of the person within a period (the </w:t>
      </w:r>
      <w:r w:rsidRPr="00143624">
        <w:rPr>
          <w:b/>
          <w:i/>
        </w:rPr>
        <w:t>certification period</w:t>
      </w:r>
      <w:r w:rsidRPr="00143624">
        <w:t>) that ends not more than 24 months after the date of the certification;</w:t>
      </w:r>
    </w:p>
    <w:p w:rsidR="007D17C5" w:rsidRPr="00143624" w:rsidRDefault="007D17C5" w:rsidP="007D17C5">
      <w:pPr>
        <w:pStyle w:val="paragraph"/>
      </w:pPr>
      <w:r w:rsidRPr="00143624">
        <w:tab/>
        <w:t>(b)</w:t>
      </w:r>
      <w:r w:rsidRPr="00143624">
        <w:tab/>
        <w:t>at least one of the registered medical practitioners is a specialist practising in an area related to the illness or injury suffered by the person;</w:t>
      </w:r>
    </w:p>
    <w:p w:rsidR="007D17C5" w:rsidRPr="00143624" w:rsidRDefault="007D17C5" w:rsidP="007D17C5">
      <w:pPr>
        <w:pStyle w:val="paragraph"/>
      </w:pPr>
      <w:r w:rsidRPr="00143624">
        <w:tab/>
        <w:t>(c)</w:t>
      </w:r>
      <w:r w:rsidRPr="00143624">
        <w:tab/>
        <w:t>either:</w:t>
      </w:r>
    </w:p>
    <w:p w:rsidR="007D17C5" w:rsidRPr="00143624" w:rsidRDefault="007D17C5" w:rsidP="007D17C5">
      <w:pPr>
        <w:pStyle w:val="paragraphsub"/>
      </w:pPr>
      <w:r w:rsidRPr="00143624">
        <w:tab/>
        <w:t>(i)</w:t>
      </w:r>
      <w:r w:rsidRPr="00143624">
        <w:tab/>
        <w:t>if there is one certification period—the certification period has not ended; or</w:t>
      </w:r>
    </w:p>
    <w:p w:rsidR="007D17C5" w:rsidRPr="00143624" w:rsidRDefault="007D17C5" w:rsidP="007D17C5">
      <w:pPr>
        <w:pStyle w:val="paragraphsub"/>
      </w:pPr>
      <w:r w:rsidRPr="00143624">
        <w:tab/>
        <w:t>(ii)</w:t>
      </w:r>
      <w:r w:rsidRPr="00143624">
        <w:tab/>
        <w:t>otherwise—neither of the certification periods has ended.</w:t>
      </w:r>
    </w:p>
    <w:p w:rsidR="00311618" w:rsidRPr="00143624" w:rsidRDefault="00311618" w:rsidP="00311618">
      <w:pPr>
        <w:pStyle w:val="ActHead1"/>
        <w:pageBreakBefore/>
      </w:pPr>
      <w:bookmarkStart w:id="180" w:name="_Toc64030436"/>
      <w:r w:rsidRPr="003F3E0B">
        <w:rPr>
          <w:rStyle w:val="CharChapNo"/>
        </w:rPr>
        <w:lastRenderedPageBreak/>
        <w:t>Chapter 7</w:t>
      </w:r>
      <w:r w:rsidRPr="00143624">
        <w:t>—</w:t>
      </w:r>
      <w:r w:rsidRPr="003F3E0B">
        <w:rPr>
          <w:rStyle w:val="CharChapText"/>
        </w:rPr>
        <w:t>Transitional matters</w:t>
      </w:r>
      <w:bookmarkEnd w:id="180"/>
    </w:p>
    <w:p w:rsidR="00311618" w:rsidRPr="00143624" w:rsidRDefault="00311618" w:rsidP="00311618">
      <w:pPr>
        <w:pStyle w:val="ActHead2"/>
      </w:pPr>
      <w:bookmarkStart w:id="181" w:name="_Toc64030437"/>
      <w:r w:rsidRPr="003F3E0B">
        <w:rPr>
          <w:rStyle w:val="CharPartNo"/>
        </w:rPr>
        <w:t>Part 1000</w:t>
      </w:r>
      <w:r w:rsidR="00143624" w:rsidRPr="003F3E0B">
        <w:rPr>
          <w:rStyle w:val="CharPartNo"/>
        </w:rPr>
        <w:noBreakHyphen/>
      </w:r>
      <w:r w:rsidRPr="003F3E0B">
        <w:rPr>
          <w:rStyle w:val="CharPartNo"/>
        </w:rPr>
        <w:t>1</w:t>
      </w:r>
      <w:r w:rsidRPr="00143624">
        <w:t>—</w:t>
      </w:r>
      <w:r w:rsidRPr="003F3E0B">
        <w:rPr>
          <w:rStyle w:val="CharPartText"/>
        </w:rPr>
        <w:t>Transitional matters relating to the repeal of the Income Tax Assessment Regulations 1997</w:t>
      </w:r>
      <w:bookmarkEnd w:id="181"/>
    </w:p>
    <w:p w:rsidR="00311618" w:rsidRPr="003F3E0B" w:rsidRDefault="00311618" w:rsidP="00311618">
      <w:pPr>
        <w:pStyle w:val="Header"/>
      </w:pPr>
      <w:r w:rsidRPr="003F3E0B">
        <w:rPr>
          <w:rStyle w:val="CharDivNo"/>
        </w:rPr>
        <w:t xml:space="preserve"> </w:t>
      </w:r>
      <w:r w:rsidRPr="003F3E0B">
        <w:rPr>
          <w:rStyle w:val="CharDivText"/>
        </w:rPr>
        <w:t xml:space="preserve"> </w:t>
      </w:r>
    </w:p>
    <w:p w:rsidR="00311618" w:rsidRPr="00143624" w:rsidRDefault="00311618" w:rsidP="00311618">
      <w:pPr>
        <w:pStyle w:val="ActHead5"/>
      </w:pPr>
      <w:bookmarkStart w:id="182" w:name="_Toc64030438"/>
      <w:r w:rsidRPr="003F3E0B">
        <w:rPr>
          <w:rStyle w:val="CharSectno"/>
        </w:rPr>
        <w:t>1000</w:t>
      </w:r>
      <w:r w:rsidR="00143624" w:rsidRPr="003F3E0B">
        <w:rPr>
          <w:rStyle w:val="CharSectno"/>
        </w:rPr>
        <w:noBreakHyphen/>
      </w:r>
      <w:r w:rsidRPr="003F3E0B">
        <w:rPr>
          <w:rStyle w:val="CharSectno"/>
        </w:rPr>
        <w:t>1.01</w:t>
      </w:r>
      <w:r w:rsidRPr="00143624">
        <w:t xml:space="preserve">  Definitions</w:t>
      </w:r>
      <w:bookmarkEnd w:id="182"/>
    </w:p>
    <w:p w:rsidR="00311618" w:rsidRPr="00143624" w:rsidRDefault="00311618" w:rsidP="00311618">
      <w:pPr>
        <w:pStyle w:val="subsection"/>
      </w:pPr>
      <w:r w:rsidRPr="00143624">
        <w:tab/>
      </w:r>
      <w:r w:rsidRPr="00143624">
        <w:tab/>
        <w:t>In this Part:</w:t>
      </w:r>
    </w:p>
    <w:p w:rsidR="00311618" w:rsidRPr="00143624" w:rsidRDefault="00311618" w:rsidP="00311618">
      <w:pPr>
        <w:pStyle w:val="Definition"/>
      </w:pPr>
      <w:r w:rsidRPr="00143624">
        <w:rPr>
          <w:b/>
          <w:i/>
        </w:rPr>
        <w:t>commencement time</w:t>
      </w:r>
      <w:r w:rsidRPr="00143624">
        <w:t xml:space="preserve"> means the time this section commences.</w:t>
      </w:r>
    </w:p>
    <w:p w:rsidR="00311618" w:rsidRPr="00143624" w:rsidRDefault="00311618" w:rsidP="00311618">
      <w:pPr>
        <w:pStyle w:val="Definition"/>
      </w:pPr>
      <w:r w:rsidRPr="00143624">
        <w:rPr>
          <w:b/>
          <w:i/>
        </w:rPr>
        <w:t>old regulations</w:t>
      </w:r>
      <w:r w:rsidRPr="00143624">
        <w:t xml:space="preserve"> means the </w:t>
      </w:r>
      <w:r w:rsidRPr="00143624">
        <w:rPr>
          <w:i/>
        </w:rPr>
        <w:t>Income Tax Assessment Regulations 1997</w:t>
      </w:r>
      <w:r w:rsidRPr="00143624">
        <w:t>.</w:t>
      </w:r>
    </w:p>
    <w:p w:rsidR="00311618" w:rsidRPr="00143624" w:rsidRDefault="00311618" w:rsidP="00311618">
      <w:pPr>
        <w:pStyle w:val="Definition"/>
      </w:pPr>
      <w:r w:rsidRPr="00143624">
        <w:rPr>
          <w:b/>
          <w:i/>
        </w:rPr>
        <w:t>repealing regulations</w:t>
      </w:r>
      <w:r w:rsidRPr="00143624">
        <w:t xml:space="preserve"> means the </w:t>
      </w:r>
      <w:r w:rsidRPr="00143624">
        <w:rPr>
          <w:i/>
        </w:rPr>
        <w:t xml:space="preserve">Treasury Laws Amendment (Income Tax Assessment Repeal and Consequential Amendments) </w:t>
      </w:r>
      <w:r w:rsidR="00143624" w:rsidRPr="00143624">
        <w:rPr>
          <w:i/>
        </w:rPr>
        <w:t>Regulations 2</w:t>
      </w:r>
      <w:r w:rsidRPr="00143624">
        <w:rPr>
          <w:i/>
        </w:rPr>
        <w:t>021</w:t>
      </w:r>
      <w:r w:rsidRPr="00143624">
        <w:t>.</w:t>
      </w:r>
    </w:p>
    <w:p w:rsidR="00311618" w:rsidRPr="00143624" w:rsidRDefault="00311618" w:rsidP="00311618">
      <w:pPr>
        <w:pStyle w:val="ActHead5"/>
      </w:pPr>
      <w:bookmarkStart w:id="183" w:name="_Toc64030439"/>
      <w:r w:rsidRPr="003F3E0B">
        <w:rPr>
          <w:rStyle w:val="CharSectno"/>
        </w:rPr>
        <w:t>1000</w:t>
      </w:r>
      <w:r w:rsidR="00143624" w:rsidRPr="003F3E0B">
        <w:rPr>
          <w:rStyle w:val="CharSectno"/>
        </w:rPr>
        <w:noBreakHyphen/>
      </w:r>
      <w:r w:rsidRPr="003F3E0B">
        <w:rPr>
          <w:rStyle w:val="CharSectno"/>
        </w:rPr>
        <w:t>1.02</w:t>
      </w:r>
      <w:r w:rsidRPr="00143624">
        <w:t xml:space="preserve">  This instrument generally applies to income years and financial years starting at or after the commencement time</w:t>
      </w:r>
      <w:bookmarkEnd w:id="183"/>
    </w:p>
    <w:p w:rsidR="00311618" w:rsidRPr="00143624" w:rsidRDefault="00311618" w:rsidP="00311618">
      <w:pPr>
        <w:tabs>
          <w:tab w:val="right" w:pos="1021"/>
        </w:tabs>
        <w:spacing w:before="180" w:line="240" w:lineRule="auto"/>
        <w:ind w:left="1134" w:hanging="1134"/>
        <w:rPr>
          <w:rFonts w:eastAsia="Times New Roman" w:cs="Times New Roman"/>
          <w:lang w:eastAsia="en-AU"/>
        </w:rPr>
      </w:pPr>
      <w:r w:rsidRPr="00143624">
        <w:rPr>
          <w:rFonts w:eastAsia="Times New Roman" w:cs="Times New Roman"/>
          <w:lang w:eastAsia="en-AU"/>
        </w:rPr>
        <w:tab/>
        <w:t>(1)</w:t>
      </w:r>
      <w:r w:rsidRPr="00143624">
        <w:rPr>
          <w:rFonts w:eastAsia="Times New Roman" w:cs="Times New Roman"/>
          <w:lang w:eastAsia="en-AU"/>
        </w:rPr>
        <w:tab/>
        <w:t>Subject to this Part, this instrument applies in relation to income years and financial years starting at or after the commencement time.</w:t>
      </w:r>
    </w:p>
    <w:p w:rsidR="00311618" w:rsidRPr="00143624" w:rsidRDefault="00311618" w:rsidP="00311618">
      <w:pPr>
        <w:tabs>
          <w:tab w:val="right" w:pos="1021"/>
        </w:tabs>
        <w:spacing w:before="180" w:line="240" w:lineRule="auto"/>
        <w:ind w:left="1134" w:hanging="1134"/>
        <w:rPr>
          <w:rFonts w:eastAsia="Times New Roman" w:cs="Times New Roman"/>
          <w:lang w:eastAsia="en-AU"/>
        </w:rPr>
      </w:pPr>
      <w:r w:rsidRPr="00143624">
        <w:rPr>
          <w:rFonts w:eastAsia="Times New Roman" w:cs="Times New Roman"/>
          <w:lang w:eastAsia="en-AU"/>
        </w:rPr>
        <w:tab/>
        <w:t>(2)</w:t>
      </w:r>
      <w:r w:rsidRPr="00143624">
        <w:rPr>
          <w:rFonts w:eastAsia="Times New Roman" w:cs="Times New Roman"/>
          <w:lang w:eastAsia="en-AU"/>
        </w:rPr>
        <w:tab/>
        <w:t>Subject to this Part, despite the repeal of the old regulations by the repealing regulations, the old regulations continue to apply in relation to income years and financial years starting before the commencement time as if the repeal had not happened.</w:t>
      </w:r>
    </w:p>
    <w:p w:rsidR="00311618" w:rsidRPr="00143624" w:rsidRDefault="00311618" w:rsidP="00311618">
      <w:pPr>
        <w:pStyle w:val="ActHead5"/>
      </w:pPr>
      <w:bookmarkStart w:id="184" w:name="_Toc64030440"/>
      <w:r w:rsidRPr="003F3E0B">
        <w:rPr>
          <w:rStyle w:val="CharSectno"/>
        </w:rPr>
        <w:t>1000</w:t>
      </w:r>
      <w:r w:rsidR="00143624" w:rsidRPr="003F3E0B">
        <w:rPr>
          <w:rStyle w:val="CharSectno"/>
        </w:rPr>
        <w:noBreakHyphen/>
      </w:r>
      <w:r w:rsidRPr="003F3E0B">
        <w:rPr>
          <w:rStyle w:val="CharSectno"/>
        </w:rPr>
        <w:t>1.03</w:t>
      </w:r>
      <w:r w:rsidRPr="00143624">
        <w:t xml:space="preserve">  Valuations under Division 30 or 31</w:t>
      </w:r>
      <w:bookmarkEnd w:id="184"/>
    </w:p>
    <w:p w:rsidR="00311618" w:rsidRPr="00143624" w:rsidRDefault="00311618" w:rsidP="00311618">
      <w:pPr>
        <w:pStyle w:val="subsection"/>
      </w:pPr>
      <w:r w:rsidRPr="00143624">
        <w:tab/>
        <w:t>(1)</w:t>
      </w:r>
      <w:r w:rsidRPr="00143624">
        <w:tab/>
        <w:t>Division 30 applies in relation to a valuation sought from the Commissioner under section 30</w:t>
      </w:r>
      <w:r w:rsidR="00143624">
        <w:noBreakHyphen/>
      </w:r>
      <w:r w:rsidRPr="00143624">
        <w:t>212 of the Act at or after the commencement time.</w:t>
      </w:r>
    </w:p>
    <w:p w:rsidR="00311618" w:rsidRPr="00143624" w:rsidRDefault="00311618" w:rsidP="00311618">
      <w:pPr>
        <w:pStyle w:val="subsection"/>
      </w:pPr>
      <w:r w:rsidRPr="00143624">
        <w:tab/>
        <w:t>(2)</w:t>
      </w:r>
      <w:r w:rsidRPr="00143624">
        <w:tab/>
        <w:t>Division 31 applies in relation to a valuation sought from the Commissioner under section 31</w:t>
      </w:r>
      <w:r w:rsidR="00143624">
        <w:noBreakHyphen/>
      </w:r>
      <w:r w:rsidRPr="00143624">
        <w:t>15 of the Act at or after the commencement time.</w:t>
      </w:r>
    </w:p>
    <w:p w:rsidR="00311618" w:rsidRPr="00143624" w:rsidRDefault="00311618" w:rsidP="00311618">
      <w:pPr>
        <w:pStyle w:val="subsection"/>
      </w:pPr>
      <w:r w:rsidRPr="00143624">
        <w:tab/>
        <w:t>(3)</w:t>
      </w:r>
      <w:r w:rsidRPr="00143624">
        <w:tab/>
        <w:t>Despite the repeal of Divisions 30 and 31 of the old regulations by the repealing regulations, those Divisions continue to apply in relation to a valuation sought from the Commissioner under section 30</w:t>
      </w:r>
      <w:r w:rsidR="00143624">
        <w:noBreakHyphen/>
      </w:r>
      <w:r w:rsidRPr="00143624">
        <w:t>212 or 31</w:t>
      </w:r>
      <w:r w:rsidR="00143624">
        <w:noBreakHyphen/>
      </w:r>
      <w:r w:rsidRPr="00143624">
        <w:t>15 of the Act before the commencement time as if the repeal had not happened.</w:t>
      </w:r>
    </w:p>
    <w:p w:rsidR="00311618" w:rsidRPr="00143624" w:rsidRDefault="00311618" w:rsidP="00311618">
      <w:pPr>
        <w:pStyle w:val="ActHead5"/>
      </w:pPr>
      <w:bookmarkStart w:id="185" w:name="_Toc64030441"/>
      <w:r w:rsidRPr="003F3E0B">
        <w:rPr>
          <w:rStyle w:val="CharSectno"/>
        </w:rPr>
        <w:t>1000</w:t>
      </w:r>
      <w:r w:rsidR="00143624" w:rsidRPr="003F3E0B">
        <w:rPr>
          <w:rStyle w:val="CharSectno"/>
        </w:rPr>
        <w:noBreakHyphen/>
      </w:r>
      <w:r w:rsidRPr="003F3E0B">
        <w:rPr>
          <w:rStyle w:val="CharSectno"/>
        </w:rPr>
        <w:t>1.04</w:t>
      </w:r>
      <w:r w:rsidRPr="00143624">
        <w:t xml:space="preserve">  Complying superannuation fund condition—elections</w:t>
      </w:r>
      <w:bookmarkEnd w:id="185"/>
    </w:p>
    <w:p w:rsidR="00311618" w:rsidRPr="00143624" w:rsidRDefault="00311618" w:rsidP="00311618">
      <w:pPr>
        <w:pStyle w:val="subsection"/>
      </w:pPr>
      <w:r w:rsidRPr="00143624">
        <w:tab/>
        <w:t>(1)</w:t>
      </w:r>
      <w:r w:rsidRPr="00143624">
        <w:tab/>
        <w:t>An election made for the purposes of regulation 290</w:t>
      </w:r>
      <w:r w:rsidR="00143624">
        <w:noBreakHyphen/>
      </w:r>
      <w:r w:rsidRPr="00143624">
        <w:t>155.01 of the old regulations that is not revoked before the commencement time has effect after the commencement time as if it had been made for the purposes of section 290</w:t>
      </w:r>
      <w:r w:rsidR="00143624">
        <w:noBreakHyphen/>
      </w:r>
      <w:r w:rsidRPr="00143624">
        <w:t>155.01 of this instrument.</w:t>
      </w:r>
    </w:p>
    <w:p w:rsidR="00311618" w:rsidRPr="00143624" w:rsidRDefault="00311618" w:rsidP="00311618">
      <w:pPr>
        <w:pStyle w:val="subsection"/>
      </w:pPr>
      <w:r w:rsidRPr="00143624">
        <w:tab/>
        <w:t>(2)</w:t>
      </w:r>
      <w:r w:rsidRPr="00143624">
        <w:tab/>
        <w:t>An election made for the purposes of regulation 290</w:t>
      </w:r>
      <w:r w:rsidR="00143624">
        <w:noBreakHyphen/>
      </w:r>
      <w:r w:rsidRPr="00143624">
        <w:t xml:space="preserve">155.05 of the old regulations that is not revoked before the commencement time has effect after </w:t>
      </w:r>
      <w:r w:rsidRPr="00143624">
        <w:lastRenderedPageBreak/>
        <w:t>the commencement time as if it had been made for the purposes of section 290</w:t>
      </w:r>
      <w:r w:rsidR="00143624">
        <w:noBreakHyphen/>
      </w:r>
      <w:r w:rsidRPr="00143624">
        <w:t>155.05 of this instrument.</w:t>
      </w:r>
    </w:p>
    <w:p w:rsidR="00311618" w:rsidRPr="00143624" w:rsidRDefault="00311618" w:rsidP="00311618">
      <w:pPr>
        <w:pStyle w:val="ActHead5"/>
      </w:pPr>
      <w:bookmarkStart w:id="186" w:name="_Toc64030442"/>
      <w:r w:rsidRPr="003F3E0B">
        <w:rPr>
          <w:rStyle w:val="CharSectno"/>
        </w:rPr>
        <w:t>1000</w:t>
      </w:r>
      <w:r w:rsidR="00143624" w:rsidRPr="003F3E0B">
        <w:rPr>
          <w:rStyle w:val="CharSectno"/>
        </w:rPr>
        <w:noBreakHyphen/>
      </w:r>
      <w:r w:rsidRPr="003F3E0B">
        <w:rPr>
          <w:rStyle w:val="CharSectno"/>
        </w:rPr>
        <w:t>1.05</w:t>
      </w:r>
      <w:r w:rsidRPr="00143624">
        <w:t xml:space="preserve">  Notional taxed contributions—allocation of contributions</w:t>
      </w:r>
      <w:bookmarkEnd w:id="186"/>
    </w:p>
    <w:p w:rsidR="00311618" w:rsidRPr="00143624" w:rsidRDefault="00311618" w:rsidP="00311618">
      <w:pPr>
        <w:pStyle w:val="subsection"/>
      </w:pPr>
      <w:r w:rsidRPr="00143624">
        <w:tab/>
      </w:r>
      <w:r w:rsidRPr="00143624">
        <w:tab/>
        <w:t>For the purposes of subsection 291</w:t>
      </w:r>
      <w:r w:rsidR="00143624">
        <w:noBreakHyphen/>
      </w:r>
      <w:r w:rsidRPr="00143624">
        <w:t>170.03(2), an amount of assessable contributions received by a trustee before 1 July 2021 and allocated by the trustee to a member on or after 1 July 2021 in accordance with:</w:t>
      </w:r>
    </w:p>
    <w:p w:rsidR="00311618" w:rsidRPr="00143624" w:rsidRDefault="00311618" w:rsidP="00311618">
      <w:pPr>
        <w:pStyle w:val="paragraph"/>
      </w:pPr>
      <w:r w:rsidRPr="00143624">
        <w:tab/>
        <w:t>(a)</w:t>
      </w:r>
      <w:r w:rsidRPr="00143624">
        <w:tab/>
        <w:t>subregulations 292</w:t>
      </w:r>
      <w:r w:rsidR="00143624">
        <w:noBreakHyphen/>
      </w:r>
      <w:r w:rsidRPr="00143624">
        <w:t>170.03(2) and (3) of the old regulations (as they continue to apply under subsection 1000</w:t>
      </w:r>
      <w:r w:rsidR="00143624">
        <w:noBreakHyphen/>
      </w:r>
      <w:r w:rsidRPr="00143624">
        <w:t>1.02(2) of this instrument); and</w:t>
      </w:r>
    </w:p>
    <w:p w:rsidR="00311618" w:rsidRPr="00143624" w:rsidRDefault="00311618" w:rsidP="00311618">
      <w:pPr>
        <w:pStyle w:val="paragraph"/>
      </w:pPr>
      <w:r w:rsidRPr="00143624">
        <w:tab/>
        <w:t>(b)</w:t>
      </w:r>
      <w:r w:rsidRPr="00143624">
        <w:tab/>
        <w:t>regulation 7.11 of the SIS Regulations (as in force immediately before the commencement time);</w:t>
      </w:r>
    </w:p>
    <w:p w:rsidR="00311618" w:rsidRPr="00143624" w:rsidRDefault="00311618" w:rsidP="00311618">
      <w:pPr>
        <w:pStyle w:val="subsection2"/>
      </w:pPr>
      <w:r w:rsidRPr="00143624">
        <w:t>is taken to have been allocated to the member in accordance with regulation 7.11 of the SIS Regulations.</w:t>
      </w:r>
    </w:p>
    <w:p w:rsidR="00311618" w:rsidRPr="00143624" w:rsidRDefault="00311618" w:rsidP="00311618">
      <w:pPr>
        <w:pStyle w:val="ActHead5"/>
      </w:pPr>
      <w:bookmarkStart w:id="187" w:name="_Toc64030443"/>
      <w:r w:rsidRPr="003F3E0B">
        <w:rPr>
          <w:rStyle w:val="CharSectno"/>
        </w:rPr>
        <w:t>1000</w:t>
      </w:r>
      <w:r w:rsidR="00143624" w:rsidRPr="003F3E0B">
        <w:rPr>
          <w:rStyle w:val="CharSectno"/>
        </w:rPr>
        <w:noBreakHyphen/>
      </w:r>
      <w:r w:rsidRPr="003F3E0B">
        <w:rPr>
          <w:rStyle w:val="CharSectno"/>
        </w:rPr>
        <w:t>1.06</w:t>
      </w:r>
      <w:r w:rsidRPr="00143624">
        <w:t xml:space="preserve">  Transfer balance debits and transfer balance credits</w:t>
      </w:r>
      <w:bookmarkEnd w:id="187"/>
    </w:p>
    <w:p w:rsidR="00311618" w:rsidRPr="00143624" w:rsidRDefault="00311618" w:rsidP="00311618">
      <w:pPr>
        <w:pStyle w:val="subsection"/>
      </w:pPr>
      <w:r w:rsidRPr="00143624">
        <w:tab/>
        <w:t>(1)</w:t>
      </w:r>
      <w:r w:rsidRPr="00143624">
        <w:tab/>
        <w:t>Section 1000</w:t>
      </w:r>
      <w:r w:rsidR="00143624">
        <w:noBreakHyphen/>
      </w:r>
      <w:r w:rsidRPr="00143624">
        <w:t>1.02 does not apply in relation to Division 294 of the old regulations or Division 294 of this instrument.</w:t>
      </w:r>
    </w:p>
    <w:p w:rsidR="00311618" w:rsidRPr="00143624" w:rsidRDefault="00311618" w:rsidP="00311618">
      <w:pPr>
        <w:pStyle w:val="subsection"/>
      </w:pPr>
      <w:r w:rsidRPr="00143624">
        <w:tab/>
        <w:t>(2)</w:t>
      </w:r>
      <w:r w:rsidRPr="00143624">
        <w:tab/>
        <w:t>The repeal of Division 294 of the old regulations by the repealing regulations does not affect a transfer balance credit or transfer balance debit that arises before the commencement time.</w:t>
      </w:r>
    </w:p>
    <w:p w:rsidR="00311618" w:rsidRPr="00143624" w:rsidRDefault="00311618" w:rsidP="00311618">
      <w:pPr>
        <w:pStyle w:val="subsection"/>
      </w:pPr>
      <w:r w:rsidRPr="00143624">
        <w:tab/>
        <w:t>(3)</w:t>
      </w:r>
      <w:r w:rsidRPr="00143624">
        <w:tab/>
        <w:t>Section 294</w:t>
      </w:r>
      <w:r w:rsidR="00143624">
        <w:noBreakHyphen/>
      </w:r>
      <w:r w:rsidRPr="00143624">
        <w:t>25.01 applies in relation to any amount of consideration paid at or after the commencement time.</w:t>
      </w:r>
    </w:p>
    <w:p w:rsidR="00311618" w:rsidRPr="00143624" w:rsidRDefault="00311618" w:rsidP="00311618">
      <w:pPr>
        <w:pStyle w:val="subsection"/>
      </w:pPr>
      <w:r w:rsidRPr="00143624">
        <w:tab/>
        <w:t>(4)</w:t>
      </w:r>
      <w:r w:rsidRPr="00143624">
        <w:tab/>
        <w:t>Section 294</w:t>
      </w:r>
      <w:r w:rsidR="00143624">
        <w:noBreakHyphen/>
      </w:r>
      <w:r w:rsidRPr="00143624">
        <w:t>80.01 applies in relation to any later benefit that a person is entitled to receive at or after the commencement time, whether the earlier benefit occurs before, at or after the commencement time.</w:t>
      </w:r>
    </w:p>
    <w:p w:rsidR="00311618" w:rsidRPr="00143624" w:rsidRDefault="00311618" w:rsidP="00311618">
      <w:pPr>
        <w:pStyle w:val="subsection"/>
      </w:pPr>
      <w:r w:rsidRPr="00143624">
        <w:tab/>
        <w:t>(5)</w:t>
      </w:r>
      <w:r w:rsidRPr="00143624">
        <w:tab/>
        <w:t>Section 294</w:t>
      </w:r>
      <w:r w:rsidR="00143624">
        <w:noBreakHyphen/>
      </w:r>
      <w:r w:rsidRPr="00143624">
        <w:t>80.03 applies in relation to any superannuation income stream that, at or after the commencement time, stops being a superannuation income stream that is in the retirement phase.</w:t>
      </w:r>
    </w:p>
    <w:p w:rsidR="00311618" w:rsidRPr="00143624" w:rsidRDefault="00311618" w:rsidP="00311618">
      <w:pPr>
        <w:pStyle w:val="subsection"/>
      </w:pPr>
      <w:r w:rsidRPr="00143624">
        <w:tab/>
        <w:t>(6)</w:t>
      </w:r>
      <w:r w:rsidRPr="00143624">
        <w:tab/>
        <w:t>Sections 294</w:t>
      </w:r>
      <w:r w:rsidR="00143624">
        <w:noBreakHyphen/>
      </w:r>
      <w:r w:rsidRPr="00143624">
        <w:t>135.01 and 294</w:t>
      </w:r>
      <w:r w:rsidR="00143624">
        <w:noBreakHyphen/>
      </w:r>
      <w:r w:rsidRPr="00143624">
        <w:t>145.01 apply in relation to any transfer balance credit or transfer balance debit that arises at or after the commencement time.</w:t>
      </w:r>
    </w:p>
    <w:p w:rsidR="00311618" w:rsidRPr="00143624" w:rsidRDefault="00311618" w:rsidP="00311618">
      <w:pPr>
        <w:pStyle w:val="ActHead5"/>
      </w:pPr>
      <w:bookmarkStart w:id="188" w:name="_Toc64030444"/>
      <w:r w:rsidRPr="003F3E0B">
        <w:rPr>
          <w:rStyle w:val="CharSectno"/>
        </w:rPr>
        <w:t>1000</w:t>
      </w:r>
      <w:r w:rsidR="00143624" w:rsidRPr="003F3E0B">
        <w:rPr>
          <w:rStyle w:val="CharSectno"/>
        </w:rPr>
        <w:noBreakHyphen/>
      </w:r>
      <w:r w:rsidRPr="003F3E0B">
        <w:rPr>
          <w:rStyle w:val="CharSectno"/>
        </w:rPr>
        <w:t>1.07</w:t>
      </w:r>
      <w:r w:rsidRPr="00143624">
        <w:t xml:space="preserve">  Application of pre</w:t>
      </w:r>
      <w:r w:rsidR="00143624">
        <w:noBreakHyphen/>
      </w:r>
      <w:r w:rsidRPr="00143624">
        <w:t>1 July 88 funding credits</w:t>
      </w:r>
      <w:bookmarkEnd w:id="188"/>
    </w:p>
    <w:p w:rsidR="00311618" w:rsidRPr="00143624" w:rsidRDefault="00311618" w:rsidP="00311618">
      <w:pPr>
        <w:pStyle w:val="subsection"/>
      </w:pPr>
      <w:r w:rsidRPr="00143624">
        <w:tab/>
        <w:t>(1)</w:t>
      </w:r>
      <w:r w:rsidRPr="00143624">
        <w:tab/>
        <w:t>Paragraph 295</w:t>
      </w:r>
      <w:r w:rsidR="00143624">
        <w:noBreakHyphen/>
      </w:r>
      <w:r w:rsidRPr="00143624">
        <w:t>265.01(8)(b) has effect as if the reference to method 1 included a reference to method 1 within the meaning of subregulation 295</w:t>
      </w:r>
      <w:r w:rsidR="00143624">
        <w:noBreakHyphen/>
      </w:r>
      <w:r w:rsidRPr="00143624">
        <w:t>265.01(12) of the old regulations.</w:t>
      </w:r>
    </w:p>
    <w:p w:rsidR="00311618" w:rsidRPr="00143624" w:rsidRDefault="00311618" w:rsidP="00311618">
      <w:pPr>
        <w:pStyle w:val="subsection"/>
      </w:pPr>
      <w:r w:rsidRPr="00143624">
        <w:tab/>
        <w:t>(2)</w:t>
      </w:r>
      <w:r w:rsidRPr="00143624">
        <w:tab/>
        <w:t>Step 1 of the method statement in subsection 295</w:t>
      </w:r>
      <w:r w:rsidR="00143624">
        <w:noBreakHyphen/>
      </w:r>
      <w:r w:rsidRPr="00143624">
        <w:t>265.05(1) has effect as if the value of pre</w:t>
      </w:r>
      <w:r w:rsidR="00143624">
        <w:noBreakHyphen/>
      </w:r>
      <w:r w:rsidRPr="00143624">
        <w:t>1 July 88 liabilities of a superannuation fund for an income year starting before the commencement time were:</w:t>
      </w:r>
    </w:p>
    <w:p w:rsidR="00311618" w:rsidRPr="00143624" w:rsidRDefault="00311618" w:rsidP="00311618">
      <w:pPr>
        <w:pStyle w:val="paragraph"/>
      </w:pPr>
      <w:r w:rsidRPr="00143624">
        <w:tab/>
        <w:t>(a)</w:t>
      </w:r>
      <w:r w:rsidRPr="00143624">
        <w:tab/>
        <w:t>if method 2 (within the meaning of subregulation 295</w:t>
      </w:r>
      <w:r w:rsidR="00143624">
        <w:noBreakHyphen/>
      </w:r>
      <w:r w:rsidRPr="00143624">
        <w:t>265.01(12) of the old regulations) was used in relation to the superannuation fund for the income year—the notionally updated value of pre</w:t>
      </w:r>
      <w:r w:rsidR="00143624">
        <w:noBreakHyphen/>
      </w:r>
      <w:r w:rsidRPr="00143624">
        <w:t>1 July 1988 liabilities worked out under regulation 295</w:t>
      </w:r>
      <w:r w:rsidR="00143624">
        <w:noBreakHyphen/>
      </w:r>
      <w:r w:rsidRPr="00143624">
        <w:t>265.01 of the old regulations for the income year in relation to the superannuation fund; or</w:t>
      </w:r>
    </w:p>
    <w:p w:rsidR="00311618" w:rsidRPr="00143624" w:rsidRDefault="00311618" w:rsidP="00311618">
      <w:pPr>
        <w:pStyle w:val="paragraph"/>
      </w:pPr>
      <w:r w:rsidRPr="00143624">
        <w:lastRenderedPageBreak/>
        <w:tab/>
        <w:t>(b)</w:t>
      </w:r>
      <w:r w:rsidRPr="00143624">
        <w:tab/>
        <w:t>in any other case—the value of pre</w:t>
      </w:r>
      <w:r w:rsidR="00143624">
        <w:noBreakHyphen/>
      </w:r>
      <w:r w:rsidRPr="00143624">
        <w:t>1 July 1988 liabilities worked out under regulation 295</w:t>
      </w:r>
      <w:r w:rsidR="00143624">
        <w:noBreakHyphen/>
      </w:r>
      <w:r w:rsidRPr="00143624">
        <w:t>265.01 of the old regulations for the income year in relation to the superannuation fund.</w:t>
      </w:r>
    </w:p>
    <w:p w:rsidR="00311618" w:rsidRPr="00143624" w:rsidRDefault="00311618" w:rsidP="00311618">
      <w:pPr>
        <w:pStyle w:val="subsection"/>
      </w:pPr>
      <w:r w:rsidRPr="00143624">
        <w:tab/>
        <w:t>(3)</w:t>
      </w:r>
      <w:r w:rsidRPr="00143624">
        <w:tab/>
        <w:t>Step 2 of the method statement in subsection 295</w:t>
      </w:r>
      <w:r w:rsidR="00143624">
        <w:noBreakHyphen/>
      </w:r>
      <w:r w:rsidRPr="00143624">
        <w:t>265.05(1) has effect as if the assets available to fund pre</w:t>
      </w:r>
      <w:r w:rsidR="00143624">
        <w:noBreakHyphen/>
      </w:r>
      <w:r w:rsidRPr="00143624">
        <w:t>1 July 88 liabilities of a superannuation fund for an income year starting before the commencement time were:</w:t>
      </w:r>
    </w:p>
    <w:p w:rsidR="00311618" w:rsidRPr="00143624" w:rsidRDefault="00311618" w:rsidP="00311618">
      <w:pPr>
        <w:pStyle w:val="paragraph"/>
      </w:pPr>
      <w:r w:rsidRPr="00143624">
        <w:tab/>
        <w:t>(a)</w:t>
      </w:r>
      <w:r w:rsidRPr="00143624">
        <w:tab/>
        <w:t>if method 2 (within the meaning of subregulation 295</w:t>
      </w:r>
      <w:r w:rsidR="00143624">
        <w:noBreakHyphen/>
      </w:r>
      <w:r w:rsidRPr="00143624">
        <w:t>265.01(12) of the old regulations) was used in relation to the superannuation fund for the income year—the notionally updated amount of assets available to fund pre</w:t>
      </w:r>
      <w:r w:rsidR="00143624">
        <w:noBreakHyphen/>
      </w:r>
      <w:r w:rsidRPr="00143624">
        <w:t>1 July 1988 liabilities worked out under regulation 295</w:t>
      </w:r>
      <w:r w:rsidR="00143624">
        <w:noBreakHyphen/>
      </w:r>
      <w:r w:rsidRPr="00143624">
        <w:t>265.01 of the old regulations for the income year in relation to the superannuation fund; or</w:t>
      </w:r>
    </w:p>
    <w:p w:rsidR="00311618" w:rsidRPr="00143624" w:rsidRDefault="00311618" w:rsidP="00311618">
      <w:pPr>
        <w:pStyle w:val="paragraph"/>
      </w:pPr>
      <w:r w:rsidRPr="00143624">
        <w:tab/>
        <w:t>(b)</w:t>
      </w:r>
      <w:r w:rsidRPr="00143624">
        <w:tab/>
        <w:t>in any other case—the assets available to fund pre</w:t>
      </w:r>
      <w:r w:rsidR="00143624">
        <w:noBreakHyphen/>
      </w:r>
      <w:r w:rsidRPr="00143624">
        <w:t>1 July 1988 liabilities worked out under regulation 295</w:t>
      </w:r>
      <w:r w:rsidR="00143624">
        <w:noBreakHyphen/>
      </w:r>
      <w:r w:rsidRPr="00143624">
        <w:t>265.01 of the old regulations for the income year in relation to the superannuation fund.</w:t>
      </w:r>
    </w:p>
    <w:p w:rsidR="00311618" w:rsidRPr="00143624" w:rsidRDefault="00311618" w:rsidP="00311618">
      <w:pPr>
        <w:pStyle w:val="ActHead5"/>
        <w:rPr>
          <w:rFonts w:eastAsiaTheme="majorEastAsia"/>
        </w:rPr>
      </w:pPr>
      <w:bookmarkStart w:id="189" w:name="_Toc64030445"/>
      <w:r w:rsidRPr="003F3E0B">
        <w:rPr>
          <w:rStyle w:val="CharSectno"/>
        </w:rPr>
        <w:t>1000</w:t>
      </w:r>
      <w:r w:rsidR="00143624" w:rsidRPr="003F3E0B">
        <w:rPr>
          <w:rStyle w:val="CharSectno"/>
        </w:rPr>
        <w:noBreakHyphen/>
      </w:r>
      <w:r w:rsidRPr="003F3E0B">
        <w:rPr>
          <w:rStyle w:val="CharSectno"/>
        </w:rPr>
        <w:t>1.08</w:t>
      </w:r>
      <w:r w:rsidRPr="00143624">
        <w:t xml:space="preserve">  </w:t>
      </w:r>
      <w:r w:rsidRPr="00143624">
        <w:rPr>
          <w:rFonts w:eastAsiaTheme="majorEastAsia"/>
        </w:rPr>
        <w:t>Departing Australia superannuation payments</w:t>
      </w:r>
      <w:bookmarkEnd w:id="189"/>
    </w:p>
    <w:p w:rsidR="00311618" w:rsidRPr="00143624" w:rsidRDefault="00311618" w:rsidP="00311618">
      <w:pPr>
        <w:pStyle w:val="subsection"/>
      </w:pPr>
      <w:r w:rsidRPr="00143624">
        <w:tab/>
        <w:t>(1)</w:t>
      </w:r>
      <w:r w:rsidRPr="00143624">
        <w:tab/>
        <w:t>Section 301</w:t>
      </w:r>
      <w:r w:rsidR="00143624">
        <w:noBreakHyphen/>
      </w:r>
      <w:r w:rsidRPr="00143624">
        <w:t>170.01 applies in relation to a superannuation lump sum paid at or after the commencement time.</w:t>
      </w:r>
    </w:p>
    <w:p w:rsidR="00311618" w:rsidRPr="00143624" w:rsidRDefault="00311618" w:rsidP="00311618">
      <w:pPr>
        <w:pStyle w:val="subsection"/>
      </w:pPr>
      <w:r w:rsidRPr="00143624">
        <w:tab/>
        <w:t>(2)</w:t>
      </w:r>
      <w:r w:rsidRPr="00143624">
        <w:tab/>
        <w:t>Despite the repeal of regulation 301</w:t>
      </w:r>
      <w:r w:rsidR="00143624">
        <w:noBreakHyphen/>
      </w:r>
      <w:r w:rsidRPr="00143624">
        <w:t>170.01 of the old regulations by the repealing regulations, that regulation continues to apply in relation to a superannuation lump sum paid before the commencement time as if that repeal had not happened.</w:t>
      </w:r>
    </w:p>
    <w:p w:rsidR="00311618" w:rsidRPr="00143624" w:rsidRDefault="00311618" w:rsidP="00311618">
      <w:pPr>
        <w:pStyle w:val="ActHead5"/>
      </w:pPr>
      <w:bookmarkStart w:id="190" w:name="_Toc64030446"/>
      <w:r w:rsidRPr="003F3E0B">
        <w:rPr>
          <w:rStyle w:val="CharSectno"/>
        </w:rPr>
        <w:t>1000</w:t>
      </w:r>
      <w:r w:rsidR="00143624" w:rsidRPr="003F3E0B">
        <w:rPr>
          <w:rStyle w:val="CharSectno"/>
        </w:rPr>
        <w:noBreakHyphen/>
      </w:r>
      <w:r w:rsidRPr="003F3E0B">
        <w:rPr>
          <w:rStyle w:val="CharSectno"/>
        </w:rPr>
        <w:t>1.09</w:t>
      </w:r>
      <w:r w:rsidRPr="00143624">
        <w:t xml:space="preserve">  Components of member benefits accruing before 1 July 1999 paid from the Military Superannuation and Benefits Scheme—choice of alternative method</w:t>
      </w:r>
      <w:bookmarkEnd w:id="190"/>
    </w:p>
    <w:p w:rsidR="00311618" w:rsidRPr="00143624" w:rsidRDefault="00311618" w:rsidP="00311618">
      <w:pPr>
        <w:pStyle w:val="subsection"/>
      </w:pPr>
      <w:r w:rsidRPr="00143624">
        <w:tab/>
      </w:r>
      <w:r w:rsidRPr="00143624">
        <w:tab/>
        <w:t>A choice made for the purposes of regulation 307</w:t>
      </w:r>
      <w:r w:rsidR="00143624">
        <w:noBreakHyphen/>
      </w:r>
      <w:r w:rsidRPr="00143624">
        <w:t>125.01 of the old regulations has effect for income years and financial years starting at or after the commencement time as if it had been made for the purposes of section 307</w:t>
      </w:r>
      <w:r w:rsidR="00143624">
        <w:noBreakHyphen/>
      </w:r>
      <w:r w:rsidRPr="00143624">
        <w:t>125.01 of this instrument.</w:t>
      </w:r>
    </w:p>
    <w:p w:rsidR="00311618" w:rsidRPr="00143624" w:rsidRDefault="00311618" w:rsidP="00311618">
      <w:pPr>
        <w:pStyle w:val="ActHead5"/>
      </w:pPr>
      <w:bookmarkStart w:id="191" w:name="_Toc64030447"/>
      <w:r w:rsidRPr="003F3E0B">
        <w:rPr>
          <w:rStyle w:val="CharSectno"/>
        </w:rPr>
        <w:t>1000</w:t>
      </w:r>
      <w:r w:rsidR="00143624" w:rsidRPr="003F3E0B">
        <w:rPr>
          <w:rStyle w:val="CharSectno"/>
        </w:rPr>
        <w:noBreakHyphen/>
      </w:r>
      <w:r w:rsidRPr="003F3E0B">
        <w:rPr>
          <w:rStyle w:val="CharSectno"/>
        </w:rPr>
        <w:t>1.10</w:t>
      </w:r>
      <w:r w:rsidRPr="00143624">
        <w:t xml:space="preserve">  Farm management deposit</w:t>
      </w:r>
      <w:bookmarkEnd w:id="191"/>
    </w:p>
    <w:p w:rsidR="00311618" w:rsidRPr="00143624" w:rsidRDefault="00311618" w:rsidP="00311618">
      <w:pPr>
        <w:pStyle w:val="subsection"/>
      </w:pPr>
      <w:r w:rsidRPr="00143624">
        <w:tab/>
        <w:t>(1)</w:t>
      </w:r>
      <w:r w:rsidRPr="00143624">
        <w:tab/>
        <w:t>Sections 393</w:t>
      </w:r>
      <w:r w:rsidR="00143624">
        <w:noBreakHyphen/>
      </w:r>
      <w:r w:rsidRPr="00143624">
        <w:t>20.01 and 393</w:t>
      </w:r>
      <w:r w:rsidR="00143624">
        <w:noBreakHyphen/>
      </w:r>
      <w:r w:rsidRPr="00143624">
        <w:t>20.02 and Schedule 1C apply in relation to an application for a farm management deposit where the application is made at or after the commencement time.</w:t>
      </w:r>
    </w:p>
    <w:p w:rsidR="00311618" w:rsidRPr="00143624" w:rsidRDefault="00311618" w:rsidP="00311618">
      <w:pPr>
        <w:pStyle w:val="subsection"/>
      </w:pPr>
      <w:r w:rsidRPr="00143624">
        <w:tab/>
        <w:t>(2)</w:t>
      </w:r>
      <w:r w:rsidRPr="00143624">
        <w:tab/>
        <w:t>Despite the repeal of regulations 393</w:t>
      </w:r>
      <w:r w:rsidR="00143624">
        <w:noBreakHyphen/>
      </w:r>
      <w:r w:rsidRPr="00143624">
        <w:t>5 and 393</w:t>
      </w:r>
      <w:r w:rsidR="00143624">
        <w:noBreakHyphen/>
      </w:r>
      <w:r w:rsidRPr="00143624">
        <w:t>10 of the old regulations and Schedule 1C to the old regulations by the repealing regulations, those provisions continue to apply in relation to an application for a farm management deposit where the application was made before the commencement time as if that repeal had not happened.</w:t>
      </w:r>
    </w:p>
    <w:p w:rsidR="00311618" w:rsidRPr="00143624" w:rsidRDefault="00311618" w:rsidP="00311618">
      <w:pPr>
        <w:pStyle w:val="subsection"/>
      </w:pPr>
      <w:r w:rsidRPr="00143624">
        <w:tab/>
        <w:t>(3)</w:t>
      </w:r>
      <w:r w:rsidRPr="00143624">
        <w:tab/>
        <w:t>Section 393</w:t>
      </w:r>
      <w:r w:rsidR="00143624">
        <w:noBreakHyphen/>
      </w:r>
      <w:r w:rsidRPr="00143624">
        <w:t>40.01 applies in relation to a repayment of the whole or a part of a farm management deposit where the repayment is made at or after the commencement time (regardless of when the application for the farm management deposit was made).</w:t>
      </w:r>
    </w:p>
    <w:p w:rsidR="00311618" w:rsidRPr="00143624" w:rsidRDefault="00311618" w:rsidP="00311618">
      <w:pPr>
        <w:pStyle w:val="subsection"/>
      </w:pPr>
      <w:r w:rsidRPr="00143624">
        <w:lastRenderedPageBreak/>
        <w:tab/>
        <w:t>(4)</w:t>
      </w:r>
      <w:r w:rsidRPr="00143624">
        <w:tab/>
        <w:t>Despite the repeal of regulation 393</w:t>
      </w:r>
      <w:r w:rsidR="00143624">
        <w:noBreakHyphen/>
      </w:r>
      <w:r w:rsidRPr="00143624">
        <w:t>15 of the old regulations by the repealing regulations, that regulation continues to apply in relation to a repayment of the whole or a part of a farm management deposit where the repayment was made before the commencement time as if that repeal had not happened.</w:t>
      </w:r>
    </w:p>
    <w:p w:rsidR="00311618" w:rsidRPr="00143624" w:rsidRDefault="00311618" w:rsidP="00311618">
      <w:pPr>
        <w:pStyle w:val="ActHead5"/>
      </w:pPr>
      <w:bookmarkStart w:id="192" w:name="_Toc64030448"/>
      <w:r w:rsidRPr="003F3E0B">
        <w:rPr>
          <w:rStyle w:val="CharSectno"/>
        </w:rPr>
        <w:t>1000</w:t>
      </w:r>
      <w:r w:rsidR="00143624" w:rsidRPr="003F3E0B">
        <w:rPr>
          <w:rStyle w:val="CharSectno"/>
        </w:rPr>
        <w:noBreakHyphen/>
      </w:r>
      <w:r w:rsidRPr="003F3E0B">
        <w:rPr>
          <w:rStyle w:val="CharSectno"/>
        </w:rPr>
        <w:t>1.11</w:t>
      </w:r>
      <w:r w:rsidRPr="00143624">
        <w:t xml:space="preserve">  Application of forex events to currency and fungible rights and obligations—elections</w:t>
      </w:r>
      <w:bookmarkEnd w:id="192"/>
    </w:p>
    <w:p w:rsidR="00311618" w:rsidRPr="00143624" w:rsidRDefault="00311618" w:rsidP="00311618">
      <w:pPr>
        <w:pStyle w:val="subsection"/>
      </w:pPr>
      <w:r w:rsidRPr="00143624">
        <w:tab/>
      </w:r>
      <w:r w:rsidRPr="00143624">
        <w:tab/>
        <w:t>An election made in compliance with regulation 775</w:t>
      </w:r>
      <w:r w:rsidR="00143624">
        <w:noBreakHyphen/>
      </w:r>
      <w:r w:rsidRPr="00143624">
        <w:t>145.01 of the old regulations that is not withdrawn before the commencement time has effect after the commencement time as if it had been made in compliance with section 775</w:t>
      </w:r>
      <w:r w:rsidR="00143624">
        <w:noBreakHyphen/>
      </w:r>
      <w:r w:rsidRPr="00143624">
        <w:t>145.01 of this instrument.</w:t>
      </w:r>
    </w:p>
    <w:p w:rsidR="00311618" w:rsidRPr="00143624" w:rsidRDefault="00311618" w:rsidP="00311618">
      <w:pPr>
        <w:pStyle w:val="ActHead5"/>
        <w:rPr>
          <w:rFonts w:eastAsiaTheme="majorEastAsia"/>
        </w:rPr>
      </w:pPr>
      <w:bookmarkStart w:id="193" w:name="_Toc64030449"/>
      <w:r w:rsidRPr="003F3E0B">
        <w:rPr>
          <w:rStyle w:val="CharSectno"/>
        </w:rPr>
        <w:t>1000</w:t>
      </w:r>
      <w:r w:rsidR="00143624" w:rsidRPr="003F3E0B">
        <w:rPr>
          <w:rStyle w:val="CharSectno"/>
        </w:rPr>
        <w:noBreakHyphen/>
      </w:r>
      <w:r w:rsidRPr="003F3E0B">
        <w:rPr>
          <w:rStyle w:val="CharSectno"/>
        </w:rPr>
        <w:t>1.12</w:t>
      </w:r>
      <w:r w:rsidRPr="00143624">
        <w:t xml:space="preserve">  </w:t>
      </w:r>
      <w:r w:rsidRPr="00143624">
        <w:rPr>
          <w:rFonts w:eastAsiaTheme="majorEastAsia"/>
        </w:rPr>
        <w:t>Translating currency—choices and elections</w:t>
      </w:r>
      <w:bookmarkEnd w:id="193"/>
    </w:p>
    <w:p w:rsidR="00311618" w:rsidRPr="00143624" w:rsidRDefault="00311618" w:rsidP="00311618">
      <w:pPr>
        <w:pStyle w:val="subsection"/>
      </w:pPr>
      <w:r w:rsidRPr="00143624">
        <w:tab/>
        <w:t>(1)</w:t>
      </w:r>
      <w:r w:rsidRPr="00143624">
        <w:tab/>
        <w:t>For the purposes of sections 960</w:t>
      </w:r>
      <w:r w:rsidR="00143624">
        <w:noBreakHyphen/>
      </w:r>
      <w:r w:rsidRPr="00143624">
        <w:t>50.01 and 960</w:t>
      </w:r>
      <w:r w:rsidR="00143624">
        <w:noBreakHyphen/>
      </w:r>
      <w:r w:rsidRPr="00143624">
        <w:t>80.01, a choice made under clause 1.3 of Schedule 2 to the old regulations before the commencement time has effect as if it had been made under clause 3 of Schedule 2 to this instrument.</w:t>
      </w:r>
    </w:p>
    <w:p w:rsidR="00311618" w:rsidRPr="00143624" w:rsidRDefault="00311618" w:rsidP="00311618">
      <w:pPr>
        <w:pStyle w:val="subsection"/>
      </w:pPr>
      <w:r w:rsidRPr="00143624">
        <w:tab/>
        <w:t>(2)</w:t>
      </w:r>
      <w:r w:rsidRPr="00143624">
        <w:tab/>
        <w:t>An election made for the purposes of regulation 960</w:t>
      </w:r>
      <w:r w:rsidR="00143624">
        <w:noBreakHyphen/>
      </w:r>
      <w:r w:rsidRPr="00143624">
        <w:t>80.03 of the old regulations has effect after the commencement time as if it had been made for the purposes of section 960</w:t>
      </w:r>
      <w:r w:rsidR="00143624">
        <w:noBreakHyphen/>
      </w:r>
      <w:r w:rsidRPr="00143624">
        <w:t>80.03 of this instrument.</w:t>
      </w:r>
    </w:p>
    <w:p w:rsidR="00311618" w:rsidRPr="00143624" w:rsidRDefault="00311618" w:rsidP="00311618">
      <w:pPr>
        <w:pStyle w:val="ActHead5"/>
      </w:pPr>
      <w:bookmarkStart w:id="194" w:name="_Toc64030450"/>
      <w:r w:rsidRPr="003F3E0B">
        <w:rPr>
          <w:rStyle w:val="CharSectno"/>
        </w:rPr>
        <w:t>1000</w:t>
      </w:r>
      <w:r w:rsidR="00143624" w:rsidRPr="003F3E0B">
        <w:rPr>
          <w:rStyle w:val="CharSectno"/>
        </w:rPr>
        <w:noBreakHyphen/>
      </w:r>
      <w:r w:rsidRPr="003F3E0B">
        <w:rPr>
          <w:rStyle w:val="CharSectno"/>
        </w:rPr>
        <w:t>1.13</w:t>
      </w:r>
      <w:r w:rsidRPr="00143624">
        <w:t xml:space="preserve">  Certificates in relation to terminal medical conditions</w:t>
      </w:r>
      <w:bookmarkEnd w:id="194"/>
    </w:p>
    <w:p w:rsidR="00311618" w:rsidRPr="00143624" w:rsidRDefault="00311618" w:rsidP="00311618">
      <w:pPr>
        <w:pStyle w:val="subsection"/>
      </w:pPr>
      <w:r w:rsidRPr="00143624">
        <w:tab/>
        <w:t>(1)</w:t>
      </w:r>
      <w:r w:rsidRPr="00143624">
        <w:tab/>
        <w:t>Section 995</w:t>
      </w:r>
      <w:r w:rsidR="00143624">
        <w:noBreakHyphen/>
      </w:r>
      <w:r w:rsidRPr="00143624">
        <w:t>1.06 applies in relation to any certification, whether given before or after the commencement time.</w:t>
      </w:r>
    </w:p>
    <w:p w:rsidR="00311618" w:rsidRPr="00143624" w:rsidRDefault="00311618" w:rsidP="00311618">
      <w:pPr>
        <w:pStyle w:val="subsection"/>
      </w:pPr>
      <w:r w:rsidRPr="00143624">
        <w:tab/>
        <w:t>(2)</w:t>
      </w:r>
      <w:r w:rsidRPr="00143624">
        <w:tab/>
        <w:t>A reference to regulation 303</w:t>
      </w:r>
      <w:r w:rsidR="00143624">
        <w:noBreakHyphen/>
      </w:r>
      <w:r w:rsidRPr="00143624">
        <w:t>10.01 of the old regulations in a certificate given for the purposes of that regulation is taken to include a reference to section 995</w:t>
      </w:r>
      <w:r w:rsidR="00143624">
        <w:noBreakHyphen/>
      </w:r>
      <w:r w:rsidRPr="00143624">
        <w:t>1.06 of this instrument.</w:t>
      </w:r>
    </w:p>
    <w:p w:rsidR="003104D0" w:rsidRPr="00143624" w:rsidRDefault="003104D0">
      <w:pPr>
        <w:sectPr w:rsidR="003104D0" w:rsidRPr="00143624" w:rsidSect="00AE0765">
          <w:headerReference w:type="even" r:id="rId25"/>
          <w:headerReference w:type="default" r:id="rId26"/>
          <w:footerReference w:type="even" r:id="rId27"/>
          <w:footerReference w:type="default" r:id="rId28"/>
          <w:footerReference w:type="first" r:id="rId29"/>
          <w:pgSz w:w="11907" w:h="16839" w:code="9"/>
          <w:pgMar w:top="2233" w:right="1797" w:bottom="1440" w:left="1797" w:header="720" w:footer="709" w:gutter="0"/>
          <w:pgNumType w:start="1"/>
          <w:cols w:space="720"/>
          <w:docGrid w:linePitch="299"/>
        </w:sectPr>
      </w:pPr>
    </w:p>
    <w:p w:rsidR="003104D0" w:rsidRPr="00143624" w:rsidRDefault="00F5399E" w:rsidP="009D7AC7">
      <w:pPr>
        <w:pStyle w:val="ActHead1"/>
        <w:pageBreakBefore/>
      </w:pPr>
      <w:bookmarkStart w:id="195" w:name="_Toc64030451"/>
      <w:r w:rsidRPr="003F3E0B">
        <w:rPr>
          <w:rStyle w:val="CharChapNo"/>
        </w:rPr>
        <w:lastRenderedPageBreak/>
        <w:t>Schedule 1</w:t>
      </w:r>
      <w:r w:rsidR="009D7AC7" w:rsidRPr="003F3E0B">
        <w:rPr>
          <w:rStyle w:val="CharChapNo"/>
        </w:rPr>
        <w:t>A</w:t>
      </w:r>
      <w:r w:rsidR="003104D0" w:rsidRPr="00143624">
        <w:t>—</w:t>
      </w:r>
      <w:r w:rsidR="009D7AC7" w:rsidRPr="003F3E0B">
        <w:rPr>
          <w:rStyle w:val="CharChapText"/>
        </w:rPr>
        <w:t>Method of working out amount of notional taxed contributions</w:t>
      </w:r>
      <w:bookmarkEnd w:id="195"/>
    </w:p>
    <w:p w:rsidR="007D17C5" w:rsidRPr="00143624" w:rsidRDefault="007D17C5" w:rsidP="007D17C5">
      <w:pPr>
        <w:pStyle w:val="notemargin"/>
        <w:rPr>
          <w:color w:val="000000"/>
        </w:rPr>
      </w:pPr>
      <w:r w:rsidRPr="00143624">
        <w:rPr>
          <w:color w:val="000000"/>
        </w:rPr>
        <w:t>Note:</w:t>
      </w:r>
      <w:r w:rsidRPr="00143624">
        <w:rPr>
          <w:color w:val="000000"/>
        </w:rPr>
        <w:tab/>
        <w:t>See sections 291</w:t>
      </w:r>
      <w:r w:rsidR="00143624">
        <w:rPr>
          <w:color w:val="000000"/>
        </w:rPr>
        <w:noBreakHyphen/>
      </w:r>
      <w:r w:rsidRPr="00143624">
        <w:rPr>
          <w:color w:val="000000"/>
        </w:rPr>
        <w:t>170.02, 291</w:t>
      </w:r>
      <w:r w:rsidR="00143624">
        <w:rPr>
          <w:color w:val="000000"/>
        </w:rPr>
        <w:noBreakHyphen/>
      </w:r>
      <w:r w:rsidRPr="00143624">
        <w:rPr>
          <w:color w:val="000000"/>
        </w:rPr>
        <w:t>170.05 and 291</w:t>
      </w:r>
      <w:r w:rsidR="00143624">
        <w:rPr>
          <w:color w:val="000000"/>
        </w:rPr>
        <w:noBreakHyphen/>
      </w:r>
      <w:r w:rsidRPr="00143624">
        <w:rPr>
          <w:color w:val="000000"/>
        </w:rPr>
        <w:t xml:space="preserve">170.07 and </w:t>
      </w:r>
      <w:r w:rsidR="00F5399E" w:rsidRPr="00143624">
        <w:rPr>
          <w:color w:val="000000"/>
        </w:rPr>
        <w:t>Schedule 1</w:t>
      </w:r>
      <w:r w:rsidRPr="00143624">
        <w:rPr>
          <w:color w:val="000000"/>
        </w:rPr>
        <w:t>AA.</w:t>
      </w:r>
    </w:p>
    <w:p w:rsidR="007D17C5" w:rsidRPr="00143624" w:rsidRDefault="007D17C5" w:rsidP="007D17C5">
      <w:pPr>
        <w:pStyle w:val="ActHead2"/>
      </w:pPr>
      <w:bookmarkStart w:id="196" w:name="_Toc64030452"/>
      <w:r w:rsidRPr="003F3E0B">
        <w:rPr>
          <w:rStyle w:val="CharPartNo"/>
        </w:rPr>
        <w:t>Part</w:t>
      </w:r>
      <w:r w:rsidR="002B1A95" w:rsidRPr="003F3E0B">
        <w:rPr>
          <w:rStyle w:val="CharPartNo"/>
        </w:rPr>
        <w:t> </w:t>
      </w:r>
      <w:r w:rsidRPr="003F3E0B">
        <w:rPr>
          <w:rStyle w:val="CharPartNo"/>
        </w:rPr>
        <w:t>1</w:t>
      </w:r>
      <w:r w:rsidRPr="00143624">
        <w:t>—</w:t>
      </w:r>
      <w:r w:rsidRPr="003F3E0B">
        <w:rPr>
          <w:rStyle w:val="CharPartText"/>
        </w:rPr>
        <w:t>Preliminary</w:t>
      </w:r>
      <w:bookmarkEnd w:id="196"/>
    </w:p>
    <w:p w:rsidR="007D17C5" w:rsidRPr="00143624" w:rsidRDefault="007D17C5" w:rsidP="007D17C5">
      <w:pPr>
        <w:pStyle w:val="ActHead3"/>
      </w:pPr>
      <w:bookmarkStart w:id="197" w:name="_Toc64030453"/>
      <w:r w:rsidRPr="003F3E0B">
        <w:rPr>
          <w:rStyle w:val="CharDivNo"/>
        </w:rPr>
        <w:t>Division</w:t>
      </w:r>
      <w:r w:rsidR="002B1A95" w:rsidRPr="003F3E0B">
        <w:rPr>
          <w:rStyle w:val="CharDivNo"/>
        </w:rPr>
        <w:t> </w:t>
      </w:r>
      <w:r w:rsidRPr="003F3E0B">
        <w:rPr>
          <w:rStyle w:val="CharDivNo"/>
        </w:rPr>
        <w:t>1</w:t>
      </w:r>
      <w:r w:rsidRPr="00143624">
        <w:t>—</w:t>
      </w:r>
      <w:r w:rsidRPr="003F3E0B">
        <w:rPr>
          <w:rStyle w:val="CharDivText"/>
        </w:rPr>
        <w:t>Definitions</w:t>
      </w:r>
      <w:bookmarkEnd w:id="197"/>
    </w:p>
    <w:p w:rsidR="007D17C5" w:rsidRPr="00143624" w:rsidRDefault="007D17C5" w:rsidP="007D17C5">
      <w:pPr>
        <w:pStyle w:val="ActHead5"/>
      </w:pPr>
      <w:bookmarkStart w:id="198" w:name="_Toc64030454"/>
      <w:r w:rsidRPr="003F3E0B">
        <w:rPr>
          <w:rStyle w:val="CharSectno"/>
        </w:rPr>
        <w:t>1.1</w:t>
      </w:r>
      <w:r w:rsidRPr="00143624">
        <w:t xml:space="preserve">  Meaning of </w:t>
      </w:r>
      <w:r w:rsidRPr="00143624">
        <w:rPr>
          <w:i/>
        </w:rPr>
        <w:t>accruing member</w:t>
      </w:r>
      <w:bookmarkEnd w:id="198"/>
    </w:p>
    <w:p w:rsidR="007D17C5" w:rsidRPr="00143624" w:rsidRDefault="007D17C5" w:rsidP="007D17C5">
      <w:pPr>
        <w:pStyle w:val="subsection"/>
      </w:pPr>
      <w:r w:rsidRPr="00143624">
        <w:rPr>
          <w:color w:val="000000"/>
        </w:rPr>
        <w:tab/>
      </w:r>
      <w:r w:rsidRPr="00143624">
        <w:rPr>
          <w:color w:val="000000"/>
        </w:rPr>
        <w:tab/>
        <w:t xml:space="preserve">An </w:t>
      </w:r>
      <w:r w:rsidRPr="00143624">
        <w:rPr>
          <w:b/>
          <w:i/>
          <w:color w:val="000000"/>
        </w:rPr>
        <w:t>accruing member</w:t>
      </w:r>
      <w:r w:rsidRPr="00143624">
        <w:rPr>
          <w:color w:val="000000"/>
        </w:rPr>
        <w:t xml:space="preserve"> of a superannuation fund for a financial year is a defined benefit member of the fund who is not a non</w:t>
      </w:r>
      <w:r w:rsidR="00143624">
        <w:rPr>
          <w:color w:val="000000"/>
        </w:rPr>
        <w:noBreakHyphen/>
      </w:r>
      <w:r w:rsidRPr="00143624">
        <w:rPr>
          <w:color w:val="000000"/>
        </w:rPr>
        <w:t xml:space="preserve">accruing member of the fund for the financial year (within the meaning given by subsection </w:t>
      </w:r>
      <w:r w:rsidRPr="00143624">
        <w:t>291</w:t>
      </w:r>
      <w:r w:rsidR="00143624">
        <w:noBreakHyphen/>
      </w:r>
      <w:r w:rsidRPr="00143624">
        <w:t>170.04(5))</w:t>
      </w:r>
      <w:r w:rsidRPr="00143624">
        <w:rPr>
          <w:color w:val="000000"/>
        </w:rPr>
        <w:t>.</w:t>
      </w:r>
    </w:p>
    <w:p w:rsidR="007D17C5" w:rsidRPr="00143624" w:rsidRDefault="007D17C5" w:rsidP="007D17C5">
      <w:pPr>
        <w:pStyle w:val="ActHead5"/>
      </w:pPr>
      <w:bookmarkStart w:id="199" w:name="_Toc64030455"/>
      <w:r w:rsidRPr="003F3E0B">
        <w:rPr>
          <w:rStyle w:val="CharSectno"/>
        </w:rPr>
        <w:t>1.2</w:t>
      </w:r>
      <w:r w:rsidRPr="00143624">
        <w:t xml:space="preserve">  Meaning of </w:t>
      </w:r>
      <w:r w:rsidRPr="00143624">
        <w:rPr>
          <w:i/>
        </w:rPr>
        <w:t>benefit category</w:t>
      </w:r>
      <w:bookmarkEnd w:id="199"/>
    </w:p>
    <w:p w:rsidR="007D17C5" w:rsidRPr="00143624" w:rsidRDefault="007D17C5" w:rsidP="007D17C5">
      <w:pPr>
        <w:pStyle w:val="subsection"/>
        <w:rPr>
          <w:color w:val="000000"/>
        </w:rPr>
      </w:pPr>
      <w:r w:rsidRPr="00143624">
        <w:rPr>
          <w:color w:val="000000"/>
        </w:rPr>
        <w:tab/>
        <w:t>(1)</w:t>
      </w:r>
      <w:r w:rsidRPr="00143624">
        <w:rPr>
          <w:color w:val="000000"/>
        </w:rPr>
        <w:tab/>
        <w:t xml:space="preserve">A </w:t>
      </w:r>
      <w:r w:rsidRPr="00143624">
        <w:rPr>
          <w:b/>
          <w:i/>
          <w:color w:val="000000"/>
        </w:rPr>
        <w:t>benefit category</w:t>
      </w:r>
      <w:r w:rsidRPr="00143624">
        <w:rPr>
          <w:color w:val="000000"/>
        </w:rPr>
        <w:t xml:space="preserve"> is a category of membership of a defined benefit fund as certified by an actuary.</w:t>
      </w:r>
    </w:p>
    <w:p w:rsidR="007D17C5" w:rsidRPr="00143624" w:rsidRDefault="007D17C5" w:rsidP="007D17C5">
      <w:pPr>
        <w:pStyle w:val="subsection"/>
      </w:pPr>
      <w:r w:rsidRPr="00143624">
        <w:tab/>
        <w:t>(2)</w:t>
      </w:r>
      <w:r w:rsidRPr="00143624">
        <w:tab/>
        <w:t>An actuary must not certify a category of membership to be a benefit category unless the actuary is satisfied that:</w:t>
      </w:r>
    </w:p>
    <w:p w:rsidR="007D17C5" w:rsidRPr="00143624" w:rsidRDefault="007D17C5" w:rsidP="007D17C5">
      <w:pPr>
        <w:pStyle w:val="paragraph"/>
      </w:pPr>
      <w:r w:rsidRPr="00143624">
        <w:rPr>
          <w:color w:val="000000"/>
        </w:rPr>
        <w:tab/>
        <w:t>(a)</w:t>
      </w:r>
      <w:r w:rsidRPr="00143624">
        <w:rPr>
          <w:color w:val="000000"/>
        </w:rPr>
        <w:tab/>
        <w:t>each hypothetical new entrant to the benefit category with the same entry age would accrue retirement benefits on substantially the same basis</w:t>
      </w:r>
      <w:r w:rsidRPr="00143624">
        <w:t>; or</w:t>
      </w:r>
    </w:p>
    <w:p w:rsidR="007D17C5" w:rsidRPr="00143624" w:rsidRDefault="007D17C5" w:rsidP="007D17C5">
      <w:pPr>
        <w:pStyle w:val="paragraph"/>
      </w:pPr>
      <w:r w:rsidRPr="00143624">
        <w:tab/>
        <w:t>(b)</w:t>
      </w:r>
      <w:r w:rsidRPr="00143624">
        <w:tab/>
        <w:t>if any 2 hypothetical new entrants to the benefit category accrued retirement benefits on a different basis, the new entrant rates for each member calculated under Parts</w:t>
      </w:r>
      <w:r w:rsidR="002B1A95" w:rsidRPr="00143624">
        <w:t> </w:t>
      </w:r>
      <w:r w:rsidRPr="00143624">
        <w:t>2 and 3 would be equal.</w:t>
      </w:r>
    </w:p>
    <w:p w:rsidR="007D17C5" w:rsidRPr="00143624" w:rsidRDefault="007D17C5" w:rsidP="007D17C5">
      <w:pPr>
        <w:pStyle w:val="ActHead5"/>
      </w:pPr>
      <w:bookmarkStart w:id="200" w:name="_Toc64030456"/>
      <w:r w:rsidRPr="003F3E0B">
        <w:rPr>
          <w:rStyle w:val="CharSectno"/>
        </w:rPr>
        <w:t>1.3</w:t>
      </w:r>
      <w:r w:rsidRPr="00143624">
        <w:t xml:space="preserve">  Meaning of </w:t>
      </w:r>
      <w:r w:rsidRPr="00143624">
        <w:rPr>
          <w:i/>
        </w:rPr>
        <w:t>defined benefit fund</w:t>
      </w:r>
      <w:bookmarkEnd w:id="200"/>
    </w:p>
    <w:p w:rsidR="007D17C5" w:rsidRPr="00143624" w:rsidRDefault="007D17C5" w:rsidP="007D17C5">
      <w:pPr>
        <w:pStyle w:val="subsection"/>
      </w:pPr>
      <w:r w:rsidRPr="00143624">
        <w:tab/>
      </w:r>
      <w:r w:rsidRPr="00143624">
        <w:tab/>
        <w:t xml:space="preserve">A </w:t>
      </w:r>
      <w:r w:rsidRPr="00143624">
        <w:rPr>
          <w:b/>
          <w:i/>
        </w:rPr>
        <w:t>defined benefit fund</w:t>
      </w:r>
      <w:r w:rsidRPr="00143624">
        <w:t xml:space="preserve"> is a superannuation fund in which a member has a defined benefit interest.</w:t>
      </w:r>
    </w:p>
    <w:p w:rsidR="007D17C5" w:rsidRPr="00143624" w:rsidRDefault="007D17C5" w:rsidP="007D17C5">
      <w:pPr>
        <w:pStyle w:val="ActHead5"/>
      </w:pPr>
      <w:bookmarkStart w:id="201" w:name="_Toc64030457"/>
      <w:r w:rsidRPr="003F3E0B">
        <w:rPr>
          <w:rStyle w:val="CharSectno"/>
        </w:rPr>
        <w:t>1.4</w:t>
      </w:r>
      <w:r w:rsidRPr="00143624">
        <w:t xml:space="preserve">  Accruing member must not belong to more than one benefit category at the same time unless certified by an actuary</w:t>
      </w:r>
      <w:bookmarkEnd w:id="201"/>
    </w:p>
    <w:p w:rsidR="007D17C5" w:rsidRPr="00143624" w:rsidRDefault="007D17C5" w:rsidP="007D17C5">
      <w:pPr>
        <w:pStyle w:val="subsection"/>
        <w:rPr>
          <w:color w:val="000000"/>
        </w:rPr>
      </w:pPr>
      <w:r w:rsidRPr="00143624">
        <w:rPr>
          <w:color w:val="000000"/>
        </w:rPr>
        <w:tab/>
        <w:t>(1)</w:t>
      </w:r>
      <w:r w:rsidRPr="00143624">
        <w:rPr>
          <w:color w:val="000000"/>
        </w:rPr>
        <w:tab/>
        <w:t>An accruing member must not belong to more than one benefit category of the same defined benefit fund on the same day unless certified by an actuary.</w:t>
      </w:r>
    </w:p>
    <w:p w:rsidR="007D17C5" w:rsidRPr="00143624" w:rsidRDefault="007D17C5" w:rsidP="007D17C5">
      <w:pPr>
        <w:pStyle w:val="subsection"/>
        <w:rPr>
          <w:color w:val="000000"/>
        </w:rPr>
      </w:pPr>
      <w:r w:rsidRPr="00143624">
        <w:rPr>
          <w:color w:val="000000"/>
        </w:rPr>
        <w:tab/>
        <w:t>(2)</w:t>
      </w:r>
      <w:r w:rsidRPr="00143624">
        <w:rPr>
          <w:color w:val="000000"/>
        </w:rPr>
        <w:tab/>
        <w:t xml:space="preserve">An actuary must </w:t>
      </w:r>
      <w:r w:rsidR="00DE5D28" w:rsidRPr="00143624">
        <w:rPr>
          <w:color w:val="000000"/>
        </w:rPr>
        <w:t xml:space="preserve">not </w:t>
      </w:r>
      <w:r w:rsidRPr="00143624">
        <w:rPr>
          <w:color w:val="000000"/>
        </w:rPr>
        <w:t xml:space="preserve">certify that a member belongs to more than one benefit category on the same day </w:t>
      </w:r>
      <w:r w:rsidR="00DE5D28" w:rsidRPr="00143624">
        <w:rPr>
          <w:color w:val="000000"/>
        </w:rPr>
        <w:t xml:space="preserve">unless </w:t>
      </w:r>
      <w:r w:rsidRPr="00143624">
        <w:rPr>
          <w:color w:val="000000"/>
        </w:rPr>
        <w:t xml:space="preserve">the actuary is satisfied that the amount of notional taxed contributions to be reported will </w:t>
      </w:r>
      <w:r w:rsidR="00DE5D28" w:rsidRPr="00143624">
        <w:rPr>
          <w:color w:val="000000"/>
        </w:rPr>
        <w:t xml:space="preserve">not </w:t>
      </w:r>
      <w:r w:rsidRPr="00143624">
        <w:rPr>
          <w:color w:val="000000"/>
        </w:rPr>
        <w:t>be materially different from the amount of notional taxed contributions that would have been reported had the member belonged to only one benefit category on each relevant day.</w:t>
      </w:r>
    </w:p>
    <w:p w:rsidR="00DE5D28" w:rsidRPr="00143624" w:rsidRDefault="00DE5D28" w:rsidP="00DE5D28">
      <w:pPr>
        <w:pStyle w:val="notetext"/>
        <w:rPr>
          <w:color w:val="000000"/>
        </w:rPr>
      </w:pPr>
      <w:r w:rsidRPr="00143624">
        <w:rPr>
          <w:color w:val="000000"/>
        </w:rPr>
        <w:t>Note:</w:t>
      </w:r>
      <w:r w:rsidRPr="00143624">
        <w:rPr>
          <w:color w:val="000000"/>
        </w:rPr>
        <w:tab/>
        <w:t>An accruing member would be ordinarily expected to belong to only one benefit category at a time. However, there might be circumstances in certain funds where it is materially more practical for the purpose of calculating the total amount of notional taxable contributions to deem that some members belong to more than one benefit category from time to time.</w:t>
      </w:r>
    </w:p>
    <w:p w:rsidR="007D17C5" w:rsidRPr="00143624" w:rsidRDefault="007D17C5" w:rsidP="007D17C5">
      <w:pPr>
        <w:pStyle w:val="ActHead5"/>
      </w:pPr>
      <w:bookmarkStart w:id="202" w:name="_Toc64030458"/>
      <w:r w:rsidRPr="003F3E0B">
        <w:rPr>
          <w:rStyle w:val="CharSectno"/>
        </w:rPr>
        <w:lastRenderedPageBreak/>
        <w:t>1.5</w:t>
      </w:r>
      <w:r w:rsidRPr="00143624">
        <w:t xml:space="preserve">  Meaning of </w:t>
      </w:r>
      <w:r w:rsidRPr="00143624">
        <w:rPr>
          <w:i/>
        </w:rPr>
        <w:t>fund benefit</w:t>
      </w:r>
      <w:bookmarkEnd w:id="202"/>
    </w:p>
    <w:p w:rsidR="007D17C5" w:rsidRPr="00143624" w:rsidRDefault="007D17C5" w:rsidP="007D17C5">
      <w:pPr>
        <w:pStyle w:val="subsection"/>
      </w:pPr>
      <w:r w:rsidRPr="00143624">
        <w:rPr>
          <w:color w:val="000000"/>
        </w:rPr>
        <w:tab/>
      </w:r>
      <w:r w:rsidRPr="00143624">
        <w:rPr>
          <w:color w:val="000000"/>
        </w:rPr>
        <w:tab/>
        <w:t xml:space="preserve">That part of a defined benefit interest which is sourced from contributions made into a superannuation fund or earnings on such contributions is referred to as the </w:t>
      </w:r>
      <w:r w:rsidRPr="00143624">
        <w:rPr>
          <w:b/>
          <w:i/>
          <w:color w:val="000000"/>
        </w:rPr>
        <w:t>fund benefit</w:t>
      </w:r>
      <w:r w:rsidRPr="00143624">
        <w:rPr>
          <w:color w:val="000000"/>
        </w:rPr>
        <w:t>.</w:t>
      </w:r>
    </w:p>
    <w:p w:rsidR="007D17C5" w:rsidRPr="00143624" w:rsidRDefault="007D17C5" w:rsidP="007D17C5">
      <w:pPr>
        <w:pStyle w:val="notetext"/>
        <w:rPr>
          <w:color w:val="000000"/>
        </w:rPr>
      </w:pPr>
      <w:r w:rsidRPr="00143624">
        <w:rPr>
          <w:color w:val="000000"/>
        </w:rPr>
        <w:t>Note:</w:t>
      </w:r>
      <w:r w:rsidRPr="00143624">
        <w:rPr>
          <w:color w:val="000000"/>
        </w:rPr>
        <w:tab/>
        <w:t>A superannuation benefit may be wholly sourced from contributions made into a superannuation fund or earnings on such contributions. A superannuation benefit paid from a public sector superannuation fund may be wholly or partly sourced, or not sourced to any extent, from contributions made into a superannuation fund or earnings on such contributions. If a superannuation benefit is not sourced to any extent from contributions made into a superannuation fund, or earnings on such contributions, the amount of the fund benefit is zero.</w:t>
      </w:r>
    </w:p>
    <w:p w:rsidR="007D17C5" w:rsidRPr="00143624" w:rsidRDefault="007D17C5" w:rsidP="007D17C5">
      <w:pPr>
        <w:pStyle w:val="ActHead3"/>
        <w:pageBreakBefore/>
      </w:pPr>
      <w:bookmarkStart w:id="203" w:name="_Toc64030459"/>
      <w:r w:rsidRPr="003F3E0B">
        <w:rPr>
          <w:rStyle w:val="CharDivNo"/>
        </w:rPr>
        <w:lastRenderedPageBreak/>
        <w:t>Division</w:t>
      </w:r>
      <w:r w:rsidR="002B1A95" w:rsidRPr="003F3E0B">
        <w:rPr>
          <w:rStyle w:val="CharDivNo"/>
        </w:rPr>
        <w:t> </w:t>
      </w:r>
      <w:r w:rsidRPr="003F3E0B">
        <w:rPr>
          <w:rStyle w:val="CharDivNo"/>
        </w:rPr>
        <w:t>2</w:t>
      </w:r>
      <w:r w:rsidRPr="00143624">
        <w:t>—</w:t>
      </w:r>
      <w:r w:rsidRPr="003F3E0B">
        <w:rPr>
          <w:rStyle w:val="CharDivText"/>
        </w:rPr>
        <w:t>Method</w:t>
      </w:r>
      <w:bookmarkEnd w:id="203"/>
    </w:p>
    <w:p w:rsidR="007D17C5" w:rsidRPr="00143624" w:rsidRDefault="007D17C5" w:rsidP="007D17C5">
      <w:pPr>
        <w:pStyle w:val="ActHead5"/>
      </w:pPr>
      <w:bookmarkStart w:id="204" w:name="_Toc64030460"/>
      <w:r w:rsidRPr="003F3E0B">
        <w:rPr>
          <w:rStyle w:val="CharSectno"/>
        </w:rPr>
        <w:t>1.6</w:t>
      </w:r>
      <w:r w:rsidRPr="00143624">
        <w:t xml:space="preserve">  Method of working out amount of notional taxed contributions if the fund benefit is wholly sourced from an accumulation of contributions made in respect of the member</w:t>
      </w:r>
      <w:bookmarkEnd w:id="204"/>
    </w:p>
    <w:p w:rsidR="007D17C5" w:rsidRPr="00143624" w:rsidRDefault="007D17C5" w:rsidP="007D17C5">
      <w:pPr>
        <w:pStyle w:val="subsection"/>
      </w:pPr>
      <w:r w:rsidRPr="00143624">
        <w:tab/>
      </w:r>
      <w:r w:rsidRPr="00143624">
        <w:tab/>
        <w:t>If the fund benefit in relation to a benefit category is wholly sourced from:</w:t>
      </w:r>
    </w:p>
    <w:p w:rsidR="007D17C5" w:rsidRPr="00143624" w:rsidRDefault="007D17C5" w:rsidP="007D17C5">
      <w:pPr>
        <w:pStyle w:val="paragraph"/>
      </w:pPr>
      <w:r w:rsidRPr="00143624">
        <w:tab/>
        <w:t>(a)</w:t>
      </w:r>
      <w:r w:rsidRPr="00143624">
        <w:tab/>
        <w:t>an accumulation of concessional contributions made to a superannuation fund in respect of a member or earnings on such contributions; or</w:t>
      </w:r>
    </w:p>
    <w:p w:rsidR="007D17C5" w:rsidRPr="00143624" w:rsidRDefault="007D17C5" w:rsidP="007D17C5">
      <w:pPr>
        <w:pStyle w:val="paragraph"/>
      </w:pPr>
      <w:r w:rsidRPr="00143624">
        <w:tab/>
        <w:t>(b)</w:t>
      </w:r>
      <w:r w:rsidRPr="00143624">
        <w:tab/>
        <w:t>an accumulation of member contributions or earnings on such contributions;</w:t>
      </w:r>
    </w:p>
    <w:p w:rsidR="007D17C5" w:rsidRPr="00143624" w:rsidRDefault="007D17C5" w:rsidP="007D17C5">
      <w:pPr>
        <w:pStyle w:val="subsection2"/>
        <w:rPr>
          <w:color w:val="000000"/>
        </w:rPr>
      </w:pPr>
      <w:r w:rsidRPr="00143624">
        <w:t>the amount of NTC for the purposes of clause 1.8 for an accruing member of the benefit category for a financial year is the amount of concessional contributions made to the superannuation fund in respect of the member</w:t>
      </w:r>
      <w:r w:rsidRPr="00143624">
        <w:rPr>
          <w:color w:val="000000"/>
        </w:rPr>
        <w:t xml:space="preserve"> during the financial year.</w:t>
      </w:r>
    </w:p>
    <w:p w:rsidR="007D17C5" w:rsidRPr="00143624" w:rsidRDefault="007D17C5" w:rsidP="007D17C5">
      <w:pPr>
        <w:pStyle w:val="ActHead5"/>
      </w:pPr>
      <w:bookmarkStart w:id="205" w:name="_Toc64030461"/>
      <w:r w:rsidRPr="003F3E0B">
        <w:rPr>
          <w:rStyle w:val="CharSectno"/>
        </w:rPr>
        <w:t>1.7</w:t>
      </w:r>
      <w:r w:rsidRPr="00143624">
        <w:t xml:space="preserve">  Method of working out amount of notional taxed contributions in respect of a benefit category if the fund benefit is not wholly sourced from an accumulation of contributions made in respect of the member</w:t>
      </w:r>
      <w:bookmarkEnd w:id="205"/>
    </w:p>
    <w:p w:rsidR="007D17C5" w:rsidRPr="00143624" w:rsidRDefault="007D17C5" w:rsidP="007D17C5">
      <w:pPr>
        <w:pStyle w:val="subsection"/>
      </w:pPr>
      <w:r w:rsidRPr="00143624">
        <w:tab/>
      </w:r>
      <w:r w:rsidRPr="00143624">
        <w:tab/>
        <w:t>If clause 1.6 does not apply, the method of working out the amount of NTC for the purposes of clause 1.8 for an accruing member of a benefit category of a defined benefit fund for a financial year is the following formula:</w:t>
      </w:r>
    </w:p>
    <w:p w:rsidR="007D17C5" w:rsidRPr="00143624" w:rsidRDefault="00757EFC" w:rsidP="007D17C5">
      <w:pPr>
        <w:pStyle w:val="subsection2"/>
      </w:pPr>
      <w:r w:rsidRPr="00757EFC">
        <w:drawing>
          <wp:inline distT="0" distB="0" distL="0" distR="0">
            <wp:extent cx="4076700" cy="771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6700" cy="771525"/>
                    </a:xfrm>
                    <a:prstGeom prst="rect">
                      <a:avLst/>
                    </a:prstGeom>
                    <a:noFill/>
                    <a:ln>
                      <a:noFill/>
                    </a:ln>
                  </pic:spPr>
                </pic:pic>
              </a:graphicData>
            </a:graphic>
          </wp:inline>
        </w:drawing>
      </w:r>
    </w:p>
    <w:p w:rsidR="007D17C5" w:rsidRPr="00143624" w:rsidRDefault="007D17C5" w:rsidP="007D17C5">
      <w:pPr>
        <w:pStyle w:val="subsection2"/>
      </w:pPr>
      <w:r w:rsidRPr="00143624">
        <w:t>where, for the financial year:</w:t>
      </w:r>
    </w:p>
    <w:p w:rsidR="007D17C5" w:rsidRPr="00143624" w:rsidRDefault="007D17C5" w:rsidP="007D17C5">
      <w:pPr>
        <w:pStyle w:val="Definition"/>
      </w:pPr>
      <w:r w:rsidRPr="00143624">
        <w:rPr>
          <w:b/>
          <w:bCs/>
          <w:i/>
          <w:iCs/>
        </w:rPr>
        <w:t xml:space="preserve">member contributions amount </w:t>
      </w:r>
      <w:r w:rsidRPr="00143624">
        <w:t>is the amount of member contributions:</w:t>
      </w:r>
    </w:p>
    <w:p w:rsidR="007D17C5" w:rsidRPr="00143624" w:rsidRDefault="007D17C5" w:rsidP="007D17C5">
      <w:pPr>
        <w:pStyle w:val="paragraph"/>
      </w:pPr>
      <w:r w:rsidRPr="00143624">
        <w:tab/>
        <w:t>(a)</w:t>
      </w:r>
      <w:r w:rsidRPr="00143624">
        <w:tab/>
        <w:t>paid by or on behalf of the member in respect of the member’s defined benefit interest in the fund during that part of the financial year that the member was an accruing member of the benefit category; and</w:t>
      </w:r>
    </w:p>
    <w:p w:rsidR="007D17C5" w:rsidRPr="00143624" w:rsidRDefault="007D17C5" w:rsidP="007D17C5">
      <w:pPr>
        <w:pStyle w:val="paragraph"/>
      </w:pPr>
      <w:r w:rsidRPr="00143624">
        <w:tab/>
        <w:t>(b)</w:t>
      </w:r>
      <w:r w:rsidRPr="00143624">
        <w:tab/>
        <w:t>which are not assessable income of the fund.</w:t>
      </w:r>
    </w:p>
    <w:p w:rsidR="007D17C5" w:rsidRPr="00143624" w:rsidRDefault="007D17C5" w:rsidP="007D17C5">
      <w:pPr>
        <w:pStyle w:val="Definition"/>
        <w:rPr>
          <w:color w:val="000000"/>
        </w:rPr>
      </w:pPr>
      <w:r w:rsidRPr="00143624">
        <w:rPr>
          <w:b/>
          <w:i/>
          <w:color w:val="000000"/>
        </w:rPr>
        <w:t>new entrant rate</w:t>
      </w:r>
      <w:r w:rsidRPr="00143624">
        <w:rPr>
          <w:b/>
          <w:color w:val="000000"/>
        </w:rPr>
        <w:t xml:space="preserve"> </w:t>
      </w:r>
      <w:r w:rsidRPr="00143624">
        <w:rPr>
          <w:color w:val="000000"/>
        </w:rPr>
        <w:t>is the new entrant rate for the benefit category worked out by an actuary under Parts</w:t>
      </w:r>
      <w:r w:rsidR="002B1A95" w:rsidRPr="00143624">
        <w:rPr>
          <w:color w:val="000000"/>
        </w:rPr>
        <w:t> </w:t>
      </w:r>
      <w:r w:rsidRPr="00143624">
        <w:rPr>
          <w:color w:val="000000"/>
        </w:rPr>
        <w:t>2 and 3.</w:t>
      </w:r>
    </w:p>
    <w:p w:rsidR="007D17C5" w:rsidRPr="00143624" w:rsidRDefault="007D17C5" w:rsidP="007D17C5">
      <w:pPr>
        <w:pStyle w:val="Definition"/>
      </w:pPr>
      <w:r w:rsidRPr="00143624">
        <w:rPr>
          <w:b/>
          <w:i/>
        </w:rPr>
        <w:t>number of days</w:t>
      </w:r>
      <w:r w:rsidRPr="00143624">
        <w:t xml:space="preserve"> is the number of days during the financial year that the member was an accruing member of the benefit category.</w:t>
      </w:r>
    </w:p>
    <w:p w:rsidR="007D17C5" w:rsidRPr="00143624" w:rsidRDefault="007D17C5" w:rsidP="007D17C5">
      <w:pPr>
        <w:pStyle w:val="Definition"/>
      </w:pPr>
      <w:r w:rsidRPr="00143624">
        <w:rPr>
          <w:b/>
          <w:i/>
        </w:rPr>
        <w:t>superannuation salary amount</w:t>
      </w:r>
      <w:r w:rsidRPr="00143624">
        <w:t xml:space="preserve"> is the member’s annual superannuation salary relevant to the benefit category on the first day of the financial year on which the member had a defined benefit interest in the fund.</w:t>
      </w:r>
    </w:p>
    <w:p w:rsidR="007D17C5" w:rsidRPr="00143624" w:rsidRDefault="007D17C5" w:rsidP="007D17C5">
      <w:pPr>
        <w:pStyle w:val="ActHead5"/>
      </w:pPr>
      <w:bookmarkStart w:id="206" w:name="_Toc64030462"/>
      <w:r w:rsidRPr="003F3E0B">
        <w:rPr>
          <w:rStyle w:val="CharSectno"/>
        </w:rPr>
        <w:t>1.8</w:t>
      </w:r>
      <w:r w:rsidRPr="00143624">
        <w:t xml:space="preserve">  Method of working out amount of notional taxed contributions</w:t>
      </w:r>
      <w:bookmarkEnd w:id="206"/>
    </w:p>
    <w:p w:rsidR="007D17C5" w:rsidRPr="00143624" w:rsidRDefault="007D17C5" w:rsidP="007D17C5">
      <w:pPr>
        <w:pStyle w:val="subsection"/>
      </w:pPr>
      <w:r w:rsidRPr="00143624">
        <w:tab/>
      </w:r>
      <w:r w:rsidRPr="00143624">
        <w:tab/>
        <w:t>The method of working out the notional taxed contributions for an accruing member of a defined benefit fund for a financial year is the following formula:</w:t>
      </w:r>
    </w:p>
    <w:p w:rsidR="007D17C5" w:rsidRPr="00143624" w:rsidRDefault="00757EFC" w:rsidP="007D17C5">
      <w:pPr>
        <w:pStyle w:val="subsection2"/>
      </w:pPr>
      <w:r w:rsidRPr="00757EFC">
        <w:lastRenderedPageBreak/>
        <w:drawing>
          <wp:inline distT="0" distB="0" distL="0" distR="0">
            <wp:extent cx="4667250" cy="1190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0" cy="1190625"/>
                    </a:xfrm>
                    <a:prstGeom prst="rect">
                      <a:avLst/>
                    </a:prstGeom>
                    <a:noFill/>
                    <a:ln>
                      <a:noFill/>
                    </a:ln>
                  </pic:spPr>
                </pic:pic>
              </a:graphicData>
            </a:graphic>
          </wp:inline>
        </w:drawing>
      </w:r>
    </w:p>
    <w:p w:rsidR="007D17C5" w:rsidRPr="00143624" w:rsidRDefault="007D17C5" w:rsidP="007D17C5">
      <w:pPr>
        <w:pStyle w:val="subsection2"/>
        <w:spacing w:before="120"/>
      </w:pPr>
      <w:r w:rsidRPr="00143624">
        <w:t>where, for the financial year:</w:t>
      </w:r>
    </w:p>
    <w:p w:rsidR="007D17C5" w:rsidRPr="00143624" w:rsidRDefault="007D17C5" w:rsidP="007D17C5">
      <w:pPr>
        <w:pStyle w:val="Definition"/>
      </w:pPr>
      <w:r w:rsidRPr="00143624">
        <w:rPr>
          <w:b/>
          <w:i/>
        </w:rPr>
        <w:t>category change or discretion adjustment amount</w:t>
      </w:r>
      <w:r w:rsidRPr="00143624">
        <w:t xml:space="preserve"> is an amount worked out on advice from an actuary under Part</w:t>
      </w:r>
      <w:r w:rsidR="002B1A95" w:rsidRPr="00143624">
        <w:t> </w:t>
      </w:r>
      <w:r w:rsidRPr="00143624">
        <w:t>5.</w:t>
      </w:r>
    </w:p>
    <w:p w:rsidR="007D17C5" w:rsidRPr="00143624" w:rsidRDefault="007D17C5" w:rsidP="007D17C5">
      <w:pPr>
        <w:pStyle w:val="Definition"/>
      </w:pPr>
      <w:r w:rsidRPr="00143624">
        <w:rPr>
          <w:b/>
          <w:i/>
        </w:rPr>
        <w:t>governing rules change adjustment amount</w:t>
      </w:r>
      <w:r w:rsidRPr="00143624">
        <w:t xml:space="preserve"> is an amount worked out on advice from an actuary under Part</w:t>
      </w:r>
      <w:r w:rsidR="002B1A95" w:rsidRPr="00143624">
        <w:t> </w:t>
      </w:r>
      <w:r w:rsidRPr="00143624">
        <w:t>6.</w:t>
      </w:r>
    </w:p>
    <w:p w:rsidR="007D17C5" w:rsidRPr="00143624" w:rsidRDefault="007D17C5" w:rsidP="007D17C5">
      <w:pPr>
        <w:pStyle w:val="Definition"/>
      </w:pPr>
      <w:r w:rsidRPr="00143624">
        <w:rPr>
          <w:b/>
          <w:i/>
        </w:rPr>
        <w:t xml:space="preserve">increased exit benefit adjustment amount </w:t>
      </w:r>
      <w:r w:rsidRPr="00143624">
        <w:t>is an amount worked out on advice from an actuary under Part</w:t>
      </w:r>
      <w:r w:rsidR="002B1A95" w:rsidRPr="00143624">
        <w:t> </w:t>
      </w:r>
      <w:r w:rsidRPr="00143624">
        <w:t>4.</w:t>
      </w:r>
    </w:p>
    <w:p w:rsidR="007D17C5" w:rsidRPr="00143624" w:rsidRDefault="007D17C5" w:rsidP="007D17C5">
      <w:pPr>
        <w:pStyle w:val="Definition"/>
      </w:pPr>
      <w:r w:rsidRPr="00143624">
        <w:rPr>
          <w:b/>
          <w:i/>
        </w:rPr>
        <w:t>increased superannuation salary adjustment amount</w:t>
      </w:r>
      <w:r w:rsidRPr="00143624">
        <w:t xml:space="preserve"> is an amount worked out on advice from an actuary under Part</w:t>
      </w:r>
      <w:r w:rsidR="002B1A95" w:rsidRPr="00143624">
        <w:t> </w:t>
      </w:r>
      <w:r w:rsidRPr="00143624">
        <w:t>7.</w:t>
      </w:r>
    </w:p>
    <w:p w:rsidR="007D17C5" w:rsidRPr="00143624" w:rsidRDefault="00B26993" w:rsidP="007D17C5">
      <w:pPr>
        <w:pStyle w:val="Definition"/>
      </w:pPr>
      <w:r w:rsidRPr="00143624">
        <w:rPr>
          <w:b/>
          <w:i/>
          <w:color w:val="000000"/>
        </w:rPr>
        <w:t>standard method NTCs</w:t>
      </w:r>
      <w:r w:rsidR="007D17C5" w:rsidRPr="00143624">
        <w:rPr>
          <w:b/>
          <w:color w:val="000000"/>
        </w:rPr>
        <w:t xml:space="preserve"> </w:t>
      </w:r>
      <w:r w:rsidR="007D17C5" w:rsidRPr="00143624">
        <w:rPr>
          <w:color w:val="000000"/>
        </w:rPr>
        <w:t xml:space="preserve">is </w:t>
      </w:r>
      <w:r w:rsidR="007D17C5" w:rsidRPr="00143624">
        <w:t>the sum of the amounts of NTC for each benefit category that the member belongs to during the financial year calculated under clauses 1.6 and 1.7.</w:t>
      </w:r>
    </w:p>
    <w:p w:rsidR="007D17C5" w:rsidRPr="00143624" w:rsidRDefault="007D17C5" w:rsidP="007D17C5">
      <w:pPr>
        <w:pStyle w:val="ActHead2"/>
        <w:pageBreakBefore/>
      </w:pPr>
      <w:bookmarkStart w:id="207" w:name="_Toc64030463"/>
      <w:r w:rsidRPr="003F3E0B">
        <w:rPr>
          <w:rStyle w:val="CharPartNo"/>
        </w:rPr>
        <w:lastRenderedPageBreak/>
        <w:t>Part</w:t>
      </w:r>
      <w:r w:rsidR="002B1A95" w:rsidRPr="003F3E0B">
        <w:rPr>
          <w:rStyle w:val="CharPartNo"/>
        </w:rPr>
        <w:t> </w:t>
      </w:r>
      <w:r w:rsidRPr="003F3E0B">
        <w:rPr>
          <w:rStyle w:val="CharPartNo"/>
        </w:rPr>
        <w:t>2</w:t>
      </w:r>
      <w:r w:rsidRPr="00143624">
        <w:t>—</w:t>
      </w:r>
      <w:r w:rsidRPr="003F3E0B">
        <w:rPr>
          <w:rStyle w:val="CharPartText"/>
        </w:rPr>
        <w:t>New entrant rate</w:t>
      </w:r>
      <w:bookmarkEnd w:id="207"/>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08" w:name="_Toc64030464"/>
      <w:r w:rsidRPr="003F3E0B">
        <w:rPr>
          <w:rStyle w:val="CharSectno"/>
        </w:rPr>
        <w:t>2.1</w:t>
      </w:r>
      <w:r w:rsidRPr="00143624">
        <w:t xml:space="preserve">  Method of working out new entrant rate for a benefit category</w:t>
      </w:r>
      <w:bookmarkEnd w:id="208"/>
    </w:p>
    <w:p w:rsidR="007D17C5" w:rsidRPr="00143624" w:rsidRDefault="007D17C5" w:rsidP="007D17C5">
      <w:pPr>
        <w:pStyle w:val="subsection"/>
      </w:pPr>
      <w:r w:rsidRPr="00143624">
        <w:rPr>
          <w:color w:val="000000"/>
        </w:rPr>
        <w:tab/>
        <w:t>(1)</w:t>
      </w:r>
      <w:r w:rsidRPr="00143624">
        <w:rPr>
          <w:color w:val="000000"/>
        </w:rPr>
        <w:tab/>
        <w:t>The new entrant rate for a benefit category is the rate calculated under this Part and using the assumptions set out in Part</w:t>
      </w:r>
      <w:r w:rsidR="002B1A95" w:rsidRPr="00143624">
        <w:rPr>
          <w:color w:val="000000"/>
        </w:rPr>
        <w:t> </w:t>
      </w:r>
      <w:r w:rsidRPr="00143624">
        <w:rPr>
          <w:color w:val="000000"/>
        </w:rPr>
        <w:t>3.</w:t>
      </w:r>
    </w:p>
    <w:p w:rsidR="007D17C5" w:rsidRPr="00143624" w:rsidRDefault="007D17C5" w:rsidP="007D17C5">
      <w:pPr>
        <w:pStyle w:val="subsection"/>
      </w:pPr>
      <w:r w:rsidRPr="00143624">
        <w:rPr>
          <w:color w:val="000000"/>
        </w:rPr>
        <w:tab/>
        <w:t>(2)</w:t>
      </w:r>
      <w:r w:rsidRPr="00143624">
        <w:rPr>
          <w:color w:val="000000"/>
        </w:rPr>
        <w:tab/>
        <w:t>The new entrant rate for a benefit category is the rate that represents the long</w:t>
      </w:r>
      <w:r w:rsidR="00143624">
        <w:rPr>
          <w:color w:val="000000"/>
        </w:rPr>
        <w:noBreakHyphen/>
      </w:r>
      <w:r w:rsidRPr="00143624">
        <w:rPr>
          <w:color w:val="000000"/>
        </w:rPr>
        <w:t>term cost, expressed as a percentage of superannuation salary, of providing as much of the fund benefit as is payable on a voluntary exit to a hypothetical new entrant to the benefit category.</w:t>
      </w:r>
    </w:p>
    <w:p w:rsidR="007D17C5" w:rsidRPr="00143624" w:rsidRDefault="007D17C5" w:rsidP="007D17C5">
      <w:pPr>
        <w:pStyle w:val="subsection"/>
      </w:pPr>
      <w:r w:rsidRPr="00143624">
        <w:tab/>
        <w:t>(3)</w:t>
      </w:r>
      <w:r w:rsidRPr="00143624">
        <w:tab/>
        <w:t>The new entrant rate is calculated as the present value of the fund benefit payable on voluntary exit (resignation, early retirement, or retirement) under the rules of the defined benefit fund which are applicable to a new entrant to the benefit category divided by the present value of future superannuation salaries payable to the new entrant.</w:t>
      </w:r>
    </w:p>
    <w:p w:rsidR="007D17C5" w:rsidRPr="00143624" w:rsidRDefault="007D17C5" w:rsidP="007D17C5">
      <w:pPr>
        <w:pStyle w:val="subsection"/>
      </w:pPr>
      <w:r w:rsidRPr="00143624">
        <w:tab/>
        <w:t>(4)</w:t>
      </w:r>
      <w:r w:rsidRPr="00143624">
        <w:tab/>
        <w:t>To avoid doubt, the new entrant rate is to be calculated assuming that the fund benefit is to be wholly sourced from concessional contributions made into the fund at the new entrant rate and earnings on those contributions.</w:t>
      </w:r>
    </w:p>
    <w:p w:rsidR="007D17C5" w:rsidRPr="00143624" w:rsidRDefault="007D17C5" w:rsidP="007D17C5">
      <w:pPr>
        <w:pStyle w:val="subsection"/>
      </w:pPr>
      <w:r w:rsidRPr="00143624">
        <w:tab/>
        <w:t>(5)</w:t>
      </w:r>
      <w:r w:rsidRPr="00143624">
        <w:tab/>
        <w:t>The present value of the fund benefit is to be calculated having regard to the rules and practice of the defined benefit fund including benefit structure, caps, member options, reasonably expected discretions and member contributions, and using the economic, decrement and other parameters and the other assumptions set out in Part</w:t>
      </w:r>
      <w:r w:rsidR="002B1A95" w:rsidRPr="00143624">
        <w:t> </w:t>
      </w:r>
      <w:r w:rsidRPr="00143624">
        <w:t>3.</w:t>
      </w:r>
    </w:p>
    <w:p w:rsidR="007D17C5" w:rsidRPr="00143624" w:rsidRDefault="007D17C5" w:rsidP="007D17C5">
      <w:pPr>
        <w:pStyle w:val="ActHead5"/>
      </w:pPr>
      <w:bookmarkStart w:id="209" w:name="_Toc64030465"/>
      <w:r w:rsidRPr="003F3E0B">
        <w:rPr>
          <w:rStyle w:val="CharSectno"/>
        </w:rPr>
        <w:t>2.2</w:t>
      </w:r>
      <w:r w:rsidRPr="00143624">
        <w:t xml:space="preserve">  New entrant rate to be based on period of membership needed to reach maximum benefit accrual</w:t>
      </w:r>
      <w:bookmarkEnd w:id="209"/>
    </w:p>
    <w:p w:rsidR="007D17C5" w:rsidRPr="00143624" w:rsidRDefault="007D17C5" w:rsidP="007D17C5">
      <w:pPr>
        <w:pStyle w:val="subsection"/>
      </w:pPr>
      <w:r w:rsidRPr="00143624">
        <w:rPr>
          <w:color w:val="000000"/>
        </w:rPr>
        <w:tab/>
      </w:r>
      <w:r w:rsidRPr="00143624">
        <w:rPr>
          <w:color w:val="000000"/>
        </w:rPr>
        <w:tab/>
        <w:t>If the rules of the defined benefit fund applicable to the benefit category provide for a maximum benefit accrual, the new entrant rate is to be calculated on the basis that the benefit is funded over the period to when maximum accrual is attained.</w:t>
      </w:r>
    </w:p>
    <w:p w:rsidR="007D17C5" w:rsidRPr="00143624" w:rsidRDefault="007D17C5" w:rsidP="007D17C5">
      <w:pPr>
        <w:pStyle w:val="notetext"/>
      </w:pPr>
      <w:r w:rsidRPr="00143624">
        <w:t>Note:</w:t>
      </w:r>
      <w:r w:rsidRPr="00143624">
        <w:tab/>
        <w:t>This means that, for the purpose of calculating the present value of future salaries payable to the new entrant, the superannuation salary is to be assumed to be zero at those ages after reaching maximum benefit accrual.</w:t>
      </w:r>
    </w:p>
    <w:p w:rsidR="007D17C5" w:rsidRPr="00143624" w:rsidRDefault="007D17C5" w:rsidP="007D17C5">
      <w:pPr>
        <w:pStyle w:val="notetext"/>
        <w:rPr>
          <w:color w:val="000000"/>
        </w:rPr>
      </w:pPr>
      <w:r w:rsidRPr="00143624">
        <w:t>Example</w:t>
      </w:r>
      <w:r w:rsidRPr="00143624">
        <w:rPr>
          <w:i/>
        </w:rPr>
        <w:t>:</w:t>
      </w:r>
      <w:r w:rsidRPr="00143624">
        <w:rPr>
          <w:i/>
        </w:rPr>
        <w:tab/>
      </w:r>
      <w:r w:rsidRPr="00143624">
        <w:rPr>
          <w:color w:val="000000"/>
        </w:rPr>
        <w:t>If maximum accrual is attained after 20 years of membership, the superannuation salary for a 30</w:t>
      </w:r>
      <w:r w:rsidR="00143624">
        <w:rPr>
          <w:color w:val="000000"/>
        </w:rPr>
        <w:noBreakHyphen/>
      </w:r>
      <w:r w:rsidRPr="00143624">
        <w:rPr>
          <w:color w:val="000000"/>
        </w:rPr>
        <w:t>year</w:t>
      </w:r>
      <w:r w:rsidR="00143624">
        <w:rPr>
          <w:color w:val="000000"/>
        </w:rPr>
        <w:noBreakHyphen/>
      </w:r>
      <w:r w:rsidRPr="00143624">
        <w:rPr>
          <w:color w:val="000000"/>
        </w:rPr>
        <w:t>old new entrant will be assumed to be zero at age 50 and above for the purpose of calculating the present value of future salaries payable to the new entrant.</w:t>
      </w:r>
    </w:p>
    <w:p w:rsidR="007D17C5" w:rsidRPr="00143624" w:rsidRDefault="007D17C5" w:rsidP="007D17C5">
      <w:pPr>
        <w:pStyle w:val="ActHead5"/>
      </w:pPr>
      <w:bookmarkStart w:id="210" w:name="_Toc64030466"/>
      <w:r w:rsidRPr="003F3E0B">
        <w:rPr>
          <w:rStyle w:val="CharSectno"/>
        </w:rPr>
        <w:t>2.3</w:t>
      </w:r>
      <w:r w:rsidRPr="00143624">
        <w:t xml:space="preserve">  New entrant rate to be rounded down</w:t>
      </w:r>
      <w:bookmarkEnd w:id="210"/>
    </w:p>
    <w:p w:rsidR="007D17C5" w:rsidRPr="00143624" w:rsidRDefault="007D17C5" w:rsidP="007D17C5">
      <w:pPr>
        <w:pStyle w:val="subsection"/>
      </w:pPr>
      <w:r w:rsidRPr="00143624">
        <w:rPr>
          <w:color w:val="000000"/>
        </w:rPr>
        <w:tab/>
      </w:r>
      <w:r w:rsidRPr="00143624">
        <w:rPr>
          <w:color w:val="000000"/>
        </w:rPr>
        <w:tab/>
        <w:t>The new entrant rate is to be rounded down to the lower 1 percentage point.</w:t>
      </w:r>
    </w:p>
    <w:p w:rsidR="007D17C5" w:rsidRPr="00143624" w:rsidRDefault="007D17C5" w:rsidP="007D17C5">
      <w:pPr>
        <w:pStyle w:val="notetext"/>
      </w:pPr>
      <w:r w:rsidRPr="00143624">
        <w:t>Example</w:t>
      </w:r>
      <w:r w:rsidRPr="00143624">
        <w:rPr>
          <w:i/>
        </w:rPr>
        <w:t>:</w:t>
      </w:r>
      <w:r w:rsidRPr="00143624">
        <w:rPr>
          <w:color w:val="000000"/>
        </w:rPr>
        <w:tab/>
      </w:r>
      <w:r w:rsidRPr="00143624">
        <w:t>10.6%</w:t>
      </w:r>
      <w:r w:rsidRPr="00143624">
        <w:rPr>
          <w:color w:val="000000"/>
        </w:rPr>
        <w:t xml:space="preserve"> would be rounded down to 10%.</w:t>
      </w:r>
    </w:p>
    <w:p w:rsidR="007D17C5" w:rsidRPr="00143624" w:rsidRDefault="007D17C5" w:rsidP="007D17C5">
      <w:pPr>
        <w:pStyle w:val="ActHead5"/>
      </w:pPr>
      <w:bookmarkStart w:id="211" w:name="_Toc64030467"/>
      <w:r w:rsidRPr="003F3E0B">
        <w:rPr>
          <w:rStyle w:val="CharSectno"/>
        </w:rPr>
        <w:lastRenderedPageBreak/>
        <w:t>2.4</w:t>
      </w:r>
      <w:r w:rsidRPr="00143624">
        <w:t xml:space="preserve">  No allowance for administration expenses or income tax on assessable contributions</w:t>
      </w:r>
      <w:bookmarkEnd w:id="211"/>
    </w:p>
    <w:p w:rsidR="007D17C5" w:rsidRPr="00143624" w:rsidRDefault="007D17C5" w:rsidP="007D17C5">
      <w:pPr>
        <w:pStyle w:val="subsection"/>
      </w:pPr>
      <w:r w:rsidRPr="00143624">
        <w:tab/>
      </w:r>
      <w:r w:rsidRPr="00143624">
        <w:tab/>
        <w:t>The new entrant rate is to be calculated ignoring:</w:t>
      </w:r>
    </w:p>
    <w:p w:rsidR="007D17C5" w:rsidRPr="00143624" w:rsidRDefault="007D17C5" w:rsidP="007D17C5">
      <w:pPr>
        <w:pStyle w:val="paragraph"/>
      </w:pPr>
      <w:r w:rsidRPr="00143624">
        <w:tab/>
        <w:t>(a)</w:t>
      </w:r>
      <w:r w:rsidRPr="00143624">
        <w:tab/>
        <w:t>administration expenses; and</w:t>
      </w:r>
    </w:p>
    <w:p w:rsidR="007D17C5" w:rsidRPr="00143624" w:rsidRDefault="007D17C5" w:rsidP="007D17C5">
      <w:pPr>
        <w:pStyle w:val="paragraph"/>
      </w:pPr>
      <w:r w:rsidRPr="00143624">
        <w:tab/>
        <w:t>(b)</w:t>
      </w:r>
      <w:r w:rsidRPr="00143624">
        <w:tab/>
        <w:t>income tax on assessable contributions.</w:t>
      </w:r>
    </w:p>
    <w:p w:rsidR="007D17C5" w:rsidRPr="00143624" w:rsidRDefault="007D17C5" w:rsidP="007D17C5">
      <w:pPr>
        <w:pStyle w:val="notetext"/>
      </w:pPr>
      <w:r w:rsidRPr="00143624">
        <w:rPr>
          <w:color w:val="000000"/>
        </w:rPr>
        <w:t>Note:</w:t>
      </w:r>
      <w:r w:rsidRPr="00143624">
        <w:rPr>
          <w:color w:val="000000"/>
        </w:rPr>
        <w:tab/>
        <w:t>These items are allowed for in the formula in clause 1.7 by multiplying by 1.2.</w:t>
      </w:r>
    </w:p>
    <w:p w:rsidR="007D17C5" w:rsidRPr="00143624" w:rsidRDefault="007D17C5" w:rsidP="007D17C5">
      <w:pPr>
        <w:pStyle w:val="ActHead5"/>
      </w:pPr>
      <w:bookmarkStart w:id="212" w:name="_Toc64030468"/>
      <w:r w:rsidRPr="003F3E0B">
        <w:rPr>
          <w:rStyle w:val="CharSectno"/>
        </w:rPr>
        <w:t>2.5</w:t>
      </w:r>
      <w:r w:rsidRPr="00143624">
        <w:t xml:space="preserve">  Certain discretions to be allowed for</w:t>
      </w:r>
      <w:bookmarkEnd w:id="212"/>
    </w:p>
    <w:p w:rsidR="007D17C5" w:rsidRPr="00143624" w:rsidRDefault="007D17C5" w:rsidP="007D17C5">
      <w:pPr>
        <w:pStyle w:val="subsection"/>
      </w:pPr>
      <w:r w:rsidRPr="00143624">
        <w:rPr>
          <w:color w:val="000000"/>
        </w:rPr>
        <w:tab/>
        <w:t>(1)</w:t>
      </w:r>
      <w:r w:rsidRPr="00143624">
        <w:rPr>
          <w:color w:val="000000"/>
        </w:rPr>
        <w:tab/>
        <w:t>The new entrant rate is to be calculated assuming that certain discretions are always exercised.</w:t>
      </w:r>
    </w:p>
    <w:p w:rsidR="007D17C5" w:rsidRPr="00143624" w:rsidRDefault="007D17C5" w:rsidP="007D17C5">
      <w:pPr>
        <w:pStyle w:val="subsection"/>
      </w:pPr>
      <w:r w:rsidRPr="00143624">
        <w:tab/>
        <w:t>(2)</w:t>
      </w:r>
      <w:r w:rsidRPr="00143624">
        <w:tab/>
        <w:t xml:space="preserve">Subject to </w:t>
      </w:r>
      <w:r w:rsidR="002B1A95" w:rsidRPr="00143624">
        <w:t>subclause (</w:t>
      </w:r>
      <w:r w:rsidRPr="00143624">
        <w:t>3), if the fund rules provide a discretion to pay, on voluntary exit, a benefit that is higher than the standard benefit, the actuary must assume that a higher benefit is always paid on voluntary exit on or after age 55.</w:t>
      </w:r>
    </w:p>
    <w:p w:rsidR="007D17C5" w:rsidRPr="00143624" w:rsidRDefault="007D17C5" w:rsidP="007D17C5">
      <w:pPr>
        <w:pStyle w:val="subsection"/>
      </w:pPr>
      <w:r w:rsidRPr="00143624">
        <w:tab/>
      </w:r>
      <w:r w:rsidRPr="00143624">
        <w:rPr>
          <w:color w:val="000000"/>
        </w:rPr>
        <w:t>(3)</w:t>
      </w:r>
      <w:r w:rsidRPr="00143624">
        <w:rPr>
          <w:color w:val="000000"/>
        </w:rPr>
        <w:tab/>
      </w:r>
      <w:r w:rsidRPr="00143624">
        <w:t xml:space="preserve">If the higher benefit mentioned in </w:t>
      </w:r>
      <w:r w:rsidR="002B1A95" w:rsidRPr="00143624">
        <w:t>subclause (</w:t>
      </w:r>
      <w:r w:rsidRPr="00143624">
        <w:t>2) exceeds the accrued retirement benefit, the actuary may assume that the benefit is an amount:</w:t>
      </w:r>
    </w:p>
    <w:p w:rsidR="007D17C5" w:rsidRPr="00143624" w:rsidRDefault="007D17C5" w:rsidP="007D17C5">
      <w:pPr>
        <w:pStyle w:val="paragraph"/>
      </w:pPr>
      <w:r w:rsidRPr="00143624">
        <w:tab/>
        <w:t>(a)</w:t>
      </w:r>
      <w:r w:rsidRPr="00143624">
        <w:tab/>
        <w:t>greater than or equal to the accrued retirement benefit; and</w:t>
      </w:r>
    </w:p>
    <w:p w:rsidR="007D17C5" w:rsidRPr="00143624" w:rsidRDefault="007D17C5" w:rsidP="007D17C5">
      <w:pPr>
        <w:pStyle w:val="paragraph"/>
        <w:rPr>
          <w:color w:val="000000"/>
        </w:rPr>
      </w:pPr>
      <w:r w:rsidRPr="00143624">
        <w:tab/>
        <w:t>(b)</w:t>
      </w:r>
      <w:r w:rsidRPr="00143624">
        <w:tab/>
        <w:t>less than or equal to the higher benefit.</w:t>
      </w:r>
    </w:p>
    <w:p w:rsidR="007D17C5" w:rsidRPr="00143624" w:rsidRDefault="007D17C5" w:rsidP="007D17C5">
      <w:pPr>
        <w:pStyle w:val="subsection"/>
      </w:pPr>
      <w:r w:rsidRPr="00143624">
        <w:rPr>
          <w:color w:val="000000"/>
        </w:rPr>
        <w:tab/>
        <w:t>(4)</w:t>
      </w:r>
      <w:r w:rsidRPr="00143624">
        <w:rPr>
          <w:color w:val="000000"/>
        </w:rPr>
        <w:tab/>
        <w:t>If the actuary believes that there is a reasonable expectation that a higher benefit than either the standard benefit or the accrued retirement benefit will be paid, then the actuary should assume that the benefit paid on voluntary exit on or after age 55 is always equal to the benefit reasonably expected to be paid.</w:t>
      </w:r>
    </w:p>
    <w:p w:rsidR="007D17C5" w:rsidRPr="00143624" w:rsidRDefault="007D17C5" w:rsidP="007D17C5">
      <w:pPr>
        <w:pStyle w:val="notetext"/>
      </w:pPr>
      <w:r w:rsidRPr="00143624">
        <w:rPr>
          <w:color w:val="000000"/>
        </w:rPr>
        <w:t>Note:</w:t>
      </w:r>
      <w:r w:rsidRPr="00143624">
        <w:rPr>
          <w:color w:val="000000"/>
        </w:rPr>
        <w:tab/>
        <w:t>In considering whether there is a reasonable expectation that a higher benefit will be paid, it would generally not be appropriate to assume payment unless such an assumption was adopted in the most recent actuarial review.</w:t>
      </w:r>
    </w:p>
    <w:p w:rsidR="007D17C5" w:rsidRPr="00143624" w:rsidRDefault="007D17C5" w:rsidP="007D17C5">
      <w:pPr>
        <w:pStyle w:val="ActHead5"/>
      </w:pPr>
      <w:bookmarkStart w:id="213" w:name="_Toc64030469"/>
      <w:r w:rsidRPr="003F3E0B">
        <w:rPr>
          <w:rStyle w:val="CharSectno"/>
        </w:rPr>
        <w:t>2.6</w:t>
      </w:r>
      <w:r w:rsidRPr="00143624">
        <w:t xml:space="preserve">  Method of working out new entrant rate for a member</w:t>
      </w:r>
      <w:bookmarkEnd w:id="213"/>
    </w:p>
    <w:p w:rsidR="007D17C5" w:rsidRPr="00143624" w:rsidRDefault="007D17C5" w:rsidP="007D17C5">
      <w:pPr>
        <w:pStyle w:val="subsection"/>
      </w:pPr>
      <w:r w:rsidRPr="00143624">
        <w:rPr>
          <w:color w:val="000000"/>
        </w:rPr>
        <w:tab/>
        <w:t>(1)</w:t>
      </w:r>
      <w:r w:rsidRPr="00143624">
        <w:rPr>
          <w:color w:val="000000"/>
        </w:rPr>
        <w:tab/>
        <w:t>If a member belongs to exactly one benefit category at a particular time, the new entrant rate for the member at that time is the new entrant rate for that benefit category.</w:t>
      </w:r>
    </w:p>
    <w:p w:rsidR="007D17C5" w:rsidRPr="00143624" w:rsidRDefault="007D17C5" w:rsidP="007D17C5">
      <w:pPr>
        <w:pStyle w:val="subsection"/>
      </w:pPr>
      <w:r w:rsidRPr="00143624">
        <w:rPr>
          <w:color w:val="000000"/>
        </w:rPr>
        <w:tab/>
        <w:t>(2)</w:t>
      </w:r>
      <w:r w:rsidRPr="00143624">
        <w:rPr>
          <w:color w:val="000000"/>
        </w:rPr>
        <w:tab/>
        <w:t>If a member belongs to more than one benefit category at a particular time, the new entrant rate for the member at that time is the sum of the new entrant rates for each benefit category to which the member belongs.</w:t>
      </w:r>
    </w:p>
    <w:p w:rsidR="007D17C5" w:rsidRPr="00143624" w:rsidRDefault="007D17C5" w:rsidP="007D17C5">
      <w:pPr>
        <w:pStyle w:val="notetext"/>
        <w:rPr>
          <w:color w:val="000000"/>
        </w:rPr>
      </w:pPr>
      <w:r w:rsidRPr="00143624">
        <w:rPr>
          <w:color w:val="000000"/>
        </w:rPr>
        <w:t>Note:</w:t>
      </w:r>
      <w:r w:rsidRPr="00143624">
        <w:rPr>
          <w:color w:val="000000"/>
        </w:rPr>
        <w:tab/>
        <w:t>The new entrant rate for a member is relevant to sections 291</w:t>
      </w:r>
      <w:r w:rsidR="00143624">
        <w:rPr>
          <w:color w:val="000000"/>
        </w:rPr>
        <w:noBreakHyphen/>
      </w:r>
      <w:r w:rsidRPr="00143624">
        <w:rPr>
          <w:color w:val="000000"/>
        </w:rPr>
        <w:t>170.05 and 291</w:t>
      </w:r>
      <w:r w:rsidR="00143624">
        <w:rPr>
          <w:color w:val="000000"/>
        </w:rPr>
        <w:noBreakHyphen/>
      </w:r>
      <w:r w:rsidRPr="00143624">
        <w:rPr>
          <w:color w:val="000000"/>
        </w:rPr>
        <w:t>170.07.</w:t>
      </w:r>
    </w:p>
    <w:p w:rsidR="007D17C5" w:rsidRPr="00143624" w:rsidRDefault="007D17C5" w:rsidP="007D17C5">
      <w:pPr>
        <w:pStyle w:val="ActHead2"/>
        <w:pageBreakBefore/>
      </w:pPr>
      <w:bookmarkStart w:id="214" w:name="_Toc64030470"/>
      <w:r w:rsidRPr="003F3E0B">
        <w:rPr>
          <w:rStyle w:val="CharPartNo"/>
        </w:rPr>
        <w:lastRenderedPageBreak/>
        <w:t>Part</w:t>
      </w:r>
      <w:r w:rsidR="002B1A95" w:rsidRPr="003F3E0B">
        <w:rPr>
          <w:rStyle w:val="CharPartNo"/>
        </w:rPr>
        <w:t> </w:t>
      </w:r>
      <w:r w:rsidRPr="003F3E0B">
        <w:rPr>
          <w:rStyle w:val="CharPartNo"/>
        </w:rPr>
        <w:t>3</w:t>
      </w:r>
      <w:r w:rsidRPr="00143624">
        <w:t>—</w:t>
      </w:r>
      <w:r w:rsidRPr="003F3E0B">
        <w:rPr>
          <w:rStyle w:val="CharPartText"/>
        </w:rPr>
        <w:t>Valuation parameters</w:t>
      </w:r>
      <w:bookmarkEnd w:id="214"/>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15" w:name="_Toc64030471"/>
      <w:r w:rsidRPr="003F3E0B">
        <w:rPr>
          <w:rStyle w:val="CharSectno"/>
        </w:rPr>
        <w:t>3.1</w:t>
      </w:r>
      <w:r w:rsidRPr="00143624">
        <w:t xml:space="preserve">  Application of economic, decrement and other parameters</w:t>
      </w:r>
      <w:bookmarkEnd w:id="215"/>
    </w:p>
    <w:p w:rsidR="007D17C5" w:rsidRPr="00143624" w:rsidRDefault="007D17C5" w:rsidP="007D17C5">
      <w:pPr>
        <w:pStyle w:val="subsection"/>
      </w:pPr>
      <w:r w:rsidRPr="00143624">
        <w:rPr>
          <w:color w:val="000000"/>
        </w:rPr>
        <w:tab/>
      </w:r>
      <w:r w:rsidRPr="00143624">
        <w:rPr>
          <w:color w:val="000000"/>
        </w:rPr>
        <w:tab/>
        <w:t>For the purpose of working out the new entrant rate for a benefit category mentioned in Part</w:t>
      </w:r>
      <w:r w:rsidR="002B1A95" w:rsidRPr="00143624">
        <w:rPr>
          <w:color w:val="000000"/>
        </w:rPr>
        <w:t> </w:t>
      </w:r>
      <w:r w:rsidRPr="00143624">
        <w:rPr>
          <w:color w:val="000000"/>
        </w:rPr>
        <w:t>1 or 2, the actuary is to apply the economic, decrement and other parameters set out in this Part.</w:t>
      </w:r>
    </w:p>
    <w:p w:rsidR="007D17C5" w:rsidRPr="00143624" w:rsidRDefault="007D17C5" w:rsidP="007D17C5">
      <w:pPr>
        <w:pStyle w:val="ActHead5"/>
      </w:pPr>
      <w:bookmarkStart w:id="216" w:name="_Toc64030472"/>
      <w:r w:rsidRPr="003F3E0B">
        <w:rPr>
          <w:rStyle w:val="CharSectno"/>
        </w:rPr>
        <w:t>3.2</w:t>
      </w:r>
      <w:r w:rsidRPr="00143624">
        <w:t xml:space="preserve">  Discount rate</w:t>
      </w:r>
      <w:bookmarkEnd w:id="216"/>
    </w:p>
    <w:p w:rsidR="007D17C5" w:rsidRPr="00143624" w:rsidRDefault="007D17C5" w:rsidP="007D17C5">
      <w:pPr>
        <w:pStyle w:val="subsection"/>
      </w:pPr>
      <w:r w:rsidRPr="00143624">
        <w:rPr>
          <w:color w:val="000000"/>
        </w:rPr>
        <w:tab/>
        <w:t>(1)</w:t>
      </w:r>
      <w:r w:rsidRPr="00143624">
        <w:rPr>
          <w:color w:val="000000"/>
        </w:rPr>
        <w:tab/>
        <w:t>The discount rate to be used to discount projected future benefits and salaries is 8% per year.</w:t>
      </w:r>
    </w:p>
    <w:p w:rsidR="007D17C5" w:rsidRPr="00143624" w:rsidRDefault="007D17C5" w:rsidP="007D17C5">
      <w:pPr>
        <w:pStyle w:val="subsection"/>
      </w:pPr>
      <w:r w:rsidRPr="00143624">
        <w:rPr>
          <w:color w:val="000000"/>
        </w:rPr>
        <w:tab/>
        <w:t>(2)</w:t>
      </w:r>
      <w:r w:rsidRPr="00143624">
        <w:rPr>
          <w:color w:val="000000"/>
        </w:rPr>
        <w:tab/>
        <w:t>The discount rate is not to be adjusted for investment expenses or investment</w:t>
      </w:r>
      <w:r w:rsidR="00143624">
        <w:rPr>
          <w:color w:val="000000"/>
        </w:rPr>
        <w:noBreakHyphen/>
      </w:r>
      <w:r w:rsidRPr="00143624">
        <w:rPr>
          <w:color w:val="000000"/>
        </w:rPr>
        <w:t>related taxation or for any other reason.</w:t>
      </w:r>
    </w:p>
    <w:p w:rsidR="007D17C5" w:rsidRPr="00143624" w:rsidRDefault="007D17C5" w:rsidP="007D17C5">
      <w:pPr>
        <w:pStyle w:val="ActHead5"/>
      </w:pPr>
      <w:bookmarkStart w:id="217" w:name="_Toc64030473"/>
      <w:r w:rsidRPr="003F3E0B">
        <w:rPr>
          <w:rStyle w:val="CharSectno"/>
        </w:rPr>
        <w:t>3.3</w:t>
      </w:r>
      <w:r w:rsidRPr="00143624">
        <w:t xml:space="preserve">  Fund earning rate and crediting rate</w:t>
      </w:r>
      <w:bookmarkEnd w:id="217"/>
    </w:p>
    <w:p w:rsidR="007D17C5" w:rsidRPr="00143624" w:rsidRDefault="007D17C5" w:rsidP="007D17C5">
      <w:pPr>
        <w:pStyle w:val="subsection"/>
      </w:pPr>
      <w:r w:rsidRPr="00143624">
        <w:tab/>
        <w:t>(1)</w:t>
      </w:r>
      <w:r w:rsidRPr="00143624">
        <w:tab/>
        <w:t>If necessary, the fund earning rate to be assumed is 8% per year.</w:t>
      </w:r>
    </w:p>
    <w:p w:rsidR="007D17C5" w:rsidRPr="00143624" w:rsidRDefault="007D17C5" w:rsidP="007D17C5">
      <w:pPr>
        <w:pStyle w:val="subsection"/>
      </w:pPr>
      <w:r w:rsidRPr="00143624">
        <w:tab/>
        <w:t>(2)</w:t>
      </w:r>
      <w:r w:rsidRPr="00143624">
        <w:tab/>
        <w:t>If necessary, the assumed crediting rate is to be based on the assumed fund earning rate.</w:t>
      </w:r>
    </w:p>
    <w:p w:rsidR="007D17C5" w:rsidRPr="00143624" w:rsidRDefault="007D17C5" w:rsidP="007D17C5">
      <w:pPr>
        <w:pStyle w:val="ActHead5"/>
      </w:pPr>
      <w:bookmarkStart w:id="218" w:name="_Toc64030474"/>
      <w:r w:rsidRPr="003F3E0B">
        <w:rPr>
          <w:rStyle w:val="CharSectno"/>
        </w:rPr>
        <w:t>3.4</w:t>
      </w:r>
      <w:r w:rsidRPr="00143624">
        <w:t xml:space="preserve">  Rate of future salary or wages growth</w:t>
      </w:r>
      <w:bookmarkEnd w:id="218"/>
    </w:p>
    <w:p w:rsidR="007D17C5" w:rsidRPr="00143624" w:rsidRDefault="007D17C5" w:rsidP="007D17C5">
      <w:pPr>
        <w:pStyle w:val="subsection"/>
      </w:pPr>
      <w:r w:rsidRPr="00143624">
        <w:rPr>
          <w:color w:val="000000"/>
        </w:rPr>
        <w:tab/>
        <w:t>(1)</w:t>
      </w:r>
      <w:r w:rsidRPr="00143624">
        <w:rPr>
          <w:color w:val="000000"/>
        </w:rPr>
        <w:tab/>
        <w:t>The rate of salary or wages growth to be applied is 4.5% per year.</w:t>
      </w:r>
    </w:p>
    <w:p w:rsidR="007D17C5" w:rsidRPr="00143624" w:rsidRDefault="007D17C5" w:rsidP="007D17C5">
      <w:pPr>
        <w:pStyle w:val="subsection"/>
      </w:pPr>
      <w:r w:rsidRPr="00143624">
        <w:tab/>
        <w:t>(2)</w:t>
      </w:r>
      <w:r w:rsidRPr="00143624">
        <w:tab/>
        <w:t>This rate is to be used:</w:t>
      </w:r>
    </w:p>
    <w:p w:rsidR="007D17C5" w:rsidRPr="00143624" w:rsidRDefault="007D17C5" w:rsidP="007D17C5">
      <w:pPr>
        <w:pStyle w:val="paragraph"/>
      </w:pPr>
      <w:r w:rsidRPr="00143624">
        <w:rPr>
          <w:color w:val="000000"/>
        </w:rPr>
        <w:tab/>
        <w:t>(a)</w:t>
      </w:r>
      <w:r w:rsidRPr="00143624">
        <w:rPr>
          <w:color w:val="000000"/>
        </w:rPr>
        <w:tab/>
        <w:t>to project the value of future salary or wages; and</w:t>
      </w:r>
    </w:p>
    <w:p w:rsidR="007D17C5" w:rsidRPr="00143624" w:rsidRDefault="007D17C5" w:rsidP="007D17C5">
      <w:pPr>
        <w:pStyle w:val="paragraph"/>
      </w:pPr>
      <w:r w:rsidRPr="00143624">
        <w:tab/>
        <w:t>(b)</w:t>
      </w:r>
      <w:r w:rsidRPr="00143624">
        <w:tab/>
        <w:t>to project benefits that increase in accordance with a general wage index (for example, average weekly earnings).</w:t>
      </w:r>
    </w:p>
    <w:p w:rsidR="007D17C5" w:rsidRPr="00143624" w:rsidRDefault="007D17C5" w:rsidP="007D17C5">
      <w:pPr>
        <w:pStyle w:val="ActHead5"/>
      </w:pPr>
      <w:bookmarkStart w:id="219" w:name="_Toc64030475"/>
      <w:r w:rsidRPr="003F3E0B">
        <w:rPr>
          <w:rStyle w:val="CharSectno"/>
        </w:rPr>
        <w:t>3.5</w:t>
      </w:r>
      <w:r w:rsidRPr="00143624">
        <w:t xml:space="preserve">  Rate of increase in price indices</w:t>
      </w:r>
      <w:bookmarkEnd w:id="219"/>
    </w:p>
    <w:p w:rsidR="007D17C5" w:rsidRPr="00143624" w:rsidRDefault="007D17C5" w:rsidP="007D17C5">
      <w:pPr>
        <w:pStyle w:val="subsection"/>
      </w:pPr>
      <w:r w:rsidRPr="00143624">
        <w:rPr>
          <w:color w:val="000000"/>
        </w:rPr>
        <w:tab/>
      </w:r>
      <w:r w:rsidRPr="00143624">
        <w:rPr>
          <w:color w:val="000000"/>
        </w:rPr>
        <w:tab/>
        <w:t>If a benefit is linked to an increase in a price index (for example, the Consumer Price Index), the rate of increase in the price index to be applied is 2.5% per year.</w:t>
      </w:r>
    </w:p>
    <w:p w:rsidR="007D17C5" w:rsidRPr="00143624" w:rsidRDefault="007D17C5" w:rsidP="007D17C5">
      <w:pPr>
        <w:pStyle w:val="ActHead5"/>
      </w:pPr>
      <w:bookmarkStart w:id="220" w:name="_Toc64030476"/>
      <w:r w:rsidRPr="003F3E0B">
        <w:rPr>
          <w:rStyle w:val="CharSectno"/>
        </w:rPr>
        <w:t>3.6</w:t>
      </w:r>
      <w:r w:rsidRPr="00143624">
        <w:t xml:space="preserve">  New entrant age</w:t>
      </w:r>
      <w:bookmarkEnd w:id="220"/>
    </w:p>
    <w:p w:rsidR="007D17C5" w:rsidRPr="00143624" w:rsidRDefault="007D17C5" w:rsidP="007D17C5">
      <w:pPr>
        <w:pStyle w:val="subsection"/>
      </w:pPr>
      <w:r w:rsidRPr="00143624">
        <w:rPr>
          <w:color w:val="000000"/>
        </w:rPr>
        <w:tab/>
        <w:t>(1)</w:t>
      </w:r>
      <w:r w:rsidRPr="00143624">
        <w:rPr>
          <w:color w:val="000000"/>
        </w:rPr>
        <w:tab/>
        <w:t xml:space="preserve">The age of new entrants to be assumed is based on the average age of entry to the fund of the persons who were defined benefit members of the fund at </w:t>
      </w:r>
      <w:r w:rsidR="00F5399E" w:rsidRPr="00143624">
        <w:rPr>
          <w:color w:val="000000"/>
        </w:rPr>
        <w:t>1 July</w:t>
      </w:r>
      <w:r w:rsidRPr="00143624">
        <w:rPr>
          <w:color w:val="000000"/>
        </w:rPr>
        <w:t xml:space="preserve"> 2007.</w:t>
      </w:r>
    </w:p>
    <w:p w:rsidR="007D17C5" w:rsidRPr="00143624" w:rsidRDefault="007D17C5" w:rsidP="007D17C5">
      <w:pPr>
        <w:pStyle w:val="subsection"/>
        <w:rPr>
          <w:color w:val="000000"/>
        </w:rPr>
      </w:pPr>
      <w:r w:rsidRPr="00143624">
        <w:rPr>
          <w:color w:val="000000"/>
        </w:rPr>
        <w:tab/>
        <w:t>(2)</w:t>
      </w:r>
      <w:r w:rsidRPr="00143624">
        <w:rPr>
          <w:color w:val="000000"/>
        </w:rPr>
        <w:tab/>
        <w:t>The following table sets out the age of new entrants that is to be assumed.</w:t>
      </w:r>
    </w:p>
    <w:p w:rsidR="007D17C5" w:rsidRPr="00143624"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143624" w:rsidTr="009558BE">
        <w:trPr>
          <w:tblHeader/>
        </w:trPr>
        <w:tc>
          <w:tcPr>
            <w:tcW w:w="5000" w:type="pct"/>
            <w:gridSpan w:val="3"/>
            <w:tcBorders>
              <w:top w:val="single" w:sz="12" w:space="0" w:color="auto"/>
              <w:bottom w:val="single" w:sz="6" w:space="0" w:color="auto"/>
            </w:tcBorders>
            <w:shd w:val="clear" w:color="auto" w:fill="auto"/>
          </w:tcPr>
          <w:p w:rsidR="007D17C5" w:rsidRPr="00143624" w:rsidRDefault="007D17C5" w:rsidP="009558BE">
            <w:pPr>
              <w:pStyle w:val="TableHeading"/>
            </w:pPr>
            <w:r w:rsidRPr="00143624">
              <w:lastRenderedPageBreak/>
              <w:t>New entrant age</w:t>
            </w:r>
          </w:p>
        </w:tc>
      </w:tr>
      <w:tr w:rsidR="007D17C5" w:rsidRPr="00143624" w:rsidTr="009558BE">
        <w:trPr>
          <w:tblHeader/>
        </w:trPr>
        <w:tc>
          <w:tcPr>
            <w:tcW w:w="429"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2285"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 xml:space="preserve">Average age last birthday at commencement in fund of defined benefit members of the fund at </w:t>
            </w:r>
            <w:r w:rsidR="00F5399E" w:rsidRPr="00143624">
              <w:t>1 July</w:t>
            </w:r>
            <w:r w:rsidRPr="00143624">
              <w:t xml:space="preserve"> 2007</w:t>
            </w:r>
          </w:p>
        </w:tc>
        <w:tc>
          <w:tcPr>
            <w:tcW w:w="2286"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New entrant age to be assumed</w:t>
            </w:r>
          </w:p>
        </w:tc>
      </w:tr>
      <w:tr w:rsidR="007D17C5" w:rsidRPr="00143624" w:rsidTr="009558BE">
        <w:tc>
          <w:tcPr>
            <w:tcW w:w="429" w:type="pct"/>
            <w:tcBorders>
              <w:top w:val="single" w:sz="12" w:space="0" w:color="auto"/>
            </w:tcBorders>
            <w:shd w:val="clear" w:color="auto" w:fill="auto"/>
          </w:tcPr>
          <w:p w:rsidR="007D17C5" w:rsidRPr="00143624" w:rsidRDefault="007D17C5" w:rsidP="009558BE">
            <w:pPr>
              <w:pStyle w:val="Tabletext"/>
            </w:pPr>
            <w:r w:rsidRPr="00143624">
              <w:t>1</w:t>
            </w:r>
          </w:p>
        </w:tc>
        <w:tc>
          <w:tcPr>
            <w:tcW w:w="2285" w:type="pct"/>
            <w:tcBorders>
              <w:top w:val="single" w:sz="12" w:space="0" w:color="auto"/>
            </w:tcBorders>
            <w:shd w:val="clear" w:color="auto" w:fill="auto"/>
          </w:tcPr>
          <w:p w:rsidR="007D17C5" w:rsidRPr="00143624" w:rsidRDefault="007D17C5" w:rsidP="009558BE">
            <w:pPr>
              <w:pStyle w:val="Tabletext"/>
            </w:pPr>
            <w:r w:rsidRPr="00143624">
              <w:rPr>
                <w:color w:val="000000"/>
              </w:rPr>
              <w:t>&lt;30</w:t>
            </w:r>
          </w:p>
        </w:tc>
        <w:tc>
          <w:tcPr>
            <w:tcW w:w="2286" w:type="pct"/>
            <w:tcBorders>
              <w:top w:val="single" w:sz="12" w:space="0" w:color="auto"/>
            </w:tcBorders>
            <w:shd w:val="clear" w:color="auto" w:fill="auto"/>
          </w:tcPr>
          <w:p w:rsidR="007D17C5" w:rsidRPr="00143624" w:rsidRDefault="007D17C5" w:rsidP="009558BE">
            <w:pPr>
              <w:pStyle w:val="Tabletext"/>
            </w:pPr>
            <w:r w:rsidRPr="00143624">
              <w:rPr>
                <w:color w:val="000000"/>
              </w:rPr>
              <w:t>25</w:t>
            </w:r>
          </w:p>
        </w:tc>
      </w:tr>
      <w:tr w:rsidR="007D17C5" w:rsidRPr="00143624" w:rsidTr="009558BE">
        <w:tc>
          <w:tcPr>
            <w:tcW w:w="429" w:type="pct"/>
            <w:shd w:val="clear" w:color="auto" w:fill="auto"/>
          </w:tcPr>
          <w:p w:rsidR="007D17C5" w:rsidRPr="00143624" w:rsidRDefault="007D17C5" w:rsidP="009558BE">
            <w:pPr>
              <w:pStyle w:val="Tabletext"/>
            </w:pPr>
            <w:r w:rsidRPr="00143624">
              <w:t>2</w:t>
            </w:r>
          </w:p>
        </w:tc>
        <w:tc>
          <w:tcPr>
            <w:tcW w:w="2285" w:type="pct"/>
            <w:shd w:val="clear" w:color="auto" w:fill="auto"/>
          </w:tcPr>
          <w:p w:rsidR="007D17C5" w:rsidRPr="00143624" w:rsidRDefault="007D17C5" w:rsidP="009558BE">
            <w:pPr>
              <w:pStyle w:val="Tabletext"/>
            </w:pPr>
            <w:r w:rsidRPr="00143624">
              <w:rPr>
                <w:color w:val="000000"/>
              </w:rPr>
              <w:t>30</w:t>
            </w:r>
            <w:r w:rsidR="00143624">
              <w:rPr>
                <w:color w:val="000000"/>
              </w:rPr>
              <w:noBreakHyphen/>
            </w:r>
            <w:r w:rsidRPr="00143624">
              <w:rPr>
                <w:color w:val="000000"/>
              </w:rPr>
              <w:t>34</w:t>
            </w:r>
          </w:p>
        </w:tc>
        <w:tc>
          <w:tcPr>
            <w:tcW w:w="2286" w:type="pct"/>
            <w:shd w:val="clear" w:color="auto" w:fill="auto"/>
          </w:tcPr>
          <w:p w:rsidR="007D17C5" w:rsidRPr="00143624" w:rsidRDefault="007D17C5" w:rsidP="009558BE">
            <w:pPr>
              <w:pStyle w:val="Tabletext"/>
            </w:pPr>
            <w:r w:rsidRPr="00143624">
              <w:rPr>
                <w:color w:val="000000"/>
              </w:rPr>
              <w:t>30</w:t>
            </w:r>
          </w:p>
        </w:tc>
      </w:tr>
      <w:tr w:rsidR="007D17C5" w:rsidRPr="00143624" w:rsidTr="009558BE">
        <w:tc>
          <w:tcPr>
            <w:tcW w:w="429" w:type="pct"/>
            <w:shd w:val="clear" w:color="auto" w:fill="auto"/>
          </w:tcPr>
          <w:p w:rsidR="007D17C5" w:rsidRPr="00143624" w:rsidRDefault="007D17C5" w:rsidP="009558BE">
            <w:pPr>
              <w:pStyle w:val="Tabletext"/>
            </w:pPr>
            <w:r w:rsidRPr="00143624">
              <w:t>3</w:t>
            </w:r>
          </w:p>
        </w:tc>
        <w:tc>
          <w:tcPr>
            <w:tcW w:w="2285" w:type="pct"/>
            <w:shd w:val="clear" w:color="auto" w:fill="auto"/>
          </w:tcPr>
          <w:p w:rsidR="007D17C5" w:rsidRPr="00143624" w:rsidRDefault="007D17C5" w:rsidP="009558BE">
            <w:pPr>
              <w:pStyle w:val="Tabletext"/>
            </w:pPr>
            <w:r w:rsidRPr="00143624">
              <w:rPr>
                <w:color w:val="000000"/>
              </w:rPr>
              <w:t>35</w:t>
            </w:r>
            <w:r w:rsidR="00143624">
              <w:rPr>
                <w:color w:val="000000"/>
              </w:rPr>
              <w:noBreakHyphen/>
            </w:r>
            <w:r w:rsidRPr="00143624">
              <w:rPr>
                <w:color w:val="000000"/>
              </w:rPr>
              <w:t>39</w:t>
            </w:r>
          </w:p>
        </w:tc>
        <w:tc>
          <w:tcPr>
            <w:tcW w:w="2286" w:type="pct"/>
            <w:shd w:val="clear" w:color="auto" w:fill="auto"/>
          </w:tcPr>
          <w:p w:rsidR="007D17C5" w:rsidRPr="00143624" w:rsidRDefault="007D17C5" w:rsidP="009558BE">
            <w:pPr>
              <w:pStyle w:val="Tabletext"/>
            </w:pPr>
            <w:r w:rsidRPr="00143624">
              <w:rPr>
                <w:color w:val="000000"/>
              </w:rPr>
              <w:t>35</w:t>
            </w:r>
          </w:p>
        </w:tc>
      </w:tr>
      <w:tr w:rsidR="007D17C5" w:rsidRPr="00143624" w:rsidTr="009558BE">
        <w:tc>
          <w:tcPr>
            <w:tcW w:w="429" w:type="pct"/>
            <w:shd w:val="clear" w:color="auto" w:fill="auto"/>
          </w:tcPr>
          <w:p w:rsidR="007D17C5" w:rsidRPr="00143624" w:rsidRDefault="007D17C5" w:rsidP="009558BE">
            <w:pPr>
              <w:pStyle w:val="Tabletext"/>
            </w:pPr>
            <w:r w:rsidRPr="00143624">
              <w:t>4</w:t>
            </w:r>
          </w:p>
        </w:tc>
        <w:tc>
          <w:tcPr>
            <w:tcW w:w="2285" w:type="pct"/>
            <w:shd w:val="clear" w:color="auto" w:fill="auto"/>
          </w:tcPr>
          <w:p w:rsidR="007D17C5" w:rsidRPr="00143624" w:rsidRDefault="007D17C5" w:rsidP="009558BE">
            <w:pPr>
              <w:pStyle w:val="Tabletext"/>
            </w:pPr>
            <w:r w:rsidRPr="00143624">
              <w:rPr>
                <w:color w:val="000000"/>
              </w:rPr>
              <w:t>40</w:t>
            </w:r>
            <w:r w:rsidR="00143624">
              <w:rPr>
                <w:color w:val="000000"/>
              </w:rPr>
              <w:noBreakHyphen/>
            </w:r>
            <w:r w:rsidRPr="00143624">
              <w:rPr>
                <w:color w:val="000000"/>
              </w:rPr>
              <w:t>44</w:t>
            </w:r>
          </w:p>
        </w:tc>
        <w:tc>
          <w:tcPr>
            <w:tcW w:w="2286" w:type="pct"/>
            <w:shd w:val="clear" w:color="auto" w:fill="auto"/>
          </w:tcPr>
          <w:p w:rsidR="007D17C5" w:rsidRPr="00143624" w:rsidRDefault="007D17C5" w:rsidP="009558BE">
            <w:pPr>
              <w:pStyle w:val="Tabletext"/>
            </w:pPr>
            <w:r w:rsidRPr="00143624">
              <w:rPr>
                <w:color w:val="000000"/>
              </w:rPr>
              <w:t>40</w:t>
            </w:r>
          </w:p>
        </w:tc>
      </w:tr>
      <w:tr w:rsidR="007D17C5" w:rsidRPr="00143624" w:rsidTr="009558BE">
        <w:tc>
          <w:tcPr>
            <w:tcW w:w="429" w:type="pct"/>
            <w:tcBorders>
              <w:bottom w:val="single" w:sz="2" w:space="0" w:color="auto"/>
            </w:tcBorders>
            <w:shd w:val="clear" w:color="auto" w:fill="auto"/>
          </w:tcPr>
          <w:p w:rsidR="007D17C5" w:rsidRPr="00143624" w:rsidRDefault="007D17C5" w:rsidP="009558BE">
            <w:pPr>
              <w:pStyle w:val="Tabletext"/>
            </w:pPr>
            <w:r w:rsidRPr="00143624">
              <w:t>5</w:t>
            </w:r>
          </w:p>
        </w:tc>
        <w:tc>
          <w:tcPr>
            <w:tcW w:w="2285" w:type="pct"/>
            <w:tcBorders>
              <w:bottom w:val="single" w:sz="2" w:space="0" w:color="auto"/>
            </w:tcBorders>
            <w:shd w:val="clear" w:color="auto" w:fill="auto"/>
          </w:tcPr>
          <w:p w:rsidR="007D17C5" w:rsidRPr="00143624" w:rsidRDefault="007D17C5" w:rsidP="009558BE">
            <w:pPr>
              <w:pStyle w:val="Tabletext"/>
            </w:pPr>
            <w:r w:rsidRPr="00143624">
              <w:rPr>
                <w:color w:val="000000"/>
              </w:rPr>
              <w:t>45</w:t>
            </w:r>
            <w:r w:rsidR="00143624">
              <w:rPr>
                <w:color w:val="000000"/>
              </w:rPr>
              <w:noBreakHyphen/>
            </w:r>
            <w:r w:rsidRPr="00143624">
              <w:rPr>
                <w:color w:val="000000"/>
              </w:rPr>
              <w:t>49</w:t>
            </w:r>
          </w:p>
        </w:tc>
        <w:tc>
          <w:tcPr>
            <w:tcW w:w="2286" w:type="pct"/>
            <w:tcBorders>
              <w:bottom w:val="single" w:sz="2" w:space="0" w:color="auto"/>
            </w:tcBorders>
            <w:shd w:val="clear" w:color="auto" w:fill="auto"/>
          </w:tcPr>
          <w:p w:rsidR="007D17C5" w:rsidRPr="00143624" w:rsidRDefault="007D17C5" w:rsidP="009558BE">
            <w:pPr>
              <w:pStyle w:val="Tabletext"/>
            </w:pPr>
            <w:r w:rsidRPr="00143624">
              <w:rPr>
                <w:color w:val="000000"/>
              </w:rPr>
              <w:t>45</w:t>
            </w:r>
          </w:p>
        </w:tc>
      </w:tr>
      <w:tr w:rsidR="007D17C5" w:rsidRPr="00143624" w:rsidTr="009558BE">
        <w:tc>
          <w:tcPr>
            <w:tcW w:w="429"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t>6</w:t>
            </w:r>
          </w:p>
        </w:tc>
        <w:tc>
          <w:tcPr>
            <w:tcW w:w="2285"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50+</w:t>
            </w:r>
          </w:p>
        </w:tc>
        <w:tc>
          <w:tcPr>
            <w:tcW w:w="2286"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50</w:t>
            </w:r>
          </w:p>
        </w:tc>
      </w:tr>
    </w:tbl>
    <w:p w:rsidR="007D17C5" w:rsidRPr="00143624" w:rsidRDefault="007D17C5" w:rsidP="007D17C5">
      <w:pPr>
        <w:pStyle w:val="subsection"/>
      </w:pPr>
      <w:r w:rsidRPr="00143624">
        <w:tab/>
        <w:t>(3)</w:t>
      </w:r>
      <w:r w:rsidRPr="00143624">
        <w:tab/>
        <w:t>If:</w:t>
      </w:r>
    </w:p>
    <w:p w:rsidR="007D17C5" w:rsidRPr="00143624" w:rsidRDefault="007D17C5" w:rsidP="007D17C5">
      <w:pPr>
        <w:pStyle w:val="paragraph"/>
      </w:pPr>
      <w:r w:rsidRPr="00143624">
        <w:tab/>
        <w:t>(a)</w:t>
      </w:r>
      <w:r w:rsidRPr="00143624">
        <w:tab/>
        <w:t>there has been a transfer of defined benefit members from a predecessor fund into the fund, or a superannuation sub</w:t>
      </w:r>
      <w:r w:rsidR="00143624">
        <w:noBreakHyphen/>
      </w:r>
      <w:r w:rsidRPr="00143624">
        <w:t>fund of the fund; and</w:t>
      </w:r>
    </w:p>
    <w:p w:rsidR="007D17C5" w:rsidRPr="00143624" w:rsidRDefault="007D17C5" w:rsidP="007D17C5">
      <w:pPr>
        <w:pStyle w:val="paragraph"/>
      </w:pPr>
      <w:r w:rsidRPr="00143624">
        <w:tab/>
        <w:t>(b)</w:t>
      </w:r>
      <w:r w:rsidRPr="00143624">
        <w:tab/>
        <w:t>the actuary considers it reasonable to do so;</w:t>
      </w:r>
    </w:p>
    <w:p w:rsidR="007D17C5" w:rsidRPr="00143624" w:rsidRDefault="007D17C5" w:rsidP="007D17C5">
      <w:pPr>
        <w:pStyle w:val="subsection2"/>
      </w:pPr>
      <w:r w:rsidRPr="00143624">
        <w:t>the actuary may determine a new entrant age for the fund or superannuation sub</w:t>
      </w:r>
      <w:r w:rsidR="00143624">
        <w:noBreakHyphen/>
      </w:r>
      <w:r w:rsidRPr="00143624">
        <w:t>fund taking account of the average age of entry used for or relevant for those members in the predecessor fund.</w:t>
      </w:r>
    </w:p>
    <w:p w:rsidR="007D17C5" w:rsidRPr="00143624" w:rsidRDefault="007D17C5" w:rsidP="007D17C5">
      <w:pPr>
        <w:pStyle w:val="subsection"/>
      </w:pPr>
      <w:r w:rsidRPr="00143624">
        <w:tab/>
        <w:t>(4)</w:t>
      </w:r>
      <w:r w:rsidRPr="00143624">
        <w:tab/>
        <w:t>For the purposes of this clause, a defined benefit member does not include a person who:</w:t>
      </w:r>
    </w:p>
    <w:p w:rsidR="007D17C5" w:rsidRPr="00143624" w:rsidRDefault="007D17C5" w:rsidP="007D17C5">
      <w:pPr>
        <w:pStyle w:val="paragraph"/>
      </w:pPr>
      <w:r w:rsidRPr="00143624">
        <w:tab/>
        <w:t>(a)</w:t>
      </w:r>
      <w:r w:rsidRPr="00143624">
        <w:tab/>
        <w:t>is receiving only a pension benefit from the fund; or</w:t>
      </w:r>
    </w:p>
    <w:p w:rsidR="007D17C5" w:rsidRPr="00143624" w:rsidRDefault="007D17C5" w:rsidP="007D17C5">
      <w:pPr>
        <w:pStyle w:val="paragraph"/>
      </w:pPr>
      <w:r w:rsidRPr="00143624">
        <w:tab/>
        <w:t>(b)</w:t>
      </w:r>
      <w:r w:rsidRPr="00143624">
        <w:tab/>
        <w:t>has deferred the person’s benefit entitlement in the fund.</w:t>
      </w:r>
    </w:p>
    <w:p w:rsidR="007D17C5" w:rsidRPr="00143624" w:rsidRDefault="007D17C5" w:rsidP="007D17C5">
      <w:pPr>
        <w:pStyle w:val="subsection"/>
      </w:pPr>
      <w:r w:rsidRPr="00143624">
        <w:rPr>
          <w:color w:val="000000"/>
        </w:rPr>
        <w:tab/>
        <w:t>(5)</w:t>
      </w:r>
      <w:r w:rsidRPr="00143624">
        <w:rPr>
          <w:color w:val="000000"/>
        </w:rPr>
        <w:tab/>
        <w:t>If the actuary believes that there is insufficient information available to calculate the average age of entry, the actuary is to assume that the age of a new entrant is 40.</w:t>
      </w:r>
    </w:p>
    <w:p w:rsidR="007D17C5" w:rsidRPr="00143624" w:rsidRDefault="007D17C5" w:rsidP="007D17C5">
      <w:pPr>
        <w:pStyle w:val="ActHead5"/>
      </w:pPr>
      <w:bookmarkStart w:id="221" w:name="_Toc64030477"/>
      <w:r w:rsidRPr="003F3E0B">
        <w:rPr>
          <w:rStyle w:val="CharSectno"/>
        </w:rPr>
        <w:t>3.7</w:t>
      </w:r>
      <w:r w:rsidRPr="00143624">
        <w:t xml:space="preserve">  Exit rates</w:t>
      </w:r>
      <w:bookmarkEnd w:id="221"/>
    </w:p>
    <w:p w:rsidR="007D17C5" w:rsidRPr="00143624" w:rsidRDefault="007D17C5" w:rsidP="007D17C5">
      <w:pPr>
        <w:pStyle w:val="subsection"/>
        <w:rPr>
          <w:color w:val="000000"/>
        </w:rPr>
      </w:pPr>
      <w:r w:rsidRPr="00143624">
        <w:rPr>
          <w:color w:val="000000"/>
        </w:rPr>
        <w:tab/>
        <w:t>(1)</w:t>
      </w:r>
      <w:r w:rsidRPr="00143624">
        <w:rPr>
          <w:color w:val="000000"/>
        </w:rPr>
        <w:tab/>
        <w:t>The following table sets out the rates of voluntary exit from the fund that are to be assumed.</w:t>
      </w:r>
    </w:p>
    <w:p w:rsidR="007D17C5" w:rsidRPr="00143624"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143624" w:rsidTr="009558BE">
        <w:trPr>
          <w:tblHeader/>
        </w:trPr>
        <w:tc>
          <w:tcPr>
            <w:tcW w:w="5000" w:type="pct"/>
            <w:gridSpan w:val="3"/>
            <w:tcBorders>
              <w:top w:val="single" w:sz="12" w:space="0" w:color="auto"/>
              <w:bottom w:val="single" w:sz="6" w:space="0" w:color="auto"/>
            </w:tcBorders>
            <w:shd w:val="clear" w:color="auto" w:fill="auto"/>
          </w:tcPr>
          <w:p w:rsidR="007D17C5" w:rsidRPr="00143624" w:rsidRDefault="007D17C5" w:rsidP="009558BE">
            <w:pPr>
              <w:pStyle w:val="TableHeading"/>
            </w:pPr>
            <w:r w:rsidRPr="00143624">
              <w:rPr>
                <w:color w:val="000000"/>
              </w:rPr>
              <w:t>Voluntary exit rates</w:t>
            </w:r>
          </w:p>
        </w:tc>
      </w:tr>
      <w:tr w:rsidR="007D17C5" w:rsidRPr="00143624" w:rsidTr="009558BE">
        <w:trPr>
          <w:tblHeader/>
        </w:trPr>
        <w:tc>
          <w:tcPr>
            <w:tcW w:w="429"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2285"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Age band</w:t>
            </w:r>
          </w:p>
        </w:tc>
        <w:tc>
          <w:tcPr>
            <w:tcW w:w="2286"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Exit rate</w:t>
            </w:r>
          </w:p>
        </w:tc>
      </w:tr>
      <w:tr w:rsidR="007D17C5" w:rsidRPr="00143624" w:rsidTr="009558BE">
        <w:tc>
          <w:tcPr>
            <w:tcW w:w="429" w:type="pct"/>
            <w:tcBorders>
              <w:top w:val="single" w:sz="12" w:space="0" w:color="auto"/>
            </w:tcBorders>
            <w:shd w:val="clear" w:color="auto" w:fill="auto"/>
          </w:tcPr>
          <w:p w:rsidR="007D17C5" w:rsidRPr="00143624" w:rsidRDefault="007D17C5" w:rsidP="009558BE">
            <w:pPr>
              <w:pStyle w:val="Tabletext"/>
            </w:pPr>
            <w:r w:rsidRPr="00143624">
              <w:t>1</w:t>
            </w:r>
          </w:p>
        </w:tc>
        <w:tc>
          <w:tcPr>
            <w:tcW w:w="2285" w:type="pct"/>
            <w:tcBorders>
              <w:top w:val="single" w:sz="12" w:space="0" w:color="auto"/>
            </w:tcBorders>
            <w:shd w:val="clear" w:color="auto" w:fill="auto"/>
          </w:tcPr>
          <w:p w:rsidR="007D17C5" w:rsidRPr="00143624" w:rsidRDefault="007D17C5" w:rsidP="009558BE">
            <w:pPr>
              <w:pStyle w:val="Tabletext"/>
            </w:pPr>
            <w:r w:rsidRPr="00143624">
              <w:rPr>
                <w:color w:val="000000"/>
              </w:rPr>
              <w:t>&lt;40</w:t>
            </w:r>
          </w:p>
        </w:tc>
        <w:tc>
          <w:tcPr>
            <w:tcW w:w="2286" w:type="pct"/>
            <w:tcBorders>
              <w:top w:val="single" w:sz="12" w:space="0" w:color="auto"/>
            </w:tcBorders>
            <w:shd w:val="clear" w:color="auto" w:fill="auto"/>
          </w:tcPr>
          <w:p w:rsidR="007D17C5" w:rsidRPr="00143624" w:rsidRDefault="007D17C5" w:rsidP="009558BE">
            <w:pPr>
              <w:pStyle w:val="Tabletext"/>
            </w:pPr>
            <w:r w:rsidRPr="00143624">
              <w:rPr>
                <w:color w:val="000000"/>
              </w:rPr>
              <w:t>0.05</w:t>
            </w:r>
          </w:p>
        </w:tc>
      </w:tr>
      <w:tr w:rsidR="007D17C5" w:rsidRPr="00143624" w:rsidTr="009558BE">
        <w:tc>
          <w:tcPr>
            <w:tcW w:w="429" w:type="pct"/>
            <w:shd w:val="clear" w:color="auto" w:fill="auto"/>
          </w:tcPr>
          <w:p w:rsidR="007D17C5" w:rsidRPr="00143624" w:rsidRDefault="007D17C5" w:rsidP="009558BE">
            <w:pPr>
              <w:pStyle w:val="Tabletext"/>
            </w:pPr>
            <w:r w:rsidRPr="00143624">
              <w:t>2</w:t>
            </w:r>
          </w:p>
        </w:tc>
        <w:tc>
          <w:tcPr>
            <w:tcW w:w="2285" w:type="pct"/>
            <w:shd w:val="clear" w:color="auto" w:fill="auto"/>
          </w:tcPr>
          <w:p w:rsidR="007D17C5" w:rsidRPr="00143624" w:rsidRDefault="007D17C5" w:rsidP="009558BE">
            <w:pPr>
              <w:pStyle w:val="Tabletext"/>
            </w:pPr>
            <w:r w:rsidRPr="00143624">
              <w:rPr>
                <w:color w:val="000000"/>
              </w:rPr>
              <w:t>40</w:t>
            </w:r>
            <w:r w:rsidR="00143624">
              <w:rPr>
                <w:color w:val="000000"/>
              </w:rPr>
              <w:noBreakHyphen/>
            </w:r>
            <w:r w:rsidRPr="00143624">
              <w:rPr>
                <w:color w:val="000000"/>
              </w:rPr>
              <w:t>44</w:t>
            </w:r>
          </w:p>
        </w:tc>
        <w:tc>
          <w:tcPr>
            <w:tcW w:w="2286" w:type="pct"/>
            <w:shd w:val="clear" w:color="auto" w:fill="auto"/>
          </w:tcPr>
          <w:p w:rsidR="007D17C5" w:rsidRPr="00143624" w:rsidRDefault="007D17C5" w:rsidP="009558BE">
            <w:pPr>
              <w:pStyle w:val="Tabletext"/>
            </w:pPr>
            <w:r w:rsidRPr="00143624">
              <w:rPr>
                <w:color w:val="000000"/>
              </w:rPr>
              <w:t>0.04</w:t>
            </w:r>
          </w:p>
        </w:tc>
      </w:tr>
      <w:tr w:rsidR="007D17C5" w:rsidRPr="00143624" w:rsidTr="009558BE">
        <w:tc>
          <w:tcPr>
            <w:tcW w:w="429" w:type="pct"/>
            <w:shd w:val="clear" w:color="auto" w:fill="auto"/>
          </w:tcPr>
          <w:p w:rsidR="007D17C5" w:rsidRPr="00143624" w:rsidRDefault="007D17C5" w:rsidP="009558BE">
            <w:pPr>
              <w:pStyle w:val="Tabletext"/>
            </w:pPr>
            <w:r w:rsidRPr="00143624">
              <w:t>3</w:t>
            </w:r>
          </w:p>
        </w:tc>
        <w:tc>
          <w:tcPr>
            <w:tcW w:w="2285" w:type="pct"/>
            <w:shd w:val="clear" w:color="auto" w:fill="auto"/>
          </w:tcPr>
          <w:p w:rsidR="007D17C5" w:rsidRPr="00143624" w:rsidRDefault="007D17C5" w:rsidP="009558BE">
            <w:pPr>
              <w:pStyle w:val="Tabletext"/>
            </w:pPr>
            <w:r w:rsidRPr="00143624">
              <w:rPr>
                <w:color w:val="000000"/>
              </w:rPr>
              <w:t>45</w:t>
            </w:r>
            <w:r w:rsidR="00143624">
              <w:rPr>
                <w:color w:val="000000"/>
              </w:rPr>
              <w:noBreakHyphen/>
            </w:r>
            <w:r w:rsidRPr="00143624">
              <w:rPr>
                <w:color w:val="000000"/>
              </w:rPr>
              <w:t>49</w:t>
            </w:r>
          </w:p>
        </w:tc>
        <w:tc>
          <w:tcPr>
            <w:tcW w:w="2286" w:type="pct"/>
            <w:shd w:val="clear" w:color="auto" w:fill="auto"/>
          </w:tcPr>
          <w:p w:rsidR="007D17C5" w:rsidRPr="00143624" w:rsidRDefault="007D17C5" w:rsidP="009558BE">
            <w:pPr>
              <w:pStyle w:val="Tabletext"/>
            </w:pPr>
            <w:r w:rsidRPr="00143624">
              <w:rPr>
                <w:color w:val="000000"/>
              </w:rPr>
              <w:t>0.04</w:t>
            </w:r>
          </w:p>
        </w:tc>
      </w:tr>
      <w:tr w:rsidR="007D17C5" w:rsidRPr="00143624" w:rsidTr="009558BE">
        <w:tc>
          <w:tcPr>
            <w:tcW w:w="429" w:type="pct"/>
            <w:shd w:val="clear" w:color="auto" w:fill="auto"/>
          </w:tcPr>
          <w:p w:rsidR="007D17C5" w:rsidRPr="00143624" w:rsidRDefault="007D17C5" w:rsidP="009558BE">
            <w:pPr>
              <w:pStyle w:val="Tabletext"/>
            </w:pPr>
            <w:r w:rsidRPr="00143624">
              <w:t>4</w:t>
            </w:r>
          </w:p>
        </w:tc>
        <w:tc>
          <w:tcPr>
            <w:tcW w:w="2285" w:type="pct"/>
            <w:shd w:val="clear" w:color="auto" w:fill="auto"/>
          </w:tcPr>
          <w:p w:rsidR="007D17C5" w:rsidRPr="00143624" w:rsidRDefault="007D17C5" w:rsidP="009558BE">
            <w:pPr>
              <w:pStyle w:val="Tabletext"/>
            </w:pPr>
            <w:r w:rsidRPr="00143624">
              <w:rPr>
                <w:color w:val="000000"/>
              </w:rPr>
              <w:t>50</w:t>
            </w:r>
            <w:r w:rsidR="00143624">
              <w:rPr>
                <w:color w:val="000000"/>
              </w:rPr>
              <w:noBreakHyphen/>
            </w:r>
            <w:r w:rsidRPr="00143624">
              <w:rPr>
                <w:color w:val="000000"/>
              </w:rPr>
              <w:t>54</w:t>
            </w:r>
          </w:p>
        </w:tc>
        <w:tc>
          <w:tcPr>
            <w:tcW w:w="2286" w:type="pct"/>
            <w:shd w:val="clear" w:color="auto" w:fill="auto"/>
          </w:tcPr>
          <w:p w:rsidR="007D17C5" w:rsidRPr="00143624" w:rsidRDefault="007D17C5" w:rsidP="009558BE">
            <w:pPr>
              <w:pStyle w:val="Tabletext"/>
            </w:pPr>
            <w:r w:rsidRPr="00143624">
              <w:rPr>
                <w:color w:val="000000"/>
              </w:rPr>
              <w:t>0.04</w:t>
            </w:r>
          </w:p>
        </w:tc>
      </w:tr>
      <w:tr w:rsidR="007D17C5" w:rsidRPr="00143624" w:rsidTr="009558BE">
        <w:tc>
          <w:tcPr>
            <w:tcW w:w="429" w:type="pct"/>
            <w:shd w:val="clear" w:color="auto" w:fill="auto"/>
          </w:tcPr>
          <w:p w:rsidR="007D17C5" w:rsidRPr="00143624" w:rsidRDefault="007D17C5" w:rsidP="009558BE">
            <w:pPr>
              <w:pStyle w:val="Tabletext"/>
            </w:pPr>
            <w:r w:rsidRPr="00143624">
              <w:t>5</w:t>
            </w:r>
          </w:p>
        </w:tc>
        <w:tc>
          <w:tcPr>
            <w:tcW w:w="2285" w:type="pct"/>
            <w:shd w:val="clear" w:color="auto" w:fill="auto"/>
          </w:tcPr>
          <w:p w:rsidR="007D17C5" w:rsidRPr="00143624" w:rsidRDefault="007D17C5" w:rsidP="009558BE">
            <w:pPr>
              <w:pStyle w:val="Tabletext"/>
            </w:pPr>
            <w:r w:rsidRPr="00143624">
              <w:rPr>
                <w:color w:val="000000"/>
              </w:rPr>
              <w:t>55</w:t>
            </w:r>
            <w:r w:rsidR="00143624">
              <w:rPr>
                <w:color w:val="000000"/>
              </w:rPr>
              <w:noBreakHyphen/>
            </w:r>
            <w:r w:rsidRPr="00143624">
              <w:rPr>
                <w:color w:val="000000"/>
              </w:rPr>
              <w:t>59</w:t>
            </w:r>
          </w:p>
        </w:tc>
        <w:tc>
          <w:tcPr>
            <w:tcW w:w="2286" w:type="pct"/>
            <w:shd w:val="clear" w:color="auto" w:fill="auto"/>
          </w:tcPr>
          <w:p w:rsidR="007D17C5" w:rsidRPr="00143624" w:rsidRDefault="007D17C5" w:rsidP="009558BE">
            <w:pPr>
              <w:pStyle w:val="Tabletext"/>
            </w:pPr>
            <w:r w:rsidRPr="00143624">
              <w:rPr>
                <w:color w:val="000000"/>
              </w:rPr>
              <w:t>0.08</w:t>
            </w:r>
          </w:p>
        </w:tc>
      </w:tr>
      <w:tr w:rsidR="007D17C5" w:rsidRPr="00143624" w:rsidTr="009558BE">
        <w:tc>
          <w:tcPr>
            <w:tcW w:w="429" w:type="pct"/>
            <w:shd w:val="clear" w:color="auto" w:fill="auto"/>
          </w:tcPr>
          <w:p w:rsidR="007D17C5" w:rsidRPr="00143624" w:rsidRDefault="007D17C5" w:rsidP="009558BE">
            <w:pPr>
              <w:pStyle w:val="Tabletext"/>
            </w:pPr>
            <w:r w:rsidRPr="00143624">
              <w:t>6</w:t>
            </w:r>
          </w:p>
        </w:tc>
        <w:tc>
          <w:tcPr>
            <w:tcW w:w="2285" w:type="pct"/>
            <w:shd w:val="clear" w:color="auto" w:fill="auto"/>
          </w:tcPr>
          <w:p w:rsidR="007D17C5" w:rsidRPr="00143624" w:rsidRDefault="007D17C5" w:rsidP="009558BE">
            <w:pPr>
              <w:pStyle w:val="Tabletext"/>
            </w:pPr>
            <w:r w:rsidRPr="00143624">
              <w:rPr>
                <w:color w:val="000000"/>
              </w:rPr>
              <w:t>60</w:t>
            </w:r>
          </w:p>
        </w:tc>
        <w:tc>
          <w:tcPr>
            <w:tcW w:w="2286" w:type="pct"/>
            <w:shd w:val="clear" w:color="auto" w:fill="auto"/>
          </w:tcPr>
          <w:p w:rsidR="007D17C5" w:rsidRPr="00143624" w:rsidRDefault="007D17C5" w:rsidP="009558BE">
            <w:pPr>
              <w:pStyle w:val="Tabletext"/>
            </w:pPr>
            <w:r w:rsidRPr="00143624">
              <w:rPr>
                <w:color w:val="000000"/>
              </w:rPr>
              <w:t>0.12</w:t>
            </w:r>
          </w:p>
        </w:tc>
      </w:tr>
      <w:tr w:rsidR="007D17C5" w:rsidRPr="00143624" w:rsidTr="009558BE">
        <w:tc>
          <w:tcPr>
            <w:tcW w:w="429" w:type="pct"/>
            <w:tcBorders>
              <w:bottom w:val="single" w:sz="2" w:space="0" w:color="auto"/>
            </w:tcBorders>
            <w:shd w:val="clear" w:color="auto" w:fill="auto"/>
          </w:tcPr>
          <w:p w:rsidR="007D17C5" w:rsidRPr="00143624" w:rsidRDefault="007D17C5" w:rsidP="009558BE">
            <w:pPr>
              <w:pStyle w:val="Tabletext"/>
            </w:pPr>
            <w:r w:rsidRPr="00143624">
              <w:t>7</w:t>
            </w:r>
          </w:p>
        </w:tc>
        <w:tc>
          <w:tcPr>
            <w:tcW w:w="2285" w:type="pct"/>
            <w:tcBorders>
              <w:bottom w:val="single" w:sz="2" w:space="0" w:color="auto"/>
            </w:tcBorders>
            <w:shd w:val="clear" w:color="auto" w:fill="auto"/>
          </w:tcPr>
          <w:p w:rsidR="007D17C5" w:rsidRPr="00143624" w:rsidRDefault="007D17C5" w:rsidP="009558BE">
            <w:pPr>
              <w:pStyle w:val="Tabletext"/>
            </w:pPr>
            <w:r w:rsidRPr="00143624">
              <w:rPr>
                <w:color w:val="000000"/>
              </w:rPr>
              <w:t>61</w:t>
            </w:r>
            <w:r w:rsidR="00143624">
              <w:rPr>
                <w:color w:val="000000"/>
              </w:rPr>
              <w:noBreakHyphen/>
            </w:r>
            <w:r w:rsidRPr="00143624">
              <w:rPr>
                <w:color w:val="000000"/>
              </w:rPr>
              <w:t>64</w:t>
            </w:r>
          </w:p>
        </w:tc>
        <w:tc>
          <w:tcPr>
            <w:tcW w:w="2286" w:type="pct"/>
            <w:tcBorders>
              <w:bottom w:val="single" w:sz="2" w:space="0" w:color="auto"/>
            </w:tcBorders>
            <w:shd w:val="clear" w:color="auto" w:fill="auto"/>
          </w:tcPr>
          <w:p w:rsidR="007D17C5" w:rsidRPr="00143624" w:rsidRDefault="007D17C5" w:rsidP="009558BE">
            <w:pPr>
              <w:pStyle w:val="Tabletext"/>
            </w:pPr>
            <w:r w:rsidRPr="00143624">
              <w:rPr>
                <w:color w:val="000000"/>
              </w:rPr>
              <w:t>0.10</w:t>
            </w:r>
          </w:p>
        </w:tc>
      </w:tr>
      <w:tr w:rsidR="007D17C5" w:rsidRPr="00143624" w:rsidTr="009558BE">
        <w:tc>
          <w:tcPr>
            <w:tcW w:w="429"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t>8</w:t>
            </w:r>
          </w:p>
        </w:tc>
        <w:tc>
          <w:tcPr>
            <w:tcW w:w="2285"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65</w:t>
            </w:r>
          </w:p>
        </w:tc>
        <w:tc>
          <w:tcPr>
            <w:tcW w:w="2286"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1.00</w:t>
            </w:r>
          </w:p>
        </w:tc>
      </w:tr>
    </w:tbl>
    <w:p w:rsidR="007D17C5" w:rsidRPr="00143624" w:rsidRDefault="007D17C5" w:rsidP="007D17C5">
      <w:pPr>
        <w:pStyle w:val="subsection"/>
      </w:pPr>
      <w:r w:rsidRPr="00143624">
        <w:rPr>
          <w:color w:val="000000"/>
        </w:rPr>
        <w:tab/>
        <w:t>(2)</w:t>
      </w:r>
      <w:r w:rsidRPr="00143624">
        <w:rPr>
          <w:color w:val="000000"/>
        </w:rPr>
        <w:tab/>
        <w:t>The rate of involuntary exit (including by redundancy, death or invalidity) to be assumed is zero.</w:t>
      </w:r>
    </w:p>
    <w:p w:rsidR="007D17C5" w:rsidRPr="00143624" w:rsidRDefault="007D17C5" w:rsidP="007D17C5">
      <w:pPr>
        <w:pStyle w:val="ActHead5"/>
      </w:pPr>
      <w:bookmarkStart w:id="222" w:name="_Toc64030478"/>
      <w:r w:rsidRPr="003F3E0B">
        <w:rPr>
          <w:rStyle w:val="CharSectno"/>
        </w:rPr>
        <w:lastRenderedPageBreak/>
        <w:t>3.8</w:t>
      </w:r>
      <w:r w:rsidRPr="00143624">
        <w:t xml:space="preserve">  Pensions</w:t>
      </w:r>
      <w:bookmarkEnd w:id="222"/>
    </w:p>
    <w:p w:rsidR="007D17C5" w:rsidRPr="00143624" w:rsidRDefault="007D17C5" w:rsidP="007D17C5">
      <w:pPr>
        <w:pStyle w:val="subsection"/>
      </w:pPr>
      <w:r w:rsidRPr="00143624">
        <w:rPr>
          <w:color w:val="000000"/>
        </w:rPr>
        <w:tab/>
        <w:t>(1)</w:t>
      </w:r>
      <w:r w:rsidRPr="00143624">
        <w:rPr>
          <w:color w:val="000000"/>
        </w:rPr>
        <w:tab/>
        <w:t>If the fund benefit is a single life pension, the pension is to be valued using the assumptions set out in this Part.</w:t>
      </w:r>
    </w:p>
    <w:p w:rsidR="007D17C5" w:rsidRPr="00143624" w:rsidRDefault="007D17C5" w:rsidP="007D17C5">
      <w:pPr>
        <w:pStyle w:val="subsection"/>
      </w:pPr>
      <w:r w:rsidRPr="00143624">
        <w:rPr>
          <w:color w:val="000000"/>
        </w:rPr>
        <w:tab/>
        <w:t>(2)</w:t>
      </w:r>
      <w:r w:rsidRPr="00143624">
        <w:rPr>
          <w:color w:val="000000"/>
        </w:rPr>
        <w:tab/>
        <w:t>If the fund benefit is a reversionary pension, the value of the pension is to be taken as the value of the pension assuming it is a single life pension, increased by 10%.</w:t>
      </w:r>
    </w:p>
    <w:p w:rsidR="007D17C5" w:rsidRPr="00143624" w:rsidRDefault="007D17C5" w:rsidP="007D17C5">
      <w:pPr>
        <w:pStyle w:val="ActHead5"/>
      </w:pPr>
      <w:bookmarkStart w:id="223" w:name="_Toc64030479"/>
      <w:r w:rsidRPr="003F3E0B">
        <w:rPr>
          <w:rStyle w:val="CharSectno"/>
        </w:rPr>
        <w:t>3.9</w:t>
      </w:r>
      <w:r w:rsidRPr="00143624">
        <w:t xml:space="preserve">  Mortality of pensioners</w:t>
      </w:r>
      <w:bookmarkEnd w:id="223"/>
    </w:p>
    <w:p w:rsidR="007D17C5" w:rsidRPr="00143624" w:rsidRDefault="007D17C5" w:rsidP="007D17C5">
      <w:pPr>
        <w:pStyle w:val="subsection"/>
        <w:rPr>
          <w:color w:val="000000"/>
        </w:rPr>
      </w:pPr>
      <w:r w:rsidRPr="00143624">
        <w:rPr>
          <w:color w:val="000000"/>
        </w:rPr>
        <w:tab/>
      </w:r>
      <w:r w:rsidRPr="00143624">
        <w:rPr>
          <w:color w:val="000000"/>
        </w:rPr>
        <w:tab/>
      </w:r>
      <w:r w:rsidRPr="00143624">
        <w:t>The following table sets out the rates of pensioner mortality (</w:t>
      </w:r>
      <w:r w:rsidRPr="00143624">
        <w:rPr>
          <w:b/>
          <w:i/>
        </w:rPr>
        <w:t>qx</w:t>
      </w:r>
      <w:r w:rsidRPr="00143624">
        <w:t>) that are to be assumed.</w:t>
      </w:r>
    </w:p>
    <w:p w:rsidR="007D17C5" w:rsidRPr="00143624"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143624" w:rsidTr="009558BE">
        <w:trPr>
          <w:tblHeader/>
        </w:trPr>
        <w:tc>
          <w:tcPr>
            <w:tcW w:w="5000" w:type="pct"/>
            <w:gridSpan w:val="3"/>
            <w:tcBorders>
              <w:top w:val="single" w:sz="12" w:space="0" w:color="auto"/>
              <w:bottom w:val="single" w:sz="6" w:space="0" w:color="auto"/>
            </w:tcBorders>
            <w:shd w:val="clear" w:color="auto" w:fill="auto"/>
          </w:tcPr>
          <w:p w:rsidR="007D17C5" w:rsidRPr="00143624" w:rsidRDefault="007D17C5" w:rsidP="009558BE">
            <w:pPr>
              <w:pStyle w:val="TableHeading"/>
            </w:pPr>
            <w:r w:rsidRPr="00143624">
              <w:t>Pensioner mortality (</w:t>
            </w:r>
            <w:r w:rsidRPr="00143624">
              <w:rPr>
                <w:i/>
              </w:rPr>
              <w:t>qx</w:t>
            </w:r>
            <w:r w:rsidRPr="00143624">
              <w:t>) rates</w:t>
            </w:r>
          </w:p>
        </w:tc>
      </w:tr>
      <w:tr w:rsidR="007D17C5" w:rsidRPr="00143624" w:rsidTr="009558BE">
        <w:trPr>
          <w:tblHeader/>
        </w:trPr>
        <w:tc>
          <w:tcPr>
            <w:tcW w:w="429"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2285" w:type="pct"/>
            <w:tcBorders>
              <w:top w:val="single" w:sz="6" w:space="0" w:color="auto"/>
              <w:bottom w:val="single" w:sz="12" w:space="0" w:color="auto"/>
            </w:tcBorders>
            <w:shd w:val="clear" w:color="auto" w:fill="auto"/>
          </w:tcPr>
          <w:p w:rsidR="007D17C5" w:rsidRPr="00143624" w:rsidRDefault="007D17C5" w:rsidP="009558BE">
            <w:pPr>
              <w:pStyle w:val="TableHeading"/>
              <w:keepNext w:val="0"/>
            </w:pPr>
            <w:r w:rsidRPr="00143624">
              <w:t>Age</w:t>
            </w:r>
          </w:p>
        </w:tc>
        <w:tc>
          <w:tcPr>
            <w:tcW w:w="2286" w:type="pct"/>
            <w:tcBorders>
              <w:top w:val="single" w:sz="6" w:space="0" w:color="auto"/>
              <w:bottom w:val="single" w:sz="12" w:space="0" w:color="auto"/>
            </w:tcBorders>
            <w:shd w:val="clear" w:color="auto" w:fill="auto"/>
          </w:tcPr>
          <w:p w:rsidR="007D17C5" w:rsidRPr="00143624" w:rsidRDefault="007D17C5" w:rsidP="009558BE">
            <w:pPr>
              <w:pStyle w:val="TableHeading"/>
              <w:keepNext w:val="0"/>
            </w:pPr>
            <w:r w:rsidRPr="00143624">
              <w:t>qx</w:t>
            </w:r>
          </w:p>
        </w:tc>
      </w:tr>
      <w:tr w:rsidR="007D17C5" w:rsidRPr="00143624" w:rsidTr="009558BE">
        <w:tc>
          <w:tcPr>
            <w:tcW w:w="429" w:type="pct"/>
            <w:tcBorders>
              <w:top w:val="single" w:sz="12" w:space="0" w:color="auto"/>
            </w:tcBorders>
            <w:shd w:val="clear" w:color="auto" w:fill="auto"/>
          </w:tcPr>
          <w:p w:rsidR="007D17C5" w:rsidRPr="00143624" w:rsidRDefault="007D17C5" w:rsidP="009558BE">
            <w:pPr>
              <w:pStyle w:val="Tabletext"/>
            </w:pPr>
            <w:r w:rsidRPr="00143624">
              <w:t>1</w:t>
            </w:r>
          </w:p>
        </w:tc>
        <w:tc>
          <w:tcPr>
            <w:tcW w:w="2285" w:type="pct"/>
            <w:tcBorders>
              <w:top w:val="single" w:sz="12" w:space="0" w:color="auto"/>
            </w:tcBorders>
            <w:shd w:val="clear" w:color="auto" w:fill="auto"/>
          </w:tcPr>
          <w:p w:rsidR="007D17C5" w:rsidRPr="00143624" w:rsidRDefault="007D17C5" w:rsidP="009558BE">
            <w:pPr>
              <w:pStyle w:val="Tabletext"/>
            </w:pPr>
            <w:r w:rsidRPr="00143624">
              <w:rPr>
                <w:color w:val="000000"/>
              </w:rPr>
              <w:t>35</w:t>
            </w:r>
            <w:r w:rsidR="00143624">
              <w:rPr>
                <w:color w:val="000000"/>
              </w:rPr>
              <w:noBreakHyphen/>
            </w:r>
            <w:r w:rsidRPr="00143624">
              <w:rPr>
                <w:color w:val="000000"/>
              </w:rPr>
              <w:t>49</w:t>
            </w:r>
          </w:p>
        </w:tc>
        <w:tc>
          <w:tcPr>
            <w:tcW w:w="2286" w:type="pct"/>
            <w:tcBorders>
              <w:top w:val="single" w:sz="12" w:space="0" w:color="auto"/>
            </w:tcBorders>
            <w:shd w:val="clear" w:color="auto" w:fill="auto"/>
          </w:tcPr>
          <w:p w:rsidR="007D17C5" w:rsidRPr="00143624" w:rsidRDefault="007D17C5" w:rsidP="009558BE">
            <w:pPr>
              <w:pStyle w:val="Tabletext"/>
            </w:pPr>
            <w:r w:rsidRPr="00143624">
              <w:rPr>
                <w:color w:val="000000"/>
              </w:rPr>
              <w:t>0.003</w:t>
            </w:r>
          </w:p>
        </w:tc>
      </w:tr>
      <w:tr w:rsidR="007D17C5" w:rsidRPr="00143624" w:rsidTr="009558BE">
        <w:tc>
          <w:tcPr>
            <w:tcW w:w="429" w:type="pct"/>
            <w:shd w:val="clear" w:color="auto" w:fill="auto"/>
          </w:tcPr>
          <w:p w:rsidR="007D17C5" w:rsidRPr="00143624" w:rsidRDefault="007D17C5" w:rsidP="009558BE">
            <w:pPr>
              <w:pStyle w:val="Tabletext"/>
            </w:pPr>
            <w:r w:rsidRPr="00143624">
              <w:t>2</w:t>
            </w:r>
          </w:p>
        </w:tc>
        <w:tc>
          <w:tcPr>
            <w:tcW w:w="2285" w:type="pct"/>
            <w:shd w:val="clear" w:color="auto" w:fill="auto"/>
          </w:tcPr>
          <w:p w:rsidR="007D17C5" w:rsidRPr="00143624" w:rsidRDefault="007D17C5" w:rsidP="009558BE">
            <w:pPr>
              <w:pStyle w:val="Tabletext"/>
            </w:pPr>
            <w:r w:rsidRPr="00143624">
              <w:rPr>
                <w:color w:val="000000"/>
              </w:rPr>
              <w:t>50</w:t>
            </w:r>
            <w:r w:rsidR="00143624">
              <w:rPr>
                <w:color w:val="000000"/>
              </w:rPr>
              <w:noBreakHyphen/>
            </w:r>
            <w:r w:rsidRPr="00143624">
              <w:rPr>
                <w:color w:val="000000"/>
              </w:rPr>
              <w:t>54</w:t>
            </w:r>
          </w:p>
        </w:tc>
        <w:tc>
          <w:tcPr>
            <w:tcW w:w="2286" w:type="pct"/>
            <w:shd w:val="clear" w:color="auto" w:fill="auto"/>
          </w:tcPr>
          <w:p w:rsidR="007D17C5" w:rsidRPr="00143624" w:rsidRDefault="007D17C5" w:rsidP="009558BE">
            <w:pPr>
              <w:pStyle w:val="Tabletext"/>
            </w:pPr>
            <w:r w:rsidRPr="00143624">
              <w:rPr>
                <w:color w:val="000000"/>
              </w:rPr>
              <w:t>0.004</w:t>
            </w:r>
          </w:p>
        </w:tc>
      </w:tr>
      <w:tr w:rsidR="007D17C5" w:rsidRPr="00143624" w:rsidTr="009558BE">
        <w:tc>
          <w:tcPr>
            <w:tcW w:w="429" w:type="pct"/>
            <w:shd w:val="clear" w:color="auto" w:fill="auto"/>
          </w:tcPr>
          <w:p w:rsidR="007D17C5" w:rsidRPr="00143624" w:rsidRDefault="007D17C5" w:rsidP="009558BE">
            <w:pPr>
              <w:pStyle w:val="Tabletext"/>
            </w:pPr>
            <w:r w:rsidRPr="00143624">
              <w:t>3</w:t>
            </w:r>
          </w:p>
        </w:tc>
        <w:tc>
          <w:tcPr>
            <w:tcW w:w="2285" w:type="pct"/>
            <w:shd w:val="clear" w:color="auto" w:fill="auto"/>
          </w:tcPr>
          <w:p w:rsidR="007D17C5" w:rsidRPr="00143624" w:rsidRDefault="007D17C5" w:rsidP="009558BE">
            <w:pPr>
              <w:pStyle w:val="Tabletext"/>
            </w:pPr>
            <w:r w:rsidRPr="00143624">
              <w:rPr>
                <w:color w:val="000000"/>
              </w:rPr>
              <w:t>55</w:t>
            </w:r>
          </w:p>
        </w:tc>
        <w:tc>
          <w:tcPr>
            <w:tcW w:w="2286" w:type="pct"/>
            <w:shd w:val="clear" w:color="auto" w:fill="auto"/>
          </w:tcPr>
          <w:p w:rsidR="007D17C5" w:rsidRPr="00143624" w:rsidRDefault="007D17C5" w:rsidP="009558BE">
            <w:pPr>
              <w:pStyle w:val="Tabletext"/>
            </w:pPr>
            <w:r w:rsidRPr="00143624">
              <w:rPr>
                <w:color w:val="000000"/>
              </w:rPr>
              <w:t>0.005</w:t>
            </w:r>
          </w:p>
        </w:tc>
      </w:tr>
      <w:tr w:rsidR="007D17C5" w:rsidRPr="00143624" w:rsidTr="009558BE">
        <w:tc>
          <w:tcPr>
            <w:tcW w:w="429" w:type="pct"/>
            <w:shd w:val="clear" w:color="auto" w:fill="auto"/>
          </w:tcPr>
          <w:p w:rsidR="007D17C5" w:rsidRPr="00143624" w:rsidRDefault="007D17C5" w:rsidP="009558BE">
            <w:pPr>
              <w:pStyle w:val="Tabletext"/>
            </w:pPr>
            <w:r w:rsidRPr="00143624">
              <w:t>4</w:t>
            </w:r>
          </w:p>
        </w:tc>
        <w:tc>
          <w:tcPr>
            <w:tcW w:w="2285" w:type="pct"/>
            <w:shd w:val="clear" w:color="auto" w:fill="auto"/>
          </w:tcPr>
          <w:p w:rsidR="007D17C5" w:rsidRPr="00143624" w:rsidRDefault="007D17C5" w:rsidP="009558BE">
            <w:pPr>
              <w:pStyle w:val="Tabletext"/>
            </w:pPr>
            <w:r w:rsidRPr="00143624">
              <w:rPr>
                <w:color w:val="000000"/>
              </w:rPr>
              <w:t>56</w:t>
            </w:r>
          </w:p>
        </w:tc>
        <w:tc>
          <w:tcPr>
            <w:tcW w:w="2286" w:type="pct"/>
            <w:shd w:val="clear" w:color="auto" w:fill="auto"/>
          </w:tcPr>
          <w:p w:rsidR="007D17C5" w:rsidRPr="00143624" w:rsidRDefault="007D17C5" w:rsidP="009558BE">
            <w:pPr>
              <w:pStyle w:val="Tabletext"/>
            </w:pPr>
            <w:r w:rsidRPr="00143624">
              <w:rPr>
                <w:color w:val="000000"/>
              </w:rPr>
              <w:t>0.006</w:t>
            </w:r>
          </w:p>
        </w:tc>
      </w:tr>
      <w:tr w:rsidR="007D17C5" w:rsidRPr="00143624" w:rsidTr="009558BE">
        <w:tc>
          <w:tcPr>
            <w:tcW w:w="429" w:type="pct"/>
            <w:shd w:val="clear" w:color="auto" w:fill="auto"/>
          </w:tcPr>
          <w:p w:rsidR="007D17C5" w:rsidRPr="00143624" w:rsidRDefault="007D17C5" w:rsidP="009558BE">
            <w:pPr>
              <w:pStyle w:val="Tabletext"/>
            </w:pPr>
            <w:r w:rsidRPr="00143624">
              <w:t>5</w:t>
            </w:r>
          </w:p>
        </w:tc>
        <w:tc>
          <w:tcPr>
            <w:tcW w:w="2285" w:type="pct"/>
            <w:shd w:val="clear" w:color="auto" w:fill="auto"/>
          </w:tcPr>
          <w:p w:rsidR="007D17C5" w:rsidRPr="00143624" w:rsidRDefault="007D17C5" w:rsidP="009558BE">
            <w:pPr>
              <w:pStyle w:val="Tabletext"/>
            </w:pPr>
            <w:r w:rsidRPr="00143624">
              <w:rPr>
                <w:color w:val="000000"/>
              </w:rPr>
              <w:t>57</w:t>
            </w:r>
          </w:p>
        </w:tc>
        <w:tc>
          <w:tcPr>
            <w:tcW w:w="2286" w:type="pct"/>
            <w:shd w:val="clear" w:color="auto" w:fill="auto"/>
          </w:tcPr>
          <w:p w:rsidR="007D17C5" w:rsidRPr="00143624" w:rsidRDefault="007D17C5" w:rsidP="009558BE">
            <w:pPr>
              <w:pStyle w:val="Tabletext"/>
            </w:pPr>
            <w:r w:rsidRPr="00143624">
              <w:rPr>
                <w:color w:val="000000"/>
              </w:rPr>
              <w:t>0.006</w:t>
            </w:r>
          </w:p>
        </w:tc>
      </w:tr>
      <w:tr w:rsidR="007D17C5" w:rsidRPr="00143624" w:rsidTr="009558BE">
        <w:tc>
          <w:tcPr>
            <w:tcW w:w="429" w:type="pct"/>
            <w:shd w:val="clear" w:color="auto" w:fill="auto"/>
          </w:tcPr>
          <w:p w:rsidR="007D17C5" w:rsidRPr="00143624" w:rsidRDefault="007D17C5" w:rsidP="009558BE">
            <w:pPr>
              <w:pStyle w:val="Tabletext"/>
            </w:pPr>
            <w:r w:rsidRPr="00143624">
              <w:t>6</w:t>
            </w:r>
          </w:p>
        </w:tc>
        <w:tc>
          <w:tcPr>
            <w:tcW w:w="2285" w:type="pct"/>
            <w:shd w:val="clear" w:color="auto" w:fill="auto"/>
          </w:tcPr>
          <w:p w:rsidR="007D17C5" w:rsidRPr="00143624" w:rsidRDefault="007D17C5" w:rsidP="009558BE">
            <w:pPr>
              <w:pStyle w:val="Tabletext"/>
            </w:pPr>
            <w:r w:rsidRPr="00143624">
              <w:rPr>
                <w:color w:val="000000"/>
              </w:rPr>
              <w:t>58</w:t>
            </w:r>
          </w:p>
        </w:tc>
        <w:tc>
          <w:tcPr>
            <w:tcW w:w="2286" w:type="pct"/>
            <w:shd w:val="clear" w:color="auto" w:fill="auto"/>
          </w:tcPr>
          <w:p w:rsidR="007D17C5" w:rsidRPr="00143624" w:rsidRDefault="007D17C5" w:rsidP="009558BE">
            <w:pPr>
              <w:pStyle w:val="Tabletext"/>
            </w:pPr>
            <w:r w:rsidRPr="00143624">
              <w:rPr>
                <w:color w:val="000000"/>
              </w:rPr>
              <w:t>0.007</w:t>
            </w:r>
          </w:p>
        </w:tc>
      </w:tr>
      <w:tr w:rsidR="007D17C5" w:rsidRPr="00143624" w:rsidTr="009558BE">
        <w:tc>
          <w:tcPr>
            <w:tcW w:w="429" w:type="pct"/>
            <w:shd w:val="clear" w:color="auto" w:fill="auto"/>
          </w:tcPr>
          <w:p w:rsidR="007D17C5" w:rsidRPr="00143624" w:rsidRDefault="007D17C5" w:rsidP="009558BE">
            <w:pPr>
              <w:pStyle w:val="Tabletext"/>
            </w:pPr>
            <w:r w:rsidRPr="00143624">
              <w:t>7</w:t>
            </w:r>
          </w:p>
        </w:tc>
        <w:tc>
          <w:tcPr>
            <w:tcW w:w="2285" w:type="pct"/>
            <w:shd w:val="clear" w:color="auto" w:fill="auto"/>
          </w:tcPr>
          <w:p w:rsidR="007D17C5" w:rsidRPr="00143624" w:rsidRDefault="007D17C5" w:rsidP="009558BE">
            <w:pPr>
              <w:pStyle w:val="Tabletext"/>
            </w:pPr>
            <w:r w:rsidRPr="00143624">
              <w:rPr>
                <w:color w:val="000000"/>
              </w:rPr>
              <w:t>59</w:t>
            </w:r>
          </w:p>
        </w:tc>
        <w:tc>
          <w:tcPr>
            <w:tcW w:w="2286" w:type="pct"/>
            <w:shd w:val="clear" w:color="auto" w:fill="auto"/>
          </w:tcPr>
          <w:p w:rsidR="007D17C5" w:rsidRPr="00143624" w:rsidRDefault="007D17C5" w:rsidP="009558BE">
            <w:pPr>
              <w:pStyle w:val="Tabletext"/>
            </w:pPr>
            <w:r w:rsidRPr="00143624">
              <w:rPr>
                <w:color w:val="000000"/>
              </w:rPr>
              <w:t>0.008</w:t>
            </w:r>
          </w:p>
        </w:tc>
      </w:tr>
      <w:tr w:rsidR="007D17C5" w:rsidRPr="00143624" w:rsidTr="009558BE">
        <w:tc>
          <w:tcPr>
            <w:tcW w:w="429" w:type="pct"/>
            <w:shd w:val="clear" w:color="auto" w:fill="auto"/>
          </w:tcPr>
          <w:p w:rsidR="007D17C5" w:rsidRPr="00143624" w:rsidRDefault="007D17C5" w:rsidP="009558BE">
            <w:pPr>
              <w:pStyle w:val="Tabletext"/>
            </w:pPr>
            <w:r w:rsidRPr="00143624">
              <w:t>8</w:t>
            </w:r>
          </w:p>
        </w:tc>
        <w:tc>
          <w:tcPr>
            <w:tcW w:w="2285" w:type="pct"/>
            <w:shd w:val="clear" w:color="auto" w:fill="auto"/>
          </w:tcPr>
          <w:p w:rsidR="007D17C5" w:rsidRPr="00143624" w:rsidRDefault="007D17C5" w:rsidP="009558BE">
            <w:pPr>
              <w:pStyle w:val="Tabletext"/>
            </w:pPr>
            <w:r w:rsidRPr="00143624">
              <w:rPr>
                <w:color w:val="000000"/>
              </w:rPr>
              <w:t>60</w:t>
            </w:r>
          </w:p>
        </w:tc>
        <w:tc>
          <w:tcPr>
            <w:tcW w:w="2286" w:type="pct"/>
            <w:shd w:val="clear" w:color="auto" w:fill="auto"/>
          </w:tcPr>
          <w:p w:rsidR="007D17C5" w:rsidRPr="00143624" w:rsidRDefault="007D17C5" w:rsidP="009558BE">
            <w:pPr>
              <w:pStyle w:val="Tabletext"/>
            </w:pPr>
            <w:r w:rsidRPr="00143624">
              <w:rPr>
                <w:color w:val="000000"/>
              </w:rPr>
              <w:t>0.008</w:t>
            </w:r>
          </w:p>
        </w:tc>
      </w:tr>
      <w:tr w:rsidR="007D17C5" w:rsidRPr="00143624" w:rsidTr="009558BE">
        <w:tc>
          <w:tcPr>
            <w:tcW w:w="429" w:type="pct"/>
            <w:shd w:val="clear" w:color="auto" w:fill="auto"/>
          </w:tcPr>
          <w:p w:rsidR="007D17C5" w:rsidRPr="00143624" w:rsidRDefault="007D17C5" w:rsidP="009558BE">
            <w:pPr>
              <w:pStyle w:val="Tabletext"/>
            </w:pPr>
            <w:r w:rsidRPr="00143624">
              <w:t>9</w:t>
            </w:r>
          </w:p>
        </w:tc>
        <w:tc>
          <w:tcPr>
            <w:tcW w:w="2285" w:type="pct"/>
            <w:shd w:val="clear" w:color="auto" w:fill="auto"/>
          </w:tcPr>
          <w:p w:rsidR="007D17C5" w:rsidRPr="00143624" w:rsidRDefault="007D17C5" w:rsidP="009558BE">
            <w:pPr>
              <w:pStyle w:val="Tabletext"/>
            </w:pPr>
            <w:r w:rsidRPr="00143624">
              <w:rPr>
                <w:color w:val="000000"/>
              </w:rPr>
              <w:t>61</w:t>
            </w:r>
          </w:p>
        </w:tc>
        <w:tc>
          <w:tcPr>
            <w:tcW w:w="2286" w:type="pct"/>
            <w:shd w:val="clear" w:color="auto" w:fill="auto"/>
          </w:tcPr>
          <w:p w:rsidR="007D17C5" w:rsidRPr="00143624" w:rsidRDefault="007D17C5" w:rsidP="009558BE">
            <w:pPr>
              <w:pStyle w:val="Tabletext"/>
            </w:pPr>
            <w:r w:rsidRPr="00143624">
              <w:rPr>
                <w:color w:val="000000"/>
              </w:rPr>
              <w:t>0.009</w:t>
            </w:r>
          </w:p>
        </w:tc>
      </w:tr>
      <w:tr w:rsidR="007D17C5" w:rsidRPr="00143624" w:rsidTr="009558BE">
        <w:tc>
          <w:tcPr>
            <w:tcW w:w="429" w:type="pct"/>
            <w:shd w:val="clear" w:color="auto" w:fill="auto"/>
          </w:tcPr>
          <w:p w:rsidR="007D17C5" w:rsidRPr="00143624" w:rsidRDefault="007D17C5" w:rsidP="009558BE">
            <w:pPr>
              <w:pStyle w:val="Tabletext"/>
            </w:pPr>
            <w:r w:rsidRPr="00143624">
              <w:t>10</w:t>
            </w:r>
          </w:p>
        </w:tc>
        <w:tc>
          <w:tcPr>
            <w:tcW w:w="2285" w:type="pct"/>
            <w:shd w:val="clear" w:color="auto" w:fill="auto"/>
          </w:tcPr>
          <w:p w:rsidR="007D17C5" w:rsidRPr="00143624" w:rsidRDefault="007D17C5" w:rsidP="009558BE">
            <w:pPr>
              <w:pStyle w:val="Tabletext"/>
            </w:pPr>
            <w:r w:rsidRPr="00143624">
              <w:rPr>
                <w:color w:val="000000"/>
              </w:rPr>
              <w:t>62</w:t>
            </w:r>
          </w:p>
        </w:tc>
        <w:tc>
          <w:tcPr>
            <w:tcW w:w="2286" w:type="pct"/>
            <w:shd w:val="clear" w:color="auto" w:fill="auto"/>
          </w:tcPr>
          <w:p w:rsidR="007D17C5" w:rsidRPr="00143624" w:rsidRDefault="007D17C5" w:rsidP="009558BE">
            <w:pPr>
              <w:pStyle w:val="Tabletext"/>
            </w:pPr>
            <w:r w:rsidRPr="00143624">
              <w:rPr>
                <w:color w:val="000000"/>
              </w:rPr>
              <w:t>0.010</w:t>
            </w:r>
          </w:p>
        </w:tc>
      </w:tr>
      <w:tr w:rsidR="007D17C5" w:rsidRPr="00143624" w:rsidTr="009558BE">
        <w:tc>
          <w:tcPr>
            <w:tcW w:w="429" w:type="pct"/>
            <w:shd w:val="clear" w:color="auto" w:fill="auto"/>
          </w:tcPr>
          <w:p w:rsidR="007D17C5" w:rsidRPr="00143624" w:rsidRDefault="007D17C5" w:rsidP="009558BE">
            <w:pPr>
              <w:pStyle w:val="Tabletext"/>
            </w:pPr>
            <w:r w:rsidRPr="00143624">
              <w:t>11</w:t>
            </w:r>
          </w:p>
        </w:tc>
        <w:tc>
          <w:tcPr>
            <w:tcW w:w="2285" w:type="pct"/>
            <w:shd w:val="clear" w:color="auto" w:fill="auto"/>
          </w:tcPr>
          <w:p w:rsidR="007D17C5" w:rsidRPr="00143624" w:rsidRDefault="007D17C5" w:rsidP="009558BE">
            <w:pPr>
              <w:pStyle w:val="Tabletext"/>
            </w:pPr>
            <w:r w:rsidRPr="00143624">
              <w:rPr>
                <w:color w:val="000000"/>
              </w:rPr>
              <w:t>63</w:t>
            </w:r>
          </w:p>
        </w:tc>
        <w:tc>
          <w:tcPr>
            <w:tcW w:w="2286" w:type="pct"/>
            <w:shd w:val="clear" w:color="auto" w:fill="auto"/>
          </w:tcPr>
          <w:p w:rsidR="007D17C5" w:rsidRPr="00143624" w:rsidRDefault="007D17C5" w:rsidP="009558BE">
            <w:pPr>
              <w:pStyle w:val="Tabletext"/>
            </w:pPr>
            <w:r w:rsidRPr="00143624">
              <w:rPr>
                <w:color w:val="000000"/>
              </w:rPr>
              <w:t>0.012</w:t>
            </w:r>
          </w:p>
        </w:tc>
      </w:tr>
      <w:tr w:rsidR="007D17C5" w:rsidRPr="00143624" w:rsidTr="009558BE">
        <w:tc>
          <w:tcPr>
            <w:tcW w:w="429" w:type="pct"/>
            <w:shd w:val="clear" w:color="auto" w:fill="auto"/>
          </w:tcPr>
          <w:p w:rsidR="007D17C5" w:rsidRPr="00143624" w:rsidRDefault="007D17C5" w:rsidP="009558BE">
            <w:pPr>
              <w:pStyle w:val="Tabletext"/>
            </w:pPr>
            <w:r w:rsidRPr="00143624">
              <w:t>12</w:t>
            </w:r>
          </w:p>
        </w:tc>
        <w:tc>
          <w:tcPr>
            <w:tcW w:w="2285" w:type="pct"/>
            <w:shd w:val="clear" w:color="auto" w:fill="auto"/>
          </w:tcPr>
          <w:p w:rsidR="007D17C5" w:rsidRPr="00143624" w:rsidRDefault="007D17C5" w:rsidP="009558BE">
            <w:pPr>
              <w:pStyle w:val="Tabletext"/>
            </w:pPr>
            <w:r w:rsidRPr="00143624">
              <w:rPr>
                <w:color w:val="000000"/>
              </w:rPr>
              <w:t>64</w:t>
            </w:r>
          </w:p>
        </w:tc>
        <w:tc>
          <w:tcPr>
            <w:tcW w:w="2286" w:type="pct"/>
            <w:shd w:val="clear" w:color="auto" w:fill="auto"/>
          </w:tcPr>
          <w:p w:rsidR="007D17C5" w:rsidRPr="00143624" w:rsidRDefault="007D17C5" w:rsidP="009558BE">
            <w:pPr>
              <w:pStyle w:val="Tabletext"/>
            </w:pPr>
            <w:r w:rsidRPr="00143624">
              <w:rPr>
                <w:color w:val="000000"/>
              </w:rPr>
              <w:t>0.013</w:t>
            </w:r>
          </w:p>
        </w:tc>
      </w:tr>
      <w:tr w:rsidR="007D17C5" w:rsidRPr="00143624" w:rsidTr="009558BE">
        <w:tc>
          <w:tcPr>
            <w:tcW w:w="429" w:type="pct"/>
            <w:shd w:val="clear" w:color="auto" w:fill="auto"/>
          </w:tcPr>
          <w:p w:rsidR="007D17C5" w:rsidRPr="00143624" w:rsidRDefault="007D17C5" w:rsidP="009558BE">
            <w:pPr>
              <w:pStyle w:val="Tabletext"/>
            </w:pPr>
            <w:r w:rsidRPr="00143624">
              <w:t>13</w:t>
            </w:r>
          </w:p>
        </w:tc>
        <w:tc>
          <w:tcPr>
            <w:tcW w:w="2285" w:type="pct"/>
            <w:shd w:val="clear" w:color="auto" w:fill="auto"/>
          </w:tcPr>
          <w:p w:rsidR="007D17C5" w:rsidRPr="00143624" w:rsidRDefault="007D17C5" w:rsidP="009558BE">
            <w:pPr>
              <w:pStyle w:val="Tabletext"/>
            </w:pPr>
            <w:r w:rsidRPr="00143624">
              <w:rPr>
                <w:color w:val="000000"/>
              </w:rPr>
              <w:t>65</w:t>
            </w:r>
          </w:p>
        </w:tc>
        <w:tc>
          <w:tcPr>
            <w:tcW w:w="2286" w:type="pct"/>
            <w:shd w:val="clear" w:color="auto" w:fill="auto"/>
          </w:tcPr>
          <w:p w:rsidR="007D17C5" w:rsidRPr="00143624" w:rsidRDefault="007D17C5" w:rsidP="009558BE">
            <w:pPr>
              <w:pStyle w:val="Tabletext"/>
            </w:pPr>
            <w:r w:rsidRPr="00143624">
              <w:rPr>
                <w:color w:val="000000"/>
              </w:rPr>
              <w:t>0.014</w:t>
            </w:r>
          </w:p>
        </w:tc>
      </w:tr>
      <w:tr w:rsidR="007D17C5" w:rsidRPr="00143624" w:rsidTr="009558BE">
        <w:tc>
          <w:tcPr>
            <w:tcW w:w="429" w:type="pct"/>
            <w:shd w:val="clear" w:color="auto" w:fill="auto"/>
          </w:tcPr>
          <w:p w:rsidR="007D17C5" w:rsidRPr="00143624" w:rsidRDefault="007D17C5" w:rsidP="009558BE">
            <w:pPr>
              <w:pStyle w:val="Tabletext"/>
            </w:pPr>
            <w:r w:rsidRPr="00143624">
              <w:t>14</w:t>
            </w:r>
          </w:p>
        </w:tc>
        <w:tc>
          <w:tcPr>
            <w:tcW w:w="2285" w:type="pct"/>
            <w:shd w:val="clear" w:color="auto" w:fill="auto"/>
          </w:tcPr>
          <w:p w:rsidR="007D17C5" w:rsidRPr="00143624" w:rsidRDefault="007D17C5" w:rsidP="009558BE">
            <w:pPr>
              <w:pStyle w:val="Tabletext"/>
            </w:pPr>
            <w:r w:rsidRPr="00143624">
              <w:rPr>
                <w:color w:val="000000"/>
              </w:rPr>
              <w:t>66</w:t>
            </w:r>
          </w:p>
        </w:tc>
        <w:tc>
          <w:tcPr>
            <w:tcW w:w="2286" w:type="pct"/>
            <w:shd w:val="clear" w:color="auto" w:fill="auto"/>
          </w:tcPr>
          <w:p w:rsidR="007D17C5" w:rsidRPr="00143624" w:rsidRDefault="007D17C5" w:rsidP="009558BE">
            <w:pPr>
              <w:pStyle w:val="Tabletext"/>
            </w:pPr>
            <w:r w:rsidRPr="00143624">
              <w:rPr>
                <w:color w:val="000000"/>
              </w:rPr>
              <w:t>0.016</w:t>
            </w:r>
          </w:p>
        </w:tc>
      </w:tr>
      <w:tr w:rsidR="007D17C5" w:rsidRPr="00143624" w:rsidTr="009558BE">
        <w:tc>
          <w:tcPr>
            <w:tcW w:w="429" w:type="pct"/>
            <w:shd w:val="clear" w:color="auto" w:fill="auto"/>
          </w:tcPr>
          <w:p w:rsidR="007D17C5" w:rsidRPr="00143624" w:rsidRDefault="007D17C5" w:rsidP="009558BE">
            <w:pPr>
              <w:pStyle w:val="Tabletext"/>
            </w:pPr>
            <w:r w:rsidRPr="00143624">
              <w:t>15</w:t>
            </w:r>
          </w:p>
        </w:tc>
        <w:tc>
          <w:tcPr>
            <w:tcW w:w="2285" w:type="pct"/>
            <w:shd w:val="clear" w:color="auto" w:fill="auto"/>
          </w:tcPr>
          <w:p w:rsidR="007D17C5" w:rsidRPr="00143624" w:rsidRDefault="007D17C5" w:rsidP="009558BE">
            <w:pPr>
              <w:pStyle w:val="Tabletext"/>
            </w:pPr>
            <w:r w:rsidRPr="00143624">
              <w:rPr>
                <w:color w:val="000000"/>
              </w:rPr>
              <w:t>67</w:t>
            </w:r>
          </w:p>
        </w:tc>
        <w:tc>
          <w:tcPr>
            <w:tcW w:w="2286" w:type="pct"/>
            <w:shd w:val="clear" w:color="auto" w:fill="auto"/>
          </w:tcPr>
          <w:p w:rsidR="007D17C5" w:rsidRPr="00143624" w:rsidRDefault="007D17C5" w:rsidP="009558BE">
            <w:pPr>
              <w:pStyle w:val="Tabletext"/>
            </w:pPr>
            <w:r w:rsidRPr="00143624">
              <w:rPr>
                <w:color w:val="000000"/>
              </w:rPr>
              <w:t>0.017</w:t>
            </w:r>
          </w:p>
        </w:tc>
      </w:tr>
      <w:tr w:rsidR="007D17C5" w:rsidRPr="00143624" w:rsidTr="009558BE">
        <w:tc>
          <w:tcPr>
            <w:tcW w:w="429" w:type="pct"/>
            <w:shd w:val="clear" w:color="auto" w:fill="auto"/>
          </w:tcPr>
          <w:p w:rsidR="007D17C5" w:rsidRPr="00143624" w:rsidRDefault="007D17C5" w:rsidP="009558BE">
            <w:pPr>
              <w:pStyle w:val="Tabletext"/>
            </w:pPr>
            <w:r w:rsidRPr="00143624">
              <w:t>16</w:t>
            </w:r>
          </w:p>
        </w:tc>
        <w:tc>
          <w:tcPr>
            <w:tcW w:w="2285" w:type="pct"/>
            <w:shd w:val="clear" w:color="auto" w:fill="auto"/>
          </w:tcPr>
          <w:p w:rsidR="007D17C5" w:rsidRPr="00143624" w:rsidRDefault="007D17C5" w:rsidP="009558BE">
            <w:pPr>
              <w:pStyle w:val="Tabletext"/>
            </w:pPr>
            <w:r w:rsidRPr="00143624">
              <w:rPr>
                <w:color w:val="000000"/>
              </w:rPr>
              <w:t>68</w:t>
            </w:r>
          </w:p>
        </w:tc>
        <w:tc>
          <w:tcPr>
            <w:tcW w:w="2286" w:type="pct"/>
            <w:shd w:val="clear" w:color="auto" w:fill="auto"/>
          </w:tcPr>
          <w:p w:rsidR="007D17C5" w:rsidRPr="00143624" w:rsidRDefault="007D17C5" w:rsidP="009558BE">
            <w:pPr>
              <w:pStyle w:val="Tabletext"/>
            </w:pPr>
            <w:r w:rsidRPr="00143624">
              <w:rPr>
                <w:color w:val="000000"/>
              </w:rPr>
              <w:t>0.019</w:t>
            </w:r>
          </w:p>
        </w:tc>
      </w:tr>
      <w:tr w:rsidR="007D17C5" w:rsidRPr="00143624" w:rsidTr="009558BE">
        <w:tc>
          <w:tcPr>
            <w:tcW w:w="429" w:type="pct"/>
            <w:shd w:val="clear" w:color="auto" w:fill="auto"/>
          </w:tcPr>
          <w:p w:rsidR="007D17C5" w:rsidRPr="00143624" w:rsidRDefault="007D17C5" w:rsidP="009558BE">
            <w:pPr>
              <w:pStyle w:val="Tabletext"/>
            </w:pPr>
            <w:r w:rsidRPr="00143624">
              <w:t>17</w:t>
            </w:r>
          </w:p>
        </w:tc>
        <w:tc>
          <w:tcPr>
            <w:tcW w:w="2285" w:type="pct"/>
            <w:shd w:val="clear" w:color="auto" w:fill="auto"/>
          </w:tcPr>
          <w:p w:rsidR="007D17C5" w:rsidRPr="00143624" w:rsidRDefault="007D17C5" w:rsidP="009558BE">
            <w:pPr>
              <w:pStyle w:val="Tabletext"/>
            </w:pPr>
            <w:r w:rsidRPr="00143624">
              <w:rPr>
                <w:color w:val="000000"/>
              </w:rPr>
              <w:t>69</w:t>
            </w:r>
          </w:p>
        </w:tc>
        <w:tc>
          <w:tcPr>
            <w:tcW w:w="2286" w:type="pct"/>
            <w:shd w:val="clear" w:color="auto" w:fill="auto"/>
          </w:tcPr>
          <w:p w:rsidR="007D17C5" w:rsidRPr="00143624" w:rsidRDefault="007D17C5" w:rsidP="009558BE">
            <w:pPr>
              <w:pStyle w:val="Tabletext"/>
            </w:pPr>
            <w:r w:rsidRPr="00143624">
              <w:rPr>
                <w:color w:val="000000"/>
              </w:rPr>
              <w:t>0.021</w:t>
            </w:r>
          </w:p>
        </w:tc>
      </w:tr>
      <w:tr w:rsidR="007D17C5" w:rsidRPr="00143624" w:rsidTr="009558BE">
        <w:tc>
          <w:tcPr>
            <w:tcW w:w="429" w:type="pct"/>
            <w:shd w:val="clear" w:color="auto" w:fill="auto"/>
          </w:tcPr>
          <w:p w:rsidR="007D17C5" w:rsidRPr="00143624" w:rsidRDefault="007D17C5" w:rsidP="009558BE">
            <w:pPr>
              <w:pStyle w:val="Tabletext"/>
            </w:pPr>
            <w:r w:rsidRPr="00143624">
              <w:t>18</w:t>
            </w:r>
          </w:p>
        </w:tc>
        <w:tc>
          <w:tcPr>
            <w:tcW w:w="2285" w:type="pct"/>
            <w:shd w:val="clear" w:color="auto" w:fill="auto"/>
          </w:tcPr>
          <w:p w:rsidR="007D17C5" w:rsidRPr="00143624" w:rsidRDefault="007D17C5" w:rsidP="009558BE">
            <w:pPr>
              <w:pStyle w:val="Tabletext"/>
            </w:pPr>
            <w:r w:rsidRPr="00143624">
              <w:rPr>
                <w:color w:val="000000"/>
              </w:rPr>
              <w:t>70</w:t>
            </w:r>
          </w:p>
        </w:tc>
        <w:tc>
          <w:tcPr>
            <w:tcW w:w="2286" w:type="pct"/>
            <w:shd w:val="clear" w:color="auto" w:fill="auto"/>
          </w:tcPr>
          <w:p w:rsidR="007D17C5" w:rsidRPr="00143624" w:rsidRDefault="007D17C5" w:rsidP="009558BE">
            <w:pPr>
              <w:pStyle w:val="Tabletext"/>
            </w:pPr>
            <w:r w:rsidRPr="00143624">
              <w:rPr>
                <w:color w:val="000000"/>
              </w:rPr>
              <w:t>0.023</w:t>
            </w:r>
          </w:p>
        </w:tc>
      </w:tr>
      <w:tr w:rsidR="007D17C5" w:rsidRPr="00143624" w:rsidTr="009558BE">
        <w:tc>
          <w:tcPr>
            <w:tcW w:w="429" w:type="pct"/>
            <w:shd w:val="clear" w:color="auto" w:fill="auto"/>
          </w:tcPr>
          <w:p w:rsidR="007D17C5" w:rsidRPr="00143624" w:rsidRDefault="007D17C5" w:rsidP="009558BE">
            <w:pPr>
              <w:pStyle w:val="Tabletext"/>
            </w:pPr>
            <w:r w:rsidRPr="00143624">
              <w:t>19</w:t>
            </w:r>
          </w:p>
        </w:tc>
        <w:tc>
          <w:tcPr>
            <w:tcW w:w="2285" w:type="pct"/>
            <w:shd w:val="clear" w:color="auto" w:fill="auto"/>
          </w:tcPr>
          <w:p w:rsidR="007D17C5" w:rsidRPr="00143624" w:rsidRDefault="007D17C5" w:rsidP="009558BE">
            <w:pPr>
              <w:pStyle w:val="Tabletext"/>
            </w:pPr>
            <w:r w:rsidRPr="00143624">
              <w:rPr>
                <w:color w:val="000000"/>
              </w:rPr>
              <w:t>71</w:t>
            </w:r>
          </w:p>
        </w:tc>
        <w:tc>
          <w:tcPr>
            <w:tcW w:w="2286" w:type="pct"/>
            <w:shd w:val="clear" w:color="auto" w:fill="auto"/>
          </w:tcPr>
          <w:p w:rsidR="007D17C5" w:rsidRPr="00143624" w:rsidRDefault="007D17C5" w:rsidP="009558BE">
            <w:pPr>
              <w:pStyle w:val="Tabletext"/>
            </w:pPr>
            <w:r w:rsidRPr="00143624">
              <w:rPr>
                <w:color w:val="000000"/>
              </w:rPr>
              <w:t>0.026</w:t>
            </w:r>
          </w:p>
        </w:tc>
      </w:tr>
      <w:tr w:rsidR="007D17C5" w:rsidRPr="00143624" w:rsidTr="009558BE">
        <w:tc>
          <w:tcPr>
            <w:tcW w:w="429" w:type="pct"/>
            <w:shd w:val="clear" w:color="auto" w:fill="auto"/>
          </w:tcPr>
          <w:p w:rsidR="007D17C5" w:rsidRPr="00143624" w:rsidRDefault="007D17C5" w:rsidP="009558BE">
            <w:pPr>
              <w:pStyle w:val="Tabletext"/>
            </w:pPr>
            <w:r w:rsidRPr="00143624">
              <w:t>20</w:t>
            </w:r>
          </w:p>
        </w:tc>
        <w:tc>
          <w:tcPr>
            <w:tcW w:w="2285" w:type="pct"/>
            <w:shd w:val="clear" w:color="auto" w:fill="auto"/>
          </w:tcPr>
          <w:p w:rsidR="007D17C5" w:rsidRPr="00143624" w:rsidRDefault="007D17C5" w:rsidP="009558BE">
            <w:pPr>
              <w:pStyle w:val="Tabletext"/>
            </w:pPr>
            <w:r w:rsidRPr="00143624">
              <w:rPr>
                <w:color w:val="000000"/>
              </w:rPr>
              <w:t>72</w:t>
            </w:r>
          </w:p>
        </w:tc>
        <w:tc>
          <w:tcPr>
            <w:tcW w:w="2286" w:type="pct"/>
            <w:shd w:val="clear" w:color="auto" w:fill="auto"/>
          </w:tcPr>
          <w:p w:rsidR="007D17C5" w:rsidRPr="00143624" w:rsidRDefault="007D17C5" w:rsidP="009558BE">
            <w:pPr>
              <w:pStyle w:val="Tabletext"/>
            </w:pPr>
            <w:r w:rsidRPr="00143624">
              <w:rPr>
                <w:color w:val="000000"/>
              </w:rPr>
              <w:t>0.029</w:t>
            </w:r>
          </w:p>
        </w:tc>
      </w:tr>
      <w:tr w:rsidR="007D17C5" w:rsidRPr="00143624" w:rsidTr="009558BE">
        <w:tc>
          <w:tcPr>
            <w:tcW w:w="429" w:type="pct"/>
            <w:shd w:val="clear" w:color="auto" w:fill="auto"/>
          </w:tcPr>
          <w:p w:rsidR="007D17C5" w:rsidRPr="00143624" w:rsidRDefault="007D17C5" w:rsidP="009558BE">
            <w:pPr>
              <w:pStyle w:val="Tabletext"/>
            </w:pPr>
            <w:r w:rsidRPr="00143624">
              <w:t>21</w:t>
            </w:r>
          </w:p>
        </w:tc>
        <w:tc>
          <w:tcPr>
            <w:tcW w:w="2285" w:type="pct"/>
            <w:shd w:val="clear" w:color="auto" w:fill="auto"/>
          </w:tcPr>
          <w:p w:rsidR="007D17C5" w:rsidRPr="00143624" w:rsidRDefault="007D17C5" w:rsidP="009558BE">
            <w:pPr>
              <w:pStyle w:val="Tabletext"/>
            </w:pPr>
            <w:r w:rsidRPr="00143624">
              <w:rPr>
                <w:color w:val="000000"/>
              </w:rPr>
              <w:t>73</w:t>
            </w:r>
          </w:p>
        </w:tc>
        <w:tc>
          <w:tcPr>
            <w:tcW w:w="2286" w:type="pct"/>
            <w:shd w:val="clear" w:color="auto" w:fill="auto"/>
          </w:tcPr>
          <w:p w:rsidR="007D17C5" w:rsidRPr="00143624" w:rsidRDefault="007D17C5" w:rsidP="009558BE">
            <w:pPr>
              <w:pStyle w:val="Tabletext"/>
            </w:pPr>
            <w:r w:rsidRPr="00143624">
              <w:rPr>
                <w:color w:val="000000"/>
              </w:rPr>
              <w:t>0.032</w:t>
            </w:r>
          </w:p>
        </w:tc>
      </w:tr>
      <w:tr w:rsidR="007D17C5" w:rsidRPr="00143624" w:rsidTr="009558BE">
        <w:tc>
          <w:tcPr>
            <w:tcW w:w="429" w:type="pct"/>
            <w:shd w:val="clear" w:color="auto" w:fill="auto"/>
          </w:tcPr>
          <w:p w:rsidR="007D17C5" w:rsidRPr="00143624" w:rsidRDefault="007D17C5" w:rsidP="009558BE">
            <w:pPr>
              <w:pStyle w:val="Tabletext"/>
            </w:pPr>
            <w:r w:rsidRPr="00143624">
              <w:t>22</w:t>
            </w:r>
          </w:p>
        </w:tc>
        <w:tc>
          <w:tcPr>
            <w:tcW w:w="2285" w:type="pct"/>
            <w:shd w:val="clear" w:color="auto" w:fill="auto"/>
          </w:tcPr>
          <w:p w:rsidR="007D17C5" w:rsidRPr="00143624" w:rsidRDefault="007D17C5" w:rsidP="009558BE">
            <w:pPr>
              <w:pStyle w:val="Tabletext"/>
            </w:pPr>
            <w:r w:rsidRPr="00143624">
              <w:rPr>
                <w:color w:val="000000"/>
              </w:rPr>
              <w:t>74</w:t>
            </w:r>
          </w:p>
        </w:tc>
        <w:tc>
          <w:tcPr>
            <w:tcW w:w="2286" w:type="pct"/>
            <w:shd w:val="clear" w:color="auto" w:fill="auto"/>
          </w:tcPr>
          <w:p w:rsidR="007D17C5" w:rsidRPr="00143624" w:rsidRDefault="007D17C5" w:rsidP="009558BE">
            <w:pPr>
              <w:pStyle w:val="Tabletext"/>
            </w:pPr>
            <w:r w:rsidRPr="00143624">
              <w:rPr>
                <w:color w:val="000000"/>
              </w:rPr>
              <w:t>0.035</w:t>
            </w:r>
          </w:p>
        </w:tc>
      </w:tr>
      <w:tr w:rsidR="007D17C5" w:rsidRPr="00143624" w:rsidTr="009558BE">
        <w:tc>
          <w:tcPr>
            <w:tcW w:w="429" w:type="pct"/>
            <w:shd w:val="clear" w:color="auto" w:fill="auto"/>
          </w:tcPr>
          <w:p w:rsidR="007D17C5" w:rsidRPr="00143624" w:rsidRDefault="007D17C5" w:rsidP="009558BE">
            <w:pPr>
              <w:pStyle w:val="Tabletext"/>
            </w:pPr>
            <w:r w:rsidRPr="00143624">
              <w:t>23</w:t>
            </w:r>
          </w:p>
        </w:tc>
        <w:tc>
          <w:tcPr>
            <w:tcW w:w="2285" w:type="pct"/>
            <w:shd w:val="clear" w:color="auto" w:fill="auto"/>
          </w:tcPr>
          <w:p w:rsidR="007D17C5" w:rsidRPr="00143624" w:rsidRDefault="007D17C5" w:rsidP="009558BE">
            <w:pPr>
              <w:pStyle w:val="Tabletext"/>
            </w:pPr>
            <w:r w:rsidRPr="00143624">
              <w:rPr>
                <w:color w:val="000000"/>
              </w:rPr>
              <w:t>75</w:t>
            </w:r>
          </w:p>
        </w:tc>
        <w:tc>
          <w:tcPr>
            <w:tcW w:w="2286" w:type="pct"/>
            <w:shd w:val="clear" w:color="auto" w:fill="auto"/>
          </w:tcPr>
          <w:p w:rsidR="007D17C5" w:rsidRPr="00143624" w:rsidRDefault="007D17C5" w:rsidP="009558BE">
            <w:pPr>
              <w:pStyle w:val="Tabletext"/>
            </w:pPr>
            <w:r w:rsidRPr="00143624">
              <w:rPr>
                <w:color w:val="000000"/>
              </w:rPr>
              <w:t>0.039</w:t>
            </w:r>
          </w:p>
        </w:tc>
      </w:tr>
      <w:tr w:rsidR="007D17C5" w:rsidRPr="00143624" w:rsidTr="009558BE">
        <w:tc>
          <w:tcPr>
            <w:tcW w:w="429" w:type="pct"/>
            <w:shd w:val="clear" w:color="auto" w:fill="auto"/>
          </w:tcPr>
          <w:p w:rsidR="007D17C5" w:rsidRPr="00143624" w:rsidRDefault="007D17C5" w:rsidP="009558BE">
            <w:pPr>
              <w:pStyle w:val="Tabletext"/>
            </w:pPr>
            <w:r w:rsidRPr="00143624">
              <w:t>24</w:t>
            </w:r>
          </w:p>
        </w:tc>
        <w:tc>
          <w:tcPr>
            <w:tcW w:w="2285" w:type="pct"/>
            <w:shd w:val="clear" w:color="auto" w:fill="auto"/>
          </w:tcPr>
          <w:p w:rsidR="007D17C5" w:rsidRPr="00143624" w:rsidRDefault="007D17C5" w:rsidP="009558BE">
            <w:pPr>
              <w:pStyle w:val="Tabletext"/>
            </w:pPr>
            <w:r w:rsidRPr="00143624">
              <w:rPr>
                <w:color w:val="000000"/>
              </w:rPr>
              <w:t>76</w:t>
            </w:r>
          </w:p>
        </w:tc>
        <w:tc>
          <w:tcPr>
            <w:tcW w:w="2286" w:type="pct"/>
            <w:shd w:val="clear" w:color="auto" w:fill="auto"/>
          </w:tcPr>
          <w:p w:rsidR="007D17C5" w:rsidRPr="00143624" w:rsidRDefault="007D17C5" w:rsidP="009558BE">
            <w:pPr>
              <w:pStyle w:val="Tabletext"/>
            </w:pPr>
            <w:r w:rsidRPr="00143624">
              <w:rPr>
                <w:color w:val="000000"/>
              </w:rPr>
              <w:t>0.043</w:t>
            </w:r>
          </w:p>
        </w:tc>
      </w:tr>
      <w:tr w:rsidR="007D17C5" w:rsidRPr="00143624" w:rsidTr="009558BE">
        <w:tc>
          <w:tcPr>
            <w:tcW w:w="429" w:type="pct"/>
            <w:shd w:val="clear" w:color="auto" w:fill="auto"/>
          </w:tcPr>
          <w:p w:rsidR="007D17C5" w:rsidRPr="00143624" w:rsidRDefault="007D17C5" w:rsidP="009558BE">
            <w:pPr>
              <w:pStyle w:val="Tabletext"/>
            </w:pPr>
            <w:r w:rsidRPr="00143624">
              <w:t>25</w:t>
            </w:r>
          </w:p>
        </w:tc>
        <w:tc>
          <w:tcPr>
            <w:tcW w:w="2285" w:type="pct"/>
            <w:shd w:val="clear" w:color="auto" w:fill="auto"/>
          </w:tcPr>
          <w:p w:rsidR="007D17C5" w:rsidRPr="00143624" w:rsidRDefault="007D17C5" w:rsidP="009558BE">
            <w:pPr>
              <w:pStyle w:val="Tabletext"/>
            </w:pPr>
            <w:r w:rsidRPr="00143624">
              <w:rPr>
                <w:color w:val="000000"/>
              </w:rPr>
              <w:t>77</w:t>
            </w:r>
          </w:p>
        </w:tc>
        <w:tc>
          <w:tcPr>
            <w:tcW w:w="2286" w:type="pct"/>
            <w:shd w:val="clear" w:color="auto" w:fill="auto"/>
          </w:tcPr>
          <w:p w:rsidR="007D17C5" w:rsidRPr="00143624" w:rsidRDefault="007D17C5" w:rsidP="009558BE">
            <w:pPr>
              <w:pStyle w:val="Tabletext"/>
            </w:pPr>
            <w:r w:rsidRPr="00143624">
              <w:rPr>
                <w:color w:val="000000"/>
              </w:rPr>
              <w:t>0.048</w:t>
            </w:r>
          </w:p>
        </w:tc>
      </w:tr>
      <w:tr w:rsidR="007D17C5" w:rsidRPr="00143624" w:rsidTr="009558BE">
        <w:tc>
          <w:tcPr>
            <w:tcW w:w="429" w:type="pct"/>
            <w:shd w:val="clear" w:color="auto" w:fill="auto"/>
          </w:tcPr>
          <w:p w:rsidR="007D17C5" w:rsidRPr="00143624" w:rsidRDefault="007D17C5" w:rsidP="009558BE">
            <w:pPr>
              <w:pStyle w:val="Tabletext"/>
            </w:pPr>
            <w:r w:rsidRPr="00143624">
              <w:t>26</w:t>
            </w:r>
          </w:p>
        </w:tc>
        <w:tc>
          <w:tcPr>
            <w:tcW w:w="2285" w:type="pct"/>
            <w:shd w:val="clear" w:color="auto" w:fill="auto"/>
          </w:tcPr>
          <w:p w:rsidR="007D17C5" w:rsidRPr="00143624" w:rsidRDefault="007D17C5" w:rsidP="009558BE">
            <w:pPr>
              <w:pStyle w:val="Tabletext"/>
            </w:pPr>
            <w:r w:rsidRPr="00143624">
              <w:rPr>
                <w:color w:val="000000"/>
              </w:rPr>
              <w:t>78</w:t>
            </w:r>
          </w:p>
        </w:tc>
        <w:tc>
          <w:tcPr>
            <w:tcW w:w="2286" w:type="pct"/>
            <w:shd w:val="clear" w:color="auto" w:fill="auto"/>
          </w:tcPr>
          <w:p w:rsidR="007D17C5" w:rsidRPr="00143624" w:rsidRDefault="007D17C5" w:rsidP="009558BE">
            <w:pPr>
              <w:pStyle w:val="Tabletext"/>
            </w:pPr>
            <w:r w:rsidRPr="00143624">
              <w:rPr>
                <w:color w:val="000000"/>
              </w:rPr>
              <w:t>0.053</w:t>
            </w:r>
          </w:p>
        </w:tc>
      </w:tr>
      <w:tr w:rsidR="007D17C5" w:rsidRPr="00143624" w:rsidTr="009558BE">
        <w:tc>
          <w:tcPr>
            <w:tcW w:w="429" w:type="pct"/>
            <w:shd w:val="clear" w:color="auto" w:fill="auto"/>
          </w:tcPr>
          <w:p w:rsidR="007D17C5" w:rsidRPr="00143624" w:rsidRDefault="007D17C5" w:rsidP="009558BE">
            <w:pPr>
              <w:pStyle w:val="Tabletext"/>
            </w:pPr>
            <w:r w:rsidRPr="00143624">
              <w:t>27</w:t>
            </w:r>
          </w:p>
        </w:tc>
        <w:tc>
          <w:tcPr>
            <w:tcW w:w="2285" w:type="pct"/>
            <w:shd w:val="clear" w:color="auto" w:fill="auto"/>
          </w:tcPr>
          <w:p w:rsidR="007D17C5" w:rsidRPr="00143624" w:rsidRDefault="007D17C5" w:rsidP="009558BE">
            <w:pPr>
              <w:pStyle w:val="Tabletext"/>
            </w:pPr>
            <w:r w:rsidRPr="00143624">
              <w:rPr>
                <w:color w:val="000000"/>
              </w:rPr>
              <w:t>79</w:t>
            </w:r>
          </w:p>
        </w:tc>
        <w:tc>
          <w:tcPr>
            <w:tcW w:w="2286" w:type="pct"/>
            <w:shd w:val="clear" w:color="auto" w:fill="auto"/>
          </w:tcPr>
          <w:p w:rsidR="007D17C5" w:rsidRPr="00143624" w:rsidRDefault="007D17C5" w:rsidP="009558BE">
            <w:pPr>
              <w:pStyle w:val="Tabletext"/>
            </w:pPr>
            <w:r w:rsidRPr="00143624">
              <w:rPr>
                <w:color w:val="000000"/>
              </w:rPr>
              <w:t>0.059</w:t>
            </w:r>
          </w:p>
        </w:tc>
      </w:tr>
      <w:tr w:rsidR="007D17C5" w:rsidRPr="00143624" w:rsidTr="009558BE">
        <w:tc>
          <w:tcPr>
            <w:tcW w:w="429" w:type="pct"/>
            <w:shd w:val="clear" w:color="auto" w:fill="auto"/>
          </w:tcPr>
          <w:p w:rsidR="007D17C5" w:rsidRPr="00143624" w:rsidRDefault="007D17C5" w:rsidP="009558BE">
            <w:pPr>
              <w:pStyle w:val="Tabletext"/>
            </w:pPr>
            <w:r w:rsidRPr="00143624">
              <w:t>28</w:t>
            </w:r>
          </w:p>
        </w:tc>
        <w:tc>
          <w:tcPr>
            <w:tcW w:w="2285" w:type="pct"/>
            <w:shd w:val="clear" w:color="auto" w:fill="auto"/>
          </w:tcPr>
          <w:p w:rsidR="007D17C5" w:rsidRPr="00143624" w:rsidRDefault="007D17C5" w:rsidP="009558BE">
            <w:pPr>
              <w:pStyle w:val="Tabletext"/>
            </w:pPr>
            <w:r w:rsidRPr="00143624">
              <w:rPr>
                <w:color w:val="000000"/>
              </w:rPr>
              <w:t>80</w:t>
            </w:r>
          </w:p>
        </w:tc>
        <w:tc>
          <w:tcPr>
            <w:tcW w:w="2286" w:type="pct"/>
            <w:shd w:val="clear" w:color="auto" w:fill="auto"/>
          </w:tcPr>
          <w:p w:rsidR="007D17C5" w:rsidRPr="00143624" w:rsidRDefault="007D17C5" w:rsidP="009558BE">
            <w:pPr>
              <w:pStyle w:val="Tabletext"/>
            </w:pPr>
            <w:r w:rsidRPr="00143624">
              <w:rPr>
                <w:color w:val="000000"/>
              </w:rPr>
              <w:t>0.064</w:t>
            </w:r>
          </w:p>
        </w:tc>
      </w:tr>
      <w:tr w:rsidR="007D17C5" w:rsidRPr="00143624" w:rsidTr="009558BE">
        <w:tc>
          <w:tcPr>
            <w:tcW w:w="429" w:type="pct"/>
            <w:shd w:val="clear" w:color="auto" w:fill="auto"/>
          </w:tcPr>
          <w:p w:rsidR="007D17C5" w:rsidRPr="00143624" w:rsidRDefault="007D17C5" w:rsidP="009558BE">
            <w:pPr>
              <w:pStyle w:val="Tabletext"/>
            </w:pPr>
            <w:r w:rsidRPr="00143624">
              <w:t>29</w:t>
            </w:r>
          </w:p>
        </w:tc>
        <w:tc>
          <w:tcPr>
            <w:tcW w:w="2285" w:type="pct"/>
            <w:shd w:val="clear" w:color="auto" w:fill="auto"/>
          </w:tcPr>
          <w:p w:rsidR="007D17C5" w:rsidRPr="00143624" w:rsidRDefault="007D17C5" w:rsidP="009558BE">
            <w:pPr>
              <w:pStyle w:val="Tabletext"/>
            </w:pPr>
            <w:r w:rsidRPr="00143624">
              <w:rPr>
                <w:color w:val="000000"/>
              </w:rPr>
              <w:t>81</w:t>
            </w:r>
          </w:p>
        </w:tc>
        <w:tc>
          <w:tcPr>
            <w:tcW w:w="2286" w:type="pct"/>
            <w:shd w:val="clear" w:color="auto" w:fill="auto"/>
          </w:tcPr>
          <w:p w:rsidR="007D17C5" w:rsidRPr="00143624" w:rsidRDefault="007D17C5" w:rsidP="009558BE">
            <w:pPr>
              <w:pStyle w:val="Tabletext"/>
            </w:pPr>
            <w:r w:rsidRPr="00143624">
              <w:rPr>
                <w:color w:val="000000"/>
              </w:rPr>
              <w:t>0.070</w:t>
            </w:r>
          </w:p>
        </w:tc>
      </w:tr>
      <w:tr w:rsidR="007D17C5" w:rsidRPr="00143624" w:rsidTr="009558BE">
        <w:tc>
          <w:tcPr>
            <w:tcW w:w="429" w:type="pct"/>
            <w:shd w:val="clear" w:color="auto" w:fill="auto"/>
          </w:tcPr>
          <w:p w:rsidR="007D17C5" w:rsidRPr="00143624" w:rsidRDefault="007D17C5" w:rsidP="009558BE">
            <w:pPr>
              <w:pStyle w:val="Tabletext"/>
            </w:pPr>
            <w:r w:rsidRPr="00143624">
              <w:lastRenderedPageBreak/>
              <w:t>30</w:t>
            </w:r>
          </w:p>
        </w:tc>
        <w:tc>
          <w:tcPr>
            <w:tcW w:w="2285" w:type="pct"/>
            <w:shd w:val="clear" w:color="auto" w:fill="auto"/>
          </w:tcPr>
          <w:p w:rsidR="007D17C5" w:rsidRPr="00143624" w:rsidRDefault="007D17C5" w:rsidP="009558BE">
            <w:pPr>
              <w:pStyle w:val="Tabletext"/>
            </w:pPr>
            <w:r w:rsidRPr="00143624">
              <w:rPr>
                <w:color w:val="000000"/>
              </w:rPr>
              <w:t>82</w:t>
            </w:r>
          </w:p>
        </w:tc>
        <w:tc>
          <w:tcPr>
            <w:tcW w:w="2286" w:type="pct"/>
            <w:shd w:val="clear" w:color="auto" w:fill="auto"/>
          </w:tcPr>
          <w:p w:rsidR="007D17C5" w:rsidRPr="00143624" w:rsidRDefault="007D17C5" w:rsidP="009558BE">
            <w:pPr>
              <w:pStyle w:val="Tabletext"/>
            </w:pPr>
            <w:r w:rsidRPr="00143624">
              <w:rPr>
                <w:color w:val="000000"/>
              </w:rPr>
              <w:t>0.077</w:t>
            </w:r>
          </w:p>
        </w:tc>
      </w:tr>
      <w:tr w:rsidR="007D17C5" w:rsidRPr="00143624" w:rsidTr="009558BE">
        <w:tc>
          <w:tcPr>
            <w:tcW w:w="429" w:type="pct"/>
            <w:shd w:val="clear" w:color="auto" w:fill="auto"/>
          </w:tcPr>
          <w:p w:rsidR="007D17C5" w:rsidRPr="00143624" w:rsidRDefault="007D17C5" w:rsidP="009558BE">
            <w:pPr>
              <w:pStyle w:val="Tabletext"/>
            </w:pPr>
            <w:r w:rsidRPr="00143624">
              <w:t>31</w:t>
            </w:r>
          </w:p>
        </w:tc>
        <w:tc>
          <w:tcPr>
            <w:tcW w:w="2285" w:type="pct"/>
            <w:shd w:val="clear" w:color="auto" w:fill="auto"/>
          </w:tcPr>
          <w:p w:rsidR="007D17C5" w:rsidRPr="00143624" w:rsidRDefault="007D17C5" w:rsidP="009558BE">
            <w:pPr>
              <w:pStyle w:val="Tabletext"/>
            </w:pPr>
            <w:r w:rsidRPr="00143624">
              <w:rPr>
                <w:color w:val="000000"/>
              </w:rPr>
              <w:t>83</w:t>
            </w:r>
          </w:p>
        </w:tc>
        <w:tc>
          <w:tcPr>
            <w:tcW w:w="2286" w:type="pct"/>
            <w:shd w:val="clear" w:color="auto" w:fill="auto"/>
          </w:tcPr>
          <w:p w:rsidR="007D17C5" w:rsidRPr="00143624" w:rsidRDefault="007D17C5" w:rsidP="009558BE">
            <w:pPr>
              <w:pStyle w:val="Tabletext"/>
            </w:pPr>
            <w:r w:rsidRPr="00143624">
              <w:rPr>
                <w:color w:val="000000"/>
              </w:rPr>
              <w:t>0.085</w:t>
            </w:r>
          </w:p>
        </w:tc>
      </w:tr>
      <w:tr w:rsidR="007D17C5" w:rsidRPr="00143624" w:rsidTr="009558BE">
        <w:tc>
          <w:tcPr>
            <w:tcW w:w="429" w:type="pct"/>
            <w:shd w:val="clear" w:color="auto" w:fill="auto"/>
          </w:tcPr>
          <w:p w:rsidR="007D17C5" w:rsidRPr="00143624" w:rsidRDefault="007D17C5" w:rsidP="009558BE">
            <w:pPr>
              <w:pStyle w:val="Tabletext"/>
            </w:pPr>
            <w:r w:rsidRPr="00143624">
              <w:t>32</w:t>
            </w:r>
          </w:p>
        </w:tc>
        <w:tc>
          <w:tcPr>
            <w:tcW w:w="2285" w:type="pct"/>
            <w:shd w:val="clear" w:color="auto" w:fill="auto"/>
          </w:tcPr>
          <w:p w:rsidR="007D17C5" w:rsidRPr="00143624" w:rsidRDefault="007D17C5" w:rsidP="009558BE">
            <w:pPr>
              <w:pStyle w:val="Tabletext"/>
            </w:pPr>
            <w:r w:rsidRPr="00143624">
              <w:rPr>
                <w:color w:val="000000"/>
              </w:rPr>
              <w:t>84</w:t>
            </w:r>
          </w:p>
        </w:tc>
        <w:tc>
          <w:tcPr>
            <w:tcW w:w="2286" w:type="pct"/>
            <w:shd w:val="clear" w:color="auto" w:fill="auto"/>
          </w:tcPr>
          <w:p w:rsidR="007D17C5" w:rsidRPr="00143624" w:rsidRDefault="007D17C5" w:rsidP="009558BE">
            <w:pPr>
              <w:pStyle w:val="Tabletext"/>
            </w:pPr>
            <w:r w:rsidRPr="00143624">
              <w:rPr>
                <w:color w:val="000000"/>
              </w:rPr>
              <w:t>0.095</w:t>
            </w:r>
          </w:p>
        </w:tc>
      </w:tr>
      <w:tr w:rsidR="007D17C5" w:rsidRPr="00143624" w:rsidTr="009558BE">
        <w:tc>
          <w:tcPr>
            <w:tcW w:w="429" w:type="pct"/>
            <w:shd w:val="clear" w:color="auto" w:fill="auto"/>
          </w:tcPr>
          <w:p w:rsidR="007D17C5" w:rsidRPr="00143624" w:rsidRDefault="007D17C5" w:rsidP="009558BE">
            <w:pPr>
              <w:pStyle w:val="Tabletext"/>
            </w:pPr>
            <w:r w:rsidRPr="00143624">
              <w:t>33</w:t>
            </w:r>
          </w:p>
        </w:tc>
        <w:tc>
          <w:tcPr>
            <w:tcW w:w="2285" w:type="pct"/>
            <w:shd w:val="clear" w:color="auto" w:fill="auto"/>
          </w:tcPr>
          <w:p w:rsidR="007D17C5" w:rsidRPr="00143624" w:rsidRDefault="007D17C5" w:rsidP="009558BE">
            <w:pPr>
              <w:pStyle w:val="Tabletext"/>
            </w:pPr>
            <w:r w:rsidRPr="00143624">
              <w:rPr>
                <w:color w:val="000000"/>
              </w:rPr>
              <w:t>85</w:t>
            </w:r>
          </w:p>
        </w:tc>
        <w:tc>
          <w:tcPr>
            <w:tcW w:w="2286" w:type="pct"/>
            <w:shd w:val="clear" w:color="auto" w:fill="auto"/>
          </w:tcPr>
          <w:p w:rsidR="007D17C5" w:rsidRPr="00143624" w:rsidRDefault="007D17C5" w:rsidP="009558BE">
            <w:pPr>
              <w:pStyle w:val="Tabletext"/>
            </w:pPr>
            <w:r w:rsidRPr="00143624">
              <w:rPr>
                <w:color w:val="000000"/>
              </w:rPr>
              <w:t>0.106</w:t>
            </w:r>
          </w:p>
        </w:tc>
      </w:tr>
      <w:tr w:rsidR="007D17C5" w:rsidRPr="00143624" w:rsidTr="009558BE">
        <w:tc>
          <w:tcPr>
            <w:tcW w:w="429" w:type="pct"/>
            <w:shd w:val="clear" w:color="auto" w:fill="auto"/>
          </w:tcPr>
          <w:p w:rsidR="007D17C5" w:rsidRPr="00143624" w:rsidRDefault="007D17C5" w:rsidP="009558BE">
            <w:pPr>
              <w:pStyle w:val="Tabletext"/>
            </w:pPr>
            <w:r w:rsidRPr="00143624">
              <w:t>34</w:t>
            </w:r>
          </w:p>
        </w:tc>
        <w:tc>
          <w:tcPr>
            <w:tcW w:w="2285" w:type="pct"/>
            <w:shd w:val="clear" w:color="auto" w:fill="auto"/>
          </w:tcPr>
          <w:p w:rsidR="007D17C5" w:rsidRPr="00143624" w:rsidRDefault="007D17C5" w:rsidP="009558BE">
            <w:pPr>
              <w:pStyle w:val="Tabletext"/>
            </w:pPr>
            <w:r w:rsidRPr="00143624">
              <w:rPr>
                <w:color w:val="000000"/>
              </w:rPr>
              <w:t>86</w:t>
            </w:r>
          </w:p>
        </w:tc>
        <w:tc>
          <w:tcPr>
            <w:tcW w:w="2286" w:type="pct"/>
            <w:shd w:val="clear" w:color="auto" w:fill="auto"/>
          </w:tcPr>
          <w:p w:rsidR="007D17C5" w:rsidRPr="00143624" w:rsidRDefault="007D17C5" w:rsidP="009558BE">
            <w:pPr>
              <w:pStyle w:val="Tabletext"/>
            </w:pPr>
            <w:r w:rsidRPr="00143624">
              <w:rPr>
                <w:color w:val="000000"/>
              </w:rPr>
              <w:t>0.116</w:t>
            </w:r>
          </w:p>
        </w:tc>
      </w:tr>
      <w:tr w:rsidR="007D17C5" w:rsidRPr="00143624" w:rsidTr="009558BE">
        <w:tc>
          <w:tcPr>
            <w:tcW w:w="429" w:type="pct"/>
            <w:shd w:val="clear" w:color="auto" w:fill="auto"/>
          </w:tcPr>
          <w:p w:rsidR="007D17C5" w:rsidRPr="00143624" w:rsidRDefault="007D17C5" w:rsidP="009558BE">
            <w:pPr>
              <w:pStyle w:val="Tabletext"/>
            </w:pPr>
            <w:r w:rsidRPr="00143624">
              <w:t>35</w:t>
            </w:r>
          </w:p>
        </w:tc>
        <w:tc>
          <w:tcPr>
            <w:tcW w:w="2285" w:type="pct"/>
            <w:shd w:val="clear" w:color="auto" w:fill="auto"/>
          </w:tcPr>
          <w:p w:rsidR="007D17C5" w:rsidRPr="00143624" w:rsidRDefault="007D17C5" w:rsidP="009558BE">
            <w:pPr>
              <w:pStyle w:val="Tabletext"/>
            </w:pPr>
            <w:r w:rsidRPr="00143624">
              <w:rPr>
                <w:color w:val="000000"/>
              </w:rPr>
              <w:t>87</w:t>
            </w:r>
          </w:p>
        </w:tc>
        <w:tc>
          <w:tcPr>
            <w:tcW w:w="2286" w:type="pct"/>
            <w:shd w:val="clear" w:color="auto" w:fill="auto"/>
          </w:tcPr>
          <w:p w:rsidR="007D17C5" w:rsidRPr="00143624" w:rsidRDefault="007D17C5" w:rsidP="009558BE">
            <w:pPr>
              <w:pStyle w:val="Tabletext"/>
            </w:pPr>
            <w:r w:rsidRPr="00143624">
              <w:rPr>
                <w:color w:val="000000"/>
              </w:rPr>
              <w:t>0.128</w:t>
            </w:r>
          </w:p>
        </w:tc>
      </w:tr>
      <w:tr w:rsidR="007D17C5" w:rsidRPr="00143624" w:rsidTr="009558BE">
        <w:tc>
          <w:tcPr>
            <w:tcW w:w="429" w:type="pct"/>
            <w:shd w:val="clear" w:color="auto" w:fill="auto"/>
          </w:tcPr>
          <w:p w:rsidR="007D17C5" w:rsidRPr="00143624" w:rsidRDefault="007D17C5" w:rsidP="009558BE">
            <w:pPr>
              <w:pStyle w:val="Tabletext"/>
            </w:pPr>
            <w:r w:rsidRPr="00143624">
              <w:t>36</w:t>
            </w:r>
          </w:p>
        </w:tc>
        <w:tc>
          <w:tcPr>
            <w:tcW w:w="2285" w:type="pct"/>
            <w:shd w:val="clear" w:color="auto" w:fill="auto"/>
          </w:tcPr>
          <w:p w:rsidR="007D17C5" w:rsidRPr="00143624" w:rsidRDefault="007D17C5" w:rsidP="009558BE">
            <w:pPr>
              <w:pStyle w:val="Tabletext"/>
            </w:pPr>
            <w:r w:rsidRPr="00143624">
              <w:rPr>
                <w:color w:val="000000"/>
              </w:rPr>
              <w:t>88</w:t>
            </w:r>
          </w:p>
        </w:tc>
        <w:tc>
          <w:tcPr>
            <w:tcW w:w="2286" w:type="pct"/>
            <w:shd w:val="clear" w:color="auto" w:fill="auto"/>
          </w:tcPr>
          <w:p w:rsidR="007D17C5" w:rsidRPr="00143624" w:rsidRDefault="007D17C5" w:rsidP="009558BE">
            <w:pPr>
              <w:pStyle w:val="Tabletext"/>
            </w:pPr>
            <w:r w:rsidRPr="00143624">
              <w:rPr>
                <w:color w:val="000000"/>
              </w:rPr>
              <w:t>0.139</w:t>
            </w:r>
          </w:p>
        </w:tc>
      </w:tr>
      <w:tr w:rsidR="007D17C5" w:rsidRPr="00143624" w:rsidTr="009558BE">
        <w:tc>
          <w:tcPr>
            <w:tcW w:w="429" w:type="pct"/>
            <w:shd w:val="clear" w:color="auto" w:fill="auto"/>
          </w:tcPr>
          <w:p w:rsidR="007D17C5" w:rsidRPr="00143624" w:rsidRDefault="007D17C5" w:rsidP="009558BE">
            <w:pPr>
              <w:pStyle w:val="Tabletext"/>
            </w:pPr>
            <w:r w:rsidRPr="00143624">
              <w:t>37</w:t>
            </w:r>
          </w:p>
        </w:tc>
        <w:tc>
          <w:tcPr>
            <w:tcW w:w="2285" w:type="pct"/>
            <w:shd w:val="clear" w:color="auto" w:fill="auto"/>
          </w:tcPr>
          <w:p w:rsidR="007D17C5" w:rsidRPr="00143624" w:rsidRDefault="007D17C5" w:rsidP="009558BE">
            <w:pPr>
              <w:pStyle w:val="Tabletext"/>
            </w:pPr>
            <w:r w:rsidRPr="00143624">
              <w:rPr>
                <w:color w:val="000000"/>
              </w:rPr>
              <w:t>89</w:t>
            </w:r>
          </w:p>
        </w:tc>
        <w:tc>
          <w:tcPr>
            <w:tcW w:w="2286" w:type="pct"/>
            <w:shd w:val="clear" w:color="auto" w:fill="auto"/>
          </w:tcPr>
          <w:p w:rsidR="007D17C5" w:rsidRPr="00143624" w:rsidRDefault="007D17C5" w:rsidP="009558BE">
            <w:pPr>
              <w:pStyle w:val="Tabletext"/>
            </w:pPr>
            <w:r w:rsidRPr="00143624">
              <w:rPr>
                <w:color w:val="000000"/>
              </w:rPr>
              <w:t>0.149</w:t>
            </w:r>
          </w:p>
        </w:tc>
      </w:tr>
      <w:tr w:rsidR="007D17C5" w:rsidRPr="00143624" w:rsidTr="009558BE">
        <w:tc>
          <w:tcPr>
            <w:tcW w:w="429" w:type="pct"/>
            <w:shd w:val="clear" w:color="auto" w:fill="auto"/>
          </w:tcPr>
          <w:p w:rsidR="007D17C5" w:rsidRPr="00143624" w:rsidRDefault="007D17C5" w:rsidP="009558BE">
            <w:pPr>
              <w:pStyle w:val="Tabletext"/>
            </w:pPr>
            <w:r w:rsidRPr="00143624">
              <w:t>38</w:t>
            </w:r>
          </w:p>
        </w:tc>
        <w:tc>
          <w:tcPr>
            <w:tcW w:w="2285" w:type="pct"/>
            <w:shd w:val="clear" w:color="auto" w:fill="auto"/>
          </w:tcPr>
          <w:p w:rsidR="007D17C5" w:rsidRPr="00143624" w:rsidRDefault="007D17C5" w:rsidP="009558BE">
            <w:pPr>
              <w:pStyle w:val="Tabletext"/>
            </w:pPr>
            <w:r w:rsidRPr="00143624">
              <w:rPr>
                <w:color w:val="000000"/>
              </w:rPr>
              <w:t>90</w:t>
            </w:r>
          </w:p>
        </w:tc>
        <w:tc>
          <w:tcPr>
            <w:tcW w:w="2286" w:type="pct"/>
            <w:shd w:val="clear" w:color="auto" w:fill="auto"/>
          </w:tcPr>
          <w:p w:rsidR="007D17C5" w:rsidRPr="00143624" w:rsidRDefault="007D17C5" w:rsidP="009558BE">
            <w:pPr>
              <w:pStyle w:val="Tabletext"/>
            </w:pPr>
            <w:r w:rsidRPr="00143624">
              <w:rPr>
                <w:color w:val="000000"/>
              </w:rPr>
              <w:t>0.159</w:t>
            </w:r>
          </w:p>
        </w:tc>
      </w:tr>
      <w:tr w:rsidR="007D17C5" w:rsidRPr="00143624" w:rsidTr="009558BE">
        <w:tc>
          <w:tcPr>
            <w:tcW w:w="429" w:type="pct"/>
            <w:shd w:val="clear" w:color="auto" w:fill="auto"/>
          </w:tcPr>
          <w:p w:rsidR="007D17C5" w:rsidRPr="00143624" w:rsidRDefault="007D17C5" w:rsidP="009558BE">
            <w:pPr>
              <w:pStyle w:val="Tabletext"/>
            </w:pPr>
            <w:r w:rsidRPr="00143624">
              <w:t>39</w:t>
            </w:r>
          </w:p>
        </w:tc>
        <w:tc>
          <w:tcPr>
            <w:tcW w:w="2285" w:type="pct"/>
            <w:shd w:val="clear" w:color="auto" w:fill="auto"/>
          </w:tcPr>
          <w:p w:rsidR="007D17C5" w:rsidRPr="00143624" w:rsidRDefault="007D17C5" w:rsidP="009558BE">
            <w:pPr>
              <w:pStyle w:val="Tabletext"/>
            </w:pPr>
            <w:r w:rsidRPr="00143624">
              <w:rPr>
                <w:color w:val="000000"/>
              </w:rPr>
              <w:t>91</w:t>
            </w:r>
          </w:p>
        </w:tc>
        <w:tc>
          <w:tcPr>
            <w:tcW w:w="2286" w:type="pct"/>
            <w:shd w:val="clear" w:color="auto" w:fill="auto"/>
          </w:tcPr>
          <w:p w:rsidR="007D17C5" w:rsidRPr="00143624" w:rsidRDefault="007D17C5" w:rsidP="009558BE">
            <w:pPr>
              <w:pStyle w:val="Tabletext"/>
            </w:pPr>
            <w:r w:rsidRPr="00143624">
              <w:rPr>
                <w:color w:val="000000"/>
              </w:rPr>
              <w:t>0.168</w:t>
            </w:r>
          </w:p>
        </w:tc>
      </w:tr>
      <w:tr w:rsidR="007D17C5" w:rsidRPr="00143624" w:rsidTr="009558BE">
        <w:tc>
          <w:tcPr>
            <w:tcW w:w="429" w:type="pct"/>
            <w:shd w:val="clear" w:color="auto" w:fill="auto"/>
          </w:tcPr>
          <w:p w:rsidR="007D17C5" w:rsidRPr="00143624" w:rsidRDefault="007D17C5" w:rsidP="009558BE">
            <w:pPr>
              <w:pStyle w:val="Tabletext"/>
            </w:pPr>
            <w:r w:rsidRPr="00143624">
              <w:t>40</w:t>
            </w:r>
          </w:p>
        </w:tc>
        <w:tc>
          <w:tcPr>
            <w:tcW w:w="2285" w:type="pct"/>
            <w:shd w:val="clear" w:color="auto" w:fill="auto"/>
          </w:tcPr>
          <w:p w:rsidR="007D17C5" w:rsidRPr="00143624" w:rsidRDefault="007D17C5" w:rsidP="009558BE">
            <w:pPr>
              <w:pStyle w:val="Tabletext"/>
            </w:pPr>
            <w:r w:rsidRPr="00143624">
              <w:rPr>
                <w:color w:val="000000"/>
              </w:rPr>
              <w:t>92</w:t>
            </w:r>
          </w:p>
        </w:tc>
        <w:tc>
          <w:tcPr>
            <w:tcW w:w="2286" w:type="pct"/>
            <w:shd w:val="clear" w:color="auto" w:fill="auto"/>
          </w:tcPr>
          <w:p w:rsidR="007D17C5" w:rsidRPr="00143624" w:rsidRDefault="007D17C5" w:rsidP="009558BE">
            <w:pPr>
              <w:pStyle w:val="Tabletext"/>
            </w:pPr>
            <w:r w:rsidRPr="00143624">
              <w:rPr>
                <w:color w:val="000000"/>
              </w:rPr>
              <w:t>0.176</w:t>
            </w:r>
          </w:p>
        </w:tc>
      </w:tr>
      <w:tr w:rsidR="007D17C5" w:rsidRPr="00143624" w:rsidTr="009558BE">
        <w:tc>
          <w:tcPr>
            <w:tcW w:w="429" w:type="pct"/>
            <w:shd w:val="clear" w:color="auto" w:fill="auto"/>
          </w:tcPr>
          <w:p w:rsidR="007D17C5" w:rsidRPr="00143624" w:rsidRDefault="007D17C5" w:rsidP="009558BE">
            <w:pPr>
              <w:pStyle w:val="Tabletext"/>
            </w:pPr>
            <w:r w:rsidRPr="00143624">
              <w:t>41</w:t>
            </w:r>
          </w:p>
        </w:tc>
        <w:tc>
          <w:tcPr>
            <w:tcW w:w="2285" w:type="pct"/>
            <w:shd w:val="clear" w:color="auto" w:fill="auto"/>
          </w:tcPr>
          <w:p w:rsidR="007D17C5" w:rsidRPr="00143624" w:rsidRDefault="007D17C5" w:rsidP="009558BE">
            <w:pPr>
              <w:pStyle w:val="Tabletext"/>
            </w:pPr>
            <w:r w:rsidRPr="00143624">
              <w:rPr>
                <w:color w:val="000000"/>
              </w:rPr>
              <w:t>93</w:t>
            </w:r>
          </w:p>
        </w:tc>
        <w:tc>
          <w:tcPr>
            <w:tcW w:w="2286" w:type="pct"/>
            <w:shd w:val="clear" w:color="auto" w:fill="auto"/>
          </w:tcPr>
          <w:p w:rsidR="007D17C5" w:rsidRPr="00143624" w:rsidRDefault="007D17C5" w:rsidP="009558BE">
            <w:pPr>
              <w:pStyle w:val="Tabletext"/>
            </w:pPr>
            <w:r w:rsidRPr="00143624">
              <w:rPr>
                <w:color w:val="000000"/>
              </w:rPr>
              <w:t>0.184</w:t>
            </w:r>
          </w:p>
        </w:tc>
      </w:tr>
      <w:tr w:rsidR="007D17C5" w:rsidRPr="00143624" w:rsidTr="009558BE">
        <w:tc>
          <w:tcPr>
            <w:tcW w:w="429" w:type="pct"/>
            <w:shd w:val="clear" w:color="auto" w:fill="auto"/>
          </w:tcPr>
          <w:p w:rsidR="007D17C5" w:rsidRPr="00143624" w:rsidRDefault="007D17C5" w:rsidP="009558BE">
            <w:pPr>
              <w:pStyle w:val="Tabletext"/>
            </w:pPr>
            <w:r w:rsidRPr="00143624">
              <w:t>42</w:t>
            </w:r>
          </w:p>
        </w:tc>
        <w:tc>
          <w:tcPr>
            <w:tcW w:w="2285" w:type="pct"/>
            <w:shd w:val="clear" w:color="auto" w:fill="auto"/>
          </w:tcPr>
          <w:p w:rsidR="007D17C5" w:rsidRPr="00143624" w:rsidRDefault="007D17C5" w:rsidP="009558BE">
            <w:pPr>
              <w:pStyle w:val="Tabletext"/>
            </w:pPr>
            <w:r w:rsidRPr="00143624">
              <w:rPr>
                <w:color w:val="000000"/>
              </w:rPr>
              <w:t>94</w:t>
            </w:r>
          </w:p>
        </w:tc>
        <w:tc>
          <w:tcPr>
            <w:tcW w:w="2286" w:type="pct"/>
            <w:shd w:val="clear" w:color="auto" w:fill="auto"/>
          </w:tcPr>
          <w:p w:rsidR="007D17C5" w:rsidRPr="00143624" w:rsidRDefault="007D17C5" w:rsidP="009558BE">
            <w:pPr>
              <w:pStyle w:val="Tabletext"/>
            </w:pPr>
            <w:r w:rsidRPr="00143624">
              <w:rPr>
                <w:color w:val="000000"/>
              </w:rPr>
              <w:t>0.193</w:t>
            </w:r>
          </w:p>
        </w:tc>
      </w:tr>
      <w:tr w:rsidR="007D17C5" w:rsidRPr="00143624" w:rsidTr="009558BE">
        <w:tc>
          <w:tcPr>
            <w:tcW w:w="429" w:type="pct"/>
            <w:shd w:val="clear" w:color="auto" w:fill="auto"/>
          </w:tcPr>
          <w:p w:rsidR="007D17C5" w:rsidRPr="00143624" w:rsidRDefault="007D17C5" w:rsidP="009558BE">
            <w:pPr>
              <w:pStyle w:val="Tabletext"/>
            </w:pPr>
            <w:r w:rsidRPr="00143624">
              <w:t>43</w:t>
            </w:r>
          </w:p>
        </w:tc>
        <w:tc>
          <w:tcPr>
            <w:tcW w:w="2285" w:type="pct"/>
            <w:shd w:val="clear" w:color="auto" w:fill="auto"/>
          </w:tcPr>
          <w:p w:rsidR="007D17C5" w:rsidRPr="00143624" w:rsidRDefault="007D17C5" w:rsidP="009558BE">
            <w:pPr>
              <w:pStyle w:val="Tabletext"/>
            </w:pPr>
            <w:r w:rsidRPr="00143624">
              <w:rPr>
                <w:color w:val="000000"/>
              </w:rPr>
              <w:t>95</w:t>
            </w:r>
          </w:p>
        </w:tc>
        <w:tc>
          <w:tcPr>
            <w:tcW w:w="2286" w:type="pct"/>
            <w:shd w:val="clear" w:color="auto" w:fill="auto"/>
          </w:tcPr>
          <w:p w:rsidR="007D17C5" w:rsidRPr="00143624" w:rsidRDefault="007D17C5" w:rsidP="009558BE">
            <w:pPr>
              <w:pStyle w:val="Tabletext"/>
            </w:pPr>
            <w:r w:rsidRPr="00143624">
              <w:rPr>
                <w:color w:val="000000"/>
              </w:rPr>
              <w:t>0.202</w:t>
            </w:r>
          </w:p>
        </w:tc>
      </w:tr>
      <w:tr w:rsidR="007D17C5" w:rsidRPr="00143624" w:rsidTr="009558BE">
        <w:tc>
          <w:tcPr>
            <w:tcW w:w="429" w:type="pct"/>
            <w:shd w:val="clear" w:color="auto" w:fill="auto"/>
          </w:tcPr>
          <w:p w:rsidR="007D17C5" w:rsidRPr="00143624" w:rsidRDefault="007D17C5" w:rsidP="009558BE">
            <w:pPr>
              <w:pStyle w:val="Tabletext"/>
            </w:pPr>
            <w:r w:rsidRPr="00143624">
              <w:t>44</w:t>
            </w:r>
          </w:p>
        </w:tc>
        <w:tc>
          <w:tcPr>
            <w:tcW w:w="2285" w:type="pct"/>
            <w:shd w:val="clear" w:color="auto" w:fill="auto"/>
          </w:tcPr>
          <w:p w:rsidR="007D17C5" w:rsidRPr="00143624" w:rsidRDefault="007D17C5" w:rsidP="009558BE">
            <w:pPr>
              <w:pStyle w:val="Tabletext"/>
            </w:pPr>
            <w:r w:rsidRPr="00143624">
              <w:rPr>
                <w:color w:val="000000"/>
              </w:rPr>
              <w:t>96</w:t>
            </w:r>
          </w:p>
        </w:tc>
        <w:tc>
          <w:tcPr>
            <w:tcW w:w="2286" w:type="pct"/>
            <w:shd w:val="clear" w:color="auto" w:fill="auto"/>
          </w:tcPr>
          <w:p w:rsidR="007D17C5" w:rsidRPr="00143624" w:rsidRDefault="007D17C5" w:rsidP="009558BE">
            <w:pPr>
              <w:pStyle w:val="Tabletext"/>
            </w:pPr>
            <w:r w:rsidRPr="00143624">
              <w:rPr>
                <w:color w:val="000000"/>
              </w:rPr>
              <w:t>0.211</w:t>
            </w:r>
          </w:p>
        </w:tc>
      </w:tr>
      <w:tr w:rsidR="007D17C5" w:rsidRPr="00143624" w:rsidTr="009558BE">
        <w:tc>
          <w:tcPr>
            <w:tcW w:w="429" w:type="pct"/>
            <w:shd w:val="clear" w:color="auto" w:fill="auto"/>
          </w:tcPr>
          <w:p w:rsidR="007D17C5" w:rsidRPr="00143624" w:rsidRDefault="007D17C5" w:rsidP="009558BE">
            <w:pPr>
              <w:pStyle w:val="Tabletext"/>
            </w:pPr>
            <w:r w:rsidRPr="00143624">
              <w:t>45</w:t>
            </w:r>
          </w:p>
        </w:tc>
        <w:tc>
          <w:tcPr>
            <w:tcW w:w="2285" w:type="pct"/>
            <w:shd w:val="clear" w:color="auto" w:fill="auto"/>
          </w:tcPr>
          <w:p w:rsidR="007D17C5" w:rsidRPr="00143624" w:rsidRDefault="007D17C5" w:rsidP="009558BE">
            <w:pPr>
              <w:pStyle w:val="Tabletext"/>
            </w:pPr>
            <w:r w:rsidRPr="00143624">
              <w:rPr>
                <w:color w:val="000000"/>
              </w:rPr>
              <w:t>97</w:t>
            </w:r>
          </w:p>
        </w:tc>
        <w:tc>
          <w:tcPr>
            <w:tcW w:w="2286" w:type="pct"/>
            <w:shd w:val="clear" w:color="auto" w:fill="auto"/>
          </w:tcPr>
          <w:p w:rsidR="007D17C5" w:rsidRPr="00143624" w:rsidRDefault="007D17C5" w:rsidP="009558BE">
            <w:pPr>
              <w:pStyle w:val="Tabletext"/>
            </w:pPr>
            <w:r w:rsidRPr="00143624">
              <w:rPr>
                <w:color w:val="000000"/>
              </w:rPr>
              <w:t>0.219</w:t>
            </w:r>
          </w:p>
        </w:tc>
      </w:tr>
      <w:tr w:rsidR="007D17C5" w:rsidRPr="00143624" w:rsidTr="009558BE">
        <w:tc>
          <w:tcPr>
            <w:tcW w:w="429" w:type="pct"/>
            <w:shd w:val="clear" w:color="auto" w:fill="auto"/>
          </w:tcPr>
          <w:p w:rsidR="007D17C5" w:rsidRPr="00143624" w:rsidRDefault="007D17C5" w:rsidP="009558BE">
            <w:pPr>
              <w:pStyle w:val="Tabletext"/>
            </w:pPr>
            <w:r w:rsidRPr="00143624">
              <w:t>46</w:t>
            </w:r>
          </w:p>
        </w:tc>
        <w:tc>
          <w:tcPr>
            <w:tcW w:w="2285" w:type="pct"/>
            <w:shd w:val="clear" w:color="auto" w:fill="auto"/>
          </w:tcPr>
          <w:p w:rsidR="007D17C5" w:rsidRPr="00143624" w:rsidRDefault="007D17C5" w:rsidP="009558BE">
            <w:pPr>
              <w:pStyle w:val="Tabletext"/>
            </w:pPr>
            <w:r w:rsidRPr="00143624">
              <w:rPr>
                <w:color w:val="000000"/>
              </w:rPr>
              <w:t>98</w:t>
            </w:r>
          </w:p>
        </w:tc>
        <w:tc>
          <w:tcPr>
            <w:tcW w:w="2286" w:type="pct"/>
            <w:shd w:val="clear" w:color="auto" w:fill="auto"/>
          </w:tcPr>
          <w:p w:rsidR="007D17C5" w:rsidRPr="00143624" w:rsidRDefault="007D17C5" w:rsidP="009558BE">
            <w:pPr>
              <w:pStyle w:val="Tabletext"/>
            </w:pPr>
            <w:r w:rsidRPr="00143624">
              <w:rPr>
                <w:color w:val="000000"/>
              </w:rPr>
              <w:t>0.228</w:t>
            </w:r>
          </w:p>
        </w:tc>
      </w:tr>
      <w:tr w:rsidR="007D17C5" w:rsidRPr="00143624" w:rsidTr="009558BE">
        <w:tc>
          <w:tcPr>
            <w:tcW w:w="429" w:type="pct"/>
            <w:tcBorders>
              <w:bottom w:val="single" w:sz="2" w:space="0" w:color="auto"/>
            </w:tcBorders>
            <w:shd w:val="clear" w:color="auto" w:fill="auto"/>
          </w:tcPr>
          <w:p w:rsidR="007D17C5" w:rsidRPr="00143624" w:rsidRDefault="007D17C5" w:rsidP="009558BE">
            <w:pPr>
              <w:pStyle w:val="Tabletext"/>
            </w:pPr>
            <w:r w:rsidRPr="00143624">
              <w:t>47</w:t>
            </w:r>
          </w:p>
        </w:tc>
        <w:tc>
          <w:tcPr>
            <w:tcW w:w="2285" w:type="pct"/>
            <w:tcBorders>
              <w:bottom w:val="single" w:sz="2" w:space="0" w:color="auto"/>
            </w:tcBorders>
            <w:shd w:val="clear" w:color="auto" w:fill="auto"/>
          </w:tcPr>
          <w:p w:rsidR="007D17C5" w:rsidRPr="00143624" w:rsidRDefault="007D17C5" w:rsidP="009558BE">
            <w:pPr>
              <w:pStyle w:val="Tabletext"/>
            </w:pPr>
            <w:r w:rsidRPr="00143624">
              <w:rPr>
                <w:color w:val="000000"/>
              </w:rPr>
              <w:t>99</w:t>
            </w:r>
          </w:p>
        </w:tc>
        <w:tc>
          <w:tcPr>
            <w:tcW w:w="2286" w:type="pct"/>
            <w:tcBorders>
              <w:bottom w:val="single" w:sz="2" w:space="0" w:color="auto"/>
            </w:tcBorders>
            <w:shd w:val="clear" w:color="auto" w:fill="auto"/>
          </w:tcPr>
          <w:p w:rsidR="007D17C5" w:rsidRPr="00143624" w:rsidRDefault="007D17C5" w:rsidP="009558BE">
            <w:pPr>
              <w:pStyle w:val="Tabletext"/>
            </w:pPr>
            <w:r w:rsidRPr="00143624">
              <w:rPr>
                <w:color w:val="000000"/>
              </w:rPr>
              <w:t>0.236</w:t>
            </w:r>
          </w:p>
        </w:tc>
      </w:tr>
      <w:tr w:rsidR="007D17C5" w:rsidRPr="00143624" w:rsidTr="009558BE">
        <w:tc>
          <w:tcPr>
            <w:tcW w:w="429"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t>48</w:t>
            </w:r>
          </w:p>
        </w:tc>
        <w:tc>
          <w:tcPr>
            <w:tcW w:w="2285"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100</w:t>
            </w:r>
          </w:p>
        </w:tc>
        <w:tc>
          <w:tcPr>
            <w:tcW w:w="2286"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1.000</w:t>
            </w:r>
          </w:p>
        </w:tc>
      </w:tr>
    </w:tbl>
    <w:p w:rsidR="007D17C5" w:rsidRPr="00143624" w:rsidRDefault="007D17C5" w:rsidP="007D17C5">
      <w:pPr>
        <w:pStyle w:val="ActHead5"/>
      </w:pPr>
      <w:bookmarkStart w:id="224" w:name="_Toc64030480"/>
      <w:r w:rsidRPr="003F3E0B">
        <w:rPr>
          <w:rStyle w:val="CharSectno"/>
        </w:rPr>
        <w:t>3.10</w:t>
      </w:r>
      <w:r w:rsidRPr="00143624">
        <w:t xml:space="preserve">  Taxed and untaxed benefits</w:t>
      </w:r>
      <w:bookmarkEnd w:id="224"/>
    </w:p>
    <w:p w:rsidR="007D17C5" w:rsidRPr="00143624" w:rsidRDefault="007D17C5" w:rsidP="007D17C5">
      <w:pPr>
        <w:pStyle w:val="subsection"/>
      </w:pPr>
      <w:r w:rsidRPr="00143624">
        <w:tab/>
      </w:r>
      <w:r w:rsidRPr="00143624">
        <w:tab/>
        <w:t>If the rules of the fund provide for benefits to be paid on either a taxed or an untaxed basis, the actuary is to assume that the employer component of the fund benefit is paid as a taxed benefit.</w:t>
      </w:r>
    </w:p>
    <w:p w:rsidR="007D17C5" w:rsidRPr="00143624" w:rsidRDefault="007D17C5" w:rsidP="007D17C5">
      <w:pPr>
        <w:pStyle w:val="notetext"/>
      </w:pPr>
      <w:r w:rsidRPr="00143624">
        <w:t>Note:</w:t>
      </w:r>
      <w:r w:rsidRPr="00143624">
        <w:tab/>
        <w:t>This situation applies to a small number of funds where the employer component of the fund benefit is generally met by a last</w:t>
      </w:r>
      <w:r w:rsidR="00143624">
        <w:noBreakHyphen/>
      </w:r>
      <w:r w:rsidRPr="00143624">
        <w:t>minute contribution to the superannuation fund.</w:t>
      </w:r>
    </w:p>
    <w:p w:rsidR="007D17C5" w:rsidRPr="00143624" w:rsidRDefault="007D17C5" w:rsidP="007D17C5">
      <w:pPr>
        <w:pStyle w:val="ActHead5"/>
      </w:pPr>
      <w:bookmarkStart w:id="225" w:name="_Toc64030481"/>
      <w:r w:rsidRPr="003F3E0B">
        <w:rPr>
          <w:rStyle w:val="CharSectno"/>
        </w:rPr>
        <w:t>3.11</w:t>
      </w:r>
      <w:r w:rsidRPr="00143624">
        <w:t xml:space="preserve">  Other assumptions to be set by the actuary</w:t>
      </w:r>
      <w:bookmarkEnd w:id="225"/>
    </w:p>
    <w:p w:rsidR="007D17C5" w:rsidRPr="00143624" w:rsidRDefault="007D17C5" w:rsidP="007D17C5">
      <w:pPr>
        <w:pStyle w:val="subsection"/>
      </w:pPr>
      <w:r w:rsidRPr="00143624">
        <w:rPr>
          <w:color w:val="000000"/>
        </w:rPr>
        <w:tab/>
        <w:t>(1)</w:t>
      </w:r>
      <w:r w:rsidRPr="00143624">
        <w:rPr>
          <w:color w:val="000000"/>
        </w:rPr>
        <w:tab/>
        <w:t>Any other assumptions which may be necessary are to be set by the actuary responsible for calculating the new entrant rate.</w:t>
      </w:r>
    </w:p>
    <w:p w:rsidR="007D17C5" w:rsidRPr="00143624" w:rsidRDefault="007D17C5" w:rsidP="007D17C5">
      <w:pPr>
        <w:pStyle w:val="subsection"/>
      </w:pPr>
      <w:r w:rsidRPr="00143624">
        <w:rPr>
          <w:color w:val="000000"/>
        </w:rPr>
        <w:tab/>
        <w:t>(2)</w:t>
      </w:r>
      <w:r w:rsidRPr="00143624">
        <w:rPr>
          <w:color w:val="000000"/>
        </w:rPr>
        <w:tab/>
        <w:t>The assumptions are to be based on the assumptions used in the most recent actuarial valuation of the fund, unless the actuary believes, having regard to the expected future experience of the fund, that they are no longer appropriate.</w:t>
      </w:r>
    </w:p>
    <w:p w:rsidR="007D17C5" w:rsidRPr="00143624" w:rsidRDefault="007D17C5" w:rsidP="007D17C5">
      <w:pPr>
        <w:pStyle w:val="subsection"/>
      </w:pPr>
      <w:r w:rsidRPr="00143624">
        <w:tab/>
        <w:t>(3)</w:t>
      </w:r>
      <w:r w:rsidRPr="00143624">
        <w:tab/>
        <w:t>If the actuary believes that the assumptions used in the most recent actuarial valuation are no longer appropriate, the assumptions should be set on a best estimate basis.</w:t>
      </w:r>
    </w:p>
    <w:p w:rsidR="007D17C5" w:rsidRPr="00143624" w:rsidRDefault="007D17C5" w:rsidP="007D17C5">
      <w:pPr>
        <w:pStyle w:val="ActHead2"/>
        <w:pageBreakBefore/>
      </w:pPr>
      <w:bookmarkStart w:id="226" w:name="_Toc64030482"/>
      <w:r w:rsidRPr="003F3E0B">
        <w:rPr>
          <w:rStyle w:val="CharPartNo"/>
        </w:rPr>
        <w:lastRenderedPageBreak/>
        <w:t>Part</w:t>
      </w:r>
      <w:r w:rsidR="002B1A95" w:rsidRPr="003F3E0B">
        <w:rPr>
          <w:rStyle w:val="CharPartNo"/>
        </w:rPr>
        <w:t> </w:t>
      </w:r>
      <w:r w:rsidRPr="003F3E0B">
        <w:rPr>
          <w:rStyle w:val="CharPartNo"/>
        </w:rPr>
        <w:t>4</w:t>
      </w:r>
      <w:r w:rsidRPr="00143624">
        <w:t>—</w:t>
      </w:r>
      <w:r w:rsidRPr="003F3E0B">
        <w:rPr>
          <w:rStyle w:val="CharPartText"/>
        </w:rPr>
        <w:t>Exercise of discretion to pay a benefit greater than the benefit assumed in calculating the new entrant rate</w:t>
      </w:r>
      <w:bookmarkEnd w:id="226"/>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27" w:name="_Toc64030483"/>
      <w:r w:rsidRPr="003F3E0B">
        <w:rPr>
          <w:rStyle w:val="CharSectno"/>
        </w:rPr>
        <w:t>4.1</w:t>
      </w:r>
      <w:r w:rsidRPr="00143624">
        <w:t xml:space="preserve">  Method of working out the increased exit benefit adjustment amount in the formula in clause 1.8</w:t>
      </w:r>
      <w:bookmarkEnd w:id="227"/>
    </w:p>
    <w:p w:rsidR="007D17C5" w:rsidRPr="00143624" w:rsidRDefault="007D17C5" w:rsidP="007D17C5">
      <w:pPr>
        <w:pStyle w:val="subsection"/>
      </w:pPr>
      <w:r w:rsidRPr="00143624">
        <w:tab/>
      </w:r>
      <w:r w:rsidRPr="00143624">
        <w:tab/>
        <w:t>For the purposes of the formula in clause 1.8:</w:t>
      </w:r>
    </w:p>
    <w:p w:rsidR="007D17C5" w:rsidRPr="00143624" w:rsidRDefault="007D17C5" w:rsidP="007D17C5">
      <w:pPr>
        <w:pStyle w:val="paragraph"/>
      </w:pPr>
      <w:r w:rsidRPr="00143624">
        <w:tab/>
        <w:t>(a)</w:t>
      </w:r>
      <w:r w:rsidRPr="00143624">
        <w:tab/>
        <w:t>for a financial year in which the trustee of the defined benefit fund pays, as a result of an exercise of a discretion, a benefit to the member on:</w:t>
      </w:r>
    </w:p>
    <w:p w:rsidR="007D17C5" w:rsidRPr="00143624" w:rsidRDefault="007D17C5" w:rsidP="007D17C5">
      <w:pPr>
        <w:pStyle w:val="paragraphsub"/>
      </w:pPr>
      <w:r w:rsidRPr="00143624">
        <w:tab/>
        <w:t>(i)</w:t>
      </w:r>
      <w:r w:rsidRPr="00143624">
        <w:tab/>
        <w:t>voluntary exit; or</w:t>
      </w:r>
    </w:p>
    <w:p w:rsidR="007D17C5" w:rsidRPr="00143624" w:rsidRDefault="007D17C5" w:rsidP="007D17C5">
      <w:pPr>
        <w:pStyle w:val="paragraphsub"/>
      </w:pPr>
      <w:r w:rsidRPr="00143624">
        <w:tab/>
        <w:t>(ii)</w:t>
      </w:r>
      <w:r w:rsidRPr="00143624">
        <w:tab/>
        <w:t>redundancy that is not bona fide;</w:t>
      </w:r>
    </w:p>
    <w:p w:rsidR="007D17C5" w:rsidRPr="00143624" w:rsidRDefault="007D17C5" w:rsidP="007D17C5">
      <w:pPr>
        <w:pStyle w:val="paragraph"/>
      </w:pPr>
      <w:r w:rsidRPr="00143624">
        <w:tab/>
      </w:r>
      <w:r w:rsidRPr="00143624">
        <w:tab/>
        <w:t xml:space="preserve">which exceeds the benefit assumed in calculating the new entrant rate for the benefit category to which the member belongs at the time the benefit is paid—the </w:t>
      </w:r>
      <w:r w:rsidRPr="00143624">
        <w:rPr>
          <w:b/>
          <w:i/>
        </w:rPr>
        <w:t>increased exit benefit adjustment amount</w:t>
      </w:r>
      <w:r w:rsidRPr="00143624">
        <w:t xml:space="preserve"> equals an amount worked out on advice from an actuary that represents the amount of the excess; and</w:t>
      </w:r>
    </w:p>
    <w:p w:rsidR="007D17C5" w:rsidRPr="00143624" w:rsidRDefault="007D17C5" w:rsidP="007D17C5">
      <w:pPr>
        <w:pStyle w:val="paragraph"/>
      </w:pPr>
      <w:r w:rsidRPr="00143624">
        <w:tab/>
        <w:t>(b)</w:t>
      </w:r>
      <w:r w:rsidRPr="00143624">
        <w:tab/>
        <w:t xml:space="preserve">for any other financial year—the </w:t>
      </w:r>
      <w:r w:rsidRPr="00143624">
        <w:rPr>
          <w:b/>
          <w:i/>
        </w:rPr>
        <w:t>increased exit benefit adjustment amount</w:t>
      </w:r>
      <w:r w:rsidRPr="00143624">
        <w:t xml:space="preserve"> equals zero.</w:t>
      </w:r>
    </w:p>
    <w:p w:rsidR="007D17C5" w:rsidRPr="00143624" w:rsidRDefault="007D17C5" w:rsidP="007D17C5">
      <w:pPr>
        <w:pStyle w:val="notetext"/>
      </w:pPr>
      <w:r w:rsidRPr="00143624">
        <w:t>Note:</w:t>
      </w:r>
      <w:r w:rsidRPr="00143624">
        <w:tab/>
        <w:t>If the trustee decides to pay an untaxed benefit rather than a taxed benefit, any excess of the amount of the untaxed benefit over the amount of the taxed benefit that would otherwise have been payable is not to be included in the increased exit benefit adjustment amount.</w:t>
      </w:r>
    </w:p>
    <w:p w:rsidR="007D17C5" w:rsidRPr="00143624" w:rsidRDefault="007D17C5" w:rsidP="007D17C5">
      <w:pPr>
        <w:pStyle w:val="ActHead2"/>
        <w:pageBreakBefore/>
      </w:pPr>
      <w:bookmarkStart w:id="228" w:name="_Toc64030484"/>
      <w:r w:rsidRPr="003F3E0B">
        <w:rPr>
          <w:rStyle w:val="CharPartNo"/>
        </w:rPr>
        <w:lastRenderedPageBreak/>
        <w:t>Part</w:t>
      </w:r>
      <w:r w:rsidR="002B1A95" w:rsidRPr="003F3E0B">
        <w:rPr>
          <w:rStyle w:val="CharPartNo"/>
        </w:rPr>
        <w:t> </w:t>
      </w:r>
      <w:r w:rsidRPr="003F3E0B">
        <w:rPr>
          <w:rStyle w:val="CharPartNo"/>
        </w:rPr>
        <w:t>5</w:t>
      </w:r>
      <w:r w:rsidRPr="00143624">
        <w:t>—</w:t>
      </w:r>
      <w:r w:rsidRPr="003F3E0B">
        <w:rPr>
          <w:rStyle w:val="CharPartText"/>
        </w:rPr>
        <w:t>Member has changed benefit category</w:t>
      </w:r>
      <w:bookmarkEnd w:id="228"/>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29" w:name="_Toc64030485"/>
      <w:r w:rsidRPr="003F3E0B">
        <w:rPr>
          <w:rStyle w:val="CharSectno"/>
        </w:rPr>
        <w:t>5.1</w:t>
      </w:r>
      <w:r w:rsidRPr="00143624">
        <w:t xml:space="preserve">  Method of working out the</w:t>
      </w:r>
      <w:r w:rsidRPr="00143624">
        <w:rPr>
          <w:color w:val="000000"/>
        </w:rPr>
        <w:t xml:space="preserve"> </w:t>
      </w:r>
      <w:r w:rsidRPr="00143624">
        <w:t>category change or discretion adjustment amount in the formula in clause 1.8</w:t>
      </w:r>
      <w:bookmarkEnd w:id="229"/>
    </w:p>
    <w:p w:rsidR="007D17C5" w:rsidRPr="00143624" w:rsidRDefault="007D17C5" w:rsidP="007D17C5">
      <w:pPr>
        <w:pStyle w:val="subsection"/>
      </w:pPr>
      <w:r w:rsidRPr="00143624">
        <w:tab/>
        <w:t>(1)</w:t>
      </w:r>
      <w:r w:rsidRPr="00143624">
        <w:tab/>
        <w:t>For the purposes of the formula in clause 1.8:</w:t>
      </w:r>
    </w:p>
    <w:p w:rsidR="007D17C5" w:rsidRPr="00143624" w:rsidRDefault="007D17C5" w:rsidP="007D17C5">
      <w:pPr>
        <w:pStyle w:val="paragraph"/>
      </w:pPr>
      <w:r w:rsidRPr="00143624">
        <w:tab/>
        <w:t>(a)</w:t>
      </w:r>
      <w:r w:rsidRPr="00143624">
        <w:tab/>
        <w:t>for a financial year in which the member’s accrued retirement benefit increases as a result of:</w:t>
      </w:r>
    </w:p>
    <w:p w:rsidR="007D17C5" w:rsidRPr="00143624" w:rsidRDefault="007D17C5" w:rsidP="007D17C5">
      <w:pPr>
        <w:pStyle w:val="paragraphsub"/>
      </w:pPr>
      <w:r w:rsidRPr="00143624">
        <w:tab/>
        <w:t>(i)</w:t>
      </w:r>
      <w:r w:rsidRPr="00143624">
        <w:tab/>
        <w:t>a change of benefit category; or</w:t>
      </w:r>
    </w:p>
    <w:p w:rsidR="007D17C5" w:rsidRPr="00143624" w:rsidRDefault="007D17C5" w:rsidP="007D17C5">
      <w:pPr>
        <w:pStyle w:val="paragraphsub"/>
      </w:pPr>
      <w:r w:rsidRPr="00143624">
        <w:tab/>
        <w:t>(ii)</w:t>
      </w:r>
      <w:r w:rsidRPr="00143624">
        <w:tab/>
        <w:t>an exercise of discretion;</w:t>
      </w:r>
    </w:p>
    <w:p w:rsidR="007D17C5" w:rsidRPr="00143624" w:rsidRDefault="007D17C5" w:rsidP="007D17C5">
      <w:pPr>
        <w:pStyle w:val="paragraph"/>
      </w:pPr>
      <w:r w:rsidRPr="00143624">
        <w:rPr>
          <w:color w:val="000000"/>
        </w:rPr>
        <w:tab/>
      </w:r>
      <w:r w:rsidRPr="00143624">
        <w:rPr>
          <w:color w:val="000000"/>
        </w:rPr>
        <w:tab/>
        <w:t xml:space="preserve">the </w:t>
      </w:r>
      <w:r w:rsidRPr="00143624">
        <w:rPr>
          <w:b/>
          <w:i/>
        </w:rPr>
        <w:t>category change or discretion adjustment amount</w:t>
      </w:r>
      <w:r w:rsidRPr="00143624">
        <w:rPr>
          <w:color w:val="000000"/>
        </w:rPr>
        <w:t xml:space="preserve"> </w:t>
      </w:r>
      <w:r w:rsidRPr="00143624">
        <w:t>equals an amount worked out on advice from an actuary that represents the increase in the value of the accrued retirement benefit, if any, as a result of the change in benefit category or the exercise of the discretion; and</w:t>
      </w:r>
    </w:p>
    <w:p w:rsidR="007D17C5" w:rsidRPr="00143624" w:rsidRDefault="007D17C5" w:rsidP="007D17C5">
      <w:pPr>
        <w:pStyle w:val="paragraph"/>
      </w:pPr>
      <w:r w:rsidRPr="00143624">
        <w:rPr>
          <w:color w:val="000000"/>
        </w:rPr>
        <w:tab/>
        <w:t>(b)</w:t>
      </w:r>
      <w:r w:rsidRPr="00143624">
        <w:rPr>
          <w:color w:val="000000"/>
        </w:rPr>
        <w:tab/>
        <w:t xml:space="preserve">for any other financial year—the </w:t>
      </w:r>
      <w:r w:rsidRPr="00143624">
        <w:rPr>
          <w:b/>
          <w:i/>
        </w:rPr>
        <w:t>category change or discretion adjustment amount</w:t>
      </w:r>
      <w:r w:rsidRPr="00143624">
        <w:rPr>
          <w:color w:val="000000"/>
        </w:rPr>
        <w:t xml:space="preserve"> equals zero.</w:t>
      </w:r>
    </w:p>
    <w:p w:rsidR="007D17C5" w:rsidRPr="00143624" w:rsidRDefault="007D17C5" w:rsidP="007D17C5">
      <w:pPr>
        <w:pStyle w:val="subsection"/>
      </w:pPr>
      <w:r w:rsidRPr="00143624">
        <w:rPr>
          <w:i/>
        </w:rPr>
        <w:tab/>
      </w:r>
      <w:r w:rsidRPr="00143624">
        <w:t>(2)</w:t>
      </w:r>
      <w:r w:rsidRPr="00143624">
        <w:tab/>
        <w:t xml:space="preserve">The economic, </w:t>
      </w:r>
      <w:r w:rsidRPr="00143624">
        <w:rPr>
          <w:color w:val="000000"/>
        </w:rPr>
        <w:t xml:space="preserve">decrement and other parameters </w:t>
      </w:r>
      <w:r w:rsidRPr="00143624">
        <w:t>and the</w:t>
      </w:r>
      <w:r w:rsidRPr="00143624">
        <w:rPr>
          <w:i/>
        </w:rPr>
        <w:t xml:space="preserve"> </w:t>
      </w:r>
      <w:r w:rsidRPr="00143624">
        <w:t>other assumptions to be used are set out in Part</w:t>
      </w:r>
      <w:r w:rsidR="002B1A95" w:rsidRPr="00143624">
        <w:t> </w:t>
      </w:r>
      <w:r w:rsidRPr="00143624">
        <w:t>3.</w:t>
      </w:r>
    </w:p>
    <w:p w:rsidR="007D17C5" w:rsidRPr="00143624" w:rsidRDefault="007D17C5" w:rsidP="007D17C5">
      <w:pPr>
        <w:pStyle w:val="ActHead2"/>
        <w:pageBreakBefore/>
      </w:pPr>
      <w:bookmarkStart w:id="230" w:name="_Toc64030486"/>
      <w:r w:rsidRPr="003F3E0B">
        <w:rPr>
          <w:rStyle w:val="CharPartNo"/>
        </w:rPr>
        <w:lastRenderedPageBreak/>
        <w:t>Part</w:t>
      </w:r>
      <w:r w:rsidR="002B1A95" w:rsidRPr="003F3E0B">
        <w:rPr>
          <w:rStyle w:val="CharPartNo"/>
        </w:rPr>
        <w:t> </w:t>
      </w:r>
      <w:r w:rsidRPr="003F3E0B">
        <w:rPr>
          <w:rStyle w:val="CharPartNo"/>
        </w:rPr>
        <w:t>6</w:t>
      </w:r>
      <w:r w:rsidRPr="00143624">
        <w:t>—</w:t>
      </w:r>
      <w:r w:rsidRPr="003F3E0B">
        <w:rPr>
          <w:rStyle w:val="CharPartText"/>
        </w:rPr>
        <w:t>Governing rules have changed</w:t>
      </w:r>
      <w:bookmarkEnd w:id="230"/>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31" w:name="_Toc64030487"/>
      <w:r w:rsidRPr="003F3E0B">
        <w:rPr>
          <w:rStyle w:val="CharSectno"/>
        </w:rPr>
        <w:t>6.1</w:t>
      </w:r>
      <w:r w:rsidRPr="00143624">
        <w:t xml:space="preserve">  Method of working out governing rules change adjustment amount in the formula in clause 1.8</w:t>
      </w:r>
      <w:bookmarkEnd w:id="231"/>
    </w:p>
    <w:p w:rsidR="007D17C5" w:rsidRPr="00143624" w:rsidRDefault="007D17C5" w:rsidP="007D17C5">
      <w:pPr>
        <w:pStyle w:val="subsection"/>
      </w:pPr>
      <w:r w:rsidRPr="00143624">
        <w:tab/>
        <w:t>(1)</w:t>
      </w:r>
      <w:r w:rsidRPr="00143624">
        <w:tab/>
        <w:t>For the purposes of the formula in clause 1.8:</w:t>
      </w:r>
    </w:p>
    <w:p w:rsidR="007D17C5" w:rsidRPr="00143624" w:rsidRDefault="007D17C5" w:rsidP="007D17C5">
      <w:pPr>
        <w:pStyle w:val="paragraph"/>
      </w:pPr>
      <w:r w:rsidRPr="00143624">
        <w:tab/>
        <w:t>(a)</w:t>
      </w:r>
      <w:r w:rsidRPr="00143624">
        <w:tab/>
        <w:t>for a financial year in which there is an amendment of the governing rules (within the meaning of subsection</w:t>
      </w:r>
      <w:r w:rsidR="002B1A95" w:rsidRPr="00143624">
        <w:t> </w:t>
      </w:r>
      <w:r w:rsidRPr="00143624">
        <w:t>10(1) of the SIS Act)</w:t>
      </w:r>
      <w:r w:rsidRPr="00143624">
        <w:rPr>
          <w:i/>
        </w:rPr>
        <w:t xml:space="preserve"> </w:t>
      </w:r>
      <w:r w:rsidRPr="00143624">
        <w:t>of the defined benefit fund that:</w:t>
      </w:r>
    </w:p>
    <w:p w:rsidR="007D17C5" w:rsidRPr="00143624" w:rsidRDefault="007D17C5" w:rsidP="007D17C5">
      <w:pPr>
        <w:pStyle w:val="paragraphsub"/>
      </w:pPr>
      <w:r w:rsidRPr="00143624">
        <w:tab/>
        <w:t>(i)</w:t>
      </w:r>
      <w:r w:rsidRPr="00143624">
        <w:tab/>
        <w:t>may result in an increase in the member’s benefit; and</w:t>
      </w:r>
    </w:p>
    <w:p w:rsidR="007D17C5" w:rsidRPr="00143624" w:rsidRDefault="007D17C5" w:rsidP="007D17C5">
      <w:pPr>
        <w:pStyle w:val="paragraphsub"/>
      </w:pPr>
      <w:r w:rsidRPr="00143624">
        <w:tab/>
        <w:t>(ii)</w:t>
      </w:r>
      <w:r w:rsidRPr="00143624">
        <w:tab/>
        <w:t>is made for a reason other than to satisfy a legislative requirement;</w:t>
      </w:r>
    </w:p>
    <w:p w:rsidR="007D17C5" w:rsidRPr="00143624" w:rsidRDefault="007D17C5" w:rsidP="007D17C5">
      <w:pPr>
        <w:pStyle w:val="paragraph"/>
        <w:rPr>
          <w:color w:val="000000"/>
        </w:rPr>
      </w:pPr>
      <w:r w:rsidRPr="00143624">
        <w:tab/>
      </w:r>
      <w:r w:rsidRPr="00143624">
        <w:tab/>
        <w:t xml:space="preserve">the </w:t>
      </w:r>
      <w:r w:rsidRPr="00143624">
        <w:rPr>
          <w:b/>
          <w:i/>
        </w:rPr>
        <w:t>governing rules change adjustment amount</w:t>
      </w:r>
      <w:r w:rsidRPr="00143624">
        <w:t xml:space="preserve"> equals </w:t>
      </w:r>
      <w:r w:rsidRPr="00143624">
        <w:rPr>
          <w:color w:val="000000"/>
        </w:rPr>
        <w:t>an amount worked out on advice from an actuary that represents the increase in the value of the accrued retirement benefit, if any, that accrued to the member as a result of the amendment to the governing rules; and</w:t>
      </w:r>
    </w:p>
    <w:p w:rsidR="007D17C5" w:rsidRPr="00143624" w:rsidRDefault="007D17C5" w:rsidP="007D17C5">
      <w:pPr>
        <w:pStyle w:val="paragraph"/>
      </w:pPr>
      <w:r w:rsidRPr="00143624">
        <w:rPr>
          <w:color w:val="000000"/>
        </w:rPr>
        <w:tab/>
        <w:t>(b)</w:t>
      </w:r>
      <w:r w:rsidRPr="00143624">
        <w:rPr>
          <w:color w:val="000000"/>
        </w:rPr>
        <w:tab/>
        <w:t xml:space="preserve">for any other financial year—the </w:t>
      </w:r>
      <w:r w:rsidRPr="00143624">
        <w:rPr>
          <w:b/>
          <w:i/>
        </w:rPr>
        <w:t>governing rules change adjustment amount</w:t>
      </w:r>
      <w:r w:rsidRPr="00143624">
        <w:t xml:space="preserve"> equals zero.</w:t>
      </w:r>
    </w:p>
    <w:p w:rsidR="007D17C5" w:rsidRPr="00143624" w:rsidRDefault="007D17C5" w:rsidP="007D17C5">
      <w:pPr>
        <w:pStyle w:val="subsection"/>
      </w:pPr>
      <w:r w:rsidRPr="00143624">
        <w:tab/>
        <w:t>(2)</w:t>
      </w:r>
      <w:r w:rsidRPr="00143624">
        <w:tab/>
        <w:t xml:space="preserve">The economic, </w:t>
      </w:r>
      <w:r w:rsidRPr="00143624">
        <w:rPr>
          <w:color w:val="000000"/>
        </w:rPr>
        <w:t>decrement and other parameters</w:t>
      </w:r>
      <w:r w:rsidRPr="00143624">
        <w:t xml:space="preserve"> and the other assumptions to be used are set out in Part</w:t>
      </w:r>
      <w:r w:rsidR="002B1A95" w:rsidRPr="00143624">
        <w:t> </w:t>
      </w:r>
      <w:r w:rsidRPr="00143624">
        <w:t>3.</w:t>
      </w:r>
    </w:p>
    <w:p w:rsidR="007D17C5" w:rsidRPr="00143624" w:rsidRDefault="007D17C5" w:rsidP="007D17C5">
      <w:pPr>
        <w:pStyle w:val="ActHead2"/>
        <w:pageBreakBefore/>
      </w:pPr>
      <w:bookmarkStart w:id="232" w:name="_Toc64030488"/>
      <w:r w:rsidRPr="003F3E0B">
        <w:rPr>
          <w:rStyle w:val="CharPartNo"/>
        </w:rPr>
        <w:lastRenderedPageBreak/>
        <w:t>Part</w:t>
      </w:r>
      <w:r w:rsidR="002B1A95" w:rsidRPr="003F3E0B">
        <w:rPr>
          <w:rStyle w:val="CharPartNo"/>
        </w:rPr>
        <w:t> </w:t>
      </w:r>
      <w:r w:rsidRPr="003F3E0B">
        <w:rPr>
          <w:rStyle w:val="CharPartNo"/>
        </w:rPr>
        <w:t>7</w:t>
      </w:r>
      <w:r w:rsidRPr="00143624">
        <w:t>—</w:t>
      </w:r>
      <w:r w:rsidRPr="003F3E0B">
        <w:rPr>
          <w:rStyle w:val="CharPartText"/>
        </w:rPr>
        <w:t>Non</w:t>
      </w:r>
      <w:r w:rsidR="00143624" w:rsidRPr="003F3E0B">
        <w:rPr>
          <w:rStyle w:val="CharPartText"/>
        </w:rPr>
        <w:noBreakHyphen/>
      </w:r>
      <w:r w:rsidRPr="003F3E0B">
        <w:rPr>
          <w:rStyle w:val="CharPartText"/>
        </w:rPr>
        <w:t>arm’s length increase in superannuation salary</w:t>
      </w:r>
      <w:bookmarkEnd w:id="232"/>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33" w:name="_Toc64030489"/>
      <w:r w:rsidRPr="003F3E0B">
        <w:rPr>
          <w:rStyle w:val="CharSectno"/>
        </w:rPr>
        <w:t>7.1</w:t>
      </w:r>
      <w:r w:rsidRPr="00143624">
        <w:t xml:space="preserve">  Method of working out the increased superannuation salary adjustment amount</w:t>
      </w:r>
      <w:r w:rsidRPr="00143624">
        <w:rPr>
          <w:b w:val="0"/>
          <w:i/>
        </w:rPr>
        <w:t xml:space="preserve"> </w:t>
      </w:r>
      <w:r w:rsidRPr="00143624">
        <w:t>in the formula in clause 1.8</w:t>
      </w:r>
      <w:bookmarkEnd w:id="233"/>
    </w:p>
    <w:p w:rsidR="007D17C5" w:rsidRPr="00143624" w:rsidRDefault="007D17C5" w:rsidP="007D17C5">
      <w:pPr>
        <w:pStyle w:val="subsection"/>
      </w:pPr>
      <w:r w:rsidRPr="00143624">
        <w:tab/>
        <w:t>(1)</w:t>
      </w:r>
      <w:r w:rsidRPr="00143624">
        <w:tab/>
        <w:t>For the purposes of the formula in clause 1.8:</w:t>
      </w:r>
    </w:p>
    <w:p w:rsidR="007D17C5" w:rsidRPr="00143624" w:rsidRDefault="007D17C5" w:rsidP="007D17C5">
      <w:pPr>
        <w:pStyle w:val="paragraph"/>
      </w:pPr>
      <w:r w:rsidRPr="00143624">
        <w:tab/>
        <w:t>(a)</w:t>
      </w:r>
      <w:r w:rsidRPr="00143624">
        <w:tab/>
        <w:t xml:space="preserve">for a financial year in which the member’s </w:t>
      </w:r>
      <w:r w:rsidRPr="00143624">
        <w:rPr>
          <w:color w:val="000000"/>
        </w:rPr>
        <w:t>superannuation salary is increased in a non</w:t>
      </w:r>
      <w:r w:rsidR="00143624">
        <w:rPr>
          <w:color w:val="000000"/>
        </w:rPr>
        <w:noBreakHyphen/>
      </w:r>
      <w:r w:rsidRPr="00143624">
        <w:rPr>
          <w:color w:val="000000"/>
        </w:rPr>
        <w:t xml:space="preserve">arm’s length way with the primary purpose of achieving an increase in superannuation benefit—the </w:t>
      </w:r>
      <w:r w:rsidRPr="00143624">
        <w:rPr>
          <w:b/>
          <w:i/>
          <w:color w:val="000000"/>
        </w:rPr>
        <w:t>increased superannuation salary adjustment amount</w:t>
      </w:r>
      <w:r w:rsidRPr="00143624">
        <w:rPr>
          <w:color w:val="000000"/>
        </w:rPr>
        <w:t xml:space="preserve"> equals a</w:t>
      </w:r>
      <w:r w:rsidRPr="00143624">
        <w:t>n amount worked out on advice from an actuary that represents the increase in the value of the accrued retirement benefit, if any, that accrued to the member as a result of the change in superannuation salary; and</w:t>
      </w:r>
    </w:p>
    <w:p w:rsidR="007D17C5" w:rsidRPr="00143624" w:rsidRDefault="007D17C5" w:rsidP="007D17C5">
      <w:pPr>
        <w:pStyle w:val="paragraph"/>
        <w:rPr>
          <w:b/>
          <w:i/>
        </w:rPr>
      </w:pPr>
      <w:r w:rsidRPr="00143624">
        <w:tab/>
        <w:t>(b)</w:t>
      </w:r>
      <w:r w:rsidRPr="00143624">
        <w:tab/>
        <w:t xml:space="preserve">for any other financial year—the </w:t>
      </w:r>
      <w:r w:rsidRPr="00143624">
        <w:rPr>
          <w:b/>
          <w:i/>
        </w:rPr>
        <w:t>increased superannuation salary adjustment amount</w:t>
      </w:r>
      <w:r w:rsidRPr="00143624">
        <w:rPr>
          <w:color w:val="000000"/>
        </w:rPr>
        <w:t xml:space="preserve"> equals zero.</w:t>
      </w:r>
    </w:p>
    <w:p w:rsidR="007D17C5" w:rsidRPr="00143624" w:rsidRDefault="007D17C5" w:rsidP="007D17C5">
      <w:pPr>
        <w:pStyle w:val="subsection"/>
      </w:pPr>
      <w:r w:rsidRPr="00143624">
        <w:tab/>
        <w:t>(2)</w:t>
      </w:r>
      <w:r w:rsidRPr="00143624">
        <w:tab/>
        <w:t>The economic</w:t>
      </w:r>
      <w:r w:rsidRPr="00143624">
        <w:rPr>
          <w:i/>
          <w:color w:val="000000"/>
        </w:rPr>
        <w:t xml:space="preserve">, </w:t>
      </w:r>
      <w:r w:rsidRPr="00143624">
        <w:rPr>
          <w:color w:val="000000"/>
        </w:rPr>
        <w:t>decrement and other parameters</w:t>
      </w:r>
      <w:r w:rsidRPr="00143624">
        <w:t xml:space="preserve"> and the other assumptions to be used are set out in Part</w:t>
      </w:r>
      <w:r w:rsidR="002B1A95" w:rsidRPr="00143624">
        <w:t> </w:t>
      </w:r>
      <w:r w:rsidRPr="00143624">
        <w:t>3.</w:t>
      </w:r>
    </w:p>
    <w:p w:rsidR="007D17C5" w:rsidRPr="00143624" w:rsidRDefault="00F5399E" w:rsidP="00E95BBE">
      <w:pPr>
        <w:pStyle w:val="ActHead1"/>
        <w:pageBreakBefore/>
      </w:pPr>
      <w:bookmarkStart w:id="234" w:name="_Toc64030490"/>
      <w:r w:rsidRPr="003F3E0B">
        <w:rPr>
          <w:rStyle w:val="CharChapNo"/>
        </w:rPr>
        <w:lastRenderedPageBreak/>
        <w:t>Schedule 1</w:t>
      </w:r>
      <w:r w:rsidR="007D17C5" w:rsidRPr="003F3E0B">
        <w:rPr>
          <w:rStyle w:val="CharChapNo"/>
        </w:rPr>
        <w:t>AA</w:t>
      </w:r>
      <w:r w:rsidR="007D17C5" w:rsidRPr="00143624">
        <w:t>—</w:t>
      </w:r>
      <w:r w:rsidR="007D17C5" w:rsidRPr="003F3E0B">
        <w:rPr>
          <w:rStyle w:val="CharChapText"/>
        </w:rPr>
        <w:t>Working out defined benefit contributions</w:t>
      </w:r>
      <w:bookmarkEnd w:id="234"/>
    </w:p>
    <w:p w:rsidR="00E95BBE" w:rsidRPr="00143624" w:rsidRDefault="007D17C5" w:rsidP="00E95BBE">
      <w:pPr>
        <w:pStyle w:val="notemargin"/>
        <w:rPr>
          <w:color w:val="000000"/>
        </w:rPr>
      </w:pPr>
      <w:r w:rsidRPr="00143624">
        <w:t>Note:</w:t>
      </w:r>
      <w:r w:rsidRPr="00143624">
        <w:tab/>
        <w:t>See subsection 293</w:t>
      </w:r>
      <w:r w:rsidR="00143624">
        <w:noBreakHyphen/>
      </w:r>
      <w:r w:rsidRPr="00143624">
        <w:t>115.20(2).</w:t>
      </w:r>
    </w:p>
    <w:p w:rsidR="00E95BBE" w:rsidRPr="00143624" w:rsidRDefault="00E95BBE" w:rsidP="00E95BBE">
      <w:pPr>
        <w:pStyle w:val="ActHead2"/>
      </w:pPr>
      <w:bookmarkStart w:id="235" w:name="_Toc64030491"/>
      <w:r w:rsidRPr="003F3E0B">
        <w:rPr>
          <w:rStyle w:val="CharPartNo"/>
        </w:rPr>
        <w:t>Part 1</w:t>
      </w:r>
      <w:r w:rsidRPr="00143624">
        <w:t>—</w:t>
      </w:r>
      <w:r w:rsidRPr="003F3E0B">
        <w:rPr>
          <w:rStyle w:val="CharPartText"/>
        </w:rPr>
        <w:t>Preliminary</w:t>
      </w:r>
      <w:bookmarkEnd w:id="235"/>
    </w:p>
    <w:p w:rsidR="007D17C5" w:rsidRPr="00143624" w:rsidRDefault="007D17C5" w:rsidP="00E95BBE">
      <w:pPr>
        <w:pStyle w:val="ActHead3"/>
      </w:pPr>
      <w:bookmarkStart w:id="236" w:name="_Toc64030492"/>
      <w:r w:rsidRPr="003F3E0B">
        <w:rPr>
          <w:rStyle w:val="CharDivNo"/>
        </w:rPr>
        <w:t>Division</w:t>
      </w:r>
      <w:r w:rsidR="002B1A95" w:rsidRPr="003F3E0B">
        <w:rPr>
          <w:rStyle w:val="CharDivNo"/>
        </w:rPr>
        <w:t> </w:t>
      </w:r>
      <w:r w:rsidRPr="003F3E0B">
        <w:rPr>
          <w:rStyle w:val="CharDivNo"/>
        </w:rPr>
        <w:t>1</w:t>
      </w:r>
      <w:r w:rsidRPr="00143624">
        <w:t>—</w:t>
      </w:r>
      <w:r w:rsidRPr="003F3E0B">
        <w:rPr>
          <w:rStyle w:val="CharDivText"/>
        </w:rPr>
        <w:t>Definitions</w:t>
      </w:r>
      <w:bookmarkEnd w:id="236"/>
    </w:p>
    <w:p w:rsidR="007D17C5" w:rsidRPr="00143624" w:rsidRDefault="007D17C5" w:rsidP="007D17C5">
      <w:pPr>
        <w:pStyle w:val="ActHead5"/>
      </w:pPr>
      <w:bookmarkStart w:id="237" w:name="_Toc64030493"/>
      <w:r w:rsidRPr="003F3E0B">
        <w:rPr>
          <w:rStyle w:val="CharSectno"/>
        </w:rPr>
        <w:t>1</w:t>
      </w:r>
      <w:r w:rsidRPr="00143624">
        <w:t xml:space="preserve">  Meaning of </w:t>
      </w:r>
      <w:r w:rsidRPr="00143624">
        <w:rPr>
          <w:i/>
        </w:rPr>
        <w:t>accruing member</w:t>
      </w:r>
      <w:bookmarkEnd w:id="237"/>
    </w:p>
    <w:p w:rsidR="007D17C5" w:rsidRPr="00143624" w:rsidRDefault="007D17C5" w:rsidP="007D17C5">
      <w:pPr>
        <w:pStyle w:val="subsection"/>
      </w:pPr>
      <w:r w:rsidRPr="00143624">
        <w:tab/>
      </w:r>
      <w:r w:rsidRPr="00143624">
        <w:tab/>
        <w:t xml:space="preserve">In this Schedule, </w:t>
      </w:r>
      <w:r w:rsidRPr="00143624">
        <w:rPr>
          <w:b/>
          <w:i/>
        </w:rPr>
        <w:t>accruing member</w:t>
      </w:r>
      <w:r w:rsidRPr="00143624">
        <w:t xml:space="preserve"> of a superannuation fund for a financial year, has the meaning given by subsection 293</w:t>
      </w:r>
      <w:r w:rsidR="00143624">
        <w:noBreakHyphen/>
      </w:r>
      <w:r w:rsidRPr="00143624">
        <w:t>115.05(2).</w:t>
      </w:r>
    </w:p>
    <w:p w:rsidR="007D17C5" w:rsidRPr="00143624" w:rsidRDefault="007D17C5" w:rsidP="007D17C5">
      <w:pPr>
        <w:pStyle w:val="ActHead5"/>
      </w:pPr>
      <w:bookmarkStart w:id="238" w:name="_Toc64030494"/>
      <w:r w:rsidRPr="003F3E0B">
        <w:rPr>
          <w:rStyle w:val="CharSectno"/>
        </w:rPr>
        <w:t>2</w:t>
      </w:r>
      <w:r w:rsidRPr="00143624">
        <w:t xml:space="preserve">  Meaning of </w:t>
      </w:r>
      <w:r w:rsidRPr="00143624">
        <w:rPr>
          <w:i/>
        </w:rPr>
        <w:t>benefit category</w:t>
      </w:r>
      <w:bookmarkEnd w:id="238"/>
    </w:p>
    <w:p w:rsidR="007D17C5" w:rsidRPr="00143624" w:rsidRDefault="007D17C5" w:rsidP="007D17C5">
      <w:pPr>
        <w:pStyle w:val="subsection"/>
      </w:pPr>
      <w:r w:rsidRPr="00143624">
        <w:rPr>
          <w:color w:val="000000"/>
        </w:rPr>
        <w:tab/>
        <w:t>(1)</w:t>
      </w:r>
      <w:r w:rsidRPr="00143624">
        <w:rPr>
          <w:color w:val="000000"/>
        </w:rPr>
        <w:tab/>
        <w:t xml:space="preserve">A </w:t>
      </w:r>
      <w:r w:rsidRPr="00143624">
        <w:rPr>
          <w:b/>
          <w:i/>
          <w:color w:val="000000"/>
        </w:rPr>
        <w:t>benefit category</w:t>
      </w:r>
      <w:r w:rsidRPr="00143624">
        <w:rPr>
          <w:color w:val="000000"/>
        </w:rPr>
        <w:t xml:space="preserve"> is a category of membership of a defined benefit fund as certified by an actuary.</w:t>
      </w:r>
    </w:p>
    <w:p w:rsidR="007D17C5" w:rsidRPr="00143624" w:rsidRDefault="007D17C5" w:rsidP="007D17C5">
      <w:pPr>
        <w:pStyle w:val="subsection"/>
      </w:pPr>
      <w:r w:rsidRPr="00143624">
        <w:tab/>
        <w:t>(2)</w:t>
      </w:r>
      <w:r w:rsidRPr="00143624">
        <w:tab/>
        <w:t>An actuary must not certify a category of membership to be a benefit category unless the actuary is satisfied that:</w:t>
      </w:r>
    </w:p>
    <w:p w:rsidR="007D17C5" w:rsidRPr="00143624" w:rsidRDefault="007D17C5" w:rsidP="007D17C5">
      <w:pPr>
        <w:pStyle w:val="paragraph"/>
      </w:pPr>
      <w:r w:rsidRPr="00143624">
        <w:rPr>
          <w:color w:val="000000"/>
        </w:rPr>
        <w:tab/>
        <w:t>(a)</w:t>
      </w:r>
      <w:r w:rsidRPr="00143624">
        <w:rPr>
          <w:color w:val="000000"/>
        </w:rPr>
        <w:tab/>
        <w:t>each hypothetical new entrant to the benefit category with the same entry age would accrue retirement benefits on substantially the same basis</w:t>
      </w:r>
      <w:r w:rsidRPr="00143624">
        <w:t>; or</w:t>
      </w:r>
    </w:p>
    <w:p w:rsidR="007D17C5" w:rsidRPr="00143624" w:rsidRDefault="007D17C5" w:rsidP="007D17C5">
      <w:pPr>
        <w:pStyle w:val="paragraph"/>
      </w:pPr>
      <w:r w:rsidRPr="00143624">
        <w:tab/>
        <w:t>(b)</w:t>
      </w:r>
      <w:r w:rsidRPr="00143624">
        <w:tab/>
        <w:t>if any 2 hypothetical new entrants to the benefit category accrued retirement benefits on a different basis, the new entrant rates for each member calculated under Parts</w:t>
      </w:r>
      <w:r w:rsidR="002B1A95" w:rsidRPr="00143624">
        <w:t> </w:t>
      </w:r>
      <w:r w:rsidRPr="00143624">
        <w:t>2 and 3 would be equal.</w:t>
      </w:r>
    </w:p>
    <w:p w:rsidR="007D17C5" w:rsidRPr="00143624" w:rsidRDefault="007D17C5" w:rsidP="007D17C5">
      <w:pPr>
        <w:pStyle w:val="ActHead5"/>
      </w:pPr>
      <w:bookmarkStart w:id="239" w:name="_Toc64030495"/>
      <w:r w:rsidRPr="003F3E0B">
        <w:rPr>
          <w:rStyle w:val="CharSectno"/>
        </w:rPr>
        <w:t>2A</w:t>
      </w:r>
      <w:r w:rsidRPr="00143624">
        <w:t xml:space="preserve">  Meaning of </w:t>
      </w:r>
      <w:r w:rsidRPr="00143624">
        <w:rPr>
          <w:i/>
        </w:rPr>
        <w:t>defined benefit fund</w:t>
      </w:r>
      <w:bookmarkEnd w:id="239"/>
    </w:p>
    <w:p w:rsidR="007D17C5" w:rsidRPr="00143624" w:rsidRDefault="007D17C5" w:rsidP="007D17C5">
      <w:pPr>
        <w:pStyle w:val="subsection"/>
      </w:pPr>
      <w:r w:rsidRPr="00143624">
        <w:tab/>
      </w:r>
      <w:r w:rsidRPr="00143624">
        <w:tab/>
        <w:t xml:space="preserve">A </w:t>
      </w:r>
      <w:r w:rsidRPr="00143624">
        <w:rPr>
          <w:b/>
          <w:i/>
        </w:rPr>
        <w:t>defined benefit fund</w:t>
      </w:r>
      <w:r w:rsidRPr="00143624">
        <w:t xml:space="preserve"> is a superannuation fund in which a member has a defined benefit interest.</w:t>
      </w:r>
    </w:p>
    <w:p w:rsidR="007D17C5" w:rsidRPr="00143624" w:rsidRDefault="007D17C5" w:rsidP="007D17C5">
      <w:pPr>
        <w:pStyle w:val="ActHead5"/>
      </w:pPr>
      <w:bookmarkStart w:id="240" w:name="_Toc64030496"/>
      <w:r w:rsidRPr="003F3E0B">
        <w:rPr>
          <w:rStyle w:val="CharSectno"/>
        </w:rPr>
        <w:t>2B</w:t>
      </w:r>
      <w:r w:rsidRPr="00143624">
        <w:t xml:space="preserve">  Treatment of superannuation sub</w:t>
      </w:r>
      <w:r w:rsidR="00143624">
        <w:noBreakHyphen/>
      </w:r>
      <w:r w:rsidRPr="00143624">
        <w:t>funds</w:t>
      </w:r>
      <w:bookmarkEnd w:id="240"/>
    </w:p>
    <w:p w:rsidR="007D17C5" w:rsidRPr="00143624" w:rsidRDefault="007D17C5" w:rsidP="007D17C5">
      <w:pPr>
        <w:pStyle w:val="subsection"/>
      </w:pPr>
      <w:r w:rsidRPr="00143624">
        <w:tab/>
      </w:r>
      <w:r w:rsidRPr="00143624">
        <w:tab/>
        <w:t>If there are 2 or more superannuation sub</w:t>
      </w:r>
      <w:r w:rsidR="00143624">
        <w:noBreakHyphen/>
      </w:r>
      <w:r w:rsidRPr="00143624">
        <w:t>funds in relation to defined benefit members of a superannuation fund, apply this Schedule to the superannuation fund separately in respect of each superannuation sub</w:t>
      </w:r>
      <w:r w:rsidR="00143624">
        <w:noBreakHyphen/>
      </w:r>
      <w:r w:rsidRPr="00143624">
        <w:t>fund.</w:t>
      </w:r>
    </w:p>
    <w:p w:rsidR="007D17C5" w:rsidRPr="00143624" w:rsidRDefault="007D17C5" w:rsidP="007D17C5">
      <w:pPr>
        <w:pStyle w:val="ActHead5"/>
      </w:pPr>
      <w:bookmarkStart w:id="241" w:name="_Toc64030497"/>
      <w:r w:rsidRPr="003F3E0B">
        <w:rPr>
          <w:rStyle w:val="CharSectno"/>
        </w:rPr>
        <w:t>3</w:t>
      </w:r>
      <w:r w:rsidRPr="00143624">
        <w:t xml:space="preserve">  Accruing member must not belong to more than one benefit category at the same time unless certified by an actuary</w:t>
      </w:r>
      <w:bookmarkEnd w:id="241"/>
    </w:p>
    <w:p w:rsidR="007D17C5" w:rsidRPr="00143624" w:rsidRDefault="007D17C5" w:rsidP="007D17C5">
      <w:pPr>
        <w:pStyle w:val="subsection"/>
      </w:pPr>
      <w:r w:rsidRPr="00143624">
        <w:rPr>
          <w:color w:val="000000"/>
        </w:rPr>
        <w:tab/>
        <w:t>(1)</w:t>
      </w:r>
      <w:r w:rsidRPr="00143624">
        <w:rPr>
          <w:color w:val="000000"/>
        </w:rPr>
        <w:tab/>
        <w:t>An accruing member must not belong to more than one benefit category of the same defined benefit fund on the same day unless certified by an actuary.</w:t>
      </w:r>
    </w:p>
    <w:p w:rsidR="007D17C5" w:rsidRPr="00143624" w:rsidRDefault="007D17C5" w:rsidP="007D17C5">
      <w:pPr>
        <w:pStyle w:val="subsection"/>
        <w:rPr>
          <w:color w:val="000000"/>
        </w:rPr>
      </w:pPr>
      <w:r w:rsidRPr="00143624">
        <w:rPr>
          <w:color w:val="000000"/>
        </w:rPr>
        <w:tab/>
        <w:t>(2)</w:t>
      </w:r>
      <w:r w:rsidRPr="00143624">
        <w:rPr>
          <w:color w:val="000000"/>
        </w:rPr>
        <w:tab/>
        <w:t xml:space="preserve">An actuary must </w:t>
      </w:r>
      <w:r w:rsidR="00320431" w:rsidRPr="00143624">
        <w:rPr>
          <w:color w:val="000000"/>
        </w:rPr>
        <w:t xml:space="preserve">not </w:t>
      </w:r>
      <w:r w:rsidRPr="00143624">
        <w:rPr>
          <w:color w:val="000000"/>
        </w:rPr>
        <w:t xml:space="preserve">certify that a member belongs to more than one benefit category on the same day </w:t>
      </w:r>
      <w:r w:rsidR="00320431" w:rsidRPr="00143624">
        <w:rPr>
          <w:color w:val="000000"/>
        </w:rPr>
        <w:t xml:space="preserve">unless </w:t>
      </w:r>
      <w:r w:rsidRPr="00143624">
        <w:rPr>
          <w:color w:val="000000"/>
        </w:rPr>
        <w:t xml:space="preserve">the actuary is satisfied that the amount of defined benefit contributions to be reported will </w:t>
      </w:r>
      <w:r w:rsidR="00320431" w:rsidRPr="00143624">
        <w:rPr>
          <w:color w:val="000000"/>
        </w:rPr>
        <w:t xml:space="preserve">not </w:t>
      </w:r>
      <w:r w:rsidRPr="00143624">
        <w:rPr>
          <w:color w:val="000000"/>
        </w:rPr>
        <w:t>be materially different from the amount of defined benefit contributions that would have been reported had the member belonged to only one benefit category on each relevant day.</w:t>
      </w:r>
    </w:p>
    <w:p w:rsidR="00320431" w:rsidRPr="00143624" w:rsidRDefault="00320431" w:rsidP="00320431">
      <w:pPr>
        <w:pStyle w:val="notetext"/>
      </w:pPr>
      <w:r w:rsidRPr="00143624">
        <w:lastRenderedPageBreak/>
        <w:t>Note:</w:t>
      </w:r>
      <w:r w:rsidRPr="00143624">
        <w:tab/>
        <w:t>An accruing member would be ordinarily expected to belong to only one benefit category at a time. However, there might be circumstances in certain funds where it is materially more practical for the purpose of calculating the total amount of defined benefit contributions to deem that some members belong to more than one benefit category from time to time.</w:t>
      </w:r>
    </w:p>
    <w:p w:rsidR="007D17C5" w:rsidRPr="00143624" w:rsidRDefault="007D17C5" w:rsidP="007D17C5">
      <w:pPr>
        <w:pStyle w:val="ActHead3"/>
        <w:pageBreakBefore/>
      </w:pPr>
      <w:bookmarkStart w:id="242" w:name="_Toc64030498"/>
      <w:r w:rsidRPr="003F3E0B">
        <w:rPr>
          <w:rStyle w:val="CharDivNo"/>
        </w:rPr>
        <w:lastRenderedPageBreak/>
        <w:t>Division</w:t>
      </w:r>
      <w:r w:rsidR="002B1A95" w:rsidRPr="003F3E0B">
        <w:rPr>
          <w:rStyle w:val="CharDivNo"/>
        </w:rPr>
        <w:t> </w:t>
      </w:r>
      <w:r w:rsidRPr="003F3E0B">
        <w:rPr>
          <w:rStyle w:val="CharDivNo"/>
        </w:rPr>
        <w:t>2</w:t>
      </w:r>
      <w:r w:rsidRPr="00143624">
        <w:t>—</w:t>
      </w:r>
      <w:r w:rsidRPr="003F3E0B">
        <w:rPr>
          <w:rStyle w:val="CharDivText"/>
        </w:rPr>
        <w:t>Method</w:t>
      </w:r>
      <w:bookmarkEnd w:id="242"/>
    </w:p>
    <w:p w:rsidR="007D17C5" w:rsidRPr="00143624" w:rsidRDefault="007D17C5" w:rsidP="007D17C5">
      <w:pPr>
        <w:pStyle w:val="ActHead5"/>
      </w:pPr>
      <w:bookmarkStart w:id="243" w:name="_Toc64030499"/>
      <w:r w:rsidRPr="003F3E0B">
        <w:rPr>
          <w:rStyle w:val="CharSectno"/>
        </w:rPr>
        <w:t>4</w:t>
      </w:r>
      <w:r w:rsidRPr="00143624">
        <w:t xml:space="preserve">  Method of determining amount of defined benefit contributions</w:t>
      </w:r>
      <w:bookmarkEnd w:id="243"/>
    </w:p>
    <w:p w:rsidR="007D17C5" w:rsidRPr="00143624" w:rsidRDefault="007D17C5" w:rsidP="007D17C5">
      <w:pPr>
        <w:pStyle w:val="subsection"/>
      </w:pPr>
      <w:r w:rsidRPr="00143624">
        <w:tab/>
        <w:t>(1)</w:t>
      </w:r>
      <w:r w:rsidRPr="00143624">
        <w:tab/>
        <w:t xml:space="preserve">The </w:t>
      </w:r>
      <w:r w:rsidRPr="00143624">
        <w:rPr>
          <w:b/>
          <w:i/>
        </w:rPr>
        <w:t>defined benefit contributions</w:t>
      </w:r>
      <w:r w:rsidRPr="00143624">
        <w:t xml:space="preserve"> for an accruing member of a defined benefit fund for a financial year is the amount worked out using the following formula:</w:t>
      </w:r>
    </w:p>
    <w:p w:rsidR="007D17C5" w:rsidRPr="00143624" w:rsidRDefault="00757EFC" w:rsidP="007D17C5">
      <w:pPr>
        <w:pStyle w:val="subsection2"/>
      </w:pPr>
      <w:r w:rsidRPr="00757EFC">
        <w:drawing>
          <wp:inline distT="0" distB="0" distL="0" distR="0">
            <wp:extent cx="1676400"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p w:rsidR="007D17C5" w:rsidRPr="00143624" w:rsidRDefault="007D17C5" w:rsidP="007D17C5">
      <w:pPr>
        <w:pStyle w:val="subsection2"/>
      </w:pPr>
      <w:r w:rsidRPr="00143624">
        <w:t>where, for the financial year:</w:t>
      </w:r>
    </w:p>
    <w:p w:rsidR="007D17C5" w:rsidRPr="00143624" w:rsidRDefault="007D17C5" w:rsidP="007D17C5">
      <w:pPr>
        <w:pStyle w:val="Definition"/>
      </w:pPr>
      <w:r w:rsidRPr="00143624">
        <w:rPr>
          <w:b/>
          <w:i/>
        </w:rPr>
        <w:t>BC</w:t>
      </w:r>
      <w:r w:rsidRPr="00143624">
        <w:t xml:space="preserve"> is the notional employer contribution calculated for the member under </w:t>
      </w:r>
      <w:r w:rsidR="002B1A95" w:rsidRPr="00143624">
        <w:t>subclause (</w:t>
      </w:r>
      <w:r w:rsidRPr="00143624">
        <w:t>2).</w:t>
      </w:r>
    </w:p>
    <w:p w:rsidR="007D17C5" w:rsidRPr="00143624" w:rsidRDefault="007D17C5" w:rsidP="007D17C5">
      <w:pPr>
        <w:pStyle w:val="Definition"/>
      </w:pPr>
      <w:r w:rsidRPr="00143624">
        <w:rPr>
          <w:b/>
          <w:i/>
        </w:rPr>
        <w:t>NTC</w:t>
      </w:r>
      <w:r w:rsidRPr="00143624">
        <w:t xml:space="preserve"> is the notional taxed contributions calculated for the member for the financial year under </w:t>
      </w:r>
      <w:r w:rsidR="00F5399E" w:rsidRPr="00143624">
        <w:t>Schedule 1</w:t>
      </w:r>
      <w:r w:rsidRPr="00143624">
        <w:t>A, disregarding Subdivision</w:t>
      </w:r>
      <w:r w:rsidR="002B1A95" w:rsidRPr="00143624">
        <w:t> </w:t>
      </w:r>
      <w:r w:rsidRPr="00143624">
        <w:t>291</w:t>
      </w:r>
      <w:r w:rsidR="00143624">
        <w:noBreakHyphen/>
      </w:r>
      <w:r w:rsidRPr="00143624">
        <w:t xml:space="preserve">C of the </w:t>
      </w:r>
      <w:r w:rsidRPr="00143624">
        <w:rPr>
          <w:i/>
        </w:rPr>
        <w:t>Income Tax (Transitional Provisions) Act 1997</w:t>
      </w:r>
      <w:r w:rsidRPr="00143624">
        <w:t>.</w:t>
      </w:r>
    </w:p>
    <w:p w:rsidR="007D17C5" w:rsidRPr="00143624" w:rsidRDefault="007D17C5" w:rsidP="007D17C5">
      <w:pPr>
        <w:pStyle w:val="notetext"/>
      </w:pPr>
      <w:r w:rsidRPr="00143624">
        <w:t>Note 1:</w:t>
      </w:r>
      <w:r w:rsidRPr="00143624">
        <w:tab/>
        <w:t>Section 291</w:t>
      </w:r>
      <w:r w:rsidR="00143624">
        <w:noBreakHyphen/>
      </w:r>
      <w:r w:rsidRPr="00143624">
        <w:t>170.04 sets out circumstances in which notional taxed contributions are nil.</w:t>
      </w:r>
    </w:p>
    <w:p w:rsidR="007D17C5" w:rsidRPr="00143624" w:rsidRDefault="007D17C5" w:rsidP="007D17C5">
      <w:pPr>
        <w:pStyle w:val="notetext"/>
      </w:pPr>
      <w:r w:rsidRPr="00143624">
        <w:t>Note 2:</w:t>
      </w:r>
      <w:r w:rsidRPr="00143624">
        <w:tab/>
        <w:t>Salary packaged contributions which do not contribute towards funding the defined benefit interest are included in the amount calculated under step 1 of the method statement set out in section</w:t>
      </w:r>
      <w:r w:rsidR="002B1A95" w:rsidRPr="00143624">
        <w:t> </w:t>
      </w:r>
      <w:r w:rsidRPr="00143624">
        <w:t>293</w:t>
      </w:r>
      <w:r w:rsidR="00143624">
        <w:noBreakHyphen/>
      </w:r>
      <w:r w:rsidRPr="00143624">
        <w:t>105 of the Act and do not form any part of the method of determining defined benefit contributions.</w:t>
      </w:r>
    </w:p>
    <w:p w:rsidR="007D17C5" w:rsidRPr="00143624" w:rsidRDefault="007D17C5" w:rsidP="007D17C5">
      <w:pPr>
        <w:pStyle w:val="subsection"/>
      </w:pPr>
      <w:r w:rsidRPr="00143624">
        <w:tab/>
        <w:t>(2)</w:t>
      </w:r>
      <w:r w:rsidRPr="00143624">
        <w:tab/>
        <w:t xml:space="preserve">The </w:t>
      </w:r>
      <w:r w:rsidRPr="00143624">
        <w:rPr>
          <w:b/>
          <w:i/>
        </w:rPr>
        <w:t>notional employer contribution</w:t>
      </w:r>
      <w:r w:rsidRPr="00143624">
        <w:t xml:space="preserve"> for an accruing member of a defined benefit fund for a financial year is the amount worked out using the following formula:</w:t>
      </w:r>
    </w:p>
    <w:p w:rsidR="007D17C5" w:rsidRPr="00143624" w:rsidRDefault="00757EFC" w:rsidP="007D17C5">
      <w:pPr>
        <w:pStyle w:val="subsection2"/>
      </w:pPr>
      <w:r w:rsidRPr="00757EFC">
        <w:drawing>
          <wp:inline distT="0" distB="0" distL="0" distR="0">
            <wp:extent cx="4600575" cy="1190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00575" cy="1190625"/>
                    </a:xfrm>
                    <a:prstGeom prst="rect">
                      <a:avLst/>
                    </a:prstGeom>
                    <a:noFill/>
                    <a:ln>
                      <a:noFill/>
                    </a:ln>
                  </pic:spPr>
                </pic:pic>
              </a:graphicData>
            </a:graphic>
          </wp:inline>
        </w:drawing>
      </w:r>
    </w:p>
    <w:p w:rsidR="007D17C5" w:rsidRPr="00143624" w:rsidRDefault="007D17C5" w:rsidP="007D17C5">
      <w:pPr>
        <w:pStyle w:val="subsection2"/>
      </w:pPr>
      <w:r w:rsidRPr="00143624">
        <w:t>where, for the financial year:</w:t>
      </w:r>
    </w:p>
    <w:p w:rsidR="007D17C5" w:rsidRPr="00143624" w:rsidRDefault="007D17C5" w:rsidP="007D17C5">
      <w:pPr>
        <w:pStyle w:val="Definition"/>
      </w:pPr>
      <w:r w:rsidRPr="00143624">
        <w:rPr>
          <w:b/>
          <w:i/>
        </w:rPr>
        <w:t>category change or discretion adjustment amount</w:t>
      </w:r>
      <w:r w:rsidRPr="00143624">
        <w:t xml:space="preserve"> is an amount worked out on advice from an actuary under Part</w:t>
      </w:r>
      <w:r w:rsidR="002B1A95" w:rsidRPr="00143624">
        <w:t> </w:t>
      </w:r>
      <w:r w:rsidRPr="00143624">
        <w:t>5.</w:t>
      </w:r>
    </w:p>
    <w:p w:rsidR="007D17C5" w:rsidRPr="00143624" w:rsidRDefault="007D17C5" w:rsidP="007D17C5">
      <w:pPr>
        <w:pStyle w:val="Definition"/>
      </w:pPr>
      <w:r w:rsidRPr="00143624">
        <w:rPr>
          <w:b/>
          <w:i/>
        </w:rPr>
        <w:t>governing rules change adjustment amount</w:t>
      </w:r>
      <w:r w:rsidRPr="00143624">
        <w:t xml:space="preserve"> is an amount worked out on advice from an actuary under Part</w:t>
      </w:r>
      <w:r w:rsidR="002B1A95" w:rsidRPr="00143624">
        <w:t> </w:t>
      </w:r>
      <w:r w:rsidRPr="00143624">
        <w:t>6.</w:t>
      </w:r>
    </w:p>
    <w:p w:rsidR="007D17C5" w:rsidRPr="00143624" w:rsidRDefault="007D17C5" w:rsidP="007D17C5">
      <w:pPr>
        <w:pStyle w:val="Definition"/>
      </w:pPr>
      <w:r w:rsidRPr="00143624">
        <w:rPr>
          <w:b/>
          <w:i/>
        </w:rPr>
        <w:t>increased exit benefit adjustment amount</w:t>
      </w:r>
      <w:r w:rsidRPr="00143624">
        <w:t xml:space="preserve"> is an amount worked out on advice from an actuary under Part</w:t>
      </w:r>
      <w:r w:rsidR="002B1A95" w:rsidRPr="00143624">
        <w:t> </w:t>
      </w:r>
      <w:r w:rsidRPr="00143624">
        <w:t>4.</w:t>
      </w:r>
    </w:p>
    <w:p w:rsidR="007D17C5" w:rsidRPr="00143624" w:rsidRDefault="007D17C5" w:rsidP="007D17C5">
      <w:pPr>
        <w:pStyle w:val="Definition"/>
      </w:pPr>
      <w:r w:rsidRPr="00143624">
        <w:rPr>
          <w:b/>
          <w:i/>
        </w:rPr>
        <w:t>increased superannuation salary adjustment amount</w:t>
      </w:r>
      <w:r w:rsidRPr="00143624">
        <w:t xml:space="preserve"> is an amount worked out on advice from an actuary under Part</w:t>
      </w:r>
      <w:r w:rsidR="002B1A95" w:rsidRPr="00143624">
        <w:t> </w:t>
      </w:r>
      <w:r w:rsidRPr="00143624">
        <w:t>7.</w:t>
      </w:r>
    </w:p>
    <w:p w:rsidR="007D17C5" w:rsidRPr="00143624" w:rsidRDefault="007D17C5" w:rsidP="007D17C5">
      <w:pPr>
        <w:pStyle w:val="Definition"/>
      </w:pPr>
      <w:r w:rsidRPr="00143624">
        <w:rPr>
          <w:b/>
          <w:i/>
          <w:color w:val="000000"/>
        </w:rPr>
        <w:t>sum of NEFC</w:t>
      </w:r>
      <w:r w:rsidRPr="00143624">
        <w:rPr>
          <w:b/>
          <w:bCs/>
          <w:i/>
          <w:iCs/>
        </w:rPr>
        <w:t xml:space="preserve"> </w:t>
      </w:r>
      <w:r w:rsidRPr="00143624">
        <w:t xml:space="preserve">is the sum of the amounts of notional employer financed contributions for each benefit category that the member belongs to during the financial year calculated under </w:t>
      </w:r>
      <w:r w:rsidR="002B1A95" w:rsidRPr="00143624">
        <w:t>subclause (</w:t>
      </w:r>
      <w:r w:rsidRPr="00143624">
        <w:t>3).</w:t>
      </w:r>
    </w:p>
    <w:p w:rsidR="007D17C5" w:rsidRPr="00143624" w:rsidRDefault="007D17C5" w:rsidP="007D17C5">
      <w:pPr>
        <w:pStyle w:val="subsection"/>
      </w:pPr>
      <w:r w:rsidRPr="00143624">
        <w:lastRenderedPageBreak/>
        <w:tab/>
        <w:t>(3)</w:t>
      </w:r>
      <w:r w:rsidRPr="00143624">
        <w:tab/>
        <w:t xml:space="preserve">The </w:t>
      </w:r>
      <w:r w:rsidRPr="00143624">
        <w:rPr>
          <w:b/>
          <w:i/>
        </w:rPr>
        <w:t>notional employer financed contributions</w:t>
      </w:r>
      <w:r w:rsidRPr="00143624">
        <w:t xml:space="preserve"> for an accruing member for a benefit category of a defined benefit fund for a financial year is the amount worked out using the following formula:</w:t>
      </w:r>
    </w:p>
    <w:p w:rsidR="007D17C5" w:rsidRPr="00143624" w:rsidRDefault="00757EFC" w:rsidP="007D17C5">
      <w:pPr>
        <w:pStyle w:val="subsection2"/>
      </w:pPr>
      <w:r w:rsidRPr="00757EFC">
        <w:drawing>
          <wp:inline distT="0" distB="0" distL="0" distR="0">
            <wp:extent cx="4076700" cy="771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76700" cy="771525"/>
                    </a:xfrm>
                    <a:prstGeom prst="rect">
                      <a:avLst/>
                    </a:prstGeom>
                    <a:noFill/>
                    <a:ln>
                      <a:noFill/>
                    </a:ln>
                  </pic:spPr>
                </pic:pic>
              </a:graphicData>
            </a:graphic>
          </wp:inline>
        </w:drawing>
      </w:r>
    </w:p>
    <w:p w:rsidR="007D17C5" w:rsidRPr="00143624" w:rsidRDefault="007D17C5" w:rsidP="007D17C5">
      <w:pPr>
        <w:pStyle w:val="subsection2"/>
      </w:pPr>
      <w:r w:rsidRPr="00143624">
        <w:t>where, for the financial year:</w:t>
      </w:r>
    </w:p>
    <w:p w:rsidR="007D17C5" w:rsidRPr="00143624" w:rsidRDefault="007D17C5" w:rsidP="007D17C5">
      <w:pPr>
        <w:pStyle w:val="Definition"/>
      </w:pPr>
      <w:r w:rsidRPr="00143624">
        <w:rPr>
          <w:b/>
          <w:bCs/>
          <w:i/>
          <w:iCs/>
        </w:rPr>
        <w:t xml:space="preserve">member contributions amount </w:t>
      </w:r>
      <w:r w:rsidRPr="00143624">
        <w:t>is the amount of member contributions:</w:t>
      </w:r>
    </w:p>
    <w:p w:rsidR="007D17C5" w:rsidRPr="00143624" w:rsidRDefault="007D17C5" w:rsidP="007D17C5">
      <w:pPr>
        <w:pStyle w:val="paragraph"/>
      </w:pPr>
      <w:r w:rsidRPr="00143624">
        <w:tab/>
        <w:t>(a)</w:t>
      </w:r>
      <w:r w:rsidRPr="00143624">
        <w:tab/>
        <w:t>paid by or on behalf of the member in respect of the member’s defined benefit interest in the fund during that part of the financial year that the member was an accruing member of the benefit category; and</w:t>
      </w:r>
    </w:p>
    <w:p w:rsidR="007D17C5" w:rsidRPr="00143624" w:rsidRDefault="007D17C5" w:rsidP="007D17C5">
      <w:pPr>
        <w:pStyle w:val="paragraph"/>
      </w:pPr>
      <w:r w:rsidRPr="00143624">
        <w:tab/>
        <w:t>(b)</w:t>
      </w:r>
      <w:r w:rsidRPr="00143624">
        <w:tab/>
        <w:t>which are not assessable income of the fund;</w:t>
      </w:r>
    </w:p>
    <w:p w:rsidR="007D17C5" w:rsidRPr="00143624" w:rsidRDefault="007D17C5" w:rsidP="007D17C5">
      <w:pPr>
        <w:pStyle w:val="subsection2"/>
      </w:pPr>
      <w:r w:rsidRPr="00143624">
        <w:t>but excluding any amounts which are not assessable income of the fund because of:</w:t>
      </w:r>
    </w:p>
    <w:p w:rsidR="007D17C5" w:rsidRPr="00143624" w:rsidRDefault="007D17C5" w:rsidP="007D17C5">
      <w:pPr>
        <w:pStyle w:val="paragraph"/>
      </w:pPr>
      <w:r w:rsidRPr="00143624">
        <w:tab/>
        <w:t>(c)</w:t>
      </w:r>
      <w:r w:rsidRPr="00143624">
        <w:tab/>
        <w:t>item</w:t>
      </w:r>
      <w:r w:rsidR="002B1A95" w:rsidRPr="00143624">
        <w:t> </w:t>
      </w:r>
      <w:r w:rsidRPr="00143624">
        <w:t>5.3 of the table in section</w:t>
      </w:r>
      <w:r w:rsidR="002B1A95" w:rsidRPr="00143624">
        <w:t> </w:t>
      </w:r>
      <w:r w:rsidRPr="00143624">
        <w:t>50</w:t>
      </w:r>
      <w:r w:rsidR="00143624">
        <w:noBreakHyphen/>
      </w:r>
      <w:r w:rsidRPr="00143624">
        <w:t>25 of the Act; or</w:t>
      </w:r>
    </w:p>
    <w:p w:rsidR="007D17C5" w:rsidRPr="00143624" w:rsidRDefault="007D17C5" w:rsidP="007D17C5">
      <w:pPr>
        <w:pStyle w:val="paragraph"/>
      </w:pPr>
      <w:r w:rsidRPr="00143624">
        <w:tab/>
        <w:t>(d)</w:t>
      </w:r>
      <w:r w:rsidRPr="00143624">
        <w:tab/>
        <w:t>a choice made under section</w:t>
      </w:r>
      <w:r w:rsidR="002B1A95" w:rsidRPr="00143624">
        <w:t> </w:t>
      </w:r>
      <w:r w:rsidRPr="00143624">
        <w:t>295</w:t>
      </w:r>
      <w:r w:rsidR="00143624">
        <w:noBreakHyphen/>
      </w:r>
      <w:r w:rsidRPr="00143624">
        <w:t>180 of the Act.</w:t>
      </w:r>
    </w:p>
    <w:p w:rsidR="007D17C5" w:rsidRPr="00143624" w:rsidRDefault="007D17C5" w:rsidP="007D17C5">
      <w:pPr>
        <w:pStyle w:val="Definition"/>
      </w:pPr>
      <w:r w:rsidRPr="00143624">
        <w:rPr>
          <w:b/>
          <w:bCs/>
          <w:i/>
          <w:iCs/>
        </w:rPr>
        <w:t xml:space="preserve">new entrant rate </w:t>
      </w:r>
      <w:r w:rsidRPr="00143624">
        <w:t>is the new entrant rate for the benefit category worked out by an actuary under Parts</w:t>
      </w:r>
      <w:r w:rsidR="002B1A95" w:rsidRPr="00143624">
        <w:t> </w:t>
      </w:r>
      <w:r w:rsidRPr="00143624">
        <w:t>2 and 3.</w:t>
      </w:r>
    </w:p>
    <w:p w:rsidR="007D17C5" w:rsidRPr="00143624" w:rsidRDefault="007D17C5" w:rsidP="007D17C5">
      <w:pPr>
        <w:pStyle w:val="Definition"/>
      </w:pPr>
      <w:r w:rsidRPr="00143624">
        <w:rPr>
          <w:b/>
          <w:bCs/>
          <w:i/>
          <w:iCs/>
        </w:rPr>
        <w:t xml:space="preserve">number of days </w:t>
      </w:r>
      <w:r w:rsidRPr="00143624">
        <w:t>is the number of days during the financial year that the member was an accruing member of the benefit category.</w:t>
      </w:r>
    </w:p>
    <w:p w:rsidR="007D17C5" w:rsidRPr="00143624" w:rsidRDefault="007D17C5" w:rsidP="007D17C5">
      <w:pPr>
        <w:pStyle w:val="Definition"/>
      </w:pPr>
      <w:r w:rsidRPr="00143624">
        <w:rPr>
          <w:b/>
          <w:bCs/>
          <w:i/>
          <w:iCs/>
        </w:rPr>
        <w:t xml:space="preserve">superannuation salary amount </w:t>
      </w:r>
      <w:r w:rsidRPr="00143624">
        <w:t>is the member’s annual superannuation salary relevant to the benefit category on the first day of the financial year on which the member had a defined benefit interest in the fund.</w:t>
      </w:r>
    </w:p>
    <w:p w:rsidR="007D17C5" w:rsidRPr="00143624" w:rsidRDefault="007D17C5" w:rsidP="007D17C5">
      <w:pPr>
        <w:pStyle w:val="ActHead2"/>
        <w:pageBreakBefore/>
      </w:pPr>
      <w:bookmarkStart w:id="244" w:name="_Toc64030500"/>
      <w:r w:rsidRPr="003F3E0B">
        <w:rPr>
          <w:rStyle w:val="CharPartNo"/>
        </w:rPr>
        <w:lastRenderedPageBreak/>
        <w:t>Part</w:t>
      </w:r>
      <w:r w:rsidR="002B1A95" w:rsidRPr="003F3E0B">
        <w:rPr>
          <w:rStyle w:val="CharPartNo"/>
        </w:rPr>
        <w:t> </w:t>
      </w:r>
      <w:r w:rsidRPr="003F3E0B">
        <w:rPr>
          <w:rStyle w:val="CharPartNo"/>
        </w:rPr>
        <w:t>2</w:t>
      </w:r>
      <w:r w:rsidRPr="00143624">
        <w:t>—</w:t>
      </w:r>
      <w:r w:rsidRPr="003F3E0B">
        <w:rPr>
          <w:rStyle w:val="CharPartText"/>
        </w:rPr>
        <w:t>New entrant rate</w:t>
      </w:r>
      <w:bookmarkEnd w:id="244"/>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45" w:name="_Toc64030501"/>
      <w:r w:rsidRPr="003F3E0B">
        <w:rPr>
          <w:rStyle w:val="CharSectno"/>
        </w:rPr>
        <w:t>5</w:t>
      </w:r>
      <w:r w:rsidRPr="00143624">
        <w:t xml:space="preserve">  Method of working out new entrant rate for a benefit category</w:t>
      </w:r>
      <w:bookmarkEnd w:id="245"/>
    </w:p>
    <w:p w:rsidR="007D17C5" w:rsidRPr="00143624" w:rsidRDefault="007D17C5" w:rsidP="007D17C5">
      <w:pPr>
        <w:pStyle w:val="subsection"/>
      </w:pPr>
      <w:r w:rsidRPr="00143624">
        <w:rPr>
          <w:color w:val="000000"/>
        </w:rPr>
        <w:tab/>
        <w:t>(1)</w:t>
      </w:r>
      <w:r w:rsidRPr="00143624">
        <w:rPr>
          <w:color w:val="000000"/>
        </w:rPr>
        <w:tab/>
        <w:t>The new entrant rate for a benefit category is the rate calculated under this Part and using the assumptions set out in Part</w:t>
      </w:r>
      <w:r w:rsidR="002B1A95" w:rsidRPr="00143624">
        <w:rPr>
          <w:color w:val="000000"/>
        </w:rPr>
        <w:t> </w:t>
      </w:r>
      <w:r w:rsidRPr="00143624">
        <w:rPr>
          <w:color w:val="000000"/>
        </w:rPr>
        <w:t>3.</w:t>
      </w:r>
    </w:p>
    <w:p w:rsidR="007D17C5" w:rsidRPr="00143624" w:rsidRDefault="007D17C5" w:rsidP="007D17C5">
      <w:pPr>
        <w:pStyle w:val="subsection"/>
      </w:pPr>
      <w:r w:rsidRPr="00143624">
        <w:tab/>
        <w:t>(2)</w:t>
      </w:r>
      <w:r w:rsidRPr="00143624">
        <w:tab/>
        <w:t>The new entrant rate for a benefit category is the rate that represents the long</w:t>
      </w:r>
      <w:r w:rsidR="00143624">
        <w:noBreakHyphen/>
      </w:r>
      <w:r w:rsidRPr="00143624">
        <w:t>term cost, expressed as a percentage of superannuation salary, of providing the benefits payable on a voluntary exit to a hypothetical new entrant to the benefit category.</w:t>
      </w:r>
    </w:p>
    <w:p w:rsidR="007D17C5" w:rsidRPr="00143624" w:rsidRDefault="007D17C5" w:rsidP="007D17C5">
      <w:pPr>
        <w:pStyle w:val="subsection"/>
      </w:pPr>
      <w:r w:rsidRPr="00143624">
        <w:tab/>
        <w:t>(3)</w:t>
      </w:r>
      <w:r w:rsidRPr="00143624">
        <w:tab/>
        <w:t>The new entrant rate is calculated as the present value of the benefits payable on voluntary exit (resignation, early retirement, or retirement) under the rules of the defined benefit fund which are applicable to a new entrant to the benefit category divided by the present value of future superannuation salaries payable to the new entrant.</w:t>
      </w:r>
    </w:p>
    <w:p w:rsidR="007D17C5" w:rsidRPr="00143624" w:rsidRDefault="007D17C5" w:rsidP="007D17C5">
      <w:pPr>
        <w:pStyle w:val="subsection"/>
      </w:pPr>
      <w:r w:rsidRPr="00143624">
        <w:tab/>
        <w:t>(4)</w:t>
      </w:r>
      <w:r w:rsidRPr="00143624">
        <w:tab/>
        <w:t>The present value of the benefits payable is to be calculated having regard to the rules and practice of the defined benefit fund including benefit structure, caps, member options, reasonably expected discretions and member contributions, and using the economic, decrement and other parameters and the other assumptions set out in Part</w:t>
      </w:r>
      <w:r w:rsidR="002B1A95" w:rsidRPr="00143624">
        <w:t> </w:t>
      </w:r>
      <w:r w:rsidRPr="00143624">
        <w:t>3.</w:t>
      </w:r>
    </w:p>
    <w:p w:rsidR="007D17C5" w:rsidRPr="00143624" w:rsidRDefault="007D17C5" w:rsidP="007D17C5">
      <w:pPr>
        <w:pStyle w:val="ActHead5"/>
      </w:pPr>
      <w:bookmarkStart w:id="246" w:name="_Toc64030502"/>
      <w:r w:rsidRPr="003F3E0B">
        <w:rPr>
          <w:rStyle w:val="CharSectno"/>
        </w:rPr>
        <w:t>6</w:t>
      </w:r>
      <w:r w:rsidRPr="00143624">
        <w:t xml:space="preserve">  New entrant rate to be based on period of membership needed to reach maximum benefit accrual</w:t>
      </w:r>
      <w:bookmarkEnd w:id="246"/>
    </w:p>
    <w:p w:rsidR="007D17C5" w:rsidRPr="00143624" w:rsidRDefault="007D17C5" w:rsidP="007D17C5">
      <w:pPr>
        <w:pStyle w:val="subsection"/>
      </w:pPr>
      <w:r w:rsidRPr="00143624">
        <w:tab/>
        <w:t>(1)</w:t>
      </w:r>
      <w:r w:rsidRPr="00143624">
        <w:tab/>
        <w:t>If the rules of the defined benefit fund applicable to the benefit category provide for a maximum benefit accrual, the new entrant rate is to be calculated on the basis that the benefit is funded over the period to when maximum accrual is attained.</w:t>
      </w:r>
    </w:p>
    <w:p w:rsidR="007D17C5" w:rsidRPr="00143624" w:rsidRDefault="007D17C5" w:rsidP="007D17C5">
      <w:pPr>
        <w:pStyle w:val="notetext"/>
      </w:pPr>
      <w:r w:rsidRPr="00143624">
        <w:t>Note:</w:t>
      </w:r>
      <w:r w:rsidRPr="00143624">
        <w:tab/>
        <w:t>This means that, for the purpose of calculating the present value of future salaries payable to the new entrant, the superannuation salary is to be assumed to be zero at those ages after reaching maximum benefit accrual.</w:t>
      </w:r>
    </w:p>
    <w:p w:rsidR="007D17C5" w:rsidRPr="00143624" w:rsidRDefault="007D17C5" w:rsidP="007D17C5">
      <w:pPr>
        <w:pStyle w:val="notetext"/>
      </w:pPr>
      <w:r w:rsidRPr="00143624">
        <w:t>Example</w:t>
      </w:r>
      <w:r w:rsidRPr="00143624">
        <w:rPr>
          <w:i/>
        </w:rPr>
        <w:t>:</w:t>
      </w:r>
      <w:r w:rsidRPr="00143624">
        <w:rPr>
          <w:i/>
        </w:rPr>
        <w:tab/>
      </w:r>
      <w:r w:rsidRPr="00143624">
        <w:t>If maximum accrual is attained after 20 years of membership, the superannuation salary for a 30</w:t>
      </w:r>
      <w:r w:rsidR="00143624">
        <w:noBreakHyphen/>
      </w:r>
      <w:r w:rsidRPr="00143624">
        <w:t>year</w:t>
      </w:r>
      <w:r w:rsidR="00143624">
        <w:noBreakHyphen/>
      </w:r>
      <w:r w:rsidRPr="00143624">
        <w:t>old new entrant will be assumed to be zero at age 50 and above for the purpose of calculating the present value of future salaries payable to the new entrant.</w:t>
      </w:r>
    </w:p>
    <w:p w:rsidR="007D17C5" w:rsidRPr="00143624" w:rsidRDefault="007D17C5" w:rsidP="007D17C5">
      <w:pPr>
        <w:pStyle w:val="subsection"/>
      </w:pPr>
      <w:r w:rsidRPr="00143624">
        <w:tab/>
        <w:t>(2)</w:t>
      </w:r>
      <w:r w:rsidRPr="00143624">
        <w:tab/>
        <w:t>For the Governor</w:t>
      </w:r>
      <w:r w:rsidR="00143624">
        <w:noBreakHyphen/>
      </w:r>
      <w:r w:rsidRPr="00143624">
        <w:t>General Pension Scheme, the period to when maximum benefit accrual is attained for a member of the Scheme is taken to be the period:</w:t>
      </w:r>
    </w:p>
    <w:p w:rsidR="007D17C5" w:rsidRPr="00143624" w:rsidRDefault="007D17C5" w:rsidP="007D17C5">
      <w:pPr>
        <w:pStyle w:val="paragraph"/>
      </w:pPr>
      <w:r w:rsidRPr="00143624">
        <w:tab/>
        <w:t>(a)</w:t>
      </w:r>
      <w:r w:rsidRPr="00143624">
        <w:tab/>
        <w:t>starting on the day the member’s appointment as Governor</w:t>
      </w:r>
      <w:r w:rsidR="00143624">
        <w:noBreakHyphen/>
      </w:r>
      <w:r w:rsidRPr="00143624">
        <w:t>General starts; and</w:t>
      </w:r>
    </w:p>
    <w:p w:rsidR="007D17C5" w:rsidRPr="00143624" w:rsidRDefault="007D17C5" w:rsidP="007D17C5">
      <w:pPr>
        <w:pStyle w:val="paragraph"/>
      </w:pPr>
      <w:r w:rsidRPr="00143624">
        <w:tab/>
        <w:t>(b)</w:t>
      </w:r>
      <w:r w:rsidRPr="00143624">
        <w:tab/>
        <w:t>ending at the end of the financial year in which the member’s appointment as Governor</w:t>
      </w:r>
      <w:r w:rsidR="00143624">
        <w:noBreakHyphen/>
      </w:r>
      <w:r w:rsidRPr="00143624">
        <w:t>General started.</w:t>
      </w:r>
    </w:p>
    <w:p w:rsidR="007D17C5" w:rsidRPr="00143624" w:rsidRDefault="007D17C5" w:rsidP="007D17C5">
      <w:pPr>
        <w:pStyle w:val="ActHead5"/>
      </w:pPr>
      <w:bookmarkStart w:id="247" w:name="_Toc64030503"/>
      <w:r w:rsidRPr="003F3E0B">
        <w:rPr>
          <w:rStyle w:val="CharSectno"/>
        </w:rPr>
        <w:t>7</w:t>
      </w:r>
      <w:r w:rsidRPr="00143624">
        <w:t xml:space="preserve">  New entrant rate to be rounded down</w:t>
      </w:r>
      <w:bookmarkEnd w:id="247"/>
    </w:p>
    <w:p w:rsidR="007D17C5" w:rsidRPr="00143624" w:rsidRDefault="007D17C5" w:rsidP="007D17C5">
      <w:pPr>
        <w:pStyle w:val="subsection"/>
      </w:pPr>
      <w:r w:rsidRPr="00143624">
        <w:tab/>
      </w:r>
      <w:r w:rsidRPr="00143624">
        <w:tab/>
        <w:t>The new entrant rate is to be rounded down to the lower 1 percentage point.</w:t>
      </w:r>
    </w:p>
    <w:p w:rsidR="007D17C5" w:rsidRPr="00143624" w:rsidRDefault="007D17C5" w:rsidP="007D17C5">
      <w:pPr>
        <w:pStyle w:val="notetext"/>
      </w:pPr>
      <w:r w:rsidRPr="00143624">
        <w:t>Example</w:t>
      </w:r>
      <w:r w:rsidRPr="00143624">
        <w:rPr>
          <w:i/>
        </w:rPr>
        <w:t>:</w:t>
      </w:r>
      <w:r w:rsidRPr="00143624">
        <w:tab/>
        <w:t>10.6% would be rounded down to 10%.</w:t>
      </w:r>
    </w:p>
    <w:p w:rsidR="007D17C5" w:rsidRPr="00143624" w:rsidRDefault="007D17C5" w:rsidP="007D17C5">
      <w:pPr>
        <w:pStyle w:val="ActHead5"/>
      </w:pPr>
      <w:bookmarkStart w:id="248" w:name="_Toc64030504"/>
      <w:r w:rsidRPr="003F3E0B">
        <w:rPr>
          <w:rStyle w:val="CharSectno"/>
        </w:rPr>
        <w:lastRenderedPageBreak/>
        <w:t>8</w:t>
      </w:r>
      <w:r w:rsidRPr="00143624">
        <w:t xml:space="preserve">  No allowance for administration expenses or income tax on assessable contributions</w:t>
      </w:r>
      <w:bookmarkEnd w:id="248"/>
    </w:p>
    <w:p w:rsidR="007D17C5" w:rsidRPr="00143624" w:rsidRDefault="007D17C5" w:rsidP="007D17C5">
      <w:pPr>
        <w:pStyle w:val="subsection"/>
      </w:pPr>
      <w:r w:rsidRPr="00143624">
        <w:tab/>
      </w:r>
      <w:r w:rsidRPr="00143624">
        <w:tab/>
        <w:t>The new entrant rate is to be calculated ignoring:</w:t>
      </w:r>
    </w:p>
    <w:p w:rsidR="007D17C5" w:rsidRPr="00143624" w:rsidRDefault="007D17C5" w:rsidP="007D17C5">
      <w:pPr>
        <w:pStyle w:val="paragraph"/>
      </w:pPr>
      <w:r w:rsidRPr="00143624">
        <w:tab/>
        <w:t>(a)</w:t>
      </w:r>
      <w:r w:rsidRPr="00143624">
        <w:tab/>
        <w:t>administration expenses; and</w:t>
      </w:r>
    </w:p>
    <w:p w:rsidR="007D17C5" w:rsidRPr="00143624" w:rsidRDefault="007D17C5" w:rsidP="007D17C5">
      <w:pPr>
        <w:pStyle w:val="paragraph"/>
      </w:pPr>
      <w:r w:rsidRPr="00143624">
        <w:tab/>
        <w:t>(b)</w:t>
      </w:r>
      <w:r w:rsidRPr="00143624">
        <w:tab/>
        <w:t>income tax on assessable contributions.</w:t>
      </w:r>
    </w:p>
    <w:p w:rsidR="007D17C5" w:rsidRPr="00143624" w:rsidRDefault="007D17C5" w:rsidP="007D17C5">
      <w:pPr>
        <w:pStyle w:val="notetext"/>
      </w:pPr>
      <w:r w:rsidRPr="00143624">
        <w:t>Note:</w:t>
      </w:r>
      <w:r w:rsidRPr="00143624">
        <w:tab/>
        <w:t>These items are allowed for in the formula in subclause 4(3) by multiplying by 1.2.</w:t>
      </w:r>
    </w:p>
    <w:p w:rsidR="007D17C5" w:rsidRPr="00143624" w:rsidRDefault="007D17C5" w:rsidP="007D17C5">
      <w:pPr>
        <w:pStyle w:val="ActHead5"/>
      </w:pPr>
      <w:bookmarkStart w:id="249" w:name="_Toc64030505"/>
      <w:r w:rsidRPr="003F3E0B">
        <w:rPr>
          <w:rStyle w:val="CharSectno"/>
        </w:rPr>
        <w:t>9</w:t>
      </w:r>
      <w:r w:rsidRPr="00143624">
        <w:t xml:space="preserve">  Certain discretions to be allowed for</w:t>
      </w:r>
      <w:bookmarkEnd w:id="249"/>
    </w:p>
    <w:p w:rsidR="007D17C5" w:rsidRPr="00143624" w:rsidRDefault="007D17C5" w:rsidP="007D17C5">
      <w:pPr>
        <w:pStyle w:val="subsection"/>
      </w:pPr>
      <w:r w:rsidRPr="00143624">
        <w:tab/>
        <w:t>(1)</w:t>
      </w:r>
      <w:r w:rsidRPr="00143624">
        <w:tab/>
        <w:t>The new entrant rate is to be calculated assuming that certain discretions are always exercised.</w:t>
      </w:r>
    </w:p>
    <w:p w:rsidR="007D17C5" w:rsidRPr="00143624" w:rsidRDefault="007D17C5" w:rsidP="007D17C5">
      <w:pPr>
        <w:pStyle w:val="subsection"/>
      </w:pPr>
      <w:r w:rsidRPr="00143624">
        <w:tab/>
        <w:t>(2)</w:t>
      </w:r>
      <w:r w:rsidRPr="00143624">
        <w:tab/>
        <w:t xml:space="preserve">Subject to </w:t>
      </w:r>
      <w:r w:rsidR="002B1A95" w:rsidRPr="00143624">
        <w:t>subclause (</w:t>
      </w:r>
      <w:r w:rsidRPr="00143624">
        <w:t>3), if the fund rules provide a discretion to pay, on voluntary exit, a benefit that is higher than the standard benefit, the actuary must assume that a higher benefit is always paid on voluntary exit on or after age 55.</w:t>
      </w:r>
    </w:p>
    <w:p w:rsidR="007D17C5" w:rsidRPr="00143624" w:rsidRDefault="007D17C5" w:rsidP="007D17C5">
      <w:pPr>
        <w:pStyle w:val="subsection"/>
      </w:pPr>
      <w:r w:rsidRPr="00143624">
        <w:tab/>
        <w:t>(3)</w:t>
      </w:r>
      <w:r w:rsidRPr="00143624">
        <w:tab/>
        <w:t xml:space="preserve">If the higher benefit mentioned in </w:t>
      </w:r>
      <w:r w:rsidR="002B1A95" w:rsidRPr="00143624">
        <w:t>subclause (</w:t>
      </w:r>
      <w:r w:rsidRPr="00143624">
        <w:t>2) exceeds the accrued retirement benefit, the actuary may assume that the benefit is an amount:</w:t>
      </w:r>
    </w:p>
    <w:p w:rsidR="007D17C5" w:rsidRPr="00143624" w:rsidRDefault="007D17C5" w:rsidP="007D17C5">
      <w:pPr>
        <w:pStyle w:val="paragraph"/>
      </w:pPr>
      <w:r w:rsidRPr="00143624">
        <w:tab/>
        <w:t>(a)</w:t>
      </w:r>
      <w:r w:rsidRPr="00143624">
        <w:tab/>
        <w:t>greater than or equal to the accrued retirement benefit; and</w:t>
      </w:r>
    </w:p>
    <w:p w:rsidR="007D17C5" w:rsidRPr="00143624" w:rsidRDefault="007D17C5" w:rsidP="007D17C5">
      <w:pPr>
        <w:pStyle w:val="paragraph"/>
        <w:rPr>
          <w:color w:val="000000"/>
        </w:rPr>
      </w:pPr>
      <w:r w:rsidRPr="00143624">
        <w:tab/>
        <w:t>(b)</w:t>
      </w:r>
      <w:r w:rsidRPr="00143624">
        <w:tab/>
        <w:t>less than or equal to the higher benefit.</w:t>
      </w:r>
    </w:p>
    <w:p w:rsidR="007D17C5" w:rsidRPr="00143624" w:rsidRDefault="007D17C5" w:rsidP="007D17C5">
      <w:pPr>
        <w:pStyle w:val="subsection"/>
      </w:pPr>
      <w:r w:rsidRPr="00143624">
        <w:tab/>
        <w:t>(4)</w:t>
      </w:r>
      <w:r w:rsidRPr="00143624">
        <w:tab/>
        <w:t>If the actuary believes that there is a reasonable expectation that a higher benefit than either the standard benefit or the accrued retirement benefit will be paid, then the actuary should assume that the benefit paid on voluntary exit on or after age 55 is always equal to the benefit reasonably expected to be paid.</w:t>
      </w:r>
    </w:p>
    <w:p w:rsidR="007D17C5" w:rsidRPr="00143624" w:rsidRDefault="007D17C5" w:rsidP="007D17C5">
      <w:pPr>
        <w:pStyle w:val="notetext"/>
      </w:pPr>
      <w:r w:rsidRPr="00143624">
        <w:t>Note:</w:t>
      </w:r>
      <w:r w:rsidRPr="00143624">
        <w:tab/>
        <w:t>In considering whether there is a reasonable expectation that a higher benefit will be paid, it would generally not be appropriate to assume payment unless such an assumption was adopted in the most recent actuarial review.</w:t>
      </w:r>
    </w:p>
    <w:p w:rsidR="007D17C5" w:rsidRPr="00143624" w:rsidRDefault="007D17C5" w:rsidP="002F07B9">
      <w:pPr>
        <w:pStyle w:val="ActHead2"/>
        <w:pageBreakBefore/>
      </w:pPr>
      <w:bookmarkStart w:id="250" w:name="_Toc64030506"/>
      <w:r w:rsidRPr="003F3E0B">
        <w:rPr>
          <w:rStyle w:val="CharPartNo"/>
        </w:rPr>
        <w:lastRenderedPageBreak/>
        <w:t>Part</w:t>
      </w:r>
      <w:r w:rsidR="002B1A95" w:rsidRPr="003F3E0B">
        <w:rPr>
          <w:rStyle w:val="CharPartNo"/>
        </w:rPr>
        <w:t> </w:t>
      </w:r>
      <w:r w:rsidRPr="003F3E0B">
        <w:rPr>
          <w:rStyle w:val="CharPartNo"/>
        </w:rPr>
        <w:t>3</w:t>
      </w:r>
      <w:r w:rsidRPr="00143624">
        <w:t>—</w:t>
      </w:r>
      <w:r w:rsidRPr="003F3E0B">
        <w:rPr>
          <w:rStyle w:val="CharPartText"/>
        </w:rPr>
        <w:t>Valuation parameters</w:t>
      </w:r>
      <w:bookmarkEnd w:id="250"/>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51" w:name="_Toc64030507"/>
      <w:r w:rsidRPr="003F3E0B">
        <w:rPr>
          <w:rStyle w:val="CharSectno"/>
        </w:rPr>
        <w:t>10</w:t>
      </w:r>
      <w:r w:rsidRPr="00143624">
        <w:t xml:space="preserve">  Application of economic, decrement and other parameters</w:t>
      </w:r>
      <w:bookmarkEnd w:id="251"/>
    </w:p>
    <w:p w:rsidR="007D17C5" w:rsidRPr="00143624" w:rsidRDefault="007D17C5" w:rsidP="007D17C5">
      <w:pPr>
        <w:pStyle w:val="subsection"/>
      </w:pPr>
      <w:r w:rsidRPr="00143624">
        <w:tab/>
      </w:r>
      <w:r w:rsidRPr="00143624">
        <w:tab/>
        <w:t>For the purpose of working out the new entrant rate for a benefit category mentioned in Part</w:t>
      </w:r>
      <w:r w:rsidR="002B1A95" w:rsidRPr="00143624">
        <w:t> </w:t>
      </w:r>
      <w:r w:rsidRPr="00143624">
        <w:t>1 or 2, the actuary is to apply the economic, decrement and other parameters set out in this Part.</w:t>
      </w:r>
    </w:p>
    <w:p w:rsidR="007D17C5" w:rsidRPr="00143624" w:rsidRDefault="007D17C5" w:rsidP="007D17C5">
      <w:pPr>
        <w:pStyle w:val="ActHead5"/>
      </w:pPr>
      <w:bookmarkStart w:id="252" w:name="_Toc64030508"/>
      <w:r w:rsidRPr="003F3E0B">
        <w:rPr>
          <w:rStyle w:val="CharSectno"/>
        </w:rPr>
        <w:t>11</w:t>
      </w:r>
      <w:r w:rsidRPr="00143624">
        <w:t xml:space="preserve">  Discount rate</w:t>
      </w:r>
      <w:bookmarkEnd w:id="252"/>
    </w:p>
    <w:p w:rsidR="007D17C5" w:rsidRPr="00143624" w:rsidRDefault="007D17C5" w:rsidP="007D17C5">
      <w:pPr>
        <w:pStyle w:val="subsection"/>
      </w:pPr>
      <w:r w:rsidRPr="00143624">
        <w:tab/>
        <w:t>(1)</w:t>
      </w:r>
      <w:r w:rsidRPr="00143624">
        <w:tab/>
        <w:t>The discount rate to be used to discount projected future benefits and salaries is 8% per year.</w:t>
      </w:r>
    </w:p>
    <w:p w:rsidR="007D17C5" w:rsidRPr="00143624" w:rsidRDefault="007D17C5" w:rsidP="007D17C5">
      <w:pPr>
        <w:pStyle w:val="subsection"/>
      </w:pPr>
      <w:r w:rsidRPr="00143624">
        <w:tab/>
        <w:t>(2)</w:t>
      </w:r>
      <w:r w:rsidRPr="00143624">
        <w:tab/>
        <w:t>The discount rate is not to be adjusted for investment expenses or investment</w:t>
      </w:r>
      <w:r w:rsidR="00143624">
        <w:noBreakHyphen/>
      </w:r>
      <w:r w:rsidRPr="00143624">
        <w:t>related taxation or for any other reason.</w:t>
      </w:r>
    </w:p>
    <w:p w:rsidR="007D17C5" w:rsidRPr="00143624" w:rsidRDefault="007D17C5" w:rsidP="007D17C5">
      <w:pPr>
        <w:pStyle w:val="ActHead5"/>
      </w:pPr>
      <w:bookmarkStart w:id="253" w:name="_Toc64030509"/>
      <w:r w:rsidRPr="003F3E0B">
        <w:rPr>
          <w:rStyle w:val="CharSectno"/>
        </w:rPr>
        <w:t>12</w:t>
      </w:r>
      <w:r w:rsidRPr="00143624">
        <w:t xml:space="preserve">  Fund earning rate and crediting rate</w:t>
      </w:r>
      <w:bookmarkEnd w:id="253"/>
    </w:p>
    <w:p w:rsidR="007D17C5" w:rsidRPr="00143624" w:rsidRDefault="007D17C5" w:rsidP="007D17C5">
      <w:pPr>
        <w:pStyle w:val="subsection"/>
      </w:pPr>
      <w:r w:rsidRPr="00143624">
        <w:tab/>
        <w:t>(1)</w:t>
      </w:r>
      <w:r w:rsidRPr="00143624">
        <w:tab/>
        <w:t>If necessary, the fund earning rate to be assumed is 8% per year.</w:t>
      </w:r>
    </w:p>
    <w:p w:rsidR="007D17C5" w:rsidRPr="00143624" w:rsidRDefault="007D17C5" w:rsidP="007D17C5">
      <w:pPr>
        <w:pStyle w:val="subsection"/>
      </w:pPr>
      <w:r w:rsidRPr="00143624">
        <w:tab/>
        <w:t>(2)</w:t>
      </w:r>
      <w:r w:rsidRPr="00143624">
        <w:tab/>
        <w:t>If necessary, the assumed crediting rate is to be based on the assumed fund earning rate.</w:t>
      </w:r>
    </w:p>
    <w:p w:rsidR="007D17C5" w:rsidRPr="00143624" w:rsidRDefault="007D17C5" w:rsidP="007D17C5">
      <w:pPr>
        <w:pStyle w:val="ActHead5"/>
      </w:pPr>
      <w:bookmarkStart w:id="254" w:name="_Toc64030510"/>
      <w:r w:rsidRPr="003F3E0B">
        <w:rPr>
          <w:rStyle w:val="CharSectno"/>
        </w:rPr>
        <w:t>13</w:t>
      </w:r>
      <w:r w:rsidRPr="00143624">
        <w:t xml:space="preserve">  Rate of future salary or wages growth</w:t>
      </w:r>
      <w:bookmarkEnd w:id="254"/>
    </w:p>
    <w:p w:rsidR="007D17C5" w:rsidRPr="00143624" w:rsidRDefault="007D17C5" w:rsidP="007D17C5">
      <w:pPr>
        <w:pStyle w:val="subsection"/>
      </w:pPr>
      <w:r w:rsidRPr="00143624">
        <w:tab/>
        <w:t>(1)</w:t>
      </w:r>
      <w:r w:rsidRPr="00143624">
        <w:tab/>
        <w:t>The rate of salary or wages growth to be applied is 4.5% per year.</w:t>
      </w:r>
    </w:p>
    <w:p w:rsidR="007D17C5" w:rsidRPr="00143624" w:rsidRDefault="007D17C5" w:rsidP="007D17C5">
      <w:pPr>
        <w:pStyle w:val="subsection"/>
      </w:pPr>
      <w:r w:rsidRPr="00143624">
        <w:tab/>
        <w:t>(2)</w:t>
      </w:r>
      <w:r w:rsidRPr="00143624">
        <w:tab/>
        <w:t>This rate is to be used:</w:t>
      </w:r>
    </w:p>
    <w:p w:rsidR="007D17C5" w:rsidRPr="00143624" w:rsidRDefault="007D17C5" w:rsidP="007D17C5">
      <w:pPr>
        <w:pStyle w:val="paragraph"/>
      </w:pPr>
      <w:r w:rsidRPr="00143624">
        <w:tab/>
        <w:t>(a)</w:t>
      </w:r>
      <w:r w:rsidRPr="00143624">
        <w:tab/>
        <w:t>to project the value of future salary or wages; and</w:t>
      </w:r>
    </w:p>
    <w:p w:rsidR="007D17C5" w:rsidRPr="00143624" w:rsidRDefault="007D17C5" w:rsidP="007D17C5">
      <w:pPr>
        <w:pStyle w:val="paragraph"/>
      </w:pPr>
      <w:r w:rsidRPr="00143624">
        <w:tab/>
        <w:t>(b)</w:t>
      </w:r>
      <w:r w:rsidRPr="00143624">
        <w:tab/>
        <w:t>to project benefits that increase in accordance with a general wage index (for example, average weekly earnings).</w:t>
      </w:r>
    </w:p>
    <w:p w:rsidR="007D17C5" w:rsidRPr="00143624" w:rsidRDefault="007D17C5" w:rsidP="007D17C5">
      <w:pPr>
        <w:pStyle w:val="ActHead5"/>
      </w:pPr>
      <w:bookmarkStart w:id="255" w:name="_Toc64030511"/>
      <w:r w:rsidRPr="003F3E0B">
        <w:rPr>
          <w:rStyle w:val="CharSectno"/>
        </w:rPr>
        <w:t>14</w:t>
      </w:r>
      <w:r w:rsidRPr="00143624">
        <w:t xml:space="preserve">  Rate of increase in price indices</w:t>
      </w:r>
      <w:bookmarkEnd w:id="255"/>
    </w:p>
    <w:p w:rsidR="007D17C5" w:rsidRPr="00143624" w:rsidRDefault="007D17C5" w:rsidP="007D17C5">
      <w:pPr>
        <w:pStyle w:val="subsection"/>
      </w:pPr>
      <w:r w:rsidRPr="00143624">
        <w:tab/>
      </w:r>
      <w:r w:rsidRPr="00143624">
        <w:tab/>
        <w:t>If a benefit is linked to an increase in a price index (for example, the Consumer Price Index), the rate of increase in the price index to be applied is 2.5% per year.</w:t>
      </w:r>
    </w:p>
    <w:p w:rsidR="007D17C5" w:rsidRPr="00143624" w:rsidRDefault="007D17C5" w:rsidP="007D17C5">
      <w:pPr>
        <w:pStyle w:val="ActHead5"/>
      </w:pPr>
      <w:bookmarkStart w:id="256" w:name="_Toc64030512"/>
      <w:r w:rsidRPr="003F3E0B">
        <w:rPr>
          <w:rStyle w:val="CharSectno"/>
        </w:rPr>
        <w:t>15</w:t>
      </w:r>
      <w:r w:rsidRPr="00143624">
        <w:t xml:space="preserve">  New entrant age</w:t>
      </w:r>
      <w:bookmarkEnd w:id="256"/>
    </w:p>
    <w:p w:rsidR="007D17C5" w:rsidRPr="00143624" w:rsidRDefault="007D17C5" w:rsidP="007D17C5">
      <w:pPr>
        <w:pStyle w:val="subsection"/>
      </w:pPr>
      <w:r w:rsidRPr="00143624">
        <w:tab/>
        <w:t>(1)</w:t>
      </w:r>
      <w:r w:rsidRPr="00143624">
        <w:tab/>
        <w:t xml:space="preserve">The age of new entrants to be assumed is based on the average age of entry to the fund of the persons who were defined benefit members of the fund at </w:t>
      </w:r>
      <w:r w:rsidR="00F5399E" w:rsidRPr="00143624">
        <w:t>1 July</w:t>
      </w:r>
      <w:r w:rsidRPr="00143624">
        <w:t xml:space="preserve"> 2007.</w:t>
      </w:r>
    </w:p>
    <w:p w:rsidR="007D17C5" w:rsidRPr="00143624" w:rsidRDefault="007D17C5" w:rsidP="007D17C5">
      <w:pPr>
        <w:pStyle w:val="subsection"/>
      </w:pPr>
      <w:r w:rsidRPr="00143624">
        <w:tab/>
        <w:t>(2)</w:t>
      </w:r>
      <w:r w:rsidRPr="00143624">
        <w:tab/>
        <w:t>The following table sets out the age of new entrants that is to be assumed.</w:t>
      </w:r>
    </w:p>
    <w:p w:rsidR="007D17C5" w:rsidRPr="00143624"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143624" w:rsidTr="009558BE">
        <w:trPr>
          <w:tblHeader/>
        </w:trPr>
        <w:tc>
          <w:tcPr>
            <w:tcW w:w="5000" w:type="pct"/>
            <w:gridSpan w:val="3"/>
            <w:tcBorders>
              <w:top w:val="single" w:sz="12" w:space="0" w:color="auto"/>
              <w:bottom w:val="single" w:sz="6" w:space="0" w:color="auto"/>
            </w:tcBorders>
            <w:shd w:val="clear" w:color="auto" w:fill="auto"/>
          </w:tcPr>
          <w:p w:rsidR="007D17C5" w:rsidRPr="00143624" w:rsidRDefault="007D17C5" w:rsidP="009558BE">
            <w:pPr>
              <w:pStyle w:val="TableHeading"/>
            </w:pPr>
            <w:r w:rsidRPr="00143624">
              <w:lastRenderedPageBreak/>
              <w:t>New entrant age</w:t>
            </w:r>
          </w:p>
        </w:tc>
      </w:tr>
      <w:tr w:rsidR="007D17C5" w:rsidRPr="00143624" w:rsidTr="009558BE">
        <w:trPr>
          <w:tblHeader/>
        </w:trPr>
        <w:tc>
          <w:tcPr>
            <w:tcW w:w="429"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2285"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 xml:space="preserve">Average age last birthday at commencement in fund of defined benefit members of the fund at </w:t>
            </w:r>
            <w:r w:rsidR="00F5399E" w:rsidRPr="00143624">
              <w:t>1 July</w:t>
            </w:r>
            <w:r w:rsidRPr="00143624">
              <w:t xml:space="preserve"> 2007</w:t>
            </w:r>
          </w:p>
        </w:tc>
        <w:tc>
          <w:tcPr>
            <w:tcW w:w="2285"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New entrant age to be assumed</w:t>
            </w:r>
          </w:p>
        </w:tc>
      </w:tr>
      <w:tr w:rsidR="007D17C5" w:rsidRPr="00143624" w:rsidTr="009558BE">
        <w:tc>
          <w:tcPr>
            <w:tcW w:w="429" w:type="pct"/>
            <w:tcBorders>
              <w:top w:val="single" w:sz="12" w:space="0" w:color="auto"/>
            </w:tcBorders>
            <w:shd w:val="clear" w:color="auto" w:fill="auto"/>
          </w:tcPr>
          <w:p w:rsidR="007D17C5" w:rsidRPr="00143624" w:rsidRDefault="007D17C5" w:rsidP="009558BE">
            <w:pPr>
              <w:pStyle w:val="Tabletext"/>
            </w:pPr>
            <w:r w:rsidRPr="00143624">
              <w:t>1</w:t>
            </w:r>
          </w:p>
        </w:tc>
        <w:tc>
          <w:tcPr>
            <w:tcW w:w="2285" w:type="pct"/>
            <w:tcBorders>
              <w:top w:val="single" w:sz="12" w:space="0" w:color="auto"/>
            </w:tcBorders>
            <w:shd w:val="clear" w:color="auto" w:fill="auto"/>
          </w:tcPr>
          <w:p w:rsidR="007D17C5" w:rsidRPr="00143624" w:rsidRDefault="007D17C5" w:rsidP="009558BE">
            <w:pPr>
              <w:pStyle w:val="Tabletext"/>
            </w:pPr>
            <w:r w:rsidRPr="00143624">
              <w:rPr>
                <w:color w:val="000000"/>
              </w:rPr>
              <w:t>&lt;30</w:t>
            </w:r>
          </w:p>
        </w:tc>
        <w:tc>
          <w:tcPr>
            <w:tcW w:w="2285" w:type="pct"/>
            <w:tcBorders>
              <w:top w:val="single" w:sz="12" w:space="0" w:color="auto"/>
            </w:tcBorders>
            <w:shd w:val="clear" w:color="auto" w:fill="auto"/>
          </w:tcPr>
          <w:p w:rsidR="007D17C5" w:rsidRPr="00143624" w:rsidRDefault="007D17C5" w:rsidP="009558BE">
            <w:pPr>
              <w:pStyle w:val="Tabletext"/>
              <w:ind w:left="720"/>
            </w:pPr>
            <w:r w:rsidRPr="00143624">
              <w:rPr>
                <w:color w:val="000000"/>
              </w:rPr>
              <w:t>25</w:t>
            </w:r>
          </w:p>
        </w:tc>
      </w:tr>
      <w:tr w:rsidR="007D17C5" w:rsidRPr="00143624" w:rsidTr="009558BE">
        <w:tc>
          <w:tcPr>
            <w:tcW w:w="429" w:type="pct"/>
            <w:shd w:val="clear" w:color="auto" w:fill="auto"/>
          </w:tcPr>
          <w:p w:rsidR="007D17C5" w:rsidRPr="00143624" w:rsidRDefault="007D17C5" w:rsidP="009558BE">
            <w:pPr>
              <w:pStyle w:val="Tabletext"/>
            </w:pPr>
            <w:r w:rsidRPr="00143624">
              <w:t>2</w:t>
            </w:r>
          </w:p>
        </w:tc>
        <w:tc>
          <w:tcPr>
            <w:tcW w:w="2285" w:type="pct"/>
            <w:shd w:val="clear" w:color="auto" w:fill="auto"/>
          </w:tcPr>
          <w:p w:rsidR="007D17C5" w:rsidRPr="00143624" w:rsidRDefault="007D17C5" w:rsidP="009558BE">
            <w:pPr>
              <w:pStyle w:val="Tabletext"/>
            </w:pPr>
            <w:r w:rsidRPr="00143624">
              <w:rPr>
                <w:color w:val="000000"/>
              </w:rPr>
              <w:t>30</w:t>
            </w:r>
            <w:r w:rsidR="00143624">
              <w:rPr>
                <w:color w:val="000000"/>
              </w:rPr>
              <w:noBreakHyphen/>
            </w:r>
            <w:r w:rsidRPr="00143624">
              <w:rPr>
                <w:color w:val="000000"/>
              </w:rPr>
              <w:t>34</w:t>
            </w:r>
          </w:p>
        </w:tc>
        <w:tc>
          <w:tcPr>
            <w:tcW w:w="2285" w:type="pct"/>
            <w:shd w:val="clear" w:color="auto" w:fill="auto"/>
          </w:tcPr>
          <w:p w:rsidR="007D17C5" w:rsidRPr="00143624" w:rsidRDefault="007D17C5" w:rsidP="009558BE">
            <w:pPr>
              <w:pStyle w:val="Tabletext"/>
              <w:ind w:left="720"/>
            </w:pPr>
            <w:r w:rsidRPr="00143624">
              <w:rPr>
                <w:color w:val="000000"/>
              </w:rPr>
              <w:t>30</w:t>
            </w:r>
          </w:p>
        </w:tc>
      </w:tr>
      <w:tr w:rsidR="007D17C5" w:rsidRPr="00143624" w:rsidTr="009558BE">
        <w:tc>
          <w:tcPr>
            <w:tcW w:w="429" w:type="pct"/>
            <w:shd w:val="clear" w:color="auto" w:fill="auto"/>
          </w:tcPr>
          <w:p w:rsidR="007D17C5" w:rsidRPr="00143624" w:rsidRDefault="007D17C5" w:rsidP="009558BE">
            <w:pPr>
              <w:pStyle w:val="Tabletext"/>
            </w:pPr>
            <w:r w:rsidRPr="00143624">
              <w:t>3</w:t>
            </w:r>
          </w:p>
        </w:tc>
        <w:tc>
          <w:tcPr>
            <w:tcW w:w="2285" w:type="pct"/>
            <w:shd w:val="clear" w:color="auto" w:fill="auto"/>
          </w:tcPr>
          <w:p w:rsidR="007D17C5" w:rsidRPr="00143624" w:rsidRDefault="007D17C5" w:rsidP="009558BE">
            <w:pPr>
              <w:pStyle w:val="Tabletext"/>
            </w:pPr>
            <w:r w:rsidRPr="00143624">
              <w:rPr>
                <w:color w:val="000000"/>
              </w:rPr>
              <w:t>35</w:t>
            </w:r>
            <w:r w:rsidR="00143624">
              <w:rPr>
                <w:color w:val="000000"/>
              </w:rPr>
              <w:noBreakHyphen/>
            </w:r>
            <w:r w:rsidRPr="00143624">
              <w:rPr>
                <w:color w:val="000000"/>
              </w:rPr>
              <w:t>39</w:t>
            </w:r>
          </w:p>
        </w:tc>
        <w:tc>
          <w:tcPr>
            <w:tcW w:w="2285" w:type="pct"/>
            <w:shd w:val="clear" w:color="auto" w:fill="auto"/>
          </w:tcPr>
          <w:p w:rsidR="007D17C5" w:rsidRPr="00143624" w:rsidRDefault="007D17C5" w:rsidP="009558BE">
            <w:pPr>
              <w:pStyle w:val="Tabletext"/>
              <w:ind w:left="720"/>
            </w:pPr>
            <w:r w:rsidRPr="00143624">
              <w:rPr>
                <w:color w:val="000000"/>
              </w:rPr>
              <w:t>35</w:t>
            </w:r>
          </w:p>
        </w:tc>
      </w:tr>
      <w:tr w:rsidR="007D17C5" w:rsidRPr="00143624" w:rsidTr="009558BE">
        <w:tc>
          <w:tcPr>
            <w:tcW w:w="429" w:type="pct"/>
            <w:shd w:val="clear" w:color="auto" w:fill="auto"/>
          </w:tcPr>
          <w:p w:rsidR="007D17C5" w:rsidRPr="00143624" w:rsidRDefault="007D17C5" w:rsidP="009558BE">
            <w:pPr>
              <w:pStyle w:val="Tabletext"/>
            </w:pPr>
            <w:r w:rsidRPr="00143624">
              <w:t>4</w:t>
            </w:r>
          </w:p>
        </w:tc>
        <w:tc>
          <w:tcPr>
            <w:tcW w:w="2285" w:type="pct"/>
            <w:shd w:val="clear" w:color="auto" w:fill="auto"/>
          </w:tcPr>
          <w:p w:rsidR="007D17C5" w:rsidRPr="00143624" w:rsidRDefault="007D17C5" w:rsidP="009558BE">
            <w:pPr>
              <w:pStyle w:val="Tabletext"/>
            </w:pPr>
            <w:r w:rsidRPr="00143624">
              <w:rPr>
                <w:color w:val="000000"/>
              </w:rPr>
              <w:t>40</w:t>
            </w:r>
            <w:r w:rsidR="00143624">
              <w:rPr>
                <w:color w:val="000000"/>
              </w:rPr>
              <w:noBreakHyphen/>
            </w:r>
            <w:r w:rsidRPr="00143624">
              <w:rPr>
                <w:color w:val="000000"/>
              </w:rPr>
              <w:t>44</w:t>
            </w:r>
          </w:p>
        </w:tc>
        <w:tc>
          <w:tcPr>
            <w:tcW w:w="2285" w:type="pct"/>
            <w:shd w:val="clear" w:color="auto" w:fill="auto"/>
          </w:tcPr>
          <w:p w:rsidR="007D17C5" w:rsidRPr="00143624" w:rsidRDefault="007D17C5" w:rsidP="009558BE">
            <w:pPr>
              <w:pStyle w:val="Tabletext"/>
              <w:ind w:left="720"/>
            </w:pPr>
            <w:r w:rsidRPr="00143624">
              <w:rPr>
                <w:color w:val="000000"/>
              </w:rPr>
              <w:t>40</w:t>
            </w:r>
          </w:p>
        </w:tc>
      </w:tr>
      <w:tr w:rsidR="007D17C5" w:rsidRPr="00143624" w:rsidTr="009558BE">
        <w:tc>
          <w:tcPr>
            <w:tcW w:w="429" w:type="pct"/>
            <w:tcBorders>
              <w:bottom w:val="single" w:sz="2" w:space="0" w:color="auto"/>
            </w:tcBorders>
            <w:shd w:val="clear" w:color="auto" w:fill="auto"/>
          </w:tcPr>
          <w:p w:rsidR="007D17C5" w:rsidRPr="00143624" w:rsidRDefault="007D17C5" w:rsidP="009558BE">
            <w:pPr>
              <w:pStyle w:val="Tabletext"/>
            </w:pPr>
            <w:r w:rsidRPr="00143624">
              <w:t>5</w:t>
            </w:r>
          </w:p>
        </w:tc>
        <w:tc>
          <w:tcPr>
            <w:tcW w:w="2285" w:type="pct"/>
            <w:tcBorders>
              <w:bottom w:val="single" w:sz="2" w:space="0" w:color="auto"/>
            </w:tcBorders>
            <w:shd w:val="clear" w:color="auto" w:fill="auto"/>
          </w:tcPr>
          <w:p w:rsidR="007D17C5" w:rsidRPr="00143624" w:rsidRDefault="007D17C5" w:rsidP="009558BE">
            <w:pPr>
              <w:pStyle w:val="Tabletext"/>
            </w:pPr>
            <w:r w:rsidRPr="00143624">
              <w:rPr>
                <w:color w:val="000000"/>
              </w:rPr>
              <w:t>45</w:t>
            </w:r>
            <w:r w:rsidR="00143624">
              <w:rPr>
                <w:color w:val="000000"/>
              </w:rPr>
              <w:noBreakHyphen/>
            </w:r>
            <w:r w:rsidRPr="00143624">
              <w:rPr>
                <w:color w:val="000000"/>
              </w:rPr>
              <w:t>49</w:t>
            </w:r>
          </w:p>
        </w:tc>
        <w:tc>
          <w:tcPr>
            <w:tcW w:w="2285" w:type="pct"/>
            <w:tcBorders>
              <w:bottom w:val="single" w:sz="2" w:space="0" w:color="auto"/>
            </w:tcBorders>
            <w:shd w:val="clear" w:color="auto" w:fill="auto"/>
          </w:tcPr>
          <w:p w:rsidR="007D17C5" w:rsidRPr="00143624" w:rsidRDefault="007D17C5" w:rsidP="009558BE">
            <w:pPr>
              <w:pStyle w:val="Tabletext"/>
              <w:ind w:left="720"/>
            </w:pPr>
            <w:r w:rsidRPr="00143624">
              <w:rPr>
                <w:color w:val="000000"/>
              </w:rPr>
              <w:t>45</w:t>
            </w:r>
          </w:p>
        </w:tc>
      </w:tr>
      <w:tr w:rsidR="007D17C5" w:rsidRPr="00143624" w:rsidTr="009558BE">
        <w:tc>
          <w:tcPr>
            <w:tcW w:w="429"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t>6</w:t>
            </w:r>
          </w:p>
        </w:tc>
        <w:tc>
          <w:tcPr>
            <w:tcW w:w="2285"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rPr>
                <w:color w:val="000000"/>
              </w:rPr>
              <w:t>50+</w:t>
            </w:r>
          </w:p>
        </w:tc>
        <w:tc>
          <w:tcPr>
            <w:tcW w:w="2285" w:type="pct"/>
            <w:tcBorders>
              <w:top w:val="single" w:sz="2" w:space="0" w:color="auto"/>
              <w:bottom w:val="single" w:sz="12" w:space="0" w:color="auto"/>
            </w:tcBorders>
            <w:shd w:val="clear" w:color="auto" w:fill="auto"/>
          </w:tcPr>
          <w:p w:rsidR="007D17C5" w:rsidRPr="00143624" w:rsidRDefault="007D17C5" w:rsidP="009558BE">
            <w:pPr>
              <w:pStyle w:val="Tabletext"/>
              <w:ind w:left="720"/>
            </w:pPr>
            <w:r w:rsidRPr="00143624">
              <w:rPr>
                <w:color w:val="000000"/>
              </w:rPr>
              <w:t>50</w:t>
            </w:r>
          </w:p>
        </w:tc>
      </w:tr>
    </w:tbl>
    <w:p w:rsidR="007D17C5" w:rsidRPr="00143624" w:rsidRDefault="007D17C5" w:rsidP="007D17C5">
      <w:pPr>
        <w:pStyle w:val="subsection"/>
      </w:pPr>
      <w:r w:rsidRPr="00143624">
        <w:tab/>
        <w:t>(3)</w:t>
      </w:r>
      <w:r w:rsidRPr="00143624">
        <w:tab/>
        <w:t>If:</w:t>
      </w:r>
    </w:p>
    <w:p w:rsidR="007D17C5" w:rsidRPr="00143624" w:rsidRDefault="007D17C5" w:rsidP="007D17C5">
      <w:pPr>
        <w:pStyle w:val="paragraph"/>
      </w:pPr>
      <w:r w:rsidRPr="00143624">
        <w:tab/>
        <w:t>(a)</w:t>
      </w:r>
      <w:r w:rsidRPr="00143624">
        <w:tab/>
        <w:t>there has been a transfer of defined benefit members from a predecessor fund into the fund, or a superannuation sub</w:t>
      </w:r>
      <w:r w:rsidR="00143624">
        <w:noBreakHyphen/>
      </w:r>
      <w:r w:rsidRPr="00143624">
        <w:t>fund of the fund; and</w:t>
      </w:r>
    </w:p>
    <w:p w:rsidR="007D17C5" w:rsidRPr="00143624" w:rsidRDefault="007D17C5" w:rsidP="007D17C5">
      <w:pPr>
        <w:pStyle w:val="paragraph"/>
      </w:pPr>
      <w:r w:rsidRPr="00143624">
        <w:tab/>
        <w:t>(b)</w:t>
      </w:r>
      <w:r w:rsidRPr="00143624">
        <w:tab/>
        <w:t>the actuary considers it reasonable to do so;</w:t>
      </w:r>
    </w:p>
    <w:p w:rsidR="007D17C5" w:rsidRPr="00143624" w:rsidRDefault="007D17C5" w:rsidP="007D17C5">
      <w:pPr>
        <w:pStyle w:val="subsection2"/>
      </w:pPr>
      <w:r w:rsidRPr="00143624">
        <w:t>the actuary may determine a new entrant age for the fund or superannuation sub</w:t>
      </w:r>
      <w:r w:rsidR="00143624">
        <w:noBreakHyphen/>
      </w:r>
      <w:r w:rsidRPr="00143624">
        <w:t>fund taking account of the average age of entry used for or relevant for those members in the predecessor fund.</w:t>
      </w:r>
    </w:p>
    <w:p w:rsidR="007D17C5" w:rsidRPr="00143624" w:rsidRDefault="007D17C5" w:rsidP="007D17C5">
      <w:pPr>
        <w:pStyle w:val="subsection"/>
      </w:pPr>
      <w:r w:rsidRPr="00143624">
        <w:tab/>
        <w:t>(4)</w:t>
      </w:r>
      <w:r w:rsidRPr="00143624">
        <w:tab/>
        <w:t>For the purposes of this clause, a defined benefit member does not include a person who:</w:t>
      </w:r>
    </w:p>
    <w:p w:rsidR="007D17C5" w:rsidRPr="00143624" w:rsidRDefault="007D17C5" w:rsidP="007D17C5">
      <w:pPr>
        <w:pStyle w:val="paragraph"/>
      </w:pPr>
      <w:r w:rsidRPr="00143624">
        <w:tab/>
        <w:t>(a)</w:t>
      </w:r>
      <w:r w:rsidRPr="00143624">
        <w:tab/>
        <w:t>is receiving only a pension benefit from the fund; or</w:t>
      </w:r>
    </w:p>
    <w:p w:rsidR="007D17C5" w:rsidRPr="00143624" w:rsidRDefault="007D17C5" w:rsidP="007D17C5">
      <w:pPr>
        <w:pStyle w:val="paragraph"/>
      </w:pPr>
      <w:r w:rsidRPr="00143624">
        <w:tab/>
        <w:t>(b)</w:t>
      </w:r>
      <w:r w:rsidRPr="00143624">
        <w:tab/>
        <w:t>has deferred the person’s benefit entitlement in the fund.</w:t>
      </w:r>
    </w:p>
    <w:p w:rsidR="007D17C5" w:rsidRPr="00143624" w:rsidRDefault="007D17C5" w:rsidP="007D17C5">
      <w:pPr>
        <w:pStyle w:val="subsection"/>
      </w:pPr>
      <w:r w:rsidRPr="00143624">
        <w:tab/>
        <w:t>(5)</w:t>
      </w:r>
      <w:r w:rsidRPr="00143624">
        <w:tab/>
        <w:t>If the actuary believes that there is insufficient information available to calculate the average age of entry, the actuary is to assume that the age of a new entrant is 40.</w:t>
      </w:r>
    </w:p>
    <w:p w:rsidR="007D17C5" w:rsidRPr="00143624" w:rsidRDefault="007D17C5" w:rsidP="007D17C5">
      <w:pPr>
        <w:pStyle w:val="subsection"/>
      </w:pPr>
      <w:r w:rsidRPr="00143624">
        <w:tab/>
        <w:t>(6)</w:t>
      </w:r>
      <w:r w:rsidRPr="00143624">
        <w:tab/>
        <w:t>If an actuary certifies a benefit category for the purposes of subclause 2(1) in relation to a person’s membership of the Governor</w:t>
      </w:r>
      <w:r w:rsidR="00143624">
        <w:noBreakHyphen/>
      </w:r>
      <w:r w:rsidRPr="00143624">
        <w:t xml:space="preserve">General Pension Scheme, then, despite </w:t>
      </w:r>
      <w:r w:rsidR="002B1A95" w:rsidRPr="00143624">
        <w:t>subclauses (</w:t>
      </w:r>
      <w:r w:rsidRPr="00143624">
        <w:t>1) to (5) of this clause, the new entrant age to be assumed for the benefit category is:</w:t>
      </w:r>
    </w:p>
    <w:p w:rsidR="007D17C5" w:rsidRPr="00143624" w:rsidRDefault="007D17C5" w:rsidP="007D17C5">
      <w:pPr>
        <w:pStyle w:val="paragraph"/>
      </w:pPr>
      <w:r w:rsidRPr="00143624">
        <w:tab/>
        <w:t>(a)</w:t>
      </w:r>
      <w:r w:rsidRPr="00143624">
        <w:tab/>
        <w:t xml:space="preserve">the new entrant age specified by the </w:t>
      </w:r>
      <w:r w:rsidRPr="00143624">
        <w:rPr>
          <w:i/>
        </w:rPr>
        <w:t>Governor</w:t>
      </w:r>
      <w:r w:rsidR="00143624">
        <w:rPr>
          <w:i/>
        </w:rPr>
        <w:noBreakHyphen/>
      </w:r>
      <w:r w:rsidRPr="00143624">
        <w:rPr>
          <w:i/>
        </w:rPr>
        <w:t>General Act 1974</w:t>
      </w:r>
      <w:r w:rsidRPr="00143624">
        <w:t>; or</w:t>
      </w:r>
    </w:p>
    <w:p w:rsidR="007D17C5" w:rsidRPr="00143624" w:rsidRDefault="007D17C5" w:rsidP="007D17C5">
      <w:pPr>
        <w:pStyle w:val="paragraph"/>
      </w:pPr>
      <w:r w:rsidRPr="00143624">
        <w:tab/>
        <w:t>(b)</w:t>
      </w:r>
      <w:r w:rsidRPr="00143624">
        <w:tab/>
        <w:t>if that Act does not specify a new entrant age—the person’s age when the person’s appointment as Governor</w:t>
      </w:r>
      <w:r w:rsidR="00143624">
        <w:noBreakHyphen/>
      </w:r>
      <w:r w:rsidRPr="00143624">
        <w:t>General commences.</w:t>
      </w:r>
    </w:p>
    <w:p w:rsidR="007D17C5" w:rsidRPr="00143624" w:rsidRDefault="007D17C5" w:rsidP="007D17C5">
      <w:pPr>
        <w:pStyle w:val="ActHead5"/>
      </w:pPr>
      <w:bookmarkStart w:id="257" w:name="_Toc64030513"/>
      <w:r w:rsidRPr="003F3E0B">
        <w:rPr>
          <w:rStyle w:val="CharSectno"/>
        </w:rPr>
        <w:t>16</w:t>
      </w:r>
      <w:r w:rsidRPr="00143624">
        <w:t xml:space="preserve">  Exit rates</w:t>
      </w:r>
      <w:bookmarkEnd w:id="257"/>
    </w:p>
    <w:p w:rsidR="007D17C5" w:rsidRPr="00143624" w:rsidRDefault="007D17C5" w:rsidP="007D17C5">
      <w:pPr>
        <w:pStyle w:val="subsection"/>
      </w:pPr>
      <w:r w:rsidRPr="00143624">
        <w:tab/>
        <w:t>(1)</w:t>
      </w:r>
      <w:r w:rsidRPr="00143624">
        <w:tab/>
        <w:t>The following table sets out the rates of voluntary exit from the fund that are to be assumed.</w:t>
      </w:r>
    </w:p>
    <w:p w:rsidR="007D17C5" w:rsidRPr="00143624" w:rsidRDefault="007D17C5" w:rsidP="007D17C5">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17"/>
        <w:gridCol w:w="3828"/>
        <w:gridCol w:w="3884"/>
      </w:tblGrid>
      <w:tr w:rsidR="007D17C5" w:rsidRPr="00143624" w:rsidTr="009558BE">
        <w:trPr>
          <w:tblHeader/>
        </w:trPr>
        <w:tc>
          <w:tcPr>
            <w:tcW w:w="5000" w:type="pct"/>
            <w:gridSpan w:val="3"/>
            <w:tcBorders>
              <w:top w:val="single" w:sz="12" w:space="0" w:color="auto"/>
              <w:bottom w:val="single" w:sz="6" w:space="0" w:color="auto"/>
            </w:tcBorders>
          </w:tcPr>
          <w:p w:rsidR="007D17C5" w:rsidRPr="00143624" w:rsidRDefault="007D17C5" w:rsidP="009558BE">
            <w:pPr>
              <w:pStyle w:val="TableHeading"/>
            </w:pPr>
            <w:r w:rsidRPr="00143624">
              <w:t>Voluntary exit rates</w:t>
            </w:r>
          </w:p>
        </w:tc>
      </w:tr>
      <w:tr w:rsidR="007D17C5" w:rsidRPr="00143624" w:rsidTr="009558BE">
        <w:trPr>
          <w:tblHeader/>
        </w:trPr>
        <w:tc>
          <w:tcPr>
            <w:tcW w:w="479" w:type="pct"/>
            <w:tcBorders>
              <w:top w:val="single" w:sz="6" w:space="0" w:color="auto"/>
              <w:bottom w:val="single" w:sz="12" w:space="0" w:color="auto"/>
            </w:tcBorders>
          </w:tcPr>
          <w:p w:rsidR="007D17C5" w:rsidRPr="00143624" w:rsidRDefault="007D17C5" w:rsidP="009558BE">
            <w:pPr>
              <w:pStyle w:val="TableHeading"/>
            </w:pPr>
            <w:r w:rsidRPr="00143624">
              <w:t>Item</w:t>
            </w:r>
          </w:p>
        </w:tc>
        <w:tc>
          <w:tcPr>
            <w:tcW w:w="2244"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Age band</w:t>
            </w:r>
          </w:p>
        </w:tc>
        <w:tc>
          <w:tcPr>
            <w:tcW w:w="2277"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Exit rate</w:t>
            </w:r>
          </w:p>
        </w:tc>
      </w:tr>
      <w:tr w:rsidR="007D17C5" w:rsidRPr="00143624" w:rsidTr="009558BE">
        <w:tc>
          <w:tcPr>
            <w:tcW w:w="479" w:type="pct"/>
            <w:tcBorders>
              <w:top w:val="single" w:sz="12" w:space="0" w:color="auto"/>
            </w:tcBorders>
          </w:tcPr>
          <w:p w:rsidR="007D17C5" w:rsidRPr="00143624" w:rsidRDefault="007D17C5" w:rsidP="009558BE">
            <w:pPr>
              <w:pStyle w:val="Tabletext"/>
              <w:rPr>
                <w:color w:val="000000"/>
              </w:rPr>
            </w:pPr>
            <w:r w:rsidRPr="00143624">
              <w:rPr>
                <w:color w:val="000000"/>
              </w:rPr>
              <w:t>1</w:t>
            </w:r>
          </w:p>
        </w:tc>
        <w:tc>
          <w:tcPr>
            <w:tcW w:w="2244" w:type="pct"/>
            <w:tcBorders>
              <w:top w:val="single" w:sz="12" w:space="0" w:color="auto"/>
            </w:tcBorders>
            <w:shd w:val="clear" w:color="auto" w:fill="auto"/>
          </w:tcPr>
          <w:p w:rsidR="007D17C5" w:rsidRPr="00143624" w:rsidRDefault="007D17C5" w:rsidP="009558BE">
            <w:pPr>
              <w:pStyle w:val="Tabletext"/>
            </w:pPr>
            <w:r w:rsidRPr="00143624">
              <w:rPr>
                <w:color w:val="000000"/>
              </w:rPr>
              <w:t>&lt;40</w:t>
            </w:r>
          </w:p>
        </w:tc>
        <w:tc>
          <w:tcPr>
            <w:tcW w:w="2277" w:type="pct"/>
            <w:tcBorders>
              <w:top w:val="single" w:sz="12" w:space="0" w:color="auto"/>
            </w:tcBorders>
            <w:shd w:val="clear" w:color="auto" w:fill="auto"/>
          </w:tcPr>
          <w:p w:rsidR="007D17C5" w:rsidRPr="00143624" w:rsidRDefault="007D17C5" w:rsidP="009558BE">
            <w:pPr>
              <w:pStyle w:val="Tabletext"/>
            </w:pPr>
            <w:r w:rsidRPr="00143624">
              <w:rPr>
                <w:color w:val="000000"/>
              </w:rPr>
              <w:t>0.05</w:t>
            </w:r>
          </w:p>
        </w:tc>
      </w:tr>
      <w:tr w:rsidR="007D17C5" w:rsidRPr="00143624" w:rsidTr="009558BE">
        <w:tc>
          <w:tcPr>
            <w:tcW w:w="479" w:type="pct"/>
          </w:tcPr>
          <w:p w:rsidR="007D17C5" w:rsidRPr="00143624" w:rsidRDefault="007D17C5" w:rsidP="009558BE">
            <w:pPr>
              <w:pStyle w:val="Tabletext"/>
              <w:rPr>
                <w:color w:val="000000"/>
              </w:rPr>
            </w:pPr>
            <w:r w:rsidRPr="00143624">
              <w:rPr>
                <w:color w:val="000000"/>
              </w:rPr>
              <w:t>2</w:t>
            </w:r>
          </w:p>
        </w:tc>
        <w:tc>
          <w:tcPr>
            <w:tcW w:w="2244" w:type="pct"/>
            <w:shd w:val="clear" w:color="auto" w:fill="auto"/>
          </w:tcPr>
          <w:p w:rsidR="007D17C5" w:rsidRPr="00143624" w:rsidRDefault="007D17C5" w:rsidP="009558BE">
            <w:pPr>
              <w:pStyle w:val="Tabletext"/>
            </w:pPr>
            <w:r w:rsidRPr="00143624">
              <w:rPr>
                <w:color w:val="000000"/>
              </w:rPr>
              <w:t>40</w:t>
            </w:r>
            <w:r w:rsidR="00143624">
              <w:rPr>
                <w:color w:val="000000"/>
              </w:rPr>
              <w:noBreakHyphen/>
            </w:r>
            <w:r w:rsidRPr="00143624">
              <w:rPr>
                <w:color w:val="000000"/>
              </w:rPr>
              <w:t>44</w:t>
            </w:r>
          </w:p>
        </w:tc>
        <w:tc>
          <w:tcPr>
            <w:tcW w:w="2277" w:type="pct"/>
            <w:shd w:val="clear" w:color="auto" w:fill="auto"/>
          </w:tcPr>
          <w:p w:rsidR="007D17C5" w:rsidRPr="00143624" w:rsidRDefault="007D17C5" w:rsidP="009558BE">
            <w:pPr>
              <w:pStyle w:val="Tabletext"/>
            </w:pPr>
            <w:r w:rsidRPr="00143624">
              <w:rPr>
                <w:color w:val="000000"/>
              </w:rPr>
              <w:t>0.04</w:t>
            </w:r>
          </w:p>
        </w:tc>
      </w:tr>
      <w:tr w:rsidR="007D17C5" w:rsidRPr="00143624" w:rsidTr="009558BE">
        <w:tc>
          <w:tcPr>
            <w:tcW w:w="479" w:type="pct"/>
          </w:tcPr>
          <w:p w:rsidR="007D17C5" w:rsidRPr="00143624" w:rsidRDefault="007D17C5" w:rsidP="009558BE">
            <w:pPr>
              <w:pStyle w:val="Tabletext"/>
              <w:rPr>
                <w:color w:val="000000"/>
              </w:rPr>
            </w:pPr>
            <w:r w:rsidRPr="00143624">
              <w:rPr>
                <w:color w:val="000000"/>
              </w:rPr>
              <w:t>3</w:t>
            </w:r>
          </w:p>
        </w:tc>
        <w:tc>
          <w:tcPr>
            <w:tcW w:w="2244" w:type="pct"/>
            <w:shd w:val="clear" w:color="auto" w:fill="auto"/>
          </w:tcPr>
          <w:p w:rsidR="007D17C5" w:rsidRPr="00143624" w:rsidRDefault="007D17C5" w:rsidP="009558BE">
            <w:pPr>
              <w:pStyle w:val="Tabletext"/>
            </w:pPr>
            <w:r w:rsidRPr="00143624">
              <w:rPr>
                <w:color w:val="000000"/>
              </w:rPr>
              <w:t>45</w:t>
            </w:r>
            <w:r w:rsidR="00143624">
              <w:rPr>
                <w:color w:val="000000"/>
              </w:rPr>
              <w:noBreakHyphen/>
            </w:r>
            <w:r w:rsidRPr="00143624">
              <w:rPr>
                <w:color w:val="000000"/>
              </w:rPr>
              <w:t>49</w:t>
            </w:r>
          </w:p>
        </w:tc>
        <w:tc>
          <w:tcPr>
            <w:tcW w:w="2277" w:type="pct"/>
            <w:shd w:val="clear" w:color="auto" w:fill="auto"/>
          </w:tcPr>
          <w:p w:rsidR="007D17C5" w:rsidRPr="00143624" w:rsidRDefault="007D17C5" w:rsidP="009558BE">
            <w:pPr>
              <w:pStyle w:val="Tabletext"/>
            </w:pPr>
            <w:r w:rsidRPr="00143624">
              <w:rPr>
                <w:color w:val="000000"/>
              </w:rPr>
              <w:t>0.04</w:t>
            </w:r>
          </w:p>
        </w:tc>
      </w:tr>
      <w:tr w:rsidR="007D17C5" w:rsidRPr="00143624" w:rsidTr="009558BE">
        <w:tc>
          <w:tcPr>
            <w:tcW w:w="479" w:type="pct"/>
          </w:tcPr>
          <w:p w:rsidR="007D17C5" w:rsidRPr="00143624" w:rsidRDefault="007D17C5" w:rsidP="009558BE">
            <w:pPr>
              <w:pStyle w:val="Tabletext"/>
              <w:rPr>
                <w:color w:val="000000"/>
              </w:rPr>
            </w:pPr>
            <w:r w:rsidRPr="00143624">
              <w:rPr>
                <w:color w:val="000000"/>
              </w:rPr>
              <w:t>4</w:t>
            </w:r>
          </w:p>
        </w:tc>
        <w:tc>
          <w:tcPr>
            <w:tcW w:w="2244" w:type="pct"/>
            <w:shd w:val="clear" w:color="auto" w:fill="auto"/>
          </w:tcPr>
          <w:p w:rsidR="007D17C5" w:rsidRPr="00143624" w:rsidRDefault="007D17C5" w:rsidP="009558BE">
            <w:pPr>
              <w:pStyle w:val="Tabletext"/>
            </w:pPr>
            <w:r w:rsidRPr="00143624">
              <w:rPr>
                <w:color w:val="000000"/>
              </w:rPr>
              <w:t>50</w:t>
            </w:r>
            <w:r w:rsidR="00143624">
              <w:rPr>
                <w:color w:val="000000"/>
              </w:rPr>
              <w:noBreakHyphen/>
            </w:r>
            <w:r w:rsidRPr="00143624">
              <w:rPr>
                <w:color w:val="000000"/>
              </w:rPr>
              <w:t>54</w:t>
            </w:r>
          </w:p>
        </w:tc>
        <w:tc>
          <w:tcPr>
            <w:tcW w:w="2277" w:type="pct"/>
            <w:shd w:val="clear" w:color="auto" w:fill="auto"/>
          </w:tcPr>
          <w:p w:rsidR="007D17C5" w:rsidRPr="00143624" w:rsidRDefault="007D17C5" w:rsidP="009558BE">
            <w:pPr>
              <w:pStyle w:val="Tabletext"/>
            </w:pPr>
            <w:r w:rsidRPr="00143624">
              <w:rPr>
                <w:color w:val="000000"/>
              </w:rPr>
              <w:t>0.04</w:t>
            </w:r>
          </w:p>
        </w:tc>
      </w:tr>
      <w:tr w:rsidR="007D17C5" w:rsidRPr="00143624" w:rsidTr="009558BE">
        <w:tc>
          <w:tcPr>
            <w:tcW w:w="479" w:type="pct"/>
          </w:tcPr>
          <w:p w:rsidR="007D17C5" w:rsidRPr="00143624" w:rsidRDefault="007D17C5" w:rsidP="009558BE">
            <w:pPr>
              <w:pStyle w:val="Tabletext"/>
              <w:rPr>
                <w:color w:val="000000"/>
              </w:rPr>
            </w:pPr>
            <w:r w:rsidRPr="00143624">
              <w:rPr>
                <w:color w:val="000000"/>
              </w:rPr>
              <w:t>5</w:t>
            </w:r>
          </w:p>
        </w:tc>
        <w:tc>
          <w:tcPr>
            <w:tcW w:w="2244" w:type="pct"/>
            <w:shd w:val="clear" w:color="auto" w:fill="auto"/>
          </w:tcPr>
          <w:p w:rsidR="007D17C5" w:rsidRPr="00143624" w:rsidRDefault="007D17C5" w:rsidP="009558BE">
            <w:pPr>
              <w:pStyle w:val="Tabletext"/>
            </w:pPr>
            <w:r w:rsidRPr="00143624">
              <w:rPr>
                <w:color w:val="000000"/>
              </w:rPr>
              <w:t>55</w:t>
            </w:r>
            <w:r w:rsidR="00143624">
              <w:rPr>
                <w:color w:val="000000"/>
              </w:rPr>
              <w:noBreakHyphen/>
            </w:r>
            <w:r w:rsidRPr="00143624">
              <w:rPr>
                <w:color w:val="000000"/>
              </w:rPr>
              <w:t>59</w:t>
            </w:r>
          </w:p>
        </w:tc>
        <w:tc>
          <w:tcPr>
            <w:tcW w:w="2277" w:type="pct"/>
            <w:shd w:val="clear" w:color="auto" w:fill="auto"/>
          </w:tcPr>
          <w:p w:rsidR="007D17C5" w:rsidRPr="00143624" w:rsidRDefault="007D17C5" w:rsidP="009558BE">
            <w:pPr>
              <w:pStyle w:val="Tabletext"/>
            </w:pPr>
            <w:r w:rsidRPr="00143624">
              <w:rPr>
                <w:color w:val="000000"/>
              </w:rPr>
              <w:t>0.08</w:t>
            </w:r>
          </w:p>
        </w:tc>
      </w:tr>
      <w:tr w:rsidR="007D17C5" w:rsidRPr="00143624" w:rsidTr="009558BE">
        <w:tc>
          <w:tcPr>
            <w:tcW w:w="479" w:type="pct"/>
          </w:tcPr>
          <w:p w:rsidR="007D17C5" w:rsidRPr="00143624" w:rsidRDefault="007D17C5" w:rsidP="009558BE">
            <w:pPr>
              <w:pStyle w:val="Tabletext"/>
              <w:rPr>
                <w:color w:val="000000"/>
              </w:rPr>
            </w:pPr>
            <w:r w:rsidRPr="00143624">
              <w:rPr>
                <w:color w:val="000000"/>
              </w:rPr>
              <w:lastRenderedPageBreak/>
              <w:t>6</w:t>
            </w:r>
          </w:p>
        </w:tc>
        <w:tc>
          <w:tcPr>
            <w:tcW w:w="2244" w:type="pct"/>
            <w:shd w:val="clear" w:color="auto" w:fill="auto"/>
          </w:tcPr>
          <w:p w:rsidR="007D17C5" w:rsidRPr="00143624" w:rsidRDefault="007D17C5" w:rsidP="009558BE">
            <w:pPr>
              <w:pStyle w:val="Tabletext"/>
            </w:pPr>
            <w:r w:rsidRPr="00143624">
              <w:rPr>
                <w:color w:val="000000"/>
              </w:rPr>
              <w:t>60</w:t>
            </w:r>
          </w:p>
        </w:tc>
        <w:tc>
          <w:tcPr>
            <w:tcW w:w="2277" w:type="pct"/>
            <w:shd w:val="clear" w:color="auto" w:fill="auto"/>
          </w:tcPr>
          <w:p w:rsidR="007D17C5" w:rsidRPr="00143624" w:rsidRDefault="007D17C5" w:rsidP="009558BE">
            <w:pPr>
              <w:pStyle w:val="Tabletext"/>
            </w:pPr>
            <w:r w:rsidRPr="00143624">
              <w:rPr>
                <w:color w:val="000000"/>
              </w:rPr>
              <w:t>0.12</w:t>
            </w:r>
          </w:p>
        </w:tc>
      </w:tr>
      <w:tr w:rsidR="007D17C5" w:rsidRPr="00143624" w:rsidTr="009558BE">
        <w:tc>
          <w:tcPr>
            <w:tcW w:w="479" w:type="pct"/>
            <w:tcBorders>
              <w:bottom w:val="single" w:sz="4" w:space="0" w:color="auto"/>
            </w:tcBorders>
          </w:tcPr>
          <w:p w:rsidR="007D17C5" w:rsidRPr="00143624" w:rsidRDefault="007D17C5" w:rsidP="009558BE">
            <w:pPr>
              <w:pStyle w:val="Tabletext"/>
              <w:rPr>
                <w:color w:val="000000"/>
              </w:rPr>
            </w:pPr>
            <w:r w:rsidRPr="00143624">
              <w:rPr>
                <w:color w:val="000000"/>
              </w:rPr>
              <w:t>7</w:t>
            </w:r>
          </w:p>
        </w:tc>
        <w:tc>
          <w:tcPr>
            <w:tcW w:w="2244" w:type="pct"/>
            <w:tcBorders>
              <w:bottom w:val="single" w:sz="4" w:space="0" w:color="auto"/>
            </w:tcBorders>
            <w:shd w:val="clear" w:color="auto" w:fill="auto"/>
          </w:tcPr>
          <w:p w:rsidR="007D17C5" w:rsidRPr="00143624" w:rsidRDefault="007D17C5" w:rsidP="009558BE">
            <w:pPr>
              <w:pStyle w:val="Tabletext"/>
            </w:pPr>
            <w:r w:rsidRPr="00143624">
              <w:rPr>
                <w:color w:val="000000"/>
              </w:rPr>
              <w:t>61</w:t>
            </w:r>
            <w:r w:rsidR="00143624">
              <w:rPr>
                <w:color w:val="000000"/>
              </w:rPr>
              <w:noBreakHyphen/>
            </w:r>
            <w:r w:rsidRPr="00143624">
              <w:rPr>
                <w:color w:val="000000"/>
              </w:rPr>
              <w:t>64</w:t>
            </w:r>
          </w:p>
        </w:tc>
        <w:tc>
          <w:tcPr>
            <w:tcW w:w="2277" w:type="pct"/>
            <w:tcBorders>
              <w:bottom w:val="single" w:sz="4" w:space="0" w:color="auto"/>
            </w:tcBorders>
            <w:shd w:val="clear" w:color="auto" w:fill="auto"/>
          </w:tcPr>
          <w:p w:rsidR="007D17C5" w:rsidRPr="00143624" w:rsidRDefault="007D17C5" w:rsidP="009558BE">
            <w:pPr>
              <w:pStyle w:val="Tabletext"/>
            </w:pPr>
            <w:r w:rsidRPr="00143624">
              <w:rPr>
                <w:color w:val="000000"/>
              </w:rPr>
              <w:t>0.10</w:t>
            </w:r>
          </w:p>
        </w:tc>
      </w:tr>
      <w:tr w:rsidR="007D17C5" w:rsidRPr="00143624" w:rsidTr="009558BE">
        <w:tc>
          <w:tcPr>
            <w:tcW w:w="479" w:type="pct"/>
            <w:tcBorders>
              <w:bottom w:val="single" w:sz="12" w:space="0" w:color="auto"/>
            </w:tcBorders>
          </w:tcPr>
          <w:p w:rsidR="007D17C5" w:rsidRPr="00143624" w:rsidRDefault="007D17C5" w:rsidP="009558BE">
            <w:pPr>
              <w:pStyle w:val="Tabletext"/>
              <w:rPr>
                <w:color w:val="000000"/>
              </w:rPr>
            </w:pPr>
            <w:r w:rsidRPr="00143624">
              <w:rPr>
                <w:color w:val="000000"/>
              </w:rPr>
              <w:t>8</w:t>
            </w:r>
          </w:p>
        </w:tc>
        <w:tc>
          <w:tcPr>
            <w:tcW w:w="2244" w:type="pct"/>
            <w:tcBorders>
              <w:bottom w:val="single" w:sz="12" w:space="0" w:color="auto"/>
            </w:tcBorders>
            <w:shd w:val="clear" w:color="auto" w:fill="auto"/>
          </w:tcPr>
          <w:p w:rsidR="007D17C5" w:rsidRPr="00143624" w:rsidRDefault="007D17C5" w:rsidP="009558BE">
            <w:pPr>
              <w:pStyle w:val="Tabletext"/>
            </w:pPr>
            <w:r w:rsidRPr="00143624">
              <w:rPr>
                <w:color w:val="000000"/>
              </w:rPr>
              <w:t>65</w:t>
            </w:r>
          </w:p>
        </w:tc>
        <w:tc>
          <w:tcPr>
            <w:tcW w:w="2277" w:type="pct"/>
            <w:tcBorders>
              <w:bottom w:val="single" w:sz="12" w:space="0" w:color="auto"/>
            </w:tcBorders>
            <w:shd w:val="clear" w:color="auto" w:fill="auto"/>
          </w:tcPr>
          <w:p w:rsidR="007D17C5" w:rsidRPr="00143624" w:rsidRDefault="007D17C5" w:rsidP="009558BE">
            <w:pPr>
              <w:pStyle w:val="Tabletext"/>
            </w:pPr>
            <w:r w:rsidRPr="00143624">
              <w:rPr>
                <w:color w:val="000000"/>
              </w:rPr>
              <w:t>1.00</w:t>
            </w:r>
          </w:p>
        </w:tc>
      </w:tr>
    </w:tbl>
    <w:p w:rsidR="007D17C5" w:rsidRPr="00143624" w:rsidRDefault="007D17C5" w:rsidP="007D17C5">
      <w:pPr>
        <w:pStyle w:val="subsection"/>
      </w:pPr>
      <w:r w:rsidRPr="00143624">
        <w:tab/>
        <w:t>(2)</w:t>
      </w:r>
      <w:r w:rsidRPr="00143624">
        <w:tab/>
        <w:t>However, if an actuary certifies a benefit category for the purposes of subclause 2(1) in relation to a person’s membership of the Governor</w:t>
      </w:r>
      <w:r w:rsidR="00143624">
        <w:noBreakHyphen/>
      </w:r>
      <w:r w:rsidRPr="00143624">
        <w:t xml:space="preserve">General Pension Scheme, then, despite </w:t>
      </w:r>
      <w:r w:rsidR="002B1A95" w:rsidRPr="00143624">
        <w:t>subclause (</w:t>
      </w:r>
      <w:r w:rsidRPr="00143624">
        <w:t>1) of this clause, the voluntary exit rates to be assumed for the benefit category are:</w:t>
      </w:r>
    </w:p>
    <w:p w:rsidR="007D17C5" w:rsidRPr="00143624" w:rsidRDefault="007D17C5" w:rsidP="007D17C5">
      <w:pPr>
        <w:pStyle w:val="paragraph"/>
      </w:pPr>
      <w:r w:rsidRPr="00143624">
        <w:tab/>
        <w:t>(a)</w:t>
      </w:r>
      <w:r w:rsidRPr="00143624">
        <w:tab/>
        <w:t xml:space="preserve">the voluntary exit rates specified by the </w:t>
      </w:r>
      <w:r w:rsidRPr="00143624">
        <w:rPr>
          <w:i/>
        </w:rPr>
        <w:t>Governor</w:t>
      </w:r>
      <w:r w:rsidR="00143624">
        <w:rPr>
          <w:i/>
        </w:rPr>
        <w:noBreakHyphen/>
      </w:r>
      <w:r w:rsidRPr="00143624">
        <w:rPr>
          <w:i/>
        </w:rPr>
        <w:t>General Act 1974</w:t>
      </w:r>
      <w:r w:rsidRPr="00143624">
        <w:t>; or</w:t>
      </w:r>
    </w:p>
    <w:p w:rsidR="007D17C5" w:rsidRPr="00143624" w:rsidRDefault="007D17C5" w:rsidP="007D17C5">
      <w:pPr>
        <w:pStyle w:val="paragraph"/>
      </w:pPr>
      <w:r w:rsidRPr="00143624">
        <w:tab/>
        <w:t>(b)</w:t>
      </w:r>
      <w:r w:rsidRPr="00143624">
        <w:tab/>
        <w:t>if that Act does not specify voluntary exit rates—the following rates:</w:t>
      </w:r>
    </w:p>
    <w:p w:rsidR="007D17C5" w:rsidRPr="00143624" w:rsidRDefault="007D17C5" w:rsidP="007D17C5">
      <w:pPr>
        <w:pStyle w:val="paragraphsub"/>
      </w:pPr>
      <w:r w:rsidRPr="00143624">
        <w:tab/>
        <w:t>(i)</w:t>
      </w:r>
      <w:r w:rsidRPr="00143624">
        <w:tab/>
        <w:t>from the age of the person on the day the person’s appointment as Governor</w:t>
      </w:r>
      <w:r w:rsidR="00143624">
        <w:noBreakHyphen/>
      </w:r>
      <w:r w:rsidRPr="00143624">
        <w:t xml:space="preserve">General commences (the </w:t>
      </w:r>
      <w:r w:rsidRPr="00143624">
        <w:rPr>
          <w:b/>
          <w:i/>
        </w:rPr>
        <w:t>appointment day</w:t>
      </w:r>
      <w:r w:rsidRPr="00143624">
        <w:t>) to the person’s age on the fourth anniversary of the appointment day—0.00;</w:t>
      </w:r>
    </w:p>
    <w:p w:rsidR="007D17C5" w:rsidRPr="00143624" w:rsidRDefault="007D17C5" w:rsidP="007D17C5">
      <w:pPr>
        <w:pStyle w:val="paragraphsub"/>
      </w:pPr>
      <w:r w:rsidRPr="00143624">
        <w:tab/>
        <w:t>(ii)</w:t>
      </w:r>
      <w:r w:rsidRPr="00143624">
        <w:tab/>
        <w:t>from the age of the person on the person’s next birthday after the fourth anniversary of the appointment day to any later age—1.00.</w:t>
      </w:r>
    </w:p>
    <w:p w:rsidR="007D17C5" w:rsidRPr="00143624" w:rsidRDefault="007D17C5" w:rsidP="007D17C5">
      <w:pPr>
        <w:pStyle w:val="subsection"/>
      </w:pPr>
      <w:r w:rsidRPr="00143624">
        <w:tab/>
        <w:t>(3)</w:t>
      </w:r>
      <w:r w:rsidRPr="00143624">
        <w:tab/>
        <w:t>The rate of involuntary exit (including by redundancy, death or invalidity) to be assumed is zero.</w:t>
      </w:r>
    </w:p>
    <w:p w:rsidR="007D17C5" w:rsidRPr="00143624" w:rsidRDefault="007D17C5" w:rsidP="007D17C5">
      <w:pPr>
        <w:pStyle w:val="ActHead5"/>
      </w:pPr>
      <w:bookmarkStart w:id="258" w:name="_Toc64030514"/>
      <w:r w:rsidRPr="003F3E0B">
        <w:rPr>
          <w:rStyle w:val="CharSectno"/>
        </w:rPr>
        <w:t>17</w:t>
      </w:r>
      <w:r w:rsidRPr="00143624">
        <w:t xml:space="preserve">  Pensions</w:t>
      </w:r>
      <w:bookmarkEnd w:id="258"/>
    </w:p>
    <w:p w:rsidR="007D17C5" w:rsidRPr="00143624" w:rsidRDefault="007D17C5" w:rsidP="007D17C5">
      <w:pPr>
        <w:pStyle w:val="subsection"/>
      </w:pPr>
      <w:r w:rsidRPr="00143624">
        <w:rPr>
          <w:color w:val="000000"/>
        </w:rPr>
        <w:tab/>
        <w:t>(1)</w:t>
      </w:r>
      <w:r w:rsidRPr="00143624">
        <w:rPr>
          <w:color w:val="000000"/>
        </w:rPr>
        <w:tab/>
        <w:t>If the benefit is a single life pension, the pension is to be valued using the assumptions set out in this Part.</w:t>
      </w:r>
    </w:p>
    <w:p w:rsidR="007D17C5" w:rsidRPr="00143624" w:rsidRDefault="007D17C5" w:rsidP="007D17C5">
      <w:pPr>
        <w:pStyle w:val="subsection"/>
      </w:pPr>
      <w:r w:rsidRPr="00143624">
        <w:tab/>
        <w:t>(2)</w:t>
      </w:r>
      <w:r w:rsidRPr="00143624">
        <w:tab/>
        <w:t xml:space="preserve">If the </w:t>
      </w:r>
      <w:r w:rsidRPr="00143624">
        <w:rPr>
          <w:color w:val="000000"/>
        </w:rPr>
        <w:t xml:space="preserve">benefit </w:t>
      </w:r>
      <w:r w:rsidRPr="00143624">
        <w:t>is a reversionary pension, the value of the pension is to be taken as the value of the pension assuming it is a single life pension, increased by 10%.</w:t>
      </w:r>
    </w:p>
    <w:p w:rsidR="007D17C5" w:rsidRPr="00143624" w:rsidRDefault="007D17C5" w:rsidP="007D17C5">
      <w:pPr>
        <w:pStyle w:val="ActHead5"/>
      </w:pPr>
      <w:bookmarkStart w:id="259" w:name="_Toc64030515"/>
      <w:r w:rsidRPr="003F3E0B">
        <w:rPr>
          <w:rStyle w:val="CharSectno"/>
        </w:rPr>
        <w:t>18</w:t>
      </w:r>
      <w:r w:rsidRPr="00143624">
        <w:t xml:space="preserve">  Mortality of pensioners</w:t>
      </w:r>
      <w:bookmarkEnd w:id="259"/>
    </w:p>
    <w:p w:rsidR="007D17C5" w:rsidRPr="00143624" w:rsidRDefault="007D17C5" w:rsidP="007D17C5">
      <w:pPr>
        <w:pStyle w:val="subsection"/>
      </w:pPr>
      <w:r w:rsidRPr="00143624">
        <w:tab/>
      </w:r>
      <w:r w:rsidRPr="00143624">
        <w:tab/>
        <w:t>The following table sets out the rates of pensioner mortality (</w:t>
      </w:r>
      <w:r w:rsidRPr="00143624">
        <w:rPr>
          <w:b/>
          <w:i/>
        </w:rPr>
        <w:t>qx</w:t>
      </w:r>
      <w:r w:rsidRPr="00143624">
        <w:t>) that are to be assumed.</w:t>
      </w:r>
    </w:p>
    <w:p w:rsidR="007D17C5" w:rsidRPr="00143624" w:rsidRDefault="007D17C5" w:rsidP="007D17C5">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676"/>
        <w:gridCol w:w="3969"/>
        <w:gridCol w:w="3884"/>
      </w:tblGrid>
      <w:tr w:rsidR="007D17C5" w:rsidRPr="00143624" w:rsidTr="009558BE">
        <w:trPr>
          <w:tblHeader/>
        </w:trPr>
        <w:tc>
          <w:tcPr>
            <w:tcW w:w="5000" w:type="pct"/>
            <w:gridSpan w:val="3"/>
            <w:tcBorders>
              <w:top w:val="single" w:sz="12" w:space="0" w:color="auto"/>
              <w:bottom w:val="single" w:sz="6" w:space="0" w:color="auto"/>
            </w:tcBorders>
          </w:tcPr>
          <w:p w:rsidR="007D17C5" w:rsidRPr="00143624" w:rsidRDefault="007D17C5" w:rsidP="009558BE">
            <w:pPr>
              <w:pStyle w:val="TableHeading"/>
              <w:keepNext w:val="0"/>
            </w:pPr>
            <w:r w:rsidRPr="00143624">
              <w:t>Pensioner mortality (</w:t>
            </w:r>
            <w:r w:rsidRPr="00143624">
              <w:rPr>
                <w:i/>
              </w:rPr>
              <w:t>qx</w:t>
            </w:r>
            <w:r w:rsidRPr="00143624">
              <w:t>) rates</w:t>
            </w:r>
          </w:p>
        </w:tc>
      </w:tr>
      <w:tr w:rsidR="007D17C5" w:rsidRPr="00143624" w:rsidTr="009558BE">
        <w:trPr>
          <w:tblHeader/>
        </w:trPr>
        <w:tc>
          <w:tcPr>
            <w:tcW w:w="396" w:type="pct"/>
            <w:tcBorders>
              <w:top w:val="single" w:sz="6" w:space="0" w:color="auto"/>
              <w:bottom w:val="single" w:sz="12" w:space="0" w:color="auto"/>
            </w:tcBorders>
          </w:tcPr>
          <w:p w:rsidR="007D17C5" w:rsidRPr="00143624" w:rsidRDefault="007D17C5" w:rsidP="009558BE">
            <w:pPr>
              <w:pStyle w:val="TableHeading"/>
              <w:keepNext w:val="0"/>
            </w:pPr>
            <w:r w:rsidRPr="00143624">
              <w:t>Item</w:t>
            </w:r>
          </w:p>
        </w:tc>
        <w:tc>
          <w:tcPr>
            <w:tcW w:w="2327" w:type="pct"/>
            <w:tcBorders>
              <w:top w:val="single" w:sz="6" w:space="0" w:color="auto"/>
              <w:bottom w:val="single" w:sz="12" w:space="0" w:color="auto"/>
            </w:tcBorders>
            <w:shd w:val="clear" w:color="auto" w:fill="auto"/>
          </w:tcPr>
          <w:p w:rsidR="007D17C5" w:rsidRPr="00143624" w:rsidRDefault="007D17C5" w:rsidP="009558BE">
            <w:pPr>
              <w:pStyle w:val="TableHeading"/>
              <w:keepNext w:val="0"/>
            </w:pPr>
            <w:r w:rsidRPr="00143624">
              <w:t>Age</w:t>
            </w:r>
          </w:p>
        </w:tc>
        <w:tc>
          <w:tcPr>
            <w:tcW w:w="2277" w:type="pct"/>
            <w:tcBorders>
              <w:top w:val="single" w:sz="6" w:space="0" w:color="auto"/>
              <w:bottom w:val="single" w:sz="12" w:space="0" w:color="auto"/>
            </w:tcBorders>
            <w:shd w:val="clear" w:color="auto" w:fill="auto"/>
          </w:tcPr>
          <w:p w:rsidR="007D17C5" w:rsidRPr="00143624" w:rsidRDefault="007D17C5" w:rsidP="009558BE">
            <w:pPr>
              <w:pStyle w:val="TableHeading"/>
              <w:keepNext w:val="0"/>
            </w:pPr>
            <w:r w:rsidRPr="00143624">
              <w:t>qx</w:t>
            </w:r>
          </w:p>
        </w:tc>
      </w:tr>
      <w:tr w:rsidR="007D17C5" w:rsidRPr="00143624" w:rsidTr="009558BE">
        <w:tc>
          <w:tcPr>
            <w:tcW w:w="396" w:type="pct"/>
            <w:tcBorders>
              <w:top w:val="single" w:sz="12" w:space="0" w:color="auto"/>
              <w:bottom w:val="single" w:sz="4" w:space="0" w:color="auto"/>
            </w:tcBorders>
          </w:tcPr>
          <w:p w:rsidR="007D17C5" w:rsidRPr="00143624" w:rsidRDefault="007D17C5" w:rsidP="009558BE">
            <w:pPr>
              <w:pStyle w:val="Tabletext"/>
              <w:rPr>
                <w:color w:val="000000"/>
              </w:rPr>
            </w:pPr>
            <w:r w:rsidRPr="00143624">
              <w:rPr>
                <w:color w:val="000000"/>
              </w:rPr>
              <w:t>1</w:t>
            </w:r>
          </w:p>
        </w:tc>
        <w:tc>
          <w:tcPr>
            <w:tcW w:w="2327" w:type="pct"/>
            <w:tcBorders>
              <w:top w:val="single" w:sz="12" w:space="0" w:color="auto"/>
              <w:bottom w:val="single" w:sz="4" w:space="0" w:color="auto"/>
            </w:tcBorders>
            <w:shd w:val="clear" w:color="auto" w:fill="auto"/>
          </w:tcPr>
          <w:p w:rsidR="007D17C5" w:rsidRPr="00143624" w:rsidRDefault="007D17C5" w:rsidP="009558BE">
            <w:pPr>
              <w:pStyle w:val="Tabletext"/>
            </w:pPr>
            <w:r w:rsidRPr="00143624">
              <w:rPr>
                <w:color w:val="000000"/>
              </w:rPr>
              <w:t>35</w:t>
            </w:r>
            <w:r w:rsidR="00143624">
              <w:rPr>
                <w:color w:val="000000"/>
              </w:rPr>
              <w:noBreakHyphen/>
            </w:r>
            <w:r w:rsidRPr="00143624">
              <w:rPr>
                <w:color w:val="000000"/>
              </w:rPr>
              <w:t>49</w:t>
            </w:r>
          </w:p>
        </w:tc>
        <w:tc>
          <w:tcPr>
            <w:tcW w:w="2277" w:type="pct"/>
            <w:tcBorders>
              <w:top w:val="single" w:sz="12" w:space="0" w:color="auto"/>
              <w:bottom w:val="single" w:sz="4" w:space="0" w:color="auto"/>
            </w:tcBorders>
            <w:shd w:val="clear" w:color="auto" w:fill="auto"/>
          </w:tcPr>
          <w:p w:rsidR="007D17C5" w:rsidRPr="00143624" w:rsidRDefault="007D17C5" w:rsidP="009558BE">
            <w:pPr>
              <w:pStyle w:val="Tabletext"/>
            </w:pPr>
            <w:r w:rsidRPr="00143624">
              <w:rPr>
                <w:color w:val="000000"/>
              </w:rPr>
              <w:t>0.003</w:t>
            </w:r>
          </w:p>
        </w:tc>
      </w:tr>
      <w:tr w:rsidR="007D17C5" w:rsidRPr="00143624" w:rsidTr="009558BE">
        <w:tc>
          <w:tcPr>
            <w:tcW w:w="396" w:type="pct"/>
            <w:tcBorders>
              <w:bottom w:val="single" w:sz="4" w:space="0" w:color="auto"/>
            </w:tcBorders>
            <w:shd w:val="clear" w:color="auto" w:fill="auto"/>
          </w:tcPr>
          <w:p w:rsidR="007D17C5" w:rsidRPr="00143624" w:rsidRDefault="007D17C5" w:rsidP="009558BE">
            <w:pPr>
              <w:pStyle w:val="Tabletext"/>
              <w:rPr>
                <w:color w:val="000000"/>
              </w:rPr>
            </w:pPr>
            <w:bookmarkStart w:id="260" w:name="CU_4203613"/>
            <w:bookmarkStart w:id="261" w:name="CU_4200567"/>
            <w:bookmarkEnd w:id="260"/>
            <w:bookmarkEnd w:id="261"/>
            <w:r w:rsidRPr="00143624">
              <w:rPr>
                <w:color w:val="000000"/>
              </w:rPr>
              <w:t>2</w:t>
            </w:r>
          </w:p>
        </w:tc>
        <w:tc>
          <w:tcPr>
            <w:tcW w:w="2327" w:type="pct"/>
            <w:tcBorders>
              <w:bottom w:val="single" w:sz="4" w:space="0" w:color="auto"/>
            </w:tcBorders>
            <w:shd w:val="clear" w:color="auto" w:fill="auto"/>
          </w:tcPr>
          <w:p w:rsidR="007D17C5" w:rsidRPr="00143624" w:rsidRDefault="007D17C5" w:rsidP="009558BE">
            <w:pPr>
              <w:pStyle w:val="Tabletext"/>
            </w:pPr>
            <w:r w:rsidRPr="00143624">
              <w:rPr>
                <w:color w:val="000000"/>
              </w:rPr>
              <w:t>50</w:t>
            </w:r>
            <w:r w:rsidR="00143624">
              <w:rPr>
                <w:color w:val="000000"/>
              </w:rPr>
              <w:noBreakHyphen/>
            </w:r>
            <w:r w:rsidRPr="00143624">
              <w:rPr>
                <w:color w:val="000000"/>
              </w:rPr>
              <w:t>54</w:t>
            </w:r>
          </w:p>
        </w:tc>
        <w:tc>
          <w:tcPr>
            <w:tcW w:w="2277" w:type="pct"/>
            <w:tcBorders>
              <w:bottom w:val="single" w:sz="4" w:space="0" w:color="auto"/>
            </w:tcBorders>
            <w:shd w:val="clear" w:color="auto" w:fill="auto"/>
          </w:tcPr>
          <w:p w:rsidR="007D17C5" w:rsidRPr="00143624" w:rsidRDefault="007D17C5" w:rsidP="009558BE">
            <w:pPr>
              <w:pStyle w:val="Tabletext"/>
            </w:pPr>
            <w:r w:rsidRPr="00143624">
              <w:rPr>
                <w:color w:val="000000"/>
              </w:rPr>
              <w:t>0.004</w:t>
            </w:r>
          </w:p>
        </w:tc>
      </w:tr>
      <w:tr w:rsidR="007D17C5" w:rsidRPr="00143624" w:rsidTr="009558BE">
        <w:tc>
          <w:tcPr>
            <w:tcW w:w="396" w:type="pct"/>
            <w:tcBorders>
              <w:top w:val="single" w:sz="4" w:space="0" w:color="auto"/>
            </w:tcBorders>
          </w:tcPr>
          <w:p w:rsidR="007D17C5" w:rsidRPr="00143624" w:rsidRDefault="007D17C5" w:rsidP="009558BE">
            <w:pPr>
              <w:pStyle w:val="Tabletext"/>
              <w:rPr>
                <w:color w:val="000000"/>
              </w:rPr>
            </w:pPr>
            <w:r w:rsidRPr="00143624">
              <w:rPr>
                <w:color w:val="000000"/>
              </w:rPr>
              <w:t>3</w:t>
            </w:r>
          </w:p>
        </w:tc>
        <w:tc>
          <w:tcPr>
            <w:tcW w:w="2327" w:type="pct"/>
            <w:tcBorders>
              <w:top w:val="single" w:sz="4" w:space="0" w:color="auto"/>
            </w:tcBorders>
            <w:shd w:val="clear" w:color="auto" w:fill="auto"/>
          </w:tcPr>
          <w:p w:rsidR="007D17C5" w:rsidRPr="00143624" w:rsidRDefault="007D17C5" w:rsidP="009558BE">
            <w:pPr>
              <w:pStyle w:val="Tabletext"/>
            </w:pPr>
            <w:r w:rsidRPr="00143624">
              <w:rPr>
                <w:color w:val="000000"/>
              </w:rPr>
              <w:t>55</w:t>
            </w:r>
          </w:p>
        </w:tc>
        <w:tc>
          <w:tcPr>
            <w:tcW w:w="2277" w:type="pct"/>
            <w:tcBorders>
              <w:top w:val="single" w:sz="4" w:space="0" w:color="auto"/>
            </w:tcBorders>
            <w:shd w:val="clear" w:color="auto" w:fill="auto"/>
          </w:tcPr>
          <w:p w:rsidR="007D17C5" w:rsidRPr="00143624" w:rsidRDefault="007D17C5" w:rsidP="009558BE">
            <w:pPr>
              <w:pStyle w:val="Tabletext"/>
            </w:pPr>
            <w:r w:rsidRPr="00143624">
              <w:rPr>
                <w:color w:val="000000"/>
              </w:rPr>
              <w:t>0.005</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w:t>
            </w:r>
          </w:p>
        </w:tc>
        <w:tc>
          <w:tcPr>
            <w:tcW w:w="2327" w:type="pct"/>
            <w:shd w:val="clear" w:color="auto" w:fill="auto"/>
          </w:tcPr>
          <w:p w:rsidR="007D17C5" w:rsidRPr="00143624" w:rsidRDefault="007D17C5" w:rsidP="009558BE">
            <w:pPr>
              <w:pStyle w:val="Tabletext"/>
            </w:pPr>
            <w:r w:rsidRPr="00143624">
              <w:rPr>
                <w:color w:val="000000"/>
              </w:rPr>
              <w:t>56</w:t>
            </w:r>
          </w:p>
        </w:tc>
        <w:tc>
          <w:tcPr>
            <w:tcW w:w="2277" w:type="pct"/>
            <w:shd w:val="clear" w:color="auto" w:fill="auto"/>
          </w:tcPr>
          <w:p w:rsidR="007D17C5" w:rsidRPr="00143624" w:rsidRDefault="007D17C5" w:rsidP="009558BE">
            <w:pPr>
              <w:pStyle w:val="Tabletext"/>
            </w:pPr>
            <w:r w:rsidRPr="00143624">
              <w:rPr>
                <w:color w:val="000000"/>
              </w:rPr>
              <w:t>0.006</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5</w:t>
            </w:r>
          </w:p>
        </w:tc>
        <w:tc>
          <w:tcPr>
            <w:tcW w:w="2327" w:type="pct"/>
            <w:shd w:val="clear" w:color="auto" w:fill="auto"/>
          </w:tcPr>
          <w:p w:rsidR="007D17C5" w:rsidRPr="00143624" w:rsidRDefault="007D17C5" w:rsidP="009558BE">
            <w:pPr>
              <w:pStyle w:val="Tabletext"/>
            </w:pPr>
            <w:r w:rsidRPr="00143624">
              <w:rPr>
                <w:color w:val="000000"/>
              </w:rPr>
              <w:t>57</w:t>
            </w:r>
          </w:p>
        </w:tc>
        <w:tc>
          <w:tcPr>
            <w:tcW w:w="2277" w:type="pct"/>
            <w:shd w:val="clear" w:color="auto" w:fill="auto"/>
          </w:tcPr>
          <w:p w:rsidR="007D17C5" w:rsidRPr="00143624" w:rsidRDefault="007D17C5" w:rsidP="009558BE">
            <w:pPr>
              <w:pStyle w:val="Tabletext"/>
            </w:pPr>
            <w:r w:rsidRPr="00143624">
              <w:rPr>
                <w:color w:val="000000"/>
              </w:rPr>
              <w:t>0.006</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6</w:t>
            </w:r>
          </w:p>
        </w:tc>
        <w:tc>
          <w:tcPr>
            <w:tcW w:w="2327" w:type="pct"/>
            <w:shd w:val="clear" w:color="auto" w:fill="auto"/>
          </w:tcPr>
          <w:p w:rsidR="007D17C5" w:rsidRPr="00143624" w:rsidRDefault="007D17C5" w:rsidP="009558BE">
            <w:pPr>
              <w:pStyle w:val="Tabletext"/>
            </w:pPr>
            <w:r w:rsidRPr="00143624">
              <w:rPr>
                <w:color w:val="000000"/>
              </w:rPr>
              <w:t>58</w:t>
            </w:r>
          </w:p>
        </w:tc>
        <w:tc>
          <w:tcPr>
            <w:tcW w:w="2277" w:type="pct"/>
            <w:shd w:val="clear" w:color="auto" w:fill="auto"/>
          </w:tcPr>
          <w:p w:rsidR="007D17C5" w:rsidRPr="00143624" w:rsidRDefault="007D17C5" w:rsidP="009558BE">
            <w:pPr>
              <w:pStyle w:val="Tabletext"/>
            </w:pPr>
            <w:r w:rsidRPr="00143624">
              <w:rPr>
                <w:color w:val="000000"/>
              </w:rPr>
              <w:t>0.007</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7</w:t>
            </w:r>
          </w:p>
        </w:tc>
        <w:tc>
          <w:tcPr>
            <w:tcW w:w="2327" w:type="pct"/>
            <w:shd w:val="clear" w:color="auto" w:fill="auto"/>
          </w:tcPr>
          <w:p w:rsidR="007D17C5" w:rsidRPr="00143624" w:rsidRDefault="007D17C5" w:rsidP="009558BE">
            <w:pPr>
              <w:pStyle w:val="Tabletext"/>
            </w:pPr>
            <w:r w:rsidRPr="00143624">
              <w:rPr>
                <w:color w:val="000000"/>
              </w:rPr>
              <w:t>59</w:t>
            </w:r>
          </w:p>
        </w:tc>
        <w:tc>
          <w:tcPr>
            <w:tcW w:w="2277" w:type="pct"/>
            <w:shd w:val="clear" w:color="auto" w:fill="auto"/>
          </w:tcPr>
          <w:p w:rsidR="007D17C5" w:rsidRPr="00143624" w:rsidRDefault="007D17C5" w:rsidP="009558BE">
            <w:pPr>
              <w:pStyle w:val="Tabletext"/>
            </w:pPr>
            <w:r w:rsidRPr="00143624">
              <w:rPr>
                <w:color w:val="000000"/>
              </w:rPr>
              <w:t>0.008</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8</w:t>
            </w:r>
          </w:p>
        </w:tc>
        <w:tc>
          <w:tcPr>
            <w:tcW w:w="2327" w:type="pct"/>
            <w:shd w:val="clear" w:color="auto" w:fill="auto"/>
          </w:tcPr>
          <w:p w:rsidR="007D17C5" w:rsidRPr="00143624" w:rsidRDefault="007D17C5" w:rsidP="009558BE">
            <w:pPr>
              <w:pStyle w:val="Tabletext"/>
            </w:pPr>
            <w:r w:rsidRPr="00143624">
              <w:rPr>
                <w:color w:val="000000"/>
              </w:rPr>
              <w:t>60</w:t>
            </w:r>
          </w:p>
        </w:tc>
        <w:tc>
          <w:tcPr>
            <w:tcW w:w="2277" w:type="pct"/>
            <w:shd w:val="clear" w:color="auto" w:fill="auto"/>
          </w:tcPr>
          <w:p w:rsidR="007D17C5" w:rsidRPr="00143624" w:rsidRDefault="007D17C5" w:rsidP="009558BE">
            <w:pPr>
              <w:pStyle w:val="Tabletext"/>
            </w:pPr>
            <w:r w:rsidRPr="00143624">
              <w:rPr>
                <w:color w:val="000000"/>
              </w:rPr>
              <w:t>0.008</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9</w:t>
            </w:r>
          </w:p>
        </w:tc>
        <w:tc>
          <w:tcPr>
            <w:tcW w:w="2327" w:type="pct"/>
            <w:shd w:val="clear" w:color="auto" w:fill="auto"/>
          </w:tcPr>
          <w:p w:rsidR="007D17C5" w:rsidRPr="00143624" w:rsidRDefault="007D17C5" w:rsidP="009558BE">
            <w:pPr>
              <w:pStyle w:val="Tabletext"/>
            </w:pPr>
            <w:r w:rsidRPr="00143624">
              <w:rPr>
                <w:color w:val="000000"/>
              </w:rPr>
              <w:t>61</w:t>
            </w:r>
          </w:p>
        </w:tc>
        <w:tc>
          <w:tcPr>
            <w:tcW w:w="2277" w:type="pct"/>
            <w:shd w:val="clear" w:color="auto" w:fill="auto"/>
          </w:tcPr>
          <w:p w:rsidR="007D17C5" w:rsidRPr="00143624" w:rsidRDefault="007D17C5" w:rsidP="009558BE">
            <w:pPr>
              <w:pStyle w:val="Tabletext"/>
            </w:pPr>
            <w:r w:rsidRPr="00143624">
              <w:rPr>
                <w:color w:val="000000"/>
              </w:rPr>
              <w:t>0.009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10</w:t>
            </w:r>
          </w:p>
        </w:tc>
        <w:tc>
          <w:tcPr>
            <w:tcW w:w="2327" w:type="pct"/>
            <w:shd w:val="clear" w:color="auto" w:fill="auto"/>
          </w:tcPr>
          <w:p w:rsidR="007D17C5" w:rsidRPr="00143624" w:rsidRDefault="007D17C5" w:rsidP="009558BE">
            <w:pPr>
              <w:pStyle w:val="Tabletext"/>
            </w:pPr>
            <w:r w:rsidRPr="00143624">
              <w:rPr>
                <w:color w:val="000000"/>
              </w:rPr>
              <w:t>62</w:t>
            </w:r>
          </w:p>
        </w:tc>
        <w:tc>
          <w:tcPr>
            <w:tcW w:w="2277" w:type="pct"/>
            <w:shd w:val="clear" w:color="auto" w:fill="auto"/>
          </w:tcPr>
          <w:p w:rsidR="007D17C5" w:rsidRPr="00143624" w:rsidRDefault="007D17C5" w:rsidP="009558BE">
            <w:pPr>
              <w:pStyle w:val="Tabletext"/>
            </w:pPr>
            <w:r w:rsidRPr="00143624">
              <w:rPr>
                <w:color w:val="000000"/>
              </w:rPr>
              <w:t>0.010</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11</w:t>
            </w:r>
          </w:p>
        </w:tc>
        <w:tc>
          <w:tcPr>
            <w:tcW w:w="2327" w:type="pct"/>
            <w:shd w:val="clear" w:color="auto" w:fill="auto"/>
          </w:tcPr>
          <w:p w:rsidR="007D17C5" w:rsidRPr="00143624" w:rsidRDefault="007D17C5" w:rsidP="009558BE">
            <w:pPr>
              <w:pStyle w:val="Tabletext"/>
            </w:pPr>
            <w:r w:rsidRPr="00143624">
              <w:rPr>
                <w:color w:val="000000"/>
              </w:rPr>
              <w:t>63</w:t>
            </w:r>
          </w:p>
        </w:tc>
        <w:tc>
          <w:tcPr>
            <w:tcW w:w="2277" w:type="pct"/>
            <w:shd w:val="clear" w:color="auto" w:fill="auto"/>
          </w:tcPr>
          <w:p w:rsidR="007D17C5" w:rsidRPr="00143624" w:rsidRDefault="007D17C5" w:rsidP="009558BE">
            <w:pPr>
              <w:pStyle w:val="Tabletext"/>
            </w:pPr>
            <w:r w:rsidRPr="00143624">
              <w:rPr>
                <w:color w:val="000000"/>
              </w:rPr>
              <w:t>0.012</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lastRenderedPageBreak/>
              <w:t>12</w:t>
            </w:r>
          </w:p>
        </w:tc>
        <w:tc>
          <w:tcPr>
            <w:tcW w:w="2327" w:type="pct"/>
            <w:shd w:val="clear" w:color="auto" w:fill="auto"/>
          </w:tcPr>
          <w:p w:rsidR="007D17C5" w:rsidRPr="00143624" w:rsidRDefault="007D17C5" w:rsidP="009558BE">
            <w:pPr>
              <w:pStyle w:val="Tabletext"/>
            </w:pPr>
            <w:r w:rsidRPr="00143624">
              <w:rPr>
                <w:color w:val="000000"/>
              </w:rPr>
              <w:t>64</w:t>
            </w:r>
          </w:p>
        </w:tc>
        <w:tc>
          <w:tcPr>
            <w:tcW w:w="2277" w:type="pct"/>
            <w:shd w:val="clear" w:color="auto" w:fill="auto"/>
          </w:tcPr>
          <w:p w:rsidR="007D17C5" w:rsidRPr="00143624" w:rsidRDefault="007D17C5" w:rsidP="009558BE">
            <w:pPr>
              <w:pStyle w:val="Tabletext"/>
            </w:pPr>
            <w:r w:rsidRPr="00143624">
              <w:rPr>
                <w:color w:val="000000"/>
              </w:rPr>
              <w:t>0.013</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13</w:t>
            </w:r>
          </w:p>
        </w:tc>
        <w:tc>
          <w:tcPr>
            <w:tcW w:w="2327" w:type="pct"/>
            <w:shd w:val="clear" w:color="auto" w:fill="auto"/>
          </w:tcPr>
          <w:p w:rsidR="007D17C5" w:rsidRPr="00143624" w:rsidRDefault="007D17C5" w:rsidP="009558BE">
            <w:pPr>
              <w:pStyle w:val="Tabletext"/>
            </w:pPr>
            <w:r w:rsidRPr="00143624">
              <w:rPr>
                <w:color w:val="000000"/>
              </w:rPr>
              <w:t>65</w:t>
            </w:r>
          </w:p>
        </w:tc>
        <w:tc>
          <w:tcPr>
            <w:tcW w:w="2277" w:type="pct"/>
            <w:shd w:val="clear" w:color="auto" w:fill="auto"/>
          </w:tcPr>
          <w:p w:rsidR="007D17C5" w:rsidRPr="00143624" w:rsidRDefault="007D17C5" w:rsidP="009558BE">
            <w:pPr>
              <w:pStyle w:val="Tabletext"/>
            </w:pPr>
            <w:r w:rsidRPr="00143624">
              <w:rPr>
                <w:color w:val="000000"/>
              </w:rPr>
              <w:t>0.014</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14</w:t>
            </w:r>
          </w:p>
        </w:tc>
        <w:tc>
          <w:tcPr>
            <w:tcW w:w="2327" w:type="pct"/>
            <w:shd w:val="clear" w:color="auto" w:fill="auto"/>
          </w:tcPr>
          <w:p w:rsidR="007D17C5" w:rsidRPr="00143624" w:rsidRDefault="007D17C5" w:rsidP="009558BE">
            <w:pPr>
              <w:pStyle w:val="Tabletext"/>
            </w:pPr>
            <w:r w:rsidRPr="00143624">
              <w:rPr>
                <w:color w:val="000000"/>
              </w:rPr>
              <w:t>66</w:t>
            </w:r>
          </w:p>
        </w:tc>
        <w:tc>
          <w:tcPr>
            <w:tcW w:w="2277" w:type="pct"/>
            <w:shd w:val="clear" w:color="auto" w:fill="auto"/>
          </w:tcPr>
          <w:p w:rsidR="007D17C5" w:rsidRPr="00143624" w:rsidRDefault="007D17C5" w:rsidP="009558BE">
            <w:pPr>
              <w:pStyle w:val="Tabletext"/>
            </w:pPr>
            <w:r w:rsidRPr="00143624">
              <w:rPr>
                <w:color w:val="000000"/>
              </w:rPr>
              <w:t>0.016</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15</w:t>
            </w:r>
          </w:p>
        </w:tc>
        <w:tc>
          <w:tcPr>
            <w:tcW w:w="2327" w:type="pct"/>
            <w:shd w:val="clear" w:color="auto" w:fill="auto"/>
          </w:tcPr>
          <w:p w:rsidR="007D17C5" w:rsidRPr="00143624" w:rsidRDefault="007D17C5" w:rsidP="009558BE">
            <w:pPr>
              <w:pStyle w:val="Tabletext"/>
            </w:pPr>
            <w:r w:rsidRPr="00143624">
              <w:rPr>
                <w:color w:val="000000"/>
              </w:rPr>
              <w:t>67</w:t>
            </w:r>
          </w:p>
        </w:tc>
        <w:tc>
          <w:tcPr>
            <w:tcW w:w="2277" w:type="pct"/>
            <w:shd w:val="clear" w:color="auto" w:fill="auto"/>
          </w:tcPr>
          <w:p w:rsidR="007D17C5" w:rsidRPr="00143624" w:rsidRDefault="007D17C5" w:rsidP="009558BE">
            <w:pPr>
              <w:pStyle w:val="Tabletext"/>
            </w:pPr>
            <w:r w:rsidRPr="00143624">
              <w:rPr>
                <w:color w:val="000000"/>
              </w:rPr>
              <w:t>0.017</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16</w:t>
            </w:r>
          </w:p>
        </w:tc>
        <w:tc>
          <w:tcPr>
            <w:tcW w:w="2327" w:type="pct"/>
            <w:shd w:val="clear" w:color="auto" w:fill="auto"/>
          </w:tcPr>
          <w:p w:rsidR="007D17C5" w:rsidRPr="00143624" w:rsidRDefault="007D17C5" w:rsidP="009558BE">
            <w:pPr>
              <w:pStyle w:val="Tabletext"/>
            </w:pPr>
            <w:r w:rsidRPr="00143624">
              <w:rPr>
                <w:color w:val="000000"/>
              </w:rPr>
              <w:t>68</w:t>
            </w:r>
          </w:p>
        </w:tc>
        <w:tc>
          <w:tcPr>
            <w:tcW w:w="2277" w:type="pct"/>
            <w:shd w:val="clear" w:color="auto" w:fill="auto"/>
          </w:tcPr>
          <w:p w:rsidR="007D17C5" w:rsidRPr="00143624" w:rsidRDefault="007D17C5" w:rsidP="009558BE">
            <w:pPr>
              <w:pStyle w:val="Tabletext"/>
            </w:pPr>
            <w:r w:rsidRPr="00143624">
              <w:rPr>
                <w:color w:val="000000"/>
              </w:rPr>
              <w:t>0.019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17</w:t>
            </w:r>
          </w:p>
        </w:tc>
        <w:tc>
          <w:tcPr>
            <w:tcW w:w="2327" w:type="pct"/>
            <w:shd w:val="clear" w:color="auto" w:fill="auto"/>
          </w:tcPr>
          <w:p w:rsidR="007D17C5" w:rsidRPr="00143624" w:rsidRDefault="007D17C5" w:rsidP="009558BE">
            <w:pPr>
              <w:pStyle w:val="Tabletext"/>
            </w:pPr>
            <w:r w:rsidRPr="00143624">
              <w:rPr>
                <w:color w:val="000000"/>
              </w:rPr>
              <w:t>69</w:t>
            </w:r>
          </w:p>
        </w:tc>
        <w:tc>
          <w:tcPr>
            <w:tcW w:w="2277" w:type="pct"/>
            <w:shd w:val="clear" w:color="auto" w:fill="auto"/>
          </w:tcPr>
          <w:p w:rsidR="007D17C5" w:rsidRPr="00143624" w:rsidRDefault="007D17C5" w:rsidP="009558BE">
            <w:pPr>
              <w:pStyle w:val="Tabletext"/>
            </w:pPr>
            <w:r w:rsidRPr="00143624">
              <w:rPr>
                <w:color w:val="000000"/>
              </w:rPr>
              <w:t>0.021</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18</w:t>
            </w:r>
          </w:p>
        </w:tc>
        <w:tc>
          <w:tcPr>
            <w:tcW w:w="2327" w:type="pct"/>
            <w:shd w:val="clear" w:color="auto" w:fill="auto"/>
          </w:tcPr>
          <w:p w:rsidR="007D17C5" w:rsidRPr="00143624" w:rsidRDefault="007D17C5" w:rsidP="009558BE">
            <w:pPr>
              <w:pStyle w:val="Tabletext"/>
            </w:pPr>
            <w:r w:rsidRPr="00143624">
              <w:rPr>
                <w:color w:val="000000"/>
              </w:rPr>
              <w:t>70</w:t>
            </w:r>
          </w:p>
        </w:tc>
        <w:tc>
          <w:tcPr>
            <w:tcW w:w="2277" w:type="pct"/>
            <w:shd w:val="clear" w:color="auto" w:fill="auto"/>
          </w:tcPr>
          <w:p w:rsidR="007D17C5" w:rsidRPr="00143624" w:rsidRDefault="007D17C5" w:rsidP="009558BE">
            <w:pPr>
              <w:pStyle w:val="Tabletext"/>
            </w:pPr>
            <w:r w:rsidRPr="00143624">
              <w:rPr>
                <w:color w:val="000000"/>
              </w:rPr>
              <w:t>0.023</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19</w:t>
            </w:r>
          </w:p>
        </w:tc>
        <w:tc>
          <w:tcPr>
            <w:tcW w:w="2327" w:type="pct"/>
            <w:shd w:val="clear" w:color="auto" w:fill="auto"/>
          </w:tcPr>
          <w:p w:rsidR="007D17C5" w:rsidRPr="00143624" w:rsidRDefault="007D17C5" w:rsidP="009558BE">
            <w:pPr>
              <w:pStyle w:val="Tabletext"/>
            </w:pPr>
            <w:r w:rsidRPr="00143624">
              <w:rPr>
                <w:color w:val="000000"/>
              </w:rPr>
              <w:t>71</w:t>
            </w:r>
          </w:p>
        </w:tc>
        <w:tc>
          <w:tcPr>
            <w:tcW w:w="2277" w:type="pct"/>
            <w:shd w:val="clear" w:color="auto" w:fill="auto"/>
          </w:tcPr>
          <w:p w:rsidR="007D17C5" w:rsidRPr="00143624" w:rsidRDefault="007D17C5" w:rsidP="009558BE">
            <w:pPr>
              <w:pStyle w:val="Tabletext"/>
            </w:pPr>
            <w:r w:rsidRPr="00143624">
              <w:rPr>
                <w:color w:val="000000"/>
              </w:rPr>
              <w:t>0.026</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20</w:t>
            </w:r>
          </w:p>
        </w:tc>
        <w:tc>
          <w:tcPr>
            <w:tcW w:w="2327" w:type="pct"/>
            <w:shd w:val="clear" w:color="auto" w:fill="auto"/>
          </w:tcPr>
          <w:p w:rsidR="007D17C5" w:rsidRPr="00143624" w:rsidRDefault="007D17C5" w:rsidP="009558BE">
            <w:pPr>
              <w:pStyle w:val="Tabletext"/>
            </w:pPr>
            <w:r w:rsidRPr="00143624">
              <w:rPr>
                <w:color w:val="000000"/>
              </w:rPr>
              <w:t>72</w:t>
            </w:r>
          </w:p>
        </w:tc>
        <w:tc>
          <w:tcPr>
            <w:tcW w:w="2277" w:type="pct"/>
            <w:shd w:val="clear" w:color="auto" w:fill="auto"/>
          </w:tcPr>
          <w:p w:rsidR="007D17C5" w:rsidRPr="00143624" w:rsidRDefault="007D17C5" w:rsidP="009558BE">
            <w:pPr>
              <w:pStyle w:val="Tabletext"/>
            </w:pPr>
            <w:r w:rsidRPr="00143624">
              <w:rPr>
                <w:color w:val="000000"/>
              </w:rPr>
              <w:t>0.029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21</w:t>
            </w:r>
          </w:p>
        </w:tc>
        <w:tc>
          <w:tcPr>
            <w:tcW w:w="2327" w:type="pct"/>
            <w:shd w:val="clear" w:color="auto" w:fill="auto"/>
          </w:tcPr>
          <w:p w:rsidR="007D17C5" w:rsidRPr="00143624" w:rsidRDefault="007D17C5" w:rsidP="009558BE">
            <w:pPr>
              <w:pStyle w:val="Tabletext"/>
            </w:pPr>
            <w:r w:rsidRPr="00143624">
              <w:rPr>
                <w:color w:val="000000"/>
              </w:rPr>
              <w:t>73</w:t>
            </w:r>
          </w:p>
        </w:tc>
        <w:tc>
          <w:tcPr>
            <w:tcW w:w="2277" w:type="pct"/>
            <w:shd w:val="clear" w:color="auto" w:fill="auto"/>
          </w:tcPr>
          <w:p w:rsidR="007D17C5" w:rsidRPr="00143624" w:rsidRDefault="007D17C5" w:rsidP="009558BE">
            <w:pPr>
              <w:pStyle w:val="Tabletext"/>
            </w:pPr>
            <w:r w:rsidRPr="00143624">
              <w:rPr>
                <w:color w:val="000000"/>
              </w:rPr>
              <w:t>0.032</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22</w:t>
            </w:r>
          </w:p>
        </w:tc>
        <w:tc>
          <w:tcPr>
            <w:tcW w:w="2327" w:type="pct"/>
            <w:shd w:val="clear" w:color="auto" w:fill="auto"/>
          </w:tcPr>
          <w:p w:rsidR="007D17C5" w:rsidRPr="00143624" w:rsidRDefault="007D17C5" w:rsidP="009558BE">
            <w:pPr>
              <w:pStyle w:val="Tabletext"/>
            </w:pPr>
            <w:r w:rsidRPr="00143624">
              <w:rPr>
                <w:color w:val="000000"/>
              </w:rPr>
              <w:t>74</w:t>
            </w:r>
          </w:p>
        </w:tc>
        <w:tc>
          <w:tcPr>
            <w:tcW w:w="2277" w:type="pct"/>
            <w:shd w:val="clear" w:color="auto" w:fill="auto"/>
          </w:tcPr>
          <w:p w:rsidR="007D17C5" w:rsidRPr="00143624" w:rsidRDefault="007D17C5" w:rsidP="009558BE">
            <w:pPr>
              <w:pStyle w:val="Tabletext"/>
            </w:pPr>
            <w:r w:rsidRPr="00143624">
              <w:rPr>
                <w:color w:val="000000"/>
              </w:rPr>
              <w:t>0.035</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23</w:t>
            </w:r>
          </w:p>
        </w:tc>
        <w:tc>
          <w:tcPr>
            <w:tcW w:w="2327" w:type="pct"/>
            <w:shd w:val="clear" w:color="auto" w:fill="auto"/>
          </w:tcPr>
          <w:p w:rsidR="007D17C5" w:rsidRPr="00143624" w:rsidRDefault="007D17C5" w:rsidP="009558BE">
            <w:pPr>
              <w:pStyle w:val="Tabletext"/>
            </w:pPr>
            <w:r w:rsidRPr="00143624">
              <w:rPr>
                <w:color w:val="000000"/>
              </w:rPr>
              <w:t>75</w:t>
            </w:r>
          </w:p>
        </w:tc>
        <w:tc>
          <w:tcPr>
            <w:tcW w:w="2277" w:type="pct"/>
            <w:shd w:val="clear" w:color="auto" w:fill="auto"/>
          </w:tcPr>
          <w:p w:rsidR="007D17C5" w:rsidRPr="00143624" w:rsidRDefault="007D17C5" w:rsidP="009558BE">
            <w:pPr>
              <w:pStyle w:val="Tabletext"/>
            </w:pPr>
            <w:r w:rsidRPr="00143624">
              <w:rPr>
                <w:color w:val="000000"/>
              </w:rPr>
              <w:t>0.039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24</w:t>
            </w:r>
          </w:p>
        </w:tc>
        <w:tc>
          <w:tcPr>
            <w:tcW w:w="2327" w:type="pct"/>
            <w:shd w:val="clear" w:color="auto" w:fill="auto"/>
          </w:tcPr>
          <w:p w:rsidR="007D17C5" w:rsidRPr="00143624" w:rsidRDefault="007D17C5" w:rsidP="009558BE">
            <w:pPr>
              <w:pStyle w:val="Tabletext"/>
            </w:pPr>
            <w:r w:rsidRPr="00143624">
              <w:rPr>
                <w:color w:val="000000"/>
              </w:rPr>
              <w:t>76</w:t>
            </w:r>
          </w:p>
        </w:tc>
        <w:tc>
          <w:tcPr>
            <w:tcW w:w="2277" w:type="pct"/>
            <w:shd w:val="clear" w:color="auto" w:fill="auto"/>
          </w:tcPr>
          <w:p w:rsidR="007D17C5" w:rsidRPr="00143624" w:rsidRDefault="007D17C5" w:rsidP="009558BE">
            <w:pPr>
              <w:pStyle w:val="Tabletext"/>
            </w:pPr>
            <w:r w:rsidRPr="00143624">
              <w:rPr>
                <w:color w:val="000000"/>
              </w:rPr>
              <w:t>0.043</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25</w:t>
            </w:r>
          </w:p>
        </w:tc>
        <w:tc>
          <w:tcPr>
            <w:tcW w:w="2327" w:type="pct"/>
            <w:shd w:val="clear" w:color="auto" w:fill="auto"/>
          </w:tcPr>
          <w:p w:rsidR="007D17C5" w:rsidRPr="00143624" w:rsidRDefault="007D17C5" w:rsidP="009558BE">
            <w:pPr>
              <w:pStyle w:val="Tabletext"/>
            </w:pPr>
            <w:r w:rsidRPr="00143624">
              <w:rPr>
                <w:color w:val="000000"/>
              </w:rPr>
              <w:t>77</w:t>
            </w:r>
          </w:p>
        </w:tc>
        <w:tc>
          <w:tcPr>
            <w:tcW w:w="2277" w:type="pct"/>
            <w:shd w:val="clear" w:color="auto" w:fill="auto"/>
          </w:tcPr>
          <w:p w:rsidR="007D17C5" w:rsidRPr="00143624" w:rsidRDefault="007D17C5" w:rsidP="009558BE">
            <w:pPr>
              <w:pStyle w:val="Tabletext"/>
            </w:pPr>
            <w:r w:rsidRPr="00143624">
              <w:rPr>
                <w:color w:val="000000"/>
              </w:rPr>
              <w:t>0.048</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26</w:t>
            </w:r>
          </w:p>
        </w:tc>
        <w:tc>
          <w:tcPr>
            <w:tcW w:w="2327" w:type="pct"/>
            <w:shd w:val="clear" w:color="auto" w:fill="auto"/>
          </w:tcPr>
          <w:p w:rsidR="007D17C5" w:rsidRPr="00143624" w:rsidRDefault="007D17C5" w:rsidP="009558BE">
            <w:pPr>
              <w:pStyle w:val="Tabletext"/>
            </w:pPr>
            <w:r w:rsidRPr="00143624">
              <w:rPr>
                <w:color w:val="000000"/>
              </w:rPr>
              <w:t>78</w:t>
            </w:r>
          </w:p>
        </w:tc>
        <w:tc>
          <w:tcPr>
            <w:tcW w:w="2277" w:type="pct"/>
            <w:shd w:val="clear" w:color="auto" w:fill="auto"/>
          </w:tcPr>
          <w:p w:rsidR="007D17C5" w:rsidRPr="00143624" w:rsidRDefault="007D17C5" w:rsidP="009558BE">
            <w:pPr>
              <w:pStyle w:val="Tabletext"/>
            </w:pPr>
            <w:r w:rsidRPr="00143624">
              <w:rPr>
                <w:color w:val="000000"/>
              </w:rPr>
              <w:t>0.053</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27</w:t>
            </w:r>
          </w:p>
        </w:tc>
        <w:tc>
          <w:tcPr>
            <w:tcW w:w="2327" w:type="pct"/>
            <w:shd w:val="clear" w:color="auto" w:fill="auto"/>
          </w:tcPr>
          <w:p w:rsidR="007D17C5" w:rsidRPr="00143624" w:rsidRDefault="007D17C5" w:rsidP="009558BE">
            <w:pPr>
              <w:pStyle w:val="Tabletext"/>
            </w:pPr>
            <w:r w:rsidRPr="00143624">
              <w:rPr>
                <w:color w:val="000000"/>
              </w:rPr>
              <w:t>79</w:t>
            </w:r>
          </w:p>
        </w:tc>
        <w:tc>
          <w:tcPr>
            <w:tcW w:w="2277" w:type="pct"/>
            <w:shd w:val="clear" w:color="auto" w:fill="auto"/>
          </w:tcPr>
          <w:p w:rsidR="007D17C5" w:rsidRPr="00143624" w:rsidRDefault="007D17C5" w:rsidP="009558BE">
            <w:pPr>
              <w:pStyle w:val="Tabletext"/>
            </w:pPr>
            <w:r w:rsidRPr="00143624">
              <w:rPr>
                <w:color w:val="000000"/>
              </w:rPr>
              <w:t>0.059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28</w:t>
            </w:r>
          </w:p>
        </w:tc>
        <w:tc>
          <w:tcPr>
            <w:tcW w:w="2327" w:type="pct"/>
            <w:shd w:val="clear" w:color="auto" w:fill="auto"/>
          </w:tcPr>
          <w:p w:rsidR="007D17C5" w:rsidRPr="00143624" w:rsidRDefault="007D17C5" w:rsidP="009558BE">
            <w:pPr>
              <w:pStyle w:val="Tabletext"/>
            </w:pPr>
            <w:r w:rsidRPr="00143624">
              <w:rPr>
                <w:color w:val="000000"/>
              </w:rPr>
              <w:t>80</w:t>
            </w:r>
          </w:p>
        </w:tc>
        <w:tc>
          <w:tcPr>
            <w:tcW w:w="2277" w:type="pct"/>
            <w:shd w:val="clear" w:color="auto" w:fill="auto"/>
          </w:tcPr>
          <w:p w:rsidR="007D17C5" w:rsidRPr="00143624" w:rsidRDefault="007D17C5" w:rsidP="009558BE">
            <w:pPr>
              <w:pStyle w:val="Tabletext"/>
            </w:pPr>
            <w:r w:rsidRPr="00143624">
              <w:rPr>
                <w:color w:val="000000"/>
              </w:rPr>
              <w:t>0.064</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29</w:t>
            </w:r>
          </w:p>
        </w:tc>
        <w:tc>
          <w:tcPr>
            <w:tcW w:w="2327" w:type="pct"/>
            <w:shd w:val="clear" w:color="auto" w:fill="auto"/>
          </w:tcPr>
          <w:p w:rsidR="007D17C5" w:rsidRPr="00143624" w:rsidRDefault="007D17C5" w:rsidP="009558BE">
            <w:pPr>
              <w:pStyle w:val="Tabletext"/>
            </w:pPr>
            <w:r w:rsidRPr="00143624">
              <w:rPr>
                <w:color w:val="000000"/>
              </w:rPr>
              <w:t>81</w:t>
            </w:r>
          </w:p>
        </w:tc>
        <w:tc>
          <w:tcPr>
            <w:tcW w:w="2277" w:type="pct"/>
            <w:shd w:val="clear" w:color="auto" w:fill="auto"/>
          </w:tcPr>
          <w:p w:rsidR="007D17C5" w:rsidRPr="00143624" w:rsidRDefault="007D17C5" w:rsidP="009558BE">
            <w:pPr>
              <w:pStyle w:val="Tabletext"/>
            </w:pPr>
            <w:r w:rsidRPr="00143624">
              <w:rPr>
                <w:color w:val="000000"/>
              </w:rPr>
              <w:t>0.070</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30</w:t>
            </w:r>
          </w:p>
        </w:tc>
        <w:tc>
          <w:tcPr>
            <w:tcW w:w="2327" w:type="pct"/>
            <w:shd w:val="clear" w:color="auto" w:fill="auto"/>
          </w:tcPr>
          <w:p w:rsidR="007D17C5" w:rsidRPr="00143624" w:rsidRDefault="007D17C5" w:rsidP="009558BE">
            <w:pPr>
              <w:pStyle w:val="Tabletext"/>
            </w:pPr>
            <w:r w:rsidRPr="00143624">
              <w:rPr>
                <w:color w:val="000000"/>
              </w:rPr>
              <w:t>82</w:t>
            </w:r>
          </w:p>
        </w:tc>
        <w:tc>
          <w:tcPr>
            <w:tcW w:w="2277" w:type="pct"/>
            <w:shd w:val="clear" w:color="auto" w:fill="auto"/>
          </w:tcPr>
          <w:p w:rsidR="007D17C5" w:rsidRPr="00143624" w:rsidRDefault="007D17C5" w:rsidP="009558BE">
            <w:pPr>
              <w:pStyle w:val="Tabletext"/>
            </w:pPr>
            <w:r w:rsidRPr="00143624">
              <w:rPr>
                <w:color w:val="000000"/>
              </w:rPr>
              <w:t>0.077</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31</w:t>
            </w:r>
          </w:p>
        </w:tc>
        <w:tc>
          <w:tcPr>
            <w:tcW w:w="2327" w:type="pct"/>
            <w:shd w:val="clear" w:color="auto" w:fill="auto"/>
          </w:tcPr>
          <w:p w:rsidR="007D17C5" w:rsidRPr="00143624" w:rsidRDefault="007D17C5" w:rsidP="009558BE">
            <w:pPr>
              <w:pStyle w:val="Tabletext"/>
            </w:pPr>
            <w:r w:rsidRPr="00143624">
              <w:rPr>
                <w:color w:val="000000"/>
              </w:rPr>
              <w:t>83</w:t>
            </w:r>
          </w:p>
        </w:tc>
        <w:tc>
          <w:tcPr>
            <w:tcW w:w="2277" w:type="pct"/>
            <w:shd w:val="clear" w:color="auto" w:fill="auto"/>
          </w:tcPr>
          <w:p w:rsidR="007D17C5" w:rsidRPr="00143624" w:rsidRDefault="007D17C5" w:rsidP="009558BE">
            <w:pPr>
              <w:pStyle w:val="Tabletext"/>
            </w:pPr>
            <w:r w:rsidRPr="00143624">
              <w:rPr>
                <w:color w:val="000000"/>
              </w:rPr>
              <w:t>0.085</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32</w:t>
            </w:r>
          </w:p>
        </w:tc>
        <w:tc>
          <w:tcPr>
            <w:tcW w:w="2327" w:type="pct"/>
            <w:shd w:val="clear" w:color="auto" w:fill="auto"/>
          </w:tcPr>
          <w:p w:rsidR="007D17C5" w:rsidRPr="00143624" w:rsidRDefault="007D17C5" w:rsidP="009558BE">
            <w:pPr>
              <w:pStyle w:val="Tabletext"/>
            </w:pPr>
            <w:r w:rsidRPr="00143624">
              <w:rPr>
                <w:color w:val="000000"/>
              </w:rPr>
              <w:t>84</w:t>
            </w:r>
          </w:p>
        </w:tc>
        <w:tc>
          <w:tcPr>
            <w:tcW w:w="2277" w:type="pct"/>
            <w:shd w:val="clear" w:color="auto" w:fill="auto"/>
          </w:tcPr>
          <w:p w:rsidR="007D17C5" w:rsidRPr="00143624" w:rsidRDefault="007D17C5" w:rsidP="009558BE">
            <w:pPr>
              <w:pStyle w:val="Tabletext"/>
            </w:pPr>
            <w:r w:rsidRPr="00143624">
              <w:rPr>
                <w:color w:val="000000"/>
              </w:rPr>
              <w:t>0.095</w:t>
            </w:r>
          </w:p>
        </w:tc>
      </w:tr>
      <w:tr w:rsidR="007D17C5" w:rsidRPr="00143624" w:rsidTr="009558BE">
        <w:tc>
          <w:tcPr>
            <w:tcW w:w="396" w:type="pct"/>
            <w:tcBorders>
              <w:bottom w:val="single" w:sz="4" w:space="0" w:color="auto"/>
            </w:tcBorders>
          </w:tcPr>
          <w:p w:rsidR="007D17C5" w:rsidRPr="00143624" w:rsidRDefault="007D17C5" w:rsidP="009558BE">
            <w:pPr>
              <w:pStyle w:val="Tabletext"/>
              <w:rPr>
                <w:color w:val="000000"/>
              </w:rPr>
            </w:pPr>
            <w:r w:rsidRPr="00143624">
              <w:rPr>
                <w:color w:val="000000"/>
              </w:rPr>
              <w:t>33</w:t>
            </w:r>
          </w:p>
        </w:tc>
        <w:tc>
          <w:tcPr>
            <w:tcW w:w="2327" w:type="pct"/>
            <w:tcBorders>
              <w:bottom w:val="single" w:sz="4" w:space="0" w:color="auto"/>
            </w:tcBorders>
            <w:shd w:val="clear" w:color="auto" w:fill="auto"/>
          </w:tcPr>
          <w:p w:rsidR="007D17C5" w:rsidRPr="00143624" w:rsidRDefault="007D17C5" w:rsidP="009558BE">
            <w:pPr>
              <w:pStyle w:val="Tabletext"/>
            </w:pPr>
            <w:r w:rsidRPr="00143624">
              <w:rPr>
                <w:color w:val="000000"/>
              </w:rPr>
              <w:t>85</w:t>
            </w:r>
          </w:p>
        </w:tc>
        <w:tc>
          <w:tcPr>
            <w:tcW w:w="2277" w:type="pct"/>
            <w:tcBorders>
              <w:bottom w:val="single" w:sz="4" w:space="0" w:color="auto"/>
            </w:tcBorders>
            <w:shd w:val="clear" w:color="auto" w:fill="auto"/>
          </w:tcPr>
          <w:p w:rsidR="007D17C5" w:rsidRPr="00143624" w:rsidRDefault="007D17C5" w:rsidP="009558BE">
            <w:pPr>
              <w:pStyle w:val="Tabletext"/>
            </w:pPr>
            <w:r w:rsidRPr="00143624">
              <w:rPr>
                <w:color w:val="000000"/>
              </w:rPr>
              <w:t>0.106</w:t>
            </w:r>
          </w:p>
        </w:tc>
      </w:tr>
      <w:tr w:rsidR="007D17C5" w:rsidRPr="00143624" w:rsidTr="009558BE">
        <w:tc>
          <w:tcPr>
            <w:tcW w:w="396" w:type="pct"/>
            <w:tcBorders>
              <w:bottom w:val="single" w:sz="4" w:space="0" w:color="auto"/>
            </w:tcBorders>
            <w:shd w:val="clear" w:color="auto" w:fill="auto"/>
          </w:tcPr>
          <w:p w:rsidR="007D17C5" w:rsidRPr="00143624" w:rsidRDefault="007D17C5" w:rsidP="009558BE">
            <w:pPr>
              <w:pStyle w:val="Tabletext"/>
              <w:rPr>
                <w:color w:val="000000"/>
              </w:rPr>
            </w:pPr>
            <w:bookmarkStart w:id="262" w:name="CU_36204024"/>
            <w:bookmarkStart w:id="263" w:name="CU_36200978"/>
            <w:bookmarkEnd w:id="262"/>
            <w:bookmarkEnd w:id="263"/>
            <w:r w:rsidRPr="00143624">
              <w:rPr>
                <w:color w:val="000000"/>
              </w:rPr>
              <w:t>34</w:t>
            </w:r>
          </w:p>
        </w:tc>
        <w:tc>
          <w:tcPr>
            <w:tcW w:w="2327" w:type="pct"/>
            <w:tcBorders>
              <w:bottom w:val="single" w:sz="4" w:space="0" w:color="auto"/>
            </w:tcBorders>
            <w:shd w:val="clear" w:color="auto" w:fill="auto"/>
          </w:tcPr>
          <w:p w:rsidR="007D17C5" w:rsidRPr="00143624" w:rsidRDefault="007D17C5" w:rsidP="009558BE">
            <w:pPr>
              <w:pStyle w:val="Tabletext"/>
            </w:pPr>
            <w:r w:rsidRPr="00143624">
              <w:rPr>
                <w:color w:val="000000"/>
              </w:rPr>
              <w:t>86</w:t>
            </w:r>
          </w:p>
        </w:tc>
        <w:tc>
          <w:tcPr>
            <w:tcW w:w="2277" w:type="pct"/>
            <w:tcBorders>
              <w:bottom w:val="single" w:sz="4" w:space="0" w:color="auto"/>
            </w:tcBorders>
            <w:shd w:val="clear" w:color="auto" w:fill="auto"/>
          </w:tcPr>
          <w:p w:rsidR="007D17C5" w:rsidRPr="00143624" w:rsidRDefault="007D17C5" w:rsidP="009558BE">
            <w:pPr>
              <w:pStyle w:val="Tabletext"/>
            </w:pPr>
            <w:r w:rsidRPr="00143624">
              <w:rPr>
                <w:color w:val="000000"/>
              </w:rPr>
              <w:t>0.116</w:t>
            </w:r>
          </w:p>
        </w:tc>
      </w:tr>
      <w:tr w:rsidR="007D17C5" w:rsidRPr="00143624" w:rsidTr="009558BE">
        <w:tc>
          <w:tcPr>
            <w:tcW w:w="396" w:type="pct"/>
            <w:tcBorders>
              <w:top w:val="single" w:sz="4" w:space="0" w:color="auto"/>
            </w:tcBorders>
          </w:tcPr>
          <w:p w:rsidR="007D17C5" w:rsidRPr="00143624" w:rsidRDefault="007D17C5" w:rsidP="009558BE">
            <w:pPr>
              <w:pStyle w:val="Tabletext"/>
              <w:rPr>
                <w:color w:val="000000"/>
              </w:rPr>
            </w:pPr>
            <w:r w:rsidRPr="00143624">
              <w:rPr>
                <w:color w:val="000000"/>
              </w:rPr>
              <w:t>35</w:t>
            </w:r>
          </w:p>
        </w:tc>
        <w:tc>
          <w:tcPr>
            <w:tcW w:w="2327" w:type="pct"/>
            <w:tcBorders>
              <w:top w:val="single" w:sz="4" w:space="0" w:color="auto"/>
            </w:tcBorders>
            <w:shd w:val="clear" w:color="auto" w:fill="auto"/>
          </w:tcPr>
          <w:p w:rsidR="007D17C5" w:rsidRPr="00143624" w:rsidRDefault="007D17C5" w:rsidP="009558BE">
            <w:pPr>
              <w:pStyle w:val="Tabletext"/>
            </w:pPr>
            <w:r w:rsidRPr="00143624">
              <w:rPr>
                <w:color w:val="000000"/>
              </w:rPr>
              <w:t>87</w:t>
            </w:r>
          </w:p>
        </w:tc>
        <w:tc>
          <w:tcPr>
            <w:tcW w:w="2277" w:type="pct"/>
            <w:tcBorders>
              <w:top w:val="single" w:sz="4" w:space="0" w:color="auto"/>
            </w:tcBorders>
            <w:shd w:val="clear" w:color="auto" w:fill="auto"/>
          </w:tcPr>
          <w:p w:rsidR="007D17C5" w:rsidRPr="00143624" w:rsidRDefault="007D17C5" w:rsidP="009558BE">
            <w:pPr>
              <w:pStyle w:val="Tabletext"/>
            </w:pPr>
            <w:r w:rsidRPr="00143624">
              <w:rPr>
                <w:color w:val="000000"/>
              </w:rPr>
              <w:t>0.128</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36</w:t>
            </w:r>
          </w:p>
        </w:tc>
        <w:tc>
          <w:tcPr>
            <w:tcW w:w="2327" w:type="pct"/>
            <w:shd w:val="clear" w:color="auto" w:fill="auto"/>
          </w:tcPr>
          <w:p w:rsidR="007D17C5" w:rsidRPr="00143624" w:rsidRDefault="007D17C5" w:rsidP="009558BE">
            <w:pPr>
              <w:pStyle w:val="Tabletext"/>
            </w:pPr>
            <w:r w:rsidRPr="00143624">
              <w:rPr>
                <w:color w:val="000000"/>
              </w:rPr>
              <w:t>88</w:t>
            </w:r>
          </w:p>
        </w:tc>
        <w:tc>
          <w:tcPr>
            <w:tcW w:w="2277" w:type="pct"/>
            <w:shd w:val="clear" w:color="auto" w:fill="auto"/>
          </w:tcPr>
          <w:p w:rsidR="007D17C5" w:rsidRPr="00143624" w:rsidRDefault="007D17C5" w:rsidP="009558BE">
            <w:pPr>
              <w:pStyle w:val="Tabletext"/>
            </w:pPr>
            <w:r w:rsidRPr="00143624">
              <w:rPr>
                <w:color w:val="000000"/>
              </w:rPr>
              <w:t>0.139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37</w:t>
            </w:r>
          </w:p>
        </w:tc>
        <w:tc>
          <w:tcPr>
            <w:tcW w:w="2327" w:type="pct"/>
            <w:shd w:val="clear" w:color="auto" w:fill="auto"/>
          </w:tcPr>
          <w:p w:rsidR="007D17C5" w:rsidRPr="00143624" w:rsidRDefault="007D17C5" w:rsidP="009558BE">
            <w:pPr>
              <w:pStyle w:val="Tabletext"/>
            </w:pPr>
            <w:r w:rsidRPr="00143624">
              <w:rPr>
                <w:color w:val="000000"/>
              </w:rPr>
              <w:t>89</w:t>
            </w:r>
          </w:p>
        </w:tc>
        <w:tc>
          <w:tcPr>
            <w:tcW w:w="2277" w:type="pct"/>
            <w:shd w:val="clear" w:color="auto" w:fill="auto"/>
          </w:tcPr>
          <w:p w:rsidR="007D17C5" w:rsidRPr="00143624" w:rsidRDefault="007D17C5" w:rsidP="009558BE">
            <w:pPr>
              <w:pStyle w:val="Tabletext"/>
            </w:pPr>
            <w:r w:rsidRPr="00143624">
              <w:rPr>
                <w:color w:val="000000"/>
              </w:rPr>
              <w:t>0.149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38</w:t>
            </w:r>
          </w:p>
        </w:tc>
        <w:tc>
          <w:tcPr>
            <w:tcW w:w="2327" w:type="pct"/>
            <w:shd w:val="clear" w:color="auto" w:fill="auto"/>
          </w:tcPr>
          <w:p w:rsidR="007D17C5" w:rsidRPr="00143624" w:rsidRDefault="007D17C5" w:rsidP="009558BE">
            <w:pPr>
              <w:pStyle w:val="Tabletext"/>
            </w:pPr>
            <w:r w:rsidRPr="00143624">
              <w:rPr>
                <w:color w:val="000000"/>
              </w:rPr>
              <w:t>90</w:t>
            </w:r>
          </w:p>
        </w:tc>
        <w:tc>
          <w:tcPr>
            <w:tcW w:w="2277" w:type="pct"/>
            <w:shd w:val="clear" w:color="auto" w:fill="auto"/>
          </w:tcPr>
          <w:p w:rsidR="007D17C5" w:rsidRPr="00143624" w:rsidRDefault="007D17C5" w:rsidP="009558BE">
            <w:pPr>
              <w:pStyle w:val="Tabletext"/>
            </w:pPr>
            <w:r w:rsidRPr="00143624">
              <w:rPr>
                <w:color w:val="000000"/>
              </w:rPr>
              <w:t>0.159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39</w:t>
            </w:r>
          </w:p>
        </w:tc>
        <w:tc>
          <w:tcPr>
            <w:tcW w:w="2327" w:type="pct"/>
            <w:shd w:val="clear" w:color="auto" w:fill="auto"/>
          </w:tcPr>
          <w:p w:rsidR="007D17C5" w:rsidRPr="00143624" w:rsidRDefault="007D17C5" w:rsidP="009558BE">
            <w:pPr>
              <w:pStyle w:val="Tabletext"/>
            </w:pPr>
            <w:r w:rsidRPr="00143624">
              <w:rPr>
                <w:color w:val="000000"/>
              </w:rPr>
              <w:t>91</w:t>
            </w:r>
          </w:p>
        </w:tc>
        <w:tc>
          <w:tcPr>
            <w:tcW w:w="2277" w:type="pct"/>
            <w:shd w:val="clear" w:color="auto" w:fill="auto"/>
          </w:tcPr>
          <w:p w:rsidR="007D17C5" w:rsidRPr="00143624" w:rsidRDefault="007D17C5" w:rsidP="009558BE">
            <w:pPr>
              <w:pStyle w:val="Tabletext"/>
            </w:pPr>
            <w:r w:rsidRPr="00143624">
              <w:rPr>
                <w:color w:val="000000"/>
              </w:rPr>
              <w:t>0.168</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40</w:t>
            </w:r>
          </w:p>
        </w:tc>
        <w:tc>
          <w:tcPr>
            <w:tcW w:w="2327" w:type="pct"/>
            <w:shd w:val="clear" w:color="auto" w:fill="auto"/>
          </w:tcPr>
          <w:p w:rsidR="007D17C5" w:rsidRPr="00143624" w:rsidRDefault="007D17C5" w:rsidP="009558BE">
            <w:pPr>
              <w:pStyle w:val="Tabletext"/>
            </w:pPr>
            <w:r w:rsidRPr="00143624">
              <w:rPr>
                <w:color w:val="000000"/>
              </w:rPr>
              <w:t>92</w:t>
            </w:r>
          </w:p>
        </w:tc>
        <w:tc>
          <w:tcPr>
            <w:tcW w:w="2277" w:type="pct"/>
            <w:shd w:val="clear" w:color="auto" w:fill="auto"/>
          </w:tcPr>
          <w:p w:rsidR="007D17C5" w:rsidRPr="00143624" w:rsidRDefault="007D17C5" w:rsidP="009558BE">
            <w:pPr>
              <w:pStyle w:val="Tabletext"/>
            </w:pPr>
            <w:r w:rsidRPr="00143624">
              <w:rPr>
                <w:color w:val="000000"/>
              </w:rPr>
              <w:t>0.176</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41</w:t>
            </w:r>
          </w:p>
        </w:tc>
        <w:tc>
          <w:tcPr>
            <w:tcW w:w="2327" w:type="pct"/>
            <w:shd w:val="clear" w:color="auto" w:fill="auto"/>
          </w:tcPr>
          <w:p w:rsidR="007D17C5" w:rsidRPr="00143624" w:rsidRDefault="007D17C5" w:rsidP="009558BE">
            <w:pPr>
              <w:pStyle w:val="Tabletext"/>
            </w:pPr>
            <w:r w:rsidRPr="00143624">
              <w:rPr>
                <w:color w:val="000000"/>
              </w:rPr>
              <w:t>93</w:t>
            </w:r>
          </w:p>
        </w:tc>
        <w:tc>
          <w:tcPr>
            <w:tcW w:w="2277" w:type="pct"/>
            <w:shd w:val="clear" w:color="auto" w:fill="auto"/>
          </w:tcPr>
          <w:p w:rsidR="007D17C5" w:rsidRPr="00143624" w:rsidRDefault="007D17C5" w:rsidP="009558BE">
            <w:pPr>
              <w:pStyle w:val="Tabletext"/>
            </w:pPr>
            <w:r w:rsidRPr="00143624">
              <w:rPr>
                <w:color w:val="000000"/>
              </w:rPr>
              <w:t>0.184</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42</w:t>
            </w:r>
          </w:p>
        </w:tc>
        <w:tc>
          <w:tcPr>
            <w:tcW w:w="2327" w:type="pct"/>
            <w:shd w:val="clear" w:color="auto" w:fill="auto"/>
          </w:tcPr>
          <w:p w:rsidR="007D17C5" w:rsidRPr="00143624" w:rsidRDefault="007D17C5" w:rsidP="009558BE">
            <w:pPr>
              <w:pStyle w:val="Tabletext"/>
            </w:pPr>
            <w:r w:rsidRPr="00143624">
              <w:rPr>
                <w:color w:val="000000"/>
              </w:rPr>
              <w:t>94</w:t>
            </w:r>
          </w:p>
        </w:tc>
        <w:tc>
          <w:tcPr>
            <w:tcW w:w="2277" w:type="pct"/>
            <w:shd w:val="clear" w:color="auto" w:fill="auto"/>
          </w:tcPr>
          <w:p w:rsidR="007D17C5" w:rsidRPr="00143624" w:rsidRDefault="007D17C5" w:rsidP="009558BE">
            <w:pPr>
              <w:pStyle w:val="Tabletext"/>
            </w:pPr>
            <w:r w:rsidRPr="00143624">
              <w:rPr>
                <w:color w:val="000000"/>
              </w:rPr>
              <w:t>0.193</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43</w:t>
            </w:r>
          </w:p>
        </w:tc>
        <w:tc>
          <w:tcPr>
            <w:tcW w:w="2327" w:type="pct"/>
            <w:shd w:val="clear" w:color="auto" w:fill="auto"/>
          </w:tcPr>
          <w:p w:rsidR="007D17C5" w:rsidRPr="00143624" w:rsidRDefault="007D17C5" w:rsidP="009558BE">
            <w:pPr>
              <w:pStyle w:val="Tabletext"/>
            </w:pPr>
            <w:r w:rsidRPr="00143624">
              <w:rPr>
                <w:color w:val="000000"/>
              </w:rPr>
              <w:t>95</w:t>
            </w:r>
          </w:p>
        </w:tc>
        <w:tc>
          <w:tcPr>
            <w:tcW w:w="2277" w:type="pct"/>
            <w:shd w:val="clear" w:color="auto" w:fill="auto"/>
          </w:tcPr>
          <w:p w:rsidR="007D17C5" w:rsidRPr="00143624" w:rsidRDefault="007D17C5" w:rsidP="009558BE">
            <w:pPr>
              <w:pStyle w:val="Tabletext"/>
            </w:pPr>
            <w:r w:rsidRPr="00143624">
              <w:rPr>
                <w:color w:val="000000"/>
              </w:rPr>
              <w:t>0.202</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44</w:t>
            </w:r>
          </w:p>
        </w:tc>
        <w:tc>
          <w:tcPr>
            <w:tcW w:w="2327" w:type="pct"/>
            <w:shd w:val="clear" w:color="auto" w:fill="auto"/>
          </w:tcPr>
          <w:p w:rsidR="007D17C5" w:rsidRPr="00143624" w:rsidRDefault="007D17C5" w:rsidP="009558BE">
            <w:pPr>
              <w:pStyle w:val="Tabletext"/>
            </w:pPr>
            <w:r w:rsidRPr="00143624">
              <w:rPr>
                <w:color w:val="000000"/>
              </w:rPr>
              <w:t>96</w:t>
            </w:r>
          </w:p>
        </w:tc>
        <w:tc>
          <w:tcPr>
            <w:tcW w:w="2277" w:type="pct"/>
            <w:shd w:val="clear" w:color="auto" w:fill="auto"/>
          </w:tcPr>
          <w:p w:rsidR="007D17C5" w:rsidRPr="00143624" w:rsidRDefault="007D17C5" w:rsidP="009558BE">
            <w:pPr>
              <w:pStyle w:val="Tabletext"/>
            </w:pPr>
            <w:r w:rsidRPr="00143624">
              <w:rPr>
                <w:color w:val="000000"/>
              </w:rPr>
              <w:t>0.211</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45</w:t>
            </w:r>
          </w:p>
        </w:tc>
        <w:tc>
          <w:tcPr>
            <w:tcW w:w="2327" w:type="pct"/>
            <w:shd w:val="clear" w:color="auto" w:fill="auto"/>
          </w:tcPr>
          <w:p w:rsidR="007D17C5" w:rsidRPr="00143624" w:rsidRDefault="007D17C5" w:rsidP="009558BE">
            <w:pPr>
              <w:pStyle w:val="Tabletext"/>
            </w:pPr>
            <w:r w:rsidRPr="00143624">
              <w:rPr>
                <w:color w:val="000000"/>
              </w:rPr>
              <w:t>97</w:t>
            </w:r>
          </w:p>
        </w:tc>
        <w:tc>
          <w:tcPr>
            <w:tcW w:w="2277" w:type="pct"/>
            <w:shd w:val="clear" w:color="auto" w:fill="auto"/>
          </w:tcPr>
          <w:p w:rsidR="007D17C5" w:rsidRPr="00143624" w:rsidRDefault="007D17C5" w:rsidP="009558BE">
            <w:pPr>
              <w:pStyle w:val="Tabletext"/>
            </w:pPr>
            <w:r w:rsidRPr="00143624">
              <w:rPr>
                <w:color w:val="000000"/>
              </w:rPr>
              <w:t>0.219</w:t>
            </w:r>
          </w:p>
        </w:tc>
      </w:tr>
      <w:tr w:rsidR="007D17C5" w:rsidRPr="00143624" w:rsidTr="009558BE">
        <w:tc>
          <w:tcPr>
            <w:tcW w:w="396" w:type="pct"/>
          </w:tcPr>
          <w:p w:rsidR="007D17C5" w:rsidRPr="00143624" w:rsidRDefault="007D17C5" w:rsidP="009558BE">
            <w:pPr>
              <w:pStyle w:val="Tabletext"/>
              <w:rPr>
                <w:color w:val="000000"/>
              </w:rPr>
            </w:pPr>
            <w:r w:rsidRPr="00143624">
              <w:rPr>
                <w:color w:val="000000"/>
              </w:rPr>
              <w:t>46</w:t>
            </w:r>
          </w:p>
        </w:tc>
        <w:tc>
          <w:tcPr>
            <w:tcW w:w="2327" w:type="pct"/>
            <w:shd w:val="clear" w:color="auto" w:fill="auto"/>
          </w:tcPr>
          <w:p w:rsidR="007D17C5" w:rsidRPr="00143624" w:rsidRDefault="007D17C5" w:rsidP="009558BE">
            <w:pPr>
              <w:pStyle w:val="Tabletext"/>
            </w:pPr>
            <w:r w:rsidRPr="00143624">
              <w:rPr>
                <w:color w:val="000000"/>
              </w:rPr>
              <w:t>98</w:t>
            </w:r>
          </w:p>
        </w:tc>
        <w:tc>
          <w:tcPr>
            <w:tcW w:w="2277" w:type="pct"/>
            <w:shd w:val="clear" w:color="auto" w:fill="auto"/>
          </w:tcPr>
          <w:p w:rsidR="007D17C5" w:rsidRPr="00143624" w:rsidRDefault="007D17C5" w:rsidP="009558BE">
            <w:pPr>
              <w:pStyle w:val="Tabletext"/>
            </w:pPr>
            <w:r w:rsidRPr="00143624">
              <w:rPr>
                <w:color w:val="000000"/>
              </w:rPr>
              <w:t>0.228</w:t>
            </w:r>
          </w:p>
        </w:tc>
      </w:tr>
      <w:tr w:rsidR="007D17C5" w:rsidRPr="00143624" w:rsidTr="009558BE">
        <w:tc>
          <w:tcPr>
            <w:tcW w:w="396" w:type="pct"/>
            <w:tcBorders>
              <w:bottom w:val="single" w:sz="4" w:space="0" w:color="auto"/>
            </w:tcBorders>
          </w:tcPr>
          <w:p w:rsidR="007D17C5" w:rsidRPr="00143624" w:rsidRDefault="007D17C5" w:rsidP="009558BE">
            <w:pPr>
              <w:pStyle w:val="Tabletext"/>
              <w:rPr>
                <w:color w:val="000000"/>
              </w:rPr>
            </w:pPr>
            <w:r w:rsidRPr="00143624">
              <w:rPr>
                <w:color w:val="000000"/>
              </w:rPr>
              <w:t>47</w:t>
            </w:r>
          </w:p>
        </w:tc>
        <w:tc>
          <w:tcPr>
            <w:tcW w:w="2327" w:type="pct"/>
            <w:tcBorders>
              <w:bottom w:val="single" w:sz="4" w:space="0" w:color="auto"/>
            </w:tcBorders>
            <w:shd w:val="clear" w:color="auto" w:fill="auto"/>
          </w:tcPr>
          <w:p w:rsidR="007D17C5" w:rsidRPr="00143624" w:rsidRDefault="007D17C5" w:rsidP="009558BE">
            <w:pPr>
              <w:pStyle w:val="Tabletext"/>
            </w:pPr>
            <w:r w:rsidRPr="00143624">
              <w:rPr>
                <w:color w:val="000000"/>
              </w:rPr>
              <w:t>99</w:t>
            </w:r>
          </w:p>
        </w:tc>
        <w:tc>
          <w:tcPr>
            <w:tcW w:w="2277" w:type="pct"/>
            <w:tcBorders>
              <w:bottom w:val="single" w:sz="4" w:space="0" w:color="auto"/>
            </w:tcBorders>
            <w:shd w:val="clear" w:color="auto" w:fill="auto"/>
          </w:tcPr>
          <w:p w:rsidR="007D17C5" w:rsidRPr="00143624" w:rsidRDefault="007D17C5" w:rsidP="009558BE">
            <w:pPr>
              <w:pStyle w:val="Tabletext"/>
            </w:pPr>
            <w:r w:rsidRPr="00143624">
              <w:rPr>
                <w:color w:val="000000"/>
              </w:rPr>
              <w:t>0.236</w:t>
            </w:r>
          </w:p>
        </w:tc>
      </w:tr>
      <w:tr w:rsidR="007D17C5" w:rsidRPr="00143624" w:rsidTr="009558BE">
        <w:tc>
          <w:tcPr>
            <w:tcW w:w="396" w:type="pct"/>
            <w:tcBorders>
              <w:bottom w:val="single" w:sz="12" w:space="0" w:color="auto"/>
            </w:tcBorders>
          </w:tcPr>
          <w:p w:rsidR="007D17C5" w:rsidRPr="00143624" w:rsidRDefault="007D17C5" w:rsidP="009558BE">
            <w:pPr>
              <w:pStyle w:val="Tabletext"/>
              <w:rPr>
                <w:color w:val="000000"/>
              </w:rPr>
            </w:pPr>
            <w:r w:rsidRPr="00143624">
              <w:rPr>
                <w:color w:val="000000"/>
              </w:rPr>
              <w:t>48</w:t>
            </w:r>
          </w:p>
        </w:tc>
        <w:tc>
          <w:tcPr>
            <w:tcW w:w="2327" w:type="pct"/>
            <w:tcBorders>
              <w:bottom w:val="single" w:sz="12" w:space="0" w:color="auto"/>
            </w:tcBorders>
            <w:shd w:val="clear" w:color="auto" w:fill="auto"/>
          </w:tcPr>
          <w:p w:rsidR="007D17C5" w:rsidRPr="00143624" w:rsidRDefault="007D17C5" w:rsidP="009558BE">
            <w:pPr>
              <w:pStyle w:val="Tabletext"/>
            </w:pPr>
            <w:r w:rsidRPr="00143624">
              <w:rPr>
                <w:color w:val="000000"/>
              </w:rPr>
              <w:t>100</w:t>
            </w:r>
          </w:p>
        </w:tc>
        <w:tc>
          <w:tcPr>
            <w:tcW w:w="2277" w:type="pct"/>
            <w:tcBorders>
              <w:bottom w:val="single" w:sz="12" w:space="0" w:color="auto"/>
            </w:tcBorders>
            <w:shd w:val="clear" w:color="auto" w:fill="auto"/>
          </w:tcPr>
          <w:p w:rsidR="007D17C5" w:rsidRPr="00143624" w:rsidRDefault="007D17C5" w:rsidP="009558BE">
            <w:pPr>
              <w:pStyle w:val="Tabletext"/>
            </w:pPr>
            <w:r w:rsidRPr="00143624">
              <w:rPr>
                <w:color w:val="000000"/>
              </w:rPr>
              <w:t>1.000</w:t>
            </w:r>
          </w:p>
        </w:tc>
      </w:tr>
    </w:tbl>
    <w:p w:rsidR="007D17C5" w:rsidRPr="00143624" w:rsidRDefault="007D17C5" w:rsidP="007D17C5">
      <w:pPr>
        <w:pStyle w:val="ActHead5"/>
      </w:pPr>
      <w:bookmarkStart w:id="264" w:name="_Toc64030516"/>
      <w:r w:rsidRPr="003F3E0B">
        <w:rPr>
          <w:rStyle w:val="CharSectno"/>
        </w:rPr>
        <w:lastRenderedPageBreak/>
        <w:t>19</w:t>
      </w:r>
      <w:r w:rsidRPr="00143624">
        <w:t xml:space="preserve">  Other assumptions to be set by the actuary</w:t>
      </w:r>
      <w:bookmarkEnd w:id="264"/>
    </w:p>
    <w:p w:rsidR="007D17C5" w:rsidRPr="00143624" w:rsidRDefault="007D17C5" w:rsidP="007D17C5">
      <w:pPr>
        <w:pStyle w:val="subsection"/>
      </w:pPr>
      <w:r w:rsidRPr="00143624">
        <w:tab/>
        <w:t>(1)</w:t>
      </w:r>
      <w:r w:rsidRPr="00143624">
        <w:tab/>
        <w:t>Any other assumptions which may be necessary are to be set by the actuary responsible for calculating the new entrant rate.</w:t>
      </w:r>
    </w:p>
    <w:p w:rsidR="007D17C5" w:rsidRPr="00143624" w:rsidRDefault="007D17C5" w:rsidP="007D17C5">
      <w:pPr>
        <w:pStyle w:val="subsection"/>
      </w:pPr>
      <w:r w:rsidRPr="00143624">
        <w:tab/>
        <w:t>(2)</w:t>
      </w:r>
      <w:r w:rsidRPr="00143624">
        <w:tab/>
        <w:t>The assumptions are to be based on the assumptions used in the most recent actuarial valuation of the fund, unless the actuary believes, having regard to the expected future experience of the fund, that they are no longer appropriate.</w:t>
      </w:r>
    </w:p>
    <w:p w:rsidR="007D17C5" w:rsidRPr="00143624" w:rsidRDefault="007D17C5" w:rsidP="007D17C5">
      <w:pPr>
        <w:pStyle w:val="subsection"/>
      </w:pPr>
      <w:r w:rsidRPr="00143624">
        <w:tab/>
        <w:t>(3)</w:t>
      </w:r>
      <w:r w:rsidRPr="00143624">
        <w:tab/>
        <w:t>If the actuary believes that the assumptions used in the most recent actuarial valuation are no longer appropriate, the assumptions should be set on a best estimate basis.</w:t>
      </w:r>
    </w:p>
    <w:p w:rsidR="007D17C5" w:rsidRPr="00143624" w:rsidRDefault="007D17C5" w:rsidP="007D17C5">
      <w:pPr>
        <w:pStyle w:val="ActHead2"/>
        <w:pageBreakBefore/>
      </w:pPr>
      <w:bookmarkStart w:id="265" w:name="_Toc64030517"/>
      <w:r w:rsidRPr="003F3E0B">
        <w:rPr>
          <w:rStyle w:val="CharPartNo"/>
        </w:rPr>
        <w:lastRenderedPageBreak/>
        <w:t>Part</w:t>
      </w:r>
      <w:r w:rsidR="002B1A95" w:rsidRPr="003F3E0B">
        <w:rPr>
          <w:rStyle w:val="CharPartNo"/>
        </w:rPr>
        <w:t> </w:t>
      </w:r>
      <w:r w:rsidRPr="003F3E0B">
        <w:rPr>
          <w:rStyle w:val="CharPartNo"/>
        </w:rPr>
        <w:t>4</w:t>
      </w:r>
      <w:r w:rsidRPr="00143624">
        <w:t>—</w:t>
      </w:r>
      <w:r w:rsidRPr="003F3E0B">
        <w:rPr>
          <w:rStyle w:val="CharPartText"/>
        </w:rPr>
        <w:t>Exercise of discretion to pay a benefit greater than the benefit assumed in calculating the new entrant rate</w:t>
      </w:r>
      <w:bookmarkEnd w:id="265"/>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66" w:name="_Toc64030518"/>
      <w:r w:rsidRPr="003F3E0B">
        <w:rPr>
          <w:rStyle w:val="CharSectno"/>
        </w:rPr>
        <w:t>20</w:t>
      </w:r>
      <w:r w:rsidRPr="00143624">
        <w:t xml:space="preserve">  Method of working out the increased exit benefit adjustment amount in the formula in subclause 4(2)</w:t>
      </w:r>
      <w:bookmarkEnd w:id="266"/>
    </w:p>
    <w:p w:rsidR="007D17C5" w:rsidRPr="00143624" w:rsidRDefault="007D17C5" w:rsidP="007D17C5">
      <w:pPr>
        <w:pStyle w:val="subsection"/>
      </w:pPr>
      <w:r w:rsidRPr="00143624">
        <w:tab/>
      </w:r>
      <w:r w:rsidRPr="00143624">
        <w:tab/>
        <w:t>For the purposes of the formula in subclause 4(2):</w:t>
      </w:r>
    </w:p>
    <w:p w:rsidR="007D17C5" w:rsidRPr="00143624" w:rsidRDefault="007D17C5" w:rsidP="007D17C5">
      <w:pPr>
        <w:pStyle w:val="paragraph"/>
      </w:pPr>
      <w:r w:rsidRPr="00143624">
        <w:tab/>
        <w:t>(a)</w:t>
      </w:r>
      <w:r w:rsidRPr="00143624">
        <w:tab/>
        <w:t>for a financial year in which the trustee of the defined benefit fund pays, as a result of an exercise of a discretion, a benefit to the member on:</w:t>
      </w:r>
    </w:p>
    <w:p w:rsidR="007D17C5" w:rsidRPr="00143624" w:rsidRDefault="007D17C5" w:rsidP="007D17C5">
      <w:pPr>
        <w:pStyle w:val="paragraphsub"/>
      </w:pPr>
      <w:r w:rsidRPr="00143624">
        <w:tab/>
        <w:t>(i)</w:t>
      </w:r>
      <w:r w:rsidRPr="00143624">
        <w:tab/>
        <w:t>voluntary exit; or</w:t>
      </w:r>
    </w:p>
    <w:p w:rsidR="007D17C5" w:rsidRPr="00143624" w:rsidRDefault="007D17C5" w:rsidP="007D17C5">
      <w:pPr>
        <w:pStyle w:val="paragraphsub"/>
      </w:pPr>
      <w:r w:rsidRPr="00143624">
        <w:tab/>
        <w:t>(ii)</w:t>
      </w:r>
      <w:r w:rsidRPr="00143624">
        <w:tab/>
        <w:t>redundancy that is not bona fide;</w:t>
      </w:r>
    </w:p>
    <w:p w:rsidR="007D17C5" w:rsidRPr="00143624" w:rsidRDefault="007D17C5" w:rsidP="007D17C5">
      <w:pPr>
        <w:pStyle w:val="paragraph"/>
      </w:pPr>
      <w:r w:rsidRPr="00143624">
        <w:tab/>
      </w:r>
      <w:r w:rsidRPr="00143624">
        <w:tab/>
        <w:t xml:space="preserve">which exceeds the benefit assumed in calculating the new entrant rate for the benefit category to which the member belongs at the time the benefit is paid—the </w:t>
      </w:r>
      <w:r w:rsidRPr="00143624">
        <w:rPr>
          <w:b/>
          <w:i/>
        </w:rPr>
        <w:t>increased exit benefit adjustment amount</w:t>
      </w:r>
      <w:r w:rsidRPr="00143624">
        <w:t xml:space="preserve"> equals an amount worked out on advice from an actuary that represents the amount of the excess; and</w:t>
      </w:r>
    </w:p>
    <w:p w:rsidR="007D17C5" w:rsidRPr="00143624" w:rsidRDefault="007D17C5" w:rsidP="007D17C5">
      <w:pPr>
        <w:pStyle w:val="paragraph"/>
      </w:pPr>
      <w:r w:rsidRPr="00143624">
        <w:tab/>
        <w:t>(b)</w:t>
      </w:r>
      <w:r w:rsidRPr="00143624">
        <w:tab/>
        <w:t xml:space="preserve">for any other financial year—the </w:t>
      </w:r>
      <w:r w:rsidRPr="00143624">
        <w:rPr>
          <w:b/>
          <w:i/>
        </w:rPr>
        <w:t>increased exit benefit adjustment amount</w:t>
      </w:r>
      <w:r w:rsidRPr="00143624">
        <w:t xml:space="preserve"> equals zero.</w:t>
      </w:r>
    </w:p>
    <w:p w:rsidR="007D17C5" w:rsidRPr="00143624" w:rsidRDefault="007D17C5" w:rsidP="007D17C5">
      <w:pPr>
        <w:pStyle w:val="ActHead2"/>
        <w:pageBreakBefore/>
      </w:pPr>
      <w:bookmarkStart w:id="267" w:name="_Toc64030519"/>
      <w:r w:rsidRPr="003F3E0B">
        <w:rPr>
          <w:rStyle w:val="CharPartNo"/>
        </w:rPr>
        <w:lastRenderedPageBreak/>
        <w:t>Part</w:t>
      </w:r>
      <w:r w:rsidR="002B1A95" w:rsidRPr="003F3E0B">
        <w:rPr>
          <w:rStyle w:val="CharPartNo"/>
        </w:rPr>
        <w:t> </w:t>
      </w:r>
      <w:r w:rsidRPr="003F3E0B">
        <w:rPr>
          <w:rStyle w:val="CharPartNo"/>
        </w:rPr>
        <w:t>5</w:t>
      </w:r>
      <w:r w:rsidRPr="00143624">
        <w:t>—</w:t>
      </w:r>
      <w:r w:rsidRPr="003F3E0B">
        <w:rPr>
          <w:rStyle w:val="CharPartText"/>
        </w:rPr>
        <w:t>Member has changed benefit category</w:t>
      </w:r>
      <w:bookmarkEnd w:id="267"/>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68" w:name="_Toc64030520"/>
      <w:r w:rsidRPr="003F3E0B">
        <w:rPr>
          <w:rStyle w:val="CharSectno"/>
        </w:rPr>
        <w:t>21</w:t>
      </w:r>
      <w:r w:rsidRPr="00143624">
        <w:t xml:space="preserve">  Method of working out the category change or discretion adjustment amount in the formula in subclause 4(2)</w:t>
      </w:r>
      <w:bookmarkEnd w:id="268"/>
    </w:p>
    <w:p w:rsidR="007D17C5" w:rsidRPr="00143624" w:rsidRDefault="007D17C5" w:rsidP="007D17C5">
      <w:pPr>
        <w:pStyle w:val="subsection"/>
      </w:pPr>
      <w:r w:rsidRPr="00143624">
        <w:tab/>
        <w:t>(1)</w:t>
      </w:r>
      <w:r w:rsidRPr="00143624">
        <w:tab/>
        <w:t>For the purposes of the formula in subclause 4(2):</w:t>
      </w:r>
    </w:p>
    <w:p w:rsidR="007D17C5" w:rsidRPr="00143624" w:rsidRDefault="007D17C5" w:rsidP="007D17C5">
      <w:pPr>
        <w:pStyle w:val="paragraph"/>
      </w:pPr>
      <w:r w:rsidRPr="00143624">
        <w:tab/>
        <w:t>(a)</w:t>
      </w:r>
      <w:r w:rsidRPr="00143624">
        <w:tab/>
        <w:t>for a financial year in which the member’s accrued retirement benefit increases as a result of:</w:t>
      </w:r>
    </w:p>
    <w:p w:rsidR="007D17C5" w:rsidRPr="00143624" w:rsidRDefault="007D17C5" w:rsidP="007D17C5">
      <w:pPr>
        <w:pStyle w:val="paragraphsub"/>
      </w:pPr>
      <w:r w:rsidRPr="00143624">
        <w:tab/>
        <w:t>(i)</w:t>
      </w:r>
      <w:r w:rsidRPr="00143624">
        <w:tab/>
        <w:t>a change of benefit category; or</w:t>
      </w:r>
    </w:p>
    <w:p w:rsidR="007D17C5" w:rsidRPr="00143624" w:rsidRDefault="007D17C5" w:rsidP="007D17C5">
      <w:pPr>
        <w:pStyle w:val="paragraphsub"/>
      </w:pPr>
      <w:r w:rsidRPr="00143624">
        <w:tab/>
        <w:t>(ii)</w:t>
      </w:r>
      <w:r w:rsidRPr="00143624">
        <w:tab/>
        <w:t>an exercise of discretion;</w:t>
      </w:r>
    </w:p>
    <w:p w:rsidR="007D17C5" w:rsidRPr="00143624" w:rsidRDefault="007D17C5" w:rsidP="007D17C5">
      <w:pPr>
        <w:pStyle w:val="paragraph"/>
      </w:pPr>
      <w:r w:rsidRPr="00143624">
        <w:rPr>
          <w:color w:val="000000"/>
        </w:rPr>
        <w:tab/>
      </w:r>
      <w:r w:rsidRPr="00143624">
        <w:rPr>
          <w:color w:val="000000"/>
        </w:rPr>
        <w:tab/>
        <w:t xml:space="preserve">the </w:t>
      </w:r>
      <w:r w:rsidRPr="00143624">
        <w:rPr>
          <w:b/>
          <w:i/>
        </w:rPr>
        <w:t>category change or discretion adjustment amount</w:t>
      </w:r>
      <w:r w:rsidRPr="00143624">
        <w:rPr>
          <w:color w:val="000000"/>
        </w:rPr>
        <w:t xml:space="preserve"> </w:t>
      </w:r>
      <w:r w:rsidRPr="00143624">
        <w:t>equals an amount worked out on advice from an actuary that represents the increase in the value of the accrued retirement benefit, if any, as a result of the change in benefit category or the exercise of the discretion; and</w:t>
      </w:r>
    </w:p>
    <w:p w:rsidR="007D17C5" w:rsidRPr="00143624" w:rsidRDefault="007D17C5" w:rsidP="007D17C5">
      <w:pPr>
        <w:pStyle w:val="paragraph"/>
      </w:pPr>
      <w:r w:rsidRPr="00143624">
        <w:rPr>
          <w:color w:val="000000"/>
        </w:rPr>
        <w:tab/>
        <w:t>(b)</w:t>
      </w:r>
      <w:r w:rsidRPr="00143624">
        <w:rPr>
          <w:color w:val="000000"/>
        </w:rPr>
        <w:tab/>
        <w:t xml:space="preserve">for any other financial year—the </w:t>
      </w:r>
      <w:r w:rsidRPr="00143624">
        <w:rPr>
          <w:b/>
          <w:i/>
        </w:rPr>
        <w:t>category change or discretion adjustment amount</w:t>
      </w:r>
      <w:r w:rsidRPr="00143624">
        <w:rPr>
          <w:color w:val="000000"/>
        </w:rPr>
        <w:t xml:space="preserve"> equals zero.</w:t>
      </w:r>
    </w:p>
    <w:p w:rsidR="007D17C5" w:rsidRPr="00143624" w:rsidRDefault="007D17C5" w:rsidP="007D17C5">
      <w:pPr>
        <w:pStyle w:val="subsection"/>
      </w:pPr>
      <w:r w:rsidRPr="00143624">
        <w:tab/>
        <w:t>(2)</w:t>
      </w:r>
      <w:r w:rsidRPr="00143624">
        <w:tab/>
        <w:t xml:space="preserve">The economic, </w:t>
      </w:r>
      <w:r w:rsidRPr="00143624">
        <w:rPr>
          <w:color w:val="000000"/>
        </w:rPr>
        <w:t>decrement and other parameters</w:t>
      </w:r>
      <w:r w:rsidRPr="00143624">
        <w:t xml:space="preserve"> and the other assumptions to be used are set out in Part</w:t>
      </w:r>
      <w:r w:rsidR="002B1A95" w:rsidRPr="00143624">
        <w:t> </w:t>
      </w:r>
      <w:r w:rsidRPr="00143624">
        <w:t>3.</w:t>
      </w:r>
    </w:p>
    <w:p w:rsidR="007D17C5" w:rsidRPr="00143624" w:rsidRDefault="007D17C5" w:rsidP="007D17C5">
      <w:pPr>
        <w:pStyle w:val="ActHead2"/>
        <w:pageBreakBefore/>
      </w:pPr>
      <w:bookmarkStart w:id="269" w:name="_Toc64030521"/>
      <w:r w:rsidRPr="003F3E0B">
        <w:rPr>
          <w:rStyle w:val="CharPartNo"/>
        </w:rPr>
        <w:lastRenderedPageBreak/>
        <w:t>Part</w:t>
      </w:r>
      <w:r w:rsidR="002B1A95" w:rsidRPr="003F3E0B">
        <w:rPr>
          <w:rStyle w:val="CharPartNo"/>
        </w:rPr>
        <w:t> </w:t>
      </w:r>
      <w:r w:rsidRPr="003F3E0B">
        <w:rPr>
          <w:rStyle w:val="CharPartNo"/>
        </w:rPr>
        <w:t>6</w:t>
      </w:r>
      <w:r w:rsidRPr="00143624">
        <w:t>—</w:t>
      </w:r>
      <w:r w:rsidRPr="003F3E0B">
        <w:rPr>
          <w:rStyle w:val="CharPartText"/>
        </w:rPr>
        <w:t>Governing rules have changed</w:t>
      </w:r>
      <w:bookmarkEnd w:id="269"/>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70" w:name="_Toc64030522"/>
      <w:r w:rsidRPr="003F3E0B">
        <w:rPr>
          <w:rStyle w:val="CharSectno"/>
        </w:rPr>
        <w:t>22</w:t>
      </w:r>
      <w:r w:rsidRPr="00143624">
        <w:t xml:space="preserve">  Method of working out governing rules change adjustment amount in the formula in subclause 4(2)</w:t>
      </w:r>
      <w:bookmarkEnd w:id="270"/>
    </w:p>
    <w:p w:rsidR="007D17C5" w:rsidRPr="00143624" w:rsidRDefault="007D17C5" w:rsidP="007D17C5">
      <w:pPr>
        <w:pStyle w:val="subsection"/>
      </w:pPr>
      <w:r w:rsidRPr="00143624">
        <w:tab/>
        <w:t>(1)</w:t>
      </w:r>
      <w:r w:rsidRPr="00143624">
        <w:tab/>
        <w:t>For the purposes of the formula in subclause 4(2):</w:t>
      </w:r>
    </w:p>
    <w:p w:rsidR="007D17C5" w:rsidRPr="00143624" w:rsidRDefault="007D17C5" w:rsidP="007D17C5">
      <w:pPr>
        <w:pStyle w:val="paragraph"/>
      </w:pPr>
      <w:r w:rsidRPr="00143624">
        <w:tab/>
        <w:t>(a)</w:t>
      </w:r>
      <w:r w:rsidRPr="00143624">
        <w:tab/>
        <w:t>for a financial year in which there is an amendment of the governing rules (within the meaning of subsection</w:t>
      </w:r>
      <w:r w:rsidR="002B1A95" w:rsidRPr="00143624">
        <w:t> </w:t>
      </w:r>
      <w:r w:rsidRPr="00143624">
        <w:t>10(1) of the SIS Act)</w:t>
      </w:r>
      <w:r w:rsidRPr="00143624">
        <w:rPr>
          <w:i/>
        </w:rPr>
        <w:t xml:space="preserve"> </w:t>
      </w:r>
      <w:r w:rsidRPr="00143624">
        <w:t>of the defined benefit fund that:</w:t>
      </w:r>
    </w:p>
    <w:p w:rsidR="007D17C5" w:rsidRPr="00143624" w:rsidRDefault="007D17C5" w:rsidP="007D17C5">
      <w:pPr>
        <w:pStyle w:val="paragraphsub"/>
      </w:pPr>
      <w:r w:rsidRPr="00143624">
        <w:tab/>
        <w:t>(i)</w:t>
      </w:r>
      <w:r w:rsidRPr="00143624">
        <w:tab/>
        <w:t>may result in an increase in the member’s benefit; and</w:t>
      </w:r>
    </w:p>
    <w:p w:rsidR="007D17C5" w:rsidRPr="00143624" w:rsidRDefault="007D17C5" w:rsidP="007D17C5">
      <w:pPr>
        <w:pStyle w:val="paragraphsub"/>
      </w:pPr>
      <w:r w:rsidRPr="00143624">
        <w:tab/>
        <w:t>(ii)</w:t>
      </w:r>
      <w:r w:rsidRPr="00143624">
        <w:tab/>
        <w:t>is made for a reason other than to satisfy a legislative requirement;</w:t>
      </w:r>
    </w:p>
    <w:p w:rsidR="007D17C5" w:rsidRPr="00143624" w:rsidRDefault="007D17C5" w:rsidP="007D17C5">
      <w:pPr>
        <w:pStyle w:val="paragraph"/>
        <w:rPr>
          <w:color w:val="000000"/>
        </w:rPr>
      </w:pPr>
      <w:r w:rsidRPr="00143624">
        <w:tab/>
      </w:r>
      <w:r w:rsidRPr="00143624">
        <w:tab/>
        <w:t xml:space="preserve">the </w:t>
      </w:r>
      <w:r w:rsidRPr="00143624">
        <w:rPr>
          <w:b/>
          <w:i/>
        </w:rPr>
        <w:t>governing rules change adjustment amount</w:t>
      </w:r>
      <w:r w:rsidRPr="00143624">
        <w:t xml:space="preserve"> equals </w:t>
      </w:r>
      <w:r w:rsidRPr="00143624">
        <w:rPr>
          <w:color w:val="000000"/>
        </w:rPr>
        <w:t>an amount worked out on advice from an actuary that represents the increase in the value of the accrued retirement benefit, if any, that accrued to the member as a result of the amendment to the governing rules; and</w:t>
      </w:r>
    </w:p>
    <w:p w:rsidR="007D17C5" w:rsidRPr="00143624" w:rsidRDefault="007D17C5" w:rsidP="007D17C5">
      <w:pPr>
        <w:pStyle w:val="paragraph"/>
      </w:pPr>
      <w:r w:rsidRPr="00143624">
        <w:rPr>
          <w:color w:val="000000"/>
        </w:rPr>
        <w:tab/>
        <w:t>(b)</w:t>
      </w:r>
      <w:r w:rsidRPr="00143624">
        <w:rPr>
          <w:color w:val="000000"/>
        </w:rPr>
        <w:tab/>
        <w:t xml:space="preserve">for any other financial year—the </w:t>
      </w:r>
      <w:r w:rsidRPr="00143624">
        <w:rPr>
          <w:b/>
          <w:i/>
        </w:rPr>
        <w:t>governing rules change adjustment amount</w:t>
      </w:r>
      <w:r w:rsidRPr="00143624">
        <w:t xml:space="preserve"> equals zero.</w:t>
      </w:r>
    </w:p>
    <w:p w:rsidR="007D17C5" w:rsidRPr="00143624" w:rsidRDefault="007D17C5" w:rsidP="007D17C5">
      <w:pPr>
        <w:pStyle w:val="subsection"/>
      </w:pPr>
      <w:r w:rsidRPr="00143624">
        <w:tab/>
        <w:t>(2)</w:t>
      </w:r>
      <w:r w:rsidRPr="00143624">
        <w:tab/>
        <w:t xml:space="preserve">The economic, </w:t>
      </w:r>
      <w:r w:rsidRPr="00143624">
        <w:rPr>
          <w:color w:val="000000"/>
        </w:rPr>
        <w:t>decrement and other parameters</w:t>
      </w:r>
      <w:r w:rsidRPr="00143624">
        <w:t xml:space="preserve"> and the other assumptions to be used are set out in Part</w:t>
      </w:r>
      <w:r w:rsidR="002B1A95" w:rsidRPr="00143624">
        <w:t> </w:t>
      </w:r>
      <w:r w:rsidRPr="00143624">
        <w:t>3.</w:t>
      </w:r>
    </w:p>
    <w:p w:rsidR="007D17C5" w:rsidRPr="00143624" w:rsidRDefault="007D17C5" w:rsidP="007D17C5">
      <w:pPr>
        <w:pStyle w:val="ActHead2"/>
        <w:pageBreakBefore/>
      </w:pPr>
      <w:bookmarkStart w:id="271" w:name="_Toc64030523"/>
      <w:r w:rsidRPr="003F3E0B">
        <w:rPr>
          <w:rStyle w:val="CharPartNo"/>
        </w:rPr>
        <w:lastRenderedPageBreak/>
        <w:t>Part</w:t>
      </w:r>
      <w:r w:rsidR="002B1A95" w:rsidRPr="003F3E0B">
        <w:rPr>
          <w:rStyle w:val="CharPartNo"/>
        </w:rPr>
        <w:t> </w:t>
      </w:r>
      <w:r w:rsidRPr="003F3E0B">
        <w:rPr>
          <w:rStyle w:val="CharPartNo"/>
        </w:rPr>
        <w:t>7</w:t>
      </w:r>
      <w:r w:rsidRPr="00143624">
        <w:t>—</w:t>
      </w:r>
      <w:r w:rsidRPr="003F3E0B">
        <w:rPr>
          <w:rStyle w:val="CharPartText"/>
        </w:rPr>
        <w:t>Non</w:t>
      </w:r>
      <w:r w:rsidR="00143624" w:rsidRPr="003F3E0B">
        <w:rPr>
          <w:rStyle w:val="CharPartText"/>
        </w:rPr>
        <w:noBreakHyphen/>
      </w:r>
      <w:r w:rsidRPr="003F3E0B">
        <w:rPr>
          <w:rStyle w:val="CharPartText"/>
        </w:rPr>
        <w:t>arm’s length increase in superannuation salary</w:t>
      </w:r>
      <w:bookmarkEnd w:id="271"/>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72" w:name="_Toc64030524"/>
      <w:r w:rsidRPr="003F3E0B">
        <w:rPr>
          <w:rStyle w:val="CharSectno"/>
        </w:rPr>
        <w:t>23</w:t>
      </w:r>
      <w:r w:rsidRPr="00143624">
        <w:t xml:space="preserve">  Method of working out </w:t>
      </w:r>
      <w:r w:rsidRPr="00143624">
        <w:rPr>
          <w:lang w:eastAsia="en-US"/>
        </w:rPr>
        <w:t>the increased superannuation salary adjustment amount</w:t>
      </w:r>
      <w:r w:rsidRPr="00143624">
        <w:rPr>
          <w:i/>
        </w:rPr>
        <w:t xml:space="preserve"> </w:t>
      </w:r>
      <w:r w:rsidRPr="00143624">
        <w:t>in the formula in subclause 4(2)</w:t>
      </w:r>
      <w:bookmarkEnd w:id="272"/>
    </w:p>
    <w:p w:rsidR="007D17C5" w:rsidRPr="00143624" w:rsidRDefault="007D17C5" w:rsidP="007D17C5">
      <w:pPr>
        <w:pStyle w:val="subsection"/>
      </w:pPr>
      <w:r w:rsidRPr="00143624">
        <w:tab/>
        <w:t>(1)</w:t>
      </w:r>
      <w:r w:rsidRPr="00143624">
        <w:tab/>
        <w:t>For the purposes of the formula in subclause 4(2):</w:t>
      </w:r>
    </w:p>
    <w:p w:rsidR="007D17C5" w:rsidRPr="00143624" w:rsidRDefault="007D17C5" w:rsidP="007D17C5">
      <w:pPr>
        <w:pStyle w:val="paragraph"/>
      </w:pPr>
      <w:r w:rsidRPr="00143624">
        <w:tab/>
        <w:t>(a)</w:t>
      </w:r>
      <w:r w:rsidRPr="00143624">
        <w:tab/>
        <w:t xml:space="preserve">for a financial year in which the member’s </w:t>
      </w:r>
      <w:r w:rsidRPr="00143624">
        <w:rPr>
          <w:color w:val="000000"/>
        </w:rPr>
        <w:t>superannuation salary is increased in a non</w:t>
      </w:r>
      <w:r w:rsidR="00143624">
        <w:rPr>
          <w:color w:val="000000"/>
        </w:rPr>
        <w:noBreakHyphen/>
      </w:r>
      <w:r w:rsidRPr="00143624">
        <w:rPr>
          <w:color w:val="000000"/>
        </w:rPr>
        <w:t xml:space="preserve">arm’s length way with the primary purpose of achieving an increase in superannuation benefit—the </w:t>
      </w:r>
      <w:r w:rsidRPr="00143624">
        <w:rPr>
          <w:b/>
          <w:i/>
          <w:color w:val="000000"/>
        </w:rPr>
        <w:t>increased superannuation salary adjustment amount</w:t>
      </w:r>
      <w:r w:rsidRPr="00143624">
        <w:rPr>
          <w:color w:val="000000"/>
        </w:rPr>
        <w:t xml:space="preserve"> equals a</w:t>
      </w:r>
      <w:r w:rsidRPr="00143624">
        <w:t>n amount worked out on advice from an actuary that represents the increase in the value of the accrued retirement benefit, if any, that accrued to the member as a result of the change in superannuation salary; and</w:t>
      </w:r>
    </w:p>
    <w:p w:rsidR="007D17C5" w:rsidRPr="00143624" w:rsidRDefault="007D17C5" w:rsidP="007D17C5">
      <w:pPr>
        <w:pStyle w:val="paragraph"/>
        <w:rPr>
          <w:b/>
          <w:i/>
        </w:rPr>
      </w:pPr>
      <w:r w:rsidRPr="00143624">
        <w:tab/>
        <w:t>(b)</w:t>
      </w:r>
      <w:r w:rsidRPr="00143624">
        <w:tab/>
        <w:t xml:space="preserve">for any other financial year—the </w:t>
      </w:r>
      <w:r w:rsidRPr="00143624">
        <w:rPr>
          <w:b/>
          <w:i/>
        </w:rPr>
        <w:t>increased superannuation salary adjustment amount</w:t>
      </w:r>
      <w:r w:rsidRPr="00143624">
        <w:rPr>
          <w:color w:val="000000"/>
        </w:rPr>
        <w:t xml:space="preserve"> equals zero.</w:t>
      </w:r>
    </w:p>
    <w:p w:rsidR="007D17C5" w:rsidRPr="00143624" w:rsidRDefault="007D17C5" w:rsidP="007D17C5">
      <w:pPr>
        <w:pStyle w:val="subsection"/>
      </w:pPr>
      <w:r w:rsidRPr="00143624">
        <w:tab/>
        <w:t>(2)</w:t>
      </w:r>
      <w:r w:rsidRPr="00143624">
        <w:tab/>
        <w:t xml:space="preserve">The economic, </w:t>
      </w:r>
      <w:r w:rsidRPr="00143624">
        <w:rPr>
          <w:color w:val="000000"/>
        </w:rPr>
        <w:t>decrement and other parameters</w:t>
      </w:r>
      <w:r w:rsidRPr="00143624">
        <w:t xml:space="preserve"> and the other assumptions to be used are set out in Part</w:t>
      </w:r>
      <w:r w:rsidR="002B1A95" w:rsidRPr="00143624">
        <w:t> </w:t>
      </w:r>
      <w:r w:rsidRPr="00143624">
        <w:t>3.</w:t>
      </w:r>
    </w:p>
    <w:p w:rsidR="007D17C5" w:rsidRPr="00143624" w:rsidRDefault="00F5399E" w:rsidP="007D17C5">
      <w:pPr>
        <w:pStyle w:val="ActHead1"/>
        <w:pageBreakBefore/>
      </w:pPr>
      <w:bookmarkStart w:id="273" w:name="_Toc64030525"/>
      <w:r w:rsidRPr="003F3E0B">
        <w:rPr>
          <w:rStyle w:val="CharChapNo"/>
        </w:rPr>
        <w:lastRenderedPageBreak/>
        <w:t>Schedule 1</w:t>
      </w:r>
      <w:r w:rsidR="007D17C5" w:rsidRPr="003F3E0B">
        <w:rPr>
          <w:rStyle w:val="CharChapNo"/>
        </w:rPr>
        <w:t>B</w:t>
      </w:r>
      <w:r w:rsidR="007D17C5" w:rsidRPr="00143624">
        <w:t>—</w:t>
      </w:r>
      <w:r w:rsidR="007D17C5" w:rsidRPr="003F3E0B">
        <w:rPr>
          <w:rStyle w:val="CharChapText"/>
        </w:rPr>
        <w:t>Valuation factors</w:t>
      </w:r>
      <w:bookmarkEnd w:id="273"/>
    </w:p>
    <w:p w:rsidR="007D17C5" w:rsidRPr="00143624" w:rsidRDefault="007D17C5" w:rsidP="007D17C5">
      <w:pPr>
        <w:pStyle w:val="notemargin"/>
      </w:pPr>
      <w:r w:rsidRPr="00143624">
        <w:t>Note:</w:t>
      </w:r>
      <w:r w:rsidRPr="00143624">
        <w:tab/>
        <w:t>See sections 307</w:t>
      </w:r>
      <w:r w:rsidR="00143624">
        <w:noBreakHyphen/>
      </w:r>
      <w:r w:rsidRPr="00143624">
        <w:t>205.01A and 307</w:t>
      </w:r>
      <w:r w:rsidR="00143624">
        <w:noBreakHyphen/>
      </w:r>
      <w:r w:rsidRPr="00143624">
        <w:t>205.02.</w:t>
      </w:r>
    </w:p>
    <w:p w:rsidR="007D17C5" w:rsidRPr="003F3E0B" w:rsidRDefault="007D17C5" w:rsidP="007D17C5">
      <w:pPr>
        <w:pStyle w:val="Header"/>
      </w:pPr>
      <w:r w:rsidRPr="003F3E0B">
        <w:rPr>
          <w:rStyle w:val="CharPartNo"/>
        </w:rPr>
        <w:t xml:space="preserve"> </w:t>
      </w:r>
      <w:r w:rsidRPr="003F3E0B">
        <w:rPr>
          <w:rStyle w:val="CharPartText"/>
        </w:rPr>
        <w:t xml:space="preserve"> </w:t>
      </w:r>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74" w:name="_Toc64030526"/>
      <w:r w:rsidRPr="003F3E0B">
        <w:rPr>
          <w:rStyle w:val="CharSectno"/>
        </w:rPr>
        <w:t>1</w:t>
      </w:r>
      <w:r w:rsidRPr="00143624">
        <w:t xml:space="preserve">  Income stream valuation factors</w:t>
      </w:r>
      <w:bookmarkEnd w:id="274"/>
    </w:p>
    <w:p w:rsidR="007D17C5" w:rsidRPr="00143624" w:rsidRDefault="007D17C5" w:rsidP="007D17C5">
      <w:pPr>
        <w:pStyle w:val="subsection"/>
      </w:pPr>
      <w:r w:rsidRPr="00143624">
        <w:tab/>
        <w:t>(1)</w:t>
      </w:r>
      <w:r w:rsidRPr="00143624">
        <w:tab/>
        <w:t xml:space="preserve">For </w:t>
      </w:r>
      <w:r w:rsidRPr="00143624">
        <w:rPr>
          <w:color w:val="000000"/>
        </w:rPr>
        <w:t>the purposes of paragraph</w:t>
      </w:r>
      <w:r w:rsidRPr="00143624">
        <w:t xml:space="preserve"> 307</w:t>
      </w:r>
      <w:r w:rsidR="00143624">
        <w:noBreakHyphen/>
      </w:r>
      <w:r w:rsidRPr="00143624">
        <w:t xml:space="preserve">205.01A(3)(b), the applicable factor for the superannuation income stream is the factor given in the table in </w:t>
      </w:r>
      <w:r w:rsidR="002B1A95" w:rsidRPr="00143624">
        <w:t>subclause (</w:t>
      </w:r>
      <w:r w:rsidRPr="00143624">
        <w:t>3) (</w:t>
      </w:r>
      <w:r w:rsidRPr="00143624">
        <w:rPr>
          <w:b/>
          <w:i/>
        </w:rPr>
        <w:t>table 1</w:t>
      </w:r>
      <w:r w:rsidRPr="00143624">
        <w:t>) at the age which is the greater of:</w:t>
      </w:r>
    </w:p>
    <w:p w:rsidR="007D17C5" w:rsidRPr="00143624" w:rsidRDefault="007D17C5" w:rsidP="007D17C5">
      <w:pPr>
        <w:pStyle w:val="paragraph"/>
      </w:pPr>
      <w:r w:rsidRPr="00143624">
        <w:tab/>
        <w:t>(a)</w:t>
      </w:r>
      <w:r w:rsidRPr="00143624">
        <w:tab/>
        <w:t>the minimum age at which a retirement benefit can be taken without requiring the consent of the employer; and</w:t>
      </w:r>
    </w:p>
    <w:p w:rsidR="007D17C5" w:rsidRPr="00143624" w:rsidRDefault="007D17C5" w:rsidP="007D17C5">
      <w:pPr>
        <w:pStyle w:val="paragraph"/>
      </w:pPr>
      <w:r w:rsidRPr="00143624">
        <w:tab/>
        <w:t>(b)</w:t>
      </w:r>
      <w:r w:rsidRPr="00143624">
        <w:tab/>
        <w:t xml:space="preserve">the member’s actual age as at the member’s last birthday before </w:t>
      </w:r>
      <w:r w:rsidR="00F5399E" w:rsidRPr="00143624">
        <w:t>1 July</w:t>
      </w:r>
      <w:r w:rsidRPr="00143624">
        <w:t xml:space="preserve"> 2007.</w:t>
      </w:r>
    </w:p>
    <w:p w:rsidR="007D17C5" w:rsidRPr="00143624" w:rsidRDefault="007D17C5" w:rsidP="007D17C5">
      <w:pPr>
        <w:pStyle w:val="subsection"/>
      </w:pPr>
      <w:r w:rsidRPr="00143624">
        <w:tab/>
        <w:t>(2)</w:t>
      </w:r>
      <w:r w:rsidRPr="00143624">
        <w:tab/>
        <w:t xml:space="preserve">For </w:t>
      </w:r>
      <w:r w:rsidRPr="00143624">
        <w:rPr>
          <w:color w:val="000000"/>
        </w:rPr>
        <w:t xml:space="preserve">the purposes of </w:t>
      </w:r>
      <w:r w:rsidRPr="00143624">
        <w:t>subparagraph 307</w:t>
      </w:r>
      <w:r w:rsidR="00143624">
        <w:noBreakHyphen/>
      </w:r>
      <w:r w:rsidRPr="00143624">
        <w:t>205.02(3)(a)(ii), the applicable factor for the superannuation income stream is:</w:t>
      </w:r>
    </w:p>
    <w:p w:rsidR="007D17C5" w:rsidRPr="00143624" w:rsidRDefault="007D17C5" w:rsidP="007D17C5">
      <w:pPr>
        <w:pStyle w:val="paragraph"/>
      </w:pPr>
      <w:r w:rsidRPr="00143624">
        <w:tab/>
        <w:t>(a)</w:t>
      </w:r>
      <w:r w:rsidRPr="00143624">
        <w:tab/>
        <w:t xml:space="preserve">if the superannuation income stream is payable for the life of the member—the factor given in the table in </w:t>
      </w:r>
      <w:r w:rsidR="002B1A95" w:rsidRPr="00143624">
        <w:t>subclause (</w:t>
      </w:r>
      <w:r w:rsidRPr="00143624">
        <w:t>3) (</w:t>
      </w:r>
      <w:r w:rsidRPr="00143624">
        <w:rPr>
          <w:b/>
          <w:i/>
        </w:rPr>
        <w:t>table 1</w:t>
      </w:r>
      <w:r w:rsidRPr="00143624">
        <w:t>) for the age of the member at the member’s last birthday before the day after the date on which the superannuation income stream is to be valued; or</w:t>
      </w:r>
    </w:p>
    <w:p w:rsidR="007D17C5" w:rsidRPr="00143624" w:rsidRDefault="007D17C5" w:rsidP="007D17C5">
      <w:pPr>
        <w:pStyle w:val="paragraph"/>
      </w:pPr>
      <w:r w:rsidRPr="00143624">
        <w:tab/>
        <w:t>(b)</w:t>
      </w:r>
      <w:r w:rsidRPr="00143624">
        <w:tab/>
        <w:t xml:space="preserve">if the superannuation income stream is payable for a fixed term—the factor given in the table in </w:t>
      </w:r>
      <w:r w:rsidR="002B1A95" w:rsidRPr="00143624">
        <w:t>subclause (</w:t>
      </w:r>
      <w:r w:rsidRPr="00143624">
        <w:t>4) (</w:t>
      </w:r>
      <w:r w:rsidRPr="00143624">
        <w:rPr>
          <w:b/>
          <w:i/>
        </w:rPr>
        <w:t>table 2</w:t>
      </w:r>
      <w:r w:rsidRPr="00143624">
        <w:t>) for the number of complete years remaining in the term of the superannuation income stream on the day preceding the date on which the superannuation income stream is to be valued.</w:t>
      </w:r>
    </w:p>
    <w:p w:rsidR="007D17C5" w:rsidRPr="00143624" w:rsidRDefault="007D17C5" w:rsidP="007D17C5">
      <w:pPr>
        <w:pStyle w:val="subsection"/>
      </w:pPr>
      <w:r w:rsidRPr="00143624">
        <w:tab/>
        <w:t>(3)</w:t>
      </w:r>
      <w:r w:rsidRPr="00143624">
        <w:tab/>
        <w:t>The following is table 1.</w:t>
      </w:r>
    </w:p>
    <w:p w:rsidR="007D17C5" w:rsidRPr="00143624" w:rsidRDefault="007D17C5" w:rsidP="007D17C5">
      <w:pPr>
        <w:pStyle w:val="Tabletext"/>
      </w:pPr>
    </w:p>
    <w:tbl>
      <w:tblPr>
        <w:tblW w:w="4967" w:type="pct"/>
        <w:tblBorders>
          <w:top w:val="single" w:sz="4" w:space="0" w:color="auto"/>
          <w:bottom w:val="single" w:sz="2" w:space="0" w:color="auto"/>
          <w:insideH w:val="single" w:sz="2" w:space="0" w:color="auto"/>
        </w:tblBorders>
        <w:tblLook w:val="0000" w:firstRow="0" w:lastRow="0" w:firstColumn="0" w:lastColumn="0" w:noHBand="0" w:noVBand="0"/>
      </w:tblPr>
      <w:tblGrid>
        <w:gridCol w:w="731"/>
        <w:gridCol w:w="1928"/>
        <w:gridCol w:w="3272"/>
        <w:gridCol w:w="2542"/>
      </w:tblGrid>
      <w:tr w:rsidR="007D17C5" w:rsidRPr="00143624" w:rsidTr="009558BE">
        <w:trPr>
          <w:tblHeader/>
        </w:trPr>
        <w:tc>
          <w:tcPr>
            <w:tcW w:w="5000" w:type="pct"/>
            <w:gridSpan w:val="4"/>
            <w:tcBorders>
              <w:top w:val="single" w:sz="12" w:space="0" w:color="auto"/>
              <w:bottom w:val="single" w:sz="6" w:space="0" w:color="auto"/>
            </w:tcBorders>
            <w:shd w:val="clear" w:color="auto" w:fill="auto"/>
          </w:tcPr>
          <w:p w:rsidR="007D17C5" w:rsidRPr="00143624" w:rsidRDefault="007D17C5" w:rsidP="009558BE">
            <w:pPr>
              <w:pStyle w:val="TableHeading"/>
            </w:pPr>
            <w:r w:rsidRPr="00143624">
              <w:t>Table 1</w:t>
            </w:r>
          </w:p>
        </w:tc>
      </w:tr>
      <w:tr w:rsidR="007D17C5" w:rsidRPr="00143624" w:rsidTr="009558BE">
        <w:trPr>
          <w:tblHeader/>
        </w:trPr>
        <w:tc>
          <w:tcPr>
            <w:tcW w:w="431"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1138" w:type="pct"/>
            <w:tcBorders>
              <w:top w:val="single" w:sz="6" w:space="0" w:color="auto"/>
              <w:bottom w:val="single" w:sz="12" w:space="0" w:color="auto"/>
            </w:tcBorders>
            <w:shd w:val="clear" w:color="auto" w:fill="auto"/>
          </w:tcPr>
          <w:p w:rsidR="007D17C5" w:rsidRPr="00143624" w:rsidRDefault="007D17C5" w:rsidP="009558BE">
            <w:pPr>
              <w:pStyle w:val="TableHeading"/>
              <w:spacing w:before="50"/>
              <w:rPr>
                <w:sz w:val="19"/>
                <w:szCs w:val="19"/>
              </w:rPr>
            </w:pPr>
            <w:r w:rsidRPr="00143624">
              <w:rPr>
                <w:sz w:val="19"/>
                <w:szCs w:val="19"/>
              </w:rPr>
              <w:t>Age</w:t>
            </w:r>
          </w:p>
        </w:tc>
        <w:tc>
          <w:tcPr>
            <w:tcW w:w="1931" w:type="pct"/>
            <w:tcBorders>
              <w:top w:val="single" w:sz="6" w:space="0" w:color="auto"/>
              <w:bottom w:val="single" w:sz="12" w:space="0" w:color="auto"/>
            </w:tcBorders>
            <w:shd w:val="clear" w:color="auto" w:fill="auto"/>
          </w:tcPr>
          <w:p w:rsidR="007D17C5" w:rsidRPr="00143624" w:rsidRDefault="007D17C5" w:rsidP="009558BE">
            <w:pPr>
              <w:pStyle w:val="TableHeading"/>
              <w:spacing w:before="50"/>
              <w:rPr>
                <w:sz w:val="19"/>
                <w:szCs w:val="19"/>
              </w:rPr>
            </w:pPr>
            <w:r w:rsidRPr="00143624">
              <w:rPr>
                <w:sz w:val="19"/>
                <w:szCs w:val="19"/>
              </w:rPr>
              <w:t>Factor for indexed lifetime income stream</w:t>
            </w:r>
          </w:p>
        </w:tc>
        <w:tc>
          <w:tcPr>
            <w:tcW w:w="1499" w:type="pct"/>
            <w:tcBorders>
              <w:top w:val="single" w:sz="6" w:space="0" w:color="auto"/>
              <w:bottom w:val="single" w:sz="12" w:space="0" w:color="auto"/>
            </w:tcBorders>
            <w:shd w:val="clear" w:color="auto" w:fill="auto"/>
          </w:tcPr>
          <w:p w:rsidR="007D17C5" w:rsidRPr="00143624" w:rsidRDefault="007D17C5" w:rsidP="009558BE">
            <w:pPr>
              <w:pStyle w:val="TableHeading"/>
              <w:spacing w:before="50"/>
              <w:rPr>
                <w:sz w:val="19"/>
                <w:szCs w:val="19"/>
              </w:rPr>
            </w:pPr>
            <w:r w:rsidRPr="00143624">
              <w:rPr>
                <w:sz w:val="19"/>
                <w:szCs w:val="19"/>
              </w:rPr>
              <w:t>Factor for non</w:t>
            </w:r>
            <w:r w:rsidR="00143624">
              <w:rPr>
                <w:sz w:val="19"/>
                <w:szCs w:val="19"/>
              </w:rPr>
              <w:noBreakHyphen/>
            </w:r>
            <w:r w:rsidRPr="00143624">
              <w:rPr>
                <w:sz w:val="19"/>
                <w:szCs w:val="19"/>
              </w:rPr>
              <w:t>indexed lifetime income stream</w:t>
            </w:r>
          </w:p>
        </w:tc>
      </w:tr>
      <w:tr w:rsidR="007D17C5" w:rsidRPr="00143624" w:rsidTr="009558BE">
        <w:tc>
          <w:tcPr>
            <w:tcW w:w="431" w:type="pct"/>
            <w:tcBorders>
              <w:top w:val="single" w:sz="12" w:space="0" w:color="auto"/>
            </w:tcBorders>
            <w:shd w:val="clear" w:color="auto" w:fill="auto"/>
          </w:tcPr>
          <w:p w:rsidR="007D17C5" w:rsidRPr="00143624" w:rsidRDefault="007D17C5" w:rsidP="009558BE">
            <w:pPr>
              <w:pStyle w:val="Tabletext"/>
            </w:pPr>
            <w:r w:rsidRPr="00143624">
              <w:t>1</w:t>
            </w:r>
          </w:p>
        </w:tc>
        <w:tc>
          <w:tcPr>
            <w:tcW w:w="1138" w:type="pct"/>
            <w:tcBorders>
              <w:top w:val="single" w:sz="12" w:space="0" w:color="auto"/>
            </w:tcBorders>
            <w:shd w:val="clear" w:color="auto" w:fill="auto"/>
          </w:tcPr>
          <w:p w:rsidR="007D17C5" w:rsidRPr="00143624" w:rsidRDefault="007D17C5" w:rsidP="009558BE">
            <w:pPr>
              <w:pStyle w:val="Tabletext"/>
              <w:spacing w:before="50"/>
            </w:pPr>
            <w:r w:rsidRPr="00143624">
              <w:t>18</w:t>
            </w:r>
          </w:p>
        </w:tc>
        <w:tc>
          <w:tcPr>
            <w:tcW w:w="1931" w:type="pct"/>
            <w:tcBorders>
              <w:top w:val="single" w:sz="12" w:space="0" w:color="auto"/>
            </w:tcBorders>
            <w:shd w:val="clear" w:color="auto" w:fill="auto"/>
            <w:vAlign w:val="bottom"/>
          </w:tcPr>
          <w:p w:rsidR="007D17C5" w:rsidRPr="00143624" w:rsidRDefault="007D17C5" w:rsidP="009558BE">
            <w:pPr>
              <w:pStyle w:val="Tabletext"/>
              <w:spacing w:before="50"/>
            </w:pPr>
            <w:r w:rsidRPr="00143624">
              <w:t>23.238</w:t>
            </w:r>
          </w:p>
        </w:tc>
        <w:tc>
          <w:tcPr>
            <w:tcW w:w="1499" w:type="pct"/>
            <w:tcBorders>
              <w:top w:val="single" w:sz="12" w:space="0" w:color="auto"/>
            </w:tcBorders>
            <w:shd w:val="clear" w:color="auto" w:fill="auto"/>
          </w:tcPr>
          <w:p w:rsidR="007D17C5" w:rsidRPr="00143624" w:rsidRDefault="007D17C5" w:rsidP="009558BE">
            <w:pPr>
              <w:pStyle w:val="Tabletext"/>
              <w:spacing w:before="50"/>
            </w:pPr>
            <w:r w:rsidRPr="00143624">
              <w:t>15.405</w:t>
            </w:r>
          </w:p>
        </w:tc>
      </w:tr>
      <w:tr w:rsidR="007D17C5" w:rsidRPr="00143624" w:rsidTr="009558BE">
        <w:tc>
          <w:tcPr>
            <w:tcW w:w="431" w:type="pct"/>
            <w:shd w:val="clear" w:color="auto" w:fill="auto"/>
          </w:tcPr>
          <w:p w:rsidR="007D17C5" w:rsidRPr="00143624" w:rsidRDefault="007D17C5" w:rsidP="009558BE">
            <w:pPr>
              <w:pStyle w:val="Tabletext"/>
            </w:pPr>
            <w:r w:rsidRPr="00143624">
              <w:t>2</w:t>
            </w:r>
          </w:p>
        </w:tc>
        <w:tc>
          <w:tcPr>
            <w:tcW w:w="1138" w:type="pct"/>
            <w:shd w:val="clear" w:color="auto" w:fill="auto"/>
          </w:tcPr>
          <w:p w:rsidR="007D17C5" w:rsidRPr="00143624" w:rsidRDefault="007D17C5" w:rsidP="009558BE">
            <w:pPr>
              <w:pStyle w:val="Tabletext"/>
              <w:spacing w:before="50"/>
            </w:pPr>
            <w:r w:rsidRPr="00143624">
              <w:t>19</w:t>
            </w:r>
          </w:p>
        </w:tc>
        <w:tc>
          <w:tcPr>
            <w:tcW w:w="1931" w:type="pct"/>
            <w:shd w:val="clear" w:color="auto" w:fill="auto"/>
            <w:vAlign w:val="bottom"/>
          </w:tcPr>
          <w:p w:rsidR="007D17C5" w:rsidRPr="00143624" w:rsidRDefault="007D17C5" w:rsidP="009558BE">
            <w:pPr>
              <w:pStyle w:val="Tabletext"/>
              <w:spacing w:before="50"/>
            </w:pPr>
            <w:r w:rsidRPr="00143624">
              <w:t>23.158</w:t>
            </w:r>
          </w:p>
        </w:tc>
        <w:tc>
          <w:tcPr>
            <w:tcW w:w="1499" w:type="pct"/>
            <w:shd w:val="clear" w:color="auto" w:fill="auto"/>
          </w:tcPr>
          <w:p w:rsidR="007D17C5" w:rsidRPr="00143624" w:rsidRDefault="007D17C5" w:rsidP="009558BE">
            <w:pPr>
              <w:pStyle w:val="Tabletext"/>
              <w:spacing w:before="50"/>
            </w:pPr>
            <w:r w:rsidRPr="00143624">
              <w:t>15.385</w:t>
            </w:r>
          </w:p>
        </w:tc>
      </w:tr>
      <w:tr w:rsidR="007D17C5" w:rsidRPr="00143624" w:rsidTr="009558BE">
        <w:tc>
          <w:tcPr>
            <w:tcW w:w="431" w:type="pct"/>
            <w:shd w:val="clear" w:color="auto" w:fill="auto"/>
          </w:tcPr>
          <w:p w:rsidR="007D17C5" w:rsidRPr="00143624" w:rsidRDefault="007D17C5" w:rsidP="009558BE">
            <w:pPr>
              <w:pStyle w:val="Tabletext"/>
            </w:pPr>
            <w:r w:rsidRPr="00143624">
              <w:t>3</w:t>
            </w:r>
          </w:p>
        </w:tc>
        <w:tc>
          <w:tcPr>
            <w:tcW w:w="1138" w:type="pct"/>
            <w:shd w:val="clear" w:color="auto" w:fill="auto"/>
          </w:tcPr>
          <w:p w:rsidR="007D17C5" w:rsidRPr="00143624" w:rsidRDefault="007D17C5" w:rsidP="009558BE">
            <w:pPr>
              <w:pStyle w:val="Tabletext"/>
              <w:spacing w:before="50"/>
            </w:pPr>
            <w:r w:rsidRPr="00143624">
              <w:t>20</w:t>
            </w:r>
          </w:p>
        </w:tc>
        <w:tc>
          <w:tcPr>
            <w:tcW w:w="1931" w:type="pct"/>
            <w:shd w:val="clear" w:color="auto" w:fill="auto"/>
            <w:vAlign w:val="bottom"/>
          </w:tcPr>
          <w:p w:rsidR="007D17C5" w:rsidRPr="00143624" w:rsidRDefault="007D17C5" w:rsidP="009558BE">
            <w:pPr>
              <w:pStyle w:val="Tabletext"/>
              <w:spacing w:before="50"/>
            </w:pPr>
            <w:r w:rsidRPr="00143624">
              <w:t>23.084</w:t>
            </w:r>
          </w:p>
        </w:tc>
        <w:tc>
          <w:tcPr>
            <w:tcW w:w="1499" w:type="pct"/>
            <w:shd w:val="clear" w:color="auto" w:fill="auto"/>
          </w:tcPr>
          <w:p w:rsidR="007D17C5" w:rsidRPr="00143624" w:rsidRDefault="007D17C5" w:rsidP="009558BE">
            <w:pPr>
              <w:pStyle w:val="Tabletext"/>
              <w:spacing w:before="50"/>
            </w:pPr>
            <w:r w:rsidRPr="00143624">
              <w:t>15.366</w:t>
            </w:r>
          </w:p>
        </w:tc>
      </w:tr>
      <w:tr w:rsidR="007D17C5" w:rsidRPr="00143624" w:rsidTr="009558BE">
        <w:tc>
          <w:tcPr>
            <w:tcW w:w="431" w:type="pct"/>
            <w:shd w:val="clear" w:color="auto" w:fill="auto"/>
          </w:tcPr>
          <w:p w:rsidR="007D17C5" w:rsidRPr="00143624" w:rsidRDefault="007D17C5" w:rsidP="009558BE">
            <w:pPr>
              <w:pStyle w:val="Tabletext"/>
            </w:pPr>
            <w:r w:rsidRPr="00143624">
              <w:t>4</w:t>
            </w:r>
          </w:p>
        </w:tc>
        <w:tc>
          <w:tcPr>
            <w:tcW w:w="1138" w:type="pct"/>
            <w:shd w:val="clear" w:color="auto" w:fill="auto"/>
          </w:tcPr>
          <w:p w:rsidR="007D17C5" w:rsidRPr="00143624" w:rsidRDefault="007D17C5" w:rsidP="009558BE">
            <w:pPr>
              <w:pStyle w:val="Tabletext"/>
              <w:spacing w:before="50"/>
            </w:pPr>
            <w:r w:rsidRPr="00143624">
              <w:t>21</w:t>
            </w:r>
          </w:p>
        </w:tc>
        <w:tc>
          <w:tcPr>
            <w:tcW w:w="1931" w:type="pct"/>
            <w:shd w:val="clear" w:color="auto" w:fill="auto"/>
            <w:vAlign w:val="bottom"/>
          </w:tcPr>
          <w:p w:rsidR="007D17C5" w:rsidRPr="00143624" w:rsidRDefault="007D17C5" w:rsidP="009558BE">
            <w:pPr>
              <w:pStyle w:val="Tabletext"/>
              <w:spacing w:before="50"/>
            </w:pPr>
            <w:r w:rsidRPr="00143624">
              <w:t>23.016</w:t>
            </w:r>
          </w:p>
        </w:tc>
        <w:tc>
          <w:tcPr>
            <w:tcW w:w="1499" w:type="pct"/>
            <w:shd w:val="clear" w:color="auto" w:fill="auto"/>
          </w:tcPr>
          <w:p w:rsidR="007D17C5" w:rsidRPr="00143624" w:rsidRDefault="007D17C5" w:rsidP="009558BE">
            <w:pPr>
              <w:pStyle w:val="Tabletext"/>
              <w:spacing w:before="50"/>
            </w:pPr>
            <w:r w:rsidRPr="00143624">
              <w:t>15.349</w:t>
            </w:r>
          </w:p>
        </w:tc>
      </w:tr>
      <w:tr w:rsidR="007D17C5" w:rsidRPr="00143624" w:rsidTr="009558BE">
        <w:tc>
          <w:tcPr>
            <w:tcW w:w="431" w:type="pct"/>
            <w:shd w:val="clear" w:color="auto" w:fill="auto"/>
          </w:tcPr>
          <w:p w:rsidR="007D17C5" w:rsidRPr="00143624" w:rsidRDefault="007D17C5" w:rsidP="009558BE">
            <w:pPr>
              <w:pStyle w:val="Tabletext"/>
            </w:pPr>
            <w:r w:rsidRPr="00143624">
              <w:t>5</w:t>
            </w:r>
          </w:p>
        </w:tc>
        <w:tc>
          <w:tcPr>
            <w:tcW w:w="1138" w:type="pct"/>
            <w:shd w:val="clear" w:color="auto" w:fill="auto"/>
          </w:tcPr>
          <w:p w:rsidR="007D17C5" w:rsidRPr="00143624" w:rsidRDefault="007D17C5" w:rsidP="009558BE">
            <w:pPr>
              <w:pStyle w:val="Tabletext"/>
              <w:spacing w:before="50"/>
            </w:pPr>
            <w:r w:rsidRPr="00143624">
              <w:t>22</w:t>
            </w:r>
          </w:p>
        </w:tc>
        <w:tc>
          <w:tcPr>
            <w:tcW w:w="1931" w:type="pct"/>
            <w:shd w:val="clear" w:color="auto" w:fill="auto"/>
            <w:vAlign w:val="bottom"/>
          </w:tcPr>
          <w:p w:rsidR="007D17C5" w:rsidRPr="00143624" w:rsidRDefault="007D17C5" w:rsidP="009558BE">
            <w:pPr>
              <w:pStyle w:val="Tabletext"/>
              <w:spacing w:before="50"/>
            </w:pPr>
            <w:r w:rsidRPr="00143624">
              <w:t>22.956</w:t>
            </w:r>
          </w:p>
        </w:tc>
        <w:tc>
          <w:tcPr>
            <w:tcW w:w="1499" w:type="pct"/>
            <w:shd w:val="clear" w:color="auto" w:fill="auto"/>
          </w:tcPr>
          <w:p w:rsidR="007D17C5" w:rsidRPr="00143624" w:rsidRDefault="007D17C5" w:rsidP="009558BE">
            <w:pPr>
              <w:pStyle w:val="Tabletext"/>
              <w:spacing w:before="50"/>
            </w:pPr>
            <w:r w:rsidRPr="00143624">
              <w:t>15.334</w:t>
            </w:r>
          </w:p>
        </w:tc>
      </w:tr>
      <w:tr w:rsidR="007D17C5" w:rsidRPr="00143624" w:rsidTr="009558BE">
        <w:tc>
          <w:tcPr>
            <w:tcW w:w="431" w:type="pct"/>
            <w:shd w:val="clear" w:color="auto" w:fill="auto"/>
          </w:tcPr>
          <w:p w:rsidR="007D17C5" w:rsidRPr="00143624" w:rsidRDefault="007D17C5" w:rsidP="009558BE">
            <w:pPr>
              <w:pStyle w:val="Tabletext"/>
            </w:pPr>
            <w:r w:rsidRPr="00143624">
              <w:t>6</w:t>
            </w:r>
          </w:p>
        </w:tc>
        <w:tc>
          <w:tcPr>
            <w:tcW w:w="1138" w:type="pct"/>
            <w:shd w:val="clear" w:color="auto" w:fill="auto"/>
          </w:tcPr>
          <w:p w:rsidR="007D17C5" w:rsidRPr="00143624" w:rsidRDefault="007D17C5" w:rsidP="009558BE">
            <w:pPr>
              <w:pStyle w:val="Tabletext"/>
              <w:spacing w:before="50"/>
            </w:pPr>
            <w:r w:rsidRPr="00143624">
              <w:t>23</w:t>
            </w:r>
          </w:p>
        </w:tc>
        <w:tc>
          <w:tcPr>
            <w:tcW w:w="1931" w:type="pct"/>
            <w:shd w:val="clear" w:color="auto" w:fill="auto"/>
            <w:vAlign w:val="bottom"/>
          </w:tcPr>
          <w:p w:rsidR="007D17C5" w:rsidRPr="00143624" w:rsidRDefault="007D17C5" w:rsidP="009558BE">
            <w:pPr>
              <w:pStyle w:val="Tabletext"/>
              <w:spacing w:before="50"/>
            </w:pPr>
            <w:r w:rsidRPr="00143624">
              <w:t>22.906</w:t>
            </w:r>
          </w:p>
        </w:tc>
        <w:tc>
          <w:tcPr>
            <w:tcW w:w="1499" w:type="pct"/>
            <w:shd w:val="clear" w:color="auto" w:fill="auto"/>
          </w:tcPr>
          <w:p w:rsidR="007D17C5" w:rsidRPr="00143624" w:rsidRDefault="007D17C5" w:rsidP="009558BE">
            <w:pPr>
              <w:pStyle w:val="Tabletext"/>
              <w:spacing w:before="50"/>
            </w:pPr>
            <w:r w:rsidRPr="00143624">
              <w:t>15.322</w:t>
            </w:r>
          </w:p>
        </w:tc>
      </w:tr>
      <w:tr w:rsidR="007D17C5" w:rsidRPr="00143624" w:rsidTr="009558BE">
        <w:tc>
          <w:tcPr>
            <w:tcW w:w="431" w:type="pct"/>
            <w:shd w:val="clear" w:color="auto" w:fill="auto"/>
          </w:tcPr>
          <w:p w:rsidR="007D17C5" w:rsidRPr="00143624" w:rsidRDefault="007D17C5" w:rsidP="009558BE">
            <w:pPr>
              <w:pStyle w:val="Tabletext"/>
            </w:pPr>
            <w:r w:rsidRPr="00143624">
              <w:t>7</w:t>
            </w:r>
          </w:p>
        </w:tc>
        <w:tc>
          <w:tcPr>
            <w:tcW w:w="1138" w:type="pct"/>
            <w:shd w:val="clear" w:color="auto" w:fill="auto"/>
          </w:tcPr>
          <w:p w:rsidR="007D17C5" w:rsidRPr="00143624" w:rsidRDefault="007D17C5" w:rsidP="009558BE">
            <w:pPr>
              <w:pStyle w:val="Tabletext"/>
              <w:spacing w:before="50"/>
            </w:pPr>
            <w:r w:rsidRPr="00143624">
              <w:t>24</w:t>
            </w:r>
          </w:p>
        </w:tc>
        <w:tc>
          <w:tcPr>
            <w:tcW w:w="1931" w:type="pct"/>
            <w:shd w:val="clear" w:color="auto" w:fill="auto"/>
            <w:vAlign w:val="bottom"/>
          </w:tcPr>
          <w:p w:rsidR="007D17C5" w:rsidRPr="00143624" w:rsidRDefault="007D17C5" w:rsidP="009558BE">
            <w:pPr>
              <w:pStyle w:val="Tabletext"/>
              <w:spacing w:before="50"/>
            </w:pPr>
            <w:r w:rsidRPr="00143624">
              <w:t>22.862</w:t>
            </w:r>
          </w:p>
        </w:tc>
        <w:tc>
          <w:tcPr>
            <w:tcW w:w="1499" w:type="pct"/>
            <w:shd w:val="clear" w:color="auto" w:fill="auto"/>
          </w:tcPr>
          <w:p w:rsidR="007D17C5" w:rsidRPr="00143624" w:rsidRDefault="007D17C5" w:rsidP="009558BE">
            <w:pPr>
              <w:pStyle w:val="Tabletext"/>
              <w:spacing w:before="50"/>
            </w:pPr>
            <w:r w:rsidRPr="00143624">
              <w:t>15.312</w:t>
            </w:r>
          </w:p>
        </w:tc>
      </w:tr>
      <w:tr w:rsidR="007D17C5" w:rsidRPr="00143624" w:rsidTr="009558BE">
        <w:tc>
          <w:tcPr>
            <w:tcW w:w="431" w:type="pct"/>
            <w:shd w:val="clear" w:color="auto" w:fill="auto"/>
          </w:tcPr>
          <w:p w:rsidR="007D17C5" w:rsidRPr="00143624" w:rsidRDefault="007D17C5" w:rsidP="009558BE">
            <w:pPr>
              <w:pStyle w:val="Tabletext"/>
            </w:pPr>
            <w:r w:rsidRPr="00143624">
              <w:t>8</w:t>
            </w:r>
          </w:p>
        </w:tc>
        <w:tc>
          <w:tcPr>
            <w:tcW w:w="1138" w:type="pct"/>
            <w:shd w:val="clear" w:color="auto" w:fill="auto"/>
          </w:tcPr>
          <w:p w:rsidR="007D17C5" w:rsidRPr="00143624" w:rsidRDefault="007D17C5" w:rsidP="009558BE">
            <w:pPr>
              <w:pStyle w:val="Tabletext"/>
              <w:spacing w:before="50"/>
            </w:pPr>
            <w:r w:rsidRPr="00143624">
              <w:t>25</w:t>
            </w:r>
          </w:p>
        </w:tc>
        <w:tc>
          <w:tcPr>
            <w:tcW w:w="1931" w:type="pct"/>
            <w:shd w:val="clear" w:color="auto" w:fill="auto"/>
            <w:vAlign w:val="bottom"/>
          </w:tcPr>
          <w:p w:rsidR="007D17C5" w:rsidRPr="00143624" w:rsidRDefault="007D17C5" w:rsidP="009558BE">
            <w:pPr>
              <w:pStyle w:val="Tabletext"/>
              <w:spacing w:before="50"/>
            </w:pPr>
            <w:r w:rsidRPr="00143624">
              <w:t>22.816</w:t>
            </w:r>
          </w:p>
        </w:tc>
        <w:tc>
          <w:tcPr>
            <w:tcW w:w="1499" w:type="pct"/>
            <w:shd w:val="clear" w:color="auto" w:fill="auto"/>
          </w:tcPr>
          <w:p w:rsidR="007D17C5" w:rsidRPr="00143624" w:rsidRDefault="007D17C5" w:rsidP="009558BE">
            <w:pPr>
              <w:pStyle w:val="Tabletext"/>
              <w:spacing w:before="50"/>
            </w:pPr>
            <w:r w:rsidRPr="00143624">
              <w:t>15.302</w:t>
            </w:r>
          </w:p>
        </w:tc>
      </w:tr>
      <w:tr w:rsidR="007D17C5" w:rsidRPr="00143624" w:rsidTr="009558BE">
        <w:tc>
          <w:tcPr>
            <w:tcW w:w="431" w:type="pct"/>
            <w:shd w:val="clear" w:color="auto" w:fill="auto"/>
          </w:tcPr>
          <w:p w:rsidR="007D17C5" w:rsidRPr="00143624" w:rsidRDefault="007D17C5" w:rsidP="009558BE">
            <w:pPr>
              <w:pStyle w:val="Tabletext"/>
            </w:pPr>
            <w:r w:rsidRPr="00143624">
              <w:t>9</w:t>
            </w:r>
          </w:p>
        </w:tc>
        <w:tc>
          <w:tcPr>
            <w:tcW w:w="1138" w:type="pct"/>
            <w:shd w:val="clear" w:color="auto" w:fill="auto"/>
          </w:tcPr>
          <w:p w:rsidR="007D17C5" w:rsidRPr="00143624" w:rsidRDefault="007D17C5" w:rsidP="009558BE">
            <w:pPr>
              <w:pStyle w:val="Tabletext"/>
              <w:spacing w:before="50"/>
            </w:pPr>
            <w:r w:rsidRPr="00143624">
              <w:t>26</w:t>
            </w:r>
          </w:p>
        </w:tc>
        <w:tc>
          <w:tcPr>
            <w:tcW w:w="1931" w:type="pct"/>
            <w:shd w:val="clear" w:color="auto" w:fill="auto"/>
            <w:vAlign w:val="bottom"/>
          </w:tcPr>
          <w:p w:rsidR="007D17C5" w:rsidRPr="00143624" w:rsidRDefault="007D17C5" w:rsidP="009558BE">
            <w:pPr>
              <w:pStyle w:val="Tabletext"/>
              <w:spacing w:before="50"/>
            </w:pPr>
            <w:r w:rsidRPr="00143624">
              <w:t>22.763</w:t>
            </w:r>
          </w:p>
        </w:tc>
        <w:tc>
          <w:tcPr>
            <w:tcW w:w="1499" w:type="pct"/>
            <w:shd w:val="clear" w:color="auto" w:fill="auto"/>
          </w:tcPr>
          <w:p w:rsidR="007D17C5" w:rsidRPr="00143624" w:rsidRDefault="007D17C5" w:rsidP="009558BE">
            <w:pPr>
              <w:pStyle w:val="Tabletext"/>
              <w:spacing w:before="50"/>
            </w:pPr>
            <w:r w:rsidRPr="00143624">
              <w:t>15.289</w:t>
            </w:r>
          </w:p>
        </w:tc>
      </w:tr>
      <w:tr w:rsidR="007D17C5" w:rsidRPr="00143624" w:rsidTr="009558BE">
        <w:tc>
          <w:tcPr>
            <w:tcW w:w="431" w:type="pct"/>
            <w:shd w:val="clear" w:color="auto" w:fill="auto"/>
          </w:tcPr>
          <w:p w:rsidR="007D17C5" w:rsidRPr="00143624" w:rsidRDefault="007D17C5" w:rsidP="009558BE">
            <w:pPr>
              <w:pStyle w:val="Tabletext"/>
            </w:pPr>
            <w:r w:rsidRPr="00143624">
              <w:t>10</w:t>
            </w:r>
          </w:p>
        </w:tc>
        <w:tc>
          <w:tcPr>
            <w:tcW w:w="1138" w:type="pct"/>
            <w:shd w:val="clear" w:color="auto" w:fill="auto"/>
          </w:tcPr>
          <w:p w:rsidR="007D17C5" w:rsidRPr="00143624" w:rsidRDefault="007D17C5" w:rsidP="009558BE">
            <w:pPr>
              <w:pStyle w:val="Tabletext"/>
              <w:spacing w:before="50"/>
            </w:pPr>
            <w:r w:rsidRPr="00143624">
              <w:t>27</w:t>
            </w:r>
          </w:p>
        </w:tc>
        <w:tc>
          <w:tcPr>
            <w:tcW w:w="1931" w:type="pct"/>
            <w:shd w:val="clear" w:color="auto" w:fill="auto"/>
            <w:vAlign w:val="bottom"/>
          </w:tcPr>
          <w:p w:rsidR="007D17C5" w:rsidRPr="00143624" w:rsidRDefault="007D17C5" w:rsidP="009558BE">
            <w:pPr>
              <w:pStyle w:val="Tabletext"/>
              <w:spacing w:before="50"/>
            </w:pPr>
            <w:r w:rsidRPr="00143624">
              <w:t>22.694</w:t>
            </w:r>
          </w:p>
        </w:tc>
        <w:tc>
          <w:tcPr>
            <w:tcW w:w="1499" w:type="pct"/>
            <w:shd w:val="clear" w:color="auto" w:fill="auto"/>
          </w:tcPr>
          <w:p w:rsidR="007D17C5" w:rsidRPr="00143624" w:rsidRDefault="007D17C5" w:rsidP="009558BE">
            <w:pPr>
              <w:pStyle w:val="Tabletext"/>
              <w:spacing w:before="50"/>
            </w:pPr>
            <w:r w:rsidRPr="00143624">
              <w:t>15.271</w:t>
            </w:r>
          </w:p>
        </w:tc>
      </w:tr>
      <w:tr w:rsidR="007D17C5" w:rsidRPr="00143624" w:rsidTr="009558BE">
        <w:tc>
          <w:tcPr>
            <w:tcW w:w="431" w:type="pct"/>
            <w:shd w:val="clear" w:color="auto" w:fill="auto"/>
          </w:tcPr>
          <w:p w:rsidR="007D17C5" w:rsidRPr="00143624" w:rsidRDefault="007D17C5" w:rsidP="009558BE">
            <w:pPr>
              <w:pStyle w:val="Tabletext"/>
            </w:pPr>
            <w:r w:rsidRPr="00143624">
              <w:t>11</w:t>
            </w:r>
          </w:p>
        </w:tc>
        <w:tc>
          <w:tcPr>
            <w:tcW w:w="1138" w:type="pct"/>
            <w:shd w:val="clear" w:color="auto" w:fill="auto"/>
          </w:tcPr>
          <w:p w:rsidR="007D17C5" w:rsidRPr="00143624" w:rsidRDefault="007D17C5" w:rsidP="009558BE">
            <w:pPr>
              <w:pStyle w:val="Tabletext"/>
              <w:spacing w:before="50"/>
            </w:pPr>
            <w:r w:rsidRPr="00143624">
              <w:t>28</w:t>
            </w:r>
          </w:p>
        </w:tc>
        <w:tc>
          <w:tcPr>
            <w:tcW w:w="1931" w:type="pct"/>
            <w:shd w:val="clear" w:color="auto" w:fill="auto"/>
            <w:vAlign w:val="bottom"/>
          </w:tcPr>
          <w:p w:rsidR="007D17C5" w:rsidRPr="00143624" w:rsidRDefault="007D17C5" w:rsidP="009558BE">
            <w:pPr>
              <w:pStyle w:val="Tabletext"/>
              <w:spacing w:before="50"/>
            </w:pPr>
            <w:r w:rsidRPr="00143624">
              <w:t>22.612</w:t>
            </w:r>
          </w:p>
        </w:tc>
        <w:tc>
          <w:tcPr>
            <w:tcW w:w="1499" w:type="pct"/>
            <w:shd w:val="clear" w:color="auto" w:fill="auto"/>
          </w:tcPr>
          <w:p w:rsidR="007D17C5" w:rsidRPr="00143624" w:rsidRDefault="007D17C5" w:rsidP="009558BE">
            <w:pPr>
              <w:pStyle w:val="Tabletext"/>
              <w:spacing w:before="50"/>
            </w:pPr>
            <w:r w:rsidRPr="00143624">
              <w:t>15.248</w:t>
            </w:r>
          </w:p>
        </w:tc>
      </w:tr>
      <w:tr w:rsidR="007D17C5" w:rsidRPr="00143624" w:rsidTr="009558BE">
        <w:tc>
          <w:tcPr>
            <w:tcW w:w="431" w:type="pct"/>
            <w:shd w:val="clear" w:color="auto" w:fill="auto"/>
          </w:tcPr>
          <w:p w:rsidR="007D17C5" w:rsidRPr="00143624" w:rsidRDefault="007D17C5" w:rsidP="009558BE">
            <w:pPr>
              <w:pStyle w:val="Tabletext"/>
            </w:pPr>
            <w:r w:rsidRPr="00143624">
              <w:t>12</w:t>
            </w:r>
          </w:p>
        </w:tc>
        <w:tc>
          <w:tcPr>
            <w:tcW w:w="1138" w:type="pct"/>
            <w:shd w:val="clear" w:color="auto" w:fill="auto"/>
          </w:tcPr>
          <w:p w:rsidR="007D17C5" w:rsidRPr="00143624" w:rsidRDefault="007D17C5" w:rsidP="009558BE">
            <w:pPr>
              <w:pStyle w:val="Tabletext"/>
              <w:spacing w:before="50"/>
            </w:pPr>
            <w:r w:rsidRPr="00143624">
              <w:t>29</w:t>
            </w:r>
          </w:p>
        </w:tc>
        <w:tc>
          <w:tcPr>
            <w:tcW w:w="1931" w:type="pct"/>
            <w:shd w:val="clear" w:color="auto" w:fill="auto"/>
            <w:vAlign w:val="bottom"/>
          </w:tcPr>
          <w:p w:rsidR="007D17C5" w:rsidRPr="00143624" w:rsidRDefault="007D17C5" w:rsidP="009558BE">
            <w:pPr>
              <w:pStyle w:val="Tabletext"/>
              <w:spacing w:before="50"/>
            </w:pPr>
            <w:r w:rsidRPr="00143624">
              <w:t>22.523</w:t>
            </w:r>
          </w:p>
        </w:tc>
        <w:tc>
          <w:tcPr>
            <w:tcW w:w="1499" w:type="pct"/>
            <w:shd w:val="clear" w:color="auto" w:fill="auto"/>
          </w:tcPr>
          <w:p w:rsidR="007D17C5" w:rsidRPr="00143624" w:rsidRDefault="007D17C5" w:rsidP="009558BE">
            <w:pPr>
              <w:pStyle w:val="Tabletext"/>
              <w:spacing w:before="50"/>
            </w:pPr>
            <w:r w:rsidRPr="00143624">
              <w:t>15.223</w:t>
            </w:r>
          </w:p>
        </w:tc>
      </w:tr>
      <w:tr w:rsidR="007D17C5" w:rsidRPr="00143624" w:rsidTr="009558BE">
        <w:tc>
          <w:tcPr>
            <w:tcW w:w="431" w:type="pct"/>
            <w:shd w:val="clear" w:color="auto" w:fill="auto"/>
          </w:tcPr>
          <w:p w:rsidR="007D17C5" w:rsidRPr="00143624" w:rsidRDefault="007D17C5" w:rsidP="009558BE">
            <w:pPr>
              <w:pStyle w:val="Tabletext"/>
            </w:pPr>
            <w:r w:rsidRPr="00143624">
              <w:t>13</w:t>
            </w:r>
          </w:p>
        </w:tc>
        <w:tc>
          <w:tcPr>
            <w:tcW w:w="1138" w:type="pct"/>
            <w:shd w:val="clear" w:color="auto" w:fill="auto"/>
          </w:tcPr>
          <w:p w:rsidR="007D17C5" w:rsidRPr="00143624" w:rsidRDefault="007D17C5" w:rsidP="009558BE">
            <w:pPr>
              <w:pStyle w:val="Tabletext"/>
              <w:spacing w:before="50"/>
            </w:pPr>
            <w:r w:rsidRPr="00143624">
              <w:t>30</w:t>
            </w:r>
          </w:p>
        </w:tc>
        <w:tc>
          <w:tcPr>
            <w:tcW w:w="1931" w:type="pct"/>
            <w:shd w:val="clear" w:color="auto" w:fill="auto"/>
            <w:vAlign w:val="bottom"/>
          </w:tcPr>
          <w:p w:rsidR="007D17C5" w:rsidRPr="00143624" w:rsidRDefault="007D17C5" w:rsidP="009558BE">
            <w:pPr>
              <w:pStyle w:val="Tabletext"/>
              <w:spacing w:before="50"/>
            </w:pPr>
            <w:r w:rsidRPr="00143624">
              <w:t>22.422</w:t>
            </w:r>
          </w:p>
        </w:tc>
        <w:tc>
          <w:tcPr>
            <w:tcW w:w="1499" w:type="pct"/>
            <w:shd w:val="clear" w:color="auto" w:fill="auto"/>
          </w:tcPr>
          <w:p w:rsidR="007D17C5" w:rsidRPr="00143624" w:rsidRDefault="007D17C5" w:rsidP="009558BE">
            <w:pPr>
              <w:pStyle w:val="Tabletext"/>
              <w:spacing w:before="50"/>
            </w:pPr>
            <w:r w:rsidRPr="00143624">
              <w:t>15.194</w:t>
            </w:r>
          </w:p>
        </w:tc>
      </w:tr>
      <w:tr w:rsidR="007D17C5" w:rsidRPr="00143624" w:rsidTr="009558BE">
        <w:tc>
          <w:tcPr>
            <w:tcW w:w="431" w:type="pct"/>
            <w:shd w:val="clear" w:color="auto" w:fill="auto"/>
          </w:tcPr>
          <w:p w:rsidR="007D17C5" w:rsidRPr="00143624" w:rsidRDefault="007D17C5" w:rsidP="009558BE">
            <w:pPr>
              <w:pStyle w:val="Tabletext"/>
            </w:pPr>
            <w:r w:rsidRPr="00143624">
              <w:t>14</w:t>
            </w:r>
          </w:p>
        </w:tc>
        <w:tc>
          <w:tcPr>
            <w:tcW w:w="1138" w:type="pct"/>
            <w:shd w:val="clear" w:color="auto" w:fill="auto"/>
          </w:tcPr>
          <w:p w:rsidR="007D17C5" w:rsidRPr="00143624" w:rsidRDefault="007D17C5" w:rsidP="009558BE">
            <w:pPr>
              <w:pStyle w:val="Tabletext"/>
              <w:spacing w:before="50"/>
            </w:pPr>
            <w:r w:rsidRPr="00143624">
              <w:t>31</w:t>
            </w:r>
          </w:p>
        </w:tc>
        <w:tc>
          <w:tcPr>
            <w:tcW w:w="1931" w:type="pct"/>
            <w:shd w:val="clear" w:color="auto" w:fill="auto"/>
            <w:vAlign w:val="bottom"/>
          </w:tcPr>
          <w:p w:rsidR="007D17C5" w:rsidRPr="00143624" w:rsidRDefault="007D17C5" w:rsidP="009558BE">
            <w:pPr>
              <w:pStyle w:val="Tabletext"/>
              <w:spacing w:before="50"/>
            </w:pPr>
            <w:r w:rsidRPr="00143624">
              <w:t>22.310</w:t>
            </w:r>
          </w:p>
        </w:tc>
        <w:tc>
          <w:tcPr>
            <w:tcW w:w="1499" w:type="pct"/>
            <w:shd w:val="clear" w:color="auto" w:fill="auto"/>
          </w:tcPr>
          <w:p w:rsidR="007D17C5" w:rsidRPr="00143624" w:rsidRDefault="007D17C5" w:rsidP="009558BE">
            <w:pPr>
              <w:pStyle w:val="Tabletext"/>
              <w:spacing w:before="50"/>
            </w:pPr>
            <w:r w:rsidRPr="00143624">
              <w:t>15.160</w:t>
            </w:r>
          </w:p>
        </w:tc>
      </w:tr>
      <w:tr w:rsidR="007D17C5" w:rsidRPr="00143624" w:rsidTr="009558BE">
        <w:tc>
          <w:tcPr>
            <w:tcW w:w="431" w:type="pct"/>
            <w:shd w:val="clear" w:color="auto" w:fill="auto"/>
          </w:tcPr>
          <w:p w:rsidR="007D17C5" w:rsidRPr="00143624" w:rsidRDefault="007D17C5" w:rsidP="009558BE">
            <w:pPr>
              <w:pStyle w:val="Tabletext"/>
            </w:pPr>
            <w:r w:rsidRPr="00143624">
              <w:t>15</w:t>
            </w:r>
          </w:p>
        </w:tc>
        <w:tc>
          <w:tcPr>
            <w:tcW w:w="1138" w:type="pct"/>
            <w:shd w:val="clear" w:color="auto" w:fill="auto"/>
          </w:tcPr>
          <w:p w:rsidR="007D17C5" w:rsidRPr="00143624" w:rsidRDefault="007D17C5" w:rsidP="009558BE">
            <w:pPr>
              <w:pStyle w:val="Tabletext"/>
              <w:spacing w:before="50"/>
            </w:pPr>
            <w:r w:rsidRPr="00143624">
              <w:t>32</w:t>
            </w:r>
          </w:p>
        </w:tc>
        <w:tc>
          <w:tcPr>
            <w:tcW w:w="1931" w:type="pct"/>
            <w:shd w:val="clear" w:color="auto" w:fill="auto"/>
            <w:vAlign w:val="bottom"/>
          </w:tcPr>
          <w:p w:rsidR="007D17C5" w:rsidRPr="00143624" w:rsidRDefault="007D17C5" w:rsidP="009558BE">
            <w:pPr>
              <w:pStyle w:val="Tabletext"/>
              <w:spacing w:before="50"/>
            </w:pPr>
            <w:r w:rsidRPr="00143624">
              <w:t>22.193</w:t>
            </w:r>
          </w:p>
        </w:tc>
        <w:tc>
          <w:tcPr>
            <w:tcW w:w="1499" w:type="pct"/>
            <w:shd w:val="clear" w:color="auto" w:fill="auto"/>
          </w:tcPr>
          <w:p w:rsidR="007D17C5" w:rsidRPr="00143624" w:rsidRDefault="007D17C5" w:rsidP="009558BE">
            <w:pPr>
              <w:pStyle w:val="Tabletext"/>
              <w:spacing w:before="50"/>
            </w:pPr>
            <w:r w:rsidRPr="00143624">
              <w:t>15.124</w:t>
            </w:r>
          </w:p>
        </w:tc>
      </w:tr>
      <w:tr w:rsidR="007D17C5" w:rsidRPr="00143624" w:rsidTr="009558BE">
        <w:tc>
          <w:tcPr>
            <w:tcW w:w="431" w:type="pct"/>
            <w:shd w:val="clear" w:color="auto" w:fill="auto"/>
          </w:tcPr>
          <w:p w:rsidR="007D17C5" w:rsidRPr="00143624" w:rsidRDefault="007D17C5" w:rsidP="009558BE">
            <w:pPr>
              <w:pStyle w:val="Tabletext"/>
            </w:pPr>
            <w:r w:rsidRPr="00143624">
              <w:lastRenderedPageBreak/>
              <w:t>16</w:t>
            </w:r>
          </w:p>
        </w:tc>
        <w:tc>
          <w:tcPr>
            <w:tcW w:w="1138" w:type="pct"/>
            <w:shd w:val="clear" w:color="auto" w:fill="auto"/>
          </w:tcPr>
          <w:p w:rsidR="007D17C5" w:rsidRPr="00143624" w:rsidRDefault="007D17C5" w:rsidP="009558BE">
            <w:pPr>
              <w:pStyle w:val="Tabletext"/>
              <w:spacing w:before="50"/>
            </w:pPr>
            <w:r w:rsidRPr="00143624">
              <w:t>33</w:t>
            </w:r>
          </w:p>
        </w:tc>
        <w:tc>
          <w:tcPr>
            <w:tcW w:w="1931" w:type="pct"/>
            <w:shd w:val="clear" w:color="auto" w:fill="auto"/>
            <w:vAlign w:val="bottom"/>
          </w:tcPr>
          <w:p w:rsidR="007D17C5" w:rsidRPr="00143624" w:rsidRDefault="007D17C5" w:rsidP="009558BE">
            <w:pPr>
              <w:pStyle w:val="Tabletext"/>
              <w:spacing w:before="50"/>
            </w:pPr>
            <w:r w:rsidRPr="00143624">
              <w:t>22.076</w:t>
            </w:r>
          </w:p>
        </w:tc>
        <w:tc>
          <w:tcPr>
            <w:tcW w:w="1499" w:type="pct"/>
            <w:shd w:val="clear" w:color="auto" w:fill="auto"/>
          </w:tcPr>
          <w:p w:rsidR="007D17C5" w:rsidRPr="00143624" w:rsidRDefault="007D17C5" w:rsidP="009558BE">
            <w:pPr>
              <w:pStyle w:val="Tabletext"/>
              <w:spacing w:before="50"/>
            </w:pPr>
            <w:r w:rsidRPr="00143624">
              <w:t>15.086</w:t>
            </w:r>
          </w:p>
        </w:tc>
      </w:tr>
      <w:tr w:rsidR="007D17C5" w:rsidRPr="00143624" w:rsidTr="009558BE">
        <w:tc>
          <w:tcPr>
            <w:tcW w:w="431" w:type="pct"/>
            <w:shd w:val="clear" w:color="auto" w:fill="auto"/>
          </w:tcPr>
          <w:p w:rsidR="007D17C5" w:rsidRPr="00143624" w:rsidRDefault="007D17C5" w:rsidP="009558BE">
            <w:pPr>
              <w:pStyle w:val="Tabletext"/>
            </w:pPr>
            <w:r w:rsidRPr="00143624">
              <w:t>17</w:t>
            </w:r>
          </w:p>
        </w:tc>
        <w:tc>
          <w:tcPr>
            <w:tcW w:w="1138" w:type="pct"/>
            <w:shd w:val="clear" w:color="auto" w:fill="auto"/>
          </w:tcPr>
          <w:p w:rsidR="007D17C5" w:rsidRPr="00143624" w:rsidRDefault="007D17C5" w:rsidP="009558BE">
            <w:pPr>
              <w:pStyle w:val="Tabletext"/>
              <w:spacing w:before="50"/>
            </w:pPr>
            <w:r w:rsidRPr="00143624">
              <w:t>34</w:t>
            </w:r>
          </w:p>
        </w:tc>
        <w:tc>
          <w:tcPr>
            <w:tcW w:w="1931" w:type="pct"/>
            <w:shd w:val="clear" w:color="auto" w:fill="auto"/>
            <w:vAlign w:val="bottom"/>
          </w:tcPr>
          <w:p w:rsidR="007D17C5" w:rsidRPr="00143624" w:rsidRDefault="007D17C5" w:rsidP="009558BE">
            <w:pPr>
              <w:pStyle w:val="Tabletext"/>
              <w:spacing w:before="50"/>
            </w:pPr>
            <w:r w:rsidRPr="00143624">
              <w:t>21.950</w:t>
            </w:r>
          </w:p>
        </w:tc>
        <w:tc>
          <w:tcPr>
            <w:tcW w:w="1499" w:type="pct"/>
            <w:shd w:val="clear" w:color="auto" w:fill="auto"/>
          </w:tcPr>
          <w:p w:rsidR="007D17C5" w:rsidRPr="00143624" w:rsidRDefault="007D17C5" w:rsidP="009558BE">
            <w:pPr>
              <w:pStyle w:val="Tabletext"/>
              <w:spacing w:before="50"/>
            </w:pPr>
            <w:r w:rsidRPr="00143624">
              <w:t>15.045</w:t>
            </w:r>
          </w:p>
        </w:tc>
      </w:tr>
      <w:tr w:rsidR="007D17C5" w:rsidRPr="00143624" w:rsidTr="009558BE">
        <w:tc>
          <w:tcPr>
            <w:tcW w:w="431" w:type="pct"/>
            <w:shd w:val="clear" w:color="auto" w:fill="auto"/>
          </w:tcPr>
          <w:p w:rsidR="007D17C5" w:rsidRPr="00143624" w:rsidRDefault="007D17C5" w:rsidP="009558BE">
            <w:pPr>
              <w:pStyle w:val="Tabletext"/>
            </w:pPr>
            <w:r w:rsidRPr="00143624">
              <w:t>18</w:t>
            </w:r>
          </w:p>
        </w:tc>
        <w:tc>
          <w:tcPr>
            <w:tcW w:w="1138" w:type="pct"/>
            <w:shd w:val="clear" w:color="auto" w:fill="auto"/>
          </w:tcPr>
          <w:p w:rsidR="007D17C5" w:rsidRPr="00143624" w:rsidRDefault="007D17C5" w:rsidP="009558BE">
            <w:pPr>
              <w:pStyle w:val="Tabletext"/>
              <w:spacing w:before="50"/>
            </w:pPr>
            <w:r w:rsidRPr="00143624">
              <w:t>35</w:t>
            </w:r>
          </w:p>
        </w:tc>
        <w:tc>
          <w:tcPr>
            <w:tcW w:w="1931" w:type="pct"/>
            <w:shd w:val="clear" w:color="auto" w:fill="auto"/>
            <w:vAlign w:val="bottom"/>
          </w:tcPr>
          <w:p w:rsidR="007D17C5" w:rsidRPr="00143624" w:rsidRDefault="007D17C5" w:rsidP="009558BE">
            <w:pPr>
              <w:pStyle w:val="Tabletext"/>
              <w:spacing w:before="50"/>
            </w:pPr>
            <w:r w:rsidRPr="00143624">
              <w:t>21.821</w:t>
            </w:r>
          </w:p>
        </w:tc>
        <w:tc>
          <w:tcPr>
            <w:tcW w:w="1499" w:type="pct"/>
            <w:shd w:val="clear" w:color="auto" w:fill="auto"/>
          </w:tcPr>
          <w:p w:rsidR="007D17C5" w:rsidRPr="00143624" w:rsidRDefault="007D17C5" w:rsidP="009558BE">
            <w:pPr>
              <w:pStyle w:val="Tabletext"/>
              <w:spacing w:before="50"/>
            </w:pPr>
            <w:r w:rsidRPr="00143624">
              <w:t>15.002</w:t>
            </w:r>
          </w:p>
        </w:tc>
      </w:tr>
      <w:tr w:rsidR="007D17C5" w:rsidRPr="00143624" w:rsidTr="009558BE">
        <w:tc>
          <w:tcPr>
            <w:tcW w:w="431" w:type="pct"/>
            <w:shd w:val="clear" w:color="auto" w:fill="auto"/>
          </w:tcPr>
          <w:p w:rsidR="007D17C5" w:rsidRPr="00143624" w:rsidRDefault="007D17C5" w:rsidP="009558BE">
            <w:pPr>
              <w:pStyle w:val="Tabletext"/>
            </w:pPr>
            <w:r w:rsidRPr="00143624">
              <w:t>19</w:t>
            </w:r>
          </w:p>
        </w:tc>
        <w:tc>
          <w:tcPr>
            <w:tcW w:w="1138" w:type="pct"/>
            <w:shd w:val="clear" w:color="auto" w:fill="auto"/>
          </w:tcPr>
          <w:p w:rsidR="007D17C5" w:rsidRPr="00143624" w:rsidRDefault="007D17C5" w:rsidP="009558BE">
            <w:pPr>
              <w:pStyle w:val="Tabletext"/>
              <w:spacing w:before="50"/>
            </w:pPr>
            <w:r w:rsidRPr="00143624">
              <w:t>36</w:t>
            </w:r>
          </w:p>
        </w:tc>
        <w:tc>
          <w:tcPr>
            <w:tcW w:w="1931" w:type="pct"/>
            <w:shd w:val="clear" w:color="auto" w:fill="auto"/>
            <w:vAlign w:val="bottom"/>
          </w:tcPr>
          <w:p w:rsidR="007D17C5" w:rsidRPr="00143624" w:rsidRDefault="007D17C5" w:rsidP="009558BE">
            <w:pPr>
              <w:pStyle w:val="Tabletext"/>
              <w:spacing w:before="50"/>
            </w:pPr>
            <w:r w:rsidRPr="00143624">
              <w:t>21.691</w:t>
            </w:r>
          </w:p>
        </w:tc>
        <w:tc>
          <w:tcPr>
            <w:tcW w:w="1499" w:type="pct"/>
            <w:shd w:val="clear" w:color="auto" w:fill="auto"/>
          </w:tcPr>
          <w:p w:rsidR="007D17C5" w:rsidRPr="00143624" w:rsidRDefault="007D17C5" w:rsidP="009558BE">
            <w:pPr>
              <w:pStyle w:val="Tabletext"/>
              <w:spacing w:before="50"/>
            </w:pPr>
            <w:r w:rsidRPr="00143624">
              <w:t>14.958</w:t>
            </w:r>
          </w:p>
        </w:tc>
      </w:tr>
      <w:tr w:rsidR="007D17C5" w:rsidRPr="00143624" w:rsidTr="009558BE">
        <w:tc>
          <w:tcPr>
            <w:tcW w:w="431" w:type="pct"/>
            <w:shd w:val="clear" w:color="auto" w:fill="auto"/>
          </w:tcPr>
          <w:p w:rsidR="007D17C5" w:rsidRPr="00143624" w:rsidRDefault="007D17C5" w:rsidP="009558BE">
            <w:pPr>
              <w:pStyle w:val="Tabletext"/>
            </w:pPr>
            <w:r w:rsidRPr="00143624">
              <w:t>20</w:t>
            </w:r>
          </w:p>
        </w:tc>
        <w:tc>
          <w:tcPr>
            <w:tcW w:w="1138" w:type="pct"/>
            <w:shd w:val="clear" w:color="auto" w:fill="auto"/>
          </w:tcPr>
          <w:p w:rsidR="007D17C5" w:rsidRPr="00143624" w:rsidRDefault="007D17C5" w:rsidP="009558BE">
            <w:pPr>
              <w:pStyle w:val="Tabletext"/>
              <w:spacing w:before="50"/>
            </w:pPr>
            <w:r w:rsidRPr="00143624">
              <w:t>37</w:t>
            </w:r>
          </w:p>
        </w:tc>
        <w:tc>
          <w:tcPr>
            <w:tcW w:w="1931" w:type="pct"/>
            <w:shd w:val="clear" w:color="auto" w:fill="auto"/>
            <w:vAlign w:val="bottom"/>
          </w:tcPr>
          <w:p w:rsidR="007D17C5" w:rsidRPr="00143624" w:rsidRDefault="007D17C5" w:rsidP="009558BE">
            <w:pPr>
              <w:pStyle w:val="Tabletext"/>
              <w:spacing w:before="50"/>
            </w:pPr>
            <w:r w:rsidRPr="00143624">
              <w:t>21.553</w:t>
            </w:r>
          </w:p>
        </w:tc>
        <w:tc>
          <w:tcPr>
            <w:tcW w:w="1499" w:type="pct"/>
            <w:shd w:val="clear" w:color="auto" w:fill="auto"/>
          </w:tcPr>
          <w:p w:rsidR="007D17C5" w:rsidRPr="00143624" w:rsidRDefault="007D17C5" w:rsidP="009558BE">
            <w:pPr>
              <w:pStyle w:val="Tabletext"/>
              <w:spacing w:before="50"/>
            </w:pPr>
            <w:r w:rsidRPr="00143624">
              <w:t>14.911</w:t>
            </w:r>
          </w:p>
        </w:tc>
      </w:tr>
      <w:tr w:rsidR="007D17C5" w:rsidRPr="00143624" w:rsidTr="009558BE">
        <w:tc>
          <w:tcPr>
            <w:tcW w:w="431" w:type="pct"/>
            <w:shd w:val="clear" w:color="auto" w:fill="auto"/>
          </w:tcPr>
          <w:p w:rsidR="007D17C5" w:rsidRPr="00143624" w:rsidRDefault="007D17C5" w:rsidP="009558BE">
            <w:pPr>
              <w:pStyle w:val="Tabletext"/>
            </w:pPr>
            <w:r w:rsidRPr="00143624">
              <w:t>21</w:t>
            </w:r>
          </w:p>
        </w:tc>
        <w:tc>
          <w:tcPr>
            <w:tcW w:w="1138" w:type="pct"/>
            <w:shd w:val="clear" w:color="auto" w:fill="auto"/>
          </w:tcPr>
          <w:p w:rsidR="007D17C5" w:rsidRPr="00143624" w:rsidRDefault="007D17C5" w:rsidP="009558BE">
            <w:pPr>
              <w:pStyle w:val="Tabletext"/>
              <w:spacing w:before="50"/>
            </w:pPr>
            <w:r w:rsidRPr="00143624">
              <w:t>38</w:t>
            </w:r>
          </w:p>
        </w:tc>
        <w:tc>
          <w:tcPr>
            <w:tcW w:w="1931" w:type="pct"/>
            <w:shd w:val="clear" w:color="auto" w:fill="auto"/>
            <w:vAlign w:val="bottom"/>
          </w:tcPr>
          <w:p w:rsidR="007D17C5" w:rsidRPr="00143624" w:rsidRDefault="007D17C5" w:rsidP="009558BE">
            <w:pPr>
              <w:pStyle w:val="Tabletext"/>
              <w:spacing w:before="50"/>
            </w:pPr>
            <w:r w:rsidRPr="00143624">
              <w:t>21.410</w:t>
            </w:r>
          </w:p>
        </w:tc>
        <w:tc>
          <w:tcPr>
            <w:tcW w:w="1499" w:type="pct"/>
            <w:shd w:val="clear" w:color="auto" w:fill="auto"/>
          </w:tcPr>
          <w:p w:rsidR="007D17C5" w:rsidRPr="00143624" w:rsidRDefault="007D17C5" w:rsidP="009558BE">
            <w:pPr>
              <w:pStyle w:val="Tabletext"/>
              <w:spacing w:before="50"/>
            </w:pPr>
            <w:r w:rsidRPr="00143624">
              <w:t>14.861</w:t>
            </w:r>
          </w:p>
        </w:tc>
      </w:tr>
      <w:tr w:rsidR="007D17C5" w:rsidRPr="00143624" w:rsidTr="009558BE">
        <w:tc>
          <w:tcPr>
            <w:tcW w:w="431" w:type="pct"/>
            <w:shd w:val="clear" w:color="auto" w:fill="auto"/>
          </w:tcPr>
          <w:p w:rsidR="007D17C5" w:rsidRPr="00143624" w:rsidRDefault="007D17C5" w:rsidP="009558BE">
            <w:pPr>
              <w:pStyle w:val="Tabletext"/>
            </w:pPr>
            <w:r w:rsidRPr="00143624">
              <w:t>22</w:t>
            </w:r>
          </w:p>
        </w:tc>
        <w:tc>
          <w:tcPr>
            <w:tcW w:w="1138" w:type="pct"/>
            <w:shd w:val="clear" w:color="auto" w:fill="auto"/>
          </w:tcPr>
          <w:p w:rsidR="007D17C5" w:rsidRPr="00143624" w:rsidRDefault="007D17C5" w:rsidP="009558BE">
            <w:pPr>
              <w:pStyle w:val="Tabletext"/>
              <w:spacing w:before="50"/>
            </w:pPr>
            <w:r w:rsidRPr="00143624">
              <w:t>39</w:t>
            </w:r>
          </w:p>
        </w:tc>
        <w:tc>
          <w:tcPr>
            <w:tcW w:w="1931" w:type="pct"/>
            <w:shd w:val="clear" w:color="auto" w:fill="auto"/>
            <w:vAlign w:val="bottom"/>
          </w:tcPr>
          <w:p w:rsidR="007D17C5" w:rsidRPr="00143624" w:rsidRDefault="007D17C5" w:rsidP="009558BE">
            <w:pPr>
              <w:pStyle w:val="Tabletext"/>
              <w:spacing w:before="50"/>
            </w:pPr>
            <w:r w:rsidRPr="00143624">
              <w:t>21.266</w:t>
            </w:r>
          </w:p>
        </w:tc>
        <w:tc>
          <w:tcPr>
            <w:tcW w:w="1499" w:type="pct"/>
            <w:shd w:val="clear" w:color="auto" w:fill="auto"/>
          </w:tcPr>
          <w:p w:rsidR="007D17C5" w:rsidRPr="00143624" w:rsidRDefault="007D17C5" w:rsidP="009558BE">
            <w:pPr>
              <w:pStyle w:val="Tabletext"/>
              <w:spacing w:before="50"/>
            </w:pPr>
            <w:r w:rsidRPr="00143624">
              <w:t>14.809</w:t>
            </w:r>
          </w:p>
        </w:tc>
      </w:tr>
      <w:tr w:rsidR="007D17C5" w:rsidRPr="00143624" w:rsidTr="009558BE">
        <w:tc>
          <w:tcPr>
            <w:tcW w:w="431" w:type="pct"/>
            <w:shd w:val="clear" w:color="auto" w:fill="auto"/>
          </w:tcPr>
          <w:p w:rsidR="007D17C5" w:rsidRPr="00143624" w:rsidRDefault="007D17C5" w:rsidP="009558BE">
            <w:pPr>
              <w:pStyle w:val="Tabletext"/>
            </w:pPr>
            <w:r w:rsidRPr="00143624">
              <w:t>23</w:t>
            </w:r>
          </w:p>
        </w:tc>
        <w:tc>
          <w:tcPr>
            <w:tcW w:w="1138" w:type="pct"/>
            <w:shd w:val="clear" w:color="auto" w:fill="auto"/>
          </w:tcPr>
          <w:p w:rsidR="007D17C5" w:rsidRPr="00143624" w:rsidRDefault="007D17C5" w:rsidP="009558BE">
            <w:pPr>
              <w:pStyle w:val="Tabletext"/>
              <w:spacing w:before="50"/>
            </w:pPr>
            <w:r w:rsidRPr="00143624">
              <w:t>40</w:t>
            </w:r>
          </w:p>
        </w:tc>
        <w:tc>
          <w:tcPr>
            <w:tcW w:w="1931" w:type="pct"/>
            <w:shd w:val="clear" w:color="auto" w:fill="auto"/>
            <w:vAlign w:val="bottom"/>
          </w:tcPr>
          <w:p w:rsidR="007D17C5" w:rsidRPr="00143624" w:rsidRDefault="007D17C5" w:rsidP="009558BE">
            <w:pPr>
              <w:pStyle w:val="Tabletext"/>
              <w:spacing w:before="50"/>
            </w:pPr>
            <w:r w:rsidRPr="00143624">
              <w:t>21.113</w:t>
            </w:r>
          </w:p>
        </w:tc>
        <w:tc>
          <w:tcPr>
            <w:tcW w:w="1499" w:type="pct"/>
            <w:shd w:val="clear" w:color="auto" w:fill="auto"/>
          </w:tcPr>
          <w:p w:rsidR="007D17C5" w:rsidRPr="00143624" w:rsidRDefault="007D17C5" w:rsidP="009558BE">
            <w:pPr>
              <w:pStyle w:val="Tabletext"/>
              <w:spacing w:before="50"/>
            </w:pPr>
            <w:r w:rsidRPr="00143624">
              <w:t>14.754</w:t>
            </w:r>
          </w:p>
        </w:tc>
      </w:tr>
      <w:tr w:rsidR="007D17C5" w:rsidRPr="00143624" w:rsidTr="009558BE">
        <w:tc>
          <w:tcPr>
            <w:tcW w:w="431" w:type="pct"/>
            <w:shd w:val="clear" w:color="auto" w:fill="auto"/>
          </w:tcPr>
          <w:p w:rsidR="007D17C5" w:rsidRPr="00143624" w:rsidRDefault="007D17C5" w:rsidP="009558BE">
            <w:pPr>
              <w:pStyle w:val="Tabletext"/>
            </w:pPr>
            <w:r w:rsidRPr="00143624">
              <w:t>24</w:t>
            </w:r>
          </w:p>
        </w:tc>
        <w:tc>
          <w:tcPr>
            <w:tcW w:w="1138" w:type="pct"/>
            <w:shd w:val="clear" w:color="auto" w:fill="auto"/>
          </w:tcPr>
          <w:p w:rsidR="007D17C5" w:rsidRPr="00143624" w:rsidRDefault="007D17C5" w:rsidP="009558BE">
            <w:pPr>
              <w:pStyle w:val="Tabletext"/>
              <w:spacing w:before="50"/>
            </w:pPr>
            <w:r w:rsidRPr="00143624">
              <w:t>41</w:t>
            </w:r>
          </w:p>
        </w:tc>
        <w:tc>
          <w:tcPr>
            <w:tcW w:w="1931" w:type="pct"/>
            <w:shd w:val="clear" w:color="auto" w:fill="auto"/>
            <w:vAlign w:val="bottom"/>
          </w:tcPr>
          <w:p w:rsidR="007D17C5" w:rsidRPr="00143624" w:rsidRDefault="007D17C5" w:rsidP="009558BE">
            <w:pPr>
              <w:pStyle w:val="Tabletext"/>
              <w:spacing w:before="50"/>
            </w:pPr>
            <w:r w:rsidRPr="00143624">
              <w:t>20.956</w:t>
            </w:r>
          </w:p>
        </w:tc>
        <w:tc>
          <w:tcPr>
            <w:tcW w:w="1499" w:type="pct"/>
            <w:shd w:val="clear" w:color="auto" w:fill="auto"/>
          </w:tcPr>
          <w:p w:rsidR="007D17C5" w:rsidRPr="00143624" w:rsidRDefault="007D17C5" w:rsidP="009558BE">
            <w:pPr>
              <w:pStyle w:val="Tabletext"/>
              <w:spacing w:before="50"/>
            </w:pPr>
            <w:r w:rsidRPr="00143624">
              <w:t>14.695</w:t>
            </w:r>
          </w:p>
        </w:tc>
      </w:tr>
      <w:tr w:rsidR="007D17C5" w:rsidRPr="00143624" w:rsidTr="009558BE">
        <w:tc>
          <w:tcPr>
            <w:tcW w:w="431" w:type="pct"/>
            <w:shd w:val="clear" w:color="auto" w:fill="auto"/>
          </w:tcPr>
          <w:p w:rsidR="007D17C5" w:rsidRPr="00143624" w:rsidRDefault="007D17C5" w:rsidP="009558BE">
            <w:pPr>
              <w:pStyle w:val="Tabletext"/>
            </w:pPr>
            <w:r w:rsidRPr="00143624">
              <w:t>25</w:t>
            </w:r>
          </w:p>
        </w:tc>
        <w:tc>
          <w:tcPr>
            <w:tcW w:w="1138" w:type="pct"/>
            <w:shd w:val="clear" w:color="auto" w:fill="auto"/>
          </w:tcPr>
          <w:p w:rsidR="007D17C5" w:rsidRPr="00143624" w:rsidRDefault="007D17C5" w:rsidP="009558BE">
            <w:pPr>
              <w:pStyle w:val="Tabletext"/>
              <w:spacing w:before="50"/>
            </w:pPr>
            <w:r w:rsidRPr="00143624">
              <w:t>42</w:t>
            </w:r>
          </w:p>
        </w:tc>
        <w:tc>
          <w:tcPr>
            <w:tcW w:w="1931" w:type="pct"/>
            <w:shd w:val="clear" w:color="auto" w:fill="auto"/>
            <w:vAlign w:val="bottom"/>
          </w:tcPr>
          <w:p w:rsidR="007D17C5" w:rsidRPr="00143624" w:rsidRDefault="007D17C5" w:rsidP="009558BE">
            <w:pPr>
              <w:pStyle w:val="Tabletext"/>
              <w:spacing w:before="50"/>
            </w:pPr>
            <w:r w:rsidRPr="00143624">
              <w:t>20.790</w:t>
            </w:r>
          </w:p>
        </w:tc>
        <w:tc>
          <w:tcPr>
            <w:tcW w:w="1499" w:type="pct"/>
            <w:shd w:val="clear" w:color="auto" w:fill="auto"/>
          </w:tcPr>
          <w:p w:rsidR="007D17C5" w:rsidRPr="00143624" w:rsidRDefault="007D17C5" w:rsidP="009558BE">
            <w:pPr>
              <w:pStyle w:val="Tabletext"/>
              <w:spacing w:before="50"/>
            </w:pPr>
            <w:r w:rsidRPr="00143624">
              <w:t>14.632</w:t>
            </w:r>
          </w:p>
        </w:tc>
      </w:tr>
      <w:tr w:rsidR="007D17C5" w:rsidRPr="00143624" w:rsidTr="009558BE">
        <w:tc>
          <w:tcPr>
            <w:tcW w:w="431" w:type="pct"/>
            <w:shd w:val="clear" w:color="auto" w:fill="auto"/>
          </w:tcPr>
          <w:p w:rsidR="007D17C5" w:rsidRPr="00143624" w:rsidRDefault="007D17C5" w:rsidP="009558BE">
            <w:pPr>
              <w:pStyle w:val="Tabletext"/>
            </w:pPr>
            <w:r w:rsidRPr="00143624">
              <w:t>26</w:t>
            </w:r>
          </w:p>
        </w:tc>
        <w:tc>
          <w:tcPr>
            <w:tcW w:w="1138" w:type="pct"/>
            <w:shd w:val="clear" w:color="auto" w:fill="auto"/>
          </w:tcPr>
          <w:p w:rsidR="007D17C5" w:rsidRPr="00143624" w:rsidRDefault="007D17C5" w:rsidP="009558BE">
            <w:pPr>
              <w:pStyle w:val="Tabletext"/>
              <w:spacing w:before="50"/>
            </w:pPr>
            <w:r w:rsidRPr="00143624">
              <w:t>43</w:t>
            </w:r>
          </w:p>
        </w:tc>
        <w:tc>
          <w:tcPr>
            <w:tcW w:w="1931" w:type="pct"/>
            <w:shd w:val="clear" w:color="auto" w:fill="auto"/>
            <w:vAlign w:val="bottom"/>
          </w:tcPr>
          <w:p w:rsidR="007D17C5" w:rsidRPr="00143624" w:rsidRDefault="007D17C5" w:rsidP="009558BE">
            <w:pPr>
              <w:pStyle w:val="Tabletext"/>
              <w:spacing w:before="50"/>
            </w:pPr>
            <w:r w:rsidRPr="00143624">
              <w:t>20.609</w:t>
            </w:r>
          </w:p>
        </w:tc>
        <w:tc>
          <w:tcPr>
            <w:tcW w:w="1499" w:type="pct"/>
            <w:shd w:val="clear" w:color="auto" w:fill="auto"/>
          </w:tcPr>
          <w:p w:rsidR="007D17C5" w:rsidRPr="00143624" w:rsidRDefault="007D17C5" w:rsidP="009558BE">
            <w:pPr>
              <w:pStyle w:val="Tabletext"/>
              <w:spacing w:before="50"/>
            </w:pPr>
            <w:r w:rsidRPr="00143624">
              <w:t>14.562</w:t>
            </w:r>
          </w:p>
        </w:tc>
      </w:tr>
      <w:tr w:rsidR="007D17C5" w:rsidRPr="00143624" w:rsidTr="009558BE">
        <w:tc>
          <w:tcPr>
            <w:tcW w:w="431" w:type="pct"/>
            <w:shd w:val="clear" w:color="auto" w:fill="auto"/>
          </w:tcPr>
          <w:p w:rsidR="007D17C5" w:rsidRPr="00143624" w:rsidRDefault="007D17C5" w:rsidP="009558BE">
            <w:pPr>
              <w:pStyle w:val="Tabletext"/>
            </w:pPr>
            <w:r w:rsidRPr="00143624">
              <w:t>27</w:t>
            </w:r>
          </w:p>
        </w:tc>
        <w:tc>
          <w:tcPr>
            <w:tcW w:w="1138" w:type="pct"/>
            <w:shd w:val="clear" w:color="auto" w:fill="auto"/>
          </w:tcPr>
          <w:p w:rsidR="007D17C5" w:rsidRPr="00143624" w:rsidRDefault="007D17C5" w:rsidP="009558BE">
            <w:pPr>
              <w:pStyle w:val="Tabletext"/>
              <w:spacing w:before="50"/>
            </w:pPr>
            <w:r w:rsidRPr="00143624">
              <w:t>44</w:t>
            </w:r>
          </w:p>
        </w:tc>
        <w:tc>
          <w:tcPr>
            <w:tcW w:w="1931" w:type="pct"/>
            <w:shd w:val="clear" w:color="auto" w:fill="auto"/>
            <w:vAlign w:val="bottom"/>
          </w:tcPr>
          <w:p w:rsidR="007D17C5" w:rsidRPr="00143624" w:rsidRDefault="007D17C5" w:rsidP="009558BE">
            <w:pPr>
              <w:pStyle w:val="Tabletext"/>
              <w:spacing w:before="50"/>
            </w:pPr>
            <w:r w:rsidRPr="00143624">
              <w:t>20.421</w:t>
            </w:r>
          </w:p>
        </w:tc>
        <w:tc>
          <w:tcPr>
            <w:tcW w:w="1499" w:type="pct"/>
            <w:shd w:val="clear" w:color="auto" w:fill="auto"/>
          </w:tcPr>
          <w:p w:rsidR="007D17C5" w:rsidRPr="00143624" w:rsidRDefault="007D17C5" w:rsidP="009558BE">
            <w:pPr>
              <w:pStyle w:val="Tabletext"/>
              <w:spacing w:before="50"/>
            </w:pPr>
            <w:r w:rsidRPr="00143624">
              <w:t>14.487</w:t>
            </w:r>
          </w:p>
        </w:tc>
      </w:tr>
      <w:tr w:rsidR="007D17C5" w:rsidRPr="00143624" w:rsidTr="009558BE">
        <w:tc>
          <w:tcPr>
            <w:tcW w:w="431" w:type="pct"/>
            <w:shd w:val="clear" w:color="auto" w:fill="auto"/>
          </w:tcPr>
          <w:p w:rsidR="007D17C5" w:rsidRPr="00143624" w:rsidRDefault="007D17C5" w:rsidP="009558BE">
            <w:pPr>
              <w:pStyle w:val="Tabletext"/>
            </w:pPr>
            <w:r w:rsidRPr="00143624">
              <w:t>28</w:t>
            </w:r>
          </w:p>
        </w:tc>
        <w:tc>
          <w:tcPr>
            <w:tcW w:w="1138" w:type="pct"/>
            <w:shd w:val="clear" w:color="auto" w:fill="auto"/>
          </w:tcPr>
          <w:p w:rsidR="007D17C5" w:rsidRPr="00143624" w:rsidRDefault="007D17C5" w:rsidP="009558BE">
            <w:pPr>
              <w:pStyle w:val="Tabletext"/>
              <w:spacing w:before="50"/>
            </w:pPr>
            <w:r w:rsidRPr="00143624">
              <w:t>45</w:t>
            </w:r>
          </w:p>
        </w:tc>
        <w:tc>
          <w:tcPr>
            <w:tcW w:w="1931" w:type="pct"/>
            <w:shd w:val="clear" w:color="auto" w:fill="auto"/>
            <w:vAlign w:val="bottom"/>
          </w:tcPr>
          <w:p w:rsidR="007D17C5" w:rsidRPr="00143624" w:rsidRDefault="007D17C5" w:rsidP="009558BE">
            <w:pPr>
              <w:pStyle w:val="Tabletext"/>
              <w:spacing w:before="50"/>
            </w:pPr>
            <w:r w:rsidRPr="00143624">
              <w:t>20.229</w:t>
            </w:r>
          </w:p>
        </w:tc>
        <w:tc>
          <w:tcPr>
            <w:tcW w:w="1499" w:type="pct"/>
            <w:shd w:val="clear" w:color="auto" w:fill="auto"/>
          </w:tcPr>
          <w:p w:rsidR="007D17C5" w:rsidRPr="00143624" w:rsidRDefault="007D17C5" w:rsidP="009558BE">
            <w:pPr>
              <w:pStyle w:val="Tabletext"/>
              <w:spacing w:before="50"/>
            </w:pPr>
            <w:r w:rsidRPr="00143624">
              <w:t>14.409</w:t>
            </w:r>
          </w:p>
        </w:tc>
      </w:tr>
      <w:tr w:rsidR="007D17C5" w:rsidRPr="00143624" w:rsidTr="009558BE">
        <w:tc>
          <w:tcPr>
            <w:tcW w:w="431" w:type="pct"/>
            <w:shd w:val="clear" w:color="auto" w:fill="auto"/>
          </w:tcPr>
          <w:p w:rsidR="007D17C5" w:rsidRPr="00143624" w:rsidRDefault="007D17C5" w:rsidP="009558BE">
            <w:pPr>
              <w:pStyle w:val="Tabletext"/>
            </w:pPr>
            <w:r w:rsidRPr="00143624">
              <w:t>29</w:t>
            </w:r>
          </w:p>
        </w:tc>
        <w:tc>
          <w:tcPr>
            <w:tcW w:w="1138" w:type="pct"/>
            <w:shd w:val="clear" w:color="auto" w:fill="auto"/>
          </w:tcPr>
          <w:p w:rsidR="007D17C5" w:rsidRPr="00143624" w:rsidRDefault="007D17C5" w:rsidP="009558BE">
            <w:pPr>
              <w:pStyle w:val="Tabletext"/>
              <w:spacing w:before="50"/>
            </w:pPr>
            <w:r w:rsidRPr="00143624">
              <w:t>46</w:t>
            </w:r>
          </w:p>
        </w:tc>
        <w:tc>
          <w:tcPr>
            <w:tcW w:w="1931" w:type="pct"/>
            <w:shd w:val="clear" w:color="auto" w:fill="auto"/>
            <w:vAlign w:val="bottom"/>
          </w:tcPr>
          <w:p w:rsidR="007D17C5" w:rsidRPr="00143624" w:rsidRDefault="007D17C5" w:rsidP="009558BE">
            <w:pPr>
              <w:pStyle w:val="Tabletext"/>
              <w:spacing w:before="50"/>
            </w:pPr>
            <w:r w:rsidRPr="00143624">
              <w:t>20.030</w:t>
            </w:r>
          </w:p>
        </w:tc>
        <w:tc>
          <w:tcPr>
            <w:tcW w:w="1499" w:type="pct"/>
            <w:shd w:val="clear" w:color="auto" w:fill="auto"/>
          </w:tcPr>
          <w:p w:rsidR="007D17C5" w:rsidRPr="00143624" w:rsidRDefault="007D17C5" w:rsidP="009558BE">
            <w:pPr>
              <w:pStyle w:val="Tabletext"/>
              <w:spacing w:before="50"/>
            </w:pPr>
            <w:r w:rsidRPr="00143624">
              <w:t>14.326</w:t>
            </w:r>
          </w:p>
        </w:tc>
      </w:tr>
      <w:tr w:rsidR="007D17C5" w:rsidRPr="00143624" w:rsidTr="009558BE">
        <w:tc>
          <w:tcPr>
            <w:tcW w:w="431" w:type="pct"/>
            <w:shd w:val="clear" w:color="auto" w:fill="auto"/>
          </w:tcPr>
          <w:p w:rsidR="007D17C5" w:rsidRPr="00143624" w:rsidRDefault="007D17C5" w:rsidP="009558BE">
            <w:pPr>
              <w:pStyle w:val="Tabletext"/>
            </w:pPr>
            <w:r w:rsidRPr="00143624">
              <w:t>30</w:t>
            </w:r>
          </w:p>
        </w:tc>
        <w:tc>
          <w:tcPr>
            <w:tcW w:w="1138" w:type="pct"/>
            <w:shd w:val="clear" w:color="auto" w:fill="auto"/>
          </w:tcPr>
          <w:p w:rsidR="007D17C5" w:rsidRPr="00143624" w:rsidRDefault="007D17C5" w:rsidP="009558BE">
            <w:pPr>
              <w:pStyle w:val="Tabletext"/>
              <w:spacing w:before="50"/>
            </w:pPr>
            <w:r w:rsidRPr="00143624">
              <w:t>47</w:t>
            </w:r>
          </w:p>
        </w:tc>
        <w:tc>
          <w:tcPr>
            <w:tcW w:w="1931" w:type="pct"/>
            <w:shd w:val="clear" w:color="auto" w:fill="auto"/>
            <w:vAlign w:val="bottom"/>
          </w:tcPr>
          <w:p w:rsidR="007D17C5" w:rsidRPr="00143624" w:rsidRDefault="007D17C5" w:rsidP="009558BE">
            <w:pPr>
              <w:pStyle w:val="Tabletext"/>
              <w:spacing w:before="50"/>
            </w:pPr>
            <w:r w:rsidRPr="00143624">
              <w:t>19.823</w:t>
            </w:r>
          </w:p>
        </w:tc>
        <w:tc>
          <w:tcPr>
            <w:tcW w:w="1499" w:type="pct"/>
            <w:shd w:val="clear" w:color="auto" w:fill="auto"/>
          </w:tcPr>
          <w:p w:rsidR="007D17C5" w:rsidRPr="00143624" w:rsidRDefault="007D17C5" w:rsidP="009558BE">
            <w:pPr>
              <w:pStyle w:val="Tabletext"/>
              <w:spacing w:before="50"/>
            </w:pPr>
            <w:r w:rsidRPr="00143624">
              <w:t>14.239</w:t>
            </w:r>
          </w:p>
        </w:tc>
      </w:tr>
      <w:tr w:rsidR="007D17C5" w:rsidRPr="00143624" w:rsidTr="009558BE">
        <w:tc>
          <w:tcPr>
            <w:tcW w:w="431" w:type="pct"/>
            <w:shd w:val="clear" w:color="auto" w:fill="auto"/>
          </w:tcPr>
          <w:p w:rsidR="007D17C5" w:rsidRPr="00143624" w:rsidRDefault="007D17C5" w:rsidP="009558BE">
            <w:pPr>
              <w:pStyle w:val="Tabletext"/>
            </w:pPr>
            <w:r w:rsidRPr="00143624">
              <w:t>31</w:t>
            </w:r>
          </w:p>
        </w:tc>
        <w:tc>
          <w:tcPr>
            <w:tcW w:w="1138" w:type="pct"/>
            <w:shd w:val="clear" w:color="auto" w:fill="auto"/>
          </w:tcPr>
          <w:p w:rsidR="007D17C5" w:rsidRPr="00143624" w:rsidRDefault="007D17C5" w:rsidP="009558BE">
            <w:pPr>
              <w:pStyle w:val="Tabletext"/>
              <w:spacing w:before="50"/>
            </w:pPr>
            <w:r w:rsidRPr="00143624">
              <w:t>48</w:t>
            </w:r>
          </w:p>
        </w:tc>
        <w:tc>
          <w:tcPr>
            <w:tcW w:w="1931" w:type="pct"/>
            <w:shd w:val="clear" w:color="auto" w:fill="auto"/>
            <w:vAlign w:val="bottom"/>
          </w:tcPr>
          <w:p w:rsidR="007D17C5" w:rsidRPr="00143624" w:rsidRDefault="007D17C5" w:rsidP="009558BE">
            <w:pPr>
              <w:pStyle w:val="Tabletext"/>
              <w:spacing w:before="50"/>
            </w:pPr>
            <w:r w:rsidRPr="00143624">
              <w:t>19.610</w:t>
            </w:r>
          </w:p>
        </w:tc>
        <w:tc>
          <w:tcPr>
            <w:tcW w:w="1499" w:type="pct"/>
            <w:shd w:val="clear" w:color="auto" w:fill="auto"/>
          </w:tcPr>
          <w:p w:rsidR="007D17C5" w:rsidRPr="00143624" w:rsidRDefault="007D17C5" w:rsidP="009558BE">
            <w:pPr>
              <w:pStyle w:val="Tabletext"/>
              <w:spacing w:before="50"/>
            </w:pPr>
            <w:r w:rsidRPr="00143624">
              <w:t>14.148</w:t>
            </w:r>
          </w:p>
        </w:tc>
      </w:tr>
      <w:tr w:rsidR="007D17C5" w:rsidRPr="00143624" w:rsidTr="009558BE">
        <w:tc>
          <w:tcPr>
            <w:tcW w:w="431" w:type="pct"/>
            <w:shd w:val="clear" w:color="auto" w:fill="auto"/>
          </w:tcPr>
          <w:p w:rsidR="007D17C5" w:rsidRPr="00143624" w:rsidRDefault="007D17C5" w:rsidP="009558BE">
            <w:pPr>
              <w:pStyle w:val="Tabletext"/>
            </w:pPr>
            <w:r w:rsidRPr="00143624">
              <w:t>32</w:t>
            </w:r>
          </w:p>
        </w:tc>
        <w:tc>
          <w:tcPr>
            <w:tcW w:w="1138" w:type="pct"/>
            <w:shd w:val="clear" w:color="auto" w:fill="auto"/>
          </w:tcPr>
          <w:p w:rsidR="007D17C5" w:rsidRPr="00143624" w:rsidRDefault="007D17C5" w:rsidP="009558BE">
            <w:pPr>
              <w:pStyle w:val="Tabletext"/>
              <w:spacing w:before="50"/>
            </w:pPr>
            <w:r w:rsidRPr="00143624">
              <w:t>49</w:t>
            </w:r>
          </w:p>
        </w:tc>
        <w:tc>
          <w:tcPr>
            <w:tcW w:w="1931" w:type="pct"/>
            <w:shd w:val="clear" w:color="auto" w:fill="auto"/>
            <w:vAlign w:val="bottom"/>
          </w:tcPr>
          <w:p w:rsidR="007D17C5" w:rsidRPr="00143624" w:rsidRDefault="007D17C5" w:rsidP="009558BE">
            <w:pPr>
              <w:pStyle w:val="Tabletext"/>
              <w:spacing w:before="50"/>
            </w:pPr>
            <w:r w:rsidRPr="00143624">
              <w:t>19.391</w:t>
            </w:r>
          </w:p>
        </w:tc>
        <w:tc>
          <w:tcPr>
            <w:tcW w:w="1499" w:type="pct"/>
            <w:shd w:val="clear" w:color="auto" w:fill="auto"/>
          </w:tcPr>
          <w:p w:rsidR="007D17C5" w:rsidRPr="00143624" w:rsidRDefault="007D17C5" w:rsidP="009558BE">
            <w:pPr>
              <w:pStyle w:val="Tabletext"/>
              <w:spacing w:before="50"/>
            </w:pPr>
            <w:r w:rsidRPr="00143624">
              <w:t>14.052</w:t>
            </w:r>
          </w:p>
        </w:tc>
      </w:tr>
      <w:tr w:rsidR="007D17C5" w:rsidRPr="00143624" w:rsidTr="009558BE">
        <w:tc>
          <w:tcPr>
            <w:tcW w:w="431" w:type="pct"/>
            <w:shd w:val="clear" w:color="auto" w:fill="auto"/>
          </w:tcPr>
          <w:p w:rsidR="007D17C5" w:rsidRPr="00143624" w:rsidRDefault="007D17C5" w:rsidP="009558BE">
            <w:pPr>
              <w:pStyle w:val="Tabletext"/>
            </w:pPr>
            <w:r w:rsidRPr="00143624">
              <w:t>33</w:t>
            </w:r>
          </w:p>
        </w:tc>
        <w:tc>
          <w:tcPr>
            <w:tcW w:w="1138" w:type="pct"/>
            <w:shd w:val="clear" w:color="auto" w:fill="auto"/>
          </w:tcPr>
          <w:p w:rsidR="007D17C5" w:rsidRPr="00143624" w:rsidRDefault="007D17C5" w:rsidP="009558BE">
            <w:pPr>
              <w:pStyle w:val="Tabletext"/>
              <w:spacing w:before="50"/>
            </w:pPr>
            <w:r w:rsidRPr="00143624">
              <w:t>50</w:t>
            </w:r>
          </w:p>
        </w:tc>
        <w:tc>
          <w:tcPr>
            <w:tcW w:w="1931" w:type="pct"/>
            <w:shd w:val="clear" w:color="auto" w:fill="auto"/>
            <w:vAlign w:val="bottom"/>
          </w:tcPr>
          <w:p w:rsidR="007D17C5" w:rsidRPr="00143624" w:rsidRDefault="007D17C5" w:rsidP="009558BE">
            <w:pPr>
              <w:pStyle w:val="Tabletext"/>
              <w:spacing w:before="50"/>
            </w:pPr>
            <w:r w:rsidRPr="00143624">
              <w:t>19.164</w:t>
            </w:r>
          </w:p>
        </w:tc>
        <w:tc>
          <w:tcPr>
            <w:tcW w:w="1499" w:type="pct"/>
            <w:shd w:val="clear" w:color="auto" w:fill="auto"/>
          </w:tcPr>
          <w:p w:rsidR="007D17C5" w:rsidRPr="00143624" w:rsidRDefault="007D17C5" w:rsidP="009558BE">
            <w:pPr>
              <w:pStyle w:val="Tabletext"/>
              <w:spacing w:before="50"/>
            </w:pPr>
            <w:r w:rsidRPr="00143624">
              <w:t>13.950</w:t>
            </w:r>
          </w:p>
        </w:tc>
      </w:tr>
      <w:tr w:rsidR="007D17C5" w:rsidRPr="00143624" w:rsidTr="009558BE">
        <w:tc>
          <w:tcPr>
            <w:tcW w:w="431" w:type="pct"/>
            <w:shd w:val="clear" w:color="auto" w:fill="auto"/>
          </w:tcPr>
          <w:p w:rsidR="007D17C5" w:rsidRPr="00143624" w:rsidRDefault="007D17C5" w:rsidP="009558BE">
            <w:pPr>
              <w:pStyle w:val="Tabletext"/>
            </w:pPr>
            <w:r w:rsidRPr="00143624">
              <w:t>34</w:t>
            </w:r>
          </w:p>
        </w:tc>
        <w:tc>
          <w:tcPr>
            <w:tcW w:w="1138" w:type="pct"/>
            <w:shd w:val="clear" w:color="auto" w:fill="auto"/>
          </w:tcPr>
          <w:p w:rsidR="007D17C5" w:rsidRPr="00143624" w:rsidRDefault="007D17C5" w:rsidP="009558BE">
            <w:pPr>
              <w:pStyle w:val="Tabletext"/>
              <w:spacing w:before="50"/>
            </w:pPr>
            <w:r w:rsidRPr="00143624">
              <w:t>51</w:t>
            </w:r>
          </w:p>
        </w:tc>
        <w:tc>
          <w:tcPr>
            <w:tcW w:w="1931" w:type="pct"/>
            <w:shd w:val="clear" w:color="auto" w:fill="auto"/>
            <w:vAlign w:val="bottom"/>
          </w:tcPr>
          <w:p w:rsidR="007D17C5" w:rsidRPr="00143624" w:rsidRDefault="007D17C5" w:rsidP="009558BE">
            <w:pPr>
              <w:pStyle w:val="Tabletext"/>
              <w:spacing w:before="50"/>
            </w:pPr>
            <w:r w:rsidRPr="00143624">
              <w:t>18.931</w:t>
            </w:r>
          </w:p>
        </w:tc>
        <w:tc>
          <w:tcPr>
            <w:tcW w:w="1499" w:type="pct"/>
            <w:shd w:val="clear" w:color="auto" w:fill="auto"/>
          </w:tcPr>
          <w:p w:rsidR="007D17C5" w:rsidRPr="00143624" w:rsidRDefault="007D17C5" w:rsidP="009558BE">
            <w:pPr>
              <w:pStyle w:val="Tabletext"/>
              <w:spacing w:before="50"/>
            </w:pPr>
            <w:r w:rsidRPr="00143624">
              <w:t>13.844</w:t>
            </w:r>
          </w:p>
        </w:tc>
      </w:tr>
      <w:tr w:rsidR="007D17C5" w:rsidRPr="00143624" w:rsidTr="009558BE">
        <w:tc>
          <w:tcPr>
            <w:tcW w:w="431" w:type="pct"/>
            <w:shd w:val="clear" w:color="auto" w:fill="auto"/>
          </w:tcPr>
          <w:p w:rsidR="007D17C5" w:rsidRPr="00143624" w:rsidRDefault="007D17C5" w:rsidP="009558BE">
            <w:pPr>
              <w:pStyle w:val="Tabletext"/>
            </w:pPr>
            <w:r w:rsidRPr="00143624">
              <w:t>35</w:t>
            </w:r>
          </w:p>
        </w:tc>
        <w:tc>
          <w:tcPr>
            <w:tcW w:w="1138" w:type="pct"/>
            <w:shd w:val="clear" w:color="auto" w:fill="auto"/>
          </w:tcPr>
          <w:p w:rsidR="007D17C5" w:rsidRPr="00143624" w:rsidRDefault="007D17C5" w:rsidP="009558BE">
            <w:pPr>
              <w:pStyle w:val="Tabletext"/>
              <w:spacing w:before="50"/>
            </w:pPr>
            <w:r w:rsidRPr="00143624">
              <w:t>52</w:t>
            </w:r>
          </w:p>
        </w:tc>
        <w:tc>
          <w:tcPr>
            <w:tcW w:w="1931" w:type="pct"/>
            <w:shd w:val="clear" w:color="auto" w:fill="auto"/>
            <w:vAlign w:val="bottom"/>
          </w:tcPr>
          <w:p w:rsidR="007D17C5" w:rsidRPr="00143624" w:rsidRDefault="007D17C5" w:rsidP="009558BE">
            <w:pPr>
              <w:pStyle w:val="Tabletext"/>
              <w:spacing w:before="50"/>
            </w:pPr>
            <w:r w:rsidRPr="00143624">
              <w:t>18.691</w:t>
            </w:r>
          </w:p>
        </w:tc>
        <w:tc>
          <w:tcPr>
            <w:tcW w:w="1499" w:type="pct"/>
            <w:shd w:val="clear" w:color="auto" w:fill="auto"/>
          </w:tcPr>
          <w:p w:rsidR="007D17C5" w:rsidRPr="00143624" w:rsidRDefault="007D17C5" w:rsidP="009558BE">
            <w:pPr>
              <w:pStyle w:val="Tabletext"/>
              <w:spacing w:before="50"/>
            </w:pPr>
            <w:r w:rsidRPr="00143624">
              <w:t>13.732</w:t>
            </w:r>
          </w:p>
        </w:tc>
      </w:tr>
      <w:tr w:rsidR="007D17C5" w:rsidRPr="00143624" w:rsidTr="009558BE">
        <w:tc>
          <w:tcPr>
            <w:tcW w:w="431" w:type="pct"/>
            <w:shd w:val="clear" w:color="auto" w:fill="auto"/>
          </w:tcPr>
          <w:p w:rsidR="007D17C5" w:rsidRPr="00143624" w:rsidRDefault="007D17C5" w:rsidP="009558BE">
            <w:pPr>
              <w:pStyle w:val="Tabletext"/>
            </w:pPr>
            <w:r w:rsidRPr="00143624">
              <w:t>36</w:t>
            </w:r>
          </w:p>
        </w:tc>
        <w:tc>
          <w:tcPr>
            <w:tcW w:w="1138" w:type="pct"/>
            <w:shd w:val="clear" w:color="auto" w:fill="auto"/>
          </w:tcPr>
          <w:p w:rsidR="007D17C5" w:rsidRPr="00143624" w:rsidRDefault="007D17C5" w:rsidP="009558BE">
            <w:pPr>
              <w:pStyle w:val="Tabletext"/>
              <w:spacing w:before="50"/>
            </w:pPr>
            <w:r w:rsidRPr="00143624">
              <w:t>53</w:t>
            </w:r>
          </w:p>
        </w:tc>
        <w:tc>
          <w:tcPr>
            <w:tcW w:w="1931" w:type="pct"/>
            <w:shd w:val="clear" w:color="auto" w:fill="auto"/>
            <w:vAlign w:val="bottom"/>
          </w:tcPr>
          <w:p w:rsidR="007D17C5" w:rsidRPr="00143624" w:rsidRDefault="007D17C5" w:rsidP="009558BE">
            <w:pPr>
              <w:pStyle w:val="Tabletext"/>
              <w:spacing w:before="50"/>
            </w:pPr>
            <w:r w:rsidRPr="00143624">
              <w:t>18.443</w:t>
            </w:r>
          </w:p>
        </w:tc>
        <w:tc>
          <w:tcPr>
            <w:tcW w:w="1499" w:type="pct"/>
            <w:shd w:val="clear" w:color="auto" w:fill="auto"/>
          </w:tcPr>
          <w:p w:rsidR="007D17C5" w:rsidRPr="00143624" w:rsidRDefault="007D17C5" w:rsidP="009558BE">
            <w:pPr>
              <w:pStyle w:val="Tabletext"/>
              <w:spacing w:before="50"/>
            </w:pPr>
            <w:r w:rsidRPr="00143624">
              <w:t>13.615</w:t>
            </w:r>
          </w:p>
        </w:tc>
      </w:tr>
      <w:tr w:rsidR="007D17C5" w:rsidRPr="00143624" w:rsidTr="009558BE">
        <w:tc>
          <w:tcPr>
            <w:tcW w:w="431" w:type="pct"/>
            <w:shd w:val="clear" w:color="auto" w:fill="auto"/>
          </w:tcPr>
          <w:p w:rsidR="007D17C5" w:rsidRPr="00143624" w:rsidRDefault="007D17C5" w:rsidP="009558BE">
            <w:pPr>
              <w:pStyle w:val="Tabletext"/>
            </w:pPr>
            <w:r w:rsidRPr="00143624">
              <w:t>37</w:t>
            </w:r>
          </w:p>
        </w:tc>
        <w:tc>
          <w:tcPr>
            <w:tcW w:w="1138" w:type="pct"/>
            <w:shd w:val="clear" w:color="auto" w:fill="auto"/>
          </w:tcPr>
          <w:p w:rsidR="007D17C5" w:rsidRPr="00143624" w:rsidRDefault="007D17C5" w:rsidP="009558BE">
            <w:pPr>
              <w:pStyle w:val="Tabletext"/>
              <w:spacing w:before="50"/>
            </w:pPr>
            <w:r w:rsidRPr="00143624">
              <w:t>54</w:t>
            </w:r>
          </w:p>
        </w:tc>
        <w:tc>
          <w:tcPr>
            <w:tcW w:w="1931" w:type="pct"/>
            <w:shd w:val="clear" w:color="auto" w:fill="auto"/>
            <w:vAlign w:val="bottom"/>
          </w:tcPr>
          <w:p w:rsidR="007D17C5" w:rsidRPr="00143624" w:rsidRDefault="007D17C5" w:rsidP="009558BE">
            <w:pPr>
              <w:pStyle w:val="Tabletext"/>
              <w:spacing w:before="50"/>
            </w:pPr>
            <w:r w:rsidRPr="00143624">
              <w:t>18.189</w:t>
            </w:r>
          </w:p>
        </w:tc>
        <w:tc>
          <w:tcPr>
            <w:tcW w:w="1499" w:type="pct"/>
            <w:shd w:val="clear" w:color="auto" w:fill="auto"/>
          </w:tcPr>
          <w:p w:rsidR="007D17C5" w:rsidRPr="00143624" w:rsidRDefault="007D17C5" w:rsidP="009558BE">
            <w:pPr>
              <w:pStyle w:val="Tabletext"/>
              <w:spacing w:before="50"/>
            </w:pPr>
            <w:r w:rsidRPr="00143624">
              <w:t>13.492</w:t>
            </w:r>
          </w:p>
        </w:tc>
      </w:tr>
      <w:tr w:rsidR="007D17C5" w:rsidRPr="00143624" w:rsidTr="009558BE">
        <w:tc>
          <w:tcPr>
            <w:tcW w:w="431" w:type="pct"/>
            <w:shd w:val="clear" w:color="auto" w:fill="auto"/>
          </w:tcPr>
          <w:p w:rsidR="007D17C5" w:rsidRPr="00143624" w:rsidRDefault="007D17C5" w:rsidP="009558BE">
            <w:pPr>
              <w:pStyle w:val="Tabletext"/>
            </w:pPr>
            <w:r w:rsidRPr="00143624">
              <w:t>38</w:t>
            </w:r>
          </w:p>
        </w:tc>
        <w:tc>
          <w:tcPr>
            <w:tcW w:w="1138" w:type="pct"/>
            <w:shd w:val="clear" w:color="auto" w:fill="auto"/>
          </w:tcPr>
          <w:p w:rsidR="007D17C5" w:rsidRPr="00143624" w:rsidRDefault="007D17C5" w:rsidP="009558BE">
            <w:pPr>
              <w:pStyle w:val="Tabletext"/>
              <w:spacing w:before="50"/>
            </w:pPr>
            <w:r w:rsidRPr="00143624">
              <w:t>55</w:t>
            </w:r>
          </w:p>
        </w:tc>
        <w:tc>
          <w:tcPr>
            <w:tcW w:w="1931" w:type="pct"/>
            <w:shd w:val="clear" w:color="auto" w:fill="auto"/>
            <w:vAlign w:val="bottom"/>
          </w:tcPr>
          <w:p w:rsidR="007D17C5" w:rsidRPr="00143624" w:rsidRDefault="007D17C5" w:rsidP="009558BE">
            <w:pPr>
              <w:pStyle w:val="Tabletext"/>
              <w:spacing w:before="50"/>
            </w:pPr>
            <w:r w:rsidRPr="00143624">
              <w:t>17.927</w:t>
            </w:r>
          </w:p>
        </w:tc>
        <w:tc>
          <w:tcPr>
            <w:tcW w:w="1499" w:type="pct"/>
            <w:shd w:val="clear" w:color="auto" w:fill="auto"/>
          </w:tcPr>
          <w:p w:rsidR="007D17C5" w:rsidRPr="00143624" w:rsidRDefault="007D17C5" w:rsidP="009558BE">
            <w:pPr>
              <w:pStyle w:val="Tabletext"/>
              <w:spacing w:before="50"/>
            </w:pPr>
            <w:r w:rsidRPr="00143624">
              <w:t>13.364</w:t>
            </w:r>
          </w:p>
        </w:tc>
      </w:tr>
      <w:tr w:rsidR="007D17C5" w:rsidRPr="00143624" w:rsidTr="009558BE">
        <w:tc>
          <w:tcPr>
            <w:tcW w:w="431" w:type="pct"/>
            <w:shd w:val="clear" w:color="auto" w:fill="auto"/>
          </w:tcPr>
          <w:p w:rsidR="007D17C5" w:rsidRPr="00143624" w:rsidRDefault="007D17C5" w:rsidP="009558BE">
            <w:pPr>
              <w:pStyle w:val="Tabletext"/>
            </w:pPr>
            <w:r w:rsidRPr="00143624">
              <w:t>39</w:t>
            </w:r>
          </w:p>
        </w:tc>
        <w:tc>
          <w:tcPr>
            <w:tcW w:w="1138" w:type="pct"/>
            <w:shd w:val="clear" w:color="auto" w:fill="auto"/>
          </w:tcPr>
          <w:p w:rsidR="007D17C5" w:rsidRPr="00143624" w:rsidRDefault="007D17C5" w:rsidP="009558BE">
            <w:pPr>
              <w:pStyle w:val="Tabletext"/>
              <w:spacing w:before="50"/>
            </w:pPr>
            <w:r w:rsidRPr="00143624">
              <w:t>56</w:t>
            </w:r>
          </w:p>
        </w:tc>
        <w:tc>
          <w:tcPr>
            <w:tcW w:w="1931" w:type="pct"/>
            <w:shd w:val="clear" w:color="auto" w:fill="auto"/>
            <w:vAlign w:val="bottom"/>
          </w:tcPr>
          <w:p w:rsidR="007D17C5" w:rsidRPr="00143624" w:rsidRDefault="007D17C5" w:rsidP="009558BE">
            <w:pPr>
              <w:pStyle w:val="Tabletext"/>
              <w:spacing w:before="50"/>
            </w:pPr>
            <w:r w:rsidRPr="00143624">
              <w:t>17.659</w:t>
            </w:r>
          </w:p>
        </w:tc>
        <w:tc>
          <w:tcPr>
            <w:tcW w:w="1499" w:type="pct"/>
            <w:shd w:val="clear" w:color="auto" w:fill="auto"/>
          </w:tcPr>
          <w:p w:rsidR="007D17C5" w:rsidRPr="00143624" w:rsidRDefault="007D17C5" w:rsidP="009558BE">
            <w:pPr>
              <w:pStyle w:val="Tabletext"/>
              <w:spacing w:before="50"/>
            </w:pPr>
            <w:r w:rsidRPr="00143624">
              <w:t>13.230</w:t>
            </w:r>
          </w:p>
        </w:tc>
      </w:tr>
      <w:tr w:rsidR="007D17C5" w:rsidRPr="00143624" w:rsidTr="009558BE">
        <w:tc>
          <w:tcPr>
            <w:tcW w:w="431" w:type="pct"/>
            <w:shd w:val="clear" w:color="auto" w:fill="auto"/>
          </w:tcPr>
          <w:p w:rsidR="007D17C5" w:rsidRPr="00143624" w:rsidRDefault="007D17C5" w:rsidP="009558BE">
            <w:pPr>
              <w:pStyle w:val="Tabletext"/>
            </w:pPr>
            <w:r w:rsidRPr="00143624">
              <w:t>40</w:t>
            </w:r>
          </w:p>
        </w:tc>
        <w:tc>
          <w:tcPr>
            <w:tcW w:w="1138" w:type="pct"/>
            <w:shd w:val="clear" w:color="auto" w:fill="auto"/>
          </w:tcPr>
          <w:p w:rsidR="007D17C5" w:rsidRPr="00143624" w:rsidRDefault="007D17C5" w:rsidP="009558BE">
            <w:pPr>
              <w:pStyle w:val="Tabletext"/>
              <w:spacing w:before="50"/>
            </w:pPr>
            <w:r w:rsidRPr="00143624">
              <w:t>57</w:t>
            </w:r>
          </w:p>
        </w:tc>
        <w:tc>
          <w:tcPr>
            <w:tcW w:w="1931" w:type="pct"/>
            <w:shd w:val="clear" w:color="auto" w:fill="auto"/>
            <w:vAlign w:val="bottom"/>
          </w:tcPr>
          <w:p w:rsidR="007D17C5" w:rsidRPr="00143624" w:rsidRDefault="007D17C5" w:rsidP="009558BE">
            <w:pPr>
              <w:pStyle w:val="Tabletext"/>
              <w:spacing w:before="50"/>
            </w:pPr>
            <w:r w:rsidRPr="00143624">
              <w:t>17.383</w:t>
            </w:r>
          </w:p>
        </w:tc>
        <w:tc>
          <w:tcPr>
            <w:tcW w:w="1499" w:type="pct"/>
            <w:shd w:val="clear" w:color="auto" w:fill="auto"/>
          </w:tcPr>
          <w:p w:rsidR="007D17C5" w:rsidRPr="00143624" w:rsidRDefault="007D17C5" w:rsidP="009558BE">
            <w:pPr>
              <w:pStyle w:val="Tabletext"/>
              <w:spacing w:before="50"/>
            </w:pPr>
            <w:r w:rsidRPr="00143624">
              <w:t>13.089</w:t>
            </w:r>
          </w:p>
        </w:tc>
      </w:tr>
      <w:tr w:rsidR="007D17C5" w:rsidRPr="00143624" w:rsidTr="009558BE">
        <w:tc>
          <w:tcPr>
            <w:tcW w:w="431" w:type="pct"/>
            <w:shd w:val="clear" w:color="auto" w:fill="auto"/>
          </w:tcPr>
          <w:p w:rsidR="007D17C5" w:rsidRPr="00143624" w:rsidRDefault="007D17C5" w:rsidP="009558BE">
            <w:pPr>
              <w:pStyle w:val="Tabletext"/>
            </w:pPr>
            <w:r w:rsidRPr="00143624">
              <w:t>41</w:t>
            </w:r>
          </w:p>
        </w:tc>
        <w:tc>
          <w:tcPr>
            <w:tcW w:w="1138" w:type="pct"/>
            <w:shd w:val="clear" w:color="auto" w:fill="auto"/>
          </w:tcPr>
          <w:p w:rsidR="007D17C5" w:rsidRPr="00143624" w:rsidRDefault="007D17C5" w:rsidP="009558BE">
            <w:pPr>
              <w:pStyle w:val="Tabletext"/>
              <w:spacing w:before="50"/>
            </w:pPr>
            <w:r w:rsidRPr="00143624">
              <w:t>58</w:t>
            </w:r>
          </w:p>
        </w:tc>
        <w:tc>
          <w:tcPr>
            <w:tcW w:w="1931" w:type="pct"/>
            <w:shd w:val="clear" w:color="auto" w:fill="auto"/>
            <w:vAlign w:val="bottom"/>
          </w:tcPr>
          <w:p w:rsidR="007D17C5" w:rsidRPr="00143624" w:rsidRDefault="007D17C5" w:rsidP="009558BE">
            <w:pPr>
              <w:pStyle w:val="Tabletext"/>
              <w:spacing w:before="50"/>
            </w:pPr>
            <w:r w:rsidRPr="00143624">
              <w:t>17.100</w:t>
            </w:r>
          </w:p>
        </w:tc>
        <w:tc>
          <w:tcPr>
            <w:tcW w:w="1499" w:type="pct"/>
            <w:shd w:val="clear" w:color="auto" w:fill="auto"/>
          </w:tcPr>
          <w:p w:rsidR="007D17C5" w:rsidRPr="00143624" w:rsidRDefault="007D17C5" w:rsidP="009558BE">
            <w:pPr>
              <w:pStyle w:val="Tabletext"/>
              <w:spacing w:before="50"/>
            </w:pPr>
            <w:r w:rsidRPr="00143624">
              <w:t>12.943</w:t>
            </w:r>
          </w:p>
        </w:tc>
      </w:tr>
      <w:tr w:rsidR="007D17C5" w:rsidRPr="00143624" w:rsidTr="009558BE">
        <w:tc>
          <w:tcPr>
            <w:tcW w:w="431" w:type="pct"/>
            <w:shd w:val="clear" w:color="auto" w:fill="auto"/>
          </w:tcPr>
          <w:p w:rsidR="007D17C5" w:rsidRPr="00143624" w:rsidRDefault="007D17C5" w:rsidP="009558BE">
            <w:pPr>
              <w:pStyle w:val="Tabletext"/>
            </w:pPr>
            <w:r w:rsidRPr="00143624">
              <w:t>42</w:t>
            </w:r>
          </w:p>
        </w:tc>
        <w:tc>
          <w:tcPr>
            <w:tcW w:w="1138" w:type="pct"/>
            <w:shd w:val="clear" w:color="auto" w:fill="auto"/>
          </w:tcPr>
          <w:p w:rsidR="007D17C5" w:rsidRPr="00143624" w:rsidRDefault="007D17C5" w:rsidP="009558BE">
            <w:pPr>
              <w:pStyle w:val="Tabletext"/>
              <w:spacing w:before="50"/>
            </w:pPr>
            <w:r w:rsidRPr="00143624">
              <w:t>59</w:t>
            </w:r>
          </w:p>
        </w:tc>
        <w:tc>
          <w:tcPr>
            <w:tcW w:w="1931" w:type="pct"/>
            <w:shd w:val="clear" w:color="auto" w:fill="auto"/>
            <w:vAlign w:val="bottom"/>
          </w:tcPr>
          <w:p w:rsidR="007D17C5" w:rsidRPr="00143624" w:rsidRDefault="007D17C5" w:rsidP="009558BE">
            <w:pPr>
              <w:pStyle w:val="Tabletext"/>
              <w:spacing w:before="50"/>
            </w:pPr>
            <w:r w:rsidRPr="00143624">
              <w:t>16.810</w:t>
            </w:r>
          </w:p>
        </w:tc>
        <w:tc>
          <w:tcPr>
            <w:tcW w:w="1499" w:type="pct"/>
            <w:shd w:val="clear" w:color="auto" w:fill="auto"/>
          </w:tcPr>
          <w:p w:rsidR="007D17C5" w:rsidRPr="00143624" w:rsidRDefault="007D17C5" w:rsidP="009558BE">
            <w:pPr>
              <w:pStyle w:val="Tabletext"/>
              <w:spacing w:before="50"/>
            </w:pPr>
            <w:r w:rsidRPr="00143624">
              <w:t>12.790</w:t>
            </w:r>
          </w:p>
        </w:tc>
      </w:tr>
      <w:tr w:rsidR="007D17C5" w:rsidRPr="00143624" w:rsidTr="009558BE">
        <w:tc>
          <w:tcPr>
            <w:tcW w:w="431" w:type="pct"/>
            <w:shd w:val="clear" w:color="auto" w:fill="auto"/>
          </w:tcPr>
          <w:p w:rsidR="007D17C5" w:rsidRPr="00143624" w:rsidRDefault="007D17C5" w:rsidP="009558BE">
            <w:pPr>
              <w:pStyle w:val="Tabletext"/>
            </w:pPr>
            <w:r w:rsidRPr="00143624">
              <w:t>43</w:t>
            </w:r>
          </w:p>
        </w:tc>
        <w:tc>
          <w:tcPr>
            <w:tcW w:w="1138" w:type="pct"/>
            <w:shd w:val="clear" w:color="auto" w:fill="auto"/>
          </w:tcPr>
          <w:p w:rsidR="007D17C5" w:rsidRPr="00143624" w:rsidRDefault="007D17C5" w:rsidP="009558BE">
            <w:pPr>
              <w:pStyle w:val="Tabletext"/>
              <w:spacing w:before="50"/>
            </w:pPr>
            <w:r w:rsidRPr="00143624">
              <w:t>60</w:t>
            </w:r>
          </w:p>
        </w:tc>
        <w:tc>
          <w:tcPr>
            <w:tcW w:w="1931" w:type="pct"/>
            <w:shd w:val="clear" w:color="auto" w:fill="auto"/>
            <w:vAlign w:val="bottom"/>
          </w:tcPr>
          <w:p w:rsidR="007D17C5" w:rsidRPr="00143624" w:rsidRDefault="007D17C5" w:rsidP="009558BE">
            <w:pPr>
              <w:pStyle w:val="Tabletext"/>
              <w:spacing w:before="50"/>
            </w:pPr>
            <w:r w:rsidRPr="00143624">
              <w:t>16.513</w:t>
            </w:r>
          </w:p>
        </w:tc>
        <w:tc>
          <w:tcPr>
            <w:tcW w:w="1499" w:type="pct"/>
            <w:shd w:val="clear" w:color="auto" w:fill="auto"/>
          </w:tcPr>
          <w:p w:rsidR="007D17C5" w:rsidRPr="00143624" w:rsidRDefault="007D17C5" w:rsidP="009558BE">
            <w:pPr>
              <w:pStyle w:val="Tabletext"/>
              <w:spacing w:before="50"/>
            </w:pPr>
            <w:r w:rsidRPr="00143624">
              <w:t>12.631</w:t>
            </w:r>
          </w:p>
        </w:tc>
      </w:tr>
      <w:tr w:rsidR="007D17C5" w:rsidRPr="00143624" w:rsidTr="009558BE">
        <w:tc>
          <w:tcPr>
            <w:tcW w:w="431" w:type="pct"/>
            <w:shd w:val="clear" w:color="auto" w:fill="auto"/>
          </w:tcPr>
          <w:p w:rsidR="007D17C5" w:rsidRPr="00143624" w:rsidRDefault="007D17C5" w:rsidP="009558BE">
            <w:pPr>
              <w:pStyle w:val="Tabletext"/>
            </w:pPr>
            <w:r w:rsidRPr="00143624">
              <w:t>44</w:t>
            </w:r>
          </w:p>
        </w:tc>
        <w:tc>
          <w:tcPr>
            <w:tcW w:w="1138" w:type="pct"/>
            <w:shd w:val="clear" w:color="auto" w:fill="auto"/>
          </w:tcPr>
          <w:p w:rsidR="007D17C5" w:rsidRPr="00143624" w:rsidRDefault="007D17C5" w:rsidP="009558BE">
            <w:pPr>
              <w:pStyle w:val="Tabletext"/>
              <w:spacing w:before="50"/>
            </w:pPr>
            <w:r w:rsidRPr="00143624">
              <w:t>61</w:t>
            </w:r>
          </w:p>
        </w:tc>
        <w:tc>
          <w:tcPr>
            <w:tcW w:w="1931" w:type="pct"/>
            <w:shd w:val="clear" w:color="auto" w:fill="auto"/>
            <w:vAlign w:val="bottom"/>
          </w:tcPr>
          <w:p w:rsidR="007D17C5" w:rsidRPr="00143624" w:rsidRDefault="007D17C5" w:rsidP="009558BE">
            <w:pPr>
              <w:pStyle w:val="Tabletext"/>
              <w:spacing w:before="50"/>
            </w:pPr>
            <w:r w:rsidRPr="00143624">
              <w:t>16.209</w:t>
            </w:r>
          </w:p>
        </w:tc>
        <w:tc>
          <w:tcPr>
            <w:tcW w:w="1499" w:type="pct"/>
            <w:shd w:val="clear" w:color="auto" w:fill="auto"/>
          </w:tcPr>
          <w:p w:rsidR="007D17C5" w:rsidRPr="00143624" w:rsidRDefault="007D17C5" w:rsidP="009558BE">
            <w:pPr>
              <w:pStyle w:val="Tabletext"/>
              <w:spacing w:before="50"/>
            </w:pPr>
            <w:r w:rsidRPr="00143624">
              <w:t>12.465</w:t>
            </w:r>
          </w:p>
        </w:tc>
      </w:tr>
      <w:tr w:rsidR="007D17C5" w:rsidRPr="00143624" w:rsidTr="009558BE">
        <w:tc>
          <w:tcPr>
            <w:tcW w:w="431" w:type="pct"/>
            <w:shd w:val="clear" w:color="auto" w:fill="auto"/>
          </w:tcPr>
          <w:p w:rsidR="007D17C5" w:rsidRPr="00143624" w:rsidRDefault="007D17C5" w:rsidP="009558BE">
            <w:pPr>
              <w:pStyle w:val="Tabletext"/>
            </w:pPr>
            <w:r w:rsidRPr="00143624">
              <w:t>45</w:t>
            </w:r>
          </w:p>
        </w:tc>
        <w:tc>
          <w:tcPr>
            <w:tcW w:w="1138" w:type="pct"/>
            <w:shd w:val="clear" w:color="auto" w:fill="auto"/>
          </w:tcPr>
          <w:p w:rsidR="007D17C5" w:rsidRPr="00143624" w:rsidRDefault="007D17C5" w:rsidP="009558BE">
            <w:pPr>
              <w:pStyle w:val="Tabletext"/>
              <w:spacing w:before="50"/>
            </w:pPr>
            <w:r w:rsidRPr="00143624">
              <w:t>62</w:t>
            </w:r>
          </w:p>
        </w:tc>
        <w:tc>
          <w:tcPr>
            <w:tcW w:w="1931" w:type="pct"/>
            <w:shd w:val="clear" w:color="auto" w:fill="auto"/>
            <w:vAlign w:val="bottom"/>
          </w:tcPr>
          <w:p w:rsidR="007D17C5" w:rsidRPr="00143624" w:rsidRDefault="007D17C5" w:rsidP="009558BE">
            <w:pPr>
              <w:pStyle w:val="Tabletext"/>
              <w:spacing w:before="50"/>
            </w:pPr>
            <w:r w:rsidRPr="00143624">
              <w:t>15.891</w:t>
            </w:r>
          </w:p>
        </w:tc>
        <w:tc>
          <w:tcPr>
            <w:tcW w:w="1499" w:type="pct"/>
            <w:shd w:val="clear" w:color="auto" w:fill="auto"/>
          </w:tcPr>
          <w:p w:rsidR="007D17C5" w:rsidRPr="00143624" w:rsidRDefault="007D17C5" w:rsidP="009558BE">
            <w:pPr>
              <w:pStyle w:val="Tabletext"/>
              <w:spacing w:before="50"/>
            </w:pPr>
            <w:r w:rsidRPr="00143624">
              <w:t>12.287</w:t>
            </w:r>
          </w:p>
        </w:tc>
      </w:tr>
      <w:tr w:rsidR="007D17C5" w:rsidRPr="00143624" w:rsidTr="009558BE">
        <w:tc>
          <w:tcPr>
            <w:tcW w:w="431" w:type="pct"/>
            <w:shd w:val="clear" w:color="auto" w:fill="auto"/>
          </w:tcPr>
          <w:p w:rsidR="007D17C5" w:rsidRPr="00143624" w:rsidRDefault="007D17C5" w:rsidP="009558BE">
            <w:pPr>
              <w:pStyle w:val="Tabletext"/>
            </w:pPr>
            <w:r w:rsidRPr="00143624">
              <w:t>46</w:t>
            </w:r>
          </w:p>
        </w:tc>
        <w:tc>
          <w:tcPr>
            <w:tcW w:w="1138" w:type="pct"/>
            <w:shd w:val="clear" w:color="auto" w:fill="auto"/>
          </w:tcPr>
          <w:p w:rsidR="007D17C5" w:rsidRPr="00143624" w:rsidRDefault="007D17C5" w:rsidP="009558BE">
            <w:pPr>
              <w:pStyle w:val="Tabletext"/>
              <w:spacing w:before="50"/>
            </w:pPr>
            <w:r w:rsidRPr="00143624">
              <w:t>63</w:t>
            </w:r>
          </w:p>
        </w:tc>
        <w:tc>
          <w:tcPr>
            <w:tcW w:w="1931" w:type="pct"/>
            <w:shd w:val="clear" w:color="auto" w:fill="auto"/>
            <w:vAlign w:val="bottom"/>
          </w:tcPr>
          <w:p w:rsidR="007D17C5" w:rsidRPr="00143624" w:rsidRDefault="007D17C5" w:rsidP="009558BE">
            <w:pPr>
              <w:pStyle w:val="Tabletext"/>
              <w:spacing w:before="50"/>
            </w:pPr>
            <w:r w:rsidRPr="00143624">
              <w:t>15.558</w:t>
            </w:r>
          </w:p>
        </w:tc>
        <w:tc>
          <w:tcPr>
            <w:tcW w:w="1499" w:type="pct"/>
            <w:shd w:val="clear" w:color="auto" w:fill="auto"/>
          </w:tcPr>
          <w:p w:rsidR="007D17C5" w:rsidRPr="00143624" w:rsidRDefault="007D17C5" w:rsidP="009558BE">
            <w:pPr>
              <w:pStyle w:val="Tabletext"/>
              <w:spacing w:before="50"/>
            </w:pPr>
            <w:r w:rsidRPr="00143624">
              <w:t>12.099</w:t>
            </w:r>
          </w:p>
        </w:tc>
      </w:tr>
      <w:tr w:rsidR="007D17C5" w:rsidRPr="00143624" w:rsidTr="009558BE">
        <w:tc>
          <w:tcPr>
            <w:tcW w:w="431" w:type="pct"/>
            <w:shd w:val="clear" w:color="auto" w:fill="auto"/>
          </w:tcPr>
          <w:p w:rsidR="007D17C5" w:rsidRPr="00143624" w:rsidRDefault="007D17C5" w:rsidP="009558BE">
            <w:pPr>
              <w:pStyle w:val="Tabletext"/>
            </w:pPr>
            <w:r w:rsidRPr="00143624">
              <w:t>47</w:t>
            </w:r>
          </w:p>
        </w:tc>
        <w:tc>
          <w:tcPr>
            <w:tcW w:w="1138" w:type="pct"/>
            <w:shd w:val="clear" w:color="auto" w:fill="auto"/>
          </w:tcPr>
          <w:p w:rsidR="007D17C5" w:rsidRPr="00143624" w:rsidRDefault="007D17C5" w:rsidP="009558BE">
            <w:pPr>
              <w:pStyle w:val="Tabletext"/>
              <w:spacing w:before="50"/>
            </w:pPr>
            <w:r w:rsidRPr="00143624">
              <w:t>64</w:t>
            </w:r>
          </w:p>
        </w:tc>
        <w:tc>
          <w:tcPr>
            <w:tcW w:w="1931" w:type="pct"/>
            <w:shd w:val="clear" w:color="auto" w:fill="auto"/>
            <w:vAlign w:val="bottom"/>
          </w:tcPr>
          <w:p w:rsidR="007D17C5" w:rsidRPr="00143624" w:rsidRDefault="007D17C5" w:rsidP="009558BE">
            <w:pPr>
              <w:pStyle w:val="Tabletext"/>
              <w:spacing w:before="50"/>
            </w:pPr>
            <w:r w:rsidRPr="00143624">
              <w:t>15.213</w:t>
            </w:r>
          </w:p>
        </w:tc>
        <w:tc>
          <w:tcPr>
            <w:tcW w:w="1499" w:type="pct"/>
            <w:shd w:val="clear" w:color="auto" w:fill="auto"/>
          </w:tcPr>
          <w:p w:rsidR="007D17C5" w:rsidRPr="00143624" w:rsidRDefault="007D17C5" w:rsidP="009558BE">
            <w:pPr>
              <w:pStyle w:val="Tabletext"/>
              <w:spacing w:before="50"/>
            </w:pPr>
            <w:r w:rsidRPr="00143624">
              <w:t>11.900</w:t>
            </w:r>
          </w:p>
        </w:tc>
      </w:tr>
      <w:tr w:rsidR="007D17C5" w:rsidRPr="00143624" w:rsidTr="009558BE">
        <w:tc>
          <w:tcPr>
            <w:tcW w:w="431" w:type="pct"/>
            <w:shd w:val="clear" w:color="auto" w:fill="auto"/>
          </w:tcPr>
          <w:p w:rsidR="007D17C5" w:rsidRPr="00143624" w:rsidRDefault="007D17C5" w:rsidP="009558BE">
            <w:pPr>
              <w:pStyle w:val="Tabletext"/>
            </w:pPr>
            <w:r w:rsidRPr="00143624">
              <w:t>48</w:t>
            </w:r>
          </w:p>
        </w:tc>
        <w:tc>
          <w:tcPr>
            <w:tcW w:w="1138" w:type="pct"/>
            <w:shd w:val="clear" w:color="auto" w:fill="auto"/>
          </w:tcPr>
          <w:p w:rsidR="007D17C5" w:rsidRPr="00143624" w:rsidRDefault="007D17C5" w:rsidP="009558BE">
            <w:pPr>
              <w:pStyle w:val="Tabletext"/>
              <w:spacing w:before="50"/>
            </w:pPr>
            <w:r w:rsidRPr="00143624">
              <w:t>65</w:t>
            </w:r>
          </w:p>
        </w:tc>
        <w:tc>
          <w:tcPr>
            <w:tcW w:w="1931" w:type="pct"/>
            <w:shd w:val="clear" w:color="auto" w:fill="auto"/>
            <w:vAlign w:val="bottom"/>
          </w:tcPr>
          <w:p w:rsidR="007D17C5" w:rsidRPr="00143624" w:rsidRDefault="007D17C5" w:rsidP="009558BE">
            <w:pPr>
              <w:pStyle w:val="Tabletext"/>
              <w:spacing w:before="50"/>
            </w:pPr>
            <w:r w:rsidRPr="00143624">
              <w:t>14.861</w:t>
            </w:r>
          </w:p>
        </w:tc>
        <w:tc>
          <w:tcPr>
            <w:tcW w:w="1499" w:type="pct"/>
            <w:shd w:val="clear" w:color="auto" w:fill="auto"/>
          </w:tcPr>
          <w:p w:rsidR="007D17C5" w:rsidRPr="00143624" w:rsidRDefault="007D17C5" w:rsidP="009558BE">
            <w:pPr>
              <w:pStyle w:val="Tabletext"/>
              <w:spacing w:before="50"/>
            </w:pPr>
            <w:r w:rsidRPr="00143624">
              <w:t>11.693</w:t>
            </w:r>
          </w:p>
        </w:tc>
      </w:tr>
      <w:tr w:rsidR="007D17C5" w:rsidRPr="00143624" w:rsidTr="009558BE">
        <w:tc>
          <w:tcPr>
            <w:tcW w:w="431" w:type="pct"/>
            <w:shd w:val="clear" w:color="auto" w:fill="auto"/>
          </w:tcPr>
          <w:p w:rsidR="007D17C5" w:rsidRPr="00143624" w:rsidRDefault="007D17C5" w:rsidP="009558BE">
            <w:pPr>
              <w:pStyle w:val="Tabletext"/>
            </w:pPr>
            <w:r w:rsidRPr="00143624">
              <w:t>49</w:t>
            </w:r>
          </w:p>
        </w:tc>
        <w:tc>
          <w:tcPr>
            <w:tcW w:w="1138" w:type="pct"/>
            <w:shd w:val="clear" w:color="auto" w:fill="auto"/>
          </w:tcPr>
          <w:p w:rsidR="007D17C5" w:rsidRPr="00143624" w:rsidRDefault="007D17C5" w:rsidP="009558BE">
            <w:pPr>
              <w:pStyle w:val="Tabletext"/>
              <w:spacing w:before="50"/>
            </w:pPr>
            <w:r w:rsidRPr="00143624">
              <w:t>66</w:t>
            </w:r>
          </w:p>
        </w:tc>
        <w:tc>
          <w:tcPr>
            <w:tcW w:w="1931" w:type="pct"/>
            <w:shd w:val="clear" w:color="auto" w:fill="auto"/>
            <w:vAlign w:val="bottom"/>
          </w:tcPr>
          <w:p w:rsidR="007D17C5" w:rsidRPr="00143624" w:rsidRDefault="007D17C5" w:rsidP="009558BE">
            <w:pPr>
              <w:pStyle w:val="Tabletext"/>
              <w:spacing w:before="50"/>
            </w:pPr>
            <w:r w:rsidRPr="00143624">
              <w:t>14.506</w:t>
            </w:r>
          </w:p>
        </w:tc>
        <w:tc>
          <w:tcPr>
            <w:tcW w:w="1499" w:type="pct"/>
            <w:shd w:val="clear" w:color="auto" w:fill="auto"/>
          </w:tcPr>
          <w:p w:rsidR="007D17C5" w:rsidRPr="00143624" w:rsidRDefault="007D17C5" w:rsidP="009558BE">
            <w:pPr>
              <w:pStyle w:val="Tabletext"/>
              <w:spacing w:before="50"/>
            </w:pPr>
            <w:r w:rsidRPr="00143624">
              <w:t>11.480</w:t>
            </w:r>
          </w:p>
        </w:tc>
      </w:tr>
      <w:tr w:rsidR="007D17C5" w:rsidRPr="00143624" w:rsidTr="009558BE">
        <w:tc>
          <w:tcPr>
            <w:tcW w:w="431" w:type="pct"/>
            <w:shd w:val="clear" w:color="auto" w:fill="auto"/>
          </w:tcPr>
          <w:p w:rsidR="007D17C5" w:rsidRPr="00143624" w:rsidRDefault="007D17C5" w:rsidP="009558BE">
            <w:pPr>
              <w:pStyle w:val="Tabletext"/>
            </w:pPr>
            <w:r w:rsidRPr="00143624">
              <w:t>50</w:t>
            </w:r>
          </w:p>
        </w:tc>
        <w:tc>
          <w:tcPr>
            <w:tcW w:w="1138" w:type="pct"/>
            <w:shd w:val="clear" w:color="auto" w:fill="auto"/>
          </w:tcPr>
          <w:p w:rsidR="007D17C5" w:rsidRPr="00143624" w:rsidRDefault="007D17C5" w:rsidP="009558BE">
            <w:pPr>
              <w:pStyle w:val="Tabletext"/>
              <w:spacing w:before="50"/>
            </w:pPr>
            <w:r w:rsidRPr="00143624">
              <w:t>67</w:t>
            </w:r>
          </w:p>
        </w:tc>
        <w:tc>
          <w:tcPr>
            <w:tcW w:w="1931" w:type="pct"/>
            <w:shd w:val="clear" w:color="auto" w:fill="auto"/>
            <w:vAlign w:val="bottom"/>
          </w:tcPr>
          <w:p w:rsidR="007D17C5" w:rsidRPr="00143624" w:rsidRDefault="007D17C5" w:rsidP="009558BE">
            <w:pPr>
              <w:pStyle w:val="Tabletext"/>
              <w:spacing w:before="50"/>
            </w:pPr>
            <w:r w:rsidRPr="00143624">
              <w:t>14.144</w:t>
            </w:r>
          </w:p>
        </w:tc>
        <w:tc>
          <w:tcPr>
            <w:tcW w:w="1499" w:type="pct"/>
            <w:shd w:val="clear" w:color="auto" w:fill="auto"/>
          </w:tcPr>
          <w:p w:rsidR="007D17C5" w:rsidRPr="00143624" w:rsidRDefault="007D17C5" w:rsidP="009558BE">
            <w:pPr>
              <w:pStyle w:val="Tabletext"/>
              <w:spacing w:before="50"/>
            </w:pPr>
            <w:r w:rsidRPr="00143624">
              <w:t>11.260</w:t>
            </w:r>
          </w:p>
        </w:tc>
      </w:tr>
      <w:tr w:rsidR="007D17C5" w:rsidRPr="00143624" w:rsidTr="009558BE">
        <w:tc>
          <w:tcPr>
            <w:tcW w:w="431" w:type="pct"/>
            <w:shd w:val="clear" w:color="auto" w:fill="auto"/>
          </w:tcPr>
          <w:p w:rsidR="007D17C5" w:rsidRPr="00143624" w:rsidRDefault="007D17C5" w:rsidP="009558BE">
            <w:pPr>
              <w:pStyle w:val="Tabletext"/>
            </w:pPr>
            <w:r w:rsidRPr="00143624">
              <w:t>51</w:t>
            </w:r>
          </w:p>
        </w:tc>
        <w:tc>
          <w:tcPr>
            <w:tcW w:w="1138" w:type="pct"/>
            <w:shd w:val="clear" w:color="auto" w:fill="auto"/>
          </w:tcPr>
          <w:p w:rsidR="007D17C5" w:rsidRPr="00143624" w:rsidRDefault="007D17C5" w:rsidP="009558BE">
            <w:pPr>
              <w:pStyle w:val="Tabletext"/>
              <w:spacing w:before="50"/>
            </w:pPr>
            <w:r w:rsidRPr="00143624">
              <w:t>68</w:t>
            </w:r>
          </w:p>
        </w:tc>
        <w:tc>
          <w:tcPr>
            <w:tcW w:w="1931" w:type="pct"/>
            <w:shd w:val="clear" w:color="auto" w:fill="auto"/>
            <w:vAlign w:val="bottom"/>
          </w:tcPr>
          <w:p w:rsidR="007D17C5" w:rsidRPr="00143624" w:rsidRDefault="007D17C5" w:rsidP="009558BE">
            <w:pPr>
              <w:pStyle w:val="Tabletext"/>
              <w:spacing w:before="50"/>
            </w:pPr>
            <w:r w:rsidRPr="00143624">
              <w:t>13.775</w:t>
            </w:r>
          </w:p>
        </w:tc>
        <w:tc>
          <w:tcPr>
            <w:tcW w:w="1499" w:type="pct"/>
            <w:shd w:val="clear" w:color="auto" w:fill="auto"/>
          </w:tcPr>
          <w:p w:rsidR="007D17C5" w:rsidRPr="00143624" w:rsidRDefault="007D17C5" w:rsidP="009558BE">
            <w:pPr>
              <w:pStyle w:val="Tabletext"/>
              <w:spacing w:before="50"/>
            </w:pPr>
            <w:r w:rsidRPr="00143624">
              <w:t>11.032</w:t>
            </w:r>
          </w:p>
        </w:tc>
      </w:tr>
      <w:tr w:rsidR="007D17C5" w:rsidRPr="00143624" w:rsidTr="009558BE">
        <w:tc>
          <w:tcPr>
            <w:tcW w:w="431" w:type="pct"/>
            <w:shd w:val="clear" w:color="auto" w:fill="auto"/>
          </w:tcPr>
          <w:p w:rsidR="007D17C5" w:rsidRPr="00143624" w:rsidRDefault="007D17C5" w:rsidP="009558BE">
            <w:pPr>
              <w:pStyle w:val="Tabletext"/>
            </w:pPr>
            <w:r w:rsidRPr="00143624">
              <w:t>52</w:t>
            </w:r>
          </w:p>
        </w:tc>
        <w:tc>
          <w:tcPr>
            <w:tcW w:w="1138" w:type="pct"/>
            <w:shd w:val="clear" w:color="auto" w:fill="auto"/>
          </w:tcPr>
          <w:p w:rsidR="007D17C5" w:rsidRPr="00143624" w:rsidRDefault="007D17C5" w:rsidP="009558BE">
            <w:pPr>
              <w:pStyle w:val="Tabletext"/>
              <w:spacing w:before="50"/>
            </w:pPr>
            <w:r w:rsidRPr="00143624">
              <w:t>69</w:t>
            </w:r>
          </w:p>
        </w:tc>
        <w:tc>
          <w:tcPr>
            <w:tcW w:w="1931" w:type="pct"/>
            <w:shd w:val="clear" w:color="auto" w:fill="auto"/>
            <w:vAlign w:val="bottom"/>
          </w:tcPr>
          <w:p w:rsidR="007D17C5" w:rsidRPr="00143624" w:rsidRDefault="007D17C5" w:rsidP="009558BE">
            <w:pPr>
              <w:pStyle w:val="Tabletext"/>
              <w:spacing w:before="50"/>
            </w:pPr>
            <w:r w:rsidRPr="00143624">
              <w:t>13.396</w:t>
            </w:r>
          </w:p>
        </w:tc>
        <w:tc>
          <w:tcPr>
            <w:tcW w:w="1499" w:type="pct"/>
            <w:shd w:val="clear" w:color="auto" w:fill="auto"/>
          </w:tcPr>
          <w:p w:rsidR="007D17C5" w:rsidRPr="00143624" w:rsidRDefault="007D17C5" w:rsidP="009558BE">
            <w:pPr>
              <w:pStyle w:val="Tabletext"/>
              <w:spacing w:before="50"/>
            </w:pPr>
            <w:r w:rsidRPr="00143624">
              <w:t>10.794</w:t>
            </w:r>
          </w:p>
        </w:tc>
      </w:tr>
      <w:tr w:rsidR="007D17C5" w:rsidRPr="00143624" w:rsidTr="009558BE">
        <w:tc>
          <w:tcPr>
            <w:tcW w:w="431" w:type="pct"/>
            <w:shd w:val="clear" w:color="auto" w:fill="auto"/>
          </w:tcPr>
          <w:p w:rsidR="007D17C5" w:rsidRPr="00143624" w:rsidRDefault="007D17C5" w:rsidP="009558BE">
            <w:pPr>
              <w:pStyle w:val="Tabletext"/>
            </w:pPr>
            <w:r w:rsidRPr="00143624">
              <w:t>53</w:t>
            </w:r>
          </w:p>
        </w:tc>
        <w:tc>
          <w:tcPr>
            <w:tcW w:w="1138" w:type="pct"/>
            <w:shd w:val="clear" w:color="auto" w:fill="auto"/>
          </w:tcPr>
          <w:p w:rsidR="007D17C5" w:rsidRPr="00143624" w:rsidRDefault="007D17C5" w:rsidP="009558BE">
            <w:pPr>
              <w:pStyle w:val="Tabletext"/>
              <w:spacing w:before="50"/>
            </w:pPr>
            <w:r w:rsidRPr="00143624">
              <w:t>70</w:t>
            </w:r>
          </w:p>
        </w:tc>
        <w:tc>
          <w:tcPr>
            <w:tcW w:w="1931" w:type="pct"/>
            <w:shd w:val="clear" w:color="auto" w:fill="auto"/>
            <w:vAlign w:val="bottom"/>
          </w:tcPr>
          <w:p w:rsidR="007D17C5" w:rsidRPr="00143624" w:rsidRDefault="007D17C5" w:rsidP="009558BE">
            <w:pPr>
              <w:pStyle w:val="Tabletext"/>
              <w:spacing w:before="50"/>
            </w:pPr>
            <w:r w:rsidRPr="00143624">
              <w:t>13.011</w:t>
            </w:r>
          </w:p>
        </w:tc>
        <w:tc>
          <w:tcPr>
            <w:tcW w:w="1499" w:type="pct"/>
            <w:shd w:val="clear" w:color="auto" w:fill="auto"/>
          </w:tcPr>
          <w:p w:rsidR="007D17C5" w:rsidRPr="00143624" w:rsidRDefault="007D17C5" w:rsidP="009558BE">
            <w:pPr>
              <w:pStyle w:val="Tabletext"/>
              <w:spacing w:before="50"/>
            </w:pPr>
            <w:r w:rsidRPr="00143624">
              <w:t>10.548</w:t>
            </w:r>
          </w:p>
        </w:tc>
      </w:tr>
      <w:tr w:rsidR="007D17C5" w:rsidRPr="00143624" w:rsidTr="009558BE">
        <w:tc>
          <w:tcPr>
            <w:tcW w:w="431" w:type="pct"/>
            <w:shd w:val="clear" w:color="auto" w:fill="auto"/>
          </w:tcPr>
          <w:p w:rsidR="007D17C5" w:rsidRPr="00143624" w:rsidRDefault="007D17C5" w:rsidP="009558BE">
            <w:pPr>
              <w:pStyle w:val="Tabletext"/>
            </w:pPr>
            <w:r w:rsidRPr="00143624">
              <w:t>54</w:t>
            </w:r>
          </w:p>
        </w:tc>
        <w:tc>
          <w:tcPr>
            <w:tcW w:w="1138" w:type="pct"/>
            <w:shd w:val="clear" w:color="auto" w:fill="auto"/>
          </w:tcPr>
          <w:p w:rsidR="007D17C5" w:rsidRPr="00143624" w:rsidRDefault="007D17C5" w:rsidP="009558BE">
            <w:pPr>
              <w:pStyle w:val="Tabletext"/>
              <w:spacing w:before="50"/>
            </w:pPr>
            <w:r w:rsidRPr="00143624">
              <w:t>71</w:t>
            </w:r>
          </w:p>
        </w:tc>
        <w:tc>
          <w:tcPr>
            <w:tcW w:w="1931" w:type="pct"/>
            <w:shd w:val="clear" w:color="auto" w:fill="auto"/>
            <w:vAlign w:val="bottom"/>
          </w:tcPr>
          <w:p w:rsidR="007D17C5" w:rsidRPr="00143624" w:rsidRDefault="007D17C5" w:rsidP="009558BE">
            <w:pPr>
              <w:pStyle w:val="Tabletext"/>
              <w:spacing w:before="50"/>
            </w:pPr>
            <w:r w:rsidRPr="00143624">
              <w:t>12.627</w:t>
            </w:r>
          </w:p>
        </w:tc>
        <w:tc>
          <w:tcPr>
            <w:tcW w:w="1499" w:type="pct"/>
            <w:shd w:val="clear" w:color="auto" w:fill="auto"/>
          </w:tcPr>
          <w:p w:rsidR="007D17C5" w:rsidRPr="00143624" w:rsidRDefault="007D17C5" w:rsidP="009558BE">
            <w:pPr>
              <w:pStyle w:val="Tabletext"/>
              <w:spacing w:before="50"/>
            </w:pPr>
            <w:r w:rsidRPr="00143624">
              <w:t>10.297</w:t>
            </w:r>
          </w:p>
        </w:tc>
      </w:tr>
      <w:tr w:rsidR="007D17C5" w:rsidRPr="00143624" w:rsidTr="009558BE">
        <w:tc>
          <w:tcPr>
            <w:tcW w:w="431" w:type="pct"/>
            <w:shd w:val="clear" w:color="auto" w:fill="auto"/>
          </w:tcPr>
          <w:p w:rsidR="007D17C5" w:rsidRPr="00143624" w:rsidRDefault="007D17C5" w:rsidP="009558BE">
            <w:pPr>
              <w:pStyle w:val="Tabletext"/>
            </w:pPr>
            <w:r w:rsidRPr="00143624">
              <w:lastRenderedPageBreak/>
              <w:t>55</w:t>
            </w:r>
          </w:p>
        </w:tc>
        <w:tc>
          <w:tcPr>
            <w:tcW w:w="1138" w:type="pct"/>
            <w:shd w:val="clear" w:color="auto" w:fill="auto"/>
          </w:tcPr>
          <w:p w:rsidR="007D17C5" w:rsidRPr="00143624" w:rsidRDefault="007D17C5" w:rsidP="009558BE">
            <w:pPr>
              <w:pStyle w:val="Tabletext"/>
              <w:spacing w:before="50"/>
            </w:pPr>
            <w:r w:rsidRPr="00143624">
              <w:t>72</w:t>
            </w:r>
          </w:p>
        </w:tc>
        <w:tc>
          <w:tcPr>
            <w:tcW w:w="1931" w:type="pct"/>
            <w:shd w:val="clear" w:color="auto" w:fill="auto"/>
            <w:vAlign w:val="bottom"/>
          </w:tcPr>
          <w:p w:rsidR="007D17C5" w:rsidRPr="00143624" w:rsidRDefault="007D17C5" w:rsidP="009558BE">
            <w:pPr>
              <w:pStyle w:val="Tabletext"/>
              <w:spacing w:before="50"/>
            </w:pPr>
            <w:r w:rsidRPr="00143624">
              <w:t>12.230</w:t>
            </w:r>
          </w:p>
        </w:tc>
        <w:tc>
          <w:tcPr>
            <w:tcW w:w="1499" w:type="pct"/>
            <w:shd w:val="clear" w:color="auto" w:fill="auto"/>
          </w:tcPr>
          <w:p w:rsidR="007D17C5" w:rsidRPr="00143624" w:rsidRDefault="007D17C5" w:rsidP="009558BE">
            <w:pPr>
              <w:pStyle w:val="Tabletext"/>
              <w:spacing w:before="50"/>
            </w:pPr>
            <w:r w:rsidRPr="00143624">
              <w:t>10.035</w:t>
            </w:r>
          </w:p>
        </w:tc>
      </w:tr>
      <w:tr w:rsidR="007D17C5" w:rsidRPr="00143624" w:rsidTr="009558BE">
        <w:tc>
          <w:tcPr>
            <w:tcW w:w="431" w:type="pct"/>
            <w:shd w:val="clear" w:color="auto" w:fill="auto"/>
          </w:tcPr>
          <w:p w:rsidR="007D17C5" w:rsidRPr="00143624" w:rsidRDefault="007D17C5" w:rsidP="009558BE">
            <w:pPr>
              <w:pStyle w:val="Tabletext"/>
            </w:pPr>
            <w:r w:rsidRPr="00143624">
              <w:t>56</w:t>
            </w:r>
          </w:p>
        </w:tc>
        <w:tc>
          <w:tcPr>
            <w:tcW w:w="1138" w:type="pct"/>
            <w:shd w:val="clear" w:color="auto" w:fill="auto"/>
          </w:tcPr>
          <w:p w:rsidR="007D17C5" w:rsidRPr="00143624" w:rsidRDefault="007D17C5" w:rsidP="009558BE">
            <w:pPr>
              <w:pStyle w:val="Tabletext"/>
              <w:spacing w:before="50"/>
            </w:pPr>
            <w:r w:rsidRPr="00143624">
              <w:t>73</w:t>
            </w:r>
          </w:p>
        </w:tc>
        <w:tc>
          <w:tcPr>
            <w:tcW w:w="1931" w:type="pct"/>
            <w:shd w:val="clear" w:color="auto" w:fill="auto"/>
            <w:vAlign w:val="bottom"/>
          </w:tcPr>
          <w:p w:rsidR="007D17C5" w:rsidRPr="00143624" w:rsidRDefault="007D17C5" w:rsidP="009558BE">
            <w:pPr>
              <w:pStyle w:val="Tabletext"/>
              <w:spacing w:before="50"/>
            </w:pPr>
            <w:r w:rsidRPr="00143624">
              <w:t>11.815</w:t>
            </w:r>
          </w:p>
        </w:tc>
        <w:tc>
          <w:tcPr>
            <w:tcW w:w="1499" w:type="pct"/>
            <w:shd w:val="clear" w:color="auto" w:fill="auto"/>
          </w:tcPr>
          <w:p w:rsidR="007D17C5" w:rsidRPr="00143624" w:rsidRDefault="007D17C5" w:rsidP="009558BE">
            <w:pPr>
              <w:pStyle w:val="Tabletext"/>
              <w:spacing w:before="50"/>
            </w:pPr>
            <w:r w:rsidRPr="00143624">
              <w:t>9.756</w:t>
            </w:r>
          </w:p>
        </w:tc>
      </w:tr>
      <w:tr w:rsidR="007D17C5" w:rsidRPr="00143624" w:rsidTr="009558BE">
        <w:tc>
          <w:tcPr>
            <w:tcW w:w="431" w:type="pct"/>
            <w:shd w:val="clear" w:color="auto" w:fill="auto"/>
          </w:tcPr>
          <w:p w:rsidR="007D17C5" w:rsidRPr="00143624" w:rsidRDefault="007D17C5" w:rsidP="009558BE">
            <w:pPr>
              <w:pStyle w:val="Tabletext"/>
            </w:pPr>
            <w:r w:rsidRPr="00143624">
              <w:t>57</w:t>
            </w:r>
          </w:p>
        </w:tc>
        <w:tc>
          <w:tcPr>
            <w:tcW w:w="1138" w:type="pct"/>
            <w:shd w:val="clear" w:color="auto" w:fill="auto"/>
          </w:tcPr>
          <w:p w:rsidR="007D17C5" w:rsidRPr="00143624" w:rsidRDefault="007D17C5" w:rsidP="009558BE">
            <w:pPr>
              <w:pStyle w:val="Tabletext"/>
              <w:spacing w:before="50"/>
            </w:pPr>
            <w:r w:rsidRPr="00143624">
              <w:t>74</w:t>
            </w:r>
          </w:p>
        </w:tc>
        <w:tc>
          <w:tcPr>
            <w:tcW w:w="1931" w:type="pct"/>
            <w:shd w:val="clear" w:color="auto" w:fill="auto"/>
            <w:vAlign w:val="bottom"/>
          </w:tcPr>
          <w:p w:rsidR="007D17C5" w:rsidRPr="00143624" w:rsidRDefault="007D17C5" w:rsidP="009558BE">
            <w:pPr>
              <w:pStyle w:val="Tabletext"/>
              <w:spacing w:before="50"/>
            </w:pPr>
            <w:r w:rsidRPr="00143624">
              <w:t>11.398</w:t>
            </w:r>
          </w:p>
        </w:tc>
        <w:tc>
          <w:tcPr>
            <w:tcW w:w="1499" w:type="pct"/>
            <w:shd w:val="clear" w:color="auto" w:fill="auto"/>
          </w:tcPr>
          <w:p w:rsidR="007D17C5" w:rsidRPr="00143624" w:rsidRDefault="007D17C5" w:rsidP="009558BE">
            <w:pPr>
              <w:pStyle w:val="Tabletext"/>
              <w:spacing w:before="50"/>
            </w:pPr>
            <w:r w:rsidRPr="00143624">
              <w:t>9.471</w:t>
            </w:r>
          </w:p>
        </w:tc>
      </w:tr>
      <w:tr w:rsidR="007D17C5" w:rsidRPr="00143624" w:rsidTr="009558BE">
        <w:tc>
          <w:tcPr>
            <w:tcW w:w="431" w:type="pct"/>
            <w:shd w:val="clear" w:color="auto" w:fill="auto"/>
          </w:tcPr>
          <w:p w:rsidR="007D17C5" w:rsidRPr="00143624" w:rsidRDefault="007D17C5" w:rsidP="009558BE">
            <w:pPr>
              <w:pStyle w:val="Tabletext"/>
            </w:pPr>
            <w:r w:rsidRPr="00143624">
              <w:t>58</w:t>
            </w:r>
          </w:p>
        </w:tc>
        <w:tc>
          <w:tcPr>
            <w:tcW w:w="1138" w:type="pct"/>
            <w:shd w:val="clear" w:color="auto" w:fill="auto"/>
          </w:tcPr>
          <w:p w:rsidR="007D17C5" w:rsidRPr="00143624" w:rsidRDefault="007D17C5" w:rsidP="009558BE">
            <w:pPr>
              <w:pStyle w:val="Tabletext"/>
              <w:spacing w:before="50"/>
            </w:pPr>
            <w:r w:rsidRPr="00143624">
              <w:t>75</w:t>
            </w:r>
          </w:p>
        </w:tc>
        <w:tc>
          <w:tcPr>
            <w:tcW w:w="1931" w:type="pct"/>
            <w:shd w:val="clear" w:color="auto" w:fill="auto"/>
            <w:vAlign w:val="bottom"/>
          </w:tcPr>
          <w:p w:rsidR="007D17C5" w:rsidRPr="00143624" w:rsidRDefault="007D17C5" w:rsidP="009558BE">
            <w:pPr>
              <w:pStyle w:val="Tabletext"/>
              <w:spacing w:before="50"/>
            </w:pPr>
            <w:r w:rsidRPr="00143624">
              <w:t>10.983</w:t>
            </w:r>
          </w:p>
        </w:tc>
        <w:tc>
          <w:tcPr>
            <w:tcW w:w="1499" w:type="pct"/>
            <w:shd w:val="clear" w:color="auto" w:fill="auto"/>
          </w:tcPr>
          <w:p w:rsidR="007D17C5" w:rsidRPr="00143624" w:rsidRDefault="007D17C5" w:rsidP="009558BE">
            <w:pPr>
              <w:pStyle w:val="Tabletext"/>
              <w:spacing w:before="50"/>
            </w:pPr>
            <w:r w:rsidRPr="00143624">
              <w:t>9.183</w:t>
            </w:r>
          </w:p>
        </w:tc>
      </w:tr>
      <w:tr w:rsidR="007D17C5" w:rsidRPr="00143624" w:rsidTr="009558BE">
        <w:tc>
          <w:tcPr>
            <w:tcW w:w="431" w:type="pct"/>
            <w:shd w:val="clear" w:color="auto" w:fill="auto"/>
          </w:tcPr>
          <w:p w:rsidR="007D17C5" w:rsidRPr="00143624" w:rsidRDefault="007D17C5" w:rsidP="009558BE">
            <w:pPr>
              <w:pStyle w:val="Tabletext"/>
            </w:pPr>
            <w:r w:rsidRPr="00143624">
              <w:t>59</w:t>
            </w:r>
          </w:p>
        </w:tc>
        <w:tc>
          <w:tcPr>
            <w:tcW w:w="1138" w:type="pct"/>
            <w:shd w:val="clear" w:color="auto" w:fill="auto"/>
          </w:tcPr>
          <w:p w:rsidR="007D17C5" w:rsidRPr="00143624" w:rsidRDefault="007D17C5" w:rsidP="009558BE">
            <w:pPr>
              <w:pStyle w:val="Tabletext"/>
              <w:spacing w:before="50"/>
            </w:pPr>
            <w:r w:rsidRPr="00143624">
              <w:t>76</w:t>
            </w:r>
          </w:p>
        </w:tc>
        <w:tc>
          <w:tcPr>
            <w:tcW w:w="1931" w:type="pct"/>
            <w:shd w:val="clear" w:color="auto" w:fill="auto"/>
            <w:vAlign w:val="bottom"/>
          </w:tcPr>
          <w:p w:rsidR="007D17C5" w:rsidRPr="00143624" w:rsidRDefault="007D17C5" w:rsidP="009558BE">
            <w:pPr>
              <w:pStyle w:val="Tabletext"/>
              <w:spacing w:before="50"/>
            </w:pPr>
            <w:r w:rsidRPr="00143624">
              <w:t>10.566</w:t>
            </w:r>
          </w:p>
        </w:tc>
        <w:tc>
          <w:tcPr>
            <w:tcW w:w="1499" w:type="pct"/>
            <w:shd w:val="clear" w:color="auto" w:fill="auto"/>
          </w:tcPr>
          <w:p w:rsidR="007D17C5" w:rsidRPr="00143624" w:rsidRDefault="007D17C5" w:rsidP="009558BE">
            <w:pPr>
              <w:pStyle w:val="Tabletext"/>
              <w:spacing w:before="50"/>
            </w:pPr>
            <w:r w:rsidRPr="00143624">
              <w:t>8.889</w:t>
            </w:r>
          </w:p>
        </w:tc>
      </w:tr>
      <w:tr w:rsidR="007D17C5" w:rsidRPr="00143624" w:rsidTr="009558BE">
        <w:tc>
          <w:tcPr>
            <w:tcW w:w="431" w:type="pct"/>
            <w:shd w:val="clear" w:color="auto" w:fill="auto"/>
          </w:tcPr>
          <w:p w:rsidR="007D17C5" w:rsidRPr="00143624" w:rsidRDefault="007D17C5" w:rsidP="009558BE">
            <w:pPr>
              <w:pStyle w:val="Tabletext"/>
            </w:pPr>
            <w:r w:rsidRPr="00143624">
              <w:t>60</w:t>
            </w:r>
          </w:p>
        </w:tc>
        <w:tc>
          <w:tcPr>
            <w:tcW w:w="1138" w:type="pct"/>
            <w:shd w:val="clear" w:color="auto" w:fill="auto"/>
          </w:tcPr>
          <w:p w:rsidR="007D17C5" w:rsidRPr="00143624" w:rsidRDefault="007D17C5" w:rsidP="009558BE">
            <w:pPr>
              <w:pStyle w:val="Tabletext"/>
              <w:spacing w:before="50"/>
            </w:pPr>
            <w:r w:rsidRPr="00143624">
              <w:t>77</w:t>
            </w:r>
          </w:p>
        </w:tc>
        <w:tc>
          <w:tcPr>
            <w:tcW w:w="1931" w:type="pct"/>
            <w:shd w:val="clear" w:color="auto" w:fill="auto"/>
            <w:vAlign w:val="bottom"/>
          </w:tcPr>
          <w:p w:rsidR="007D17C5" w:rsidRPr="00143624" w:rsidRDefault="007D17C5" w:rsidP="009558BE">
            <w:pPr>
              <w:pStyle w:val="Tabletext"/>
              <w:spacing w:before="50"/>
            </w:pPr>
            <w:r w:rsidRPr="00143624">
              <w:t>10.144</w:t>
            </w:r>
          </w:p>
        </w:tc>
        <w:tc>
          <w:tcPr>
            <w:tcW w:w="1499" w:type="pct"/>
            <w:shd w:val="clear" w:color="auto" w:fill="auto"/>
          </w:tcPr>
          <w:p w:rsidR="007D17C5" w:rsidRPr="00143624" w:rsidRDefault="007D17C5" w:rsidP="009558BE">
            <w:pPr>
              <w:pStyle w:val="Tabletext"/>
              <w:spacing w:before="50"/>
            </w:pPr>
            <w:r w:rsidRPr="00143624">
              <w:t>8.587</w:t>
            </w:r>
          </w:p>
        </w:tc>
      </w:tr>
      <w:tr w:rsidR="007D17C5" w:rsidRPr="00143624" w:rsidTr="009558BE">
        <w:tc>
          <w:tcPr>
            <w:tcW w:w="431" w:type="pct"/>
            <w:shd w:val="clear" w:color="auto" w:fill="auto"/>
          </w:tcPr>
          <w:p w:rsidR="007D17C5" w:rsidRPr="00143624" w:rsidRDefault="007D17C5" w:rsidP="009558BE">
            <w:pPr>
              <w:pStyle w:val="Tabletext"/>
            </w:pPr>
            <w:r w:rsidRPr="00143624">
              <w:t>61</w:t>
            </w:r>
          </w:p>
        </w:tc>
        <w:tc>
          <w:tcPr>
            <w:tcW w:w="1138" w:type="pct"/>
            <w:shd w:val="clear" w:color="auto" w:fill="auto"/>
          </w:tcPr>
          <w:p w:rsidR="007D17C5" w:rsidRPr="00143624" w:rsidRDefault="007D17C5" w:rsidP="009558BE">
            <w:pPr>
              <w:pStyle w:val="Tabletext"/>
              <w:spacing w:before="50"/>
            </w:pPr>
            <w:r w:rsidRPr="00143624">
              <w:t>78</w:t>
            </w:r>
          </w:p>
        </w:tc>
        <w:tc>
          <w:tcPr>
            <w:tcW w:w="1931" w:type="pct"/>
            <w:shd w:val="clear" w:color="auto" w:fill="auto"/>
            <w:vAlign w:val="bottom"/>
          </w:tcPr>
          <w:p w:rsidR="007D17C5" w:rsidRPr="00143624" w:rsidRDefault="007D17C5" w:rsidP="009558BE">
            <w:pPr>
              <w:pStyle w:val="Tabletext"/>
              <w:spacing w:before="50"/>
            </w:pPr>
            <w:r w:rsidRPr="00143624">
              <w:t>9.723</w:t>
            </w:r>
          </w:p>
        </w:tc>
        <w:tc>
          <w:tcPr>
            <w:tcW w:w="1499" w:type="pct"/>
            <w:shd w:val="clear" w:color="auto" w:fill="auto"/>
          </w:tcPr>
          <w:p w:rsidR="007D17C5" w:rsidRPr="00143624" w:rsidRDefault="007D17C5" w:rsidP="009558BE">
            <w:pPr>
              <w:pStyle w:val="Tabletext"/>
              <w:spacing w:before="50"/>
            </w:pPr>
            <w:r w:rsidRPr="00143624">
              <w:t>8.282</w:t>
            </w:r>
          </w:p>
        </w:tc>
      </w:tr>
      <w:tr w:rsidR="007D17C5" w:rsidRPr="00143624" w:rsidTr="009558BE">
        <w:tc>
          <w:tcPr>
            <w:tcW w:w="431" w:type="pct"/>
            <w:shd w:val="clear" w:color="auto" w:fill="auto"/>
          </w:tcPr>
          <w:p w:rsidR="007D17C5" w:rsidRPr="00143624" w:rsidRDefault="007D17C5" w:rsidP="009558BE">
            <w:pPr>
              <w:pStyle w:val="Tabletext"/>
            </w:pPr>
            <w:r w:rsidRPr="00143624">
              <w:t>62</w:t>
            </w:r>
          </w:p>
        </w:tc>
        <w:tc>
          <w:tcPr>
            <w:tcW w:w="1138" w:type="pct"/>
            <w:shd w:val="clear" w:color="auto" w:fill="auto"/>
          </w:tcPr>
          <w:p w:rsidR="007D17C5" w:rsidRPr="00143624" w:rsidRDefault="007D17C5" w:rsidP="009558BE">
            <w:pPr>
              <w:pStyle w:val="Tabletext"/>
              <w:spacing w:before="50"/>
            </w:pPr>
            <w:r w:rsidRPr="00143624">
              <w:t>79</w:t>
            </w:r>
          </w:p>
        </w:tc>
        <w:tc>
          <w:tcPr>
            <w:tcW w:w="1931" w:type="pct"/>
            <w:shd w:val="clear" w:color="auto" w:fill="auto"/>
            <w:vAlign w:val="bottom"/>
          </w:tcPr>
          <w:p w:rsidR="007D17C5" w:rsidRPr="00143624" w:rsidRDefault="007D17C5" w:rsidP="009558BE">
            <w:pPr>
              <w:pStyle w:val="Tabletext"/>
              <w:spacing w:before="50"/>
            </w:pPr>
            <w:r w:rsidRPr="00143624">
              <w:t>9.314</w:t>
            </w:r>
          </w:p>
        </w:tc>
        <w:tc>
          <w:tcPr>
            <w:tcW w:w="1499" w:type="pct"/>
            <w:shd w:val="clear" w:color="auto" w:fill="auto"/>
          </w:tcPr>
          <w:p w:rsidR="007D17C5" w:rsidRPr="00143624" w:rsidRDefault="007D17C5" w:rsidP="009558BE">
            <w:pPr>
              <w:pStyle w:val="Tabletext"/>
              <w:spacing w:before="50"/>
            </w:pPr>
            <w:r w:rsidRPr="00143624">
              <w:t>7.980</w:t>
            </w:r>
          </w:p>
        </w:tc>
      </w:tr>
      <w:tr w:rsidR="007D17C5" w:rsidRPr="00143624" w:rsidTr="009558BE">
        <w:tc>
          <w:tcPr>
            <w:tcW w:w="431" w:type="pct"/>
            <w:shd w:val="clear" w:color="auto" w:fill="auto"/>
          </w:tcPr>
          <w:p w:rsidR="007D17C5" w:rsidRPr="00143624" w:rsidRDefault="007D17C5" w:rsidP="009558BE">
            <w:pPr>
              <w:pStyle w:val="Tabletext"/>
            </w:pPr>
            <w:r w:rsidRPr="00143624">
              <w:t>63</w:t>
            </w:r>
          </w:p>
        </w:tc>
        <w:tc>
          <w:tcPr>
            <w:tcW w:w="1138" w:type="pct"/>
            <w:shd w:val="clear" w:color="auto" w:fill="auto"/>
          </w:tcPr>
          <w:p w:rsidR="007D17C5" w:rsidRPr="00143624" w:rsidRDefault="007D17C5" w:rsidP="009558BE">
            <w:pPr>
              <w:pStyle w:val="Tabletext"/>
              <w:spacing w:before="50"/>
            </w:pPr>
            <w:r w:rsidRPr="00143624">
              <w:t>80</w:t>
            </w:r>
          </w:p>
        </w:tc>
        <w:tc>
          <w:tcPr>
            <w:tcW w:w="1931" w:type="pct"/>
            <w:shd w:val="clear" w:color="auto" w:fill="auto"/>
            <w:vAlign w:val="bottom"/>
          </w:tcPr>
          <w:p w:rsidR="007D17C5" w:rsidRPr="00143624" w:rsidRDefault="007D17C5" w:rsidP="009558BE">
            <w:pPr>
              <w:pStyle w:val="Tabletext"/>
              <w:spacing w:before="50"/>
            </w:pPr>
            <w:r w:rsidRPr="00143624">
              <w:t>8.898</w:t>
            </w:r>
          </w:p>
        </w:tc>
        <w:tc>
          <w:tcPr>
            <w:tcW w:w="1499" w:type="pct"/>
            <w:shd w:val="clear" w:color="auto" w:fill="auto"/>
          </w:tcPr>
          <w:p w:rsidR="007D17C5" w:rsidRPr="00143624" w:rsidRDefault="007D17C5" w:rsidP="009558BE">
            <w:pPr>
              <w:pStyle w:val="Tabletext"/>
              <w:spacing w:before="50"/>
            </w:pPr>
            <w:r w:rsidRPr="00143624">
              <w:t>7.669</w:t>
            </w:r>
          </w:p>
        </w:tc>
      </w:tr>
      <w:tr w:rsidR="007D17C5" w:rsidRPr="00143624" w:rsidTr="009558BE">
        <w:tc>
          <w:tcPr>
            <w:tcW w:w="431" w:type="pct"/>
            <w:shd w:val="clear" w:color="auto" w:fill="auto"/>
          </w:tcPr>
          <w:p w:rsidR="007D17C5" w:rsidRPr="00143624" w:rsidRDefault="007D17C5" w:rsidP="009558BE">
            <w:pPr>
              <w:pStyle w:val="Tabletext"/>
            </w:pPr>
            <w:r w:rsidRPr="00143624">
              <w:t>64</w:t>
            </w:r>
          </w:p>
        </w:tc>
        <w:tc>
          <w:tcPr>
            <w:tcW w:w="1138" w:type="pct"/>
            <w:shd w:val="clear" w:color="auto" w:fill="auto"/>
          </w:tcPr>
          <w:p w:rsidR="007D17C5" w:rsidRPr="00143624" w:rsidRDefault="007D17C5" w:rsidP="009558BE">
            <w:pPr>
              <w:pStyle w:val="Tabletext"/>
              <w:spacing w:before="50"/>
            </w:pPr>
            <w:r w:rsidRPr="00143624">
              <w:t>81</w:t>
            </w:r>
          </w:p>
        </w:tc>
        <w:tc>
          <w:tcPr>
            <w:tcW w:w="1931" w:type="pct"/>
            <w:shd w:val="clear" w:color="auto" w:fill="auto"/>
            <w:vAlign w:val="bottom"/>
          </w:tcPr>
          <w:p w:rsidR="007D17C5" w:rsidRPr="00143624" w:rsidRDefault="007D17C5" w:rsidP="009558BE">
            <w:pPr>
              <w:pStyle w:val="Tabletext"/>
              <w:spacing w:before="50"/>
            </w:pPr>
            <w:r w:rsidRPr="00143624">
              <w:t>8.486</w:t>
            </w:r>
          </w:p>
        </w:tc>
        <w:tc>
          <w:tcPr>
            <w:tcW w:w="1499" w:type="pct"/>
            <w:shd w:val="clear" w:color="auto" w:fill="auto"/>
          </w:tcPr>
          <w:p w:rsidR="007D17C5" w:rsidRPr="00143624" w:rsidRDefault="007D17C5" w:rsidP="009558BE">
            <w:pPr>
              <w:pStyle w:val="Tabletext"/>
              <w:spacing w:before="50"/>
            </w:pPr>
            <w:r w:rsidRPr="00143624">
              <w:t>7.357</w:t>
            </w:r>
          </w:p>
        </w:tc>
      </w:tr>
      <w:tr w:rsidR="007D17C5" w:rsidRPr="00143624" w:rsidTr="009558BE">
        <w:tc>
          <w:tcPr>
            <w:tcW w:w="431" w:type="pct"/>
            <w:shd w:val="clear" w:color="auto" w:fill="auto"/>
          </w:tcPr>
          <w:p w:rsidR="007D17C5" w:rsidRPr="00143624" w:rsidRDefault="007D17C5" w:rsidP="009558BE">
            <w:pPr>
              <w:pStyle w:val="Tabletext"/>
            </w:pPr>
            <w:r w:rsidRPr="00143624">
              <w:t>65</w:t>
            </w:r>
          </w:p>
        </w:tc>
        <w:tc>
          <w:tcPr>
            <w:tcW w:w="1138" w:type="pct"/>
            <w:shd w:val="clear" w:color="auto" w:fill="auto"/>
          </w:tcPr>
          <w:p w:rsidR="007D17C5" w:rsidRPr="00143624" w:rsidRDefault="007D17C5" w:rsidP="009558BE">
            <w:pPr>
              <w:pStyle w:val="Tabletext"/>
              <w:spacing w:before="50"/>
            </w:pPr>
            <w:r w:rsidRPr="00143624">
              <w:t>82</w:t>
            </w:r>
          </w:p>
        </w:tc>
        <w:tc>
          <w:tcPr>
            <w:tcW w:w="1931" w:type="pct"/>
            <w:shd w:val="clear" w:color="auto" w:fill="auto"/>
            <w:vAlign w:val="bottom"/>
          </w:tcPr>
          <w:p w:rsidR="007D17C5" w:rsidRPr="00143624" w:rsidRDefault="007D17C5" w:rsidP="009558BE">
            <w:pPr>
              <w:pStyle w:val="Tabletext"/>
              <w:spacing w:before="50"/>
            </w:pPr>
            <w:r w:rsidRPr="00143624">
              <w:t>8.087</w:t>
            </w:r>
          </w:p>
        </w:tc>
        <w:tc>
          <w:tcPr>
            <w:tcW w:w="1499" w:type="pct"/>
            <w:shd w:val="clear" w:color="auto" w:fill="auto"/>
          </w:tcPr>
          <w:p w:rsidR="007D17C5" w:rsidRPr="00143624" w:rsidRDefault="007D17C5" w:rsidP="009558BE">
            <w:pPr>
              <w:pStyle w:val="Tabletext"/>
              <w:spacing w:before="50"/>
            </w:pPr>
            <w:r w:rsidRPr="00143624">
              <w:t>7.051</w:t>
            </w:r>
          </w:p>
        </w:tc>
      </w:tr>
      <w:tr w:rsidR="007D17C5" w:rsidRPr="00143624" w:rsidTr="009558BE">
        <w:tc>
          <w:tcPr>
            <w:tcW w:w="431" w:type="pct"/>
            <w:shd w:val="clear" w:color="auto" w:fill="auto"/>
          </w:tcPr>
          <w:p w:rsidR="007D17C5" w:rsidRPr="00143624" w:rsidRDefault="007D17C5" w:rsidP="009558BE">
            <w:pPr>
              <w:pStyle w:val="Tabletext"/>
            </w:pPr>
            <w:r w:rsidRPr="00143624">
              <w:t>66</w:t>
            </w:r>
          </w:p>
        </w:tc>
        <w:tc>
          <w:tcPr>
            <w:tcW w:w="1138" w:type="pct"/>
            <w:shd w:val="clear" w:color="auto" w:fill="auto"/>
          </w:tcPr>
          <w:p w:rsidR="007D17C5" w:rsidRPr="00143624" w:rsidRDefault="007D17C5" w:rsidP="009558BE">
            <w:pPr>
              <w:pStyle w:val="Tabletext"/>
              <w:spacing w:before="50"/>
            </w:pPr>
            <w:r w:rsidRPr="00143624">
              <w:t>83</w:t>
            </w:r>
          </w:p>
        </w:tc>
        <w:tc>
          <w:tcPr>
            <w:tcW w:w="1931" w:type="pct"/>
            <w:shd w:val="clear" w:color="auto" w:fill="auto"/>
            <w:vAlign w:val="bottom"/>
          </w:tcPr>
          <w:p w:rsidR="007D17C5" w:rsidRPr="00143624" w:rsidRDefault="007D17C5" w:rsidP="009558BE">
            <w:pPr>
              <w:pStyle w:val="Tabletext"/>
              <w:spacing w:before="50"/>
            </w:pPr>
            <w:r w:rsidRPr="00143624">
              <w:t>7.697</w:t>
            </w:r>
          </w:p>
        </w:tc>
        <w:tc>
          <w:tcPr>
            <w:tcW w:w="1499" w:type="pct"/>
            <w:shd w:val="clear" w:color="auto" w:fill="auto"/>
          </w:tcPr>
          <w:p w:rsidR="007D17C5" w:rsidRPr="00143624" w:rsidRDefault="007D17C5" w:rsidP="009558BE">
            <w:pPr>
              <w:pStyle w:val="Tabletext"/>
              <w:spacing w:before="50"/>
            </w:pPr>
            <w:r w:rsidRPr="00143624">
              <w:t>6.748</w:t>
            </w:r>
          </w:p>
        </w:tc>
      </w:tr>
      <w:tr w:rsidR="007D17C5" w:rsidRPr="00143624" w:rsidTr="009558BE">
        <w:tc>
          <w:tcPr>
            <w:tcW w:w="431" w:type="pct"/>
            <w:shd w:val="clear" w:color="auto" w:fill="auto"/>
          </w:tcPr>
          <w:p w:rsidR="007D17C5" w:rsidRPr="00143624" w:rsidRDefault="007D17C5" w:rsidP="009558BE">
            <w:pPr>
              <w:pStyle w:val="Tabletext"/>
            </w:pPr>
            <w:r w:rsidRPr="00143624">
              <w:t>67</w:t>
            </w:r>
          </w:p>
        </w:tc>
        <w:tc>
          <w:tcPr>
            <w:tcW w:w="1138" w:type="pct"/>
            <w:shd w:val="clear" w:color="auto" w:fill="auto"/>
          </w:tcPr>
          <w:p w:rsidR="007D17C5" w:rsidRPr="00143624" w:rsidRDefault="007D17C5" w:rsidP="009558BE">
            <w:pPr>
              <w:pStyle w:val="Tabletext"/>
              <w:spacing w:before="50"/>
            </w:pPr>
            <w:r w:rsidRPr="00143624">
              <w:t>84</w:t>
            </w:r>
          </w:p>
        </w:tc>
        <w:tc>
          <w:tcPr>
            <w:tcW w:w="1931" w:type="pct"/>
            <w:shd w:val="clear" w:color="auto" w:fill="auto"/>
            <w:vAlign w:val="bottom"/>
          </w:tcPr>
          <w:p w:rsidR="007D17C5" w:rsidRPr="00143624" w:rsidRDefault="007D17C5" w:rsidP="009558BE">
            <w:pPr>
              <w:pStyle w:val="Tabletext"/>
              <w:spacing w:before="50"/>
            </w:pPr>
            <w:r w:rsidRPr="00143624">
              <w:t>7.323</w:t>
            </w:r>
          </w:p>
        </w:tc>
        <w:tc>
          <w:tcPr>
            <w:tcW w:w="1499" w:type="pct"/>
            <w:shd w:val="clear" w:color="auto" w:fill="auto"/>
          </w:tcPr>
          <w:p w:rsidR="007D17C5" w:rsidRPr="00143624" w:rsidRDefault="007D17C5" w:rsidP="009558BE">
            <w:pPr>
              <w:pStyle w:val="Tabletext"/>
              <w:spacing w:before="50"/>
            </w:pPr>
            <w:r w:rsidRPr="00143624">
              <w:t>6.455</w:t>
            </w:r>
          </w:p>
        </w:tc>
      </w:tr>
      <w:tr w:rsidR="007D17C5" w:rsidRPr="00143624" w:rsidTr="009558BE">
        <w:tc>
          <w:tcPr>
            <w:tcW w:w="431" w:type="pct"/>
            <w:shd w:val="clear" w:color="auto" w:fill="auto"/>
          </w:tcPr>
          <w:p w:rsidR="007D17C5" w:rsidRPr="00143624" w:rsidRDefault="007D17C5" w:rsidP="009558BE">
            <w:pPr>
              <w:pStyle w:val="Tabletext"/>
            </w:pPr>
            <w:r w:rsidRPr="00143624">
              <w:t>68</w:t>
            </w:r>
          </w:p>
        </w:tc>
        <w:tc>
          <w:tcPr>
            <w:tcW w:w="1138" w:type="pct"/>
            <w:shd w:val="clear" w:color="auto" w:fill="auto"/>
          </w:tcPr>
          <w:p w:rsidR="007D17C5" w:rsidRPr="00143624" w:rsidRDefault="007D17C5" w:rsidP="009558BE">
            <w:pPr>
              <w:pStyle w:val="Tabletext"/>
              <w:spacing w:before="50"/>
            </w:pPr>
            <w:r w:rsidRPr="00143624">
              <w:t>85</w:t>
            </w:r>
          </w:p>
        </w:tc>
        <w:tc>
          <w:tcPr>
            <w:tcW w:w="1931" w:type="pct"/>
            <w:shd w:val="clear" w:color="auto" w:fill="auto"/>
            <w:vAlign w:val="bottom"/>
          </w:tcPr>
          <w:p w:rsidR="007D17C5" w:rsidRPr="00143624" w:rsidRDefault="007D17C5" w:rsidP="009558BE">
            <w:pPr>
              <w:pStyle w:val="Tabletext"/>
              <w:spacing w:before="50"/>
            </w:pPr>
            <w:r w:rsidRPr="00143624">
              <w:t>6.966</w:t>
            </w:r>
          </w:p>
        </w:tc>
        <w:tc>
          <w:tcPr>
            <w:tcW w:w="1499" w:type="pct"/>
            <w:shd w:val="clear" w:color="auto" w:fill="auto"/>
          </w:tcPr>
          <w:p w:rsidR="007D17C5" w:rsidRPr="00143624" w:rsidRDefault="007D17C5" w:rsidP="009558BE">
            <w:pPr>
              <w:pStyle w:val="Tabletext"/>
              <w:spacing w:before="50"/>
            </w:pPr>
            <w:r w:rsidRPr="00143624">
              <w:t>6.172</w:t>
            </w:r>
          </w:p>
        </w:tc>
      </w:tr>
      <w:tr w:rsidR="007D17C5" w:rsidRPr="00143624" w:rsidTr="009558BE">
        <w:tc>
          <w:tcPr>
            <w:tcW w:w="431" w:type="pct"/>
            <w:shd w:val="clear" w:color="auto" w:fill="auto"/>
          </w:tcPr>
          <w:p w:rsidR="007D17C5" w:rsidRPr="00143624" w:rsidRDefault="007D17C5" w:rsidP="009558BE">
            <w:pPr>
              <w:pStyle w:val="Tabletext"/>
            </w:pPr>
            <w:r w:rsidRPr="00143624">
              <w:t>69</w:t>
            </w:r>
          </w:p>
        </w:tc>
        <w:tc>
          <w:tcPr>
            <w:tcW w:w="1138" w:type="pct"/>
            <w:shd w:val="clear" w:color="auto" w:fill="auto"/>
          </w:tcPr>
          <w:p w:rsidR="007D17C5" w:rsidRPr="00143624" w:rsidRDefault="007D17C5" w:rsidP="009558BE">
            <w:pPr>
              <w:pStyle w:val="Tabletext"/>
              <w:spacing w:before="50"/>
            </w:pPr>
            <w:r w:rsidRPr="00143624">
              <w:t>86</w:t>
            </w:r>
          </w:p>
        </w:tc>
        <w:tc>
          <w:tcPr>
            <w:tcW w:w="1931" w:type="pct"/>
            <w:shd w:val="clear" w:color="auto" w:fill="auto"/>
            <w:vAlign w:val="bottom"/>
          </w:tcPr>
          <w:p w:rsidR="007D17C5" w:rsidRPr="00143624" w:rsidRDefault="007D17C5" w:rsidP="009558BE">
            <w:pPr>
              <w:pStyle w:val="Tabletext"/>
              <w:spacing w:before="50"/>
            </w:pPr>
            <w:r w:rsidRPr="00143624">
              <w:t>6.627</w:t>
            </w:r>
          </w:p>
        </w:tc>
        <w:tc>
          <w:tcPr>
            <w:tcW w:w="1499" w:type="pct"/>
            <w:shd w:val="clear" w:color="auto" w:fill="auto"/>
          </w:tcPr>
          <w:p w:rsidR="007D17C5" w:rsidRPr="00143624" w:rsidRDefault="007D17C5" w:rsidP="009558BE">
            <w:pPr>
              <w:pStyle w:val="Tabletext"/>
              <w:spacing w:before="50"/>
            </w:pPr>
            <w:r w:rsidRPr="00143624">
              <w:t>5.901</w:t>
            </w:r>
          </w:p>
        </w:tc>
      </w:tr>
      <w:tr w:rsidR="007D17C5" w:rsidRPr="00143624" w:rsidTr="009558BE">
        <w:tc>
          <w:tcPr>
            <w:tcW w:w="431" w:type="pct"/>
            <w:shd w:val="clear" w:color="auto" w:fill="auto"/>
          </w:tcPr>
          <w:p w:rsidR="007D17C5" w:rsidRPr="00143624" w:rsidRDefault="007D17C5" w:rsidP="009558BE">
            <w:pPr>
              <w:pStyle w:val="Tabletext"/>
            </w:pPr>
            <w:r w:rsidRPr="00143624">
              <w:t>70</w:t>
            </w:r>
          </w:p>
        </w:tc>
        <w:tc>
          <w:tcPr>
            <w:tcW w:w="1138" w:type="pct"/>
            <w:shd w:val="clear" w:color="auto" w:fill="auto"/>
          </w:tcPr>
          <w:p w:rsidR="007D17C5" w:rsidRPr="00143624" w:rsidRDefault="007D17C5" w:rsidP="009558BE">
            <w:pPr>
              <w:pStyle w:val="Tabletext"/>
              <w:spacing w:before="50"/>
            </w:pPr>
            <w:r w:rsidRPr="00143624">
              <w:t>87</w:t>
            </w:r>
          </w:p>
        </w:tc>
        <w:tc>
          <w:tcPr>
            <w:tcW w:w="1931" w:type="pct"/>
            <w:shd w:val="clear" w:color="auto" w:fill="auto"/>
            <w:vAlign w:val="bottom"/>
          </w:tcPr>
          <w:p w:rsidR="007D17C5" w:rsidRPr="00143624" w:rsidRDefault="007D17C5" w:rsidP="009558BE">
            <w:pPr>
              <w:pStyle w:val="Tabletext"/>
              <w:spacing w:before="50"/>
            </w:pPr>
            <w:r w:rsidRPr="00143624">
              <w:t>6.311</w:t>
            </w:r>
          </w:p>
        </w:tc>
        <w:tc>
          <w:tcPr>
            <w:tcW w:w="1499" w:type="pct"/>
            <w:shd w:val="clear" w:color="auto" w:fill="auto"/>
          </w:tcPr>
          <w:p w:rsidR="007D17C5" w:rsidRPr="00143624" w:rsidRDefault="007D17C5" w:rsidP="009558BE">
            <w:pPr>
              <w:pStyle w:val="Tabletext"/>
              <w:spacing w:before="50"/>
            </w:pPr>
            <w:r w:rsidRPr="00143624">
              <w:t>5.647</w:t>
            </w:r>
          </w:p>
        </w:tc>
      </w:tr>
      <w:tr w:rsidR="007D17C5" w:rsidRPr="00143624" w:rsidTr="009558BE">
        <w:tc>
          <w:tcPr>
            <w:tcW w:w="431" w:type="pct"/>
            <w:shd w:val="clear" w:color="auto" w:fill="auto"/>
          </w:tcPr>
          <w:p w:rsidR="007D17C5" w:rsidRPr="00143624" w:rsidRDefault="007D17C5" w:rsidP="009558BE">
            <w:pPr>
              <w:pStyle w:val="Tabletext"/>
            </w:pPr>
            <w:r w:rsidRPr="00143624">
              <w:t>71</w:t>
            </w:r>
          </w:p>
        </w:tc>
        <w:tc>
          <w:tcPr>
            <w:tcW w:w="1138" w:type="pct"/>
            <w:shd w:val="clear" w:color="auto" w:fill="auto"/>
          </w:tcPr>
          <w:p w:rsidR="007D17C5" w:rsidRPr="00143624" w:rsidRDefault="007D17C5" w:rsidP="009558BE">
            <w:pPr>
              <w:pStyle w:val="Tabletext"/>
              <w:spacing w:before="50"/>
            </w:pPr>
            <w:r w:rsidRPr="00143624">
              <w:t>88</w:t>
            </w:r>
          </w:p>
        </w:tc>
        <w:tc>
          <w:tcPr>
            <w:tcW w:w="1931" w:type="pct"/>
            <w:shd w:val="clear" w:color="auto" w:fill="auto"/>
            <w:vAlign w:val="bottom"/>
          </w:tcPr>
          <w:p w:rsidR="007D17C5" w:rsidRPr="00143624" w:rsidRDefault="007D17C5" w:rsidP="009558BE">
            <w:pPr>
              <w:pStyle w:val="Tabletext"/>
              <w:spacing w:before="50"/>
            </w:pPr>
            <w:r w:rsidRPr="00143624">
              <w:t>6.010</w:t>
            </w:r>
          </w:p>
        </w:tc>
        <w:tc>
          <w:tcPr>
            <w:tcW w:w="1499" w:type="pct"/>
            <w:shd w:val="clear" w:color="auto" w:fill="auto"/>
          </w:tcPr>
          <w:p w:rsidR="007D17C5" w:rsidRPr="00143624" w:rsidRDefault="007D17C5" w:rsidP="009558BE">
            <w:pPr>
              <w:pStyle w:val="Tabletext"/>
              <w:spacing w:before="50"/>
            </w:pPr>
            <w:r w:rsidRPr="00143624">
              <w:t>5.402</w:t>
            </w:r>
          </w:p>
        </w:tc>
      </w:tr>
      <w:tr w:rsidR="007D17C5" w:rsidRPr="00143624" w:rsidTr="009558BE">
        <w:tc>
          <w:tcPr>
            <w:tcW w:w="431" w:type="pct"/>
            <w:shd w:val="clear" w:color="auto" w:fill="auto"/>
          </w:tcPr>
          <w:p w:rsidR="007D17C5" w:rsidRPr="00143624" w:rsidRDefault="007D17C5" w:rsidP="009558BE">
            <w:pPr>
              <w:pStyle w:val="Tabletext"/>
            </w:pPr>
            <w:r w:rsidRPr="00143624">
              <w:t>72</w:t>
            </w:r>
          </w:p>
        </w:tc>
        <w:tc>
          <w:tcPr>
            <w:tcW w:w="1138" w:type="pct"/>
            <w:shd w:val="clear" w:color="auto" w:fill="auto"/>
          </w:tcPr>
          <w:p w:rsidR="007D17C5" w:rsidRPr="00143624" w:rsidRDefault="007D17C5" w:rsidP="009558BE">
            <w:pPr>
              <w:pStyle w:val="Tabletext"/>
              <w:spacing w:before="50"/>
            </w:pPr>
            <w:r w:rsidRPr="00143624">
              <w:t>89</w:t>
            </w:r>
          </w:p>
        </w:tc>
        <w:tc>
          <w:tcPr>
            <w:tcW w:w="1931" w:type="pct"/>
            <w:shd w:val="clear" w:color="auto" w:fill="auto"/>
            <w:vAlign w:val="bottom"/>
          </w:tcPr>
          <w:p w:rsidR="007D17C5" w:rsidRPr="00143624" w:rsidRDefault="007D17C5" w:rsidP="009558BE">
            <w:pPr>
              <w:pStyle w:val="Tabletext"/>
              <w:spacing w:before="50"/>
            </w:pPr>
            <w:r w:rsidRPr="00143624">
              <w:t>5.728</w:t>
            </w:r>
          </w:p>
        </w:tc>
        <w:tc>
          <w:tcPr>
            <w:tcW w:w="1499" w:type="pct"/>
            <w:shd w:val="clear" w:color="auto" w:fill="auto"/>
          </w:tcPr>
          <w:p w:rsidR="007D17C5" w:rsidRPr="00143624" w:rsidRDefault="007D17C5" w:rsidP="009558BE">
            <w:pPr>
              <w:pStyle w:val="Tabletext"/>
              <w:spacing w:before="50"/>
            </w:pPr>
            <w:r w:rsidRPr="00143624">
              <w:t>5.171</w:t>
            </w:r>
          </w:p>
        </w:tc>
      </w:tr>
      <w:tr w:rsidR="007D17C5" w:rsidRPr="00143624" w:rsidTr="009558BE">
        <w:tc>
          <w:tcPr>
            <w:tcW w:w="431" w:type="pct"/>
            <w:shd w:val="clear" w:color="auto" w:fill="auto"/>
          </w:tcPr>
          <w:p w:rsidR="007D17C5" w:rsidRPr="00143624" w:rsidRDefault="007D17C5" w:rsidP="009558BE">
            <w:pPr>
              <w:pStyle w:val="Tabletext"/>
            </w:pPr>
            <w:r w:rsidRPr="00143624">
              <w:t>73</w:t>
            </w:r>
          </w:p>
        </w:tc>
        <w:tc>
          <w:tcPr>
            <w:tcW w:w="1138" w:type="pct"/>
            <w:shd w:val="clear" w:color="auto" w:fill="auto"/>
          </w:tcPr>
          <w:p w:rsidR="007D17C5" w:rsidRPr="00143624" w:rsidRDefault="007D17C5" w:rsidP="009558BE">
            <w:pPr>
              <w:pStyle w:val="Tabletext"/>
              <w:spacing w:before="50"/>
            </w:pPr>
            <w:r w:rsidRPr="00143624">
              <w:t>90</w:t>
            </w:r>
          </w:p>
        </w:tc>
        <w:tc>
          <w:tcPr>
            <w:tcW w:w="1931" w:type="pct"/>
            <w:shd w:val="clear" w:color="auto" w:fill="auto"/>
            <w:vAlign w:val="bottom"/>
          </w:tcPr>
          <w:p w:rsidR="007D17C5" w:rsidRPr="00143624" w:rsidRDefault="007D17C5" w:rsidP="009558BE">
            <w:pPr>
              <w:pStyle w:val="Tabletext"/>
              <w:spacing w:before="50"/>
            </w:pPr>
            <w:r w:rsidRPr="00143624">
              <w:t>5.465</w:t>
            </w:r>
          </w:p>
        </w:tc>
        <w:tc>
          <w:tcPr>
            <w:tcW w:w="1499" w:type="pct"/>
            <w:shd w:val="clear" w:color="auto" w:fill="auto"/>
          </w:tcPr>
          <w:p w:rsidR="007D17C5" w:rsidRPr="00143624" w:rsidRDefault="007D17C5" w:rsidP="009558BE">
            <w:pPr>
              <w:pStyle w:val="Tabletext"/>
              <w:spacing w:before="50"/>
            </w:pPr>
            <w:r w:rsidRPr="00143624">
              <w:t>4.954</w:t>
            </w:r>
          </w:p>
        </w:tc>
      </w:tr>
      <w:tr w:rsidR="007D17C5" w:rsidRPr="00143624" w:rsidTr="009558BE">
        <w:tc>
          <w:tcPr>
            <w:tcW w:w="431" w:type="pct"/>
            <w:shd w:val="clear" w:color="auto" w:fill="auto"/>
          </w:tcPr>
          <w:p w:rsidR="007D17C5" w:rsidRPr="00143624" w:rsidRDefault="007D17C5" w:rsidP="009558BE">
            <w:pPr>
              <w:pStyle w:val="Tabletext"/>
            </w:pPr>
            <w:r w:rsidRPr="00143624">
              <w:t>74</w:t>
            </w:r>
          </w:p>
        </w:tc>
        <w:tc>
          <w:tcPr>
            <w:tcW w:w="1138" w:type="pct"/>
            <w:shd w:val="clear" w:color="auto" w:fill="auto"/>
          </w:tcPr>
          <w:p w:rsidR="007D17C5" w:rsidRPr="00143624" w:rsidRDefault="007D17C5" w:rsidP="009558BE">
            <w:pPr>
              <w:pStyle w:val="Tabletext"/>
              <w:spacing w:before="50"/>
            </w:pPr>
            <w:r w:rsidRPr="00143624">
              <w:t>91</w:t>
            </w:r>
          </w:p>
        </w:tc>
        <w:tc>
          <w:tcPr>
            <w:tcW w:w="1931" w:type="pct"/>
            <w:shd w:val="clear" w:color="auto" w:fill="auto"/>
            <w:vAlign w:val="bottom"/>
          </w:tcPr>
          <w:p w:rsidR="007D17C5" w:rsidRPr="00143624" w:rsidRDefault="007D17C5" w:rsidP="009558BE">
            <w:pPr>
              <w:pStyle w:val="Tabletext"/>
              <w:spacing w:before="50"/>
            </w:pPr>
            <w:r w:rsidRPr="00143624">
              <w:t>5.218</w:t>
            </w:r>
          </w:p>
        </w:tc>
        <w:tc>
          <w:tcPr>
            <w:tcW w:w="1499" w:type="pct"/>
            <w:shd w:val="clear" w:color="auto" w:fill="auto"/>
          </w:tcPr>
          <w:p w:rsidR="007D17C5" w:rsidRPr="00143624" w:rsidRDefault="007D17C5" w:rsidP="009558BE">
            <w:pPr>
              <w:pStyle w:val="Tabletext"/>
              <w:spacing w:before="50"/>
            </w:pPr>
            <w:r w:rsidRPr="00143624">
              <w:t>4.750</w:t>
            </w:r>
          </w:p>
        </w:tc>
      </w:tr>
      <w:tr w:rsidR="007D17C5" w:rsidRPr="00143624" w:rsidTr="009558BE">
        <w:tc>
          <w:tcPr>
            <w:tcW w:w="431" w:type="pct"/>
            <w:shd w:val="clear" w:color="auto" w:fill="auto"/>
          </w:tcPr>
          <w:p w:rsidR="007D17C5" w:rsidRPr="00143624" w:rsidRDefault="007D17C5" w:rsidP="009558BE">
            <w:pPr>
              <w:pStyle w:val="Tabletext"/>
            </w:pPr>
            <w:r w:rsidRPr="00143624">
              <w:t>75</w:t>
            </w:r>
          </w:p>
        </w:tc>
        <w:tc>
          <w:tcPr>
            <w:tcW w:w="1138" w:type="pct"/>
            <w:shd w:val="clear" w:color="auto" w:fill="auto"/>
          </w:tcPr>
          <w:p w:rsidR="007D17C5" w:rsidRPr="00143624" w:rsidRDefault="007D17C5" w:rsidP="009558BE">
            <w:pPr>
              <w:pStyle w:val="Tabletext"/>
              <w:spacing w:before="50"/>
            </w:pPr>
            <w:r w:rsidRPr="00143624">
              <w:t>92</w:t>
            </w:r>
          </w:p>
        </w:tc>
        <w:tc>
          <w:tcPr>
            <w:tcW w:w="1931" w:type="pct"/>
            <w:shd w:val="clear" w:color="auto" w:fill="auto"/>
            <w:vAlign w:val="bottom"/>
          </w:tcPr>
          <w:p w:rsidR="007D17C5" w:rsidRPr="00143624" w:rsidRDefault="007D17C5" w:rsidP="009558BE">
            <w:pPr>
              <w:pStyle w:val="Tabletext"/>
              <w:spacing w:before="50"/>
            </w:pPr>
            <w:r w:rsidRPr="00143624">
              <w:t>4.991</w:t>
            </w:r>
          </w:p>
        </w:tc>
        <w:tc>
          <w:tcPr>
            <w:tcW w:w="1499" w:type="pct"/>
            <w:shd w:val="clear" w:color="auto" w:fill="auto"/>
          </w:tcPr>
          <w:p w:rsidR="007D17C5" w:rsidRPr="00143624" w:rsidRDefault="007D17C5" w:rsidP="009558BE">
            <w:pPr>
              <w:pStyle w:val="Tabletext"/>
              <w:spacing w:before="50"/>
            </w:pPr>
            <w:r w:rsidRPr="00143624">
              <w:t>4.561</w:t>
            </w:r>
          </w:p>
        </w:tc>
      </w:tr>
      <w:tr w:rsidR="007D17C5" w:rsidRPr="00143624" w:rsidTr="009558BE">
        <w:tc>
          <w:tcPr>
            <w:tcW w:w="431" w:type="pct"/>
            <w:shd w:val="clear" w:color="auto" w:fill="auto"/>
          </w:tcPr>
          <w:p w:rsidR="007D17C5" w:rsidRPr="00143624" w:rsidRDefault="007D17C5" w:rsidP="009558BE">
            <w:pPr>
              <w:pStyle w:val="Tabletext"/>
            </w:pPr>
            <w:r w:rsidRPr="00143624">
              <w:t>76</w:t>
            </w:r>
          </w:p>
        </w:tc>
        <w:tc>
          <w:tcPr>
            <w:tcW w:w="1138" w:type="pct"/>
            <w:shd w:val="clear" w:color="auto" w:fill="auto"/>
          </w:tcPr>
          <w:p w:rsidR="007D17C5" w:rsidRPr="00143624" w:rsidRDefault="007D17C5" w:rsidP="009558BE">
            <w:pPr>
              <w:pStyle w:val="Tabletext"/>
              <w:spacing w:before="50"/>
            </w:pPr>
            <w:r w:rsidRPr="00143624">
              <w:t>93</w:t>
            </w:r>
          </w:p>
        </w:tc>
        <w:tc>
          <w:tcPr>
            <w:tcW w:w="1931" w:type="pct"/>
            <w:shd w:val="clear" w:color="auto" w:fill="auto"/>
            <w:vAlign w:val="bottom"/>
          </w:tcPr>
          <w:p w:rsidR="007D17C5" w:rsidRPr="00143624" w:rsidRDefault="007D17C5" w:rsidP="009558BE">
            <w:pPr>
              <w:pStyle w:val="Tabletext"/>
              <w:spacing w:before="50"/>
            </w:pPr>
            <w:r w:rsidRPr="00143624">
              <w:t>4.773</w:t>
            </w:r>
          </w:p>
        </w:tc>
        <w:tc>
          <w:tcPr>
            <w:tcW w:w="1499" w:type="pct"/>
            <w:shd w:val="clear" w:color="auto" w:fill="auto"/>
          </w:tcPr>
          <w:p w:rsidR="007D17C5" w:rsidRPr="00143624" w:rsidRDefault="007D17C5" w:rsidP="009558BE">
            <w:pPr>
              <w:pStyle w:val="Tabletext"/>
              <w:spacing w:before="50"/>
            </w:pPr>
            <w:r w:rsidRPr="00143624">
              <w:t>4.379</w:t>
            </w:r>
          </w:p>
        </w:tc>
      </w:tr>
      <w:tr w:rsidR="007D17C5" w:rsidRPr="00143624" w:rsidTr="009558BE">
        <w:tc>
          <w:tcPr>
            <w:tcW w:w="431" w:type="pct"/>
            <w:tcBorders>
              <w:bottom w:val="single" w:sz="2" w:space="0" w:color="auto"/>
            </w:tcBorders>
            <w:shd w:val="clear" w:color="auto" w:fill="auto"/>
          </w:tcPr>
          <w:p w:rsidR="007D17C5" w:rsidRPr="00143624" w:rsidRDefault="007D17C5" w:rsidP="009558BE">
            <w:pPr>
              <w:pStyle w:val="Tabletext"/>
            </w:pPr>
            <w:r w:rsidRPr="00143624">
              <w:t>77</w:t>
            </w:r>
          </w:p>
        </w:tc>
        <w:tc>
          <w:tcPr>
            <w:tcW w:w="1138" w:type="pct"/>
            <w:tcBorders>
              <w:bottom w:val="single" w:sz="2" w:space="0" w:color="auto"/>
            </w:tcBorders>
            <w:shd w:val="clear" w:color="auto" w:fill="auto"/>
          </w:tcPr>
          <w:p w:rsidR="007D17C5" w:rsidRPr="00143624" w:rsidRDefault="007D17C5" w:rsidP="009558BE">
            <w:pPr>
              <w:pStyle w:val="Tabletext"/>
              <w:spacing w:before="50"/>
            </w:pPr>
            <w:r w:rsidRPr="00143624">
              <w:t>94</w:t>
            </w:r>
          </w:p>
        </w:tc>
        <w:tc>
          <w:tcPr>
            <w:tcW w:w="1931" w:type="pct"/>
            <w:tcBorders>
              <w:bottom w:val="single" w:sz="2" w:space="0" w:color="auto"/>
            </w:tcBorders>
            <w:shd w:val="clear" w:color="auto" w:fill="auto"/>
            <w:vAlign w:val="bottom"/>
          </w:tcPr>
          <w:p w:rsidR="007D17C5" w:rsidRPr="00143624" w:rsidRDefault="007D17C5" w:rsidP="009558BE">
            <w:pPr>
              <w:pStyle w:val="Tabletext"/>
              <w:spacing w:before="50"/>
            </w:pPr>
            <w:r w:rsidRPr="00143624">
              <w:t>4.566</w:t>
            </w:r>
          </w:p>
        </w:tc>
        <w:tc>
          <w:tcPr>
            <w:tcW w:w="1499" w:type="pct"/>
            <w:tcBorders>
              <w:bottom w:val="single" w:sz="2" w:space="0" w:color="auto"/>
            </w:tcBorders>
            <w:shd w:val="clear" w:color="auto" w:fill="auto"/>
          </w:tcPr>
          <w:p w:rsidR="007D17C5" w:rsidRPr="00143624" w:rsidRDefault="007D17C5" w:rsidP="009558BE">
            <w:pPr>
              <w:pStyle w:val="Tabletext"/>
              <w:spacing w:before="50"/>
            </w:pPr>
            <w:r w:rsidRPr="00143624">
              <w:t>4.205</w:t>
            </w:r>
          </w:p>
        </w:tc>
      </w:tr>
      <w:tr w:rsidR="007D17C5" w:rsidRPr="00143624" w:rsidTr="009558BE">
        <w:tc>
          <w:tcPr>
            <w:tcW w:w="431" w:type="pct"/>
            <w:tcBorders>
              <w:top w:val="single" w:sz="2" w:space="0" w:color="auto"/>
              <w:bottom w:val="single" w:sz="12" w:space="0" w:color="auto"/>
            </w:tcBorders>
            <w:shd w:val="clear" w:color="auto" w:fill="auto"/>
          </w:tcPr>
          <w:p w:rsidR="007D17C5" w:rsidRPr="00143624" w:rsidRDefault="007D17C5" w:rsidP="009558BE">
            <w:pPr>
              <w:pStyle w:val="Tabletext"/>
            </w:pPr>
            <w:r w:rsidRPr="00143624">
              <w:t>78</w:t>
            </w:r>
          </w:p>
        </w:tc>
        <w:tc>
          <w:tcPr>
            <w:tcW w:w="1138" w:type="pct"/>
            <w:tcBorders>
              <w:top w:val="single" w:sz="2" w:space="0" w:color="auto"/>
              <w:bottom w:val="single" w:sz="12" w:space="0" w:color="auto"/>
            </w:tcBorders>
            <w:shd w:val="clear" w:color="auto" w:fill="auto"/>
          </w:tcPr>
          <w:p w:rsidR="007D17C5" w:rsidRPr="00143624" w:rsidRDefault="007D17C5" w:rsidP="009558BE">
            <w:pPr>
              <w:pStyle w:val="Tabletext"/>
              <w:spacing w:before="50"/>
            </w:pPr>
            <w:r w:rsidRPr="00143624">
              <w:t>95</w:t>
            </w:r>
          </w:p>
        </w:tc>
        <w:tc>
          <w:tcPr>
            <w:tcW w:w="1931" w:type="pct"/>
            <w:tcBorders>
              <w:top w:val="single" w:sz="2" w:space="0" w:color="auto"/>
              <w:bottom w:val="single" w:sz="12" w:space="0" w:color="auto"/>
            </w:tcBorders>
            <w:shd w:val="clear" w:color="auto" w:fill="auto"/>
            <w:vAlign w:val="bottom"/>
          </w:tcPr>
          <w:p w:rsidR="007D17C5" w:rsidRPr="00143624" w:rsidRDefault="007D17C5" w:rsidP="009558BE">
            <w:pPr>
              <w:pStyle w:val="Tabletext"/>
              <w:spacing w:before="50"/>
            </w:pPr>
            <w:r w:rsidRPr="00143624">
              <w:t>4.360</w:t>
            </w:r>
          </w:p>
        </w:tc>
        <w:tc>
          <w:tcPr>
            <w:tcW w:w="1499" w:type="pct"/>
            <w:tcBorders>
              <w:top w:val="single" w:sz="2" w:space="0" w:color="auto"/>
              <w:bottom w:val="single" w:sz="12" w:space="0" w:color="auto"/>
            </w:tcBorders>
            <w:shd w:val="clear" w:color="auto" w:fill="auto"/>
          </w:tcPr>
          <w:p w:rsidR="007D17C5" w:rsidRPr="00143624" w:rsidRDefault="007D17C5" w:rsidP="009558BE">
            <w:pPr>
              <w:pStyle w:val="Tabletext"/>
              <w:spacing w:before="50"/>
            </w:pPr>
            <w:r w:rsidRPr="00143624">
              <w:t>4.031</w:t>
            </w:r>
          </w:p>
        </w:tc>
      </w:tr>
    </w:tbl>
    <w:p w:rsidR="007D17C5" w:rsidRPr="00143624" w:rsidRDefault="007D17C5" w:rsidP="007D17C5">
      <w:pPr>
        <w:pStyle w:val="subsection"/>
      </w:pPr>
      <w:r w:rsidRPr="00143624">
        <w:tab/>
        <w:t>(4)</w:t>
      </w:r>
      <w:r w:rsidRPr="00143624">
        <w:tab/>
        <w:t>The following is table 2.</w:t>
      </w:r>
    </w:p>
    <w:p w:rsidR="007D17C5" w:rsidRPr="00143624" w:rsidRDefault="007D17C5" w:rsidP="007D17C5">
      <w:pPr>
        <w:pStyle w:val="Tabletext"/>
      </w:pPr>
    </w:p>
    <w:tbl>
      <w:tblPr>
        <w:tblW w:w="8506"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1833"/>
        <w:gridCol w:w="3233"/>
        <w:gridCol w:w="2579"/>
      </w:tblGrid>
      <w:tr w:rsidR="007D17C5" w:rsidRPr="00143624" w:rsidTr="009558BE">
        <w:trPr>
          <w:tblHeader/>
        </w:trPr>
        <w:tc>
          <w:tcPr>
            <w:tcW w:w="8506" w:type="dxa"/>
            <w:gridSpan w:val="4"/>
            <w:tcBorders>
              <w:top w:val="single" w:sz="12" w:space="0" w:color="auto"/>
              <w:bottom w:val="single" w:sz="6" w:space="0" w:color="auto"/>
            </w:tcBorders>
            <w:shd w:val="clear" w:color="auto" w:fill="auto"/>
          </w:tcPr>
          <w:p w:rsidR="007D17C5" w:rsidRPr="00143624" w:rsidRDefault="007D17C5" w:rsidP="009558BE">
            <w:pPr>
              <w:pStyle w:val="TableHeading"/>
            </w:pPr>
            <w:r w:rsidRPr="00143624">
              <w:t>Table 2</w:t>
            </w:r>
          </w:p>
        </w:tc>
      </w:tr>
      <w:tr w:rsidR="007D17C5" w:rsidRPr="00143624" w:rsidTr="009558BE">
        <w:trPr>
          <w:tblHeader/>
        </w:trPr>
        <w:tc>
          <w:tcPr>
            <w:tcW w:w="861"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1833" w:type="dxa"/>
            <w:tcBorders>
              <w:top w:val="single" w:sz="6" w:space="0" w:color="auto"/>
              <w:bottom w:val="single" w:sz="12" w:space="0" w:color="auto"/>
            </w:tcBorders>
            <w:shd w:val="clear" w:color="auto" w:fill="auto"/>
          </w:tcPr>
          <w:p w:rsidR="007D17C5" w:rsidRPr="00143624" w:rsidRDefault="007D17C5" w:rsidP="009558BE">
            <w:pPr>
              <w:pStyle w:val="TableHeading"/>
              <w:rPr>
                <w:sz w:val="19"/>
                <w:szCs w:val="19"/>
              </w:rPr>
            </w:pPr>
            <w:r w:rsidRPr="00143624">
              <w:rPr>
                <w:sz w:val="19"/>
                <w:szCs w:val="19"/>
              </w:rPr>
              <w:t>Number of years</w:t>
            </w:r>
          </w:p>
        </w:tc>
        <w:tc>
          <w:tcPr>
            <w:tcW w:w="3233" w:type="dxa"/>
            <w:tcBorders>
              <w:top w:val="single" w:sz="6" w:space="0" w:color="auto"/>
              <w:bottom w:val="single" w:sz="12" w:space="0" w:color="auto"/>
            </w:tcBorders>
            <w:shd w:val="clear" w:color="auto" w:fill="auto"/>
          </w:tcPr>
          <w:p w:rsidR="007D17C5" w:rsidRPr="00143624" w:rsidRDefault="007D17C5" w:rsidP="009558BE">
            <w:pPr>
              <w:pStyle w:val="TableHeading"/>
              <w:rPr>
                <w:sz w:val="19"/>
                <w:szCs w:val="19"/>
              </w:rPr>
            </w:pPr>
            <w:r w:rsidRPr="00143624">
              <w:rPr>
                <w:sz w:val="19"/>
                <w:szCs w:val="19"/>
              </w:rPr>
              <w:t>Factor for indexed fixed</w:t>
            </w:r>
            <w:r w:rsidR="00143624">
              <w:rPr>
                <w:sz w:val="19"/>
                <w:szCs w:val="19"/>
              </w:rPr>
              <w:noBreakHyphen/>
            </w:r>
            <w:r w:rsidRPr="00143624">
              <w:rPr>
                <w:sz w:val="19"/>
                <w:szCs w:val="19"/>
              </w:rPr>
              <w:t>term income stream</w:t>
            </w:r>
          </w:p>
        </w:tc>
        <w:tc>
          <w:tcPr>
            <w:tcW w:w="2579" w:type="dxa"/>
            <w:tcBorders>
              <w:top w:val="single" w:sz="6" w:space="0" w:color="auto"/>
              <w:bottom w:val="single" w:sz="12" w:space="0" w:color="auto"/>
            </w:tcBorders>
            <w:shd w:val="clear" w:color="auto" w:fill="auto"/>
          </w:tcPr>
          <w:p w:rsidR="007D17C5" w:rsidRPr="00143624" w:rsidRDefault="007D17C5" w:rsidP="009558BE">
            <w:pPr>
              <w:pStyle w:val="TableHeading"/>
              <w:rPr>
                <w:sz w:val="19"/>
                <w:szCs w:val="19"/>
              </w:rPr>
            </w:pPr>
            <w:r w:rsidRPr="00143624">
              <w:rPr>
                <w:sz w:val="19"/>
                <w:szCs w:val="19"/>
              </w:rPr>
              <w:t>Factor for non</w:t>
            </w:r>
            <w:r w:rsidR="00143624">
              <w:rPr>
                <w:sz w:val="19"/>
                <w:szCs w:val="19"/>
              </w:rPr>
              <w:noBreakHyphen/>
            </w:r>
            <w:r w:rsidRPr="00143624">
              <w:rPr>
                <w:sz w:val="19"/>
                <w:szCs w:val="19"/>
              </w:rPr>
              <w:t>indexed fixed</w:t>
            </w:r>
            <w:r w:rsidR="00143624">
              <w:rPr>
                <w:sz w:val="19"/>
                <w:szCs w:val="19"/>
              </w:rPr>
              <w:noBreakHyphen/>
            </w:r>
            <w:r w:rsidRPr="00143624">
              <w:rPr>
                <w:sz w:val="19"/>
                <w:szCs w:val="19"/>
              </w:rPr>
              <w:t>term income stream</w:t>
            </w:r>
          </w:p>
        </w:tc>
      </w:tr>
      <w:tr w:rsidR="007D17C5" w:rsidRPr="00143624" w:rsidTr="009558BE">
        <w:tc>
          <w:tcPr>
            <w:tcW w:w="861" w:type="dxa"/>
            <w:tcBorders>
              <w:top w:val="single" w:sz="12" w:space="0" w:color="auto"/>
            </w:tcBorders>
            <w:shd w:val="clear" w:color="auto" w:fill="auto"/>
          </w:tcPr>
          <w:p w:rsidR="007D17C5" w:rsidRPr="00143624" w:rsidRDefault="007D17C5" w:rsidP="009558BE">
            <w:pPr>
              <w:pStyle w:val="Tabletext"/>
            </w:pPr>
            <w:r w:rsidRPr="00143624">
              <w:t>1</w:t>
            </w:r>
          </w:p>
        </w:tc>
        <w:tc>
          <w:tcPr>
            <w:tcW w:w="1833" w:type="dxa"/>
            <w:tcBorders>
              <w:top w:val="single" w:sz="12" w:space="0" w:color="auto"/>
            </w:tcBorders>
            <w:shd w:val="clear" w:color="auto" w:fill="auto"/>
          </w:tcPr>
          <w:p w:rsidR="007D17C5" w:rsidRPr="00143624" w:rsidRDefault="007D17C5" w:rsidP="009558BE">
            <w:pPr>
              <w:pStyle w:val="Tabletext"/>
            </w:pPr>
            <w:r w:rsidRPr="00143624">
              <w:t>0</w:t>
            </w:r>
          </w:p>
        </w:tc>
        <w:tc>
          <w:tcPr>
            <w:tcW w:w="3233" w:type="dxa"/>
            <w:tcBorders>
              <w:top w:val="single" w:sz="12" w:space="0" w:color="auto"/>
            </w:tcBorders>
            <w:shd w:val="clear" w:color="auto" w:fill="auto"/>
          </w:tcPr>
          <w:p w:rsidR="007D17C5" w:rsidRPr="00143624" w:rsidRDefault="007D17C5" w:rsidP="009558BE">
            <w:pPr>
              <w:pStyle w:val="Tabletext"/>
            </w:pPr>
            <w:r w:rsidRPr="00143624">
              <w:t>0.000</w:t>
            </w:r>
          </w:p>
        </w:tc>
        <w:tc>
          <w:tcPr>
            <w:tcW w:w="2579" w:type="dxa"/>
            <w:tcBorders>
              <w:top w:val="single" w:sz="12" w:space="0" w:color="auto"/>
            </w:tcBorders>
            <w:shd w:val="clear" w:color="auto" w:fill="auto"/>
          </w:tcPr>
          <w:p w:rsidR="007D17C5" w:rsidRPr="00143624" w:rsidRDefault="007D17C5" w:rsidP="009558BE">
            <w:pPr>
              <w:pStyle w:val="Tabletext"/>
            </w:pPr>
            <w:r w:rsidRPr="00143624">
              <w:t>0.000</w:t>
            </w:r>
          </w:p>
        </w:tc>
      </w:tr>
      <w:tr w:rsidR="007D17C5" w:rsidRPr="00143624" w:rsidTr="009558BE">
        <w:tc>
          <w:tcPr>
            <w:tcW w:w="861" w:type="dxa"/>
            <w:shd w:val="clear" w:color="auto" w:fill="auto"/>
          </w:tcPr>
          <w:p w:rsidR="007D17C5" w:rsidRPr="00143624" w:rsidRDefault="007D17C5" w:rsidP="009558BE">
            <w:pPr>
              <w:pStyle w:val="Tabletext"/>
            </w:pPr>
            <w:r w:rsidRPr="00143624">
              <w:t>2</w:t>
            </w:r>
          </w:p>
        </w:tc>
        <w:tc>
          <w:tcPr>
            <w:tcW w:w="1833" w:type="dxa"/>
            <w:shd w:val="clear" w:color="auto" w:fill="auto"/>
          </w:tcPr>
          <w:p w:rsidR="007D17C5" w:rsidRPr="00143624" w:rsidRDefault="007D17C5" w:rsidP="009558BE">
            <w:pPr>
              <w:pStyle w:val="Tabletext"/>
            </w:pPr>
            <w:r w:rsidRPr="00143624">
              <w:t>1</w:t>
            </w:r>
          </w:p>
        </w:tc>
        <w:tc>
          <w:tcPr>
            <w:tcW w:w="3233" w:type="dxa"/>
            <w:shd w:val="clear" w:color="auto" w:fill="auto"/>
          </w:tcPr>
          <w:p w:rsidR="007D17C5" w:rsidRPr="00143624" w:rsidRDefault="007D17C5" w:rsidP="009558BE">
            <w:pPr>
              <w:pStyle w:val="Tabletext"/>
            </w:pPr>
            <w:r w:rsidRPr="00143624">
              <w:t>0.981</w:t>
            </w:r>
          </w:p>
        </w:tc>
        <w:tc>
          <w:tcPr>
            <w:tcW w:w="2579" w:type="dxa"/>
            <w:shd w:val="clear" w:color="auto" w:fill="auto"/>
          </w:tcPr>
          <w:p w:rsidR="007D17C5" w:rsidRPr="00143624" w:rsidRDefault="007D17C5" w:rsidP="009558BE">
            <w:pPr>
              <w:pStyle w:val="Tabletext"/>
            </w:pPr>
            <w:r w:rsidRPr="00143624">
              <w:t>0.969</w:t>
            </w:r>
          </w:p>
        </w:tc>
      </w:tr>
      <w:tr w:rsidR="007D17C5" w:rsidRPr="00143624" w:rsidTr="009558BE">
        <w:tc>
          <w:tcPr>
            <w:tcW w:w="861" w:type="dxa"/>
            <w:shd w:val="clear" w:color="auto" w:fill="auto"/>
          </w:tcPr>
          <w:p w:rsidR="007D17C5" w:rsidRPr="00143624" w:rsidRDefault="007D17C5" w:rsidP="009558BE">
            <w:pPr>
              <w:pStyle w:val="Tabletext"/>
            </w:pPr>
            <w:r w:rsidRPr="00143624">
              <w:t>3</w:t>
            </w:r>
          </w:p>
        </w:tc>
        <w:tc>
          <w:tcPr>
            <w:tcW w:w="1833" w:type="dxa"/>
            <w:shd w:val="clear" w:color="auto" w:fill="auto"/>
          </w:tcPr>
          <w:p w:rsidR="007D17C5" w:rsidRPr="00143624" w:rsidRDefault="007D17C5" w:rsidP="009558BE">
            <w:pPr>
              <w:pStyle w:val="Tabletext"/>
            </w:pPr>
            <w:r w:rsidRPr="00143624">
              <w:t>2</w:t>
            </w:r>
          </w:p>
        </w:tc>
        <w:tc>
          <w:tcPr>
            <w:tcW w:w="3233" w:type="dxa"/>
            <w:shd w:val="clear" w:color="auto" w:fill="auto"/>
          </w:tcPr>
          <w:p w:rsidR="007D17C5" w:rsidRPr="00143624" w:rsidRDefault="007D17C5" w:rsidP="009558BE">
            <w:pPr>
              <w:pStyle w:val="Tabletext"/>
            </w:pPr>
            <w:r w:rsidRPr="00143624">
              <w:t>1.925</w:t>
            </w:r>
          </w:p>
        </w:tc>
        <w:tc>
          <w:tcPr>
            <w:tcW w:w="2579" w:type="dxa"/>
            <w:shd w:val="clear" w:color="auto" w:fill="auto"/>
          </w:tcPr>
          <w:p w:rsidR="007D17C5" w:rsidRPr="00143624" w:rsidRDefault="007D17C5" w:rsidP="009558BE">
            <w:pPr>
              <w:pStyle w:val="Tabletext"/>
            </w:pPr>
            <w:r w:rsidRPr="00143624">
              <w:t>1.879</w:t>
            </w:r>
          </w:p>
        </w:tc>
      </w:tr>
      <w:tr w:rsidR="007D17C5" w:rsidRPr="00143624" w:rsidTr="009558BE">
        <w:tc>
          <w:tcPr>
            <w:tcW w:w="861" w:type="dxa"/>
            <w:shd w:val="clear" w:color="auto" w:fill="auto"/>
          </w:tcPr>
          <w:p w:rsidR="007D17C5" w:rsidRPr="00143624" w:rsidRDefault="007D17C5" w:rsidP="009558BE">
            <w:pPr>
              <w:pStyle w:val="Tabletext"/>
            </w:pPr>
            <w:r w:rsidRPr="00143624">
              <w:t>4</w:t>
            </w:r>
          </w:p>
        </w:tc>
        <w:tc>
          <w:tcPr>
            <w:tcW w:w="1833" w:type="dxa"/>
            <w:shd w:val="clear" w:color="auto" w:fill="auto"/>
          </w:tcPr>
          <w:p w:rsidR="007D17C5" w:rsidRPr="00143624" w:rsidRDefault="007D17C5" w:rsidP="009558BE">
            <w:pPr>
              <w:pStyle w:val="Tabletext"/>
            </w:pPr>
            <w:r w:rsidRPr="00143624">
              <w:t>3</w:t>
            </w:r>
          </w:p>
        </w:tc>
        <w:tc>
          <w:tcPr>
            <w:tcW w:w="3233" w:type="dxa"/>
            <w:shd w:val="clear" w:color="auto" w:fill="auto"/>
          </w:tcPr>
          <w:p w:rsidR="007D17C5" w:rsidRPr="00143624" w:rsidRDefault="007D17C5" w:rsidP="009558BE">
            <w:pPr>
              <w:pStyle w:val="Tabletext"/>
            </w:pPr>
            <w:r w:rsidRPr="00143624">
              <w:t>2.834</w:t>
            </w:r>
          </w:p>
        </w:tc>
        <w:tc>
          <w:tcPr>
            <w:tcW w:w="2579" w:type="dxa"/>
            <w:shd w:val="clear" w:color="auto" w:fill="auto"/>
          </w:tcPr>
          <w:p w:rsidR="007D17C5" w:rsidRPr="00143624" w:rsidRDefault="007D17C5" w:rsidP="009558BE">
            <w:pPr>
              <w:pStyle w:val="Tabletext"/>
            </w:pPr>
            <w:r w:rsidRPr="00143624">
              <w:t>2.734</w:t>
            </w:r>
          </w:p>
        </w:tc>
      </w:tr>
      <w:tr w:rsidR="007D17C5" w:rsidRPr="00143624" w:rsidTr="009558BE">
        <w:tc>
          <w:tcPr>
            <w:tcW w:w="861" w:type="dxa"/>
            <w:shd w:val="clear" w:color="auto" w:fill="auto"/>
          </w:tcPr>
          <w:p w:rsidR="007D17C5" w:rsidRPr="00143624" w:rsidRDefault="007D17C5" w:rsidP="009558BE">
            <w:pPr>
              <w:pStyle w:val="Tabletext"/>
            </w:pPr>
            <w:r w:rsidRPr="00143624">
              <w:t>5</w:t>
            </w:r>
          </w:p>
        </w:tc>
        <w:tc>
          <w:tcPr>
            <w:tcW w:w="1833" w:type="dxa"/>
            <w:shd w:val="clear" w:color="auto" w:fill="auto"/>
          </w:tcPr>
          <w:p w:rsidR="007D17C5" w:rsidRPr="00143624" w:rsidRDefault="007D17C5" w:rsidP="009558BE">
            <w:pPr>
              <w:pStyle w:val="Tabletext"/>
            </w:pPr>
            <w:r w:rsidRPr="00143624">
              <w:t>4</w:t>
            </w:r>
          </w:p>
        </w:tc>
        <w:tc>
          <w:tcPr>
            <w:tcW w:w="3233" w:type="dxa"/>
            <w:shd w:val="clear" w:color="auto" w:fill="auto"/>
          </w:tcPr>
          <w:p w:rsidR="007D17C5" w:rsidRPr="00143624" w:rsidRDefault="007D17C5" w:rsidP="009558BE">
            <w:pPr>
              <w:pStyle w:val="Tabletext"/>
            </w:pPr>
            <w:r w:rsidRPr="00143624">
              <w:t>3.709</w:t>
            </w:r>
          </w:p>
        </w:tc>
        <w:tc>
          <w:tcPr>
            <w:tcW w:w="2579" w:type="dxa"/>
            <w:shd w:val="clear" w:color="auto" w:fill="auto"/>
          </w:tcPr>
          <w:p w:rsidR="007D17C5" w:rsidRPr="00143624" w:rsidRDefault="007D17C5" w:rsidP="009558BE">
            <w:pPr>
              <w:pStyle w:val="Tabletext"/>
            </w:pPr>
            <w:r w:rsidRPr="00143624">
              <w:t>3.536</w:t>
            </w:r>
          </w:p>
        </w:tc>
      </w:tr>
      <w:tr w:rsidR="007D17C5" w:rsidRPr="00143624" w:rsidTr="009558BE">
        <w:tc>
          <w:tcPr>
            <w:tcW w:w="861" w:type="dxa"/>
            <w:shd w:val="clear" w:color="auto" w:fill="auto"/>
          </w:tcPr>
          <w:p w:rsidR="007D17C5" w:rsidRPr="00143624" w:rsidRDefault="007D17C5" w:rsidP="009558BE">
            <w:pPr>
              <w:pStyle w:val="Tabletext"/>
            </w:pPr>
            <w:r w:rsidRPr="00143624">
              <w:t>6</w:t>
            </w:r>
          </w:p>
        </w:tc>
        <w:tc>
          <w:tcPr>
            <w:tcW w:w="1833" w:type="dxa"/>
            <w:shd w:val="clear" w:color="auto" w:fill="auto"/>
          </w:tcPr>
          <w:p w:rsidR="007D17C5" w:rsidRPr="00143624" w:rsidRDefault="007D17C5" w:rsidP="009558BE">
            <w:pPr>
              <w:pStyle w:val="Tabletext"/>
            </w:pPr>
            <w:r w:rsidRPr="00143624">
              <w:t>5</w:t>
            </w:r>
          </w:p>
        </w:tc>
        <w:tc>
          <w:tcPr>
            <w:tcW w:w="3233" w:type="dxa"/>
            <w:shd w:val="clear" w:color="auto" w:fill="auto"/>
          </w:tcPr>
          <w:p w:rsidR="007D17C5" w:rsidRPr="00143624" w:rsidRDefault="007D17C5" w:rsidP="009558BE">
            <w:pPr>
              <w:pStyle w:val="Tabletext"/>
            </w:pPr>
            <w:r w:rsidRPr="00143624">
              <w:t>4.550</w:t>
            </w:r>
          </w:p>
        </w:tc>
        <w:tc>
          <w:tcPr>
            <w:tcW w:w="2579" w:type="dxa"/>
            <w:shd w:val="clear" w:color="auto" w:fill="auto"/>
          </w:tcPr>
          <w:p w:rsidR="007D17C5" w:rsidRPr="00143624" w:rsidRDefault="007D17C5" w:rsidP="009558BE">
            <w:pPr>
              <w:pStyle w:val="Tabletext"/>
            </w:pPr>
            <w:r w:rsidRPr="00143624">
              <w:t>4.289</w:t>
            </w:r>
          </w:p>
        </w:tc>
      </w:tr>
      <w:tr w:rsidR="007D17C5" w:rsidRPr="00143624" w:rsidTr="009558BE">
        <w:tc>
          <w:tcPr>
            <w:tcW w:w="861" w:type="dxa"/>
            <w:shd w:val="clear" w:color="auto" w:fill="auto"/>
          </w:tcPr>
          <w:p w:rsidR="007D17C5" w:rsidRPr="00143624" w:rsidRDefault="007D17C5" w:rsidP="009558BE">
            <w:pPr>
              <w:pStyle w:val="Tabletext"/>
            </w:pPr>
            <w:r w:rsidRPr="00143624">
              <w:t>7</w:t>
            </w:r>
          </w:p>
        </w:tc>
        <w:tc>
          <w:tcPr>
            <w:tcW w:w="1833" w:type="dxa"/>
            <w:shd w:val="clear" w:color="auto" w:fill="auto"/>
          </w:tcPr>
          <w:p w:rsidR="007D17C5" w:rsidRPr="00143624" w:rsidRDefault="007D17C5" w:rsidP="009558BE">
            <w:pPr>
              <w:pStyle w:val="Tabletext"/>
            </w:pPr>
            <w:r w:rsidRPr="00143624">
              <w:t>6</w:t>
            </w:r>
          </w:p>
        </w:tc>
        <w:tc>
          <w:tcPr>
            <w:tcW w:w="3233" w:type="dxa"/>
            <w:shd w:val="clear" w:color="auto" w:fill="auto"/>
          </w:tcPr>
          <w:p w:rsidR="007D17C5" w:rsidRPr="00143624" w:rsidRDefault="007D17C5" w:rsidP="009558BE">
            <w:pPr>
              <w:pStyle w:val="Tabletext"/>
            </w:pPr>
            <w:r w:rsidRPr="00143624">
              <w:t>5.360</w:t>
            </w:r>
          </w:p>
        </w:tc>
        <w:tc>
          <w:tcPr>
            <w:tcW w:w="2579" w:type="dxa"/>
            <w:shd w:val="clear" w:color="auto" w:fill="auto"/>
          </w:tcPr>
          <w:p w:rsidR="007D17C5" w:rsidRPr="00143624" w:rsidRDefault="007D17C5" w:rsidP="009558BE">
            <w:pPr>
              <w:pStyle w:val="Tabletext"/>
            </w:pPr>
            <w:r w:rsidRPr="00143624">
              <w:t>4.996</w:t>
            </w:r>
          </w:p>
        </w:tc>
      </w:tr>
      <w:tr w:rsidR="007D17C5" w:rsidRPr="00143624" w:rsidTr="009558BE">
        <w:tc>
          <w:tcPr>
            <w:tcW w:w="861" w:type="dxa"/>
            <w:shd w:val="clear" w:color="auto" w:fill="auto"/>
          </w:tcPr>
          <w:p w:rsidR="007D17C5" w:rsidRPr="00143624" w:rsidRDefault="007D17C5" w:rsidP="009558BE">
            <w:pPr>
              <w:pStyle w:val="Tabletext"/>
            </w:pPr>
            <w:r w:rsidRPr="00143624">
              <w:t>8</w:t>
            </w:r>
          </w:p>
        </w:tc>
        <w:tc>
          <w:tcPr>
            <w:tcW w:w="1833" w:type="dxa"/>
            <w:shd w:val="clear" w:color="auto" w:fill="auto"/>
          </w:tcPr>
          <w:p w:rsidR="007D17C5" w:rsidRPr="00143624" w:rsidRDefault="007D17C5" w:rsidP="009558BE">
            <w:pPr>
              <w:pStyle w:val="Tabletext"/>
            </w:pPr>
            <w:r w:rsidRPr="00143624">
              <w:t>7</w:t>
            </w:r>
          </w:p>
        </w:tc>
        <w:tc>
          <w:tcPr>
            <w:tcW w:w="3233" w:type="dxa"/>
            <w:shd w:val="clear" w:color="auto" w:fill="auto"/>
          </w:tcPr>
          <w:p w:rsidR="007D17C5" w:rsidRPr="00143624" w:rsidRDefault="007D17C5" w:rsidP="009558BE">
            <w:pPr>
              <w:pStyle w:val="Tabletext"/>
            </w:pPr>
            <w:r w:rsidRPr="00143624">
              <w:t>6.140</w:t>
            </w:r>
          </w:p>
        </w:tc>
        <w:tc>
          <w:tcPr>
            <w:tcW w:w="2579" w:type="dxa"/>
            <w:shd w:val="clear" w:color="auto" w:fill="auto"/>
          </w:tcPr>
          <w:p w:rsidR="007D17C5" w:rsidRPr="00143624" w:rsidRDefault="007D17C5" w:rsidP="009558BE">
            <w:pPr>
              <w:pStyle w:val="Tabletext"/>
            </w:pPr>
            <w:r w:rsidRPr="00143624">
              <w:t>5.661</w:t>
            </w:r>
          </w:p>
        </w:tc>
      </w:tr>
      <w:tr w:rsidR="007D17C5" w:rsidRPr="00143624" w:rsidTr="009558BE">
        <w:tc>
          <w:tcPr>
            <w:tcW w:w="861" w:type="dxa"/>
            <w:shd w:val="clear" w:color="auto" w:fill="auto"/>
          </w:tcPr>
          <w:p w:rsidR="007D17C5" w:rsidRPr="00143624" w:rsidRDefault="007D17C5" w:rsidP="009558BE">
            <w:pPr>
              <w:pStyle w:val="Tabletext"/>
            </w:pPr>
            <w:r w:rsidRPr="00143624">
              <w:t>9</w:t>
            </w:r>
          </w:p>
        </w:tc>
        <w:tc>
          <w:tcPr>
            <w:tcW w:w="1833" w:type="dxa"/>
            <w:shd w:val="clear" w:color="auto" w:fill="auto"/>
          </w:tcPr>
          <w:p w:rsidR="007D17C5" w:rsidRPr="00143624" w:rsidRDefault="007D17C5" w:rsidP="009558BE">
            <w:pPr>
              <w:pStyle w:val="Tabletext"/>
            </w:pPr>
            <w:r w:rsidRPr="00143624">
              <w:t>8</w:t>
            </w:r>
          </w:p>
        </w:tc>
        <w:tc>
          <w:tcPr>
            <w:tcW w:w="3233" w:type="dxa"/>
            <w:shd w:val="clear" w:color="auto" w:fill="auto"/>
          </w:tcPr>
          <w:p w:rsidR="007D17C5" w:rsidRPr="00143624" w:rsidRDefault="007D17C5" w:rsidP="009558BE">
            <w:pPr>
              <w:pStyle w:val="Tabletext"/>
            </w:pPr>
            <w:r w:rsidRPr="00143624">
              <w:t>6.891</w:t>
            </w:r>
          </w:p>
        </w:tc>
        <w:tc>
          <w:tcPr>
            <w:tcW w:w="2579" w:type="dxa"/>
            <w:shd w:val="clear" w:color="auto" w:fill="auto"/>
          </w:tcPr>
          <w:p w:rsidR="007D17C5" w:rsidRPr="00143624" w:rsidRDefault="007D17C5" w:rsidP="009558BE">
            <w:pPr>
              <w:pStyle w:val="Tabletext"/>
            </w:pPr>
            <w:r w:rsidRPr="00143624">
              <w:t>6.284</w:t>
            </w:r>
          </w:p>
        </w:tc>
      </w:tr>
      <w:tr w:rsidR="007D17C5" w:rsidRPr="00143624" w:rsidTr="009558BE">
        <w:tc>
          <w:tcPr>
            <w:tcW w:w="861" w:type="dxa"/>
            <w:shd w:val="clear" w:color="auto" w:fill="auto"/>
          </w:tcPr>
          <w:p w:rsidR="007D17C5" w:rsidRPr="00143624" w:rsidRDefault="007D17C5" w:rsidP="009558BE">
            <w:pPr>
              <w:pStyle w:val="Tabletext"/>
            </w:pPr>
            <w:r w:rsidRPr="00143624">
              <w:t>10</w:t>
            </w:r>
          </w:p>
        </w:tc>
        <w:tc>
          <w:tcPr>
            <w:tcW w:w="1833" w:type="dxa"/>
            <w:shd w:val="clear" w:color="auto" w:fill="auto"/>
          </w:tcPr>
          <w:p w:rsidR="007D17C5" w:rsidRPr="00143624" w:rsidRDefault="007D17C5" w:rsidP="009558BE">
            <w:pPr>
              <w:pStyle w:val="Tabletext"/>
            </w:pPr>
            <w:r w:rsidRPr="00143624">
              <w:t>9</w:t>
            </w:r>
          </w:p>
        </w:tc>
        <w:tc>
          <w:tcPr>
            <w:tcW w:w="3233" w:type="dxa"/>
            <w:shd w:val="clear" w:color="auto" w:fill="auto"/>
          </w:tcPr>
          <w:p w:rsidR="007D17C5" w:rsidRPr="00143624" w:rsidRDefault="007D17C5" w:rsidP="009558BE">
            <w:pPr>
              <w:pStyle w:val="Tabletext"/>
            </w:pPr>
            <w:r w:rsidRPr="00143624">
              <w:t>7.613</w:t>
            </w:r>
          </w:p>
        </w:tc>
        <w:tc>
          <w:tcPr>
            <w:tcW w:w="2579" w:type="dxa"/>
            <w:shd w:val="clear" w:color="auto" w:fill="auto"/>
          </w:tcPr>
          <w:p w:rsidR="007D17C5" w:rsidRPr="00143624" w:rsidRDefault="007D17C5" w:rsidP="009558BE">
            <w:pPr>
              <w:pStyle w:val="Tabletext"/>
            </w:pPr>
            <w:r w:rsidRPr="00143624">
              <w:t>6.870</w:t>
            </w:r>
          </w:p>
        </w:tc>
      </w:tr>
      <w:tr w:rsidR="007D17C5" w:rsidRPr="00143624" w:rsidTr="009558BE">
        <w:tc>
          <w:tcPr>
            <w:tcW w:w="861" w:type="dxa"/>
            <w:shd w:val="clear" w:color="auto" w:fill="auto"/>
          </w:tcPr>
          <w:p w:rsidR="007D17C5" w:rsidRPr="00143624" w:rsidRDefault="007D17C5" w:rsidP="009558BE">
            <w:pPr>
              <w:pStyle w:val="Tabletext"/>
            </w:pPr>
            <w:r w:rsidRPr="00143624">
              <w:lastRenderedPageBreak/>
              <w:t>11</w:t>
            </w:r>
          </w:p>
        </w:tc>
        <w:tc>
          <w:tcPr>
            <w:tcW w:w="1833" w:type="dxa"/>
            <w:shd w:val="clear" w:color="auto" w:fill="auto"/>
          </w:tcPr>
          <w:p w:rsidR="007D17C5" w:rsidRPr="00143624" w:rsidRDefault="007D17C5" w:rsidP="009558BE">
            <w:pPr>
              <w:pStyle w:val="Tabletext"/>
            </w:pPr>
            <w:r w:rsidRPr="00143624">
              <w:t>10</w:t>
            </w:r>
          </w:p>
        </w:tc>
        <w:tc>
          <w:tcPr>
            <w:tcW w:w="3233" w:type="dxa"/>
            <w:shd w:val="clear" w:color="auto" w:fill="auto"/>
          </w:tcPr>
          <w:p w:rsidR="007D17C5" w:rsidRPr="00143624" w:rsidRDefault="007D17C5" w:rsidP="009558BE">
            <w:pPr>
              <w:pStyle w:val="Tabletext"/>
            </w:pPr>
            <w:r w:rsidRPr="00143624">
              <w:t>8.308</w:t>
            </w:r>
          </w:p>
        </w:tc>
        <w:tc>
          <w:tcPr>
            <w:tcW w:w="2579" w:type="dxa"/>
            <w:shd w:val="clear" w:color="auto" w:fill="auto"/>
          </w:tcPr>
          <w:p w:rsidR="007D17C5" w:rsidRPr="00143624" w:rsidRDefault="007D17C5" w:rsidP="009558BE">
            <w:pPr>
              <w:pStyle w:val="Tabletext"/>
            </w:pPr>
            <w:r w:rsidRPr="00143624">
              <w:t>7.420</w:t>
            </w:r>
          </w:p>
        </w:tc>
      </w:tr>
      <w:tr w:rsidR="007D17C5" w:rsidRPr="00143624" w:rsidTr="009558BE">
        <w:tc>
          <w:tcPr>
            <w:tcW w:w="861" w:type="dxa"/>
            <w:shd w:val="clear" w:color="auto" w:fill="auto"/>
          </w:tcPr>
          <w:p w:rsidR="007D17C5" w:rsidRPr="00143624" w:rsidRDefault="007D17C5" w:rsidP="009558BE">
            <w:pPr>
              <w:pStyle w:val="Tabletext"/>
            </w:pPr>
            <w:r w:rsidRPr="00143624">
              <w:t>12</w:t>
            </w:r>
          </w:p>
        </w:tc>
        <w:tc>
          <w:tcPr>
            <w:tcW w:w="1833" w:type="dxa"/>
            <w:shd w:val="clear" w:color="auto" w:fill="auto"/>
          </w:tcPr>
          <w:p w:rsidR="007D17C5" w:rsidRPr="00143624" w:rsidRDefault="007D17C5" w:rsidP="009558BE">
            <w:pPr>
              <w:pStyle w:val="Tabletext"/>
            </w:pPr>
            <w:r w:rsidRPr="00143624">
              <w:t>11</w:t>
            </w:r>
          </w:p>
        </w:tc>
        <w:tc>
          <w:tcPr>
            <w:tcW w:w="3233" w:type="dxa"/>
            <w:shd w:val="clear" w:color="auto" w:fill="auto"/>
          </w:tcPr>
          <w:p w:rsidR="007D17C5" w:rsidRPr="00143624" w:rsidRDefault="007D17C5" w:rsidP="009558BE">
            <w:pPr>
              <w:pStyle w:val="Tabletext"/>
            </w:pPr>
            <w:r w:rsidRPr="00143624">
              <w:t>8.977</w:t>
            </w:r>
          </w:p>
        </w:tc>
        <w:tc>
          <w:tcPr>
            <w:tcW w:w="2579" w:type="dxa"/>
            <w:shd w:val="clear" w:color="auto" w:fill="auto"/>
          </w:tcPr>
          <w:p w:rsidR="007D17C5" w:rsidRPr="00143624" w:rsidRDefault="007D17C5" w:rsidP="009558BE">
            <w:pPr>
              <w:pStyle w:val="Tabletext"/>
            </w:pPr>
            <w:r w:rsidRPr="00143624">
              <w:t>7.936</w:t>
            </w:r>
          </w:p>
        </w:tc>
      </w:tr>
      <w:tr w:rsidR="007D17C5" w:rsidRPr="00143624" w:rsidTr="009558BE">
        <w:tc>
          <w:tcPr>
            <w:tcW w:w="861" w:type="dxa"/>
            <w:shd w:val="clear" w:color="auto" w:fill="auto"/>
          </w:tcPr>
          <w:p w:rsidR="007D17C5" w:rsidRPr="00143624" w:rsidRDefault="007D17C5" w:rsidP="009558BE">
            <w:pPr>
              <w:pStyle w:val="Tabletext"/>
            </w:pPr>
            <w:r w:rsidRPr="00143624">
              <w:t>13</w:t>
            </w:r>
          </w:p>
        </w:tc>
        <w:tc>
          <w:tcPr>
            <w:tcW w:w="1833" w:type="dxa"/>
            <w:shd w:val="clear" w:color="auto" w:fill="auto"/>
          </w:tcPr>
          <w:p w:rsidR="007D17C5" w:rsidRPr="00143624" w:rsidRDefault="007D17C5" w:rsidP="009558BE">
            <w:pPr>
              <w:pStyle w:val="Tabletext"/>
            </w:pPr>
            <w:r w:rsidRPr="00143624">
              <w:t>12</w:t>
            </w:r>
          </w:p>
        </w:tc>
        <w:tc>
          <w:tcPr>
            <w:tcW w:w="3233" w:type="dxa"/>
            <w:shd w:val="clear" w:color="auto" w:fill="auto"/>
          </w:tcPr>
          <w:p w:rsidR="007D17C5" w:rsidRPr="00143624" w:rsidRDefault="007D17C5" w:rsidP="009558BE">
            <w:pPr>
              <w:pStyle w:val="Tabletext"/>
            </w:pPr>
            <w:r w:rsidRPr="00143624">
              <w:t>9.621</w:t>
            </w:r>
          </w:p>
        </w:tc>
        <w:tc>
          <w:tcPr>
            <w:tcW w:w="2579" w:type="dxa"/>
            <w:shd w:val="clear" w:color="auto" w:fill="auto"/>
          </w:tcPr>
          <w:p w:rsidR="007D17C5" w:rsidRPr="00143624" w:rsidRDefault="007D17C5" w:rsidP="009558BE">
            <w:pPr>
              <w:pStyle w:val="Tabletext"/>
            </w:pPr>
            <w:r w:rsidRPr="00143624">
              <w:t>8.421</w:t>
            </w:r>
          </w:p>
        </w:tc>
      </w:tr>
      <w:tr w:rsidR="007D17C5" w:rsidRPr="00143624" w:rsidTr="009558BE">
        <w:tc>
          <w:tcPr>
            <w:tcW w:w="861" w:type="dxa"/>
            <w:shd w:val="clear" w:color="auto" w:fill="auto"/>
          </w:tcPr>
          <w:p w:rsidR="007D17C5" w:rsidRPr="00143624" w:rsidRDefault="007D17C5" w:rsidP="009558BE">
            <w:pPr>
              <w:pStyle w:val="Tabletext"/>
            </w:pPr>
            <w:r w:rsidRPr="00143624">
              <w:t>14</w:t>
            </w:r>
          </w:p>
        </w:tc>
        <w:tc>
          <w:tcPr>
            <w:tcW w:w="1833" w:type="dxa"/>
            <w:shd w:val="clear" w:color="auto" w:fill="auto"/>
          </w:tcPr>
          <w:p w:rsidR="007D17C5" w:rsidRPr="00143624" w:rsidRDefault="007D17C5" w:rsidP="009558BE">
            <w:pPr>
              <w:pStyle w:val="Tabletext"/>
            </w:pPr>
            <w:r w:rsidRPr="00143624">
              <w:t>13</w:t>
            </w:r>
          </w:p>
        </w:tc>
        <w:tc>
          <w:tcPr>
            <w:tcW w:w="3233" w:type="dxa"/>
            <w:shd w:val="clear" w:color="auto" w:fill="auto"/>
          </w:tcPr>
          <w:p w:rsidR="007D17C5" w:rsidRPr="00143624" w:rsidRDefault="007D17C5" w:rsidP="009558BE">
            <w:pPr>
              <w:pStyle w:val="Tabletext"/>
            </w:pPr>
            <w:r w:rsidRPr="00143624">
              <w:t>10.241</w:t>
            </w:r>
          </w:p>
        </w:tc>
        <w:tc>
          <w:tcPr>
            <w:tcW w:w="2579" w:type="dxa"/>
            <w:shd w:val="clear" w:color="auto" w:fill="auto"/>
          </w:tcPr>
          <w:p w:rsidR="007D17C5" w:rsidRPr="00143624" w:rsidRDefault="007D17C5" w:rsidP="009558BE">
            <w:pPr>
              <w:pStyle w:val="Tabletext"/>
            </w:pPr>
            <w:r w:rsidRPr="00143624">
              <w:t>8.876</w:t>
            </w:r>
          </w:p>
        </w:tc>
      </w:tr>
      <w:tr w:rsidR="007D17C5" w:rsidRPr="00143624" w:rsidTr="009558BE">
        <w:tc>
          <w:tcPr>
            <w:tcW w:w="861" w:type="dxa"/>
            <w:shd w:val="clear" w:color="auto" w:fill="auto"/>
          </w:tcPr>
          <w:p w:rsidR="007D17C5" w:rsidRPr="00143624" w:rsidRDefault="007D17C5" w:rsidP="009558BE">
            <w:pPr>
              <w:pStyle w:val="Tabletext"/>
            </w:pPr>
            <w:r w:rsidRPr="00143624">
              <w:t>15</w:t>
            </w:r>
          </w:p>
        </w:tc>
        <w:tc>
          <w:tcPr>
            <w:tcW w:w="1833" w:type="dxa"/>
            <w:shd w:val="clear" w:color="auto" w:fill="auto"/>
          </w:tcPr>
          <w:p w:rsidR="007D17C5" w:rsidRPr="00143624" w:rsidRDefault="007D17C5" w:rsidP="009558BE">
            <w:pPr>
              <w:pStyle w:val="Tabletext"/>
            </w:pPr>
            <w:r w:rsidRPr="00143624">
              <w:t>14</w:t>
            </w:r>
          </w:p>
        </w:tc>
        <w:tc>
          <w:tcPr>
            <w:tcW w:w="3233" w:type="dxa"/>
            <w:shd w:val="clear" w:color="auto" w:fill="auto"/>
          </w:tcPr>
          <w:p w:rsidR="007D17C5" w:rsidRPr="00143624" w:rsidRDefault="007D17C5" w:rsidP="009558BE">
            <w:pPr>
              <w:pStyle w:val="Tabletext"/>
            </w:pPr>
            <w:r w:rsidRPr="00143624">
              <w:t>10.837</w:t>
            </w:r>
          </w:p>
        </w:tc>
        <w:tc>
          <w:tcPr>
            <w:tcW w:w="2579" w:type="dxa"/>
            <w:shd w:val="clear" w:color="auto" w:fill="auto"/>
          </w:tcPr>
          <w:p w:rsidR="007D17C5" w:rsidRPr="00143624" w:rsidRDefault="007D17C5" w:rsidP="009558BE">
            <w:pPr>
              <w:pStyle w:val="Tabletext"/>
            </w:pPr>
            <w:r w:rsidRPr="00143624">
              <w:t>9.303</w:t>
            </w:r>
          </w:p>
        </w:tc>
      </w:tr>
      <w:tr w:rsidR="007D17C5" w:rsidRPr="00143624" w:rsidTr="009558BE">
        <w:tc>
          <w:tcPr>
            <w:tcW w:w="861" w:type="dxa"/>
            <w:shd w:val="clear" w:color="auto" w:fill="auto"/>
          </w:tcPr>
          <w:p w:rsidR="007D17C5" w:rsidRPr="00143624" w:rsidRDefault="007D17C5" w:rsidP="009558BE">
            <w:pPr>
              <w:pStyle w:val="Tabletext"/>
            </w:pPr>
            <w:r w:rsidRPr="00143624">
              <w:t>16</w:t>
            </w:r>
          </w:p>
        </w:tc>
        <w:tc>
          <w:tcPr>
            <w:tcW w:w="1833" w:type="dxa"/>
            <w:shd w:val="clear" w:color="auto" w:fill="auto"/>
          </w:tcPr>
          <w:p w:rsidR="007D17C5" w:rsidRPr="00143624" w:rsidRDefault="007D17C5" w:rsidP="009558BE">
            <w:pPr>
              <w:pStyle w:val="Tabletext"/>
            </w:pPr>
            <w:r w:rsidRPr="00143624">
              <w:t>15</w:t>
            </w:r>
          </w:p>
        </w:tc>
        <w:tc>
          <w:tcPr>
            <w:tcW w:w="3233" w:type="dxa"/>
            <w:shd w:val="clear" w:color="auto" w:fill="auto"/>
          </w:tcPr>
          <w:p w:rsidR="007D17C5" w:rsidRPr="00143624" w:rsidRDefault="007D17C5" w:rsidP="009558BE">
            <w:pPr>
              <w:pStyle w:val="Tabletext"/>
            </w:pPr>
            <w:r w:rsidRPr="00143624">
              <w:t>11.411</w:t>
            </w:r>
          </w:p>
        </w:tc>
        <w:tc>
          <w:tcPr>
            <w:tcW w:w="2579" w:type="dxa"/>
            <w:shd w:val="clear" w:color="auto" w:fill="auto"/>
          </w:tcPr>
          <w:p w:rsidR="007D17C5" w:rsidRPr="00143624" w:rsidRDefault="007D17C5" w:rsidP="009558BE">
            <w:pPr>
              <w:pStyle w:val="Tabletext"/>
            </w:pPr>
            <w:r w:rsidRPr="00143624">
              <w:t>9.705</w:t>
            </w:r>
          </w:p>
        </w:tc>
      </w:tr>
      <w:tr w:rsidR="007D17C5" w:rsidRPr="00143624" w:rsidTr="009558BE">
        <w:tc>
          <w:tcPr>
            <w:tcW w:w="861" w:type="dxa"/>
            <w:shd w:val="clear" w:color="auto" w:fill="auto"/>
          </w:tcPr>
          <w:p w:rsidR="007D17C5" w:rsidRPr="00143624" w:rsidRDefault="007D17C5" w:rsidP="009558BE">
            <w:pPr>
              <w:pStyle w:val="Tabletext"/>
            </w:pPr>
            <w:r w:rsidRPr="00143624">
              <w:t>17</w:t>
            </w:r>
          </w:p>
        </w:tc>
        <w:tc>
          <w:tcPr>
            <w:tcW w:w="1833" w:type="dxa"/>
            <w:shd w:val="clear" w:color="auto" w:fill="auto"/>
          </w:tcPr>
          <w:p w:rsidR="007D17C5" w:rsidRPr="00143624" w:rsidRDefault="007D17C5" w:rsidP="009558BE">
            <w:pPr>
              <w:pStyle w:val="Tabletext"/>
              <w:keepNext/>
            </w:pPr>
            <w:r w:rsidRPr="00143624">
              <w:t>16</w:t>
            </w:r>
          </w:p>
        </w:tc>
        <w:tc>
          <w:tcPr>
            <w:tcW w:w="3233" w:type="dxa"/>
            <w:shd w:val="clear" w:color="auto" w:fill="auto"/>
          </w:tcPr>
          <w:p w:rsidR="007D17C5" w:rsidRPr="00143624" w:rsidRDefault="007D17C5" w:rsidP="009558BE">
            <w:pPr>
              <w:pStyle w:val="Tabletext"/>
              <w:keepNext/>
            </w:pPr>
            <w:r w:rsidRPr="00143624">
              <w:t>11.963</w:t>
            </w:r>
          </w:p>
        </w:tc>
        <w:tc>
          <w:tcPr>
            <w:tcW w:w="2579" w:type="dxa"/>
            <w:shd w:val="clear" w:color="auto" w:fill="auto"/>
          </w:tcPr>
          <w:p w:rsidR="007D17C5" w:rsidRPr="00143624" w:rsidRDefault="007D17C5" w:rsidP="009558BE">
            <w:pPr>
              <w:pStyle w:val="Tabletext"/>
              <w:keepNext/>
            </w:pPr>
            <w:r w:rsidRPr="00143624">
              <w:t>10.081</w:t>
            </w:r>
          </w:p>
        </w:tc>
      </w:tr>
      <w:tr w:rsidR="007D17C5" w:rsidRPr="00143624" w:rsidTr="009558BE">
        <w:tc>
          <w:tcPr>
            <w:tcW w:w="861" w:type="dxa"/>
            <w:shd w:val="clear" w:color="auto" w:fill="auto"/>
          </w:tcPr>
          <w:p w:rsidR="007D17C5" w:rsidRPr="00143624" w:rsidRDefault="007D17C5" w:rsidP="009558BE">
            <w:pPr>
              <w:pStyle w:val="Tabletext"/>
            </w:pPr>
            <w:r w:rsidRPr="00143624">
              <w:t>18</w:t>
            </w:r>
          </w:p>
        </w:tc>
        <w:tc>
          <w:tcPr>
            <w:tcW w:w="1833" w:type="dxa"/>
            <w:shd w:val="clear" w:color="auto" w:fill="auto"/>
          </w:tcPr>
          <w:p w:rsidR="007D17C5" w:rsidRPr="00143624" w:rsidRDefault="007D17C5" w:rsidP="009558BE">
            <w:pPr>
              <w:pStyle w:val="Tabletext"/>
            </w:pPr>
            <w:r w:rsidRPr="00143624">
              <w:t>17</w:t>
            </w:r>
          </w:p>
        </w:tc>
        <w:tc>
          <w:tcPr>
            <w:tcW w:w="3233" w:type="dxa"/>
            <w:shd w:val="clear" w:color="auto" w:fill="auto"/>
          </w:tcPr>
          <w:p w:rsidR="007D17C5" w:rsidRPr="00143624" w:rsidRDefault="007D17C5" w:rsidP="009558BE">
            <w:pPr>
              <w:pStyle w:val="Tabletext"/>
            </w:pPr>
            <w:r w:rsidRPr="00143624">
              <w:t>12.495</w:t>
            </w:r>
          </w:p>
        </w:tc>
        <w:tc>
          <w:tcPr>
            <w:tcW w:w="2579" w:type="dxa"/>
            <w:shd w:val="clear" w:color="auto" w:fill="auto"/>
          </w:tcPr>
          <w:p w:rsidR="007D17C5" w:rsidRPr="00143624" w:rsidRDefault="007D17C5" w:rsidP="009558BE">
            <w:pPr>
              <w:pStyle w:val="Tabletext"/>
            </w:pPr>
            <w:r w:rsidRPr="00143624">
              <w:t>10.435</w:t>
            </w:r>
          </w:p>
        </w:tc>
      </w:tr>
      <w:tr w:rsidR="007D17C5" w:rsidRPr="00143624" w:rsidTr="009558BE">
        <w:tc>
          <w:tcPr>
            <w:tcW w:w="861" w:type="dxa"/>
            <w:shd w:val="clear" w:color="auto" w:fill="auto"/>
          </w:tcPr>
          <w:p w:rsidR="007D17C5" w:rsidRPr="00143624" w:rsidRDefault="007D17C5" w:rsidP="009558BE">
            <w:pPr>
              <w:pStyle w:val="Tabletext"/>
            </w:pPr>
            <w:r w:rsidRPr="00143624">
              <w:t>19</w:t>
            </w:r>
          </w:p>
        </w:tc>
        <w:tc>
          <w:tcPr>
            <w:tcW w:w="1833" w:type="dxa"/>
            <w:shd w:val="clear" w:color="auto" w:fill="auto"/>
          </w:tcPr>
          <w:p w:rsidR="007D17C5" w:rsidRPr="00143624" w:rsidRDefault="007D17C5" w:rsidP="009558BE">
            <w:pPr>
              <w:pStyle w:val="Tabletext"/>
            </w:pPr>
            <w:r w:rsidRPr="00143624">
              <w:t>18</w:t>
            </w:r>
          </w:p>
        </w:tc>
        <w:tc>
          <w:tcPr>
            <w:tcW w:w="3233" w:type="dxa"/>
            <w:shd w:val="clear" w:color="auto" w:fill="auto"/>
          </w:tcPr>
          <w:p w:rsidR="007D17C5" w:rsidRPr="00143624" w:rsidRDefault="007D17C5" w:rsidP="009558BE">
            <w:pPr>
              <w:pStyle w:val="Tabletext"/>
            </w:pPr>
            <w:r w:rsidRPr="00143624">
              <w:t>13.007</w:t>
            </w:r>
          </w:p>
        </w:tc>
        <w:tc>
          <w:tcPr>
            <w:tcW w:w="2579" w:type="dxa"/>
            <w:shd w:val="clear" w:color="auto" w:fill="auto"/>
          </w:tcPr>
          <w:p w:rsidR="007D17C5" w:rsidRPr="00143624" w:rsidRDefault="007D17C5" w:rsidP="009558BE">
            <w:pPr>
              <w:pStyle w:val="Tabletext"/>
            </w:pPr>
            <w:r w:rsidRPr="00143624">
              <w:t>10.768</w:t>
            </w:r>
          </w:p>
        </w:tc>
      </w:tr>
      <w:tr w:rsidR="007D17C5" w:rsidRPr="00143624" w:rsidTr="009558BE">
        <w:tc>
          <w:tcPr>
            <w:tcW w:w="861" w:type="dxa"/>
            <w:shd w:val="clear" w:color="auto" w:fill="auto"/>
          </w:tcPr>
          <w:p w:rsidR="007D17C5" w:rsidRPr="00143624" w:rsidRDefault="007D17C5" w:rsidP="009558BE">
            <w:pPr>
              <w:pStyle w:val="Tabletext"/>
            </w:pPr>
            <w:r w:rsidRPr="00143624">
              <w:t>20</w:t>
            </w:r>
          </w:p>
        </w:tc>
        <w:tc>
          <w:tcPr>
            <w:tcW w:w="1833" w:type="dxa"/>
            <w:shd w:val="clear" w:color="auto" w:fill="auto"/>
          </w:tcPr>
          <w:p w:rsidR="007D17C5" w:rsidRPr="00143624" w:rsidRDefault="007D17C5" w:rsidP="009558BE">
            <w:pPr>
              <w:pStyle w:val="Tabletext"/>
            </w:pPr>
            <w:r w:rsidRPr="00143624">
              <w:t>19</w:t>
            </w:r>
          </w:p>
        </w:tc>
        <w:tc>
          <w:tcPr>
            <w:tcW w:w="3233" w:type="dxa"/>
            <w:shd w:val="clear" w:color="auto" w:fill="auto"/>
          </w:tcPr>
          <w:p w:rsidR="007D17C5" w:rsidRPr="00143624" w:rsidRDefault="007D17C5" w:rsidP="009558BE">
            <w:pPr>
              <w:pStyle w:val="Tabletext"/>
            </w:pPr>
            <w:r w:rsidRPr="00143624">
              <w:t>13.499</w:t>
            </w:r>
          </w:p>
        </w:tc>
        <w:tc>
          <w:tcPr>
            <w:tcW w:w="2579" w:type="dxa"/>
            <w:shd w:val="clear" w:color="auto" w:fill="auto"/>
          </w:tcPr>
          <w:p w:rsidR="007D17C5" w:rsidRPr="00143624" w:rsidRDefault="007D17C5" w:rsidP="009558BE">
            <w:pPr>
              <w:pStyle w:val="Tabletext"/>
            </w:pPr>
            <w:r w:rsidRPr="00143624">
              <w:t>11.079</w:t>
            </w:r>
          </w:p>
        </w:tc>
      </w:tr>
      <w:tr w:rsidR="007D17C5" w:rsidRPr="00143624" w:rsidTr="009558BE">
        <w:tc>
          <w:tcPr>
            <w:tcW w:w="861" w:type="dxa"/>
            <w:shd w:val="clear" w:color="auto" w:fill="auto"/>
          </w:tcPr>
          <w:p w:rsidR="007D17C5" w:rsidRPr="00143624" w:rsidRDefault="007D17C5" w:rsidP="009558BE">
            <w:pPr>
              <w:pStyle w:val="Tabletext"/>
            </w:pPr>
            <w:r w:rsidRPr="00143624">
              <w:t>21</w:t>
            </w:r>
          </w:p>
        </w:tc>
        <w:tc>
          <w:tcPr>
            <w:tcW w:w="1833" w:type="dxa"/>
            <w:shd w:val="clear" w:color="auto" w:fill="auto"/>
          </w:tcPr>
          <w:p w:rsidR="007D17C5" w:rsidRPr="00143624" w:rsidRDefault="007D17C5" w:rsidP="009558BE">
            <w:pPr>
              <w:pStyle w:val="Tabletext"/>
            </w:pPr>
            <w:r w:rsidRPr="00143624">
              <w:t>20</w:t>
            </w:r>
          </w:p>
        </w:tc>
        <w:tc>
          <w:tcPr>
            <w:tcW w:w="3233" w:type="dxa"/>
            <w:shd w:val="clear" w:color="auto" w:fill="auto"/>
          </w:tcPr>
          <w:p w:rsidR="007D17C5" w:rsidRPr="00143624" w:rsidRDefault="007D17C5" w:rsidP="009558BE">
            <w:pPr>
              <w:pStyle w:val="Tabletext"/>
            </w:pPr>
            <w:r w:rsidRPr="00143624">
              <w:t>13.973</w:t>
            </w:r>
          </w:p>
        </w:tc>
        <w:tc>
          <w:tcPr>
            <w:tcW w:w="2579" w:type="dxa"/>
            <w:shd w:val="clear" w:color="auto" w:fill="auto"/>
          </w:tcPr>
          <w:p w:rsidR="007D17C5" w:rsidRPr="00143624" w:rsidRDefault="007D17C5" w:rsidP="009558BE">
            <w:pPr>
              <w:pStyle w:val="Tabletext"/>
            </w:pPr>
            <w:r w:rsidRPr="00143624">
              <w:t>11.372</w:t>
            </w:r>
          </w:p>
        </w:tc>
      </w:tr>
      <w:tr w:rsidR="007D17C5" w:rsidRPr="00143624" w:rsidTr="009558BE">
        <w:tc>
          <w:tcPr>
            <w:tcW w:w="861" w:type="dxa"/>
            <w:shd w:val="clear" w:color="auto" w:fill="auto"/>
          </w:tcPr>
          <w:p w:rsidR="007D17C5" w:rsidRPr="00143624" w:rsidRDefault="007D17C5" w:rsidP="009558BE">
            <w:pPr>
              <w:pStyle w:val="Tabletext"/>
            </w:pPr>
            <w:r w:rsidRPr="00143624">
              <w:t>22</w:t>
            </w:r>
          </w:p>
        </w:tc>
        <w:tc>
          <w:tcPr>
            <w:tcW w:w="1833" w:type="dxa"/>
            <w:shd w:val="clear" w:color="auto" w:fill="auto"/>
          </w:tcPr>
          <w:p w:rsidR="007D17C5" w:rsidRPr="00143624" w:rsidRDefault="007D17C5" w:rsidP="009558BE">
            <w:pPr>
              <w:pStyle w:val="Tabletext"/>
            </w:pPr>
            <w:r w:rsidRPr="00143624">
              <w:t>21</w:t>
            </w:r>
          </w:p>
        </w:tc>
        <w:tc>
          <w:tcPr>
            <w:tcW w:w="3233" w:type="dxa"/>
            <w:shd w:val="clear" w:color="auto" w:fill="auto"/>
          </w:tcPr>
          <w:p w:rsidR="007D17C5" w:rsidRPr="00143624" w:rsidRDefault="007D17C5" w:rsidP="009558BE">
            <w:pPr>
              <w:pStyle w:val="Tabletext"/>
            </w:pPr>
            <w:r w:rsidRPr="00143624">
              <w:t>14.430</w:t>
            </w:r>
          </w:p>
        </w:tc>
        <w:tc>
          <w:tcPr>
            <w:tcW w:w="2579" w:type="dxa"/>
            <w:shd w:val="clear" w:color="auto" w:fill="auto"/>
          </w:tcPr>
          <w:p w:rsidR="007D17C5" w:rsidRPr="00143624" w:rsidRDefault="007D17C5" w:rsidP="009558BE">
            <w:pPr>
              <w:pStyle w:val="Tabletext"/>
            </w:pPr>
            <w:r w:rsidRPr="00143624">
              <w:t>11.647</w:t>
            </w:r>
          </w:p>
        </w:tc>
      </w:tr>
      <w:tr w:rsidR="007D17C5" w:rsidRPr="00143624" w:rsidTr="009558BE">
        <w:tc>
          <w:tcPr>
            <w:tcW w:w="861" w:type="dxa"/>
            <w:shd w:val="clear" w:color="auto" w:fill="auto"/>
          </w:tcPr>
          <w:p w:rsidR="007D17C5" w:rsidRPr="00143624" w:rsidRDefault="007D17C5" w:rsidP="009558BE">
            <w:pPr>
              <w:pStyle w:val="Tabletext"/>
            </w:pPr>
            <w:r w:rsidRPr="00143624">
              <w:t>23</w:t>
            </w:r>
          </w:p>
        </w:tc>
        <w:tc>
          <w:tcPr>
            <w:tcW w:w="1833" w:type="dxa"/>
            <w:shd w:val="clear" w:color="auto" w:fill="auto"/>
          </w:tcPr>
          <w:p w:rsidR="007D17C5" w:rsidRPr="00143624" w:rsidRDefault="007D17C5" w:rsidP="009558BE">
            <w:pPr>
              <w:pStyle w:val="Tabletext"/>
            </w:pPr>
            <w:r w:rsidRPr="00143624">
              <w:t>22</w:t>
            </w:r>
          </w:p>
        </w:tc>
        <w:tc>
          <w:tcPr>
            <w:tcW w:w="3233" w:type="dxa"/>
            <w:shd w:val="clear" w:color="auto" w:fill="auto"/>
          </w:tcPr>
          <w:p w:rsidR="007D17C5" w:rsidRPr="00143624" w:rsidRDefault="007D17C5" w:rsidP="009558BE">
            <w:pPr>
              <w:pStyle w:val="Tabletext"/>
            </w:pPr>
            <w:r w:rsidRPr="00143624">
              <w:t>14.869</w:t>
            </w:r>
          </w:p>
        </w:tc>
        <w:tc>
          <w:tcPr>
            <w:tcW w:w="2579" w:type="dxa"/>
            <w:shd w:val="clear" w:color="auto" w:fill="auto"/>
          </w:tcPr>
          <w:p w:rsidR="007D17C5" w:rsidRPr="00143624" w:rsidRDefault="007D17C5" w:rsidP="009558BE">
            <w:pPr>
              <w:pStyle w:val="Tabletext"/>
            </w:pPr>
            <w:r w:rsidRPr="00143624">
              <w:t>11.906</w:t>
            </w:r>
          </w:p>
        </w:tc>
      </w:tr>
      <w:tr w:rsidR="007D17C5" w:rsidRPr="00143624" w:rsidTr="009558BE">
        <w:tc>
          <w:tcPr>
            <w:tcW w:w="861" w:type="dxa"/>
            <w:shd w:val="clear" w:color="auto" w:fill="auto"/>
          </w:tcPr>
          <w:p w:rsidR="007D17C5" w:rsidRPr="00143624" w:rsidRDefault="007D17C5" w:rsidP="009558BE">
            <w:pPr>
              <w:pStyle w:val="Tabletext"/>
            </w:pPr>
            <w:r w:rsidRPr="00143624">
              <w:t>24</w:t>
            </w:r>
          </w:p>
        </w:tc>
        <w:tc>
          <w:tcPr>
            <w:tcW w:w="1833" w:type="dxa"/>
            <w:shd w:val="clear" w:color="auto" w:fill="auto"/>
          </w:tcPr>
          <w:p w:rsidR="007D17C5" w:rsidRPr="00143624" w:rsidRDefault="007D17C5" w:rsidP="009558BE">
            <w:pPr>
              <w:pStyle w:val="Tabletext"/>
            </w:pPr>
            <w:r w:rsidRPr="00143624">
              <w:t>23</w:t>
            </w:r>
          </w:p>
        </w:tc>
        <w:tc>
          <w:tcPr>
            <w:tcW w:w="3233" w:type="dxa"/>
            <w:shd w:val="clear" w:color="auto" w:fill="auto"/>
          </w:tcPr>
          <w:p w:rsidR="007D17C5" w:rsidRPr="00143624" w:rsidRDefault="007D17C5" w:rsidP="009558BE">
            <w:pPr>
              <w:pStyle w:val="Tabletext"/>
            </w:pPr>
            <w:r w:rsidRPr="00143624">
              <w:t>15.291</w:t>
            </w:r>
          </w:p>
        </w:tc>
        <w:tc>
          <w:tcPr>
            <w:tcW w:w="2579" w:type="dxa"/>
            <w:shd w:val="clear" w:color="auto" w:fill="auto"/>
          </w:tcPr>
          <w:p w:rsidR="007D17C5" w:rsidRPr="00143624" w:rsidRDefault="007D17C5" w:rsidP="009558BE">
            <w:pPr>
              <w:pStyle w:val="Tabletext"/>
            </w:pPr>
            <w:r w:rsidRPr="00143624">
              <w:t>12.148</w:t>
            </w:r>
          </w:p>
        </w:tc>
      </w:tr>
      <w:tr w:rsidR="007D17C5" w:rsidRPr="00143624" w:rsidTr="009558BE">
        <w:tc>
          <w:tcPr>
            <w:tcW w:w="861" w:type="dxa"/>
            <w:shd w:val="clear" w:color="auto" w:fill="auto"/>
          </w:tcPr>
          <w:p w:rsidR="007D17C5" w:rsidRPr="00143624" w:rsidRDefault="007D17C5" w:rsidP="009558BE">
            <w:pPr>
              <w:pStyle w:val="Tabletext"/>
            </w:pPr>
            <w:r w:rsidRPr="00143624">
              <w:t>25</w:t>
            </w:r>
          </w:p>
        </w:tc>
        <w:tc>
          <w:tcPr>
            <w:tcW w:w="1833" w:type="dxa"/>
            <w:shd w:val="clear" w:color="auto" w:fill="auto"/>
          </w:tcPr>
          <w:p w:rsidR="007D17C5" w:rsidRPr="00143624" w:rsidRDefault="007D17C5" w:rsidP="009558BE">
            <w:pPr>
              <w:pStyle w:val="Tabletext"/>
            </w:pPr>
            <w:r w:rsidRPr="00143624">
              <w:t>24</w:t>
            </w:r>
          </w:p>
        </w:tc>
        <w:tc>
          <w:tcPr>
            <w:tcW w:w="3233" w:type="dxa"/>
            <w:shd w:val="clear" w:color="auto" w:fill="auto"/>
          </w:tcPr>
          <w:p w:rsidR="007D17C5" w:rsidRPr="00143624" w:rsidRDefault="007D17C5" w:rsidP="009558BE">
            <w:pPr>
              <w:pStyle w:val="Tabletext"/>
            </w:pPr>
            <w:r w:rsidRPr="00143624">
              <w:t>15.698</w:t>
            </w:r>
          </w:p>
        </w:tc>
        <w:tc>
          <w:tcPr>
            <w:tcW w:w="2579" w:type="dxa"/>
            <w:shd w:val="clear" w:color="auto" w:fill="auto"/>
          </w:tcPr>
          <w:p w:rsidR="007D17C5" w:rsidRPr="00143624" w:rsidRDefault="007D17C5" w:rsidP="009558BE">
            <w:pPr>
              <w:pStyle w:val="Tabletext"/>
            </w:pPr>
            <w:r w:rsidRPr="00143624">
              <w:t>12.376</w:t>
            </w:r>
          </w:p>
        </w:tc>
      </w:tr>
      <w:tr w:rsidR="007D17C5" w:rsidRPr="00143624" w:rsidTr="009558BE">
        <w:tc>
          <w:tcPr>
            <w:tcW w:w="861" w:type="dxa"/>
            <w:shd w:val="clear" w:color="auto" w:fill="auto"/>
          </w:tcPr>
          <w:p w:rsidR="007D17C5" w:rsidRPr="00143624" w:rsidRDefault="007D17C5" w:rsidP="009558BE">
            <w:pPr>
              <w:pStyle w:val="Tabletext"/>
            </w:pPr>
            <w:r w:rsidRPr="00143624">
              <w:t>26</w:t>
            </w:r>
          </w:p>
        </w:tc>
        <w:tc>
          <w:tcPr>
            <w:tcW w:w="1833" w:type="dxa"/>
            <w:shd w:val="clear" w:color="auto" w:fill="auto"/>
          </w:tcPr>
          <w:p w:rsidR="007D17C5" w:rsidRPr="00143624" w:rsidRDefault="007D17C5" w:rsidP="009558BE">
            <w:pPr>
              <w:pStyle w:val="Tabletext"/>
            </w:pPr>
            <w:r w:rsidRPr="00143624">
              <w:t>25</w:t>
            </w:r>
          </w:p>
        </w:tc>
        <w:tc>
          <w:tcPr>
            <w:tcW w:w="3233" w:type="dxa"/>
            <w:shd w:val="clear" w:color="auto" w:fill="auto"/>
          </w:tcPr>
          <w:p w:rsidR="007D17C5" w:rsidRPr="00143624" w:rsidRDefault="007D17C5" w:rsidP="009558BE">
            <w:pPr>
              <w:pStyle w:val="Tabletext"/>
            </w:pPr>
            <w:r w:rsidRPr="00143624">
              <w:t>16.090</w:t>
            </w:r>
          </w:p>
        </w:tc>
        <w:tc>
          <w:tcPr>
            <w:tcW w:w="2579" w:type="dxa"/>
            <w:shd w:val="clear" w:color="auto" w:fill="auto"/>
          </w:tcPr>
          <w:p w:rsidR="007D17C5" w:rsidRPr="00143624" w:rsidRDefault="007D17C5" w:rsidP="009558BE">
            <w:pPr>
              <w:pStyle w:val="Tabletext"/>
            </w:pPr>
            <w:r w:rsidRPr="00143624">
              <w:t>12.590</w:t>
            </w:r>
          </w:p>
        </w:tc>
      </w:tr>
      <w:tr w:rsidR="007D17C5" w:rsidRPr="00143624" w:rsidTr="009558BE">
        <w:tc>
          <w:tcPr>
            <w:tcW w:w="861" w:type="dxa"/>
            <w:shd w:val="clear" w:color="auto" w:fill="auto"/>
          </w:tcPr>
          <w:p w:rsidR="007D17C5" w:rsidRPr="00143624" w:rsidRDefault="007D17C5" w:rsidP="009558BE">
            <w:pPr>
              <w:pStyle w:val="Tabletext"/>
            </w:pPr>
            <w:r w:rsidRPr="00143624">
              <w:t>27</w:t>
            </w:r>
          </w:p>
        </w:tc>
        <w:tc>
          <w:tcPr>
            <w:tcW w:w="1833" w:type="dxa"/>
            <w:shd w:val="clear" w:color="auto" w:fill="auto"/>
          </w:tcPr>
          <w:p w:rsidR="007D17C5" w:rsidRPr="00143624" w:rsidRDefault="007D17C5" w:rsidP="009558BE">
            <w:pPr>
              <w:pStyle w:val="Tabletext"/>
            </w:pPr>
            <w:r w:rsidRPr="00143624">
              <w:t>26</w:t>
            </w:r>
          </w:p>
        </w:tc>
        <w:tc>
          <w:tcPr>
            <w:tcW w:w="3233" w:type="dxa"/>
            <w:shd w:val="clear" w:color="auto" w:fill="auto"/>
          </w:tcPr>
          <w:p w:rsidR="007D17C5" w:rsidRPr="00143624" w:rsidRDefault="007D17C5" w:rsidP="009558BE">
            <w:pPr>
              <w:pStyle w:val="Tabletext"/>
            </w:pPr>
            <w:r w:rsidRPr="00143624">
              <w:t>16.466</w:t>
            </w:r>
          </w:p>
        </w:tc>
        <w:tc>
          <w:tcPr>
            <w:tcW w:w="2579" w:type="dxa"/>
            <w:shd w:val="clear" w:color="auto" w:fill="auto"/>
          </w:tcPr>
          <w:p w:rsidR="007D17C5" w:rsidRPr="00143624" w:rsidRDefault="007D17C5" w:rsidP="009558BE">
            <w:pPr>
              <w:pStyle w:val="Tabletext"/>
            </w:pPr>
            <w:r w:rsidRPr="00143624">
              <w:t>12.790</w:t>
            </w:r>
          </w:p>
        </w:tc>
      </w:tr>
      <w:tr w:rsidR="007D17C5" w:rsidRPr="00143624" w:rsidTr="009558BE">
        <w:tc>
          <w:tcPr>
            <w:tcW w:w="861" w:type="dxa"/>
            <w:shd w:val="clear" w:color="auto" w:fill="auto"/>
          </w:tcPr>
          <w:p w:rsidR="007D17C5" w:rsidRPr="00143624" w:rsidRDefault="007D17C5" w:rsidP="009558BE">
            <w:pPr>
              <w:pStyle w:val="Tabletext"/>
            </w:pPr>
            <w:r w:rsidRPr="00143624">
              <w:t>28</w:t>
            </w:r>
          </w:p>
        </w:tc>
        <w:tc>
          <w:tcPr>
            <w:tcW w:w="1833" w:type="dxa"/>
            <w:shd w:val="clear" w:color="auto" w:fill="auto"/>
          </w:tcPr>
          <w:p w:rsidR="007D17C5" w:rsidRPr="00143624" w:rsidRDefault="007D17C5" w:rsidP="009558BE">
            <w:pPr>
              <w:pStyle w:val="Tabletext"/>
            </w:pPr>
            <w:r w:rsidRPr="00143624">
              <w:t>27</w:t>
            </w:r>
          </w:p>
        </w:tc>
        <w:tc>
          <w:tcPr>
            <w:tcW w:w="3233" w:type="dxa"/>
            <w:shd w:val="clear" w:color="auto" w:fill="auto"/>
          </w:tcPr>
          <w:p w:rsidR="007D17C5" w:rsidRPr="00143624" w:rsidRDefault="007D17C5" w:rsidP="009558BE">
            <w:pPr>
              <w:pStyle w:val="Tabletext"/>
            </w:pPr>
            <w:r w:rsidRPr="00143624">
              <w:t>16.829</w:t>
            </w:r>
          </w:p>
        </w:tc>
        <w:tc>
          <w:tcPr>
            <w:tcW w:w="2579" w:type="dxa"/>
            <w:shd w:val="clear" w:color="auto" w:fill="auto"/>
          </w:tcPr>
          <w:p w:rsidR="007D17C5" w:rsidRPr="00143624" w:rsidRDefault="007D17C5" w:rsidP="009558BE">
            <w:pPr>
              <w:pStyle w:val="Tabletext"/>
            </w:pPr>
            <w:r w:rsidRPr="00143624">
              <w:t>12.979</w:t>
            </w:r>
          </w:p>
        </w:tc>
      </w:tr>
      <w:tr w:rsidR="007D17C5" w:rsidRPr="00143624" w:rsidTr="009558BE">
        <w:tc>
          <w:tcPr>
            <w:tcW w:w="861" w:type="dxa"/>
            <w:shd w:val="clear" w:color="auto" w:fill="auto"/>
          </w:tcPr>
          <w:p w:rsidR="007D17C5" w:rsidRPr="00143624" w:rsidRDefault="007D17C5" w:rsidP="009558BE">
            <w:pPr>
              <w:pStyle w:val="Tabletext"/>
            </w:pPr>
            <w:r w:rsidRPr="00143624">
              <w:t>29</w:t>
            </w:r>
          </w:p>
        </w:tc>
        <w:tc>
          <w:tcPr>
            <w:tcW w:w="1833" w:type="dxa"/>
            <w:shd w:val="clear" w:color="auto" w:fill="auto"/>
          </w:tcPr>
          <w:p w:rsidR="007D17C5" w:rsidRPr="00143624" w:rsidRDefault="007D17C5" w:rsidP="009558BE">
            <w:pPr>
              <w:pStyle w:val="Tabletext"/>
            </w:pPr>
            <w:r w:rsidRPr="00143624">
              <w:t>28</w:t>
            </w:r>
          </w:p>
        </w:tc>
        <w:tc>
          <w:tcPr>
            <w:tcW w:w="3233" w:type="dxa"/>
            <w:shd w:val="clear" w:color="auto" w:fill="auto"/>
          </w:tcPr>
          <w:p w:rsidR="007D17C5" w:rsidRPr="00143624" w:rsidRDefault="007D17C5" w:rsidP="009558BE">
            <w:pPr>
              <w:pStyle w:val="Tabletext"/>
            </w:pPr>
            <w:r w:rsidRPr="00143624">
              <w:t>17.178</w:t>
            </w:r>
          </w:p>
        </w:tc>
        <w:tc>
          <w:tcPr>
            <w:tcW w:w="2579" w:type="dxa"/>
            <w:shd w:val="clear" w:color="auto" w:fill="auto"/>
          </w:tcPr>
          <w:p w:rsidR="007D17C5" w:rsidRPr="00143624" w:rsidRDefault="007D17C5" w:rsidP="009558BE">
            <w:pPr>
              <w:pStyle w:val="Tabletext"/>
            </w:pPr>
            <w:r w:rsidRPr="00143624">
              <w:t>13.156</w:t>
            </w:r>
          </w:p>
        </w:tc>
      </w:tr>
      <w:tr w:rsidR="007D17C5" w:rsidRPr="00143624" w:rsidTr="009558BE">
        <w:tc>
          <w:tcPr>
            <w:tcW w:w="861" w:type="dxa"/>
            <w:tcBorders>
              <w:bottom w:val="single" w:sz="2" w:space="0" w:color="auto"/>
            </w:tcBorders>
            <w:shd w:val="clear" w:color="auto" w:fill="auto"/>
          </w:tcPr>
          <w:p w:rsidR="007D17C5" w:rsidRPr="00143624" w:rsidRDefault="007D17C5" w:rsidP="009558BE">
            <w:pPr>
              <w:pStyle w:val="Tabletext"/>
            </w:pPr>
            <w:r w:rsidRPr="00143624">
              <w:t>30</w:t>
            </w:r>
          </w:p>
        </w:tc>
        <w:tc>
          <w:tcPr>
            <w:tcW w:w="1833" w:type="dxa"/>
            <w:tcBorders>
              <w:bottom w:val="single" w:sz="2" w:space="0" w:color="auto"/>
            </w:tcBorders>
            <w:shd w:val="clear" w:color="auto" w:fill="auto"/>
          </w:tcPr>
          <w:p w:rsidR="007D17C5" w:rsidRPr="00143624" w:rsidRDefault="007D17C5" w:rsidP="009558BE">
            <w:pPr>
              <w:pStyle w:val="Tabletext"/>
            </w:pPr>
            <w:r w:rsidRPr="00143624">
              <w:t>29</w:t>
            </w:r>
          </w:p>
        </w:tc>
        <w:tc>
          <w:tcPr>
            <w:tcW w:w="3233" w:type="dxa"/>
            <w:tcBorders>
              <w:bottom w:val="single" w:sz="2" w:space="0" w:color="auto"/>
            </w:tcBorders>
            <w:shd w:val="clear" w:color="auto" w:fill="auto"/>
          </w:tcPr>
          <w:p w:rsidR="007D17C5" w:rsidRPr="00143624" w:rsidRDefault="007D17C5" w:rsidP="009558BE">
            <w:pPr>
              <w:pStyle w:val="Tabletext"/>
            </w:pPr>
            <w:r w:rsidRPr="00143624">
              <w:t>17.514</w:t>
            </w:r>
          </w:p>
        </w:tc>
        <w:tc>
          <w:tcPr>
            <w:tcW w:w="2579" w:type="dxa"/>
            <w:tcBorders>
              <w:bottom w:val="single" w:sz="2" w:space="0" w:color="auto"/>
            </w:tcBorders>
            <w:shd w:val="clear" w:color="auto" w:fill="auto"/>
          </w:tcPr>
          <w:p w:rsidR="007D17C5" w:rsidRPr="00143624" w:rsidRDefault="007D17C5" w:rsidP="009558BE">
            <w:pPr>
              <w:pStyle w:val="Tabletext"/>
            </w:pPr>
            <w:r w:rsidRPr="00143624">
              <w:t>13.322</w:t>
            </w:r>
          </w:p>
        </w:tc>
      </w:tr>
      <w:tr w:rsidR="007D17C5" w:rsidRPr="00143624" w:rsidTr="009558BE">
        <w:tc>
          <w:tcPr>
            <w:tcW w:w="861"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31</w:t>
            </w:r>
          </w:p>
        </w:tc>
        <w:tc>
          <w:tcPr>
            <w:tcW w:w="1833"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30</w:t>
            </w:r>
          </w:p>
        </w:tc>
        <w:tc>
          <w:tcPr>
            <w:tcW w:w="3233"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17.837</w:t>
            </w:r>
          </w:p>
        </w:tc>
        <w:tc>
          <w:tcPr>
            <w:tcW w:w="2579"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13.478</w:t>
            </w:r>
          </w:p>
        </w:tc>
      </w:tr>
    </w:tbl>
    <w:p w:rsidR="007D17C5" w:rsidRPr="00143624" w:rsidRDefault="007D17C5" w:rsidP="007D17C5">
      <w:pPr>
        <w:pStyle w:val="ActHead5"/>
      </w:pPr>
      <w:bookmarkStart w:id="275" w:name="_Toc64030527"/>
      <w:r w:rsidRPr="003F3E0B">
        <w:rPr>
          <w:rStyle w:val="CharSectno"/>
        </w:rPr>
        <w:t>2</w:t>
      </w:r>
      <w:r w:rsidRPr="00143624">
        <w:t xml:space="preserve">  Lump sum valuation factors</w:t>
      </w:r>
      <w:bookmarkEnd w:id="275"/>
    </w:p>
    <w:p w:rsidR="007D17C5" w:rsidRPr="00143624" w:rsidRDefault="007D17C5" w:rsidP="007D17C5">
      <w:pPr>
        <w:pStyle w:val="subsection"/>
      </w:pPr>
      <w:r w:rsidRPr="00143624">
        <w:rPr>
          <w:color w:val="000000"/>
        </w:rPr>
        <w:tab/>
        <w:t>(1)</w:t>
      </w:r>
      <w:r w:rsidRPr="00143624">
        <w:rPr>
          <w:color w:val="000000"/>
        </w:rPr>
        <w:tab/>
        <w:t>For the purposes of subparagraph 307</w:t>
      </w:r>
      <w:r w:rsidR="00143624">
        <w:rPr>
          <w:color w:val="000000"/>
        </w:rPr>
        <w:noBreakHyphen/>
      </w:r>
      <w:r w:rsidRPr="00143624">
        <w:rPr>
          <w:color w:val="000000"/>
        </w:rPr>
        <w:t xml:space="preserve">205.02(3)(b)(ii), the applicable factor for the superannuation lump sum is the discount valuation factor mentioned in </w:t>
      </w:r>
      <w:r w:rsidR="002B1A95" w:rsidRPr="00143624">
        <w:rPr>
          <w:color w:val="000000"/>
        </w:rPr>
        <w:t>subclause (</w:t>
      </w:r>
      <w:r w:rsidRPr="00143624">
        <w:rPr>
          <w:color w:val="000000"/>
        </w:rPr>
        <w:t>3) that applies for the minimum deferral period.</w:t>
      </w:r>
    </w:p>
    <w:p w:rsidR="007D17C5" w:rsidRPr="00143624" w:rsidRDefault="007D17C5" w:rsidP="007D17C5">
      <w:pPr>
        <w:pStyle w:val="subsection"/>
        <w:rPr>
          <w:color w:val="000000"/>
        </w:rPr>
      </w:pPr>
      <w:r w:rsidRPr="00143624">
        <w:rPr>
          <w:color w:val="000000"/>
        </w:rPr>
        <w:tab/>
        <w:t>(2)</w:t>
      </w:r>
      <w:r w:rsidRPr="00143624">
        <w:rPr>
          <w:color w:val="000000"/>
        </w:rPr>
        <w:tab/>
        <w:t xml:space="preserve">For the purposes of this clause, the </w:t>
      </w:r>
      <w:r w:rsidRPr="00143624">
        <w:rPr>
          <w:b/>
          <w:i/>
          <w:color w:val="000000"/>
        </w:rPr>
        <w:t>minimum deferral period</w:t>
      </w:r>
      <w:r w:rsidRPr="00143624">
        <w:rPr>
          <w:color w:val="000000"/>
        </w:rPr>
        <w:t xml:space="preserve"> in relation to a lump sum that is to be paid at a time after the date on which the</w:t>
      </w:r>
      <w:r w:rsidRPr="00143624">
        <w:t xml:space="preserve"> interest in respect of which the lump sum is payable</w:t>
      </w:r>
      <w:r w:rsidRPr="00143624">
        <w:rPr>
          <w:color w:val="000000"/>
        </w:rPr>
        <w:t xml:space="preserve"> is to be valued is the number of complete years between the day before the date on which the interest is to be valued and the earliest date at which the lump sum can be paid.</w:t>
      </w:r>
    </w:p>
    <w:p w:rsidR="007D17C5" w:rsidRPr="00143624" w:rsidRDefault="007D17C5" w:rsidP="007D17C5">
      <w:pPr>
        <w:pStyle w:val="subsection"/>
      </w:pPr>
      <w:r w:rsidRPr="00143624">
        <w:tab/>
        <w:t>(3)</w:t>
      </w:r>
      <w:r w:rsidRPr="00143624">
        <w:tab/>
        <w:t>The following table sets out the discount valuation factors, in accordance with the following principles:</w:t>
      </w:r>
    </w:p>
    <w:p w:rsidR="007D17C5" w:rsidRPr="00143624" w:rsidRDefault="007D17C5" w:rsidP="007D17C5">
      <w:pPr>
        <w:pStyle w:val="paragraph"/>
      </w:pPr>
      <w:r w:rsidRPr="00143624">
        <w:rPr>
          <w:color w:val="000000"/>
        </w:rPr>
        <w:tab/>
        <w:t>(a)</w:t>
      </w:r>
      <w:r w:rsidRPr="00143624">
        <w:rPr>
          <w:color w:val="000000"/>
        </w:rPr>
        <w:tab/>
        <w:t>the factors in column 2 of the table apply if the lump sum is not indexed;</w:t>
      </w:r>
    </w:p>
    <w:p w:rsidR="007D17C5" w:rsidRPr="00143624" w:rsidRDefault="007D17C5" w:rsidP="007D17C5">
      <w:pPr>
        <w:pStyle w:val="paragraph"/>
      </w:pPr>
      <w:r w:rsidRPr="00143624">
        <w:tab/>
        <w:t>(b)</w:t>
      </w:r>
      <w:r w:rsidRPr="00143624">
        <w:tab/>
        <w:t>the factors in column 3 of the table apply if the lump sum is indexed in accordance with the Consumer Price Index;</w:t>
      </w:r>
    </w:p>
    <w:p w:rsidR="007D17C5" w:rsidRPr="00143624" w:rsidRDefault="007D17C5" w:rsidP="007D17C5">
      <w:pPr>
        <w:pStyle w:val="paragraph"/>
      </w:pPr>
      <w:r w:rsidRPr="00143624">
        <w:tab/>
        <w:t>(c)</w:t>
      </w:r>
      <w:r w:rsidRPr="00143624">
        <w:tab/>
        <w:t>the factors in column 4 of the table apply if the lump sum is indexed in accordance with a general wage index (for example, average weekly earnings, or average weekly ordinary time earnings, published by the Australian Bureau of Statistics);</w:t>
      </w:r>
    </w:p>
    <w:p w:rsidR="007D17C5" w:rsidRPr="00143624" w:rsidRDefault="007D17C5" w:rsidP="007D17C5">
      <w:pPr>
        <w:pStyle w:val="paragraph"/>
        <w:rPr>
          <w:color w:val="000000"/>
        </w:rPr>
      </w:pPr>
      <w:r w:rsidRPr="00143624">
        <w:rPr>
          <w:color w:val="000000"/>
        </w:rPr>
        <w:lastRenderedPageBreak/>
        <w:tab/>
        <w:t>(d)</w:t>
      </w:r>
      <w:r w:rsidRPr="00143624">
        <w:rPr>
          <w:color w:val="000000"/>
        </w:rPr>
        <w:tab/>
        <w:t>if the lump sum is indexed in accordance with a fund crediting rate, the factor is 1.</w:t>
      </w:r>
    </w:p>
    <w:p w:rsidR="007D17C5" w:rsidRPr="00143624" w:rsidRDefault="007D17C5" w:rsidP="007D17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1701"/>
        <w:gridCol w:w="1984"/>
        <w:gridCol w:w="2081"/>
      </w:tblGrid>
      <w:tr w:rsidR="007D17C5" w:rsidRPr="00143624" w:rsidTr="009558BE">
        <w:trPr>
          <w:tblHeader/>
        </w:trPr>
        <w:tc>
          <w:tcPr>
            <w:tcW w:w="8313" w:type="dxa"/>
            <w:gridSpan w:val="5"/>
            <w:tcBorders>
              <w:top w:val="single" w:sz="12" w:space="0" w:color="auto"/>
              <w:bottom w:val="single" w:sz="6" w:space="0" w:color="auto"/>
            </w:tcBorders>
            <w:shd w:val="clear" w:color="auto" w:fill="auto"/>
          </w:tcPr>
          <w:p w:rsidR="007D17C5" w:rsidRPr="00143624" w:rsidRDefault="007D17C5" w:rsidP="009558BE">
            <w:pPr>
              <w:pStyle w:val="TableHeading"/>
            </w:pPr>
            <w:r w:rsidRPr="00143624">
              <w:t>Discount valuation factors</w:t>
            </w:r>
          </w:p>
        </w:tc>
      </w:tr>
      <w:tr w:rsidR="007D17C5" w:rsidRPr="00143624" w:rsidTr="009558BE">
        <w:trPr>
          <w:tblHeader/>
        </w:trPr>
        <w:tc>
          <w:tcPr>
            <w:tcW w:w="714"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1833"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Column 1</w:t>
            </w:r>
          </w:p>
          <w:p w:rsidR="007D17C5" w:rsidRPr="00143624" w:rsidRDefault="007D17C5" w:rsidP="009558BE">
            <w:pPr>
              <w:pStyle w:val="TableHeading"/>
            </w:pPr>
            <w:r w:rsidRPr="00143624">
              <w:t>Minimum deferral period</w:t>
            </w:r>
          </w:p>
        </w:tc>
        <w:tc>
          <w:tcPr>
            <w:tcW w:w="1701"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Column 2</w:t>
            </w:r>
          </w:p>
          <w:p w:rsidR="007D17C5" w:rsidRPr="00143624" w:rsidRDefault="007D17C5" w:rsidP="009558BE">
            <w:pPr>
              <w:pStyle w:val="TableHeading"/>
            </w:pPr>
            <w:r w:rsidRPr="00143624">
              <w:t>Lump sum not indexed</w:t>
            </w:r>
          </w:p>
        </w:tc>
        <w:tc>
          <w:tcPr>
            <w:tcW w:w="1984"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Column 3</w:t>
            </w:r>
          </w:p>
          <w:p w:rsidR="007D17C5" w:rsidRPr="00143624" w:rsidRDefault="007D17C5" w:rsidP="009558BE">
            <w:pPr>
              <w:pStyle w:val="TableHeading"/>
            </w:pPr>
            <w:r w:rsidRPr="00143624">
              <w:t>CPI indexed lump sum</w:t>
            </w:r>
          </w:p>
        </w:tc>
        <w:tc>
          <w:tcPr>
            <w:tcW w:w="2081" w:type="dxa"/>
            <w:tcBorders>
              <w:top w:val="single" w:sz="6" w:space="0" w:color="auto"/>
              <w:bottom w:val="single" w:sz="12" w:space="0" w:color="auto"/>
            </w:tcBorders>
            <w:shd w:val="clear" w:color="auto" w:fill="auto"/>
          </w:tcPr>
          <w:p w:rsidR="007D17C5" w:rsidRPr="00143624" w:rsidRDefault="007D17C5" w:rsidP="009558BE">
            <w:pPr>
              <w:pStyle w:val="TableHeading"/>
            </w:pPr>
            <w:r w:rsidRPr="00143624">
              <w:t>Column 4</w:t>
            </w:r>
          </w:p>
          <w:p w:rsidR="007D17C5" w:rsidRPr="00143624" w:rsidRDefault="007D17C5" w:rsidP="009558BE">
            <w:pPr>
              <w:pStyle w:val="TableHeading"/>
            </w:pPr>
            <w:r w:rsidRPr="00143624">
              <w:t>Wage indexed lump sum</w:t>
            </w:r>
          </w:p>
        </w:tc>
      </w:tr>
      <w:tr w:rsidR="007D17C5" w:rsidRPr="00143624" w:rsidTr="009558BE">
        <w:tc>
          <w:tcPr>
            <w:tcW w:w="714" w:type="dxa"/>
            <w:tcBorders>
              <w:top w:val="single" w:sz="12" w:space="0" w:color="auto"/>
            </w:tcBorders>
            <w:shd w:val="clear" w:color="auto" w:fill="auto"/>
          </w:tcPr>
          <w:p w:rsidR="007D17C5" w:rsidRPr="00143624" w:rsidRDefault="007D17C5" w:rsidP="009558BE">
            <w:pPr>
              <w:pStyle w:val="Tabletext"/>
            </w:pPr>
            <w:r w:rsidRPr="00143624">
              <w:t>1</w:t>
            </w:r>
          </w:p>
        </w:tc>
        <w:tc>
          <w:tcPr>
            <w:tcW w:w="1833" w:type="dxa"/>
            <w:tcBorders>
              <w:top w:val="single" w:sz="12" w:space="0" w:color="auto"/>
            </w:tcBorders>
            <w:shd w:val="clear" w:color="auto" w:fill="auto"/>
          </w:tcPr>
          <w:p w:rsidR="007D17C5" w:rsidRPr="00143624" w:rsidRDefault="007D17C5" w:rsidP="009558BE">
            <w:pPr>
              <w:pStyle w:val="Tabletext"/>
              <w:rPr>
                <w:snapToGrid w:val="0"/>
              </w:rPr>
            </w:pPr>
            <w:r w:rsidRPr="00143624">
              <w:rPr>
                <w:snapToGrid w:val="0"/>
                <w:color w:val="000000"/>
              </w:rPr>
              <w:t>0</w:t>
            </w:r>
          </w:p>
        </w:tc>
        <w:tc>
          <w:tcPr>
            <w:tcW w:w="1701" w:type="dxa"/>
            <w:tcBorders>
              <w:top w:val="single" w:sz="12" w:space="0" w:color="auto"/>
            </w:tcBorders>
            <w:shd w:val="clear" w:color="auto" w:fill="auto"/>
          </w:tcPr>
          <w:p w:rsidR="007D17C5" w:rsidRPr="00143624" w:rsidRDefault="007D17C5" w:rsidP="009558BE">
            <w:pPr>
              <w:pStyle w:val="Tabletext"/>
              <w:rPr>
                <w:snapToGrid w:val="0"/>
              </w:rPr>
            </w:pPr>
            <w:r w:rsidRPr="00143624">
              <w:rPr>
                <w:snapToGrid w:val="0"/>
                <w:color w:val="000000"/>
              </w:rPr>
              <w:t>1.000</w:t>
            </w:r>
          </w:p>
        </w:tc>
        <w:tc>
          <w:tcPr>
            <w:tcW w:w="1984" w:type="dxa"/>
            <w:tcBorders>
              <w:top w:val="single" w:sz="12" w:space="0" w:color="auto"/>
            </w:tcBorders>
            <w:shd w:val="clear" w:color="auto" w:fill="auto"/>
          </w:tcPr>
          <w:p w:rsidR="007D17C5" w:rsidRPr="00143624" w:rsidRDefault="007D17C5" w:rsidP="009558BE">
            <w:pPr>
              <w:pStyle w:val="Tabletext"/>
              <w:rPr>
                <w:snapToGrid w:val="0"/>
              </w:rPr>
            </w:pPr>
            <w:r w:rsidRPr="00143624">
              <w:rPr>
                <w:snapToGrid w:val="0"/>
                <w:color w:val="000000"/>
              </w:rPr>
              <w:t>1.000</w:t>
            </w:r>
          </w:p>
        </w:tc>
        <w:tc>
          <w:tcPr>
            <w:tcW w:w="2081" w:type="dxa"/>
            <w:tcBorders>
              <w:top w:val="single" w:sz="12" w:space="0" w:color="auto"/>
            </w:tcBorders>
            <w:shd w:val="clear" w:color="auto" w:fill="auto"/>
          </w:tcPr>
          <w:p w:rsidR="007D17C5" w:rsidRPr="00143624" w:rsidRDefault="007D17C5" w:rsidP="009558BE">
            <w:pPr>
              <w:pStyle w:val="Tabletext"/>
              <w:rPr>
                <w:snapToGrid w:val="0"/>
              </w:rPr>
            </w:pPr>
            <w:r w:rsidRPr="00143624">
              <w:rPr>
                <w:snapToGrid w:val="0"/>
                <w:color w:val="000000"/>
              </w:rPr>
              <w:t>1.000</w:t>
            </w:r>
          </w:p>
        </w:tc>
      </w:tr>
      <w:tr w:rsidR="007D17C5" w:rsidRPr="00143624" w:rsidTr="009558BE">
        <w:tc>
          <w:tcPr>
            <w:tcW w:w="714" w:type="dxa"/>
            <w:shd w:val="clear" w:color="auto" w:fill="auto"/>
          </w:tcPr>
          <w:p w:rsidR="007D17C5" w:rsidRPr="00143624" w:rsidRDefault="007D17C5" w:rsidP="009558BE">
            <w:pPr>
              <w:pStyle w:val="Tabletext"/>
            </w:pPr>
            <w:r w:rsidRPr="00143624">
              <w:t>2</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0.939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0.963</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0.977</w:t>
            </w:r>
          </w:p>
        </w:tc>
      </w:tr>
      <w:tr w:rsidR="007D17C5" w:rsidRPr="00143624" w:rsidTr="009558BE">
        <w:tc>
          <w:tcPr>
            <w:tcW w:w="714" w:type="dxa"/>
            <w:shd w:val="clear" w:color="auto" w:fill="auto"/>
          </w:tcPr>
          <w:p w:rsidR="007D17C5" w:rsidRPr="00143624" w:rsidRDefault="007D17C5" w:rsidP="009558BE">
            <w:pPr>
              <w:pStyle w:val="Tabletext"/>
            </w:pPr>
            <w:r w:rsidRPr="00143624">
              <w:t>3</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2</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0.882</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0.927</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0.954</w:t>
            </w:r>
          </w:p>
        </w:tc>
      </w:tr>
      <w:tr w:rsidR="007D17C5" w:rsidRPr="00143624" w:rsidTr="009558BE">
        <w:tc>
          <w:tcPr>
            <w:tcW w:w="714" w:type="dxa"/>
            <w:shd w:val="clear" w:color="auto" w:fill="auto"/>
          </w:tcPr>
          <w:p w:rsidR="007D17C5" w:rsidRPr="00143624" w:rsidRDefault="007D17C5" w:rsidP="009558BE">
            <w:pPr>
              <w:pStyle w:val="Tabletext"/>
            </w:pPr>
            <w:r w:rsidRPr="00143624">
              <w:t>4</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3</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0.829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0.892</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0.932</w:t>
            </w:r>
          </w:p>
        </w:tc>
      </w:tr>
      <w:tr w:rsidR="007D17C5" w:rsidRPr="00143624" w:rsidTr="009558BE">
        <w:tc>
          <w:tcPr>
            <w:tcW w:w="714" w:type="dxa"/>
            <w:shd w:val="clear" w:color="auto" w:fill="auto"/>
          </w:tcPr>
          <w:p w:rsidR="007D17C5" w:rsidRPr="00143624" w:rsidRDefault="007D17C5" w:rsidP="009558BE">
            <w:pPr>
              <w:pStyle w:val="Tabletext"/>
            </w:pPr>
            <w:r w:rsidRPr="00143624">
              <w:t>5</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4</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0.779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0.859</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0.910</w:t>
            </w:r>
          </w:p>
        </w:tc>
      </w:tr>
      <w:tr w:rsidR="007D17C5" w:rsidRPr="00143624" w:rsidTr="009558BE">
        <w:tc>
          <w:tcPr>
            <w:tcW w:w="714" w:type="dxa"/>
            <w:shd w:val="clear" w:color="auto" w:fill="auto"/>
          </w:tcPr>
          <w:p w:rsidR="007D17C5" w:rsidRPr="00143624" w:rsidRDefault="007D17C5" w:rsidP="009558BE">
            <w:pPr>
              <w:pStyle w:val="Tabletext"/>
            </w:pPr>
            <w:r w:rsidRPr="00143624">
              <w:t>6</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5</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0.732</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0.827</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0.889</w:t>
            </w:r>
          </w:p>
        </w:tc>
      </w:tr>
      <w:tr w:rsidR="007D17C5" w:rsidRPr="00143624" w:rsidTr="009558BE">
        <w:tc>
          <w:tcPr>
            <w:tcW w:w="714" w:type="dxa"/>
            <w:shd w:val="clear" w:color="auto" w:fill="auto"/>
          </w:tcPr>
          <w:p w:rsidR="007D17C5" w:rsidRPr="00143624" w:rsidRDefault="007D17C5" w:rsidP="009558BE">
            <w:pPr>
              <w:pStyle w:val="Tabletext"/>
            </w:pPr>
            <w:r w:rsidRPr="00143624">
              <w:t>7</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6</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0.689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0.797</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0.869</w:t>
            </w:r>
          </w:p>
        </w:tc>
      </w:tr>
      <w:tr w:rsidR="007D17C5" w:rsidRPr="00143624" w:rsidTr="009558BE">
        <w:tc>
          <w:tcPr>
            <w:tcW w:w="714" w:type="dxa"/>
            <w:shd w:val="clear" w:color="auto" w:fill="auto"/>
          </w:tcPr>
          <w:p w:rsidR="007D17C5" w:rsidRPr="00143624" w:rsidRDefault="007D17C5" w:rsidP="009558BE">
            <w:pPr>
              <w:pStyle w:val="Tabletext"/>
            </w:pPr>
            <w:r w:rsidRPr="00143624">
              <w:t>8</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7</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0.648</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0.768</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0.849</w:t>
            </w:r>
          </w:p>
        </w:tc>
      </w:tr>
      <w:tr w:rsidR="007D17C5" w:rsidRPr="00143624" w:rsidTr="009558BE">
        <w:tc>
          <w:tcPr>
            <w:tcW w:w="714" w:type="dxa"/>
            <w:shd w:val="clear" w:color="auto" w:fill="auto"/>
          </w:tcPr>
          <w:p w:rsidR="007D17C5" w:rsidRPr="00143624" w:rsidRDefault="007D17C5" w:rsidP="009558BE">
            <w:pPr>
              <w:pStyle w:val="Tabletext"/>
            </w:pPr>
            <w:r w:rsidRPr="00143624">
              <w:t>9</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8</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0.610</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0.740</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0.830</w:t>
            </w:r>
          </w:p>
        </w:tc>
      </w:tr>
      <w:tr w:rsidR="007D17C5" w:rsidRPr="00143624" w:rsidTr="009558BE">
        <w:tc>
          <w:tcPr>
            <w:tcW w:w="714" w:type="dxa"/>
            <w:shd w:val="clear" w:color="auto" w:fill="auto"/>
          </w:tcPr>
          <w:p w:rsidR="007D17C5" w:rsidRPr="00143624" w:rsidRDefault="007D17C5" w:rsidP="009558BE">
            <w:pPr>
              <w:pStyle w:val="Tabletext"/>
            </w:pPr>
            <w:r w:rsidRPr="00143624">
              <w:t>10</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9</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0.575</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0.714</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0.811</w:t>
            </w:r>
          </w:p>
        </w:tc>
      </w:tr>
      <w:tr w:rsidR="007D17C5" w:rsidRPr="00143624" w:rsidTr="009558BE">
        <w:tc>
          <w:tcPr>
            <w:tcW w:w="714" w:type="dxa"/>
            <w:shd w:val="clear" w:color="auto" w:fill="auto"/>
          </w:tcPr>
          <w:p w:rsidR="007D17C5" w:rsidRPr="00143624" w:rsidRDefault="007D17C5" w:rsidP="009558BE">
            <w:pPr>
              <w:pStyle w:val="Tabletext"/>
            </w:pPr>
            <w:r w:rsidRPr="00143624">
              <w:t>11</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10</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0.542</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0.688</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0.793</w:t>
            </w:r>
          </w:p>
        </w:tc>
      </w:tr>
      <w:tr w:rsidR="007D17C5" w:rsidRPr="00143624" w:rsidTr="009558BE">
        <w:tc>
          <w:tcPr>
            <w:tcW w:w="714" w:type="dxa"/>
            <w:shd w:val="clear" w:color="auto" w:fill="auto"/>
          </w:tcPr>
          <w:p w:rsidR="007D17C5" w:rsidRPr="00143624" w:rsidRDefault="007D17C5" w:rsidP="009558BE">
            <w:pPr>
              <w:pStyle w:val="Tabletext"/>
            </w:pPr>
            <w:r w:rsidRPr="00143624">
              <w:t>12</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11</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0.511</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0.664</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0.776</w:t>
            </w:r>
          </w:p>
        </w:tc>
      </w:tr>
      <w:tr w:rsidR="007D17C5" w:rsidRPr="00143624" w:rsidTr="009558BE">
        <w:tc>
          <w:tcPr>
            <w:tcW w:w="714" w:type="dxa"/>
            <w:shd w:val="clear" w:color="auto" w:fill="auto"/>
          </w:tcPr>
          <w:p w:rsidR="007D17C5" w:rsidRPr="00143624" w:rsidRDefault="007D17C5" w:rsidP="009558BE">
            <w:pPr>
              <w:pStyle w:val="Tabletext"/>
            </w:pPr>
            <w:r w:rsidRPr="00143624">
              <w:t>13</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12</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0.483</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0.641</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0.759</w:t>
            </w:r>
          </w:p>
        </w:tc>
      </w:tr>
      <w:tr w:rsidR="007D17C5" w:rsidRPr="00143624" w:rsidTr="009558BE">
        <w:tc>
          <w:tcPr>
            <w:tcW w:w="714" w:type="dxa"/>
            <w:shd w:val="clear" w:color="auto" w:fill="auto"/>
          </w:tcPr>
          <w:p w:rsidR="007D17C5" w:rsidRPr="00143624" w:rsidRDefault="007D17C5" w:rsidP="009558BE">
            <w:pPr>
              <w:pStyle w:val="Tabletext"/>
            </w:pPr>
            <w:r w:rsidRPr="00143624">
              <w:t>14</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13</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0.456</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0.619</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0.742</w:t>
            </w:r>
          </w:p>
        </w:tc>
      </w:tr>
      <w:tr w:rsidR="007D17C5" w:rsidRPr="00143624" w:rsidTr="009558BE">
        <w:tc>
          <w:tcPr>
            <w:tcW w:w="714" w:type="dxa"/>
            <w:shd w:val="clear" w:color="auto" w:fill="auto"/>
          </w:tcPr>
          <w:p w:rsidR="007D17C5" w:rsidRPr="00143624" w:rsidRDefault="007D17C5" w:rsidP="009558BE">
            <w:pPr>
              <w:pStyle w:val="Tabletext"/>
            </w:pPr>
            <w:r w:rsidRPr="00143624">
              <w:t>15</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14</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0.431</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0.598</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0.727</w:t>
            </w:r>
          </w:p>
        </w:tc>
      </w:tr>
      <w:tr w:rsidR="007D17C5" w:rsidRPr="00143624" w:rsidTr="009558BE">
        <w:tc>
          <w:tcPr>
            <w:tcW w:w="714" w:type="dxa"/>
            <w:shd w:val="clear" w:color="auto" w:fill="auto"/>
          </w:tcPr>
          <w:p w:rsidR="007D17C5" w:rsidRPr="00143624" w:rsidRDefault="007D17C5" w:rsidP="009558BE">
            <w:pPr>
              <w:pStyle w:val="Tabletext"/>
            </w:pPr>
            <w:r w:rsidRPr="00143624">
              <w:t>16</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15</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0.409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0.579</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0.711</w:t>
            </w:r>
          </w:p>
        </w:tc>
      </w:tr>
      <w:tr w:rsidR="007D17C5" w:rsidRPr="00143624" w:rsidTr="009558BE">
        <w:tc>
          <w:tcPr>
            <w:tcW w:w="714" w:type="dxa"/>
            <w:shd w:val="clear" w:color="auto" w:fill="auto"/>
          </w:tcPr>
          <w:p w:rsidR="007D17C5" w:rsidRPr="00143624" w:rsidRDefault="007D17C5" w:rsidP="009558BE">
            <w:pPr>
              <w:pStyle w:val="Tabletext"/>
            </w:pPr>
            <w:r w:rsidRPr="00143624">
              <w:t>17</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16</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0.387</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0.560</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0.697</w:t>
            </w:r>
          </w:p>
        </w:tc>
      </w:tr>
      <w:tr w:rsidR="007D17C5" w:rsidRPr="00143624" w:rsidTr="009558BE">
        <w:tc>
          <w:tcPr>
            <w:tcW w:w="714" w:type="dxa"/>
            <w:shd w:val="clear" w:color="auto" w:fill="auto"/>
          </w:tcPr>
          <w:p w:rsidR="007D17C5" w:rsidRPr="00143624" w:rsidRDefault="007D17C5" w:rsidP="009558BE">
            <w:pPr>
              <w:pStyle w:val="Tabletext"/>
            </w:pPr>
            <w:r w:rsidRPr="00143624">
              <w:t>18</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17</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0.368</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0.542</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0.683</w:t>
            </w:r>
          </w:p>
        </w:tc>
      </w:tr>
      <w:tr w:rsidR="007D17C5" w:rsidRPr="00143624" w:rsidTr="009558BE">
        <w:tc>
          <w:tcPr>
            <w:tcW w:w="714" w:type="dxa"/>
            <w:shd w:val="clear" w:color="auto" w:fill="auto"/>
          </w:tcPr>
          <w:p w:rsidR="007D17C5" w:rsidRPr="00143624" w:rsidRDefault="007D17C5" w:rsidP="009558BE">
            <w:pPr>
              <w:pStyle w:val="Tabletext"/>
            </w:pPr>
            <w:r w:rsidRPr="00143624">
              <w:t>19</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18</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0.350</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0.525</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0.669</w:t>
            </w:r>
          </w:p>
        </w:tc>
      </w:tr>
      <w:tr w:rsidR="007D17C5" w:rsidRPr="00143624" w:rsidTr="009558BE">
        <w:tc>
          <w:tcPr>
            <w:tcW w:w="714" w:type="dxa"/>
            <w:shd w:val="clear" w:color="auto" w:fill="auto"/>
          </w:tcPr>
          <w:p w:rsidR="007D17C5" w:rsidRPr="00143624" w:rsidRDefault="007D17C5" w:rsidP="009558BE">
            <w:pPr>
              <w:pStyle w:val="Tabletext"/>
            </w:pPr>
            <w:r w:rsidRPr="00143624">
              <w:t>20</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19</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0.333</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0.509</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0.656</w:t>
            </w:r>
          </w:p>
        </w:tc>
      </w:tr>
      <w:tr w:rsidR="007D17C5" w:rsidRPr="00143624" w:rsidTr="009558BE">
        <w:tc>
          <w:tcPr>
            <w:tcW w:w="714" w:type="dxa"/>
            <w:shd w:val="clear" w:color="auto" w:fill="auto"/>
          </w:tcPr>
          <w:p w:rsidR="007D17C5" w:rsidRPr="00143624" w:rsidRDefault="007D17C5" w:rsidP="009558BE">
            <w:pPr>
              <w:pStyle w:val="Tabletext"/>
            </w:pPr>
            <w:r w:rsidRPr="00143624">
              <w:t>21</w:t>
            </w:r>
          </w:p>
        </w:tc>
        <w:tc>
          <w:tcPr>
            <w:tcW w:w="1833" w:type="dxa"/>
            <w:shd w:val="clear" w:color="auto" w:fill="auto"/>
          </w:tcPr>
          <w:p w:rsidR="007D17C5" w:rsidRPr="00143624" w:rsidRDefault="007D17C5" w:rsidP="009558BE">
            <w:pPr>
              <w:pStyle w:val="Tabletext"/>
              <w:rPr>
                <w:snapToGrid w:val="0"/>
              </w:rPr>
            </w:pPr>
            <w:r w:rsidRPr="00143624">
              <w:rPr>
                <w:snapToGrid w:val="0"/>
                <w:color w:val="000000"/>
              </w:rPr>
              <w:t>20</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0.318</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0.494</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0.644</w:t>
            </w:r>
          </w:p>
        </w:tc>
      </w:tr>
      <w:tr w:rsidR="007D17C5" w:rsidRPr="00143624" w:rsidTr="009558BE">
        <w:tc>
          <w:tcPr>
            <w:tcW w:w="714" w:type="dxa"/>
            <w:shd w:val="clear" w:color="auto" w:fill="auto"/>
          </w:tcPr>
          <w:p w:rsidR="007D17C5" w:rsidRPr="00143624" w:rsidRDefault="007D17C5" w:rsidP="009558BE">
            <w:pPr>
              <w:pStyle w:val="Tabletext"/>
            </w:pPr>
            <w:r w:rsidRPr="00143624">
              <w:t>22</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21</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0.304</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0.480</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0.632</w:t>
            </w:r>
          </w:p>
        </w:tc>
      </w:tr>
      <w:tr w:rsidR="007D17C5" w:rsidRPr="00143624" w:rsidTr="009558BE">
        <w:tc>
          <w:tcPr>
            <w:tcW w:w="714" w:type="dxa"/>
            <w:shd w:val="clear" w:color="auto" w:fill="auto"/>
          </w:tcPr>
          <w:p w:rsidR="007D17C5" w:rsidRPr="00143624" w:rsidRDefault="007D17C5" w:rsidP="009558BE">
            <w:pPr>
              <w:pStyle w:val="Tabletext"/>
            </w:pPr>
            <w:r w:rsidRPr="00143624">
              <w:t>23</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22</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0.291</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0.467</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0.621</w:t>
            </w:r>
          </w:p>
        </w:tc>
      </w:tr>
      <w:tr w:rsidR="007D17C5" w:rsidRPr="00143624" w:rsidTr="009558BE">
        <w:tc>
          <w:tcPr>
            <w:tcW w:w="714" w:type="dxa"/>
            <w:shd w:val="clear" w:color="auto" w:fill="auto"/>
          </w:tcPr>
          <w:p w:rsidR="007D17C5" w:rsidRPr="00143624" w:rsidRDefault="007D17C5" w:rsidP="009558BE">
            <w:pPr>
              <w:pStyle w:val="Tabletext"/>
            </w:pPr>
            <w:r w:rsidRPr="00143624">
              <w:t>24</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23</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0.279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0.454</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0.610</w:t>
            </w:r>
          </w:p>
        </w:tc>
      </w:tr>
      <w:tr w:rsidR="007D17C5" w:rsidRPr="00143624" w:rsidTr="009558BE">
        <w:tc>
          <w:tcPr>
            <w:tcW w:w="714" w:type="dxa"/>
            <w:shd w:val="clear" w:color="auto" w:fill="auto"/>
          </w:tcPr>
          <w:p w:rsidR="007D17C5" w:rsidRPr="00143624" w:rsidRDefault="007D17C5" w:rsidP="009558BE">
            <w:pPr>
              <w:pStyle w:val="Tabletext"/>
            </w:pPr>
            <w:r w:rsidRPr="00143624">
              <w:t>25</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24</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0.269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0.443</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0.600</w:t>
            </w:r>
          </w:p>
        </w:tc>
      </w:tr>
      <w:tr w:rsidR="007D17C5" w:rsidRPr="00143624" w:rsidTr="009558BE">
        <w:tc>
          <w:tcPr>
            <w:tcW w:w="714" w:type="dxa"/>
            <w:shd w:val="clear" w:color="auto" w:fill="auto"/>
          </w:tcPr>
          <w:p w:rsidR="007D17C5" w:rsidRPr="00143624" w:rsidRDefault="007D17C5" w:rsidP="009558BE">
            <w:pPr>
              <w:pStyle w:val="Tabletext"/>
            </w:pPr>
            <w:r w:rsidRPr="00143624">
              <w:t>26</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25</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0.259</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0.432</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0.590</w:t>
            </w:r>
          </w:p>
        </w:tc>
      </w:tr>
      <w:tr w:rsidR="007D17C5" w:rsidRPr="00143624" w:rsidTr="009558BE">
        <w:tc>
          <w:tcPr>
            <w:tcW w:w="714" w:type="dxa"/>
            <w:shd w:val="clear" w:color="auto" w:fill="auto"/>
          </w:tcPr>
          <w:p w:rsidR="007D17C5" w:rsidRPr="00143624" w:rsidRDefault="007D17C5" w:rsidP="009558BE">
            <w:pPr>
              <w:pStyle w:val="Tabletext"/>
            </w:pPr>
            <w:r w:rsidRPr="00143624">
              <w:t>27</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26</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0.250</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0.422</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0.582</w:t>
            </w:r>
          </w:p>
        </w:tc>
      </w:tr>
      <w:tr w:rsidR="007D17C5" w:rsidRPr="00143624" w:rsidTr="009558BE">
        <w:tc>
          <w:tcPr>
            <w:tcW w:w="714" w:type="dxa"/>
            <w:shd w:val="clear" w:color="auto" w:fill="auto"/>
          </w:tcPr>
          <w:p w:rsidR="007D17C5" w:rsidRPr="00143624" w:rsidRDefault="007D17C5" w:rsidP="009558BE">
            <w:pPr>
              <w:pStyle w:val="Tabletext"/>
            </w:pPr>
            <w:r w:rsidRPr="00143624">
              <w:t>28</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27</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0.243</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0.413</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0.573</w:t>
            </w:r>
          </w:p>
        </w:tc>
      </w:tr>
      <w:tr w:rsidR="007D17C5" w:rsidRPr="00143624" w:rsidTr="009558BE">
        <w:tc>
          <w:tcPr>
            <w:tcW w:w="714" w:type="dxa"/>
            <w:shd w:val="clear" w:color="auto" w:fill="auto"/>
          </w:tcPr>
          <w:p w:rsidR="007D17C5" w:rsidRPr="00143624" w:rsidRDefault="007D17C5" w:rsidP="009558BE">
            <w:pPr>
              <w:pStyle w:val="Tabletext"/>
            </w:pPr>
            <w:r w:rsidRPr="00143624">
              <w:t>29</w:t>
            </w:r>
          </w:p>
        </w:tc>
        <w:tc>
          <w:tcPr>
            <w:tcW w:w="1833" w:type="dxa"/>
            <w:shd w:val="clear" w:color="auto" w:fill="auto"/>
            <w:vAlign w:val="bottom"/>
          </w:tcPr>
          <w:p w:rsidR="007D17C5" w:rsidRPr="00143624" w:rsidRDefault="007D17C5" w:rsidP="009558BE">
            <w:pPr>
              <w:pStyle w:val="Tabletext"/>
              <w:rPr>
                <w:snapToGrid w:val="0"/>
              </w:rPr>
            </w:pPr>
            <w:r w:rsidRPr="00143624">
              <w:rPr>
                <w:snapToGrid w:val="0"/>
                <w:color w:val="000000"/>
              </w:rPr>
              <w:t>28</w:t>
            </w:r>
          </w:p>
        </w:tc>
        <w:tc>
          <w:tcPr>
            <w:tcW w:w="1701" w:type="dxa"/>
            <w:shd w:val="clear" w:color="auto" w:fill="auto"/>
            <w:vAlign w:val="bottom"/>
          </w:tcPr>
          <w:p w:rsidR="007D17C5" w:rsidRPr="00143624" w:rsidRDefault="007D17C5" w:rsidP="009558BE">
            <w:pPr>
              <w:pStyle w:val="Tabletext"/>
              <w:rPr>
                <w:snapToGrid w:val="0"/>
              </w:rPr>
            </w:pPr>
            <w:r w:rsidRPr="00143624">
              <w:rPr>
                <w:snapToGrid w:val="0"/>
                <w:color w:val="000000"/>
              </w:rPr>
              <w:t>0.236</w:t>
            </w:r>
          </w:p>
        </w:tc>
        <w:tc>
          <w:tcPr>
            <w:tcW w:w="1984" w:type="dxa"/>
            <w:shd w:val="clear" w:color="auto" w:fill="auto"/>
            <w:vAlign w:val="bottom"/>
          </w:tcPr>
          <w:p w:rsidR="007D17C5" w:rsidRPr="00143624" w:rsidRDefault="007D17C5" w:rsidP="009558BE">
            <w:pPr>
              <w:pStyle w:val="Tabletext"/>
              <w:rPr>
                <w:snapToGrid w:val="0"/>
              </w:rPr>
            </w:pPr>
            <w:r w:rsidRPr="00143624">
              <w:rPr>
                <w:snapToGrid w:val="0"/>
                <w:color w:val="000000"/>
              </w:rPr>
              <w:t>0.404</w:t>
            </w:r>
          </w:p>
        </w:tc>
        <w:tc>
          <w:tcPr>
            <w:tcW w:w="2081" w:type="dxa"/>
            <w:shd w:val="clear" w:color="auto" w:fill="auto"/>
            <w:vAlign w:val="bottom"/>
          </w:tcPr>
          <w:p w:rsidR="007D17C5" w:rsidRPr="00143624" w:rsidRDefault="007D17C5" w:rsidP="009558BE">
            <w:pPr>
              <w:pStyle w:val="Tabletext"/>
              <w:rPr>
                <w:snapToGrid w:val="0"/>
              </w:rPr>
            </w:pPr>
            <w:r w:rsidRPr="00143624">
              <w:rPr>
                <w:snapToGrid w:val="0"/>
                <w:color w:val="000000"/>
              </w:rPr>
              <w:t>0.565</w:t>
            </w:r>
          </w:p>
        </w:tc>
      </w:tr>
      <w:tr w:rsidR="007D17C5" w:rsidRPr="00143624" w:rsidTr="009558BE">
        <w:tc>
          <w:tcPr>
            <w:tcW w:w="714" w:type="dxa"/>
            <w:tcBorders>
              <w:bottom w:val="single" w:sz="2" w:space="0" w:color="auto"/>
            </w:tcBorders>
            <w:shd w:val="clear" w:color="auto" w:fill="auto"/>
          </w:tcPr>
          <w:p w:rsidR="007D17C5" w:rsidRPr="00143624" w:rsidRDefault="007D17C5" w:rsidP="009558BE">
            <w:pPr>
              <w:pStyle w:val="Tabletext"/>
            </w:pPr>
            <w:r w:rsidRPr="00143624">
              <w:t>30</w:t>
            </w:r>
          </w:p>
        </w:tc>
        <w:tc>
          <w:tcPr>
            <w:tcW w:w="1833" w:type="dxa"/>
            <w:tcBorders>
              <w:bottom w:val="single" w:sz="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29</w:t>
            </w:r>
          </w:p>
        </w:tc>
        <w:tc>
          <w:tcPr>
            <w:tcW w:w="1701" w:type="dxa"/>
            <w:tcBorders>
              <w:bottom w:val="single" w:sz="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0.229</w:t>
            </w:r>
          </w:p>
        </w:tc>
        <w:tc>
          <w:tcPr>
            <w:tcW w:w="1984" w:type="dxa"/>
            <w:tcBorders>
              <w:bottom w:val="single" w:sz="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0.397</w:t>
            </w:r>
          </w:p>
        </w:tc>
        <w:tc>
          <w:tcPr>
            <w:tcW w:w="2081" w:type="dxa"/>
            <w:tcBorders>
              <w:bottom w:val="single" w:sz="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0.558</w:t>
            </w:r>
          </w:p>
        </w:tc>
      </w:tr>
      <w:tr w:rsidR="007D17C5" w:rsidRPr="00143624" w:rsidTr="009558BE">
        <w:tc>
          <w:tcPr>
            <w:tcW w:w="714" w:type="dxa"/>
            <w:tcBorders>
              <w:top w:val="single" w:sz="2" w:space="0" w:color="auto"/>
              <w:bottom w:val="single" w:sz="12" w:space="0" w:color="auto"/>
            </w:tcBorders>
            <w:shd w:val="clear" w:color="auto" w:fill="auto"/>
          </w:tcPr>
          <w:p w:rsidR="007D17C5" w:rsidRPr="00143624" w:rsidRDefault="007D17C5" w:rsidP="009558BE">
            <w:pPr>
              <w:pStyle w:val="Tabletext"/>
            </w:pPr>
            <w:r w:rsidRPr="00143624">
              <w:t>31</w:t>
            </w:r>
          </w:p>
        </w:tc>
        <w:tc>
          <w:tcPr>
            <w:tcW w:w="1833" w:type="dxa"/>
            <w:tcBorders>
              <w:top w:val="single" w:sz="2" w:space="0" w:color="auto"/>
              <w:bottom w:val="single" w:sz="1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30</w:t>
            </w:r>
          </w:p>
        </w:tc>
        <w:tc>
          <w:tcPr>
            <w:tcW w:w="1701" w:type="dxa"/>
            <w:tcBorders>
              <w:top w:val="single" w:sz="2" w:space="0" w:color="auto"/>
              <w:bottom w:val="single" w:sz="1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0.224</w:t>
            </w:r>
          </w:p>
        </w:tc>
        <w:tc>
          <w:tcPr>
            <w:tcW w:w="1984" w:type="dxa"/>
            <w:tcBorders>
              <w:top w:val="single" w:sz="2" w:space="0" w:color="auto"/>
              <w:bottom w:val="single" w:sz="1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0.390</w:t>
            </w:r>
          </w:p>
        </w:tc>
        <w:tc>
          <w:tcPr>
            <w:tcW w:w="2081" w:type="dxa"/>
            <w:tcBorders>
              <w:top w:val="single" w:sz="2" w:space="0" w:color="auto"/>
              <w:bottom w:val="single" w:sz="12" w:space="0" w:color="auto"/>
            </w:tcBorders>
            <w:shd w:val="clear" w:color="auto" w:fill="auto"/>
            <w:vAlign w:val="bottom"/>
          </w:tcPr>
          <w:p w:rsidR="007D17C5" w:rsidRPr="00143624" w:rsidRDefault="007D17C5" w:rsidP="009558BE">
            <w:pPr>
              <w:pStyle w:val="Tabletext"/>
              <w:rPr>
                <w:snapToGrid w:val="0"/>
              </w:rPr>
            </w:pPr>
            <w:r w:rsidRPr="00143624">
              <w:rPr>
                <w:snapToGrid w:val="0"/>
                <w:color w:val="000000"/>
              </w:rPr>
              <w:t>0.552</w:t>
            </w:r>
          </w:p>
        </w:tc>
      </w:tr>
    </w:tbl>
    <w:p w:rsidR="007D17C5" w:rsidRPr="00143624" w:rsidRDefault="00F5399E" w:rsidP="007D17C5">
      <w:pPr>
        <w:pStyle w:val="ActHead1"/>
        <w:pageBreakBefore/>
      </w:pPr>
      <w:bookmarkStart w:id="276" w:name="_Toc64030528"/>
      <w:r w:rsidRPr="003F3E0B">
        <w:rPr>
          <w:rStyle w:val="CharChapNo"/>
        </w:rPr>
        <w:lastRenderedPageBreak/>
        <w:t>Schedule 1</w:t>
      </w:r>
      <w:r w:rsidR="007D17C5" w:rsidRPr="003F3E0B">
        <w:rPr>
          <w:rStyle w:val="CharChapNo"/>
        </w:rPr>
        <w:t>C</w:t>
      </w:r>
      <w:r w:rsidR="007D17C5" w:rsidRPr="00143624">
        <w:t>—</w:t>
      </w:r>
      <w:r w:rsidR="007D17C5" w:rsidRPr="003F3E0B">
        <w:rPr>
          <w:rStyle w:val="CharChapText"/>
        </w:rPr>
        <w:t>Farm management deposits—statements to be read by depositors</w:t>
      </w:r>
      <w:bookmarkEnd w:id="276"/>
    </w:p>
    <w:p w:rsidR="007D17C5" w:rsidRPr="00143624" w:rsidRDefault="007D17C5" w:rsidP="007D17C5">
      <w:pPr>
        <w:pStyle w:val="notemargin"/>
      </w:pPr>
      <w:r w:rsidRPr="00143624">
        <w:t>Note:</w:t>
      </w:r>
      <w:r w:rsidRPr="00143624">
        <w:tab/>
        <w:t>See section 393</w:t>
      </w:r>
      <w:r w:rsidR="00143624">
        <w:noBreakHyphen/>
      </w:r>
      <w:r w:rsidRPr="00143624">
        <w:t>20.02</w:t>
      </w:r>
      <w:r w:rsidR="00407308">
        <w:t>.</w:t>
      </w:r>
    </w:p>
    <w:p w:rsidR="007D17C5" w:rsidRPr="00143624" w:rsidRDefault="007D17C5" w:rsidP="007D17C5">
      <w:pPr>
        <w:pStyle w:val="ActHead2"/>
      </w:pPr>
      <w:bookmarkStart w:id="277" w:name="_Toc64030529"/>
      <w:r w:rsidRPr="003F3E0B">
        <w:rPr>
          <w:rStyle w:val="CharPartNo"/>
        </w:rPr>
        <w:t>Part</w:t>
      </w:r>
      <w:r w:rsidR="002B1A95" w:rsidRPr="003F3E0B">
        <w:rPr>
          <w:rStyle w:val="CharPartNo"/>
        </w:rPr>
        <w:t> </w:t>
      </w:r>
      <w:r w:rsidRPr="003F3E0B">
        <w:rPr>
          <w:rStyle w:val="CharPartNo"/>
        </w:rPr>
        <w:t>1</w:t>
      </w:r>
      <w:r w:rsidRPr="00143624">
        <w:t>—</w:t>
      </w:r>
      <w:r w:rsidRPr="003F3E0B">
        <w:rPr>
          <w:rStyle w:val="CharPartText"/>
        </w:rPr>
        <w:t>Statements</w:t>
      </w:r>
      <w:bookmarkEnd w:id="277"/>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78" w:name="_Toc64030530"/>
      <w:r w:rsidRPr="003F3E0B">
        <w:rPr>
          <w:rStyle w:val="CharSectno"/>
        </w:rPr>
        <w:t>1</w:t>
      </w:r>
      <w:r w:rsidRPr="00143624">
        <w:t xml:space="preserve">  Statements for the purposes of paragraph 393</w:t>
      </w:r>
      <w:r w:rsidR="00143624">
        <w:noBreakHyphen/>
      </w:r>
      <w:r w:rsidRPr="00143624">
        <w:t>20.02(a)</w:t>
      </w:r>
      <w:bookmarkEnd w:id="278"/>
    </w:p>
    <w:p w:rsidR="007D17C5" w:rsidRPr="00143624" w:rsidRDefault="007D17C5" w:rsidP="007D17C5">
      <w:pPr>
        <w:pStyle w:val="subsection"/>
      </w:pPr>
      <w:r w:rsidRPr="00143624">
        <w:tab/>
        <w:t>(1)</w:t>
      </w:r>
      <w:r w:rsidRPr="00143624">
        <w:tab/>
        <w:t>This clause sets out statements for the purposes of paragraph 393</w:t>
      </w:r>
      <w:r w:rsidR="00143624">
        <w:noBreakHyphen/>
      </w:r>
      <w:r w:rsidRPr="00143624">
        <w:t>20.02(a).</w:t>
      </w:r>
    </w:p>
    <w:p w:rsidR="007D17C5" w:rsidRPr="00143624" w:rsidRDefault="007D17C5" w:rsidP="007D17C5">
      <w:pPr>
        <w:pStyle w:val="SubsectionHead"/>
      </w:pPr>
      <w:r w:rsidRPr="00143624">
        <w:t>Authorised deposit</w:t>
      </w:r>
      <w:r w:rsidR="00143624">
        <w:noBreakHyphen/>
      </w:r>
      <w:r w:rsidRPr="00143624">
        <w:t>taking institution</w:t>
      </w:r>
    </w:p>
    <w:p w:rsidR="007D17C5" w:rsidRPr="00143624" w:rsidRDefault="007D17C5" w:rsidP="007D17C5">
      <w:pPr>
        <w:pStyle w:val="subsection"/>
      </w:pPr>
      <w:r w:rsidRPr="00143624">
        <w:tab/>
        <w:t>(2)</w:t>
      </w:r>
      <w:r w:rsidRPr="00143624">
        <w:tab/>
        <w:t>The first statement is as follows:</w:t>
      </w:r>
    </w:p>
    <w:p w:rsidR="007D17C5" w:rsidRPr="00143624" w:rsidRDefault="007D17C5" w:rsidP="007D17C5">
      <w:pPr>
        <w:pStyle w:val="subsection"/>
      </w:pPr>
      <w:r w:rsidRPr="00143624">
        <w:tab/>
      </w:r>
      <w:r w:rsidRPr="00143624">
        <w:tab/>
        <w:t>The FMD provider issuing this application form is an authorised deposit</w:t>
      </w:r>
      <w:r w:rsidR="00143624">
        <w:noBreakHyphen/>
      </w:r>
      <w:r w:rsidRPr="00143624">
        <w:t xml:space="preserve">taking institution for the purposes of the </w:t>
      </w:r>
      <w:r w:rsidRPr="00143624">
        <w:rPr>
          <w:i/>
        </w:rPr>
        <w:t>Banking Act 1959</w:t>
      </w:r>
      <w:r w:rsidRPr="00143624">
        <w:t>.</w:t>
      </w:r>
    </w:p>
    <w:p w:rsidR="007D17C5" w:rsidRPr="00143624" w:rsidRDefault="007D17C5" w:rsidP="007D17C5">
      <w:pPr>
        <w:pStyle w:val="subsection"/>
      </w:pPr>
      <w:r w:rsidRPr="00143624">
        <w:tab/>
        <w:t>(3)</w:t>
      </w:r>
      <w:r w:rsidRPr="00143624">
        <w:tab/>
        <w:t>A form used to apply to an FMD provider to make a farm management deposit may only contain the first statement if the FMD provider is an ADI.</w:t>
      </w:r>
    </w:p>
    <w:p w:rsidR="007D17C5" w:rsidRPr="00143624" w:rsidRDefault="007D17C5" w:rsidP="007D17C5">
      <w:pPr>
        <w:pStyle w:val="SubsectionHead"/>
      </w:pPr>
      <w:r w:rsidRPr="00143624">
        <w:t>Financial Claims Scheme</w:t>
      </w:r>
    </w:p>
    <w:p w:rsidR="007D17C5" w:rsidRPr="00143624" w:rsidRDefault="007D17C5" w:rsidP="007D17C5">
      <w:pPr>
        <w:pStyle w:val="subsection"/>
      </w:pPr>
      <w:r w:rsidRPr="00143624">
        <w:tab/>
        <w:t>(4)</w:t>
      </w:r>
      <w:r w:rsidRPr="00143624">
        <w:tab/>
        <w:t>The second statement is as follows:</w:t>
      </w:r>
    </w:p>
    <w:p w:rsidR="007D17C5" w:rsidRPr="00143624" w:rsidRDefault="007D17C5" w:rsidP="007D17C5">
      <w:pPr>
        <w:pStyle w:val="subsection"/>
      </w:pPr>
      <w:r w:rsidRPr="00143624">
        <w:tab/>
      </w:r>
      <w:r w:rsidRPr="00143624">
        <w:tab/>
        <w:t>The account holder may be entitled to payment under the Financial Claims Scheme. Payments under the Financial Claims Scheme are subject to a limit for each depositor in respect of total deposits held by that depositor at a locally incorporated authorised deposit</w:t>
      </w:r>
      <w:r w:rsidR="00143624">
        <w:noBreakHyphen/>
      </w:r>
      <w:r w:rsidRPr="00143624">
        <w:t>taking institution. For further information contact the Australian Prudential Regulation Au</w:t>
      </w:r>
      <w:r w:rsidR="006B6F15" w:rsidRPr="00143624">
        <w:t>thority or visit https://www.apra</w:t>
      </w:r>
      <w:r w:rsidRPr="00143624">
        <w:t>.gov.au.</w:t>
      </w:r>
    </w:p>
    <w:p w:rsidR="007D17C5" w:rsidRPr="00143624" w:rsidRDefault="007D17C5" w:rsidP="007D17C5">
      <w:pPr>
        <w:pStyle w:val="ActHead2"/>
        <w:pageBreakBefore/>
      </w:pPr>
      <w:bookmarkStart w:id="279" w:name="_Toc64030531"/>
      <w:r w:rsidRPr="003F3E0B">
        <w:rPr>
          <w:rStyle w:val="CharPartNo"/>
        </w:rPr>
        <w:lastRenderedPageBreak/>
        <w:t>Part</w:t>
      </w:r>
      <w:r w:rsidR="002B1A95" w:rsidRPr="003F3E0B">
        <w:rPr>
          <w:rStyle w:val="CharPartNo"/>
        </w:rPr>
        <w:t> </w:t>
      </w:r>
      <w:r w:rsidRPr="003F3E0B">
        <w:rPr>
          <w:rStyle w:val="CharPartNo"/>
        </w:rPr>
        <w:t>2</w:t>
      </w:r>
      <w:r w:rsidRPr="00143624">
        <w:t>—</w:t>
      </w:r>
      <w:r w:rsidRPr="003F3E0B">
        <w:rPr>
          <w:rStyle w:val="CharPartText"/>
        </w:rPr>
        <w:t>Required statements</w:t>
      </w:r>
      <w:bookmarkEnd w:id="279"/>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80" w:name="_Toc64030532"/>
      <w:r w:rsidRPr="003F3E0B">
        <w:rPr>
          <w:rStyle w:val="CharSectno"/>
        </w:rPr>
        <w:t>2</w:t>
      </w:r>
      <w:r w:rsidRPr="00143624">
        <w:t xml:space="preserve">  Statements for the purposes of paragraph 393</w:t>
      </w:r>
      <w:r w:rsidR="00143624">
        <w:noBreakHyphen/>
      </w:r>
      <w:r w:rsidRPr="00143624">
        <w:t>20.02(b)</w:t>
      </w:r>
      <w:bookmarkEnd w:id="280"/>
    </w:p>
    <w:p w:rsidR="007D17C5" w:rsidRPr="00143624" w:rsidRDefault="007D17C5" w:rsidP="007D17C5">
      <w:pPr>
        <w:pStyle w:val="subsection"/>
      </w:pPr>
      <w:r w:rsidRPr="00143624">
        <w:tab/>
        <w:t>(1)</w:t>
      </w:r>
      <w:r w:rsidRPr="00143624">
        <w:tab/>
        <w:t>This clause sets out statements for the purposes of paragraph 393</w:t>
      </w:r>
      <w:r w:rsidR="00143624">
        <w:noBreakHyphen/>
      </w:r>
      <w:r w:rsidRPr="00143624">
        <w:t>20.02(b).</w:t>
      </w:r>
    </w:p>
    <w:p w:rsidR="007D17C5" w:rsidRPr="00143624" w:rsidRDefault="007D17C5" w:rsidP="007D17C5">
      <w:pPr>
        <w:pStyle w:val="subsection"/>
      </w:pPr>
      <w:r w:rsidRPr="00143624">
        <w:tab/>
        <w:t>(2)</w:t>
      </w:r>
      <w:r w:rsidRPr="00143624">
        <w:tab/>
        <w:t>The statements are as follows:</w:t>
      </w:r>
    </w:p>
    <w:p w:rsidR="007D17C5" w:rsidRPr="00143624" w:rsidRDefault="007D17C5" w:rsidP="007D17C5">
      <w:pPr>
        <w:pStyle w:val="SubsectionHead"/>
      </w:pPr>
      <w:r w:rsidRPr="00143624">
        <w:t>Purpose of farm management deposits scheme</w:t>
      </w:r>
    </w:p>
    <w:p w:rsidR="007D17C5" w:rsidRPr="00143624" w:rsidRDefault="007D17C5" w:rsidP="007D17C5">
      <w:pPr>
        <w:pStyle w:val="subsection"/>
      </w:pPr>
      <w:r w:rsidRPr="00143624">
        <w:tab/>
      </w:r>
      <w:r w:rsidRPr="00143624">
        <w:tab/>
        <w:t>The farm management deposits scheme is designed to allow individuals carrying on a primary production business in Australia to shift before</w:t>
      </w:r>
      <w:r w:rsidR="00143624">
        <w:noBreakHyphen/>
      </w:r>
      <w:r w:rsidRPr="00143624">
        <w:t>tax income from years when they need it least to years when it is most needed. The scheme helps those individuals to manage their exposure to adverse economic events and seasonal fluctuations.</w:t>
      </w:r>
    </w:p>
    <w:p w:rsidR="007D17C5" w:rsidRPr="00143624" w:rsidRDefault="007D17C5" w:rsidP="007D17C5">
      <w:pPr>
        <w:pStyle w:val="subsection"/>
      </w:pPr>
      <w:r w:rsidRPr="00143624">
        <w:tab/>
      </w:r>
      <w:r w:rsidRPr="00143624">
        <w:tab/>
        <w:t>Eligibility criteria apply to individuals carrying on a primary production business in Australia under the scheme.</w:t>
      </w:r>
    </w:p>
    <w:p w:rsidR="007D17C5" w:rsidRPr="00143624" w:rsidRDefault="007D17C5" w:rsidP="007D17C5">
      <w:pPr>
        <w:pStyle w:val="notetext"/>
      </w:pPr>
      <w:r w:rsidRPr="00143624">
        <w:t>Note:</w:t>
      </w:r>
      <w:r w:rsidRPr="00143624">
        <w:tab/>
      </w:r>
      <w:r w:rsidRPr="00143624">
        <w:rPr>
          <w:b/>
          <w:i/>
        </w:rPr>
        <w:t>Primary production business</w:t>
      </w:r>
      <w:r w:rsidRPr="00143624">
        <w:t xml:space="preserve"> and carrying on a primary production business are explained in sub</w:t>
      </w:r>
      <w:r w:rsidR="00F5399E" w:rsidRPr="00143624">
        <w:t>section 9</w:t>
      </w:r>
      <w:r w:rsidRPr="00143624">
        <w:t>95</w:t>
      </w:r>
      <w:r w:rsidR="00143624">
        <w:noBreakHyphen/>
      </w:r>
      <w:r w:rsidRPr="00143624">
        <w:t xml:space="preserve">1(1) of the </w:t>
      </w:r>
      <w:r w:rsidRPr="00143624">
        <w:rPr>
          <w:i/>
        </w:rPr>
        <w:t>Income Tax Assessment Act 1997</w:t>
      </w:r>
      <w:r w:rsidRPr="00143624">
        <w:t>.</w:t>
      </w:r>
    </w:p>
    <w:p w:rsidR="007D17C5" w:rsidRPr="00143624" w:rsidRDefault="007D17C5" w:rsidP="007D17C5">
      <w:pPr>
        <w:pStyle w:val="SubsectionHead"/>
      </w:pPr>
      <w:r w:rsidRPr="00143624">
        <w:t>Tax consequences of farm management deposits</w:t>
      </w:r>
    </w:p>
    <w:p w:rsidR="007D17C5" w:rsidRPr="00143624" w:rsidRDefault="007D17C5" w:rsidP="007D17C5">
      <w:pPr>
        <w:pStyle w:val="subsection"/>
      </w:pPr>
      <w:r w:rsidRPr="00143624">
        <w:tab/>
      </w:r>
      <w:r w:rsidRPr="00143624">
        <w:tab/>
        <w:t>The scheme allows individuals carrying on a primary production business in Australia to deduct the amount of any farm management deposit they own from their assessable income for the income year in which the deposit is made. However, the amount of the deductions cannot exceed the owner’s taxable primary production income for the income year.</w:t>
      </w:r>
    </w:p>
    <w:p w:rsidR="007D17C5" w:rsidRPr="00143624" w:rsidRDefault="007D17C5" w:rsidP="007D17C5">
      <w:pPr>
        <w:pStyle w:val="subsection"/>
      </w:pPr>
      <w:r w:rsidRPr="00143624">
        <w:tab/>
      </w:r>
      <w:r w:rsidRPr="00143624">
        <w:tab/>
        <w:t>Under the Pay As You Go system, owners may reduce their instalment income for an instalment period by the amount of farm management deposits made during that period. The reduction is limited to the amount that the owners can reasonably expect to deduct for the deposit for the income year in which the deposit is made. However, the instalment income for the period cannot be reduced below nil.</w:t>
      </w:r>
    </w:p>
    <w:p w:rsidR="007D17C5" w:rsidRPr="00143624" w:rsidRDefault="007D17C5" w:rsidP="007D17C5">
      <w:pPr>
        <w:pStyle w:val="subsection"/>
      </w:pPr>
      <w:r w:rsidRPr="00143624">
        <w:tab/>
      </w:r>
      <w:r w:rsidRPr="00143624">
        <w:tab/>
        <w:t>When a farm management deposit is repaid to an owner in an instalment period, the instalment income of the period will include the amount of the repayment. But the owner’s instalment income will only include so much of the repayment as will be included in the owner’s assessable income for the income year in which the repayment is made.</w:t>
      </w:r>
    </w:p>
    <w:p w:rsidR="007D17C5" w:rsidRPr="00143624" w:rsidRDefault="007D17C5" w:rsidP="007D17C5">
      <w:pPr>
        <w:pStyle w:val="subsection"/>
      </w:pPr>
      <w:r w:rsidRPr="00143624">
        <w:tab/>
      </w:r>
      <w:r w:rsidRPr="00143624">
        <w:tab/>
        <w:t>If neither the owner’s tax file number nor Australian Business Number has been quoted to the FMD provider that holds the deposit, the amount repaid will also be subject to withholding at a rate equal to the sum of the top marginal tax rate and the Medicare levy.</w:t>
      </w:r>
    </w:p>
    <w:p w:rsidR="007D17C5" w:rsidRPr="00143624" w:rsidRDefault="007D17C5" w:rsidP="007D17C5">
      <w:pPr>
        <w:pStyle w:val="SubsectionHead"/>
      </w:pPr>
      <w:r w:rsidRPr="00143624">
        <w:t>Important requirements for farm management deposits</w:t>
      </w:r>
    </w:p>
    <w:p w:rsidR="007D17C5" w:rsidRPr="00143624" w:rsidRDefault="007D17C5" w:rsidP="007D17C5">
      <w:pPr>
        <w:pStyle w:val="subsection"/>
      </w:pPr>
      <w:r w:rsidRPr="00143624">
        <w:tab/>
      </w:r>
      <w:r w:rsidRPr="00143624">
        <w:tab/>
        <w:t xml:space="preserve">Some of the requirements for farm management deposits are summarised below. There are also other requirements set out in the </w:t>
      </w:r>
      <w:r w:rsidRPr="00143624">
        <w:rPr>
          <w:i/>
        </w:rPr>
        <w:t xml:space="preserve">Income Tax Assessment Act </w:t>
      </w:r>
      <w:r w:rsidRPr="00143624">
        <w:rPr>
          <w:i/>
        </w:rPr>
        <w:lastRenderedPageBreak/>
        <w:t>1997</w:t>
      </w:r>
      <w:r w:rsidRPr="00143624">
        <w:t>. A breach of some of the requirements will result in the deposit not being treated as a farm management deposit, and the tax benefits will be lost.</w:t>
      </w:r>
    </w:p>
    <w:p w:rsidR="007D17C5" w:rsidRPr="00143624" w:rsidRDefault="007D17C5" w:rsidP="007D17C5">
      <w:pPr>
        <w:pStyle w:val="paragraph"/>
      </w:pPr>
      <w:r w:rsidRPr="00143624">
        <w:tab/>
        <w:t>•</w:t>
      </w:r>
      <w:r w:rsidRPr="00143624">
        <w:tab/>
        <w:t>The owner must be an individual who is carrying on a primary production business in Australia when the deposit is made.</w:t>
      </w:r>
    </w:p>
    <w:p w:rsidR="007D17C5" w:rsidRPr="00143624" w:rsidRDefault="007D17C5" w:rsidP="007D17C5">
      <w:pPr>
        <w:pStyle w:val="paragraph"/>
      </w:pPr>
      <w:r w:rsidRPr="00143624">
        <w:tab/>
        <w:t>•</w:t>
      </w:r>
      <w:r w:rsidRPr="00143624">
        <w:tab/>
        <w:t>The deposit must be made by only one individual and on behalf of only one individual.</w:t>
      </w:r>
    </w:p>
    <w:p w:rsidR="007D17C5" w:rsidRPr="00143624" w:rsidRDefault="007D17C5" w:rsidP="007D17C5">
      <w:pPr>
        <w:pStyle w:val="paragraph"/>
      </w:pPr>
      <w:r w:rsidRPr="00143624">
        <w:tab/>
        <w:t>•</w:t>
      </w:r>
      <w:r w:rsidRPr="00143624">
        <w:tab/>
        <w:t>Rights of the depositor must not be transferable to another entity.</w:t>
      </w:r>
    </w:p>
    <w:p w:rsidR="007D17C5" w:rsidRPr="00143624" w:rsidRDefault="007D17C5" w:rsidP="007D17C5">
      <w:pPr>
        <w:pStyle w:val="paragraph"/>
      </w:pPr>
      <w:r w:rsidRPr="00143624">
        <w:tab/>
        <w:t>•</w:t>
      </w:r>
      <w:r w:rsidRPr="00143624">
        <w:tab/>
        <w:t>The deposit must not be used as security for any amount that the depositor or any other entity owes to the FMD provider or any other entity.</w:t>
      </w:r>
    </w:p>
    <w:p w:rsidR="007D17C5" w:rsidRPr="00143624" w:rsidRDefault="007D17C5" w:rsidP="007D17C5">
      <w:pPr>
        <w:pStyle w:val="paragraph"/>
      </w:pPr>
      <w:r w:rsidRPr="00143624">
        <w:tab/>
        <w:t>•</w:t>
      </w:r>
      <w:r w:rsidRPr="00143624">
        <w:tab/>
        <w:t>Interest or other earnings on the deposit must not be invested as a farm management deposit with the FMD provider without having first been paid to the depositor.</w:t>
      </w:r>
    </w:p>
    <w:p w:rsidR="007D17C5" w:rsidRPr="00143624" w:rsidRDefault="007D17C5" w:rsidP="007D17C5">
      <w:pPr>
        <w:pStyle w:val="paragraph"/>
      </w:pPr>
      <w:r w:rsidRPr="00143624">
        <w:tab/>
        <w:t>•</w:t>
      </w:r>
      <w:r w:rsidRPr="00143624">
        <w:tab/>
        <w:t>If the depositor requests in writing, the FMD provider must electronically transfer the deposit, or part of the deposit, to another FMD provider that agrees to accept it as a farm management deposit.</w:t>
      </w:r>
    </w:p>
    <w:p w:rsidR="007D17C5" w:rsidRPr="00143624" w:rsidRDefault="007D17C5" w:rsidP="007D17C5">
      <w:pPr>
        <w:pStyle w:val="paragraph"/>
      </w:pPr>
      <w:r w:rsidRPr="00143624">
        <w:tab/>
        <w:t>•</w:t>
      </w:r>
      <w:r w:rsidRPr="00143624">
        <w:tab/>
        <w:t>The FMD provider must not deduct any fees from the principal of a farm management deposit. However, it may charge fees on the deposit.</w:t>
      </w:r>
    </w:p>
    <w:p w:rsidR="007D17C5" w:rsidRPr="00143624" w:rsidRDefault="007D17C5" w:rsidP="007D17C5">
      <w:pPr>
        <w:pStyle w:val="SubsectionHead"/>
      </w:pPr>
      <w:r w:rsidRPr="00143624">
        <w:t>Repayment of farm management deposits</w:t>
      </w:r>
    </w:p>
    <w:p w:rsidR="007D17C5" w:rsidRPr="00143624" w:rsidRDefault="007D17C5" w:rsidP="007D17C5">
      <w:pPr>
        <w:pStyle w:val="subsection"/>
      </w:pPr>
      <w:r w:rsidRPr="00143624">
        <w:tab/>
      </w:r>
      <w:r w:rsidRPr="00143624">
        <w:tab/>
        <w:t>The tax benefits are not retained for deposit amounts repaid within the first 12 months after the deposit was made, unless the repayment is made:</w:t>
      </w:r>
    </w:p>
    <w:p w:rsidR="007D17C5" w:rsidRPr="00143624" w:rsidRDefault="007D17C5" w:rsidP="007D17C5">
      <w:pPr>
        <w:pStyle w:val="paragraph"/>
      </w:pPr>
      <w:r w:rsidRPr="00143624">
        <w:tab/>
        <w:t>(a)</w:t>
      </w:r>
      <w:r w:rsidRPr="00143624">
        <w:tab/>
        <w:t>because the owner:</w:t>
      </w:r>
    </w:p>
    <w:p w:rsidR="007D17C5" w:rsidRPr="00143624" w:rsidRDefault="007D17C5" w:rsidP="007D17C5">
      <w:pPr>
        <w:pStyle w:val="paragraphsub"/>
      </w:pPr>
      <w:r w:rsidRPr="00143624">
        <w:tab/>
        <w:t>(i)</w:t>
      </w:r>
      <w:r w:rsidRPr="00143624">
        <w:tab/>
        <w:t>dies; or</w:t>
      </w:r>
    </w:p>
    <w:p w:rsidR="007D17C5" w:rsidRPr="00143624" w:rsidRDefault="007D17C5" w:rsidP="007D17C5">
      <w:pPr>
        <w:pStyle w:val="paragraphsub"/>
      </w:pPr>
      <w:r w:rsidRPr="00143624">
        <w:tab/>
        <w:t>(ii)</w:t>
      </w:r>
      <w:r w:rsidRPr="00143624">
        <w:tab/>
        <w:t>becomes bankrupt; or</w:t>
      </w:r>
    </w:p>
    <w:p w:rsidR="007D17C5" w:rsidRPr="00143624" w:rsidRDefault="007D17C5" w:rsidP="007D17C5">
      <w:pPr>
        <w:pStyle w:val="paragraphsub"/>
      </w:pPr>
      <w:r w:rsidRPr="00143624">
        <w:tab/>
        <w:t>(iii)</w:t>
      </w:r>
      <w:r w:rsidRPr="00143624">
        <w:tab/>
        <w:t>ceases to carry on a primary production business in Australia and does not start carrying on such a business again within 120 days; or</w:t>
      </w:r>
    </w:p>
    <w:p w:rsidR="007D17C5" w:rsidRPr="00143624" w:rsidRDefault="007D17C5" w:rsidP="007D17C5">
      <w:pPr>
        <w:pStyle w:val="paragraphsub"/>
      </w:pPr>
      <w:r w:rsidRPr="00143624">
        <w:tab/>
        <w:t>(iv)</w:t>
      </w:r>
      <w:r w:rsidRPr="00143624">
        <w:tab/>
        <w:t>has requested the deposit, or part of the deposit, to be transferred to another FMD provider and the repayment relates to the transfer; or</w:t>
      </w:r>
    </w:p>
    <w:p w:rsidR="007D17C5" w:rsidRPr="00143624" w:rsidRDefault="007D17C5" w:rsidP="007D17C5">
      <w:pPr>
        <w:pStyle w:val="paragraph"/>
      </w:pPr>
      <w:r w:rsidRPr="00143624">
        <w:tab/>
        <w:t>(b)</w:t>
      </w:r>
      <w:r w:rsidRPr="00143624">
        <w:tab/>
        <w:t>because the circumstances specified in subsection</w:t>
      </w:r>
      <w:r w:rsidR="002B1A95" w:rsidRPr="00143624">
        <w:t> </w:t>
      </w:r>
      <w:r w:rsidRPr="00143624">
        <w:t>393</w:t>
      </w:r>
      <w:r w:rsidR="00143624">
        <w:noBreakHyphen/>
      </w:r>
      <w:r w:rsidRPr="00143624">
        <w:t xml:space="preserve">40(3) of the </w:t>
      </w:r>
      <w:r w:rsidRPr="00143624">
        <w:rPr>
          <w:i/>
        </w:rPr>
        <w:t>Income Tax Assessment Act 1997</w:t>
      </w:r>
      <w:r w:rsidRPr="00143624">
        <w:t xml:space="preserve"> or in regulations made for the purposes of that subsection, relating to repayment in the event of severe drought, exist; or</w:t>
      </w:r>
    </w:p>
    <w:p w:rsidR="007D17C5" w:rsidRPr="00143624" w:rsidRDefault="007D17C5" w:rsidP="007D17C5">
      <w:pPr>
        <w:pStyle w:val="paragraph"/>
      </w:pPr>
      <w:r w:rsidRPr="00143624">
        <w:tab/>
        <w:t>(c)</w:t>
      </w:r>
      <w:r w:rsidRPr="00143624">
        <w:tab/>
        <w:t>because the circumstances specified in subsection</w:t>
      </w:r>
      <w:r w:rsidR="002B1A95" w:rsidRPr="00143624">
        <w:t> </w:t>
      </w:r>
      <w:r w:rsidRPr="00143624">
        <w:t>393</w:t>
      </w:r>
      <w:r w:rsidR="00143624">
        <w:noBreakHyphen/>
      </w:r>
      <w:r w:rsidRPr="00143624">
        <w:t xml:space="preserve">40(3A) of the </w:t>
      </w:r>
      <w:r w:rsidRPr="00143624">
        <w:rPr>
          <w:i/>
        </w:rPr>
        <w:t>Income Tax Assessment Act 1997</w:t>
      </w:r>
      <w:r w:rsidRPr="00143624">
        <w:t xml:space="preserve"> or in regulations made for the purposes of that subsection, relating to repayment in the event of a natural disaster, exist.</w:t>
      </w:r>
    </w:p>
    <w:p w:rsidR="007D17C5" w:rsidRPr="00143624" w:rsidRDefault="007D17C5" w:rsidP="00175832">
      <w:pPr>
        <w:pStyle w:val="ActHead2"/>
        <w:pageBreakBefore/>
      </w:pPr>
      <w:bookmarkStart w:id="281" w:name="_Toc64030533"/>
      <w:r w:rsidRPr="003F3E0B">
        <w:rPr>
          <w:rStyle w:val="CharPartNo"/>
        </w:rPr>
        <w:lastRenderedPageBreak/>
        <w:t>Part</w:t>
      </w:r>
      <w:r w:rsidR="002B1A95" w:rsidRPr="003F3E0B">
        <w:rPr>
          <w:rStyle w:val="CharPartNo"/>
        </w:rPr>
        <w:t> </w:t>
      </w:r>
      <w:r w:rsidRPr="003F3E0B">
        <w:rPr>
          <w:rStyle w:val="CharPartNo"/>
        </w:rPr>
        <w:t>3</w:t>
      </w:r>
      <w:r w:rsidRPr="00143624">
        <w:t>—</w:t>
      </w:r>
      <w:r w:rsidRPr="003F3E0B">
        <w:rPr>
          <w:rStyle w:val="CharPartText"/>
        </w:rPr>
        <w:t>Additional information</w:t>
      </w:r>
      <w:bookmarkEnd w:id="281"/>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82" w:name="_Toc64030534"/>
      <w:r w:rsidRPr="003F3E0B">
        <w:rPr>
          <w:rStyle w:val="CharSectno"/>
        </w:rPr>
        <w:t>3</w:t>
      </w:r>
      <w:r w:rsidRPr="00143624">
        <w:t xml:space="preserve">  Additional information for the purposes of paragraph 393</w:t>
      </w:r>
      <w:r w:rsidR="00143624">
        <w:noBreakHyphen/>
      </w:r>
      <w:r w:rsidRPr="00143624">
        <w:t>20.02(c)</w:t>
      </w:r>
      <w:bookmarkEnd w:id="282"/>
    </w:p>
    <w:p w:rsidR="007D17C5" w:rsidRPr="00143624" w:rsidRDefault="007D17C5" w:rsidP="007D17C5">
      <w:pPr>
        <w:pStyle w:val="subsection"/>
      </w:pPr>
      <w:r w:rsidRPr="00143624">
        <w:tab/>
        <w:t>(1)</w:t>
      </w:r>
      <w:r w:rsidRPr="00143624">
        <w:tab/>
        <w:t>For the purposes of paragraph 393</w:t>
      </w:r>
      <w:r w:rsidR="00143624">
        <w:noBreakHyphen/>
      </w:r>
      <w:r w:rsidRPr="00143624">
        <w:t xml:space="preserve">20.02(c), a form used to apply to an FMD provider to make a farm management deposit must include statements setting out the additional information referred to in </w:t>
      </w:r>
      <w:r w:rsidR="002B1A95" w:rsidRPr="00143624">
        <w:t>subclauses (</w:t>
      </w:r>
      <w:r w:rsidRPr="00143624">
        <w:t>2) to (8).</w:t>
      </w:r>
    </w:p>
    <w:p w:rsidR="007D17C5" w:rsidRPr="00143624" w:rsidRDefault="007D17C5" w:rsidP="007D17C5">
      <w:pPr>
        <w:pStyle w:val="subsection"/>
      </w:pPr>
      <w:r w:rsidRPr="00143624">
        <w:tab/>
        <w:t>(2)</w:t>
      </w:r>
      <w:r w:rsidRPr="00143624">
        <w:tab/>
        <w:t>The amount that is the minimum deposit threshold (the amount stated in item</w:t>
      </w:r>
      <w:r w:rsidR="002B1A95" w:rsidRPr="00143624">
        <w:t> </w:t>
      </w:r>
      <w:r w:rsidRPr="00143624">
        <w:t>4 of the table in section</w:t>
      </w:r>
      <w:r w:rsidR="002B1A95" w:rsidRPr="00143624">
        <w:t> </w:t>
      </w:r>
      <w:r w:rsidRPr="00143624">
        <w:t>393</w:t>
      </w:r>
      <w:r w:rsidR="00143624">
        <w:noBreakHyphen/>
      </w:r>
      <w:r w:rsidRPr="00143624">
        <w:t>35 of the Act).</w:t>
      </w:r>
    </w:p>
    <w:p w:rsidR="007D17C5" w:rsidRPr="00143624" w:rsidRDefault="007D17C5" w:rsidP="007D17C5">
      <w:pPr>
        <w:pStyle w:val="subsection"/>
      </w:pPr>
      <w:r w:rsidRPr="00143624">
        <w:tab/>
        <w:t>(3)</w:t>
      </w:r>
      <w:r w:rsidRPr="00143624">
        <w:tab/>
        <w:t>The amount that is the maximum deposit limit (the amount stated in item</w:t>
      </w:r>
      <w:r w:rsidR="002B1A95" w:rsidRPr="00143624">
        <w:t> </w:t>
      </w:r>
      <w:r w:rsidRPr="00143624">
        <w:t>10 of the table in section</w:t>
      </w:r>
      <w:r w:rsidR="002B1A95" w:rsidRPr="00143624">
        <w:t> </w:t>
      </w:r>
      <w:r w:rsidRPr="00143624">
        <w:t>393</w:t>
      </w:r>
      <w:r w:rsidR="00143624">
        <w:noBreakHyphen/>
      </w:r>
      <w:r w:rsidRPr="00143624">
        <w:t>35 of the Act).</w:t>
      </w:r>
    </w:p>
    <w:p w:rsidR="007D17C5" w:rsidRPr="00143624" w:rsidRDefault="007D17C5" w:rsidP="007D17C5">
      <w:pPr>
        <w:pStyle w:val="subsection"/>
      </w:pPr>
      <w:r w:rsidRPr="00143624">
        <w:tab/>
        <w:t>(4)</w:t>
      </w:r>
      <w:r w:rsidRPr="00143624">
        <w:tab/>
        <w:t>An individual can own more than one farm management deposit, and can own farm management deposits with different FMD providers, but the sum of the balances of all of the farm management deposits of an owner claimed as a deduction must not be more than the maximum deposit limit.</w:t>
      </w:r>
    </w:p>
    <w:p w:rsidR="007D17C5" w:rsidRPr="00143624" w:rsidRDefault="007D17C5" w:rsidP="007D17C5">
      <w:pPr>
        <w:pStyle w:val="subsection"/>
      </w:pPr>
      <w:r w:rsidRPr="00143624">
        <w:tab/>
        <w:t>(5)</w:t>
      </w:r>
      <w:r w:rsidRPr="00143624">
        <w:tab/>
        <w:t>The amount of any repayment of the deposit must be at least the amount stated in item</w:t>
      </w:r>
      <w:r w:rsidR="002B1A95" w:rsidRPr="00143624">
        <w:t> </w:t>
      </w:r>
      <w:r w:rsidRPr="00143624">
        <w:t>12 of the table in section</w:t>
      </w:r>
      <w:r w:rsidR="002B1A95" w:rsidRPr="00143624">
        <w:t> </w:t>
      </w:r>
      <w:r w:rsidRPr="00143624">
        <w:t>393</w:t>
      </w:r>
      <w:r w:rsidR="00143624">
        <w:noBreakHyphen/>
      </w:r>
      <w:r w:rsidRPr="00143624">
        <w:t>35 of the Act, except where the entire amount of the deposit is repaid.</w:t>
      </w:r>
    </w:p>
    <w:p w:rsidR="007D17C5" w:rsidRPr="00143624" w:rsidRDefault="007D17C5" w:rsidP="007D17C5">
      <w:pPr>
        <w:pStyle w:val="subsection"/>
      </w:pPr>
      <w:r w:rsidRPr="00143624">
        <w:tab/>
        <w:t>(6)</w:t>
      </w:r>
      <w:r w:rsidRPr="00143624">
        <w:tab/>
        <w:t>The deposit will not be deductible if taxable non</w:t>
      </w:r>
      <w:r w:rsidR="00143624">
        <w:noBreakHyphen/>
      </w:r>
      <w:r w:rsidRPr="00143624">
        <w:t>primary production income for the year of income exceeds the amount stated in paragraph</w:t>
      </w:r>
      <w:r w:rsidR="002B1A95" w:rsidRPr="00143624">
        <w:t> </w:t>
      </w:r>
      <w:r w:rsidRPr="00143624">
        <w:t>393</w:t>
      </w:r>
      <w:r w:rsidR="00143624">
        <w:noBreakHyphen/>
      </w:r>
      <w:r w:rsidRPr="00143624">
        <w:t>5(1)(d) of the Act.</w:t>
      </w:r>
    </w:p>
    <w:p w:rsidR="007D17C5" w:rsidRPr="00143624" w:rsidRDefault="007D17C5" w:rsidP="007D17C5">
      <w:pPr>
        <w:pStyle w:val="subsection"/>
      </w:pPr>
      <w:r w:rsidRPr="00143624">
        <w:tab/>
        <w:t>(7)</w:t>
      </w:r>
      <w:r w:rsidRPr="00143624">
        <w:tab/>
        <w:t>If neither the owner’s tax file number nor Australian Business Number has been quoted to the FMD provider, any repayment will be subject to the withholding rate, which is the sum of:</w:t>
      </w:r>
    </w:p>
    <w:p w:rsidR="007D17C5" w:rsidRPr="00143624" w:rsidRDefault="007D17C5" w:rsidP="007D17C5">
      <w:pPr>
        <w:pStyle w:val="paragraph"/>
      </w:pPr>
      <w:r w:rsidRPr="00143624">
        <w:tab/>
        <w:t>(a)</w:t>
      </w:r>
      <w:r w:rsidRPr="00143624">
        <w:tab/>
        <w:t>the top marginal tax rate for the income year in the year of deposit; and</w:t>
      </w:r>
    </w:p>
    <w:p w:rsidR="007D17C5" w:rsidRPr="00143624" w:rsidRDefault="007D17C5" w:rsidP="007D17C5">
      <w:pPr>
        <w:pStyle w:val="paragraph"/>
      </w:pPr>
      <w:r w:rsidRPr="00143624">
        <w:tab/>
        <w:t>(b)</w:t>
      </w:r>
      <w:r w:rsidRPr="00143624">
        <w:tab/>
        <w:t>the Medicare levy.</w:t>
      </w:r>
    </w:p>
    <w:p w:rsidR="007D17C5" w:rsidRPr="00143624" w:rsidRDefault="007D17C5" w:rsidP="007D17C5">
      <w:pPr>
        <w:pStyle w:val="notetext"/>
      </w:pPr>
      <w:r w:rsidRPr="00143624">
        <w:t>Note 1:</w:t>
      </w:r>
      <w:r w:rsidRPr="00143624">
        <w:tab/>
        <w:t>The top marginal tax rate is the maximum rate specified in the table in Part</w:t>
      </w:r>
      <w:r w:rsidR="002B1A95" w:rsidRPr="00143624">
        <w:t> </w:t>
      </w:r>
      <w:r w:rsidRPr="00143624">
        <w:t>I of Schedule</w:t>
      </w:r>
      <w:r w:rsidR="002B1A95" w:rsidRPr="00143624">
        <w:t> </w:t>
      </w:r>
      <w:r w:rsidRPr="00143624">
        <w:t xml:space="preserve">7 to the </w:t>
      </w:r>
      <w:r w:rsidRPr="00143624">
        <w:rPr>
          <w:i/>
        </w:rPr>
        <w:t>Income Tax Rates Act 1986</w:t>
      </w:r>
      <w:r w:rsidRPr="00143624">
        <w:t xml:space="preserve"> that relates to the income year.</w:t>
      </w:r>
    </w:p>
    <w:p w:rsidR="007D17C5" w:rsidRPr="00143624" w:rsidRDefault="007D17C5" w:rsidP="007D17C5">
      <w:pPr>
        <w:pStyle w:val="notetext"/>
      </w:pPr>
      <w:r w:rsidRPr="00143624">
        <w:t>Note 2:</w:t>
      </w:r>
      <w:r w:rsidRPr="00143624">
        <w:tab/>
        <w:t>The Medicare levy is specified in subsection</w:t>
      </w:r>
      <w:r w:rsidR="002B1A95" w:rsidRPr="00143624">
        <w:t> </w:t>
      </w:r>
      <w:r w:rsidRPr="00143624">
        <w:t xml:space="preserve">6(1) of the </w:t>
      </w:r>
      <w:r w:rsidRPr="00143624">
        <w:rPr>
          <w:i/>
        </w:rPr>
        <w:t>Medicare Levy Act 1986</w:t>
      </w:r>
      <w:r w:rsidRPr="00143624">
        <w:t>.</w:t>
      </w:r>
    </w:p>
    <w:p w:rsidR="007D17C5" w:rsidRPr="00143624" w:rsidRDefault="007D17C5" w:rsidP="007D17C5">
      <w:pPr>
        <w:pStyle w:val="subsection"/>
      </w:pPr>
      <w:r w:rsidRPr="00143624">
        <w:tab/>
        <w:t>(8)</w:t>
      </w:r>
      <w:r w:rsidRPr="00143624">
        <w:tab/>
        <w:t>If the deposit is used to offset a liability to pay interest on debts to the FMD provider that do not wholly relate to a primary production business that the owner (or a partnership of which the owner is a partner) carries on, the owner is liable to an administrative penalty of up to 200% of that offset.</w:t>
      </w:r>
    </w:p>
    <w:p w:rsidR="007D17C5" w:rsidRPr="00143624" w:rsidRDefault="007D17C5" w:rsidP="007D17C5">
      <w:pPr>
        <w:pStyle w:val="ActHead1"/>
        <w:pageBreakBefore/>
      </w:pPr>
      <w:bookmarkStart w:id="283" w:name="_Toc64030535"/>
      <w:r w:rsidRPr="003F3E0B">
        <w:rPr>
          <w:rStyle w:val="CharChapNo"/>
        </w:rPr>
        <w:lastRenderedPageBreak/>
        <w:t>Schedule</w:t>
      </w:r>
      <w:r w:rsidR="002B1A95" w:rsidRPr="003F3E0B">
        <w:rPr>
          <w:rStyle w:val="CharChapNo"/>
        </w:rPr>
        <w:t> </w:t>
      </w:r>
      <w:r w:rsidRPr="003F3E0B">
        <w:rPr>
          <w:rStyle w:val="CharChapNo"/>
        </w:rPr>
        <w:t>2</w:t>
      </w:r>
      <w:r w:rsidRPr="00143624">
        <w:t>—</w:t>
      </w:r>
      <w:r w:rsidRPr="003F3E0B">
        <w:rPr>
          <w:rStyle w:val="CharChapText"/>
        </w:rPr>
        <w:t>Translation of currency amounts—rules and other requirements</w:t>
      </w:r>
      <w:bookmarkEnd w:id="283"/>
    </w:p>
    <w:p w:rsidR="007D17C5" w:rsidRPr="00143624" w:rsidRDefault="007D17C5" w:rsidP="007D17C5">
      <w:pPr>
        <w:pStyle w:val="notemargin"/>
        <w:rPr>
          <w:color w:val="000000"/>
        </w:rPr>
      </w:pPr>
      <w:r w:rsidRPr="00143624">
        <w:t>Note:</w:t>
      </w:r>
      <w:r w:rsidRPr="00143624">
        <w:rPr>
          <w:color w:val="000000"/>
        </w:rPr>
        <w:tab/>
        <w:t>See item</w:t>
      </w:r>
      <w:r w:rsidR="002B1A95" w:rsidRPr="00143624">
        <w:rPr>
          <w:color w:val="000000"/>
        </w:rPr>
        <w:t> </w:t>
      </w:r>
      <w:r w:rsidRPr="00143624">
        <w:rPr>
          <w:color w:val="000000"/>
        </w:rPr>
        <w:t>12 of the table in sub</w:t>
      </w:r>
      <w:r w:rsidR="00F5399E" w:rsidRPr="00143624">
        <w:rPr>
          <w:color w:val="000000"/>
        </w:rPr>
        <w:t>section 9</w:t>
      </w:r>
      <w:r w:rsidRPr="00143624">
        <w:rPr>
          <w:color w:val="000000"/>
        </w:rPr>
        <w:t>60</w:t>
      </w:r>
      <w:r w:rsidR="00143624">
        <w:rPr>
          <w:color w:val="000000"/>
        </w:rPr>
        <w:noBreakHyphen/>
      </w:r>
      <w:r w:rsidRPr="00143624">
        <w:rPr>
          <w:color w:val="000000"/>
        </w:rPr>
        <w:t>50(6) of the Act, as modified, and section 960</w:t>
      </w:r>
      <w:r w:rsidR="00143624">
        <w:rPr>
          <w:color w:val="000000"/>
        </w:rPr>
        <w:noBreakHyphen/>
      </w:r>
      <w:r w:rsidRPr="00143624">
        <w:rPr>
          <w:color w:val="000000"/>
        </w:rPr>
        <w:t>50.01 of this instrument.</w:t>
      </w:r>
    </w:p>
    <w:p w:rsidR="007D17C5" w:rsidRPr="00143624" w:rsidRDefault="007D17C5" w:rsidP="007D17C5">
      <w:pPr>
        <w:pStyle w:val="ActHead2"/>
      </w:pPr>
      <w:bookmarkStart w:id="284" w:name="_Toc64030536"/>
      <w:r w:rsidRPr="003F3E0B">
        <w:rPr>
          <w:rStyle w:val="CharPartNo"/>
        </w:rPr>
        <w:t>Part</w:t>
      </w:r>
      <w:r w:rsidR="002B1A95" w:rsidRPr="003F3E0B">
        <w:rPr>
          <w:rStyle w:val="CharPartNo"/>
        </w:rPr>
        <w:t> </w:t>
      </w:r>
      <w:r w:rsidRPr="003F3E0B">
        <w:rPr>
          <w:rStyle w:val="CharPartNo"/>
        </w:rPr>
        <w:t>1</w:t>
      </w:r>
      <w:r w:rsidRPr="00143624">
        <w:t>—</w:t>
      </w:r>
      <w:r w:rsidRPr="003F3E0B">
        <w:rPr>
          <w:rStyle w:val="CharPartText"/>
        </w:rPr>
        <w:t>Rules and requirements for item</w:t>
      </w:r>
      <w:r w:rsidR="002B1A95" w:rsidRPr="003F3E0B">
        <w:rPr>
          <w:rStyle w:val="CharPartText"/>
        </w:rPr>
        <w:t> </w:t>
      </w:r>
      <w:r w:rsidRPr="003F3E0B">
        <w:rPr>
          <w:rStyle w:val="CharPartText"/>
        </w:rPr>
        <w:t>12 of the table in sub</w:t>
      </w:r>
      <w:r w:rsidR="00F5399E" w:rsidRPr="003F3E0B">
        <w:rPr>
          <w:rStyle w:val="CharPartText"/>
        </w:rPr>
        <w:t>section 9</w:t>
      </w:r>
      <w:r w:rsidRPr="003F3E0B">
        <w:rPr>
          <w:rStyle w:val="CharPartText"/>
        </w:rPr>
        <w:t>60</w:t>
      </w:r>
      <w:r w:rsidR="00143624" w:rsidRPr="003F3E0B">
        <w:rPr>
          <w:rStyle w:val="CharPartText"/>
        </w:rPr>
        <w:noBreakHyphen/>
      </w:r>
      <w:r w:rsidRPr="003F3E0B">
        <w:rPr>
          <w:rStyle w:val="CharPartText"/>
        </w:rPr>
        <w:t>50(6) of the Act</w:t>
      </w:r>
      <w:bookmarkEnd w:id="284"/>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85" w:name="_Toc64030537"/>
      <w:r w:rsidRPr="003F3E0B">
        <w:rPr>
          <w:rStyle w:val="CharSectno"/>
        </w:rPr>
        <w:t>1</w:t>
      </w:r>
      <w:r w:rsidRPr="00143624">
        <w:t xml:space="preserve">  Exchange rate—consistency with accounting standards used by entity</w:t>
      </w:r>
      <w:bookmarkEnd w:id="285"/>
    </w:p>
    <w:p w:rsidR="007D17C5" w:rsidRPr="00143624" w:rsidRDefault="007D17C5" w:rsidP="007D17C5">
      <w:pPr>
        <w:pStyle w:val="subsection"/>
      </w:pPr>
      <w:r w:rsidRPr="00143624">
        <w:tab/>
      </w:r>
      <w:r w:rsidRPr="00143624">
        <w:tab/>
        <w:t>For the purposes of item</w:t>
      </w:r>
      <w:r w:rsidR="002B1A95" w:rsidRPr="00143624">
        <w:t> </w:t>
      </w:r>
      <w:r w:rsidRPr="00143624">
        <w:t>12 of the table in sub</w:t>
      </w:r>
      <w:r w:rsidR="00F5399E" w:rsidRPr="00143624">
        <w:t>section 9</w:t>
      </w:r>
      <w:r w:rsidRPr="00143624">
        <w:t>60</w:t>
      </w:r>
      <w:r w:rsidR="00143624">
        <w:noBreakHyphen/>
      </w:r>
      <w:r w:rsidRPr="00143624">
        <w:t xml:space="preserve">50(6) of the Act, as modified by </w:t>
      </w:r>
      <w:r w:rsidRPr="00143624">
        <w:rPr>
          <w:color w:val="000000"/>
        </w:rPr>
        <w:t>subsection 960</w:t>
      </w:r>
      <w:r w:rsidR="00143624">
        <w:rPr>
          <w:color w:val="000000"/>
        </w:rPr>
        <w:noBreakHyphen/>
      </w:r>
      <w:r w:rsidRPr="00143624">
        <w:rPr>
          <w:color w:val="000000"/>
        </w:rPr>
        <w:t>50.01(2) of this instrument</w:t>
      </w:r>
      <w:r w:rsidRPr="00143624">
        <w:t>, if:</w:t>
      </w:r>
    </w:p>
    <w:p w:rsidR="007D17C5" w:rsidRPr="00143624" w:rsidRDefault="007D17C5" w:rsidP="007D17C5">
      <w:pPr>
        <w:pStyle w:val="paragraph"/>
      </w:pPr>
      <w:r w:rsidRPr="00143624">
        <w:tab/>
        <w:t>(a)</w:t>
      </w:r>
      <w:r w:rsidRPr="00143624">
        <w:tab/>
        <w:t xml:space="preserve">a financial report (within the meaning of the </w:t>
      </w:r>
      <w:r w:rsidRPr="00143624">
        <w:rPr>
          <w:i/>
        </w:rPr>
        <w:t>Corporations Act 2001</w:t>
      </w:r>
      <w:r w:rsidRPr="00143624">
        <w:t>) prepared by an entity:</w:t>
      </w:r>
    </w:p>
    <w:p w:rsidR="007D17C5" w:rsidRPr="00143624" w:rsidRDefault="007D17C5" w:rsidP="007D17C5">
      <w:pPr>
        <w:pStyle w:val="paragraphsub"/>
      </w:pPr>
      <w:r w:rsidRPr="00143624">
        <w:rPr>
          <w:color w:val="000000"/>
        </w:rPr>
        <w:tab/>
        <w:t>(i)</w:t>
      </w:r>
      <w:r w:rsidRPr="00143624">
        <w:rPr>
          <w:color w:val="000000"/>
        </w:rPr>
        <w:tab/>
        <w:t xml:space="preserve">complies with the accounting standards under the </w:t>
      </w:r>
      <w:r w:rsidRPr="00143624">
        <w:rPr>
          <w:i/>
          <w:color w:val="000000"/>
        </w:rPr>
        <w:t>Corporations Act 2001</w:t>
      </w:r>
      <w:r w:rsidRPr="00143624">
        <w:rPr>
          <w:color w:val="000000"/>
        </w:rPr>
        <w:t>; and</w:t>
      </w:r>
    </w:p>
    <w:p w:rsidR="007D17C5" w:rsidRPr="00143624" w:rsidRDefault="007D17C5" w:rsidP="007D17C5">
      <w:pPr>
        <w:pStyle w:val="paragraphsub"/>
      </w:pPr>
      <w:r w:rsidRPr="00143624">
        <w:tab/>
        <w:t>(ii)</w:t>
      </w:r>
      <w:r w:rsidRPr="00143624">
        <w:tab/>
        <w:t>translates amounts into Australian currency using particular exchange rates; and</w:t>
      </w:r>
    </w:p>
    <w:p w:rsidR="007D17C5" w:rsidRPr="00143624" w:rsidRDefault="007D17C5" w:rsidP="007D17C5">
      <w:pPr>
        <w:pStyle w:val="paragraphsub"/>
      </w:pPr>
      <w:r w:rsidRPr="00143624">
        <w:tab/>
        <w:t>(iii)</w:t>
      </w:r>
      <w:r w:rsidRPr="00143624">
        <w:tab/>
        <w:t xml:space="preserve">has been audited in accordance with the </w:t>
      </w:r>
      <w:r w:rsidRPr="00143624">
        <w:rPr>
          <w:i/>
        </w:rPr>
        <w:t>Corporations Act 2001</w:t>
      </w:r>
      <w:r w:rsidRPr="00143624">
        <w:t>; and</w:t>
      </w:r>
    </w:p>
    <w:p w:rsidR="007D17C5" w:rsidRPr="00143624" w:rsidRDefault="007D17C5" w:rsidP="007D17C5">
      <w:pPr>
        <w:pStyle w:val="paragraph"/>
      </w:pPr>
      <w:r w:rsidRPr="00143624">
        <w:rPr>
          <w:color w:val="000000"/>
        </w:rPr>
        <w:tab/>
        <w:t>(b)</w:t>
      </w:r>
      <w:r w:rsidRPr="00143624">
        <w:rPr>
          <w:color w:val="000000"/>
        </w:rPr>
        <w:tab/>
        <w:t>the entity, or another entity, wishes to translate an amount into Australian currency in accordance with that item, using the exchange rate used in that financial report to translate a corresponding amount;</w:t>
      </w:r>
    </w:p>
    <w:p w:rsidR="007D17C5" w:rsidRPr="00143624" w:rsidRDefault="007D17C5" w:rsidP="007D17C5">
      <w:pPr>
        <w:pStyle w:val="subsection2"/>
      </w:pPr>
      <w:r w:rsidRPr="00143624">
        <w:rPr>
          <w:color w:val="000000"/>
        </w:rPr>
        <w:t xml:space="preserve">the entity mentioned in </w:t>
      </w:r>
      <w:r w:rsidR="002B1A95" w:rsidRPr="00143624">
        <w:rPr>
          <w:color w:val="000000"/>
        </w:rPr>
        <w:t>paragraph (</w:t>
      </w:r>
      <w:r w:rsidRPr="00143624">
        <w:rPr>
          <w:color w:val="000000"/>
        </w:rPr>
        <w:t>b) must translate all amounts into Australian currency using the exchange rates that were used in that financial report to translate corresponding amounts.</w:t>
      </w:r>
    </w:p>
    <w:p w:rsidR="007D17C5" w:rsidRPr="00143624" w:rsidRDefault="007D17C5" w:rsidP="007D17C5">
      <w:pPr>
        <w:pStyle w:val="ActHead5"/>
      </w:pPr>
      <w:bookmarkStart w:id="286" w:name="_Toc64030538"/>
      <w:r w:rsidRPr="003F3E0B">
        <w:rPr>
          <w:rStyle w:val="CharSectno"/>
        </w:rPr>
        <w:t>2</w:t>
      </w:r>
      <w:r w:rsidRPr="00143624">
        <w:t xml:space="preserve">  Choice of daily exchange rate</w:t>
      </w:r>
      <w:bookmarkEnd w:id="286"/>
    </w:p>
    <w:p w:rsidR="007D17C5" w:rsidRPr="00143624" w:rsidRDefault="007D17C5" w:rsidP="007D17C5">
      <w:pPr>
        <w:pStyle w:val="subsection"/>
      </w:pPr>
      <w:r w:rsidRPr="00143624">
        <w:rPr>
          <w:color w:val="000000"/>
        </w:rPr>
        <w:tab/>
        <w:t>(1)</w:t>
      </w:r>
      <w:r w:rsidRPr="00143624">
        <w:rPr>
          <w:color w:val="000000"/>
        </w:rPr>
        <w:tab/>
        <w:t xml:space="preserve">For </w:t>
      </w:r>
      <w:r w:rsidRPr="00143624">
        <w:t xml:space="preserve">the purposes of </w:t>
      </w:r>
      <w:r w:rsidRPr="00143624">
        <w:rPr>
          <w:color w:val="000000"/>
        </w:rPr>
        <w:t>item</w:t>
      </w:r>
      <w:r w:rsidR="002B1A95" w:rsidRPr="00143624">
        <w:rPr>
          <w:color w:val="000000"/>
        </w:rPr>
        <w:t> </w:t>
      </w:r>
      <w:r w:rsidRPr="00143624">
        <w:rPr>
          <w:color w:val="000000"/>
        </w:rPr>
        <w:t>12 of the table in sub</w:t>
      </w:r>
      <w:r w:rsidR="00F5399E" w:rsidRPr="00143624">
        <w:rPr>
          <w:color w:val="000000"/>
        </w:rPr>
        <w:t>section 9</w:t>
      </w:r>
      <w:r w:rsidRPr="00143624">
        <w:rPr>
          <w:color w:val="000000"/>
        </w:rPr>
        <w:t>60</w:t>
      </w:r>
      <w:r w:rsidR="00143624">
        <w:rPr>
          <w:color w:val="000000"/>
        </w:rPr>
        <w:noBreakHyphen/>
      </w:r>
      <w:r w:rsidRPr="00143624">
        <w:rPr>
          <w:color w:val="000000"/>
        </w:rPr>
        <w:t xml:space="preserve">50(6) of the Act, as modified </w:t>
      </w:r>
      <w:r w:rsidRPr="00143624">
        <w:t xml:space="preserve">by </w:t>
      </w:r>
      <w:r w:rsidRPr="00143624">
        <w:rPr>
          <w:color w:val="000000"/>
        </w:rPr>
        <w:t>subsection 960</w:t>
      </w:r>
      <w:r w:rsidR="00143624">
        <w:rPr>
          <w:color w:val="000000"/>
        </w:rPr>
        <w:noBreakHyphen/>
      </w:r>
      <w:r w:rsidRPr="00143624">
        <w:rPr>
          <w:color w:val="000000"/>
        </w:rPr>
        <w:t xml:space="preserve">50.01(2) of this instrument, an entity may translate all amounts of a particular currency, relating to a particular day, into Australian currency using an exchange rate that is applicable at a time, on that day, chosen by the entity (a </w:t>
      </w:r>
      <w:r w:rsidRPr="00143624">
        <w:rPr>
          <w:b/>
          <w:i/>
          <w:color w:val="000000"/>
        </w:rPr>
        <w:t>daily exchange rate</w:t>
      </w:r>
      <w:r w:rsidRPr="00143624">
        <w:rPr>
          <w:color w:val="000000"/>
        </w:rPr>
        <w:t>).</w:t>
      </w:r>
    </w:p>
    <w:p w:rsidR="007D17C5" w:rsidRPr="00143624" w:rsidRDefault="007D17C5" w:rsidP="007D17C5">
      <w:pPr>
        <w:pStyle w:val="subsection"/>
      </w:pPr>
      <w:r w:rsidRPr="00143624">
        <w:rPr>
          <w:color w:val="000000"/>
        </w:rPr>
        <w:tab/>
        <w:t>(2)</w:t>
      </w:r>
      <w:r w:rsidRPr="00143624">
        <w:rPr>
          <w:color w:val="000000"/>
        </w:rPr>
        <w:tab/>
        <w:t>If the entity chooses a daily exchange rate relating to a particular day, the entity must choose a daily exchange rate relating to each subsequent day in the income year using the same time of the day as the time to which the first daily exchange rate related.</w:t>
      </w:r>
    </w:p>
    <w:p w:rsidR="007D17C5" w:rsidRPr="00143624" w:rsidRDefault="007D17C5" w:rsidP="007D17C5">
      <w:pPr>
        <w:pStyle w:val="subsection"/>
      </w:pPr>
      <w:r w:rsidRPr="00143624">
        <w:tab/>
        <w:t>(3)</w:t>
      </w:r>
      <w:r w:rsidRPr="00143624">
        <w:tab/>
        <w:t>However:</w:t>
      </w:r>
    </w:p>
    <w:p w:rsidR="007D17C5" w:rsidRPr="00143624" w:rsidRDefault="007D17C5" w:rsidP="007D17C5">
      <w:pPr>
        <w:pStyle w:val="paragraph"/>
      </w:pPr>
      <w:r w:rsidRPr="00143624">
        <w:rPr>
          <w:color w:val="000000"/>
        </w:rPr>
        <w:tab/>
        <w:t>(a)</w:t>
      </w:r>
      <w:r w:rsidRPr="00143624">
        <w:rPr>
          <w:color w:val="000000"/>
        </w:rPr>
        <w:tab/>
        <w:t>the entity is not permitted to translate amounts using a daily exchange rate if the use of the rate would not be appropriate having regard to the entity’s business or activities; and</w:t>
      </w:r>
    </w:p>
    <w:p w:rsidR="007D17C5" w:rsidRPr="00143624" w:rsidRDefault="007D17C5" w:rsidP="007D17C5">
      <w:pPr>
        <w:pStyle w:val="paragraph"/>
      </w:pPr>
      <w:r w:rsidRPr="00143624">
        <w:tab/>
        <w:t>(b)</w:t>
      </w:r>
      <w:r w:rsidRPr="00143624">
        <w:tab/>
        <w:t>the entity must obtain the rate from a source that is not an associate of the entity, and not the entity itself, unless the Commissioner notifies the entity that it may obtain the rate from one or more specified sources; and</w:t>
      </w:r>
    </w:p>
    <w:p w:rsidR="007D17C5" w:rsidRPr="00143624" w:rsidRDefault="007D17C5" w:rsidP="007D17C5">
      <w:pPr>
        <w:pStyle w:val="paragraph"/>
      </w:pPr>
      <w:r w:rsidRPr="00143624">
        <w:tab/>
        <w:t>(c)</w:t>
      </w:r>
      <w:r w:rsidRPr="00143624">
        <w:tab/>
        <w:t>the entity must translate amounts relating to the relevant day using that rate.</w:t>
      </w:r>
    </w:p>
    <w:p w:rsidR="007D17C5" w:rsidRPr="00143624" w:rsidRDefault="007D17C5" w:rsidP="007D17C5">
      <w:pPr>
        <w:pStyle w:val="notetext"/>
      </w:pPr>
      <w:r w:rsidRPr="00143624">
        <w:lastRenderedPageBreak/>
        <w:t>Example</w:t>
      </w:r>
      <w:r w:rsidRPr="00143624">
        <w:rPr>
          <w:i/>
        </w:rPr>
        <w:t>:</w:t>
      </w:r>
      <w:r w:rsidRPr="00143624">
        <w:rPr>
          <w:i/>
        </w:rPr>
        <w:tab/>
      </w:r>
      <w:r w:rsidRPr="00143624">
        <w:rPr>
          <w:color w:val="000000"/>
        </w:rPr>
        <w:t>If an entity is a trader that takes currency positions as part of its business, the use of a single exchange rate for its activities on a day would not be appropriate having regard to its business.</w:t>
      </w:r>
    </w:p>
    <w:p w:rsidR="007D17C5" w:rsidRPr="00143624" w:rsidRDefault="007D17C5" w:rsidP="007D17C5">
      <w:pPr>
        <w:pStyle w:val="notetext"/>
      </w:pPr>
      <w:r w:rsidRPr="00143624">
        <w:rPr>
          <w:color w:val="000000"/>
        </w:rPr>
        <w:t>Note:</w:t>
      </w:r>
      <w:r w:rsidRPr="00143624">
        <w:rPr>
          <w:color w:val="000000"/>
        </w:rPr>
        <w:tab/>
        <w:t xml:space="preserve">For </w:t>
      </w:r>
      <w:r w:rsidRPr="00143624">
        <w:rPr>
          <w:b/>
          <w:i/>
          <w:color w:val="000000"/>
        </w:rPr>
        <w:t>associate</w:t>
      </w:r>
      <w:r w:rsidRPr="00143624">
        <w:rPr>
          <w:color w:val="000000"/>
        </w:rPr>
        <w:t>, see sub</w:t>
      </w:r>
      <w:r w:rsidR="00F5399E" w:rsidRPr="00143624">
        <w:rPr>
          <w:color w:val="000000"/>
        </w:rPr>
        <w:t>section 9</w:t>
      </w:r>
      <w:r w:rsidRPr="00143624">
        <w:rPr>
          <w:color w:val="000000"/>
        </w:rPr>
        <w:t>95</w:t>
      </w:r>
      <w:r w:rsidR="00143624">
        <w:rPr>
          <w:color w:val="000000"/>
        </w:rPr>
        <w:noBreakHyphen/>
      </w:r>
      <w:r w:rsidRPr="00143624">
        <w:rPr>
          <w:color w:val="000000"/>
        </w:rPr>
        <w:t>1(1) of the Act.</w:t>
      </w:r>
    </w:p>
    <w:p w:rsidR="007D17C5" w:rsidRPr="00143624" w:rsidRDefault="007D17C5" w:rsidP="007D17C5">
      <w:pPr>
        <w:pStyle w:val="ActHead5"/>
      </w:pPr>
      <w:bookmarkStart w:id="287" w:name="_Toc64030539"/>
      <w:r w:rsidRPr="003F3E0B">
        <w:rPr>
          <w:rStyle w:val="CharSectno"/>
        </w:rPr>
        <w:t>3</w:t>
      </w:r>
      <w:r w:rsidRPr="00143624">
        <w:t xml:space="preserve">  Choice of average exchange rate</w:t>
      </w:r>
      <w:bookmarkEnd w:id="287"/>
    </w:p>
    <w:p w:rsidR="007D17C5" w:rsidRPr="00143624" w:rsidRDefault="007D17C5" w:rsidP="007D17C5">
      <w:pPr>
        <w:pStyle w:val="subsection"/>
      </w:pPr>
      <w:r w:rsidRPr="00143624">
        <w:rPr>
          <w:color w:val="000000"/>
        </w:rPr>
        <w:tab/>
        <w:t>(1)</w:t>
      </w:r>
      <w:r w:rsidRPr="00143624">
        <w:rPr>
          <w:color w:val="000000"/>
        </w:rPr>
        <w:tab/>
        <w:t xml:space="preserve">For </w:t>
      </w:r>
      <w:r w:rsidRPr="00143624">
        <w:t xml:space="preserve">the purposes of </w:t>
      </w:r>
      <w:r w:rsidRPr="00143624">
        <w:rPr>
          <w:color w:val="000000"/>
        </w:rPr>
        <w:t>item</w:t>
      </w:r>
      <w:r w:rsidR="002B1A95" w:rsidRPr="00143624">
        <w:rPr>
          <w:color w:val="000000"/>
        </w:rPr>
        <w:t> </w:t>
      </w:r>
      <w:r w:rsidRPr="00143624">
        <w:rPr>
          <w:color w:val="000000"/>
        </w:rPr>
        <w:t>12 of the table in sub</w:t>
      </w:r>
      <w:r w:rsidR="00F5399E" w:rsidRPr="00143624">
        <w:rPr>
          <w:color w:val="000000"/>
        </w:rPr>
        <w:t>section 9</w:t>
      </w:r>
      <w:r w:rsidRPr="00143624">
        <w:rPr>
          <w:color w:val="000000"/>
        </w:rPr>
        <w:t>60</w:t>
      </w:r>
      <w:r w:rsidR="00143624">
        <w:rPr>
          <w:color w:val="000000"/>
        </w:rPr>
        <w:noBreakHyphen/>
      </w:r>
      <w:r w:rsidRPr="00143624">
        <w:rPr>
          <w:color w:val="000000"/>
        </w:rPr>
        <w:t xml:space="preserve">50(6) of the Act, as modified </w:t>
      </w:r>
      <w:r w:rsidRPr="00143624">
        <w:t xml:space="preserve">by </w:t>
      </w:r>
      <w:r w:rsidRPr="00143624">
        <w:rPr>
          <w:color w:val="000000"/>
        </w:rPr>
        <w:t>subsection 960</w:t>
      </w:r>
      <w:r w:rsidR="00143624">
        <w:rPr>
          <w:color w:val="000000"/>
        </w:rPr>
        <w:noBreakHyphen/>
      </w:r>
      <w:r w:rsidRPr="00143624">
        <w:rPr>
          <w:color w:val="000000"/>
        </w:rPr>
        <w:t xml:space="preserve">50.01(2) of this instrument, an entity may, in a period, translate an amount into Australian currency using an exchange rate that is an average of all of the exchange rates that are applicable during a period, not exceeding 12 months, that is chosen by the entity (an </w:t>
      </w:r>
      <w:r w:rsidRPr="00143624">
        <w:rPr>
          <w:b/>
          <w:i/>
          <w:color w:val="000000"/>
        </w:rPr>
        <w:t>average exchange rate</w:t>
      </w:r>
      <w:r w:rsidRPr="00143624">
        <w:rPr>
          <w:color w:val="000000"/>
        </w:rPr>
        <w:t>).</w:t>
      </w:r>
    </w:p>
    <w:p w:rsidR="007D17C5" w:rsidRPr="00143624" w:rsidRDefault="007D17C5" w:rsidP="007D17C5">
      <w:pPr>
        <w:pStyle w:val="subsection"/>
      </w:pPr>
      <w:r w:rsidRPr="00143624">
        <w:tab/>
        <w:t>(2)</w:t>
      </w:r>
      <w:r w:rsidRPr="00143624">
        <w:tab/>
        <w:t>However:</w:t>
      </w:r>
    </w:p>
    <w:p w:rsidR="007D17C5" w:rsidRPr="00143624" w:rsidRDefault="007D17C5" w:rsidP="007D17C5">
      <w:pPr>
        <w:pStyle w:val="paragraph"/>
      </w:pPr>
      <w:r w:rsidRPr="00143624">
        <w:rPr>
          <w:color w:val="000000"/>
        </w:rPr>
        <w:tab/>
        <w:t>(a)</w:t>
      </w:r>
      <w:r w:rsidRPr="00143624">
        <w:rPr>
          <w:color w:val="000000"/>
        </w:rPr>
        <w:tab/>
        <w:t>the entity is not permitted to translate an amount using an average exchange rate unless it appears to the entity on reasonable grounds that the rate would be a reasonable approximation of the exchange rate or rates that the entity would have used if the entity had used the exchange rate required by another appropriate item of the table in sub</w:t>
      </w:r>
      <w:r w:rsidR="00F5399E" w:rsidRPr="00143624">
        <w:rPr>
          <w:color w:val="000000"/>
        </w:rPr>
        <w:t>section 9</w:t>
      </w:r>
      <w:r w:rsidRPr="00143624">
        <w:rPr>
          <w:color w:val="000000"/>
        </w:rPr>
        <w:t>60</w:t>
      </w:r>
      <w:r w:rsidR="00143624">
        <w:rPr>
          <w:color w:val="000000"/>
        </w:rPr>
        <w:noBreakHyphen/>
      </w:r>
      <w:r w:rsidRPr="00143624">
        <w:rPr>
          <w:color w:val="000000"/>
        </w:rPr>
        <w:t>50(6) of the Act; and</w:t>
      </w:r>
    </w:p>
    <w:p w:rsidR="007D17C5" w:rsidRPr="00143624" w:rsidRDefault="007D17C5" w:rsidP="007D17C5">
      <w:pPr>
        <w:pStyle w:val="paragraph"/>
      </w:pPr>
      <w:r w:rsidRPr="00143624">
        <w:tab/>
        <w:t>(b)</w:t>
      </w:r>
      <w:r w:rsidRPr="00143624">
        <w:tab/>
        <w:t>the entity must obtain:</w:t>
      </w:r>
    </w:p>
    <w:p w:rsidR="007D17C5" w:rsidRPr="00143624" w:rsidRDefault="007D17C5" w:rsidP="007D17C5">
      <w:pPr>
        <w:pStyle w:val="paragraphsub"/>
      </w:pPr>
      <w:r w:rsidRPr="00143624">
        <w:rPr>
          <w:color w:val="000000"/>
        </w:rPr>
        <w:tab/>
        <w:t>(i)</w:t>
      </w:r>
      <w:r w:rsidRPr="00143624">
        <w:rPr>
          <w:color w:val="000000"/>
        </w:rPr>
        <w:tab/>
        <w:t>all of the exchange rates that it will use to work out the average exchange rate; or</w:t>
      </w:r>
    </w:p>
    <w:p w:rsidR="007D17C5" w:rsidRPr="00143624" w:rsidRDefault="007D17C5" w:rsidP="007D17C5">
      <w:pPr>
        <w:pStyle w:val="paragraphsub"/>
      </w:pPr>
      <w:r w:rsidRPr="00143624">
        <w:tab/>
        <w:t>(ii)</w:t>
      </w:r>
      <w:r w:rsidRPr="00143624">
        <w:tab/>
        <w:t>an average exchange rate that has been worked out for a particular period;</w:t>
      </w:r>
    </w:p>
    <w:p w:rsidR="007D17C5" w:rsidRPr="00143624" w:rsidRDefault="007D17C5" w:rsidP="007D17C5">
      <w:pPr>
        <w:pStyle w:val="paragraph"/>
      </w:pPr>
      <w:r w:rsidRPr="00143624">
        <w:rPr>
          <w:color w:val="000000"/>
        </w:rPr>
        <w:tab/>
      </w:r>
      <w:r w:rsidRPr="00143624">
        <w:rPr>
          <w:color w:val="000000"/>
        </w:rPr>
        <w:tab/>
        <w:t xml:space="preserve">from </w:t>
      </w:r>
      <w:r w:rsidRPr="00143624">
        <w:t>one</w:t>
      </w:r>
      <w:r w:rsidRPr="00143624">
        <w:rPr>
          <w:color w:val="000000"/>
        </w:rPr>
        <w:t xml:space="preserve"> or more sources that are not associates of the entity, and not the entity itself, unless the Commissioner notifies the entity that it may obtain the rate or rates from </w:t>
      </w:r>
      <w:r w:rsidRPr="00143624">
        <w:t>one</w:t>
      </w:r>
      <w:r w:rsidRPr="00143624">
        <w:rPr>
          <w:color w:val="000000"/>
        </w:rPr>
        <w:t xml:space="preserve"> or more specified sources; and</w:t>
      </w:r>
    </w:p>
    <w:p w:rsidR="007D17C5" w:rsidRPr="00143624" w:rsidRDefault="007D17C5" w:rsidP="007D17C5">
      <w:pPr>
        <w:pStyle w:val="paragraph"/>
      </w:pPr>
      <w:r w:rsidRPr="00143624">
        <w:tab/>
        <w:t>(c)</w:t>
      </w:r>
      <w:r w:rsidRPr="00143624">
        <w:tab/>
        <w:t>the entity must translate amounts relating to the relevant period using the rate.</w:t>
      </w:r>
    </w:p>
    <w:p w:rsidR="007D17C5" w:rsidRPr="00143624" w:rsidRDefault="007D17C5" w:rsidP="007D17C5">
      <w:pPr>
        <w:pStyle w:val="notetext"/>
      </w:pPr>
      <w:r w:rsidRPr="00143624">
        <w:rPr>
          <w:color w:val="000000"/>
        </w:rPr>
        <w:t>Note 1:</w:t>
      </w:r>
      <w:r w:rsidRPr="00143624">
        <w:rPr>
          <w:color w:val="000000"/>
        </w:rPr>
        <w:tab/>
        <w:t>Item</w:t>
      </w:r>
      <w:r w:rsidR="002B1A95" w:rsidRPr="00143624">
        <w:rPr>
          <w:color w:val="000000"/>
        </w:rPr>
        <w:t> </w:t>
      </w:r>
      <w:r w:rsidRPr="00143624">
        <w:rPr>
          <w:color w:val="000000"/>
        </w:rPr>
        <w:t>12 of the table in sub</w:t>
      </w:r>
      <w:r w:rsidR="00F5399E" w:rsidRPr="00143624">
        <w:rPr>
          <w:color w:val="000000"/>
        </w:rPr>
        <w:t>section 9</w:t>
      </w:r>
      <w:r w:rsidRPr="00143624">
        <w:rPr>
          <w:color w:val="000000"/>
        </w:rPr>
        <w:t>60</w:t>
      </w:r>
      <w:r w:rsidR="00143624">
        <w:rPr>
          <w:color w:val="000000"/>
        </w:rPr>
        <w:noBreakHyphen/>
      </w:r>
      <w:r w:rsidRPr="00143624">
        <w:rPr>
          <w:color w:val="000000"/>
        </w:rPr>
        <w:t>50(6) of the Act is available as an alternative to the special translation rules in items</w:t>
      </w:r>
      <w:r w:rsidR="002B1A95" w:rsidRPr="00143624">
        <w:rPr>
          <w:color w:val="000000"/>
        </w:rPr>
        <w:t> </w:t>
      </w:r>
      <w:r w:rsidRPr="00143624">
        <w:rPr>
          <w:color w:val="000000"/>
        </w:rPr>
        <w:t>1 to 11A (inclusive) in that table. Therefore, this subclause requires the entity to consider whether using the translation rules in item</w:t>
      </w:r>
      <w:r w:rsidR="002B1A95" w:rsidRPr="00143624">
        <w:rPr>
          <w:color w:val="000000"/>
        </w:rPr>
        <w:t> </w:t>
      </w:r>
      <w:r w:rsidRPr="00143624">
        <w:rPr>
          <w:color w:val="000000"/>
        </w:rPr>
        <w:t>12 would lead to a reasonable approximation with the translation rules in another appropriate item of the table.</w:t>
      </w:r>
    </w:p>
    <w:p w:rsidR="007D17C5" w:rsidRPr="00143624" w:rsidRDefault="007D17C5" w:rsidP="007D17C5">
      <w:pPr>
        <w:pStyle w:val="notetext"/>
      </w:pPr>
      <w:r w:rsidRPr="00143624">
        <w:t>Note 2:</w:t>
      </w:r>
      <w:r w:rsidRPr="00143624">
        <w:tab/>
      </w:r>
      <w:r w:rsidRPr="00143624">
        <w:rPr>
          <w:color w:val="000000"/>
        </w:rPr>
        <w:t xml:space="preserve">For </w:t>
      </w:r>
      <w:r w:rsidRPr="00143624">
        <w:rPr>
          <w:b/>
          <w:i/>
          <w:color w:val="000000"/>
        </w:rPr>
        <w:t>associate</w:t>
      </w:r>
      <w:r w:rsidRPr="00143624">
        <w:rPr>
          <w:color w:val="000000"/>
        </w:rPr>
        <w:t>, see sub</w:t>
      </w:r>
      <w:r w:rsidR="00F5399E" w:rsidRPr="00143624">
        <w:rPr>
          <w:color w:val="000000"/>
        </w:rPr>
        <w:t>section 9</w:t>
      </w:r>
      <w:r w:rsidRPr="00143624">
        <w:rPr>
          <w:color w:val="000000"/>
        </w:rPr>
        <w:t>95</w:t>
      </w:r>
      <w:r w:rsidR="00143624">
        <w:rPr>
          <w:color w:val="000000"/>
        </w:rPr>
        <w:noBreakHyphen/>
      </w:r>
      <w:r w:rsidRPr="00143624">
        <w:rPr>
          <w:color w:val="000000"/>
        </w:rPr>
        <w:t>1(1) of the Act.</w:t>
      </w:r>
    </w:p>
    <w:p w:rsidR="007D17C5" w:rsidRPr="00143624" w:rsidRDefault="007D17C5" w:rsidP="007D17C5">
      <w:pPr>
        <w:pStyle w:val="ActHead2"/>
        <w:pageBreakBefore/>
      </w:pPr>
      <w:bookmarkStart w:id="288" w:name="_Toc64030540"/>
      <w:r w:rsidRPr="003F3E0B">
        <w:rPr>
          <w:rStyle w:val="CharPartNo"/>
        </w:rPr>
        <w:lastRenderedPageBreak/>
        <w:t>Part</w:t>
      </w:r>
      <w:r w:rsidR="002B1A95" w:rsidRPr="003F3E0B">
        <w:rPr>
          <w:rStyle w:val="CharPartNo"/>
        </w:rPr>
        <w:t> </w:t>
      </w:r>
      <w:r w:rsidRPr="003F3E0B">
        <w:rPr>
          <w:rStyle w:val="CharPartNo"/>
        </w:rPr>
        <w:t>2</w:t>
      </w:r>
      <w:r w:rsidRPr="00143624">
        <w:t>—</w:t>
      </w:r>
      <w:r w:rsidRPr="003F3E0B">
        <w:rPr>
          <w:rStyle w:val="CharPartText"/>
        </w:rPr>
        <w:t>Translation of foreign currency amounts into Australian currency—rules and requirements for item</w:t>
      </w:r>
      <w:r w:rsidR="002B1A95" w:rsidRPr="003F3E0B">
        <w:rPr>
          <w:rStyle w:val="CharPartText"/>
        </w:rPr>
        <w:t> </w:t>
      </w:r>
      <w:r w:rsidRPr="003F3E0B">
        <w:rPr>
          <w:rStyle w:val="CharPartText"/>
        </w:rPr>
        <w:t>11A of the table in sub</w:t>
      </w:r>
      <w:r w:rsidR="00F5399E" w:rsidRPr="003F3E0B">
        <w:rPr>
          <w:rStyle w:val="CharPartText"/>
        </w:rPr>
        <w:t>section 9</w:t>
      </w:r>
      <w:r w:rsidRPr="003F3E0B">
        <w:rPr>
          <w:rStyle w:val="CharPartText"/>
        </w:rPr>
        <w:t>60</w:t>
      </w:r>
      <w:r w:rsidR="00143624" w:rsidRPr="003F3E0B">
        <w:rPr>
          <w:rStyle w:val="CharPartText"/>
        </w:rPr>
        <w:noBreakHyphen/>
      </w:r>
      <w:r w:rsidRPr="003F3E0B">
        <w:rPr>
          <w:rStyle w:val="CharPartText"/>
        </w:rPr>
        <w:t>50(6) of the Act</w:t>
      </w:r>
      <w:bookmarkEnd w:id="288"/>
    </w:p>
    <w:p w:rsidR="007D17C5" w:rsidRPr="003F3E0B" w:rsidRDefault="007D17C5" w:rsidP="007D17C5">
      <w:pPr>
        <w:pStyle w:val="Header"/>
      </w:pPr>
      <w:r w:rsidRPr="003F3E0B">
        <w:rPr>
          <w:rStyle w:val="CharDivNo"/>
        </w:rPr>
        <w:t xml:space="preserve"> </w:t>
      </w:r>
      <w:r w:rsidRPr="003F3E0B">
        <w:rPr>
          <w:rStyle w:val="CharDivText"/>
        </w:rPr>
        <w:t xml:space="preserve"> </w:t>
      </w:r>
    </w:p>
    <w:p w:rsidR="007D17C5" w:rsidRPr="00143624" w:rsidRDefault="007D17C5" w:rsidP="007D17C5">
      <w:pPr>
        <w:pStyle w:val="ActHead5"/>
      </w:pPr>
      <w:bookmarkStart w:id="289" w:name="_Toc64030541"/>
      <w:r w:rsidRPr="003F3E0B">
        <w:rPr>
          <w:rStyle w:val="CharSectno"/>
        </w:rPr>
        <w:t>4</w:t>
      </w:r>
      <w:r w:rsidRPr="00143624">
        <w:t xml:space="preserve">  Exchange rate—consistency with an entity’s financial records</w:t>
      </w:r>
      <w:bookmarkEnd w:id="289"/>
    </w:p>
    <w:p w:rsidR="007D17C5" w:rsidRPr="00143624" w:rsidRDefault="007D17C5" w:rsidP="007D17C5">
      <w:pPr>
        <w:pStyle w:val="subsection"/>
      </w:pPr>
      <w:r w:rsidRPr="00143624">
        <w:tab/>
      </w:r>
      <w:r w:rsidRPr="00143624">
        <w:tab/>
        <w:t>For the purposes of item</w:t>
      </w:r>
      <w:r w:rsidR="002B1A95" w:rsidRPr="00143624">
        <w:t> </w:t>
      </w:r>
      <w:r w:rsidRPr="00143624">
        <w:t>11A of the table in sub</w:t>
      </w:r>
      <w:r w:rsidR="00F5399E" w:rsidRPr="00143624">
        <w:t>section 9</w:t>
      </w:r>
      <w:r w:rsidRPr="00143624">
        <w:t>60</w:t>
      </w:r>
      <w:r w:rsidR="00143624">
        <w:noBreakHyphen/>
      </w:r>
      <w:r w:rsidRPr="00143624">
        <w:t xml:space="preserve">50(6) of the Act, as modified by </w:t>
      </w:r>
      <w:r w:rsidRPr="00143624">
        <w:rPr>
          <w:color w:val="000000"/>
        </w:rPr>
        <w:t>subsection 960</w:t>
      </w:r>
      <w:r w:rsidR="00143624">
        <w:rPr>
          <w:color w:val="000000"/>
        </w:rPr>
        <w:noBreakHyphen/>
      </w:r>
      <w:r w:rsidRPr="00143624">
        <w:rPr>
          <w:color w:val="000000"/>
        </w:rPr>
        <w:t>50.01(2) of this instrument</w:t>
      </w:r>
      <w:r w:rsidRPr="00143624">
        <w:t>, if:</w:t>
      </w:r>
    </w:p>
    <w:p w:rsidR="007D17C5" w:rsidRPr="00143624" w:rsidRDefault="007D17C5" w:rsidP="007D17C5">
      <w:pPr>
        <w:pStyle w:val="paragraph"/>
      </w:pPr>
      <w:r w:rsidRPr="00143624">
        <w:rPr>
          <w:color w:val="000000"/>
        </w:rPr>
        <w:tab/>
        <w:t>(a)</w:t>
      </w:r>
      <w:r w:rsidRPr="00143624">
        <w:rPr>
          <w:color w:val="000000"/>
        </w:rPr>
        <w:tab/>
        <w:t xml:space="preserve">an entity keeps financial records (within the meaning of the </w:t>
      </w:r>
      <w:r w:rsidRPr="00143624">
        <w:rPr>
          <w:i/>
          <w:color w:val="000000"/>
        </w:rPr>
        <w:t>Corporations Act 2001</w:t>
      </w:r>
      <w:r w:rsidRPr="00143624">
        <w:rPr>
          <w:color w:val="000000"/>
        </w:rPr>
        <w:t>) of the exchange rates that the entity uses to translate amounts into Australian currency; and</w:t>
      </w:r>
    </w:p>
    <w:p w:rsidR="007D17C5" w:rsidRPr="00143624" w:rsidRDefault="007D17C5" w:rsidP="007D17C5">
      <w:pPr>
        <w:pStyle w:val="paragraph"/>
      </w:pPr>
      <w:r w:rsidRPr="00143624">
        <w:tab/>
        <w:t>(b)</w:t>
      </w:r>
      <w:r w:rsidRPr="00143624">
        <w:tab/>
        <w:t>the entity, or another entity, translates an amount to which the records correspond into Australian currency in accordance with item</w:t>
      </w:r>
      <w:r w:rsidR="002B1A95" w:rsidRPr="00143624">
        <w:t> </w:t>
      </w:r>
      <w:r w:rsidRPr="00143624">
        <w:t>11A;</w:t>
      </w:r>
    </w:p>
    <w:p w:rsidR="007D17C5" w:rsidRPr="00143624" w:rsidRDefault="007D17C5" w:rsidP="007D17C5">
      <w:pPr>
        <w:pStyle w:val="subsection2"/>
      </w:pPr>
      <w:r w:rsidRPr="00143624">
        <w:rPr>
          <w:color w:val="000000"/>
        </w:rPr>
        <w:t xml:space="preserve">the exchange rate that the entity mentioned in </w:t>
      </w:r>
      <w:r w:rsidR="002B1A95" w:rsidRPr="00143624">
        <w:rPr>
          <w:color w:val="000000"/>
        </w:rPr>
        <w:t>paragraph (</w:t>
      </w:r>
      <w:r w:rsidRPr="00143624">
        <w:rPr>
          <w:color w:val="000000"/>
        </w:rPr>
        <w:t>b) uses must be the same as the exchange rate specified in those records for translating the amount into Australian currency.</w:t>
      </w:r>
    </w:p>
    <w:p w:rsidR="007D17C5" w:rsidRPr="00143624" w:rsidRDefault="007D17C5" w:rsidP="007D17C5">
      <w:pPr>
        <w:pStyle w:val="ActHead1"/>
        <w:pageBreakBefore/>
      </w:pPr>
      <w:bookmarkStart w:id="290" w:name="_Toc64030542"/>
      <w:r w:rsidRPr="003F3E0B">
        <w:rPr>
          <w:rStyle w:val="CharChapNo"/>
        </w:rPr>
        <w:lastRenderedPageBreak/>
        <w:t>Schedule</w:t>
      </w:r>
      <w:r w:rsidR="002B1A95" w:rsidRPr="003F3E0B">
        <w:rPr>
          <w:rStyle w:val="CharChapNo"/>
        </w:rPr>
        <w:t> </w:t>
      </w:r>
      <w:r w:rsidRPr="003F3E0B">
        <w:rPr>
          <w:rStyle w:val="CharChapNo"/>
        </w:rPr>
        <w:t>3</w:t>
      </w:r>
      <w:r w:rsidRPr="00143624">
        <w:t>—</w:t>
      </w:r>
      <w:r w:rsidRPr="003F3E0B">
        <w:rPr>
          <w:rStyle w:val="CharChapText"/>
        </w:rPr>
        <w:t>Approved stock exchanges</w:t>
      </w:r>
      <w:bookmarkEnd w:id="290"/>
    </w:p>
    <w:p w:rsidR="007D17C5" w:rsidRPr="00143624" w:rsidRDefault="007D17C5" w:rsidP="007D17C5">
      <w:pPr>
        <w:pStyle w:val="notemargin"/>
      </w:pPr>
      <w:r w:rsidRPr="00143624">
        <w:t>Note:</w:t>
      </w:r>
      <w:r w:rsidRPr="00143624">
        <w:tab/>
        <w:t>See section 995</w:t>
      </w:r>
      <w:r w:rsidR="00143624">
        <w:noBreakHyphen/>
      </w:r>
      <w:r w:rsidRPr="00143624">
        <w:t>1.02.</w:t>
      </w:r>
    </w:p>
    <w:p w:rsidR="007D17C5" w:rsidRPr="003F3E0B" w:rsidRDefault="007D17C5" w:rsidP="007D17C5">
      <w:pPr>
        <w:pStyle w:val="Header"/>
      </w:pPr>
      <w:bookmarkStart w:id="291" w:name="f_Check_Lines_below"/>
      <w:bookmarkEnd w:id="291"/>
      <w:r w:rsidRPr="003F3E0B">
        <w:rPr>
          <w:rStyle w:val="CharPartNo"/>
        </w:rPr>
        <w:t xml:space="preserve"> </w:t>
      </w:r>
      <w:r w:rsidRPr="003F3E0B">
        <w:rPr>
          <w:rStyle w:val="CharPartText"/>
        </w:rPr>
        <w:t xml:space="preserve"> </w:t>
      </w:r>
    </w:p>
    <w:p w:rsidR="007D17C5" w:rsidRPr="00143624" w:rsidRDefault="007D17C5" w:rsidP="007D17C5">
      <w:pPr>
        <w:pStyle w:val="Header"/>
      </w:pPr>
      <w:r w:rsidRPr="003F3E0B">
        <w:rPr>
          <w:rStyle w:val="CharDivNo"/>
        </w:rPr>
        <w:t xml:space="preserve"> </w:t>
      </w:r>
      <w:r w:rsidRPr="003F3E0B">
        <w:rPr>
          <w:rStyle w:val="CharDivText"/>
        </w:rPr>
        <w:t xml:space="preserve"> </w:t>
      </w:r>
      <w:r w:rsidRPr="003F3E0B">
        <w:t xml:space="preserve"> </w:t>
      </w:r>
      <w:r w:rsidRPr="00143624">
        <w:t xml:space="preserve"> </w:t>
      </w:r>
    </w:p>
    <w:p w:rsidR="007D17C5" w:rsidRPr="00143624" w:rsidRDefault="007D17C5" w:rsidP="007D17C5">
      <w:pPr>
        <w:pStyle w:val="ActHead5"/>
      </w:pPr>
      <w:bookmarkStart w:id="292" w:name="_Toc64030543"/>
      <w:r w:rsidRPr="003F3E0B">
        <w:rPr>
          <w:rStyle w:val="CharSectno"/>
        </w:rPr>
        <w:t>1</w:t>
      </w:r>
      <w:r w:rsidRPr="00143624">
        <w:t xml:space="preserve">  Approved stock exchanges</w:t>
      </w:r>
      <w:bookmarkEnd w:id="292"/>
    </w:p>
    <w:p w:rsidR="007D17C5" w:rsidRPr="00143624" w:rsidRDefault="007D17C5" w:rsidP="007D17C5">
      <w:pPr>
        <w:pStyle w:val="subsection"/>
      </w:pPr>
      <w:r w:rsidRPr="00143624">
        <w:tab/>
      </w:r>
      <w:r w:rsidRPr="00143624">
        <w:tab/>
        <w:t>The following table specifies approved stock exchanges for the purposes of section 995</w:t>
      </w:r>
      <w:r w:rsidR="00143624">
        <w:noBreakHyphen/>
      </w:r>
      <w:r w:rsidRPr="00143624">
        <w:t>1.02.</w:t>
      </w:r>
    </w:p>
    <w:p w:rsidR="007D17C5" w:rsidRPr="00143624"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7"/>
        <w:gridCol w:w="7712"/>
      </w:tblGrid>
      <w:tr w:rsidR="007D17C5" w:rsidRPr="00143624" w:rsidTr="009558BE">
        <w:trPr>
          <w:tblHeader/>
        </w:trPr>
        <w:tc>
          <w:tcPr>
            <w:tcW w:w="5000" w:type="pct"/>
            <w:gridSpan w:val="2"/>
            <w:tcBorders>
              <w:top w:val="single" w:sz="12" w:space="0" w:color="auto"/>
              <w:bottom w:val="single" w:sz="6" w:space="0" w:color="auto"/>
            </w:tcBorders>
            <w:shd w:val="clear" w:color="auto" w:fill="auto"/>
          </w:tcPr>
          <w:p w:rsidR="007D17C5" w:rsidRPr="00143624" w:rsidRDefault="007D17C5" w:rsidP="009558BE">
            <w:pPr>
              <w:pStyle w:val="TableHeading"/>
            </w:pPr>
            <w:r w:rsidRPr="00143624">
              <w:t>Approved stock exchanges</w:t>
            </w:r>
          </w:p>
        </w:tc>
      </w:tr>
      <w:tr w:rsidR="007D17C5" w:rsidRPr="00143624" w:rsidTr="009558BE">
        <w:tc>
          <w:tcPr>
            <w:tcW w:w="479"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Item</w:t>
            </w:r>
          </w:p>
        </w:tc>
        <w:tc>
          <w:tcPr>
            <w:tcW w:w="4521" w:type="pct"/>
            <w:tcBorders>
              <w:top w:val="single" w:sz="6" w:space="0" w:color="auto"/>
              <w:bottom w:val="single" w:sz="12" w:space="0" w:color="auto"/>
            </w:tcBorders>
            <w:shd w:val="clear" w:color="auto" w:fill="auto"/>
          </w:tcPr>
          <w:p w:rsidR="007D17C5" w:rsidRPr="00143624" w:rsidRDefault="007D17C5" w:rsidP="009558BE">
            <w:pPr>
              <w:pStyle w:val="TableHeading"/>
            </w:pPr>
            <w:r w:rsidRPr="00143624">
              <w:t>Approved stock exchange</w:t>
            </w:r>
          </w:p>
        </w:tc>
      </w:tr>
      <w:tr w:rsidR="007D17C5" w:rsidRPr="00143624" w:rsidTr="009558BE">
        <w:tc>
          <w:tcPr>
            <w:tcW w:w="479" w:type="pct"/>
            <w:tcBorders>
              <w:top w:val="single" w:sz="12" w:space="0" w:color="auto"/>
            </w:tcBorders>
            <w:shd w:val="clear" w:color="auto" w:fill="auto"/>
          </w:tcPr>
          <w:p w:rsidR="007D17C5" w:rsidRPr="00143624" w:rsidRDefault="007D17C5" w:rsidP="009558BE">
            <w:pPr>
              <w:pStyle w:val="TableHeading"/>
            </w:pPr>
          </w:p>
        </w:tc>
        <w:tc>
          <w:tcPr>
            <w:tcW w:w="4521" w:type="pct"/>
            <w:tcBorders>
              <w:top w:val="single" w:sz="12" w:space="0" w:color="auto"/>
            </w:tcBorders>
            <w:shd w:val="clear" w:color="auto" w:fill="auto"/>
          </w:tcPr>
          <w:p w:rsidR="007D17C5" w:rsidRPr="00143624" w:rsidRDefault="007D17C5" w:rsidP="009558BE">
            <w:pPr>
              <w:pStyle w:val="TableHeading"/>
            </w:pPr>
            <w:r w:rsidRPr="00143624">
              <w:t>Argentina</w:t>
            </w:r>
          </w:p>
        </w:tc>
      </w:tr>
      <w:tr w:rsidR="007D17C5" w:rsidRPr="00143624" w:rsidTr="009558BE">
        <w:tc>
          <w:tcPr>
            <w:tcW w:w="479" w:type="pct"/>
            <w:shd w:val="clear" w:color="auto" w:fill="auto"/>
          </w:tcPr>
          <w:p w:rsidR="007D17C5" w:rsidRPr="00143624" w:rsidRDefault="007D17C5" w:rsidP="009558BE">
            <w:pPr>
              <w:pStyle w:val="Tabletext"/>
            </w:pPr>
            <w:r w:rsidRPr="00143624">
              <w:t>1</w:t>
            </w:r>
          </w:p>
        </w:tc>
        <w:tc>
          <w:tcPr>
            <w:tcW w:w="4521" w:type="pct"/>
            <w:shd w:val="clear" w:color="auto" w:fill="auto"/>
          </w:tcPr>
          <w:p w:rsidR="007D17C5" w:rsidRPr="00143624" w:rsidRDefault="007D17C5" w:rsidP="009558BE">
            <w:pPr>
              <w:pStyle w:val="Tabletext"/>
            </w:pPr>
            <w:r w:rsidRPr="00143624">
              <w:t>Buenos Aires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Australia</w:t>
            </w:r>
          </w:p>
        </w:tc>
      </w:tr>
      <w:tr w:rsidR="007D17C5" w:rsidRPr="00143624" w:rsidTr="009558BE">
        <w:tc>
          <w:tcPr>
            <w:tcW w:w="479" w:type="pct"/>
            <w:shd w:val="clear" w:color="auto" w:fill="auto"/>
          </w:tcPr>
          <w:p w:rsidR="007D17C5" w:rsidRPr="00143624" w:rsidRDefault="007D17C5" w:rsidP="009558BE">
            <w:pPr>
              <w:pStyle w:val="Tabletext"/>
            </w:pPr>
            <w:r w:rsidRPr="00143624">
              <w:t>2</w:t>
            </w:r>
          </w:p>
        </w:tc>
        <w:tc>
          <w:tcPr>
            <w:tcW w:w="4521" w:type="pct"/>
            <w:shd w:val="clear" w:color="auto" w:fill="auto"/>
          </w:tcPr>
          <w:p w:rsidR="007D17C5" w:rsidRPr="00143624" w:rsidRDefault="007D17C5" w:rsidP="009558BE">
            <w:pPr>
              <w:pStyle w:val="Tabletext"/>
            </w:pPr>
            <w:r w:rsidRPr="00143624">
              <w:t>ASX, also known as Australian Securities Exchange</w:t>
            </w:r>
          </w:p>
        </w:tc>
      </w:tr>
      <w:tr w:rsidR="007D17C5" w:rsidRPr="00143624" w:rsidTr="009558BE">
        <w:tc>
          <w:tcPr>
            <w:tcW w:w="479" w:type="pct"/>
            <w:shd w:val="clear" w:color="auto" w:fill="auto"/>
          </w:tcPr>
          <w:p w:rsidR="007D17C5" w:rsidRPr="00143624" w:rsidRDefault="007D17C5" w:rsidP="009558BE">
            <w:pPr>
              <w:pStyle w:val="Tabletext"/>
            </w:pPr>
            <w:r w:rsidRPr="00143624">
              <w:t>3</w:t>
            </w:r>
          </w:p>
        </w:tc>
        <w:tc>
          <w:tcPr>
            <w:tcW w:w="4521" w:type="pct"/>
            <w:shd w:val="clear" w:color="auto" w:fill="auto"/>
          </w:tcPr>
          <w:p w:rsidR="007D17C5" w:rsidRPr="00143624" w:rsidRDefault="007D17C5" w:rsidP="009558BE">
            <w:pPr>
              <w:pStyle w:val="Tabletext"/>
            </w:pPr>
            <w:r w:rsidRPr="00143624">
              <w:t>Chi</w:t>
            </w:r>
            <w:r w:rsidR="00143624">
              <w:noBreakHyphen/>
            </w:r>
            <w:r w:rsidRPr="00143624">
              <w:t>X Australia</w:t>
            </w:r>
          </w:p>
        </w:tc>
      </w:tr>
      <w:tr w:rsidR="007D17C5" w:rsidRPr="00143624" w:rsidTr="009558BE">
        <w:tc>
          <w:tcPr>
            <w:tcW w:w="479" w:type="pct"/>
            <w:shd w:val="clear" w:color="auto" w:fill="auto"/>
          </w:tcPr>
          <w:p w:rsidR="007D17C5" w:rsidRPr="00143624" w:rsidRDefault="007D17C5" w:rsidP="009558BE">
            <w:pPr>
              <w:pStyle w:val="Tabletext"/>
            </w:pPr>
            <w:r w:rsidRPr="00143624">
              <w:t>4</w:t>
            </w:r>
          </w:p>
        </w:tc>
        <w:tc>
          <w:tcPr>
            <w:tcW w:w="4521" w:type="pct"/>
            <w:shd w:val="clear" w:color="auto" w:fill="auto"/>
          </w:tcPr>
          <w:p w:rsidR="007D17C5" w:rsidRPr="00143624" w:rsidRDefault="007D17C5" w:rsidP="009558BE">
            <w:pPr>
              <w:pStyle w:val="Tabletext"/>
            </w:pPr>
            <w:r w:rsidRPr="00143624">
              <w:t>National Stock Exchange of Australia</w:t>
            </w:r>
          </w:p>
        </w:tc>
      </w:tr>
      <w:tr w:rsidR="007D17C5" w:rsidRPr="00143624" w:rsidTr="009558BE">
        <w:tc>
          <w:tcPr>
            <w:tcW w:w="479" w:type="pct"/>
            <w:shd w:val="clear" w:color="auto" w:fill="auto"/>
          </w:tcPr>
          <w:p w:rsidR="007D17C5" w:rsidRPr="00143624" w:rsidRDefault="007D17C5" w:rsidP="009558BE">
            <w:pPr>
              <w:pStyle w:val="Tabletext"/>
            </w:pPr>
            <w:r w:rsidRPr="00143624">
              <w:t>5</w:t>
            </w:r>
          </w:p>
        </w:tc>
        <w:tc>
          <w:tcPr>
            <w:tcW w:w="4521" w:type="pct"/>
            <w:shd w:val="clear" w:color="auto" w:fill="auto"/>
          </w:tcPr>
          <w:p w:rsidR="007D17C5" w:rsidRPr="00143624" w:rsidRDefault="007D17C5" w:rsidP="009558BE">
            <w:pPr>
              <w:pStyle w:val="Tabletext"/>
            </w:pPr>
            <w:r w:rsidRPr="00143624">
              <w:t>SSX, also known as Sydney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Austria</w:t>
            </w:r>
          </w:p>
        </w:tc>
      </w:tr>
      <w:tr w:rsidR="007D17C5" w:rsidRPr="00143624" w:rsidTr="009558BE">
        <w:tc>
          <w:tcPr>
            <w:tcW w:w="479" w:type="pct"/>
            <w:shd w:val="clear" w:color="auto" w:fill="auto"/>
          </w:tcPr>
          <w:p w:rsidR="007D17C5" w:rsidRPr="00143624" w:rsidRDefault="007D17C5" w:rsidP="009558BE">
            <w:pPr>
              <w:pStyle w:val="Tabletext"/>
            </w:pPr>
            <w:r w:rsidRPr="00143624">
              <w:t>6</w:t>
            </w:r>
          </w:p>
        </w:tc>
        <w:tc>
          <w:tcPr>
            <w:tcW w:w="4521" w:type="pct"/>
            <w:shd w:val="clear" w:color="auto" w:fill="auto"/>
          </w:tcPr>
          <w:p w:rsidR="007D17C5" w:rsidRPr="00143624" w:rsidRDefault="007D17C5" w:rsidP="009558BE">
            <w:pPr>
              <w:pStyle w:val="Tabletext"/>
            </w:pPr>
            <w:r w:rsidRPr="00143624">
              <w:t>Vienna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Belgium</w:t>
            </w:r>
          </w:p>
        </w:tc>
      </w:tr>
      <w:tr w:rsidR="007D17C5" w:rsidRPr="00143624" w:rsidTr="009558BE">
        <w:tc>
          <w:tcPr>
            <w:tcW w:w="479" w:type="pct"/>
            <w:shd w:val="clear" w:color="auto" w:fill="auto"/>
          </w:tcPr>
          <w:p w:rsidR="007D17C5" w:rsidRPr="00143624" w:rsidRDefault="007D17C5" w:rsidP="009558BE">
            <w:pPr>
              <w:pStyle w:val="Tabletext"/>
            </w:pPr>
            <w:r w:rsidRPr="00143624">
              <w:t>7</w:t>
            </w:r>
          </w:p>
        </w:tc>
        <w:tc>
          <w:tcPr>
            <w:tcW w:w="4521" w:type="pct"/>
            <w:shd w:val="clear" w:color="auto" w:fill="auto"/>
          </w:tcPr>
          <w:p w:rsidR="007D17C5" w:rsidRPr="00143624" w:rsidRDefault="007D17C5" w:rsidP="009558BE">
            <w:pPr>
              <w:pStyle w:val="Tabletext"/>
            </w:pPr>
            <w:r w:rsidRPr="00143624">
              <w:t>Euronext Brussels</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Bermuda</w:t>
            </w:r>
          </w:p>
        </w:tc>
      </w:tr>
      <w:tr w:rsidR="007D17C5" w:rsidRPr="00143624" w:rsidTr="009558BE">
        <w:tc>
          <w:tcPr>
            <w:tcW w:w="479" w:type="pct"/>
            <w:shd w:val="clear" w:color="auto" w:fill="auto"/>
          </w:tcPr>
          <w:p w:rsidR="007D17C5" w:rsidRPr="00143624" w:rsidRDefault="007D17C5" w:rsidP="009558BE">
            <w:pPr>
              <w:pStyle w:val="Tabletext"/>
            </w:pPr>
            <w:r w:rsidRPr="00143624">
              <w:t>8</w:t>
            </w:r>
          </w:p>
        </w:tc>
        <w:tc>
          <w:tcPr>
            <w:tcW w:w="4521" w:type="pct"/>
            <w:shd w:val="clear" w:color="auto" w:fill="auto"/>
          </w:tcPr>
          <w:p w:rsidR="007D17C5" w:rsidRPr="00143624" w:rsidRDefault="007D17C5" w:rsidP="009558BE">
            <w:pPr>
              <w:pStyle w:val="Tabletext"/>
            </w:pPr>
            <w:r w:rsidRPr="00143624">
              <w:t>Bermuda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Brazil</w:t>
            </w:r>
          </w:p>
        </w:tc>
      </w:tr>
      <w:tr w:rsidR="007D17C5" w:rsidRPr="00143624" w:rsidTr="009558BE">
        <w:tc>
          <w:tcPr>
            <w:tcW w:w="479" w:type="pct"/>
            <w:shd w:val="clear" w:color="auto" w:fill="auto"/>
          </w:tcPr>
          <w:p w:rsidR="007D17C5" w:rsidRPr="00143624" w:rsidRDefault="007D17C5" w:rsidP="009558BE">
            <w:pPr>
              <w:pStyle w:val="Tabletext"/>
            </w:pPr>
            <w:r w:rsidRPr="00143624">
              <w:t>9</w:t>
            </w:r>
          </w:p>
        </w:tc>
        <w:tc>
          <w:tcPr>
            <w:tcW w:w="4521" w:type="pct"/>
            <w:shd w:val="clear" w:color="auto" w:fill="auto"/>
          </w:tcPr>
          <w:p w:rsidR="007D17C5" w:rsidRPr="00143624" w:rsidRDefault="007D17C5" w:rsidP="009558BE">
            <w:pPr>
              <w:pStyle w:val="Tabletext"/>
            </w:pPr>
            <w:r w:rsidRPr="00143624">
              <w:t>B3, also known as B3 S.A.—Brasil, Bolsa, Balcão</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Canada</w:t>
            </w:r>
          </w:p>
        </w:tc>
      </w:tr>
      <w:tr w:rsidR="007D17C5" w:rsidRPr="00143624" w:rsidTr="009558BE">
        <w:tc>
          <w:tcPr>
            <w:tcW w:w="479" w:type="pct"/>
            <w:shd w:val="clear" w:color="auto" w:fill="auto"/>
          </w:tcPr>
          <w:p w:rsidR="007D17C5" w:rsidRPr="00143624" w:rsidRDefault="007D17C5" w:rsidP="009558BE">
            <w:pPr>
              <w:pStyle w:val="Tabletext"/>
            </w:pPr>
            <w:r w:rsidRPr="00143624">
              <w:t>10</w:t>
            </w:r>
          </w:p>
        </w:tc>
        <w:tc>
          <w:tcPr>
            <w:tcW w:w="4521" w:type="pct"/>
            <w:shd w:val="clear" w:color="auto" w:fill="auto"/>
          </w:tcPr>
          <w:p w:rsidR="007D17C5" w:rsidRPr="00143624" w:rsidRDefault="007D17C5" w:rsidP="009558BE">
            <w:pPr>
              <w:pStyle w:val="Tabletext"/>
            </w:pPr>
            <w:r w:rsidRPr="00143624">
              <w:t>Montréal Exchange</w:t>
            </w:r>
          </w:p>
        </w:tc>
      </w:tr>
      <w:tr w:rsidR="007D17C5" w:rsidRPr="00143624" w:rsidTr="009558BE">
        <w:tc>
          <w:tcPr>
            <w:tcW w:w="479" w:type="pct"/>
            <w:shd w:val="clear" w:color="auto" w:fill="auto"/>
          </w:tcPr>
          <w:p w:rsidR="007D17C5" w:rsidRPr="00143624" w:rsidRDefault="007D17C5" w:rsidP="009558BE">
            <w:pPr>
              <w:pStyle w:val="Tabletext"/>
            </w:pPr>
            <w:r w:rsidRPr="00143624">
              <w:t>11</w:t>
            </w:r>
          </w:p>
        </w:tc>
        <w:tc>
          <w:tcPr>
            <w:tcW w:w="4521" w:type="pct"/>
            <w:shd w:val="clear" w:color="auto" w:fill="auto"/>
          </w:tcPr>
          <w:p w:rsidR="007D17C5" w:rsidRPr="00143624" w:rsidRDefault="007D17C5" w:rsidP="009558BE">
            <w:pPr>
              <w:pStyle w:val="Tabletext"/>
            </w:pPr>
            <w:r w:rsidRPr="00143624">
              <w:t>Toronto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12</w:t>
            </w:r>
          </w:p>
        </w:tc>
        <w:tc>
          <w:tcPr>
            <w:tcW w:w="4521" w:type="pct"/>
            <w:shd w:val="clear" w:color="auto" w:fill="auto"/>
          </w:tcPr>
          <w:p w:rsidR="007D17C5" w:rsidRPr="00143624" w:rsidRDefault="007D17C5" w:rsidP="009558BE">
            <w:pPr>
              <w:pStyle w:val="Tabletext"/>
            </w:pPr>
            <w:r w:rsidRPr="00143624">
              <w:t>TSX Venture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Chile</w:t>
            </w:r>
          </w:p>
        </w:tc>
      </w:tr>
      <w:tr w:rsidR="007D17C5" w:rsidRPr="00143624" w:rsidTr="009558BE">
        <w:tc>
          <w:tcPr>
            <w:tcW w:w="479" w:type="pct"/>
            <w:shd w:val="clear" w:color="auto" w:fill="auto"/>
          </w:tcPr>
          <w:p w:rsidR="007D17C5" w:rsidRPr="00143624" w:rsidRDefault="007D17C5" w:rsidP="009558BE">
            <w:pPr>
              <w:pStyle w:val="Tabletext"/>
            </w:pPr>
            <w:r w:rsidRPr="00143624">
              <w:t>13</w:t>
            </w:r>
          </w:p>
        </w:tc>
        <w:tc>
          <w:tcPr>
            <w:tcW w:w="4521" w:type="pct"/>
            <w:shd w:val="clear" w:color="auto" w:fill="auto"/>
          </w:tcPr>
          <w:p w:rsidR="007D17C5" w:rsidRPr="00143624" w:rsidRDefault="007D17C5" w:rsidP="009558BE">
            <w:pPr>
              <w:pStyle w:val="Tabletext"/>
            </w:pPr>
            <w:r w:rsidRPr="00143624">
              <w:t>Santiago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China</w:t>
            </w:r>
          </w:p>
        </w:tc>
      </w:tr>
      <w:tr w:rsidR="007D17C5" w:rsidRPr="00143624" w:rsidTr="009558BE">
        <w:tc>
          <w:tcPr>
            <w:tcW w:w="479" w:type="pct"/>
            <w:shd w:val="clear" w:color="auto" w:fill="auto"/>
          </w:tcPr>
          <w:p w:rsidR="007D17C5" w:rsidRPr="00143624" w:rsidRDefault="007D17C5" w:rsidP="009558BE">
            <w:pPr>
              <w:pStyle w:val="Tabletext"/>
            </w:pPr>
            <w:r w:rsidRPr="00143624">
              <w:t>14</w:t>
            </w:r>
          </w:p>
        </w:tc>
        <w:tc>
          <w:tcPr>
            <w:tcW w:w="4521" w:type="pct"/>
            <w:shd w:val="clear" w:color="auto" w:fill="auto"/>
          </w:tcPr>
          <w:p w:rsidR="007D17C5" w:rsidRPr="00143624" w:rsidRDefault="007D17C5" w:rsidP="009558BE">
            <w:pPr>
              <w:pStyle w:val="Tabletext"/>
            </w:pPr>
            <w:r w:rsidRPr="00143624">
              <w:t>Shanghai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15</w:t>
            </w:r>
          </w:p>
        </w:tc>
        <w:tc>
          <w:tcPr>
            <w:tcW w:w="4521" w:type="pct"/>
            <w:shd w:val="clear" w:color="auto" w:fill="auto"/>
          </w:tcPr>
          <w:p w:rsidR="007D17C5" w:rsidRPr="00143624" w:rsidRDefault="007D17C5" w:rsidP="009558BE">
            <w:pPr>
              <w:pStyle w:val="Tabletext"/>
            </w:pPr>
            <w:r w:rsidRPr="00143624">
              <w:t>Shenzhen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Colombia</w:t>
            </w:r>
          </w:p>
        </w:tc>
      </w:tr>
      <w:tr w:rsidR="007D17C5" w:rsidRPr="00143624" w:rsidTr="009558BE">
        <w:tc>
          <w:tcPr>
            <w:tcW w:w="479" w:type="pct"/>
            <w:shd w:val="clear" w:color="auto" w:fill="auto"/>
          </w:tcPr>
          <w:p w:rsidR="007D17C5" w:rsidRPr="00143624" w:rsidRDefault="007D17C5" w:rsidP="009558BE">
            <w:pPr>
              <w:pStyle w:val="Tabletext"/>
            </w:pPr>
            <w:r w:rsidRPr="00143624">
              <w:t>16</w:t>
            </w:r>
          </w:p>
        </w:tc>
        <w:tc>
          <w:tcPr>
            <w:tcW w:w="4521" w:type="pct"/>
            <w:shd w:val="clear" w:color="auto" w:fill="auto"/>
          </w:tcPr>
          <w:p w:rsidR="007D17C5" w:rsidRPr="00143624" w:rsidRDefault="007D17C5" w:rsidP="009558BE">
            <w:pPr>
              <w:pStyle w:val="Tabletext"/>
            </w:pPr>
            <w:r w:rsidRPr="00143624">
              <w:t>Colombia Securities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Denmark</w:t>
            </w:r>
          </w:p>
        </w:tc>
      </w:tr>
      <w:tr w:rsidR="007D17C5" w:rsidRPr="00143624" w:rsidTr="009558BE">
        <w:tc>
          <w:tcPr>
            <w:tcW w:w="479" w:type="pct"/>
            <w:shd w:val="clear" w:color="auto" w:fill="auto"/>
          </w:tcPr>
          <w:p w:rsidR="007D17C5" w:rsidRPr="00143624" w:rsidRDefault="007D17C5" w:rsidP="009558BE">
            <w:pPr>
              <w:pStyle w:val="Tabletext"/>
            </w:pPr>
            <w:r w:rsidRPr="00143624">
              <w:t>17</w:t>
            </w:r>
          </w:p>
        </w:tc>
        <w:tc>
          <w:tcPr>
            <w:tcW w:w="4521" w:type="pct"/>
            <w:shd w:val="clear" w:color="auto" w:fill="auto"/>
          </w:tcPr>
          <w:p w:rsidR="007D17C5" w:rsidRPr="00143624" w:rsidRDefault="007D17C5" w:rsidP="009558BE">
            <w:pPr>
              <w:pStyle w:val="Tabletext"/>
            </w:pPr>
            <w:r w:rsidRPr="00143624">
              <w:t>Nasdaq Copenhagen</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Finland</w:t>
            </w:r>
          </w:p>
        </w:tc>
      </w:tr>
      <w:tr w:rsidR="007D17C5" w:rsidRPr="00143624" w:rsidTr="009558BE">
        <w:tc>
          <w:tcPr>
            <w:tcW w:w="479" w:type="pct"/>
            <w:shd w:val="clear" w:color="auto" w:fill="auto"/>
          </w:tcPr>
          <w:p w:rsidR="007D17C5" w:rsidRPr="00143624" w:rsidRDefault="007D17C5" w:rsidP="009558BE">
            <w:pPr>
              <w:pStyle w:val="Tabletext"/>
            </w:pPr>
            <w:r w:rsidRPr="00143624">
              <w:t>18</w:t>
            </w:r>
          </w:p>
        </w:tc>
        <w:tc>
          <w:tcPr>
            <w:tcW w:w="4521" w:type="pct"/>
            <w:shd w:val="clear" w:color="auto" w:fill="auto"/>
          </w:tcPr>
          <w:p w:rsidR="007D17C5" w:rsidRPr="00143624" w:rsidRDefault="007D17C5" w:rsidP="009558BE">
            <w:pPr>
              <w:pStyle w:val="Tabletext"/>
            </w:pPr>
            <w:r w:rsidRPr="00143624">
              <w:t>Nasdaq Helsinki</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France</w:t>
            </w:r>
          </w:p>
        </w:tc>
      </w:tr>
      <w:tr w:rsidR="007D17C5" w:rsidRPr="00143624" w:rsidTr="009558BE">
        <w:tc>
          <w:tcPr>
            <w:tcW w:w="479" w:type="pct"/>
            <w:shd w:val="clear" w:color="auto" w:fill="auto"/>
          </w:tcPr>
          <w:p w:rsidR="007D17C5" w:rsidRPr="00143624" w:rsidRDefault="007D17C5" w:rsidP="009558BE">
            <w:pPr>
              <w:pStyle w:val="Tabletext"/>
            </w:pPr>
            <w:r w:rsidRPr="00143624">
              <w:t>19</w:t>
            </w:r>
          </w:p>
        </w:tc>
        <w:tc>
          <w:tcPr>
            <w:tcW w:w="4521" w:type="pct"/>
            <w:shd w:val="clear" w:color="auto" w:fill="auto"/>
          </w:tcPr>
          <w:p w:rsidR="007D17C5" w:rsidRPr="00143624" w:rsidRDefault="007D17C5" w:rsidP="009558BE">
            <w:pPr>
              <w:pStyle w:val="Tabletext"/>
            </w:pPr>
            <w:r w:rsidRPr="00143624">
              <w:t>Euronext Paris</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Germany</w:t>
            </w:r>
          </w:p>
        </w:tc>
      </w:tr>
      <w:tr w:rsidR="007D17C5" w:rsidRPr="00143624" w:rsidTr="009558BE">
        <w:tc>
          <w:tcPr>
            <w:tcW w:w="479" w:type="pct"/>
            <w:shd w:val="clear" w:color="auto" w:fill="auto"/>
          </w:tcPr>
          <w:p w:rsidR="007D17C5" w:rsidRPr="00143624" w:rsidRDefault="007D17C5" w:rsidP="009558BE">
            <w:pPr>
              <w:pStyle w:val="Tabletext"/>
            </w:pPr>
            <w:r w:rsidRPr="00143624">
              <w:t>20</w:t>
            </w:r>
          </w:p>
        </w:tc>
        <w:tc>
          <w:tcPr>
            <w:tcW w:w="4521" w:type="pct"/>
            <w:shd w:val="clear" w:color="auto" w:fill="auto"/>
          </w:tcPr>
          <w:p w:rsidR="007D17C5" w:rsidRPr="00143624" w:rsidRDefault="007D17C5" w:rsidP="009558BE">
            <w:pPr>
              <w:pStyle w:val="Tabletext"/>
            </w:pPr>
            <w:r w:rsidRPr="00143624">
              <w:t>Berlin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21</w:t>
            </w:r>
          </w:p>
        </w:tc>
        <w:tc>
          <w:tcPr>
            <w:tcW w:w="4521" w:type="pct"/>
            <w:shd w:val="clear" w:color="auto" w:fill="auto"/>
          </w:tcPr>
          <w:p w:rsidR="007D17C5" w:rsidRPr="00143624" w:rsidRDefault="007D17C5" w:rsidP="009558BE">
            <w:pPr>
              <w:pStyle w:val="Tabletext"/>
            </w:pPr>
            <w:r w:rsidRPr="00143624">
              <w:t>Dusseldorf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22</w:t>
            </w:r>
          </w:p>
        </w:tc>
        <w:tc>
          <w:tcPr>
            <w:tcW w:w="4521" w:type="pct"/>
            <w:shd w:val="clear" w:color="auto" w:fill="auto"/>
          </w:tcPr>
          <w:p w:rsidR="007D17C5" w:rsidRPr="00143624" w:rsidRDefault="007D17C5" w:rsidP="009558BE">
            <w:pPr>
              <w:pStyle w:val="Tabletext"/>
            </w:pPr>
            <w:r w:rsidRPr="00143624">
              <w:t>Frankfurt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23</w:t>
            </w:r>
          </w:p>
        </w:tc>
        <w:tc>
          <w:tcPr>
            <w:tcW w:w="4521" w:type="pct"/>
            <w:shd w:val="clear" w:color="auto" w:fill="auto"/>
          </w:tcPr>
          <w:p w:rsidR="007D17C5" w:rsidRPr="00143624" w:rsidRDefault="007D17C5" w:rsidP="009558BE">
            <w:pPr>
              <w:pStyle w:val="Tabletext"/>
            </w:pPr>
            <w:r w:rsidRPr="00143624">
              <w:t>Hamburg Exchange</w:t>
            </w:r>
          </w:p>
        </w:tc>
      </w:tr>
      <w:tr w:rsidR="007D17C5" w:rsidRPr="00143624" w:rsidTr="009558BE">
        <w:tc>
          <w:tcPr>
            <w:tcW w:w="479" w:type="pct"/>
            <w:shd w:val="clear" w:color="auto" w:fill="auto"/>
          </w:tcPr>
          <w:p w:rsidR="007D17C5" w:rsidRPr="00143624" w:rsidRDefault="007D17C5" w:rsidP="009558BE">
            <w:pPr>
              <w:pStyle w:val="Tabletext"/>
            </w:pPr>
            <w:r w:rsidRPr="00143624">
              <w:t>24</w:t>
            </w:r>
          </w:p>
        </w:tc>
        <w:tc>
          <w:tcPr>
            <w:tcW w:w="4521" w:type="pct"/>
            <w:shd w:val="clear" w:color="auto" w:fill="auto"/>
          </w:tcPr>
          <w:p w:rsidR="007D17C5" w:rsidRPr="00143624" w:rsidRDefault="007D17C5" w:rsidP="009558BE">
            <w:pPr>
              <w:pStyle w:val="Tabletext"/>
            </w:pPr>
            <w:r w:rsidRPr="00143624">
              <w:t>Hannover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25</w:t>
            </w:r>
          </w:p>
        </w:tc>
        <w:tc>
          <w:tcPr>
            <w:tcW w:w="4521" w:type="pct"/>
            <w:shd w:val="clear" w:color="auto" w:fill="auto"/>
          </w:tcPr>
          <w:p w:rsidR="007D17C5" w:rsidRPr="00143624" w:rsidRDefault="007D17C5" w:rsidP="009558BE">
            <w:pPr>
              <w:pStyle w:val="Tabletext"/>
            </w:pPr>
            <w:r w:rsidRPr="00143624">
              <w:t>Munich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26</w:t>
            </w:r>
          </w:p>
        </w:tc>
        <w:tc>
          <w:tcPr>
            <w:tcW w:w="4521" w:type="pct"/>
            <w:shd w:val="clear" w:color="auto" w:fill="auto"/>
          </w:tcPr>
          <w:p w:rsidR="007D17C5" w:rsidRPr="00143624" w:rsidRDefault="007D17C5" w:rsidP="009558BE">
            <w:pPr>
              <w:pStyle w:val="Tabletext"/>
            </w:pPr>
            <w:r w:rsidRPr="00143624">
              <w:t>Stuttgart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Greece</w:t>
            </w:r>
          </w:p>
        </w:tc>
      </w:tr>
      <w:tr w:rsidR="007D17C5" w:rsidRPr="00143624" w:rsidTr="009558BE">
        <w:tc>
          <w:tcPr>
            <w:tcW w:w="479" w:type="pct"/>
            <w:shd w:val="clear" w:color="auto" w:fill="auto"/>
          </w:tcPr>
          <w:p w:rsidR="007D17C5" w:rsidRPr="00143624" w:rsidRDefault="007D17C5" w:rsidP="009558BE">
            <w:pPr>
              <w:pStyle w:val="Tabletext"/>
            </w:pPr>
            <w:r w:rsidRPr="00143624">
              <w:t>27</w:t>
            </w:r>
          </w:p>
        </w:tc>
        <w:tc>
          <w:tcPr>
            <w:tcW w:w="4521" w:type="pct"/>
            <w:shd w:val="clear" w:color="auto" w:fill="auto"/>
          </w:tcPr>
          <w:p w:rsidR="007D17C5" w:rsidRPr="00143624" w:rsidRDefault="007D17C5" w:rsidP="009558BE">
            <w:pPr>
              <w:pStyle w:val="Tabletext"/>
            </w:pPr>
            <w:r w:rsidRPr="00143624">
              <w:t>Athens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Hong Kong</w:t>
            </w:r>
          </w:p>
        </w:tc>
      </w:tr>
      <w:tr w:rsidR="007D17C5" w:rsidRPr="00143624" w:rsidTr="009558BE">
        <w:tc>
          <w:tcPr>
            <w:tcW w:w="479" w:type="pct"/>
            <w:shd w:val="clear" w:color="auto" w:fill="auto"/>
          </w:tcPr>
          <w:p w:rsidR="007D17C5" w:rsidRPr="00143624" w:rsidRDefault="007D17C5" w:rsidP="009558BE">
            <w:pPr>
              <w:pStyle w:val="Tabletext"/>
            </w:pPr>
            <w:r w:rsidRPr="00143624">
              <w:t>28</w:t>
            </w:r>
          </w:p>
        </w:tc>
        <w:tc>
          <w:tcPr>
            <w:tcW w:w="4521" w:type="pct"/>
            <w:shd w:val="clear" w:color="auto" w:fill="auto"/>
          </w:tcPr>
          <w:p w:rsidR="007D17C5" w:rsidRPr="00143624" w:rsidRDefault="007D17C5" w:rsidP="009558BE">
            <w:pPr>
              <w:pStyle w:val="Tabletext"/>
            </w:pPr>
            <w:r w:rsidRPr="00143624">
              <w:t>Hong Kong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Hungary</w:t>
            </w:r>
          </w:p>
        </w:tc>
      </w:tr>
      <w:tr w:rsidR="007D17C5" w:rsidRPr="00143624" w:rsidTr="009558BE">
        <w:tc>
          <w:tcPr>
            <w:tcW w:w="479" w:type="pct"/>
            <w:shd w:val="clear" w:color="auto" w:fill="auto"/>
          </w:tcPr>
          <w:p w:rsidR="007D17C5" w:rsidRPr="00143624" w:rsidRDefault="007D17C5" w:rsidP="009558BE">
            <w:pPr>
              <w:pStyle w:val="Tabletext"/>
            </w:pPr>
            <w:r w:rsidRPr="00143624">
              <w:t>29</w:t>
            </w:r>
          </w:p>
        </w:tc>
        <w:tc>
          <w:tcPr>
            <w:tcW w:w="4521" w:type="pct"/>
            <w:shd w:val="clear" w:color="auto" w:fill="auto"/>
          </w:tcPr>
          <w:p w:rsidR="007D17C5" w:rsidRPr="00143624" w:rsidRDefault="007D17C5" w:rsidP="009558BE">
            <w:pPr>
              <w:pStyle w:val="Tabletext"/>
            </w:pPr>
            <w:r w:rsidRPr="00143624">
              <w:t>Budapest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India</w:t>
            </w:r>
          </w:p>
        </w:tc>
      </w:tr>
      <w:tr w:rsidR="007D17C5" w:rsidRPr="00143624" w:rsidTr="009558BE">
        <w:tc>
          <w:tcPr>
            <w:tcW w:w="479" w:type="pct"/>
            <w:shd w:val="clear" w:color="auto" w:fill="auto"/>
          </w:tcPr>
          <w:p w:rsidR="007D17C5" w:rsidRPr="00143624" w:rsidRDefault="007D17C5" w:rsidP="009558BE">
            <w:pPr>
              <w:pStyle w:val="Tabletext"/>
            </w:pPr>
            <w:r w:rsidRPr="00143624">
              <w:t>30</w:t>
            </w:r>
          </w:p>
        </w:tc>
        <w:tc>
          <w:tcPr>
            <w:tcW w:w="4521" w:type="pct"/>
            <w:shd w:val="clear" w:color="auto" w:fill="auto"/>
          </w:tcPr>
          <w:p w:rsidR="007D17C5" w:rsidRPr="00143624" w:rsidRDefault="007D17C5" w:rsidP="009558BE">
            <w:pPr>
              <w:pStyle w:val="Tabletext"/>
            </w:pPr>
            <w:r w:rsidRPr="00143624">
              <w:t>Bombay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31</w:t>
            </w:r>
          </w:p>
        </w:tc>
        <w:tc>
          <w:tcPr>
            <w:tcW w:w="4521" w:type="pct"/>
            <w:shd w:val="clear" w:color="auto" w:fill="auto"/>
          </w:tcPr>
          <w:p w:rsidR="007D17C5" w:rsidRPr="00143624" w:rsidRDefault="007D17C5" w:rsidP="009558BE">
            <w:pPr>
              <w:pStyle w:val="Tabletext"/>
            </w:pPr>
            <w:r w:rsidRPr="00143624">
              <w:t>Calcutta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32</w:t>
            </w:r>
          </w:p>
        </w:tc>
        <w:tc>
          <w:tcPr>
            <w:tcW w:w="4521" w:type="pct"/>
            <w:shd w:val="clear" w:color="auto" w:fill="auto"/>
          </w:tcPr>
          <w:p w:rsidR="007D17C5" w:rsidRPr="00143624" w:rsidRDefault="007D17C5" w:rsidP="009558BE">
            <w:pPr>
              <w:pStyle w:val="Tabletext"/>
            </w:pPr>
            <w:r w:rsidRPr="00143624">
              <w:t>National Stock Exchange of India</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Indonesia</w:t>
            </w:r>
          </w:p>
        </w:tc>
      </w:tr>
      <w:tr w:rsidR="007D17C5" w:rsidRPr="00143624" w:rsidTr="009558BE">
        <w:tc>
          <w:tcPr>
            <w:tcW w:w="479" w:type="pct"/>
            <w:shd w:val="clear" w:color="auto" w:fill="auto"/>
          </w:tcPr>
          <w:p w:rsidR="007D17C5" w:rsidRPr="00143624" w:rsidRDefault="007D17C5" w:rsidP="009558BE">
            <w:pPr>
              <w:pStyle w:val="Tabletext"/>
            </w:pPr>
            <w:r w:rsidRPr="00143624">
              <w:t>33</w:t>
            </w:r>
          </w:p>
        </w:tc>
        <w:tc>
          <w:tcPr>
            <w:tcW w:w="4521" w:type="pct"/>
            <w:shd w:val="clear" w:color="auto" w:fill="auto"/>
          </w:tcPr>
          <w:p w:rsidR="007D17C5" w:rsidRPr="00143624" w:rsidRDefault="007D17C5" w:rsidP="009558BE">
            <w:pPr>
              <w:pStyle w:val="Tabletext"/>
            </w:pPr>
            <w:r w:rsidRPr="00143624">
              <w:t>Indonesia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Ireland</w:t>
            </w:r>
          </w:p>
        </w:tc>
      </w:tr>
      <w:tr w:rsidR="007D17C5" w:rsidRPr="00143624" w:rsidTr="009558BE">
        <w:tc>
          <w:tcPr>
            <w:tcW w:w="479" w:type="pct"/>
            <w:shd w:val="clear" w:color="auto" w:fill="auto"/>
          </w:tcPr>
          <w:p w:rsidR="007D17C5" w:rsidRPr="00143624" w:rsidRDefault="007D17C5" w:rsidP="009558BE">
            <w:pPr>
              <w:pStyle w:val="Tabletext"/>
            </w:pPr>
            <w:r w:rsidRPr="00143624">
              <w:t>34</w:t>
            </w:r>
          </w:p>
        </w:tc>
        <w:tc>
          <w:tcPr>
            <w:tcW w:w="4521" w:type="pct"/>
            <w:shd w:val="clear" w:color="auto" w:fill="auto"/>
          </w:tcPr>
          <w:p w:rsidR="007D17C5" w:rsidRPr="00143624" w:rsidRDefault="007D17C5" w:rsidP="009558BE">
            <w:pPr>
              <w:pStyle w:val="Tabletext"/>
            </w:pPr>
            <w:r w:rsidRPr="00143624">
              <w:t>Euronext Dublin</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Israel</w:t>
            </w:r>
          </w:p>
        </w:tc>
      </w:tr>
      <w:tr w:rsidR="007D17C5" w:rsidRPr="00143624" w:rsidTr="009558BE">
        <w:tc>
          <w:tcPr>
            <w:tcW w:w="479" w:type="pct"/>
            <w:shd w:val="clear" w:color="auto" w:fill="auto"/>
          </w:tcPr>
          <w:p w:rsidR="007D17C5" w:rsidRPr="00143624" w:rsidRDefault="007D17C5" w:rsidP="009558BE">
            <w:pPr>
              <w:pStyle w:val="Tabletext"/>
            </w:pPr>
            <w:r w:rsidRPr="00143624">
              <w:t>35</w:t>
            </w:r>
          </w:p>
        </w:tc>
        <w:tc>
          <w:tcPr>
            <w:tcW w:w="4521" w:type="pct"/>
            <w:shd w:val="clear" w:color="auto" w:fill="auto"/>
          </w:tcPr>
          <w:p w:rsidR="007D17C5" w:rsidRPr="00143624" w:rsidRDefault="007D17C5" w:rsidP="009558BE">
            <w:pPr>
              <w:pStyle w:val="Tabletext"/>
            </w:pPr>
            <w:r w:rsidRPr="00143624">
              <w:t>Tel Aviv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Italy</w:t>
            </w:r>
          </w:p>
        </w:tc>
      </w:tr>
      <w:tr w:rsidR="007D17C5" w:rsidRPr="00143624" w:rsidTr="009558BE">
        <w:tc>
          <w:tcPr>
            <w:tcW w:w="479" w:type="pct"/>
            <w:shd w:val="clear" w:color="auto" w:fill="auto"/>
          </w:tcPr>
          <w:p w:rsidR="007D17C5" w:rsidRPr="00143624" w:rsidRDefault="007D17C5" w:rsidP="009558BE">
            <w:pPr>
              <w:pStyle w:val="Tabletext"/>
            </w:pPr>
            <w:r w:rsidRPr="00143624">
              <w:t>36</w:t>
            </w:r>
          </w:p>
        </w:tc>
        <w:tc>
          <w:tcPr>
            <w:tcW w:w="4521" w:type="pct"/>
            <w:shd w:val="clear" w:color="auto" w:fill="auto"/>
          </w:tcPr>
          <w:p w:rsidR="007D17C5" w:rsidRPr="00143624" w:rsidRDefault="007D17C5" w:rsidP="009558BE">
            <w:pPr>
              <w:pStyle w:val="Tabletext"/>
            </w:pPr>
            <w:r w:rsidRPr="00143624">
              <w:t>Italian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Jamaica</w:t>
            </w:r>
          </w:p>
        </w:tc>
      </w:tr>
      <w:tr w:rsidR="007D17C5" w:rsidRPr="00143624" w:rsidTr="009558BE">
        <w:tc>
          <w:tcPr>
            <w:tcW w:w="479" w:type="pct"/>
            <w:shd w:val="clear" w:color="auto" w:fill="auto"/>
          </w:tcPr>
          <w:p w:rsidR="007D17C5" w:rsidRPr="00143624" w:rsidRDefault="007D17C5" w:rsidP="009558BE">
            <w:pPr>
              <w:pStyle w:val="Tabletext"/>
            </w:pPr>
            <w:r w:rsidRPr="00143624">
              <w:t>37</w:t>
            </w:r>
          </w:p>
        </w:tc>
        <w:tc>
          <w:tcPr>
            <w:tcW w:w="4521" w:type="pct"/>
            <w:shd w:val="clear" w:color="auto" w:fill="auto"/>
          </w:tcPr>
          <w:p w:rsidR="007D17C5" w:rsidRPr="00143624" w:rsidRDefault="007D17C5" w:rsidP="009558BE">
            <w:pPr>
              <w:pStyle w:val="Tabletext"/>
            </w:pPr>
            <w:r w:rsidRPr="00143624">
              <w:t>Jamaica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Japan</w:t>
            </w:r>
          </w:p>
        </w:tc>
      </w:tr>
      <w:tr w:rsidR="007D17C5" w:rsidRPr="00143624" w:rsidTr="009558BE">
        <w:tc>
          <w:tcPr>
            <w:tcW w:w="479" w:type="pct"/>
            <w:shd w:val="clear" w:color="auto" w:fill="auto"/>
          </w:tcPr>
          <w:p w:rsidR="007D17C5" w:rsidRPr="00143624" w:rsidRDefault="007D17C5" w:rsidP="009558BE">
            <w:pPr>
              <w:pStyle w:val="Tabletext"/>
            </w:pPr>
            <w:r w:rsidRPr="00143624">
              <w:t>38</w:t>
            </w:r>
          </w:p>
        </w:tc>
        <w:tc>
          <w:tcPr>
            <w:tcW w:w="4521" w:type="pct"/>
            <w:shd w:val="clear" w:color="auto" w:fill="auto"/>
          </w:tcPr>
          <w:p w:rsidR="007D17C5" w:rsidRPr="00143624" w:rsidRDefault="007D17C5" w:rsidP="009558BE">
            <w:pPr>
              <w:pStyle w:val="Tabletext"/>
            </w:pPr>
            <w:r w:rsidRPr="00143624">
              <w:t>Fukuoka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39</w:t>
            </w:r>
          </w:p>
        </w:tc>
        <w:tc>
          <w:tcPr>
            <w:tcW w:w="4521" w:type="pct"/>
            <w:shd w:val="clear" w:color="auto" w:fill="auto"/>
          </w:tcPr>
          <w:p w:rsidR="007D17C5" w:rsidRPr="00143624" w:rsidRDefault="007D17C5" w:rsidP="009558BE">
            <w:pPr>
              <w:pStyle w:val="Tabletext"/>
            </w:pPr>
            <w:r w:rsidRPr="00143624">
              <w:t>Nagoya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40</w:t>
            </w:r>
          </w:p>
        </w:tc>
        <w:tc>
          <w:tcPr>
            <w:tcW w:w="4521" w:type="pct"/>
            <w:shd w:val="clear" w:color="auto" w:fill="auto"/>
          </w:tcPr>
          <w:p w:rsidR="007D17C5" w:rsidRPr="00143624" w:rsidRDefault="007D17C5" w:rsidP="009558BE">
            <w:pPr>
              <w:pStyle w:val="Tabletext"/>
            </w:pPr>
            <w:r w:rsidRPr="00143624">
              <w:t>Osaka Securities Exchange</w:t>
            </w:r>
          </w:p>
        </w:tc>
      </w:tr>
      <w:tr w:rsidR="007D17C5" w:rsidRPr="00143624" w:rsidTr="009558BE">
        <w:tc>
          <w:tcPr>
            <w:tcW w:w="479" w:type="pct"/>
            <w:shd w:val="clear" w:color="auto" w:fill="auto"/>
          </w:tcPr>
          <w:p w:rsidR="007D17C5" w:rsidRPr="00143624" w:rsidRDefault="007D17C5" w:rsidP="009558BE">
            <w:pPr>
              <w:pStyle w:val="Tabletext"/>
            </w:pPr>
            <w:r w:rsidRPr="00143624">
              <w:t>41</w:t>
            </w:r>
          </w:p>
        </w:tc>
        <w:tc>
          <w:tcPr>
            <w:tcW w:w="4521" w:type="pct"/>
            <w:shd w:val="clear" w:color="auto" w:fill="auto"/>
          </w:tcPr>
          <w:p w:rsidR="007D17C5" w:rsidRPr="00143624" w:rsidRDefault="007D17C5" w:rsidP="009558BE">
            <w:pPr>
              <w:pStyle w:val="Tabletext"/>
            </w:pPr>
            <w:r w:rsidRPr="00143624">
              <w:t>Sapporo Securities Exchange</w:t>
            </w:r>
          </w:p>
        </w:tc>
      </w:tr>
      <w:tr w:rsidR="007D17C5" w:rsidRPr="00143624" w:rsidTr="009558BE">
        <w:tc>
          <w:tcPr>
            <w:tcW w:w="479" w:type="pct"/>
            <w:shd w:val="clear" w:color="auto" w:fill="auto"/>
          </w:tcPr>
          <w:p w:rsidR="007D17C5" w:rsidRPr="00143624" w:rsidRDefault="007D17C5" w:rsidP="009558BE">
            <w:pPr>
              <w:pStyle w:val="Tabletext"/>
            </w:pPr>
            <w:r w:rsidRPr="00143624">
              <w:t>42</w:t>
            </w:r>
          </w:p>
        </w:tc>
        <w:tc>
          <w:tcPr>
            <w:tcW w:w="4521" w:type="pct"/>
            <w:shd w:val="clear" w:color="auto" w:fill="auto"/>
          </w:tcPr>
          <w:p w:rsidR="007D17C5" w:rsidRPr="00143624" w:rsidRDefault="007D17C5" w:rsidP="009558BE">
            <w:pPr>
              <w:pStyle w:val="Tabletext"/>
            </w:pPr>
            <w:r w:rsidRPr="00143624">
              <w:t>Tokyo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Korea, Republic of</w:t>
            </w:r>
          </w:p>
        </w:tc>
      </w:tr>
      <w:tr w:rsidR="007D17C5" w:rsidRPr="00143624" w:rsidTr="009558BE">
        <w:tc>
          <w:tcPr>
            <w:tcW w:w="479" w:type="pct"/>
            <w:shd w:val="clear" w:color="auto" w:fill="auto"/>
          </w:tcPr>
          <w:p w:rsidR="007D17C5" w:rsidRPr="00143624" w:rsidRDefault="007D17C5" w:rsidP="009558BE">
            <w:pPr>
              <w:pStyle w:val="Tabletext"/>
            </w:pPr>
            <w:r w:rsidRPr="00143624">
              <w:t>43</w:t>
            </w:r>
          </w:p>
        </w:tc>
        <w:tc>
          <w:tcPr>
            <w:tcW w:w="4521" w:type="pct"/>
            <w:shd w:val="clear" w:color="auto" w:fill="auto"/>
          </w:tcPr>
          <w:p w:rsidR="007D17C5" w:rsidRPr="00143624" w:rsidRDefault="007D17C5" w:rsidP="009558BE">
            <w:pPr>
              <w:pStyle w:val="Tabletext"/>
            </w:pPr>
            <w:r w:rsidRPr="00143624">
              <w:t>Korea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Luxembourg</w:t>
            </w:r>
          </w:p>
        </w:tc>
      </w:tr>
      <w:tr w:rsidR="007D17C5" w:rsidRPr="00143624" w:rsidTr="009558BE">
        <w:tc>
          <w:tcPr>
            <w:tcW w:w="479" w:type="pct"/>
            <w:shd w:val="clear" w:color="auto" w:fill="auto"/>
          </w:tcPr>
          <w:p w:rsidR="007D17C5" w:rsidRPr="00143624" w:rsidRDefault="007D17C5" w:rsidP="009558BE">
            <w:pPr>
              <w:pStyle w:val="Tabletext"/>
            </w:pPr>
            <w:r w:rsidRPr="00143624">
              <w:t>44</w:t>
            </w:r>
          </w:p>
        </w:tc>
        <w:tc>
          <w:tcPr>
            <w:tcW w:w="4521" w:type="pct"/>
            <w:shd w:val="clear" w:color="auto" w:fill="auto"/>
          </w:tcPr>
          <w:p w:rsidR="007D17C5" w:rsidRPr="00143624" w:rsidRDefault="007D17C5" w:rsidP="009558BE">
            <w:pPr>
              <w:pStyle w:val="Tabletext"/>
            </w:pPr>
            <w:r w:rsidRPr="00143624">
              <w:t>Luxembourg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Malaysia</w:t>
            </w:r>
          </w:p>
        </w:tc>
      </w:tr>
      <w:tr w:rsidR="007D17C5" w:rsidRPr="00143624" w:rsidTr="009558BE">
        <w:tc>
          <w:tcPr>
            <w:tcW w:w="479" w:type="pct"/>
            <w:shd w:val="clear" w:color="auto" w:fill="auto"/>
          </w:tcPr>
          <w:p w:rsidR="007D17C5" w:rsidRPr="00143624" w:rsidRDefault="007D17C5" w:rsidP="009558BE">
            <w:pPr>
              <w:pStyle w:val="Tabletext"/>
            </w:pPr>
            <w:r w:rsidRPr="00143624">
              <w:t>45</w:t>
            </w:r>
          </w:p>
        </w:tc>
        <w:tc>
          <w:tcPr>
            <w:tcW w:w="4521" w:type="pct"/>
            <w:shd w:val="clear" w:color="auto" w:fill="auto"/>
          </w:tcPr>
          <w:p w:rsidR="007D17C5" w:rsidRPr="00143624" w:rsidRDefault="007D17C5" w:rsidP="009558BE">
            <w:pPr>
              <w:pStyle w:val="Tabletext"/>
            </w:pPr>
            <w:r w:rsidRPr="00143624">
              <w:t>Bursa Malaysia</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Mexico</w:t>
            </w:r>
          </w:p>
        </w:tc>
      </w:tr>
      <w:tr w:rsidR="007D17C5" w:rsidRPr="00143624" w:rsidTr="009558BE">
        <w:tc>
          <w:tcPr>
            <w:tcW w:w="479" w:type="pct"/>
            <w:shd w:val="clear" w:color="auto" w:fill="auto"/>
          </w:tcPr>
          <w:p w:rsidR="007D17C5" w:rsidRPr="00143624" w:rsidRDefault="007D17C5" w:rsidP="009558BE">
            <w:pPr>
              <w:pStyle w:val="Tabletext"/>
            </w:pPr>
            <w:r w:rsidRPr="00143624">
              <w:t>46</w:t>
            </w:r>
          </w:p>
        </w:tc>
        <w:tc>
          <w:tcPr>
            <w:tcW w:w="4521" w:type="pct"/>
            <w:shd w:val="clear" w:color="auto" w:fill="auto"/>
          </w:tcPr>
          <w:p w:rsidR="007D17C5" w:rsidRPr="00143624" w:rsidRDefault="007D17C5" w:rsidP="009558BE">
            <w:pPr>
              <w:pStyle w:val="Tabletext"/>
            </w:pPr>
            <w:r w:rsidRPr="00143624">
              <w:t>Mexican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Netherlands</w:t>
            </w:r>
          </w:p>
        </w:tc>
      </w:tr>
      <w:tr w:rsidR="007D17C5" w:rsidRPr="00143624" w:rsidTr="009558BE">
        <w:tc>
          <w:tcPr>
            <w:tcW w:w="479" w:type="pct"/>
            <w:shd w:val="clear" w:color="auto" w:fill="auto"/>
          </w:tcPr>
          <w:p w:rsidR="007D17C5" w:rsidRPr="00143624" w:rsidRDefault="007D17C5" w:rsidP="009558BE">
            <w:pPr>
              <w:pStyle w:val="Tabletext"/>
            </w:pPr>
            <w:r w:rsidRPr="00143624">
              <w:t>47</w:t>
            </w:r>
          </w:p>
        </w:tc>
        <w:tc>
          <w:tcPr>
            <w:tcW w:w="4521" w:type="pct"/>
            <w:shd w:val="clear" w:color="auto" w:fill="auto"/>
          </w:tcPr>
          <w:p w:rsidR="007D17C5" w:rsidRPr="00143624" w:rsidRDefault="007D17C5" w:rsidP="009558BE">
            <w:pPr>
              <w:pStyle w:val="Tabletext"/>
            </w:pPr>
            <w:r w:rsidRPr="00143624">
              <w:t>Euronext Amsterdam</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New Zealand</w:t>
            </w:r>
          </w:p>
        </w:tc>
      </w:tr>
      <w:tr w:rsidR="007D17C5" w:rsidRPr="00143624" w:rsidTr="009558BE">
        <w:tc>
          <w:tcPr>
            <w:tcW w:w="479" w:type="pct"/>
            <w:shd w:val="clear" w:color="auto" w:fill="auto"/>
          </w:tcPr>
          <w:p w:rsidR="007D17C5" w:rsidRPr="00143624" w:rsidRDefault="007D17C5" w:rsidP="009558BE">
            <w:pPr>
              <w:pStyle w:val="Tabletext"/>
            </w:pPr>
            <w:r w:rsidRPr="00143624">
              <w:t>48</w:t>
            </w:r>
          </w:p>
        </w:tc>
        <w:tc>
          <w:tcPr>
            <w:tcW w:w="4521" w:type="pct"/>
            <w:shd w:val="clear" w:color="auto" w:fill="auto"/>
          </w:tcPr>
          <w:p w:rsidR="007D17C5" w:rsidRPr="00143624" w:rsidRDefault="007D17C5" w:rsidP="009558BE">
            <w:pPr>
              <w:pStyle w:val="Tabletext"/>
            </w:pPr>
            <w:r w:rsidRPr="00143624">
              <w:t>NZX, also known as New Zealand’s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Nigeria</w:t>
            </w:r>
          </w:p>
        </w:tc>
      </w:tr>
      <w:tr w:rsidR="007D17C5" w:rsidRPr="00143624" w:rsidTr="009558BE">
        <w:tc>
          <w:tcPr>
            <w:tcW w:w="479" w:type="pct"/>
            <w:shd w:val="clear" w:color="auto" w:fill="auto"/>
          </w:tcPr>
          <w:p w:rsidR="007D17C5" w:rsidRPr="00143624" w:rsidRDefault="007D17C5" w:rsidP="009558BE">
            <w:pPr>
              <w:pStyle w:val="Tabletext"/>
            </w:pPr>
            <w:r w:rsidRPr="00143624">
              <w:t>49</w:t>
            </w:r>
          </w:p>
        </w:tc>
        <w:tc>
          <w:tcPr>
            <w:tcW w:w="4521" w:type="pct"/>
            <w:shd w:val="clear" w:color="auto" w:fill="auto"/>
          </w:tcPr>
          <w:p w:rsidR="007D17C5" w:rsidRPr="00143624" w:rsidRDefault="007D17C5" w:rsidP="009558BE">
            <w:pPr>
              <w:pStyle w:val="Tabletext"/>
            </w:pPr>
            <w:r w:rsidRPr="00143624">
              <w:t>The Nigerian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Norway</w:t>
            </w:r>
          </w:p>
        </w:tc>
      </w:tr>
      <w:tr w:rsidR="007D17C5" w:rsidRPr="00143624" w:rsidTr="009558BE">
        <w:tc>
          <w:tcPr>
            <w:tcW w:w="479" w:type="pct"/>
            <w:shd w:val="clear" w:color="auto" w:fill="auto"/>
          </w:tcPr>
          <w:p w:rsidR="007D17C5" w:rsidRPr="00143624" w:rsidRDefault="007D17C5" w:rsidP="009558BE">
            <w:pPr>
              <w:pStyle w:val="Tabletext"/>
            </w:pPr>
            <w:r w:rsidRPr="00143624">
              <w:t>50</w:t>
            </w:r>
          </w:p>
        </w:tc>
        <w:tc>
          <w:tcPr>
            <w:tcW w:w="4521" w:type="pct"/>
            <w:shd w:val="clear" w:color="auto" w:fill="auto"/>
          </w:tcPr>
          <w:p w:rsidR="007D17C5" w:rsidRPr="00143624" w:rsidRDefault="007D17C5" w:rsidP="009558BE">
            <w:pPr>
              <w:pStyle w:val="Tabletext"/>
            </w:pPr>
            <w:r w:rsidRPr="00143624">
              <w:t>Oslo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Pakistan</w:t>
            </w:r>
          </w:p>
        </w:tc>
      </w:tr>
      <w:tr w:rsidR="007D17C5" w:rsidRPr="00143624" w:rsidTr="009558BE">
        <w:tc>
          <w:tcPr>
            <w:tcW w:w="479" w:type="pct"/>
            <w:shd w:val="clear" w:color="auto" w:fill="auto"/>
          </w:tcPr>
          <w:p w:rsidR="007D17C5" w:rsidRPr="00143624" w:rsidRDefault="007D17C5" w:rsidP="009558BE">
            <w:pPr>
              <w:pStyle w:val="Tabletext"/>
            </w:pPr>
            <w:r w:rsidRPr="00143624">
              <w:t>51</w:t>
            </w:r>
          </w:p>
        </w:tc>
        <w:tc>
          <w:tcPr>
            <w:tcW w:w="4521" w:type="pct"/>
            <w:shd w:val="clear" w:color="auto" w:fill="auto"/>
          </w:tcPr>
          <w:p w:rsidR="007D17C5" w:rsidRPr="00143624" w:rsidRDefault="007D17C5" w:rsidP="009558BE">
            <w:pPr>
              <w:pStyle w:val="Tabletext"/>
            </w:pPr>
            <w:r w:rsidRPr="00143624">
              <w:t>Pakistan Stock Exchange Limited</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Peru</w:t>
            </w:r>
          </w:p>
        </w:tc>
      </w:tr>
      <w:tr w:rsidR="007D17C5" w:rsidRPr="00143624" w:rsidTr="009558BE">
        <w:tc>
          <w:tcPr>
            <w:tcW w:w="479" w:type="pct"/>
            <w:shd w:val="clear" w:color="auto" w:fill="auto"/>
          </w:tcPr>
          <w:p w:rsidR="007D17C5" w:rsidRPr="00143624" w:rsidRDefault="007D17C5" w:rsidP="009558BE">
            <w:pPr>
              <w:pStyle w:val="Tabletext"/>
            </w:pPr>
            <w:r w:rsidRPr="00143624">
              <w:t>52</w:t>
            </w:r>
          </w:p>
        </w:tc>
        <w:tc>
          <w:tcPr>
            <w:tcW w:w="4521" w:type="pct"/>
            <w:shd w:val="clear" w:color="auto" w:fill="auto"/>
          </w:tcPr>
          <w:p w:rsidR="007D17C5" w:rsidRPr="00143624" w:rsidRDefault="007D17C5" w:rsidP="009558BE">
            <w:pPr>
              <w:pStyle w:val="Tabletext"/>
            </w:pPr>
            <w:r w:rsidRPr="00143624">
              <w:t>Lima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Philippines</w:t>
            </w:r>
          </w:p>
        </w:tc>
      </w:tr>
      <w:tr w:rsidR="007D17C5" w:rsidRPr="00143624" w:rsidTr="009558BE">
        <w:tc>
          <w:tcPr>
            <w:tcW w:w="479" w:type="pct"/>
            <w:shd w:val="clear" w:color="auto" w:fill="auto"/>
          </w:tcPr>
          <w:p w:rsidR="007D17C5" w:rsidRPr="00143624" w:rsidRDefault="007D17C5" w:rsidP="009558BE">
            <w:pPr>
              <w:pStyle w:val="Tabletext"/>
            </w:pPr>
            <w:r w:rsidRPr="00143624">
              <w:t>53</w:t>
            </w:r>
          </w:p>
        </w:tc>
        <w:tc>
          <w:tcPr>
            <w:tcW w:w="4521" w:type="pct"/>
            <w:shd w:val="clear" w:color="auto" w:fill="auto"/>
          </w:tcPr>
          <w:p w:rsidR="007D17C5" w:rsidRPr="00143624" w:rsidRDefault="007D17C5" w:rsidP="009558BE">
            <w:pPr>
              <w:pStyle w:val="Tabletext"/>
            </w:pPr>
            <w:r w:rsidRPr="00143624">
              <w:t>The Philippine Stock Exchange Inc.</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Poland</w:t>
            </w:r>
          </w:p>
        </w:tc>
      </w:tr>
      <w:tr w:rsidR="007D17C5" w:rsidRPr="00143624" w:rsidTr="009558BE">
        <w:tc>
          <w:tcPr>
            <w:tcW w:w="479" w:type="pct"/>
            <w:shd w:val="clear" w:color="auto" w:fill="auto"/>
          </w:tcPr>
          <w:p w:rsidR="007D17C5" w:rsidRPr="00143624" w:rsidRDefault="007D17C5" w:rsidP="009558BE">
            <w:pPr>
              <w:pStyle w:val="Tabletext"/>
            </w:pPr>
            <w:r w:rsidRPr="00143624">
              <w:t>54</w:t>
            </w:r>
          </w:p>
        </w:tc>
        <w:tc>
          <w:tcPr>
            <w:tcW w:w="4521" w:type="pct"/>
            <w:shd w:val="clear" w:color="auto" w:fill="auto"/>
          </w:tcPr>
          <w:p w:rsidR="007D17C5" w:rsidRPr="00143624" w:rsidRDefault="007D17C5" w:rsidP="009558BE">
            <w:pPr>
              <w:pStyle w:val="Tabletext"/>
            </w:pPr>
            <w:r w:rsidRPr="00143624">
              <w:t>Warsaw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Portugal</w:t>
            </w:r>
          </w:p>
        </w:tc>
      </w:tr>
      <w:tr w:rsidR="007D17C5" w:rsidRPr="00143624" w:rsidTr="009558BE">
        <w:tc>
          <w:tcPr>
            <w:tcW w:w="479" w:type="pct"/>
            <w:shd w:val="clear" w:color="auto" w:fill="auto"/>
          </w:tcPr>
          <w:p w:rsidR="007D17C5" w:rsidRPr="00143624" w:rsidRDefault="007D17C5" w:rsidP="009558BE">
            <w:pPr>
              <w:pStyle w:val="Tabletext"/>
            </w:pPr>
            <w:r w:rsidRPr="00143624">
              <w:t>55</w:t>
            </w:r>
          </w:p>
        </w:tc>
        <w:tc>
          <w:tcPr>
            <w:tcW w:w="4521" w:type="pct"/>
            <w:shd w:val="clear" w:color="auto" w:fill="auto"/>
          </w:tcPr>
          <w:p w:rsidR="007D17C5" w:rsidRPr="00143624" w:rsidRDefault="007D17C5" w:rsidP="009558BE">
            <w:pPr>
              <w:pStyle w:val="Tabletext"/>
            </w:pPr>
            <w:r w:rsidRPr="00143624">
              <w:t>Euronext Lisbon</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Serbia</w:t>
            </w:r>
          </w:p>
        </w:tc>
      </w:tr>
      <w:tr w:rsidR="007D17C5" w:rsidRPr="00143624" w:rsidTr="009558BE">
        <w:tc>
          <w:tcPr>
            <w:tcW w:w="479" w:type="pct"/>
            <w:shd w:val="clear" w:color="auto" w:fill="auto"/>
          </w:tcPr>
          <w:p w:rsidR="007D17C5" w:rsidRPr="00143624" w:rsidRDefault="007D17C5" w:rsidP="009558BE">
            <w:pPr>
              <w:pStyle w:val="Tabletext"/>
            </w:pPr>
            <w:r w:rsidRPr="00143624">
              <w:t>56</w:t>
            </w:r>
          </w:p>
        </w:tc>
        <w:tc>
          <w:tcPr>
            <w:tcW w:w="4521" w:type="pct"/>
            <w:shd w:val="clear" w:color="auto" w:fill="auto"/>
          </w:tcPr>
          <w:p w:rsidR="007D17C5" w:rsidRPr="00143624" w:rsidRDefault="007D17C5" w:rsidP="009558BE">
            <w:pPr>
              <w:pStyle w:val="Tabletext"/>
            </w:pPr>
            <w:r w:rsidRPr="00143624">
              <w:t>Belgrade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Singapore</w:t>
            </w:r>
          </w:p>
        </w:tc>
      </w:tr>
      <w:tr w:rsidR="007D17C5" w:rsidRPr="00143624" w:rsidTr="009558BE">
        <w:tc>
          <w:tcPr>
            <w:tcW w:w="479" w:type="pct"/>
            <w:shd w:val="clear" w:color="auto" w:fill="auto"/>
          </w:tcPr>
          <w:p w:rsidR="007D17C5" w:rsidRPr="00143624" w:rsidRDefault="007D17C5" w:rsidP="009558BE">
            <w:pPr>
              <w:pStyle w:val="Tabletext"/>
            </w:pPr>
            <w:r w:rsidRPr="00143624">
              <w:t>57</w:t>
            </w:r>
          </w:p>
        </w:tc>
        <w:tc>
          <w:tcPr>
            <w:tcW w:w="4521" w:type="pct"/>
            <w:shd w:val="clear" w:color="auto" w:fill="auto"/>
          </w:tcPr>
          <w:p w:rsidR="007D17C5" w:rsidRPr="00143624" w:rsidRDefault="007D17C5" w:rsidP="009558BE">
            <w:pPr>
              <w:pStyle w:val="Tabletext"/>
            </w:pPr>
            <w:r w:rsidRPr="00143624">
              <w:t>Singapore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Slovakia</w:t>
            </w:r>
          </w:p>
        </w:tc>
      </w:tr>
      <w:tr w:rsidR="007D17C5" w:rsidRPr="00143624" w:rsidTr="009558BE">
        <w:tc>
          <w:tcPr>
            <w:tcW w:w="479" w:type="pct"/>
            <w:shd w:val="clear" w:color="auto" w:fill="auto"/>
          </w:tcPr>
          <w:p w:rsidR="007D17C5" w:rsidRPr="00143624" w:rsidRDefault="007D17C5" w:rsidP="009558BE">
            <w:pPr>
              <w:pStyle w:val="Tabletext"/>
            </w:pPr>
            <w:r w:rsidRPr="00143624">
              <w:t>58</w:t>
            </w:r>
          </w:p>
        </w:tc>
        <w:tc>
          <w:tcPr>
            <w:tcW w:w="4521" w:type="pct"/>
            <w:shd w:val="clear" w:color="auto" w:fill="auto"/>
          </w:tcPr>
          <w:p w:rsidR="007D17C5" w:rsidRPr="00143624" w:rsidRDefault="007D17C5" w:rsidP="009558BE">
            <w:pPr>
              <w:pStyle w:val="Tabletext"/>
            </w:pPr>
            <w:r w:rsidRPr="00143624">
              <w:t>Bratislava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Slovenia</w:t>
            </w:r>
          </w:p>
        </w:tc>
      </w:tr>
      <w:tr w:rsidR="007D17C5" w:rsidRPr="00143624" w:rsidTr="009558BE">
        <w:tc>
          <w:tcPr>
            <w:tcW w:w="479" w:type="pct"/>
            <w:shd w:val="clear" w:color="auto" w:fill="auto"/>
          </w:tcPr>
          <w:p w:rsidR="007D17C5" w:rsidRPr="00143624" w:rsidRDefault="007D17C5" w:rsidP="009558BE">
            <w:pPr>
              <w:pStyle w:val="Tabletext"/>
            </w:pPr>
            <w:r w:rsidRPr="00143624">
              <w:t>59</w:t>
            </w:r>
          </w:p>
        </w:tc>
        <w:tc>
          <w:tcPr>
            <w:tcW w:w="4521" w:type="pct"/>
            <w:shd w:val="clear" w:color="auto" w:fill="auto"/>
          </w:tcPr>
          <w:p w:rsidR="007D17C5" w:rsidRPr="00143624" w:rsidRDefault="007D17C5" w:rsidP="009558BE">
            <w:pPr>
              <w:pStyle w:val="Tabletext"/>
            </w:pPr>
            <w:r w:rsidRPr="00143624">
              <w:t>Ljubljana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South Africa</w:t>
            </w:r>
          </w:p>
        </w:tc>
      </w:tr>
      <w:tr w:rsidR="007D17C5" w:rsidRPr="00143624" w:rsidTr="009558BE">
        <w:tc>
          <w:tcPr>
            <w:tcW w:w="479" w:type="pct"/>
            <w:shd w:val="clear" w:color="auto" w:fill="auto"/>
          </w:tcPr>
          <w:p w:rsidR="007D17C5" w:rsidRPr="00143624" w:rsidRDefault="007D17C5" w:rsidP="009558BE">
            <w:pPr>
              <w:pStyle w:val="Tabletext"/>
            </w:pPr>
            <w:r w:rsidRPr="00143624">
              <w:t>60</w:t>
            </w:r>
          </w:p>
        </w:tc>
        <w:tc>
          <w:tcPr>
            <w:tcW w:w="4521" w:type="pct"/>
            <w:shd w:val="clear" w:color="auto" w:fill="auto"/>
          </w:tcPr>
          <w:p w:rsidR="007D17C5" w:rsidRPr="00143624" w:rsidRDefault="007D17C5" w:rsidP="009558BE">
            <w:pPr>
              <w:pStyle w:val="Tabletext"/>
            </w:pPr>
            <w:r w:rsidRPr="00143624">
              <w:t>Johannesburg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Spain</w:t>
            </w:r>
          </w:p>
        </w:tc>
      </w:tr>
      <w:tr w:rsidR="007D17C5" w:rsidRPr="00143624" w:rsidTr="009558BE">
        <w:tc>
          <w:tcPr>
            <w:tcW w:w="479" w:type="pct"/>
            <w:shd w:val="clear" w:color="auto" w:fill="auto"/>
          </w:tcPr>
          <w:p w:rsidR="007D17C5" w:rsidRPr="00143624" w:rsidRDefault="007D17C5" w:rsidP="009558BE">
            <w:pPr>
              <w:pStyle w:val="Tabletext"/>
            </w:pPr>
            <w:r w:rsidRPr="00143624">
              <w:t>61</w:t>
            </w:r>
          </w:p>
        </w:tc>
        <w:tc>
          <w:tcPr>
            <w:tcW w:w="4521" w:type="pct"/>
            <w:shd w:val="clear" w:color="auto" w:fill="auto"/>
          </w:tcPr>
          <w:p w:rsidR="007D17C5" w:rsidRPr="00143624" w:rsidRDefault="007D17C5" w:rsidP="009558BE">
            <w:pPr>
              <w:pStyle w:val="Tabletext"/>
            </w:pPr>
            <w:r w:rsidRPr="00143624">
              <w:t>Barcelona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62</w:t>
            </w:r>
          </w:p>
        </w:tc>
        <w:tc>
          <w:tcPr>
            <w:tcW w:w="4521" w:type="pct"/>
            <w:shd w:val="clear" w:color="auto" w:fill="auto"/>
          </w:tcPr>
          <w:p w:rsidR="007D17C5" w:rsidRPr="00143624" w:rsidRDefault="007D17C5" w:rsidP="009558BE">
            <w:pPr>
              <w:pStyle w:val="Tabletext"/>
            </w:pPr>
            <w:r w:rsidRPr="00143624">
              <w:t>Bilbao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63</w:t>
            </w:r>
          </w:p>
        </w:tc>
        <w:tc>
          <w:tcPr>
            <w:tcW w:w="4521" w:type="pct"/>
            <w:shd w:val="clear" w:color="auto" w:fill="auto"/>
          </w:tcPr>
          <w:p w:rsidR="007D17C5" w:rsidRPr="00143624" w:rsidRDefault="007D17C5" w:rsidP="009558BE">
            <w:pPr>
              <w:pStyle w:val="Tabletext"/>
            </w:pPr>
            <w:r w:rsidRPr="00143624">
              <w:t>Madrid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64</w:t>
            </w:r>
          </w:p>
        </w:tc>
        <w:tc>
          <w:tcPr>
            <w:tcW w:w="4521" w:type="pct"/>
            <w:shd w:val="clear" w:color="auto" w:fill="auto"/>
          </w:tcPr>
          <w:p w:rsidR="007D17C5" w:rsidRPr="00143624" w:rsidRDefault="007D17C5" w:rsidP="009558BE">
            <w:pPr>
              <w:pStyle w:val="Tabletext"/>
            </w:pPr>
            <w:r w:rsidRPr="00143624">
              <w:t>Valencia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Sri Lanka</w:t>
            </w:r>
          </w:p>
        </w:tc>
      </w:tr>
      <w:tr w:rsidR="007D17C5" w:rsidRPr="00143624" w:rsidTr="009558BE">
        <w:tc>
          <w:tcPr>
            <w:tcW w:w="479" w:type="pct"/>
            <w:shd w:val="clear" w:color="auto" w:fill="auto"/>
          </w:tcPr>
          <w:p w:rsidR="007D17C5" w:rsidRPr="00143624" w:rsidRDefault="007D17C5" w:rsidP="009558BE">
            <w:pPr>
              <w:pStyle w:val="Tabletext"/>
            </w:pPr>
            <w:r w:rsidRPr="00143624">
              <w:t>65</w:t>
            </w:r>
          </w:p>
        </w:tc>
        <w:tc>
          <w:tcPr>
            <w:tcW w:w="4521" w:type="pct"/>
            <w:shd w:val="clear" w:color="auto" w:fill="auto"/>
          </w:tcPr>
          <w:p w:rsidR="007D17C5" w:rsidRPr="00143624" w:rsidRDefault="007D17C5" w:rsidP="009558BE">
            <w:pPr>
              <w:pStyle w:val="Tabletext"/>
            </w:pPr>
            <w:r w:rsidRPr="00143624">
              <w:t>Colombo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Sweden</w:t>
            </w:r>
          </w:p>
        </w:tc>
      </w:tr>
      <w:tr w:rsidR="007D17C5" w:rsidRPr="00143624" w:rsidTr="009558BE">
        <w:tc>
          <w:tcPr>
            <w:tcW w:w="479" w:type="pct"/>
            <w:shd w:val="clear" w:color="auto" w:fill="auto"/>
          </w:tcPr>
          <w:p w:rsidR="007D17C5" w:rsidRPr="00143624" w:rsidRDefault="007D17C5" w:rsidP="009558BE">
            <w:pPr>
              <w:pStyle w:val="Tabletext"/>
            </w:pPr>
            <w:r w:rsidRPr="00143624">
              <w:t>66</w:t>
            </w:r>
          </w:p>
        </w:tc>
        <w:tc>
          <w:tcPr>
            <w:tcW w:w="4521" w:type="pct"/>
            <w:shd w:val="clear" w:color="auto" w:fill="auto"/>
          </w:tcPr>
          <w:p w:rsidR="007D17C5" w:rsidRPr="00143624" w:rsidRDefault="007D17C5" w:rsidP="009558BE">
            <w:pPr>
              <w:pStyle w:val="Tabletext"/>
            </w:pPr>
            <w:r w:rsidRPr="00143624">
              <w:t>Nasdaq Stockholm</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Switzerland</w:t>
            </w:r>
          </w:p>
        </w:tc>
      </w:tr>
      <w:tr w:rsidR="007D17C5" w:rsidRPr="00143624" w:rsidTr="009558BE">
        <w:tc>
          <w:tcPr>
            <w:tcW w:w="479" w:type="pct"/>
            <w:shd w:val="clear" w:color="auto" w:fill="auto"/>
          </w:tcPr>
          <w:p w:rsidR="007D17C5" w:rsidRPr="00143624" w:rsidRDefault="007D17C5" w:rsidP="009558BE">
            <w:pPr>
              <w:pStyle w:val="Tabletext"/>
            </w:pPr>
            <w:r w:rsidRPr="00143624">
              <w:t>67</w:t>
            </w:r>
          </w:p>
        </w:tc>
        <w:tc>
          <w:tcPr>
            <w:tcW w:w="4521" w:type="pct"/>
            <w:shd w:val="clear" w:color="auto" w:fill="auto"/>
          </w:tcPr>
          <w:p w:rsidR="007D17C5" w:rsidRPr="00143624" w:rsidRDefault="007D17C5" w:rsidP="009558BE">
            <w:pPr>
              <w:pStyle w:val="Tabletext"/>
            </w:pPr>
            <w:r w:rsidRPr="00143624">
              <w:t>SIX Swiss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Taiwan</w:t>
            </w:r>
          </w:p>
        </w:tc>
      </w:tr>
      <w:tr w:rsidR="007D17C5" w:rsidRPr="00143624" w:rsidTr="009558BE">
        <w:tc>
          <w:tcPr>
            <w:tcW w:w="479" w:type="pct"/>
            <w:shd w:val="clear" w:color="auto" w:fill="auto"/>
          </w:tcPr>
          <w:p w:rsidR="007D17C5" w:rsidRPr="00143624" w:rsidRDefault="007D17C5" w:rsidP="009558BE">
            <w:pPr>
              <w:pStyle w:val="Tabletext"/>
            </w:pPr>
            <w:r w:rsidRPr="00143624">
              <w:t>68</w:t>
            </w:r>
          </w:p>
        </w:tc>
        <w:tc>
          <w:tcPr>
            <w:tcW w:w="4521" w:type="pct"/>
            <w:shd w:val="clear" w:color="auto" w:fill="auto"/>
          </w:tcPr>
          <w:p w:rsidR="007D17C5" w:rsidRPr="00143624" w:rsidRDefault="007D17C5" w:rsidP="009558BE">
            <w:pPr>
              <w:pStyle w:val="Tabletext"/>
            </w:pPr>
            <w:r w:rsidRPr="00143624">
              <w:t>Taiwan Stock Exchange Corporation</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Thailand</w:t>
            </w:r>
          </w:p>
        </w:tc>
      </w:tr>
      <w:tr w:rsidR="007D17C5" w:rsidRPr="00143624" w:rsidTr="009558BE">
        <w:tc>
          <w:tcPr>
            <w:tcW w:w="479" w:type="pct"/>
            <w:shd w:val="clear" w:color="auto" w:fill="auto"/>
          </w:tcPr>
          <w:p w:rsidR="007D17C5" w:rsidRPr="00143624" w:rsidRDefault="007D17C5" w:rsidP="009558BE">
            <w:pPr>
              <w:pStyle w:val="Tabletext"/>
            </w:pPr>
            <w:r w:rsidRPr="00143624">
              <w:t>69</w:t>
            </w:r>
          </w:p>
        </w:tc>
        <w:tc>
          <w:tcPr>
            <w:tcW w:w="4521" w:type="pct"/>
            <w:shd w:val="clear" w:color="auto" w:fill="auto"/>
          </w:tcPr>
          <w:p w:rsidR="007D17C5" w:rsidRPr="00143624" w:rsidRDefault="007D17C5" w:rsidP="009558BE">
            <w:pPr>
              <w:pStyle w:val="Tabletext"/>
            </w:pPr>
            <w:r w:rsidRPr="00143624">
              <w:t>The Stock Exchange of Thailand</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Trinidad and Tobago</w:t>
            </w:r>
          </w:p>
        </w:tc>
      </w:tr>
      <w:tr w:rsidR="007D17C5" w:rsidRPr="00143624" w:rsidTr="009558BE">
        <w:tc>
          <w:tcPr>
            <w:tcW w:w="479" w:type="pct"/>
            <w:shd w:val="clear" w:color="auto" w:fill="auto"/>
          </w:tcPr>
          <w:p w:rsidR="007D17C5" w:rsidRPr="00143624" w:rsidRDefault="007D17C5" w:rsidP="009558BE">
            <w:pPr>
              <w:pStyle w:val="Tabletext"/>
            </w:pPr>
            <w:r w:rsidRPr="00143624">
              <w:t>70</w:t>
            </w:r>
          </w:p>
        </w:tc>
        <w:tc>
          <w:tcPr>
            <w:tcW w:w="4521" w:type="pct"/>
            <w:shd w:val="clear" w:color="auto" w:fill="auto"/>
          </w:tcPr>
          <w:p w:rsidR="007D17C5" w:rsidRPr="00143624" w:rsidRDefault="007D17C5" w:rsidP="009558BE">
            <w:pPr>
              <w:pStyle w:val="Tabletext"/>
            </w:pPr>
            <w:r w:rsidRPr="00143624">
              <w:t>Trinidad and Tobago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Turkey</w:t>
            </w:r>
          </w:p>
        </w:tc>
      </w:tr>
      <w:tr w:rsidR="007D17C5" w:rsidRPr="00143624" w:rsidTr="009558BE">
        <w:tc>
          <w:tcPr>
            <w:tcW w:w="479" w:type="pct"/>
            <w:shd w:val="clear" w:color="auto" w:fill="auto"/>
          </w:tcPr>
          <w:p w:rsidR="007D17C5" w:rsidRPr="00143624" w:rsidRDefault="007D17C5" w:rsidP="009558BE">
            <w:pPr>
              <w:pStyle w:val="Tabletext"/>
            </w:pPr>
            <w:r w:rsidRPr="00143624">
              <w:t>71</w:t>
            </w:r>
          </w:p>
        </w:tc>
        <w:tc>
          <w:tcPr>
            <w:tcW w:w="4521" w:type="pct"/>
            <w:shd w:val="clear" w:color="auto" w:fill="auto"/>
          </w:tcPr>
          <w:p w:rsidR="007D17C5" w:rsidRPr="00143624" w:rsidRDefault="007D17C5" w:rsidP="009558BE">
            <w:pPr>
              <w:pStyle w:val="Tabletext"/>
            </w:pPr>
            <w:r w:rsidRPr="00143624">
              <w:t>Istanbul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United Kingdom</w:t>
            </w:r>
          </w:p>
        </w:tc>
      </w:tr>
      <w:tr w:rsidR="007D17C5" w:rsidRPr="00143624" w:rsidTr="009558BE">
        <w:tc>
          <w:tcPr>
            <w:tcW w:w="479" w:type="pct"/>
            <w:shd w:val="clear" w:color="auto" w:fill="auto"/>
          </w:tcPr>
          <w:p w:rsidR="007D17C5" w:rsidRPr="00143624" w:rsidRDefault="007D17C5" w:rsidP="009558BE">
            <w:pPr>
              <w:pStyle w:val="Tabletext"/>
            </w:pPr>
            <w:r w:rsidRPr="00143624">
              <w:t>72</w:t>
            </w:r>
          </w:p>
        </w:tc>
        <w:tc>
          <w:tcPr>
            <w:tcW w:w="4521" w:type="pct"/>
            <w:shd w:val="clear" w:color="auto" w:fill="auto"/>
          </w:tcPr>
          <w:p w:rsidR="007D17C5" w:rsidRPr="00143624" w:rsidRDefault="007D17C5" w:rsidP="009558BE">
            <w:pPr>
              <w:pStyle w:val="Tabletext"/>
            </w:pPr>
            <w:r w:rsidRPr="00143624">
              <w:t>London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United States</w:t>
            </w:r>
          </w:p>
        </w:tc>
      </w:tr>
      <w:tr w:rsidR="007D17C5" w:rsidRPr="00143624" w:rsidTr="009558BE">
        <w:tc>
          <w:tcPr>
            <w:tcW w:w="479" w:type="pct"/>
            <w:shd w:val="clear" w:color="auto" w:fill="auto"/>
          </w:tcPr>
          <w:p w:rsidR="007D17C5" w:rsidRPr="00143624" w:rsidRDefault="007D17C5" w:rsidP="009558BE">
            <w:pPr>
              <w:pStyle w:val="Tabletext"/>
            </w:pPr>
            <w:r w:rsidRPr="00143624">
              <w:t>73</w:t>
            </w:r>
          </w:p>
        </w:tc>
        <w:tc>
          <w:tcPr>
            <w:tcW w:w="4521" w:type="pct"/>
            <w:shd w:val="clear" w:color="auto" w:fill="auto"/>
          </w:tcPr>
          <w:p w:rsidR="007D17C5" w:rsidRPr="00143624" w:rsidRDefault="007D17C5" w:rsidP="009558BE">
            <w:pPr>
              <w:pStyle w:val="Tabletext"/>
            </w:pPr>
            <w:r w:rsidRPr="00143624">
              <w:t>Chicago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74</w:t>
            </w:r>
          </w:p>
        </w:tc>
        <w:tc>
          <w:tcPr>
            <w:tcW w:w="4521" w:type="pct"/>
            <w:shd w:val="clear" w:color="auto" w:fill="auto"/>
          </w:tcPr>
          <w:p w:rsidR="007D17C5" w:rsidRPr="00143624" w:rsidRDefault="007D17C5" w:rsidP="009558BE">
            <w:pPr>
              <w:pStyle w:val="Tabletext"/>
            </w:pPr>
            <w:r w:rsidRPr="00143624">
              <w:t>NASDAQ OMX BX</w:t>
            </w:r>
          </w:p>
        </w:tc>
      </w:tr>
      <w:tr w:rsidR="007D17C5" w:rsidRPr="00143624" w:rsidTr="009558BE">
        <w:tc>
          <w:tcPr>
            <w:tcW w:w="479" w:type="pct"/>
            <w:shd w:val="clear" w:color="auto" w:fill="auto"/>
          </w:tcPr>
          <w:p w:rsidR="007D17C5" w:rsidRPr="00143624" w:rsidRDefault="007D17C5" w:rsidP="009558BE">
            <w:pPr>
              <w:pStyle w:val="Tabletext"/>
            </w:pPr>
            <w:r w:rsidRPr="00143624">
              <w:t>75</w:t>
            </w:r>
          </w:p>
        </w:tc>
        <w:tc>
          <w:tcPr>
            <w:tcW w:w="4521" w:type="pct"/>
            <w:shd w:val="clear" w:color="auto" w:fill="auto"/>
          </w:tcPr>
          <w:p w:rsidR="007D17C5" w:rsidRPr="00143624" w:rsidRDefault="007D17C5" w:rsidP="009558BE">
            <w:pPr>
              <w:pStyle w:val="Tabletext"/>
            </w:pPr>
            <w:r w:rsidRPr="00143624">
              <w:t>NASDAQ OMX PHLX</w:t>
            </w:r>
          </w:p>
        </w:tc>
      </w:tr>
      <w:tr w:rsidR="007D17C5" w:rsidRPr="00143624" w:rsidTr="009558BE">
        <w:tc>
          <w:tcPr>
            <w:tcW w:w="479" w:type="pct"/>
            <w:shd w:val="clear" w:color="auto" w:fill="auto"/>
          </w:tcPr>
          <w:p w:rsidR="007D17C5" w:rsidRPr="00143624" w:rsidRDefault="007D17C5" w:rsidP="009558BE">
            <w:pPr>
              <w:pStyle w:val="Tabletext"/>
            </w:pPr>
            <w:r w:rsidRPr="00143624">
              <w:t>76</w:t>
            </w:r>
          </w:p>
        </w:tc>
        <w:tc>
          <w:tcPr>
            <w:tcW w:w="4521" w:type="pct"/>
            <w:shd w:val="clear" w:color="auto" w:fill="auto"/>
          </w:tcPr>
          <w:p w:rsidR="007D17C5" w:rsidRPr="00143624" w:rsidRDefault="007D17C5" w:rsidP="009558BE">
            <w:pPr>
              <w:pStyle w:val="Tabletext"/>
            </w:pPr>
            <w:r w:rsidRPr="00143624">
              <w:t>NASDAQ Stock Market</w:t>
            </w:r>
          </w:p>
        </w:tc>
      </w:tr>
      <w:tr w:rsidR="007D17C5" w:rsidRPr="00143624" w:rsidTr="009558BE">
        <w:tc>
          <w:tcPr>
            <w:tcW w:w="479" w:type="pct"/>
            <w:shd w:val="clear" w:color="auto" w:fill="auto"/>
          </w:tcPr>
          <w:p w:rsidR="007D17C5" w:rsidRPr="00143624" w:rsidRDefault="007D17C5" w:rsidP="009558BE">
            <w:pPr>
              <w:pStyle w:val="Tabletext"/>
            </w:pPr>
            <w:r w:rsidRPr="00143624">
              <w:t>77</w:t>
            </w:r>
          </w:p>
        </w:tc>
        <w:tc>
          <w:tcPr>
            <w:tcW w:w="4521" w:type="pct"/>
            <w:shd w:val="clear" w:color="auto" w:fill="auto"/>
          </w:tcPr>
          <w:p w:rsidR="007D17C5" w:rsidRPr="00143624" w:rsidRDefault="007D17C5" w:rsidP="009558BE">
            <w:pPr>
              <w:pStyle w:val="Tabletext"/>
            </w:pPr>
            <w:r w:rsidRPr="00143624">
              <w:t>NYSE, also known as New York Stock Exchange</w:t>
            </w:r>
          </w:p>
        </w:tc>
      </w:tr>
      <w:tr w:rsidR="007D17C5" w:rsidRPr="00143624" w:rsidTr="009558BE">
        <w:tc>
          <w:tcPr>
            <w:tcW w:w="479" w:type="pct"/>
            <w:shd w:val="clear" w:color="auto" w:fill="auto"/>
          </w:tcPr>
          <w:p w:rsidR="007D17C5" w:rsidRPr="00143624" w:rsidRDefault="007D17C5" w:rsidP="009558BE">
            <w:pPr>
              <w:pStyle w:val="Tabletext"/>
            </w:pPr>
            <w:r w:rsidRPr="00143624">
              <w:t>78</w:t>
            </w:r>
          </w:p>
        </w:tc>
        <w:tc>
          <w:tcPr>
            <w:tcW w:w="4521" w:type="pct"/>
            <w:shd w:val="clear" w:color="auto" w:fill="auto"/>
          </w:tcPr>
          <w:p w:rsidR="007D17C5" w:rsidRPr="00143624" w:rsidRDefault="007D17C5" w:rsidP="009558BE">
            <w:pPr>
              <w:pStyle w:val="Tabletext"/>
            </w:pPr>
            <w:r w:rsidRPr="00143624">
              <w:t>NYSE American</w:t>
            </w:r>
          </w:p>
        </w:tc>
      </w:tr>
      <w:tr w:rsidR="007D17C5" w:rsidRPr="00143624" w:rsidTr="009558BE">
        <w:tc>
          <w:tcPr>
            <w:tcW w:w="479" w:type="pct"/>
            <w:shd w:val="clear" w:color="auto" w:fill="auto"/>
          </w:tcPr>
          <w:p w:rsidR="007D17C5" w:rsidRPr="00143624" w:rsidRDefault="007D17C5" w:rsidP="009558BE">
            <w:pPr>
              <w:pStyle w:val="Tabletext"/>
            </w:pPr>
            <w:r w:rsidRPr="00143624">
              <w:t>79</w:t>
            </w:r>
          </w:p>
        </w:tc>
        <w:tc>
          <w:tcPr>
            <w:tcW w:w="4521" w:type="pct"/>
            <w:shd w:val="clear" w:color="auto" w:fill="auto"/>
          </w:tcPr>
          <w:p w:rsidR="007D17C5" w:rsidRPr="00143624" w:rsidRDefault="007D17C5" w:rsidP="009558BE">
            <w:pPr>
              <w:pStyle w:val="Tabletext"/>
            </w:pPr>
            <w:r w:rsidRPr="00143624">
              <w:t>NYSE American Options</w:t>
            </w:r>
          </w:p>
        </w:tc>
      </w:tr>
      <w:tr w:rsidR="007D17C5" w:rsidRPr="00143624" w:rsidTr="009558BE">
        <w:tc>
          <w:tcPr>
            <w:tcW w:w="479" w:type="pct"/>
            <w:shd w:val="clear" w:color="auto" w:fill="auto"/>
          </w:tcPr>
          <w:p w:rsidR="007D17C5" w:rsidRPr="00143624" w:rsidRDefault="007D17C5" w:rsidP="009558BE">
            <w:pPr>
              <w:pStyle w:val="Tabletext"/>
            </w:pPr>
            <w:r w:rsidRPr="00143624">
              <w:t>80</w:t>
            </w:r>
          </w:p>
        </w:tc>
        <w:tc>
          <w:tcPr>
            <w:tcW w:w="4521" w:type="pct"/>
            <w:shd w:val="clear" w:color="auto" w:fill="auto"/>
          </w:tcPr>
          <w:p w:rsidR="007D17C5" w:rsidRPr="00143624" w:rsidRDefault="007D17C5" w:rsidP="009558BE">
            <w:pPr>
              <w:pStyle w:val="Tabletext"/>
            </w:pPr>
            <w:r w:rsidRPr="00143624">
              <w:t>NYSE Arca Equities</w:t>
            </w:r>
          </w:p>
        </w:tc>
      </w:tr>
      <w:tr w:rsidR="007D17C5" w:rsidRPr="00143624" w:rsidTr="009558BE">
        <w:tc>
          <w:tcPr>
            <w:tcW w:w="479" w:type="pct"/>
            <w:shd w:val="clear" w:color="auto" w:fill="auto"/>
          </w:tcPr>
          <w:p w:rsidR="007D17C5" w:rsidRPr="00143624" w:rsidRDefault="007D17C5" w:rsidP="009558BE">
            <w:pPr>
              <w:pStyle w:val="Tabletext"/>
            </w:pPr>
            <w:r w:rsidRPr="00143624">
              <w:t>81</w:t>
            </w:r>
          </w:p>
        </w:tc>
        <w:tc>
          <w:tcPr>
            <w:tcW w:w="4521" w:type="pct"/>
            <w:shd w:val="clear" w:color="auto" w:fill="auto"/>
          </w:tcPr>
          <w:p w:rsidR="007D17C5" w:rsidRPr="00143624" w:rsidRDefault="007D17C5" w:rsidP="009558BE">
            <w:pPr>
              <w:pStyle w:val="Tabletext"/>
            </w:pPr>
            <w:r w:rsidRPr="00143624">
              <w:t>NYSE Arca Options</w:t>
            </w:r>
          </w:p>
        </w:tc>
      </w:tr>
      <w:tr w:rsidR="007D17C5" w:rsidRPr="00143624" w:rsidTr="009558BE">
        <w:tc>
          <w:tcPr>
            <w:tcW w:w="479" w:type="pct"/>
            <w:shd w:val="clear" w:color="auto" w:fill="auto"/>
          </w:tcPr>
          <w:p w:rsidR="007D17C5" w:rsidRPr="00143624" w:rsidRDefault="007D17C5" w:rsidP="009558BE">
            <w:pPr>
              <w:pStyle w:val="Tabletext"/>
            </w:pPr>
            <w:r w:rsidRPr="00143624">
              <w:t>82</w:t>
            </w:r>
          </w:p>
        </w:tc>
        <w:tc>
          <w:tcPr>
            <w:tcW w:w="4521" w:type="pct"/>
            <w:shd w:val="clear" w:color="auto" w:fill="auto"/>
          </w:tcPr>
          <w:p w:rsidR="007D17C5" w:rsidRPr="00143624" w:rsidRDefault="007D17C5" w:rsidP="009558BE">
            <w:pPr>
              <w:pStyle w:val="Tabletext"/>
            </w:pPr>
            <w:r w:rsidRPr="00143624">
              <w:t>NYSE National</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Uruguay</w:t>
            </w:r>
          </w:p>
        </w:tc>
      </w:tr>
      <w:tr w:rsidR="007D17C5" w:rsidRPr="00143624" w:rsidTr="009558BE">
        <w:tc>
          <w:tcPr>
            <w:tcW w:w="479" w:type="pct"/>
            <w:shd w:val="clear" w:color="auto" w:fill="auto"/>
          </w:tcPr>
          <w:p w:rsidR="007D17C5" w:rsidRPr="00143624" w:rsidRDefault="007D17C5" w:rsidP="009558BE">
            <w:pPr>
              <w:pStyle w:val="Tabletext"/>
            </w:pPr>
            <w:r w:rsidRPr="00143624">
              <w:t>83</w:t>
            </w:r>
          </w:p>
        </w:tc>
        <w:tc>
          <w:tcPr>
            <w:tcW w:w="4521" w:type="pct"/>
            <w:shd w:val="clear" w:color="auto" w:fill="auto"/>
          </w:tcPr>
          <w:p w:rsidR="007D17C5" w:rsidRPr="00143624" w:rsidRDefault="007D17C5" w:rsidP="009558BE">
            <w:pPr>
              <w:pStyle w:val="Tabletext"/>
            </w:pPr>
            <w:r w:rsidRPr="00143624">
              <w:t>Montevideo Stock Exchange</w:t>
            </w:r>
          </w:p>
        </w:tc>
      </w:tr>
      <w:tr w:rsidR="007D17C5" w:rsidRPr="00143624" w:rsidTr="009558BE">
        <w:tc>
          <w:tcPr>
            <w:tcW w:w="479" w:type="pct"/>
            <w:shd w:val="clear" w:color="auto" w:fill="auto"/>
          </w:tcPr>
          <w:p w:rsidR="007D17C5" w:rsidRPr="00143624" w:rsidRDefault="007D17C5" w:rsidP="009558BE">
            <w:pPr>
              <w:pStyle w:val="TableHeading"/>
            </w:pPr>
          </w:p>
        </w:tc>
        <w:tc>
          <w:tcPr>
            <w:tcW w:w="4521" w:type="pct"/>
            <w:shd w:val="clear" w:color="auto" w:fill="auto"/>
          </w:tcPr>
          <w:p w:rsidR="007D17C5" w:rsidRPr="00143624" w:rsidRDefault="007D17C5" w:rsidP="009558BE">
            <w:pPr>
              <w:pStyle w:val="TableHeading"/>
            </w:pPr>
            <w:r w:rsidRPr="00143624">
              <w:t>Venezuela</w:t>
            </w:r>
          </w:p>
        </w:tc>
      </w:tr>
      <w:tr w:rsidR="007D17C5" w:rsidRPr="00143624" w:rsidTr="009558BE">
        <w:tc>
          <w:tcPr>
            <w:tcW w:w="479" w:type="pct"/>
            <w:shd w:val="clear" w:color="auto" w:fill="auto"/>
          </w:tcPr>
          <w:p w:rsidR="007D17C5" w:rsidRPr="00143624" w:rsidRDefault="007D17C5" w:rsidP="009558BE">
            <w:pPr>
              <w:pStyle w:val="Tabletext"/>
            </w:pPr>
            <w:r w:rsidRPr="00143624">
              <w:t>84</w:t>
            </w:r>
          </w:p>
        </w:tc>
        <w:tc>
          <w:tcPr>
            <w:tcW w:w="4521" w:type="pct"/>
            <w:shd w:val="clear" w:color="auto" w:fill="auto"/>
          </w:tcPr>
          <w:p w:rsidR="007D17C5" w:rsidRPr="00143624" w:rsidRDefault="007D17C5" w:rsidP="009558BE">
            <w:pPr>
              <w:pStyle w:val="Tabletext"/>
            </w:pPr>
            <w:r w:rsidRPr="00143624">
              <w:t>Caracas Stock Exchange</w:t>
            </w:r>
          </w:p>
        </w:tc>
      </w:tr>
      <w:tr w:rsidR="007D17C5" w:rsidRPr="00143624" w:rsidTr="009558BE">
        <w:tc>
          <w:tcPr>
            <w:tcW w:w="479" w:type="pct"/>
            <w:tcBorders>
              <w:bottom w:val="single" w:sz="2" w:space="0" w:color="auto"/>
            </w:tcBorders>
            <w:shd w:val="clear" w:color="auto" w:fill="auto"/>
          </w:tcPr>
          <w:p w:rsidR="007D17C5" w:rsidRPr="00143624" w:rsidRDefault="007D17C5" w:rsidP="009558BE">
            <w:pPr>
              <w:pStyle w:val="TableHeading"/>
            </w:pPr>
          </w:p>
        </w:tc>
        <w:tc>
          <w:tcPr>
            <w:tcW w:w="4521" w:type="pct"/>
            <w:tcBorders>
              <w:bottom w:val="single" w:sz="2" w:space="0" w:color="auto"/>
            </w:tcBorders>
            <w:shd w:val="clear" w:color="auto" w:fill="auto"/>
          </w:tcPr>
          <w:p w:rsidR="007D17C5" w:rsidRPr="00143624" w:rsidRDefault="007D17C5" w:rsidP="009558BE">
            <w:pPr>
              <w:pStyle w:val="TableHeading"/>
            </w:pPr>
            <w:r w:rsidRPr="00143624">
              <w:t>Zimbabwe</w:t>
            </w:r>
          </w:p>
        </w:tc>
      </w:tr>
      <w:tr w:rsidR="007D17C5" w:rsidRPr="00143624" w:rsidTr="009558BE">
        <w:tc>
          <w:tcPr>
            <w:tcW w:w="479" w:type="pct"/>
            <w:tcBorders>
              <w:top w:val="single" w:sz="2" w:space="0" w:color="auto"/>
              <w:bottom w:val="single" w:sz="8" w:space="0" w:color="auto"/>
            </w:tcBorders>
            <w:shd w:val="clear" w:color="auto" w:fill="auto"/>
          </w:tcPr>
          <w:p w:rsidR="007D17C5" w:rsidRPr="00143624" w:rsidRDefault="007D17C5" w:rsidP="009558BE">
            <w:pPr>
              <w:pStyle w:val="Tabletext"/>
            </w:pPr>
            <w:r w:rsidRPr="00143624">
              <w:t>85</w:t>
            </w:r>
          </w:p>
        </w:tc>
        <w:tc>
          <w:tcPr>
            <w:tcW w:w="4521" w:type="pct"/>
            <w:tcBorders>
              <w:top w:val="single" w:sz="2" w:space="0" w:color="auto"/>
              <w:bottom w:val="single" w:sz="8" w:space="0" w:color="auto"/>
            </w:tcBorders>
            <w:shd w:val="clear" w:color="auto" w:fill="auto"/>
          </w:tcPr>
          <w:p w:rsidR="007D17C5" w:rsidRPr="00143624" w:rsidRDefault="007D17C5" w:rsidP="009558BE">
            <w:pPr>
              <w:pStyle w:val="Tabletext"/>
            </w:pPr>
            <w:r w:rsidRPr="00143624">
              <w:t>Zimbabwe Stock Exchange Limited</w:t>
            </w:r>
          </w:p>
        </w:tc>
      </w:tr>
    </w:tbl>
    <w:p w:rsidR="009D7AC7" w:rsidRPr="00143624" w:rsidRDefault="009D7AC7" w:rsidP="00271A98">
      <w:pPr>
        <w:pStyle w:val="Tabletext"/>
      </w:pPr>
      <w:bookmarkStart w:id="293" w:name="f_Check_Lines_above"/>
      <w:bookmarkEnd w:id="293"/>
    </w:p>
    <w:p w:rsidR="009D7AC7" w:rsidRPr="00143624" w:rsidRDefault="009D7AC7" w:rsidP="009D7AC7">
      <w:pPr>
        <w:sectPr w:rsidR="009D7AC7" w:rsidRPr="00143624" w:rsidSect="00AE0765">
          <w:headerReference w:type="even" r:id="rId35"/>
          <w:headerReference w:type="default" r:id="rId36"/>
          <w:headerReference w:type="first" r:id="rId37"/>
          <w:footerReference w:type="first" r:id="rId38"/>
          <w:type w:val="continuous"/>
          <w:pgSz w:w="11907" w:h="16839" w:code="9"/>
          <w:pgMar w:top="2233" w:right="1797" w:bottom="1440" w:left="1797" w:header="720" w:footer="709" w:gutter="0"/>
          <w:cols w:space="720"/>
          <w:docGrid w:linePitch="299"/>
        </w:sectPr>
      </w:pPr>
    </w:p>
    <w:p w:rsidR="00FB62F0" w:rsidRPr="00143624" w:rsidRDefault="00FB62F0" w:rsidP="00FB62F0">
      <w:pPr>
        <w:pStyle w:val="Tabletext"/>
      </w:pPr>
    </w:p>
    <w:sectPr w:rsidR="00FB62F0" w:rsidRPr="00143624" w:rsidSect="00AE0765">
      <w:headerReference w:type="even" r:id="rId39"/>
      <w:headerReference w:type="default" r:id="rId40"/>
      <w:footerReference w:type="even" r:id="rId41"/>
      <w:footerReference w:type="default" r:id="rId42"/>
      <w:headerReference w:type="first" r:id="rId43"/>
      <w:footerReference w:type="first" r:id="rId44"/>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AD" w:rsidRDefault="005C75AD" w:rsidP="00715914">
      <w:pPr>
        <w:spacing w:line="240" w:lineRule="auto"/>
      </w:pPr>
      <w:r>
        <w:separator/>
      </w:r>
    </w:p>
  </w:endnote>
  <w:endnote w:type="continuationSeparator" w:id="0">
    <w:p w:rsidR="005C75AD" w:rsidRDefault="005C75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AE0765" w:rsidRDefault="005C75AD" w:rsidP="00AE0765">
    <w:pPr>
      <w:pStyle w:val="Footer"/>
      <w:rPr>
        <w:i/>
        <w:sz w:val="18"/>
      </w:rPr>
    </w:pPr>
    <w:r w:rsidRPr="00AE0765">
      <w:rPr>
        <w:i/>
        <w:sz w:val="18"/>
      </w:rPr>
      <w:t>OPC63552 -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3104D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5C75AD" w:rsidTr="006851AD">
      <w:tc>
        <w:tcPr>
          <w:tcW w:w="418" w:type="pct"/>
          <w:tcBorders>
            <w:top w:val="nil"/>
            <w:left w:val="nil"/>
            <w:bottom w:val="nil"/>
            <w:right w:val="nil"/>
          </w:tcBorders>
        </w:tcPr>
        <w:p w:rsidR="005C75AD" w:rsidRDefault="005C75AD" w:rsidP="00D720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127</w:t>
          </w:r>
          <w:r w:rsidRPr="00ED79B6">
            <w:rPr>
              <w:i/>
              <w:sz w:val="18"/>
            </w:rPr>
            <w:fldChar w:fldCharType="end"/>
          </w:r>
        </w:p>
      </w:tc>
      <w:tc>
        <w:tcPr>
          <w:tcW w:w="3765" w:type="pct"/>
          <w:tcBorders>
            <w:top w:val="nil"/>
            <w:left w:val="nil"/>
            <w:bottom w:val="nil"/>
            <w:right w:val="nil"/>
          </w:tcBorders>
        </w:tcPr>
        <w:p w:rsidR="005C75AD" w:rsidRDefault="005C75AD"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817" w:type="pct"/>
          <w:tcBorders>
            <w:top w:val="nil"/>
            <w:left w:val="nil"/>
            <w:bottom w:val="nil"/>
            <w:right w:val="nil"/>
          </w:tcBorders>
        </w:tcPr>
        <w:p w:rsidR="005C75AD" w:rsidRDefault="005C75AD" w:rsidP="00D72009">
          <w:pPr>
            <w:spacing w:line="0" w:lineRule="atLeast"/>
            <w:jc w:val="right"/>
            <w:rPr>
              <w:sz w:val="18"/>
            </w:rPr>
          </w:pPr>
        </w:p>
      </w:tc>
    </w:tr>
  </w:tbl>
  <w:p w:rsidR="005C75AD" w:rsidRPr="00AE0765" w:rsidRDefault="005C75AD" w:rsidP="00AE0765">
    <w:pPr>
      <w:rPr>
        <w:rFonts w:cs="Times New Roman"/>
        <w:i/>
        <w:sz w:val="18"/>
      </w:rPr>
    </w:pPr>
    <w:r w:rsidRPr="00AE0765">
      <w:rPr>
        <w:rFonts w:cs="Times New Roman"/>
        <w:i/>
        <w:sz w:val="18"/>
      </w:rPr>
      <w:t>OPC63552 -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3104D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C75AD" w:rsidTr="006851AD">
      <w:tc>
        <w:tcPr>
          <w:tcW w:w="817" w:type="pct"/>
          <w:tcBorders>
            <w:top w:val="nil"/>
            <w:left w:val="nil"/>
            <w:bottom w:val="nil"/>
            <w:right w:val="nil"/>
          </w:tcBorders>
        </w:tcPr>
        <w:p w:rsidR="005C75AD" w:rsidRDefault="005C75AD" w:rsidP="00D72009">
          <w:pPr>
            <w:spacing w:line="0" w:lineRule="atLeast"/>
            <w:rPr>
              <w:sz w:val="18"/>
            </w:rPr>
          </w:pPr>
        </w:p>
      </w:tc>
      <w:tc>
        <w:tcPr>
          <w:tcW w:w="3765" w:type="pct"/>
          <w:tcBorders>
            <w:top w:val="nil"/>
            <w:left w:val="nil"/>
            <w:bottom w:val="nil"/>
            <w:right w:val="nil"/>
          </w:tcBorders>
        </w:tcPr>
        <w:p w:rsidR="005C75AD" w:rsidRDefault="005C75AD"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418" w:type="pct"/>
          <w:tcBorders>
            <w:top w:val="nil"/>
            <w:left w:val="nil"/>
            <w:bottom w:val="nil"/>
            <w:right w:val="nil"/>
          </w:tcBorders>
        </w:tcPr>
        <w:p w:rsidR="005C75AD" w:rsidRDefault="005C75AD" w:rsidP="00D720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127</w:t>
          </w:r>
          <w:r w:rsidRPr="00ED79B6">
            <w:rPr>
              <w:i/>
              <w:sz w:val="18"/>
            </w:rPr>
            <w:fldChar w:fldCharType="end"/>
          </w:r>
        </w:p>
      </w:tc>
    </w:tr>
  </w:tbl>
  <w:p w:rsidR="005C75AD" w:rsidRPr="00AE0765" w:rsidRDefault="005C75AD" w:rsidP="00AE0765">
    <w:pPr>
      <w:rPr>
        <w:rFonts w:cs="Times New Roman"/>
        <w:i/>
        <w:sz w:val="18"/>
      </w:rPr>
    </w:pPr>
    <w:r w:rsidRPr="00AE0765">
      <w:rPr>
        <w:rFonts w:cs="Times New Roman"/>
        <w:i/>
        <w:sz w:val="18"/>
      </w:rPr>
      <w:t>OPC63552 -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C75AD" w:rsidTr="006851AD">
      <w:tc>
        <w:tcPr>
          <w:tcW w:w="817" w:type="pct"/>
          <w:tcBorders>
            <w:top w:val="nil"/>
            <w:left w:val="nil"/>
            <w:bottom w:val="nil"/>
            <w:right w:val="nil"/>
          </w:tcBorders>
        </w:tcPr>
        <w:p w:rsidR="005C75AD" w:rsidRDefault="005C75AD" w:rsidP="00D72009">
          <w:pPr>
            <w:spacing w:line="0" w:lineRule="atLeast"/>
            <w:rPr>
              <w:sz w:val="18"/>
            </w:rPr>
          </w:pPr>
        </w:p>
      </w:tc>
      <w:tc>
        <w:tcPr>
          <w:tcW w:w="3765" w:type="pct"/>
          <w:tcBorders>
            <w:top w:val="nil"/>
            <w:left w:val="nil"/>
            <w:bottom w:val="nil"/>
            <w:right w:val="nil"/>
          </w:tcBorders>
        </w:tcPr>
        <w:p w:rsidR="005C75AD" w:rsidRDefault="005C75AD"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418" w:type="pct"/>
          <w:tcBorders>
            <w:top w:val="nil"/>
            <w:left w:val="nil"/>
            <w:bottom w:val="nil"/>
            <w:right w:val="nil"/>
          </w:tcBorders>
        </w:tcPr>
        <w:p w:rsidR="005C75AD" w:rsidRDefault="005C75AD" w:rsidP="00D720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127</w:t>
          </w:r>
          <w:r w:rsidRPr="00ED79B6">
            <w:rPr>
              <w:i/>
              <w:sz w:val="18"/>
            </w:rPr>
            <w:fldChar w:fldCharType="end"/>
          </w:r>
        </w:p>
      </w:tc>
    </w:tr>
  </w:tbl>
  <w:p w:rsidR="005C75AD" w:rsidRPr="00AE0765" w:rsidRDefault="005C75AD" w:rsidP="00AE0765">
    <w:pPr>
      <w:rPr>
        <w:rFonts w:cs="Times New Roman"/>
        <w:i/>
        <w:sz w:val="18"/>
      </w:rPr>
    </w:pPr>
    <w:r w:rsidRPr="00AE0765">
      <w:rPr>
        <w:rFonts w:cs="Times New Roman"/>
        <w:i/>
        <w:sz w:val="18"/>
      </w:rPr>
      <w:t>OPC63552 -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Default="005C75AD" w:rsidP="001778BC">
    <w:pPr>
      <w:pStyle w:val="Footer"/>
    </w:pPr>
  </w:p>
  <w:p w:rsidR="005C75AD" w:rsidRPr="00AE0765" w:rsidRDefault="005C75AD" w:rsidP="00AE0765">
    <w:pPr>
      <w:pStyle w:val="Footer"/>
      <w:rPr>
        <w:i/>
        <w:sz w:val="18"/>
      </w:rPr>
    </w:pPr>
    <w:r w:rsidRPr="00AE0765">
      <w:rPr>
        <w:i/>
        <w:sz w:val="18"/>
      </w:rPr>
      <w:t>OPC63552 -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AE0765" w:rsidRDefault="005C75AD" w:rsidP="00AE0765">
    <w:pPr>
      <w:pStyle w:val="Footer"/>
      <w:tabs>
        <w:tab w:val="clear" w:pos="4153"/>
        <w:tab w:val="clear" w:pos="8306"/>
        <w:tab w:val="center" w:pos="4150"/>
        <w:tab w:val="right" w:pos="8307"/>
      </w:tabs>
      <w:spacing w:before="120"/>
      <w:rPr>
        <w:i/>
        <w:sz w:val="18"/>
      </w:rPr>
    </w:pPr>
    <w:r w:rsidRPr="00AE0765">
      <w:rPr>
        <w:i/>
        <w:sz w:val="18"/>
      </w:rPr>
      <w:t>OPC63552 -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1778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C75AD" w:rsidTr="003F3E0B">
      <w:tc>
        <w:tcPr>
          <w:tcW w:w="709" w:type="dxa"/>
          <w:tcBorders>
            <w:top w:val="nil"/>
            <w:left w:val="nil"/>
            <w:bottom w:val="nil"/>
            <w:right w:val="nil"/>
          </w:tcBorders>
        </w:tcPr>
        <w:p w:rsidR="005C75AD" w:rsidRDefault="005C75AD" w:rsidP="00055A2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6379" w:type="dxa"/>
          <w:tcBorders>
            <w:top w:val="nil"/>
            <w:left w:val="nil"/>
            <w:bottom w:val="nil"/>
            <w:right w:val="nil"/>
          </w:tcBorders>
        </w:tcPr>
        <w:p w:rsidR="005C75AD" w:rsidRDefault="005C75AD" w:rsidP="00055A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1384" w:type="dxa"/>
          <w:tcBorders>
            <w:top w:val="nil"/>
            <w:left w:val="nil"/>
            <w:bottom w:val="nil"/>
            <w:right w:val="nil"/>
          </w:tcBorders>
        </w:tcPr>
        <w:p w:rsidR="005C75AD" w:rsidRDefault="005C75AD" w:rsidP="00055A24">
          <w:pPr>
            <w:spacing w:line="0" w:lineRule="atLeast"/>
            <w:jc w:val="right"/>
            <w:rPr>
              <w:sz w:val="18"/>
            </w:rPr>
          </w:pPr>
        </w:p>
      </w:tc>
    </w:tr>
  </w:tbl>
  <w:p w:rsidR="005C75AD" w:rsidRPr="00AE0765" w:rsidRDefault="005C75AD" w:rsidP="00AE0765">
    <w:pPr>
      <w:rPr>
        <w:rFonts w:cs="Times New Roman"/>
        <w:i/>
        <w:sz w:val="18"/>
      </w:rPr>
    </w:pPr>
    <w:r w:rsidRPr="00AE0765">
      <w:rPr>
        <w:rFonts w:cs="Times New Roman"/>
        <w:i/>
        <w:sz w:val="18"/>
      </w:rPr>
      <w:t>OPC63552 -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1778B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C75AD" w:rsidTr="00055A24">
      <w:tc>
        <w:tcPr>
          <w:tcW w:w="1383" w:type="dxa"/>
          <w:tcBorders>
            <w:top w:val="nil"/>
            <w:left w:val="nil"/>
            <w:bottom w:val="nil"/>
            <w:right w:val="nil"/>
          </w:tcBorders>
        </w:tcPr>
        <w:p w:rsidR="005C75AD" w:rsidRDefault="005C75AD" w:rsidP="00055A24">
          <w:pPr>
            <w:spacing w:line="0" w:lineRule="atLeast"/>
            <w:rPr>
              <w:sz w:val="18"/>
            </w:rPr>
          </w:pPr>
        </w:p>
      </w:tc>
      <w:tc>
        <w:tcPr>
          <w:tcW w:w="6380" w:type="dxa"/>
          <w:tcBorders>
            <w:top w:val="nil"/>
            <w:left w:val="nil"/>
            <w:bottom w:val="nil"/>
            <w:right w:val="nil"/>
          </w:tcBorders>
        </w:tcPr>
        <w:p w:rsidR="005C75AD" w:rsidRDefault="005C75AD" w:rsidP="00055A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709" w:type="dxa"/>
          <w:tcBorders>
            <w:top w:val="nil"/>
            <w:left w:val="nil"/>
            <w:bottom w:val="nil"/>
            <w:right w:val="nil"/>
          </w:tcBorders>
        </w:tcPr>
        <w:p w:rsidR="005C75AD" w:rsidRDefault="005C75AD" w:rsidP="00055A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w:t>
          </w:r>
          <w:r w:rsidRPr="00ED79B6">
            <w:rPr>
              <w:i/>
              <w:sz w:val="18"/>
            </w:rPr>
            <w:fldChar w:fldCharType="end"/>
          </w:r>
        </w:p>
      </w:tc>
    </w:tr>
  </w:tbl>
  <w:p w:rsidR="005C75AD" w:rsidRPr="00AE0765" w:rsidRDefault="005C75AD" w:rsidP="00AE0765">
    <w:pPr>
      <w:rPr>
        <w:rFonts w:cs="Times New Roman"/>
        <w:i/>
        <w:sz w:val="18"/>
      </w:rPr>
    </w:pPr>
    <w:r w:rsidRPr="00AE0765">
      <w:rPr>
        <w:rFonts w:cs="Times New Roman"/>
        <w:i/>
        <w:sz w:val="18"/>
      </w:rPr>
      <w:t>OPC63552 -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1778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C75AD" w:rsidTr="003F3E0B">
      <w:tc>
        <w:tcPr>
          <w:tcW w:w="709" w:type="dxa"/>
          <w:tcBorders>
            <w:top w:val="nil"/>
            <w:left w:val="nil"/>
            <w:bottom w:val="nil"/>
            <w:right w:val="nil"/>
          </w:tcBorders>
        </w:tcPr>
        <w:p w:rsidR="005C75AD" w:rsidRDefault="005C75AD" w:rsidP="00055A2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130</w:t>
          </w:r>
          <w:r w:rsidRPr="00ED79B6">
            <w:rPr>
              <w:i/>
              <w:sz w:val="18"/>
            </w:rPr>
            <w:fldChar w:fldCharType="end"/>
          </w:r>
        </w:p>
      </w:tc>
      <w:tc>
        <w:tcPr>
          <w:tcW w:w="6379" w:type="dxa"/>
          <w:tcBorders>
            <w:top w:val="nil"/>
            <w:left w:val="nil"/>
            <w:bottom w:val="nil"/>
            <w:right w:val="nil"/>
          </w:tcBorders>
        </w:tcPr>
        <w:p w:rsidR="005C75AD" w:rsidRDefault="005C75AD" w:rsidP="00055A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1384" w:type="dxa"/>
          <w:tcBorders>
            <w:top w:val="nil"/>
            <w:left w:val="nil"/>
            <w:bottom w:val="nil"/>
            <w:right w:val="nil"/>
          </w:tcBorders>
        </w:tcPr>
        <w:p w:rsidR="005C75AD" w:rsidRDefault="005C75AD" w:rsidP="00055A24">
          <w:pPr>
            <w:spacing w:line="0" w:lineRule="atLeast"/>
            <w:jc w:val="right"/>
            <w:rPr>
              <w:sz w:val="18"/>
            </w:rPr>
          </w:pPr>
        </w:p>
      </w:tc>
    </w:tr>
  </w:tbl>
  <w:p w:rsidR="005C75AD" w:rsidRPr="00AE0765" w:rsidRDefault="005C75AD" w:rsidP="00AE0765">
    <w:pPr>
      <w:rPr>
        <w:rFonts w:cs="Times New Roman"/>
        <w:i/>
        <w:sz w:val="18"/>
      </w:rPr>
    </w:pPr>
    <w:r w:rsidRPr="00AE0765">
      <w:rPr>
        <w:rFonts w:cs="Times New Roman"/>
        <w:i/>
        <w:sz w:val="18"/>
      </w:rPr>
      <w:t>OPC63552 -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1778B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C75AD" w:rsidTr="00055A24">
      <w:tc>
        <w:tcPr>
          <w:tcW w:w="1384" w:type="dxa"/>
          <w:tcBorders>
            <w:top w:val="nil"/>
            <w:left w:val="nil"/>
            <w:bottom w:val="nil"/>
            <w:right w:val="nil"/>
          </w:tcBorders>
        </w:tcPr>
        <w:p w:rsidR="005C75AD" w:rsidRDefault="005C75AD" w:rsidP="00055A24">
          <w:pPr>
            <w:spacing w:line="0" w:lineRule="atLeast"/>
            <w:rPr>
              <w:sz w:val="18"/>
            </w:rPr>
          </w:pPr>
        </w:p>
      </w:tc>
      <w:tc>
        <w:tcPr>
          <w:tcW w:w="6379" w:type="dxa"/>
          <w:tcBorders>
            <w:top w:val="nil"/>
            <w:left w:val="nil"/>
            <w:bottom w:val="nil"/>
            <w:right w:val="nil"/>
          </w:tcBorders>
        </w:tcPr>
        <w:p w:rsidR="005C75AD" w:rsidRDefault="005C75AD" w:rsidP="00055A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709" w:type="dxa"/>
          <w:tcBorders>
            <w:top w:val="nil"/>
            <w:left w:val="nil"/>
            <w:bottom w:val="nil"/>
            <w:right w:val="nil"/>
          </w:tcBorders>
        </w:tcPr>
        <w:p w:rsidR="005C75AD" w:rsidRDefault="005C75AD" w:rsidP="00055A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129</w:t>
          </w:r>
          <w:r w:rsidRPr="00ED79B6">
            <w:rPr>
              <w:i/>
              <w:sz w:val="18"/>
            </w:rPr>
            <w:fldChar w:fldCharType="end"/>
          </w:r>
        </w:p>
      </w:tc>
    </w:tr>
  </w:tbl>
  <w:p w:rsidR="005C75AD" w:rsidRPr="00AE0765" w:rsidRDefault="005C75AD" w:rsidP="00AE0765">
    <w:pPr>
      <w:rPr>
        <w:rFonts w:cs="Times New Roman"/>
        <w:i/>
        <w:sz w:val="18"/>
      </w:rPr>
    </w:pPr>
    <w:r w:rsidRPr="00AE0765">
      <w:rPr>
        <w:rFonts w:cs="Times New Roman"/>
        <w:i/>
        <w:sz w:val="18"/>
      </w:rPr>
      <w:t>OPC63552 -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33C1C" w:rsidRDefault="005C75AD" w:rsidP="001778B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C75AD" w:rsidTr="00055A24">
      <w:tc>
        <w:tcPr>
          <w:tcW w:w="1384" w:type="dxa"/>
          <w:tcBorders>
            <w:top w:val="nil"/>
            <w:left w:val="nil"/>
            <w:bottom w:val="nil"/>
            <w:right w:val="nil"/>
          </w:tcBorders>
        </w:tcPr>
        <w:p w:rsidR="005C75AD" w:rsidRDefault="005C75AD" w:rsidP="00055A24">
          <w:pPr>
            <w:spacing w:line="0" w:lineRule="atLeast"/>
            <w:rPr>
              <w:sz w:val="18"/>
            </w:rPr>
          </w:pPr>
        </w:p>
      </w:tc>
      <w:tc>
        <w:tcPr>
          <w:tcW w:w="6379" w:type="dxa"/>
          <w:tcBorders>
            <w:top w:val="nil"/>
            <w:left w:val="nil"/>
            <w:bottom w:val="nil"/>
            <w:right w:val="nil"/>
          </w:tcBorders>
        </w:tcPr>
        <w:p w:rsidR="005C75AD" w:rsidRDefault="005C75AD" w:rsidP="00055A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Assessment (1997 Act) Regulations 2021</w:t>
          </w:r>
          <w:r w:rsidRPr="007A1328">
            <w:rPr>
              <w:i/>
              <w:sz w:val="18"/>
            </w:rPr>
            <w:fldChar w:fldCharType="end"/>
          </w:r>
        </w:p>
      </w:tc>
      <w:tc>
        <w:tcPr>
          <w:tcW w:w="709" w:type="dxa"/>
          <w:tcBorders>
            <w:top w:val="nil"/>
            <w:left w:val="nil"/>
            <w:bottom w:val="nil"/>
            <w:right w:val="nil"/>
          </w:tcBorders>
        </w:tcPr>
        <w:p w:rsidR="005C75AD" w:rsidRDefault="005C75AD" w:rsidP="00055A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127</w:t>
          </w:r>
          <w:r w:rsidRPr="00ED79B6">
            <w:rPr>
              <w:i/>
              <w:sz w:val="18"/>
            </w:rPr>
            <w:fldChar w:fldCharType="end"/>
          </w:r>
        </w:p>
      </w:tc>
    </w:tr>
  </w:tbl>
  <w:p w:rsidR="005C75AD" w:rsidRPr="00AE0765" w:rsidRDefault="005C75AD" w:rsidP="00AE0765">
    <w:pPr>
      <w:rPr>
        <w:rFonts w:cs="Times New Roman"/>
        <w:i/>
        <w:sz w:val="18"/>
      </w:rPr>
    </w:pPr>
    <w:r w:rsidRPr="00AE0765">
      <w:rPr>
        <w:rFonts w:cs="Times New Roman"/>
        <w:i/>
        <w:sz w:val="18"/>
      </w:rPr>
      <w:t>OPC63552 -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Default="005C75AD">
    <w:pPr>
      <w:pBdr>
        <w:top w:val="single" w:sz="6" w:space="1" w:color="auto"/>
      </w:pBdr>
      <w:rPr>
        <w:sz w:val="18"/>
      </w:rPr>
    </w:pPr>
  </w:p>
  <w:p w:rsidR="005C75AD" w:rsidRDefault="005C75A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(1997 Act) Regulations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127</w:t>
    </w:r>
    <w:r>
      <w:rPr>
        <w:i/>
        <w:sz w:val="18"/>
      </w:rPr>
      <w:fldChar w:fldCharType="end"/>
    </w:r>
  </w:p>
  <w:p w:rsidR="005C75AD" w:rsidRPr="00AE0765" w:rsidRDefault="005C75AD" w:rsidP="00AE0765">
    <w:pPr>
      <w:rPr>
        <w:rFonts w:cs="Times New Roman"/>
        <w:i/>
        <w:sz w:val="18"/>
      </w:rPr>
    </w:pPr>
    <w:r w:rsidRPr="00AE0765">
      <w:rPr>
        <w:rFonts w:cs="Times New Roman"/>
        <w:i/>
        <w:sz w:val="18"/>
      </w:rPr>
      <w:t>OPC63552 -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AD" w:rsidRDefault="005C75AD" w:rsidP="00715914">
      <w:pPr>
        <w:spacing w:line="240" w:lineRule="auto"/>
      </w:pPr>
      <w:r>
        <w:separator/>
      </w:r>
    </w:p>
  </w:footnote>
  <w:footnote w:type="continuationSeparator" w:id="0">
    <w:p w:rsidR="005C75AD" w:rsidRDefault="005C75A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5F1388" w:rsidRDefault="005C75AD" w:rsidP="001778BC">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D675F1" w:rsidRDefault="005C75AD">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757EFC">
      <w:rPr>
        <w:noProof/>
        <w:sz w:val="20"/>
      </w:rPr>
      <w:t>Working out defined benefit contributions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757EFC">
      <w:rPr>
        <w:b/>
        <w:noProof/>
        <w:sz w:val="20"/>
      </w:rPr>
      <w:t>Schedule 1AA</w:t>
    </w:r>
    <w:r w:rsidRPr="00D675F1">
      <w:rPr>
        <w:b/>
        <w:sz w:val="20"/>
      </w:rPr>
      <w:fldChar w:fldCharType="end"/>
    </w:r>
  </w:p>
  <w:p w:rsidR="005C75AD" w:rsidRPr="00D675F1" w:rsidRDefault="005C75AD">
    <w:pPr>
      <w:jc w:val="right"/>
      <w:rPr>
        <w:b/>
        <w:sz w:val="20"/>
      </w:rPr>
    </w:pPr>
    <w:r w:rsidRPr="00D675F1">
      <w:rPr>
        <w:sz w:val="20"/>
      </w:rPr>
      <w:fldChar w:fldCharType="begin"/>
    </w:r>
    <w:r w:rsidRPr="00D675F1">
      <w:rPr>
        <w:sz w:val="20"/>
      </w:rPr>
      <w:instrText xml:space="preserve"> STYLEREF CharPartText </w:instrText>
    </w:r>
    <w:r w:rsidR="00757EFC">
      <w:rPr>
        <w:sz w:val="20"/>
      </w:rPr>
      <w:fldChar w:fldCharType="separate"/>
    </w:r>
    <w:r w:rsidR="00757EFC">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757EFC">
      <w:rPr>
        <w:b/>
        <w:sz w:val="20"/>
      </w:rPr>
      <w:fldChar w:fldCharType="separate"/>
    </w:r>
    <w:r w:rsidR="00757EFC">
      <w:rPr>
        <w:b/>
        <w:noProof/>
        <w:sz w:val="20"/>
      </w:rPr>
      <w:t>Part 1</w:t>
    </w:r>
    <w:r w:rsidRPr="00D675F1">
      <w:rPr>
        <w:b/>
        <w:sz w:val="20"/>
      </w:rPr>
      <w:fldChar w:fldCharType="end"/>
    </w:r>
  </w:p>
  <w:p w:rsidR="005C75AD" w:rsidRPr="00D675F1" w:rsidRDefault="005C75AD">
    <w:pPr>
      <w:jc w:val="right"/>
      <w:rPr>
        <w:sz w:val="20"/>
      </w:rPr>
    </w:pPr>
    <w:r w:rsidRPr="00D675F1">
      <w:rPr>
        <w:sz w:val="20"/>
      </w:rPr>
      <w:fldChar w:fldCharType="begin"/>
    </w:r>
    <w:r w:rsidRPr="00D675F1">
      <w:rPr>
        <w:sz w:val="20"/>
      </w:rPr>
      <w:instrText xml:space="preserve"> STYLEREF CharDivText </w:instrText>
    </w:r>
    <w:r w:rsidR="00757EFC">
      <w:rPr>
        <w:sz w:val="20"/>
      </w:rPr>
      <w:fldChar w:fldCharType="separate"/>
    </w:r>
    <w:r w:rsidR="00757EFC">
      <w:rPr>
        <w:noProof/>
        <w:sz w:val="20"/>
      </w:rPr>
      <w:t>Method</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00757EFC">
      <w:rPr>
        <w:b/>
        <w:sz w:val="20"/>
      </w:rPr>
      <w:fldChar w:fldCharType="separate"/>
    </w:r>
    <w:r w:rsidR="00757EFC">
      <w:rPr>
        <w:b/>
        <w:noProof/>
        <w:sz w:val="20"/>
      </w:rPr>
      <w:t>Division 2</w:t>
    </w:r>
    <w:r w:rsidRPr="00D675F1">
      <w:rPr>
        <w:b/>
        <w:sz w:val="20"/>
      </w:rPr>
      <w:fldChar w:fldCharType="end"/>
    </w:r>
  </w:p>
  <w:p w:rsidR="005C75AD" w:rsidRPr="00D675F1" w:rsidRDefault="005C75AD">
    <w:pPr>
      <w:jc w:val="right"/>
      <w:rPr>
        <w:b/>
      </w:rPr>
    </w:pPr>
  </w:p>
  <w:p w:rsidR="005C75AD" w:rsidRPr="00D675F1" w:rsidRDefault="005C75AD" w:rsidP="003104D0">
    <w:pPr>
      <w:pBdr>
        <w:bottom w:val="single" w:sz="6" w:space="1" w:color="auto"/>
      </w:pBdr>
      <w:spacing w:after="120"/>
      <w:jc w:val="right"/>
    </w:pPr>
    <w:r w:rsidRPr="00D675F1">
      <w:t xml:space="preserve">Clause </w:t>
    </w:r>
    <w:fldSimple w:instr=" STYLEREF CharSectno ">
      <w:r w:rsidR="00757EFC">
        <w:rPr>
          <w:noProof/>
        </w:rPr>
        <w:t>4</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Default="005C75A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Default="005C75A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Approved stock exchanges</w:t>
    </w:r>
    <w:r>
      <w:rPr>
        <w:sz w:val="20"/>
      </w:rPr>
      <w:fldChar w:fldCharType="end"/>
    </w:r>
  </w:p>
  <w:p w:rsidR="005C75AD" w:rsidRDefault="005C75A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C75AD" w:rsidRPr="007A1328" w:rsidRDefault="005C75A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C75AD" w:rsidRPr="007A1328" w:rsidRDefault="005C75AD" w:rsidP="00715914">
    <w:pPr>
      <w:rPr>
        <w:b/>
        <w:sz w:val="24"/>
      </w:rPr>
    </w:pPr>
  </w:p>
  <w:p w:rsidR="005C75AD" w:rsidRPr="007A1328" w:rsidRDefault="005C75AD" w:rsidP="003104D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5C75AD" w:rsidRDefault="005C75A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7A1328" w:rsidRDefault="005C75A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Approved stock exchanges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3</w:t>
    </w:r>
    <w:r>
      <w:rPr>
        <w:b/>
        <w:sz w:val="20"/>
      </w:rPr>
      <w:fldChar w:fldCharType="end"/>
    </w:r>
  </w:p>
  <w:p w:rsidR="005C75AD" w:rsidRPr="007A1328" w:rsidRDefault="005C75A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C75AD" w:rsidRPr="007A1328" w:rsidRDefault="005C75A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C75AD" w:rsidRPr="007A1328" w:rsidRDefault="005C75AD" w:rsidP="00715914">
    <w:pPr>
      <w:jc w:val="right"/>
      <w:rPr>
        <w:b/>
        <w:sz w:val="24"/>
      </w:rPr>
    </w:pPr>
  </w:p>
  <w:p w:rsidR="005C75AD" w:rsidRPr="007A1328" w:rsidRDefault="005C75AD" w:rsidP="003104D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5C75AD" w:rsidRDefault="005C7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7A1328" w:rsidRDefault="005C75AD"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5F1388" w:rsidRDefault="005C75AD" w:rsidP="001778B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5F1388" w:rsidRDefault="005C75AD" w:rsidP="001778B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D79B6" w:rsidRDefault="005C75AD" w:rsidP="001778B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ED79B6" w:rsidRDefault="005C75AD" w:rsidP="001778B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7A1328" w:rsidRDefault="005C75AD" w:rsidP="001778B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Default="005C75AD" w:rsidP="001778B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57EFC">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57EFC">
      <w:rPr>
        <w:noProof/>
        <w:sz w:val="20"/>
      </w:rPr>
      <w:t>Liability rules of general application</w:t>
    </w:r>
    <w:r>
      <w:rPr>
        <w:sz w:val="20"/>
      </w:rPr>
      <w:fldChar w:fldCharType="end"/>
    </w:r>
  </w:p>
  <w:p w:rsidR="005C75AD" w:rsidRDefault="005C75AD" w:rsidP="001778B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57EFC">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57EFC">
      <w:rPr>
        <w:noProof/>
        <w:sz w:val="20"/>
      </w:rPr>
      <w:t>Non-assessable income</w:t>
    </w:r>
    <w:r>
      <w:rPr>
        <w:sz w:val="20"/>
      </w:rPr>
      <w:fldChar w:fldCharType="end"/>
    </w:r>
  </w:p>
  <w:p w:rsidR="005C75AD" w:rsidRPr="007A1328" w:rsidRDefault="005C75AD" w:rsidP="001778BC">
    <w:pPr>
      <w:rPr>
        <w:sz w:val="20"/>
      </w:rPr>
    </w:pPr>
    <w:r>
      <w:rPr>
        <w:b/>
        <w:sz w:val="20"/>
      </w:rPr>
      <w:fldChar w:fldCharType="begin"/>
    </w:r>
    <w:r>
      <w:rPr>
        <w:b/>
        <w:sz w:val="20"/>
      </w:rPr>
      <w:instrText xml:space="preserve"> STYLEREF CharDivNo </w:instrText>
    </w:r>
    <w:r w:rsidR="00757EFC">
      <w:rPr>
        <w:b/>
        <w:sz w:val="20"/>
      </w:rPr>
      <w:fldChar w:fldCharType="separate"/>
    </w:r>
    <w:r w:rsidR="00757EFC">
      <w:rPr>
        <w:b/>
        <w:noProof/>
        <w:sz w:val="20"/>
      </w:rPr>
      <w:t>Division 50</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57EFC">
      <w:rPr>
        <w:sz w:val="20"/>
      </w:rPr>
      <w:fldChar w:fldCharType="separate"/>
    </w:r>
    <w:r w:rsidR="00757EFC">
      <w:rPr>
        <w:noProof/>
        <w:sz w:val="20"/>
      </w:rPr>
      <w:t>Exempt entities</w:t>
    </w:r>
    <w:r>
      <w:rPr>
        <w:sz w:val="20"/>
      </w:rPr>
      <w:fldChar w:fldCharType="end"/>
    </w:r>
  </w:p>
  <w:p w:rsidR="005C75AD" w:rsidRPr="007A1328" w:rsidRDefault="005C75AD" w:rsidP="001778BC">
    <w:pPr>
      <w:rPr>
        <w:b/>
        <w:sz w:val="24"/>
      </w:rPr>
    </w:pPr>
  </w:p>
  <w:p w:rsidR="005C75AD" w:rsidRPr="007A1328" w:rsidRDefault="005C75AD" w:rsidP="001778B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7EFC">
      <w:rPr>
        <w:noProof/>
        <w:sz w:val="24"/>
      </w:rPr>
      <w:t>50-55.01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7A1328" w:rsidRDefault="005C75AD" w:rsidP="001778B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57EFC">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57EFC">
      <w:rPr>
        <w:b/>
        <w:noProof/>
        <w:sz w:val="20"/>
      </w:rPr>
      <w:t>Chapter 2</w:t>
    </w:r>
    <w:r>
      <w:rPr>
        <w:b/>
        <w:sz w:val="20"/>
      </w:rPr>
      <w:fldChar w:fldCharType="end"/>
    </w:r>
  </w:p>
  <w:p w:rsidR="005C75AD" w:rsidRPr="007A1328" w:rsidRDefault="005C75AD" w:rsidP="001778BC">
    <w:pPr>
      <w:jc w:val="right"/>
      <w:rPr>
        <w:sz w:val="20"/>
      </w:rPr>
    </w:pPr>
    <w:r w:rsidRPr="007A1328">
      <w:rPr>
        <w:sz w:val="20"/>
      </w:rPr>
      <w:fldChar w:fldCharType="begin"/>
    </w:r>
    <w:r w:rsidRPr="007A1328">
      <w:rPr>
        <w:sz w:val="20"/>
      </w:rPr>
      <w:instrText xml:space="preserve"> STYLEREF CharPartText </w:instrText>
    </w:r>
    <w:r w:rsidR="00757EFC">
      <w:rPr>
        <w:sz w:val="20"/>
      </w:rPr>
      <w:fldChar w:fldCharType="separate"/>
    </w:r>
    <w:r w:rsidR="00757EFC">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57EFC">
      <w:rPr>
        <w:b/>
        <w:sz w:val="20"/>
      </w:rPr>
      <w:fldChar w:fldCharType="separate"/>
    </w:r>
    <w:r w:rsidR="00757EFC">
      <w:rPr>
        <w:b/>
        <w:noProof/>
        <w:sz w:val="20"/>
      </w:rPr>
      <w:t>Part 2-15</w:t>
    </w:r>
    <w:r>
      <w:rPr>
        <w:b/>
        <w:sz w:val="20"/>
      </w:rPr>
      <w:fldChar w:fldCharType="end"/>
    </w:r>
  </w:p>
  <w:p w:rsidR="005C75AD" w:rsidRPr="007A1328" w:rsidRDefault="005C75AD" w:rsidP="001778BC">
    <w:pPr>
      <w:jc w:val="right"/>
      <w:rPr>
        <w:sz w:val="20"/>
      </w:rPr>
    </w:pPr>
    <w:r w:rsidRPr="007A1328">
      <w:rPr>
        <w:sz w:val="20"/>
      </w:rPr>
      <w:fldChar w:fldCharType="begin"/>
    </w:r>
    <w:r w:rsidRPr="007A1328">
      <w:rPr>
        <w:sz w:val="20"/>
      </w:rPr>
      <w:instrText xml:space="preserve"> STYLEREF CharDivText </w:instrText>
    </w:r>
    <w:r w:rsidR="00757EFC">
      <w:rPr>
        <w:sz w:val="20"/>
      </w:rPr>
      <w:fldChar w:fldCharType="separate"/>
    </w:r>
    <w:r w:rsidR="00757EFC">
      <w:rPr>
        <w:noProof/>
        <w:sz w:val="20"/>
      </w:rPr>
      <w:t>Exempt amounts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57EFC">
      <w:rPr>
        <w:b/>
        <w:sz w:val="20"/>
      </w:rPr>
      <w:fldChar w:fldCharType="separate"/>
    </w:r>
    <w:r w:rsidR="00757EFC">
      <w:rPr>
        <w:b/>
        <w:noProof/>
        <w:sz w:val="20"/>
      </w:rPr>
      <w:t>Division 51</w:t>
    </w:r>
    <w:r>
      <w:rPr>
        <w:b/>
        <w:sz w:val="20"/>
      </w:rPr>
      <w:fldChar w:fldCharType="end"/>
    </w:r>
  </w:p>
  <w:p w:rsidR="005C75AD" w:rsidRPr="007A1328" w:rsidRDefault="005C75AD" w:rsidP="001778BC">
    <w:pPr>
      <w:jc w:val="right"/>
      <w:rPr>
        <w:b/>
        <w:sz w:val="24"/>
      </w:rPr>
    </w:pPr>
  </w:p>
  <w:p w:rsidR="005C75AD" w:rsidRPr="007A1328" w:rsidRDefault="005C75AD" w:rsidP="001778B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7EFC">
      <w:rPr>
        <w:noProof/>
        <w:sz w:val="24"/>
      </w:rPr>
      <w:t>51-5.01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AD" w:rsidRPr="00D675F1" w:rsidRDefault="005C75AD">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757EFC">
      <w:rPr>
        <w:b/>
        <w:noProof/>
        <w:sz w:val="20"/>
      </w:rPr>
      <w:t>Schedule 1AA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757EFC">
      <w:rPr>
        <w:noProof/>
        <w:sz w:val="20"/>
      </w:rPr>
      <w:t>Working out defined benefit contributions</w:t>
    </w:r>
    <w:r w:rsidRPr="00D675F1">
      <w:rPr>
        <w:sz w:val="20"/>
      </w:rPr>
      <w:fldChar w:fldCharType="end"/>
    </w:r>
  </w:p>
  <w:p w:rsidR="005C75AD" w:rsidRPr="00D675F1" w:rsidRDefault="005C75AD">
    <w:pPr>
      <w:rPr>
        <w:b/>
        <w:sz w:val="20"/>
      </w:rPr>
    </w:pPr>
    <w:r w:rsidRPr="00D675F1">
      <w:rPr>
        <w:b/>
        <w:sz w:val="20"/>
      </w:rPr>
      <w:fldChar w:fldCharType="begin"/>
    </w:r>
    <w:r w:rsidRPr="00D675F1">
      <w:rPr>
        <w:b/>
        <w:sz w:val="20"/>
      </w:rPr>
      <w:instrText xml:space="preserve"> STYLEREF CharPartNo </w:instrText>
    </w:r>
    <w:r w:rsidR="00757EFC">
      <w:rPr>
        <w:b/>
        <w:sz w:val="20"/>
      </w:rPr>
      <w:fldChar w:fldCharType="separate"/>
    </w:r>
    <w:r w:rsidR="00757EFC">
      <w:rPr>
        <w:b/>
        <w:noProof/>
        <w:sz w:val="20"/>
      </w:rPr>
      <w:t>Part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757EFC">
      <w:rPr>
        <w:sz w:val="20"/>
      </w:rPr>
      <w:fldChar w:fldCharType="separate"/>
    </w:r>
    <w:r w:rsidR="00757EFC">
      <w:rPr>
        <w:noProof/>
        <w:sz w:val="20"/>
      </w:rPr>
      <w:t>Preliminary</w:t>
    </w:r>
    <w:r w:rsidRPr="00D675F1">
      <w:rPr>
        <w:sz w:val="20"/>
      </w:rPr>
      <w:fldChar w:fldCharType="end"/>
    </w:r>
  </w:p>
  <w:p w:rsidR="005C75AD" w:rsidRPr="00D675F1" w:rsidRDefault="005C75AD">
    <w:pPr>
      <w:rPr>
        <w:sz w:val="20"/>
      </w:rPr>
    </w:pPr>
    <w:r w:rsidRPr="00D675F1">
      <w:rPr>
        <w:b/>
        <w:sz w:val="20"/>
      </w:rPr>
      <w:fldChar w:fldCharType="begin"/>
    </w:r>
    <w:r w:rsidRPr="00D675F1">
      <w:rPr>
        <w:b/>
        <w:sz w:val="20"/>
      </w:rPr>
      <w:instrText xml:space="preserve"> STYLEREF CharDivNo </w:instrText>
    </w:r>
    <w:r w:rsidR="00757EFC">
      <w:rPr>
        <w:b/>
        <w:sz w:val="20"/>
      </w:rPr>
      <w:fldChar w:fldCharType="separate"/>
    </w:r>
    <w:r w:rsidR="00757EFC">
      <w:rPr>
        <w:b/>
        <w:noProof/>
        <w:sz w:val="20"/>
      </w:rPr>
      <w:t>Division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00757EFC">
      <w:rPr>
        <w:sz w:val="20"/>
      </w:rPr>
      <w:fldChar w:fldCharType="separate"/>
    </w:r>
    <w:r w:rsidR="00757EFC">
      <w:rPr>
        <w:noProof/>
        <w:sz w:val="20"/>
      </w:rPr>
      <w:t>Method</w:t>
    </w:r>
    <w:r w:rsidRPr="00D675F1">
      <w:rPr>
        <w:sz w:val="20"/>
      </w:rPr>
      <w:fldChar w:fldCharType="end"/>
    </w:r>
  </w:p>
  <w:p w:rsidR="005C75AD" w:rsidRPr="00D675F1" w:rsidRDefault="005C75AD">
    <w:pPr>
      <w:rPr>
        <w:b/>
      </w:rPr>
    </w:pPr>
  </w:p>
  <w:p w:rsidR="005C75AD" w:rsidRPr="00D675F1" w:rsidRDefault="005C75AD" w:rsidP="003104D0">
    <w:pPr>
      <w:pBdr>
        <w:bottom w:val="single" w:sz="6" w:space="1" w:color="auto"/>
      </w:pBdr>
      <w:spacing w:after="120"/>
    </w:pPr>
    <w:r w:rsidRPr="00D675F1">
      <w:t xml:space="preserve">Clause </w:t>
    </w:r>
    <w:fldSimple w:instr=" STYLEREF CharSectno ">
      <w:r w:rsidR="00757EFC">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2924ADD"/>
    <w:multiLevelType w:val="hybridMultilevel"/>
    <w:tmpl w:val="4BE03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C6679E"/>
    <w:multiLevelType w:val="hybridMultilevel"/>
    <w:tmpl w:val="D15EBA2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0"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1" w15:restartNumberingAfterBreak="0">
    <w:nsid w:val="391B745E"/>
    <w:multiLevelType w:val="hybridMultilevel"/>
    <w:tmpl w:val="29142D0C"/>
    <w:lvl w:ilvl="0" w:tplc="0C090001">
      <w:start w:val="1"/>
      <w:numFmt w:val="bullet"/>
      <w:lvlText w:val=""/>
      <w:lvlJc w:val="left"/>
      <w:pPr>
        <w:tabs>
          <w:tab w:val="num" w:pos="1684"/>
        </w:tabs>
        <w:ind w:left="1684" w:hanging="360"/>
      </w:pPr>
      <w:rPr>
        <w:rFonts w:ascii="Symbol" w:hAnsi="Symbol" w:hint="default"/>
      </w:rPr>
    </w:lvl>
    <w:lvl w:ilvl="1" w:tplc="0C090003" w:tentative="1">
      <w:start w:val="1"/>
      <w:numFmt w:val="bullet"/>
      <w:lvlText w:val="o"/>
      <w:lvlJc w:val="left"/>
      <w:pPr>
        <w:tabs>
          <w:tab w:val="num" w:pos="2404"/>
        </w:tabs>
        <w:ind w:left="2404" w:hanging="360"/>
      </w:pPr>
      <w:rPr>
        <w:rFonts w:ascii="Courier New" w:hAnsi="Courier New" w:cs="Courier New" w:hint="default"/>
      </w:rPr>
    </w:lvl>
    <w:lvl w:ilvl="2" w:tplc="0C090005" w:tentative="1">
      <w:start w:val="1"/>
      <w:numFmt w:val="bullet"/>
      <w:lvlText w:val=""/>
      <w:lvlJc w:val="left"/>
      <w:pPr>
        <w:tabs>
          <w:tab w:val="num" w:pos="3124"/>
        </w:tabs>
        <w:ind w:left="3124" w:hanging="360"/>
      </w:pPr>
      <w:rPr>
        <w:rFonts w:ascii="Wingdings" w:hAnsi="Wingdings" w:hint="default"/>
      </w:rPr>
    </w:lvl>
    <w:lvl w:ilvl="3" w:tplc="0C090001" w:tentative="1">
      <w:start w:val="1"/>
      <w:numFmt w:val="bullet"/>
      <w:lvlText w:val=""/>
      <w:lvlJc w:val="left"/>
      <w:pPr>
        <w:tabs>
          <w:tab w:val="num" w:pos="3844"/>
        </w:tabs>
        <w:ind w:left="3844" w:hanging="360"/>
      </w:pPr>
      <w:rPr>
        <w:rFonts w:ascii="Symbol" w:hAnsi="Symbol" w:hint="default"/>
      </w:rPr>
    </w:lvl>
    <w:lvl w:ilvl="4" w:tplc="0C090003" w:tentative="1">
      <w:start w:val="1"/>
      <w:numFmt w:val="bullet"/>
      <w:lvlText w:val="o"/>
      <w:lvlJc w:val="left"/>
      <w:pPr>
        <w:tabs>
          <w:tab w:val="num" w:pos="4564"/>
        </w:tabs>
        <w:ind w:left="4564" w:hanging="360"/>
      </w:pPr>
      <w:rPr>
        <w:rFonts w:ascii="Courier New" w:hAnsi="Courier New" w:cs="Courier New" w:hint="default"/>
      </w:rPr>
    </w:lvl>
    <w:lvl w:ilvl="5" w:tplc="0C090005" w:tentative="1">
      <w:start w:val="1"/>
      <w:numFmt w:val="bullet"/>
      <w:lvlText w:val=""/>
      <w:lvlJc w:val="left"/>
      <w:pPr>
        <w:tabs>
          <w:tab w:val="num" w:pos="5284"/>
        </w:tabs>
        <w:ind w:left="5284" w:hanging="360"/>
      </w:pPr>
      <w:rPr>
        <w:rFonts w:ascii="Wingdings" w:hAnsi="Wingdings" w:hint="default"/>
      </w:rPr>
    </w:lvl>
    <w:lvl w:ilvl="6" w:tplc="0C090001" w:tentative="1">
      <w:start w:val="1"/>
      <w:numFmt w:val="bullet"/>
      <w:lvlText w:val=""/>
      <w:lvlJc w:val="left"/>
      <w:pPr>
        <w:tabs>
          <w:tab w:val="num" w:pos="6004"/>
        </w:tabs>
        <w:ind w:left="6004" w:hanging="360"/>
      </w:pPr>
      <w:rPr>
        <w:rFonts w:ascii="Symbol" w:hAnsi="Symbol" w:hint="default"/>
      </w:rPr>
    </w:lvl>
    <w:lvl w:ilvl="7" w:tplc="0C090003" w:tentative="1">
      <w:start w:val="1"/>
      <w:numFmt w:val="bullet"/>
      <w:lvlText w:val="o"/>
      <w:lvlJc w:val="left"/>
      <w:pPr>
        <w:tabs>
          <w:tab w:val="num" w:pos="6724"/>
        </w:tabs>
        <w:ind w:left="6724" w:hanging="360"/>
      </w:pPr>
      <w:rPr>
        <w:rFonts w:ascii="Courier New" w:hAnsi="Courier New" w:cs="Courier New" w:hint="default"/>
      </w:rPr>
    </w:lvl>
    <w:lvl w:ilvl="8" w:tplc="0C090005" w:tentative="1">
      <w:start w:val="1"/>
      <w:numFmt w:val="bullet"/>
      <w:lvlText w:val=""/>
      <w:lvlJc w:val="left"/>
      <w:pPr>
        <w:tabs>
          <w:tab w:val="num" w:pos="7444"/>
        </w:tabs>
        <w:ind w:left="7444" w:hanging="360"/>
      </w:pPr>
      <w:rPr>
        <w:rFonts w:ascii="Wingdings" w:hAnsi="Wingdings" w:hint="default"/>
      </w:rPr>
    </w:lvl>
  </w:abstractNum>
  <w:abstractNum w:abstractNumId="22" w15:restartNumberingAfterBreak="0">
    <w:nsid w:val="3A836E0D"/>
    <w:multiLevelType w:val="multilevel"/>
    <w:tmpl w:val="5D364E06"/>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559214BF"/>
    <w:multiLevelType w:val="multilevel"/>
    <w:tmpl w:val="B5F4DA0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B633FA"/>
    <w:multiLevelType w:val="hybridMultilevel"/>
    <w:tmpl w:val="9B00B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C7E8D"/>
    <w:multiLevelType w:val="singleLevel"/>
    <w:tmpl w:val="EE0E33D2"/>
    <w:lvl w:ilvl="0">
      <w:start w:val="1"/>
      <w:numFmt w:val="decimal"/>
      <w:lvlRestart w:val="0"/>
      <w:lvlText w:val="%1."/>
      <w:lvlJc w:val="left"/>
      <w:pPr>
        <w:tabs>
          <w:tab w:val="num" w:pos="1984"/>
        </w:tabs>
        <w:ind w:left="1140" w:firstLine="0"/>
      </w:pPr>
      <w:rPr>
        <w:b w:val="0"/>
        <w:i w:val="0"/>
        <w:color w:val="000000"/>
      </w:rPr>
    </w:lvl>
  </w:abstractNum>
  <w:abstractNum w:abstractNumId="3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796DA5"/>
    <w:multiLevelType w:val="singleLevel"/>
    <w:tmpl w:val="4E5EFE2E"/>
    <w:lvl w:ilvl="0">
      <w:start w:val="2"/>
      <w:numFmt w:val="decimal"/>
      <w:lvlText w:val="%1."/>
      <w:lvlJc w:val="left"/>
      <w:pPr>
        <w:tabs>
          <w:tab w:val="num" w:pos="567"/>
        </w:tabs>
        <w:ind w:left="567" w:hanging="567"/>
      </w:pPr>
    </w:lvl>
  </w:abstractNum>
  <w:abstractNum w:abstractNumId="33" w15:restartNumberingAfterBreak="0">
    <w:nsid w:val="694B40F6"/>
    <w:multiLevelType w:val="multilevel"/>
    <w:tmpl w:val="A12821D8"/>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AD7615"/>
    <w:multiLevelType w:val="multilevel"/>
    <w:tmpl w:val="16701C9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15"/>
  </w:num>
  <w:num w:numId="14">
    <w:abstractNumId w:val="18"/>
  </w:num>
  <w:num w:numId="15">
    <w:abstractNumId w:val="16"/>
  </w:num>
  <w:num w:numId="16">
    <w:abstractNumId w:val="13"/>
  </w:num>
  <w:num w:numId="17">
    <w:abstractNumId w:val="25"/>
  </w:num>
  <w:num w:numId="18">
    <w:abstractNumId w:val="24"/>
  </w:num>
  <w:num w:numId="19">
    <w:abstractNumId w:val="23"/>
  </w:num>
  <w:num w:numId="20">
    <w:abstractNumId w:val="21"/>
  </w:num>
  <w:num w:numId="21">
    <w:abstractNumId w:val="32"/>
  </w:num>
  <w:num w:numId="22">
    <w:abstractNumId w:val="26"/>
  </w:num>
  <w:num w:numId="23">
    <w:abstractNumId w:val="20"/>
  </w:num>
  <w:num w:numId="24">
    <w:abstractNumId w:val="28"/>
  </w:num>
  <w:num w:numId="25">
    <w:abstractNumId w:val="33"/>
  </w:num>
  <w:num w:numId="26">
    <w:abstractNumId w:val="30"/>
  </w:num>
  <w:num w:numId="27">
    <w:abstractNumId w:val="22"/>
  </w:num>
  <w:num w:numId="28">
    <w:abstractNumId w:val="31"/>
  </w:num>
  <w:num w:numId="29">
    <w:abstractNumId w:val="17"/>
  </w:num>
  <w:num w:numId="30">
    <w:abstractNumId w:val="19"/>
  </w:num>
  <w:num w:numId="31">
    <w:abstractNumId w:val="11"/>
  </w:num>
  <w:num w:numId="32">
    <w:abstractNumId w:val="27"/>
  </w:num>
  <w:num w:numId="33">
    <w:abstractNumId w:val="1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34">
    <w:abstractNumId w:val="12"/>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68E"/>
    <w:rsid w:val="0000360B"/>
    <w:rsid w:val="00004470"/>
    <w:rsid w:val="0000570A"/>
    <w:rsid w:val="0001201E"/>
    <w:rsid w:val="0001310D"/>
    <w:rsid w:val="000136AF"/>
    <w:rsid w:val="00016790"/>
    <w:rsid w:val="000223F9"/>
    <w:rsid w:val="00023A95"/>
    <w:rsid w:val="00031257"/>
    <w:rsid w:val="000357ED"/>
    <w:rsid w:val="0004151E"/>
    <w:rsid w:val="000417E7"/>
    <w:rsid w:val="000437C1"/>
    <w:rsid w:val="000447D2"/>
    <w:rsid w:val="000501B0"/>
    <w:rsid w:val="000522C2"/>
    <w:rsid w:val="0005365D"/>
    <w:rsid w:val="00055A24"/>
    <w:rsid w:val="00056256"/>
    <w:rsid w:val="000614BF"/>
    <w:rsid w:val="0006233F"/>
    <w:rsid w:val="00064D80"/>
    <w:rsid w:val="00066E78"/>
    <w:rsid w:val="00070DDB"/>
    <w:rsid w:val="0008178B"/>
    <w:rsid w:val="000837B1"/>
    <w:rsid w:val="00090368"/>
    <w:rsid w:val="000A14A1"/>
    <w:rsid w:val="000A3BD0"/>
    <w:rsid w:val="000A7A93"/>
    <w:rsid w:val="000B3AEB"/>
    <w:rsid w:val="000B58FA"/>
    <w:rsid w:val="000B67CD"/>
    <w:rsid w:val="000B7E30"/>
    <w:rsid w:val="000C7F76"/>
    <w:rsid w:val="000D05EF"/>
    <w:rsid w:val="000D0A73"/>
    <w:rsid w:val="000D4750"/>
    <w:rsid w:val="000D52F6"/>
    <w:rsid w:val="000D60F5"/>
    <w:rsid w:val="000D6341"/>
    <w:rsid w:val="000E2261"/>
    <w:rsid w:val="000E2B0B"/>
    <w:rsid w:val="000E7514"/>
    <w:rsid w:val="000F21C1"/>
    <w:rsid w:val="000F2682"/>
    <w:rsid w:val="000F5C96"/>
    <w:rsid w:val="0010745C"/>
    <w:rsid w:val="00110996"/>
    <w:rsid w:val="00125AFF"/>
    <w:rsid w:val="00125C99"/>
    <w:rsid w:val="00132CEB"/>
    <w:rsid w:val="00136B35"/>
    <w:rsid w:val="00137BB1"/>
    <w:rsid w:val="00142B62"/>
    <w:rsid w:val="00143624"/>
    <w:rsid w:val="00143BB9"/>
    <w:rsid w:val="0014539C"/>
    <w:rsid w:val="00147FFB"/>
    <w:rsid w:val="00150FE8"/>
    <w:rsid w:val="00153893"/>
    <w:rsid w:val="00153A93"/>
    <w:rsid w:val="0015625F"/>
    <w:rsid w:val="00157B8B"/>
    <w:rsid w:val="00161311"/>
    <w:rsid w:val="00166C2F"/>
    <w:rsid w:val="00170735"/>
    <w:rsid w:val="00175832"/>
    <w:rsid w:val="00175AAB"/>
    <w:rsid w:val="001778BC"/>
    <w:rsid w:val="001809D7"/>
    <w:rsid w:val="001853BA"/>
    <w:rsid w:val="00187847"/>
    <w:rsid w:val="00190550"/>
    <w:rsid w:val="0019271A"/>
    <w:rsid w:val="001939E1"/>
    <w:rsid w:val="00194C3E"/>
    <w:rsid w:val="00195382"/>
    <w:rsid w:val="00197158"/>
    <w:rsid w:val="001A4F30"/>
    <w:rsid w:val="001A552C"/>
    <w:rsid w:val="001A7828"/>
    <w:rsid w:val="001A7FA0"/>
    <w:rsid w:val="001B2B9E"/>
    <w:rsid w:val="001C0CB7"/>
    <w:rsid w:val="001C3B32"/>
    <w:rsid w:val="001C5D8F"/>
    <w:rsid w:val="001C61C5"/>
    <w:rsid w:val="001C69C4"/>
    <w:rsid w:val="001D37EF"/>
    <w:rsid w:val="001E113C"/>
    <w:rsid w:val="001E1C61"/>
    <w:rsid w:val="001E3590"/>
    <w:rsid w:val="001E4A8D"/>
    <w:rsid w:val="001E6C48"/>
    <w:rsid w:val="001E7407"/>
    <w:rsid w:val="001F5D4F"/>
    <w:rsid w:val="001F5D5E"/>
    <w:rsid w:val="001F6219"/>
    <w:rsid w:val="001F6CD4"/>
    <w:rsid w:val="002061C2"/>
    <w:rsid w:val="00206C4D"/>
    <w:rsid w:val="0021053C"/>
    <w:rsid w:val="00211E23"/>
    <w:rsid w:val="00214D28"/>
    <w:rsid w:val="00215AF1"/>
    <w:rsid w:val="00216413"/>
    <w:rsid w:val="00216A2E"/>
    <w:rsid w:val="00224A89"/>
    <w:rsid w:val="00225492"/>
    <w:rsid w:val="00226562"/>
    <w:rsid w:val="002321E8"/>
    <w:rsid w:val="002345A7"/>
    <w:rsid w:val="002364B4"/>
    <w:rsid w:val="00236EEC"/>
    <w:rsid w:val="0024010F"/>
    <w:rsid w:val="00240749"/>
    <w:rsid w:val="00243018"/>
    <w:rsid w:val="00247812"/>
    <w:rsid w:val="00252E29"/>
    <w:rsid w:val="002564A4"/>
    <w:rsid w:val="00261644"/>
    <w:rsid w:val="00261EAB"/>
    <w:rsid w:val="00263003"/>
    <w:rsid w:val="002649CB"/>
    <w:rsid w:val="0026736C"/>
    <w:rsid w:val="00271A98"/>
    <w:rsid w:val="002736BA"/>
    <w:rsid w:val="00275D91"/>
    <w:rsid w:val="00275DD8"/>
    <w:rsid w:val="00281308"/>
    <w:rsid w:val="00284719"/>
    <w:rsid w:val="00296407"/>
    <w:rsid w:val="00296441"/>
    <w:rsid w:val="00297ECB"/>
    <w:rsid w:val="002A1D34"/>
    <w:rsid w:val="002A3735"/>
    <w:rsid w:val="002A7BCF"/>
    <w:rsid w:val="002B1A95"/>
    <w:rsid w:val="002B2BE7"/>
    <w:rsid w:val="002B6829"/>
    <w:rsid w:val="002C2391"/>
    <w:rsid w:val="002C6C45"/>
    <w:rsid w:val="002C7100"/>
    <w:rsid w:val="002D043A"/>
    <w:rsid w:val="002D11A2"/>
    <w:rsid w:val="002D1BE2"/>
    <w:rsid w:val="002D1CA3"/>
    <w:rsid w:val="002D1FCD"/>
    <w:rsid w:val="002D2FDA"/>
    <w:rsid w:val="002D34B1"/>
    <w:rsid w:val="002D362C"/>
    <w:rsid w:val="002D5B83"/>
    <w:rsid w:val="002D6224"/>
    <w:rsid w:val="002D6F4C"/>
    <w:rsid w:val="002E1CFE"/>
    <w:rsid w:val="002E3C6A"/>
    <w:rsid w:val="002E3F4B"/>
    <w:rsid w:val="002E5F50"/>
    <w:rsid w:val="002F07B9"/>
    <w:rsid w:val="00304459"/>
    <w:rsid w:val="00304F8B"/>
    <w:rsid w:val="00305C8E"/>
    <w:rsid w:val="003104D0"/>
    <w:rsid w:val="00311618"/>
    <w:rsid w:val="003130B8"/>
    <w:rsid w:val="00320431"/>
    <w:rsid w:val="0033002C"/>
    <w:rsid w:val="003354D2"/>
    <w:rsid w:val="00335BC6"/>
    <w:rsid w:val="003415D3"/>
    <w:rsid w:val="00344701"/>
    <w:rsid w:val="00345158"/>
    <w:rsid w:val="003478B4"/>
    <w:rsid w:val="00352B0F"/>
    <w:rsid w:val="00356690"/>
    <w:rsid w:val="003566CB"/>
    <w:rsid w:val="0035713F"/>
    <w:rsid w:val="00360459"/>
    <w:rsid w:val="00360B94"/>
    <w:rsid w:val="00361A58"/>
    <w:rsid w:val="00383065"/>
    <w:rsid w:val="00384E8D"/>
    <w:rsid w:val="00386AC1"/>
    <w:rsid w:val="003904BD"/>
    <w:rsid w:val="00397CBA"/>
    <w:rsid w:val="003A1C95"/>
    <w:rsid w:val="003A35DD"/>
    <w:rsid w:val="003A4492"/>
    <w:rsid w:val="003A528A"/>
    <w:rsid w:val="003B1DE3"/>
    <w:rsid w:val="003B77A7"/>
    <w:rsid w:val="003C3BF2"/>
    <w:rsid w:val="003C41DA"/>
    <w:rsid w:val="003C6231"/>
    <w:rsid w:val="003C671B"/>
    <w:rsid w:val="003D04CB"/>
    <w:rsid w:val="003D05B7"/>
    <w:rsid w:val="003D0BFE"/>
    <w:rsid w:val="003D2F06"/>
    <w:rsid w:val="003D5700"/>
    <w:rsid w:val="003D63BB"/>
    <w:rsid w:val="003E341B"/>
    <w:rsid w:val="003F0899"/>
    <w:rsid w:val="003F3542"/>
    <w:rsid w:val="003F3E0B"/>
    <w:rsid w:val="003F503D"/>
    <w:rsid w:val="003F5595"/>
    <w:rsid w:val="00400B81"/>
    <w:rsid w:val="00404973"/>
    <w:rsid w:val="00404C53"/>
    <w:rsid w:val="004063D4"/>
    <w:rsid w:val="00407308"/>
    <w:rsid w:val="004116CD"/>
    <w:rsid w:val="004144EC"/>
    <w:rsid w:val="00417E11"/>
    <w:rsid w:val="00417EB9"/>
    <w:rsid w:val="00423D51"/>
    <w:rsid w:val="00424CA9"/>
    <w:rsid w:val="00430A5B"/>
    <w:rsid w:val="00430C7E"/>
    <w:rsid w:val="00431E9B"/>
    <w:rsid w:val="004345AC"/>
    <w:rsid w:val="004379E3"/>
    <w:rsid w:val="00437FF5"/>
    <w:rsid w:val="0044015E"/>
    <w:rsid w:val="0044291A"/>
    <w:rsid w:val="00444ABD"/>
    <w:rsid w:val="00445490"/>
    <w:rsid w:val="00452E3F"/>
    <w:rsid w:val="00457EF4"/>
    <w:rsid w:val="00460784"/>
    <w:rsid w:val="00461C81"/>
    <w:rsid w:val="00464278"/>
    <w:rsid w:val="00467661"/>
    <w:rsid w:val="004705B7"/>
    <w:rsid w:val="00472DBE"/>
    <w:rsid w:val="00473057"/>
    <w:rsid w:val="00474449"/>
    <w:rsid w:val="00474A19"/>
    <w:rsid w:val="00496F97"/>
    <w:rsid w:val="004A6987"/>
    <w:rsid w:val="004B12D9"/>
    <w:rsid w:val="004B2ABA"/>
    <w:rsid w:val="004C118D"/>
    <w:rsid w:val="004C30A5"/>
    <w:rsid w:val="004C43A3"/>
    <w:rsid w:val="004C5048"/>
    <w:rsid w:val="004C6AE8"/>
    <w:rsid w:val="004D2AA6"/>
    <w:rsid w:val="004D2F8E"/>
    <w:rsid w:val="004D3593"/>
    <w:rsid w:val="004D417C"/>
    <w:rsid w:val="004D49A9"/>
    <w:rsid w:val="004E063A"/>
    <w:rsid w:val="004E0DA5"/>
    <w:rsid w:val="004E7BEC"/>
    <w:rsid w:val="005047A3"/>
    <w:rsid w:val="0050586B"/>
    <w:rsid w:val="00505D3D"/>
    <w:rsid w:val="005060C4"/>
    <w:rsid w:val="00506AF6"/>
    <w:rsid w:val="00511117"/>
    <w:rsid w:val="00516B8D"/>
    <w:rsid w:val="00522354"/>
    <w:rsid w:val="00535C15"/>
    <w:rsid w:val="005364D5"/>
    <w:rsid w:val="005373CD"/>
    <w:rsid w:val="00537FBC"/>
    <w:rsid w:val="0054043C"/>
    <w:rsid w:val="0054118C"/>
    <w:rsid w:val="00554954"/>
    <w:rsid w:val="0055502C"/>
    <w:rsid w:val="005574D1"/>
    <w:rsid w:val="00566894"/>
    <w:rsid w:val="005706CF"/>
    <w:rsid w:val="005729EB"/>
    <w:rsid w:val="0058146A"/>
    <w:rsid w:val="00581520"/>
    <w:rsid w:val="00584811"/>
    <w:rsid w:val="00585784"/>
    <w:rsid w:val="00586A24"/>
    <w:rsid w:val="005871FC"/>
    <w:rsid w:val="00592157"/>
    <w:rsid w:val="00593AA6"/>
    <w:rsid w:val="00594161"/>
    <w:rsid w:val="00594749"/>
    <w:rsid w:val="0059695A"/>
    <w:rsid w:val="005A0CA7"/>
    <w:rsid w:val="005A4157"/>
    <w:rsid w:val="005A6336"/>
    <w:rsid w:val="005B00B1"/>
    <w:rsid w:val="005B05FF"/>
    <w:rsid w:val="005B2DEE"/>
    <w:rsid w:val="005B4067"/>
    <w:rsid w:val="005B5FE9"/>
    <w:rsid w:val="005B63A2"/>
    <w:rsid w:val="005C3F41"/>
    <w:rsid w:val="005C75AD"/>
    <w:rsid w:val="005D2D09"/>
    <w:rsid w:val="005D7778"/>
    <w:rsid w:val="005D7ED1"/>
    <w:rsid w:val="005D7EDA"/>
    <w:rsid w:val="005E2282"/>
    <w:rsid w:val="005E7429"/>
    <w:rsid w:val="005F04E1"/>
    <w:rsid w:val="005F2A6B"/>
    <w:rsid w:val="005F7EBE"/>
    <w:rsid w:val="00600219"/>
    <w:rsid w:val="00603DC4"/>
    <w:rsid w:val="0060595C"/>
    <w:rsid w:val="006064C3"/>
    <w:rsid w:val="00607262"/>
    <w:rsid w:val="00607771"/>
    <w:rsid w:val="006166A4"/>
    <w:rsid w:val="00620076"/>
    <w:rsid w:val="00620688"/>
    <w:rsid w:val="006309B7"/>
    <w:rsid w:val="006320A8"/>
    <w:rsid w:val="00634F89"/>
    <w:rsid w:val="00640220"/>
    <w:rsid w:val="00643580"/>
    <w:rsid w:val="0064377E"/>
    <w:rsid w:val="00646029"/>
    <w:rsid w:val="0065746F"/>
    <w:rsid w:val="00670623"/>
    <w:rsid w:val="00670EA1"/>
    <w:rsid w:val="00673D02"/>
    <w:rsid w:val="00677CC2"/>
    <w:rsid w:val="00682933"/>
    <w:rsid w:val="006851AD"/>
    <w:rsid w:val="006905DE"/>
    <w:rsid w:val="006910CF"/>
    <w:rsid w:val="0069207B"/>
    <w:rsid w:val="006944A8"/>
    <w:rsid w:val="00696A6D"/>
    <w:rsid w:val="006A018E"/>
    <w:rsid w:val="006A0426"/>
    <w:rsid w:val="006B11B1"/>
    <w:rsid w:val="006B1E1B"/>
    <w:rsid w:val="006B5789"/>
    <w:rsid w:val="006B6F15"/>
    <w:rsid w:val="006C0CCF"/>
    <w:rsid w:val="006C30C5"/>
    <w:rsid w:val="006C6992"/>
    <w:rsid w:val="006C70FF"/>
    <w:rsid w:val="006C7F8C"/>
    <w:rsid w:val="006E2864"/>
    <w:rsid w:val="006E6246"/>
    <w:rsid w:val="006F13CC"/>
    <w:rsid w:val="006F318F"/>
    <w:rsid w:val="006F4226"/>
    <w:rsid w:val="0070017E"/>
    <w:rsid w:val="00700B2C"/>
    <w:rsid w:val="00702CC2"/>
    <w:rsid w:val="00704E08"/>
    <w:rsid w:val="007050A2"/>
    <w:rsid w:val="00710187"/>
    <w:rsid w:val="00711473"/>
    <w:rsid w:val="00713084"/>
    <w:rsid w:val="007134F3"/>
    <w:rsid w:val="00714F20"/>
    <w:rsid w:val="0071590F"/>
    <w:rsid w:val="00715914"/>
    <w:rsid w:val="00715A22"/>
    <w:rsid w:val="00717D4F"/>
    <w:rsid w:val="00722EDF"/>
    <w:rsid w:val="00726A51"/>
    <w:rsid w:val="00731980"/>
    <w:rsid w:val="00731E00"/>
    <w:rsid w:val="00734F62"/>
    <w:rsid w:val="00737963"/>
    <w:rsid w:val="007440B7"/>
    <w:rsid w:val="007441B9"/>
    <w:rsid w:val="007500C8"/>
    <w:rsid w:val="00754C11"/>
    <w:rsid w:val="00756272"/>
    <w:rsid w:val="00757EFC"/>
    <w:rsid w:val="00763143"/>
    <w:rsid w:val="0076681A"/>
    <w:rsid w:val="0076798B"/>
    <w:rsid w:val="007715C9"/>
    <w:rsid w:val="00771613"/>
    <w:rsid w:val="00774EDD"/>
    <w:rsid w:val="007757EC"/>
    <w:rsid w:val="00775D80"/>
    <w:rsid w:val="0077603A"/>
    <w:rsid w:val="00781714"/>
    <w:rsid w:val="00782250"/>
    <w:rsid w:val="00783762"/>
    <w:rsid w:val="00783E89"/>
    <w:rsid w:val="00793438"/>
    <w:rsid w:val="00793915"/>
    <w:rsid w:val="007A421C"/>
    <w:rsid w:val="007B1DAD"/>
    <w:rsid w:val="007B2385"/>
    <w:rsid w:val="007B6DAE"/>
    <w:rsid w:val="007B6E44"/>
    <w:rsid w:val="007C10C2"/>
    <w:rsid w:val="007C1437"/>
    <w:rsid w:val="007C2253"/>
    <w:rsid w:val="007C4FDE"/>
    <w:rsid w:val="007D120B"/>
    <w:rsid w:val="007D17C5"/>
    <w:rsid w:val="007D4928"/>
    <w:rsid w:val="007D5A63"/>
    <w:rsid w:val="007D658C"/>
    <w:rsid w:val="007D695F"/>
    <w:rsid w:val="007D7B81"/>
    <w:rsid w:val="007E163D"/>
    <w:rsid w:val="007E2FFE"/>
    <w:rsid w:val="007E4CB0"/>
    <w:rsid w:val="007E5BE5"/>
    <w:rsid w:val="007E667A"/>
    <w:rsid w:val="007E7E55"/>
    <w:rsid w:val="007F28C9"/>
    <w:rsid w:val="007F3F33"/>
    <w:rsid w:val="007F4920"/>
    <w:rsid w:val="007F537E"/>
    <w:rsid w:val="00803587"/>
    <w:rsid w:val="00805C3E"/>
    <w:rsid w:val="008117E9"/>
    <w:rsid w:val="008141FE"/>
    <w:rsid w:val="008225D9"/>
    <w:rsid w:val="00824498"/>
    <w:rsid w:val="008246AC"/>
    <w:rsid w:val="00824A31"/>
    <w:rsid w:val="00825FBD"/>
    <w:rsid w:val="00835718"/>
    <w:rsid w:val="00837062"/>
    <w:rsid w:val="00846A47"/>
    <w:rsid w:val="00854B8E"/>
    <w:rsid w:val="00856A31"/>
    <w:rsid w:val="00860C8D"/>
    <w:rsid w:val="00864B24"/>
    <w:rsid w:val="00867B37"/>
    <w:rsid w:val="00871616"/>
    <w:rsid w:val="00875163"/>
    <w:rsid w:val="008754D0"/>
    <w:rsid w:val="00882286"/>
    <w:rsid w:val="008855C9"/>
    <w:rsid w:val="00886456"/>
    <w:rsid w:val="00891CB4"/>
    <w:rsid w:val="008A15A7"/>
    <w:rsid w:val="008A38A7"/>
    <w:rsid w:val="008A46E1"/>
    <w:rsid w:val="008A4F43"/>
    <w:rsid w:val="008A7705"/>
    <w:rsid w:val="008B2706"/>
    <w:rsid w:val="008B6573"/>
    <w:rsid w:val="008C17B6"/>
    <w:rsid w:val="008C30FB"/>
    <w:rsid w:val="008D0377"/>
    <w:rsid w:val="008D0EE0"/>
    <w:rsid w:val="008D1837"/>
    <w:rsid w:val="008D32B3"/>
    <w:rsid w:val="008E39A0"/>
    <w:rsid w:val="008E6067"/>
    <w:rsid w:val="008F4C04"/>
    <w:rsid w:val="008F54E7"/>
    <w:rsid w:val="0090040F"/>
    <w:rsid w:val="00903422"/>
    <w:rsid w:val="009126D3"/>
    <w:rsid w:val="009133C0"/>
    <w:rsid w:val="00915DF9"/>
    <w:rsid w:val="009161C0"/>
    <w:rsid w:val="00921FE4"/>
    <w:rsid w:val="009254C3"/>
    <w:rsid w:val="00926F31"/>
    <w:rsid w:val="00930A29"/>
    <w:rsid w:val="00932377"/>
    <w:rsid w:val="0093435B"/>
    <w:rsid w:val="00944649"/>
    <w:rsid w:val="00947D5A"/>
    <w:rsid w:val="00952142"/>
    <w:rsid w:val="009532A5"/>
    <w:rsid w:val="009558BE"/>
    <w:rsid w:val="00955B6E"/>
    <w:rsid w:val="00955D18"/>
    <w:rsid w:val="00956371"/>
    <w:rsid w:val="009568EC"/>
    <w:rsid w:val="00960549"/>
    <w:rsid w:val="0096065C"/>
    <w:rsid w:val="009612C0"/>
    <w:rsid w:val="009629ED"/>
    <w:rsid w:val="00971C21"/>
    <w:rsid w:val="00982242"/>
    <w:rsid w:val="00982DC9"/>
    <w:rsid w:val="009833FD"/>
    <w:rsid w:val="009868E9"/>
    <w:rsid w:val="0098701B"/>
    <w:rsid w:val="00991AA8"/>
    <w:rsid w:val="0099343E"/>
    <w:rsid w:val="00995B81"/>
    <w:rsid w:val="009A7C4C"/>
    <w:rsid w:val="009B15A3"/>
    <w:rsid w:val="009B1D19"/>
    <w:rsid w:val="009B2887"/>
    <w:rsid w:val="009B34D3"/>
    <w:rsid w:val="009B4499"/>
    <w:rsid w:val="009B6939"/>
    <w:rsid w:val="009C13FF"/>
    <w:rsid w:val="009C2871"/>
    <w:rsid w:val="009C5B6B"/>
    <w:rsid w:val="009D0F6E"/>
    <w:rsid w:val="009D27CF"/>
    <w:rsid w:val="009D7AC7"/>
    <w:rsid w:val="009E33A1"/>
    <w:rsid w:val="009E5CFC"/>
    <w:rsid w:val="009E7660"/>
    <w:rsid w:val="009F135A"/>
    <w:rsid w:val="009F325D"/>
    <w:rsid w:val="00A0338F"/>
    <w:rsid w:val="00A052B0"/>
    <w:rsid w:val="00A05F7D"/>
    <w:rsid w:val="00A079CB"/>
    <w:rsid w:val="00A12128"/>
    <w:rsid w:val="00A14980"/>
    <w:rsid w:val="00A160F6"/>
    <w:rsid w:val="00A220B3"/>
    <w:rsid w:val="00A22C98"/>
    <w:rsid w:val="00A231E2"/>
    <w:rsid w:val="00A2579E"/>
    <w:rsid w:val="00A36C04"/>
    <w:rsid w:val="00A433F1"/>
    <w:rsid w:val="00A434C8"/>
    <w:rsid w:val="00A469D9"/>
    <w:rsid w:val="00A564E5"/>
    <w:rsid w:val="00A6099E"/>
    <w:rsid w:val="00A62F48"/>
    <w:rsid w:val="00A64215"/>
    <w:rsid w:val="00A64912"/>
    <w:rsid w:val="00A67475"/>
    <w:rsid w:val="00A7059B"/>
    <w:rsid w:val="00A70A74"/>
    <w:rsid w:val="00A7368E"/>
    <w:rsid w:val="00A84992"/>
    <w:rsid w:val="00A84EF2"/>
    <w:rsid w:val="00A860F6"/>
    <w:rsid w:val="00A9653C"/>
    <w:rsid w:val="00A97AB0"/>
    <w:rsid w:val="00AA14FD"/>
    <w:rsid w:val="00AA33B6"/>
    <w:rsid w:val="00AA5F30"/>
    <w:rsid w:val="00AB3E19"/>
    <w:rsid w:val="00AB4FAB"/>
    <w:rsid w:val="00AB4FDD"/>
    <w:rsid w:val="00AB6029"/>
    <w:rsid w:val="00AC75D4"/>
    <w:rsid w:val="00AD382A"/>
    <w:rsid w:val="00AD5641"/>
    <w:rsid w:val="00AD7889"/>
    <w:rsid w:val="00AE0765"/>
    <w:rsid w:val="00AF021B"/>
    <w:rsid w:val="00AF06CF"/>
    <w:rsid w:val="00B0529B"/>
    <w:rsid w:val="00B05CF4"/>
    <w:rsid w:val="00B07CDB"/>
    <w:rsid w:val="00B141FD"/>
    <w:rsid w:val="00B16A31"/>
    <w:rsid w:val="00B17DFD"/>
    <w:rsid w:val="00B22AB5"/>
    <w:rsid w:val="00B2662B"/>
    <w:rsid w:val="00B26993"/>
    <w:rsid w:val="00B308FE"/>
    <w:rsid w:val="00B32D47"/>
    <w:rsid w:val="00B33709"/>
    <w:rsid w:val="00B33B3C"/>
    <w:rsid w:val="00B40922"/>
    <w:rsid w:val="00B423D0"/>
    <w:rsid w:val="00B470CE"/>
    <w:rsid w:val="00B50A71"/>
    <w:rsid w:val="00B50ADC"/>
    <w:rsid w:val="00B566B1"/>
    <w:rsid w:val="00B57437"/>
    <w:rsid w:val="00B63834"/>
    <w:rsid w:val="00B65F8A"/>
    <w:rsid w:val="00B71A5D"/>
    <w:rsid w:val="00B72734"/>
    <w:rsid w:val="00B728E6"/>
    <w:rsid w:val="00B76D78"/>
    <w:rsid w:val="00B80199"/>
    <w:rsid w:val="00B825AA"/>
    <w:rsid w:val="00B83204"/>
    <w:rsid w:val="00B86DEE"/>
    <w:rsid w:val="00B96C30"/>
    <w:rsid w:val="00BA0C87"/>
    <w:rsid w:val="00BA220B"/>
    <w:rsid w:val="00BA3A57"/>
    <w:rsid w:val="00BA691F"/>
    <w:rsid w:val="00BB0B80"/>
    <w:rsid w:val="00BB164C"/>
    <w:rsid w:val="00BB1747"/>
    <w:rsid w:val="00BB3EFB"/>
    <w:rsid w:val="00BB4E1A"/>
    <w:rsid w:val="00BB6698"/>
    <w:rsid w:val="00BC00A0"/>
    <w:rsid w:val="00BC015E"/>
    <w:rsid w:val="00BC568A"/>
    <w:rsid w:val="00BC76AC"/>
    <w:rsid w:val="00BD0ECB"/>
    <w:rsid w:val="00BD5ABC"/>
    <w:rsid w:val="00BD7951"/>
    <w:rsid w:val="00BE1107"/>
    <w:rsid w:val="00BE2155"/>
    <w:rsid w:val="00BE2213"/>
    <w:rsid w:val="00BE719A"/>
    <w:rsid w:val="00BE720A"/>
    <w:rsid w:val="00BF0D73"/>
    <w:rsid w:val="00BF2465"/>
    <w:rsid w:val="00BF49D1"/>
    <w:rsid w:val="00C02AFE"/>
    <w:rsid w:val="00C030DC"/>
    <w:rsid w:val="00C04D7E"/>
    <w:rsid w:val="00C107EC"/>
    <w:rsid w:val="00C1125C"/>
    <w:rsid w:val="00C11643"/>
    <w:rsid w:val="00C20EEC"/>
    <w:rsid w:val="00C23379"/>
    <w:rsid w:val="00C25D49"/>
    <w:rsid w:val="00C25E7F"/>
    <w:rsid w:val="00C2746F"/>
    <w:rsid w:val="00C31FB6"/>
    <w:rsid w:val="00C3217C"/>
    <w:rsid w:val="00C324A0"/>
    <w:rsid w:val="00C3300F"/>
    <w:rsid w:val="00C369D0"/>
    <w:rsid w:val="00C41071"/>
    <w:rsid w:val="00C4199E"/>
    <w:rsid w:val="00C42BF8"/>
    <w:rsid w:val="00C434EE"/>
    <w:rsid w:val="00C46569"/>
    <w:rsid w:val="00C50043"/>
    <w:rsid w:val="00C5292D"/>
    <w:rsid w:val="00C53284"/>
    <w:rsid w:val="00C547AB"/>
    <w:rsid w:val="00C621FB"/>
    <w:rsid w:val="00C62425"/>
    <w:rsid w:val="00C63E9A"/>
    <w:rsid w:val="00C6554B"/>
    <w:rsid w:val="00C7313F"/>
    <w:rsid w:val="00C73B1E"/>
    <w:rsid w:val="00C7573B"/>
    <w:rsid w:val="00C76D9A"/>
    <w:rsid w:val="00C76F6A"/>
    <w:rsid w:val="00C805DB"/>
    <w:rsid w:val="00C830F7"/>
    <w:rsid w:val="00C87036"/>
    <w:rsid w:val="00C91099"/>
    <w:rsid w:val="00C9183A"/>
    <w:rsid w:val="00C918A7"/>
    <w:rsid w:val="00C91BB3"/>
    <w:rsid w:val="00C93C03"/>
    <w:rsid w:val="00C94EBF"/>
    <w:rsid w:val="00CA434B"/>
    <w:rsid w:val="00CA7FAE"/>
    <w:rsid w:val="00CB0242"/>
    <w:rsid w:val="00CB2C8E"/>
    <w:rsid w:val="00CB5B01"/>
    <w:rsid w:val="00CB602E"/>
    <w:rsid w:val="00CC5C14"/>
    <w:rsid w:val="00CC77C0"/>
    <w:rsid w:val="00CD465E"/>
    <w:rsid w:val="00CD4ACA"/>
    <w:rsid w:val="00CD50CC"/>
    <w:rsid w:val="00CD7014"/>
    <w:rsid w:val="00CE051D"/>
    <w:rsid w:val="00CE0561"/>
    <w:rsid w:val="00CE09C2"/>
    <w:rsid w:val="00CE1335"/>
    <w:rsid w:val="00CE3DC5"/>
    <w:rsid w:val="00CE493D"/>
    <w:rsid w:val="00CF07CA"/>
    <w:rsid w:val="00CF07FA"/>
    <w:rsid w:val="00CF0BB2"/>
    <w:rsid w:val="00CF3EE8"/>
    <w:rsid w:val="00CF7AA0"/>
    <w:rsid w:val="00D04222"/>
    <w:rsid w:val="00D050E6"/>
    <w:rsid w:val="00D11752"/>
    <w:rsid w:val="00D125C1"/>
    <w:rsid w:val="00D13441"/>
    <w:rsid w:val="00D150E7"/>
    <w:rsid w:val="00D20194"/>
    <w:rsid w:val="00D23E16"/>
    <w:rsid w:val="00D24DE9"/>
    <w:rsid w:val="00D26815"/>
    <w:rsid w:val="00D3104A"/>
    <w:rsid w:val="00D31D1A"/>
    <w:rsid w:val="00D32F65"/>
    <w:rsid w:val="00D35469"/>
    <w:rsid w:val="00D4333A"/>
    <w:rsid w:val="00D52DC2"/>
    <w:rsid w:val="00D53720"/>
    <w:rsid w:val="00D53BCC"/>
    <w:rsid w:val="00D57D21"/>
    <w:rsid w:val="00D62371"/>
    <w:rsid w:val="00D62E54"/>
    <w:rsid w:val="00D70DFB"/>
    <w:rsid w:val="00D72009"/>
    <w:rsid w:val="00D766DF"/>
    <w:rsid w:val="00D844B9"/>
    <w:rsid w:val="00D84B0B"/>
    <w:rsid w:val="00D87B49"/>
    <w:rsid w:val="00D91B5A"/>
    <w:rsid w:val="00D96087"/>
    <w:rsid w:val="00DA186E"/>
    <w:rsid w:val="00DA4116"/>
    <w:rsid w:val="00DA6713"/>
    <w:rsid w:val="00DB04A3"/>
    <w:rsid w:val="00DB16CE"/>
    <w:rsid w:val="00DB1896"/>
    <w:rsid w:val="00DB251C"/>
    <w:rsid w:val="00DB4630"/>
    <w:rsid w:val="00DC4F88"/>
    <w:rsid w:val="00DC6BB2"/>
    <w:rsid w:val="00DD3EFB"/>
    <w:rsid w:val="00DD78E5"/>
    <w:rsid w:val="00DE0A79"/>
    <w:rsid w:val="00DE47D1"/>
    <w:rsid w:val="00DE5D28"/>
    <w:rsid w:val="00DF1AD6"/>
    <w:rsid w:val="00E039D4"/>
    <w:rsid w:val="00E05704"/>
    <w:rsid w:val="00E06974"/>
    <w:rsid w:val="00E11E44"/>
    <w:rsid w:val="00E23716"/>
    <w:rsid w:val="00E250FA"/>
    <w:rsid w:val="00E3270E"/>
    <w:rsid w:val="00E338EF"/>
    <w:rsid w:val="00E41230"/>
    <w:rsid w:val="00E543DA"/>
    <w:rsid w:val="00E544BB"/>
    <w:rsid w:val="00E55012"/>
    <w:rsid w:val="00E60B9B"/>
    <w:rsid w:val="00E6301D"/>
    <w:rsid w:val="00E658B3"/>
    <w:rsid w:val="00E65C82"/>
    <w:rsid w:val="00E662CB"/>
    <w:rsid w:val="00E74DC7"/>
    <w:rsid w:val="00E75C2B"/>
    <w:rsid w:val="00E76420"/>
    <w:rsid w:val="00E76806"/>
    <w:rsid w:val="00E8075A"/>
    <w:rsid w:val="00E858AA"/>
    <w:rsid w:val="00E86531"/>
    <w:rsid w:val="00E94D5E"/>
    <w:rsid w:val="00E95BBE"/>
    <w:rsid w:val="00EA687D"/>
    <w:rsid w:val="00EA7100"/>
    <w:rsid w:val="00EA7F9F"/>
    <w:rsid w:val="00EB1274"/>
    <w:rsid w:val="00EB2D68"/>
    <w:rsid w:val="00EB6AD0"/>
    <w:rsid w:val="00EC0FEB"/>
    <w:rsid w:val="00EC12C4"/>
    <w:rsid w:val="00EC3274"/>
    <w:rsid w:val="00EC74E1"/>
    <w:rsid w:val="00ED2BB6"/>
    <w:rsid w:val="00ED34E1"/>
    <w:rsid w:val="00ED3B8D"/>
    <w:rsid w:val="00ED5E6B"/>
    <w:rsid w:val="00ED659C"/>
    <w:rsid w:val="00EE008D"/>
    <w:rsid w:val="00EE7878"/>
    <w:rsid w:val="00EF2E3A"/>
    <w:rsid w:val="00EF377F"/>
    <w:rsid w:val="00EF588A"/>
    <w:rsid w:val="00EF666B"/>
    <w:rsid w:val="00F072A7"/>
    <w:rsid w:val="00F078DC"/>
    <w:rsid w:val="00F11A37"/>
    <w:rsid w:val="00F20735"/>
    <w:rsid w:val="00F30A24"/>
    <w:rsid w:val="00F32BA8"/>
    <w:rsid w:val="00F33A77"/>
    <w:rsid w:val="00F349F1"/>
    <w:rsid w:val="00F35C28"/>
    <w:rsid w:val="00F4350D"/>
    <w:rsid w:val="00F44C94"/>
    <w:rsid w:val="00F51C12"/>
    <w:rsid w:val="00F52D50"/>
    <w:rsid w:val="00F5399E"/>
    <w:rsid w:val="00F567F7"/>
    <w:rsid w:val="00F62036"/>
    <w:rsid w:val="00F64825"/>
    <w:rsid w:val="00F65B52"/>
    <w:rsid w:val="00F66281"/>
    <w:rsid w:val="00F67BCA"/>
    <w:rsid w:val="00F73BD6"/>
    <w:rsid w:val="00F755A6"/>
    <w:rsid w:val="00F83989"/>
    <w:rsid w:val="00F85099"/>
    <w:rsid w:val="00F86142"/>
    <w:rsid w:val="00F9053D"/>
    <w:rsid w:val="00F91CFC"/>
    <w:rsid w:val="00F9379C"/>
    <w:rsid w:val="00F94167"/>
    <w:rsid w:val="00F9632C"/>
    <w:rsid w:val="00FA1E52"/>
    <w:rsid w:val="00FA2FC2"/>
    <w:rsid w:val="00FA4E3D"/>
    <w:rsid w:val="00FA58A1"/>
    <w:rsid w:val="00FA7309"/>
    <w:rsid w:val="00FB1498"/>
    <w:rsid w:val="00FB24C3"/>
    <w:rsid w:val="00FB2595"/>
    <w:rsid w:val="00FB62F0"/>
    <w:rsid w:val="00FC43EE"/>
    <w:rsid w:val="00FE2C44"/>
    <w:rsid w:val="00FE4688"/>
    <w:rsid w:val="00FE4C87"/>
    <w:rsid w:val="00FE5E32"/>
    <w:rsid w:val="00FF0072"/>
    <w:rsid w:val="00FF7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4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43624"/>
    <w:pPr>
      <w:spacing w:line="260" w:lineRule="atLeast"/>
    </w:pPr>
    <w:rPr>
      <w:sz w:val="22"/>
    </w:rPr>
  </w:style>
  <w:style w:type="paragraph" w:styleId="Heading1">
    <w:name w:val="heading 1"/>
    <w:basedOn w:val="Normal"/>
    <w:next w:val="Normal"/>
    <w:link w:val="Heading1Char"/>
    <w:uiPriority w:val="9"/>
    <w:qFormat/>
    <w:rsid w:val="0014362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62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62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62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4362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4362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4362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4362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4362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43624"/>
  </w:style>
  <w:style w:type="paragraph" w:customStyle="1" w:styleId="OPCParaBase">
    <w:name w:val="OPCParaBase"/>
    <w:link w:val="OPCParaBaseChar"/>
    <w:qFormat/>
    <w:rsid w:val="00143624"/>
    <w:pPr>
      <w:spacing w:line="260" w:lineRule="atLeast"/>
    </w:pPr>
    <w:rPr>
      <w:rFonts w:eastAsia="Times New Roman" w:cs="Times New Roman"/>
      <w:sz w:val="22"/>
      <w:lang w:eastAsia="en-AU"/>
    </w:rPr>
  </w:style>
  <w:style w:type="paragraph" w:customStyle="1" w:styleId="ShortT">
    <w:name w:val="ShortT"/>
    <w:basedOn w:val="OPCParaBase"/>
    <w:next w:val="Normal"/>
    <w:qFormat/>
    <w:rsid w:val="00143624"/>
    <w:pPr>
      <w:spacing w:line="240" w:lineRule="auto"/>
    </w:pPr>
    <w:rPr>
      <w:b/>
      <w:sz w:val="40"/>
    </w:rPr>
  </w:style>
  <w:style w:type="paragraph" w:customStyle="1" w:styleId="ActHead1">
    <w:name w:val="ActHead 1"/>
    <w:aliases w:val="c"/>
    <w:basedOn w:val="OPCParaBase"/>
    <w:next w:val="Normal"/>
    <w:qFormat/>
    <w:rsid w:val="001436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436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436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36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436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36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36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36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362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43624"/>
  </w:style>
  <w:style w:type="paragraph" w:customStyle="1" w:styleId="Blocks">
    <w:name w:val="Blocks"/>
    <w:aliases w:val="bb"/>
    <w:basedOn w:val="OPCParaBase"/>
    <w:qFormat/>
    <w:rsid w:val="00143624"/>
    <w:pPr>
      <w:spacing w:line="240" w:lineRule="auto"/>
    </w:pPr>
    <w:rPr>
      <w:sz w:val="24"/>
    </w:rPr>
  </w:style>
  <w:style w:type="paragraph" w:customStyle="1" w:styleId="BoxText">
    <w:name w:val="BoxText"/>
    <w:aliases w:val="bt"/>
    <w:basedOn w:val="OPCParaBase"/>
    <w:qFormat/>
    <w:rsid w:val="001436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3624"/>
    <w:rPr>
      <w:b/>
    </w:rPr>
  </w:style>
  <w:style w:type="paragraph" w:customStyle="1" w:styleId="BoxHeadItalic">
    <w:name w:val="BoxHeadItalic"/>
    <w:aliases w:val="bhi"/>
    <w:basedOn w:val="BoxText"/>
    <w:next w:val="BoxStep"/>
    <w:qFormat/>
    <w:rsid w:val="00143624"/>
    <w:rPr>
      <w:i/>
    </w:rPr>
  </w:style>
  <w:style w:type="paragraph" w:customStyle="1" w:styleId="BoxList">
    <w:name w:val="BoxList"/>
    <w:aliases w:val="bl"/>
    <w:basedOn w:val="BoxText"/>
    <w:qFormat/>
    <w:rsid w:val="00143624"/>
    <w:pPr>
      <w:ind w:left="1559" w:hanging="425"/>
    </w:pPr>
  </w:style>
  <w:style w:type="paragraph" w:customStyle="1" w:styleId="BoxNote">
    <w:name w:val="BoxNote"/>
    <w:aliases w:val="bn"/>
    <w:basedOn w:val="BoxText"/>
    <w:qFormat/>
    <w:rsid w:val="00143624"/>
    <w:pPr>
      <w:tabs>
        <w:tab w:val="left" w:pos="1985"/>
      </w:tabs>
      <w:spacing w:before="122" w:line="198" w:lineRule="exact"/>
      <w:ind w:left="2948" w:hanging="1814"/>
    </w:pPr>
    <w:rPr>
      <w:sz w:val="18"/>
    </w:rPr>
  </w:style>
  <w:style w:type="paragraph" w:customStyle="1" w:styleId="BoxPara">
    <w:name w:val="BoxPara"/>
    <w:aliases w:val="bp"/>
    <w:basedOn w:val="BoxText"/>
    <w:qFormat/>
    <w:rsid w:val="00143624"/>
    <w:pPr>
      <w:tabs>
        <w:tab w:val="right" w:pos="2268"/>
      </w:tabs>
      <w:ind w:left="2552" w:hanging="1418"/>
    </w:pPr>
  </w:style>
  <w:style w:type="paragraph" w:customStyle="1" w:styleId="BoxStep">
    <w:name w:val="BoxStep"/>
    <w:aliases w:val="bs"/>
    <w:basedOn w:val="BoxText"/>
    <w:qFormat/>
    <w:rsid w:val="00143624"/>
    <w:pPr>
      <w:ind w:left="1985" w:hanging="851"/>
    </w:pPr>
  </w:style>
  <w:style w:type="character" w:customStyle="1" w:styleId="CharAmPartNo">
    <w:name w:val="CharAmPartNo"/>
    <w:basedOn w:val="OPCCharBase"/>
    <w:qFormat/>
    <w:rsid w:val="00143624"/>
  </w:style>
  <w:style w:type="character" w:customStyle="1" w:styleId="CharAmPartText">
    <w:name w:val="CharAmPartText"/>
    <w:basedOn w:val="OPCCharBase"/>
    <w:qFormat/>
    <w:rsid w:val="00143624"/>
  </w:style>
  <w:style w:type="character" w:customStyle="1" w:styleId="CharAmSchNo">
    <w:name w:val="CharAmSchNo"/>
    <w:basedOn w:val="OPCCharBase"/>
    <w:qFormat/>
    <w:rsid w:val="00143624"/>
  </w:style>
  <w:style w:type="character" w:customStyle="1" w:styleId="CharAmSchText">
    <w:name w:val="CharAmSchText"/>
    <w:basedOn w:val="OPCCharBase"/>
    <w:qFormat/>
    <w:rsid w:val="00143624"/>
  </w:style>
  <w:style w:type="character" w:customStyle="1" w:styleId="CharBoldItalic">
    <w:name w:val="CharBoldItalic"/>
    <w:basedOn w:val="OPCCharBase"/>
    <w:uiPriority w:val="1"/>
    <w:qFormat/>
    <w:rsid w:val="00143624"/>
    <w:rPr>
      <w:b/>
      <w:i/>
    </w:rPr>
  </w:style>
  <w:style w:type="character" w:customStyle="1" w:styleId="CharChapNo">
    <w:name w:val="CharChapNo"/>
    <w:basedOn w:val="OPCCharBase"/>
    <w:uiPriority w:val="1"/>
    <w:qFormat/>
    <w:rsid w:val="00143624"/>
  </w:style>
  <w:style w:type="character" w:customStyle="1" w:styleId="CharChapText">
    <w:name w:val="CharChapText"/>
    <w:basedOn w:val="OPCCharBase"/>
    <w:uiPriority w:val="1"/>
    <w:qFormat/>
    <w:rsid w:val="00143624"/>
  </w:style>
  <w:style w:type="character" w:customStyle="1" w:styleId="CharDivNo">
    <w:name w:val="CharDivNo"/>
    <w:basedOn w:val="OPCCharBase"/>
    <w:uiPriority w:val="1"/>
    <w:qFormat/>
    <w:rsid w:val="00143624"/>
  </w:style>
  <w:style w:type="character" w:customStyle="1" w:styleId="CharDivText">
    <w:name w:val="CharDivText"/>
    <w:basedOn w:val="OPCCharBase"/>
    <w:uiPriority w:val="1"/>
    <w:qFormat/>
    <w:rsid w:val="00143624"/>
  </w:style>
  <w:style w:type="character" w:customStyle="1" w:styleId="CharItalic">
    <w:name w:val="CharItalic"/>
    <w:basedOn w:val="OPCCharBase"/>
    <w:uiPriority w:val="1"/>
    <w:qFormat/>
    <w:rsid w:val="00143624"/>
    <w:rPr>
      <w:i/>
    </w:rPr>
  </w:style>
  <w:style w:type="character" w:customStyle="1" w:styleId="CharPartNo">
    <w:name w:val="CharPartNo"/>
    <w:basedOn w:val="OPCCharBase"/>
    <w:uiPriority w:val="1"/>
    <w:qFormat/>
    <w:rsid w:val="00143624"/>
  </w:style>
  <w:style w:type="character" w:customStyle="1" w:styleId="CharPartText">
    <w:name w:val="CharPartText"/>
    <w:basedOn w:val="OPCCharBase"/>
    <w:uiPriority w:val="1"/>
    <w:qFormat/>
    <w:rsid w:val="00143624"/>
  </w:style>
  <w:style w:type="character" w:customStyle="1" w:styleId="CharSectno">
    <w:name w:val="CharSectno"/>
    <w:basedOn w:val="OPCCharBase"/>
    <w:qFormat/>
    <w:rsid w:val="00143624"/>
  </w:style>
  <w:style w:type="character" w:customStyle="1" w:styleId="CharSubdNo">
    <w:name w:val="CharSubdNo"/>
    <w:basedOn w:val="OPCCharBase"/>
    <w:uiPriority w:val="1"/>
    <w:qFormat/>
    <w:rsid w:val="00143624"/>
  </w:style>
  <w:style w:type="character" w:customStyle="1" w:styleId="CharSubdText">
    <w:name w:val="CharSubdText"/>
    <w:basedOn w:val="OPCCharBase"/>
    <w:uiPriority w:val="1"/>
    <w:qFormat/>
    <w:rsid w:val="00143624"/>
  </w:style>
  <w:style w:type="paragraph" w:customStyle="1" w:styleId="CTA--">
    <w:name w:val="CTA --"/>
    <w:basedOn w:val="OPCParaBase"/>
    <w:next w:val="Normal"/>
    <w:rsid w:val="00143624"/>
    <w:pPr>
      <w:spacing w:before="60" w:line="240" w:lineRule="atLeast"/>
      <w:ind w:left="142" w:hanging="142"/>
    </w:pPr>
    <w:rPr>
      <w:sz w:val="20"/>
    </w:rPr>
  </w:style>
  <w:style w:type="paragraph" w:customStyle="1" w:styleId="CTA-">
    <w:name w:val="CTA -"/>
    <w:basedOn w:val="OPCParaBase"/>
    <w:rsid w:val="00143624"/>
    <w:pPr>
      <w:spacing w:before="60" w:line="240" w:lineRule="atLeast"/>
      <w:ind w:left="85" w:hanging="85"/>
    </w:pPr>
    <w:rPr>
      <w:sz w:val="20"/>
    </w:rPr>
  </w:style>
  <w:style w:type="paragraph" w:customStyle="1" w:styleId="CTA---">
    <w:name w:val="CTA ---"/>
    <w:basedOn w:val="OPCParaBase"/>
    <w:next w:val="Normal"/>
    <w:rsid w:val="00143624"/>
    <w:pPr>
      <w:spacing w:before="60" w:line="240" w:lineRule="atLeast"/>
      <w:ind w:left="198" w:hanging="198"/>
    </w:pPr>
    <w:rPr>
      <w:sz w:val="20"/>
    </w:rPr>
  </w:style>
  <w:style w:type="paragraph" w:customStyle="1" w:styleId="CTA----">
    <w:name w:val="CTA ----"/>
    <w:basedOn w:val="OPCParaBase"/>
    <w:next w:val="Normal"/>
    <w:rsid w:val="00143624"/>
    <w:pPr>
      <w:spacing w:before="60" w:line="240" w:lineRule="atLeast"/>
      <w:ind w:left="255" w:hanging="255"/>
    </w:pPr>
    <w:rPr>
      <w:sz w:val="20"/>
    </w:rPr>
  </w:style>
  <w:style w:type="paragraph" w:customStyle="1" w:styleId="CTA1a">
    <w:name w:val="CTA 1(a)"/>
    <w:basedOn w:val="OPCParaBase"/>
    <w:rsid w:val="00143624"/>
    <w:pPr>
      <w:tabs>
        <w:tab w:val="right" w:pos="414"/>
      </w:tabs>
      <w:spacing w:before="40" w:line="240" w:lineRule="atLeast"/>
      <w:ind w:left="675" w:hanging="675"/>
    </w:pPr>
    <w:rPr>
      <w:sz w:val="20"/>
    </w:rPr>
  </w:style>
  <w:style w:type="paragraph" w:customStyle="1" w:styleId="CTA1ai">
    <w:name w:val="CTA 1(a)(i)"/>
    <w:basedOn w:val="OPCParaBase"/>
    <w:rsid w:val="00143624"/>
    <w:pPr>
      <w:tabs>
        <w:tab w:val="right" w:pos="1004"/>
      </w:tabs>
      <w:spacing w:before="40" w:line="240" w:lineRule="atLeast"/>
      <w:ind w:left="1253" w:hanging="1253"/>
    </w:pPr>
    <w:rPr>
      <w:sz w:val="20"/>
    </w:rPr>
  </w:style>
  <w:style w:type="paragraph" w:customStyle="1" w:styleId="CTA2a">
    <w:name w:val="CTA 2(a)"/>
    <w:basedOn w:val="OPCParaBase"/>
    <w:rsid w:val="00143624"/>
    <w:pPr>
      <w:tabs>
        <w:tab w:val="right" w:pos="482"/>
      </w:tabs>
      <w:spacing w:before="40" w:line="240" w:lineRule="atLeast"/>
      <w:ind w:left="748" w:hanging="748"/>
    </w:pPr>
    <w:rPr>
      <w:sz w:val="20"/>
    </w:rPr>
  </w:style>
  <w:style w:type="paragraph" w:customStyle="1" w:styleId="CTA2ai">
    <w:name w:val="CTA 2(a)(i)"/>
    <w:basedOn w:val="OPCParaBase"/>
    <w:rsid w:val="00143624"/>
    <w:pPr>
      <w:tabs>
        <w:tab w:val="right" w:pos="1089"/>
      </w:tabs>
      <w:spacing w:before="40" w:line="240" w:lineRule="atLeast"/>
      <w:ind w:left="1327" w:hanging="1327"/>
    </w:pPr>
    <w:rPr>
      <w:sz w:val="20"/>
    </w:rPr>
  </w:style>
  <w:style w:type="paragraph" w:customStyle="1" w:styleId="CTA3a">
    <w:name w:val="CTA 3(a)"/>
    <w:basedOn w:val="OPCParaBase"/>
    <w:rsid w:val="00143624"/>
    <w:pPr>
      <w:tabs>
        <w:tab w:val="right" w:pos="556"/>
      </w:tabs>
      <w:spacing w:before="40" w:line="240" w:lineRule="atLeast"/>
      <w:ind w:left="805" w:hanging="805"/>
    </w:pPr>
    <w:rPr>
      <w:sz w:val="20"/>
    </w:rPr>
  </w:style>
  <w:style w:type="paragraph" w:customStyle="1" w:styleId="CTA3ai">
    <w:name w:val="CTA 3(a)(i)"/>
    <w:basedOn w:val="OPCParaBase"/>
    <w:rsid w:val="00143624"/>
    <w:pPr>
      <w:tabs>
        <w:tab w:val="right" w:pos="1140"/>
      </w:tabs>
      <w:spacing w:before="40" w:line="240" w:lineRule="atLeast"/>
      <w:ind w:left="1361" w:hanging="1361"/>
    </w:pPr>
    <w:rPr>
      <w:sz w:val="20"/>
    </w:rPr>
  </w:style>
  <w:style w:type="paragraph" w:customStyle="1" w:styleId="CTA4a">
    <w:name w:val="CTA 4(a)"/>
    <w:basedOn w:val="OPCParaBase"/>
    <w:rsid w:val="00143624"/>
    <w:pPr>
      <w:tabs>
        <w:tab w:val="right" w:pos="624"/>
      </w:tabs>
      <w:spacing w:before="40" w:line="240" w:lineRule="atLeast"/>
      <w:ind w:left="873" w:hanging="873"/>
    </w:pPr>
    <w:rPr>
      <w:sz w:val="20"/>
    </w:rPr>
  </w:style>
  <w:style w:type="paragraph" w:customStyle="1" w:styleId="CTA4ai">
    <w:name w:val="CTA 4(a)(i)"/>
    <w:basedOn w:val="OPCParaBase"/>
    <w:rsid w:val="00143624"/>
    <w:pPr>
      <w:tabs>
        <w:tab w:val="right" w:pos="1213"/>
      </w:tabs>
      <w:spacing w:before="40" w:line="240" w:lineRule="atLeast"/>
      <w:ind w:left="1452" w:hanging="1452"/>
    </w:pPr>
    <w:rPr>
      <w:sz w:val="20"/>
    </w:rPr>
  </w:style>
  <w:style w:type="paragraph" w:customStyle="1" w:styleId="CTACAPS">
    <w:name w:val="CTA CAPS"/>
    <w:basedOn w:val="OPCParaBase"/>
    <w:rsid w:val="00143624"/>
    <w:pPr>
      <w:spacing w:before="60" w:line="240" w:lineRule="atLeast"/>
    </w:pPr>
    <w:rPr>
      <w:sz w:val="20"/>
    </w:rPr>
  </w:style>
  <w:style w:type="paragraph" w:customStyle="1" w:styleId="CTAright">
    <w:name w:val="CTA right"/>
    <w:basedOn w:val="OPCParaBase"/>
    <w:rsid w:val="00143624"/>
    <w:pPr>
      <w:spacing w:before="60" w:line="240" w:lineRule="auto"/>
      <w:jc w:val="right"/>
    </w:pPr>
    <w:rPr>
      <w:sz w:val="20"/>
    </w:rPr>
  </w:style>
  <w:style w:type="paragraph" w:customStyle="1" w:styleId="subsection">
    <w:name w:val="subsection"/>
    <w:aliases w:val="ss,Subsection"/>
    <w:basedOn w:val="OPCParaBase"/>
    <w:link w:val="subsectionChar"/>
    <w:rsid w:val="00143624"/>
    <w:pPr>
      <w:tabs>
        <w:tab w:val="right" w:pos="1021"/>
      </w:tabs>
      <w:spacing w:before="180" w:line="240" w:lineRule="auto"/>
      <w:ind w:left="1134" w:hanging="1134"/>
    </w:pPr>
  </w:style>
  <w:style w:type="paragraph" w:customStyle="1" w:styleId="Definition">
    <w:name w:val="Definition"/>
    <w:aliases w:val="dd"/>
    <w:basedOn w:val="OPCParaBase"/>
    <w:rsid w:val="00143624"/>
    <w:pPr>
      <w:spacing w:before="180" w:line="240" w:lineRule="auto"/>
      <w:ind w:left="1134"/>
    </w:pPr>
  </w:style>
  <w:style w:type="paragraph" w:customStyle="1" w:styleId="EndNotespara">
    <w:name w:val="EndNotes(para)"/>
    <w:aliases w:val="eta"/>
    <w:basedOn w:val="OPCParaBase"/>
    <w:next w:val="EndNotessubpara"/>
    <w:rsid w:val="001436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36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36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3624"/>
    <w:pPr>
      <w:tabs>
        <w:tab w:val="right" w:pos="1412"/>
      </w:tabs>
      <w:spacing w:before="60" w:line="240" w:lineRule="auto"/>
      <w:ind w:left="1525" w:hanging="1525"/>
    </w:pPr>
    <w:rPr>
      <w:sz w:val="20"/>
    </w:rPr>
  </w:style>
  <w:style w:type="paragraph" w:customStyle="1" w:styleId="Formula">
    <w:name w:val="Formula"/>
    <w:basedOn w:val="OPCParaBase"/>
    <w:rsid w:val="00143624"/>
    <w:pPr>
      <w:spacing w:line="240" w:lineRule="auto"/>
      <w:ind w:left="1134"/>
    </w:pPr>
    <w:rPr>
      <w:sz w:val="20"/>
    </w:rPr>
  </w:style>
  <w:style w:type="paragraph" w:styleId="Header">
    <w:name w:val="header"/>
    <w:basedOn w:val="OPCParaBase"/>
    <w:link w:val="HeaderChar"/>
    <w:unhideWhenUsed/>
    <w:rsid w:val="001436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43624"/>
    <w:rPr>
      <w:rFonts w:eastAsia="Times New Roman" w:cs="Times New Roman"/>
      <w:sz w:val="16"/>
      <w:lang w:eastAsia="en-AU"/>
    </w:rPr>
  </w:style>
  <w:style w:type="paragraph" w:customStyle="1" w:styleId="House">
    <w:name w:val="House"/>
    <w:basedOn w:val="OPCParaBase"/>
    <w:rsid w:val="00143624"/>
    <w:pPr>
      <w:spacing w:line="240" w:lineRule="auto"/>
    </w:pPr>
    <w:rPr>
      <w:sz w:val="28"/>
    </w:rPr>
  </w:style>
  <w:style w:type="paragraph" w:customStyle="1" w:styleId="Item">
    <w:name w:val="Item"/>
    <w:aliases w:val="i"/>
    <w:basedOn w:val="OPCParaBase"/>
    <w:next w:val="ItemHead"/>
    <w:rsid w:val="00143624"/>
    <w:pPr>
      <w:keepLines/>
      <w:spacing w:before="80" w:line="240" w:lineRule="auto"/>
      <w:ind w:left="709"/>
    </w:pPr>
  </w:style>
  <w:style w:type="paragraph" w:customStyle="1" w:styleId="ItemHead">
    <w:name w:val="ItemHead"/>
    <w:aliases w:val="ih"/>
    <w:basedOn w:val="OPCParaBase"/>
    <w:next w:val="Item"/>
    <w:rsid w:val="001436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43624"/>
    <w:pPr>
      <w:spacing w:line="240" w:lineRule="auto"/>
    </w:pPr>
    <w:rPr>
      <w:b/>
      <w:sz w:val="32"/>
    </w:rPr>
  </w:style>
  <w:style w:type="paragraph" w:customStyle="1" w:styleId="notedraft">
    <w:name w:val="note(draft)"/>
    <w:aliases w:val="nd"/>
    <w:basedOn w:val="OPCParaBase"/>
    <w:rsid w:val="00143624"/>
    <w:pPr>
      <w:spacing w:before="240" w:line="240" w:lineRule="auto"/>
      <w:ind w:left="284" w:hanging="284"/>
    </w:pPr>
    <w:rPr>
      <w:i/>
      <w:sz w:val="24"/>
    </w:rPr>
  </w:style>
  <w:style w:type="paragraph" w:customStyle="1" w:styleId="notemargin">
    <w:name w:val="note(margin)"/>
    <w:aliases w:val="nm"/>
    <w:basedOn w:val="OPCParaBase"/>
    <w:rsid w:val="00143624"/>
    <w:pPr>
      <w:tabs>
        <w:tab w:val="left" w:pos="709"/>
      </w:tabs>
      <w:spacing w:before="122" w:line="198" w:lineRule="exact"/>
      <w:ind w:left="709" w:hanging="709"/>
    </w:pPr>
    <w:rPr>
      <w:sz w:val="18"/>
    </w:rPr>
  </w:style>
  <w:style w:type="paragraph" w:customStyle="1" w:styleId="noteToPara">
    <w:name w:val="noteToPara"/>
    <w:aliases w:val="ntp"/>
    <w:basedOn w:val="OPCParaBase"/>
    <w:rsid w:val="00143624"/>
    <w:pPr>
      <w:spacing w:before="122" w:line="198" w:lineRule="exact"/>
      <w:ind w:left="2353" w:hanging="709"/>
    </w:pPr>
    <w:rPr>
      <w:sz w:val="18"/>
    </w:rPr>
  </w:style>
  <w:style w:type="paragraph" w:customStyle="1" w:styleId="noteParlAmend">
    <w:name w:val="note(ParlAmend)"/>
    <w:aliases w:val="npp"/>
    <w:basedOn w:val="OPCParaBase"/>
    <w:next w:val="ParlAmend"/>
    <w:rsid w:val="00143624"/>
    <w:pPr>
      <w:spacing w:line="240" w:lineRule="auto"/>
      <w:jc w:val="right"/>
    </w:pPr>
    <w:rPr>
      <w:rFonts w:ascii="Arial" w:hAnsi="Arial"/>
      <w:b/>
      <w:i/>
    </w:rPr>
  </w:style>
  <w:style w:type="paragraph" w:customStyle="1" w:styleId="Page1">
    <w:name w:val="Page1"/>
    <w:basedOn w:val="OPCParaBase"/>
    <w:rsid w:val="00143624"/>
    <w:pPr>
      <w:spacing w:before="5600" w:line="240" w:lineRule="auto"/>
    </w:pPr>
    <w:rPr>
      <w:b/>
      <w:sz w:val="32"/>
    </w:rPr>
  </w:style>
  <w:style w:type="paragraph" w:customStyle="1" w:styleId="PageBreak">
    <w:name w:val="PageBreak"/>
    <w:aliases w:val="pb"/>
    <w:basedOn w:val="OPCParaBase"/>
    <w:rsid w:val="00143624"/>
    <w:pPr>
      <w:spacing w:line="240" w:lineRule="auto"/>
    </w:pPr>
    <w:rPr>
      <w:sz w:val="20"/>
    </w:rPr>
  </w:style>
  <w:style w:type="paragraph" w:customStyle="1" w:styleId="paragraphsub">
    <w:name w:val="paragraph(sub)"/>
    <w:aliases w:val="aa"/>
    <w:basedOn w:val="OPCParaBase"/>
    <w:rsid w:val="00143624"/>
    <w:pPr>
      <w:tabs>
        <w:tab w:val="right" w:pos="1985"/>
      </w:tabs>
      <w:spacing w:before="40" w:line="240" w:lineRule="auto"/>
      <w:ind w:left="2098" w:hanging="2098"/>
    </w:pPr>
  </w:style>
  <w:style w:type="paragraph" w:customStyle="1" w:styleId="paragraphsub-sub">
    <w:name w:val="paragraph(sub-sub)"/>
    <w:aliases w:val="aaa"/>
    <w:basedOn w:val="OPCParaBase"/>
    <w:rsid w:val="00143624"/>
    <w:pPr>
      <w:tabs>
        <w:tab w:val="right" w:pos="2722"/>
      </w:tabs>
      <w:spacing w:before="40" w:line="240" w:lineRule="auto"/>
      <w:ind w:left="2835" w:hanging="2835"/>
    </w:pPr>
  </w:style>
  <w:style w:type="paragraph" w:customStyle="1" w:styleId="paragraph">
    <w:name w:val="paragraph"/>
    <w:aliases w:val="a"/>
    <w:basedOn w:val="OPCParaBase"/>
    <w:link w:val="paragraphChar"/>
    <w:rsid w:val="00143624"/>
    <w:pPr>
      <w:tabs>
        <w:tab w:val="right" w:pos="1531"/>
      </w:tabs>
      <w:spacing w:before="40" w:line="240" w:lineRule="auto"/>
      <w:ind w:left="1644" w:hanging="1644"/>
    </w:pPr>
  </w:style>
  <w:style w:type="paragraph" w:customStyle="1" w:styleId="ParlAmend">
    <w:name w:val="ParlAmend"/>
    <w:aliases w:val="pp"/>
    <w:basedOn w:val="OPCParaBase"/>
    <w:rsid w:val="00143624"/>
    <w:pPr>
      <w:spacing w:before="240" w:line="240" w:lineRule="atLeast"/>
      <w:ind w:hanging="567"/>
    </w:pPr>
    <w:rPr>
      <w:sz w:val="24"/>
    </w:rPr>
  </w:style>
  <w:style w:type="paragraph" w:customStyle="1" w:styleId="Penalty">
    <w:name w:val="Penalty"/>
    <w:basedOn w:val="OPCParaBase"/>
    <w:rsid w:val="00143624"/>
    <w:pPr>
      <w:tabs>
        <w:tab w:val="left" w:pos="2977"/>
      </w:tabs>
      <w:spacing w:before="180" w:line="240" w:lineRule="auto"/>
      <w:ind w:left="1985" w:hanging="851"/>
    </w:pPr>
  </w:style>
  <w:style w:type="paragraph" w:customStyle="1" w:styleId="Portfolio">
    <w:name w:val="Portfolio"/>
    <w:basedOn w:val="OPCParaBase"/>
    <w:rsid w:val="00143624"/>
    <w:pPr>
      <w:spacing w:line="240" w:lineRule="auto"/>
    </w:pPr>
    <w:rPr>
      <w:i/>
      <w:sz w:val="20"/>
    </w:rPr>
  </w:style>
  <w:style w:type="paragraph" w:customStyle="1" w:styleId="Preamble">
    <w:name w:val="Preamble"/>
    <w:basedOn w:val="OPCParaBase"/>
    <w:next w:val="Normal"/>
    <w:rsid w:val="001436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43624"/>
    <w:pPr>
      <w:spacing w:line="240" w:lineRule="auto"/>
    </w:pPr>
    <w:rPr>
      <w:i/>
      <w:sz w:val="20"/>
    </w:rPr>
  </w:style>
  <w:style w:type="paragraph" w:customStyle="1" w:styleId="Session">
    <w:name w:val="Session"/>
    <w:basedOn w:val="OPCParaBase"/>
    <w:rsid w:val="00143624"/>
    <w:pPr>
      <w:spacing w:line="240" w:lineRule="auto"/>
    </w:pPr>
    <w:rPr>
      <w:sz w:val="28"/>
    </w:rPr>
  </w:style>
  <w:style w:type="paragraph" w:customStyle="1" w:styleId="Sponsor">
    <w:name w:val="Sponsor"/>
    <w:basedOn w:val="OPCParaBase"/>
    <w:rsid w:val="00143624"/>
    <w:pPr>
      <w:spacing w:line="240" w:lineRule="auto"/>
    </w:pPr>
    <w:rPr>
      <w:i/>
    </w:rPr>
  </w:style>
  <w:style w:type="paragraph" w:customStyle="1" w:styleId="Subitem">
    <w:name w:val="Subitem"/>
    <w:aliases w:val="iss"/>
    <w:basedOn w:val="OPCParaBase"/>
    <w:rsid w:val="00143624"/>
    <w:pPr>
      <w:spacing w:before="180" w:line="240" w:lineRule="auto"/>
      <w:ind w:left="709" w:hanging="709"/>
    </w:pPr>
  </w:style>
  <w:style w:type="paragraph" w:customStyle="1" w:styleId="SubitemHead">
    <w:name w:val="SubitemHead"/>
    <w:aliases w:val="issh"/>
    <w:basedOn w:val="OPCParaBase"/>
    <w:rsid w:val="001436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3624"/>
    <w:pPr>
      <w:spacing w:before="40" w:line="240" w:lineRule="auto"/>
      <w:ind w:left="1134"/>
    </w:pPr>
  </w:style>
  <w:style w:type="paragraph" w:customStyle="1" w:styleId="SubsectionHead">
    <w:name w:val="SubsectionHead"/>
    <w:aliases w:val="ssh"/>
    <w:basedOn w:val="OPCParaBase"/>
    <w:next w:val="subsection"/>
    <w:rsid w:val="00143624"/>
    <w:pPr>
      <w:keepNext/>
      <w:keepLines/>
      <w:spacing w:before="240" w:line="240" w:lineRule="auto"/>
      <w:ind w:left="1134"/>
    </w:pPr>
    <w:rPr>
      <w:i/>
    </w:rPr>
  </w:style>
  <w:style w:type="paragraph" w:customStyle="1" w:styleId="Tablea">
    <w:name w:val="Table(a)"/>
    <w:aliases w:val="ta"/>
    <w:basedOn w:val="OPCParaBase"/>
    <w:rsid w:val="00143624"/>
    <w:pPr>
      <w:spacing w:before="60" w:line="240" w:lineRule="auto"/>
      <w:ind w:left="284" w:hanging="284"/>
    </w:pPr>
    <w:rPr>
      <w:sz w:val="20"/>
    </w:rPr>
  </w:style>
  <w:style w:type="paragraph" w:customStyle="1" w:styleId="TableAA">
    <w:name w:val="Table(AA)"/>
    <w:aliases w:val="taaa"/>
    <w:basedOn w:val="OPCParaBase"/>
    <w:rsid w:val="001436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436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143624"/>
    <w:pPr>
      <w:spacing w:before="60" w:line="240" w:lineRule="atLeast"/>
    </w:pPr>
    <w:rPr>
      <w:sz w:val="20"/>
    </w:rPr>
  </w:style>
  <w:style w:type="paragraph" w:customStyle="1" w:styleId="TLPBoxTextnote">
    <w:name w:val="TLPBoxText(note"/>
    <w:aliases w:val="right)"/>
    <w:basedOn w:val="OPCParaBase"/>
    <w:rsid w:val="001436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362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3624"/>
    <w:pPr>
      <w:spacing w:before="122" w:line="198" w:lineRule="exact"/>
      <w:ind w:left="1985" w:hanging="851"/>
      <w:jc w:val="right"/>
    </w:pPr>
    <w:rPr>
      <w:sz w:val="18"/>
    </w:rPr>
  </w:style>
  <w:style w:type="paragraph" w:customStyle="1" w:styleId="TLPTableBullet">
    <w:name w:val="TLPTableBullet"/>
    <w:aliases w:val="ttb"/>
    <w:basedOn w:val="OPCParaBase"/>
    <w:rsid w:val="00143624"/>
    <w:pPr>
      <w:spacing w:line="240" w:lineRule="exact"/>
      <w:ind w:left="284" w:hanging="284"/>
    </w:pPr>
    <w:rPr>
      <w:sz w:val="20"/>
    </w:rPr>
  </w:style>
  <w:style w:type="paragraph" w:styleId="TOC1">
    <w:name w:val="toc 1"/>
    <w:basedOn w:val="Normal"/>
    <w:next w:val="Normal"/>
    <w:uiPriority w:val="39"/>
    <w:unhideWhenUsed/>
    <w:rsid w:val="0014362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4362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4362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4362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43624"/>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14362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4362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4362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4362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43624"/>
    <w:pPr>
      <w:keepLines/>
      <w:spacing w:before="240" w:after="120" w:line="240" w:lineRule="auto"/>
      <w:ind w:left="794"/>
    </w:pPr>
    <w:rPr>
      <w:b/>
      <w:kern w:val="28"/>
      <w:sz w:val="20"/>
    </w:rPr>
  </w:style>
  <w:style w:type="paragraph" w:customStyle="1" w:styleId="TofSectsHeading">
    <w:name w:val="TofSects(Heading)"/>
    <w:basedOn w:val="OPCParaBase"/>
    <w:rsid w:val="00143624"/>
    <w:pPr>
      <w:spacing w:before="240" w:after="120" w:line="240" w:lineRule="auto"/>
    </w:pPr>
    <w:rPr>
      <w:b/>
      <w:sz w:val="24"/>
    </w:rPr>
  </w:style>
  <w:style w:type="paragraph" w:customStyle="1" w:styleId="TofSectsSection">
    <w:name w:val="TofSects(Section)"/>
    <w:basedOn w:val="OPCParaBase"/>
    <w:rsid w:val="00143624"/>
    <w:pPr>
      <w:keepLines/>
      <w:spacing w:before="40" w:line="240" w:lineRule="auto"/>
      <w:ind w:left="1588" w:hanging="794"/>
    </w:pPr>
    <w:rPr>
      <w:kern w:val="28"/>
      <w:sz w:val="18"/>
    </w:rPr>
  </w:style>
  <w:style w:type="paragraph" w:customStyle="1" w:styleId="TofSectsSubdiv">
    <w:name w:val="TofSects(Subdiv)"/>
    <w:basedOn w:val="OPCParaBase"/>
    <w:rsid w:val="00143624"/>
    <w:pPr>
      <w:keepLines/>
      <w:spacing w:before="80" w:line="240" w:lineRule="auto"/>
      <w:ind w:left="1588" w:hanging="794"/>
    </w:pPr>
    <w:rPr>
      <w:kern w:val="28"/>
    </w:rPr>
  </w:style>
  <w:style w:type="paragraph" w:customStyle="1" w:styleId="WRStyle">
    <w:name w:val="WR Style"/>
    <w:aliases w:val="WR"/>
    <w:basedOn w:val="OPCParaBase"/>
    <w:rsid w:val="00143624"/>
    <w:pPr>
      <w:spacing w:before="240" w:line="240" w:lineRule="auto"/>
      <w:ind w:left="284" w:hanging="284"/>
    </w:pPr>
    <w:rPr>
      <w:b/>
      <w:i/>
      <w:kern w:val="28"/>
      <w:sz w:val="24"/>
    </w:rPr>
  </w:style>
  <w:style w:type="paragraph" w:customStyle="1" w:styleId="notepara">
    <w:name w:val="note(para)"/>
    <w:aliases w:val="na"/>
    <w:basedOn w:val="OPCParaBase"/>
    <w:rsid w:val="00143624"/>
    <w:pPr>
      <w:spacing w:before="40" w:line="198" w:lineRule="exact"/>
      <w:ind w:left="2354" w:hanging="369"/>
    </w:pPr>
    <w:rPr>
      <w:sz w:val="18"/>
    </w:rPr>
  </w:style>
  <w:style w:type="paragraph" w:styleId="Footer">
    <w:name w:val="footer"/>
    <w:link w:val="FooterChar"/>
    <w:rsid w:val="001436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43624"/>
    <w:rPr>
      <w:rFonts w:eastAsia="Times New Roman" w:cs="Times New Roman"/>
      <w:sz w:val="22"/>
      <w:szCs w:val="24"/>
      <w:lang w:eastAsia="en-AU"/>
    </w:rPr>
  </w:style>
  <w:style w:type="character" w:styleId="LineNumber">
    <w:name w:val="line number"/>
    <w:basedOn w:val="OPCCharBase"/>
    <w:uiPriority w:val="99"/>
    <w:unhideWhenUsed/>
    <w:rsid w:val="00143624"/>
    <w:rPr>
      <w:sz w:val="16"/>
    </w:rPr>
  </w:style>
  <w:style w:type="table" w:customStyle="1" w:styleId="CFlag">
    <w:name w:val="CFlag"/>
    <w:basedOn w:val="TableNormal"/>
    <w:uiPriority w:val="99"/>
    <w:rsid w:val="00143624"/>
    <w:rPr>
      <w:rFonts w:eastAsia="Times New Roman" w:cs="Times New Roman"/>
      <w:lang w:eastAsia="en-AU"/>
    </w:rPr>
    <w:tblPr/>
  </w:style>
  <w:style w:type="paragraph" w:styleId="BalloonText">
    <w:name w:val="Balloon Text"/>
    <w:basedOn w:val="Normal"/>
    <w:link w:val="BalloonTextChar"/>
    <w:uiPriority w:val="99"/>
    <w:unhideWhenUsed/>
    <w:rsid w:val="001436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3624"/>
    <w:rPr>
      <w:rFonts w:ascii="Tahoma" w:hAnsi="Tahoma" w:cs="Tahoma"/>
      <w:sz w:val="16"/>
      <w:szCs w:val="16"/>
    </w:rPr>
  </w:style>
  <w:style w:type="table" w:styleId="TableGrid">
    <w:name w:val="Table Grid"/>
    <w:basedOn w:val="TableNormal"/>
    <w:uiPriority w:val="59"/>
    <w:rsid w:val="0014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43624"/>
    <w:rPr>
      <w:b/>
      <w:sz w:val="28"/>
      <w:szCs w:val="32"/>
    </w:rPr>
  </w:style>
  <w:style w:type="paragraph" w:customStyle="1" w:styleId="LegislationMadeUnder">
    <w:name w:val="LegislationMadeUnder"/>
    <w:basedOn w:val="OPCParaBase"/>
    <w:next w:val="Normal"/>
    <w:rsid w:val="00143624"/>
    <w:rPr>
      <w:i/>
      <w:sz w:val="32"/>
      <w:szCs w:val="32"/>
    </w:rPr>
  </w:style>
  <w:style w:type="paragraph" w:customStyle="1" w:styleId="SignCoverPageEnd">
    <w:name w:val="SignCoverPageEnd"/>
    <w:basedOn w:val="OPCParaBase"/>
    <w:next w:val="Normal"/>
    <w:rsid w:val="0014362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3624"/>
    <w:pPr>
      <w:pBdr>
        <w:top w:val="single" w:sz="4" w:space="1" w:color="auto"/>
      </w:pBdr>
      <w:spacing w:before="360"/>
      <w:ind w:right="397"/>
      <w:jc w:val="both"/>
    </w:pPr>
  </w:style>
  <w:style w:type="paragraph" w:customStyle="1" w:styleId="NotesHeading1">
    <w:name w:val="NotesHeading 1"/>
    <w:basedOn w:val="OPCParaBase"/>
    <w:next w:val="Normal"/>
    <w:rsid w:val="00143624"/>
    <w:rPr>
      <w:b/>
      <w:sz w:val="28"/>
      <w:szCs w:val="28"/>
    </w:rPr>
  </w:style>
  <w:style w:type="paragraph" w:customStyle="1" w:styleId="NotesHeading2">
    <w:name w:val="NotesHeading 2"/>
    <w:basedOn w:val="OPCParaBase"/>
    <w:next w:val="Normal"/>
    <w:rsid w:val="00143624"/>
    <w:rPr>
      <w:b/>
      <w:sz w:val="28"/>
      <w:szCs w:val="28"/>
    </w:rPr>
  </w:style>
  <w:style w:type="paragraph" w:customStyle="1" w:styleId="CompiledActNo">
    <w:name w:val="CompiledActNo"/>
    <w:basedOn w:val="OPCParaBase"/>
    <w:next w:val="Normal"/>
    <w:rsid w:val="00143624"/>
    <w:rPr>
      <w:b/>
      <w:sz w:val="24"/>
      <w:szCs w:val="24"/>
    </w:rPr>
  </w:style>
  <w:style w:type="paragraph" w:customStyle="1" w:styleId="ENotesText">
    <w:name w:val="ENotesText"/>
    <w:aliases w:val="Ent"/>
    <w:basedOn w:val="OPCParaBase"/>
    <w:next w:val="Normal"/>
    <w:rsid w:val="00143624"/>
    <w:pPr>
      <w:spacing w:before="120"/>
    </w:pPr>
  </w:style>
  <w:style w:type="paragraph" w:customStyle="1" w:styleId="CompiledMadeUnder">
    <w:name w:val="CompiledMadeUnder"/>
    <w:basedOn w:val="OPCParaBase"/>
    <w:next w:val="Normal"/>
    <w:rsid w:val="00143624"/>
    <w:rPr>
      <w:i/>
      <w:sz w:val="24"/>
      <w:szCs w:val="24"/>
    </w:rPr>
  </w:style>
  <w:style w:type="paragraph" w:customStyle="1" w:styleId="Paragraphsub-sub-sub">
    <w:name w:val="Paragraph(sub-sub-sub)"/>
    <w:aliases w:val="aaaa"/>
    <w:basedOn w:val="OPCParaBase"/>
    <w:rsid w:val="00143624"/>
    <w:pPr>
      <w:tabs>
        <w:tab w:val="right" w:pos="3402"/>
      </w:tabs>
      <w:spacing w:before="40" w:line="240" w:lineRule="auto"/>
      <w:ind w:left="3402" w:hanging="3402"/>
    </w:pPr>
  </w:style>
  <w:style w:type="paragraph" w:customStyle="1" w:styleId="TableTextEndNotes">
    <w:name w:val="TableTextEndNotes"/>
    <w:aliases w:val="Tten"/>
    <w:basedOn w:val="Normal"/>
    <w:rsid w:val="00143624"/>
    <w:pPr>
      <w:spacing w:before="60" w:line="240" w:lineRule="auto"/>
    </w:pPr>
    <w:rPr>
      <w:rFonts w:cs="Arial"/>
      <w:sz w:val="20"/>
      <w:szCs w:val="22"/>
    </w:rPr>
  </w:style>
  <w:style w:type="paragraph" w:customStyle="1" w:styleId="NoteToSubpara">
    <w:name w:val="NoteToSubpara"/>
    <w:aliases w:val="nts"/>
    <w:basedOn w:val="OPCParaBase"/>
    <w:rsid w:val="00143624"/>
    <w:pPr>
      <w:spacing w:before="40" w:line="198" w:lineRule="exact"/>
      <w:ind w:left="2835" w:hanging="709"/>
    </w:pPr>
    <w:rPr>
      <w:sz w:val="18"/>
    </w:rPr>
  </w:style>
  <w:style w:type="paragraph" w:customStyle="1" w:styleId="ENoteTableHeading">
    <w:name w:val="ENoteTableHeading"/>
    <w:aliases w:val="enth"/>
    <w:basedOn w:val="OPCParaBase"/>
    <w:rsid w:val="00143624"/>
    <w:pPr>
      <w:keepNext/>
      <w:spacing w:before="60" w:line="240" w:lineRule="atLeast"/>
    </w:pPr>
    <w:rPr>
      <w:rFonts w:ascii="Arial" w:hAnsi="Arial"/>
      <w:b/>
      <w:sz w:val="16"/>
    </w:rPr>
  </w:style>
  <w:style w:type="paragraph" w:customStyle="1" w:styleId="ENoteTTi">
    <w:name w:val="ENoteTTi"/>
    <w:aliases w:val="entti"/>
    <w:basedOn w:val="OPCParaBase"/>
    <w:rsid w:val="00143624"/>
    <w:pPr>
      <w:keepNext/>
      <w:spacing w:before="60" w:line="240" w:lineRule="atLeast"/>
      <w:ind w:left="170"/>
    </w:pPr>
    <w:rPr>
      <w:sz w:val="16"/>
    </w:rPr>
  </w:style>
  <w:style w:type="paragraph" w:customStyle="1" w:styleId="ENotesHeading1">
    <w:name w:val="ENotesHeading 1"/>
    <w:aliases w:val="Enh1"/>
    <w:basedOn w:val="OPCParaBase"/>
    <w:next w:val="Normal"/>
    <w:rsid w:val="00143624"/>
    <w:pPr>
      <w:spacing w:before="120"/>
      <w:outlineLvl w:val="1"/>
    </w:pPr>
    <w:rPr>
      <w:b/>
      <w:sz w:val="28"/>
      <w:szCs w:val="28"/>
    </w:rPr>
  </w:style>
  <w:style w:type="paragraph" w:customStyle="1" w:styleId="ENotesHeading2">
    <w:name w:val="ENotesHeading 2"/>
    <w:aliases w:val="Enh2"/>
    <w:basedOn w:val="OPCParaBase"/>
    <w:next w:val="Normal"/>
    <w:rsid w:val="00143624"/>
    <w:pPr>
      <w:spacing w:before="120" w:after="120"/>
      <w:outlineLvl w:val="2"/>
    </w:pPr>
    <w:rPr>
      <w:b/>
      <w:sz w:val="24"/>
      <w:szCs w:val="28"/>
    </w:rPr>
  </w:style>
  <w:style w:type="paragraph" w:customStyle="1" w:styleId="ENoteTTIndentHeading">
    <w:name w:val="ENoteTTIndentHeading"/>
    <w:aliases w:val="enTTHi"/>
    <w:basedOn w:val="OPCParaBase"/>
    <w:rsid w:val="0014362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43624"/>
    <w:pPr>
      <w:spacing w:before="60" w:line="240" w:lineRule="atLeast"/>
    </w:pPr>
    <w:rPr>
      <w:sz w:val="16"/>
    </w:rPr>
  </w:style>
  <w:style w:type="paragraph" w:customStyle="1" w:styleId="MadeunderText">
    <w:name w:val="MadeunderText"/>
    <w:basedOn w:val="OPCParaBase"/>
    <w:next w:val="Normal"/>
    <w:rsid w:val="00143624"/>
    <w:pPr>
      <w:spacing w:before="240"/>
    </w:pPr>
    <w:rPr>
      <w:sz w:val="24"/>
      <w:szCs w:val="24"/>
    </w:rPr>
  </w:style>
  <w:style w:type="paragraph" w:customStyle="1" w:styleId="ENotesHeading3">
    <w:name w:val="ENotesHeading 3"/>
    <w:aliases w:val="Enh3"/>
    <w:basedOn w:val="OPCParaBase"/>
    <w:next w:val="Normal"/>
    <w:rsid w:val="00143624"/>
    <w:pPr>
      <w:keepNext/>
      <w:spacing w:before="120" w:line="240" w:lineRule="auto"/>
      <w:outlineLvl w:val="4"/>
    </w:pPr>
    <w:rPr>
      <w:b/>
      <w:szCs w:val="24"/>
    </w:rPr>
  </w:style>
  <w:style w:type="character" w:customStyle="1" w:styleId="CharSubPartTextCASA">
    <w:name w:val="CharSubPartText(CASA)"/>
    <w:basedOn w:val="OPCCharBase"/>
    <w:uiPriority w:val="1"/>
    <w:rsid w:val="00143624"/>
  </w:style>
  <w:style w:type="character" w:customStyle="1" w:styleId="CharSubPartNoCASA">
    <w:name w:val="CharSubPartNo(CASA)"/>
    <w:basedOn w:val="OPCCharBase"/>
    <w:uiPriority w:val="1"/>
    <w:rsid w:val="00143624"/>
  </w:style>
  <w:style w:type="paragraph" w:customStyle="1" w:styleId="ENoteTTIndentHeadingSub">
    <w:name w:val="ENoteTTIndentHeadingSub"/>
    <w:aliases w:val="enTTHis"/>
    <w:basedOn w:val="OPCParaBase"/>
    <w:rsid w:val="00143624"/>
    <w:pPr>
      <w:keepNext/>
      <w:spacing w:before="60" w:line="240" w:lineRule="atLeast"/>
      <w:ind w:left="340"/>
    </w:pPr>
    <w:rPr>
      <w:b/>
      <w:sz w:val="16"/>
    </w:rPr>
  </w:style>
  <w:style w:type="paragraph" w:customStyle="1" w:styleId="ENoteTTiSub">
    <w:name w:val="ENoteTTiSub"/>
    <w:aliases w:val="enttis"/>
    <w:basedOn w:val="OPCParaBase"/>
    <w:rsid w:val="00143624"/>
    <w:pPr>
      <w:keepNext/>
      <w:spacing w:before="60" w:line="240" w:lineRule="atLeast"/>
      <w:ind w:left="340"/>
    </w:pPr>
    <w:rPr>
      <w:sz w:val="16"/>
    </w:rPr>
  </w:style>
  <w:style w:type="paragraph" w:customStyle="1" w:styleId="SubDivisionMigration">
    <w:name w:val="SubDivisionMigration"/>
    <w:aliases w:val="sdm"/>
    <w:basedOn w:val="OPCParaBase"/>
    <w:rsid w:val="001436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362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43624"/>
    <w:pPr>
      <w:spacing w:before="122" w:line="240" w:lineRule="auto"/>
      <w:ind w:left="1985" w:hanging="851"/>
    </w:pPr>
    <w:rPr>
      <w:sz w:val="18"/>
    </w:rPr>
  </w:style>
  <w:style w:type="paragraph" w:customStyle="1" w:styleId="FreeForm">
    <w:name w:val="FreeForm"/>
    <w:rsid w:val="00143624"/>
    <w:rPr>
      <w:rFonts w:ascii="Arial" w:hAnsi="Arial"/>
      <w:sz w:val="22"/>
    </w:rPr>
  </w:style>
  <w:style w:type="paragraph" w:customStyle="1" w:styleId="SOText">
    <w:name w:val="SO Text"/>
    <w:aliases w:val="sot"/>
    <w:link w:val="SOTextChar"/>
    <w:rsid w:val="001436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43624"/>
    <w:rPr>
      <w:sz w:val="22"/>
    </w:rPr>
  </w:style>
  <w:style w:type="paragraph" w:customStyle="1" w:styleId="SOTextNote">
    <w:name w:val="SO TextNote"/>
    <w:aliases w:val="sont"/>
    <w:basedOn w:val="SOText"/>
    <w:qFormat/>
    <w:rsid w:val="00143624"/>
    <w:pPr>
      <w:spacing w:before="122" w:line="198" w:lineRule="exact"/>
      <w:ind w:left="1843" w:hanging="709"/>
    </w:pPr>
    <w:rPr>
      <w:sz w:val="18"/>
    </w:rPr>
  </w:style>
  <w:style w:type="paragraph" w:customStyle="1" w:styleId="SOPara">
    <w:name w:val="SO Para"/>
    <w:aliases w:val="soa"/>
    <w:basedOn w:val="SOText"/>
    <w:link w:val="SOParaChar"/>
    <w:qFormat/>
    <w:rsid w:val="00143624"/>
    <w:pPr>
      <w:tabs>
        <w:tab w:val="right" w:pos="1786"/>
      </w:tabs>
      <w:spacing w:before="40"/>
      <w:ind w:left="2070" w:hanging="936"/>
    </w:pPr>
  </w:style>
  <w:style w:type="character" w:customStyle="1" w:styleId="SOParaChar">
    <w:name w:val="SO Para Char"/>
    <w:aliases w:val="soa Char"/>
    <w:basedOn w:val="DefaultParagraphFont"/>
    <w:link w:val="SOPara"/>
    <w:rsid w:val="00143624"/>
    <w:rPr>
      <w:sz w:val="22"/>
    </w:rPr>
  </w:style>
  <w:style w:type="paragraph" w:customStyle="1" w:styleId="FileName">
    <w:name w:val="FileName"/>
    <w:basedOn w:val="Normal"/>
    <w:rsid w:val="00143624"/>
  </w:style>
  <w:style w:type="paragraph" w:customStyle="1" w:styleId="TableHeading">
    <w:name w:val="TableHeading"/>
    <w:aliases w:val="th"/>
    <w:basedOn w:val="OPCParaBase"/>
    <w:next w:val="Tabletext"/>
    <w:link w:val="TableHeadingChar"/>
    <w:rsid w:val="00143624"/>
    <w:pPr>
      <w:keepNext/>
      <w:spacing w:before="60" w:line="240" w:lineRule="atLeast"/>
    </w:pPr>
    <w:rPr>
      <w:b/>
      <w:sz w:val="20"/>
    </w:rPr>
  </w:style>
  <w:style w:type="paragraph" w:customStyle="1" w:styleId="SOHeadBold">
    <w:name w:val="SO HeadBold"/>
    <w:aliases w:val="sohb"/>
    <w:basedOn w:val="SOText"/>
    <w:next w:val="SOText"/>
    <w:link w:val="SOHeadBoldChar"/>
    <w:qFormat/>
    <w:rsid w:val="00143624"/>
    <w:rPr>
      <w:b/>
    </w:rPr>
  </w:style>
  <w:style w:type="character" w:customStyle="1" w:styleId="SOHeadBoldChar">
    <w:name w:val="SO HeadBold Char"/>
    <w:aliases w:val="sohb Char"/>
    <w:basedOn w:val="DefaultParagraphFont"/>
    <w:link w:val="SOHeadBold"/>
    <w:rsid w:val="00143624"/>
    <w:rPr>
      <w:b/>
      <w:sz w:val="22"/>
    </w:rPr>
  </w:style>
  <w:style w:type="paragraph" w:customStyle="1" w:styleId="SOHeadItalic">
    <w:name w:val="SO HeadItalic"/>
    <w:aliases w:val="sohi"/>
    <w:basedOn w:val="SOText"/>
    <w:next w:val="SOText"/>
    <w:link w:val="SOHeadItalicChar"/>
    <w:qFormat/>
    <w:rsid w:val="00143624"/>
    <w:rPr>
      <w:i/>
    </w:rPr>
  </w:style>
  <w:style w:type="character" w:customStyle="1" w:styleId="SOHeadItalicChar">
    <w:name w:val="SO HeadItalic Char"/>
    <w:aliases w:val="sohi Char"/>
    <w:basedOn w:val="DefaultParagraphFont"/>
    <w:link w:val="SOHeadItalic"/>
    <w:rsid w:val="00143624"/>
    <w:rPr>
      <w:i/>
      <w:sz w:val="22"/>
    </w:rPr>
  </w:style>
  <w:style w:type="paragraph" w:customStyle="1" w:styleId="SOBullet">
    <w:name w:val="SO Bullet"/>
    <w:aliases w:val="sotb"/>
    <w:basedOn w:val="SOText"/>
    <w:link w:val="SOBulletChar"/>
    <w:qFormat/>
    <w:rsid w:val="00143624"/>
    <w:pPr>
      <w:ind w:left="1559" w:hanging="425"/>
    </w:pPr>
  </w:style>
  <w:style w:type="character" w:customStyle="1" w:styleId="SOBulletChar">
    <w:name w:val="SO Bullet Char"/>
    <w:aliases w:val="sotb Char"/>
    <w:basedOn w:val="DefaultParagraphFont"/>
    <w:link w:val="SOBullet"/>
    <w:rsid w:val="00143624"/>
    <w:rPr>
      <w:sz w:val="22"/>
    </w:rPr>
  </w:style>
  <w:style w:type="paragraph" w:customStyle="1" w:styleId="SOBulletNote">
    <w:name w:val="SO BulletNote"/>
    <w:aliases w:val="sonb"/>
    <w:basedOn w:val="SOTextNote"/>
    <w:link w:val="SOBulletNoteChar"/>
    <w:qFormat/>
    <w:rsid w:val="00143624"/>
    <w:pPr>
      <w:tabs>
        <w:tab w:val="left" w:pos="1560"/>
      </w:tabs>
      <w:ind w:left="2268" w:hanging="1134"/>
    </w:pPr>
  </w:style>
  <w:style w:type="character" w:customStyle="1" w:styleId="SOBulletNoteChar">
    <w:name w:val="SO BulletNote Char"/>
    <w:aliases w:val="sonb Char"/>
    <w:basedOn w:val="DefaultParagraphFont"/>
    <w:link w:val="SOBulletNote"/>
    <w:rsid w:val="00143624"/>
    <w:rPr>
      <w:sz w:val="18"/>
    </w:rPr>
  </w:style>
  <w:style w:type="paragraph" w:customStyle="1" w:styleId="SOText2">
    <w:name w:val="SO Text2"/>
    <w:aliases w:val="sot2"/>
    <w:basedOn w:val="Normal"/>
    <w:next w:val="SOText"/>
    <w:link w:val="SOText2Char"/>
    <w:rsid w:val="001436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43624"/>
    <w:rPr>
      <w:sz w:val="22"/>
    </w:rPr>
  </w:style>
  <w:style w:type="paragraph" w:customStyle="1" w:styleId="SubPartCASA">
    <w:name w:val="SubPart(CASA)"/>
    <w:aliases w:val="csp"/>
    <w:basedOn w:val="OPCParaBase"/>
    <w:next w:val="ActHead3"/>
    <w:rsid w:val="0014362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43624"/>
    <w:rPr>
      <w:rFonts w:eastAsia="Times New Roman" w:cs="Times New Roman"/>
      <w:sz w:val="22"/>
      <w:lang w:eastAsia="en-AU"/>
    </w:rPr>
  </w:style>
  <w:style w:type="character" w:customStyle="1" w:styleId="notetextChar">
    <w:name w:val="note(text) Char"/>
    <w:aliases w:val="n Char"/>
    <w:basedOn w:val="DefaultParagraphFont"/>
    <w:link w:val="notetext"/>
    <w:rsid w:val="00143624"/>
    <w:rPr>
      <w:rFonts w:eastAsia="Times New Roman" w:cs="Times New Roman"/>
      <w:sz w:val="18"/>
      <w:lang w:eastAsia="en-AU"/>
    </w:rPr>
  </w:style>
  <w:style w:type="character" w:customStyle="1" w:styleId="Heading1Char">
    <w:name w:val="Heading 1 Char"/>
    <w:basedOn w:val="DefaultParagraphFont"/>
    <w:link w:val="Heading1"/>
    <w:uiPriority w:val="9"/>
    <w:rsid w:val="001436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6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6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436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436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436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436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436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4362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43624"/>
    <w:rPr>
      <w:rFonts w:ascii="Arial" w:hAnsi="Arial" w:cs="Arial" w:hint="default"/>
      <w:b/>
      <w:bCs/>
      <w:sz w:val="28"/>
      <w:szCs w:val="28"/>
    </w:rPr>
  </w:style>
  <w:style w:type="paragraph" w:styleId="Index1">
    <w:name w:val="index 1"/>
    <w:basedOn w:val="Normal"/>
    <w:next w:val="Normal"/>
    <w:autoRedefine/>
    <w:rsid w:val="00143624"/>
    <w:pPr>
      <w:ind w:left="240" w:hanging="240"/>
    </w:pPr>
  </w:style>
  <w:style w:type="paragraph" w:styleId="Index2">
    <w:name w:val="index 2"/>
    <w:basedOn w:val="Normal"/>
    <w:next w:val="Normal"/>
    <w:autoRedefine/>
    <w:rsid w:val="00143624"/>
    <w:pPr>
      <w:ind w:left="480" w:hanging="240"/>
    </w:pPr>
  </w:style>
  <w:style w:type="paragraph" w:styleId="Index3">
    <w:name w:val="index 3"/>
    <w:basedOn w:val="Normal"/>
    <w:next w:val="Normal"/>
    <w:autoRedefine/>
    <w:rsid w:val="00143624"/>
    <w:pPr>
      <w:ind w:left="720" w:hanging="240"/>
    </w:pPr>
  </w:style>
  <w:style w:type="paragraph" w:styleId="Index4">
    <w:name w:val="index 4"/>
    <w:basedOn w:val="Normal"/>
    <w:next w:val="Normal"/>
    <w:autoRedefine/>
    <w:rsid w:val="00143624"/>
    <w:pPr>
      <w:ind w:left="960" w:hanging="240"/>
    </w:pPr>
  </w:style>
  <w:style w:type="paragraph" w:styleId="Index5">
    <w:name w:val="index 5"/>
    <w:basedOn w:val="Normal"/>
    <w:next w:val="Normal"/>
    <w:autoRedefine/>
    <w:rsid w:val="00143624"/>
    <w:pPr>
      <w:ind w:left="1200" w:hanging="240"/>
    </w:pPr>
  </w:style>
  <w:style w:type="paragraph" w:styleId="Index6">
    <w:name w:val="index 6"/>
    <w:basedOn w:val="Normal"/>
    <w:next w:val="Normal"/>
    <w:autoRedefine/>
    <w:rsid w:val="00143624"/>
    <w:pPr>
      <w:ind w:left="1440" w:hanging="240"/>
    </w:pPr>
  </w:style>
  <w:style w:type="paragraph" w:styleId="Index7">
    <w:name w:val="index 7"/>
    <w:basedOn w:val="Normal"/>
    <w:next w:val="Normal"/>
    <w:autoRedefine/>
    <w:rsid w:val="00143624"/>
    <w:pPr>
      <w:ind w:left="1680" w:hanging="240"/>
    </w:pPr>
  </w:style>
  <w:style w:type="paragraph" w:styleId="Index8">
    <w:name w:val="index 8"/>
    <w:basedOn w:val="Normal"/>
    <w:next w:val="Normal"/>
    <w:autoRedefine/>
    <w:rsid w:val="00143624"/>
    <w:pPr>
      <w:ind w:left="1920" w:hanging="240"/>
    </w:pPr>
  </w:style>
  <w:style w:type="paragraph" w:styleId="Index9">
    <w:name w:val="index 9"/>
    <w:basedOn w:val="Normal"/>
    <w:next w:val="Normal"/>
    <w:autoRedefine/>
    <w:rsid w:val="00143624"/>
    <w:pPr>
      <w:ind w:left="2160" w:hanging="240"/>
    </w:pPr>
  </w:style>
  <w:style w:type="paragraph" w:styleId="NormalIndent">
    <w:name w:val="Normal Indent"/>
    <w:basedOn w:val="Normal"/>
    <w:rsid w:val="00143624"/>
    <w:pPr>
      <w:ind w:left="720"/>
    </w:pPr>
  </w:style>
  <w:style w:type="paragraph" w:styleId="FootnoteText">
    <w:name w:val="footnote text"/>
    <w:basedOn w:val="Normal"/>
    <w:link w:val="FootnoteTextChar"/>
    <w:rsid w:val="00143624"/>
    <w:rPr>
      <w:sz w:val="20"/>
    </w:rPr>
  </w:style>
  <w:style w:type="character" w:customStyle="1" w:styleId="FootnoteTextChar">
    <w:name w:val="Footnote Text Char"/>
    <w:basedOn w:val="DefaultParagraphFont"/>
    <w:link w:val="FootnoteText"/>
    <w:rsid w:val="00143624"/>
  </w:style>
  <w:style w:type="paragraph" w:styleId="CommentText">
    <w:name w:val="annotation text"/>
    <w:basedOn w:val="Normal"/>
    <w:link w:val="CommentTextChar"/>
    <w:rsid w:val="00143624"/>
    <w:rPr>
      <w:sz w:val="20"/>
    </w:rPr>
  </w:style>
  <w:style w:type="character" w:customStyle="1" w:styleId="CommentTextChar">
    <w:name w:val="Comment Text Char"/>
    <w:basedOn w:val="DefaultParagraphFont"/>
    <w:link w:val="CommentText"/>
    <w:rsid w:val="00143624"/>
  </w:style>
  <w:style w:type="paragraph" w:styleId="IndexHeading">
    <w:name w:val="index heading"/>
    <w:basedOn w:val="Normal"/>
    <w:next w:val="Index1"/>
    <w:rsid w:val="00143624"/>
    <w:rPr>
      <w:rFonts w:ascii="Arial" w:hAnsi="Arial" w:cs="Arial"/>
      <w:b/>
      <w:bCs/>
    </w:rPr>
  </w:style>
  <w:style w:type="paragraph" w:styleId="Caption">
    <w:name w:val="caption"/>
    <w:basedOn w:val="Normal"/>
    <w:next w:val="Normal"/>
    <w:qFormat/>
    <w:rsid w:val="00143624"/>
    <w:pPr>
      <w:spacing w:before="120" w:after="120"/>
    </w:pPr>
    <w:rPr>
      <w:b/>
      <w:bCs/>
      <w:sz w:val="20"/>
    </w:rPr>
  </w:style>
  <w:style w:type="paragraph" w:styleId="TableofFigures">
    <w:name w:val="table of figures"/>
    <w:basedOn w:val="Normal"/>
    <w:next w:val="Normal"/>
    <w:rsid w:val="00143624"/>
    <w:pPr>
      <w:ind w:left="480" w:hanging="480"/>
    </w:pPr>
  </w:style>
  <w:style w:type="paragraph" w:styleId="EnvelopeAddress">
    <w:name w:val="envelope address"/>
    <w:basedOn w:val="Normal"/>
    <w:rsid w:val="0014362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43624"/>
    <w:rPr>
      <w:rFonts w:ascii="Arial" w:hAnsi="Arial" w:cs="Arial"/>
      <w:sz w:val="20"/>
    </w:rPr>
  </w:style>
  <w:style w:type="character" w:styleId="FootnoteReference">
    <w:name w:val="footnote reference"/>
    <w:basedOn w:val="DefaultParagraphFont"/>
    <w:rsid w:val="00143624"/>
    <w:rPr>
      <w:rFonts w:ascii="Times New Roman" w:hAnsi="Times New Roman"/>
      <w:sz w:val="20"/>
      <w:vertAlign w:val="superscript"/>
    </w:rPr>
  </w:style>
  <w:style w:type="character" w:styleId="CommentReference">
    <w:name w:val="annotation reference"/>
    <w:basedOn w:val="DefaultParagraphFont"/>
    <w:rsid w:val="00143624"/>
    <w:rPr>
      <w:sz w:val="16"/>
      <w:szCs w:val="16"/>
    </w:rPr>
  </w:style>
  <w:style w:type="character" w:styleId="PageNumber">
    <w:name w:val="page number"/>
    <w:basedOn w:val="DefaultParagraphFont"/>
    <w:rsid w:val="00143624"/>
  </w:style>
  <w:style w:type="character" w:styleId="EndnoteReference">
    <w:name w:val="endnote reference"/>
    <w:basedOn w:val="DefaultParagraphFont"/>
    <w:rsid w:val="00143624"/>
    <w:rPr>
      <w:vertAlign w:val="superscript"/>
    </w:rPr>
  </w:style>
  <w:style w:type="paragraph" w:styleId="EndnoteText">
    <w:name w:val="endnote text"/>
    <w:basedOn w:val="Normal"/>
    <w:link w:val="EndnoteTextChar"/>
    <w:rsid w:val="00143624"/>
    <w:rPr>
      <w:sz w:val="20"/>
    </w:rPr>
  </w:style>
  <w:style w:type="character" w:customStyle="1" w:styleId="EndnoteTextChar">
    <w:name w:val="Endnote Text Char"/>
    <w:basedOn w:val="DefaultParagraphFont"/>
    <w:link w:val="EndnoteText"/>
    <w:rsid w:val="00143624"/>
  </w:style>
  <w:style w:type="paragraph" w:styleId="TableofAuthorities">
    <w:name w:val="table of authorities"/>
    <w:basedOn w:val="Normal"/>
    <w:next w:val="Normal"/>
    <w:rsid w:val="00143624"/>
    <w:pPr>
      <w:ind w:left="240" w:hanging="240"/>
    </w:pPr>
  </w:style>
  <w:style w:type="paragraph" w:styleId="MacroText">
    <w:name w:val="macro"/>
    <w:link w:val="MacroTextChar"/>
    <w:rsid w:val="001436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43624"/>
    <w:rPr>
      <w:rFonts w:ascii="Courier New" w:eastAsia="Times New Roman" w:hAnsi="Courier New" w:cs="Courier New"/>
      <w:lang w:eastAsia="en-AU"/>
    </w:rPr>
  </w:style>
  <w:style w:type="paragraph" w:styleId="TOAHeading">
    <w:name w:val="toa heading"/>
    <w:basedOn w:val="Normal"/>
    <w:next w:val="Normal"/>
    <w:rsid w:val="00143624"/>
    <w:pPr>
      <w:spacing w:before="120"/>
    </w:pPr>
    <w:rPr>
      <w:rFonts w:ascii="Arial" w:hAnsi="Arial" w:cs="Arial"/>
      <w:b/>
      <w:bCs/>
    </w:rPr>
  </w:style>
  <w:style w:type="paragraph" w:styleId="List">
    <w:name w:val="List"/>
    <w:basedOn w:val="Normal"/>
    <w:rsid w:val="00143624"/>
    <w:pPr>
      <w:ind w:left="283" w:hanging="283"/>
    </w:pPr>
  </w:style>
  <w:style w:type="paragraph" w:styleId="ListBullet">
    <w:name w:val="List Bullet"/>
    <w:basedOn w:val="Normal"/>
    <w:autoRedefine/>
    <w:rsid w:val="00143624"/>
    <w:pPr>
      <w:tabs>
        <w:tab w:val="num" w:pos="360"/>
      </w:tabs>
      <w:ind w:left="360" w:hanging="360"/>
    </w:pPr>
  </w:style>
  <w:style w:type="paragraph" w:styleId="ListNumber">
    <w:name w:val="List Number"/>
    <w:basedOn w:val="Normal"/>
    <w:rsid w:val="00143624"/>
    <w:pPr>
      <w:tabs>
        <w:tab w:val="num" w:pos="360"/>
      </w:tabs>
      <w:ind w:left="360" w:hanging="360"/>
    </w:pPr>
  </w:style>
  <w:style w:type="paragraph" w:styleId="List2">
    <w:name w:val="List 2"/>
    <w:basedOn w:val="Normal"/>
    <w:rsid w:val="00143624"/>
    <w:pPr>
      <w:ind w:left="566" w:hanging="283"/>
    </w:pPr>
  </w:style>
  <w:style w:type="paragraph" w:styleId="List3">
    <w:name w:val="List 3"/>
    <w:basedOn w:val="Normal"/>
    <w:rsid w:val="00143624"/>
    <w:pPr>
      <w:ind w:left="849" w:hanging="283"/>
    </w:pPr>
  </w:style>
  <w:style w:type="paragraph" w:styleId="List4">
    <w:name w:val="List 4"/>
    <w:basedOn w:val="Normal"/>
    <w:rsid w:val="00143624"/>
    <w:pPr>
      <w:ind w:left="1132" w:hanging="283"/>
    </w:pPr>
  </w:style>
  <w:style w:type="paragraph" w:styleId="List5">
    <w:name w:val="List 5"/>
    <w:basedOn w:val="Normal"/>
    <w:rsid w:val="00143624"/>
    <w:pPr>
      <w:ind w:left="1415" w:hanging="283"/>
    </w:pPr>
  </w:style>
  <w:style w:type="paragraph" w:styleId="ListBullet2">
    <w:name w:val="List Bullet 2"/>
    <w:basedOn w:val="Normal"/>
    <w:autoRedefine/>
    <w:rsid w:val="00143624"/>
    <w:pPr>
      <w:tabs>
        <w:tab w:val="num" w:pos="360"/>
      </w:tabs>
    </w:pPr>
  </w:style>
  <w:style w:type="paragraph" w:styleId="ListBullet3">
    <w:name w:val="List Bullet 3"/>
    <w:basedOn w:val="Normal"/>
    <w:autoRedefine/>
    <w:rsid w:val="00143624"/>
    <w:pPr>
      <w:tabs>
        <w:tab w:val="num" w:pos="926"/>
      </w:tabs>
      <w:ind w:left="926" w:hanging="360"/>
    </w:pPr>
  </w:style>
  <w:style w:type="paragraph" w:styleId="ListBullet4">
    <w:name w:val="List Bullet 4"/>
    <w:basedOn w:val="Normal"/>
    <w:autoRedefine/>
    <w:rsid w:val="00143624"/>
    <w:pPr>
      <w:tabs>
        <w:tab w:val="num" w:pos="1209"/>
      </w:tabs>
      <w:ind w:left="1209" w:hanging="360"/>
    </w:pPr>
  </w:style>
  <w:style w:type="paragraph" w:styleId="ListBullet5">
    <w:name w:val="List Bullet 5"/>
    <w:basedOn w:val="Normal"/>
    <w:autoRedefine/>
    <w:rsid w:val="00143624"/>
    <w:pPr>
      <w:tabs>
        <w:tab w:val="num" w:pos="1492"/>
      </w:tabs>
      <w:ind w:left="1492" w:hanging="360"/>
    </w:pPr>
  </w:style>
  <w:style w:type="paragraph" w:styleId="ListNumber2">
    <w:name w:val="List Number 2"/>
    <w:basedOn w:val="Normal"/>
    <w:rsid w:val="00143624"/>
    <w:pPr>
      <w:tabs>
        <w:tab w:val="num" w:pos="643"/>
      </w:tabs>
      <w:ind w:left="643" w:hanging="360"/>
    </w:pPr>
  </w:style>
  <w:style w:type="paragraph" w:styleId="ListNumber3">
    <w:name w:val="List Number 3"/>
    <w:basedOn w:val="Normal"/>
    <w:rsid w:val="00143624"/>
    <w:pPr>
      <w:tabs>
        <w:tab w:val="num" w:pos="926"/>
      </w:tabs>
      <w:ind w:left="926" w:hanging="360"/>
    </w:pPr>
  </w:style>
  <w:style w:type="paragraph" w:styleId="ListNumber4">
    <w:name w:val="List Number 4"/>
    <w:basedOn w:val="Normal"/>
    <w:rsid w:val="00143624"/>
    <w:pPr>
      <w:tabs>
        <w:tab w:val="num" w:pos="1209"/>
      </w:tabs>
      <w:ind w:left="1209" w:hanging="360"/>
    </w:pPr>
  </w:style>
  <w:style w:type="paragraph" w:styleId="ListNumber5">
    <w:name w:val="List Number 5"/>
    <w:basedOn w:val="Normal"/>
    <w:rsid w:val="00143624"/>
    <w:pPr>
      <w:tabs>
        <w:tab w:val="num" w:pos="1492"/>
      </w:tabs>
      <w:ind w:left="1492" w:hanging="360"/>
    </w:pPr>
  </w:style>
  <w:style w:type="paragraph" w:styleId="Title">
    <w:name w:val="Title"/>
    <w:basedOn w:val="Normal"/>
    <w:link w:val="TitleChar"/>
    <w:qFormat/>
    <w:rsid w:val="00143624"/>
    <w:pPr>
      <w:spacing w:before="240" w:after="60"/>
    </w:pPr>
    <w:rPr>
      <w:rFonts w:ascii="Arial" w:hAnsi="Arial" w:cs="Arial"/>
      <w:b/>
      <w:bCs/>
      <w:sz w:val="40"/>
      <w:szCs w:val="40"/>
    </w:rPr>
  </w:style>
  <w:style w:type="character" w:customStyle="1" w:styleId="TitleChar">
    <w:name w:val="Title Char"/>
    <w:basedOn w:val="DefaultParagraphFont"/>
    <w:link w:val="Title"/>
    <w:rsid w:val="00143624"/>
    <w:rPr>
      <w:rFonts w:ascii="Arial" w:hAnsi="Arial" w:cs="Arial"/>
      <w:b/>
      <w:bCs/>
      <w:sz w:val="40"/>
      <w:szCs w:val="40"/>
    </w:rPr>
  </w:style>
  <w:style w:type="paragraph" w:styleId="Closing">
    <w:name w:val="Closing"/>
    <w:basedOn w:val="Normal"/>
    <w:link w:val="ClosingChar"/>
    <w:rsid w:val="00143624"/>
    <w:pPr>
      <w:ind w:left="4252"/>
    </w:pPr>
  </w:style>
  <w:style w:type="character" w:customStyle="1" w:styleId="ClosingChar">
    <w:name w:val="Closing Char"/>
    <w:basedOn w:val="DefaultParagraphFont"/>
    <w:link w:val="Closing"/>
    <w:rsid w:val="00143624"/>
    <w:rPr>
      <w:sz w:val="22"/>
    </w:rPr>
  </w:style>
  <w:style w:type="paragraph" w:styleId="Signature">
    <w:name w:val="Signature"/>
    <w:basedOn w:val="Normal"/>
    <w:link w:val="SignatureChar"/>
    <w:rsid w:val="00143624"/>
    <w:pPr>
      <w:ind w:left="4252"/>
    </w:pPr>
  </w:style>
  <w:style w:type="character" w:customStyle="1" w:styleId="SignatureChar">
    <w:name w:val="Signature Char"/>
    <w:basedOn w:val="DefaultParagraphFont"/>
    <w:link w:val="Signature"/>
    <w:rsid w:val="00143624"/>
    <w:rPr>
      <w:sz w:val="22"/>
    </w:rPr>
  </w:style>
  <w:style w:type="paragraph" w:styleId="BodyText">
    <w:name w:val="Body Text"/>
    <w:basedOn w:val="Normal"/>
    <w:link w:val="BodyTextChar"/>
    <w:rsid w:val="00143624"/>
    <w:pPr>
      <w:spacing w:after="120"/>
    </w:pPr>
  </w:style>
  <w:style w:type="character" w:customStyle="1" w:styleId="BodyTextChar">
    <w:name w:val="Body Text Char"/>
    <w:basedOn w:val="DefaultParagraphFont"/>
    <w:link w:val="BodyText"/>
    <w:rsid w:val="00143624"/>
    <w:rPr>
      <w:sz w:val="22"/>
    </w:rPr>
  </w:style>
  <w:style w:type="paragraph" w:styleId="BodyTextIndent">
    <w:name w:val="Body Text Indent"/>
    <w:basedOn w:val="Normal"/>
    <w:link w:val="BodyTextIndentChar"/>
    <w:rsid w:val="00143624"/>
    <w:pPr>
      <w:spacing w:after="120"/>
      <w:ind w:left="283"/>
    </w:pPr>
  </w:style>
  <w:style w:type="character" w:customStyle="1" w:styleId="BodyTextIndentChar">
    <w:name w:val="Body Text Indent Char"/>
    <w:basedOn w:val="DefaultParagraphFont"/>
    <w:link w:val="BodyTextIndent"/>
    <w:rsid w:val="00143624"/>
    <w:rPr>
      <w:sz w:val="22"/>
    </w:rPr>
  </w:style>
  <w:style w:type="paragraph" w:styleId="ListContinue">
    <w:name w:val="List Continue"/>
    <w:basedOn w:val="Normal"/>
    <w:rsid w:val="00143624"/>
    <w:pPr>
      <w:spacing w:after="120"/>
      <w:ind w:left="283"/>
    </w:pPr>
  </w:style>
  <w:style w:type="paragraph" w:styleId="ListContinue2">
    <w:name w:val="List Continue 2"/>
    <w:basedOn w:val="Normal"/>
    <w:rsid w:val="00143624"/>
    <w:pPr>
      <w:spacing w:after="120"/>
      <w:ind w:left="566"/>
    </w:pPr>
  </w:style>
  <w:style w:type="paragraph" w:styleId="ListContinue3">
    <w:name w:val="List Continue 3"/>
    <w:basedOn w:val="Normal"/>
    <w:rsid w:val="00143624"/>
    <w:pPr>
      <w:spacing w:after="120"/>
      <w:ind w:left="849"/>
    </w:pPr>
  </w:style>
  <w:style w:type="paragraph" w:styleId="ListContinue4">
    <w:name w:val="List Continue 4"/>
    <w:basedOn w:val="Normal"/>
    <w:rsid w:val="00143624"/>
    <w:pPr>
      <w:spacing w:after="120"/>
      <w:ind w:left="1132"/>
    </w:pPr>
  </w:style>
  <w:style w:type="paragraph" w:styleId="ListContinue5">
    <w:name w:val="List Continue 5"/>
    <w:basedOn w:val="Normal"/>
    <w:rsid w:val="00143624"/>
    <w:pPr>
      <w:spacing w:after="120"/>
      <w:ind w:left="1415"/>
    </w:pPr>
  </w:style>
  <w:style w:type="paragraph" w:styleId="MessageHeader">
    <w:name w:val="Message Header"/>
    <w:basedOn w:val="Normal"/>
    <w:link w:val="MessageHeaderChar"/>
    <w:rsid w:val="001436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43624"/>
    <w:rPr>
      <w:rFonts w:ascii="Arial" w:hAnsi="Arial" w:cs="Arial"/>
      <w:sz w:val="22"/>
      <w:shd w:val="pct20" w:color="auto" w:fill="auto"/>
    </w:rPr>
  </w:style>
  <w:style w:type="paragraph" w:styleId="Subtitle">
    <w:name w:val="Subtitle"/>
    <w:basedOn w:val="Normal"/>
    <w:link w:val="SubtitleChar"/>
    <w:qFormat/>
    <w:rsid w:val="00143624"/>
    <w:pPr>
      <w:spacing w:after="60"/>
      <w:jc w:val="center"/>
      <w:outlineLvl w:val="1"/>
    </w:pPr>
    <w:rPr>
      <w:rFonts w:ascii="Arial" w:hAnsi="Arial" w:cs="Arial"/>
    </w:rPr>
  </w:style>
  <w:style w:type="character" w:customStyle="1" w:styleId="SubtitleChar">
    <w:name w:val="Subtitle Char"/>
    <w:basedOn w:val="DefaultParagraphFont"/>
    <w:link w:val="Subtitle"/>
    <w:rsid w:val="00143624"/>
    <w:rPr>
      <w:rFonts w:ascii="Arial" w:hAnsi="Arial" w:cs="Arial"/>
      <w:sz w:val="22"/>
    </w:rPr>
  </w:style>
  <w:style w:type="paragraph" w:styleId="Salutation">
    <w:name w:val="Salutation"/>
    <w:basedOn w:val="Normal"/>
    <w:next w:val="Normal"/>
    <w:link w:val="SalutationChar"/>
    <w:rsid w:val="00143624"/>
  </w:style>
  <w:style w:type="character" w:customStyle="1" w:styleId="SalutationChar">
    <w:name w:val="Salutation Char"/>
    <w:basedOn w:val="DefaultParagraphFont"/>
    <w:link w:val="Salutation"/>
    <w:rsid w:val="00143624"/>
    <w:rPr>
      <w:sz w:val="22"/>
    </w:rPr>
  </w:style>
  <w:style w:type="paragraph" w:styleId="Date">
    <w:name w:val="Date"/>
    <w:basedOn w:val="Normal"/>
    <w:next w:val="Normal"/>
    <w:link w:val="DateChar"/>
    <w:rsid w:val="00143624"/>
  </w:style>
  <w:style w:type="character" w:customStyle="1" w:styleId="DateChar">
    <w:name w:val="Date Char"/>
    <w:basedOn w:val="DefaultParagraphFont"/>
    <w:link w:val="Date"/>
    <w:rsid w:val="00143624"/>
    <w:rPr>
      <w:sz w:val="22"/>
    </w:rPr>
  </w:style>
  <w:style w:type="paragraph" w:styleId="BodyTextFirstIndent">
    <w:name w:val="Body Text First Indent"/>
    <w:basedOn w:val="BodyText"/>
    <w:link w:val="BodyTextFirstIndentChar"/>
    <w:rsid w:val="00143624"/>
    <w:pPr>
      <w:ind w:firstLine="210"/>
    </w:pPr>
  </w:style>
  <w:style w:type="character" w:customStyle="1" w:styleId="BodyTextFirstIndentChar">
    <w:name w:val="Body Text First Indent Char"/>
    <w:basedOn w:val="BodyTextChar"/>
    <w:link w:val="BodyTextFirstIndent"/>
    <w:rsid w:val="00143624"/>
    <w:rPr>
      <w:sz w:val="22"/>
    </w:rPr>
  </w:style>
  <w:style w:type="paragraph" w:styleId="BodyTextFirstIndent2">
    <w:name w:val="Body Text First Indent 2"/>
    <w:basedOn w:val="BodyTextIndent"/>
    <w:link w:val="BodyTextFirstIndent2Char"/>
    <w:rsid w:val="00143624"/>
    <w:pPr>
      <w:ind w:firstLine="210"/>
    </w:pPr>
  </w:style>
  <w:style w:type="character" w:customStyle="1" w:styleId="BodyTextFirstIndent2Char">
    <w:name w:val="Body Text First Indent 2 Char"/>
    <w:basedOn w:val="BodyTextIndentChar"/>
    <w:link w:val="BodyTextFirstIndent2"/>
    <w:rsid w:val="00143624"/>
    <w:rPr>
      <w:sz w:val="22"/>
    </w:rPr>
  </w:style>
  <w:style w:type="paragraph" w:styleId="BodyText2">
    <w:name w:val="Body Text 2"/>
    <w:basedOn w:val="Normal"/>
    <w:link w:val="BodyText2Char"/>
    <w:rsid w:val="00143624"/>
    <w:pPr>
      <w:spacing w:after="120" w:line="480" w:lineRule="auto"/>
    </w:pPr>
  </w:style>
  <w:style w:type="character" w:customStyle="1" w:styleId="BodyText2Char">
    <w:name w:val="Body Text 2 Char"/>
    <w:basedOn w:val="DefaultParagraphFont"/>
    <w:link w:val="BodyText2"/>
    <w:rsid w:val="00143624"/>
    <w:rPr>
      <w:sz w:val="22"/>
    </w:rPr>
  </w:style>
  <w:style w:type="paragraph" w:styleId="BodyText3">
    <w:name w:val="Body Text 3"/>
    <w:basedOn w:val="Normal"/>
    <w:link w:val="BodyText3Char"/>
    <w:rsid w:val="00143624"/>
    <w:pPr>
      <w:spacing w:after="120"/>
    </w:pPr>
    <w:rPr>
      <w:sz w:val="16"/>
      <w:szCs w:val="16"/>
    </w:rPr>
  </w:style>
  <w:style w:type="character" w:customStyle="1" w:styleId="BodyText3Char">
    <w:name w:val="Body Text 3 Char"/>
    <w:basedOn w:val="DefaultParagraphFont"/>
    <w:link w:val="BodyText3"/>
    <w:rsid w:val="00143624"/>
    <w:rPr>
      <w:sz w:val="16"/>
      <w:szCs w:val="16"/>
    </w:rPr>
  </w:style>
  <w:style w:type="paragraph" w:styleId="BodyTextIndent2">
    <w:name w:val="Body Text Indent 2"/>
    <w:basedOn w:val="Normal"/>
    <w:link w:val="BodyTextIndent2Char"/>
    <w:rsid w:val="00143624"/>
    <w:pPr>
      <w:spacing w:after="120" w:line="480" w:lineRule="auto"/>
      <w:ind w:left="283"/>
    </w:pPr>
  </w:style>
  <w:style w:type="character" w:customStyle="1" w:styleId="BodyTextIndent2Char">
    <w:name w:val="Body Text Indent 2 Char"/>
    <w:basedOn w:val="DefaultParagraphFont"/>
    <w:link w:val="BodyTextIndent2"/>
    <w:rsid w:val="00143624"/>
    <w:rPr>
      <w:sz w:val="22"/>
    </w:rPr>
  </w:style>
  <w:style w:type="paragraph" w:styleId="BodyTextIndent3">
    <w:name w:val="Body Text Indent 3"/>
    <w:basedOn w:val="Normal"/>
    <w:link w:val="BodyTextIndent3Char"/>
    <w:rsid w:val="00143624"/>
    <w:pPr>
      <w:spacing w:after="120"/>
      <w:ind w:left="283"/>
    </w:pPr>
    <w:rPr>
      <w:sz w:val="16"/>
      <w:szCs w:val="16"/>
    </w:rPr>
  </w:style>
  <w:style w:type="character" w:customStyle="1" w:styleId="BodyTextIndent3Char">
    <w:name w:val="Body Text Indent 3 Char"/>
    <w:basedOn w:val="DefaultParagraphFont"/>
    <w:link w:val="BodyTextIndent3"/>
    <w:rsid w:val="00143624"/>
    <w:rPr>
      <w:sz w:val="16"/>
      <w:szCs w:val="16"/>
    </w:rPr>
  </w:style>
  <w:style w:type="paragraph" w:styleId="BlockText">
    <w:name w:val="Block Text"/>
    <w:basedOn w:val="Normal"/>
    <w:rsid w:val="00143624"/>
    <w:pPr>
      <w:spacing w:after="120"/>
      <w:ind w:left="1440" w:right="1440"/>
    </w:pPr>
  </w:style>
  <w:style w:type="character" w:styleId="Hyperlink">
    <w:name w:val="Hyperlink"/>
    <w:basedOn w:val="DefaultParagraphFont"/>
    <w:rsid w:val="00143624"/>
    <w:rPr>
      <w:color w:val="0000FF"/>
      <w:u w:val="single"/>
    </w:rPr>
  </w:style>
  <w:style w:type="character" w:styleId="FollowedHyperlink">
    <w:name w:val="FollowedHyperlink"/>
    <w:basedOn w:val="DefaultParagraphFont"/>
    <w:rsid w:val="00143624"/>
    <w:rPr>
      <w:color w:val="800080"/>
      <w:u w:val="single"/>
    </w:rPr>
  </w:style>
  <w:style w:type="character" w:styleId="Strong">
    <w:name w:val="Strong"/>
    <w:basedOn w:val="DefaultParagraphFont"/>
    <w:qFormat/>
    <w:rsid w:val="00143624"/>
    <w:rPr>
      <w:b/>
      <w:bCs/>
    </w:rPr>
  </w:style>
  <w:style w:type="character" w:styleId="Emphasis">
    <w:name w:val="Emphasis"/>
    <w:basedOn w:val="DefaultParagraphFont"/>
    <w:qFormat/>
    <w:rsid w:val="00143624"/>
    <w:rPr>
      <w:i/>
      <w:iCs/>
    </w:rPr>
  </w:style>
  <w:style w:type="paragraph" w:styleId="DocumentMap">
    <w:name w:val="Document Map"/>
    <w:basedOn w:val="Normal"/>
    <w:link w:val="DocumentMapChar"/>
    <w:rsid w:val="00143624"/>
    <w:pPr>
      <w:shd w:val="clear" w:color="auto" w:fill="000080"/>
    </w:pPr>
    <w:rPr>
      <w:rFonts w:ascii="Tahoma" w:hAnsi="Tahoma" w:cs="Tahoma"/>
    </w:rPr>
  </w:style>
  <w:style w:type="character" w:customStyle="1" w:styleId="DocumentMapChar">
    <w:name w:val="Document Map Char"/>
    <w:basedOn w:val="DefaultParagraphFont"/>
    <w:link w:val="DocumentMap"/>
    <w:rsid w:val="00143624"/>
    <w:rPr>
      <w:rFonts w:ascii="Tahoma" w:hAnsi="Tahoma" w:cs="Tahoma"/>
      <w:sz w:val="22"/>
      <w:shd w:val="clear" w:color="auto" w:fill="000080"/>
    </w:rPr>
  </w:style>
  <w:style w:type="paragraph" w:styleId="PlainText">
    <w:name w:val="Plain Text"/>
    <w:basedOn w:val="Normal"/>
    <w:link w:val="PlainTextChar"/>
    <w:rsid w:val="00143624"/>
    <w:rPr>
      <w:rFonts w:ascii="Courier New" w:hAnsi="Courier New" w:cs="Courier New"/>
      <w:sz w:val="20"/>
    </w:rPr>
  </w:style>
  <w:style w:type="character" w:customStyle="1" w:styleId="PlainTextChar">
    <w:name w:val="Plain Text Char"/>
    <w:basedOn w:val="DefaultParagraphFont"/>
    <w:link w:val="PlainText"/>
    <w:rsid w:val="00143624"/>
    <w:rPr>
      <w:rFonts w:ascii="Courier New" w:hAnsi="Courier New" w:cs="Courier New"/>
    </w:rPr>
  </w:style>
  <w:style w:type="paragraph" w:styleId="E-mailSignature">
    <w:name w:val="E-mail Signature"/>
    <w:basedOn w:val="Normal"/>
    <w:link w:val="E-mailSignatureChar"/>
    <w:rsid w:val="00143624"/>
  </w:style>
  <w:style w:type="character" w:customStyle="1" w:styleId="E-mailSignatureChar">
    <w:name w:val="E-mail Signature Char"/>
    <w:basedOn w:val="DefaultParagraphFont"/>
    <w:link w:val="E-mailSignature"/>
    <w:rsid w:val="00143624"/>
    <w:rPr>
      <w:sz w:val="22"/>
    </w:rPr>
  </w:style>
  <w:style w:type="paragraph" w:styleId="NormalWeb">
    <w:name w:val="Normal (Web)"/>
    <w:basedOn w:val="Normal"/>
    <w:rsid w:val="00143624"/>
  </w:style>
  <w:style w:type="character" w:styleId="HTMLAcronym">
    <w:name w:val="HTML Acronym"/>
    <w:basedOn w:val="DefaultParagraphFont"/>
    <w:rsid w:val="00143624"/>
  </w:style>
  <w:style w:type="paragraph" w:styleId="HTMLAddress">
    <w:name w:val="HTML Address"/>
    <w:basedOn w:val="Normal"/>
    <w:link w:val="HTMLAddressChar"/>
    <w:rsid w:val="00143624"/>
    <w:rPr>
      <w:i/>
      <w:iCs/>
    </w:rPr>
  </w:style>
  <w:style w:type="character" w:customStyle="1" w:styleId="HTMLAddressChar">
    <w:name w:val="HTML Address Char"/>
    <w:basedOn w:val="DefaultParagraphFont"/>
    <w:link w:val="HTMLAddress"/>
    <w:rsid w:val="00143624"/>
    <w:rPr>
      <w:i/>
      <w:iCs/>
      <w:sz w:val="22"/>
    </w:rPr>
  </w:style>
  <w:style w:type="character" w:styleId="HTMLCite">
    <w:name w:val="HTML Cite"/>
    <w:basedOn w:val="DefaultParagraphFont"/>
    <w:rsid w:val="00143624"/>
    <w:rPr>
      <w:i/>
      <w:iCs/>
    </w:rPr>
  </w:style>
  <w:style w:type="character" w:styleId="HTMLCode">
    <w:name w:val="HTML Code"/>
    <w:basedOn w:val="DefaultParagraphFont"/>
    <w:rsid w:val="00143624"/>
    <w:rPr>
      <w:rFonts w:ascii="Courier New" w:hAnsi="Courier New" w:cs="Courier New"/>
      <w:sz w:val="20"/>
      <w:szCs w:val="20"/>
    </w:rPr>
  </w:style>
  <w:style w:type="character" w:styleId="HTMLDefinition">
    <w:name w:val="HTML Definition"/>
    <w:basedOn w:val="DefaultParagraphFont"/>
    <w:rsid w:val="00143624"/>
    <w:rPr>
      <w:i/>
      <w:iCs/>
    </w:rPr>
  </w:style>
  <w:style w:type="character" w:styleId="HTMLKeyboard">
    <w:name w:val="HTML Keyboard"/>
    <w:basedOn w:val="DefaultParagraphFont"/>
    <w:rsid w:val="00143624"/>
    <w:rPr>
      <w:rFonts w:ascii="Courier New" w:hAnsi="Courier New" w:cs="Courier New"/>
      <w:sz w:val="20"/>
      <w:szCs w:val="20"/>
    </w:rPr>
  </w:style>
  <w:style w:type="paragraph" w:styleId="HTMLPreformatted">
    <w:name w:val="HTML Preformatted"/>
    <w:basedOn w:val="Normal"/>
    <w:link w:val="HTMLPreformattedChar"/>
    <w:rsid w:val="00143624"/>
    <w:rPr>
      <w:rFonts w:ascii="Courier New" w:hAnsi="Courier New" w:cs="Courier New"/>
      <w:sz w:val="20"/>
    </w:rPr>
  </w:style>
  <w:style w:type="character" w:customStyle="1" w:styleId="HTMLPreformattedChar">
    <w:name w:val="HTML Preformatted Char"/>
    <w:basedOn w:val="DefaultParagraphFont"/>
    <w:link w:val="HTMLPreformatted"/>
    <w:rsid w:val="00143624"/>
    <w:rPr>
      <w:rFonts w:ascii="Courier New" w:hAnsi="Courier New" w:cs="Courier New"/>
    </w:rPr>
  </w:style>
  <w:style w:type="character" w:styleId="HTMLSample">
    <w:name w:val="HTML Sample"/>
    <w:basedOn w:val="DefaultParagraphFont"/>
    <w:rsid w:val="00143624"/>
    <w:rPr>
      <w:rFonts w:ascii="Courier New" w:hAnsi="Courier New" w:cs="Courier New"/>
    </w:rPr>
  </w:style>
  <w:style w:type="character" w:styleId="HTMLTypewriter">
    <w:name w:val="HTML Typewriter"/>
    <w:basedOn w:val="DefaultParagraphFont"/>
    <w:rsid w:val="00143624"/>
    <w:rPr>
      <w:rFonts w:ascii="Courier New" w:hAnsi="Courier New" w:cs="Courier New"/>
      <w:sz w:val="20"/>
      <w:szCs w:val="20"/>
    </w:rPr>
  </w:style>
  <w:style w:type="character" w:styleId="HTMLVariable">
    <w:name w:val="HTML Variable"/>
    <w:basedOn w:val="DefaultParagraphFont"/>
    <w:rsid w:val="00143624"/>
    <w:rPr>
      <w:i/>
      <w:iCs/>
    </w:rPr>
  </w:style>
  <w:style w:type="paragraph" w:styleId="CommentSubject">
    <w:name w:val="annotation subject"/>
    <w:basedOn w:val="CommentText"/>
    <w:next w:val="CommentText"/>
    <w:link w:val="CommentSubjectChar"/>
    <w:rsid w:val="00143624"/>
    <w:rPr>
      <w:b/>
      <w:bCs/>
    </w:rPr>
  </w:style>
  <w:style w:type="character" w:customStyle="1" w:styleId="CommentSubjectChar">
    <w:name w:val="Comment Subject Char"/>
    <w:basedOn w:val="CommentTextChar"/>
    <w:link w:val="CommentSubject"/>
    <w:rsid w:val="00143624"/>
    <w:rPr>
      <w:b/>
      <w:bCs/>
    </w:rPr>
  </w:style>
  <w:style w:type="numbering" w:styleId="1ai">
    <w:name w:val="Outline List 1"/>
    <w:basedOn w:val="NoList"/>
    <w:rsid w:val="00143624"/>
    <w:pPr>
      <w:numPr>
        <w:numId w:val="14"/>
      </w:numPr>
    </w:pPr>
  </w:style>
  <w:style w:type="numbering" w:styleId="111111">
    <w:name w:val="Outline List 2"/>
    <w:basedOn w:val="NoList"/>
    <w:rsid w:val="00143624"/>
    <w:pPr>
      <w:numPr>
        <w:numId w:val="15"/>
      </w:numPr>
    </w:pPr>
  </w:style>
  <w:style w:type="numbering" w:styleId="ArticleSection">
    <w:name w:val="Outline List 3"/>
    <w:basedOn w:val="NoList"/>
    <w:rsid w:val="00143624"/>
    <w:pPr>
      <w:numPr>
        <w:numId w:val="17"/>
      </w:numPr>
    </w:pPr>
  </w:style>
  <w:style w:type="table" w:styleId="TableSimple1">
    <w:name w:val="Table Simple 1"/>
    <w:basedOn w:val="TableNormal"/>
    <w:rsid w:val="0014362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4362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436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36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4362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4362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4362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4362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4362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4362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4362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4362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4362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4362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436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4362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4362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4362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4362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4362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4362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4362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4362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436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436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4362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436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4362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4362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4362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4362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4362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436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4362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362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4362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4362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4362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4362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43624"/>
    <w:rPr>
      <w:rFonts w:eastAsia="Times New Roman" w:cs="Times New Roman"/>
      <w:b/>
      <w:kern w:val="28"/>
      <w:sz w:val="24"/>
      <w:lang w:eastAsia="en-AU"/>
    </w:rPr>
  </w:style>
  <w:style w:type="paragraph" w:customStyle="1" w:styleId="ETAsubitem">
    <w:name w:val="ETA(subitem)"/>
    <w:basedOn w:val="OPCParaBase"/>
    <w:rsid w:val="00143624"/>
    <w:pPr>
      <w:tabs>
        <w:tab w:val="right" w:pos="340"/>
      </w:tabs>
      <w:spacing w:before="60" w:line="240" w:lineRule="auto"/>
      <w:ind w:left="454" w:hanging="454"/>
    </w:pPr>
    <w:rPr>
      <w:sz w:val="20"/>
    </w:rPr>
  </w:style>
  <w:style w:type="paragraph" w:customStyle="1" w:styleId="ETApara">
    <w:name w:val="ETA(para)"/>
    <w:basedOn w:val="OPCParaBase"/>
    <w:rsid w:val="00143624"/>
    <w:pPr>
      <w:tabs>
        <w:tab w:val="right" w:pos="754"/>
      </w:tabs>
      <w:spacing w:before="60" w:line="240" w:lineRule="auto"/>
      <w:ind w:left="828" w:hanging="828"/>
    </w:pPr>
    <w:rPr>
      <w:sz w:val="20"/>
    </w:rPr>
  </w:style>
  <w:style w:type="paragraph" w:customStyle="1" w:styleId="ETAsubpara">
    <w:name w:val="ETA(subpara)"/>
    <w:basedOn w:val="OPCParaBase"/>
    <w:rsid w:val="00143624"/>
    <w:pPr>
      <w:tabs>
        <w:tab w:val="right" w:pos="1083"/>
      </w:tabs>
      <w:spacing w:before="60" w:line="240" w:lineRule="auto"/>
      <w:ind w:left="1191" w:hanging="1191"/>
    </w:pPr>
    <w:rPr>
      <w:sz w:val="20"/>
    </w:rPr>
  </w:style>
  <w:style w:type="paragraph" w:customStyle="1" w:styleId="ETAsub-subpara">
    <w:name w:val="ETA(sub-subpara)"/>
    <w:basedOn w:val="OPCParaBase"/>
    <w:rsid w:val="0014362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43624"/>
  </w:style>
  <w:style w:type="numbering" w:customStyle="1" w:styleId="OPCBodyList">
    <w:name w:val="OPCBodyList"/>
    <w:uiPriority w:val="99"/>
    <w:rsid w:val="0001201E"/>
    <w:pPr>
      <w:numPr>
        <w:numId w:val="29"/>
      </w:numPr>
    </w:pPr>
  </w:style>
  <w:style w:type="character" w:customStyle="1" w:styleId="OPCParaBaseChar">
    <w:name w:val="OPCParaBase Char"/>
    <w:link w:val="OPCParaBase"/>
    <w:rsid w:val="0001201E"/>
    <w:rPr>
      <w:rFonts w:eastAsia="Times New Roman" w:cs="Times New Roman"/>
      <w:sz w:val="22"/>
      <w:lang w:eastAsia="en-AU"/>
    </w:rPr>
  </w:style>
  <w:style w:type="paragraph" w:styleId="Revision">
    <w:name w:val="Revision"/>
    <w:hidden/>
    <w:uiPriority w:val="99"/>
    <w:semiHidden/>
    <w:rsid w:val="0001201E"/>
    <w:rPr>
      <w:rFonts w:eastAsia="Calibri" w:cs="Times New Roman"/>
      <w:sz w:val="22"/>
    </w:rPr>
  </w:style>
  <w:style w:type="character" w:customStyle="1" w:styleId="TableHeadingChar">
    <w:name w:val="TableHeading Char"/>
    <w:aliases w:val="th Char"/>
    <w:link w:val="TableHeading"/>
    <w:rsid w:val="0001201E"/>
    <w:rPr>
      <w:rFonts w:eastAsia="Times New Roman" w:cs="Times New Roman"/>
      <w:b/>
      <w:lang w:eastAsia="en-AU"/>
    </w:rPr>
  </w:style>
  <w:style w:type="character" w:customStyle="1" w:styleId="paragraphChar">
    <w:name w:val="paragraph Char"/>
    <w:aliases w:val="a Char"/>
    <w:link w:val="paragraph"/>
    <w:rsid w:val="0001201E"/>
    <w:rPr>
      <w:rFonts w:eastAsia="Times New Roman" w:cs="Times New Roman"/>
      <w:sz w:val="22"/>
      <w:lang w:eastAsia="en-AU"/>
    </w:rPr>
  </w:style>
  <w:style w:type="paragraph" w:styleId="NoteHeading">
    <w:name w:val="Note Heading"/>
    <w:basedOn w:val="Normal"/>
    <w:next w:val="Normal"/>
    <w:link w:val="NoteHeadingChar"/>
    <w:uiPriority w:val="99"/>
    <w:semiHidden/>
    <w:unhideWhenUsed/>
    <w:rsid w:val="0001201E"/>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01201E"/>
    <w:rPr>
      <w:rFonts w:eastAsia="Calibri" w:cs="Times New Roman"/>
      <w:sz w:val="22"/>
    </w:rPr>
  </w:style>
  <w:style w:type="paragraph" w:styleId="ListParagraph">
    <w:name w:val="List Paragraph"/>
    <w:basedOn w:val="Normal"/>
    <w:uiPriority w:val="34"/>
    <w:qFormat/>
    <w:rsid w:val="0006233F"/>
    <w:pPr>
      <w:spacing w:line="240" w:lineRule="auto"/>
      <w:ind w:left="720"/>
    </w:pPr>
    <w:rPr>
      <w:rFonts w:ascii="Calibri" w:eastAsia="Times New Roman" w:hAnsi="Calibri" w:cs="Times New Roman"/>
      <w:sz w:val="20"/>
      <w:lang w:eastAsia="en-AU"/>
    </w:rPr>
  </w:style>
  <w:style w:type="character" w:customStyle="1" w:styleId="TabletextChar">
    <w:name w:val="Tabletext Char"/>
    <w:aliases w:val="tt Char"/>
    <w:basedOn w:val="DefaultParagraphFont"/>
    <w:link w:val="Tabletext"/>
    <w:rsid w:val="005B63A2"/>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2758">
      <w:bodyDiv w:val="1"/>
      <w:marLeft w:val="0"/>
      <w:marRight w:val="0"/>
      <w:marTop w:val="0"/>
      <w:marBottom w:val="0"/>
      <w:divBdr>
        <w:top w:val="none" w:sz="0" w:space="0" w:color="auto"/>
        <w:left w:val="none" w:sz="0" w:space="0" w:color="auto"/>
        <w:bottom w:val="none" w:sz="0" w:space="0" w:color="auto"/>
        <w:right w:val="none" w:sz="0" w:space="0" w:color="auto"/>
      </w:divBdr>
    </w:div>
    <w:div w:id="15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4493403">
          <w:marLeft w:val="0"/>
          <w:marRight w:val="0"/>
          <w:marTop w:val="0"/>
          <w:marBottom w:val="0"/>
          <w:divBdr>
            <w:top w:val="none" w:sz="0" w:space="0" w:color="auto"/>
            <w:left w:val="none" w:sz="0" w:space="0" w:color="auto"/>
            <w:bottom w:val="none" w:sz="0" w:space="0" w:color="auto"/>
            <w:right w:val="none" w:sz="0" w:space="0" w:color="auto"/>
          </w:divBdr>
          <w:divsChild>
            <w:div w:id="321616688">
              <w:marLeft w:val="0"/>
              <w:marRight w:val="0"/>
              <w:marTop w:val="0"/>
              <w:marBottom w:val="0"/>
              <w:divBdr>
                <w:top w:val="none" w:sz="0" w:space="0" w:color="auto"/>
                <w:left w:val="none" w:sz="0" w:space="0" w:color="auto"/>
                <w:bottom w:val="none" w:sz="0" w:space="0" w:color="auto"/>
                <w:right w:val="none" w:sz="0" w:space="0" w:color="auto"/>
              </w:divBdr>
              <w:divsChild>
                <w:div w:id="438108384">
                  <w:marLeft w:val="0"/>
                  <w:marRight w:val="0"/>
                  <w:marTop w:val="0"/>
                  <w:marBottom w:val="0"/>
                  <w:divBdr>
                    <w:top w:val="none" w:sz="0" w:space="0" w:color="auto"/>
                    <w:left w:val="none" w:sz="0" w:space="0" w:color="auto"/>
                    <w:bottom w:val="none" w:sz="0" w:space="0" w:color="auto"/>
                    <w:right w:val="none" w:sz="0" w:space="0" w:color="auto"/>
                  </w:divBdr>
                  <w:divsChild>
                    <w:div w:id="473374573">
                      <w:marLeft w:val="0"/>
                      <w:marRight w:val="0"/>
                      <w:marTop w:val="0"/>
                      <w:marBottom w:val="0"/>
                      <w:divBdr>
                        <w:top w:val="none" w:sz="0" w:space="0" w:color="auto"/>
                        <w:left w:val="none" w:sz="0" w:space="0" w:color="auto"/>
                        <w:bottom w:val="none" w:sz="0" w:space="0" w:color="auto"/>
                        <w:right w:val="none" w:sz="0" w:space="0" w:color="auto"/>
                      </w:divBdr>
                      <w:divsChild>
                        <w:div w:id="382602091">
                          <w:marLeft w:val="0"/>
                          <w:marRight w:val="0"/>
                          <w:marTop w:val="0"/>
                          <w:marBottom w:val="0"/>
                          <w:divBdr>
                            <w:top w:val="none" w:sz="0" w:space="0" w:color="auto"/>
                            <w:left w:val="none" w:sz="0" w:space="0" w:color="auto"/>
                            <w:bottom w:val="none" w:sz="0" w:space="0" w:color="auto"/>
                            <w:right w:val="none" w:sz="0" w:space="0" w:color="auto"/>
                          </w:divBdr>
                          <w:divsChild>
                            <w:div w:id="114177015">
                              <w:marLeft w:val="0"/>
                              <w:marRight w:val="0"/>
                              <w:marTop w:val="0"/>
                              <w:marBottom w:val="0"/>
                              <w:divBdr>
                                <w:top w:val="none" w:sz="0" w:space="0" w:color="auto"/>
                                <w:left w:val="none" w:sz="0" w:space="0" w:color="auto"/>
                                <w:bottom w:val="none" w:sz="0" w:space="0" w:color="auto"/>
                                <w:right w:val="none" w:sz="0" w:space="0" w:color="auto"/>
                              </w:divBdr>
                              <w:divsChild>
                                <w:div w:id="1720588617">
                                  <w:marLeft w:val="0"/>
                                  <w:marRight w:val="0"/>
                                  <w:marTop w:val="0"/>
                                  <w:marBottom w:val="0"/>
                                  <w:divBdr>
                                    <w:top w:val="none" w:sz="0" w:space="0" w:color="auto"/>
                                    <w:left w:val="none" w:sz="0" w:space="0" w:color="auto"/>
                                    <w:bottom w:val="none" w:sz="0" w:space="0" w:color="auto"/>
                                    <w:right w:val="none" w:sz="0" w:space="0" w:color="auto"/>
                                  </w:divBdr>
                                  <w:divsChild>
                                    <w:div w:id="15928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499552">
      <w:bodyDiv w:val="1"/>
      <w:marLeft w:val="0"/>
      <w:marRight w:val="0"/>
      <w:marTop w:val="0"/>
      <w:marBottom w:val="0"/>
      <w:divBdr>
        <w:top w:val="none" w:sz="0" w:space="0" w:color="auto"/>
        <w:left w:val="none" w:sz="0" w:space="0" w:color="auto"/>
        <w:bottom w:val="none" w:sz="0" w:space="0" w:color="auto"/>
        <w:right w:val="none" w:sz="0" w:space="0" w:color="auto"/>
      </w:divBdr>
    </w:div>
    <w:div w:id="1588608718">
      <w:bodyDiv w:val="1"/>
      <w:marLeft w:val="0"/>
      <w:marRight w:val="0"/>
      <w:marTop w:val="0"/>
      <w:marBottom w:val="0"/>
      <w:divBdr>
        <w:top w:val="none" w:sz="0" w:space="0" w:color="auto"/>
        <w:left w:val="none" w:sz="0" w:space="0" w:color="auto"/>
        <w:bottom w:val="none" w:sz="0" w:space="0" w:color="auto"/>
        <w:right w:val="none" w:sz="0" w:space="0" w:color="auto"/>
      </w:divBdr>
    </w:div>
    <w:div w:id="1665236722">
      <w:bodyDiv w:val="1"/>
      <w:marLeft w:val="0"/>
      <w:marRight w:val="0"/>
      <w:marTop w:val="0"/>
      <w:marBottom w:val="0"/>
      <w:divBdr>
        <w:top w:val="none" w:sz="0" w:space="0" w:color="auto"/>
        <w:left w:val="none" w:sz="0" w:space="0" w:color="auto"/>
        <w:bottom w:val="none" w:sz="0" w:space="0" w:color="auto"/>
        <w:right w:val="none" w:sz="0" w:space="0" w:color="auto"/>
      </w:divBdr>
    </w:div>
    <w:div w:id="17673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image" Target="media/image11.wmf"/><Relationship Id="rId42"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image" Target="media/image10.wmf"/><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footer" Target="footer7.xm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8.wmf"/><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footer" Target="footer6.xml"/><Relationship Id="rId30" Type="http://schemas.openxmlformats.org/officeDocument/2006/relationships/image" Target="media/image7.wmf"/><Relationship Id="rId35" Type="http://schemas.openxmlformats.org/officeDocument/2006/relationships/header" Target="header9.xml"/><Relationship Id="rId43"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472B-B4E1-4BCD-8F13-C800D999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140</Pages>
  <Words>43018</Words>
  <Characters>213373</Characters>
  <Application>Microsoft Office Word</Application>
  <DocSecurity>0</DocSecurity>
  <PresentationFormat/>
  <Lines>17781</Lines>
  <Paragraphs>7769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2018-11-20T01:05:00Z</cp:lastPrinted>
  <dcterms:created xsi:type="dcterms:W3CDTF">2021-03-03T02:33:00Z</dcterms:created>
  <dcterms:modified xsi:type="dcterms:W3CDTF">2021-03-03T02:47:00Z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Income Tax Assessment (1997 Act) Regulations 2021</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02 March 2021</vt:lpwstr>
  </property>
  <property fmtid="{D5CDD505-2E9C-101B-9397-08002B2CF9AE}" pid="10" name="Authority">
    <vt:lpwstr>Unk</vt:lpwstr>
  </property>
  <property fmtid="{D5CDD505-2E9C-101B-9397-08002B2CF9AE}" pid="11" name="ID">
    <vt:lpwstr>OPC63552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02 March 2021</vt:lpwstr>
  </property>
</Properties>
</file>