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6491" w14:textId="3D312830" w:rsidR="008B40B0" w:rsidRPr="00543073" w:rsidRDefault="004D2843" w:rsidP="004D2843">
      <w:pPr>
        <w:jc w:val="center"/>
        <w:rPr>
          <w:rFonts w:ascii="Times New Roman" w:hAnsi="Times New Roman" w:cs="Times New Roman"/>
          <w:b/>
          <w:sz w:val="28"/>
          <w:szCs w:val="28"/>
        </w:rPr>
      </w:pPr>
      <w:bookmarkStart w:id="0" w:name="_GoBack"/>
      <w:bookmarkEnd w:id="0"/>
      <w:r w:rsidRPr="00543073">
        <w:rPr>
          <w:rFonts w:ascii="Times New Roman" w:hAnsi="Times New Roman" w:cs="Times New Roman"/>
          <w:b/>
          <w:sz w:val="28"/>
          <w:szCs w:val="28"/>
        </w:rPr>
        <w:t>EXPLANATORY STATEMENT</w:t>
      </w:r>
    </w:p>
    <w:p w14:paraId="4CF9F63A" w14:textId="37AA0BDC" w:rsidR="004D2843" w:rsidRPr="00543073" w:rsidRDefault="00E94E57" w:rsidP="004D2843">
      <w:pPr>
        <w:jc w:val="center"/>
        <w:rPr>
          <w:rFonts w:ascii="Times New Roman" w:hAnsi="Times New Roman" w:cs="Times New Roman"/>
        </w:rPr>
      </w:pPr>
      <w:r w:rsidRPr="00543073">
        <w:rPr>
          <w:rFonts w:ascii="Times New Roman" w:hAnsi="Times New Roman" w:cs="Times New Roman"/>
        </w:rPr>
        <w:t xml:space="preserve">Approved </w:t>
      </w:r>
      <w:r w:rsidR="004D2843" w:rsidRPr="00543073">
        <w:rPr>
          <w:rFonts w:ascii="Times New Roman" w:hAnsi="Times New Roman" w:cs="Times New Roman"/>
        </w:rPr>
        <w:t xml:space="preserve">by the </w:t>
      </w:r>
      <w:r w:rsidR="0082184A" w:rsidRPr="00543073">
        <w:rPr>
          <w:rFonts w:ascii="Times New Roman" w:hAnsi="Times New Roman" w:cs="Times New Roman"/>
        </w:rPr>
        <w:t>Australian Competition and Consumer Commission</w:t>
      </w:r>
    </w:p>
    <w:p w14:paraId="2C67E9F6" w14:textId="77777777" w:rsidR="004D2843" w:rsidRPr="00543073" w:rsidRDefault="0082184A" w:rsidP="004D2843">
      <w:pPr>
        <w:jc w:val="center"/>
        <w:rPr>
          <w:rFonts w:ascii="Times New Roman" w:hAnsi="Times New Roman" w:cs="Times New Roman"/>
          <w:i/>
        </w:rPr>
      </w:pPr>
      <w:r w:rsidRPr="00543073">
        <w:rPr>
          <w:rFonts w:ascii="Times New Roman" w:hAnsi="Times New Roman" w:cs="Times New Roman"/>
          <w:i/>
        </w:rPr>
        <w:t>Telecommunications Act 1997</w:t>
      </w:r>
    </w:p>
    <w:p w14:paraId="29874282" w14:textId="6B96D999" w:rsidR="0082184A" w:rsidRPr="00543073" w:rsidRDefault="00724E33" w:rsidP="00724E33">
      <w:pPr>
        <w:spacing w:before="280"/>
        <w:jc w:val="center"/>
        <w:rPr>
          <w:rFonts w:ascii="Times New Roman" w:hAnsi="Times New Roman" w:cs="Times New Roman"/>
          <w:b/>
          <w:i/>
        </w:rPr>
      </w:pPr>
      <w:r w:rsidRPr="00724E33">
        <w:rPr>
          <w:rFonts w:ascii="Times New Roman" w:hAnsi="Times New Roman" w:cs="Times New Roman"/>
          <w:b/>
          <w:i/>
        </w:rPr>
        <w:t>Telecommunications (Deemed Functional Separation Undertaking) Amendment Determination 2021 (No. 1)</w:t>
      </w:r>
    </w:p>
    <w:p w14:paraId="405C050E" w14:textId="77777777" w:rsidR="00926EBA" w:rsidRPr="00543073" w:rsidRDefault="00926EBA" w:rsidP="00926EBA">
      <w:pPr>
        <w:spacing w:before="280"/>
        <w:rPr>
          <w:rFonts w:ascii="Times New Roman" w:hAnsi="Times New Roman" w:cs="Times New Roman"/>
          <w:b/>
        </w:rPr>
      </w:pPr>
      <w:r w:rsidRPr="00543073">
        <w:rPr>
          <w:rFonts w:ascii="Times New Roman" w:hAnsi="Times New Roman" w:cs="Times New Roman"/>
          <w:b/>
        </w:rPr>
        <w:t>Authority</w:t>
      </w:r>
    </w:p>
    <w:p w14:paraId="253AD0BD" w14:textId="6B885353" w:rsidR="00926EBA" w:rsidRPr="00543073" w:rsidRDefault="00926EBA" w:rsidP="00926EBA">
      <w:pPr>
        <w:rPr>
          <w:rFonts w:ascii="Times New Roman" w:hAnsi="Times New Roman" w:cs="Times New Roman"/>
        </w:rPr>
      </w:pPr>
      <w:r w:rsidRPr="00543073">
        <w:rPr>
          <w:rFonts w:ascii="Times New Roman" w:hAnsi="Times New Roman" w:cs="Times New Roman"/>
        </w:rPr>
        <w:t>The Australian Competition and Consumer Commission (</w:t>
      </w:r>
      <w:r w:rsidRPr="00543073">
        <w:rPr>
          <w:rFonts w:ascii="Times New Roman" w:hAnsi="Times New Roman" w:cs="Times New Roman"/>
          <w:b/>
        </w:rPr>
        <w:t>the ACCC</w:t>
      </w:r>
      <w:r w:rsidRPr="00543073">
        <w:rPr>
          <w:rFonts w:ascii="Times New Roman" w:hAnsi="Times New Roman" w:cs="Times New Roman"/>
        </w:rPr>
        <w:t xml:space="preserve">) has made the </w:t>
      </w:r>
      <w:r w:rsidR="00724E33" w:rsidRPr="00724E33">
        <w:rPr>
          <w:rFonts w:ascii="Times New Roman" w:hAnsi="Times New Roman" w:cs="Times New Roman"/>
          <w:i/>
        </w:rPr>
        <w:t xml:space="preserve">Telecommunications (Deemed Functional Separation Undertaking) Amendment Determination 2021 (No. 1) </w:t>
      </w:r>
      <w:r w:rsidRPr="00543073">
        <w:rPr>
          <w:rFonts w:ascii="Times New Roman" w:hAnsi="Times New Roman" w:cs="Times New Roman"/>
        </w:rPr>
        <w:t>(</w:t>
      </w:r>
      <w:r w:rsidRPr="00543073">
        <w:rPr>
          <w:rFonts w:ascii="Times New Roman" w:hAnsi="Times New Roman" w:cs="Times New Roman"/>
          <w:b/>
        </w:rPr>
        <w:t>the Instrument</w:t>
      </w:r>
      <w:r w:rsidRPr="00543073">
        <w:rPr>
          <w:rFonts w:ascii="Times New Roman" w:hAnsi="Times New Roman" w:cs="Times New Roman"/>
        </w:rPr>
        <w:t xml:space="preserve">) under subsection 151A(13) of the </w:t>
      </w:r>
      <w:r w:rsidRPr="00543073">
        <w:rPr>
          <w:rFonts w:ascii="Times New Roman" w:hAnsi="Times New Roman" w:cs="Times New Roman"/>
          <w:i/>
        </w:rPr>
        <w:t>Telecommunications Act 1997</w:t>
      </w:r>
      <w:r w:rsidRPr="00543073">
        <w:rPr>
          <w:rFonts w:ascii="Times New Roman" w:hAnsi="Times New Roman" w:cs="Times New Roman"/>
        </w:rPr>
        <w:t xml:space="preserve"> (</w:t>
      </w:r>
      <w:r w:rsidRPr="00543073">
        <w:rPr>
          <w:rFonts w:ascii="Times New Roman" w:hAnsi="Times New Roman" w:cs="Times New Roman"/>
          <w:b/>
        </w:rPr>
        <w:t>the Telecommunications Act</w:t>
      </w:r>
      <w:r w:rsidRPr="00543073">
        <w:rPr>
          <w:rFonts w:ascii="Times New Roman" w:hAnsi="Times New Roman" w:cs="Times New Roman"/>
        </w:rPr>
        <w:t>)</w:t>
      </w:r>
      <w:r w:rsidR="00724E33">
        <w:rPr>
          <w:rFonts w:ascii="Times New Roman" w:hAnsi="Times New Roman" w:cs="Times New Roman"/>
        </w:rPr>
        <w:t xml:space="preserve"> and in accordance with subsection 33(3) of the </w:t>
      </w:r>
      <w:r w:rsidR="00724E33">
        <w:rPr>
          <w:rFonts w:ascii="Times New Roman" w:hAnsi="Times New Roman" w:cs="Times New Roman"/>
          <w:i/>
          <w:iCs/>
        </w:rPr>
        <w:t>Acts Interpretation Act 1901</w:t>
      </w:r>
      <w:r w:rsidR="00724E33">
        <w:rPr>
          <w:rFonts w:ascii="Times New Roman" w:hAnsi="Times New Roman" w:cs="Times New Roman"/>
        </w:rPr>
        <w:t xml:space="preserve"> (</w:t>
      </w:r>
      <w:r w:rsidR="00724E33">
        <w:rPr>
          <w:rFonts w:ascii="Times New Roman" w:hAnsi="Times New Roman" w:cs="Times New Roman"/>
          <w:b/>
          <w:bCs/>
        </w:rPr>
        <w:t>the AIA</w:t>
      </w:r>
      <w:r w:rsidR="00724E33">
        <w:rPr>
          <w:rFonts w:ascii="Times New Roman" w:hAnsi="Times New Roman" w:cs="Times New Roman"/>
        </w:rPr>
        <w:t>).</w:t>
      </w:r>
    </w:p>
    <w:p w14:paraId="6B7A1642" w14:textId="2831451D" w:rsidR="00926EBA" w:rsidRDefault="00926EBA" w:rsidP="00926EBA">
      <w:pPr>
        <w:rPr>
          <w:rFonts w:ascii="Times New Roman" w:hAnsi="Times New Roman" w:cs="Times New Roman"/>
        </w:rPr>
      </w:pPr>
      <w:r w:rsidRPr="00543073">
        <w:rPr>
          <w:rFonts w:ascii="Times New Roman" w:hAnsi="Times New Roman" w:cs="Times New Roman"/>
        </w:rPr>
        <w:t>Subsection 151A(13) of the Telecommunications Act empowers the ACCC to determine</w:t>
      </w:r>
      <w:r w:rsidR="0051073F">
        <w:rPr>
          <w:rFonts w:ascii="Times New Roman" w:hAnsi="Times New Roman" w:cs="Times New Roman"/>
        </w:rPr>
        <w:t>,</w:t>
      </w:r>
      <w:r w:rsidRPr="00543073">
        <w:rPr>
          <w:rFonts w:ascii="Times New Roman" w:hAnsi="Times New Roman" w:cs="Times New Roman"/>
        </w:rPr>
        <w:t xml:space="preserve"> by legislative instrument</w:t>
      </w:r>
      <w:r w:rsidR="0051073F">
        <w:rPr>
          <w:rFonts w:ascii="Times New Roman" w:hAnsi="Times New Roman" w:cs="Times New Roman"/>
        </w:rPr>
        <w:t>,</w:t>
      </w:r>
      <w:r w:rsidRPr="00543073">
        <w:rPr>
          <w:rFonts w:ascii="Times New Roman" w:hAnsi="Times New Roman" w:cs="Times New Roman"/>
        </w:rPr>
        <w:t xml:space="preserve"> one or more kinds of information </w:t>
      </w:r>
      <w:r w:rsidR="006E68F0">
        <w:rPr>
          <w:rFonts w:ascii="Times New Roman" w:hAnsi="Times New Roman" w:cs="Times New Roman"/>
        </w:rPr>
        <w:t>provided</w:t>
      </w:r>
      <w:r w:rsidR="006E68F0" w:rsidRPr="00543073">
        <w:rPr>
          <w:rFonts w:ascii="Times New Roman" w:hAnsi="Times New Roman" w:cs="Times New Roman"/>
        </w:rPr>
        <w:t xml:space="preserve"> </w:t>
      </w:r>
      <w:r w:rsidR="00B77908" w:rsidRPr="00543073">
        <w:rPr>
          <w:rFonts w:ascii="Times New Roman" w:hAnsi="Times New Roman" w:cs="Times New Roman"/>
        </w:rPr>
        <w:t xml:space="preserve">by carriers and carriage service providers to a corporation’s retail business unit that may be disclosed to its wholesale business unit </w:t>
      </w:r>
      <w:r w:rsidRPr="00543073">
        <w:rPr>
          <w:rFonts w:ascii="Times New Roman" w:hAnsi="Times New Roman" w:cs="Times New Roman"/>
        </w:rPr>
        <w:t xml:space="preserve">for the purposes of paragraphs 151A(2)(j) and (k) of the Telecommunications Act. </w:t>
      </w:r>
    </w:p>
    <w:p w14:paraId="623D0AB9" w14:textId="4FA4EACA" w:rsidR="00724E33" w:rsidRPr="00543073" w:rsidRDefault="00724E33" w:rsidP="00926EBA">
      <w:pPr>
        <w:rPr>
          <w:rFonts w:ascii="Times New Roman" w:hAnsi="Times New Roman" w:cs="Times New Roman"/>
        </w:rPr>
      </w:pPr>
      <w:r>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45B4C9E7" w14:textId="77777777" w:rsidR="00926EBA" w:rsidRPr="00543073" w:rsidRDefault="00926EBA" w:rsidP="00926EBA">
      <w:pPr>
        <w:rPr>
          <w:rFonts w:ascii="Times New Roman" w:hAnsi="Times New Roman" w:cs="Times New Roman"/>
          <w:b/>
        </w:rPr>
      </w:pPr>
      <w:r w:rsidRPr="00543073">
        <w:rPr>
          <w:rFonts w:ascii="Times New Roman" w:hAnsi="Times New Roman" w:cs="Times New Roman"/>
          <w:b/>
        </w:rPr>
        <w:t>Purpose and operation of the Instrument</w:t>
      </w:r>
    </w:p>
    <w:p w14:paraId="43B27A5C" w14:textId="2FEDAC44" w:rsidR="00926EBA" w:rsidRPr="00543073" w:rsidRDefault="00926EBA" w:rsidP="00926EBA">
      <w:pPr>
        <w:rPr>
          <w:rFonts w:ascii="Times New Roman" w:hAnsi="Times New Roman" w:cs="Times New Roman"/>
        </w:rPr>
      </w:pPr>
      <w:r w:rsidRPr="00543073">
        <w:rPr>
          <w:rFonts w:ascii="Times New Roman" w:hAnsi="Times New Roman" w:cs="Times New Roman"/>
        </w:rPr>
        <w:t xml:space="preserve">On 14 May 2020, the Parliament passed the </w:t>
      </w:r>
      <w:r w:rsidRPr="00543073">
        <w:rPr>
          <w:rFonts w:ascii="Times New Roman" w:hAnsi="Times New Roman" w:cs="Times New Roman"/>
          <w:i/>
        </w:rPr>
        <w:t>Telecommunications Legislation Amendment (Competition and Consumer) Act 2020</w:t>
      </w:r>
      <w:r w:rsidRPr="00543073">
        <w:rPr>
          <w:rFonts w:ascii="Times New Roman" w:hAnsi="Times New Roman" w:cs="Times New Roman"/>
        </w:rPr>
        <w:t>.</w:t>
      </w:r>
      <w:r w:rsidRPr="00543073">
        <w:rPr>
          <w:rFonts w:ascii="Times New Roman" w:hAnsi="Times New Roman" w:cs="Times New Roman"/>
          <w:i/>
        </w:rPr>
        <w:t xml:space="preserve"> </w:t>
      </w:r>
      <w:r w:rsidRPr="00543073">
        <w:rPr>
          <w:rFonts w:ascii="Times New Roman" w:hAnsi="Times New Roman" w:cs="Times New Roman"/>
        </w:rPr>
        <w:t xml:space="preserve">This Act </w:t>
      </w:r>
      <w:r w:rsidR="0051073F" w:rsidRPr="00543073">
        <w:rPr>
          <w:rFonts w:ascii="Times New Roman" w:hAnsi="Times New Roman" w:cs="Times New Roman"/>
        </w:rPr>
        <w:t>amend</w:t>
      </w:r>
      <w:r w:rsidR="0051073F">
        <w:rPr>
          <w:rFonts w:ascii="Times New Roman" w:hAnsi="Times New Roman" w:cs="Times New Roman"/>
        </w:rPr>
        <w:t>ed</w:t>
      </w:r>
      <w:r w:rsidR="0051073F" w:rsidRPr="00543073">
        <w:rPr>
          <w:rFonts w:ascii="Times New Roman" w:hAnsi="Times New Roman" w:cs="Times New Roman"/>
        </w:rPr>
        <w:t xml:space="preserve"> </w:t>
      </w:r>
      <w:r w:rsidRPr="00543073">
        <w:rPr>
          <w:rFonts w:ascii="Times New Roman" w:hAnsi="Times New Roman" w:cs="Times New Roman"/>
        </w:rPr>
        <w:t>the Telecommunications Act</w:t>
      </w:r>
      <w:r w:rsidR="007D69B7">
        <w:rPr>
          <w:rFonts w:ascii="Times New Roman" w:hAnsi="Times New Roman" w:cs="Times New Roman"/>
        </w:rPr>
        <w:t xml:space="preserve"> including by giving</w:t>
      </w:r>
      <w:r w:rsidR="003122DA" w:rsidRPr="00543073">
        <w:rPr>
          <w:rFonts w:ascii="Times New Roman" w:hAnsi="Times New Roman" w:cs="Times New Roman"/>
        </w:rPr>
        <w:t xml:space="preserve"> </w:t>
      </w:r>
      <w:r w:rsidRPr="00543073">
        <w:rPr>
          <w:rFonts w:ascii="Times New Roman" w:hAnsi="Times New Roman" w:cs="Times New Roman"/>
        </w:rPr>
        <w:t xml:space="preserve">superfast fixed line network operators the option of operating on a functionally separated basis, rather than a structurally separated basis as had been </w:t>
      </w:r>
      <w:r w:rsidR="0051073F">
        <w:rPr>
          <w:rFonts w:ascii="Times New Roman" w:hAnsi="Times New Roman" w:cs="Times New Roman"/>
        </w:rPr>
        <w:t xml:space="preserve">previously </w:t>
      </w:r>
      <w:r w:rsidRPr="00543073">
        <w:rPr>
          <w:rFonts w:ascii="Times New Roman" w:hAnsi="Times New Roman" w:cs="Times New Roman"/>
        </w:rPr>
        <w:t xml:space="preserve">required. This can be by way of an eligible network operator electing to be bound by a deemed functional separation undertaking or the network operator lodging a </w:t>
      </w:r>
      <w:r w:rsidR="000E173F">
        <w:rPr>
          <w:rFonts w:ascii="Times New Roman" w:hAnsi="Times New Roman" w:cs="Times New Roman"/>
        </w:rPr>
        <w:t>standard</w:t>
      </w:r>
      <w:r w:rsidR="003614B8">
        <w:rPr>
          <w:rFonts w:ascii="Times New Roman" w:hAnsi="Times New Roman" w:cs="Times New Roman"/>
        </w:rPr>
        <w:t xml:space="preserve"> or joint</w:t>
      </w:r>
      <w:r w:rsidRPr="00543073">
        <w:rPr>
          <w:rFonts w:ascii="Times New Roman" w:hAnsi="Times New Roman" w:cs="Times New Roman"/>
        </w:rPr>
        <w:t xml:space="preserve"> functional separation undertaking for the ACCC’s approval. </w:t>
      </w:r>
    </w:p>
    <w:p w14:paraId="310CF44A" w14:textId="62D2CC56" w:rsidR="00926EBA" w:rsidRPr="00543073" w:rsidRDefault="00926EBA" w:rsidP="00926EBA">
      <w:pPr>
        <w:rPr>
          <w:rFonts w:ascii="Times New Roman" w:hAnsi="Times New Roman" w:cs="Times New Roman"/>
        </w:rPr>
      </w:pPr>
      <w:r w:rsidRPr="00543073">
        <w:rPr>
          <w:rFonts w:ascii="Times New Roman" w:hAnsi="Times New Roman" w:cs="Times New Roman"/>
        </w:rPr>
        <w:t xml:space="preserve">Subsection 151B(1) of the Telecommunications Act provides that the ACCC may, by legislative instrument, make a determination setting out the terms for a deemed functional separation undertaking. Once made, </w:t>
      </w:r>
      <w:r w:rsidR="00C55A0B" w:rsidRPr="00543073">
        <w:rPr>
          <w:rFonts w:ascii="Times New Roman" w:hAnsi="Times New Roman" w:cs="Times New Roman"/>
        </w:rPr>
        <w:t xml:space="preserve">corporations </w:t>
      </w:r>
      <w:r w:rsidRPr="00543073">
        <w:rPr>
          <w:rFonts w:ascii="Times New Roman" w:hAnsi="Times New Roman" w:cs="Times New Roman"/>
        </w:rPr>
        <w:t xml:space="preserve">within the class </w:t>
      </w:r>
      <w:r w:rsidR="00C55A0B" w:rsidRPr="00543073">
        <w:rPr>
          <w:rFonts w:ascii="Times New Roman" w:hAnsi="Times New Roman" w:cs="Times New Roman"/>
        </w:rPr>
        <w:t xml:space="preserve">of corporations </w:t>
      </w:r>
      <w:r w:rsidRPr="00543073">
        <w:rPr>
          <w:rFonts w:ascii="Times New Roman" w:hAnsi="Times New Roman" w:cs="Times New Roman"/>
        </w:rPr>
        <w:t>specified</w:t>
      </w:r>
      <w:r w:rsidR="003122DA" w:rsidRPr="00543073">
        <w:rPr>
          <w:rFonts w:ascii="Times New Roman" w:hAnsi="Times New Roman" w:cs="Times New Roman"/>
        </w:rPr>
        <w:t xml:space="preserve"> </w:t>
      </w:r>
      <w:r w:rsidRPr="00543073">
        <w:rPr>
          <w:rFonts w:ascii="Times New Roman" w:hAnsi="Times New Roman" w:cs="Times New Roman"/>
        </w:rPr>
        <w:t xml:space="preserve">in </w:t>
      </w:r>
      <w:r w:rsidR="000E173F">
        <w:rPr>
          <w:rFonts w:ascii="Times New Roman" w:hAnsi="Times New Roman" w:cs="Times New Roman"/>
        </w:rPr>
        <w:t>the</w:t>
      </w:r>
      <w:r w:rsidRPr="00543073">
        <w:rPr>
          <w:rFonts w:ascii="Times New Roman" w:hAnsi="Times New Roman" w:cs="Times New Roman"/>
        </w:rPr>
        <w:t xml:space="preserve"> determination can elect to be bound by the deemed functional separation undertaking rather than lodging a standard functional separation undertaking with customised terms for the ACCC’s approval.</w:t>
      </w:r>
      <w:r w:rsidR="0069375F">
        <w:rPr>
          <w:rFonts w:ascii="Times New Roman" w:hAnsi="Times New Roman" w:cs="Times New Roman"/>
        </w:rPr>
        <w:t xml:space="preserve"> </w:t>
      </w:r>
    </w:p>
    <w:p w14:paraId="201D3E41" w14:textId="28E6BECA" w:rsidR="00D40183" w:rsidRDefault="00ED6DCE" w:rsidP="00926EBA">
      <w:pPr>
        <w:rPr>
          <w:rFonts w:ascii="Times New Roman" w:hAnsi="Times New Roman" w:cs="Times New Roman"/>
        </w:rPr>
      </w:pPr>
      <w:r w:rsidRPr="00543073">
        <w:rPr>
          <w:rFonts w:ascii="Times New Roman" w:hAnsi="Times New Roman" w:cs="Times New Roman"/>
        </w:rPr>
        <w:t xml:space="preserve">Subsection </w:t>
      </w:r>
      <w:r w:rsidR="00926EBA" w:rsidRPr="00543073">
        <w:rPr>
          <w:rFonts w:ascii="Times New Roman" w:hAnsi="Times New Roman" w:cs="Times New Roman"/>
        </w:rPr>
        <w:t xml:space="preserve">151A(13) </w:t>
      </w:r>
      <w:r w:rsidR="00B77908" w:rsidRPr="00543073">
        <w:rPr>
          <w:rFonts w:ascii="Times New Roman" w:hAnsi="Times New Roman" w:cs="Times New Roman"/>
        </w:rPr>
        <w:t xml:space="preserve">of the Telecommunications Act </w:t>
      </w:r>
      <w:r w:rsidR="00926EBA" w:rsidRPr="00543073">
        <w:rPr>
          <w:rFonts w:ascii="Times New Roman" w:hAnsi="Times New Roman" w:cs="Times New Roman"/>
        </w:rPr>
        <w:t>empowers the ACCC to determine</w:t>
      </w:r>
      <w:r w:rsidR="00251C95">
        <w:rPr>
          <w:rFonts w:ascii="Times New Roman" w:hAnsi="Times New Roman" w:cs="Times New Roman"/>
        </w:rPr>
        <w:t>, by legislative instrument,</w:t>
      </w:r>
      <w:r w:rsidR="00926EBA" w:rsidRPr="00543073">
        <w:rPr>
          <w:rFonts w:ascii="Times New Roman" w:hAnsi="Times New Roman" w:cs="Times New Roman"/>
        </w:rPr>
        <w:t xml:space="preserve"> </w:t>
      </w:r>
      <w:r w:rsidR="00251C95">
        <w:rPr>
          <w:rFonts w:ascii="Times New Roman" w:hAnsi="Times New Roman" w:cs="Times New Roman"/>
        </w:rPr>
        <w:t>the</w:t>
      </w:r>
      <w:r w:rsidR="00D40183">
        <w:rPr>
          <w:rFonts w:ascii="Times New Roman" w:hAnsi="Times New Roman" w:cs="Times New Roman"/>
        </w:rPr>
        <w:t xml:space="preserve"> kinds of information provided </w:t>
      </w:r>
      <w:r w:rsidR="00251C95">
        <w:rPr>
          <w:rFonts w:ascii="Times New Roman" w:hAnsi="Times New Roman" w:cs="Times New Roman"/>
        </w:rPr>
        <w:t xml:space="preserve">by a carrier or carriage service provider </w:t>
      </w:r>
      <w:r w:rsidR="00D40183">
        <w:rPr>
          <w:rFonts w:ascii="Times New Roman" w:hAnsi="Times New Roman" w:cs="Times New Roman"/>
        </w:rPr>
        <w:t xml:space="preserve">to a </w:t>
      </w:r>
      <w:r w:rsidR="00251C95">
        <w:rPr>
          <w:rFonts w:ascii="Times New Roman" w:hAnsi="Times New Roman" w:cs="Times New Roman"/>
        </w:rPr>
        <w:t xml:space="preserve">corporation’s </w:t>
      </w:r>
      <w:r w:rsidR="00D40183">
        <w:rPr>
          <w:rFonts w:ascii="Times New Roman" w:hAnsi="Times New Roman" w:cs="Times New Roman"/>
        </w:rPr>
        <w:t xml:space="preserve">retail </w:t>
      </w:r>
      <w:r w:rsidR="00251C95">
        <w:rPr>
          <w:rFonts w:ascii="Times New Roman" w:hAnsi="Times New Roman" w:cs="Times New Roman"/>
        </w:rPr>
        <w:t xml:space="preserve">business </w:t>
      </w:r>
      <w:r w:rsidR="00D40183">
        <w:rPr>
          <w:rFonts w:ascii="Times New Roman" w:hAnsi="Times New Roman" w:cs="Times New Roman"/>
        </w:rPr>
        <w:t>unit that may be disclosed to, or o</w:t>
      </w:r>
      <w:r w:rsidR="00773659">
        <w:rPr>
          <w:rFonts w:ascii="Times New Roman" w:hAnsi="Times New Roman" w:cs="Times New Roman"/>
        </w:rPr>
        <w:t>btained, accessed or used by that corporation’s</w:t>
      </w:r>
      <w:r w:rsidR="00D40183">
        <w:rPr>
          <w:rFonts w:ascii="Times New Roman" w:hAnsi="Times New Roman" w:cs="Times New Roman"/>
        </w:rPr>
        <w:t xml:space="preserve"> wholesale</w:t>
      </w:r>
      <w:r w:rsidR="00BA7618">
        <w:rPr>
          <w:rFonts w:ascii="Times New Roman" w:hAnsi="Times New Roman" w:cs="Times New Roman"/>
        </w:rPr>
        <w:t xml:space="preserve"> business</w:t>
      </w:r>
      <w:r w:rsidR="00D40183">
        <w:rPr>
          <w:rFonts w:ascii="Times New Roman" w:hAnsi="Times New Roman" w:cs="Times New Roman"/>
        </w:rPr>
        <w:t xml:space="preserve"> unit as exceptions to</w:t>
      </w:r>
      <w:r w:rsidR="00D40183" w:rsidRPr="00543073">
        <w:rPr>
          <w:rFonts w:ascii="Times New Roman" w:hAnsi="Times New Roman" w:cs="Times New Roman"/>
        </w:rPr>
        <w:t xml:space="preserve"> paragraphs 151A(2)(j) and (k)</w:t>
      </w:r>
      <w:r w:rsidR="00D40183">
        <w:rPr>
          <w:rFonts w:ascii="Times New Roman" w:hAnsi="Times New Roman" w:cs="Times New Roman"/>
        </w:rPr>
        <w:t>, respectively.</w:t>
      </w:r>
    </w:p>
    <w:p w14:paraId="6749B0A6" w14:textId="7FA666E9" w:rsidR="007B5076" w:rsidRDefault="00D40183" w:rsidP="00D13CE6">
      <w:pPr>
        <w:rPr>
          <w:rFonts w:ascii="Times New Roman" w:hAnsi="Times New Roman" w:cs="Times New Roman"/>
        </w:rPr>
      </w:pPr>
      <w:r>
        <w:rPr>
          <w:rFonts w:ascii="Times New Roman" w:hAnsi="Times New Roman" w:cs="Times New Roman"/>
        </w:rPr>
        <w:t xml:space="preserve">In October 2020, pursuant to subsections </w:t>
      </w:r>
      <w:r w:rsidRPr="00D40183">
        <w:rPr>
          <w:rFonts w:ascii="Times New Roman" w:hAnsi="Times New Roman" w:cs="Times New Roman"/>
        </w:rPr>
        <w:t>151A(13) and 151B(1) of the Telecommunications Act</w:t>
      </w:r>
      <w:r w:rsidR="007B5076">
        <w:rPr>
          <w:rFonts w:ascii="Times New Roman" w:hAnsi="Times New Roman" w:cs="Times New Roman"/>
        </w:rPr>
        <w:t xml:space="preserve">, the ACCC made the </w:t>
      </w:r>
      <w:r w:rsidR="007B5076" w:rsidRPr="007B5076">
        <w:rPr>
          <w:rFonts w:ascii="Times New Roman" w:hAnsi="Times New Roman" w:cs="Times New Roman"/>
          <w:i/>
        </w:rPr>
        <w:t>Telecommunications (Deemed Functional Separation Undertaking) Determination 2020</w:t>
      </w:r>
      <w:r w:rsidR="007B5076">
        <w:rPr>
          <w:rFonts w:ascii="Times New Roman" w:hAnsi="Times New Roman" w:cs="Times New Roman"/>
          <w:i/>
        </w:rPr>
        <w:t xml:space="preserve"> </w:t>
      </w:r>
      <w:r w:rsidR="007B5076">
        <w:rPr>
          <w:rFonts w:ascii="Times New Roman" w:hAnsi="Times New Roman" w:cs="Times New Roman"/>
        </w:rPr>
        <w:t>(</w:t>
      </w:r>
      <w:r w:rsidR="007B5076">
        <w:rPr>
          <w:rFonts w:ascii="Times New Roman" w:hAnsi="Times New Roman" w:cs="Times New Roman"/>
          <w:b/>
        </w:rPr>
        <w:t>the Deemed Functional Separation Undertaking</w:t>
      </w:r>
      <w:r w:rsidR="007B5076">
        <w:rPr>
          <w:rFonts w:ascii="Times New Roman" w:hAnsi="Times New Roman" w:cs="Times New Roman"/>
        </w:rPr>
        <w:t xml:space="preserve">). The ACCC was satisfied that the Deemed Functional Separation Undertaking </w:t>
      </w:r>
      <w:r w:rsidR="00C44D77">
        <w:rPr>
          <w:rFonts w:ascii="Times New Roman" w:hAnsi="Times New Roman" w:cs="Times New Roman"/>
        </w:rPr>
        <w:t xml:space="preserve">would </w:t>
      </w:r>
      <w:r w:rsidR="007B5076">
        <w:rPr>
          <w:rFonts w:ascii="Times New Roman" w:hAnsi="Times New Roman" w:cs="Times New Roman"/>
        </w:rPr>
        <w:t>promote the long-term interests of end-users of carriage services or of services supplied b</w:t>
      </w:r>
      <w:r w:rsidR="00D13CE6">
        <w:rPr>
          <w:rFonts w:ascii="Times New Roman" w:hAnsi="Times New Roman" w:cs="Times New Roman"/>
        </w:rPr>
        <w:t xml:space="preserve">y means of carriage services by </w:t>
      </w:r>
      <w:r w:rsidR="007B5076" w:rsidRPr="00D13CE6">
        <w:rPr>
          <w:rFonts w:ascii="Times New Roman" w:hAnsi="Times New Roman" w:cs="Times New Roman"/>
        </w:rPr>
        <w:t xml:space="preserve">reducing the disproportionate regulatory cost burden on operators of </w:t>
      </w:r>
      <w:r w:rsidR="00D13CE6">
        <w:rPr>
          <w:rFonts w:ascii="Times New Roman" w:hAnsi="Times New Roman" w:cs="Times New Roman"/>
        </w:rPr>
        <w:t xml:space="preserve">eligible </w:t>
      </w:r>
      <w:r w:rsidR="00AE4A9D">
        <w:rPr>
          <w:rFonts w:ascii="Times New Roman" w:hAnsi="Times New Roman" w:cs="Times New Roman"/>
        </w:rPr>
        <w:t>networks</w:t>
      </w:r>
      <w:r w:rsidR="00CC1AC9">
        <w:rPr>
          <w:rFonts w:ascii="Times New Roman" w:hAnsi="Times New Roman" w:cs="Times New Roman"/>
        </w:rPr>
        <w:t xml:space="preserve">. </w:t>
      </w:r>
      <w:r w:rsidR="0069375F">
        <w:rPr>
          <w:rFonts w:ascii="Times New Roman" w:hAnsi="Times New Roman" w:cs="Times New Roman"/>
        </w:rPr>
        <w:t xml:space="preserve">Section 9 of the Deemed Functional Separation Undertaking </w:t>
      </w:r>
      <w:r w:rsidR="00B118A3">
        <w:rPr>
          <w:rFonts w:ascii="Times New Roman" w:hAnsi="Times New Roman" w:cs="Times New Roman"/>
        </w:rPr>
        <w:t>sets out</w:t>
      </w:r>
      <w:r w:rsidR="0069375F">
        <w:rPr>
          <w:rFonts w:ascii="Times New Roman" w:hAnsi="Times New Roman" w:cs="Times New Roman"/>
        </w:rPr>
        <w:t xml:space="preserve"> the kinds of information, determined in accordance with subsection </w:t>
      </w:r>
      <w:r w:rsidR="0069375F">
        <w:rPr>
          <w:rFonts w:ascii="Times New Roman" w:hAnsi="Times New Roman" w:cs="Times New Roman"/>
        </w:rPr>
        <w:lastRenderedPageBreak/>
        <w:t xml:space="preserve">151A(13) of the Telecommunications Act, </w:t>
      </w:r>
      <w:r w:rsidR="00F936DD" w:rsidRPr="00F936DD">
        <w:rPr>
          <w:rFonts w:ascii="Times New Roman" w:hAnsi="Times New Roman" w:cs="Times New Roman"/>
        </w:rPr>
        <w:t xml:space="preserve">to be specified information for the purpose of subsections 7(10) and 7(11) of the </w:t>
      </w:r>
      <w:r w:rsidR="00F936DD">
        <w:rPr>
          <w:rFonts w:ascii="Times New Roman" w:hAnsi="Times New Roman" w:cs="Times New Roman"/>
        </w:rPr>
        <w:t>Deemed Functional Separation Undertaking.</w:t>
      </w:r>
    </w:p>
    <w:p w14:paraId="539C8D53" w14:textId="441C077C" w:rsidR="007B5076" w:rsidRDefault="007B5076" w:rsidP="007B5076">
      <w:pPr>
        <w:rPr>
          <w:rFonts w:ascii="Times New Roman" w:hAnsi="Times New Roman" w:cs="Times New Roman"/>
        </w:rPr>
      </w:pPr>
      <w:r>
        <w:rPr>
          <w:rFonts w:ascii="Times New Roman" w:hAnsi="Times New Roman" w:cs="Times New Roman"/>
        </w:rPr>
        <w:t>In December 2020</w:t>
      </w:r>
      <w:r w:rsidR="00D0152E">
        <w:rPr>
          <w:rFonts w:ascii="Times New Roman" w:hAnsi="Times New Roman" w:cs="Times New Roman"/>
        </w:rPr>
        <w:t>, pursuant to subsection 151C(15) of the Telecommunications Act, the ACCC made the</w:t>
      </w:r>
      <w:r w:rsidR="00D0152E" w:rsidRPr="00D0152E">
        <w:t xml:space="preserve"> </w:t>
      </w:r>
      <w:r w:rsidR="00D0152E" w:rsidRPr="00D0152E">
        <w:rPr>
          <w:rFonts w:ascii="Times New Roman" w:hAnsi="Times New Roman" w:cs="Times New Roman"/>
          <w:i/>
        </w:rPr>
        <w:t>Telecommunications (Permitted Information Sharing for Joint Functional Separation Undertakings) Determination 2020</w:t>
      </w:r>
      <w:r w:rsidR="00D0152E">
        <w:rPr>
          <w:rFonts w:ascii="Times New Roman" w:hAnsi="Times New Roman" w:cs="Times New Roman"/>
          <w:i/>
        </w:rPr>
        <w:t xml:space="preserve">. </w:t>
      </w:r>
      <w:r w:rsidR="005A6059">
        <w:rPr>
          <w:rFonts w:ascii="Times New Roman" w:hAnsi="Times New Roman" w:cs="Times New Roman"/>
        </w:rPr>
        <w:t>Section 6 of t</w:t>
      </w:r>
      <w:r w:rsidR="00D0152E">
        <w:rPr>
          <w:rFonts w:ascii="Times New Roman" w:hAnsi="Times New Roman" w:cs="Times New Roman"/>
        </w:rPr>
        <w:t xml:space="preserve">his instrument </w:t>
      </w:r>
      <w:r w:rsidR="00134FCD">
        <w:rPr>
          <w:rFonts w:ascii="Times New Roman" w:hAnsi="Times New Roman" w:cs="Times New Roman"/>
        </w:rPr>
        <w:t>specifies the kinds of information that may be shared between</w:t>
      </w:r>
      <w:r w:rsidR="00D0152E">
        <w:rPr>
          <w:rFonts w:ascii="Times New Roman" w:hAnsi="Times New Roman" w:cs="Times New Roman"/>
        </w:rPr>
        <w:t xml:space="preserve"> retailers and wholesalers bound by a joint functional separation undertaking to </w:t>
      </w:r>
      <w:r w:rsidR="00D170DC">
        <w:rPr>
          <w:rFonts w:ascii="Times New Roman" w:hAnsi="Times New Roman" w:cs="Times New Roman"/>
        </w:rPr>
        <w:t>a similar</w:t>
      </w:r>
      <w:r w:rsidR="00D0152E">
        <w:rPr>
          <w:rFonts w:ascii="Times New Roman" w:hAnsi="Times New Roman" w:cs="Times New Roman"/>
        </w:rPr>
        <w:t xml:space="preserve"> effect </w:t>
      </w:r>
      <w:r w:rsidR="005A6059">
        <w:rPr>
          <w:rFonts w:ascii="Times New Roman" w:hAnsi="Times New Roman" w:cs="Times New Roman"/>
        </w:rPr>
        <w:t xml:space="preserve">to that enabled by </w:t>
      </w:r>
      <w:r w:rsidR="00F936DD">
        <w:rPr>
          <w:rFonts w:ascii="Times New Roman" w:hAnsi="Times New Roman" w:cs="Times New Roman"/>
        </w:rPr>
        <w:t>s</w:t>
      </w:r>
      <w:r w:rsidR="00D0152E">
        <w:rPr>
          <w:rFonts w:ascii="Times New Roman" w:hAnsi="Times New Roman" w:cs="Times New Roman"/>
        </w:rPr>
        <w:t>ection 9 of the Deemed Functional Separation Undertaking.</w:t>
      </w:r>
      <w:r w:rsidR="00F936DD">
        <w:rPr>
          <w:rFonts w:ascii="Times New Roman" w:hAnsi="Times New Roman" w:cs="Times New Roman"/>
        </w:rPr>
        <w:t xml:space="preserve"> Relevantly,</w:t>
      </w:r>
      <w:r w:rsidR="00D170DC">
        <w:rPr>
          <w:rFonts w:ascii="Times New Roman" w:hAnsi="Times New Roman" w:cs="Times New Roman"/>
        </w:rPr>
        <w:t xml:space="preserve"> as</w:t>
      </w:r>
      <w:r w:rsidR="00F936DD">
        <w:rPr>
          <w:rFonts w:ascii="Times New Roman" w:hAnsi="Times New Roman" w:cs="Times New Roman"/>
        </w:rPr>
        <w:t xml:space="preserve"> </w:t>
      </w:r>
      <w:r w:rsidR="00D170DC">
        <w:rPr>
          <w:rFonts w:ascii="Times New Roman" w:hAnsi="Times New Roman" w:cs="Times New Roman"/>
        </w:rPr>
        <w:t>a</w:t>
      </w:r>
      <w:r w:rsidR="00F936DD">
        <w:rPr>
          <w:rFonts w:ascii="Times New Roman" w:hAnsi="Times New Roman" w:cs="Times New Roman"/>
        </w:rPr>
        <w:t xml:space="preserve"> result of the public consultation </w:t>
      </w:r>
      <w:r w:rsidR="00D170DC">
        <w:rPr>
          <w:rFonts w:ascii="Times New Roman" w:hAnsi="Times New Roman" w:cs="Times New Roman"/>
        </w:rPr>
        <w:t>under</w:t>
      </w:r>
      <w:r w:rsidR="00F936DD">
        <w:rPr>
          <w:rFonts w:ascii="Times New Roman" w:hAnsi="Times New Roman" w:cs="Times New Roman"/>
        </w:rPr>
        <w:t xml:space="preserve">taken </w:t>
      </w:r>
      <w:r w:rsidR="00D170DC">
        <w:rPr>
          <w:rFonts w:ascii="Times New Roman" w:hAnsi="Times New Roman" w:cs="Times New Roman"/>
        </w:rPr>
        <w:t xml:space="preserve">by the ACCC, the kinds of information specified </w:t>
      </w:r>
      <w:r w:rsidR="00F936DD">
        <w:rPr>
          <w:rFonts w:ascii="Times New Roman" w:hAnsi="Times New Roman" w:cs="Times New Roman"/>
        </w:rPr>
        <w:t xml:space="preserve">in </w:t>
      </w:r>
      <w:r w:rsidR="00D170DC">
        <w:rPr>
          <w:rFonts w:ascii="Times New Roman" w:hAnsi="Times New Roman" w:cs="Times New Roman"/>
        </w:rPr>
        <w:t>this instrument</w:t>
      </w:r>
      <w:r w:rsidR="00F936DD">
        <w:rPr>
          <w:rFonts w:ascii="Times New Roman" w:hAnsi="Times New Roman" w:cs="Times New Roman"/>
        </w:rPr>
        <w:t xml:space="preserve"> w</w:t>
      </w:r>
      <w:r w:rsidR="00D170DC">
        <w:rPr>
          <w:rFonts w:ascii="Times New Roman" w:hAnsi="Times New Roman" w:cs="Times New Roman"/>
        </w:rPr>
        <w:t>ere of a wider scope than that specified by section 9 of the Deemed Functional Separation Undertaking</w:t>
      </w:r>
      <w:r w:rsidR="005A6059">
        <w:rPr>
          <w:rFonts w:ascii="Times New Roman" w:hAnsi="Times New Roman" w:cs="Times New Roman"/>
        </w:rPr>
        <w:t>.</w:t>
      </w:r>
    </w:p>
    <w:p w14:paraId="71A8ACB1" w14:textId="2DA80855" w:rsidR="00D0152E" w:rsidRDefault="00D0152E" w:rsidP="007B5076">
      <w:pPr>
        <w:rPr>
          <w:rFonts w:ascii="Times New Roman" w:hAnsi="Times New Roman" w:cs="Times New Roman"/>
          <w:i/>
        </w:rPr>
      </w:pPr>
      <w:r>
        <w:rPr>
          <w:rFonts w:ascii="Times New Roman" w:hAnsi="Times New Roman" w:cs="Times New Roman"/>
        </w:rPr>
        <w:t xml:space="preserve">In February 2021, </w:t>
      </w:r>
      <w:r w:rsidR="00D170DC">
        <w:rPr>
          <w:rFonts w:ascii="Times New Roman" w:hAnsi="Times New Roman" w:cs="Times New Roman"/>
        </w:rPr>
        <w:t>pursuant to s</w:t>
      </w:r>
      <w:r w:rsidR="00D170DC" w:rsidRPr="00543073">
        <w:rPr>
          <w:rFonts w:ascii="Times New Roman" w:hAnsi="Times New Roman" w:cs="Times New Roman"/>
        </w:rPr>
        <w:t xml:space="preserve">ubsection 151A(13) of the Telecommunications Act </w:t>
      </w:r>
      <w:r w:rsidR="00D170DC">
        <w:rPr>
          <w:rFonts w:ascii="Times New Roman" w:hAnsi="Times New Roman" w:cs="Times New Roman"/>
        </w:rPr>
        <w:t xml:space="preserve">and </w:t>
      </w:r>
      <w:r w:rsidR="00D170DC">
        <w:rPr>
          <w:rFonts w:ascii="Times New Roman" w:eastAsia="Times New Roman" w:hAnsi="Times New Roman" w:cs="Times New Roman"/>
          <w:color w:val="000000"/>
          <w:lang w:eastAsia="en-AU"/>
        </w:rPr>
        <w:t xml:space="preserve">subsection 33(3) of the AIA, </w:t>
      </w:r>
      <w:r>
        <w:rPr>
          <w:rFonts w:ascii="Times New Roman" w:hAnsi="Times New Roman" w:cs="Times New Roman"/>
        </w:rPr>
        <w:t>to ensure consistency</w:t>
      </w:r>
      <w:r w:rsidR="00D170DC">
        <w:rPr>
          <w:rFonts w:ascii="Times New Roman" w:hAnsi="Times New Roman" w:cs="Times New Roman"/>
        </w:rPr>
        <w:t xml:space="preserve"> of regulatory treatment of persons subject to functional separation undertakings</w:t>
      </w:r>
      <w:r w:rsidR="00B118A3">
        <w:rPr>
          <w:rFonts w:ascii="Times New Roman" w:hAnsi="Times New Roman" w:cs="Times New Roman"/>
        </w:rPr>
        <w:t>, the ACCC amended section 9 of the Deemed Functional Separation Undertaking</w:t>
      </w:r>
      <w:r>
        <w:rPr>
          <w:rFonts w:ascii="Times New Roman" w:hAnsi="Times New Roman" w:cs="Times New Roman"/>
        </w:rPr>
        <w:t xml:space="preserve"> by </w:t>
      </w:r>
      <w:r w:rsidR="00D170DC">
        <w:rPr>
          <w:rFonts w:ascii="Times New Roman" w:hAnsi="Times New Roman" w:cs="Times New Roman"/>
        </w:rPr>
        <w:t>expanding the</w:t>
      </w:r>
      <w:r>
        <w:rPr>
          <w:rFonts w:ascii="Times New Roman" w:hAnsi="Times New Roman" w:cs="Times New Roman"/>
        </w:rPr>
        <w:t xml:space="preserve"> kinds of information</w:t>
      </w:r>
      <w:r w:rsidR="00CC1AC9">
        <w:rPr>
          <w:rFonts w:ascii="Times New Roman" w:hAnsi="Times New Roman" w:cs="Times New Roman"/>
        </w:rPr>
        <w:t xml:space="preserve"> </w:t>
      </w:r>
      <w:r>
        <w:rPr>
          <w:rFonts w:ascii="Times New Roman" w:hAnsi="Times New Roman" w:cs="Times New Roman"/>
        </w:rPr>
        <w:t>specified</w:t>
      </w:r>
      <w:r w:rsidR="00134FCD">
        <w:rPr>
          <w:rFonts w:ascii="Times New Roman" w:hAnsi="Times New Roman" w:cs="Times New Roman"/>
        </w:rPr>
        <w:t xml:space="preserve"> so as to duplicate the </w:t>
      </w:r>
      <w:r w:rsidR="00AF1F6A">
        <w:rPr>
          <w:rFonts w:ascii="Times New Roman" w:hAnsi="Times New Roman" w:cs="Times New Roman"/>
        </w:rPr>
        <w:t xml:space="preserve">kinds of </w:t>
      </w:r>
      <w:r w:rsidR="00134FCD">
        <w:rPr>
          <w:rFonts w:ascii="Times New Roman" w:hAnsi="Times New Roman" w:cs="Times New Roman"/>
        </w:rPr>
        <w:t>information specified</w:t>
      </w:r>
      <w:r>
        <w:rPr>
          <w:rFonts w:ascii="Times New Roman" w:hAnsi="Times New Roman" w:cs="Times New Roman"/>
        </w:rPr>
        <w:t xml:space="preserve"> in </w:t>
      </w:r>
      <w:r w:rsidR="00134FCD">
        <w:rPr>
          <w:rFonts w:ascii="Times New Roman" w:hAnsi="Times New Roman" w:cs="Times New Roman"/>
        </w:rPr>
        <w:t xml:space="preserve">section 6 of </w:t>
      </w:r>
      <w:r>
        <w:rPr>
          <w:rFonts w:ascii="Times New Roman" w:hAnsi="Times New Roman" w:cs="Times New Roman"/>
        </w:rPr>
        <w:t xml:space="preserve">the </w:t>
      </w:r>
      <w:r w:rsidRPr="00D0152E">
        <w:rPr>
          <w:rFonts w:ascii="Times New Roman" w:hAnsi="Times New Roman" w:cs="Times New Roman"/>
          <w:i/>
        </w:rPr>
        <w:t>Telecommunications (Permitted Information Sharing for Joint Functional Separation Undertakings) Determination 2020</w:t>
      </w:r>
      <w:r>
        <w:rPr>
          <w:rFonts w:ascii="Times New Roman" w:hAnsi="Times New Roman" w:cs="Times New Roman"/>
          <w:i/>
        </w:rPr>
        <w:t>.</w:t>
      </w:r>
    </w:p>
    <w:p w14:paraId="3A695AEA" w14:textId="77777777" w:rsidR="00492AF3" w:rsidRPr="00492AF3" w:rsidRDefault="00492AF3" w:rsidP="00492AF3">
      <w:pPr>
        <w:rPr>
          <w:rFonts w:ascii="Times New Roman" w:hAnsi="Times New Roman" w:cs="Times New Roman"/>
        </w:rPr>
      </w:pPr>
      <w:r w:rsidRPr="00492AF3">
        <w:rPr>
          <w:rFonts w:ascii="Times New Roman" w:hAnsi="Times New Roman" w:cs="Times New Roman"/>
        </w:rPr>
        <w:t>A provision-by-provision description of the Instrument is set out in the notes at Attachment A.</w:t>
      </w:r>
    </w:p>
    <w:p w14:paraId="225473C8" w14:textId="0C5B7468" w:rsidR="00492AF3" w:rsidRPr="00D0152E" w:rsidRDefault="00492AF3" w:rsidP="00492AF3">
      <w:pPr>
        <w:rPr>
          <w:rFonts w:ascii="Times New Roman" w:hAnsi="Times New Roman" w:cs="Times New Roman"/>
        </w:rPr>
      </w:pPr>
      <w:r w:rsidRPr="00492AF3">
        <w:rPr>
          <w:rFonts w:ascii="Times New Roman" w:hAnsi="Times New Roman" w:cs="Times New Roman"/>
        </w:rPr>
        <w:t xml:space="preserve">The Instrument is a disallowable legislative instrument for the purposes of the </w:t>
      </w:r>
      <w:r w:rsidRPr="00853C46">
        <w:rPr>
          <w:rFonts w:ascii="Times New Roman" w:hAnsi="Times New Roman" w:cs="Times New Roman"/>
          <w:i/>
        </w:rPr>
        <w:t>Legislation Act 2003</w:t>
      </w:r>
      <w:r w:rsidR="00BB50F2">
        <w:rPr>
          <w:rFonts w:ascii="Times New Roman" w:hAnsi="Times New Roman" w:cs="Times New Roman"/>
        </w:rPr>
        <w:t>.</w:t>
      </w:r>
    </w:p>
    <w:p w14:paraId="7C4C1D39" w14:textId="77777777" w:rsidR="00926EBA" w:rsidRPr="00543073" w:rsidRDefault="00926EBA" w:rsidP="003614B8">
      <w:pPr>
        <w:keepNext/>
        <w:keepLines/>
        <w:rPr>
          <w:rFonts w:ascii="Times New Roman" w:hAnsi="Times New Roman" w:cs="Times New Roman"/>
          <w:b/>
        </w:rPr>
      </w:pPr>
      <w:r w:rsidRPr="00543073">
        <w:rPr>
          <w:rFonts w:ascii="Times New Roman" w:hAnsi="Times New Roman" w:cs="Times New Roman"/>
          <w:b/>
        </w:rPr>
        <w:t>Documents incorporated by reference</w:t>
      </w:r>
    </w:p>
    <w:p w14:paraId="31AC96AD" w14:textId="38F43321" w:rsidR="00926EBA" w:rsidRPr="00724E33" w:rsidRDefault="00724E33" w:rsidP="00926EBA">
      <w:pPr>
        <w:rPr>
          <w:rFonts w:ascii="Times New Roman" w:hAnsi="Times New Roman" w:cs="Times New Roman"/>
          <w:bCs/>
        </w:rPr>
      </w:pPr>
      <w:r>
        <w:rPr>
          <w:rFonts w:ascii="Times New Roman" w:hAnsi="Times New Roman" w:cs="Times New Roman"/>
          <w:bCs/>
        </w:rPr>
        <w:t xml:space="preserve">The instrument does not incorporate any document by reference. </w:t>
      </w:r>
      <w:r w:rsidR="00926EBA" w:rsidRPr="00543073">
        <w:rPr>
          <w:rFonts w:ascii="Times New Roman" w:hAnsi="Times New Roman" w:cs="Times New Roman"/>
        </w:rPr>
        <w:t xml:space="preserve"> </w:t>
      </w:r>
    </w:p>
    <w:p w14:paraId="451D3C5F" w14:textId="77777777" w:rsidR="00926EBA" w:rsidRPr="00543073" w:rsidRDefault="00926EBA" w:rsidP="00926EBA">
      <w:pPr>
        <w:rPr>
          <w:rFonts w:ascii="Times New Roman" w:hAnsi="Times New Roman" w:cs="Times New Roman"/>
          <w:b/>
        </w:rPr>
      </w:pPr>
      <w:r w:rsidRPr="00543073">
        <w:rPr>
          <w:rFonts w:ascii="Times New Roman" w:hAnsi="Times New Roman" w:cs="Times New Roman"/>
          <w:b/>
        </w:rPr>
        <w:t>Consultation</w:t>
      </w:r>
    </w:p>
    <w:p w14:paraId="0DA1D3F8" w14:textId="426C5BA0" w:rsidR="00926EBA" w:rsidRDefault="00926EBA" w:rsidP="00926EBA">
      <w:pPr>
        <w:rPr>
          <w:rFonts w:ascii="Times New Roman" w:hAnsi="Times New Roman" w:cs="Times New Roman"/>
        </w:rPr>
      </w:pPr>
      <w:r w:rsidRPr="00543073">
        <w:rPr>
          <w:rFonts w:ascii="Times New Roman" w:hAnsi="Times New Roman" w:cs="Times New Roman"/>
        </w:rPr>
        <w:t xml:space="preserve">Before the Instrument was made, the ACCC was satisfied that consultation was undertaken to the extent appropriate and reasonably practicable, in accordance with section 17 of the </w:t>
      </w:r>
      <w:r w:rsidRPr="00543073">
        <w:rPr>
          <w:rFonts w:ascii="Times New Roman" w:hAnsi="Times New Roman" w:cs="Times New Roman"/>
          <w:i/>
        </w:rPr>
        <w:t>Legislation Act 2003</w:t>
      </w:r>
      <w:r w:rsidRPr="00543073">
        <w:rPr>
          <w:rFonts w:ascii="Times New Roman" w:hAnsi="Times New Roman" w:cs="Times New Roman"/>
        </w:rPr>
        <w:t xml:space="preserve">. </w:t>
      </w:r>
    </w:p>
    <w:p w14:paraId="01F77B41" w14:textId="0BBEA1BF" w:rsidR="00FF6302" w:rsidRPr="00543073" w:rsidRDefault="00FF6302" w:rsidP="00FF6302">
      <w:pPr>
        <w:rPr>
          <w:rFonts w:ascii="Times New Roman" w:hAnsi="Times New Roman" w:cs="Times New Roman"/>
        </w:rPr>
      </w:pPr>
      <w:r>
        <w:rPr>
          <w:rFonts w:ascii="Times New Roman" w:hAnsi="Times New Roman" w:cs="Times New Roman"/>
        </w:rPr>
        <w:t xml:space="preserve">Prior to making the Instrument, the ACCC posted a consultation notice to its website on 18 December 2020 outlining the proposed amendments to the Deemed Functional Separation Undertaking. Interested stakeholders were invited </w:t>
      </w:r>
      <w:r w:rsidRPr="00543073">
        <w:rPr>
          <w:rFonts w:ascii="Times New Roman" w:hAnsi="Times New Roman" w:cs="Times New Roman"/>
        </w:rPr>
        <w:t>to m</w:t>
      </w:r>
      <w:r>
        <w:rPr>
          <w:rFonts w:ascii="Times New Roman" w:hAnsi="Times New Roman" w:cs="Times New Roman"/>
        </w:rPr>
        <w:t xml:space="preserve">ake submissions to the ACCC by </w:t>
      </w:r>
      <w:r w:rsidRPr="00543073">
        <w:rPr>
          <w:rFonts w:ascii="Times New Roman" w:hAnsi="Times New Roman" w:cs="Times New Roman"/>
        </w:rPr>
        <w:t xml:space="preserve">5 </w:t>
      </w:r>
      <w:r>
        <w:rPr>
          <w:rFonts w:ascii="Times New Roman" w:hAnsi="Times New Roman" w:cs="Times New Roman"/>
        </w:rPr>
        <w:t>February</w:t>
      </w:r>
      <w:r w:rsidRPr="00543073">
        <w:rPr>
          <w:rFonts w:ascii="Times New Roman" w:hAnsi="Times New Roman" w:cs="Times New Roman"/>
        </w:rPr>
        <w:t xml:space="preserve"> 202</w:t>
      </w:r>
      <w:r>
        <w:rPr>
          <w:rFonts w:ascii="Times New Roman" w:hAnsi="Times New Roman" w:cs="Times New Roman"/>
        </w:rPr>
        <w:t xml:space="preserve">1. The ACCC did not receive any submissions to </w:t>
      </w:r>
      <w:r w:rsidR="00967B05">
        <w:rPr>
          <w:rFonts w:ascii="Times New Roman" w:hAnsi="Times New Roman" w:cs="Times New Roman"/>
        </w:rPr>
        <w:t xml:space="preserve">the </w:t>
      </w:r>
      <w:r>
        <w:rPr>
          <w:rFonts w:ascii="Times New Roman" w:hAnsi="Times New Roman" w:cs="Times New Roman"/>
        </w:rPr>
        <w:t>consultation notice.</w:t>
      </w:r>
    </w:p>
    <w:p w14:paraId="1713EF58" w14:textId="77777777" w:rsidR="00926EBA" w:rsidRPr="00543073" w:rsidRDefault="00926EBA" w:rsidP="00926EBA">
      <w:pPr>
        <w:rPr>
          <w:rFonts w:ascii="Times New Roman" w:hAnsi="Times New Roman" w:cs="Times New Roman"/>
          <w:b/>
        </w:rPr>
      </w:pPr>
      <w:r w:rsidRPr="00543073">
        <w:rPr>
          <w:rFonts w:ascii="Times New Roman" w:hAnsi="Times New Roman" w:cs="Times New Roman"/>
          <w:b/>
        </w:rPr>
        <w:t>Regulatory impact assessment</w:t>
      </w:r>
    </w:p>
    <w:p w14:paraId="72D1CE92" w14:textId="5570F342" w:rsidR="00926EBA" w:rsidRPr="00543073" w:rsidRDefault="00926EBA" w:rsidP="00926EBA">
      <w:pPr>
        <w:rPr>
          <w:rFonts w:ascii="Times New Roman" w:hAnsi="Times New Roman" w:cs="Times New Roman"/>
        </w:rPr>
      </w:pPr>
      <w:r w:rsidRPr="00543073">
        <w:rPr>
          <w:rFonts w:ascii="Times New Roman" w:hAnsi="Times New Roman" w:cs="Times New Roman"/>
        </w:rPr>
        <w:t>A preliminary assessment of the proposal to make the</w:t>
      </w:r>
      <w:r w:rsidR="00D0152E" w:rsidRPr="00D0152E">
        <w:rPr>
          <w:rFonts w:ascii="Times New Roman" w:hAnsi="Times New Roman" w:cs="Times New Roman"/>
        </w:rPr>
        <w:t xml:space="preserve"> </w:t>
      </w:r>
      <w:r w:rsidR="00D0152E">
        <w:rPr>
          <w:rFonts w:ascii="Times New Roman" w:hAnsi="Times New Roman" w:cs="Times New Roman"/>
        </w:rPr>
        <w:t xml:space="preserve">Deemed Functional Separation Undertaking </w:t>
      </w:r>
      <w:r w:rsidRPr="00543073">
        <w:rPr>
          <w:rFonts w:ascii="Times New Roman" w:hAnsi="Times New Roman" w:cs="Times New Roman"/>
        </w:rPr>
        <w:t>was conducted by the Office of Best Practice Regulation (</w:t>
      </w:r>
      <w:r w:rsidRPr="00543073">
        <w:rPr>
          <w:rFonts w:ascii="Times New Roman" w:hAnsi="Times New Roman" w:cs="Times New Roman"/>
          <w:b/>
        </w:rPr>
        <w:t>OBPR</w:t>
      </w:r>
      <w:r w:rsidRPr="00543073">
        <w:rPr>
          <w:rFonts w:ascii="Times New Roman" w:hAnsi="Times New Roman" w:cs="Times New Roman"/>
        </w:rPr>
        <w:t>), for the purposes of determining whether a Regulation Impact Statement (</w:t>
      </w:r>
      <w:r w:rsidRPr="00543073">
        <w:rPr>
          <w:rFonts w:ascii="Times New Roman" w:hAnsi="Times New Roman" w:cs="Times New Roman"/>
          <w:b/>
        </w:rPr>
        <w:t>RIS</w:t>
      </w:r>
      <w:r w:rsidRPr="00543073">
        <w:rPr>
          <w:rFonts w:ascii="Times New Roman" w:hAnsi="Times New Roman" w:cs="Times New Roman"/>
        </w:rPr>
        <w:t xml:space="preserve">) would be required. OBPR advised that a RIS would not be required as the </w:t>
      </w:r>
      <w:r w:rsidR="00D0152E">
        <w:rPr>
          <w:rFonts w:ascii="Times New Roman" w:hAnsi="Times New Roman" w:cs="Times New Roman"/>
        </w:rPr>
        <w:t xml:space="preserve">Deemed Functional Separation Undertaking </w:t>
      </w:r>
      <w:r w:rsidRPr="00543073">
        <w:rPr>
          <w:rFonts w:ascii="Times New Roman" w:hAnsi="Times New Roman" w:cs="Times New Roman"/>
        </w:rPr>
        <w:t>is machinery in nature (OBPR ID: 23957).</w:t>
      </w:r>
    </w:p>
    <w:p w14:paraId="75EE9B71" w14:textId="77777777" w:rsidR="00926EBA" w:rsidRPr="00543073" w:rsidRDefault="00926EBA" w:rsidP="00926EBA">
      <w:pPr>
        <w:rPr>
          <w:rFonts w:ascii="Times New Roman" w:hAnsi="Times New Roman" w:cs="Times New Roman"/>
          <w:b/>
        </w:rPr>
      </w:pPr>
      <w:r w:rsidRPr="00543073">
        <w:rPr>
          <w:rFonts w:ascii="Times New Roman" w:hAnsi="Times New Roman" w:cs="Times New Roman"/>
          <w:b/>
        </w:rPr>
        <w:t>Statement of compatibility with human rights</w:t>
      </w:r>
    </w:p>
    <w:p w14:paraId="45D2402F" w14:textId="77777777" w:rsidR="000E0687" w:rsidRDefault="000E0687" w:rsidP="000E0687">
      <w:pPr>
        <w:spacing w:line="256" w:lineRule="auto"/>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w:t>
      </w:r>
      <w:r>
        <w:rPr>
          <w:rFonts w:ascii="Times New Roman" w:hAnsi="Times New Roman" w:cs="Times New Roman"/>
          <w:i/>
        </w:rPr>
        <w:t>Legislation Act 2003</w:t>
      </w:r>
      <w:r>
        <w:rPr>
          <w:rFonts w:ascii="Times New Roman" w:hAnsi="Times New Roman" w:cs="Times New Roman"/>
        </w:rPr>
        <w:t xml:space="preserve"> applies to cause a statement of compatibility with human rights to be prepared in respect of that legislative instrument.  </w:t>
      </w:r>
    </w:p>
    <w:p w14:paraId="2DF5207E" w14:textId="77777777" w:rsidR="000E0687" w:rsidRDefault="000E0687" w:rsidP="000E0687">
      <w:pPr>
        <w:spacing w:line="256" w:lineRule="auto"/>
        <w:rPr>
          <w:rFonts w:ascii="Times New Roman" w:hAnsi="Times New Roman" w:cs="Times New Roman"/>
        </w:rPr>
      </w:pPr>
      <w:r>
        <w:rPr>
          <w:rFonts w:ascii="Times New Roman" w:hAnsi="Times New Roman" w:cs="Times New Roman"/>
        </w:rPr>
        <w:lastRenderedPageBreak/>
        <w:t>The statement of compatibility set out below has been prepared to meet that requirement.</w:t>
      </w:r>
    </w:p>
    <w:p w14:paraId="48C1BD31" w14:textId="77777777" w:rsidR="00926EBA" w:rsidRPr="00543073" w:rsidRDefault="00926EBA" w:rsidP="00ED104A">
      <w:pPr>
        <w:keepNext/>
        <w:keepLines/>
        <w:rPr>
          <w:rFonts w:ascii="Times New Roman" w:hAnsi="Times New Roman" w:cs="Times New Roman"/>
          <w:b/>
          <w:i/>
        </w:rPr>
      </w:pPr>
      <w:r w:rsidRPr="00543073">
        <w:rPr>
          <w:rFonts w:ascii="Times New Roman" w:hAnsi="Times New Roman" w:cs="Times New Roman"/>
          <w:b/>
          <w:i/>
        </w:rPr>
        <w:t>Overview of the Instrument</w:t>
      </w:r>
    </w:p>
    <w:p w14:paraId="368FC5F1" w14:textId="04AB0532" w:rsidR="000E0687" w:rsidRDefault="000E0687" w:rsidP="00ED104A">
      <w:pPr>
        <w:keepNext/>
        <w:keepLines/>
        <w:rPr>
          <w:rFonts w:ascii="Times New Roman" w:hAnsi="Times New Roman" w:cs="Times New Roman"/>
        </w:rPr>
      </w:pPr>
      <w:r w:rsidRPr="00543073">
        <w:rPr>
          <w:rFonts w:ascii="Times New Roman" w:hAnsi="Times New Roman" w:cs="Times New Roman"/>
        </w:rPr>
        <w:t xml:space="preserve">Subsection 151B(1) of the </w:t>
      </w:r>
      <w:r w:rsidRPr="00BA7618">
        <w:rPr>
          <w:rFonts w:ascii="Times New Roman" w:hAnsi="Times New Roman" w:cs="Times New Roman"/>
          <w:i/>
        </w:rPr>
        <w:t>Telecommunications Act</w:t>
      </w:r>
      <w:r w:rsidR="005A6059" w:rsidRPr="00BA7618">
        <w:rPr>
          <w:rFonts w:ascii="Times New Roman" w:hAnsi="Times New Roman" w:cs="Times New Roman"/>
          <w:i/>
        </w:rPr>
        <w:t xml:space="preserve"> 1997</w:t>
      </w:r>
      <w:r w:rsidRPr="00543073">
        <w:rPr>
          <w:rFonts w:ascii="Times New Roman" w:hAnsi="Times New Roman" w:cs="Times New Roman"/>
        </w:rPr>
        <w:t xml:space="preserve"> provides that the ACCC may, by legislative instrument, make a determination setting out the terms for a deemed functional separation undertaking. Once made, corporations within the class of corporations specified in </w:t>
      </w:r>
      <w:r>
        <w:rPr>
          <w:rFonts w:ascii="Times New Roman" w:hAnsi="Times New Roman" w:cs="Times New Roman"/>
        </w:rPr>
        <w:t>the</w:t>
      </w:r>
      <w:r w:rsidRPr="00543073">
        <w:rPr>
          <w:rFonts w:ascii="Times New Roman" w:hAnsi="Times New Roman" w:cs="Times New Roman"/>
        </w:rPr>
        <w:t xml:space="preserve"> determination can elect to be bound by the deemed functional separation undertaking rather than lodging a standard functional separation undertaking with customised terms for the ACCC’s approval.</w:t>
      </w:r>
    </w:p>
    <w:p w14:paraId="4B83E474" w14:textId="640406C9" w:rsidR="00926EBA" w:rsidRDefault="000E0687" w:rsidP="00926EBA">
      <w:pPr>
        <w:rPr>
          <w:rFonts w:ascii="Times New Roman" w:hAnsi="Times New Roman" w:cs="Times New Roman"/>
        </w:rPr>
      </w:pPr>
      <w:r w:rsidRPr="000E0687">
        <w:rPr>
          <w:rFonts w:ascii="Times New Roman" w:hAnsi="Times New Roman" w:cs="Times New Roman"/>
        </w:rPr>
        <w:t xml:space="preserve">In October 2020, pursuant to subsections 151A(13) and 151B(1) of the </w:t>
      </w:r>
      <w:r w:rsidR="005A6059" w:rsidRPr="00542723">
        <w:rPr>
          <w:rFonts w:ascii="Times New Roman" w:hAnsi="Times New Roman" w:cs="Times New Roman"/>
          <w:i/>
        </w:rPr>
        <w:t xml:space="preserve">Telecommunications Act </w:t>
      </w:r>
      <w:r w:rsidR="005A6059" w:rsidRPr="00AF1F6A">
        <w:rPr>
          <w:rFonts w:ascii="Times New Roman" w:hAnsi="Times New Roman" w:cs="Times New Roman"/>
          <w:i/>
        </w:rPr>
        <w:t>1997</w:t>
      </w:r>
      <w:r w:rsidRPr="000E0687">
        <w:rPr>
          <w:rFonts w:ascii="Times New Roman" w:hAnsi="Times New Roman" w:cs="Times New Roman"/>
        </w:rPr>
        <w:t>, the ACCC made</w:t>
      </w:r>
      <w:r>
        <w:rPr>
          <w:rFonts w:ascii="Times New Roman" w:hAnsi="Times New Roman" w:cs="Times New Roman"/>
        </w:rPr>
        <w:t xml:space="preserve"> such a determination - </w:t>
      </w:r>
      <w:r w:rsidRPr="000E0687">
        <w:rPr>
          <w:rFonts w:ascii="Times New Roman" w:hAnsi="Times New Roman" w:cs="Times New Roman"/>
        </w:rPr>
        <w:t xml:space="preserve">the </w:t>
      </w:r>
      <w:r w:rsidRPr="000E0687">
        <w:rPr>
          <w:rFonts w:ascii="Times New Roman" w:hAnsi="Times New Roman" w:cs="Times New Roman"/>
          <w:i/>
        </w:rPr>
        <w:t>Telecommunications (Deemed Functional Separation Undertaking) Determination 2020</w:t>
      </w:r>
      <w:r w:rsidRPr="000E0687">
        <w:rPr>
          <w:rFonts w:ascii="Times New Roman" w:hAnsi="Times New Roman" w:cs="Times New Roman"/>
        </w:rPr>
        <w:t xml:space="preserve"> (</w:t>
      </w:r>
      <w:r w:rsidRPr="000E0687">
        <w:rPr>
          <w:rFonts w:ascii="Times New Roman" w:hAnsi="Times New Roman" w:cs="Times New Roman"/>
          <w:b/>
        </w:rPr>
        <w:t>the Deemed Functional Separation Undertaking</w:t>
      </w:r>
      <w:r w:rsidRPr="000E0687">
        <w:rPr>
          <w:rFonts w:ascii="Times New Roman" w:hAnsi="Times New Roman" w:cs="Times New Roman"/>
        </w:rPr>
        <w:t>)</w:t>
      </w:r>
      <w:r>
        <w:rPr>
          <w:rFonts w:ascii="Times New Roman" w:hAnsi="Times New Roman" w:cs="Times New Roman"/>
        </w:rPr>
        <w:t>.</w:t>
      </w:r>
    </w:p>
    <w:p w14:paraId="2B94FBDB" w14:textId="5D48E1B7" w:rsidR="000E0687" w:rsidRPr="000E0687" w:rsidRDefault="000E0687" w:rsidP="00926EBA">
      <w:pPr>
        <w:rPr>
          <w:rFonts w:ascii="Times New Roman" w:hAnsi="Times New Roman" w:cs="Times New Roman"/>
        </w:rPr>
      </w:pPr>
      <w:r>
        <w:rPr>
          <w:rFonts w:ascii="Times New Roman" w:hAnsi="Times New Roman" w:cs="Times New Roman"/>
        </w:rPr>
        <w:t xml:space="preserve">The </w:t>
      </w:r>
      <w:r w:rsidRPr="000E0687">
        <w:rPr>
          <w:rFonts w:ascii="Times New Roman" w:hAnsi="Times New Roman" w:cs="Times New Roman"/>
          <w:i/>
        </w:rPr>
        <w:t>Telecommunications (Deemed Functional Separation Undertaking) Amendment Determination 2021 (No. 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 xml:space="preserve">the </w:t>
      </w:r>
      <w:r w:rsidR="005A6059">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amends the Deemed Functional Separation Undertaking </w:t>
      </w:r>
      <w:r w:rsidR="00BA7618">
        <w:rPr>
          <w:rFonts w:ascii="Times New Roman" w:hAnsi="Times New Roman" w:cs="Times New Roman"/>
        </w:rPr>
        <w:t xml:space="preserve">to </w:t>
      </w:r>
      <w:r w:rsidR="005A6059">
        <w:rPr>
          <w:rFonts w:ascii="Times New Roman" w:hAnsi="Times New Roman" w:cs="Times New Roman"/>
        </w:rPr>
        <w:t>expand the</w:t>
      </w:r>
      <w:r>
        <w:rPr>
          <w:rFonts w:ascii="Times New Roman" w:hAnsi="Times New Roman" w:cs="Times New Roman"/>
        </w:rPr>
        <w:t xml:space="preserve"> kinds of information permitted to be shared </w:t>
      </w:r>
      <w:r w:rsidR="005A6059">
        <w:rPr>
          <w:rFonts w:ascii="Times New Roman" w:hAnsi="Times New Roman" w:cs="Times New Roman"/>
        </w:rPr>
        <w:t>between the</w:t>
      </w:r>
      <w:r>
        <w:rPr>
          <w:rFonts w:ascii="Times New Roman" w:hAnsi="Times New Roman" w:cs="Times New Roman"/>
        </w:rPr>
        <w:t xml:space="preserve"> retail and wholesale</w:t>
      </w:r>
      <w:r w:rsidR="005A6059">
        <w:rPr>
          <w:rFonts w:ascii="Times New Roman" w:hAnsi="Times New Roman" w:cs="Times New Roman"/>
        </w:rPr>
        <w:t xml:space="preserve"> business</w:t>
      </w:r>
      <w:r>
        <w:rPr>
          <w:rFonts w:ascii="Times New Roman" w:hAnsi="Times New Roman" w:cs="Times New Roman"/>
        </w:rPr>
        <w:t xml:space="preserve"> units</w:t>
      </w:r>
      <w:r w:rsidR="005A6059">
        <w:rPr>
          <w:rFonts w:ascii="Times New Roman" w:hAnsi="Times New Roman" w:cs="Times New Roman"/>
        </w:rPr>
        <w:t xml:space="preserve"> of a corporation</w:t>
      </w:r>
      <w:r>
        <w:rPr>
          <w:rFonts w:ascii="Times New Roman" w:hAnsi="Times New Roman" w:cs="Times New Roman"/>
        </w:rPr>
        <w:t xml:space="preserve"> bound by the </w:t>
      </w:r>
      <w:r w:rsidR="005A6059">
        <w:rPr>
          <w:rFonts w:ascii="Times New Roman" w:hAnsi="Times New Roman" w:cs="Times New Roman"/>
        </w:rPr>
        <w:t>Deemed Functional Separation Undertaking</w:t>
      </w:r>
      <w:r>
        <w:rPr>
          <w:rFonts w:ascii="Times New Roman" w:hAnsi="Times New Roman" w:cs="Times New Roman"/>
        </w:rPr>
        <w:t>.</w:t>
      </w:r>
      <w:r w:rsidR="00A10B2B">
        <w:rPr>
          <w:rFonts w:ascii="Times New Roman" w:hAnsi="Times New Roman" w:cs="Times New Roman"/>
        </w:rPr>
        <w:t xml:space="preserve"> The Instrument has been made pursuant to subsection </w:t>
      </w:r>
      <w:r w:rsidR="00A10B2B" w:rsidRPr="000E0687">
        <w:rPr>
          <w:rFonts w:ascii="Times New Roman" w:hAnsi="Times New Roman" w:cs="Times New Roman"/>
        </w:rPr>
        <w:t xml:space="preserve">151A(13) </w:t>
      </w:r>
      <w:r w:rsidR="00A10B2B">
        <w:rPr>
          <w:rFonts w:ascii="Times New Roman" w:hAnsi="Times New Roman" w:cs="Times New Roman"/>
        </w:rPr>
        <w:t xml:space="preserve">of the </w:t>
      </w:r>
      <w:r w:rsidR="00A10B2B" w:rsidRPr="00BA7618">
        <w:rPr>
          <w:rFonts w:ascii="Times New Roman" w:hAnsi="Times New Roman" w:cs="Times New Roman"/>
          <w:i/>
        </w:rPr>
        <w:t>Telecommunications Act 1997</w:t>
      </w:r>
      <w:r w:rsidR="00A10B2B">
        <w:rPr>
          <w:rFonts w:ascii="Times New Roman" w:hAnsi="Times New Roman" w:cs="Times New Roman"/>
        </w:rPr>
        <w:t xml:space="preserve"> and subsection 33(3) of the </w:t>
      </w:r>
      <w:r w:rsidR="00A10B2B">
        <w:rPr>
          <w:rFonts w:ascii="Times New Roman" w:hAnsi="Times New Roman" w:cs="Times New Roman"/>
          <w:i/>
          <w:iCs/>
        </w:rPr>
        <w:t>Acts Interpretation Act 1901</w:t>
      </w:r>
      <w:r w:rsidR="005D041C">
        <w:rPr>
          <w:rFonts w:ascii="Times New Roman" w:hAnsi="Times New Roman" w:cs="Times New Roman"/>
          <w:i/>
          <w:iCs/>
        </w:rPr>
        <w:t>.</w:t>
      </w:r>
    </w:p>
    <w:p w14:paraId="1DE02650" w14:textId="77777777" w:rsidR="00926EBA" w:rsidRPr="00543073" w:rsidRDefault="00926EBA" w:rsidP="00926EBA">
      <w:pPr>
        <w:keepNext/>
        <w:keepLines/>
        <w:rPr>
          <w:rFonts w:ascii="Times New Roman" w:hAnsi="Times New Roman" w:cs="Times New Roman"/>
          <w:b/>
          <w:i/>
        </w:rPr>
      </w:pPr>
      <w:r w:rsidRPr="00543073">
        <w:rPr>
          <w:rFonts w:ascii="Times New Roman" w:hAnsi="Times New Roman" w:cs="Times New Roman"/>
          <w:b/>
          <w:i/>
        </w:rPr>
        <w:t>Human rights implications</w:t>
      </w:r>
    </w:p>
    <w:p w14:paraId="3B2A7B51" w14:textId="77777777" w:rsidR="00926EBA" w:rsidRPr="00543073" w:rsidRDefault="00926EBA" w:rsidP="00926EBA">
      <w:pPr>
        <w:rPr>
          <w:rFonts w:ascii="Times New Roman" w:hAnsi="Times New Roman" w:cs="Times New Roman"/>
        </w:rPr>
      </w:pPr>
      <w:r w:rsidRPr="00543073">
        <w:rPr>
          <w:rFonts w:ascii="Times New Roman" w:hAnsi="Times New Roman" w:cs="Times New Roman"/>
        </w:rPr>
        <w:t xml:space="preserve">The ACCC has assessed whether the Instrument is compatible with human rights, being the rights and freedoms recognised or declared by the international instruments listed in subsection 3(1) of the </w:t>
      </w:r>
      <w:r w:rsidRPr="00543073">
        <w:rPr>
          <w:rFonts w:ascii="Times New Roman" w:hAnsi="Times New Roman" w:cs="Times New Roman"/>
          <w:i/>
        </w:rPr>
        <w:t>Human Rights (Parliamentary Scrutiny) Act 2011</w:t>
      </w:r>
      <w:r w:rsidRPr="00543073">
        <w:rPr>
          <w:rFonts w:ascii="Times New Roman" w:hAnsi="Times New Roman" w:cs="Times New Roman"/>
        </w:rPr>
        <w:t xml:space="preserve"> as they apply to Australia. </w:t>
      </w:r>
    </w:p>
    <w:p w14:paraId="67C9AB5D" w14:textId="77777777" w:rsidR="00926EBA" w:rsidRPr="00543073" w:rsidRDefault="00926EBA" w:rsidP="00926EBA">
      <w:pPr>
        <w:rPr>
          <w:rFonts w:ascii="Times New Roman" w:hAnsi="Times New Roman" w:cs="Times New Roman"/>
        </w:rPr>
      </w:pPr>
      <w:r w:rsidRPr="00543073">
        <w:rPr>
          <w:rFonts w:ascii="Times New Roman" w:hAnsi="Times New Roman" w:cs="Times New Roman"/>
        </w:rPr>
        <w:t xml:space="preserve">Having considered the likely impact of the Instrument and the nature of the applicable rights and freedoms, the ACCC has formed the view that the Instrument does not engage any of those rights or freedoms.  </w:t>
      </w:r>
    </w:p>
    <w:p w14:paraId="3EBFFFED" w14:textId="77777777" w:rsidR="00926EBA" w:rsidRPr="00543073" w:rsidRDefault="00926EBA" w:rsidP="00926EBA">
      <w:pPr>
        <w:rPr>
          <w:rFonts w:ascii="Times New Roman" w:hAnsi="Times New Roman" w:cs="Times New Roman"/>
          <w:b/>
          <w:i/>
        </w:rPr>
      </w:pPr>
      <w:r w:rsidRPr="00543073">
        <w:rPr>
          <w:rFonts w:ascii="Times New Roman" w:hAnsi="Times New Roman" w:cs="Times New Roman"/>
          <w:b/>
          <w:i/>
        </w:rPr>
        <w:t>Conclusion</w:t>
      </w:r>
    </w:p>
    <w:p w14:paraId="450F3B49" w14:textId="5BC93ED8" w:rsidR="004D2843" w:rsidRPr="00543073" w:rsidRDefault="00926EBA" w:rsidP="00DA2F9E">
      <w:pPr>
        <w:rPr>
          <w:rFonts w:ascii="Times New Roman" w:hAnsi="Times New Roman" w:cs="Times New Roman"/>
          <w:b/>
        </w:rPr>
      </w:pPr>
      <w:r w:rsidRPr="00543073">
        <w:rPr>
          <w:rFonts w:ascii="Times New Roman" w:hAnsi="Times New Roman" w:cs="Times New Roman"/>
        </w:rPr>
        <w:t>The Instrument is compatible with human rights as it does not raise any human rights issues.</w:t>
      </w:r>
    </w:p>
    <w:p w14:paraId="0EE083AC" w14:textId="77777777" w:rsidR="00134705" w:rsidRPr="00543073" w:rsidRDefault="00134705" w:rsidP="00134705">
      <w:pPr>
        <w:rPr>
          <w:rFonts w:ascii="Times New Roman" w:hAnsi="Times New Roman" w:cs="Times New Roman"/>
        </w:rPr>
      </w:pPr>
    </w:p>
    <w:p w14:paraId="57A92CD7" w14:textId="0ED5B2E7" w:rsidR="00641906" w:rsidRPr="00543073" w:rsidRDefault="00641906">
      <w:pPr>
        <w:rPr>
          <w:rFonts w:ascii="Times New Roman" w:hAnsi="Times New Roman" w:cs="Times New Roman"/>
          <w:b/>
        </w:rPr>
      </w:pPr>
      <w:r w:rsidRPr="00543073">
        <w:rPr>
          <w:rFonts w:ascii="Times New Roman" w:hAnsi="Times New Roman" w:cs="Times New Roman"/>
          <w:b/>
        </w:rPr>
        <w:br w:type="page"/>
      </w:r>
    </w:p>
    <w:p w14:paraId="102A2B65" w14:textId="77777777" w:rsidR="00025ACE" w:rsidRPr="00543073" w:rsidRDefault="00AD3414" w:rsidP="00641906">
      <w:pPr>
        <w:jc w:val="right"/>
        <w:rPr>
          <w:rFonts w:ascii="Times New Roman" w:hAnsi="Times New Roman" w:cs="Times New Roman"/>
          <w:b/>
          <w:sz w:val="28"/>
          <w:szCs w:val="28"/>
        </w:rPr>
      </w:pPr>
      <w:r w:rsidRPr="00543073">
        <w:rPr>
          <w:rFonts w:ascii="Times New Roman" w:hAnsi="Times New Roman" w:cs="Times New Roman"/>
          <w:b/>
          <w:sz w:val="28"/>
          <w:szCs w:val="28"/>
        </w:rPr>
        <w:t>Attachment A</w:t>
      </w:r>
    </w:p>
    <w:p w14:paraId="3CCF7BC3" w14:textId="6E256D7F" w:rsidR="00641906" w:rsidRPr="00543073" w:rsidRDefault="00AD3414" w:rsidP="00641906">
      <w:pPr>
        <w:jc w:val="center"/>
        <w:rPr>
          <w:rFonts w:ascii="Times New Roman" w:hAnsi="Times New Roman" w:cs="Times New Roman"/>
          <w:b/>
          <w:sz w:val="28"/>
          <w:szCs w:val="28"/>
        </w:rPr>
      </w:pPr>
      <w:r w:rsidRPr="00543073">
        <w:rPr>
          <w:rFonts w:ascii="Times New Roman" w:hAnsi="Times New Roman" w:cs="Times New Roman"/>
          <w:b/>
          <w:sz w:val="28"/>
          <w:szCs w:val="28"/>
        </w:rPr>
        <w:t>Notes to</w:t>
      </w:r>
      <w:r w:rsidR="00B727F3" w:rsidRPr="00543073">
        <w:rPr>
          <w:rFonts w:ascii="Times New Roman" w:hAnsi="Times New Roman" w:cs="Times New Roman"/>
          <w:b/>
          <w:sz w:val="28"/>
          <w:szCs w:val="28"/>
        </w:rPr>
        <w:t xml:space="preserve"> the</w:t>
      </w:r>
      <w:r w:rsidRPr="00543073">
        <w:rPr>
          <w:rFonts w:ascii="Times New Roman" w:hAnsi="Times New Roman" w:cs="Times New Roman"/>
          <w:b/>
          <w:sz w:val="28"/>
          <w:szCs w:val="28"/>
        </w:rPr>
        <w:t xml:space="preserve"> </w:t>
      </w:r>
      <w:r w:rsidR="000F37CB" w:rsidRPr="00543073">
        <w:rPr>
          <w:rFonts w:ascii="Times New Roman" w:hAnsi="Times New Roman" w:cs="Times New Roman"/>
          <w:b/>
          <w:i/>
          <w:sz w:val="28"/>
          <w:szCs w:val="28"/>
        </w:rPr>
        <w:t>Telecommunications (</w:t>
      </w:r>
      <w:r w:rsidR="00CB5810" w:rsidRPr="00543073">
        <w:rPr>
          <w:rFonts w:ascii="Times New Roman" w:hAnsi="Times New Roman" w:cs="Times New Roman"/>
          <w:b/>
          <w:i/>
          <w:sz w:val="28"/>
          <w:szCs w:val="28"/>
        </w:rPr>
        <w:t>Deemed Functional Separation Undertaking</w:t>
      </w:r>
      <w:r w:rsidR="006B54A5" w:rsidRPr="00543073">
        <w:rPr>
          <w:rFonts w:ascii="Times New Roman" w:hAnsi="Times New Roman" w:cs="Times New Roman"/>
          <w:b/>
          <w:i/>
          <w:sz w:val="28"/>
          <w:szCs w:val="28"/>
        </w:rPr>
        <w:t xml:space="preserve">) </w:t>
      </w:r>
      <w:r w:rsidR="00724E33">
        <w:rPr>
          <w:rFonts w:ascii="Times New Roman" w:hAnsi="Times New Roman" w:cs="Times New Roman"/>
          <w:b/>
          <w:i/>
          <w:sz w:val="28"/>
          <w:szCs w:val="28"/>
        </w:rPr>
        <w:t>Amendment Determination 2021 (No. 1)</w:t>
      </w:r>
    </w:p>
    <w:p w14:paraId="7ECBB8E9" w14:textId="77777777" w:rsidR="0000747D" w:rsidRPr="00543073" w:rsidRDefault="0000747D" w:rsidP="00AD500F">
      <w:pPr>
        <w:spacing w:before="280"/>
        <w:rPr>
          <w:rFonts w:ascii="Times New Roman" w:hAnsi="Times New Roman" w:cs="Times New Roman"/>
          <w:b/>
        </w:rPr>
      </w:pPr>
      <w:r w:rsidRPr="00543073">
        <w:rPr>
          <w:rFonts w:ascii="Times New Roman" w:hAnsi="Times New Roman" w:cs="Times New Roman"/>
          <w:b/>
        </w:rPr>
        <w:t xml:space="preserve">Section 1 – Name </w:t>
      </w:r>
    </w:p>
    <w:p w14:paraId="6881B103" w14:textId="29461D05" w:rsidR="0000747D" w:rsidRPr="00543073" w:rsidRDefault="0000747D" w:rsidP="00AD500F">
      <w:pPr>
        <w:spacing w:before="280"/>
        <w:rPr>
          <w:rFonts w:ascii="Times New Roman" w:hAnsi="Times New Roman" w:cs="Times New Roman"/>
        </w:rPr>
      </w:pPr>
      <w:r w:rsidRPr="00543073">
        <w:rPr>
          <w:rFonts w:ascii="Times New Roman" w:hAnsi="Times New Roman" w:cs="Times New Roman"/>
        </w:rPr>
        <w:t xml:space="preserve">This section </w:t>
      </w:r>
      <w:r w:rsidR="009B4ECF" w:rsidRPr="00543073">
        <w:rPr>
          <w:rFonts w:ascii="Times New Roman" w:hAnsi="Times New Roman" w:cs="Times New Roman"/>
        </w:rPr>
        <w:t xml:space="preserve">provides for the Instrument to be cited as the </w:t>
      </w:r>
      <w:r w:rsidR="000E0687" w:rsidRPr="000E0687">
        <w:rPr>
          <w:rFonts w:ascii="Times New Roman" w:hAnsi="Times New Roman" w:cs="Times New Roman"/>
          <w:i/>
        </w:rPr>
        <w:t>Telecommunications (Deemed Functional Separation Undertaking) Amendment Determination 2021 (No. 1)</w:t>
      </w:r>
      <w:r w:rsidR="009B4ECF" w:rsidRPr="00543073">
        <w:rPr>
          <w:rFonts w:ascii="Times New Roman" w:hAnsi="Times New Roman" w:cs="Times New Roman"/>
          <w:i/>
        </w:rPr>
        <w:t>.</w:t>
      </w:r>
      <w:r w:rsidRPr="00543073">
        <w:rPr>
          <w:rFonts w:ascii="Times New Roman" w:hAnsi="Times New Roman" w:cs="Times New Roman"/>
        </w:rPr>
        <w:t xml:space="preserve"> </w:t>
      </w:r>
    </w:p>
    <w:p w14:paraId="48042C25" w14:textId="77777777" w:rsidR="006940DB" w:rsidRPr="00543073" w:rsidRDefault="009B4ECF" w:rsidP="006940DB">
      <w:pPr>
        <w:rPr>
          <w:rFonts w:ascii="Times New Roman" w:hAnsi="Times New Roman" w:cs="Times New Roman"/>
          <w:b/>
        </w:rPr>
      </w:pPr>
      <w:r w:rsidRPr="00543073">
        <w:rPr>
          <w:rFonts w:ascii="Times New Roman" w:hAnsi="Times New Roman" w:cs="Times New Roman"/>
          <w:b/>
        </w:rPr>
        <w:t xml:space="preserve">Section 2 – </w:t>
      </w:r>
      <w:r w:rsidR="006940DB" w:rsidRPr="00543073">
        <w:rPr>
          <w:rFonts w:ascii="Times New Roman" w:hAnsi="Times New Roman" w:cs="Times New Roman"/>
          <w:b/>
        </w:rPr>
        <w:t>Commencement</w:t>
      </w:r>
    </w:p>
    <w:p w14:paraId="631E6B78" w14:textId="3B373B27" w:rsidR="006940DB" w:rsidRPr="00543073" w:rsidRDefault="006940DB" w:rsidP="004D2843">
      <w:pPr>
        <w:rPr>
          <w:rFonts w:ascii="Times New Roman" w:hAnsi="Times New Roman" w:cs="Times New Roman"/>
        </w:rPr>
      </w:pPr>
      <w:r w:rsidRPr="00543073">
        <w:rPr>
          <w:rFonts w:ascii="Times New Roman" w:hAnsi="Times New Roman" w:cs="Times New Roman"/>
        </w:rPr>
        <w:t xml:space="preserve">This section provides for the </w:t>
      </w:r>
      <w:r w:rsidR="00695436" w:rsidRPr="00543073">
        <w:rPr>
          <w:rFonts w:ascii="Times New Roman" w:hAnsi="Times New Roman" w:cs="Times New Roman"/>
        </w:rPr>
        <w:t>I</w:t>
      </w:r>
      <w:r w:rsidRPr="00543073">
        <w:rPr>
          <w:rFonts w:ascii="Times New Roman" w:hAnsi="Times New Roman" w:cs="Times New Roman"/>
        </w:rPr>
        <w:t xml:space="preserve">nstrument to commence </w:t>
      </w:r>
      <w:r w:rsidR="006B54A5" w:rsidRPr="00543073">
        <w:rPr>
          <w:rFonts w:ascii="Times New Roman" w:hAnsi="Times New Roman" w:cs="Times New Roman"/>
        </w:rPr>
        <w:t>on</w:t>
      </w:r>
      <w:r w:rsidRPr="00543073">
        <w:rPr>
          <w:rFonts w:ascii="Times New Roman" w:hAnsi="Times New Roman" w:cs="Times New Roman"/>
        </w:rPr>
        <w:t xml:space="preserve"> the day after it is registered</w:t>
      </w:r>
      <w:r w:rsidR="00603B3F" w:rsidRPr="00543073">
        <w:rPr>
          <w:rFonts w:ascii="Times New Roman" w:hAnsi="Times New Roman" w:cs="Times New Roman"/>
        </w:rPr>
        <w:t xml:space="preserve"> on the Federal Register of Legislation</w:t>
      </w:r>
      <w:r w:rsidR="00CB5810" w:rsidRPr="00543073">
        <w:rPr>
          <w:rFonts w:ascii="Times New Roman" w:hAnsi="Times New Roman" w:cs="Times New Roman"/>
        </w:rPr>
        <w:t xml:space="preserve">. </w:t>
      </w:r>
      <w:r w:rsidR="00C25EE2" w:rsidRPr="00543073">
        <w:rPr>
          <w:rFonts w:ascii="Times New Roman" w:hAnsi="Times New Roman" w:cs="Times New Roman"/>
        </w:rPr>
        <w:t xml:space="preserve"> </w:t>
      </w:r>
    </w:p>
    <w:p w14:paraId="210DC73E" w14:textId="1B2AC193" w:rsidR="009B4ECF" w:rsidRPr="00543073" w:rsidRDefault="009B4ECF" w:rsidP="004D2843">
      <w:pPr>
        <w:rPr>
          <w:rFonts w:ascii="Times New Roman" w:hAnsi="Times New Roman" w:cs="Times New Roman"/>
        </w:rPr>
      </w:pPr>
      <w:r w:rsidRPr="00543073">
        <w:rPr>
          <w:rFonts w:ascii="Times New Roman" w:hAnsi="Times New Roman" w:cs="Times New Roman"/>
        </w:rPr>
        <w:t>The Federal Register of Legislation ma</w:t>
      </w:r>
      <w:r w:rsidR="00237FB9" w:rsidRPr="00543073">
        <w:rPr>
          <w:rFonts w:ascii="Times New Roman" w:hAnsi="Times New Roman" w:cs="Times New Roman"/>
        </w:rPr>
        <w:t xml:space="preserve">y be accessed free of charge at </w:t>
      </w:r>
      <w:hyperlink r:id="rId9" w:history="1">
        <w:r w:rsidR="00237FB9" w:rsidRPr="00543073">
          <w:rPr>
            <w:rStyle w:val="Hyperlink"/>
            <w:rFonts w:ascii="Times New Roman" w:hAnsi="Times New Roman" w:cs="Times New Roman"/>
          </w:rPr>
          <w:t>www.legislation.gov.au</w:t>
        </w:r>
      </w:hyperlink>
      <w:r w:rsidR="00237FB9" w:rsidRPr="00543073">
        <w:rPr>
          <w:rFonts w:ascii="Times New Roman" w:hAnsi="Times New Roman" w:cs="Times New Roman"/>
        </w:rPr>
        <w:t xml:space="preserve">. </w:t>
      </w:r>
    </w:p>
    <w:p w14:paraId="28A15789" w14:textId="77777777" w:rsidR="009B4ECF" w:rsidRPr="00543073" w:rsidRDefault="009B4ECF" w:rsidP="006B54A5">
      <w:pPr>
        <w:spacing w:before="280"/>
        <w:rPr>
          <w:rFonts w:ascii="Times New Roman" w:hAnsi="Times New Roman" w:cs="Times New Roman"/>
          <w:b/>
        </w:rPr>
      </w:pPr>
      <w:r w:rsidRPr="00543073">
        <w:rPr>
          <w:rFonts w:ascii="Times New Roman" w:hAnsi="Times New Roman" w:cs="Times New Roman"/>
          <w:b/>
        </w:rPr>
        <w:t xml:space="preserve">Section 3 – Authority </w:t>
      </w:r>
    </w:p>
    <w:p w14:paraId="50A7FD95" w14:textId="34CD6AEA" w:rsidR="009B4ECF" w:rsidRPr="00543073" w:rsidRDefault="009B4ECF" w:rsidP="006B54A5">
      <w:pPr>
        <w:spacing w:before="280"/>
        <w:rPr>
          <w:rFonts w:ascii="Times New Roman" w:hAnsi="Times New Roman" w:cs="Times New Roman"/>
        </w:rPr>
      </w:pPr>
      <w:r w:rsidRPr="00543073">
        <w:rPr>
          <w:rFonts w:ascii="Times New Roman" w:hAnsi="Times New Roman" w:cs="Times New Roman"/>
        </w:rPr>
        <w:t xml:space="preserve">This section provides that the Instrument is made under subsection </w:t>
      </w:r>
      <w:r w:rsidR="005641C9" w:rsidRPr="00543073">
        <w:rPr>
          <w:rFonts w:ascii="Times New Roman" w:hAnsi="Times New Roman" w:cs="Times New Roman"/>
        </w:rPr>
        <w:t>151A(13)</w:t>
      </w:r>
      <w:r w:rsidR="00543073" w:rsidRPr="00543073">
        <w:rPr>
          <w:rFonts w:ascii="Times New Roman" w:hAnsi="Times New Roman" w:cs="Times New Roman"/>
        </w:rPr>
        <w:t xml:space="preserve"> </w:t>
      </w:r>
      <w:r w:rsidR="005641C9" w:rsidRPr="00543073">
        <w:rPr>
          <w:rFonts w:ascii="Times New Roman" w:hAnsi="Times New Roman" w:cs="Times New Roman"/>
        </w:rPr>
        <w:t>o</w:t>
      </w:r>
      <w:r w:rsidRPr="00543073">
        <w:rPr>
          <w:rFonts w:ascii="Times New Roman" w:hAnsi="Times New Roman" w:cs="Times New Roman"/>
        </w:rPr>
        <w:t xml:space="preserve">f the </w:t>
      </w:r>
      <w:r w:rsidRPr="00543073">
        <w:rPr>
          <w:rFonts w:ascii="Times New Roman" w:hAnsi="Times New Roman" w:cs="Times New Roman"/>
          <w:i/>
        </w:rPr>
        <w:t xml:space="preserve">Telecommunications Act </w:t>
      </w:r>
      <w:r w:rsidR="00FC6019" w:rsidRPr="00543073">
        <w:rPr>
          <w:rFonts w:ascii="Times New Roman" w:hAnsi="Times New Roman" w:cs="Times New Roman"/>
          <w:i/>
        </w:rPr>
        <w:t xml:space="preserve">1997. </w:t>
      </w:r>
      <w:r w:rsidRPr="00543073">
        <w:rPr>
          <w:rFonts w:ascii="Times New Roman" w:hAnsi="Times New Roman" w:cs="Times New Roman"/>
          <w:i/>
        </w:rPr>
        <w:t xml:space="preserve"> </w:t>
      </w:r>
      <w:r w:rsidRPr="00543073">
        <w:rPr>
          <w:rFonts w:ascii="Times New Roman" w:hAnsi="Times New Roman" w:cs="Times New Roman"/>
        </w:rPr>
        <w:t xml:space="preserve"> </w:t>
      </w:r>
    </w:p>
    <w:p w14:paraId="4D306FF0" w14:textId="097D6EFA" w:rsidR="00E21EA5" w:rsidRPr="00543073" w:rsidRDefault="00FC6019" w:rsidP="006B54A5">
      <w:pPr>
        <w:spacing w:before="280"/>
        <w:rPr>
          <w:rFonts w:ascii="Times New Roman" w:hAnsi="Times New Roman" w:cs="Times New Roman"/>
          <w:b/>
        </w:rPr>
      </w:pPr>
      <w:r w:rsidRPr="00543073">
        <w:rPr>
          <w:rFonts w:ascii="Times New Roman" w:hAnsi="Times New Roman" w:cs="Times New Roman"/>
          <w:b/>
        </w:rPr>
        <w:t>Section 4 –</w:t>
      </w:r>
      <w:r w:rsidR="000E0687">
        <w:rPr>
          <w:rFonts w:ascii="Times New Roman" w:hAnsi="Times New Roman" w:cs="Times New Roman"/>
          <w:b/>
        </w:rPr>
        <w:t xml:space="preserve"> Amendment</w:t>
      </w:r>
    </w:p>
    <w:p w14:paraId="56431D48" w14:textId="56B5FA75" w:rsidR="00FC6019" w:rsidRPr="00543073" w:rsidRDefault="000E0687" w:rsidP="00E21EA5">
      <w:pPr>
        <w:spacing w:before="280"/>
        <w:rPr>
          <w:rFonts w:ascii="Times New Roman" w:hAnsi="Times New Roman" w:cs="Times New Roman"/>
        </w:rPr>
      </w:pPr>
      <w:r w:rsidRPr="000E0687">
        <w:rPr>
          <w:rFonts w:ascii="Times New Roman" w:hAnsi="Times New Roman" w:cs="Times New Roman"/>
        </w:rPr>
        <w:t>Section 4 provides that the instrument specified in Schedule 1 is amended as set out in the item in that Schedule.</w:t>
      </w:r>
    </w:p>
    <w:p w14:paraId="4EC6EBB4" w14:textId="77777777" w:rsidR="000E0687" w:rsidRDefault="000E0687" w:rsidP="000E0687">
      <w:pPr>
        <w:rPr>
          <w:rFonts w:ascii="Times New Roman" w:hAnsi="Times New Roman" w:cs="Times New Roman"/>
          <w:b/>
        </w:rPr>
      </w:pPr>
      <w:r>
        <w:rPr>
          <w:rFonts w:ascii="Times New Roman" w:hAnsi="Times New Roman" w:cs="Times New Roman"/>
          <w:b/>
        </w:rPr>
        <w:t>Schedule 1 – Amendment</w:t>
      </w:r>
    </w:p>
    <w:p w14:paraId="404D2F15" w14:textId="46A0924F" w:rsidR="000E0687" w:rsidRDefault="000E0687" w:rsidP="000E0687">
      <w:pPr>
        <w:pStyle w:val="paragraph"/>
        <w:spacing w:before="0" w:beforeAutospacing="0" w:after="0" w:afterAutospacing="0"/>
        <w:textAlignment w:val="baseline"/>
        <w:rPr>
          <w:sz w:val="22"/>
          <w:szCs w:val="22"/>
        </w:rPr>
      </w:pPr>
      <w:r>
        <w:rPr>
          <w:sz w:val="22"/>
          <w:szCs w:val="22"/>
        </w:rPr>
        <w:t xml:space="preserve">Schedule 1 amends </w:t>
      </w:r>
      <w:r w:rsidR="00CF1288">
        <w:rPr>
          <w:sz w:val="22"/>
          <w:szCs w:val="22"/>
        </w:rPr>
        <w:t xml:space="preserve">section 9 of the </w:t>
      </w:r>
      <w:r w:rsidRPr="000E0687">
        <w:rPr>
          <w:i/>
          <w:sz w:val="22"/>
          <w:szCs w:val="22"/>
        </w:rPr>
        <w:t>Telecommunications (Deemed Functional Separation Undertaking) Determination 2020</w:t>
      </w:r>
      <w:r>
        <w:rPr>
          <w:sz w:val="22"/>
          <w:szCs w:val="22"/>
        </w:rPr>
        <w:t xml:space="preserve"> </w:t>
      </w:r>
      <w:r w:rsidR="00CF1288">
        <w:rPr>
          <w:sz w:val="22"/>
          <w:szCs w:val="22"/>
        </w:rPr>
        <w:t>by expanding the</w:t>
      </w:r>
      <w:r w:rsidR="001A144F">
        <w:rPr>
          <w:sz w:val="22"/>
          <w:szCs w:val="22"/>
        </w:rPr>
        <w:t xml:space="preserve"> kinds of information permitted to be shared </w:t>
      </w:r>
      <w:r w:rsidR="00D770A3">
        <w:rPr>
          <w:sz w:val="22"/>
          <w:szCs w:val="22"/>
        </w:rPr>
        <w:t xml:space="preserve">between the </w:t>
      </w:r>
      <w:r w:rsidR="001A144F">
        <w:rPr>
          <w:sz w:val="22"/>
          <w:szCs w:val="22"/>
        </w:rPr>
        <w:t xml:space="preserve">retail and wholesale </w:t>
      </w:r>
      <w:r w:rsidR="00967B05">
        <w:rPr>
          <w:sz w:val="22"/>
          <w:szCs w:val="22"/>
        </w:rPr>
        <w:t xml:space="preserve">business </w:t>
      </w:r>
      <w:r w:rsidR="001A144F">
        <w:rPr>
          <w:sz w:val="22"/>
          <w:szCs w:val="22"/>
        </w:rPr>
        <w:t>units</w:t>
      </w:r>
      <w:r w:rsidR="00D770A3">
        <w:rPr>
          <w:sz w:val="22"/>
          <w:szCs w:val="22"/>
        </w:rPr>
        <w:t xml:space="preserve"> of a corporation that has elected to be</w:t>
      </w:r>
      <w:r w:rsidR="001A144F">
        <w:rPr>
          <w:sz w:val="22"/>
          <w:szCs w:val="22"/>
        </w:rPr>
        <w:t xml:space="preserve"> bound by th</w:t>
      </w:r>
      <w:r w:rsidR="001A144F" w:rsidRPr="00D770A3">
        <w:rPr>
          <w:sz w:val="22"/>
          <w:szCs w:val="22"/>
        </w:rPr>
        <w:t xml:space="preserve">e </w:t>
      </w:r>
      <w:r w:rsidR="00D770A3" w:rsidRPr="00021604">
        <w:rPr>
          <w:i/>
          <w:sz w:val="22"/>
          <w:szCs w:val="22"/>
        </w:rPr>
        <w:t>Telecommunications (Deemed Functional Separation Undertaking) Determination 2020</w:t>
      </w:r>
      <w:r w:rsidR="001A144F">
        <w:rPr>
          <w:sz w:val="22"/>
          <w:szCs w:val="22"/>
        </w:rPr>
        <w:t>.</w:t>
      </w:r>
    </w:p>
    <w:p w14:paraId="2D467C6C" w14:textId="65B1C059" w:rsidR="00E12733" w:rsidRPr="00543073" w:rsidRDefault="00E12733" w:rsidP="000E0687">
      <w:pPr>
        <w:spacing w:before="120"/>
        <w:rPr>
          <w:rFonts w:ascii="Times New Roman" w:hAnsi="Times New Roman" w:cs="Times New Roman"/>
        </w:rPr>
      </w:pPr>
    </w:p>
    <w:sectPr w:rsidR="00E12733" w:rsidRPr="00543073" w:rsidSect="00082354">
      <w:headerReference w:type="default" r:id="rId10"/>
      <w:footerReference w:type="default" r:id="rId11"/>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D2EC" w16cid:durableId="20E98981"/>
  <w16cid:commentId w16cid:paraId="735AD6A3" w16cid:durableId="20E98982"/>
  <w16cid:commentId w16cid:paraId="2A7221C3" w16cid:durableId="20E98983"/>
  <w16cid:commentId w16cid:paraId="69C84280" w16cid:durableId="20E98984"/>
  <w16cid:commentId w16cid:paraId="1416FDA2" w16cid:durableId="20E98985"/>
  <w16cid:commentId w16cid:paraId="1BB27983" w16cid:durableId="20E98986"/>
  <w16cid:commentId w16cid:paraId="2E61C2CB" w16cid:durableId="20E98987"/>
  <w16cid:commentId w16cid:paraId="4D45211C" w16cid:durableId="20E98988"/>
  <w16cid:commentId w16cid:paraId="4097F8AF" w16cid:durableId="20E98989"/>
  <w16cid:commentId w16cid:paraId="1F99A70D" w16cid:durableId="20E9898A"/>
  <w16cid:commentId w16cid:paraId="5FD4D41B" w16cid:durableId="20E9898B"/>
  <w16cid:commentId w16cid:paraId="6F67E53B" w16cid:durableId="20E9898C"/>
  <w16cid:commentId w16cid:paraId="4F191031" w16cid:durableId="20E9898D"/>
  <w16cid:commentId w16cid:paraId="131D6F30" w16cid:durableId="20E9898E"/>
  <w16cid:commentId w16cid:paraId="20727AA2" w16cid:durableId="20E9898F"/>
  <w16cid:commentId w16cid:paraId="7C24FFB8" w16cid:durableId="20E98990"/>
  <w16cid:commentId w16cid:paraId="3F5262E4" w16cid:durableId="20E98991"/>
  <w16cid:commentId w16cid:paraId="3017B6F3" w16cid:durableId="20E98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D7DB" w14:textId="77777777" w:rsidR="00105F26" w:rsidRDefault="00105F26" w:rsidP="00025ACE">
      <w:pPr>
        <w:spacing w:after="0" w:line="240" w:lineRule="auto"/>
      </w:pPr>
      <w:r>
        <w:separator/>
      </w:r>
    </w:p>
  </w:endnote>
  <w:endnote w:type="continuationSeparator" w:id="0">
    <w:p w14:paraId="573A1719" w14:textId="77777777" w:rsidR="00105F26" w:rsidRDefault="00105F26"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noProof/>
      </w:rPr>
    </w:sdtEndPr>
    <w:sdtContent>
      <w:p w14:paraId="722C2CBB" w14:textId="77777777" w:rsidR="008B40B0" w:rsidRDefault="008B40B0" w:rsidP="00AD3414">
        <w:pPr>
          <w:pStyle w:val="Footer"/>
          <w:pBdr>
            <w:top w:val="single" w:sz="4" w:space="1" w:color="auto"/>
          </w:pBdr>
          <w:jc w:val="center"/>
        </w:pPr>
      </w:p>
      <w:p w14:paraId="23BCF5C6" w14:textId="64926500" w:rsidR="008B40B0" w:rsidRPr="00AD3414" w:rsidRDefault="008B40B0"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40183" w:rsidRPr="00D40183">
          <w:rPr>
            <w:rFonts w:ascii="Times New Roman" w:hAnsi="Times New Roman" w:cs="Times New Roman"/>
            <w:i/>
          </w:rPr>
          <w:t>Telecommunications (Deemed Functional Separation Undertaking) Amendment Determination 2021 (No. 1)</w:t>
        </w:r>
      </w:p>
      <w:p w14:paraId="232D7FE1" w14:textId="77777777" w:rsidR="008B40B0" w:rsidRDefault="008B40B0">
        <w:pPr>
          <w:pStyle w:val="Footer"/>
          <w:jc w:val="right"/>
        </w:pPr>
      </w:p>
      <w:p w14:paraId="238F9123" w14:textId="1D7E2CD7" w:rsidR="008B40B0" w:rsidRPr="00F0448B" w:rsidRDefault="008B40B0">
        <w:pPr>
          <w:pStyle w:val="Footer"/>
          <w:jc w:val="right"/>
        </w:pPr>
        <w:r w:rsidRPr="00F0448B">
          <w:rPr>
            <w:rFonts w:ascii="Times New Roman" w:hAnsi="Times New Roman" w:cs="Times New Roman"/>
          </w:rPr>
          <w:fldChar w:fldCharType="begin"/>
        </w:r>
        <w:r w:rsidRPr="00F0448B">
          <w:rPr>
            <w:rFonts w:ascii="Times New Roman" w:hAnsi="Times New Roman" w:cs="Times New Roman"/>
          </w:rPr>
          <w:instrText xml:space="preserve"> PAGE   \* MERGEFORMAT </w:instrText>
        </w:r>
        <w:r w:rsidRPr="00F0448B">
          <w:rPr>
            <w:rFonts w:ascii="Times New Roman" w:hAnsi="Times New Roman" w:cs="Times New Roman"/>
          </w:rPr>
          <w:fldChar w:fldCharType="separate"/>
        </w:r>
        <w:r w:rsidR="00990E33">
          <w:rPr>
            <w:rFonts w:ascii="Times New Roman" w:hAnsi="Times New Roman" w:cs="Times New Roman"/>
            <w:noProof/>
          </w:rPr>
          <w:t>2</w:t>
        </w:r>
        <w:r w:rsidRPr="00F0448B">
          <w:rPr>
            <w:rFonts w:ascii="Times New Roman" w:hAnsi="Times New Roman" w:cs="Times New Roman"/>
            <w:noProof/>
          </w:rPr>
          <w:fldChar w:fldCharType="end"/>
        </w:r>
      </w:p>
    </w:sdtContent>
  </w:sdt>
  <w:p w14:paraId="55BFC09C" w14:textId="77777777" w:rsidR="008B40B0" w:rsidRPr="00AD3414" w:rsidRDefault="008B40B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5AE66" w14:textId="77777777" w:rsidR="00105F26" w:rsidRDefault="00105F26" w:rsidP="00025ACE">
      <w:pPr>
        <w:spacing w:after="0" w:line="240" w:lineRule="auto"/>
      </w:pPr>
      <w:r>
        <w:separator/>
      </w:r>
    </w:p>
  </w:footnote>
  <w:footnote w:type="continuationSeparator" w:id="0">
    <w:p w14:paraId="04899D57" w14:textId="77777777" w:rsidR="00105F26" w:rsidRDefault="00105F26"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3304" w14:textId="1F2DBC6E" w:rsidR="008B40B0" w:rsidRDefault="008B40B0">
    <w:pPr>
      <w:pStyle w:val="Header"/>
    </w:pPr>
  </w:p>
  <w:p w14:paraId="0137EE3C" w14:textId="77777777" w:rsidR="008B40B0" w:rsidRPr="00AD3414" w:rsidRDefault="008B40B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733AA"/>
    <w:multiLevelType w:val="hybridMultilevel"/>
    <w:tmpl w:val="9D3C93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E3E736A"/>
    <w:multiLevelType w:val="multilevel"/>
    <w:tmpl w:val="ED6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C467A"/>
    <w:multiLevelType w:val="hybridMultilevel"/>
    <w:tmpl w:val="1812AB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393439"/>
    <w:multiLevelType w:val="hybridMultilevel"/>
    <w:tmpl w:val="7D1E6156"/>
    <w:lvl w:ilvl="0" w:tplc="D00CFB1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430B8"/>
    <w:multiLevelType w:val="hybridMultilevel"/>
    <w:tmpl w:val="05B07B0C"/>
    <w:lvl w:ilvl="0" w:tplc="45E82E6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BB39B2"/>
    <w:multiLevelType w:val="hybridMultilevel"/>
    <w:tmpl w:val="C610EF5C"/>
    <w:lvl w:ilvl="0" w:tplc="C89466EC">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961E12"/>
    <w:multiLevelType w:val="hybridMultilevel"/>
    <w:tmpl w:val="8EC0EB8A"/>
    <w:lvl w:ilvl="0" w:tplc="416AFE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746104"/>
    <w:multiLevelType w:val="hybridMultilevel"/>
    <w:tmpl w:val="3ECC9602"/>
    <w:lvl w:ilvl="0" w:tplc="58FE7FF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246E2"/>
    <w:multiLevelType w:val="hybridMultilevel"/>
    <w:tmpl w:val="5790C196"/>
    <w:lvl w:ilvl="0" w:tplc="D15894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8"/>
  </w:num>
  <w:num w:numId="5">
    <w:abstractNumId w:val="7"/>
  </w:num>
  <w:num w:numId="6">
    <w:abstractNumId w:val="0"/>
  </w:num>
  <w:num w:numId="7">
    <w:abstractNumId w:val="5"/>
  </w:num>
  <w:num w:numId="8">
    <w:abstractNumId w:val="4"/>
  </w:num>
  <w:num w:numId="9">
    <w:abstractNumId w:val="10"/>
  </w:num>
  <w:num w:numId="10">
    <w:abstractNumId w:val="2"/>
  </w:num>
  <w:num w:numId="11">
    <w:abstractNumId w:val="3"/>
  </w:num>
  <w:num w:numId="12">
    <w:abstractNumId w:val="11"/>
  </w:num>
  <w:num w:numId="13">
    <w:abstractNumId w:val="13"/>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747D"/>
    <w:rsid w:val="000124F9"/>
    <w:rsid w:val="00013079"/>
    <w:rsid w:val="000179D7"/>
    <w:rsid w:val="00021604"/>
    <w:rsid w:val="00025ACE"/>
    <w:rsid w:val="0002792E"/>
    <w:rsid w:val="00031215"/>
    <w:rsid w:val="00034143"/>
    <w:rsid w:val="00034998"/>
    <w:rsid w:val="00037F0E"/>
    <w:rsid w:val="00042167"/>
    <w:rsid w:val="0004238E"/>
    <w:rsid w:val="000505A9"/>
    <w:rsid w:val="00052A22"/>
    <w:rsid w:val="00056A4A"/>
    <w:rsid w:val="000677AF"/>
    <w:rsid w:val="00070876"/>
    <w:rsid w:val="00070D91"/>
    <w:rsid w:val="000719A7"/>
    <w:rsid w:val="000726C7"/>
    <w:rsid w:val="00073893"/>
    <w:rsid w:val="00074900"/>
    <w:rsid w:val="00074A8D"/>
    <w:rsid w:val="00082354"/>
    <w:rsid w:val="00084103"/>
    <w:rsid w:val="00092A1B"/>
    <w:rsid w:val="00093348"/>
    <w:rsid w:val="00095AB3"/>
    <w:rsid w:val="00095EC5"/>
    <w:rsid w:val="00096ED5"/>
    <w:rsid w:val="000A3A94"/>
    <w:rsid w:val="000A5F08"/>
    <w:rsid w:val="000A6975"/>
    <w:rsid w:val="000B0BA7"/>
    <w:rsid w:val="000B33B6"/>
    <w:rsid w:val="000B4B6C"/>
    <w:rsid w:val="000C094F"/>
    <w:rsid w:val="000C3208"/>
    <w:rsid w:val="000C6436"/>
    <w:rsid w:val="000D4ECE"/>
    <w:rsid w:val="000D4F2D"/>
    <w:rsid w:val="000D7440"/>
    <w:rsid w:val="000E0687"/>
    <w:rsid w:val="000E173F"/>
    <w:rsid w:val="000E38C9"/>
    <w:rsid w:val="000E4091"/>
    <w:rsid w:val="000E6F58"/>
    <w:rsid w:val="000F23C9"/>
    <w:rsid w:val="000F37CB"/>
    <w:rsid w:val="000F6255"/>
    <w:rsid w:val="00101BD2"/>
    <w:rsid w:val="00104130"/>
    <w:rsid w:val="00105F26"/>
    <w:rsid w:val="00112987"/>
    <w:rsid w:val="00115E00"/>
    <w:rsid w:val="00117351"/>
    <w:rsid w:val="00121B9E"/>
    <w:rsid w:val="00122072"/>
    <w:rsid w:val="00122454"/>
    <w:rsid w:val="00126DFF"/>
    <w:rsid w:val="0013043B"/>
    <w:rsid w:val="0013121D"/>
    <w:rsid w:val="0013146B"/>
    <w:rsid w:val="00134705"/>
    <w:rsid w:val="00134FCD"/>
    <w:rsid w:val="00140059"/>
    <w:rsid w:val="00146A0C"/>
    <w:rsid w:val="00155775"/>
    <w:rsid w:val="00161AE5"/>
    <w:rsid w:val="00161C73"/>
    <w:rsid w:val="001814CE"/>
    <w:rsid w:val="00181E90"/>
    <w:rsid w:val="00182EAD"/>
    <w:rsid w:val="00185BDC"/>
    <w:rsid w:val="001A0DBE"/>
    <w:rsid w:val="001A144F"/>
    <w:rsid w:val="001A4332"/>
    <w:rsid w:val="001B3F13"/>
    <w:rsid w:val="001C303D"/>
    <w:rsid w:val="001C4BF8"/>
    <w:rsid w:val="001C5421"/>
    <w:rsid w:val="001D2FF6"/>
    <w:rsid w:val="001D5C25"/>
    <w:rsid w:val="001E343E"/>
    <w:rsid w:val="00212847"/>
    <w:rsid w:val="002175A2"/>
    <w:rsid w:val="002277D6"/>
    <w:rsid w:val="00237FB9"/>
    <w:rsid w:val="00247AAC"/>
    <w:rsid w:val="002508F7"/>
    <w:rsid w:val="00251C95"/>
    <w:rsid w:val="00261277"/>
    <w:rsid w:val="0026464E"/>
    <w:rsid w:val="002653F1"/>
    <w:rsid w:val="002674E7"/>
    <w:rsid w:val="00270D6B"/>
    <w:rsid w:val="0027674F"/>
    <w:rsid w:val="00291C16"/>
    <w:rsid w:val="002B48BB"/>
    <w:rsid w:val="002B6699"/>
    <w:rsid w:val="002C2256"/>
    <w:rsid w:val="002C3214"/>
    <w:rsid w:val="002C4AC3"/>
    <w:rsid w:val="002D22B0"/>
    <w:rsid w:val="002D6F35"/>
    <w:rsid w:val="002E1565"/>
    <w:rsid w:val="002E32A3"/>
    <w:rsid w:val="002E3B2A"/>
    <w:rsid w:val="002F36E0"/>
    <w:rsid w:val="002F4885"/>
    <w:rsid w:val="002F636F"/>
    <w:rsid w:val="00302B52"/>
    <w:rsid w:val="003122DA"/>
    <w:rsid w:val="00312675"/>
    <w:rsid w:val="0032024A"/>
    <w:rsid w:val="00324783"/>
    <w:rsid w:val="00337BE6"/>
    <w:rsid w:val="003434D4"/>
    <w:rsid w:val="0034366C"/>
    <w:rsid w:val="0036056B"/>
    <w:rsid w:val="003614B8"/>
    <w:rsid w:val="00362182"/>
    <w:rsid w:val="00365EC9"/>
    <w:rsid w:val="0036752E"/>
    <w:rsid w:val="00370620"/>
    <w:rsid w:val="00375FA7"/>
    <w:rsid w:val="00380B8E"/>
    <w:rsid w:val="003810F3"/>
    <w:rsid w:val="00385EF1"/>
    <w:rsid w:val="00392747"/>
    <w:rsid w:val="00394CEE"/>
    <w:rsid w:val="003A3635"/>
    <w:rsid w:val="003A7407"/>
    <w:rsid w:val="003B26CB"/>
    <w:rsid w:val="003B3D92"/>
    <w:rsid w:val="003C2F82"/>
    <w:rsid w:val="003C44B4"/>
    <w:rsid w:val="003D3934"/>
    <w:rsid w:val="003D74BE"/>
    <w:rsid w:val="003E55D2"/>
    <w:rsid w:val="003E5FEF"/>
    <w:rsid w:val="003F4FDB"/>
    <w:rsid w:val="0041003E"/>
    <w:rsid w:val="00416C35"/>
    <w:rsid w:val="00421FBF"/>
    <w:rsid w:val="00423BC3"/>
    <w:rsid w:val="004322D5"/>
    <w:rsid w:val="004362E3"/>
    <w:rsid w:val="00443FED"/>
    <w:rsid w:val="004470A3"/>
    <w:rsid w:val="00450F48"/>
    <w:rsid w:val="0045489F"/>
    <w:rsid w:val="00471A59"/>
    <w:rsid w:val="004726A8"/>
    <w:rsid w:val="00474889"/>
    <w:rsid w:val="004826DD"/>
    <w:rsid w:val="00484D59"/>
    <w:rsid w:val="00485722"/>
    <w:rsid w:val="0048721F"/>
    <w:rsid w:val="00492AF3"/>
    <w:rsid w:val="00495848"/>
    <w:rsid w:val="004967DB"/>
    <w:rsid w:val="004971D6"/>
    <w:rsid w:val="004A1064"/>
    <w:rsid w:val="004A4E9D"/>
    <w:rsid w:val="004A7619"/>
    <w:rsid w:val="004C31A4"/>
    <w:rsid w:val="004D25F3"/>
    <w:rsid w:val="004D2843"/>
    <w:rsid w:val="004D6FA8"/>
    <w:rsid w:val="004E1478"/>
    <w:rsid w:val="004E2829"/>
    <w:rsid w:val="004E790E"/>
    <w:rsid w:val="004F6C5E"/>
    <w:rsid w:val="004F78B5"/>
    <w:rsid w:val="0050389F"/>
    <w:rsid w:val="005067C5"/>
    <w:rsid w:val="00507C7A"/>
    <w:rsid w:val="0051073F"/>
    <w:rsid w:val="00515407"/>
    <w:rsid w:val="00515B2F"/>
    <w:rsid w:val="005244FC"/>
    <w:rsid w:val="0052687A"/>
    <w:rsid w:val="00532AB0"/>
    <w:rsid w:val="00543073"/>
    <w:rsid w:val="00550187"/>
    <w:rsid w:val="005641C9"/>
    <w:rsid w:val="00565D36"/>
    <w:rsid w:val="00570974"/>
    <w:rsid w:val="00571BFB"/>
    <w:rsid w:val="0057547A"/>
    <w:rsid w:val="005860B5"/>
    <w:rsid w:val="00586FCE"/>
    <w:rsid w:val="005958D6"/>
    <w:rsid w:val="005964CF"/>
    <w:rsid w:val="00596F4F"/>
    <w:rsid w:val="005A3CFD"/>
    <w:rsid w:val="005A6059"/>
    <w:rsid w:val="005A6174"/>
    <w:rsid w:val="005C1E6D"/>
    <w:rsid w:val="005C4929"/>
    <w:rsid w:val="005C65EB"/>
    <w:rsid w:val="005D041C"/>
    <w:rsid w:val="005E360F"/>
    <w:rsid w:val="005F5BE6"/>
    <w:rsid w:val="005F6F6C"/>
    <w:rsid w:val="00603B3F"/>
    <w:rsid w:val="00624047"/>
    <w:rsid w:val="006271C6"/>
    <w:rsid w:val="00627B0A"/>
    <w:rsid w:val="00637098"/>
    <w:rsid w:val="00641906"/>
    <w:rsid w:val="0064312D"/>
    <w:rsid w:val="00645678"/>
    <w:rsid w:val="00654BA8"/>
    <w:rsid w:val="00660FB6"/>
    <w:rsid w:val="00663AF2"/>
    <w:rsid w:val="00670716"/>
    <w:rsid w:val="00671216"/>
    <w:rsid w:val="00674611"/>
    <w:rsid w:val="00674AD7"/>
    <w:rsid w:val="006760D3"/>
    <w:rsid w:val="0067677D"/>
    <w:rsid w:val="00681986"/>
    <w:rsid w:val="00681C07"/>
    <w:rsid w:val="0068266A"/>
    <w:rsid w:val="00686F06"/>
    <w:rsid w:val="00687290"/>
    <w:rsid w:val="0069375F"/>
    <w:rsid w:val="00693876"/>
    <w:rsid w:val="00693D5E"/>
    <w:rsid w:val="006940DB"/>
    <w:rsid w:val="0069489A"/>
    <w:rsid w:val="00695436"/>
    <w:rsid w:val="00696659"/>
    <w:rsid w:val="006A0BDF"/>
    <w:rsid w:val="006A4B7F"/>
    <w:rsid w:val="006A53BB"/>
    <w:rsid w:val="006B54A5"/>
    <w:rsid w:val="006C59D5"/>
    <w:rsid w:val="006E68F0"/>
    <w:rsid w:val="006F32BF"/>
    <w:rsid w:val="006F5DB7"/>
    <w:rsid w:val="006F6B0E"/>
    <w:rsid w:val="00706F43"/>
    <w:rsid w:val="00724E33"/>
    <w:rsid w:val="00733005"/>
    <w:rsid w:val="0074661C"/>
    <w:rsid w:val="00750397"/>
    <w:rsid w:val="00766475"/>
    <w:rsid w:val="0077364D"/>
    <w:rsid w:val="00773659"/>
    <w:rsid w:val="00773A07"/>
    <w:rsid w:val="00794C5F"/>
    <w:rsid w:val="007A0103"/>
    <w:rsid w:val="007A2277"/>
    <w:rsid w:val="007A7AB3"/>
    <w:rsid w:val="007B5076"/>
    <w:rsid w:val="007C10E7"/>
    <w:rsid w:val="007C5431"/>
    <w:rsid w:val="007D58C8"/>
    <w:rsid w:val="007D69B7"/>
    <w:rsid w:val="007F3322"/>
    <w:rsid w:val="007F4E77"/>
    <w:rsid w:val="00805358"/>
    <w:rsid w:val="008070A8"/>
    <w:rsid w:val="00810499"/>
    <w:rsid w:val="0081166D"/>
    <w:rsid w:val="00811876"/>
    <w:rsid w:val="0081203C"/>
    <w:rsid w:val="00813B38"/>
    <w:rsid w:val="00814F8D"/>
    <w:rsid w:val="0082184A"/>
    <w:rsid w:val="00821F3F"/>
    <w:rsid w:val="00827072"/>
    <w:rsid w:val="008317B5"/>
    <w:rsid w:val="00831D58"/>
    <w:rsid w:val="008441CF"/>
    <w:rsid w:val="0084470A"/>
    <w:rsid w:val="00845A20"/>
    <w:rsid w:val="00847E4A"/>
    <w:rsid w:val="00853C46"/>
    <w:rsid w:val="00854E5A"/>
    <w:rsid w:val="00857AA4"/>
    <w:rsid w:val="00862DCE"/>
    <w:rsid w:val="008727D9"/>
    <w:rsid w:val="00875DBC"/>
    <w:rsid w:val="0087707C"/>
    <w:rsid w:val="0088124E"/>
    <w:rsid w:val="00895953"/>
    <w:rsid w:val="008A1FDF"/>
    <w:rsid w:val="008B40B0"/>
    <w:rsid w:val="008C203A"/>
    <w:rsid w:val="008C3C70"/>
    <w:rsid w:val="008C484B"/>
    <w:rsid w:val="008C584E"/>
    <w:rsid w:val="008C5F1A"/>
    <w:rsid w:val="008D65A2"/>
    <w:rsid w:val="008E3483"/>
    <w:rsid w:val="008F2EDF"/>
    <w:rsid w:val="008F4C58"/>
    <w:rsid w:val="00901486"/>
    <w:rsid w:val="00902BF3"/>
    <w:rsid w:val="0090572C"/>
    <w:rsid w:val="009060F2"/>
    <w:rsid w:val="0091080B"/>
    <w:rsid w:val="00916A72"/>
    <w:rsid w:val="0092080F"/>
    <w:rsid w:val="00926833"/>
    <w:rsid w:val="00926EBA"/>
    <w:rsid w:val="00932FA9"/>
    <w:rsid w:val="00954FD8"/>
    <w:rsid w:val="009670B7"/>
    <w:rsid w:val="00967B05"/>
    <w:rsid w:val="009723D1"/>
    <w:rsid w:val="009732C1"/>
    <w:rsid w:val="00977705"/>
    <w:rsid w:val="00990E33"/>
    <w:rsid w:val="0099546E"/>
    <w:rsid w:val="009B345F"/>
    <w:rsid w:val="009B4ECF"/>
    <w:rsid w:val="009C4A1B"/>
    <w:rsid w:val="009D1E6C"/>
    <w:rsid w:val="009D5783"/>
    <w:rsid w:val="009D67A8"/>
    <w:rsid w:val="009F1AF6"/>
    <w:rsid w:val="009F7219"/>
    <w:rsid w:val="00A07A2F"/>
    <w:rsid w:val="00A10B2B"/>
    <w:rsid w:val="00A213A8"/>
    <w:rsid w:val="00A21F3E"/>
    <w:rsid w:val="00A52C33"/>
    <w:rsid w:val="00A63063"/>
    <w:rsid w:val="00A64EC4"/>
    <w:rsid w:val="00A7023B"/>
    <w:rsid w:val="00A71037"/>
    <w:rsid w:val="00A73F0E"/>
    <w:rsid w:val="00A742EA"/>
    <w:rsid w:val="00A7600A"/>
    <w:rsid w:val="00AA43E4"/>
    <w:rsid w:val="00AA6088"/>
    <w:rsid w:val="00AB65E7"/>
    <w:rsid w:val="00AC46BE"/>
    <w:rsid w:val="00AC54B7"/>
    <w:rsid w:val="00AD3414"/>
    <w:rsid w:val="00AD500F"/>
    <w:rsid w:val="00AE2CB4"/>
    <w:rsid w:val="00AE4A9D"/>
    <w:rsid w:val="00AE6898"/>
    <w:rsid w:val="00AE6C8D"/>
    <w:rsid w:val="00AF080D"/>
    <w:rsid w:val="00AF1F6A"/>
    <w:rsid w:val="00AF6545"/>
    <w:rsid w:val="00B00FC3"/>
    <w:rsid w:val="00B04F26"/>
    <w:rsid w:val="00B10BEA"/>
    <w:rsid w:val="00B118A3"/>
    <w:rsid w:val="00B327FF"/>
    <w:rsid w:val="00B34515"/>
    <w:rsid w:val="00B52584"/>
    <w:rsid w:val="00B52F5E"/>
    <w:rsid w:val="00B56D78"/>
    <w:rsid w:val="00B60D1B"/>
    <w:rsid w:val="00B665E6"/>
    <w:rsid w:val="00B727F3"/>
    <w:rsid w:val="00B72954"/>
    <w:rsid w:val="00B77908"/>
    <w:rsid w:val="00B82A5B"/>
    <w:rsid w:val="00B90F17"/>
    <w:rsid w:val="00B92DE4"/>
    <w:rsid w:val="00B94B30"/>
    <w:rsid w:val="00B95EB3"/>
    <w:rsid w:val="00BA7618"/>
    <w:rsid w:val="00BA7D17"/>
    <w:rsid w:val="00BB076E"/>
    <w:rsid w:val="00BB1CF2"/>
    <w:rsid w:val="00BB50F2"/>
    <w:rsid w:val="00BB7291"/>
    <w:rsid w:val="00BB7A25"/>
    <w:rsid w:val="00BC0A3C"/>
    <w:rsid w:val="00BC360E"/>
    <w:rsid w:val="00BC52A2"/>
    <w:rsid w:val="00BC5916"/>
    <w:rsid w:val="00BC621F"/>
    <w:rsid w:val="00BE7EDB"/>
    <w:rsid w:val="00BF7AE5"/>
    <w:rsid w:val="00C01768"/>
    <w:rsid w:val="00C032F0"/>
    <w:rsid w:val="00C03503"/>
    <w:rsid w:val="00C10E3A"/>
    <w:rsid w:val="00C14388"/>
    <w:rsid w:val="00C20621"/>
    <w:rsid w:val="00C21933"/>
    <w:rsid w:val="00C22C9D"/>
    <w:rsid w:val="00C23D80"/>
    <w:rsid w:val="00C25EE2"/>
    <w:rsid w:val="00C352CF"/>
    <w:rsid w:val="00C41649"/>
    <w:rsid w:val="00C44D77"/>
    <w:rsid w:val="00C52681"/>
    <w:rsid w:val="00C52B2B"/>
    <w:rsid w:val="00C55A0B"/>
    <w:rsid w:val="00C57E29"/>
    <w:rsid w:val="00C6300D"/>
    <w:rsid w:val="00C634F0"/>
    <w:rsid w:val="00C63E8C"/>
    <w:rsid w:val="00C659A7"/>
    <w:rsid w:val="00C7029D"/>
    <w:rsid w:val="00C74074"/>
    <w:rsid w:val="00C750B4"/>
    <w:rsid w:val="00C76FFC"/>
    <w:rsid w:val="00C91212"/>
    <w:rsid w:val="00C9259F"/>
    <w:rsid w:val="00C9293B"/>
    <w:rsid w:val="00CA3398"/>
    <w:rsid w:val="00CA40FA"/>
    <w:rsid w:val="00CA6926"/>
    <w:rsid w:val="00CA735C"/>
    <w:rsid w:val="00CB3AD5"/>
    <w:rsid w:val="00CB5810"/>
    <w:rsid w:val="00CC15B3"/>
    <w:rsid w:val="00CC1AC9"/>
    <w:rsid w:val="00CC23D7"/>
    <w:rsid w:val="00CC27F8"/>
    <w:rsid w:val="00CC7D35"/>
    <w:rsid w:val="00CD0D86"/>
    <w:rsid w:val="00CD3763"/>
    <w:rsid w:val="00CD71EB"/>
    <w:rsid w:val="00CE3CC8"/>
    <w:rsid w:val="00CE5861"/>
    <w:rsid w:val="00CF0248"/>
    <w:rsid w:val="00CF1288"/>
    <w:rsid w:val="00CF3292"/>
    <w:rsid w:val="00CF3A63"/>
    <w:rsid w:val="00D0152E"/>
    <w:rsid w:val="00D13CE6"/>
    <w:rsid w:val="00D13D39"/>
    <w:rsid w:val="00D167AE"/>
    <w:rsid w:val="00D170DC"/>
    <w:rsid w:val="00D17D67"/>
    <w:rsid w:val="00D23BD5"/>
    <w:rsid w:val="00D2518B"/>
    <w:rsid w:val="00D300DD"/>
    <w:rsid w:val="00D32C62"/>
    <w:rsid w:val="00D32E4E"/>
    <w:rsid w:val="00D35790"/>
    <w:rsid w:val="00D366D1"/>
    <w:rsid w:val="00D40183"/>
    <w:rsid w:val="00D5372B"/>
    <w:rsid w:val="00D5385A"/>
    <w:rsid w:val="00D56006"/>
    <w:rsid w:val="00D57387"/>
    <w:rsid w:val="00D623F5"/>
    <w:rsid w:val="00D770A3"/>
    <w:rsid w:val="00D87DC9"/>
    <w:rsid w:val="00D9193E"/>
    <w:rsid w:val="00D927D6"/>
    <w:rsid w:val="00D93EAC"/>
    <w:rsid w:val="00DA0D39"/>
    <w:rsid w:val="00DA2F9E"/>
    <w:rsid w:val="00DB4A50"/>
    <w:rsid w:val="00DC3B8B"/>
    <w:rsid w:val="00DC467D"/>
    <w:rsid w:val="00DE107C"/>
    <w:rsid w:val="00DE2F61"/>
    <w:rsid w:val="00DE51A0"/>
    <w:rsid w:val="00DF2758"/>
    <w:rsid w:val="00DF7050"/>
    <w:rsid w:val="00E12733"/>
    <w:rsid w:val="00E12CA3"/>
    <w:rsid w:val="00E20142"/>
    <w:rsid w:val="00E21EA5"/>
    <w:rsid w:val="00E261A3"/>
    <w:rsid w:val="00E266A1"/>
    <w:rsid w:val="00E35872"/>
    <w:rsid w:val="00E37B31"/>
    <w:rsid w:val="00E45B76"/>
    <w:rsid w:val="00E46248"/>
    <w:rsid w:val="00E53414"/>
    <w:rsid w:val="00E62925"/>
    <w:rsid w:val="00E62CEB"/>
    <w:rsid w:val="00E6361A"/>
    <w:rsid w:val="00E67D01"/>
    <w:rsid w:val="00E72DF7"/>
    <w:rsid w:val="00E833DA"/>
    <w:rsid w:val="00E8724C"/>
    <w:rsid w:val="00E91748"/>
    <w:rsid w:val="00E94E57"/>
    <w:rsid w:val="00EB0C79"/>
    <w:rsid w:val="00EB1980"/>
    <w:rsid w:val="00EB1D31"/>
    <w:rsid w:val="00EB720E"/>
    <w:rsid w:val="00EC3EC3"/>
    <w:rsid w:val="00EC54C3"/>
    <w:rsid w:val="00EC76A0"/>
    <w:rsid w:val="00ED104A"/>
    <w:rsid w:val="00ED6DCE"/>
    <w:rsid w:val="00EE4C2B"/>
    <w:rsid w:val="00EE4DA7"/>
    <w:rsid w:val="00EE5E7F"/>
    <w:rsid w:val="00EF1C3E"/>
    <w:rsid w:val="00F01326"/>
    <w:rsid w:val="00F023C9"/>
    <w:rsid w:val="00F0448B"/>
    <w:rsid w:val="00F04BE2"/>
    <w:rsid w:val="00F0529F"/>
    <w:rsid w:val="00F06353"/>
    <w:rsid w:val="00F20FA9"/>
    <w:rsid w:val="00F23615"/>
    <w:rsid w:val="00F24162"/>
    <w:rsid w:val="00F33BD8"/>
    <w:rsid w:val="00F34E45"/>
    <w:rsid w:val="00F406BB"/>
    <w:rsid w:val="00F414E3"/>
    <w:rsid w:val="00F4414D"/>
    <w:rsid w:val="00F53820"/>
    <w:rsid w:val="00F5388F"/>
    <w:rsid w:val="00F53F0A"/>
    <w:rsid w:val="00F6180D"/>
    <w:rsid w:val="00F62830"/>
    <w:rsid w:val="00F64342"/>
    <w:rsid w:val="00F64F43"/>
    <w:rsid w:val="00F675AA"/>
    <w:rsid w:val="00F72FC4"/>
    <w:rsid w:val="00F757CF"/>
    <w:rsid w:val="00F757F1"/>
    <w:rsid w:val="00F76815"/>
    <w:rsid w:val="00F77722"/>
    <w:rsid w:val="00F8733F"/>
    <w:rsid w:val="00F873A6"/>
    <w:rsid w:val="00F92204"/>
    <w:rsid w:val="00F936DD"/>
    <w:rsid w:val="00FA152B"/>
    <w:rsid w:val="00FA4A53"/>
    <w:rsid w:val="00FB4437"/>
    <w:rsid w:val="00FC0BF3"/>
    <w:rsid w:val="00FC2C3F"/>
    <w:rsid w:val="00FC6019"/>
    <w:rsid w:val="00FC67DA"/>
    <w:rsid w:val="00FD6A58"/>
    <w:rsid w:val="00FE2CBE"/>
    <w:rsid w:val="00FE39AC"/>
    <w:rsid w:val="00FE4E28"/>
    <w:rsid w:val="00FF6302"/>
    <w:rsid w:val="00FF6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E9303"/>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basedOn w:val="Normal"/>
    <w:uiPriority w:val="99"/>
    <w:rsid w:val="00E35872"/>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E35872"/>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12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6730">
      <w:bodyDiv w:val="1"/>
      <w:marLeft w:val="0"/>
      <w:marRight w:val="0"/>
      <w:marTop w:val="0"/>
      <w:marBottom w:val="0"/>
      <w:divBdr>
        <w:top w:val="none" w:sz="0" w:space="0" w:color="auto"/>
        <w:left w:val="none" w:sz="0" w:space="0" w:color="auto"/>
        <w:bottom w:val="none" w:sz="0" w:space="0" w:color="auto"/>
        <w:right w:val="none" w:sz="0" w:space="0" w:color="auto"/>
      </w:divBdr>
    </w:div>
    <w:div w:id="616331235">
      <w:bodyDiv w:val="1"/>
      <w:marLeft w:val="0"/>
      <w:marRight w:val="0"/>
      <w:marTop w:val="0"/>
      <w:marBottom w:val="0"/>
      <w:divBdr>
        <w:top w:val="none" w:sz="0" w:space="0" w:color="auto"/>
        <w:left w:val="none" w:sz="0" w:space="0" w:color="auto"/>
        <w:bottom w:val="none" w:sz="0" w:space="0" w:color="auto"/>
        <w:right w:val="none" w:sz="0" w:space="0" w:color="auto"/>
      </w:divBdr>
    </w:div>
    <w:div w:id="636761683">
      <w:bodyDiv w:val="1"/>
      <w:marLeft w:val="0"/>
      <w:marRight w:val="0"/>
      <w:marTop w:val="0"/>
      <w:marBottom w:val="0"/>
      <w:divBdr>
        <w:top w:val="none" w:sz="0" w:space="0" w:color="auto"/>
        <w:left w:val="none" w:sz="0" w:space="0" w:color="auto"/>
        <w:bottom w:val="none" w:sz="0" w:space="0" w:color="auto"/>
        <w:right w:val="none" w:sz="0" w:space="0" w:color="auto"/>
      </w:divBdr>
    </w:div>
    <w:div w:id="893783440">
      <w:bodyDiv w:val="1"/>
      <w:marLeft w:val="0"/>
      <w:marRight w:val="0"/>
      <w:marTop w:val="0"/>
      <w:marBottom w:val="0"/>
      <w:divBdr>
        <w:top w:val="none" w:sz="0" w:space="0" w:color="auto"/>
        <w:left w:val="none" w:sz="0" w:space="0" w:color="auto"/>
        <w:bottom w:val="none" w:sz="0" w:space="0" w:color="auto"/>
        <w:right w:val="none" w:sz="0" w:space="0" w:color="auto"/>
      </w:divBdr>
    </w:div>
    <w:div w:id="1109547739">
      <w:bodyDiv w:val="1"/>
      <w:marLeft w:val="0"/>
      <w:marRight w:val="0"/>
      <w:marTop w:val="0"/>
      <w:marBottom w:val="0"/>
      <w:divBdr>
        <w:top w:val="none" w:sz="0" w:space="0" w:color="auto"/>
        <w:left w:val="none" w:sz="0" w:space="0" w:color="auto"/>
        <w:bottom w:val="none" w:sz="0" w:space="0" w:color="auto"/>
        <w:right w:val="none" w:sz="0" w:space="0" w:color="auto"/>
      </w:divBdr>
    </w:div>
    <w:div w:id="1256161226">
      <w:bodyDiv w:val="1"/>
      <w:marLeft w:val="0"/>
      <w:marRight w:val="0"/>
      <w:marTop w:val="0"/>
      <w:marBottom w:val="0"/>
      <w:divBdr>
        <w:top w:val="none" w:sz="0" w:space="0" w:color="auto"/>
        <w:left w:val="none" w:sz="0" w:space="0" w:color="auto"/>
        <w:bottom w:val="none" w:sz="0" w:space="0" w:color="auto"/>
        <w:right w:val="none" w:sz="0" w:space="0" w:color="auto"/>
      </w:divBdr>
    </w:div>
    <w:div w:id="1354111849">
      <w:bodyDiv w:val="1"/>
      <w:marLeft w:val="0"/>
      <w:marRight w:val="0"/>
      <w:marTop w:val="0"/>
      <w:marBottom w:val="0"/>
      <w:divBdr>
        <w:top w:val="none" w:sz="0" w:space="0" w:color="auto"/>
        <w:left w:val="none" w:sz="0" w:space="0" w:color="auto"/>
        <w:bottom w:val="none" w:sz="0" w:space="0" w:color="auto"/>
        <w:right w:val="none" w:sz="0" w:space="0" w:color="auto"/>
      </w:divBdr>
    </w:div>
    <w:div w:id="1446192325">
      <w:bodyDiv w:val="1"/>
      <w:marLeft w:val="0"/>
      <w:marRight w:val="0"/>
      <w:marTop w:val="0"/>
      <w:marBottom w:val="0"/>
      <w:divBdr>
        <w:top w:val="none" w:sz="0" w:space="0" w:color="auto"/>
        <w:left w:val="none" w:sz="0" w:space="0" w:color="auto"/>
        <w:bottom w:val="none" w:sz="0" w:space="0" w:color="auto"/>
        <w:right w:val="none" w:sz="0" w:space="0" w:color="auto"/>
      </w:divBdr>
    </w:div>
    <w:div w:id="153708207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1212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 A C C C a n d A E R ! 1 1 9 2 8 5 2 3 . 3 < / d o c u m e n t i d >  
     < s e n d e r i d > R C A S S < / s e n d e r i d >  
     < s e n d e r e m a i l > R H Y S . C A S S I D Y @ A C C C . G O V . A U < / s e n d e r e m a i l >  
     < l a s t m o d i f i e d > 2 0 2 1 - 0 2 - 2 3 T 1 4 : 4 9 : 0 0 . 0 0 0 0 0 0 0 + 1 1 : 0 0 < / l a s t m o d i f i e d >  
     < d a t a b a s e > A C C C a n d A E R < / 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804E-AEBC-4415-A984-E8C7BAE6A203}">
  <ds:schemaRefs>
    <ds:schemaRef ds:uri="http://www.imanage.com/work/xmlschema"/>
  </ds:schemaRefs>
</ds:datastoreItem>
</file>

<file path=customXml/itemProps2.xml><?xml version="1.0" encoding="utf-8"?>
<ds:datastoreItem xmlns:ds="http://schemas.openxmlformats.org/officeDocument/2006/customXml" ds:itemID="{283493BE-5AF8-4DC4-8000-03EA7339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Reicher, Joseph</dc:creator>
  <cp:keywords/>
  <dc:description/>
  <cp:lastModifiedBy>Cranston, Richard</cp:lastModifiedBy>
  <cp:revision>2</cp:revision>
  <cp:lastPrinted>2020-10-02T07:25:00Z</cp:lastPrinted>
  <dcterms:created xsi:type="dcterms:W3CDTF">2021-03-02T23:00:00Z</dcterms:created>
  <dcterms:modified xsi:type="dcterms:W3CDTF">2021-03-02T23:00:00Z</dcterms:modified>
</cp:coreProperties>
</file>