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8CE88" w14:textId="77777777" w:rsidR="00527496" w:rsidRPr="00527496" w:rsidRDefault="00527496" w:rsidP="00527496">
      <w:pPr>
        <w:ind w:right="-2"/>
        <w:outlineLvl w:val="4"/>
        <w:rPr>
          <w:b/>
          <w:bCs/>
          <w:color w:val="000000"/>
          <w:sz w:val="24"/>
          <w:szCs w:val="24"/>
          <w:lang w:eastAsia="en-AU"/>
        </w:rPr>
      </w:pPr>
    </w:p>
    <w:p w14:paraId="39981AB0" w14:textId="77777777" w:rsidR="00527496" w:rsidRPr="00527496" w:rsidRDefault="00527496" w:rsidP="00527496">
      <w:pPr>
        <w:ind w:right="-2"/>
        <w:outlineLvl w:val="4"/>
        <w:rPr>
          <w:b/>
          <w:bCs/>
          <w:color w:val="000000"/>
          <w:sz w:val="24"/>
          <w:szCs w:val="24"/>
          <w:lang w:eastAsia="en-AU"/>
        </w:rPr>
      </w:pPr>
    </w:p>
    <w:p w14:paraId="1B449F44" w14:textId="77777777" w:rsidR="00527496" w:rsidRPr="00527496" w:rsidRDefault="00527496" w:rsidP="00527496">
      <w:pPr>
        <w:ind w:right="-2"/>
        <w:outlineLvl w:val="4"/>
        <w:rPr>
          <w:b/>
          <w:bCs/>
          <w:color w:val="000000"/>
          <w:sz w:val="50"/>
          <w:szCs w:val="50"/>
          <w:lang w:eastAsia="en-AU"/>
        </w:rPr>
      </w:pPr>
      <w:r w:rsidRPr="00527496">
        <w:rPr>
          <w:noProof/>
          <w:color w:val="0000FF"/>
          <w:lang w:eastAsia="en-AU"/>
        </w:rPr>
        <w:drawing>
          <wp:inline distT="0" distB="0" distL="0" distR="0" wp14:anchorId="46747620" wp14:editId="7CE4900C">
            <wp:extent cx="1854300" cy="1378363"/>
            <wp:effectExtent l="0" t="0" r="0" b="0"/>
            <wp:docPr id="4" name="irc_mi" descr="Image result for Australian government cres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ustralian government cres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432" cy="1380691"/>
                    </a:xfrm>
                    <a:prstGeom prst="rect">
                      <a:avLst/>
                    </a:prstGeom>
                    <a:noFill/>
                    <a:ln>
                      <a:noFill/>
                    </a:ln>
                  </pic:spPr>
                </pic:pic>
              </a:graphicData>
            </a:graphic>
          </wp:inline>
        </w:drawing>
      </w:r>
    </w:p>
    <w:p w14:paraId="329EB890" w14:textId="77777777" w:rsidR="00527496" w:rsidRPr="00527496" w:rsidRDefault="00527496" w:rsidP="00527496">
      <w:pPr>
        <w:ind w:right="-2"/>
        <w:outlineLvl w:val="4"/>
        <w:rPr>
          <w:b/>
          <w:bCs/>
          <w:color w:val="000000"/>
          <w:sz w:val="50"/>
          <w:szCs w:val="50"/>
          <w:lang w:eastAsia="en-AU"/>
        </w:rPr>
      </w:pPr>
    </w:p>
    <w:p w14:paraId="0E1B4362" w14:textId="77777777" w:rsidR="00527496" w:rsidRPr="00527496" w:rsidRDefault="00527496" w:rsidP="00527496">
      <w:pPr>
        <w:ind w:right="-2"/>
        <w:jc w:val="left"/>
        <w:outlineLvl w:val="4"/>
        <w:rPr>
          <w:b/>
          <w:bCs/>
          <w:i/>
          <w:color w:val="000000"/>
          <w:sz w:val="50"/>
          <w:szCs w:val="50"/>
          <w:lang w:eastAsia="en-AU"/>
        </w:rPr>
      </w:pPr>
      <w:r w:rsidRPr="00527496">
        <w:rPr>
          <w:b/>
          <w:bCs/>
          <w:i/>
          <w:color w:val="000000"/>
          <w:sz w:val="50"/>
          <w:szCs w:val="50"/>
          <w:lang w:eastAsia="en-AU"/>
        </w:rPr>
        <w:t>Australian National</w:t>
      </w:r>
      <w:r w:rsidR="00A40D8A">
        <w:rPr>
          <w:b/>
          <w:bCs/>
          <w:i/>
          <w:color w:val="000000"/>
          <w:sz w:val="50"/>
          <w:szCs w:val="50"/>
          <w:lang w:eastAsia="en-AU"/>
        </w:rPr>
        <w:t xml:space="preserve"> Audit Office Auditing Standards </w:t>
      </w:r>
      <w:r w:rsidR="00BD2AAD">
        <w:rPr>
          <w:b/>
          <w:bCs/>
          <w:i/>
          <w:color w:val="000000"/>
          <w:sz w:val="50"/>
          <w:szCs w:val="50"/>
          <w:lang w:eastAsia="en-AU"/>
        </w:rPr>
        <w:t>2021</w:t>
      </w:r>
    </w:p>
    <w:p w14:paraId="46F4BCA0" w14:textId="77777777" w:rsidR="00527496" w:rsidRPr="00527496" w:rsidRDefault="00527496" w:rsidP="00527496">
      <w:pPr>
        <w:ind w:right="-2"/>
        <w:outlineLvl w:val="4"/>
        <w:rPr>
          <w:b/>
          <w:bCs/>
          <w:color w:val="000000"/>
          <w:sz w:val="50"/>
          <w:szCs w:val="50"/>
          <w:lang w:eastAsia="en-AU"/>
        </w:rPr>
      </w:pPr>
    </w:p>
    <w:p w14:paraId="35F51E8B" w14:textId="77777777" w:rsidR="00527496" w:rsidRPr="007846E0" w:rsidRDefault="00527496" w:rsidP="00527496">
      <w:pPr>
        <w:ind w:right="-2"/>
        <w:outlineLvl w:val="4"/>
        <w:rPr>
          <w:bCs/>
          <w:color w:val="000000"/>
          <w:szCs w:val="22"/>
          <w:lang w:eastAsia="en-AU"/>
        </w:rPr>
      </w:pPr>
      <w:r w:rsidRPr="007846E0">
        <w:rPr>
          <w:bCs/>
          <w:color w:val="000000"/>
          <w:szCs w:val="22"/>
          <w:lang w:eastAsia="en-AU"/>
        </w:rPr>
        <w:t>I, Grant Hehir, Auditor-General, make the following instrument.</w:t>
      </w:r>
    </w:p>
    <w:p w14:paraId="17A17ADD" w14:textId="77777777" w:rsidR="00527496" w:rsidRPr="007846E0" w:rsidRDefault="00527496" w:rsidP="00527496">
      <w:pPr>
        <w:ind w:right="-2"/>
        <w:outlineLvl w:val="4"/>
        <w:rPr>
          <w:bCs/>
          <w:color w:val="000000"/>
          <w:szCs w:val="22"/>
          <w:lang w:eastAsia="en-AU"/>
        </w:rPr>
      </w:pPr>
    </w:p>
    <w:p w14:paraId="28F324E3" w14:textId="4D4BB6C8" w:rsidR="00527496" w:rsidRPr="00E408C5" w:rsidRDefault="00527496" w:rsidP="00527496">
      <w:pPr>
        <w:ind w:right="-2"/>
        <w:rPr>
          <w:color w:val="000000"/>
          <w:szCs w:val="22"/>
        </w:rPr>
      </w:pPr>
      <w:r w:rsidRPr="007846E0">
        <w:rPr>
          <w:bCs/>
          <w:color w:val="000000"/>
          <w:szCs w:val="22"/>
          <w:lang w:eastAsia="en-AU"/>
        </w:rPr>
        <w:t>Dated</w:t>
      </w:r>
      <w:r w:rsidR="00EC62BF">
        <w:rPr>
          <w:bCs/>
          <w:color w:val="000000"/>
          <w:szCs w:val="22"/>
          <w:lang w:eastAsia="en-AU"/>
        </w:rPr>
        <w:t xml:space="preserve"> </w:t>
      </w:r>
      <w:r w:rsidR="00A15657">
        <w:rPr>
          <w:bCs/>
          <w:color w:val="000000"/>
          <w:szCs w:val="22"/>
          <w:lang w:eastAsia="en-AU"/>
        </w:rPr>
        <w:t xml:space="preserve">26 </w:t>
      </w:r>
      <w:r w:rsidR="00E54DEE">
        <w:rPr>
          <w:color w:val="000000"/>
          <w:szCs w:val="22"/>
        </w:rPr>
        <w:t>February</w:t>
      </w:r>
      <w:r w:rsidR="00DA7C39">
        <w:rPr>
          <w:color w:val="000000"/>
          <w:szCs w:val="22"/>
        </w:rPr>
        <w:t xml:space="preserve"> </w:t>
      </w:r>
      <w:r w:rsidR="00BD2AAD">
        <w:rPr>
          <w:color w:val="000000"/>
          <w:szCs w:val="22"/>
        </w:rPr>
        <w:t>2021</w:t>
      </w:r>
    </w:p>
    <w:p w14:paraId="12DADF93" w14:textId="77777777" w:rsidR="00527496" w:rsidRPr="007846E0" w:rsidRDefault="00527496" w:rsidP="00527496">
      <w:pPr>
        <w:ind w:right="-2"/>
        <w:outlineLvl w:val="4"/>
        <w:rPr>
          <w:bCs/>
          <w:color w:val="000000"/>
          <w:szCs w:val="22"/>
          <w:lang w:eastAsia="en-AU"/>
        </w:rPr>
      </w:pPr>
    </w:p>
    <w:p w14:paraId="71BFCC56" w14:textId="77777777" w:rsidR="00527496" w:rsidRPr="00527496" w:rsidRDefault="00527496" w:rsidP="00527496">
      <w:pPr>
        <w:ind w:right="-2"/>
        <w:outlineLvl w:val="4"/>
        <w:rPr>
          <w:b/>
          <w:bCs/>
          <w:color w:val="000000"/>
          <w:sz w:val="24"/>
          <w:szCs w:val="24"/>
          <w:lang w:eastAsia="en-AU"/>
        </w:rPr>
      </w:pPr>
    </w:p>
    <w:p w14:paraId="660EF973" w14:textId="77777777" w:rsidR="00527496" w:rsidRPr="00527496" w:rsidRDefault="00527496" w:rsidP="00527496">
      <w:pPr>
        <w:ind w:right="-2"/>
        <w:outlineLvl w:val="4"/>
        <w:rPr>
          <w:b/>
          <w:bCs/>
          <w:color w:val="000000"/>
          <w:sz w:val="24"/>
          <w:szCs w:val="24"/>
          <w:lang w:eastAsia="en-AU"/>
        </w:rPr>
      </w:pPr>
    </w:p>
    <w:p w14:paraId="67849481" w14:textId="77777777" w:rsidR="00527496" w:rsidRPr="00527496" w:rsidRDefault="00527496" w:rsidP="00527496">
      <w:pPr>
        <w:ind w:right="-2"/>
        <w:outlineLvl w:val="4"/>
        <w:rPr>
          <w:b/>
          <w:bCs/>
          <w:color w:val="000000"/>
          <w:sz w:val="24"/>
          <w:szCs w:val="24"/>
          <w:lang w:eastAsia="en-AU"/>
        </w:rPr>
      </w:pPr>
      <w:bookmarkStart w:id="0" w:name="_GoBack"/>
      <w:bookmarkEnd w:id="0"/>
    </w:p>
    <w:p w14:paraId="64420FFF" w14:textId="77777777" w:rsidR="00527496" w:rsidRPr="00527496" w:rsidRDefault="00527496" w:rsidP="00527496">
      <w:pPr>
        <w:ind w:right="-2"/>
        <w:outlineLvl w:val="4"/>
        <w:rPr>
          <w:b/>
          <w:bCs/>
          <w:color w:val="000000"/>
          <w:sz w:val="24"/>
          <w:szCs w:val="24"/>
          <w:lang w:eastAsia="en-AU"/>
        </w:rPr>
      </w:pPr>
    </w:p>
    <w:p w14:paraId="556CA27F" w14:textId="77777777" w:rsidR="00527496" w:rsidRPr="00527496" w:rsidRDefault="00527496" w:rsidP="00527496">
      <w:pPr>
        <w:ind w:right="-2"/>
        <w:outlineLvl w:val="4"/>
        <w:rPr>
          <w:b/>
          <w:bCs/>
          <w:color w:val="000000"/>
          <w:sz w:val="24"/>
          <w:szCs w:val="24"/>
          <w:lang w:eastAsia="en-AU"/>
        </w:rPr>
      </w:pPr>
    </w:p>
    <w:p w14:paraId="43A2BB74" w14:textId="77777777" w:rsidR="00527496" w:rsidRPr="00527496" w:rsidRDefault="00527496" w:rsidP="00527496">
      <w:pPr>
        <w:ind w:right="-2"/>
        <w:outlineLvl w:val="4"/>
        <w:rPr>
          <w:b/>
          <w:bCs/>
          <w:color w:val="000000"/>
          <w:sz w:val="24"/>
          <w:szCs w:val="24"/>
          <w:lang w:eastAsia="en-AU"/>
        </w:rPr>
      </w:pPr>
    </w:p>
    <w:p w14:paraId="54FE1865" w14:textId="77777777" w:rsidR="00527496" w:rsidRPr="00527496" w:rsidRDefault="00527496" w:rsidP="00527496">
      <w:pPr>
        <w:ind w:right="-2"/>
        <w:outlineLvl w:val="4"/>
        <w:rPr>
          <w:b/>
          <w:bCs/>
          <w:color w:val="000000"/>
          <w:sz w:val="24"/>
          <w:szCs w:val="24"/>
          <w:lang w:eastAsia="en-AU"/>
        </w:rPr>
      </w:pPr>
    </w:p>
    <w:p w14:paraId="32FAD0EE" w14:textId="77777777" w:rsidR="00527496" w:rsidRPr="00527496" w:rsidRDefault="00527496" w:rsidP="00527496">
      <w:pPr>
        <w:ind w:right="-2"/>
        <w:outlineLvl w:val="4"/>
        <w:rPr>
          <w:b/>
          <w:bCs/>
          <w:color w:val="000000"/>
          <w:sz w:val="24"/>
          <w:szCs w:val="24"/>
          <w:lang w:eastAsia="en-AU"/>
        </w:rPr>
      </w:pPr>
    </w:p>
    <w:p w14:paraId="5B2E0610" w14:textId="77777777" w:rsidR="00527496" w:rsidRPr="00527496" w:rsidRDefault="00527496" w:rsidP="00527496">
      <w:pPr>
        <w:ind w:right="-2"/>
        <w:outlineLvl w:val="4"/>
        <w:rPr>
          <w:b/>
          <w:bCs/>
          <w:color w:val="000000"/>
          <w:sz w:val="24"/>
          <w:szCs w:val="24"/>
          <w:lang w:eastAsia="en-AU"/>
        </w:rPr>
      </w:pPr>
    </w:p>
    <w:p w14:paraId="0FAB7838" w14:textId="77777777" w:rsidR="00527496" w:rsidRPr="00527496" w:rsidRDefault="00527496" w:rsidP="00527496">
      <w:pPr>
        <w:ind w:right="-2"/>
        <w:outlineLvl w:val="4"/>
        <w:rPr>
          <w:b/>
          <w:bCs/>
          <w:color w:val="000000"/>
          <w:sz w:val="24"/>
          <w:szCs w:val="24"/>
          <w:lang w:eastAsia="en-AU"/>
        </w:rPr>
      </w:pPr>
    </w:p>
    <w:p w14:paraId="402FBF1B" w14:textId="77777777" w:rsidR="00527496" w:rsidRPr="00527496" w:rsidRDefault="00527496" w:rsidP="00527496">
      <w:pPr>
        <w:ind w:right="-2"/>
        <w:outlineLvl w:val="4"/>
        <w:rPr>
          <w:b/>
          <w:bCs/>
          <w:color w:val="000000"/>
          <w:sz w:val="24"/>
          <w:szCs w:val="24"/>
          <w:lang w:eastAsia="en-AU"/>
        </w:rPr>
      </w:pPr>
    </w:p>
    <w:p w14:paraId="02C34295" w14:textId="77777777" w:rsidR="00527496" w:rsidRPr="00527496" w:rsidRDefault="00527496" w:rsidP="00527496">
      <w:pPr>
        <w:ind w:right="-2"/>
        <w:outlineLvl w:val="4"/>
        <w:rPr>
          <w:bCs/>
          <w:color w:val="000000"/>
          <w:lang w:eastAsia="en-AU"/>
        </w:rPr>
      </w:pPr>
    </w:p>
    <w:p w14:paraId="17DE0474" w14:textId="77777777" w:rsidR="00527496" w:rsidRPr="00527496" w:rsidRDefault="00527496" w:rsidP="00527496">
      <w:pPr>
        <w:ind w:right="-2"/>
        <w:outlineLvl w:val="4"/>
        <w:rPr>
          <w:bCs/>
          <w:color w:val="000000"/>
          <w:lang w:eastAsia="en-AU"/>
        </w:rPr>
      </w:pPr>
    </w:p>
    <w:p w14:paraId="3B5DA412" w14:textId="77777777" w:rsidR="00527496" w:rsidRPr="00527496" w:rsidRDefault="00527496" w:rsidP="00527496">
      <w:pPr>
        <w:ind w:right="-2"/>
        <w:outlineLvl w:val="4"/>
        <w:rPr>
          <w:bCs/>
          <w:color w:val="000000"/>
          <w:lang w:eastAsia="en-AU"/>
        </w:rPr>
      </w:pPr>
    </w:p>
    <w:p w14:paraId="126C0D6D" w14:textId="77777777" w:rsidR="00527496" w:rsidRPr="00527496" w:rsidRDefault="00527496" w:rsidP="00527496">
      <w:pPr>
        <w:ind w:right="-2"/>
        <w:outlineLvl w:val="4"/>
        <w:rPr>
          <w:bCs/>
          <w:color w:val="000000"/>
          <w:lang w:eastAsia="en-AU"/>
        </w:rPr>
      </w:pPr>
    </w:p>
    <w:p w14:paraId="564BBBA1" w14:textId="77777777" w:rsidR="00527496" w:rsidRPr="00527496" w:rsidRDefault="00527496" w:rsidP="00527496">
      <w:pPr>
        <w:ind w:right="-2"/>
        <w:outlineLvl w:val="4"/>
        <w:rPr>
          <w:bCs/>
          <w:color w:val="000000"/>
          <w:lang w:eastAsia="en-AU"/>
        </w:rPr>
      </w:pPr>
    </w:p>
    <w:p w14:paraId="3269EFB3" w14:textId="77777777" w:rsidR="00527496" w:rsidRPr="00527496" w:rsidRDefault="00527496" w:rsidP="00527496">
      <w:pPr>
        <w:ind w:right="-2"/>
        <w:outlineLvl w:val="4"/>
        <w:rPr>
          <w:bCs/>
          <w:color w:val="000000"/>
          <w:lang w:eastAsia="en-AU"/>
        </w:rPr>
      </w:pPr>
    </w:p>
    <w:p w14:paraId="251D6232" w14:textId="77777777" w:rsidR="00527496" w:rsidRPr="00527496" w:rsidRDefault="00527496" w:rsidP="00527496">
      <w:pPr>
        <w:ind w:right="-2"/>
        <w:outlineLvl w:val="4"/>
        <w:rPr>
          <w:bCs/>
          <w:color w:val="000000"/>
          <w:lang w:eastAsia="en-AU"/>
        </w:rPr>
      </w:pPr>
    </w:p>
    <w:p w14:paraId="734CEC88" w14:textId="77777777" w:rsidR="00527496" w:rsidRPr="00527496" w:rsidRDefault="00527496" w:rsidP="00527496">
      <w:pPr>
        <w:ind w:right="-2"/>
        <w:outlineLvl w:val="4"/>
        <w:rPr>
          <w:bCs/>
          <w:color w:val="000000"/>
          <w:lang w:eastAsia="en-AU"/>
        </w:rPr>
      </w:pPr>
      <w:r w:rsidRPr="00527496">
        <w:rPr>
          <w:bCs/>
          <w:color w:val="000000"/>
          <w:lang w:eastAsia="en-AU"/>
        </w:rPr>
        <w:t>Grant Hehir</w:t>
      </w:r>
    </w:p>
    <w:p w14:paraId="691B0B79" w14:textId="77777777" w:rsidR="00527496" w:rsidRPr="00527496" w:rsidRDefault="00527496" w:rsidP="00527496">
      <w:pPr>
        <w:ind w:right="-2"/>
        <w:outlineLvl w:val="4"/>
        <w:rPr>
          <w:b/>
          <w:bCs/>
          <w:color w:val="000000"/>
          <w:lang w:eastAsia="en-AU"/>
        </w:rPr>
      </w:pPr>
      <w:r w:rsidRPr="00527496">
        <w:rPr>
          <w:b/>
          <w:bCs/>
          <w:color w:val="000000"/>
          <w:lang w:eastAsia="en-AU"/>
        </w:rPr>
        <w:t>Auditor-General</w:t>
      </w:r>
    </w:p>
    <w:p w14:paraId="4D941AB7" w14:textId="77777777" w:rsidR="00527496" w:rsidRPr="006260BA" w:rsidRDefault="00527496" w:rsidP="00527496">
      <w:pPr>
        <w:overflowPunct/>
        <w:autoSpaceDE/>
        <w:autoSpaceDN/>
        <w:adjustRightInd/>
        <w:spacing w:after="200" w:line="276" w:lineRule="auto"/>
        <w:jc w:val="left"/>
        <w:textAlignment w:val="auto"/>
        <w:rPr>
          <w:b/>
          <w:sz w:val="26"/>
        </w:rPr>
      </w:pPr>
      <w:r w:rsidRPr="00527496">
        <w:rPr>
          <w:b/>
          <w:bCs/>
          <w:color w:val="0000FF"/>
          <w:sz w:val="26"/>
          <w:szCs w:val="26"/>
        </w:rPr>
        <w:br w:type="page"/>
      </w:r>
    </w:p>
    <w:p w14:paraId="45D1BEB0" w14:textId="77777777" w:rsidR="00427FF7" w:rsidRPr="00427FF7" w:rsidRDefault="00427FF7" w:rsidP="000B20BE">
      <w:pPr>
        <w:spacing w:after="120"/>
        <w:jc w:val="left"/>
        <w:rPr>
          <w:b/>
          <w:bCs/>
          <w:smallCaps/>
          <w:color w:val="0070C0"/>
          <w:sz w:val="16"/>
          <w:szCs w:val="16"/>
        </w:rPr>
      </w:pPr>
    </w:p>
    <w:p w14:paraId="1A8D4879" w14:textId="77777777" w:rsidR="00E150AC" w:rsidRPr="007846E0" w:rsidRDefault="00E150AC" w:rsidP="00E408C5">
      <w:pPr>
        <w:rPr>
          <w:rFonts w:ascii="Times Roman" w:eastAsia="Calibri" w:hAnsi="Times Roman"/>
          <w:b/>
          <w:color w:val="000000"/>
          <w:szCs w:val="22"/>
        </w:rPr>
      </w:pPr>
      <w:r w:rsidRPr="007846E0">
        <w:rPr>
          <w:rFonts w:ascii="Times Roman" w:eastAsia="Calibri" w:hAnsi="Times Roman"/>
          <w:b/>
          <w:color w:val="000000"/>
          <w:szCs w:val="22"/>
        </w:rPr>
        <w:t>Name</w:t>
      </w:r>
    </w:p>
    <w:p w14:paraId="3921F7F7" w14:textId="77777777" w:rsidR="00A40D8A" w:rsidRPr="007846E0" w:rsidRDefault="00A40D8A" w:rsidP="00E408C5">
      <w:pPr>
        <w:rPr>
          <w:rFonts w:ascii="Times Roman" w:eastAsia="Calibri" w:hAnsi="Times Roman"/>
          <w:b/>
          <w:color w:val="000000"/>
          <w:szCs w:val="22"/>
        </w:rPr>
      </w:pPr>
    </w:p>
    <w:p w14:paraId="6732866F" w14:textId="77777777" w:rsidR="00E150AC" w:rsidRPr="007846E0" w:rsidRDefault="00E150AC" w:rsidP="007846E0">
      <w:pPr>
        <w:pStyle w:val="ListParagraph"/>
        <w:numPr>
          <w:ilvl w:val="0"/>
          <w:numId w:val="10"/>
        </w:numPr>
        <w:rPr>
          <w:rFonts w:ascii="Times Roman" w:hAnsi="Times Roman"/>
          <w:color w:val="000000"/>
        </w:rPr>
      </w:pPr>
      <w:r w:rsidRPr="007846E0">
        <w:rPr>
          <w:rFonts w:ascii="Times Roman" w:hAnsi="Times Roman"/>
          <w:color w:val="000000"/>
        </w:rPr>
        <w:t xml:space="preserve">This instrument is the </w:t>
      </w:r>
      <w:r w:rsidRPr="007846E0">
        <w:rPr>
          <w:rFonts w:ascii="Times Roman" w:hAnsi="Times Roman"/>
          <w:i/>
          <w:color w:val="000000"/>
        </w:rPr>
        <w:t>Australian National Audit Office Auditing Standards</w:t>
      </w:r>
      <w:r w:rsidR="005D5FAD">
        <w:rPr>
          <w:rFonts w:ascii="Times Roman" w:hAnsi="Times Roman"/>
          <w:i/>
          <w:color w:val="000000"/>
        </w:rPr>
        <w:t xml:space="preserve"> </w:t>
      </w:r>
      <w:r w:rsidR="008F5DED" w:rsidRPr="000C0E7F">
        <w:rPr>
          <w:rFonts w:ascii="Times Roman" w:hAnsi="Times Roman"/>
          <w:i/>
        </w:rPr>
        <w:t>2021</w:t>
      </w:r>
      <w:r w:rsidRPr="006260BA">
        <w:rPr>
          <w:rFonts w:ascii="Times Roman" w:hAnsi="Times Roman"/>
        </w:rPr>
        <w:t>.</w:t>
      </w:r>
    </w:p>
    <w:p w14:paraId="5E3E4A2B" w14:textId="77777777" w:rsidR="00323F75" w:rsidRDefault="00323F75" w:rsidP="00E408C5">
      <w:pPr>
        <w:rPr>
          <w:rFonts w:ascii="Times Roman" w:eastAsia="Calibri" w:hAnsi="Times Roman"/>
          <w:b/>
          <w:color w:val="000000"/>
          <w:szCs w:val="22"/>
        </w:rPr>
      </w:pPr>
    </w:p>
    <w:p w14:paraId="185C4A03" w14:textId="01060018" w:rsidR="00E150AC" w:rsidRPr="007846E0" w:rsidRDefault="00E150AC" w:rsidP="00E408C5">
      <w:pPr>
        <w:rPr>
          <w:rFonts w:ascii="Times Roman" w:eastAsia="Calibri" w:hAnsi="Times Roman"/>
          <w:b/>
          <w:color w:val="000000"/>
          <w:szCs w:val="22"/>
        </w:rPr>
      </w:pPr>
      <w:r w:rsidRPr="007846E0">
        <w:rPr>
          <w:rFonts w:ascii="Times Roman" w:eastAsia="Calibri" w:hAnsi="Times Roman"/>
          <w:b/>
          <w:color w:val="000000"/>
          <w:szCs w:val="22"/>
        </w:rPr>
        <w:t xml:space="preserve">Commencement </w:t>
      </w:r>
    </w:p>
    <w:p w14:paraId="279007F8" w14:textId="77777777" w:rsidR="00A40D8A" w:rsidRPr="007846E0" w:rsidRDefault="00A40D8A" w:rsidP="00E408C5">
      <w:pPr>
        <w:rPr>
          <w:rFonts w:ascii="Times Roman" w:eastAsia="Calibri" w:hAnsi="Times Roman"/>
          <w:b/>
          <w:color w:val="000000"/>
          <w:szCs w:val="22"/>
        </w:rPr>
      </w:pPr>
    </w:p>
    <w:p w14:paraId="5B8E7562" w14:textId="44069B45" w:rsidR="00A40D8A" w:rsidRDefault="00A40D8A" w:rsidP="007846E0">
      <w:pPr>
        <w:pStyle w:val="ListParagraph"/>
        <w:numPr>
          <w:ilvl w:val="0"/>
          <w:numId w:val="10"/>
        </w:numPr>
        <w:rPr>
          <w:rFonts w:ascii="Times Roman" w:hAnsi="Times Roman"/>
          <w:color w:val="000000"/>
        </w:rPr>
      </w:pPr>
      <w:r w:rsidRPr="007846E0">
        <w:rPr>
          <w:rFonts w:ascii="Times Roman" w:hAnsi="Times Roman"/>
          <w:color w:val="000000"/>
        </w:rPr>
        <w:t>This instrument commences as follows:</w:t>
      </w:r>
    </w:p>
    <w:p w14:paraId="4C7F7AF6" w14:textId="77777777" w:rsidR="00323F75" w:rsidRPr="00323F75" w:rsidRDefault="00323F75" w:rsidP="00323F75">
      <w:pPr>
        <w:rPr>
          <w:rFonts w:ascii="Times Roman" w:hAnsi="Times Roman"/>
          <w:color w:val="00000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452"/>
        <w:gridCol w:w="2480"/>
        <w:gridCol w:w="2439"/>
      </w:tblGrid>
      <w:tr w:rsidR="00953D1B" w:rsidRPr="00A40D8A" w14:paraId="63CF2CCF" w14:textId="77777777" w:rsidTr="006260BA">
        <w:tc>
          <w:tcPr>
            <w:tcW w:w="7371" w:type="dxa"/>
            <w:gridSpan w:val="3"/>
            <w:tcBorders>
              <w:bottom w:val="single" w:sz="4" w:space="0" w:color="auto"/>
            </w:tcBorders>
          </w:tcPr>
          <w:p w14:paraId="033A049A" w14:textId="77777777" w:rsidR="00E150AC" w:rsidRPr="007846E0" w:rsidRDefault="00E150AC" w:rsidP="00AE447E">
            <w:pPr>
              <w:rPr>
                <w:rFonts w:ascii="Times Roman" w:hAnsi="Times Roman"/>
                <w:b/>
                <w:color w:val="000000"/>
                <w:szCs w:val="22"/>
              </w:rPr>
            </w:pPr>
            <w:r w:rsidRPr="007846E0">
              <w:rPr>
                <w:rFonts w:ascii="Times Roman" w:hAnsi="Times Roman"/>
                <w:b/>
                <w:color w:val="000000"/>
                <w:szCs w:val="22"/>
              </w:rPr>
              <w:t>Commencement information</w:t>
            </w:r>
          </w:p>
        </w:tc>
      </w:tr>
      <w:tr w:rsidR="00953D1B" w:rsidRPr="00A40D8A" w14:paraId="72D93559" w14:textId="77777777" w:rsidTr="006260BA">
        <w:tc>
          <w:tcPr>
            <w:tcW w:w="2452" w:type="dxa"/>
            <w:tcBorders>
              <w:bottom w:val="single" w:sz="4" w:space="0" w:color="auto"/>
              <w:right w:val="nil"/>
            </w:tcBorders>
          </w:tcPr>
          <w:p w14:paraId="1DF6E921" w14:textId="77777777" w:rsidR="00E150AC" w:rsidRPr="007846E0" w:rsidRDefault="00E150AC" w:rsidP="00AE447E">
            <w:pPr>
              <w:rPr>
                <w:rFonts w:ascii="Times Roman" w:hAnsi="Times Roman"/>
                <w:color w:val="000000"/>
                <w:szCs w:val="22"/>
              </w:rPr>
            </w:pPr>
            <w:r w:rsidRPr="007846E0">
              <w:rPr>
                <w:rFonts w:ascii="Times Roman" w:hAnsi="Times Roman"/>
                <w:color w:val="000000"/>
                <w:szCs w:val="22"/>
              </w:rPr>
              <w:t>Column 1</w:t>
            </w:r>
          </w:p>
        </w:tc>
        <w:tc>
          <w:tcPr>
            <w:tcW w:w="2480" w:type="dxa"/>
            <w:tcBorders>
              <w:left w:val="nil"/>
              <w:bottom w:val="single" w:sz="4" w:space="0" w:color="auto"/>
              <w:right w:val="nil"/>
            </w:tcBorders>
          </w:tcPr>
          <w:p w14:paraId="245A5EFF" w14:textId="77777777" w:rsidR="00E150AC" w:rsidRPr="007846E0" w:rsidRDefault="00E150AC" w:rsidP="00AE447E">
            <w:pPr>
              <w:rPr>
                <w:rFonts w:ascii="Times Roman" w:hAnsi="Times Roman"/>
                <w:color w:val="000000"/>
                <w:szCs w:val="22"/>
              </w:rPr>
            </w:pPr>
            <w:r w:rsidRPr="007846E0">
              <w:rPr>
                <w:rFonts w:ascii="Times Roman" w:hAnsi="Times Roman"/>
                <w:color w:val="000000"/>
                <w:szCs w:val="22"/>
              </w:rPr>
              <w:t>Column 2</w:t>
            </w:r>
          </w:p>
        </w:tc>
        <w:tc>
          <w:tcPr>
            <w:tcW w:w="2439" w:type="dxa"/>
            <w:tcBorders>
              <w:left w:val="nil"/>
              <w:bottom w:val="single" w:sz="4" w:space="0" w:color="auto"/>
            </w:tcBorders>
          </w:tcPr>
          <w:p w14:paraId="39FB2578" w14:textId="77777777" w:rsidR="00E150AC" w:rsidRPr="007846E0" w:rsidRDefault="00E150AC" w:rsidP="00AE447E">
            <w:pPr>
              <w:rPr>
                <w:rFonts w:ascii="Times Roman" w:hAnsi="Times Roman"/>
                <w:color w:val="000000"/>
                <w:szCs w:val="22"/>
              </w:rPr>
            </w:pPr>
            <w:r w:rsidRPr="007846E0">
              <w:rPr>
                <w:rFonts w:ascii="Times Roman" w:hAnsi="Times Roman"/>
                <w:color w:val="000000"/>
                <w:szCs w:val="22"/>
              </w:rPr>
              <w:t>Column 3</w:t>
            </w:r>
          </w:p>
        </w:tc>
      </w:tr>
      <w:tr w:rsidR="00953D1B" w:rsidRPr="00A40D8A" w14:paraId="31BA7C1F" w14:textId="77777777" w:rsidTr="006260BA">
        <w:tc>
          <w:tcPr>
            <w:tcW w:w="2452" w:type="dxa"/>
            <w:tcBorders>
              <w:top w:val="single" w:sz="4" w:space="0" w:color="auto"/>
              <w:bottom w:val="single" w:sz="4" w:space="0" w:color="auto"/>
              <w:right w:val="nil"/>
            </w:tcBorders>
          </w:tcPr>
          <w:p w14:paraId="11E07F7C" w14:textId="77777777" w:rsidR="00E150AC" w:rsidRPr="007846E0" w:rsidRDefault="00953D1B" w:rsidP="00AE447E">
            <w:pPr>
              <w:rPr>
                <w:rFonts w:ascii="Times Roman" w:hAnsi="Times Roman"/>
                <w:color w:val="000000"/>
                <w:szCs w:val="22"/>
              </w:rPr>
            </w:pPr>
            <w:r w:rsidRPr="007846E0">
              <w:rPr>
                <w:rFonts w:ascii="Times Roman" w:hAnsi="Times Roman"/>
                <w:color w:val="000000"/>
                <w:szCs w:val="22"/>
              </w:rPr>
              <w:t>Provisions</w:t>
            </w:r>
          </w:p>
        </w:tc>
        <w:tc>
          <w:tcPr>
            <w:tcW w:w="2480" w:type="dxa"/>
            <w:tcBorders>
              <w:top w:val="single" w:sz="4" w:space="0" w:color="auto"/>
              <w:left w:val="nil"/>
              <w:bottom w:val="single" w:sz="4" w:space="0" w:color="auto"/>
              <w:right w:val="nil"/>
            </w:tcBorders>
          </w:tcPr>
          <w:p w14:paraId="6C877E1A" w14:textId="77777777" w:rsidR="00E150AC" w:rsidRPr="007846E0" w:rsidRDefault="00953D1B" w:rsidP="00AE447E">
            <w:pPr>
              <w:rPr>
                <w:rFonts w:ascii="Times Roman" w:hAnsi="Times Roman"/>
                <w:color w:val="000000"/>
                <w:szCs w:val="22"/>
              </w:rPr>
            </w:pPr>
            <w:r w:rsidRPr="007846E0">
              <w:rPr>
                <w:rFonts w:ascii="Times Roman" w:hAnsi="Times Roman"/>
                <w:color w:val="000000"/>
                <w:szCs w:val="22"/>
              </w:rPr>
              <w:t>Commencement</w:t>
            </w:r>
          </w:p>
        </w:tc>
        <w:tc>
          <w:tcPr>
            <w:tcW w:w="2439" w:type="dxa"/>
            <w:tcBorders>
              <w:top w:val="single" w:sz="4" w:space="0" w:color="auto"/>
              <w:left w:val="nil"/>
              <w:bottom w:val="single" w:sz="4" w:space="0" w:color="auto"/>
            </w:tcBorders>
          </w:tcPr>
          <w:p w14:paraId="24FDA548" w14:textId="77777777" w:rsidR="00E150AC" w:rsidRPr="007846E0" w:rsidRDefault="00953D1B" w:rsidP="00AE447E">
            <w:pPr>
              <w:rPr>
                <w:rFonts w:ascii="Times Roman" w:hAnsi="Times Roman"/>
                <w:color w:val="000000"/>
                <w:szCs w:val="22"/>
              </w:rPr>
            </w:pPr>
            <w:r w:rsidRPr="007846E0">
              <w:rPr>
                <w:rFonts w:ascii="Times Roman" w:hAnsi="Times Roman"/>
                <w:color w:val="000000"/>
                <w:szCs w:val="22"/>
              </w:rPr>
              <w:t>Date/ Details</w:t>
            </w:r>
          </w:p>
        </w:tc>
      </w:tr>
      <w:tr w:rsidR="00953D1B" w:rsidRPr="00A40D8A" w14:paraId="3A633D60" w14:textId="77777777" w:rsidTr="006260BA">
        <w:tc>
          <w:tcPr>
            <w:tcW w:w="2452" w:type="dxa"/>
            <w:tcBorders>
              <w:top w:val="single" w:sz="4" w:space="0" w:color="auto"/>
              <w:right w:val="nil"/>
            </w:tcBorders>
          </w:tcPr>
          <w:p w14:paraId="5A38773E" w14:textId="77777777" w:rsidR="00E150AC" w:rsidRPr="007846E0" w:rsidRDefault="00953D1B" w:rsidP="006260BA">
            <w:pPr>
              <w:ind w:right="780"/>
              <w:rPr>
                <w:rFonts w:ascii="Times Roman" w:eastAsia="Calibri" w:hAnsi="Times Roman"/>
                <w:color w:val="000000"/>
                <w:szCs w:val="22"/>
              </w:rPr>
            </w:pPr>
            <w:r w:rsidRPr="007846E0">
              <w:rPr>
                <w:rFonts w:ascii="Times Roman" w:hAnsi="Times Roman"/>
                <w:color w:val="000000"/>
                <w:szCs w:val="22"/>
              </w:rPr>
              <w:t>The whole of this instrument</w:t>
            </w:r>
          </w:p>
        </w:tc>
        <w:tc>
          <w:tcPr>
            <w:tcW w:w="2480" w:type="dxa"/>
            <w:tcBorders>
              <w:top w:val="single" w:sz="4" w:space="0" w:color="auto"/>
              <w:left w:val="nil"/>
              <w:right w:val="nil"/>
            </w:tcBorders>
          </w:tcPr>
          <w:p w14:paraId="43437863" w14:textId="77777777" w:rsidR="00E150AC" w:rsidRPr="007846E0" w:rsidRDefault="00DA7C39" w:rsidP="00DA7C39">
            <w:pPr>
              <w:rPr>
                <w:rFonts w:ascii="Times Roman" w:hAnsi="Times Roman"/>
                <w:color w:val="000000"/>
                <w:szCs w:val="22"/>
              </w:rPr>
            </w:pPr>
            <w:r>
              <w:rPr>
                <w:rFonts w:ascii="Times Roman" w:hAnsi="Times Roman"/>
                <w:color w:val="000000"/>
                <w:szCs w:val="22"/>
              </w:rPr>
              <w:t>Date of registration</w:t>
            </w:r>
          </w:p>
        </w:tc>
        <w:tc>
          <w:tcPr>
            <w:tcW w:w="2439" w:type="dxa"/>
            <w:tcBorders>
              <w:top w:val="single" w:sz="4" w:space="0" w:color="auto"/>
              <w:left w:val="nil"/>
            </w:tcBorders>
          </w:tcPr>
          <w:p w14:paraId="0E6E5944" w14:textId="77777777" w:rsidR="00E150AC" w:rsidRPr="007846E0" w:rsidRDefault="00E150AC" w:rsidP="00AE447E">
            <w:pPr>
              <w:rPr>
                <w:rFonts w:ascii="Times Roman" w:hAnsi="Times Roman"/>
                <w:color w:val="000000"/>
                <w:szCs w:val="22"/>
              </w:rPr>
            </w:pPr>
          </w:p>
        </w:tc>
      </w:tr>
    </w:tbl>
    <w:p w14:paraId="0C366425" w14:textId="77777777" w:rsidR="00E150AC" w:rsidRPr="007846E0" w:rsidRDefault="00E150AC" w:rsidP="00AE447E">
      <w:pPr>
        <w:rPr>
          <w:rFonts w:ascii="Times Roman" w:hAnsi="Times Roman"/>
          <w:color w:val="000000"/>
          <w:szCs w:val="22"/>
        </w:rPr>
      </w:pPr>
    </w:p>
    <w:p w14:paraId="74B5CF25" w14:textId="77777777" w:rsidR="00323F75" w:rsidRDefault="00323F75" w:rsidP="007846E0">
      <w:pPr>
        <w:ind w:left="426" w:hanging="426"/>
        <w:rPr>
          <w:rFonts w:ascii="Times Roman" w:hAnsi="Times Roman"/>
          <w:color w:val="000000"/>
          <w:szCs w:val="22"/>
        </w:rPr>
      </w:pPr>
    </w:p>
    <w:p w14:paraId="1DAC91DF" w14:textId="03CD43FC" w:rsidR="00953D1B" w:rsidRPr="007846E0" w:rsidRDefault="00953D1B" w:rsidP="007846E0">
      <w:pPr>
        <w:ind w:left="426" w:hanging="426"/>
        <w:rPr>
          <w:rFonts w:ascii="Times Roman" w:eastAsia="Calibri" w:hAnsi="Times Roman"/>
          <w:b/>
          <w:color w:val="000000"/>
          <w:szCs w:val="22"/>
        </w:rPr>
      </w:pPr>
      <w:r w:rsidRPr="007846E0">
        <w:rPr>
          <w:rFonts w:ascii="Times Roman" w:eastAsia="Calibri" w:hAnsi="Times Roman"/>
          <w:b/>
          <w:color w:val="000000"/>
          <w:szCs w:val="22"/>
        </w:rPr>
        <w:t>Authority</w:t>
      </w:r>
    </w:p>
    <w:p w14:paraId="0064D4DC" w14:textId="77777777" w:rsidR="00D7098D" w:rsidRPr="007846E0" w:rsidRDefault="00D7098D" w:rsidP="007846E0">
      <w:pPr>
        <w:ind w:left="426" w:hanging="426"/>
        <w:rPr>
          <w:rFonts w:ascii="Times Roman" w:eastAsia="Calibri" w:hAnsi="Times Roman"/>
          <w:b/>
          <w:color w:val="000000"/>
          <w:szCs w:val="22"/>
        </w:rPr>
      </w:pPr>
    </w:p>
    <w:p w14:paraId="37469BEB" w14:textId="77777777" w:rsidR="00783EB3" w:rsidRPr="007846E0" w:rsidRDefault="00783EB3" w:rsidP="007846E0">
      <w:pPr>
        <w:pStyle w:val="ListParagraph"/>
        <w:numPr>
          <w:ilvl w:val="0"/>
          <w:numId w:val="10"/>
        </w:numPr>
        <w:rPr>
          <w:rFonts w:ascii="Times Roman" w:hAnsi="Times Roman"/>
          <w:color w:val="000000"/>
        </w:rPr>
      </w:pPr>
      <w:r w:rsidRPr="007846E0">
        <w:rPr>
          <w:rFonts w:ascii="Times Roman" w:eastAsia="Times New Roman" w:hAnsi="Times Roman"/>
          <w:color w:val="000000"/>
        </w:rPr>
        <w:t xml:space="preserve">As required by section 24 of the </w:t>
      </w:r>
      <w:r w:rsidRPr="007846E0">
        <w:rPr>
          <w:rFonts w:ascii="Times Roman" w:eastAsia="Times New Roman" w:hAnsi="Times Roman"/>
          <w:i/>
          <w:color w:val="000000"/>
        </w:rPr>
        <w:t>Auditor-General Act 1997</w:t>
      </w:r>
      <w:r w:rsidRPr="007846E0">
        <w:rPr>
          <w:rFonts w:ascii="Times Roman" w:eastAsia="Times New Roman" w:hAnsi="Times Roman"/>
          <w:color w:val="000000"/>
        </w:rPr>
        <w:t xml:space="preserve"> (the Act), I hereby set auditing standards that are to be complied with by persons performing any of the following functions:</w:t>
      </w:r>
    </w:p>
    <w:p w14:paraId="2AD84F5B" w14:textId="77777777" w:rsidR="00783EB3" w:rsidRPr="007846E0" w:rsidRDefault="00B45416" w:rsidP="006260BA">
      <w:pPr>
        <w:ind w:left="1069" w:hanging="709"/>
        <w:rPr>
          <w:rFonts w:ascii="Times Roman" w:hAnsi="Times Roman"/>
          <w:color w:val="000000"/>
          <w:szCs w:val="22"/>
        </w:rPr>
      </w:pPr>
      <w:r w:rsidRPr="007846E0">
        <w:rPr>
          <w:rFonts w:ascii="Times Roman" w:hAnsi="Times Roman"/>
          <w:color w:val="000000"/>
          <w:szCs w:val="22"/>
        </w:rPr>
        <w:t>(a)</w:t>
      </w:r>
      <w:r w:rsidRPr="007846E0">
        <w:rPr>
          <w:rFonts w:ascii="Times Roman" w:hAnsi="Times Roman"/>
          <w:color w:val="000000"/>
          <w:szCs w:val="22"/>
        </w:rPr>
        <w:tab/>
      </w:r>
      <w:proofErr w:type="gramStart"/>
      <w:r w:rsidR="00783EB3" w:rsidRPr="007846E0">
        <w:rPr>
          <w:rFonts w:ascii="Times Roman" w:hAnsi="Times Roman"/>
          <w:color w:val="000000"/>
          <w:szCs w:val="22"/>
        </w:rPr>
        <w:t>an</w:t>
      </w:r>
      <w:proofErr w:type="gramEnd"/>
      <w:r w:rsidR="00783EB3" w:rsidRPr="007846E0">
        <w:rPr>
          <w:rFonts w:ascii="Times Roman" w:hAnsi="Times Roman"/>
          <w:color w:val="000000"/>
          <w:szCs w:val="22"/>
        </w:rPr>
        <w:t xml:space="preserve"> audit or rev</w:t>
      </w:r>
      <w:r w:rsidR="00564516" w:rsidRPr="007846E0">
        <w:rPr>
          <w:rFonts w:ascii="Times Roman" w:hAnsi="Times Roman"/>
          <w:color w:val="000000"/>
          <w:szCs w:val="22"/>
        </w:rPr>
        <w:t xml:space="preserve">iew referred to in Division </w:t>
      </w:r>
      <w:r w:rsidR="00660D68" w:rsidRPr="007846E0">
        <w:rPr>
          <w:rFonts w:ascii="Times Roman" w:hAnsi="Times Roman"/>
          <w:color w:val="000000"/>
          <w:szCs w:val="22"/>
        </w:rPr>
        <w:t>1</w:t>
      </w:r>
      <w:r w:rsidR="00E62599" w:rsidRPr="007846E0">
        <w:rPr>
          <w:rFonts w:ascii="Times Roman" w:hAnsi="Times Roman"/>
          <w:color w:val="000000"/>
          <w:szCs w:val="22"/>
        </w:rPr>
        <w:t xml:space="preserve"> </w:t>
      </w:r>
      <w:r w:rsidR="00564516" w:rsidRPr="007846E0">
        <w:rPr>
          <w:rFonts w:ascii="Times Roman" w:hAnsi="Times Roman"/>
          <w:color w:val="000000"/>
          <w:szCs w:val="22"/>
        </w:rPr>
        <w:t>(</w:t>
      </w:r>
      <w:r w:rsidR="0022257B" w:rsidRPr="007846E0">
        <w:rPr>
          <w:rFonts w:ascii="Times Roman" w:hAnsi="Times Roman"/>
          <w:color w:val="000000"/>
          <w:szCs w:val="22"/>
        </w:rPr>
        <w:t xml:space="preserve">Annual </w:t>
      </w:r>
      <w:r w:rsidR="00D60CDD" w:rsidRPr="007846E0">
        <w:rPr>
          <w:rFonts w:ascii="Times Roman" w:hAnsi="Times Roman"/>
          <w:color w:val="000000"/>
          <w:szCs w:val="22"/>
        </w:rPr>
        <w:t>f</w:t>
      </w:r>
      <w:r w:rsidR="00E90102" w:rsidRPr="007846E0">
        <w:rPr>
          <w:rFonts w:ascii="Times Roman" w:hAnsi="Times Roman"/>
          <w:color w:val="000000"/>
          <w:szCs w:val="22"/>
        </w:rPr>
        <w:t xml:space="preserve">inancial </w:t>
      </w:r>
      <w:r w:rsidR="00D60CDD" w:rsidRPr="007846E0">
        <w:rPr>
          <w:rFonts w:ascii="Times Roman" w:hAnsi="Times Roman"/>
          <w:color w:val="000000"/>
          <w:szCs w:val="22"/>
        </w:rPr>
        <w:t>s</w:t>
      </w:r>
      <w:r w:rsidR="00E62599" w:rsidRPr="007846E0">
        <w:rPr>
          <w:rFonts w:ascii="Times Roman" w:hAnsi="Times Roman"/>
          <w:color w:val="000000"/>
          <w:szCs w:val="22"/>
        </w:rPr>
        <w:t>tatement audits</w:t>
      </w:r>
      <w:r w:rsidR="00564516" w:rsidRPr="007846E0">
        <w:rPr>
          <w:rFonts w:ascii="Times Roman" w:hAnsi="Times Roman"/>
          <w:color w:val="000000"/>
          <w:szCs w:val="22"/>
        </w:rPr>
        <w:t>)</w:t>
      </w:r>
      <w:r w:rsidR="00783EB3" w:rsidRPr="007846E0">
        <w:rPr>
          <w:rFonts w:ascii="Times Roman" w:hAnsi="Times Roman"/>
          <w:color w:val="000000"/>
          <w:szCs w:val="22"/>
        </w:rPr>
        <w:t xml:space="preserve">; </w:t>
      </w:r>
      <w:r w:rsidR="00D252E2" w:rsidRPr="007846E0">
        <w:rPr>
          <w:rFonts w:ascii="Times Roman" w:hAnsi="Times Roman"/>
          <w:color w:val="000000"/>
          <w:szCs w:val="22"/>
        </w:rPr>
        <w:t>Division</w:t>
      </w:r>
      <w:r w:rsidR="00D60CDD" w:rsidRPr="007846E0">
        <w:rPr>
          <w:rFonts w:ascii="Times Roman" w:hAnsi="Times Roman"/>
          <w:color w:val="000000"/>
          <w:szCs w:val="22"/>
        </w:rPr>
        <w:t xml:space="preserve"> </w:t>
      </w:r>
      <w:r w:rsidR="00D252E2" w:rsidRPr="007846E0">
        <w:rPr>
          <w:rFonts w:ascii="Times Roman" w:hAnsi="Times Roman"/>
          <w:color w:val="000000"/>
          <w:szCs w:val="22"/>
        </w:rPr>
        <w:t xml:space="preserve">1A (Annual performance statement audits); </w:t>
      </w:r>
      <w:r w:rsidR="00783EB3" w:rsidRPr="007846E0">
        <w:rPr>
          <w:rFonts w:ascii="Times Roman" w:hAnsi="Times Roman"/>
          <w:color w:val="000000"/>
          <w:szCs w:val="22"/>
        </w:rPr>
        <w:t xml:space="preserve">Division 2 </w:t>
      </w:r>
      <w:r w:rsidR="00564516" w:rsidRPr="007846E0">
        <w:rPr>
          <w:rFonts w:ascii="Times Roman" w:hAnsi="Times Roman"/>
          <w:color w:val="000000"/>
          <w:szCs w:val="22"/>
        </w:rPr>
        <w:t>(</w:t>
      </w:r>
      <w:r w:rsidR="00783EB3" w:rsidRPr="007846E0">
        <w:rPr>
          <w:rFonts w:ascii="Times Roman" w:hAnsi="Times Roman"/>
          <w:color w:val="000000"/>
          <w:szCs w:val="22"/>
        </w:rPr>
        <w:t>Performance audits</w:t>
      </w:r>
      <w:r w:rsidR="00564516" w:rsidRPr="007846E0">
        <w:rPr>
          <w:rFonts w:ascii="Times Roman" w:hAnsi="Times Roman"/>
          <w:color w:val="000000"/>
          <w:szCs w:val="22"/>
        </w:rPr>
        <w:t>)</w:t>
      </w:r>
      <w:r w:rsidR="00783EB3" w:rsidRPr="007846E0">
        <w:rPr>
          <w:rFonts w:ascii="Times Roman" w:hAnsi="Times Roman"/>
          <w:color w:val="000000"/>
          <w:szCs w:val="22"/>
        </w:rPr>
        <w:t xml:space="preserve"> or Division 2A </w:t>
      </w:r>
      <w:r w:rsidR="00564516" w:rsidRPr="007846E0">
        <w:rPr>
          <w:rFonts w:ascii="Times Roman" w:hAnsi="Times Roman"/>
          <w:color w:val="000000"/>
          <w:szCs w:val="22"/>
        </w:rPr>
        <w:t>(</w:t>
      </w:r>
      <w:r w:rsidR="00783EB3" w:rsidRPr="007846E0">
        <w:rPr>
          <w:rFonts w:ascii="Times Roman" w:hAnsi="Times Roman"/>
          <w:color w:val="000000"/>
          <w:szCs w:val="22"/>
        </w:rPr>
        <w:t>Assurance reviews</w:t>
      </w:r>
      <w:r w:rsidR="00564516" w:rsidRPr="007846E0">
        <w:rPr>
          <w:rFonts w:ascii="Times Roman" w:hAnsi="Times Roman"/>
          <w:color w:val="000000"/>
          <w:szCs w:val="22"/>
        </w:rPr>
        <w:t>)</w:t>
      </w:r>
      <w:r w:rsidR="00783EB3" w:rsidRPr="007846E0">
        <w:rPr>
          <w:rFonts w:ascii="Times Roman" w:hAnsi="Times Roman"/>
          <w:color w:val="000000"/>
          <w:szCs w:val="22"/>
        </w:rPr>
        <w:t xml:space="preserve"> of Part 4 of the Act;</w:t>
      </w:r>
    </w:p>
    <w:p w14:paraId="476914C6" w14:textId="77777777" w:rsidR="00707B38" w:rsidRPr="007846E0" w:rsidRDefault="00707B38" w:rsidP="006260BA">
      <w:pPr>
        <w:pStyle w:val="ListParagraph"/>
        <w:autoSpaceDE w:val="0"/>
        <w:autoSpaceDN w:val="0"/>
        <w:adjustRightInd w:val="0"/>
        <w:spacing w:after="0" w:line="240" w:lineRule="auto"/>
        <w:ind w:left="1074"/>
        <w:contextualSpacing w:val="0"/>
        <w:jc w:val="both"/>
        <w:rPr>
          <w:rFonts w:ascii="Times Roman" w:hAnsi="Times Roman"/>
          <w:color w:val="000000"/>
        </w:rPr>
      </w:pPr>
    </w:p>
    <w:p w14:paraId="254ECB0B" w14:textId="77777777" w:rsidR="00AA6933" w:rsidRPr="007846E0" w:rsidRDefault="00B45416" w:rsidP="006260BA">
      <w:pPr>
        <w:ind w:left="1080" w:hanging="720"/>
        <w:rPr>
          <w:rFonts w:ascii="Times Roman" w:hAnsi="Times Roman"/>
          <w:color w:val="000000"/>
          <w:szCs w:val="22"/>
        </w:rPr>
      </w:pPr>
      <w:r w:rsidRPr="007846E0">
        <w:rPr>
          <w:rFonts w:ascii="Times Roman" w:hAnsi="Times Roman"/>
          <w:color w:val="000000"/>
          <w:szCs w:val="22"/>
        </w:rPr>
        <w:t>(b)</w:t>
      </w:r>
      <w:r w:rsidRPr="007846E0">
        <w:rPr>
          <w:rFonts w:ascii="Times Roman" w:hAnsi="Times Roman"/>
          <w:color w:val="000000"/>
          <w:szCs w:val="22"/>
        </w:rPr>
        <w:tab/>
      </w:r>
      <w:proofErr w:type="gramStart"/>
      <w:r w:rsidR="00783EB3" w:rsidRPr="007846E0">
        <w:rPr>
          <w:rFonts w:ascii="Times Roman" w:hAnsi="Times Roman"/>
          <w:color w:val="000000"/>
          <w:szCs w:val="22"/>
        </w:rPr>
        <w:t>an</w:t>
      </w:r>
      <w:proofErr w:type="gramEnd"/>
      <w:r w:rsidR="00783EB3" w:rsidRPr="007846E0">
        <w:rPr>
          <w:rFonts w:ascii="Times Roman" w:hAnsi="Times Roman"/>
          <w:color w:val="000000"/>
          <w:szCs w:val="22"/>
        </w:rPr>
        <w:t xml:space="preserve"> audit under D</w:t>
      </w:r>
      <w:r w:rsidR="00564516" w:rsidRPr="007846E0">
        <w:rPr>
          <w:rFonts w:ascii="Times Roman" w:hAnsi="Times Roman"/>
          <w:color w:val="000000"/>
          <w:szCs w:val="22"/>
        </w:rPr>
        <w:t>ivision 2 of Part 7 of the Act</w:t>
      </w:r>
      <w:r w:rsidR="00E62599" w:rsidRPr="007846E0">
        <w:rPr>
          <w:rFonts w:ascii="Times Roman" w:hAnsi="Times Roman"/>
          <w:color w:val="000000"/>
          <w:szCs w:val="22"/>
        </w:rPr>
        <w:t xml:space="preserve"> </w:t>
      </w:r>
      <w:r w:rsidR="00564516" w:rsidRPr="007846E0">
        <w:rPr>
          <w:rFonts w:ascii="Times Roman" w:hAnsi="Times Roman"/>
          <w:color w:val="000000"/>
          <w:szCs w:val="22"/>
        </w:rPr>
        <w:t>(</w:t>
      </w:r>
      <w:r w:rsidR="00783EB3" w:rsidRPr="007846E0">
        <w:rPr>
          <w:rFonts w:ascii="Times Roman" w:hAnsi="Times Roman"/>
          <w:color w:val="000000"/>
          <w:szCs w:val="22"/>
        </w:rPr>
        <w:t>Audit of the Australian National Audi</w:t>
      </w:r>
      <w:r w:rsidR="00E62599" w:rsidRPr="007846E0">
        <w:rPr>
          <w:rFonts w:ascii="Times Roman" w:hAnsi="Times Roman"/>
          <w:color w:val="000000"/>
          <w:szCs w:val="22"/>
        </w:rPr>
        <w:t>t Office</w:t>
      </w:r>
      <w:r w:rsidR="00564516" w:rsidRPr="007846E0">
        <w:rPr>
          <w:rFonts w:ascii="Times Roman" w:hAnsi="Times Roman"/>
          <w:color w:val="000000"/>
          <w:szCs w:val="22"/>
        </w:rPr>
        <w:t>)</w:t>
      </w:r>
      <w:r w:rsidR="00AA6933" w:rsidRPr="007846E0">
        <w:rPr>
          <w:rFonts w:ascii="Times Roman" w:hAnsi="Times Roman"/>
          <w:color w:val="000000"/>
          <w:szCs w:val="22"/>
        </w:rPr>
        <w:t>; and</w:t>
      </w:r>
    </w:p>
    <w:p w14:paraId="5AD03A0A" w14:textId="77777777" w:rsidR="00AA6933" w:rsidRPr="007846E0" w:rsidRDefault="00AA6933" w:rsidP="006260BA">
      <w:pPr>
        <w:ind w:left="1080" w:hanging="720"/>
        <w:rPr>
          <w:rFonts w:ascii="Times Roman" w:hAnsi="Times Roman"/>
          <w:color w:val="000000"/>
          <w:szCs w:val="22"/>
        </w:rPr>
      </w:pPr>
    </w:p>
    <w:p w14:paraId="014F71B2" w14:textId="77777777" w:rsidR="00707B38" w:rsidRPr="007846E0" w:rsidRDefault="00AA6933" w:rsidP="006260BA">
      <w:pPr>
        <w:ind w:left="1080" w:hanging="720"/>
        <w:rPr>
          <w:rFonts w:ascii="Times Roman" w:hAnsi="Times Roman"/>
          <w:color w:val="000000"/>
          <w:szCs w:val="22"/>
        </w:rPr>
      </w:pPr>
      <w:r w:rsidRPr="007846E0">
        <w:rPr>
          <w:rFonts w:ascii="Times Roman" w:hAnsi="Times Roman"/>
          <w:color w:val="000000"/>
          <w:szCs w:val="22"/>
        </w:rPr>
        <w:t>(c)</w:t>
      </w:r>
      <w:r w:rsidRPr="007846E0">
        <w:rPr>
          <w:rFonts w:ascii="Times Roman" w:hAnsi="Times Roman"/>
          <w:color w:val="000000"/>
          <w:szCs w:val="22"/>
        </w:rPr>
        <w:tab/>
      </w:r>
      <w:proofErr w:type="gramStart"/>
      <w:r w:rsidRPr="007846E0">
        <w:rPr>
          <w:rFonts w:ascii="Times Roman" w:hAnsi="Times Roman"/>
          <w:color w:val="000000"/>
          <w:szCs w:val="22"/>
        </w:rPr>
        <w:t>an</w:t>
      </w:r>
      <w:proofErr w:type="gramEnd"/>
      <w:r w:rsidRPr="007846E0">
        <w:rPr>
          <w:rFonts w:ascii="Times Roman" w:hAnsi="Times Roman"/>
          <w:color w:val="000000"/>
          <w:szCs w:val="22"/>
        </w:rPr>
        <w:t xml:space="preserve"> audit under section 49 of the </w:t>
      </w:r>
      <w:r w:rsidRPr="007846E0">
        <w:rPr>
          <w:rFonts w:ascii="Times Roman" w:hAnsi="Times Roman"/>
          <w:i/>
          <w:color w:val="000000"/>
          <w:szCs w:val="22"/>
        </w:rPr>
        <w:t xml:space="preserve">Public Governance, Performance and Accountability Act 2013 </w:t>
      </w:r>
      <w:r w:rsidR="00D568DB" w:rsidRPr="007846E0">
        <w:rPr>
          <w:rFonts w:ascii="Times Roman" w:hAnsi="Times Roman"/>
          <w:color w:val="000000"/>
          <w:szCs w:val="22"/>
        </w:rPr>
        <w:t xml:space="preserve">(audit of the </w:t>
      </w:r>
      <w:r w:rsidR="00D568DB" w:rsidRPr="007846E0">
        <w:rPr>
          <w:rFonts w:ascii="Times Roman" w:hAnsi="Times Roman"/>
          <w:szCs w:val="22"/>
        </w:rPr>
        <w:t>annual consolidated financial statements of the Australian Government).</w:t>
      </w:r>
    </w:p>
    <w:p w14:paraId="5FC967E5" w14:textId="77777777" w:rsidR="00783EB3" w:rsidRPr="007846E0" w:rsidRDefault="00783EB3" w:rsidP="002E3141">
      <w:pPr>
        <w:rPr>
          <w:rFonts w:ascii="Times Roman" w:hAnsi="Times Roman"/>
          <w:color w:val="000000"/>
          <w:szCs w:val="22"/>
        </w:rPr>
      </w:pPr>
    </w:p>
    <w:p w14:paraId="4CA398CE" w14:textId="77777777" w:rsidR="00953D1B" w:rsidRPr="007846E0" w:rsidRDefault="00953D1B" w:rsidP="007846E0">
      <w:pPr>
        <w:ind w:left="426" w:hanging="426"/>
        <w:rPr>
          <w:rFonts w:ascii="Times Roman" w:eastAsia="Calibri" w:hAnsi="Times Roman"/>
          <w:b/>
          <w:color w:val="000000"/>
          <w:szCs w:val="22"/>
        </w:rPr>
      </w:pPr>
      <w:r w:rsidRPr="007846E0">
        <w:rPr>
          <w:rFonts w:ascii="Times Roman" w:eastAsia="Calibri" w:hAnsi="Times Roman"/>
          <w:b/>
          <w:color w:val="000000"/>
          <w:szCs w:val="22"/>
        </w:rPr>
        <w:t>Auditing Standards</w:t>
      </w:r>
      <w:r w:rsidR="00902D55" w:rsidRPr="007846E0">
        <w:rPr>
          <w:rFonts w:ascii="Times Roman" w:eastAsia="Calibri" w:hAnsi="Times Roman"/>
          <w:b/>
          <w:color w:val="000000"/>
          <w:szCs w:val="22"/>
        </w:rPr>
        <w:tab/>
      </w:r>
    </w:p>
    <w:p w14:paraId="3B29E942" w14:textId="77777777" w:rsidR="00953D1B" w:rsidRPr="007846E0" w:rsidRDefault="00953D1B" w:rsidP="00AE447E">
      <w:pPr>
        <w:rPr>
          <w:rFonts w:ascii="Times Roman" w:hAnsi="Times Roman"/>
          <w:color w:val="000000"/>
          <w:szCs w:val="22"/>
        </w:rPr>
      </w:pPr>
    </w:p>
    <w:p w14:paraId="51E65B52" w14:textId="77777777" w:rsidR="00783EB3" w:rsidRPr="007846E0" w:rsidRDefault="00783EB3" w:rsidP="006260BA">
      <w:pPr>
        <w:pStyle w:val="ListParagraph"/>
        <w:numPr>
          <w:ilvl w:val="0"/>
          <w:numId w:val="10"/>
        </w:numPr>
        <w:jc w:val="both"/>
        <w:rPr>
          <w:rFonts w:ascii="Times Roman" w:hAnsi="Times Roman"/>
          <w:color w:val="000000"/>
        </w:rPr>
      </w:pPr>
      <w:r w:rsidRPr="007846E0">
        <w:rPr>
          <w:rFonts w:ascii="Times Roman" w:eastAsia="Times New Roman" w:hAnsi="Times Roman"/>
          <w:color w:val="000000"/>
        </w:rPr>
        <w:t xml:space="preserve">The </w:t>
      </w:r>
      <w:r w:rsidR="000B20BE" w:rsidRPr="007846E0">
        <w:rPr>
          <w:rFonts w:ascii="Times Roman" w:eastAsia="Times New Roman" w:hAnsi="Times Roman"/>
          <w:color w:val="000000"/>
        </w:rPr>
        <w:t>Australian National Audit Office (</w:t>
      </w:r>
      <w:r w:rsidRPr="007846E0">
        <w:rPr>
          <w:rFonts w:ascii="Times Roman" w:eastAsia="Times New Roman" w:hAnsi="Times Roman"/>
          <w:color w:val="000000"/>
        </w:rPr>
        <w:t>A</w:t>
      </w:r>
      <w:r w:rsidR="008C7B90" w:rsidRPr="007846E0">
        <w:rPr>
          <w:rFonts w:ascii="Times Roman" w:eastAsia="Times New Roman" w:hAnsi="Times Roman"/>
          <w:color w:val="000000"/>
        </w:rPr>
        <w:t>NAO</w:t>
      </w:r>
      <w:r w:rsidR="000B20BE" w:rsidRPr="007846E0">
        <w:rPr>
          <w:rFonts w:ascii="Times Roman" w:eastAsia="Times New Roman" w:hAnsi="Times Roman"/>
          <w:color w:val="000000"/>
        </w:rPr>
        <w:t>)</w:t>
      </w:r>
      <w:r w:rsidR="008C7B90" w:rsidRPr="007846E0">
        <w:rPr>
          <w:rFonts w:ascii="Times Roman" w:eastAsia="Times New Roman" w:hAnsi="Times Roman"/>
          <w:color w:val="000000"/>
        </w:rPr>
        <w:t xml:space="preserve"> Auditing Standards comprise t</w:t>
      </w:r>
      <w:r w:rsidRPr="007846E0">
        <w:rPr>
          <w:rFonts w:ascii="Times Roman" w:eastAsia="Times New Roman" w:hAnsi="Times Roman"/>
          <w:color w:val="000000"/>
        </w:rPr>
        <w:t>he standards referred to below, to the extent that they are not inconsistent with requirements of the Act or other relevant legislation, and to the extent that they apply to the relevant audit or review activity:</w:t>
      </w:r>
    </w:p>
    <w:p w14:paraId="0D4A4A89" w14:textId="77777777" w:rsidR="00783EB3" w:rsidRPr="007846E0" w:rsidRDefault="00AE447E" w:rsidP="006260BA">
      <w:pPr>
        <w:ind w:left="1080" w:hanging="720"/>
        <w:rPr>
          <w:rFonts w:ascii="Times Roman" w:hAnsi="Times Roman"/>
          <w:color w:val="000000"/>
          <w:szCs w:val="22"/>
        </w:rPr>
      </w:pPr>
      <w:r w:rsidRPr="007846E0">
        <w:rPr>
          <w:rFonts w:ascii="Times Roman" w:hAnsi="Times Roman"/>
          <w:color w:val="000000"/>
          <w:szCs w:val="22"/>
        </w:rPr>
        <w:t>(a)</w:t>
      </w:r>
      <w:r w:rsidRPr="007846E0">
        <w:rPr>
          <w:rFonts w:ascii="Times Roman" w:hAnsi="Times Roman"/>
          <w:color w:val="000000"/>
          <w:szCs w:val="22"/>
        </w:rPr>
        <w:tab/>
      </w:r>
      <w:r w:rsidR="002D0DFC" w:rsidRPr="007846E0">
        <w:rPr>
          <w:rFonts w:ascii="Times Roman" w:hAnsi="Times Roman"/>
          <w:color w:val="000000"/>
          <w:szCs w:val="22"/>
        </w:rPr>
        <w:t>S</w:t>
      </w:r>
      <w:r w:rsidR="00783EB3" w:rsidRPr="007846E0">
        <w:rPr>
          <w:rFonts w:ascii="Times Roman" w:hAnsi="Times Roman"/>
          <w:color w:val="000000"/>
          <w:szCs w:val="22"/>
        </w:rPr>
        <w:t>tandards made by the Australian Auditing and Assurance Standards Board (</w:t>
      </w:r>
      <w:proofErr w:type="spellStart"/>
      <w:r w:rsidR="00783EB3" w:rsidRPr="007846E0">
        <w:rPr>
          <w:rFonts w:ascii="Times Roman" w:hAnsi="Times Roman"/>
          <w:color w:val="000000"/>
          <w:szCs w:val="22"/>
        </w:rPr>
        <w:t>AUASB</w:t>
      </w:r>
      <w:proofErr w:type="spellEnd"/>
      <w:r w:rsidR="00783EB3" w:rsidRPr="007846E0">
        <w:rPr>
          <w:rFonts w:ascii="Times Roman" w:hAnsi="Times Roman"/>
          <w:color w:val="000000"/>
          <w:szCs w:val="22"/>
        </w:rPr>
        <w:t xml:space="preserve">) pursuant to </w:t>
      </w:r>
      <w:r w:rsidR="00243291">
        <w:rPr>
          <w:rFonts w:ascii="Times Roman" w:hAnsi="Times Roman"/>
          <w:color w:val="000000"/>
          <w:szCs w:val="22"/>
        </w:rPr>
        <w:t>paragraph</w:t>
      </w:r>
      <w:r w:rsidR="00783EB3" w:rsidRPr="007846E0">
        <w:rPr>
          <w:rFonts w:ascii="Times Roman" w:hAnsi="Times Roman"/>
          <w:color w:val="000000"/>
          <w:szCs w:val="22"/>
        </w:rPr>
        <w:t xml:space="preserve"> 227B(1)(a) of the </w:t>
      </w:r>
      <w:r w:rsidR="00783EB3" w:rsidRPr="007846E0">
        <w:rPr>
          <w:rFonts w:ascii="Times Roman" w:hAnsi="Times Roman"/>
          <w:i/>
          <w:color w:val="000000"/>
          <w:szCs w:val="22"/>
        </w:rPr>
        <w:t>Australian Securities and Investments Commission Act 2001</w:t>
      </w:r>
      <w:r w:rsidR="00783EB3" w:rsidRPr="007846E0">
        <w:rPr>
          <w:rFonts w:ascii="Times Roman" w:hAnsi="Times Roman"/>
          <w:color w:val="000000"/>
          <w:szCs w:val="22"/>
        </w:rPr>
        <w:t xml:space="preserve"> </w:t>
      </w:r>
      <w:r w:rsidR="00E172F5">
        <w:rPr>
          <w:rFonts w:ascii="Times Roman" w:hAnsi="Times Roman"/>
          <w:color w:val="000000"/>
          <w:szCs w:val="22"/>
        </w:rPr>
        <w:t>(</w:t>
      </w:r>
      <w:proofErr w:type="spellStart"/>
      <w:r w:rsidR="00E172F5">
        <w:rPr>
          <w:rFonts w:ascii="Times Roman" w:hAnsi="Times Roman"/>
          <w:color w:val="000000"/>
          <w:szCs w:val="22"/>
        </w:rPr>
        <w:t>ASIC</w:t>
      </w:r>
      <w:proofErr w:type="spellEnd"/>
      <w:r w:rsidR="00E172F5">
        <w:rPr>
          <w:rFonts w:ascii="Times Roman" w:hAnsi="Times Roman"/>
          <w:color w:val="000000"/>
          <w:szCs w:val="22"/>
        </w:rPr>
        <w:t xml:space="preserve"> Act) </w:t>
      </w:r>
      <w:r w:rsidR="00783EB3" w:rsidRPr="007846E0">
        <w:rPr>
          <w:rFonts w:ascii="Times Roman" w:hAnsi="Times Roman"/>
          <w:color w:val="000000"/>
          <w:szCs w:val="22"/>
        </w:rPr>
        <w:t xml:space="preserve">and section 336 of the </w:t>
      </w:r>
      <w:r w:rsidR="00783EB3" w:rsidRPr="007846E0">
        <w:rPr>
          <w:rFonts w:ascii="Times Roman" w:hAnsi="Times Roman"/>
          <w:i/>
          <w:color w:val="000000"/>
          <w:szCs w:val="22"/>
        </w:rPr>
        <w:t>Corporations Act 2001</w:t>
      </w:r>
      <w:r w:rsidR="00783EB3" w:rsidRPr="007846E0">
        <w:rPr>
          <w:rFonts w:ascii="Times Roman" w:hAnsi="Times Roman"/>
          <w:color w:val="000000"/>
          <w:szCs w:val="22"/>
        </w:rPr>
        <w:t>, that are current from time to time</w:t>
      </w:r>
      <w:r w:rsidR="002D0DFC" w:rsidRPr="007846E0">
        <w:rPr>
          <w:rFonts w:ascii="Times Roman" w:hAnsi="Times Roman"/>
          <w:color w:val="000000"/>
          <w:szCs w:val="22"/>
        </w:rPr>
        <w:t>.</w:t>
      </w:r>
      <w:r w:rsidR="0034121E" w:rsidRPr="007846E0">
        <w:rPr>
          <w:rFonts w:ascii="Times Roman" w:hAnsi="Times Roman"/>
          <w:color w:val="000000"/>
          <w:szCs w:val="22"/>
        </w:rPr>
        <w:t xml:space="preserve"> </w:t>
      </w:r>
    </w:p>
    <w:p w14:paraId="761A12E7" w14:textId="77777777" w:rsidR="00707B38" w:rsidRPr="007846E0" w:rsidRDefault="00707B38" w:rsidP="006260BA">
      <w:pPr>
        <w:pStyle w:val="ListParagraph"/>
        <w:autoSpaceDE w:val="0"/>
        <w:autoSpaceDN w:val="0"/>
        <w:adjustRightInd w:val="0"/>
        <w:spacing w:after="0" w:line="240" w:lineRule="auto"/>
        <w:ind w:left="360"/>
        <w:contextualSpacing w:val="0"/>
        <w:jc w:val="both"/>
        <w:rPr>
          <w:rFonts w:ascii="Times Roman" w:hAnsi="Times Roman"/>
          <w:color w:val="000000"/>
        </w:rPr>
      </w:pPr>
    </w:p>
    <w:p w14:paraId="61541D67" w14:textId="71D04D6B" w:rsidR="00783EB3" w:rsidRPr="007846E0" w:rsidRDefault="00AE447E" w:rsidP="006260BA">
      <w:pPr>
        <w:ind w:left="1080" w:hanging="720"/>
        <w:rPr>
          <w:rFonts w:ascii="Times Roman" w:hAnsi="Times Roman"/>
          <w:color w:val="000000"/>
          <w:szCs w:val="22"/>
        </w:rPr>
      </w:pPr>
      <w:r w:rsidRPr="007846E0">
        <w:rPr>
          <w:rFonts w:ascii="Times Roman" w:hAnsi="Times Roman"/>
          <w:color w:val="000000"/>
          <w:szCs w:val="22"/>
        </w:rPr>
        <w:t>(b)</w:t>
      </w:r>
      <w:r w:rsidRPr="007846E0">
        <w:rPr>
          <w:rFonts w:ascii="Times Roman" w:hAnsi="Times Roman"/>
          <w:color w:val="000000"/>
          <w:szCs w:val="22"/>
        </w:rPr>
        <w:tab/>
      </w:r>
      <w:r w:rsidR="00F97065" w:rsidRPr="007846E0">
        <w:rPr>
          <w:rFonts w:ascii="Times Roman" w:hAnsi="Times Roman"/>
          <w:color w:val="000000"/>
          <w:szCs w:val="22"/>
        </w:rPr>
        <w:t>T</w:t>
      </w:r>
      <w:r w:rsidR="00783EB3" w:rsidRPr="007846E0">
        <w:rPr>
          <w:rFonts w:ascii="Times Roman" w:hAnsi="Times Roman"/>
          <w:color w:val="000000"/>
          <w:szCs w:val="22"/>
        </w:rPr>
        <w:t xml:space="preserve">he standards </w:t>
      </w:r>
      <w:r w:rsidR="00F97065" w:rsidRPr="007846E0">
        <w:rPr>
          <w:rFonts w:ascii="Times Roman" w:hAnsi="Times Roman"/>
          <w:color w:val="000000"/>
          <w:szCs w:val="22"/>
        </w:rPr>
        <w:t xml:space="preserve">listed in the following table </w:t>
      </w:r>
      <w:r w:rsidR="004C516F" w:rsidRPr="007846E0">
        <w:rPr>
          <w:rFonts w:ascii="Times Roman" w:hAnsi="Times Roman"/>
          <w:color w:val="000000"/>
          <w:szCs w:val="22"/>
        </w:rPr>
        <w:t xml:space="preserve">that </w:t>
      </w:r>
      <w:r w:rsidR="00F97065" w:rsidRPr="007846E0">
        <w:rPr>
          <w:rFonts w:ascii="Times Roman" w:hAnsi="Times Roman"/>
          <w:color w:val="000000"/>
          <w:szCs w:val="22"/>
        </w:rPr>
        <w:t xml:space="preserve">are </w:t>
      </w:r>
      <w:r w:rsidR="004C516F" w:rsidRPr="007846E0">
        <w:rPr>
          <w:rFonts w:ascii="Times Roman" w:hAnsi="Times Roman"/>
          <w:color w:val="000000"/>
          <w:szCs w:val="22"/>
        </w:rPr>
        <w:t>issued</w:t>
      </w:r>
      <w:r w:rsidR="00783EB3" w:rsidRPr="007846E0">
        <w:rPr>
          <w:rFonts w:ascii="Times Roman" w:hAnsi="Times Roman"/>
          <w:color w:val="000000"/>
          <w:szCs w:val="22"/>
        </w:rPr>
        <w:t xml:space="preserve"> by the </w:t>
      </w:r>
      <w:proofErr w:type="spellStart"/>
      <w:r w:rsidR="00783EB3" w:rsidRPr="007846E0">
        <w:rPr>
          <w:rFonts w:ascii="Times Roman" w:hAnsi="Times Roman"/>
          <w:color w:val="000000"/>
          <w:szCs w:val="22"/>
        </w:rPr>
        <w:t>AUASB</w:t>
      </w:r>
      <w:proofErr w:type="spellEnd"/>
      <w:r w:rsidR="00783EB3" w:rsidRPr="007846E0">
        <w:rPr>
          <w:rFonts w:ascii="Times Roman" w:hAnsi="Times Roman"/>
          <w:color w:val="000000"/>
          <w:szCs w:val="22"/>
        </w:rPr>
        <w:t xml:space="preserve"> pursuant to </w:t>
      </w:r>
      <w:r w:rsidR="00243291">
        <w:rPr>
          <w:rFonts w:ascii="Times Roman" w:hAnsi="Times Roman"/>
          <w:color w:val="000000"/>
          <w:szCs w:val="22"/>
        </w:rPr>
        <w:t>paragraph</w:t>
      </w:r>
      <w:r w:rsidR="00783EB3" w:rsidRPr="007846E0">
        <w:rPr>
          <w:rFonts w:ascii="Times Roman" w:hAnsi="Times Roman"/>
          <w:color w:val="000000"/>
          <w:szCs w:val="22"/>
        </w:rPr>
        <w:t xml:space="preserve"> </w:t>
      </w:r>
      <w:proofErr w:type="gramStart"/>
      <w:r w:rsidR="00783EB3" w:rsidRPr="007846E0">
        <w:rPr>
          <w:rFonts w:ascii="Times Roman" w:hAnsi="Times Roman"/>
          <w:color w:val="000000"/>
          <w:szCs w:val="22"/>
        </w:rPr>
        <w:t>227B(</w:t>
      </w:r>
      <w:proofErr w:type="gramEnd"/>
      <w:r w:rsidR="00783EB3" w:rsidRPr="007846E0">
        <w:rPr>
          <w:rFonts w:ascii="Times Roman" w:hAnsi="Times Roman"/>
          <w:color w:val="000000"/>
          <w:szCs w:val="22"/>
        </w:rPr>
        <w:t xml:space="preserve">1)(b) of the </w:t>
      </w:r>
      <w:proofErr w:type="spellStart"/>
      <w:r w:rsidR="00E172F5">
        <w:rPr>
          <w:rFonts w:ascii="Times Roman" w:hAnsi="Times Roman"/>
          <w:color w:val="000000"/>
          <w:szCs w:val="22"/>
        </w:rPr>
        <w:t>ASIC</w:t>
      </w:r>
      <w:proofErr w:type="spellEnd"/>
      <w:r w:rsidR="00E172F5">
        <w:rPr>
          <w:rFonts w:ascii="Times Roman" w:hAnsi="Times Roman"/>
          <w:color w:val="000000"/>
          <w:szCs w:val="22"/>
        </w:rPr>
        <w:t xml:space="preserve"> Act</w:t>
      </w:r>
      <w:r w:rsidR="008B499D" w:rsidRPr="007846E0">
        <w:rPr>
          <w:rFonts w:ascii="Times Roman" w:hAnsi="Times Roman"/>
          <w:i/>
          <w:color w:val="000000"/>
          <w:szCs w:val="22"/>
        </w:rPr>
        <w:t>.</w:t>
      </w:r>
      <w:r w:rsidR="00D73A86" w:rsidRPr="00755490" w:rsidDel="00D73A86">
        <w:rPr>
          <w:rFonts w:ascii="Times Roman" w:hAnsi="Times Roman"/>
          <w:color w:val="000000"/>
        </w:rPr>
        <w:t xml:space="preserve"> </w:t>
      </w:r>
    </w:p>
    <w:p w14:paraId="5352C9D9" w14:textId="77777777" w:rsidR="00D7098D" w:rsidRPr="007846E0" w:rsidRDefault="00D7098D" w:rsidP="004D4493">
      <w:pPr>
        <w:rPr>
          <w:rFonts w:ascii="Times Roman" w:hAnsi="Times Roman"/>
          <w:color w:val="000000"/>
          <w:szCs w:val="22"/>
        </w:rPr>
      </w:pPr>
    </w:p>
    <w:p w14:paraId="2A166F5D" w14:textId="77777777" w:rsidR="00D7098D" w:rsidRPr="007846E0" w:rsidRDefault="00D7098D" w:rsidP="004D4493">
      <w:pPr>
        <w:rPr>
          <w:rFonts w:ascii="Times Roman" w:hAnsi="Times Roman"/>
          <w:color w:val="000000"/>
          <w:szCs w:val="22"/>
        </w:rPr>
      </w:pPr>
    </w:p>
    <w:tbl>
      <w:tblPr>
        <w:tblStyle w:val="TableGrid"/>
        <w:tblW w:w="6662" w:type="dxa"/>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8"/>
        <w:gridCol w:w="3969"/>
        <w:gridCol w:w="1275"/>
      </w:tblGrid>
      <w:tr w:rsidR="006260BA" w:rsidRPr="00A40D8A" w14:paraId="74391FAE" w14:textId="77777777" w:rsidTr="006260BA">
        <w:trPr>
          <w:tblHeader/>
        </w:trPr>
        <w:tc>
          <w:tcPr>
            <w:tcW w:w="1418" w:type="dxa"/>
            <w:shd w:val="pct20" w:color="auto" w:fill="auto"/>
            <w:vAlign w:val="center"/>
          </w:tcPr>
          <w:p w14:paraId="39BAFAFB" w14:textId="77777777" w:rsidR="000C0E7F" w:rsidRPr="007846E0" w:rsidRDefault="000C0E7F" w:rsidP="00301E90">
            <w:pPr>
              <w:jc w:val="left"/>
              <w:rPr>
                <w:rFonts w:ascii="Times Roman" w:hAnsi="Times Roman"/>
                <w:b/>
                <w:color w:val="000000"/>
                <w:szCs w:val="22"/>
              </w:rPr>
            </w:pPr>
            <w:r w:rsidRPr="007846E0">
              <w:rPr>
                <w:rFonts w:ascii="Times Roman" w:hAnsi="Times Roman"/>
                <w:b/>
                <w:color w:val="000000"/>
                <w:szCs w:val="22"/>
              </w:rPr>
              <w:t>Standard Number</w:t>
            </w:r>
          </w:p>
        </w:tc>
        <w:tc>
          <w:tcPr>
            <w:tcW w:w="3969" w:type="dxa"/>
            <w:shd w:val="pct20" w:color="auto" w:fill="auto"/>
            <w:vAlign w:val="center"/>
          </w:tcPr>
          <w:p w14:paraId="553B51DD" w14:textId="77777777" w:rsidR="000C0E7F" w:rsidRPr="007846E0" w:rsidRDefault="000C0E7F" w:rsidP="00301E90">
            <w:pPr>
              <w:jc w:val="left"/>
              <w:rPr>
                <w:rFonts w:ascii="Times Roman" w:hAnsi="Times Roman"/>
                <w:b/>
                <w:color w:val="000000"/>
                <w:szCs w:val="22"/>
              </w:rPr>
            </w:pPr>
            <w:r w:rsidRPr="007846E0">
              <w:rPr>
                <w:rFonts w:ascii="Times Roman" w:hAnsi="Times Roman"/>
                <w:b/>
                <w:color w:val="000000"/>
                <w:szCs w:val="22"/>
              </w:rPr>
              <w:t>Title</w:t>
            </w:r>
          </w:p>
        </w:tc>
        <w:tc>
          <w:tcPr>
            <w:tcW w:w="1275" w:type="dxa"/>
            <w:shd w:val="pct20" w:color="auto" w:fill="auto"/>
            <w:vAlign w:val="center"/>
          </w:tcPr>
          <w:p w14:paraId="5FC06D97" w14:textId="77777777" w:rsidR="000C0E7F" w:rsidRPr="007846E0" w:rsidRDefault="000C0E7F" w:rsidP="00301E90">
            <w:pPr>
              <w:jc w:val="left"/>
              <w:rPr>
                <w:rFonts w:ascii="Times Roman" w:hAnsi="Times Roman"/>
                <w:b/>
                <w:color w:val="000000"/>
                <w:szCs w:val="22"/>
              </w:rPr>
            </w:pPr>
            <w:r w:rsidRPr="007846E0">
              <w:rPr>
                <w:rFonts w:ascii="Times Roman" w:hAnsi="Times Roman"/>
                <w:b/>
                <w:color w:val="000000"/>
                <w:szCs w:val="22"/>
              </w:rPr>
              <w:t>Issue Date</w:t>
            </w:r>
          </w:p>
        </w:tc>
      </w:tr>
      <w:tr w:rsidR="00665CF1" w:rsidRPr="000C35EA" w14:paraId="33DFFF2F" w14:textId="77777777" w:rsidTr="000C0E7F">
        <w:trPr>
          <w:trHeight w:val="940"/>
          <w:tblHeader/>
        </w:trPr>
        <w:tc>
          <w:tcPr>
            <w:tcW w:w="1418" w:type="dxa"/>
            <w:vAlign w:val="center"/>
          </w:tcPr>
          <w:p w14:paraId="7BB37F9C" w14:textId="448E8467" w:rsidR="00665CF1" w:rsidRPr="000C35EA" w:rsidRDefault="00665CF1" w:rsidP="008200C7">
            <w:pPr>
              <w:jc w:val="left"/>
              <w:rPr>
                <w:color w:val="000000"/>
                <w:szCs w:val="22"/>
              </w:rPr>
            </w:pPr>
            <w:proofErr w:type="spellStart"/>
            <w:r w:rsidRPr="000C35EA">
              <w:rPr>
                <w:color w:val="000000"/>
                <w:szCs w:val="22"/>
              </w:rPr>
              <w:t>ASA</w:t>
            </w:r>
            <w:proofErr w:type="spellEnd"/>
            <w:r w:rsidRPr="000C35EA">
              <w:rPr>
                <w:color w:val="000000"/>
                <w:szCs w:val="22"/>
              </w:rPr>
              <w:t xml:space="preserve"> 100</w:t>
            </w:r>
          </w:p>
        </w:tc>
        <w:tc>
          <w:tcPr>
            <w:tcW w:w="3969" w:type="dxa"/>
            <w:vAlign w:val="center"/>
          </w:tcPr>
          <w:p w14:paraId="3033842D" w14:textId="1EEC00F5" w:rsidR="00665CF1" w:rsidRPr="000C35EA" w:rsidRDefault="00665CF1" w:rsidP="00665CF1">
            <w:pPr>
              <w:jc w:val="left"/>
              <w:rPr>
                <w:color w:val="000000"/>
                <w:szCs w:val="22"/>
              </w:rPr>
            </w:pPr>
            <w:r w:rsidRPr="000C35EA">
              <w:rPr>
                <w:rStyle w:val="Emphasis"/>
                <w:color w:val="000000"/>
                <w:szCs w:val="22"/>
              </w:rPr>
              <w:t xml:space="preserve">Preamble to </w:t>
            </w:r>
            <w:proofErr w:type="spellStart"/>
            <w:r w:rsidRPr="000C35EA">
              <w:rPr>
                <w:rStyle w:val="Emphasis"/>
                <w:color w:val="000000"/>
                <w:szCs w:val="22"/>
              </w:rPr>
              <w:t>AUASB</w:t>
            </w:r>
            <w:proofErr w:type="spellEnd"/>
            <w:r w:rsidRPr="000C35EA">
              <w:rPr>
                <w:rStyle w:val="Emphasis"/>
                <w:color w:val="000000"/>
                <w:szCs w:val="22"/>
              </w:rPr>
              <w:t xml:space="preserve"> Standards </w:t>
            </w:r>
          </w:p>
        </w:tc>
        <w:tc>
          <w:tcPr>
            <w:tcW w:w="1275" w:type="dxa"/>
            <w:vAlign w:val="center"/>
          </w:tcPr>
          <w:p w14:paraId="38B8E236" w14:textId="116F7695" w:rsidR="00665CF1" w:rsidRPr="000C35EA" w:rsidRDefault="00665CF1" w:rsidP="00513597">
            <w:pPr>
              <w:jc w:val="left"/>
              <w:rPr>
                <w:szCs w:val="22"/>
              </w:rPr>
            </w:pPr>
            <w:r w:rsidRPr="000C35EA">
              <w:rPr>
                <w:szCs w:val="22"/>
              </w:rPr>
              <w:br/>
            </w:r>
            <w:r w:rsidRPr="000C35EA">
              <w:rPr>
                <w:color w:val="000000"/>
                <w:szCs w:val="22"/>
              </w:rPr>
              <w:t>June 2020</w:t>
            </w:r>
          </w:p>
          <w:p w14:paraId="4362799B" w14:textId="77777777" w:rsidR="00665CF1" w:rsidRPr="000C35EA" w:rsidRDefault="00665CF1" w:rsidP="008200C7">
            <w:pPr>
              <w:jc w:val="left"/>
              <w:rPr>
                <w:color w:val="000000"/>
                <w:szCs w:val="22"/>
              </w:rPr>
            </w:pPr>
          </w:p>
        </w:tc>
      </w:tr>
      <w:tr w:rsidR="000C0E7F" w:rsidRPr="00A40D8A" w14:paraId="7A2D6FD6" w14:textId="77777777" w:rsidTr="006260BA">
        <w:trPr>
          <w:trHeight w:val="940"/>
          <w:tblHeader/>
        </w:trPr>
        <w:tc>
          <w:tcPr>
            <w:tcW w:w="1418" w:type="dxa"/>
            <w:vAlign w:val="center"/>
          </w:tcPr>
          <w:p w14:paraId="4E8150A5" w14:textId="77777777" w:rsidR="000C0E7F" w:rsidRPr="007846E0" w:rsidRDefault="000C0E7F" w:rsidP="008200C7">
            <w:pPr>
              <w:jc w:val="left"/>
              <w:rPr>
                <w:rFonts w:ascii="Times Roman" w:hAnsi="Times Roman"/>
                <w:color w:val="000000"/>
                <w:szCs w:val="22"/>
              </w:rPr>
            </w:pPr>
            <w:proofErr w:type="spellStart"/>
            <w:r w:rsidRPr="007846E0">
              <w:rPr>
                <w:rFonts w:ascii="Times Roman" w:hAnsi="Times Roman"/>
                <w:color w:val="000000"/>
                <w:szCs w:val="22"/>
              </w:rPr>
              <w:t>ASA</w:t>
            </w:r>
            <w:proofErr w:type="spellEnd"/>
            <w:r w:rsidRPr="007846E0">
              <w:rPr>
                <w:rFonts w:ascii="Times Roman" w:hAnsi="Times Roman"/>
                <w:color w:val="000000"/>
                <w:szCs w:val="22"/>
              </w:rPr>
              <w:t xml:space="preserve"> 805</w:t>
            </w:r>
          </w:p>
        </w:tc>
        <w:tc>
          <w:tcPr>
            <w:tcW w:w="3969" w:type="dxa"/>
            <w:vAlign w:val="center"/>
          </w:tcPr>
          <w:p w14:paraId="51FF9C49" w14:textId="77777777" w:rsidR="000C0E7F" w:rsidRPr="007846E0" w:rsidRDefault="000C0E7F" w:rsidP="008200C7">
            <w:pPr>
              <w:jc w:val="left"/>
              <w:rPr>
                <w:rFonts w:ascii="Times Roman" w:hAnsi="Times Roman"/>
                <w:color w:val="000000"/>
                <w:szCs w:val="22"/>
              </w:rPr>
            </w:pPr>
            <w:r w:rsidRPr="007846E0">
              <w:rPr>
                <w:rFonts w:ascii="Times Roman" w:hAnsi="Times Roman"/>
                <w:i/>
                <w:color w:val="000000"/>
                <w:szCs w:val="22"/>
              </w:rPr>
              <w:t>Special Considerations – Audits of Single Financial Statements and Specific Elements, Accounts or Items of a Financial Statement</w:t>
            </w:r>
          </w:p>
        </w:tc>
        <w:tc>
          <w:tcPr>
            <w:tcW w:w="1275" w:type="dxa"/>
            <w:vAlign w:val="center"/>
          </w:tcPr>
          <w:p w14:paraId="561B8E42" w14:textId="77777777" w:rsidR="000C0E7F" w:rsidRPr="007846E0" w:rsidRDefault="000C0E7F" w:rsidP="008200C7">
            <w:pPr>
              <w:jc w:val="left"/>
              <w:rPr>
                <w:rFonts w:ascii="Times Roman" w:hAnsi="Times Roman"/>
                <w:color w:val="000000"/>
                <w:szCs w:val="22"/>
              </w:rPr>
            </w:pPr>
            <w:r w:rsidRPr="007846E0">
              <w:rPr>
                <w:rFonts w:ascii="Times Roman" w:hAnsi="Times Roman"/>
                <w:color w:val="000000"/>
                <w:szCs w:val="22"/>
              </w:rPr>
              <w:t>May 2017</w:t>
            </w:r>
          </w:p>
        </w:tc>
      </w:tr>
      <w:tr w:rsidR="000C0E7F" w:rsidRPr="00A40D8A" w14:paraId="45A9777B" w14:textId="77777777" w:rsidTr="006260BA">
        <w:trPr>
          <w:trHeight w:val="864"/>
          <w:tblHeader/>
        </w:trPr>
        <w:tc>
          <w:tcPr>
            <w:tcW w:w="1418" w:type="dxa"/>
            <w:vAlign w:val="center"/>
          </w:tcPr>
          <w:p w14:paraId="3C285A3B" w14:textId="77777777" w:rsidR="000C0E7F" w:rsidRPr="007846E0" w:rsidRDefault="000C0E7F" w:rsidP="008200C7">
            <w:pPr>
              <w:jc w:val="left"/>
              <w:rPr>
                <w:rFonts w:ascii="Times Roman" w:hAnsi="Times Roman"/>
                <w:color w:val="000000"/>
                <w:szCs w:val="22"/>
              </w:rPr>
            </w:pPr>
            <w:proofErr w:type="spellStart"/>
            <w:r w:rsidRPr="007846E0">
              <w:rPr>
                <w:rFonts w:ascii="Times Roman" w:hAnsi="Times Roman"/>
                <w:color w:val="000000"/>
                <w:szCs w:val="22"/>
              </w:rPr>
              <w:t>ASRE</w:t>
            </w:r>
            <w:proofErr w:type="spellEnd"/>
            <w:r w:rsidRPr="007846E0">
              <w:rPr>
                <w:rFonts w:ascii="Times Roman" w:hAnsi="Times Roman"/>
                <w:color w:val="000000"/>
                <w:szCs w:val="22"/>
              </w:rPr>
              <w:t xml:space="preserve"> 2400</w:t>
            </w:r>
          </w:p>
        </w:tc>
        <w:tc>
          <w:tcPr>
            <w:tcW w:w="3969" w:type="dxa"/>
            <w:vAlign w:val="center"/>
          </w:tcPr>
          <w:p w14:paraId="731A5C14" w14:textId="77777777" w:rsidR="000C0E7F" w:rsidRPr="007846E0" w:rsidRDefault="000C0E7F" w:rsidP="008200C7">
            <w:pPr>
              <w:jc w:val="left"/>
              <w:rPr>
                <w:rFonts w:ascii="Times Roman" w:hAnsi="Times Roman"/>
                <w:color w:val="000000"/>
                <w:szCs w:val="22"/>
              </w:rPr>
            </w:pPr>
            <w:r w:rsidRPr="007846E0">
              <w:rPr>
                <w:rFonts w:ascii="Times Roman" w:hAnsi="Times Roman"/>
                <w:i/>
                <w:color w:val="000000"/>
                <w:szCs w:val="22"/>
              </w:rPr>
              <w:t>Review of a Financial Report Performed by an Assurance Practitioner Who is Not the Auditor of the Entity</w:t>
            </w:r>
          </w:p>
        </w:tc>
        <w:tc>
          <w:tcPr>
            <w:tcW w:w="1275" w:type="dxa"/>
            <w:vAlign w:val="center"/>
          </w:tcPr>
          <w:p w14:paraId="554B5284" w14:textId="77777777" w:rsidR="000C0E7F" w:rsidRPr="007846E0" w:rsidRDefault="000C0E7F" w:rsidP="008200C7">
            <w:pPr>
              <w:jc w:val="left"/>
              <w:rPr>
                <w:rFonts w:ascii="Times Roman" w:hAnsi="Times Roman"/>
                <w:color w:val="000000"/>
                <w:szCs w:val="22"/>
              </w:rPr>
            </w:pPr>
            <w:r w:rsidRPr="007846E0">
              <w:rPr>
                <w:rFonts w:ascii="Times Roman" w:hAnsi="Times Roman"/>
                <w:color w:val="000000"/>
                <w:szCs w:val="22"/>
              </w:rPr>
              <w:t>May 2017</w:t>
            </w:r>
          </w:p>
        </w:tc>
      </w:tr>
      <w:tr w:rsidR="000C0E7F" w:rsidRPr="00A40D8A" w14:paraId="1AE739FF" w14:textId="77777777" w:rsidTr="006260BA">
        <w:trPr>
          <w:trHeight w:val="706"/>
          <w:tblHeader/>
        </w:trPr>
        <w:tc>
          <w:tcPr>
            <w:tcW w:w="1418" w:type="dxa"/>
            <w:vAlign w:val="center"/>
          </w:tcPr>
          <w:p w14:paraId="1159883F" w14:textId="77777777" w:rsidR="000C0E7F" w:rsidRPr="007846E0" w:rsidRDefault="000C0E7F" w:rsidP="008200C7">
            <w:pPr>
              <w:jc w:val="left"/>
              <w:rPr>
                <w:rFonts w:ascii="Times Roman" w:hAnsi="Times Roman"/>
                <w:color w:val="000000"/>
                <w:szCs w:val="22"/>
              </w:rPr>
            </w:pPr>
            <w:proofErr w:type="spellStart"/>
            <w:r w:rsidRPr="007846E0">
              <w:rPr>
                <w:rFonts w:ascii="Times Roman" w:hAnsi="Times Roman"/>
                <w:color w:val="000000"/>
                <w:szCs w:val="22"/>
              </w:rPr>
              <w:t>ASRE</w:t>
            </w:r>
            <w:proofErr w:type="spellEnd"/>
            <w:r w:rsidRPr="007846E0">
              <w:rPr>
                <w:rFonts w:ascii="Times Roman" w:hAnsi="Times Roman"/>
                <w:color w:val="000000"/>
                <w:szCs w:val="22"/>
              </w:rPr>
              <w:t xml:space="preserve"> 2405</w:t>
            </w:r>
          </w:p>
        </w:tc>
        <w:tc>
          <w:tcPr>
            <w:tcW w:w="3969" w:type="dxa"/>
            <w:vAlign w:val="center"/>
          </w:tcPr>
          <w:p w14:paraId="32CC9535" w14:textId="77777777" w:rsidR="000C0E7F" w:rsidRPr="007846E0" w:rsidRDefault="000C0E7F" w:rsidP="008200C7">
            <w:pPr>
              <w:jc w:val="left"/>
              <w:rPr>
                <w:rFonts w:ascii="Times Roman" w:hAnsi="Times Roman"/>
                <w:color w:val="000000"/>
                <w:szCs w:val="22"/>
              </w:rPr>
            </w:pPr>
            <w:r w:rsidRPr="007846E0">
              <w:rPr>
                <w:rFonts w:ascii="Times Roman" w:hAnsi="Times Roman"/>
                <w:i/>
                <w:color w:val="000000"/>
                <w:szCs w:val="22"/>
              </w:rPr>
              <w:t>Review of Historical Financial Information Other than a Financial Report</w:t>
            </w:r>
          </w:p>
        </w:tc>
        <w:tc>
          <w:tcPr>
            <w:tcW w:w="1275" w:type="dxa"/>
            <w:vAlign w:val="center"/>
          </w:tcPr>
          <w:p w14:paraId="6D84CE32" w14:textId="77777777" w:rsidR="000C0E7F" w:rsidRPr="007846E0" w:rsidRDefault="000C0E7F" w:rsidP="008200C7">
            <w:pPr>
              <w:jc w:val="left"/>
              <w:rPr>
                <w:rFonts w:ascii="Times Roman" w:hAnsi="Times Roman"/>
                <w:color w:val="000000"/>
                <w:szCs w:val="22"/>
              </w:rPr>
            </w:pPr>
            <w:r w:rsidRPr="007846E0">
              <w:rPr>
                <w:rFonts w:ascii="Times Roman" w:hAnsi="Times Roman"/>
                <w:color w:val="000000"/>
                <w:szCs w:val="22"/>
              </w:rPr>
              <w:t>August 2008</w:t>
            </w:r>
          </w:p>
        </w:tc>
      </w:tr>
      <w:tr w:rsidR="000C0E7F" w:rsidRPr="00A40D8A" w14:paraId="1B062FC2" w14:textId="77777777" w:rsidTr="006260BA">
        <w:trPr>
          <w:trHeight w:val="678"/>
          <w:tblHeader/>
        </w:trPr>
        <w:tc>
          <w:tcPr>
            <w:tcW w:w="1418" w:type="dxa"/>
            <w:tcBorders>
              <w:bottom w:val="single" w:sz="2" w:space="0" w:color="auto"/>
            </w:tcBorders>
            <w:vAlign w:val="center"/>
          </w:tcPr>
          <w:p w14:paraId="33A8996B" w14:textId="77777777" w:rsidR="000C0E7F" w:rsidRPr="007846E0" w:rsidRDefault="000C0E7F" w:rsidP="008200C7">
            <w:pPr>
              <w:jc w:val="left"/>
              <w:rPr>
                <w:rFonts w:ascii="Times Roman" w:hAnsi="Times Roman"/>
                <w:color w:val="000000"/>
                <w:szCs w:val="22"/>
              </w:rPr>
            </w:pPr>
            <w:proofErr w:type="spellStart"/>
            <w:r w:rsidRPr="007846E0">
              <w:rPr>
                <w:rFonts w:ascii="Times Roman" w:hAnsi="Times Roman"/>
                <w:color w:val="000000"/>
                <w:szCs w:val="22"/>
              </w:rPr>
              <w:t>ASAE</w:t>
            </w:r>
            <w:proofErr w:type="spellEnd"/>
            <w:r w:rsidRPr="007846E0">
              <w:rPr>
                <w:rFonts w:ascii="Times Roman" w:hAnsi="Times Roman"/>
                <w:color w:val="000000"/>
                <w:szCs w:val="22"/>
              </w:rPr>
              <w:t xml:space="preserve"> 3000</w:t>
            </w:r>
          </w:p>
        </w:tc>
        <w:tc>
          <w:tcPr>
            <w:tcW w:w="3969" w:type="dxa"/>
            <w:tcBorders>
              <w:bottom w:val="single" w:sz="2" w:space="0" w:color="auto"/>
            </w:tcBorders>
            <w:vAlign w:val="center"/>
          </w:tcPr>
          <w:p w14:paraId="66127709" w14:textId="77777777" w:rsidR="000C0E7F" w:rsidRPr="007846E0" w:rsidRDefault="000C0E7F" w:rsidP="008200C7">
            <w:pPr>
              <w:jc w:val="left"/>
              <w:rPr>
                <w:rFonts w:ascii="Times Roman" w:hAnsi="Times Roman"/>
                <w:i/>
                <w:color w:val="000000"/>
                <w:szCs w:val="22"/>
              </w:rPr>
            </w:pPr>
            <w:r w:rsidRPr="007846E0">
              <w:rPr>
                <w:rFonts w:ascii="Times Roman" w:hAnsi="Times Roman"/>
                <w:i/>
                <w:color w:val="000000"/>
                <w:szCs w:val="22"/>
              </w:rPr>
              <w:t>Assurance Engagements Other than Audits or Reviews of Historical Financial Information</w:t>
            </w:r>
          </w:p>
        </w:tc>
        <w:tc>
          <w:tcPr>
            <w:tcW w:w="1275" w:type="dxa"/>
            <w:tcBorders>
              <w:bottom w:val="single" w:sz="2" w:space="0" w:color="auto"/>
            </w:tcBorders>
            <w:vAlign w:val="center"/>
          </w:tcPr>
          <w:p w14:paraId="6D6D73F3" w14:textId="77777777" w:rsidR="000C0E7F" w:rsidRPr="007846E0" w:rsidRDefault="000C0E7F" w:rsidP="00C22950">
            <w:pPr>
              <w:jc w:val="left"/>
              <w:rPr>
                <w:rFonts w:ascii="Times Roman" w:hAnsi="Times Roman"/>
                <w:color w:val="000000"/>
                <w:szCs w:val="22"/>
              </w:rPr>
            </w:pPr>
            <w:r w:rsidRPr="007846E0">
              <w:rPr>
                <w:rFonts w:ascii="Times Roman" w:hAnsi="Times Roman"/>
                <w:color w:val="000000"/>
                <w:szCs w:val="22"/>
              </w:rPr>
              <w:t>May 2017</w:t>
            </w:r>
          </w:p>
        </w:tc>
      </w:tr>
      <w:tr w:rsidR="000C0E7F" w:rsidRPr="00A40D8A" w14:paraId="0AB7D7A2" w14:textId="77777777" w:rsidTr="006260BA">
        <w:trPr>
          <w:trHeight w:val="678"/>
          <w:tblHeader/>
        </w:trPr>
        <w:tc>
          <w:tcPr>
            <w:tcW w:w="1418" w:type="dxa"/>
            <w:tcBorders>
              <w:bottom w:val="single" w:sz="2" w:space="0" w:color="auto"/>
            </w:tcBorders>
            <w:vAlign w:val="center"/>
          </w:tcPr>
          <w:p w14:paraId="5762F054" w14:textId="77777777" w:rsidR="000C0E7F" w:rsidRPr="007846E0" w:rsidRDefault="000C0E7F" w:rsidP="008200C7">
            <w:pPr>
              <w:jc w:val="left"/>
              <w:rPr>
                <w:rFonts w:ascii="Times Roman" w:hAnsi="Times Roman"/>
                <w:color w:val="000000"/>
                <w:szCs w:val="22"/>
              </w:rPr>
            </w:pPr>
            <w:proofErr w:type="spellStart"/>
            <w:r w:rsidRPr="007846E0">
              <w:rPr>
                <w:rFonts w:ascii="Times Roman" w:hAnsi="Times Roman"/>
                <w:color w:val="000000"/>
                <w:szCs w:val="22"/>
              </w:rPr>
              <w:t>ASAE</w:t>
            </w:r>
            <w:proofErr w:type="spellEnd"/>
            <w:r w:rsidRPr="007846E0">
              <w:rPr>
                <w:rFonts w:ascii="Times Roman" w:hAnsi="Times Roman"/>
                <w:color w:val="000000"/>
                <w:szCs w:val="22"/>
              </w:rPr>
              <w:t xml:space="preserve"> 3100</w:t>
            </w:r>
          </w:p>
        </w:tc>
        <w:tc>
          <w:tcPr>
            <w:tcW w:w="3969" w:type="dxa"/>
            <w:tcBorders>
              <w:bottom w:val="single" w:sz="2" w:space="0" w:color="auto"/>
            </w:tcBorders>
            <w:vAlign w:val="center"/>
          </w:tcPr>
          <w:p w14:paraId="09AAB1F7" w14:textId="77777777" w:rsidR="000C0E7F" w:rsidRPr="007846E0" w:rsidRDefault="000C0E7F" w:rsidP="008200C7">
            <w:pPr>
              <w:jc w:val="left"/>
              <w:rPr>
                <w:rFonts w:ascii="Times Roman" w:hAnsi="Times Roman"/>
                <w:color w:val="000000"/>
                <w:szCs w:val="22"/>
              </w:rPr>
            </w:pPr>
            <w:r w:rsidRPr="007846E0">
              <w:rPr>
                <w:rFonts w:ascii="Times Roman" w:hAnsi="Times Roman"/>
                <w:i/>
                <w:color w:val="000000"/>
                <w:szCs w:val="22"/>
              </w:rPr>
              <w:t>Compliance Engagements</w:t>
            </w:r>
          </w:p>
        </w:tc>
        <w:tc>
          <w:tcPr>
            <w:tcW w:w="1275" w:type="dxa"/>
            <w:tcBorders>
              <w:bottom w:val="single" w:sz="2" w:space="0" w:color="auto"/>
            </w:tcBorders>
            <w:vAlign w:val="center"/>
          </w:tcPr>
          <w:p w14:paraId="747A1656" w14:textId="77777777" w:rsidR="000C0E7F" w:rsidRPr="007846E0" w:rsidRDefault="000C0E7F" w:rsidP="00C22950">
            <w:pPr>
              <w:jc w:val="left"/>
              <w:rPr>
                <w:rFonts w:ascii="Times Roman" w:hAnsi="Times Roman"/>
                <w:color w:val="000000"/>
                <w:szCs w:val="22"/>
              </w:rPr>
            </w:pPr>
            <w:r w:rsidRPr="007846E0">
              <w:rPr>
                <w:rFonts w:ascii="Times Roman" w:hAnsi="Times Roman"/>
                <w:color w:val="000000"/>
                <w:szCs w:val="22"/>
              </w:rPr>
              <w:t>February 2017</w:t>
            </w:r>
          </w:p>
        </w:tc>
      </w:tr>
      <w:tr w:rsidR="000C0E7F" w:rsidRPr="00A40D8A" w14:paraId="0F1A056F" w14:textId="77777777" w:rsidTr="006260BA">
        <w:trPr>
          <w:trHeight w:val="702"/>
          <w:tblHeader/>
        </w:trPr>
        <w:tc>
          <w:tcPr>
            <w:tcW w:w="1418" w:type="dxa"/>
            <w:tcBorders>
              <w:bottom w:val="single" w:sz="2" w:space="0" w:color="auto"/>
            </w:tcBorders>
            <w:vAlign w:val="center"/>
          </w:tcPr>
          <w:p w14:paraId="49D81507" w14:textId="77777777" w:rsidR="000C0E7F" w:rsidRPr="007846E0" w:rsidRDefault="000C0E7F">
            <w:pPr>
              <w:jc w:val="left"/>
              <w:rPr>
                <w:rFonts w:ascii="Times Roman" w:hAnsi="Times Roman"/>
                <w:color w:val="000000"/>
                <w:szCs w:val="22"/>
              </w:rPr>
            </w:pPr>
            <w:proofErr w:type="spellStart"/>
            <w:r w:rsidRPr="007846E0">
              <w:rPr>
                <w:rFonts w:ascii="Times Roman" w:hAnsi="Times Roman"/>
                <w:color w:val="000000"/>
                <w:szCs w:val="22"/>
              </w:rPr>
              <w:t>ASAE</w:t>
            </w:r>
            <w:proofErr w:type="spellEnd"/>
            <w:r w:rsidRPr="007846E0">
              <w:rPr>
                <w:rFonts w:ascii="Times Roman" w:hAnsi="Times Roman"/>
                <w:color w:val="000000"/>
                <w:szCs w:val="22"/>
              </w:rPr>
              <w:t xml:space="preserve"> 3150</w:t>
            </w:r>
          </w:p>
        </w:tc>
        <w:tc>
          <w:tcPr>
            <w:tcW w:w="3969" w:type="dxa"/>
            <w:tcBorders>
              <w:bottom w:val="single" w:sz="2" w:space="0" w:color="auto"/>
            </w:tcBorders>
            <w:vAlign w:val="center"/>
          </w:tcPr>
          <w:p w14:paraId="01AB89B5" w14:textId="77777777" w:rsidR="000C0E7F" w:rsidRPr="007846E0" w:rsidRDefault="000C0E7F">
            <w:pPr>
              <w:jc w:val="left"/>
              <w:rPr>
                <w:rFonts w:ascii="Times Roman" w:hAnsi="Times Roman"/>
                <w:color w:val="000000"/>
                <w:szCs w:val="22"/>
              </w:rPr>
            </w:pPr>
            <w:r w:rsidRPr="007846E0">
              <w:rPr>
                <w:rFonts w:ascii="Times Roman" w:hAnsi="Times Roman"/>
                <w:i/>
                <w:color w:val="000000"/>
                <w:szCs w:val="22"/>
              </w:rPr>
              <w:t>Assurance Engagements on Controls</w:t>
            </w:r>
          </w:p>
        </w:tc>
        <w:tc>
          <w:tcPr>
            <w:tcW w:w="1275" w:type="dxa"/>
            <w:tcBorders>
              <w:bottom w:val="single" w:sz="2" w:space="0" w:color="auto"/>
            </w:tcBorders>
            <w:vAlign w:val="center"/>
          </w:tcPr>
          <w:p w14:paraId="2CCEA844" w14:textId="77777777" w:rsidR="000C0E7F" w:rsidRPr="007846E0" w:rsidRDefault="000C0E7F" w:rsidP="009C42B7">
            <w:pPr>
              <w:jc w:val="left"/>
              <w:rPr>
                <w:rFonts w:ascii="Times Roman" w:hAnsi="Times Roman"/>
                <w:color w:val="000000"/>
                <w:szCs w:val="22"/>
              </w:rPr>
            </w:pPr>
            <w:r w:rsidRPr="007846E0">
              <w:rPr>
                <w:rFonts w:ascii="Times Roman" w:hAnsi="Times Roman"/>
                <w:color w:val="000000"/>
                <w:szCs w:val="22"/>
              </w:rPr>
              <w:t>January 2015</w:t>
            </w:r>
          </w:p>
        </w:tc>
      </w:tr>
      <w:tr w:rsidR="000C0E7F" w:rsidRPr="00A40D8A" w14:paraId="7D8733B8" w14:textId="77777777" w:rsidTr="006260BA">
        <w:trPr>
          <w:trHeight w:val="782"/>
          <w:tblHeader/>
        </w:trPr>
        <w:tc>
          <w:tcPr>
            <w:tcW w:w="1418" w:type="dxa"/>
            <w:vAlign w:val="center"/>
          </w:tcPr>
          <w:p w14:paraId="744F3DCD" w14:textId="77777777" w:rsidR="000C0E7F" w:rsidRPr="007846E0" w:rsidRDefault="000C0E7F" w:rsidP="00890C39">
            <w:pPr>
              <w:jc w:val="left"/>
              <w:rPr>
                <w:rFonts w:ascii="Times Roman" w:hAnsi="Times Roman"/>
                <w:color w:val="000000"/>
                <w:szCs w:val="22"/>
              </w:rPr>
            </w:pPr>
            <w:r w:rsidRPr="007846E0">
              <w:rPr>
                <w:rFonts w:ascii="Times Roman" w:hAnsi="Times Roman"/>
                <w:color w:val="000000"/>
                <w:szCs w:val="22"/>
              </w:rPr>
              <w:t>ASRS 4400</w:t>
            </w:r>
          </w:p>
        </w:tc>
        <w:tc>
          <w:tcPr>
            <w:tcW w:w="3969" w:type="dxa"/>
            <w:vAlign w:val="center"/>
          </w:tcPr>
          <w:p w14:paraId="1F02D072" w14:textId="32487FEE" w:rsidR="000C0E7F" w:rsidRPr="006260BA" w:rsidRDefault="000C0E7F">
            <w:pPr>
              <w:jc w:val="left"/>
              <w:rPr>
                <w:rFonts w:ascii="Times Roman" w:hAnsi="Times Roman"/>
                <w:color w:val="000000"/>
              </w:rPr>
            </w:pPr>
            <w:r w:rsidRPr="007846E0">
              <w:rPr>
                <w:rFonts w:ascii="Times Roman" w:hAnsi="Times Roman"/>
                <w:i/>
                <w:color w:val="000000"/>
                <w:szCs w:val="22"/>
              </w:rPr>
              <w:t>Agreed-Upon Procedures Engagements to Report Actual Findings</w:t>
            </w:r>
            <w:r w:rsidR="00E64CDE">
              <w:rPr>
                <w:rFonts w:ascii="Times Roman" w:hAnsi="Times Roman"/>
                <w:color w:val="000000"/>
                <w:szCs w:val="22"/>
              </w:rPr>
              <w:t xml:space="preserve"> </w:t>
            </w:r>
            <w:r w:rsidR="008C19C8">
              <w:rPr>
                <w:rFonts w:ascii="Times Roman" w:hAnsi="Times Roman"/>
                <w:color w:val="000000"/>
                <w:szCs w:val="22"/>
              </w:rPr>
              <w:t>(cease</w:t>
            </w:r>
            <w:r w:rsidR="008B3E41">
              <w:rPr>
                <w:rFonts w:ascii="Times Roman" w:hAnsi="Times Roman"/>
                <w:color w:val="000000"/>
                <w:szCs w:val="22"/>
              </w:rPr>
              <w:t>s</w:t>
            </w:r>
            <w:r w:rsidR="008C19C8">
              <w:rPr>
                <w:rFonts w:ascii="Times Roman" w:hAnsi="Times Roman"/>
                <w:color w:val="000000"/>
                <w:szCs w:val="22"/>
              </w:rPr>
              <w:t xml:space="preserve"> to apply on 1 Jan</w:t>
            </w:r>
            <w:r w:rsidR="00B26B20">
              <w:rPr>
                <w:rFonts w:ascii="Times Roman" w:hAnsi="Times Roman"/>
                <w:color w:val="000000"/>
                <w:szCs w:val="22"/>
              </w:rPr>
              <w:t>uary</w:t>
            </w:r>
            <w:r w:rsidR="008C19C8">
              <w:rPr>
                <w:rFonts w:ascii="Times Roman" w:hAnsi="Times Roman"/>
                <w:color w:val="000000"/>
                <w:szCs w:val="22"/>
              </w:rPr>
              <w:t xml:space="preserve"> 2022)</w:t>
            </w:r>
          </w:p>
        </w:tc>
        <w:tc>
          <w:tcPr>
            <w:tcW w:w="1275" w:type="dxa"/>
            <w:vAlign w:val="center"/>
          </w:tcPr>
          <w:p w14:paraId="4A035957" w14:textId="77777777" w:rsidR="000C0E7F" w:rsidRPr="007846E0" w:rsidRDefault="000C0E7F" w:rsidP="00890C39">
            <w:pPr>
              <w:jc w:val="left"/>
              <w:rPr>
                <w:rFonts w:ascii="Times Roman" w:hAnsi="Times Roman"/>
                <w:color w:val="000000"/>
                <w:szCs w:val="22"/>
              </w:rPr>
            </w:pPr>
            <w:r w:rsidRPr="007846E0">
              <w:rPr>
                <w:rFonts w:ascii="Times Roman" w:hAnsi="Times Roman"/>
                <w:color w:val="000000"/>
                <w:szCs w:val="22"/>
              </w:rPr>
              <w:t>July 2013</w:t>
            </w:r>
          </w:p>
        </w:tc>
      </w:tr>
      <w:tr w:rsidR="001A22EA" w:rsidRPr="00A40D8A" w14:paraId="4760AB90" w14:textId="77777777" w:rsidTr="00E64CDE">
        <w:trPr>
          <w:trHeight w:val="782"/>
          <w:tblHeader/>
        </w:trPr>
        <w:tc>
          <w:tcPr>
            <w:tcW w:w="1418" w:type="dxa"/>
            <w:vAlign w:val="center"/>
          </w:tcPr>
          <w:p w14:paraId="46D8273C" w14:textId="77777777" w:rsidR="001A22EA" w:rsidRPr="007846E0" w:rsidRDefault="001A22EA" w:rsidP="00890C39">
            <w:pPr>
              <w:jc w:val="left"/>
              <w:rPr>
                <w:rFonts w:ascii="Times Roman" w:hAnsi="Times Roman"/>
                <w:color w:val="000000"/>
                <w:szCs w:val="22"/>
              </w:rPr>
            </w:pPr>
            <w:r w:rsidRPr="007846E0">
              <w:rPr>
                <w:rFonts w:ascii="Times Roman" w:hAnsi="Times Roman"/>
                <w:color w:val="000000"/>
                <w:szCs w:val="22"/>
              </w:rPr>
              <w:t>ASRS 4400</w:t>
            </w:r>
          </w:p>
        </w:tc>
        <w:tc>
          <w:tcPr>
            <w:tcW w:w="3969" w:type="dxa"/>
            <w:vAlign w:val="center"/>
          </w:tcPr>
          <w:p w14:paraId="6D65F958" w14:textId="7189A77C" w:rsidR="001A22EA" w:rsidRPr="007846E0" w:rsidRDefault="001A22EA" w:rsidP="00E64CDE">
            <w:pPr>
              <w:jc w:val="left"/>
              <w:rPr>
                <w:rFonts w:ascii="Times Roman" w:hAnsi="Times Roman"/>
                <w:i/>
                <w:color w:val="000000"/>
                <w:szCs w:val="22"/>
              </w:rPr>
            </w:pPr>
            <w:r w:rsidRPr="001A22EA">
              <w:rPr>
                <w:rFonts w:ascii="Times Roman" w:hAnsi="Times Roman"/>
                <w:i/>
                <w:color w:val="000000"/>
                <w:szCs w:val="22"/>
              </w:rPr>
              <w:t>Agreed-Upon Procedures Engagements</w:t>
            </w:r>
            <w:r w:rsidR="00B26B20">
              <w:rPr>
                <w:rFonts w:ascii="Times Roman" w:hAnsi="Times Roman"/>
                <w:i/>
                <w:color w:val="000000"/>
                <w:szCs w:val="22"/>
              </w:rPr>
              <w:t xml:space="preserve"> </w:t>
            </w:r>
            <w:r w:rsidR="00B26B20" w:rsidRPr="007846E0">
              <w:rPr>
                <w:rFonts w:ascii="Times Roman" w:hAnsi="Times Roman"/>
                <w:i/>
                <w:color w:val="000000"/>
                <w:szCs w:val="22"/>
              </w:rPr>
              <w:t>to Report Actual Findings</w:t>
            </w:r>
            <w:r>
              <w:rPr>
                <w:rFonts w:ascii="Times Roman" w:hAnsi="Times Roman"/>
                <w:i/>
                <w:color w:val="000000"/>
                <w:szCs w:val="22"/>
              </w:rPr>
              <w:t xml:space="preserve"> </w:t>
            </w:r>
            <w:r w:rsidRPr="005D4DBC">
              <w:rPr>
                <w:rFonts w:ascii="Times Roman" w:hAnsi="Times Roman"/>
                <w:color w:val="000000"/>
                <w:szCs w:val="22"/>
              </w:rPr>
              <w:t>(as approved on 11 September 2020)</w:t>
            </w:r>
          </w:p>
        </w:tc>
        <w:tc>
          <w:tcPr>
            <w:tcW w:w="1275" w:type="dxa"/>
            <w:vAlign w:val="center"/>
          </w:tcPr>
          <w:p w14:paraId="7C1B88EB" w14:textId="29831A56" w:rsidR="001A22EA" w:rsidRPr="007846E0" w:rsidRDefault="001A22EA" w:rsidP="00890C39">
            <w:pPr>
              <w:jc w:val="left"/>
              <w:rPr>
                <w:rFonts w:ascii="Times Roman" w:hAnsi="Times Roman"/>
                <w:color w:val="000000"/>
                <w:szCs w:val="22"/>
              </w:rPr>
            </w:pPr>
            <w:r>
              <w:rPr>
                <w:rFonts w:ascii="Times Roman" w:hAnsi="Times Roman"/>
                <w:color w:val="000000"/>
                <w:szCs w:val="22"/>
              </w:rPr>
              <w:t>Jan</w:t>
            </w:r>
            <w:r w:rsidR="00B26B20">
              <w:rPr>
                <w:rFonts w:ascii="Times Roman" w:hAnsi="Times Roman"/>
                <w:color w:val="000000"/>
                <w:szCs w:val="22"/>
              </w:rPr>
              <w:t>uary</w:t>
            </w:r>
            <w:r>
              <w:rPr>
                <w:rFonts w:ascii="Times Roman" w:hAnsi="Times Roman"/>
                <w:color w:val="000000"/>
                <w:szCs w:val="22"/>
              </w:rPr>
              <w:t xml:space="preserve"> 2022</w:t>
            </w:r>
          </w:p>
        </w:tc>
      </w:tr>
    </w:tbl>
    <w:p w14:paraId="62A28775" w14:textId="77777777" w:rsidR="00783EB3" w:rsidRPr="007846E0" w:rsidRDefault="00783EB3" w:rsidP="008D72E0">
      <w:pPr>
        <w:ind w:right="96"/>
        <w:rPr>
          <w:rFonts w:ascii="Times Roman" w:hAnsi="Times Roman"/>
          <w:szCs w:val="22"/>
        </w:rPr>
      </w:pPr>
    </w:p>
    <w:p w14:paraId="10336CAC" w14:textId="63353383" w:rsidR="001A22EA" w:rsidRPr="006914B4" w:rsidRDefault="001A22EA" w:rsidP="00F56450">
      <w:pPr>
        <w:pStyle w:val="ListParagraph"/>
        <w:numPr>
          <w:ilvl w:val="0"/>
          <w:numId w:val="10"/>
        </w:numPr>
        <w:jc w:val="both"/>
        <w:rPr>
          <w:rFonts w:ascii="Times Roman" w:hAnsi="Times Roman"/>
          <w:color w:val="000000"/>
        </w:rPr>
      </w:pPr>
      <w:r w:rsidRPr="00F56450">
        <w:rPr>
          <w:rFonts w:ascii="Times Roman" w:hAnsi="Times Roman"/>
          <w:color w:val="000000"/>
        </w:rPr>
        <w:t xml:space="preserve">In respect of ASRS 4400 </w:t>
      </w:r>
      <w:r w:rsidR="00AE2285">
        <w:rPr>
          <w:rFonts w:ascii="Times Roman" w:hAnsi="Times Roman"/>
        </w:rPr>
        <w:t xml:space="preserve">as </w:t>
      </w:r>
      <w:r w:rsidR="00AD6DA5">
        <w:rPr>
          <w:rFonts w:ascii="Times Roman" w:hAnsi="Times Roman"/>
        </w:rPr>
        <w:t>approved on 11 September 2020, this standard applies as appropriate to agreed-upon procedures engagements agreed on or after 1 January 2022. Early adoption of ASRS 4400 is permitted prior to this date</w:t>
      </w:r>
      <w:r w:rsidRPr="00F56450">
        <w:rPr>
          <w:rFonts w:ascii="Times Roman" w:hAnsi="Times Roman"/>
          <w:color w:val="000000"/>
        </w:rPr>
        <w:t xml:space="preserve">. </w:t>
      </w:r>
    </w:p>
    <w:p w14:paraId="1FDCBBCF" w14:textId="77777777" w:rsidR="001A22EA" w:rsidRPr="005D4DBC" w:rsidRDefault="001A22EA" w:rsidP="005D4DBC">
      <w:pPr>
        <w:pStyle w:val="ListParagraph"/>
        <w:ind w:left="360"/>
        <w:jc w:val="both"/>
        <w:rPr>
          <w:rFonts w:ascii="Times Roman" w:hAnsi="Times Roman"/>
          <w:color w:val="000000"/>
        </w:rPr>
      </w:pPr>
    </w:p>
    <w:p w14:paraId="721DA5F3" w14:textId="00E53B7A" w:rsidR="00CB1428" w:rsidRPr="007846E0" w:rsidRDefault="00CB1428" w:rsidP="006260BA">
      <w:pPr>
        <w:pStyle w:val="ListParagraph"/>
        <w:numPr>
          <w:ilvl w:val="0"/>
          <w:numId w:val="10"/>
        </w:numPr>
        <w:jc w:val="both"/>
        <w:rPr>
          <w:rFonts w:ascii="Times Roman" w:hAnsi="Times Roman"/>
          <w:color w:val="000000"/>
        </w:rPr>
      </w:pPr>
      <w:r w:rsidRPr="007846E0">
        <w:rPr>
          <w:rFonts w:ascii="Times Roman" w:eastAsia="Times New Roman" w:hAnsi="Times Roman"/>
          <w:color w:val="000000"/>
        </w:rPr>
        <w:t xml:space="preserve">In respect of </w:t>
      </w:r>
      <w:r w:rsidR="00902E49" w:rsidRPr="007846E0">
        <w:rPr>
          <w:rFonts w:ascii="Times Roman" w:eastAsia="Times New Roman" w:hAnsi="Times Roman"/>
          <w:color w:val="000000"/>
        </w:rPr>
        <w:t xml:space="preserve">a </w:t>
      </w:r>
      <w:r w:rsidRPr="007846E0">
        <w:rPr>
          <w:rFonts w:ascii="Times Roman" w:eastAsia="Times New Roman" w:hAnsi="Times Roman"/>
          <w:color w:val="000000"/>
        </w:rPr>
        <w:t xml:space="preserve">performance audit under Division 2 of Part 4 of the Act </w:t>
      </w:r>
      <w:r w:rsidR="0018786A">
        <w:rPr>
          <w:rFonts w:ascii="Times Roman" w:eastAsia="Times New Roman" w:hAnsi="Times Roman"/>
          <w:color w:val="000000"/>
        </w:rPr>
        <w:t>or</w:t>
      </w:r>
      <w:r w:rsidR="0018786A" w:rsidRPr="007846E0">
        <w:rPr>
          <w:rFonts w:ascii="Times Roman" w:eastAsia="Times New Roman" w:hAnsi="Times Roman"/>
          <w:color w:val="000000"/>
        </w:rPr>
        <w:t xml:space="preserve"> </w:t>
      </w:r>
      <w:r w:rsidR="00902E49" w:rsidRPr="007846E0">
        <w:rPr>
          <w:rFonts w:ascii="Times Roman" w:eastAsia="Times New Roman" w:hAnsi="Times Roman"/>
          <w:color w:val="000000"/>
        </w:rPr>
        <w:t xml:space="preserve">a </w:t>
      </w:r>
      <w:r w:rsidRPr="007846E0">
        <w:rPr>
          <w:rFonts w:ascii="Times Roman" w:eastAsia="Times New Roman" w:hAnsi="Times Roman"/>
          <w:color w:val="000000"/>
        </w:rPr>
        <w:t>performance audit of the Australian National Audit Office under D</w:t>
      </w:r>
      <w:r w:rsidR="00902E49" w:rsidRPr="007846E0">
        <w:rPr>
          <w:rFonts w:ascii="Times Roman" w:eastAsia="Times New Roman" w:hAnsi="Times Roman"/>
          <w:color w:val="000000"/>
        </w:rPr>
        <w:t xml:space="preserve">ivision 2 of Part 7 of the Act </w:t>
      </w:r>
      <w:r w:rsidRPr="007846E0">
        <w:rPr>
          <w:rFonts w:ascii="Times Roman" w:eastAsia="Times New Roman" w:hAnsi="Times Roman"/>
          <w:color w:val="000000"/>
        </w:rPr>
        <w:t>the ANAO</w:t>
      </w:r>
      <w:r w:rsidR="00902E49" w:rsidRPr="007846E0">
        <w:rPr>
          <w:rFonts w:ascii="Times Roman" w:eastAsia="Times New Roman" w:hAnsi="Times Roman"/>
          <w:color w:val="000000"/>
        </w:rPr>
        <w:t xml:space="preserve"> Auditing Standards comprise the standards referred to below, to the extent that they are not inconsistent with requirements of the Act or other relevant legislation, and to the extent that they apply to the relevant audit or review activity:</w:t>
      </w:r>
    </w:p>
    <w:p w14:paraId="76744C7E" w14:textId="1B38FEF2" w:rsidR="00CB1428" w:rsidRPr="007846E0" w:rsidRDefault="00902E49" w:rsidP="006260BA">
      <w:pPr>
        <w:ind w:left="1069" w:hanging="709"/>
        <w:rPr>
          <w:rFonts w:ascii="Times Roman" w:hAnsi="Times Roman"/>
          <w:szCs w:val="22"/>
        </w:rPr>
      </w:pPr>
      <w:r w:rsidRPr="007846E0">
        <w:rPr>
          <w:rFonts w:ascii="Times Roman" w:hAnsi="Times Roman"/>
          <w:szCs w:val="22"/>
        </w:rPr>
        <w:t>(a)</w:t>
      </w:r>
      <w:r w:rsidRPr="007846E0">
        <w:rPr>
          <w:rFonts w:ascii="Times Roman" w:hAnsi="Times Roman"/>
          <w:szCs w:val="22"/>
        </w:rPr>
        <w:tab/>
      </w:r>
      <w:r w:rsidR="00CB1428" w:rsidRPr="007846E0">
        <w:rPr>
          <w:rFonts w:ascii="Times Roman" w:hAnsi="Times Roman"/>
          <w:szCs w:val="22"/>
        </w:rPr>
        <w:t xml:space="preserve">Standard on Assurance Engagements </w:t>
      </w:r>
      <w:proofErr w:type="spellStart"/>
      <w:r w:rsidR="00CB1428" w:rsidRPr="007846E0">
        <w:rPr>
          <w:rFonts w:ascii="Times Roman" w:hAnsi="Times Roman"/>
          <w:szCs w:val="22"/>
        </w:rPr>
        <w:t>ASAE</w:t>
      </w:r>
      <w:proofErr w:type="spellEnd"/>
      <w:r w:rsidR="00CB1428" w:rsidRPr="007846E0">
        <w:rPr>
          <w:rFonts w:ascii="Times Roman" w:hAnsi="Times Roman"/>
          <w:szCs w:val="22"/>
        </w:rPr>
        <w:t xml:space="preserve"> 3500 </w:t>
      </w:r>
      <w:r w:rsidR="00CB1428" w:rsidRPr="008E5510">
        <w:rPr>
          <w:rFonts w:ascii="Times Roman" w:hAnsi="Times Roman"/>
          <w:i/>
          <w:szCs w:val="22"/>
        </w:rPr>
        <w:t>Performance Engagements</w:t>
      </w:r>
      <w:r w:rsidR="00CB1428" w:rsidRPr="007846E0">
        <w:rPr>
          <w:rFonts w:ascii="Times Roman" w:hAnsi="Times Roman"/>
          <w:szCs w:val="22"/>
        </w:rPr>
        <w:t xml:space="preserve"> issued </w:t>
      </w:r>
      <w:r w:rsidR="006A4BD6">
        <w:rPr>
          <w:rFonts w:ascii="Times Roman" w:hAnsi="Times Roman"/>
          <w:szCs w:val="22"/>
        </w:rPr>
        <w:t xml:space="preserve">on </w:t>
      </w:r>
      <w:r w:rsidR="00CB1428" w:rsidRPr="007846E0">
        <w:rPr>
          <w:rFonts w:ascii="Times Roman" w:hAnsi="Times Roman"/>
          <w:szCs w:val="22"/>
        </w:rPr>
        <w:t xml:space="preserve">5 October 2017 by the </w:t>
      </w:r>
      <w:proofErr w:type="spellStart"/>
      <w:r w:rsidR="00CB1428" w:rsidRPr="007846E0">
        <w:rPr>
          <w:rFonts w:ascii="Times Roman" w:hAnsi="Times Roman"/>
          <w:szCs w:val="22"/>
        </w:rPr>
        <w:t>AUASB</w:t>
      </w:r>
      <w:proofErr w:type="spellEnd"/>
      <w:r w:rsidR="00CB1428" w:rsidRPr="007846E0">
        <w:rPr>
          <w:rFonts w:ascii="Times Roman" w:hAnsi="Times Roman"/>
          <w:szCs w:val="22"/>
        </w:rPr>
        <w:t xml:space="preserve"> pursuant to </w:t>
      </w:r>
      <w:r w:rsidR="00243291">
        <w:rPr>
          <w:rFonts w:ascii="Times Roman" w:hAnsi="Times Roman"/>
          <w:szCs w:val="22"/>
        </w:rPr>
        <w:t>paragraph</w:t>
      </w:r>
      <w:r w:rsidR="00CB1428" w:rsidRPr="007846E0">
        <w:rPr>
          <w:rFonts w:ascii="Times Roman" w:hAnsi="Times Roman"/>
          <w:szCs w:val="22"/>
        </w:rPr>
        <w:t xml:space="preserve"> 227B(1)(b) of the </w:t>
      </w:r>
      <w:proofErr w:type="spellStart"/>
      <w:r w:rsidR="00E172F5">
        <w:rPr>
          <w:rFonts w:ascii="Times Roman" w:hAnsi="Times Roman"/>
          <w:szCs w:val="22"/>
        </w:rPr>
        <w:t>ASIC</w:t>
      </w:r>
      <w:proofErr w:type="spellEnd"/>
      <w:r w:rsidR="00E172F5">
        <w:rPr>
          <w:rFonts w:ascii="Times Roman" w:hAnsi="Times Roman"/>
          <w:szCs w:val="22"/>
        </w:rPr>
        <w:t xml:space="preserve"> Act</w:t>
      </w:r>
      <w:r w:rsidR="00CB1428" w:rsidRPr="007846E0">
        <w:rPr>
          <w:rFonts w:ascii="Times Roman" w:hAnsi="Times Roman"/>
          <w:szCs w:val="22"/>
        </w:rPr>
        <w:t>, except for the following requirements paragraphs:</w:t>
      </w:r>
    </w:p>
    <w:p w14:paraId="66A7694B" w14:textId="77777777" w:rsidR="00CB1428" w:rsidRPr="007846E0" w:rsidRDefault="00CB1428" w:rsidP="006260BA">
      <w:pPr>
        <w:ind w:left="360"/>
        <w:rPr>
          <w:rFonts w:ascii="Times Roman" w:hAnsi="Times Roman"/>
          <w:szCs w:val="22"/>
        </w:rPr>
      </w:pPr>
    </w:p>
    <w:p w14:paraId="09051589" w14:textId="6CDA6C4F" w:rsidR="00CB61CE" w:rsidRPr="007846E0" w:rsidRDefault="00CB1428" w:rsidP="006260BA">
      <w:pPr>
        <w:pStyle w:val="ListParagraph"/>
        <w:numPr>
          <w:ilvl w:val="0"/>
          <w:numId w:val="8"/>
        </w:numPr>
        <w:ind w:left="1789"/>
        <w:jc w:val="both"/>
        <w:rPr>
          <w:rFonts w:ascii="Times Roman" w:hAnsi="Times Roman"/>
        </w:rPr>
      </w:pPr>
      <w:r w:rsidRPr="007846E0">
        <w:rPr>
          <w:rFonts w:ascii="Times Roman" w:hAnsi="Times Roman"/>
        </w:rPr>
        <w:lastRenderedPageBreak/>
        <w:t>Paragraph 33 relating to obtaining an understanding of internal controls relevant to the evaluation of the activity’s performance ag</w:t>
      </w:r>
      <w:r w:rsidR="00902E49" w:rsidRPr="007846E0">
        <w:rPr>
          <w:rFonts w:ascii="Times Roman" w:hAnsi="Times Roman"/>
        </w:rPr>
        <w:t>ainst the identified criteria;</w:t>
      </w:r>
    </w:p>
    <w:p w14:paraId="12F6BE37" w14:textId="44297784" w:rsidR="00902E49" w:rsidRPr="007846E0" w:rsidRDefault="00902E49" w:rsidP="006260BA">
      <w:pPr>
        <w:pStyle w:val="ListParagraph"/>
        <w:ind w:left="1789"/>
        <w:jc w:val="both"/>
        <w:rPr>
          <w:rFonts w:ascii="Times Roman" w:hAnsi="Times Roman"/>
        </w:rPr>
      </w:pPr>
    </w:p>
    <w:p w14:paraId="1EEBF36A" w14:textId="77777777" w:rsidR="003D7E84" w:rsidRDefault="00902E49" w:rsidP="006260BA">
      <w:pPr>
        <w:pStyle w:val="ListParagraph"/>
        <w:numPr>
          <w:ilvl w:val="0"/>
          <w:numId w:val="8"/>
        </w:numPr>
        <w:ind w:left="1789"/>
        <w:jc w:val="both"/>
        <w:rPr>
          <w:rFonts w:ascii="Times Roman" w:hAnsi="Times Roman"/>
        </w:rPr>
      </w:pPr>
      <w:r w:rsidRPr="007846E0">
        <w:rPr>
          <w:rFonts w:ascii="Times Roman" w:hAnsi="Times Roman"/>
        </w:rPr>
        <w:t>Paragraph 34 relating to procedures relating to non-compliance with laws and regulations; and</w:t>
      </w:r>
    </w:p>
    <w:p w14:paraId="5CE5DC28" w14:textId="77777777" w:rsidR="003D7E84" w:rsidRPr="008E5510" w:rsidRDefault="003D7E84" w:rsidP="006260BA">
      <w:pPr>
        <w:pStyle w:val="ListParagraph"/>
        <w:ind w:left="1789"/>
        <w:jc w:val="both"/>
        <w:rPr>
          <w:rFonts w:ascii="Times Roman" w:hAnsi="Times Roman"/>
        </w:rPr>
      </w:pPr>
    </w:p>
    <w:p w14:paraId="793BE2A3" w14:textId="77777777" w:rsidR="00CB1428" w:rsidRPr="007846E0" w:rsidRDefault="00CB1428" w:rsidP="006260BA">
      <w:pPr>
        <w:pStyle w:val="ListParagraph"/>
        <w:numPr>
          <w:ilvl w:val="0"/>
          <w:numId w:val="8"/>
        </w:numPr>
        <w:ind w:left="1789"/>
        <w:jc w:val="both"/>
        <w:rPr>
          <w:rFonts w:ascii="Times Roman" w:hAnsi="Times Roman"/>
        </w:rPr>
      </w:pPr>
      <w:r w:rsidRPr="007846E0">
        <w:rPr>
          <w:rFonts w:ascii="Times Roman" w:hAnsi="Times Roman"/>
        </w:rPr>
        <w:t xml:space="preserve">Paragraph 45 relating to the assurance report content. </w:t>
      </w:r>
    </w:p>
    <w:p w14:paraId="09728DF1" w14:textId="77777777" w:rsidR="00CB1428" w:rsidRPr="007846E0" w:rsidRDefault="00CB1428" w:rsidP="006260BA">
      <w:pPr>
        <w:ind w:left="360"/>
        <w:rPr>
          <w:rFonts w:ascii="Times Roman" w:hAnsi="Times Roman"/>
          <w:szCs w:val="22"/>
        </w:rPr>
      </w:pPr>
    </w:p>
    <w:p w14:paraId="0ABBFA72" w14:textId="121D382E" w:rsidR="00CB1428" w:rsidRPr="00513597" w:rsidRDefault="00902E49" w:rsidP="006260BA">
      <w:pPr>
        <w:ind w:left="1069" w:hanging="709"/>
        <w:rPr>
          <w:rFonts w:ascii="Times Roman" w:eastAsia="Calibri" w:hAnsi="Times Roman"/>
          <w:szCs w:val="22"/>
        </w:rPr>
      </w:pPr>
      <w:r w:rsidRPr="007846E0">
        <w:rPr>
          <w:rFonts w:ascii="Times Roman" w:hAnsi="Times Roman"/>
        </w:rPr>
        <w:t>(b)</w:t>
      </w:r>
      <w:r w:rsidRPr="007846E0">
        <w:rPr>
          <w:rFonts w:ascii="Times Roman" w:hAnsi="Times Roman"/>
        </w:rPr>
        <w:tab/>
      </w:r>
      <w:r w:rsidRPr="00513597">
        <w:rPr>
          <w:rFonts w:ascii="Times Roman" w:eastAsia="Calibri" w:hAnsi="Times Roman"/>
          <w:szCs w:val="22"/>
        </w:rPr>
        <w:t>The reporting requirements of t</w:t>
      </w:r>
      <w:r w:rsidR="00CB1428" w:rsidRPr="00513597">
        <w:rPr>
          <w:rFonts w:ascii="Times Roman" w:eastAsia="Calibri" w:hAnsi="Times Roman"/>
          <w:szCs w:val="22"/>
        </w:rPr>
        <w:t xml:space="preserve">he International Standard of Supreme Audit Institutions </w:t>
      </w:r>
      <w:proofErr w:type="spellStart"/>
      <w:r w:rsidR="00CB1428" w:rsidRPr="00513597">
        <w:rPr>
          <w:rFonts w:ascii="Times Roman" w:eastAsia="Calibri" w:hAnsi="Times Roman"/>
          <w:szCs w:val="22"/>
        </w:rPr>
        <w:t>ISSAI</w:t>
      </w:r>
      <w:proofErr w:type="spellEnd"/>
      <w:r w:rsidR="00CB1428" w:rsidRPr="00513597">
        <w:rPr>
          <w:rFonts w:ascii="Times Roman" w:eastAsia="Calibri" w:hAnsi="Times Roman"/>
          <w:szCs w:val="22"/>
        </w:rPr>
        <w:t xml:space="preserve"> 3000 </w:t>
      </w:r>
      <w:r w:rsidR="00CB1428" w:rsidRPr="00513597">
        <w:rPr>
          <w:rFonts w:ascii="Times Roman" w:eastAsia="Calibri" w:hAnsi="Times Roman"/>
          <w:i/>
          <w:szCs w:val="22"/>
        </w:rPr>
        <w:t>Standard for Performance Auditing</w:t>
      </w:r>
      <w:r w:rsidR="00CB1428" w:rsidRPr="00513597">
        <w:rPr>
          <w:rFonts w:ascii="Times Roman" w:eastAsia="Calibri" w:hAnsi="Times Roman"/>
          <w:szCs w:val="22"/>
        </w:rPr>
        <w:t>, endorsed 2016, by the International Organisation of Supre</w:t>
      </w:r>
      <w:r w:rsidRPr="00513597">
        <w:rPr>
          <w:rFonts w:ascii="Times Roman" w:eastAsia="Calibri" w:hAnsi="Times Roman"/>
          <w:szCs w:val="22"/>
        </w:rPr>
        <w:t>me Audit Institutions (</w:t>
      </w:r>
      <w:proofErr w:type="spellStart"/>
      <w:r w:rsidRPr="00513597">
        <w:rPr>
          <w:rFonts w:ascii="Times Roman" w:eastAsia="Calibri" w:hAnsi="Times Roman"/>
          <w:szCs w:val="22"/>
        </w:rPr>
        <w:t>INTOSAI</w:t>
      </w:r>
      <w:proofErr w:type="spellEnd"/>
      <w:r w:rsidRPr="00513597">
        <w:rPr>
          <w:rFonts w:ascii="Times Roman" w:eastAsia="Calibri" w:hAnsi="Times Roman"/>
          <w:szCs w:val="22"/>
        </w:rPr>
        <w:t>) contained in paragraphs 116, 122, 124 and 126.</w:t>
      </w:r>
    </w:p>
    <w:p w14:paraId="68839B1D" w14:textId="7EDF0012" w:rsidR="00155B6E" w:rsidRDefault="00155B6E" w:rsidP="006260BA">
      <w:pPr>
        <w:ind w:left="709" w:hanging="709"/>
        <w:rPr>
          <w:rFonts w:ascii="Times Roman" w:hAnsi="Times Roman"/>
          <w:szCs w:val="22"/>
        </w:rPr>
      </w:pPr>
    </w:p>
    <w:p w14:paraId="1BE28E1D" w14:textId="0EF6BAC5" w:rsidR="00D707E3" w:rsidRPr="009A7121" w:rsidRDefault="00BD2AAD" w:rsidP="00513597">
      <w:pPr>
        <w:pStyle w:val="ListParagraph"/>
        <w:numPr>
          <w:ilvl w:val="0"/>
          <w:numId w:val="10"/>
        </w:numPr>
        <w:jc w:val="both"/>
        <w:rPr>
          <w:rFonts w:ascii="Times Roman" w:hAnsi="Times Roman"/>
        </w:rPr>
      </w:pPr>
      <w:r w:rsidRPr="009A7121">
        <w:rPr>
          <w:rFonts w:ascii="Times Roman" w:hAnsi="Times Roman"/>
        </w:rPr>
        <w:t xml:space="preserve">Notwithstanding </w:t>
      </w:r>
      <w:r w:rsidR="00371FC3" w:rsidRPr="009A7121">
        <w:rPr>
          <w:rFonts w:ascii="Times Roman" w:hAnsi="Times Roman"/>
        </w:rPr>
        <w:t>clause 6 of this instrument</w:t>
      </w:r>
      <w:r w:rsidRPr="009A7121">
        <w:rPr>
          <w:rFonts w:ascii="Times Roman" w:hAnsi="Times Roman"/>
        </w:rPr>
        <w:t xml:space="preserve">, in </w:t>
      </w:r>
      <w:r w:rsidR="00D707E3" w:rsidRPr="009A7121">
        <w:rPr>
          <w:rFonts w:ascii="Times Roman" w:hAnsi="Times Roman"/>
        </w:rPr>
        <w:t xml:space="preserve">respect of a </w:t>
      </w:r>
      <w:r w:rsidRPr="009A7121">
        <w:rPr>
          <w:rFonts w:ascii="Times Roman" w:hAnsi="Times Roman"/>
        </w:rPr>
        <w:t xml:space="preserve">performance </w:t>
      </w:r>
      <w:r w:rsidR="0091165E" w:rsidRPr="009A7121">
        <w:rPr>
          <w:rFonts w:ascii="Times Roman" w:hAnsi="Times Roman"/>
        </w:rPr>
        <w:t xml:space="preserve">audit </w:t>
      </w:r>
      <w:r w:rsidR="00D707E3" w:rsidRPr="009A7121">
        <w:rPr>
          <w:rFonts w:ascii="Times Roman" w:hAnsi="Times Roman"/>
        </w:rPr>
        <w:t>under Division 2 of Part 4 of the Act</w:t>
      </w:r>
      <w:r w:rsidRPr="009A7121">
        <w:rPr>
          <w:rFonts w:ascii="Times Roman" w:hAnsi="Times Roman"/>
        </w:rPr>
        <w:t xml:space="preserve"> which the Auditor-General elects to </w:t>
      </w:r>
      <w:r w:rsidR="008F3F13" w:rsidRPr="009A7121">
        <w:rPr>
          <w:rFonts w:ascii="Times Roman" w:hAnsi="Times Roman"/>
        </w:rPr>
        <w:t xml:space="preserve">wholly or in part </w:t>
      </w:r>
      <w:r w:rsidRPr="009A7121">
        <w:rPr>
          <w:rFonts w:ascii="Times Roman" w:hAnsi="Times Roman"/>
        </w:rPr>
        <w:t xml:space="preserve">conduct as a compliance engagement </w:t>
      </w:r>
      <w:r w:rsidR="00D707E3" w:rsidRPr="009A7121">
        <w:rPr>
          <w:rFonts w:ascii="Times Roman" w:hAnsi="Times Roman"/>
        </w:rPr>
        <w:t xml:space="preserve">and a performance audit of the Australian National Audit Office under Division 2 of Part 7 of the Act </w:t>
      </w:r>
      <w:r w:rsidRPr="009A7121">
        <w:rPr>
          <w:rFonts w:ascii="Times Roman" w:hAnsi="Times Roman"/>
        </w:rPr>
        <w:t xml:space="preserve">which the Independent Auditor elects to </w:t>
      </w:r>
      <w:r w:rsidR="008F3F13" w:rsidRPr="009A7121">
        <w:rPr>
          <w:rFonts w:ascii="Times Roman" w:hAnsi="Times Roman"/>
        </w:rPr>
        <w:t xml:space="preserve">wholly or in part </w:t>
      </w:r>
      <w:r w:rsidRPr="009A7121">
        <w:rPr>
          <w:rFonts w:ascii="Times Roman" w:hAnsi="Times Roman"/>
        </w:rPr>
        <w:t>conduct as a compliance engagement</w:t>
      </w:r>
      <w:r w:rsidR="002A5389" w:rsidRPr="009A7121">
        <w:rPr>
          <w:rFonts w:ascii="Times Roman" w:hAnsi="Times Roman"/>
        </w:rPr>
        <w:t>,</w:t>
      </w:r>
      <w:r w:rsidRPr="009A7121">
        <w:rPr>
          <w:rFonts w:ascii="Times Roman" w:hAnsi="Times Roman"/>
        </w:rPr>
        <w:t xml:space="preserve"> </w:t>
      </w:r>
      <w:r w:rsidR="00D707E3" w:rsidRPr="009A7121">
        <w:rPr>
          <w:rFonts w:ascii="Times Roman" w:hAnsi="Times Roman"/>
        </w:rPr>
        <w:t xml:space="preserve">the ANAO Auditing Standards </w:t>
      </w:r>
      <w:r w:rsidR="002A5389" w:rsidRPr="009A7121">
        <w:rPr>
          <w:rFonts w:ascii="Times Roman" w:hAnsi="Times Roman"/>
        </w:rPr>
        <w:t xml:space="preserve">also </w:t>
      </w:r>
      <w:r w:rsidR="00D707E3" w:rsidRPr="009A7121">
        <w:rPr>
          <w:rFonts w:ascii="Times Roman" w:hAnsi="Times Roman"/>
        </w:rPr>
        <w:t>comprise the standards referred to below, to the extent that they are not inconsistent with requirements of the Act or other relevant legislation, and to the extent that they apply to the relevant audit or review activity:</w:t>
      </w:r>
    </w:p>
    <w:p w14:paraId="5D72BB8F" w14:textId="23AB54C0" w:rsidR="008F5DED" w:rsidRPr="00D707E3" w:rsidRDefault="008F5DED" w:rsidP="009A7121">
      <w:pPr>
        <w:rPr>
          <w:rFonts w:ascii="Times Roman" w:hAnsi="Times Roman"/>
        </w:rPr>
      </w:pPr>
    </w:p>
    <w:p w14:paraId="5774AC18" w14:textId="2A67C845" w:rsidR="00662BB9" w:rsidRPr="009A7121" w:rsidRDefault="00662BB9" w:rsidP="00662BB9">
      <w:pPr>
        <w:pStyle w:val="ListParagraph"/>
        <w:numPr>
          <w:ilvl w:val="0"/>
          <w:numId w:val="18"/>
        </w:numPr>
        <w:jc w:val="both"/>
        <w:rPr>
          <w:rFonts w:ascii="Times Roman" w:hAnsi="Times Roman"/>
        </w:rPr>
      </w:pPr>
      <w:r w:rsidRPr="000C0E7F">
        <w:rPr>
          <w:rFonts w:ascii="Times Roman" w:hAnsi="Times Roman"/>
        </w:rPr>
        <w:t xml:space="preserve">Standard on Assurance Engagements </w:t>
      </w:r>
      <w:proofErr w:type="spellStart"/>
      <w:r w:rsidRPr="000C0E7F">
        <w:rPr>
          <w:rFonts w:ascii="Times Roman" w:hAnsi="Times Roman"/>
        </w:rPr>
        <w:t>ASAE</w:t>
      </w:r>
      <w:proofErr w:type="spellEnd"/>
      <w:r w:rsidRPr="000C0E7F">
        <w:rPr>
          <w:rFonts w:ascii="Times Roman" w:hAnsi="Times Roman"/>
        </w:rPr>
        <w:t xml:space="preserve"> 3100 </w:t>
      </w:r>
      <w:r w:rsidRPr="000C0E7F">
        <w:rPr>
          <w:rFonts w:ascii="Times Roman" w:hAnsi="Times Roman"/>
          <w:i/>
        </w:rPr>
        <w:t>Compliance Engagements</w:t>
      </w:r>
      <w:r w:rsidRPr="000C0E7F">
        <w:rPr>
          <w:rFonts w:ascii="Times Roman" w:hAnsi="Times Roman"/>
        </w:rPr>
        <w:t xml:space="preserve"> issued on 21 February 2017 by the </w:t>
      </w:r>
      <w:proofErr w:type="spellStart"/>
      <w:r w:rsidRPr="000C0E7F">
        <w:rPr>
          <w:rFonts w:ascii="Times Roman" w:hAnsi="Times Roman"/>
        </w:rPr>
        <w:t>AUASB</w:t>
      </w:r>
      <w:proofErr w:type="spellEnd"/>
      <w:r w:rsidRPr="000C0E7F">
        <w:rPr>
          <w:rFonts w:ascii="Times Roman" w:hAnsi="Times Roman"/>
        </w:rPr>
        <w:t xml:space="preserve"> pursuant to paragraph 227B(1)(b) of the </w:t>
      </w:r>
      <w:proofErr w:type="spellStart"/>
      <w:r w:rsidRPr="000C0E7F">
        <w:rPr>
          <w:rFonts w:ascii="Times Roman" w:hAnsi="Times Roman"/>
        </w:rPr>
        <w:t>ASIC</w:t>
      </w:r>
      <w:proofErr w:type="spellEnd"/>
      <w:r w:rsidRPr="000C0E7F">
        <w:rPr>
          <w:rFonts w:ascii="Times Roman" w:hAnsi="Times Roman"/>
        </w:rPr>
        <w:t xml:space="preserve"> Act, except for the requirements </w:t>
      </w:r>
      <w:r>
        <w:rPr>
          <w:rFonts w:ascii="Times Roman" w:hAnsi="Times Roman"/>
        </w:rPr>
        <w:t xml:space="preserve">in </w:t>
      </w:r>
      <w:r w:rsidRPr="000C0E7F">
        <w:rPr>
          <w:rFonts w:ascii="Times Roman" w:hAnsi="Times Roman"/>
        </w:rPr>
        <w:t>paragraph 56 relating to the assurance report content.</w:t>
      </w:r>
    </w:p>
    <w:p w14:paraId="297A04F2" w14:textId="77777777" w:rsidR="008F5DED" w:rsidRPr="009A7121" w:rsidRDefault="008F5DED" w:rsidP="008F5DED">
      <w:pPr>
        <w:pStyle w:val="ListParagraph"/>
        <w:ind w:left="1080"/>
        <w:jc w:val="both"/>
        <w:rPr>
          <w:rFonts w:ascii="Times Roman" w:hAnsi="Times Roman"/>
        </w:rPr>
      </w:pPr>
    </w:p>
    <w:p w14:paraId="491C92CD" w14:textId="77777777" w:rsidR="008F5DED" w:rsidRPr="000C0E7F" w:rsidRDefault="008F5DED" w:rsidP="009A7121">
      <w:pPr>
        <w:pStyle w:val="ListParagraph"/>
        <w:numPr>
          <w:ilvl w:val="0"/>
          <w:numId w:val="20"/>
        </w:numPr>
        <w:jc w:val="both"/>
        <w:rPr>
          <w:rFonts w:ascii="Times Roman" w:hAnsi="Times Roman"/>
        </w:rPr>
      </w:pPr>
      <w:r w:rsidRPr="000C0E7F">
        <w:rPr>
          <w:rFonts w:ascii="Times Roman" w:hAnsi="Times Roman"/>
        </w:rPr>
        <w:t xml:space="preserve">The reporting requirements of the International Standard of Supreme Audit Institutions </w:t>
      </w:r>
      <w:proofErr w:type="spellStart"/>
      <w:r w:rsidRPr="000C0E7F">
        <w:rPr>
          <w:rFonts w:ascii="Times Roman" w:hAnsi="Times Roman"/>
        </w:rPr>
        <w:t>ISSAI</w:t>
      </w:r>
      <w:proofErr w:type="spellEnd"/>
      <w:r w:rsidRPr="000C0E7F">
        <w:rPr>
          <w:rFonts w:ascii="Times Roman" w:hAnsi="Times Roman"/>
        </w:rPr>
        <w:t xml:space="preserve"> 4000 </w:t>
      </w:r>
      <w:r w:rsidRPr="000C0E7F">
        <w:rPr>
          <w:rFonts w:ascii="Times Roman" w:hAnsi="Times Roman"/>
          <w:i/>
        </w:rPr>
        <w:t>Standard for Compliance Auditing</w:t>
      </w:r>
      <w:r w:rsidRPr="000C0E7F">
        <w:rPr>
          <w:rFonts w:ascii="Times Roman" w:hAnsi="Times Roman"/>
        </w:rPr>
        <w:t>, endorsed 2016, by the International Organisation of Supreme Audit Institutions (</w:t>
      </w:r>
      <w:proofErr w:type="spellStart"/>
      <w:r w:rsidRPr="000C0E7F">
        <w:rPr>
          <w:rFonts w:ascii="Times Roman" w:hAnsi="Times Roman"/>
        </w:rPr>
        <w:t>IN</w:t>
      </w:r>
      <w:r w:rsidR="000C0E7F" w:rsidRPr="000C0E7F">
        <w:rPr>
          <w:rFonts w:ascii="Times Roman" w:hAnsi="Times Roman"/>
        </w:rPr>
        <w:t>TOS</w:t>
      </w:r>
      <w:r w:rsidR="000908A4">
        <w:rPr>
          <w:rFonts w:ascii="Times Roman" w:hAnsi="Times Roman"/>
        </w:rPr>
        <w:t>AI</w:t>
      </w:r>
      <w:proofErr w:type="spellEnd"/>
      <w:r w:rsidR="000908A4">
        <w:rPr>
          <w:rFonts w:ascii="Times Roman" w:hAnsi="Times Roman"/>
        </w:rPr>
        <w:t xml:space="preserve">) contained in paragraphs 202, </w:t>
      </w:r>
      <w:r w:rsidRPr="000C0E7F">
        <w:rPr>
          <w:rFonts w:ascii="Times Roman" w:hAnsi="Times Roman"/>
        </w:rPr>
        <w:t>210</w:t>
      </w:r>
      <w:r w:rsidR="000908A4">
        <w:rPr>
          <w:rFonts w:ascii="Times Roman" w:hAnsi="Times Roman"/>
        </w:rPr>
        <w:t xml:space="preserve"> and 218</w:t>
      </w:r>
      <w:r w:rsidRPr="000C0E7F">
        <w:rPr>
          <w:rFonts w:ascii="Times Roman" w:hAnsi="Times Roman"/>
        </w:rPr>
        <w:t>.</w:t>
      </w:r>
    </w:p>
    <w:p w14:paraId="6838A8F9" w14:textId="77777777" w:rsidR="008F5DED" w:rsidRPr="000C0E7F" w:rsidRDefault="008F5DED" w:rsidP="008F5DED">
      <w:pPr>
        <w:pStyle w:val="ListParagraph"/>
        <w:rPr>
          <w:rFonts w:ascii="Times Roman" w:hAnsi="Times Roman"/>
        </w:rPr>
      </w:pPr>
    </w:p>
    <w:p w14:paraId="60B744E0" w14:textId="508E84F1" w:rsidR="00E90102" w:rsidRPr="000C0E7F" w:rsidRDefault="00E90102" w:rsidP="006260BA">
      <w:pPr>
        <w:pStyle w:val="ListParagraph"/>
        <w:numPr>
          <w:ilvl w:val="0"/>
          <w:numId w:val="10"/>
        </w:numPr>
        <w:jc w:val="both"/>
        <w:rPr>
          <w:rFonts w:ascii="Times Roman" w:hAnsi="Times Roman"/>
        </w:rPr>
      </w:pPr>
      <w:r w:rsidRPr="000C0E7F">
        <w:rPr>
          <w:rFonts w:ascii="Times Roman" w:hAnsi="Times Roman"/>
        </w:rPr>
        <w:t>The ANAO Auditing Standards</w:t>
      </w:r>
      <w:r w:rsidR="00E9378E" w:rsidRPr="000C0E7F">
        <w:rPr>
          <w:rFonts w:ascii="Times Roman" w:hAnsi="Times Roman"/>
        </w:rPr>
        <w:t xml:space="preserve"> relating to the conduct of financial statement </w:t>
      </w:r>
      <w:r w:rsidR="00155B6E" w:rsidRPr="000C0E7F">
        <w:rPr>
          <w:rFonts w:ascii="Times Roman" w:hAnsi="Times Roman"/>
        </w:rPr>
        <w:t xml:space="preserve">and </w:t>
      </w:r>
      <w:r w:rsidR="00E9378E" w:rsidRPr="000C0E7F">
        <w:rPr>
          <w:rFonts w:ascii="Times Roman" w:hAnsi="Times Roman"/>
        </w:rPr>
        <w:t>performance audits are</w:t>
      </w:r>
      <w:r w:rsidRPr="000C0E7F">
        <w:rPr>
          <w:rFonts w:ascii="Times Roman" w:hAnsi="Times Roman"/>
        </w:rPr>
        <w:t xml:space="preserve"> consistent with </w:t>
      </w:r>
      <w:proofErr w:type="spellStart"/>
      <w:r w:rsidRPr="000C0E7F">
        <w:rPr>
          <w:rFonts w:ascii="Times Roman" w:hAnsi="Times Roman"/>
        </w:rPr>
        <w:t>ISSAI</w:t>
      </w:r>
      <w:proofErr w:type="spellEnd"/>
      <w:r w:rsidRPr="000C0E7F">
        <w:rPr>
          <w:rFonts w:ascii="Times Roman" w:hAnsi="Times Roman"/>
        </w:rPr>
        <w:t xml:space="preserve"> 200 </w:t>
      </w:r>
      <w:r w:rsidRPr="000C0E7F">
        <w:rPr>
          <w:rFonts w:ascii="Times Roman" w:hAnsi="Times Roman"/>
          <w:i/>
        </w:rPr>
        <w:t>Fundamental Principles of Financial Auditing</w:t>
      </w:r>
      <w:r w:rsidR="00155B6E" w:rsidRPr="000C0E7F">
        <w:rPr>
          <w:rFonts w:ascii="Times Roman" w:hAnsi="Times Roman"/>
        </w:rPr>
        <w:t>,</w:t>
      </w:r>
      <w:r w:rsidR="00E9378E" w:rsidRPr="000C0E7F">
        <w:rPr>
          <w:rFonts w:ascii="Times Roman" w:hAnsi="Times Roman"/>
        </w:rPr>
        <w:t xml:space="preserve"> </w:t>
      </w:r>
      <w:proofErr w:type="spellStart"/>
      <w:r w:rsidR="00E9378E" w:rsidRPr="000C0E7F">
        <w:rPr>
          <w:rFonts w:ascii="Times Roman" w:hAnsi="Times Roman"/>
        </w:rPr>
        <w:t>ISSAI</w:t>
      </w:r>
      <w:proofErr w:type="spellEnd"/>
      <w:r w:rsidR="00406642" w:rsidRPr="000C0E7F">
        <w:rPr>
          <w:rFonts w:ascii="Times Roman" w:hAnsi="Times Roman"/>
        </w:rPr>
        <w:t xml:space="preserve"> 300</w:t>
      </w:r>
      <w:r w:rsidR="00E9378E" w:rsidRPr="000C0E7F">
        <w:rPr>
          <w:rFonts w:ascii="Times Roman" w:hAnsi="Times Roman"/>
        </w:rPr>
        <w:t xml:space="preserve"> </w:t>
      </w:r>
      <w:r w:rsidR="00E9378E" w:rsidRPr="000C0E7F">
        <w:rPr>
          <w:rFonts w:ascii="Times Roman" w:hAnsi="Times Roman"/>
          <w:i/>
        </w:rPr>
        <w:t xml:space="preserve">Fundamental Principles of Performance Auditing </w:t>
      </w:r>
      <w:r w:rsidR="00155B6E" w:rsidRPr="000C0E7F">
        <w:rPr>
          <w:rFonts w:ascii="Times Roman" w:hAnsi="Times Roman"/>
        </w:rPr>
        <w:t>and</w:t>
      </w:r>
      <w:r w:rsidR="00155B6E" w:rsidRPr="000C0E7F">
        <w:rPr>
          <w:rFonts w:ascii="Times Roman" w:hAnsi="Times Roman"/>
          <w:i/>
        </w:rPr>
        <w:t xml:space="preserve"> </w:t>
      </w:r>
      <w:r w:rsidR="00E9378E" w:rsidRPr="000C0E7F">
        <w:rPr>
          <w:rFonts w:ascii="Times Roman" w:hAnsi="Times Roman"/>
        </w:rPr>
        <w:t>respectively,</w:t>
      </w:r>
      <w:r w:rsidR="00243291" w:rsidRPr="000C0E7F">
        <w:rPr>
          <w:rFonts w:ascii="Times Roman" w:hAnsi="Times Roman"/>
        </w:rPr>
        <w:t xml:space="preserve"> </w:t>
      </w:r>
      <w:r w:rsidR="00E9378E" w:rsidRPr="000C0E7F">
        <w:rPr>
          <w:rFonts w:ascii="Times Roman" w:hAnsi="Times Roman"/>
        </w:rPr>
        <w:t>issued</w:t>
      </w:r>
      <w:r w:rsidRPr="000C0E7F">
        <w:rPr>
          <w:rFonts w:ascii="Times Roman" w:hAnsi="Times Roman"/>
        </w:rPr>
        <w:t xml:space="preserve"> by </w:t>
      </w:r>
      <w:proofErr w:type="spellStart"/>
      <w:r w:rsidR="00E54DEE" w:rsidRPr="000C0E7F">
        <w:rPr>
          <w:rFonts w:ascii="Times Roman" w:hAnsi="Times Roman"/>
        </w:rPr>
        <w:t>INTOSAI</w:t>
      </w:r>
      <w:proofErr w:type="spellEnd"/>
      <w:r w:rsidRPr="000C0E7F">
        <w:rPr>
          <w:rFonts w:ascii="Times Roman" w:hAnsi="Times Roman"/>
        </w:rPr>
        <w:t xml:space="preserve"> (</w:t>
      </w:r>
      <w:r w:rsidR="00172608" w:rsidRPr="000C0E7F">
        <w:rPr>
          <w:rFonts w:ascii="Times Roman" w:hAnsi="Times Roman"/>
        </w:rPr>
        <w:t>i</w:t>
      </w:r>
      <w:r w:rsidRPr="000C0E7F">
        <w:rPr>
          <w:rFonts w:ascii="Times Roman" w:hAnsi="Times Roman"/>
        </w:rPr>
        <w:t>ssued 2013).</w:t>
      </w:r>
      <w:r w:rsidR="00155B6E" w:rsidRPr="000C0E7F">
        <w:rPr>
          <w:rFonts w:ascii="Times Roman" w:hAnsi="Times Roman"/>
        </w:rPr>
        <w:t xml:space="preserve"> The ANAO Auditing </w:t>
      </w:r>
      <w:r w:rsidR="00016C24">
        <w:rPr>
          <w:rFonts w:ascii="Times Roman" w:hAnsi="Times Roman"/>
        </w:rPr>
        <w:t>S</w:t>
      </w:r>
      <w:r w:rsidR="00155B6E" w:rsidRPr="000C0E7F">
        <w:rPr>
          <w:rFonts w:ascii="Times Roman" w:hAnsi="Times Roman"/>
        </w:rPr>
        <w:t xml:space="preserve">tandards relating to the conduct of </w:t>
      </w:r>
      <w:r w:rsidR="008F3F13" w:rsidRPr="000C0E7F">
        <w:rPr>
          <w:rFonts w:ascii="Times Roman" w:hAnsi="Times Roman"/>
        </w:rPr>
        <w:t xml:space="preserve">performance </w:t>
      </w:r>
      <w:r w:rsidR="00155B6E" w:rsidRPr="000C0E7F">
        <w:rPr>
          <w:rFonts w:ascii="Times Roman" w:hAnsi="Times Roman"/>
        </w:rPr>
        <w:t xml:space="preserve">audits </w:t>
      </w:r>
      <w:r w:rsidR="008F3F13" w:rsidRPr="000C0E7F">
        <w:rPr>
          <w:rFonts w:ascii="Times Roman" w:hAnsi="Times Roman"/>
        </w:rPr>
        <w:t xml:space="preserve">conducted as a compliance engagement </w:t>
      </w:r>
      <w:r w:rsidR="00155B6E" w:rsidRPr="000C0E7F">
        <w:rPr>
          <w:rFonts w:ascii="Times Roman" w:hAnsi="Times Roman"/>
        </w:rPr>
        <w:t xml:space="preserve">are consistent with </w:t>
      </w:r>
      <w:proofErr w:type="spellStart"/>
      <w:r w:rsidR="00155B6E" w:rsidRPr="000C0E7F">
        <w:rPr>
          <w:rFonts w:ascii="Times Roman" w:hAnsi="Times Roman"/>
        </w:rPr>
        <w:t>ISSAI</w:t>
      </w:r>
      <w:proofErr w:type="spellEnd"/>
      <w:r w:rsidR="00155B6E" w:rsidRPr="000C0E7F">
        <w:rPr>
          <w:rFonts w:ascii="Times Roman" w:hAnsi="Times Roman"/>
          <w:i/>
        </w:rPr>
        <w:t xml:space="preserve"> 400 Compliance Audit Principles </w:t>
      </w:r>
      <w:r w:rsidR="00155B6E" w:rsidRPr="000C0E7F">
        <w:rPr>
          <w:rFonts w:ascii="Times Roman" w:hAnsi="Times Roman"/>
        </w:rPr>
        <w:t>(issued 2019).</w:t>
      </w:r>
    </w:p>
    <w:p w14:paraId="71DA3F35" w14:textId="228F191A" w:rsidR="00707B38" w:rsidRPr="007846E0" w:rsidRDefault="00707B38" w:rsidP="006260BA">
      <w:pPr>
        <w:rPr>
          <w:rFonts w:ascii="Times Roman" w:hAnsi="Times Roman"/>
          <w:szCs w:val="22"/>
        </w:rPr>
      </w:pPr>
    </w:p>
    <w:p w14:paraId="0F9E4973" w14:textId="6407F562" w:rsidR="00AF1B3B" w:rsidRPr="006260BA" w:rsidRDefault="00783EB3" w:rsidP="006260BA">
      <w:pPr>
        <w:pStyle w:val="ListParagraph"/>
        <w:widowControl w:val="0"/>
        <w:numPr>
          <w:ilvl w:val="0"/>
          <w:numId w:val="10"/>
        </w:numPr>
        <w:spacing w:before="8400"/>
        <w:ind w:left="510" w:hanging="510"/>
        <w:rPr>
          <w:sz w:val="19"/>
        </w:rPr>
      </w:pPr>
      <w:r w:rsidRPr="00F160E6">
        <w:rPr>
          <w:rFonts w:ascii="Times Roman" w:hAnsi="Times Roman"/>
        </w:rPr>
        <w:lastRenderedPageBreak/>
        <w:t>These ANAO Auditing Standards revoke all previous auditing standards set under section 24 of the Act.</w:t>
      </w:r>
    </w:p>
    <w:sectPr w:rsidR="00AF1B3B" w:rsidRPr="006260BA" w:rsidSect="0001146F">
      <w:headerReference w:type="default" r:id="rId10"/>
      <w:footerReference w:type="default" r:id="rId11"/>
      <w:footerReference w:type="first" r:id="rId12"/>
      <w:pgSz w:w="11906" w:h="16838"/>
      <w:pgMar w:top="1954" w:right="2125" w:bottom="1440" w:left="241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D9C73" w14:textId="77777777" w:rsidR="00A1304A" w:rsidRDefault="00A1304A" w:rsidP="00AD23B2">
      <w:r>
        <w:separator/>
      </w:r>
    </w:p>
  </w:endnote>
  <w:endnote w:type="continuationSeparator" w:id="0">
    <w:p w14:paraId="49A4102C" w14:textId="77777777" w:rsidR="00A1304A" w:rsidRDefault="00A1304A" w:rsidP="00AD23B2">
      <w:r>
        <w:continuationSeparator/>
      </w:r>
    </w:p>
  </w:endnote>
  <w:endnote w:type="continuationNotice" w:id="1">
    <w:p w14:paraId="363E4657" w14:textId="77777777" w:rsidR="00A1304A" w:rsidRDefault="00A13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310B" w14:textId="77777777" w:rsidR="0001146F" w:rsidRPr="0001146F" w:rsidRDefault="0001146F">
    <w:pPr>
      <w:pStyle w:val="Footer"/>
      <w:jc w:val="right"/>
      <w:rPr>
        <w:szCs w:val="22"/>
      </w:rPr>
    </w:pPr>
  </w:p>
  <w:p w14:paraId="2AF84E2F" w14:textId="77777777" w:rsidR="0001146F" w:rsidRDefault="00011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480D" w14:textId="77777777" w:rsidR="0001146F" w:rsidRDefault="0001146F">
    <w:pPr>
      <w:pStyle w:val="Footer"/>
      <w:jc w:val="right"/>
    </w:pPr>
  </w:p>
  <w:p w14:paraId="244CF371" w14:textId="77777777" w:rsidR="0001146F" w:rsidRDefault="00011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9217D" w14:textId="77777777" w:rsidR="00A1304A" w:rsidRDefault="00A1304A" w:rsidP="00AD23B2">
      <w:r>
        <w:separator/>
      </w:r>
    </w:p>
  </w:footnote>
  <w:footnote w:type="continuationSeparator" w:id="0">
    <w:p w14:paraId="646DED2C" w14:textId="77777777" w:rsidR="00A1304A" w:rsidRDefault="00A1304A" w:rsidP="00AD23B2">
      <w:r>
        <w:continuationSeparator/>
      </w:r>
    </w:p>
  </w:footnote>
  <w:footnote w:type="continuationNotice" w:id="1">
    <w:p w14:paraId="2DDF5D90" w14:textId="77777777" w:rsidR="00A1304A" w:rsidRDefault="00A130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094BC" w14:textId="39BB1895" w:rsidR="00902D55" w:rsidRDefault="00902D55" w:rsidP="00902D55">
    <w:pPr>
      <w:pBdr>
        <w:bottom w:val="single" w:sz="4" w:space="1" w:color="auto"/>
      </w:pBdr>
      <w:ind w:right="-142"/>
      <w:jc w:val="right"/>
      <w:rPr>
        <w:color w:val="000000"/>
        <w:sz w:val="20"/>
      </w:rPr>
    </w:pPr>
    <w:r w:rsidRPr="007846E0">
      <w:rPr>
        <w:b/>
        <w:bCs/>
        <w:i/>
        <w:color w:val="000000"/>
        <w:sz w:val="20"/>
      </w:rPr>
      <w:t>Australian National Audit Office</w:t>
    </w:r>
    <w:r w:rsidR="00A40D8A">
      <w:rPr>
        <w:b/>
        <w:bCs/>
        <w:i/>
        <w:color w:val="000000"/>
        <w:sz w:val="20"/>
      </w:rPr>
      <w:t xml:space="preserve"> </w:t>
    </w:r>
    <w:r w:rsidRPr="00E2615C">
      <w:rPr>
        <w:b/>
        <w:bCs/>
        <w:i/>
        <w:color w:val="000000"/>
        <w:sz w:val="20"/>
      </w:rPr>
      <w:t>Auditing Standards</w:t>
    </w:r>
    <w:r w:rsidR="00CE5DBB">
      <w:rPr>
        <w:b/>
        <w:bCs/>
        <w:i/>
        <w:color w:val="000000"/>
        <w:sz w:val="20"/>
      </w:rPr>
      <w:t xml:space="preserve"> </w:t>
    </w:r>
    <w:r w:rsidR="00F160E6">
      <w:rPr>
        <w:b/>
        <w:bCs/>
        <w:i/>
        <w:color w:val="000000"/>
        <w:sz w:val="20"/>
      </w:rPr>
      <w:t>2021</w:t>
    </w:r>
  </w:p>
  <w:p w14:paraId="6386D539" w14:textId="77777777" w:rsidR="00902D55" w:rsidRDefault="00902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DE7"/>
    <w:multiLevelType w:val="hybridMultilevel"/>
    <w:tmpl w:val="32682822"/>
    <w:lvl w:ilvl="0" w:tplc="8814D5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60762"/>
    <w:multiLevelType w:val="hybridMultilevel"/>
    <w:tmpl w:val="DD7A49B0"/>
    <w:lvl w:ilvl="0" w:tplc="6FCC51B8">
      <w:start w:val="1"/>
      <w:numFmt w:val="decimal"/>
      <w:lvlText w:val="%1."/>
      <w:lvlJc w:val="left"/>
      <w:pPr>
        <w:ind w:left="360" w:hanging="360"/>
      </w:pPr>
      <w:rPr>
        <w:rFonts w:ascii="Times Roman" w:hAnsi="Times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CC5F3F"/>
    <w:multiLevelType w:val="hybridMultilevel"/>
    <w:tmpl w:val="6A14F7C2"/>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 w15:restartNumberingAfterBreak="0">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E40318D"/>
    <w:multiLevelType w:val="hybridMultilevel"/>
    <w:tmpl w:val="F37A1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B66776"/>
    <w:multiLevelType w:val="hybridMultilevel"/>
    <w:tmpl w:val="A7FAC4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FDB587A"/>
    <w:multiLevelType w:val="hybridMultilevel"/>
    <w:tmpl w:val="260E39A2"/>
    <w:lvl w:ilvl="0" w:tplc="0C090019">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256312B2"/>
    <w:multiLevelType w:val="hybridMultilevel"/>
    <w:tmpl w:val="001CB3FA"/>
    <w:lvl w:ilvl="0" w:tplc="DA5C84B2">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259D4492"/>
    <w:multiLevelType w:val="hybridMultilevel"/>
    <w:tmpl w:val="2116B4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BD1517"/>
    <w:multiLevelType w:val="hybridMultilevel"/>
    <w:tmpl w:val="DBB89FFC"/>
    <w:lvl w:ilvl="0" w:tplc="4CC48648">
      <w:start w:val="1"/>
      <w:numFmt w:val="lowerLetter"/>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E601BF"/>
    <w:multiLevelType w:val="hybridMultilevel"/>
    <w:tmpl w:val="F4D8C1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90627B"/>
    <w:multiLevelType w:val="hybridMultilevel"/>
    <w:tmpl w:val="CA1C1D5C"/>
    <w:lvl w:ilvl="0" w:tplc="266410A4">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4A19778D"/>
    <w:multiLevelType w:val="hybridMultilevel"/>
    <w:tmpl w:val="446A03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1292226"/>
    <w:multiLevelType w:val="hybridMultilevel"/>
    <w:tmpl w:val="856AD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515757"/>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66465E02"/>
    <w:multiLevelType w:val="hybridMultilevel"/>
    <w:tmpl w:val="7AA69E1E"/>
    <w:lvl w:ilvl="0" w:tplc="6E5E6518">
      <w:start w:val="2"/>
      <w:numFmt w:val="lowerLetter"/>
      <w:lvlText w:val="(%1)"/>
      <w:lvlJc w:val="left"/>
      <w:pPr>
        <w:ind w:left="1080" w:hanging="720"/>
      </w:pPr>
      <w:rPr>
        <w:rFonts w:hint="default"/>
        <w:color w:val="auto"/>
      </w:r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16" w15:restartNumberingAfterBreak="0">
    <w:nsid w:val="6E323FF7"/>
    <w:multiLevelType w:val="hybridMultilevel"/>
    <w:tmpl w:val="64C2D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D20E71"/>
    <w:multiLevelType w:val="hybridMultilevel"/>
    <w:tmpl w:val="4D4CF2A6"/>
    <w:lvl w:ilvl="0" w:tplc="0C090019">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51333BC"/>
    <w:multiLevelType w:val="hybridMultilevel"/>
    <w:tmpl w:val="C7BCFFB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17"/>
  </w:num>
  <w:num w:numId="5">
    <w:abstractNumId w:val="7"/>
  </w:num>
  <w:num w:numId="6">
    <w:abstractNumId w:val="6"/>
  </w:num>
  <w:num w:numId="7">
    <w:abstractNumId w:val="0"/>
  </w:num>
  <w:num w:numId="8">
    <w:abstractNumId w:val="11"/>
  </w:num>
  <w:num w:numId="9">
    <w:abstractNumId w:val="8"/>
  </w:num>
  <w:num w:numId="10">
    <w:abstractNumId w:val="1"/>
  </w:num>
  <w:num w:numId="11">
    <w:abstractNumId w:val="5"/>
  </w:num>
  <w:num w:numId="12">
    <w:abstractNumId w:val="12"/>
  </w:num>
  <w:num w:numId="13">
    <w:abstractNumId w:val="4"/>
  </w:num>
  <w:num w:numId="14">
    <w:abstractNumId w:val="10"/>
  </w:num>
  <w:num w:numId="15">
    <w:abstractNumId w:val="16"/>
  </w:num>
  <w:num w:numId="16">
    <w:abstractNumId w:val="2"/>
  </w:num>
  <w:num w:numId="17">
    <w:abstractNumId w:val="13"/>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B3"/>
    <w:rsid w:val="000069ED"/>
    <w:rsid w:val="0001146F"/>
    <w:rsid w:val="00016C24"/>
    <w:rsid w:val="00022652"/>
    <w:rsid w:val="00022B7A"/>
    <w:rsid w:val="00030CF0"/>
    <w:rsid w:val="00031F16"/>
    <w:rsid w:val="0003710F"/>
    <w:rsid w:val="00053E3A"/>
    <w:rsid w:val="0005614B"/>
    <w:rsid w:val="00063140"/>
    <w:rsid w:val="000747D6"/>
    <w:rsid w:val="000802B2"/>
    <w:rsid w:val="00081E8D"/>
    <w:rsid w:val="00086AEE"/>
    <w:rsid w:val="000908A4"/>
    <w:rsid w:val="000A2876"/>
    <w:rsid w:val="000A4F50"/>
    <w:rsid w:val="000B1C21"/>
    <w:rsid w:val="000B20BE"/>
    <w:rsid w:val="000B5622"/>
    <w:rsid w:val="000C0E7F"/>
    <w:rsid w:val="000C35EA"/>
    <w:rsid w:val="000C6642"/>
    <w:rsid w:val="000D3056"/>
    <w:rsid w:val="000D5732"/>
    <w:rsid w:val="000E1A61"/>
    <w:rsid w:val="000E2F78"/>
    <w:rsid w:val="000E4A7E"/>
    <w:rsid w:val="000E72C3"/>
    <w:rsid w:val="000F5952"/>
    <w:rsid w:val="00102C23"/>
    <w:rsid w:val="00114738"/>
    <w:rsid w:val="00117949"/>
    <w:rsid w:val="00117C99"/>
    <w:rsid w:val="00120759"/>
    <w:rsid w:val="001355C7"/>
    <w:rsid w:val="0014086E"/>
    <w:rsid w:val="00152BE3"/>
    <w:rsid w:val="00155B6E"/>
    <w:rsid w:val="00172608"/>
    <w:rsid w:val="0018786A"/>
    <w:rsid w:val="001900D6"/>
    <w:rsid w:val="00191433"/>
    <w:rsid w:val="001A22EA"/>
    <w:rsid w:val="001A33E9"/>
    <w:rsid w:val="001B6ED1"/>
    <w:rsid w:val="001D312A"/>
    <w:rsid w:val="001E5414"/>
    <w:rsid w:val="001E5AC2"/>
    <w:rsid w:val="001F4277"/>
    <w:rsid w:val="002009A3"/>
    <w:rsid w:val="00204BBD"/>
    <w:rsid w:val="00211B68"/>
    <w:rsid w:val="0022257B"/>
    <w:rsid w:val="00227B03"/>
    <w:rsid w:val="00241E1E"/>
    <w:rsid w:val="00243291"/>
    <w:rsid w:val="00250C7C"/>
    <w:rsid w:val="00261F61"/>
    <w:rsid w:val="00271D62"/>
    <w:rsid w:val="00280979"/>
    <w:rsid w:val="002A5389"/>
    <w:rsid w:val="002A705E"/>
    <w:rsid w:val="002B2850"/>
    <w:rsid w:val="002B43E5"/>
    <w:rsid w:val="002B6151"/>
    <w:rsid w:val="002C19DE"/>
    <w:rsid w:val="002D0DFC"/>
    <w:rsid w:val="002E3141"/>
    <w:rsid w:val="002E4C64"/>
    <w:rsid w:val="002F6991"/>
    <w:rsid w:val="00301E90"/>
    <w:rsid w:val="00303583"/>
    <w:rsid w:val="00312222"/>
    <w:rsid w:val="003162ED"/>
    <w:rsid w:val="00323F75"/>
    <w:rsid w:val="00340A04"/>
    <w:rsid w:val="0034121E"/>
    <w:rsid w:val="003458C9"/>
    <w:rsid w:val="00362155"/>
    <w:rsid w:val="00371FC3"/>
    <w:rsid w:val="00376642"/>
    <w:rsid w:val="003850D7"/>
    <w:rsid w:val="0038736B"/>
    <w:rsid w:val="00390831"/>
    <w:rsid w:val="003967BE"/>
    <w:rsid w:val="003B1C94"/>
    <w:rsid w:val="003C33AE"/>
    <w:rsid w:val="003D3C5F"/>
    <w:rsid w:val="003D512D"/>
    <w:rsid w:val="003D65D3"/>
    <w:rsid w:val="003D7E84"/>
    <w:rsid w:val="003E49F0"/>
    <w:rsid w:val="003E73BB"/>
    <w:rsid w:val="00406642"/>
    <w:rsid w:val="00427FF7"/>
    <w:rsid w:val="00434255"/>
    <w:rsid w:val="0043712A"/>
    <w:rsid w:val="00451244"/>
    <w:rsid w:val="004527C6"/>
    <w:rsid w:val="00465331"/>
    <w:rsid w:val="004701C1"/>
    <w:rsid w:val="00472A09"/>
    <w:rsid w:val="0048279A"/>
    <w:rsid w:val="00486072"/>
    <w:rsid w:val="004A61FB"/>
    <w:rsid w:val="004B3954"/>
    <w:rsid w:val="004C516F"/>
    <w:rsid w:val="004D4493"/>
    <w:rsid w:val="004D5509"/>
    <w:rsid w:val="004F329A"/>
    <w:rsid w:val="0050335A"/>
    <w:rsid w:val="00507C80"/>
    <w:rsid w:val="00513499"/>
    <w:rsid w:val="00513597"/>
    <w:rsid w:val="00516E53"/>
    <w:rsid w:val="00525F73"/>
    <w:rsid w:val="00527496"/>
    <w:rsid w:val="00535807"/>
    <w:rsid w:val="0053622C"/>
    <w:rsid w:val="00541E02"/>
    <w:rsid w:val="00561648"/>
    <w:rsid w:val="00564516"/>
    <w:rsid w:val="00574594"/>
    <w:rsid w:val="00574B21"/>
    <w:rsid w:val="00584935"/>
    <w:rsid w:val="005858AC"/>
    <w:rsid w:val="00596CB2"/>
    <w:rsid w:val="005A26FA"/>
    <w:rsid w:val="005A2A50"/>
    <w:rsid w:val="005A4E71"/>
    <w:rsid w:val="005D03D2"/>
    <w:rsid w:val="005D4DBC"/>
    <w:rsid w:val="005D5FAD"/>
    <w:rsid w:val="005E23E8"/>
    <w:rsid w:val="006053A4"/>
    <w:rsid w:val="006260BA"/>
    <w:rsid w:val="00630C75"/>
    <w:rsid w:val="006455F8"/>
    <w:rsid w:val="006501C8"/>
    <w:rsid w:val="006551DB"/>
    <w:rsid w:val="006560B7"/>
    <w:rsid w:val="00660D68"/>
    <w:rsid w:val="00662BB9"/>
    <w:rsid w:val="006658A9"/>
    <w:rsid w:val="00665CF1"/>
    <w:rsid w:val="00667021"/>
    <w:rsid w:val="0067092F"/>
    <w:rsid w:val="0067608C"/>
    <w:rsid w:val="006819B0"/>
    <w:rsid w:val="00681AEA"/>
    <w:rsid w:val="00690D0B"/>
    <w:rsid w:val="006914B4"/>
    <w:rsid w:val="00695473"/>
    <w:rsid w:val="006A2FA3"/>
    <w:rsid w:val="006A4BD6"/>
    <w:rsid w:val="006B5817"/>
    <w:rsid w:val="006C7146"/>
    <w:rsid w:val="006D4784"/>
    <w:rsid w:val="006E79DC"/>
    <w:rsid w:val="006F116E"/>
    <w:rsid w:val="006F3D3D"/>
    <w:rsid w:val="00707B38"/>
    <w:rsid w:val="00713991"/>
    <w:rsid w:val="00735532"/>
    <w:rsid w:val="00746715"/>
    <w:rsid w:val="00752D6E"/>
    <w:rsid w:val="00755490"/>
    <w:rsid w:val="007613D1"/>
    <w:rsid w:val="00764368"/>
    <w:rsid w:val="007741E7"/>
    <w:rsid w:val="00774AB1"/>
    <w:rsid w:val="00781588"/>
    <w:rsid w:val="00782ECB"/>
    <w:rsid w:val="00783EB3"/>
    <w:rsid w:val="007846E0"/>
    <w:rsid w:val="007A0B9B"/>
    <w:rsid w:val="007A1441"/>
    <w:rsid w:val="007A6C6E"/>
    <w:rsid w:val="007A6FD0"/>
    <w:rsid w:val="007B44B1"/>
    <w:rsid w:val="007B54F6"/>
    <w:rsid w:val="007C1392"/>
    <w:rsid w:val="007C16E8"/>
    <w:rsid w:val="007D5647"/>
    <w:rsid w:val="007D5DA3"/>
    <w:rsid w:val="007E5FB9"/>
    <w:rsid w:val="007E796F"/>
    <w:rsid w:val="007F5BCB"/>
    <w:rsid w:val="007F5D9A"/>
    <w:rsid w:val="007F79BB"/>
    <w:rsid w:val="008200C7"/>
    <w:rsid w:val="00823EF3"/>
    <w:rsid w:val="008303B5"/>
    <w:rsid w:val="00835022"/>
    <w:rsid w:val="00835CF8"/>
    <w:rsid w:val="00841300"/>
    <w:rsid w:val="0086309B"/>
    <w:rsid w:val="0087466D"/>
    <w:rsid w:val="00877AE2"/>
    <w:rsid w:val="0088687E"/>
    <w:rsid w:val="00890C39"/>
    <w:rsid w:val="008A4E63"/>
    <w:rsid w:val="008B3E41"/>
    <w:rsid w:val="008B499D"/>
    <w:rsid w:val="008C19C8"/>
    <w:rsid w:val="008C7B90"/>
    <w:rsid w:val="008D46C6"/>
    <w:rsid w:val="008D72E0"/>
    <w:rsid w:val="008E00C3"/>
    <w:rsid w:val="008E5510"/>
    <w:rsid w:val="008F04AD"/>
    <w:rsid w:val="008F3F13"/>
    <w:rsid w:val="008F5687"/>
    <w:rsid w:val="008F5DED"/>
    <w:rsid w:val="00900256"/>
    <w:rsid w:val="00902D55"/>
    <w:rsid w:val="00902E49"/>
    <w:rsid w:val="0091165E"/>
    <w:rsid w:val="00946F5B"/>
    <w:rsid w:val="00953D1B"/>
    <w:rsid w:val="00966842"/>
    <w:rsid w:val="00972BAD"/>
    <w:rsid w:val="00974AFD"/>
    <w:rsid w:val="00982CA0"/>
    <w:rsid w:val="009902F8"/>
    <w:rsid w:val="00992ECC"/>
    <w:rsid w:val="00995B84"/>
    <w:rsid w:val="009A5AD9"/>
    <w:rsid w:val="009A7121"/>
    <w:rsid w:val="009B7292"/>
    <w:rsid w:val="009D79A2"/>
    <w:rsid w:val="009F2A48"/>
    <w:rsid w:val="009F5177"/>
    <w:rsid w:val="009F6C50"/>
    <w:rsid w:val="009F7D95"/>
    <w:rsid w:val="00A1304A"/>
    <w:rsid w:val="00A15657"/>
    <w:rsid w:val="00A265D5"/>
    <w:rsid w:val="00A30049"/>
    <w:rsid w:val="00A3357C"/>
    <w:rsid w:val="00A40D8A"/>
    <w:rsid w:val="00A43B03"/>
    <w:rsid w:val="00A64833"/>
    <w:rsid w:val="00A66978"/>
    <w:rsid w:val="00AA316C"/>
    <w:rsid w:val="00AA52B2"/>
    <w:rsid w:val="00AA6933"/>
    <w:rsid w:val="00AA7116"/>
    <w:rsid w:val="00AB0B8F"/>
    <w:rsid w:val="00AC18BE"/>
    <w:rsid w:val="00AC4F26"/>
    <w:rsid w:val="00AD23B2"/>
    <w:rsid w:val="00AD6DA5"/>
    <w:rsid w:val="00AE2285"/>
    <w:rsid w:val="00AE447E"/>
    <w:rsid w:val="00AE46B7"/>
    <w:rsid w:val="00AE7A40"/>
    <w:rsid w:val="00AF1B3B"/>
    <w:rsid w:val="00AF418C"/>
    <w:rsid w:val="00AF5EA2"/>
    <w:rsid w:val="00B167D6"/>
    <w:rsid w:val="00B26B20"/>
    <w:rsid w:val="00B302B0"/>
    <w:rsid w:val="00B35560"/>
    <w:rsid w:val="00B45416"/>
    <w:rsid w:val="00B47C4A"/>
    <w:rsid w:val="00B7154B"/>
    <w:rsid w:val="00B871B2"/>
    <w:rsid w:val="00BA6209"/>
    <w:rsid w:val="00BC226E"/>
    <w:rsid w:val="00BC6A7A"/>
    <w:rsid w:val="00BD2AAD"/>
    <w:rsid w:val="00BE0FCC"/>
    <w:rsid w:val="00BF758E"/>
    <w:rsid w:val="00C22950"/>
    <w:rsid w:val="00C25BD7"/>
    <w:rsid w:val="00C373A7"/>
    <w:rsid w:val="00C5261F"/>
    <w:rsid w:val="00C56743"/>
    <w:rsid w:val="00C84F26"/>
    <w:rsid w:val="00C8782D"/>
    <w:rsid w:val="00CA5B24"/>
    <w:rsid w:val="00CB1428"/>
    <w:rsid w:val="00CB61CE"/>
    <w:rsid w:val="00CC0217"/>
    <w:rsid w:val="00CC0840"/>
    <w:rsid w:val="00CC4566"/>
    <w:rsid w:val="00CD3522"/>
    <w:rsid w:val="00CE5DBB"/>
    <w:rsid w:val="00CF1A7E"/>
    <w:rsid w:val="00CF2A8D"/>
    <w:rsid w:val="00D0195E"/>
    <w:rsid w:val="00D174F7"/>
    <w:rsid w:val="00D252E2"/>
    <w:rsid w:val="00D347F2"/>
    <w:rsid w:val="00D434B6"/>
    <w:rsid w:val="00D513E9"/>
    <w:rsid w:val="00D568DB"/>
    <w:rsid w:val="00D60CDD"/>
    <w:rsid w:val="00D707E3"/>
    <w:rsid w:val="00D7098D"/>
    <w:rsid w:val="00D73A86"/>
    <w:rsid w:val="00D74650"/>
    <w:rsid w:val="00D7678C"/>
    <w:rsid w:val="00DA7C39"/>
    <w:rsid w:val="00DC68F7"/>
    <w:rsid w:val="00E0005C"/>
    <w:rsid w:val="00E00E13"/>
    <w:rsid w:val="00E0252B"/>
    <w:rsid w:val="00E0541D"/>
    <w:rsid w:val="00E150AC"/>
    <w:rsid w:val="00E172F5"/>
    <w:rsid w:val="00E25A82"/>
    <w:rsid w:val="00E408C5"/>
    <w:rsid w:val="00E51935"/>
    <w:rsid w:val="00E54DEE"/>
    <w:rsid w:val="00E5641A"/>
    <w:rsid w:val="00E61833"/>
    <w:rsid w:val="00E62599"/>
    <w:rsid w:val="00E64CDE"/>
    <w:rsid w:val="00E70EFC"/>
    <w:rsid w:val="00E73B53"/>
    <w:rsid w:val="00E771C5"/>
    <w:rsid w:val="00E8628C"/>
    <w:rsid w:val="00E90102"/>
    <w:rsid w:val="00E90332"/>
    <w:rsid w:val="00E9378E"/>
    <w:rsid w:val="00E97F7F"/>
    <w:rsid w:val="00EA4980"/>
    <w:rsid w:val="00EB325E"/>
    <w:rsid w:val="00EB608B"/>
    <w:rsid w:val="00EC0F21"/>
    <w:rsid w:val="00EC62BF"/>
    <w:rsid w:val="00EE022F"/>
    <w:rsid w:val="00EE12F6"/>
    <w:rsid w:val="00EF3CE2"/>
    <w:rsid w:val="00F06AE2"/>
    <w:rsid w:val="00F160E6"/>
    <w:rsid w:val="00F27310"/>
    <w:rsid w:val="00F35601"/>
    <w:rsid w:val="00F4293D"/>
    <w:rsid w:val="00F46974"/>
    <w:rsid w:val="00F46BCC"/>
    <w:rsid w:val="00F56450"/>
    <w:rsid w:val="00F67D1E"/>
    <w:rsid w:val="00F736D6"/>
    <w:rsid w:val="00F97065"/>
    <w:rsid w:val="00F97ED0"/>
    <w:rsid w:val="00FA4D65"/>
    <w:rsid w:val="00FB0F42"/>
    <w:rsid w:val="00FC4387"/>
    <w:rsid w:val="00FC5EB4"/>
    <w:rsid w:val="00FD5F78"/>
    <w:rsid w:val="00FD7F8E"/>
    <w:rsid w:val="00FE26FF"/>
    <w:rsid w:val="00FF1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52D52A"/>
  <w15:docId w15:val="{E54AF2B4-61BA-4A91-89AA-CAFE4913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EB3"/>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EB3"/>
    <w:pPr>
      <w:overflowPunct/>
      <w:autoSpaceDE/>
      <w:autoSpaceDN/>
      <w:adjustRightInd/>
      <w:spacing w:after="200" w:line="276" w:lineRule="auto"/>
      <w:ind w:left="720"/>
      <w:contextualSpacing/>
      <w:jc w:val="left"/>
      <w:textAlignment w:val="auto"/>
    </w:pPr>
    <w:rPr>
      <w:rFonts w:ascii="Calibri" w:eastAsia="Calibri" w:hAnsi="Calibri"/>
      <w:szCs w:val="22"/>
    </w:rPr>
  </w:style>
  <w:style w:type="paragraph" w:styleId="Header">
    <w:name w:val="header"/>
    <w:basedOn w:val="Normal"/>
    <w:link w:val="HeaderChar"/>
    <w:uiPriority w:val="99"/>
    <w:unhideWhenUsed/>
    <w:rsid w:val="00AD23B2"/>
    <w:pPr>
      <w:tabs>
        <w:tab w:val="center" w:pos="4513"/>
        <w:tab w:val="right" w:pos="9026"/>
      </w:tabs>
    </w:pPr>
  </w:style>
  <w:style w:type="character" w:customStyle="1" w:styleId="HeaderChar">
    <w:name w:val="Header Char"/>
    <w:basedOn w:val="DefaultParagraphFont"/>
    <w:link w:val="Header"/>
    <w:uiPriority w:val="99"/>
    <w:rsid w:val="00AD23B2"/>
    <w:rPr>
      <w:rFonts w:ascii="Times New Roman" w:eastAsia="Times New Roman" w:hAnsi="Times New Roman" w:cs="Times New Roman"/>
      <w:szCs w:val="20"/>
    </w:rPr>
  </w:style>
  <w:style w:type="paragraph" w:styleId="Footer">
    <w:name w:val="footer"/>
    <w:basedOn w:val="Normal"/>
    <w:link w:val="FooterChar"/>
    <w:uiPriority w:val="99"/>
    <w:unhideWhenUsed/>
    <w:rsid w:val="00AD23B2"/>
    <w:pPr>
      <w:tabs>
        <w:tab w:val="center" w:pos="4513"/>
        <w:tab w:val="right" w:pos="9026"/>
      </w:tabs>
    </w:pPr>
  </w:style>
  <w:style w:type="character" w:customStyle="1" w:styleId="FooterChar">
    <w:name w:val="Footer Char"/>
    <w:basedOn w:val="DefaultParagraphFont"/>
    <w:link w:val="Footer"/>
    <w:uiPriority w:val="99"/>
    <w:rsid w:val="00AD23B2"/>
    <w:rPr>
      <w:rFonts w:ascii="Times New Roman" w:eastAsia="Times New Roman" w:hAnsi="Times New Roman" w:cs="Times New Roman"/>
      <w:szCs w:val="20"/>
    </w:rPr>
  </w:style>
  <w:style w:type="paragraph" w:styleId="Revision">
    <w:name w:val="Revision"/>
    <w:hidden/>
    <w:uiPriority w:val="99"/>
    <w:semiHidden/>
    <w:rsid w:val="00E97F7F"/>
    <w:pPr>
      <w:spacing w:after="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97F7F"/>
    <w:rPr>
      <w:rFonts w:ascii="Tahoma" w:hAnsi="Tahoma" w:cs="Tahoma"/>
      <w:sz w:val="16"/>
      <w:szCs w:val="16"/>
    </w:rPr>
  </w:style>
  <w:style w:type="character" w:customStyle="1" w:styleId="BalloonTextChar">
    <w:name w:val="Balloon Text Char"/>
    <w:basedOn w:val="DefaultParagraphFont"/>
    <w:link w:val="BalloonText"/>
    <w:uiPriority w:val="99"/>
    <w:semiHidden/>
    <w:rsid w:val="00E97F7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E796F"/>
    <w:rPr>
      <w:sz w:val="16"/>
      <w:szCs w:val="16"/>
    </w:rPr>
  </w:style>
  <w:style w:type="paragraph" w:styleId="CommentText">
    <w:name w:val="annotation text"/>
    <w:basedOn w:val="Normal"/>
    <w:link w:val="CommentTextChar"/>
    <w:uiPriority w:val="99"/>
    <w:unhideWhenUsed/>
    <w:rsid w:val="006260BA"/>
    <w:rPr>
      <w:sz w:val="20"/>
    </w:rPr>
  </w:style>
  <w:style w:type="character" w:customStyle="1" w:styleId="CommentTextChar">
    <w:name w:val="Comment Text Char"/>
    <w:basedOn w:val="DefaultParagraphFont"/>
    <w:link w:val="CommentText"/>
    <w:uiPriority w:val="99"/>
    <w:rsid w:val="007E79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96F"/>
    <w:rPr>
      <w:b/>
      <w:bCs/>
    </w:rPr>
  </w:style>
  <w:style w:type="character" w:customStyle="1" w:styleId="CommentSubjectChar">
    <w:name w:val="Comment Subject Char"/>
    <w:basedOn w:val="CommentTextChar"/>
    <w:link w:val="CommentSubject"/>
    <w:uiPriority w:val="99"/>
    <w:semiHidden/>
    <w:rsid w:val="007E796F"/>
    <w:rPr>
      <w:rFonts w:ascii="Times New Roman" w:eastAsia="Times New Roman" w:hAnsi="Times New Roman" w:cs="Times New Roman"/>
      <w:b/>
      <w:bCs/>
      <w:sz w:val="20"/>
      <w:szCs w:val="20"/>
    </w:rPr>
  </w:style>
  <w:style w:type="paragraph" w:customStyle="1" w:styleId="ActHead3">
    <w:name w:val="ActHead 3"/>
    <w:aliases w:val="d"/>
    <w:basedOn w:val="Normal"/>
    <w:next w:val="Normal"/>
    <w:qFormat/>
    <w:rsid w:val="00D252E2"/>
    <w:pPr>
      <w:keepNext/>
      <w:keepLines/>
      <w:overflowPunct/>
      <w:autoSpaceDE/>
      <w:autoSpaceDN/>
      <w:adjustRightInd/>
      <w:spacing w:before="240"/>
      <w:ind w:left="1134" w:hanging="1134"/>
      <w:jc w:val="left"/>
      <w:textAlignment w:val="auto"/>
      <w:outlineLvl w:val="2"/>
    </w:pPr>
    <w:rPr>
      <w:b/>
      <w:kern w:val="28"/>
      <w:sz w:val="28"/>
      <w:lang w:eastAsia="en-AU"/>
    </w:rPr>
  </w:style>
  <w:style w:type="table" w:styleId="TableGrid">
    <w:name w:val="Table Grid"/>
    <w:basedOn w:val="TableNormal"/>
    <w:uiPriority w:val="59"/>
    <w:rsid w:val="004D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65C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6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u/url?sa=i&amp;rct=j&amp;q=&amp;esrc=s&amp;source=images&amp;cd=&amp;cad=rja&amp;uact=8&amp;ved=0ahUKEwjztN-ZzYrYAhVIspQKHbSiCaQQjRwIBw&amp;url=https://www.pmc.gov.au/government/commonwealth-coat-arms&amp;psig=AOvVaw1FfqnktxUBMEDGeJ_ZyUUu&amp;ust=15133787167366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E8BAA-F800-4E00-9CF7-3F385E46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919</Words>
  <Characters>5059</Characters>
  <Application>Microsoft Office Word</Application>
  <DocSecurity>0</DocSecurity>
  <Lines>198</Lines>
  <Paragraphs>69</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colemr</dc:creator>
  <cp:keywords> [SEC=UNOFFICIAL]</cp:keywords>
  <cp:lastModifiedBy>Danielle Sheehan</cp:lastModifiedBy>
  <cp:revision>3</cp:revision>
  <cp:lastPrinted>2021-02-25T04:28:00Z</cp:lastPrinted>
  <dcterms:created xsi:type="dcterms:W3CDTF">2021-02-17T00:21:00Z</dcterms:created>
  <dcterms:modified xsi:type="dcterms:W3CDTF">2021-02-25T04:28:00Z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2992679v1 Auditing Standards (17Dec13)</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InsertionValue">
    <vt:lpwstr>UNOFFICIAL</vt:lpwstr>
  </property>
  <property fmtid="{D5CDD505-2E9C-101B-9397-08002B2CF9AE}" pid="9" name="PM_Originating_FileId">
    <vt:lpwstr>21A67AC01DCB4AE59DCF1737166D1EF2</vt:lpwstr>
  </property>
  <property fmtid="{D5CDD505-2E9C-101B-9397-08002B2CF9AE}" pid="10" name="PM_ProtectiveMarkingValue_Footer">
    <vt:lpwstr>UNOFFICIAL</vt:lpwstr>
  </property>
  <property fmtid="{D5CDD505-2E9C-101B-9397-08002B2CF9AE}" pid="11" name="PM_Originator_Hash_SHA1">
    <vt:lpwstr>15AFFFF8FEEB07C38FAAF4E16EDA23A8D10558A1</vt:lpwstr>
  </property>
  <property fmtid="{D5CDD505-2E9C-101B-9397-08002B2CF9AE}" pid="12" name="PM_OriginationTimeStamp">
    <vt:lpwstr>2021-02-25T04:27:53Z</vt:lpwstr>
  </property>
  <property fmtid="{D5CDD505-2E9C-101B-9397-08002B2CF9AE}" pid="13" name="PM_ProtectiveMarkingValue_Header">
    <vt:lpwstr>UNOFFICIAL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2018.1</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C73D8D141CE419F587FEF025459A3EB7</vt:lpwstr>
  </property>
  <property fmtid="{D5CDD505-2E9C-101B-9397-08002B2CF9AE}" pid="21" name="PM_Hash_Salt">
    <vt:lpwstr>EEF3093DD404D3F27A6D08F3C0230916</vt:lpwstr>
  </property>
  <property fmtid="{D5CDD505-2E9C-101B-9397-08002B2CF9AE}" pid="22" name="PM_Hash_SHA1">
    <vt:lpwstr>FCD33DB0A1639E71F69B083F650C214FA364AA87</vt:lpwstr>
  </property>
  <property fmtid="{D5CDD505-2E9C-101B-9397-08002B2CF9AE}" pid="23" name="PM_SecurityClassification_Prev">
    <vt:lpwstr>UNOFFICIAL</vt:lpwstr>
  </property>
  <property fmtid="{D5CDD505-2E9C-101B-9397-08002B2CF9AE}" pid="24" name="PM_Qualifier_Prev">
    <vt:lpwstr/>
  </property>
</Properties>
</file>