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4464" w14:textId="77777777" w:rsidR="00FB640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8B24C8">
        <w:rPr>
          <w:rFonts w:ascii="Times New Roman" w:hAnsi="Times New Roman" w:cs="Times New Roman"/>
          <w:u w:val="single"/>
        </w:rPr>
        <w:t>EXPLANATORY STATEMENT</w:t>
      </w:r>
    </w:p>
    <w:p w14:paraId="11409C01" w14:textId="2075EF3C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Issued by authority of the Minister for Immigration, Citizenship, Migrant </w:t>
      </w:r>
      <w:r w:rsidR="00D163D3">
        <w:rPr>
          <w:rFonts w:ascii="Times New Roman" w:hAnsi="Times New Roman" w:cs="Times New Roman"/>
        </w:rPr>
        <w:t>Services</w:t>
      </w:r>
      <w:bookmarkStart w:id="0" w:name="_GoBack"/>
      <w:bookmarkEnd w:id="0"/>
      <w:r w:rsidRPr="008B24C8">
        <w:rPr>
          <w:rFonts w:ascii="Times New Roman" w:hAnsi="Times New Roman" w:cs="Times New Roman"/>
        </w:rPr>
        <w:t xml:space="preserve"> and</w:t>
      </w:r>
      <w:r w:rsidRPr="008B24C8">
        <w:rPr>
          <w:rFonts w:ascii="Times New Roman" w:hAnsi="Times New Roman" w:cs="Times New Roman"/>
        </w:rPr>
        <w:br/>
        <w:t>Multicultural Affairs</w:t>
      </w:r>
      <w:r w:rsidR="0019164E">
        <w:rPr>
          <w:rFonts w:ascii="Times New Roman" w:hAnsi="Times New Roman" w:cs="Times New Roman"/>
        </w:rPr>
        <w:t xml:space="preserve"> </w:t>
      </w:r>
    </w:p>
    <w:p w14:paraId="76AD8696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Act 1956</w:t>
      </w:r>
    </w:p>
    <w:p w14:paraId="7A11197B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7D0B8096" w14:textId="5A01B676" w:rsidR="0057002B" w:rsidRPr="008B24C8" w:rsidRDefault="00A871E3" w:rsidP="00915032">
      <w:pPr>
        <w:spacing w:before="360" w:after="600" w:line="276" w:lineRule="auto"/>
        <w:jc w:val="center"/>
        <w:rPr>
          <w:rFonts w:ascii="Times New Roman" w:hAnsi="Times New Roman" w:cs="Times New Roman"/>
          <w:b/>
          <w:i/>
        </w:rPr>
      </w:pPr>
      <w:r w:rsidRPr="00A871E3">
        <w:rPr>
          <w:rFonts w:ascii="Times New Roman" w:hAnsi="Times New Roman" w:cs="Times New Roman"/>
          <w:b/>
          <w:i/>
        </w:rPr>
        <w:t>Migration (Class of persons for Visitor (Class FA) visa nil VAC) Instrument (LIN 21/021) 2021</w:t>
      </w:r>
    </w:p>
    <w:p w14:paraId="3D50F2E7" w14:textId="0EC1C428" w:rsidR="0057002B" w:rsidRPr="008B24C8" w:rsidRDefault="0057002B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>The inst</w:t>
      </w:r>
      <w:r w:rsidR="00CA4F1F">
        <w:rPr>
          <w:rFonts w:ascii="Times New Roman" w:hAnsi="Times New Roman" w:cs="Times New Roman"/>
        </w:rPr>
        <w:t xml:space="preserve">rument, Departmental reference </w:t>
      </w:r>
      <w:r w:rsidRPr="008B24C8">
        <w:rPr>
          <w:rFonts w:ascii="Times New Roman" w:hAnsi="Times New Roman" w:cs="Times New Roman"/>
        </w:rPr>
        <w:t>LIN</w:t>
      </w:r>
      <w:r w:rsidR="00CA4F1F">
        <w:rPr>
          <w:rFonts w:ascii="Times New Roman" w:hAnsi="Times New Roman" w:cs="Times New Roman"/>
        </w:rPr>
        <w:t xml:space="preserve"> 21/021, is made under s</w:t>
      </w:r>
      <w:r w:rsidR="00642EA7">
        <w:rPr>
          <w:rFonts w:ascii="Times New Roman" w:hAnsi="Times New Roman" w:cs="Times New Roman"/>
        </w:rPr>
        <w:t>ubparagraph 1236(2</w:t>
      </w:r>
      <w:proofErr w:type="gramStart"/>
      <w:r w:rsidR="00642EA7">
        <w:rPr>
          <w:rFonts w:ascii="Times New Roman" w:hAnsi="Times New Roman" w:cs="Times New Roman"/>
        </w:rPr>
        <w:t>)(</w:t>
      </w:r>
      <w:proofErr w:type="gramEnd"/>
      <w:r w:rsidR="00642EA7">
        <w:rPr>
          <w:rFonts w:ascii="Times New Roman" w:hAnsi="Times New Roman" w:cs="Times New Roman"/>
        </w:rPr>
        <w:t>a)(iv)</w:t>
      </w:r>
      <w:r w:rsidRPr="008B24C8">
        <w:rPr>
          <w:rFonts w:ascii="Times New Roman" w:hAnsi="Times New Roman" w:cs="Times New Roman"/>
        </w:rPr>
        <w:t xml:space="preserve"> of</w:t>
      </w:r>
      <w:r w:rsidR="00642EA7">
        <w:rPr>
          <w:rFonts w:ascii="Times New Roman" w:hAnsi="Times New Roman" w:cs="Times New Roman"/>
        </w:rPr>
        <w:t xml:space="preserve"> Schedule </w:t>
      </w:r>
      <w:r w:rsidR="00A871E3">
        <w:rPr>
          <w:rFonts w:ascii="Times New Roman" w:hAnsi="Times New Roman" w:cs="Times New Roman"/>
        </w:rPr>
        <w:t>1</w:t>
      </w:r>
      <w:r w:rsidR="00642EA7">
        <w:rPr>
          <w:rFonts w:ascii="Times New Roman" w:hAnsi="Times New Roman" w:cs="Times New Roman"/>
        </w:rPr>
        <w:t xml:space="preserve"> to the</w:t>
      </w:r>
      <w:r w:rsidRPr="008B24C8">
        <w:rPr>
          <w:rFonts w:ascii="Times New Roman" w:hAnsi="Times New Roman" w:cs="Times New Roman"/>
        </w:rPr>
        <w:t xml:space="preserve"> </w:t>
      </w:r>
      <w:r w:rsidRPr="008B24C8">
        <w:rPr>
          <w:rFonts w:ascii="Times New Roman" w:hAnsi="Times New Roman" w:cs="Times New Roman"/>
          <w:i/>
        </w:rPr>
        <w:t>Migration Regulations 1994</w:t>
      </w:r>
      <w:r w:rsidR="00CA4F1F">
        <w:rPr>
          <w:rFonts w:ascii="Times New Roman" w:hAnsi="Times New Roman" w:cs="Times New Roman"/>
        </w:rPr>
        <w:t xml:space="preserve"> (the Migration Regulations)</w:t>
      </w:r>
      <w:r w:rsidRPr="008B24C8">
        <w:rPr>
          <w:rFonts w:ascii="Times New Roman" w:hAnsi="Times New Roman" w:cs="Times New Roman"/>
        </w:rPr>
        <w:t xml:space="preserve">.  </w:t>
      </w:r>
    </w:p>
    <w:p w14:paraId="7385BABF" w14:textId="2C905946" w:rsidR="00857403" w:rsidRDefault="00EA12C9" w:rsidP="000D1A51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57403">
        <w:rPr>
          <w:rFonts w:ascii="Times New Roman" w:hAnsi="Times New Roman" w:cs="Times New Roman"/>
        </w:rPr>
        <w:t xml:space="preserve">The </w:t>
      </w:r>
      <w:r w:rsidR="00CA4F1F" w:rsidRPr="00857403">
        <w:rPr>
          <w:rFonts w:ascii="Times New Roman" w:hAnsi="Times New Roman" w:cs="Times New Roman"/>
        </w:rPr>
        <w:t>instrument</w:t>
      </w:r>
      <w:r w:rsidR="00857403">
        <w:rPr>
          <w:rFonts w:ascii="Times New Roman" w:hAnsi="Times New Roman" w:cs="Times New Roman"/>
        </w:rPr>
        <w:t xml:space="preserve"> repeals the</w:t>
      </w:r>
      <w:r w:rsidR="00CA4F1F" w:rsidRPr="00857403">
        <w:rPr>
          <w:rFonts w:ascii="Times New Roman" w:hAnsi="Times New Roman" w:cs="Times New Roman"/>
        </w:rPr>
        <w:t xml:space="preserve"> </w:t>
      </w:r>
      <w:r w:rsidR="00CA4F1F" w:rsidRPr="00857403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Migration</w:t>
      </w:r>
      <w:r w:rsidR="00CA4F1F" w:rsidRPr="00857403">
        <w:rPr>
          <w:rFonts w:ascii="Times New Roman" w:hAnsi="Times New Roman" w:cs="Times New Roman"/>
          <w:i/>
        </w:rPr>
        <w:t xml:space="preserve"> (LIN 20/045: Class of persons for Visitor (Class FA) visa applications) Instrument 2020 </w:t>
      </w:r>
      <w:r w:rsidR="00CA4F1F" w:rsidRPr="00857403">
        <w:rPr>
          <w:rFonts w:ascii="Times New Roman" w:hAnsi="Times New Roman" w:cs="Times New Roman"/>
        </w:rPr>
        <w:t>(F2020L00157)</w:t>
      </w:r>
      <w:r w:rsidR="00BD598E" w:rsidRPr="00857403">
        <w:rPr>
          <w:rFonts w:ascii="Times New Roman" w:hAnsi="Times New Roman" w:cs="Times New Roman"/>
        </w:rPr>
        <w:t xml:space="preserve"> </w:t>
      </w:r>
      <w:r w:rsidR="00B75478" w:rsidRPr="00857403">
        <w:rPr>
          <w:rFonts w:ascii="Times New Roman" w:hAnsi="Times New Roman" w:cs="Times New Roman"/>
        </w:rPr>
        <w:t>(</w:t>
      </w:r>
      <w:r w:rsidR="00857403">
        <w:rPr>
          <w:rFonts w:ascii="Times New Roman" w:hAnsi="Times New Roman" w:cs="Times New Roman"/>
        </w:rPr>
        <w:t>LIN 20/045</w:t>
      </w:r>
      <w:r w:rsidR="00B75478" w:rsidRPr="00857403">
        <w:rPr>
          <w:rFonts w:ascii="Times New Roman" w:hAnsi="Times New Roman" w:cs="Times New Roman"/>
        </w:rPr>
        <w:t xml:space="preserve">) </w:t>
      </w:r>
      <w:r w:rsidRPr="00857403">
        <w:rPr>
          <w:rFonts w:ascii="Times New Roman" w:hAnsi="Times New Roman" w:cs="Times New Roman"/>
        </w:rPr>
        <w:t xml:space="preserve">in accordance with subsection 33(3) of the </w:t>
      </w:r>
      <w:r w:rsidRPr="00857403">
        <w:rPr>
          <w:rFonts w:ascii="Times New Roman" w:hAnsi="Times New Roman" w:cs="Times New Roman"/>
          <w:i/>
        </w:rPr>
        <w:t>Acts Interpretation Act 1901</w:t>
      </w:r>
      <w:r w:rsidR="00BD598E" w:rsidRPr="00857403">
        <w:rPr>
          <w:rFonts w:ascii="Times New Roman" w:hAnsi="Times New Roman" w:cs="Times New Roman"/>
          <w:i/>
        </w:rPr>
        <w:t xml:space="preserve"> </w:t>
      </w:r>
      <w:r w:rsidR="00BD598E" w:rsidRPr="00857403">
        <w:rPr>
          <w:rFonts w:ascii="Times New Roman" w:hAnsi="Times New Roman" w:cs="Times New Roman"/>
        </w:rPr>
        <w:t>(the Acts Interpretation Act)</w:t>
      </w:r>
      <w:r w:rsidRPr="00857403">
        <w:rPr>
          <w:rFonts w:ascii="Times New Roman" w:hAnsi="Times New Roman" w:cs="Times New Roman"/>
        </w:rPr>
        <w:t xml:space="preserve">.  That subsection provides that where an Act confers a power to make a legislative instrument, the power includes a power to </w:t>
      </w:r>
      <w:r w:rsidR="00BD598E" w:rsidRPr="00857403">
        <w:rPr>
          <w:rFonts w:ascii="Times New Roman" w:hAnsi="Times New Roman" w:cs="Times New Roman"/>
        </w:rPr>
        <w:t xml:space="preserve">amend or repeal that instrument, subject to any conditions that apply to the initial instrument-making power.  </w:t>
      </w:r>
    </w:p>
    <w:p w14:paraId="7BB4A7DF" w14:textId="3A8EEC9A" w:rsidR="00BD598E" w:rsidRPr="00857403" w:rsidRDefault="00BD598E" w:rsidP="000D1A51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57403">
        <w:rPr>
          <w:rFonts w:ascii="Times New Roman" w:hAnsi="Times New Roman" w:cs="Times New Roman"/>
        </w:rPr>
        <w:t xml:space="preserve">Paragraph 13(1)(a) of the </w:t>
      </w:r>
      <w:r w:rsidRPr="00857403">
        <w:rPr>
          <w:rFonts w:ascii="Times New Roman" w:hAnsi="Times New Roman" w:cs="Times New Roman"/>
          <w:i/>
        </w:rPr>
        <w:t>Legislation Act 2003</w:t>
      </w:r>
      <w:r w:rsidRPr="00857403">
        <w:rPr>
          <w:rFonts w:ascii="Times New Roman" w:hAnsi="Times New Roman" w:cs="Times New Roman"/>
        </w:rPr>
        <w:t xml:space="preserve"> (the Legislation Act) provides that subsection 33(3) of the Acts Interpretation Act applies to an instrument-making power in the Migration Regulations as if the Migration Regulations</w:t>
      </w:r>
      <w:r w:rsidR="00CA4F1F" w:rsidRPr="00857403">
        <w:rPr>
          <w:rFonts w:ascii="Times New Roman" w:hAnsi="Times New Roman" w:cs="Times New Roman"/>
        </w:rPr>
        <w:t xml:space="preserve"> were an Act.  This means that</w:t>
      </w:r>
      <w:r w:rsidR="00CA4F1F" w:rsidRPr="00CA4F1F">
        <w:t xml:space="preserve"> </w:t>
      </w:r>
      <w:r w:rsidR="00CA4F1F" w:rsidRPr="00857403">
        <w:rPr>
          <w:rFonts w:ascii="Times New Roman" w:hAnsi="Times New Roman" w:cs="Times New Roman"/>
        </w:rPr>
        <w:t>subparagraph 1236(2</w:t>
      </w:r>
      <w:proofErr w:type="gramStart"/>
      <w:r w:rsidR="00CA4F1F" w:rsidRPr="00857403">
        <w:rPr>
          <w:rFonts w:ascii="Times New Roman" w:hAnsi="Times New Roman" w:cs="Times New Roman"/>
        </w:rPr>
        <w:t>)(</w:t>
      </w:r>
      <w:proofErr w:type="gramEnd"/>
      <w:r w:rsidR="00CA4F1F" w:rsidRPr="00857403">
        <w:rPr>
          <w:rFonts w:ascii="Times New Roman" w:hAnsi="Times New Roman" w:cs="Times New Roman"/>
        </w:rPr>
        <w:t xml:space="preserve">a)(iv) of Schedule </w:t>
      </w:r>
      <w:r w:rsidR="00A871E3">
        <w:rPr>
          <w:rFonts w:ascii="Times New Roman" w:hAnsi="Times New Roman" w:cs="Times New Roman"/>
        </w:rPr>
        <w:t>1</w:t>
      </w:r>
      <w:r w:rsidR="00CA4F1F" w:rsidRPr="00857403">
        <w:rPr>
          <w:rFonts w:ascii="Times New Roman" w:hAnsi="Times New Roman" w:cs="Times New Roman"/>
        </w:rPr>
        <w:t xml:space="preserve"> to the Migration Regulations </w:t>
      </w:r>
      <w:r w:rsidRPr="00857403">
        <w:rPr>
          <w:rFonts w:ascii="Times New Roman" w:hAnsi="Times New Roman" w:cs="Times New Roman"/>
        </w:rPr>
        <w:t xml:space="preserve">also includes a power to amend or repeal an instrument made under that provision.  </w:t>
      </w:r>
    </w:p>
    <w:p w14:paraId="5C9905E1" w14:textId="77777777" w:rsidR="00BD598E" w:rsidRPr="008B24C8" w:rsidRDefault="00CA4F1F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commences on 27 February 2021</w:t>
      </w:r>
      <w:r w:rsidR="00AA4557">
        <w:rPr>
          <w:rFonts w:ascii="Times New Roman" w:hAnsi="Times New Roman" w:cs="Times New Roman"/>
        </w:rPr>
        <w:t>, and i</w:t>
      </w:r>
      <w:r w:rsidR="00BD598E" w:rsidRPr="008B24C8">
        <w:rPr>
          <w:rFonts w:ascii="Times New Roman" w:hAnsi="Times New Roman" w:cs="Times New Roman"/>
        </w:rPr>
        <w:t xml:space="preserve">s a </w:t>
      </w:r>
      <w:r w:rsidR="00AA4557">
        <w:rPr>
          <w:rFonts w:ascii="Times New Roman" w:hAnsi="Times New Roman" w:cs="Times New Roman"/>
        </w:rPr>
        <w:t>legislative</w:t>
      </w:r>
      <w:r w:rsidR="00BD598E" w:rsidRPr="008B24C8">
        <w:rPr>
          <w:rFonts w:ascii="Times New Roman" w:hAnsi="Times New Roman" w:cs="Times New Roman"/>
        </w:rPr>
        <w:t xml:space="preserve"> instrument for </w:t>
      </w:r>
      <w:r w:rsidR="00B75478">
        <w:rPr>
          <w:rFonts w:ascii="Times New Roman" w:hAnsi="Times New Roman" w:cs="Times New Roman"/>
        </w:rPr>
        <w:t>the Legislation Act</w:t>
      </w:r>
      <w:r w:rsidR="00BD598E" w:rsidRPr="008B24C8">
        <w:rPr>
          <w:rFonts w:ascii="Times New Roman" w:hAnsi="Times New Roman" w:cs="Times New Roman"/>
        </w:rPr>
        <w:t xml:space="preserve">.  </w:t>
      </w:r>
    </w:p>
    <w:p w14:paraId="758369EB" w14:textId="77777777" w:rsidR="00EA12C9" w:rsidRDefault="00BD598E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Purpose</w:t>
      </w:r>
    </w:p>
    <w:p w14:paraId="5BA8F2BA" w14:textId="5D8904D2" w:rsidR="00D82663" w:rsidRPr="00D82663" w:rsidRDefault="00D82663" w:rsidP="00D82663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F43C1">
        <w:rPr>
          <w:rFonts w:ascii="Times New Roman" w:hAnsi="Times New Roman" w:cs="Times New Roman"/>
        </w:rPr>
        <w:t xml:space="preserve">The purpose of the instrument is to specify </w:t>
      </w:r>
      <w:r>
        <w:rPr>
          <w:rFonts w:ascii="Times New Roman" w:hAnsi="Times New Roman" w:cs="Times New Roman"/>
        </w:rPr>
        <w:t xml:space="preserve">that </w:t>
      </w:r>
      <w:r w:rsidRPr="008F43C1">
        <w:rPr>
          <w:rFonts w:ascii="Times New Roman" w:hAnsi="Times New Roman" w:cs="Times New Roman"/>
        </w:rPr>
        <w:t xml:space="preserve">certain former </w:t>
      </w:r>
      <w:r w:rsidR="007570EC" w:rsidRPr="00D82663">
        <w:rPr>
          <w:rFonts w:ascii="Times New Roman" w:hAnsi="Times New Roman" w:cs="Times New Roman"/>
        </w:rPr>
        <w:t xml:space="preserve">Subclass 600 (Visitor) visa (Subclass 600 visa) </w:t>
      </w:r>
      <w:r w:rsidR="00A871E3">
        <w:rPr>
          <w:rFonts w:ascii="Times New Roman" w:hAnsi="Times New Roman" w:cs="Times New Roman"/>
        </w:rPr>
        <w:t xml:space="preserve">holders </w:t>
      </w:r>
      <w:r>
        <w:rPr>
          <w:rFonts w:ascii="Times New Roman" w:hAnsi="Times New Roman" w:cs="Times New Roman"/>
        </w:rPr>
        <w:t xml:space="preserve">can apply for a new </w:t>
      </w:r>
      <w:r w:rsidR="00A871E3">
        <w:rPr>
          <w:rFonts w:ascii="Times New Roman" w:hAnsi="Times New Roman" w:cs="Times New Roman"/>
        </w:rPr>
        <w:t xml:space="preserve">Subclass 600 </w:t>
      </w:r>
      <w:r>
        <w:rPr>
          <w:rFonts w:ascii="Times New Roman" w:hAnsi="Times New Roman" w:cs="Times New Roman"/>
        </w:rPr>
        <w:t>visa with a nil visa application charge (VAC) where their travel to</w:t>
      </w:r>
      <w:r w:rsidR="00857403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stay in</w:t>
      </w:r>
      <w:r w:rsidR="00857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Australia</w:t>
      </w:r>
      <w:r w:rsidR="00A871E3">
        <w:rPr>
          <w:rFonts w:ascii="Times New Roman" w:hAnsi="Times New Roman" w:cs="Times New Roman"/>
        </w:rPr>
        <w:t xml:space="preserve"> (or both)</w:t>
      </w:r>
      <w:r>
        <w:rPr>
          <w:rFonts w:ascii="Times New Roman" w:hAnsi="Times New Roman" w:cs="Times New Roman"/>
        </w:rPr>
        <w:t xml:space="preserve"> has been affected by the COVID-19 pandemic.  </w:t>
      </w:r>
    </w:p>
    <w:p w14:paraId="39F47C5D" w14:textId="3A6FB7F5" w:rsidR="008B24C8" w:rsidRPr="00586164" w:rsidRDefault="008B24C8" w:rsidP="00586164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A666F4">
        <w:rPr>
          <w:rFonts w:ascii="Times New Roman" w:hAnsi="Times New Roman" w:cs="Times New Roman"/>
        </w:rPr>
        <w:t xml:space="preserve">Under </w:t>
      </w:r>
      <w:r w:rsidR="002B0C41" w:rsidRPr="00A666F4">
        <w:rPr>
          <w:rFonts w:ascii="Times New Roman" w:hAnsi="Times New Roman" w:cs="Times New Roman"/>
        </w:rPr>
        <w:t>subparagraph 1236(2)(a)(iv)</w:t>
      </w:r>
      <w:r w:rsidRPr="00A666F4">
        <w:rPr>
          <w:rFonts w:ascii="Times New Roman" w:hAnsi="Times New Roman" w:cs="Times New Roman"/>
        </w:rPr>
        <w:t xml:space="preserve"> of Schedule 1 to the Migration Regulations</w:t>
      </w:r>
      <w:r w:rsidR="002B0C41" w:rsidRPr="00A666F4">
        <w:rPr>
          <w:rFonts w:ascii="Times New Roman" w:hAnsi="Times New Roman" w:cs="Times New Roman"/>
        </w:rPr>
        <w:t>, the Minister may specify a class of persons who are applicants with a nil VAC amount</w:t>
      </w:r>
      <w:r w:rsidR="00857403">
        <w:rPr>
          <w:rFonts w:ascii="Times New Roman" w:hAnsi="Times New Roman" w:cs="Times New Roman"/>
        </w:rPr>
        <w:t xml:space="preserve"> for Visitor (Class FA) visas, which includes Subclass 600 visas</w:t>
      </w:r>
      <w:r w:rsidR="002B0C41" w:rsidRPr="00A666F4">
        <w:rPr>
          <w:rFonts w:ascii="Times New Roman" w:hAnsi="Times New Roman" w:cs="Times New Roman"/>
        </w:rPr>
        <w:t xml:space="preserve">.  </w:t>
      </w:r>
      <w:r w:rsidR="00857403" w:rsidRPr="00A666F4">
        <w:rPr>
          <w:rFonts w:ascii="Times New Roman" w:hAnsi="Times New Roman" w:cs="Times New Roman"/>
        </w:rPr>
        <w:t xml:space="preserve">The instrument specifies </w:t>
      </w:r>
      <w:r w:rsidR="00857403">
        <w:rPr>
          <w:rFonts w:ascii="Times New Roman" w:hAnsi="Times New Roman" w:cs="Times New Roman"/>
        </w:rPr>
        <w:t xml:space="preserve">that nil VAC is payable for </w:t>
      </w:r>
      <w:r w:rsidR="00857403" w:rsidRPr="00A666F4">
        <w:rPr>
          <w:rFonts w:ascii="Times New Roman" w:hAnsi="Times New Roman" w:cs="Times New Roman"/>
        </w:rPr>
        <w:t>applicants for a Subclass 600 visa in the Tourist, Sponsored Family, Business Visitor and Approved Destination streams</w:t>
      </w:r>
      <w:r w:rsidR="00857403">
        <w:rPr>
          <w:rFonts w:ascii="Times New Roman" w:hAnsi="Times New Roman" w:cs="Times New Roman"/>
        </w:rPr>
        <w:t>, where those applicants</w:t>
      </w:r>
      <w:r w:rsidR="00857403" w:rsidRPr="00A666F4">
        <w:rPr>
          <w:rFonts w:ascii="Times New Roman" w:hAnsi="Times New Roman" w:cs="Times New Roman"/>
        </w:rPr>
        <w:t xml:space="preserve"> </w:t>
      </w:r>
      <w:r w:rsidR="00857403">
        <w:rPr>
          <w:rFonts w:ascii="Times New Roman" w:hAnsi="Times New Roman" w:cs="Times New Roman"/>
        </w:rPr>
        <w:t>meet criteria specified in the instrument</w:t>
      </w:r>
      <w:r w:rsidR="00857403" w:rsidRPr="00A666F4">
        <w:rPr>
          <w:rFonts w:ascii="Times New Roman" w:hAnsi="Times New Roman" w:cs="Times New Roman"/>
        </w:rPr>
        <w:t xml:space="preserve">.  </w:t>
      </w:r>
      <w:r w:rsidR="00FC79BA">
        <w:rPr>
          <w:rFonts w:ascii="Times New Roman" w:hAnsi="Times New Roman" w:cs="Times New Roman"/>
        </w:rPr>
        <w:t>Applicants in the Frequent Traveller stream are excluded from this measure.  This is because an application in the Frequent Traveller stream is excluded u</w:t>
      </w:r>
      <w:r w:rsidR="002B0C41" w:rsidRPr="00A666F4">
        <w:rPr>
          <w:rFonts w:ascii="Times New Roman" w:hAnsi="Times New Roman" w:cs="Times New Roman"/>
        </w:rPr>
        <w:t>nder paragraph 1236(2</w:t>
      </w:r>
      <w:proofErr w:type="gramStart"/>
      <w:r w:rsidR="002B0C41" w:rsidRPr="00A666F4">
        <w:rPr>
          <w:rFonts w:ascii="Times New Roman" w:hAnsi="Times New Roman" w:cs="Times New Roman"/>
        </w:rPr>
        <w:t>)(</w:t>
      </w:r>
      <w:proofErr w:type="gramEnd"/>
      <w:r w:rsidR="002B0C41" w:rsidRPr="00A666F4">
        <w:rPr>
          <w:rFonts w:ascii="Times New Roman" w:hAnsi="Times New Roman" w:cs="Times New Roman"/>
        </w:rPr>
        <w:t xml:space="preserve">a) of Schedule </w:t>
      </w:r>
      <w:r w:rsidR="00FC79BA">
        <w:rPr>
          <w:rFonts w:ascii="Times New Roman" w:hAnsi="Times New Roman" w:cs="Times New Roman"/>
        </w:rPr>
        <w:t xml:space="preserve">1 to the Migration Regulations, which provides the instrument making power. </w:t>
      </w:r>
    </w:p>
    <w:p w14:paraId="7353C7AF" w14:textId="77777777" w:rsidR="008B24C8" w:rsidRDefault="008B24C8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8B24C8">
        <w:rPr>
          <w:rFonts w:ascii="Times New Roman" w:hAnsi="Times New Roman" w:cs="Times New Roman"/>
          <w:b/>
          <w:i/>
        </w:rPr>
        <w:t>Consultation</w:t>
      </w:r>
    </w:p>
    <w:p w14:paraId="702084D9" w14:textId="6BE86A17" w:rsidR="008B24C8" w:rsidRPr="002B0C41" w:rsidRDefault="002B0C41" w:rsidP="002B0C41">
      <w:pPr>
        <w:pStyle w:val="ListParagraph"/>
        <w:numPr>
          <w:ilvl w:val="0"/>
          <w:numId w:val="1"/>
        </w:numPr>
        <w:ind w:left="567" w:hanging="709"/>
        <w:rPr>
          <w:rFonts w:ascii="Times New Roman" w:hAnsi="Times New Roman" w:cs="Times New Roman"/>
        </w:rPr>
      </w:pPr>
      <w:r w:rsidRPr="002B0C41">
        <w:rPr>
          <w:rFonts w:ascii="Times New Roman" w:hAnsi="Times New Roman" w:cs="Times New Roman"/>
        </w:rPr>
        <w:t>Consultation was undertaken befor</w:t>
      </w:r>
      <w:r w:rsidR="00F15817">
        <w:rPr>
          <w:rFonts w:ascii="Times New Roman" w:hAnsi="Times New Roman" w:cs="Times New Roman"/>
        </w:rPr>
        <w:t>e the instrume</w:t>
      </w:r>
      <w:r w:rsidR="00AC2FE7">
        <w:rPr>
          <w:rFonts w:ascii="Times New Roman" w:hAnsi="Times New Roman" w:cs="Times New Roman"/>
        </w:rPr>
        <w:t>nt was made with</w:t>
      </w:r>
      <w:r w:rsidR="00A871E3">
        <w:rPr>
          <w:rFonts w:ascii="Times New Roman" w:hAnsi="Times New Roman" w:cs="Times New Roman"/>
        </w:rPr>
        <w:t>, and agreed to by,</w:t>
      </w:r>
      <w:r w:rsidR="00AC2FE7">
        <w:rPr>
          <w:rFonts w:ascii="Times New Roman" w:hAnsi="Times New Roman" w:cs="Times New Roman"/>
        </w:rPr>
        <w:t xml:space="preserve"> t</w:t>
      </w:r>
      <w:r w:rsidRPr="002B0C41">
        <w:rPr>
          <w:rFonts w:ascii="Times New Roman" w:hAnsi="Times New Roman" w:cs="Times New Roman"/>
        </w:rPr>
        <w:t>he</w:t>
      </w:r>
      <w:r w:rsidR="00F15817">
        <w:rPr>
          <w:rFonts w:ascii="Times New Roman" w:hAnsi="Times New Roman" w:cs="Times New Roman"/>
        </w:rPr>
        <w:t xml:space="preserve"> </w:t>
      </w:r>
      <w:r w:rsidR="00A666F4">
        <w:rPr>
          <w:rFonts w:ascii="Times New Roman" w:hAnsi="Times New Roman" w:cs="Times New Roman"/>
        </w:rPr>
        <w:t>following</w:t>
      </w:r>
      <w:r w:rsidR="00F15817">
        <w:rPr>
          <w:rFonts w:ascii="Times New Roman" w:hAnsi="Times New Roman" w:cs="Times New Roman"/>
        </w:rPr>
        <w:t xml:space="preserve"> </w:t>
      </w:r>
      <w:r w:rsidR="00A666F4">
        <w:rPr>
          <w:rFonts w:ascii="Times New Roman" w:hAnsi="Times New Roman" w:cs="Times New Roman"/>
        </w:rPr>
        <w:t>Departments</w:t>
      </w:r>
      <w:r w:rsidR="00A871E3">
        <w:rPr>
          <w:rFonts w:ascii="Times New Roman" w:hAnsi="Times New Roman" w:cs="Times New Roman"/>
        </w:rPr>
        <w:t xml:space="preserve">, </w:t>
      </w:r>
      <w:r w:rsidR="00F15817">
        <w:rPr>
          <w:rFonts w:ascii="Times New Roman" w:hAnsi="Times New Roman" w:cs="Times New Roman"/>
        </w:rPr>
        <w:t>as part of a</w:t>
      </w:r>
      <w:r w:rsidR="00A666F4">
        <w:rPr>
          <w:rFonts w:ascii="Times New Roman" w:hAnsi="Times New Roman" w:cs="Times New Roman"/>
        </w:rPr>
        <w:t xml:space="preserve"> whole of government decision process:</w:t>
      </w:r>
      <w:r w:rsidRPr="002B0C41">
        <w:rPr>
          <w:rFonts w:ascii="Times New Roman" w:hAnsi="Times New Roman" w:cs="Times New Roman"/>
        </w:rPr>
        <w:t xml:space="preserve"> Treasury, </w:t>
      </w:r>
      <w:r w:rsidR="00A666F4">
        <w:rPr>
          <w:rFonts w:ascii="Times New Roman" w:hAnsi="Times New Roman" w:cs="Times New Roman"/>
        </w:rPr>
        <w:t xml:space="preserve">Finance, </w:t>
      </w:r>
      <w:r w:rsidRPr="002B0C41">
        <w:rPr>
          <w:rFonts w:ascii="Times New Roman" w:hAnsi="Times New Roman" w:cs="Times New Roman"/>
        </w:rPr>
        <w:t>Foreign Affairs and Trade, Educations, Skills and Employment and Prime Minister and Cabinet</w:t>
      </w:r>
      <w:r w:rsidR="00A666F4">
        <w:rPr>
          <w:rFonts w:ascii="Times New Roman" w:hAnsi="Times New Roman" w:cs="Times New Roman"/>
        </w:rPr>
        <w:t xml:space="preserve">. </w:t>
      </w:r>
      <w:r w:rsidRPr="002B0C41">
        <w:rPr>
          <w:rFonts w:ascii="Times New Roman" w:hAnsi="Times New Roman" w:cs="Times New Roman"/>
        </w:rPr>
        <w:t xml:space="preserve"> </w:t>
      </w:r>
      <w:r w:rsidR="00A666F4">
        <w:rPr>
          <w:rFonts w:ascii="Times New Roman" w:hAnsi="Times New Roman" w:cs="Times New Roman"/>
        </w:rPr>
        <w:t xml:space="preserve">No public consultation was undertaken, as the instrument is minor and machinery in nature. </w:t>
      </w:r>
    </w:p>
    <w:p w14:paraId="2A9577D6" w14:textId="5CC164AD" w:rsidR="008B24C8" w:rsidRPr="008B24C8" w:rsidRDefault="008B24C8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lastRenderedPageBreak/>
        <w:t xml:space="preserve">The Office of Best Practice Regulation (OBPR) was also consulted and considered that the instrument </w:t>
      </w:r>
      <w:r w:rsidR="00AC2FE7">
        <w:rPr>
          <w:rFonts w:ascii="Times New Roman" w:hAnsi="Times New Roman" w:cs="Times New Roman"/>
        </w:rPr>
        <w:t>would likely have nil regulatory impact, with the result being that a</w:t>
      </w:r>
      <w:r w:rsidRPr="008B24C8">
        <w:rPr>
          <w:rFonts w:ascii="Times New Roman" w:hAnsi="Times New Roman" w:cs="Times New Roman"/>
        </w:rPr>
        <w:t xml:space="preserve"> regulatory impact statement </w:t>
      </w:r>
      <w:r w:rsidR="00AC2FE7">
        <w:rPr>
          <w:rFonts w:ascii="Times New Roman" w:hAnsi="Times New Roman" w:cs="Times New Roman"/>
        </w:rPr>
        <w:t>is not</w:t>
      </w:r>
      <w:r w:rsidRPr="008B24C8">
        <w:rPr>
          <w:rFonts w:ascii="Times New Roman" w:hAnsi="Times New Roman" w:cs="Times New Roman"/>
        </w:rPr>
        <w:t xml:space="preserve"> required.  </w:t>
      </w:r>
      <w:r w:rsidR="00CA4F1F">
        <w:rPr>
          <w:rFonts w:ascii="Times New Roman" w:hAnsi="Times New Roman" w:cs="Times New Roman"/>
        </w:rPr>
        <w:t>The OBPR reference number is 42822</w:t>
      </w:r>
      <w:r w:rsidRPr="008B24C8">
        <w:rPr>
          <w:rFonts w:ascii="Times New Roman" w:hAnsi="Times New Roman" w:cs="Times New Roman"/>
        </w:rPr>
        <w:t>.</w:t>
      </w:r>
    </w:p>
    <w:p w14:paraId="43232216" w14:textId="77777777" w:rsidR="00AA4557" w:rsidRDefault="00464080" w:rsidP="00915032">
      <w:pPr>
        <w:pStyle w:val="ListParagraph"/>
        <w:spacing w:before="240" w:after="240" w:line="276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Details</w:t>
      </w:r>
      <w:r w:rsidR="00AA4557">
        <w:rPr>
          <w:rFonts w:ascii="Times New Roman" w:hAnsi="Times New Roman" w:cs="Times New Roman"/>
          <w:b/>
          <w:i/>
        </w:rPr>
        <w:t xml:space="preserve"> of the instrument</w:t>
      </w:r>
    </w:p>
    <w:p w14:paraId="35DF7B90" w14:textId="77777777" w:rsidR="00AA4557" w:rsidRDefault="00AA4557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 sets out</w:t>
      </w:r>
      <w:r w:rsidR="00E03DCC">
        <w:rPr>
          <w:rFonts w:ascii="Times New Roman" w:hAnsi="Times New Roman" w:cs="Times New Roman"/>
        </w:rPr>
        <w:t xml:space="preserve"> the name of the instrument. </w:t>
      </w:r>
    </w:p>
    <w:p w14:paraId="5994076C" w14:textId="6AF11774" w:rsidR="00A666F4" w:rsidRDefault="00A666F4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 provides for the commencement of the instrument on 27 February 2021.  This date aligns with </w:t>
      </w:r>
      <w:r w:rsidR="00857403">
        <w:rPr>
          <w:rFonts w:ascii="Times New Roman" w:hAnsi="Times New Roman" w:cs="Times New Roman"/>
        </w:rPr>
        <w:t>updates to Departmental systems.</w:t>
      </w:r>
      <w:r>
        <w:rPr>
          <w:rFonts w:ascii="Times New Roman" w:hAnsi="Times New Roman" w:cs="Times New Roman"/>
        </w:rPr>
        <w:t xml:space="preserve"> </w:t>
      </w:r>
    </w:p>
    <w:p w14:paraId="1EED9859" w14:textId="77777777" w:rsidR="00A666F4" w:rsidRDefault="00A666F4" w:rsidP="00A666F4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3 </w:t>
      </w:r>
      <w:r w:rsidRPr="008F43C1">
        <w:rPr>
          <w:rFonts w:ascii="Times New Roman" w:hAnsi="Times New Roman" w:cs="Times New Roman"/>
        </w:rPr>
        <w:t>sets out d</w:t>
      </w:r>
      <w:r>
        <w:rPr>
          <w:rFonts w:ascii="Times New Roman" w:hAnsi="Times New Roman" w:cs="Times New Roman"/>
        </w:rPr>
        <w:t>efinitions of terms used in the</w:t>
      </w:r>
      <w:r w:rsidRPr="008F43C1">
        <w:rPr>
          <w:rFonts w:ascii="Times New Roman" w:hAnsi="Times New Roman" w:cs="Times New Roman"/>
        </w:rPr>
        <w:t xml:space="preserve"> instrument</w:t>
      </w:r>
      <w:r>
        <w:rPr>
          <w:rFonts w:ascii="Times New Roman" w:hAnsi="Times New Roman" w:cs="Times New Roman"/>
        </w:rPr>
        <w:t xml:space="preserve">. </w:t>
      </w:r>
    </w:p>
    <w:p w14:paraId="1BFA4735" w14:textId="77777777" w:rsidR="00A666F4" w:rsidRDefault="00A666F4" w:rsidP="00A666F4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 sets out, for subparagraph 1236(2)(a)(vi) of Schedule 1 to the Migration Regulations, the kind of applicants for a Subclass 600 visa who will be in a class of persons for a nil VAC. </w:t>
      </w:r>
    </w:p>
    <w:p w14:paraId="6B8A6A8F" w14:textId="4E3AF4DB" w:rsidR="001B28D8" w:rsidRDefault="001537D7" w:rsidP="00A666F4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</w:t>
      </w:r>
      <w:r w:rsidR="001B28D8">
        <w:rPr>
          <w:rFonts w:ascii="Times New Roman" w:hAnsi="Times New Roman" w:cs="Times New Roman"/>
        </w:rPr>
        <w:t xml:space="preserve"> provides that an applicant for a Subclass 600 visa will </w:t>
      </w:r>
      <w:r w:rsidR="0065384B">
        <w:rPr>
          <w:rFonts w:ascii="Times New Roman" w:hAnsi="Times New Roman" w:cs="Times New Roman"/>
        </w:rPr>
        <w:t>not pay a</w:t>
      </w:r>
      <w:r w:rsidR="001B28D8">
        <w:rPr>
          <w:rFonts w:ascii="Times New Roman" w:hAnsi="Times New Roman" w:cs="Times New Roman"/>
        </w:rPr>
        <w:t xml:space="preserve"> VAC </w:t>
      </w:r>
      <w:r w:rsidR="00DC5346">
        <w:rPr>
          <w:rFonts w:ascii="Times New Roman" w:hAnsi="Times New Roman" w:cs="Times New Roman"/>
        </w:rPr>
        <w:t xml:space="preserve">if all of </w:t>
      </w:r>
      <w:r w:rsidR="001B28D8">
        <w:rPr>
          <w:rFonts w:ascii="Times New Roman" w:hAnsi="Times New Roman" w:cs="Times New Roman"/>
        </w:rPr>
        <w:t>the following circumstances</w:t>
      </w:r>
      <w:r w:rsidR="00DC5346">
        <w:rPr>
          <w:rFonts w:ascii="Times New Roman" w:hAnsi="Times New Roman" w:cs="Times New Roman"/>
        </w:rPr>
        <w:t xml:space="preserve"> apply</w:t>
      </w:r>
      <w:r w:rsidR="001B28D8">
        <w:rPr>
          <w:rFonts w:ascii="Times New Roman" w:hAnsi="Times New Roman" w:cs="Times New Roman"/>
        </w:rPr>
        <w:t>:</w:t>
      </w:r>
    </w:p>
    <w:p w14:paraId="3826D388" w14:textId="348DC30A" w:rsidR="00B27EF6" w:rsidRDefault="00DC5346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is</w:t>
      </w:r>
      <w:r w:rsidR="001B28D8">
        <w:rPr>
          <w:rFonts w:ascii="Times New Roman" w:hAnsi="Times New Roman" w:cs="Times New Roman"/>
        </w:rPr>
        <w:t xml:space="preserve"> outside of Australia when the</w:t>
      </w:r>
      <w:r w:rsidR="0065384B">
        <w:rPr>
          <w:rFonts w:ascii="Times New Roman" w:hAnsi="Times New Roman" w:cs="Times New Roman"/>
        </w:rPr>
        <w:t>y</w:t>
      </w:r>
      <w:r w:rsidR="001B28D8">
        <w:rPr>
          <w:rFonts w:ascii="Times New Roman" w:hAnsi="Times New Roman" w:cs="Times New Roman"/>
        </w:rPr>
        <w:t xml:space="preserve"> apply for the visa</w:t>
      </w:r>
      <w:r w:rsidR="00857403">
        <w:rPr>
          <w:rFonts w:ascii="Times New Roman" w:hAnsi="Times New Roman" w:cs="Times New Roman"/>
        </w:rPr>
        <w:t xml:space="preserve"> (paragraph (a))</w:t>
      </w:r>
      <w:r w:rsidR="001B28D8">
        <w:rPr>
          <w:rFonts w:ascii="Times New Roman" w:hAnsi="Times New Roman" w:cs="Times New Roman"/>
        </w:rPr>
        <w:t>;</w:t>
      </w:r>
    </w:p>
    <w:p w14:paraId="448DCB51" w14:textId="248E2E30" w:rsidR="001B28D8" w:rsidRDefault="001B28D8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apply for the visa between 27 February 2021 and 31 December 2022</w:t>
      </w:r>
      <w:r w:rsidR="00857403">
        <w:rPr>
          <w:rFonts w:ascii="Times New Roman" w:hAnsi="Times New Roman" w:cs="Times New Roman"/>
        </w:rPr>
        <w:t xml:space="preserve"> (paragraph (b))</w:t>
      </w:r>
      <w:r>
        <w:rPr>
          <w:rFonts w:ascii="Times New Roman" w:hAnsi="Times New Roman" w:cs="Times New Roman"/>
        </w:rPr>
        <w:t>;</w:t>
      </w:r>
    </w:p>
    <w:p w14:paraId="0EBDC423" w14:textId="452AA031" w:rsidR="001B28D8" w:rsidRDefault="00DB6DB5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21 March 2021 </w:t>
      </w:r>
      <w:r w:rsidR="001B28D8">
        <w:rPr>
          <w:rFonts w:ascii="Times New Roman" w:hAnsi="Times New Roman" w:cs="Times New Roman"/>
        </w:rPr>
        <w:t xml:space="preserve">they were previously granted a Subclass 600 visa while outside of Australia (this </w:t>
      </w:r>
      <w:r w:rsidR="001537D7">
        <w:rPr>
          <w:rFonts w:ascii="Times New Roman" w:hAnsi="Times New Roman" w:cs="Times New Roman"/>
        </w:rPr>
        <w:t xml:space="preserve">excludes </w:t>
      </w:r>
      <w:r w:rsidR="001B28D8">
        <w:rPr>
          <w:rFonts w:ascii="Times New Roman" w:hAnsi="Times New Roman" w:cs="Times New Roman"/>
        </w:rPr>
        <w:t xml:space="preserve">visas granted in the </w:t>
      </w:r>
      <w:r w:rsidR="00DC5346">
        <w:rPr>
          <w:rFonts w:ascii="Times New Roman" w:hAnsi="Times New Roman" w:cs="Times New Roman"/>
        </w:rPr>
        <w:t>Fr</w:t>
      </w:r>
      <w:r w:rsidR="001B28D8">
        <w:rPr>
          <w:rFonts w:ascii="Times New Roman" w:hAnsi="Times New Roman" w:cs="Times New Roman"/>
        </w:rPr>
        <w:t>equent Traveller stream)</w:t>
      </w:r>
      <w:r w:rsidR="00857403">
        <w:rPr>
          <w:rFonts w:ascii="Times New Roman" w:hAnsi="Times New Roman" w:cs="Times New Roman"/>
        </w:rPr>
        <w:t xml:space="preserve"> (paragraph (c))</w:t>
      </w:r>
      <w:r w:rsidR="001B28D8">
        <w:rPr>
          <w:rFonts w:ascii="Times New Roman" w:hAnsi="Times New Roman" w:cs="Times New Roman"/>
        </w:rPr>
        <w:t>;</w:t>
      </w:r>
      <w:r w:rsidR="00857403">
        <w:rPr>
          <w:rFonts w:ascii="Times New Roman" w:hAnsi="Times New Roman" w:cs="Times New Roman"/>
        </w:rPr>
        <w:t xml:space="preserve"> </w:t>
      </w:r>
      <w:r w:rsidR="001B28D8">
        <w:rPr>
          <w:rFonts w:ascii="Times New Roman" w:hAnsi="Times New Roman" w:cs="Times New Roman"/>
        </w:rPr>
        <w:t xml:space="preserve"> </w:t>
      </w:r>
    </w:p>
    <w:p w14:paraId="211A20CC" w14:textId="47BDDA38" w:rsidR="001B28D8" w:rsidRDefault="001B28D8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visa they held expired</w:t>
      </w:r>
      <w:r w:rsidR="00C94173">
        <w:rPr>
          <w:rFonts w:ascii="Times New Roman" w:hAnsi="Times New Roman" w:cs="Times New Roman"/>
        </w:rPr>
        <w:t>, or will expire</w:t>
      </w:r>
      <w:r>
        <w:rPr>
          <w:rFonts w:ascii="Times New Roman" w:hAnsi="Times New Roman" w:cs="Times New Roman"/>
        </w:rPr>
        <w:t xml:space="preserve"> between 20 </w:t>
      </w:r>
      <w:r w:rsidR="001537D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arch 2020 and 31 December 2021</w:t>
      </w:r>
      <w:r w:rsidR="00857403">
        <w:rPr>
          <w:rFonts w:ascii="Times New Roman" w:hAnsi="Times New Roman" w:cs="Times New Roman"/>
        </w:rPr>
        <w:t xml:space="preserve"> (paragraph (d))</w:t>
      </w:r>
      <w:r>
        <w:rPr>
          <w:rFonts w:ascii="Times New Roman" w:hAnsi="Times New Roman" w:cs="Times New Roman"/>
        </w:rPr>
        <w:t>;</w:t>
      </w:r>
    </w:p>
    <w:p w14:paraId="026900CA" w14:textId="46D0632E" w:rsidR="001B28D8" w:rsidRDefault="001B28D8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visa was either a multiple entry visa or a single entry visa that was not used to enter Australia</w:t>
      </w:r>
      <w:r w:rsidR="00857403">
        <w:rPr>
          <w:rFonts w:ascii="Times New Roman" w:hAnsi="Times New Roman" w:cs="Times New Roman"/>
        </w:rPr>
        <w:t xml:space="preserve"> (paragraph (e))</w:t>
      </w:r>
      <w:r>
        <w:rPr>
          <w:rFonts w:ascii="Times New Roman" w:hAnsi="Times New Roman" w:cs="Times New Roman"/>
        </w:rPr>
        <w:t>;</w:t>
      </w:r>
      <w:r w:rsidR="00196DA8">
        <w:rPr>
          <w:rFonts w:ascii="Times New Roman" w:hAnsi="Times New Roman" w:cs="Times New Roman"/>
        </w:rPr>
        <w:t xml:space="preserve"> </w:t>
      </w:r>
    </w:p>
    <w:p w14:paraId="49ADC79D" w14:textId="5FBDB6ED" w:rsidR="001537D7" w:rsidRPr="001A3267" w:rsidRDefault="001A3267" w:rsidP="001B28D8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AC061A">
        <w:rPr>
          <w:rFonts w:ascii="Times New Roman" w:hAnsi="Times New Roman" w:cs="Times New Roman"/>
        </w:rPr>
        <w:t>if</w:t>
      </w:r>
      <w:proofErr w:type="gramEnd"/>
      <w:r w:rsidRPr="00AC061A">
        <w:rPr>
          <w:rFonts w:ascii="Times New Roman" w:hAnsi="Times New Roman" w:cs="Times New Roman"/>
        </w:rPr>
        <w:t xml:space="preserve"> they have made a previous application under the instrument</w:t>
      </w:r>
      <w:r>
        <w:rPr>
          <w:rFonts w:ascii="Times New Roman" w:hAnsi="Times New Roman" w:cs="Times New Roman"/>
        </w:rPr>
        <w:t>,</w:t>
      </w:r>
      <w:r w:rsidRPr="00AC061A">
        <w:rPr>
          <w:rFonts w:ascii="Times New Roman" w:hAnsi="Times New Roman" w:cs="Times New Roman"/>
        </w:rPr>
        <w:t xml:space="preserve"> </w:t>
      </w:r>
      <w:r w:rsidR="00CB0840">
        <w:rPr>
          <w:rFonts w:ascii="Times New Roman" w:hAnsi="Times New Roman" w:cs="Times New Roman"/>
        </w:rPr>
        <w:t>a visa was not granted or refused to be granted in relation to that application</w:t>
      </w:r>
      <w:r w:rsidR="00857403" w:rsidRPr="001A3267">
        <w:rPr>
          <w:rFonts w:ascii="Times New Roman" w:hAnsi="Times New Roman" w:cs="Times New Roman"/>
        </w:rPr>
        <w:t xml:space="preserve"> (paragraph (f))</w:t>
      </w:r>
      <w:r w:rsidR="002D4D70" w:rsidRPr="001A3267">
        <w:rPr>
          <w:rFonts w:ascii="Times New Roman" w:hAnsi="Times New Roman" w:cs="Times New Roman"/>
        </w:rPr>
        <w:t xml:space="preserve">.  </w:t>
      </w:r>
    </w:p>
    <w:p w14:paraId="42276B9A" w14:textId="0D5056FA" w:rsidR="0036687C" w:rsidRDefault="0036687C" w:rsidP="00224A19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4(c) limits the class of persons to applicants whose previous visa was granted while they were outside of Australia.  </w:t>
      </w:r>
      <w:r w:rsidR="00DB6D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 applicant that </w:t>
      </w:r>
      <w:r w:rsidR="00DB6DB5">
        <w:rPr>
          <w:rFonts w:ascii="Times New Roman" w:hAnsi="Times New Roman" w:cs="Times New Roman"/>
        </w:rPr>
        <w:t xml:space="preserve">held a previous visa that </w:t>
      </w:r>
      <w:r>
        <w:rPr>
          <w:rFonts w:ascii="Times New Roman" w:hAnsi="Times New Roman" w:cs="Times New Roman"/>
        </w:rPr>
        <w:t xml:space="preserve">was granted while the applicant was inside Australia will not be in the class of persons for a nil VAC. </w:t>
      </w:r>
      <w:r w:rsidR="00857403">
        <w:rPr>
          <w:rFonts w:ascii="Times New Roman" w:hAnsi="Times New Roman" w:cs="Times New Roman"/>
        </w:rPr>
        <w:t xml:space="preserve"> </w:t>
      </w:r>
    </w:p>
    <w:p w14:paraId="5E257E2C" w14:textId="2E8906DC" w:rsidR="004E421C" w:rsidRDefault="00C94173" w:rsidP="00224A19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4(d) provides that an applicant will be able to make a nil VAC application if they held a visa that has expired or that will expire between 20 March 2020 and 31 December 2021.  This allows applicants whose visas will expire</w:t>
      </w:r>
      <w:r w:rsidR="00BA1E8D">
        <w:rPr>
          <w:rFonts w:ascii="Times New Roman" w:hAnsi="Times New Roman" w:cs="Times New Roman"/>
        </w:rPr>
        <w:t xml:space="preserve"> on or before 31 December 2021 </w:t>
      </w:r>
      <w:r w:rsidR="00B61AF5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make an </w:t>
      </w:r>
      <w:r w:rsidR="00BA1E8D">
        <w:rPr>
          <w:rFonts w:ascii="Times New Roman" w:hAnsi="Times New Roman" w:cs="Times New Roman"/>
        </w:rPr>
        <w:t xml:space="preserve">application for a new visa </w:t>
      </w:r>
      <w:r>
        <w:rPr>
          <w:rFonts w:ascii="Times New Roman" w:hAnsi="Times New Roman" w:cs="Times New Roman"/>
        </w:rPr>
        <w:t xml:space="preserve">before it </w:t>
      </w:r>
      <w:r w:rsidR="00BA1E8D">
        <w:rPr>
          <w:rFonts w:ascii="Times New Roman" w:hAnsi="Times New Roman" w:cs="Times New Roman"/>
        </w:rPr>
        <w:t>expires</w:t>
      </w:r>
      <w:r>
        <w:rPr>
          <w:rFonts w:ascii="Times New Roman" w:hAnsi="Times New Roman" w:cs="Times New Roman"/>
        </w:rPr>
        <w:t xml:space="preserve"> </w:t>
      </w:r>
      <w:r w:rsidR="00B61AF5">
        <w:rPr>
          <w:rFonts w:ascii="Times New Roman" w:hAnsi="Times New Roman" w:cs="Times New Roman"/>
        </w:rPr>
        <w:t>to</w:t>
      </w:r>
      <w:r w:rsidR="00BA1E8D">
        <w:rPr>
          <w:rFonts w:ascii="Times New Roman" w:hAnsi="Times New Roman" w:cs="Times New Roman"/>
        </w:rPr>
        <w:t xml:space="preserve"> not pay a VAC for that application.</w:t>
      </w:r>
      <w:r>
        <w:rPr>
          <w:rFonts w:ascii="Times New Roman" w:hAnsi="Times New Roman" w:cs="Times New Roman"/>
        </w:rPr>
        <w:t xml:space="preserve">  </w:t>
      </w:r>
      <w:r w:rsidR="00B61AF5">
        <w:rPr>
          <w:rFonts w:ascii="Times New Roman" w:hAnsi="Times New Roman" w:cs="Times New Roman"/>
        </w:rPr>
        <w:t xml:space="preserve">This ensures that if a visa is about to </w:t>
      </w:r>
      <w:r w:rsidR="00EA1052">
        <w:rPr>
          <w:rFonts w:ascii="Times New Roman" w:hAnsi="Times New Roman" w:cs="Times New Roman"/>
        </w:rPr>
        <w:t>expire</w:t>
      </w:r>
      <w:r w:rsidR="00B61AF5">
        <w:rPr>
          <w:rFonts w:ascii="Times New Roman" w:hAnsi="Times New Roman" w:cs="Times New Roman"/>
        </w:rPr>
        <w:t xml:space="preserve"> and the </w:t>
      </w:r>
      <w:r w:rsidR="00EA1052">
        <w:rPr>
          <w:rFonts w:ascii="Times New Roman" w:hAnsi="Times New Roman" w:cs="Times New Roman"/>
        </w:rPr>
        <w:t>applicant</w:t>
      </w:r>
      <w:r w:rsidR="00B61AF5">
        <w:rPr>
          <w:rFonts w:ascii="Times New Roman" w:hAnsi="Times New Roman" w:cs="Times New Roman"/>
        </w:rPr>
        <w:t xml:space="preserve"> wants to travel to </w:t>
      </w:r>
      <w:r w:rsidR="00EA1052">
        <w:rPr>
          <w:rFonts w:ascii="Times New Roman" w:hAnsi="Times New Roman" w:cs="Times New Roman"/>
        </w:rPr>
        <w:t>Australia</w:t>
      </w:r>
      <w:r w:rsidR="00B61AF5">
        <w:rPr>
          <w:rFonts w:ascii="Times New Roman" w:hAnsi="Times New Roman" w:cs="Times New Roman"/>
        </w:rPr>
        <w:t xml:space="preserve"> in the days after it has </w:t>
      </w:r>
      <w:r w:rsidR="00EA1052">
        <w:rPr>
          <w:rFonts w:ascii="Times New Roman" w:hAnsi="Times New Roman" w:cs="Times New Roman"/>
        </w:rPr>
        <w:t>expired</w:t>
      </w:r>
      <w:r w:rsidR="00B61AF5">
        <w:rPr>
          <w:rFonts w:ascii="Times New Roman" w:hAnsi="Times New Roman" w:cs="Times New Roman"/>
        </w:rPr>
        <w:t xml:space="preserve">, they can make an </w:t>
      </w:r>
      <w:r w:rsidR="00EA1052">
        <w:rPr>
          <w:rFonts w:ascii="Times New Roman" w:hAnsi="Times New Roman" w:cs="Times New Roman"/>
        </w:rPr>
        <w:t>application</w:t>
      </w:r>
      <w:r w:rsidR="00B61AF5">
        <w:rPr>
          <w:rFonts w:ascii="Times New Roman" w:hAnsi="Times New Roman" w:cs="Times New Roman"/>
        </w:rPr>
        <w:t xml:space="preserve"> before the visa expires to enable that travel and pay nil VAC. </w:t>
      </w:r>
      <w:r w:rsidR="00D91F6C">
        <w:rPr>
          <w:rFonts w:ascii="Times New Roman" w:hAnsi="Times New Roman" w:cs="Times New Roman"/>
        </w:rPr>
        <w:t xml:space="preserve"> </w:t>
      </w:r>
    </w:p>
    <w:p w14:paraId="34B5B0A7" w14:textId="49919139" w:rsidR="00857403" w:rsidRDefault="00857403" w:rsidP="00224A19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 4(e) limits the class of persons to those who had a right to enter Australia when their visa </w:t>
      </w:r>
      <w:r w:rsidR="000D1A51">
        <w:rPr>
          <w:rFonts w:ascii="Times New Roman" w:hAnsi="Times New Roman" w:cs="Times New Roman"/>
        </w:rPr>
        <w:t>expired</w:t>
      </w:r>
      <w:r>
        <w:rPr>
          <w:rFonts w:ascii="Times New Roman" w:hAnsi="Times New Roman" w:cs="Times New Roman"/>
        </w:rPr>
        <w:t xml:space="preserve">, as it excludes </w:t>
      </w:r>
      <w:r w:rsidR="00DC5346">
        <w:rPr>
          <w:rFonts w:ascii="Times New Roman" w:hAnsi="Times New Roman" w:cs="Times New Roman"/>
        </w:rPr>
        <w:t>visa holders</w:t>
      </w:r>
      <w:r>
        <w:rPr>
          <w:rFonts w:ascii="Times New Roman" w:hAnsi="Times New Roman" w:cs="Times New Roman"/>
        </w:rPr>
        <w:t xml:space="preserve"> </w:t>
      </w:r>
      <w:r w:rsidR="00DC534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single entry visas who </w:t>
      </w:r>
      <w:r w:rsidR="00CE37BE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>entered Australia.  Those with multiple entry visas who had entered</w:t>
      </w:r>
      <w:r w:rsidR="00DC5346">
        <w:rPr>
          <w:rFonts w:ascii="Times New Roman" w:hAnsi="Times New Roman" w:cs="Times New Roman"/>
        </w:rPr>
        <w:t xml:space="preserve"> and departed Australia</w:t>
      </w:r>
      <w:r w:rsidR="000D1A51">
        <w:rPr>
          <w:rFonts w:ascii="Times New Roman" w:hAnsi="Times New Roman" w:cs="Times New Roman"/>
        </w:rPr>
        <w:t xml:space="preserve"> (or not yet entered)</w:t>
      </w:r>
      <w:r w:rsidR="0085159A" w:rsidDel="00851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captured</w:t>
      </w:r>
      <w:r w:rsidR="00DB6DB5">
        <w:rPr>
          <w:rFonts w:ascii="Times New Roman" w:hAnsi="Times New Roman" w:cs="Times New Roman"/>
        </w:rPr>
        <w:t xml:space="preserve"> in the instrument</w:t>
      </w:r>
      <w:r>
        <w:rPr>
          <w:rFonts w:ascii="Times New Roman" w:hAnsi="Times New Roman" w:cs="Times New Roman"/>
        </w:rPr>
        <w:t xml:space="preserve">.  </w:t>
      </w:r>
    </w:p>
    <w:p w14:paraId="4E5FD68F" w14:textId="5C734DFB" w:rsidR="001A3267" w:rsidRPr="00AC061A" w:rsidRDefault="001A3267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Paragraph 4(f) provides that if a person has made a previous application after the commencement of the instrument for a Subclass 600 visa, they will only receive a nil VAC if </w:t>
      </w:r>
      <w:r w:rsidR="00CB0840">
        <w:rPr>
          <w:rFonts w:ascii="Times New Roman" w:hAnsi="Times New Roman" w:cs="Times New Roman"/>
        </w:rPr>
        <w:t>a visa</w:t>
      </w:r>
      <w:r w:rsidR="00CE37BE">
        <w:rPr>
          <w:rFonts w:ascii="Times New Roman" w:hAnsi="Times New Roman" w:cs="Times New Roman"/>
        </w:rPr>
        <w:t xml:space="preserve"> was not</w:t>
      </w:r>
      <w:r w:rsidR="00CB0840">
        <w:rPr>
          <w:rFonts w:ascii="Times New Roman" w:hAnsi="Times New Roman" w:cs="Times New Roman"/>
        </w:rPr>
        <w:t xml:space="preserve"> granted or refused to be granted</w:t>
      </w:r>
      <w:r w:rsidR="00DB6DB5">
        <w:rPr>
          <w:rFonts w:ascii="Times New Roman" w:hAnsi="Times New Roman" w:cs="Times New Roman"/>
        </w:rPr>
        <w:t xml:space="preserve"> in relation to that application</w:t>
      </w:r>
      <w:r w:rsidR="00CB0840">
        <w:rPr>
          <w:rFonts w:ascii="Times New Roman" w:hAnsi="Times New Roman" w:cs="Times New Roman"/>
        </w:rPr>
        <w:t>.</w:t>
      </w:r>
      <w:r w:rsidR="00DB6DB5">
        <w:rPr>
          <w:rFonts w:ascii="Times New Roman" w:hAnsi="Times New Roman" w:cs="Times New Roman"/>
        </w:rPr>
        <w:t xml:space="preserve"> </w:t>
      </w:r>
      <w:r w:rsidR="00CB0840">
        <w:rPr>
          <w:rFonts w:ascii="Times New Roman" w:hAnsi="Times New Roman" w:cs="Times New Roman"/>
        </w:rPr>
        <w:t xml:space="preserve"> </w:t>
      </w:r>
    </w:p>
    <w:p w14:paraId="481BC50F" w14:textId="3FCE118A" w:rsidR="001537D7" w:rsidRDefault="00DC5346" w:rsidP="00224A19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that </w:t>
      </w:r>
      <w:r w:rsidR="00070B6E">
        <w:rPr>
          <w:rFonts w:ascii="Times New Roman" w:hAnsi="Times New Roman" w:cs="Times New Roman"/>
        </w:rPr>
        <w:t xml:space="preserve">if the nil VAC application results in a visa being granted or refused </w:t>
      </w:r>
      <w:r w:rsidR="00DB6DB5">
        <w:rPr>
          <w:rFonts w:ascii="Times New Roman" w:hAnsi="Times New Roman" w:cs="Times New Roman"/>
        </w:rPr>
        <w:t xml:space="preserve">to be granted, </w:t>
      </w:r>
      <w:r>
        <w:rPr>
          <w:rFonts w:ascii="Times New Roman" w:hAnsi="Times New Roman" w:cs="Times New Roman"/>
        </w:rPr>
        <w:t>a</w:t>
      </w:r>
      <w:r w:rsidR="00DB6DB5">
        <w:rPr>
          <w:rFonts w:ascii="Times New Roman" w:hAnsi="Times New Roman" w:cs="Times New Roman"/>
        </w:rPr>
        <w:t>n applicant will not qualify for an additional nil VAC application</w:t>
      </w:r>
      <w:r>
        <w:rPr>
          <w:rFonts w:ascii="Times New Roman" w:hAnsi="Times New Roman" w:cs="Times New Roman"/>
        </w:rPr>
        <w:t xml:space="preserve">.  </w:t>
      </w:r>
      <w:r w:rsidR="00CB0840">
        <w:rPr>
          <w:rFonts w:ascii="Times New Roman" w:hAnsi="Times New Roman" w:cs="Times New Roman"/>
        </w:rPr>
        <w:t>An applicant will be in a class</w:t>
      </w:r>
      <w:r w:rsidR="00DB6DB5">
        <w:rPr>
          <w:rFonts w:ascii="Times New Roman" w:hAnsi="Times New Roman" w:cs="Times New Roman"/>
        </w:rPr>
        <w:t xml:space="preserve"> of persons for an additional nil VA</w:t>
      </w:r>
      <w:r w:rsidR="0085159A">
        <w:rPr>
          <w:rFonts w:ascii="Times New Roman" w:hAnsi="Times New Roman" w:cs="Times New Roman"/>
        </w:rPr>
        <w:t>C</w:t>
      </w:r>
      <w:r w:rsidR="00DB6DB5">
        <w:rPr>
          <w:rFonts w:ascii="Times New Roman" w:hAnsi="Times New Roman" w:cs="Times New Roman"/>
        </w:rPr>
        <w:t xml:space="preserve"> application</w:t>
      </w:r>
      <w:r w:rsidR="00CB0840">
        <w:rPr>
          <w:rFonts w:ascii="Times New Roman" w:hAnsi="Times New Roman" w:cs="Times New Roman"/>
        </w:rPr>
        <w:t xml:space="preserve"> if the first application was withdrawn or was invalid. </w:t>
      </w:r>
      <w:r w:rsidR="00DB6DB5">
        <w:rPr>
          <w:rFonts w:ascii="Times New Roman" w:hAnsi="Times New Roman" w:cs="Times New Roman"/>
        </w:rPr>
        <w:t xml:space="preserve"> </w:t>
      </w:r>
    </w:p>
    <w:p w14:paraId="4272B3F6" w14:textId="4E8373FE" w:rsidR="001B28D8" w:rsidRDefault="00CE37BE" w:rsidP="00224A19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clarity, i</w:t>
      </w:r>
      <w:r w:rsidR="00224A19">
        <w:rPr>
          <w:rFonts w:ascii="Times New Roman" w:hAnsi="Times New Roman" w:cs="Times New Roman"/>
        </w:rPr>
        <w:t>f an application is made in accordance with the instrument that is invalid or withdrawn, the applicant may make a second application and will be entitled to the nil VAC</w:t>
      </w:r>
      <w:r>
        <w:rPr>
          <w:rFonts w:ascii="Times New Roman" w:hAnsi="Times New Roman" w:cs="Times New Roman"/>
        </w:rPr>
        <w:t xml:space="preserve"> for that application</w:t>
      </w:r>
      <w:r w:rsidR="00224A19">
        <w:rPr>
          <w:rFonts w:ascii="Times New Roman" w:hAnsi="Times New Roman" w:cs="Times New Roman"/>
        </w:rPr>
        <w:t xml:space="preserve">, as long as they </w:t>
      </w:r>
      <w:r w:rsidR="00496615">
        <w:rPr>
          <w:rFonts w:ascii="Times New Roman" w:hAnsi="Times New Roman" w:cs="Times New Roman"/>
        </w:rPr>
        <w:t xml:space="preserve">continue to </w:t>
      </w:r>
      <w:r w:rsidR="00224A19">
        <w:rPr>
          <w:rFonts w:ascii="Times New Roman" w:hAnsi="Times New Roman" w:cs="Times New Roman"/>
        </w:rPr>
        <w:t xml:space="preserve">meet the other elements of the class of persons.  </w:t>
      </w:r>
    </w:p>
    <w:p w14:paraId="1B9FE511" w14:textId="51C24F37" w:rsidR="001D1C27" w:rsidRPr="009B6133" w:rsidRDefault="001D1C27" w:rsidP="009B6133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 </w:t>
      </w:r>
      <w:r w:rsidR="00DC5346">
        <w:rPr>
          <w:rFonts w:ascii="Times New Roman" w:hAnsi="Times New Roman" w:cs="Times New Roman"/>
        </w:rPr>
        <w:t>provides</w:t>
      </w:r>
      <w:r>
        <w:rPr>
          <w:rFonts w:ascii="Times New Roman" w:hAnsi="Times New Roman" w:cs="Times New Roman"/>
        </w:rPr>
        <w:t xml:space="preserve"> that </w:t>
      </w:r>
      <w:r w:rsidR="00DC5346" w:rsidRPr="000D1A51">
        <w:rPr>
          <w:rFonts w:ascii="Times New Roman" w:hAnsi="Times New Roman" w:cs="Times New Roman"/>
        </w:rPr>
        <w:t>LIN 20/045</w:t>
      </w:r>
      <w:r w:rsidR="00DC5346">
        <w:rPr>
          <w:rFonts w:ascii="Times New Roman" w:hAnsi="Times New Roman" w:cs="Times New Roman"/>
          <w:i/>
        </w:rPr>
        <w:t xml:space="preserve"> </w:t>
      </w:r>
      <w:r w:rsidRPr="005020A5">
        <w:rPr>
          <w:rFonts w:ascii="Times New Roman" w:hAnsi="Times New Roman" w:cs="Times New Roman"/>
        </w:rPr>
        <w:t>is repealed</w:t>
      </w:r>
      <w:r>
        <w:rPr>
          <w:rFonts w:ascii="Times New Roman" w:hAnsi="Times New Roman" w:cs="Times New Roman"/>
        </w:rPr>
        <w:t xml:space="preserve">.  </w:t>
      </w:r>
      <w:r w:rsidR="0035632F">
        <w:rPr>
          <w:rFonts w:ascii="Times New Roman" w:hAnsi="Times New Roman" w:cs="Times New Roman"/>
        </w:rPr>
        <w:t xml:space="preserve">This </w:t>
      </w:r>
      <w:r w:rsidRPr="004022C3">
        <w:rPr>
          <w:rFonts w:ascii="Times New Roman" w:hAnsi="Times New Roman" w:cs="Times New Roman"/>
        </w:rPr>
        <w:t xml:space="preserve">instrument is </w:t>
      </w:r>
      <w:r w:rsidR="0035632F">
        <w:rPr>
          <w:rFonts w:ascii="Times New Roman" w:hAnsi="Times New Roman" w:cs="Times New Roman"/>
        </w:rPr>
        <w:t xml:space="preserve">repealed as the time period for an applicant specified as being in a class of persons in the instrument to make an application and receive a nil VAC has ended. </w:t>
      </w:r>
    </w:p>
    <w:p w14:paraId="456EB823" w14:textId="77777777" w:rsidR="00AA4557" w:rsidRPr="00AA4557" w:rsidRDefault="00AA4557" w:rsidP="00915032">
      <w:pPr>
        <w:spacing w:before="240"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Parliamentary scrutiny etc.  </w:t>
      </w:r>
    </w:p>
    <w:p w14:paraId="439AF367" w14:textId="2405C100" w:rsidR="00E03DCC" w:rsidRPr="00A666F4" w:rsidRDefault="00A666F4" w:rsidP="009B6133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exempt from disallowance under section 42 of the Legislation Act.  This is because instrument</w:t>
      </w:r>
      <w:r w:rsidR="00894F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made under Schedule </w:t>
      </w:r>
      <w:r w:rsidR="00894F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of the Migration Regulations are prescribed as exempt in section 10 of the </w:t>
      </w:r>
      <w:r>
        <w:rPr>
          <w:rFonts w:ascii="Times New Roman" w:hAnsi="Times New Roman" w:cs="Times New Roman"/>
          <w:i/>
        </w:rPr>
        <w:t>Legislation (Exemptions and Other Matters) Regulation 2015</w:t>
      </w:r>
      <w:r>
        <w:rPr>
          <w:rFonts w:ascii="Times New Roman" w:hAnsi="Times New Roman" w:cs="Times New Roman"/>
        </w:rPr>
        <w:t xml:space="preserve">.  </w:t>
      </w:r>
    </w:p>
    <w:p w14:paraId="2A788458" w14:textId="681EAE8A" w:rsidR="00915032" w:rsidRPr="00696296" w:rsidRDefault="00B75478" w:rsidP="009B6133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</w:rPr>
      </w:pPr>
      <w:r w:rsidRPr="00696296">
        <w:rPr>
          <w:rFonts w:ascii="Times New Roman" w:hAnsi="Times New Roman" w:cs="Times New Roman"/>
        </w:rPr>
        <w:t xml:space="preserve">The instrument was made by </w:t>
      </w:r>
      <w:r w:rsidR="007C512E" w:rsidRPr="00696296">
        <w:rPr>
          <w:rFonts w:ascii="Times New Roman" w:hAnsi="Times New Roman" w:cs="Times New Roman"/>
        </w:rPr>
        <w:t>a</w:t>
      </w:r>
      <w:r w:rsidR="0088407D" w:rsidRPr="00696296">
        <w:rPr>
          <w:rFonts w:ascii="Times New Roman" w:hAnsi="Times New Roman" w:cs="Times New Roman"/>
        </w:rPr>
        <w:t xml:space="preserve"> delegate</w:t>
      </w:r>
      <w:r w:rsidR="007C512E" w:rsidRPr="00696296">
        <w:rPr>
          <w:rFonts w:ascii="Times New Roman" w:hAnsi="Times New Roman" w:cs="Times New Roman"/>
        </w:rPr>
        <w:t xml:space="preserve"> of the Minister, Senior Executive Service Band One, Immigration Programs Division, in accordance with subparagraph 1236(2)(a)(iv) of Schedule </w:t>
      </w:r>
      <w:r w:rsidR="00894FB9">
        <w:rPr>
          <w:rFonts w:ascii="Times New Roman" w:hAnsi="Times New Roman" w:cs="Times New Roman"/>
        </w:rPr>
        <w:t>1</w:t>
      </w:r>
      <w:r w:rsidR="00F60615">
        <w:rPr>
          <w:rFonts w:ascii="Times New Roman" w:hAnsi="Times New Roman" w:cs="Times New Roman"/>
        </w:rPr>
        <w:t xml:space="preserve"> to the Migration Regulations</w:t>
      </w:r>
      <w:r w:rsidR="00696296" w:rsidRPr="00696296">
        <w:rPr>
          <w:rFonts w:ascii="Times New Roman" w:hAnsi="Times New Roman" w:cs="Times New Roman"/>
        </w:rPr>
        <w:t xml:space="preserve">.  The Senior Executive Service Band One was delegated the power to make the instrument by </w:t>
      </w:r>
      <w:r w:rsidR="00696296" w:rsidRPr="00696296">
        <w:rPr>
          <w:rFonts w:ascii="Times New Roman" w:hAnsi="Times New Roman" w:cs="Times New Roman"/>
          <w:i/>
        </w:rPr>
        <w:t>Migration (Ministerial Instrument-making Powers) Delegation 2020/252</w:t>
      </w:r>
      <w:r w:rsidR="00696296" w:rsidRPr="00696296">
        <w:rPr>
          <w:rFonts w:ascii="Times New Roman" w:hAnsi="Times New Roman" w:cs="Times New Roman"/>
        </w:rPr>
        <w:t xml:space="preserve">. </w:t>
      </w:r>
    </w:p>
    <w:sectPr w:rsidR="00915032" w:rsidRPr="00696296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04D5" w14:textId="77777777" w:rsidR="00002E34" w:rsidRDefault="00002E34" w:rsidP="00002E34">
      <w:pPr>
        <w:spacing w:after="0" w:line="240" w:lineRule="auto"/>
      </w:pPr>
      <w:r>
        <w:separator/>
      </w:r>
    </w:p>
  </w:endnote>
  <w:endnote w:type="continuationSeparator" w:id="0">
    <w:p w14:paraId="5F647410" w14:textId="77777777" w:rsidR="00002E34" w:rsidRDefault="00002E34" w:rsidP="0000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E916" w14:textId="77777777" w:rsidR="00002E34" w:rsidRDefault="00002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FFE6" w14:textId="77777777" w:rsidR="00002E34" w:rsidRDefault="00002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C5F7" w14:textId="77777777" w:rsidR="00002E34" w:rsidRDefault="00002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E70D" w14:textId="77777777" w:rsidR="00002E34" w:rsidRDefault="00002E34" w:rsidP="00002E34">
      <w:pPr>
        <w:spacing w:after="0" w:line="240" w:lineRule="auto"/>
      </w:pPr>
      <w:r>
        <w:separator/>
      </w:r>
    </w:p>
  </w:footnote>
  <w:footnote w:type="continuationSeparator" w:id="0">
    <w:p w14:paraId="4D8D3AB4" w14:textId="77777777" w:rsidR="00002E34" w:rsidRDefault="00002E34" w:rsidP="0000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6BD9" w14:textId="574F4D4B" w:rsidR="00002E34" w:rsidRDefault="00002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1B56" w14:textId="18551C73" w:rsidR="00002E34" w:rsidRDefault="00002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0642" w14:textId="411B81CC" w:rsidR="00002E34" w:rsidRDefault="00002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C4244B70"/>
    <w:lvl w:ilvl="0" w:tplc="1B167E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64DF"/>
    <w:multiLevelType w:val="hybridMultilevel"/>
    <w:tmpl w:val="FBDE329C"/>
    <w:lvl w:ilvl="0" w:tplc="1B167E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A35811AA"/>
    <w:lvl w:ilvl="0" w:tplc="C1545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A5519"/>
    <w:multiLevelType w:val="hybridMultilevel"/>
    <w:tmpl w:val="CC4C3CC0"/>
    <w:lvl w:ilvl="0" w:tplc="0C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7"/>
    <w:rsid w:val="00002E34"/>
    <w:rsid w:val="00021340"/>
    <w:rsid w:val="00070B6E"/>
    <w:rsid w:val="00081816"/>
    <w:rsid w:val="000B45F4"/>
    <w:rsid w:val="000D014F"/>
    <w:rsid w:val="000D1A51"/>
    <w:rsid w:val="001537D7"/>
    <w:rsid w:val="0019164E"/>
    <w:rsid w:val="00196DA8"/>
    <w:rsid w:val="001A3267"/>
    <w:rsid w:val="001B28D8"/>
    <w:rsid w:val="001B39D0"/>
    <w:rsid w:val="001D1C27"/>
    <w:rsid w:val="00224A19"/>
    <w:rsid w:val="002402E0"/>
    <w:rsid w:val="0026038F"/>
    <w:rsid w:val="002B0C41"/>
    <w:rsid w:val="002D4D70"/>
    <w:rsid w:val="0034679E"/>
    <w:rsid w:val="0035632F"/>
    <w:rsid w:val="0036436C"/>
    <w:rsid w:val="0036687C"/>
    <w:rsid w:val="00457D4A"/>
    <w:rsid w:val="00464080"/>
    <w:rsid w:val="00483644"/>
    <w:rsid w:val="00496615"/>
    <w:rsid w:val="004E421C"/>
    <w:rsid w:val="004F5CE4"/>
    <w:rsid w:val="00560B24"/>
    <w:rsid w:val="0057002B"/>
    <w:rsid w:val="00586164"/>
    <w:rsid w:val="00642EA7"/>
    <w:rsid w:val="0065384B"/>
    <w:rsid w:val="00696296"/>
    <w:rsid w:val="007570EC"/>
    <w:rsid w:val="007C512E"/>
    <w:rsid w:val="007D3B92"/>
    <w:rsid w:val="007E4691"/>
    <w:rsid w:val="008256C5"/>
    <w:rsid w:val="0085159A"/>
    <w:rsid w:val="00857403"/>
    <w:rsid w:val="008667DE"/>
    <w:rsid w:val="0088407D"/>
    <w:rsid w:val="00894FB9"/>
    <w:rsid w:val="008B24C8"/>
    <w:rsid w:val="00915032"/>
    <w:rsid w:val="009B2C7D"/>
    <w:rsid w:val="009B6133"/>
    <w:rsid w:val="00A35950"/>
    <w:rsid w:val="00A666F4"/>
    <w:rsid w:val="00A871E3"/>
    <w:rsid w:val="00AA4557"/>
    <w:rsid w:val="00AC061A"/>
    <w:rsid w:val="00AC2FE7"/>
    <w:rsid w:val="00B27EF6"/>
    <w:rsid w:val="00B444D7"/>
    <w:rsid w:val="00B445D9"/>
    <w:rsid w:val="00B61AF5"/>
    <w:rsid w:val="00B75478"/>
    <w:rsid w:val="00BA1E8D"/>
    <w:rsid w:val="00BA7DE8"/>
    <w:rsid w:val="00BD598E"/>
    <w:rsid w:val="00C577D0"/>
    <w:rsid w:val="00C930F2"/>
    <w:rsid w:val="00C94173"/>
    <w:rsid w:val="00CA4F1F"/>
    <w:rsid w:val="00CB0840"/>
    <w:rsid w:val="00CB428B"/>
    <w:rsid w:val="00CD1957"/>
    <w:rsid w:val="00CE37BE"/>
    <w:rsid w:val="00D163D3"/>
    <w:rsid w:val="00D56F2D"/>
    <w:rsid w:val="00D82663"/>
    <w:rsid w:val="00D91F6C"/>
    <w:rsid w:val="00DB6DB5"/>
    <w:rsid w:val="00DC5346"/>
    <w:rsid w:val="00E03DCC"/>
    <w:rsid w:val="00EA1052"/>
    <w:rsid w:val="00EA12C9"/>
    <w:rsid w:val="00F15817"/>
    <w:rsid w:val="00F60615"/>
    <w:rsid w:val="00FC79BA"/>
    <w:rsid w:val="00FD1553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C15089"/>
  <w15:chartTrackingRefBased/>
  <w15:docId w15:val="{3B9E2D9F-56A8-4E30-BD2E-30C1B2A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6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4"/>
  </w:style>
  <w:style w:type="paragraph" w:styleId="Footer">
    <w:name w:val="footer"/>
    <w:basedOn w:val="Normal"/>
    <w:link w:val="FooterChar"/>
    <w:uiPriority w:val="99"/>
    <w:unhideWhenUsed/>
    <w:rsid w:val="00002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4"/>
  </w:style>
  <w:style w:type="paragraph" w:styleId="Revision">
    <w:name w:val="Revision"/>
    <w:hidden/>
    <w:uiPriority w:val="99"/>
    <w:semiHidden/>
    <w:rsid w:val="009B6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Microsoft\Windows\INetCache\Content.Outlook\41HQ3IFL\210205%20-%20Explanatory%20Statement%20Template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210205 - Explanatory Statement Template DRAFT</Template>
  <TotalTime>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dc:description/>
  <cp:lastModifiedBy>Jayde KOMINIARSKI</cp:lastModifiedBy>
  <cp:revision>3</cp:revision>
  <cp:lastPrinted>2021-02-18T22:34:00Z</cp:lastPrinted>
  <dcterms:created xsi:type="dcterms:W3CDTF">2021-02-23T22:54:00Z</dcterms:created>
  <dcterms:modified xsi:type="dcterms:W3CDTF">2021-02-24T03:30:00Z</dcterms:modified>
</cp:coreProperties>
</file>