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62A47D" w14:textId="46042800" w:rsidR="0070441E" w:rsidRPr="002644F1" w:rsidRDefault="0070441E" w:rsidP="002644F1">
      <w:pPr>
        <w:pStyle w:val="Heading6"/>
      </w:pPr>
      <w:r w:rsidRPr="002644F1">
        <w:t xml:space="preserve">Defence Determination, Conditions of service Amendment Determination </w:t>
      </w:r>
      <w:r w:rsidR="00E23D16">
        <w:t>2021</w:t>
      </w:r>
      <w:r w:rsidRPr="007C750C">
        <w:t xml:space="preserve"> (No. </w:t>
      </w:r>
      <w:r w:rsidR="00E23D16">
        <w:t>1</w:t>
      </w:r>
      <w:r w:rsidRPr="007C750C">
        <w:t>)</w:t>
      </w:r>
    </w:p>
    <w:p w14:paraId="654D3144" w14:textId="77777777" w:rsidR="0070441E" w:rsidRDefault="0070441E" w:rsidP="0070441E">
      <w:pPr>
        <w:pStyle w:val="Sectiontext"/>
        <w:tabs>
          <w:tab w:val="left" w:pos="7380"/>
        </w:tabs>
      </w:pPr>
      <w:r>
        <w:t xml:space="preserve">This Determination amends Defence Determination 2016/19, Conditions of service (the Principal Determination), made under section 58B of the </w:t>
      </w:r>
      <w:r>
        <w:rPr>
          <w:i/>
        </w:rPr>
        <w:t>Defence Act 1903</w:t>
      </w:r>
      <w:r>
        <w:t xml:space="preserve"> and in accordance with subsection 33(3) of the </w:t>
      </w:r>
      <w:r>
        <w:rPr>
          <w:i/>
        </w:rPr>
        <w:t>Acts Interpretation Act 1901</w:t>
      </w:r>
      <w:r>
        <w:t xml:space="preserve"> (AI Act). </w:t>
      </w:r>
    </w:p>
    <w:p w14:paraId="5D67E015" w14:textId="77777777" w:rsidR="0070441E" w:rsidRDefault="0070441E" w:rsidP="0070441E">
      <w:pPr>
        <w:pStyle w:val="Sectiontext"/>
        <w:tabs>
          <w:tab w:val="left" w:pos="7380"/>
        </w:tabs>
      </w:pPr>
      <w:r>
        <w:t xml:space="preserve">Determinations made under section 58B of the Defence Act are disallowable legislative instruments subject to the </w:t>
      </w:r>
      <w:r>
        <w:rPr>
          <w:i/>
        </w:rPr>
        <w:t>Legislation Act 2003</w:t>
      </w:r>
      <w:r>
        <w:t xml:space="preserve">. These instruments are also subject to the interpretation principles in the AI Act. </w:t>
      </w:r>
    </w:p>
    <w:p w14:paraId="750C726C" w14:textId="77777777" w:rsidR="0070441E" w:rsidRDefault="0070441E" w:rsidP="0070441E">
      <w:pPr>
        <w:spacing w:after="200"/>
        <w:rPr>
          <w:rFonts w:ascii="Arial" w:hAnsi="Arial" w:cs="Arial"/>
          <w:sz w:val="20"/>
        </w:rPr>
      </w:pPr>
      <w:r>
        <w:rPr>
          <w:rFonts w:ascii="Arial" w:hAnsi="Arial" w:cs="Arial"/>
          <w:sz w:val="20"/>
        </w:rPr>
        <w:t>This Determination amends the following Chapters of the Principal Determination for members of the Australian Defence Force (ADF).</w:t>
      </w:r>
    </w:p>
    <w:p w14:paraId="579FE61A" w14:textId="77777777" w:rsidR="00E23D16" w:rsidRPr="009446B6" w:rsidRDefault="00E23D16" w:rsidP="00E23D16">
      <w:pPr>
        <w:pStyle w:val="Sectiontext"/>
        <w:numPr>
          <w:ilvl w:val="0"/>
          <w:numId w:val="16"/>
        </w:numPr>
      </w:pPr>
      <w:r w:rsidRPr="009446B6">
        <w:rPr>
          <w:snapToGrid w:val="0"/>
        </w:rPr>
        <w:t xml:space="preserve">Chapter 3 sets out provisions dealing with salaries and bonuses. </w:t>
      </w:r>
    </w:p>
    <w:p w14:paraId="66FAEBDB" w14:textId="214F0A33" w:rsidR="00E23D16" w:rsidRPr="009446B6" w:rsidRDefault="00E23D16" w:rsidP="00E23D16">
      <w:pPr>
        <w:pStyle w:val="Sectiontext"/>
        <w:numPr>
          <w:ilvl w:val="0"/>
          <w:numId w:val="16"/>
        </w:numPr>
        <w:rPr>
          <w:snapToGrid w:val="0"/>
        </w:rPr>
      </w:pPr>
      <w:r w:rsidRPr="009446B6">
        <w:rPr>
          <w:snapToGrid w:val="0"/>
        </w:rPr>
        <w:t>Chapter 12 sets out provisions dealing with overseas conditions of service.</w:t>
      </w:r>
    </w:p>
    <w:p w14:paraId="24D2F2E6" w14:textId="61687F7C" w:rsidR="00E23D16" w:rsidRPr="009446B6" w:rsidRDefault="00E23D16" w:rsidP="009C029A">
      <w:pPr>
        <w:pStyle w:val="Sectiontext"/>
        <w:numPr>
          <w:ilvl w:val="0"/>
          <w:numId w:val="16"/>
        </w:numPr>
      </w:pPr>
      <w:r w:rsidRPr="009446B6">
        <w:rPr>
          <w:snapToGrid w:val="0"/>
        </w:rPr>
        <w:t>Chapter 16 sets out provisions dealing with overseas hardship locations.</w:t>
      </w:r>
    </w:p>
    <w:p w14:paraId="718ED70D" w14:textId="065F6BE8" w:rsidR="00D04977" w:rsidRDefault="00925CC8" w:rsidP="00925CC8">
      <w:pPr>
        <w:pStyle w:val="Sectiontext"/>
        <w:rPr>
          <w:snapToGrid w:val="0"/>
        </w:rPr>
      </w:pPr>
      <w:r w:rsidRPr="00A575F1">
        <w:rPr>
          <w:snapToGrid w:val="0"/>
        </w:rPr>
        <w:t>The purpose of this</w:t>
      </w:r>
      <w:r>
        <w:rPr>
          <w:snapToGrid w:val="0"/>
        </w:rPr>
        <w:t xml:space="preserve"> Determination</w:t>
      </w:r>
      <w:r w:rsidRPr="00A575F1">
        <w:rPr>
          <w:snapToGrid w:val="0"/>
        </w:rPr>
        <w:t xml:space="preserve"> is to</w:t>
      </w:r>
      <w:r>
        <w:rPr>
          <w:snapToGrid w:val="0"/>
        </w:rPr>
        <w:t>:</w:t>
      </w:r>
    </w:p>
    <w:p w14:paraId="04EC19EC" w14:textId="77777777" w:rsidR="009446B6" w:rsidRPr="008773EC" w:rsidRDefault="009446B6" w:rsidP="009446B6">
      <w:pPr>
        <w:pStyle w:val="Sectiontext"/>
        <w:keepNext/>
        <w:numPr>
          <w:ilvl w:val="0"/>
          <w:numId w:val="25"/>
        </w:numPr>
        <w:ind w:hanging="357"/>
      </w:pPr>
      <w:r w:rsidRPr="00B60E21">
        <w:rPr>
          <w:snapToGrid w:val="0"/>
        </w:rPr>
        <w:t xml:space="preserve">Amend the salary non-reduction </w:t>
      </w:r>
      <w:r>
        <w:rPr>
          <w:snapToGrid w:val="0"/>
        </w:rPr>
        <w:t>provisions to:</w:t>
      </w:r>
    </w:p>
    <w:p w14:paraId="70AB251A" w14:textId="77777777" w:rsidR="009446B6" w:rsidRPr="00A575F1" w:rsidRDefault="009446B6" w:rsidP="009446B6">
      <w:pPr>
        <w:pStyle w:val="Sectiontext"/>
        <w:numPr>
          <w:ilvl w:val="1"/>
          <w:numId w:val="25"/>
        </w:numPr>
        <w:rPr>
          <w:snapToGrid w:val="0"/>
        </w:rPr>
      </w:pPr>
      <w:r>
        <w:rPr>
          <w:snapToGrid w:val="0"/>
        </w:rPr>
        <w:t>T</w:t>
      </w:r>
      <w:r w:rsidRPr="00A575F1">
        <w:rPr>
          <w:snapToGrid w:val="0"/>
        </w:rPr>
        <w:t>o</w:t>
      </w:r>
      <w:r>
        <w:rPr>
          <w:rFonts w:cs="Arial"/>
          <w:color w:val="000000"/>
          <w:shd w:val="clear" w:color="auto" w:fill="FFFFFF"/>
        </w:rPr>
        <w:t xml:space="preserve"> provide salary non-reduction for members affected by the termination of the Examiner Psychological employment category. The provisions ensure affected members' salaries are not reduced for a period of five years</w:t>
      </w:r>
      <w:r>
        <w:rPr>
          <w:snapToGrid w:val="0"/>
        </w:rPr>
        <w:t>.</w:t>
      </w:r>
    </w:p>
    <w:p w14:paraId="6320CFE8" w14:textId="7BC89637" w:rsidR="009446B6" w:rsidRDefault="009446B6" w:rsidP="009446B6">
      <w:pPr>
        <w:pStyle w:val="Sectiontext"/>
        <w:numPr>
          <w:ilvl w:val="1"/>
          <w:numId w:val="25"/>
        </w:numPr>
        <w:rPr>
          <w:snapToGrid w:val="0"/>
        </w:rPr>
      </w:pPr>
      <w:r>
        <w:rPr>
          <w:snapToGrid w:val="0"/>
        </w:rPr>
        <w:t xml:space="preserve">Remove from the Principal Determination specific entries for salary non-reduction periods </w:t>
      </w:r>
      <w:r w:rsidR="008B15C0">
        <w:rPr>
          <w:snapToGrid w:val="0"/>
        </w:rPr>
        <w:t>that</w:t>
      </w:r>
      <w:r>
        <w:rPr>
          <w:snapToGrid w:val="0"/>
        </w:rPr>
        <w:t xml:space="preserve"> have expired.</w:t>
      </w:r>
    </w:p>
    <w:p w14:paraId="366B4459" w14:textId="597E7379" w:rsidR="00E23D16" w:rsidRPr="00E23D16" w:rsidRDefault="00E23D16" w:rsidP="009446B6">
      <w:pPr>
        <w:pStyle w:val="Sectiontext"/>
        <w:numPr>
          <w:ilvl w:val="0"/>
          <w:numId w:val="25"/>
        </w:numPr>
        <w:rPr>
          <w:snapToGrid w:val="0"/>
        </w:rPr>
      </w:pPr>
      <w:r>
        <w:rPr>
          <w:rFonts w:eastAsia="Arial" w:cs="Arial"/>
        </w:rPr>
        <w:t>I</w:t>
      </w:r>
      <w:r w:rsidRPr="000B4A17">
        <w:rPr>
          <w:rFonts w:eastAsia="Arial" w:cs="Arial"/>
        </w:rPr>
        <w:t xml:space="preserve">nclude </w:t>
      </w:r>
      <w:r>
        <w:rPr>
          <w:rFonts w:eastAsia="Arial" w:cs="Arial"/>
        </w:rPr>
        <w:t>a new</w:t>
      </w:r>
      <w:r w:rsidRPr="000B4A17">
        <w:rPr>
          <w:rFonts w:eastAsia="Arial" w:cs="Arial"/>
        </w:rPr>
        <w:t xml:space="preserve"> posting index location and </w:t>
      </w:r>
      <w:r>
        <w:rPr>
          <w:rFonts w:eastAsia="Arial" w:cs="Arial"/>
        </w:rPr>
        <w:t xml:space="preserve">to add and </w:t>
      </w:r>
      <w:r w:rsidRPr="000B4A17">
        <w:rPr>
          <w:rFonts w:eastAsia="Arial" w:cs="Arial"/>
        </w:rPr>
        <w:t xml:space="preserve">update the hardship locations conditions of service </w:t>
      </w:r>
      <w:r>
        <w:rPr>
          <w:rFonts w:eastAsia="Arial" w:cs="Arial"/>
        </w:rPr>
        <w:t>for</w:t>
      </w:r>
      <w:r w:rsidRPr="000B4A17">
        <w:rPr>
          <w:rFonts w:eastAsia="Arial" w:cs="Arial"/>
        </w:rPr>
        <w:t xml:space="preserve"> </w:t>
      </w:r>
      <w:r>
        <w:rPr>
          <w:rFonts w:eastAsia="Arial" w:cs="Arial"/>
        </w:rPr>
        <w:t>three</w:t>
      </w:r>
      <w:r w:rsidRPr="000B4A17">
        <w:rPr>
          <w:rFonts w:eastAsia="Arial" w:cs="Arial"/>
        </w:rPr>
        <w:t xml:space="preserve"> </w:t>
      </w:r>
      <w:r>
        <w:rPr>
          <w:rFonts w:eastAsia="Arial" w:cs="Arial"/>
        </w:rPr>
        <w:t>overseas</w:t>
      </w:r>
      <w:r w:rsidRPr="000B4A17">
        <w:rPr>
          <w:rFonts w:eastAsia="Arial" w:cs="Arial"/>
        </w:rPr>
        <w:t xml:space="preserve"> location</w:t>
      </w:r>
      <w:r>
        <w:rPr>
          <w:rFonts w:eastAsia="Arial" w:cs="Arial"/>
        </w:rPr>
        <w:t>s</w:t>
      </w:r>
      <w:r w:rsidRPr="000B4A17">
        <w:rPr>
          <w:rFonts w:eastAsia="Arial" w:cs="Arial"/>
        </w:rPr>
        <w:t>: Laos</w:t>
      </w:r>
      <w:r>
        <w:rPr>
          <w:rFonts w:eastAsia="Arial" w:cs="Arial"/>
        </w:rPr>
        <w:t>, Greece and Romania, which are new hardship locations.</w:t>
      </w:r>
      <w:r w:rsidRPr="000B4A17">
        <w:rPr>
          <w:rFonts w:eastAsia="Arial" w:cs="Arial"/>
        </w:rPr>
        <w:t xml:space="preserve"> </w:t>
      </w:r>
      <w:r>
        <w:rPr>
          <w:rFonts w:eastAsia="Arial" w:cs="Arial"/>
        </w:rPr>
        <w:t>A transitional provision is provided so that members who performed duty in Greece or Romania are eligible for hardship location benefits for duty performed since 12 August 2020.</w:t>
      </w:r>
    </w:p>
    <w:p w14:paraId="72CBBB6B" w14:textId="32A91A44" w:rsidR="001E51FE" w:rsidRPr="00B60E21" w:rsidRDefault="001E51FE" w:rsidP="00B60E21">
      <w:pPr>
        <w:pStyle w:val="Sectiontext"/>
        <w:rPr>
          <w:snapToGrid w:val="0"/>
        </w:rPr>
      </w:pPr>
      <w:r w:rsidRPr="00B60E21">
        <w:rPr>
          <w:snapToGrid w:val="0"/>
        </w:rPr>
        <w:t>Section 1 of this Determination sets out the manner in which this Determination may be cited.</w:t>
      </w:r>
    </w:p>
    <w:p w14:paraId="2FA2AEDA" w14:textId="77777777" w:rsidR="009446B6" w:rsidRPr="009446B6" w:rsidRDefault="009446B6" w:rsidP="008306F6">
      <w:pPr>
        <w:spacing w:after="200"/>
        <w:rPr>
          <w:rFonts w:ascii="Arial" w:eastAsia="Times New Roman" w:hAnsi="Arial" w:cs="Times New Roman"/>
          <w:snapToGrid w:val="0"/>
          <w:sz w:val="20"/>
          <w:lang w:eastAsia="en-AU"/>
        </w:rPr>
      </w:pPr>
      <w:r w:rsidRPr="009446B6">
        <w:rPr>
          <w:rFonts w:ascii="Arial" w:eastAsia="Times New Roman" w:hAnsi="Arial" w:cs="Times New Roman"/>
          <w:snapToGrid w:val="0"/>
          <w:sz w:val="20"/>
          <w:lang w:eastAsia="en-AU"/>
        </w:rPr>
        <w:t>Section 2 provides that this instrument commences on 4 February 2021.</w:t>
      </w:r>
    </w:p>
    <w:p w14:paraId="2F100A57" w14:textId="50B7A0DA" w:rsidR="00CB5822" w:rsidRDefault="2721E230" w:rsidP="008306F6">
      <w:pPr>
        <w:spacing w:after="200"/>
      </w:pPr>
      <w:r w:rsidRPr="3E1B8A19">
        <w:rPr>
          <w:rFonts w:ascii="Arial" w:eastAsia="Arial" w:hAnsi="Arial" w:cs="Arial"/>
          <w:sz w:val="20"/>
        </w:rPr>
        <w:t xml:space="preserve">Section 3 provides that this instrument has authority under section 58B of the </w:t>
      </w:r>
      <w:r w:rsidRPr="3E1B8A19">
        <w:rPr>
          <w:rFonts w:ascii="Arial" w:eastAsia="Arial" w:hAnsi="Arial" w:cs="Arial"/>
          <w:i/>
          <w:iCs/>
          <w:sz w:val="20"/>
        </w:rPr>
        <w:t>Defence Act 1903</w:t>
      </w:r>
      <w:r w:rsidRPr="3E1B8A19">
        <w:rPr>
          <w:rFonts w:ascii="Arial" w:eastAsia="Arial" w:hAnsi="Arial" w:cs="Arial"/>
          <w:sz w:val="20"/>
        </w:rPr>
        <w:t>.</w:t>
      </w:r>
    </w:p>
    <w:p w14:paraId="633CE46F" w14:textId="0D103104" w:rsidR="00CB5822" w:rsidRDefault="2721E230" w:rsidP="008306F6">
      <w:pPr>
        <w:spacing w:after="200"/>
      </w:pPr>
      <w:r w:rsidRPr="3E1B8A19">
        <w:rPr>
          <w:rFonts w:ascii="Arial" w:eastAsia="Arial" w:hAnsi="Arial" w:cs="Arial"/>
          <w:sz w:val="20"/>
        </w:rPr>
        <w:t>Section 4 provides that each instrument that is specified in a Schedule to this instrument is amended or repealed as set out in the applicable items in the Schedule concerned, and any other item in a Schedule to this instrument has effect according to its terms</w:t>
      </w:r>
      <w:r w:rsidR="000C3719">
        <w:rPr>
          <w:rFonts w:ascii="Arial" w:eastAsia="Arial" w:hAnsi="Arial" w:cs="Arial"/>
          <w:sz w:val="20"/>
        </w:rPr>
        <w:t>.</w:t>
      </w:r>
    </w:p>
    <w:p w14:paraId="127B9B20" w14:textId="77777777" w:rsidR="009446B6" w:rsidRDefault="009446B6" w:rsidP="009446B6">
      <w:pPr>
        <w:pStyle w:val="Sectiontext"/>
        <w:rPr>
          <w:i/>
          <w:snapToGrid w:val="0"/>
          <w:u w:val="single"/>
        </w:rPr>
      </w:pPr>
      <w:r>
        <w:rPr>
          <w:i/>
          <w:snapToGrid w:val="0"/>
          <w:u w:val="single"/>
        </w:rPr>
        <w:t>Schedule 1</w:t>
      </w:r>
      <w:r>
        <w:rPr>
          <w:rFonts w:cs="Arial"/>
          <w:i/>
          <w:snapToGrid w:val="0"/>
          <w:u w:val="single"/>
        </w:rPr>
        <w:t>—</w:t>
      </w:r>
      <w:r>
        <w:rPr>
          <w:i/>
          <w:snapToGrid w:val="0"/>
          <w:u w:val="single"/>
        </w:rPr>
        <w:t xml:space="preserve">Salary </w:t>
      </w:r>
      <w:r w:rsidRPr="00D42EA9">
        <w:rPr>
          <w:i/>
          <w:snapToGrid w:val="0"/>
          <w:u w:val="single"/>
        </w:rPr>
        <w:t>Non-Reduction Provisions amendments</w:t>
      </w:r>
    </w:p>
    <w:p w14:paraId="2AFAD033" w14:textId="77777777" w:rsidR="009446B6" w:rsidRDefault="009446B6" w:rsidP="009446B6">
      <w:pPr>
        <w:pStyle w:val="Sectiontext"/>
        <w:rPr>
          <w:snapToGrid w:val="0"/>
        </w:rPr>
      </w:pPr>
      <w:r>
        <w:rPr>
          <w:snapToGrid w:val="0"/>
        </w:rPr>
        <w:t xml:space="preserve">Sections 1, 2 and 12 amend Annex 3.2.B of the Principal Determination which </w:t>
      </w:r>
      <w:r>
        <w:rPr>
          <w:rFonts w:cs="Arial"/>
          <w:snapToGrid w:val="0"/>
          <w:color w:val="000000"/>
          <w:shd w:val="clear" w:color="auto" w:fill="FFFFFF"/>
        </w:rPr>
        <w:t>sets out the relevant pay grade, employment category and conditions (if any) together with the commencement date of the salary non-reduction period and the date that the period ends.</w:t>
      </w:r>
      <w:r>
        <w:rPr>
          <w:snapToGrid w:val="0"/>
        </w:rPr>
        <w:t xml:space="preserve"> The following changes have been made.</w:t>
      </w:r>
    </w:p>
    <w:p w14:paraId="7312097E" w14:textId="77777777" w:rsidR="009446B6" w:rsidRPr="003F7854" w:rsidRDefault="009446B6" w:rsidP="009446B6">
      <w:pPr>
        <w:pStyle w:val="Sectiontext"/>
      </w:pPr>
      <w:r>
        <w:t>Section 1 inserts a new table item 1A table item 4</w:t>
      </w:r>
      <w:r>
        <w:rPr>
          <w:snapToGrid w:val="0"/>
        </w:rPr>
        <w:t xml:space="preserve"> into Part 1 of Annex 3.2.B for members with the rank of Warrant Office Class 1. </w:t>
      </w:r>
      <w:r>
        <w:rPr>
          <w:rFonts w:cs="Arial"/>
          <w:snapToGrid w:val="0"/>
          <w:color w:val="000000"/>
          <w:shd w:val="clear" w:color="auto" w:fill="FFFFFF"/>
        </w:rPr>
        <w:t>The employment category of Examiner Psychological Tier A has been inserted into the table at pay grades 5 with a salary non-reduction period of 1 July 2021 until 30 June 2026.</w:t>
      </w:r>
    </w:p>
    <w:p w14:paraId="1603263B" w14:textId="77777777" w:rsidR="009446B6" w:rsidRPr="003F7854" w:rsidRDefault="009446B6" w:rsidP="009446B6">
      <w:pPr>
        <w:pStyle w:val="Sectiontext"/>
      </w:pPr>
      <w:r>
        <w:t>Section 2 omits and substitutes table item 4</w:t>
      </w:r>
      <w:r>
        <w:rPr>
          <w:snapToGrid w:val="0"/>
        </w:rPr>
        <w:t xml:space="preserve"> into Part 1 of Annex 3.2.B for members with the rank of Warrant Office Class 1. </w:t>
      </w:r>
      <w:r>
        <w:rPr>
          <w:rFonts w:cs="Arial"/>
          <w:snapToGrid w:val="0"/>
          <w:color w:val="000000"/>
          <w:shd w:val="clear" w:color="auto" w:fill="FFFFFF"/>
        </w:rPr>
        <w:t>The employment category of Manager Surveillance Target Acquisition (Reserves) has expired and has been replaced with the employment category of Examiner Psychological Tier B at pay grade 6 with a salary non-reduction period of 1 July 2021 until 30 June 2026.</w:t>
      </w:r>
    </w:p>
    <w:p w14:paraId="11DE57DD" w14:textId="3A3A3D25" w:rsidR="009446B6" w:rsidRPr="007B4237" w:rsidRDefault="009446B6" w:rsidP="009446B6">
      <w:pPr>
        <w:pStyle w:val="Sectiontext"/>
      </w:pPr>
      <w:r>
        <w:rPr>
          <w:snapToGrid w:val="0"/>
        </w:rPr>
        <w:lastRenderedPageBreak/>
        <w:t xml:space="preserve">Sections 3 to 10 and 12 to 14 omit various table items from Parts 1 and 2 of Annex 3.2.B. The non-reduction period for the omitted table items </w:t>
      </w:r>
      <w:r w:rsidR="008B15C0">
        <w:rPr>
          <w:snapToGrid w:val="0"/>
        </w:rPr>
        <w:t xml:space="preserve">expired on 31 December 2020 </w:t>
      </w:r>
      <w:r>
        <w:rPr>
          <w:snapToGrid w:val="0"/>
        </w:rPr>
        <w:t>and they no longer need to be in the table beyond that date.</w:t>
      </w:r>
    </w:p>
    <w:p w14:paraId="19DD7621" w14:textId="77777777" w:rsidR="009446B6" w:rsidRDefault="009446B6" w:rsidP="009446B6">
      <w:pPr>
        <w:pStyle w:val="Sectiontext"/>
      </w:pPr>
      <w:r>
        <w:rPr>
          <w:snapToGrid w:val="0"/>
        </w:rPr>
        <w:t xml:space="preserve">Section 11 inserts new table item 17A into the table in Part 2 of Annex 3.2.B for members with the rank of Warrant Officer Class 2 or lower. </w:t>
      </w:r>
      <w:r>
        <w:rPr>
          <w:rFonts w:cs="Arial"/>
        </w:rPr>
        <w:t xml:space="preserve">The employment category of Examiner Psychological has been inserted into the table at pay grade 5 </w:t>
      </w:r>
      <w:r>
        <w:rPr>
          <w:rFonts w:cs="Arial"/>
          <w:snapToGrid w:val="0"/>
          <w:color w:val="000000"/>
          <w:shd w:val="clear" w:color="auto" w:fill="FFFFFF"/>
        </w:rPr>
        <w:t>with a salary non-reduction period of 1 July 2021 until 30 June 2026.</w:t>
      </w:r>
    </w:p>
    <w:p w14:paraId="7BF77D16" w14:textId="1A82BBF4" w:rsidR="009446B6" w:rsidRDefault="009446B6" w:rsidP="009446B6">
      <w:pPr>
        <w:pStyle w:val="Sectiontext"/>
        <w:rPr>
          <w:i/>
          <w:snapToGrid w:val="0"/>
          <w:u w:val="single"/>
        </w:rPr>
      </w:pPr>
      <w:r>
        <w:rPr>
          <w:i/>
          <w:snapToGrid w:val="0"/>
          <w:u w:val="single"/>
        </w:rPr>
        <w:t>Schedule 2</w:t>
      </w:r>
      <w:r w:rsidRPr="00A010A8">
        <w:rPr>
          <w:i/>
          <w:snapToGrid w:val="0"/>
          <w:u w:val="single"/>
        </w:rPr>
        <w:t xml:space="preserve">—Overseas conditions amendments </w:t>
      </w:r>
    </w:p>
    <w:p w14:paraId="60869F2A" w14:textId="77777777" w:rsidR="009446B6" w:rsidRPr="009446B6" w:rsidRDefault="009446B6" w:rsidP="009446B6">
      <w:pPr>
        <w:spacing w:line="240" w:lineRule="auto"/>
        <w:rPr>
          <w:rFonts w:ascii="Arial" w:eastAsia="Times New Roman" w:hAnsi="Arial" w:cs="Arial"/>
          <w:sz w:val="20"/>
          <w:lang w:val="en-US"/>
        </w:rPr>
      </w:pPr>
      <w:r w:rsidRPr="009446B6">
        <w:rPr>
          <w:rFonts w:ascii="Arial" w:eastAsia="Times New Roman" w:hAnsi="Arial" w:cs="Arial"/>
          <w:sz w:val="20"/>
        </w:rPr>
        <w:t>Section 1 amends annex 12.3.B of the Principal Determination which lists the post index locations and data service provider locations used for determining the post index under section 12.3.14A. The amendment inserts a new item in the table for the posting location of Laos.</w:t>
      </w:r>
      <w:r w:rsidRPr="009446B6">
        <w:rPr>
          <w:rFonts w:ascii="Arial" w:eastAsia="Times New Roman" w:hAnsi="Arial" w:cs="Arial"/>
          <w:sz w:val="20"/>
          <w:lang w:val="en-US"/>
        </w:rPr>
        <w:t> </w:t>
      </w:r>
    </w:p>
    <w:p w14:paraId="2794F6EF" w14:textId="77777777" w:rsidR="009446B6" w:rsidRPr="009446B6" w:rsidRDefault="009446B6" w:rsidP="009446B6">
      <w:pPr>
        <w:spacing w:line="240" w:lineRule="auto"/>
        <w:rPr>
          <w:rFonts w:ascii="Segoe UI" w:eastAsia="Times New Roman" w:hAnsi="Segoe UI" w:cs="Segoe UI"/>
          <w:sz w:val="18"/>
          <w:szCs w:val="18"/>
          <w:lang w:val="en-US"/>
        </w:rPr>
      </w:pPr>
    </w:p>
    <w:p w14:paraId="18D1FF26" w14:textId="77777777" w:rsidR="009446B6" w:rsidRDefault="009446B6" w:rsidP="009446B6">
      <w:pPr>
        <w:pStyle w:val="Sectiontext"/>
        <w:rPr>
          <w:rFonts w:cs="Arial"/>
          <w:lang w:val="en-US"/>
        </w:rPr>
      </w:pPr>
      <w:r w:rsidRPr="1F62B261">
        <w:rPr>
          <w:rFonts w:cs="Arial"/>
        </w:rPr>
        <w:t>Section</w:t>
      </w:r>
      <w:r>
        <w:rPr>
          <w:rFonts w:cs="Arial"/>
        </w:rPr>
        <w:t>s</w:t>
      </w:r>
      <w:r w:rsidRPr="1F62B261">
        <w:rPr>
          <w:rFonts w:cs="Arial"/>
        </w:rPr>
        <w:t xml:space="preserve"> </w:t>
      </w:r>
      <w:r>
        <w:rPr>
          <w:rFonts w:cs="Arial"/>
        </w:rPr>
        <w:t>2, 3</w:t>
      </w:r>
      <w:r w:rsidRPr="1F62B261">
        <w:rPr>
          <w:rFonts w:cs="Arial"/>
        </w:rPr>
        <w:t> </w:t>
      </w:r>
      <w:r>
        <w:rPr>
          <w:rFonts w:cs="Arial"/>
        </w:rPr>
        <w:t>and 4</w:t>
      </w:r>
      <w:r w:rsidRPr="1F62B261">
        <w:rPr>
          <w:rFonts w:cs="Arial"/>
        </w:rPr>
        <w:t> </w:t>
      </w:r>
      <w:r>
        <w:rPr>
          <w:rFonts w:cs="Arial"/>
        </w:rPr>
        <w:t xml:space="preserve">amend Annex 16.B of the Principal Determination which </w:t>
      </w:r>
      <w:r w:rsidRPr="1F62B261">
        <w:rPr>
          <w:rFonts w:cs="Arial"/>
        </w:rPr>
        <w:t>provide details use</w:t>
      </w:r>
      <w:r>
        <w:rPr>
          <w:rFonts w:cs="Arial"/>
        </w:rPr>
        <w:t>d</w:t>
      </w:r>
      <w:r w:rsidRPr="1F62B261">
        <w:rPr>
          <w:rFonts w:cs="Arial"/>
        </w:rPr>
        <w:t xml:space="preserve"> for determining benefits for members posted to specific posting locations that are hardship locations. The</w:t>
      </w:r>
      <w:r>
        <w:rPr>
          <w:rFonts w:cs="Arial"/>
        </w:rPr>
        <w:t xml:space="preserve"> amendments add</w:t>
      </w:r>
      <w:r w:rsidRPr="1F62B261">
        <w:rPr>
          <w:rFonts w:cs="Arial"/>
        </w:rPr>
        <w:t xml:space="preserve"> </w:t>
      </w:r>
      <w:r>
        <w:rPr>
          <w:rFonts w:cs="Arial"/>
        </w:rPr>
        <w:t xml:space="preserve">new </w:t>
      </w:r>
      <w:r w:rsidRPr="1F62B261">
        <w:rPr>
          <w:rFonts w:cs="Arial"/>
        </w:rPr>
        <w:t>table item</w:t>
      </w:r>
      <w:r>
        <w:rPr>
          <w:rFonts w:cs="Arial"/>
        </w:rPr>
        <w:t xml:space="preserve">s to include Greece and Romania as </w:t>
      </w:r>
      <w:r w:rsidRPr="1F62B261">
        <w:rPr>
          <w:rFonts w:cs="Arial"/>
        </w:rPr>
        <w:t>hardship location</w:t>
      </w:r>
      <w:r>
        <w:rPr>
          <w:rFonts w:cs="Arial"/>
        </w:rPr>
        <w:t>s, and the table item for Laos is updated</w:t>
      </w:r>
      <w:r w:rsidRPr="1F62B261">
        <w:rPr>
          <w:rFonts w:cs="Arial"/>
        </w:rPr>
        <w:t>. The benefits provided by the amendment</w:t>
      </w:r>
      <w:r>
        <w:rPr>
          <w:rFonts w:cs="Arial"/>
        </w:rPr>
        <w:t>s</w:t>
      </w:r>
      <w:r w:rsidRPr="1F62B261">
        <w:rPr>
          <w:rFonts w:cs="Arial"/>
        </w:rPr>
        <w:t xml:space="preserve"> align with similar hardship locations.</w:t>
      </w:r>
      <w:r w:rsidRPr="1F62B261">
        <w:rPr>
          <w:rFonts w:cs="Arial"/>
          <w:lang w:val="en-US"/>
        </w:rPr>
        <w:t> </w:t>
      </w:r>
    </w:p>
    <w:p w14:paraId="4B3623DB" w14:textId="4C3545E2" w:rsidR="009446B6" w:rsidRPr="00C14FEB" w:rsidRDefault="009446B6" w:rsidP="009446B6">
      <w:pPr>
        <w:pStyle w:val="Sectiontext"/>
        <w:rPr>
          <w:i/>
          <w:snapToGrid w:val="0"/>
          <w:u w:val="single"/>
        </w:rPr>
      </w:pPr>
      <w:r w:rsidRPr="00C14FEB">
        <w:rPr>
          <w:i/>
          <w:snapToGrid w:val="0"/>
          <w:u w:val="single"/>
        </w:rPr>
        <w:t xml:space="preserve">Schedule </w:t>
      </w:r>
      <w:r>
        <w:rPr>
          <w:i/>
          <w:snapToGrid w:val="0"/>
          <w:u w:val="single"/>
        </w:rPr>
        <w:t>3</w:t>
      </w:r>
      <w:r w:rsidRPr="00C14FEB">
        <w:rPr>
          <w:rFonts w:cs="Arial"/>
          <w:i/>
          <w:snapToGrid w:val="0"/>
          <w:u w:val="single"/>
        </w:rPr>
        <w:t>—</w:t>
      </w:r>
      <w:r w:rsidRPr="00C14FEB">
        <w:rPr>
          <w:i/>
          <w:snapToGrid w:val="0"/>
          <w:u w:val="single"/>
        </w:rPr>
        <w:t>Transitional provision</w:t>
      </w:r>
      <w:r>
        <w:rPr>
          <w:i/>
          <w:snapToGrid w:val="0"/>
          <w:u w:val="single"/>
        </w:rPr>
        <w:t>s</w:t>
      </w:r>
    </w:p>
    <w:p w14:paraId="770A543C" w14:textId="77777777" w:rsidR="009446B6" w:rsidRDefault="009446B6" w:rsidP="009446B6">
      <w:pPr>
        <w:pStyle w:val="Sectiontext"/>
        <w:rPr>
          <w:snapToGrid w:val="0"/>
        </w:rPr>
      </w:pPr>
      <w:r w:rsidRPr="00E1641C">
        <w:rPr>
          <w:snapToGrid w:val="0"/>
        </w:rPr>
        <w:t xml:space="preserve">Section 1 defines ‘the </w:t>
      </w:r>
      <w:r>
        <w:rPr>
          <w:snapToGrid w:val="0"/>
        </w:rPr>
        <w:t xml:space="preserve">Defence </w:t>
      </w:r>
      <w:r w:rsidRPr="00E1641C">
        <w:rPr>
          <w:snapToGrid w:val="0"/>
        </w:rPr>
        <w:t>Determination’ as being Defence Determination 2016/19, Conditions of service, which is incorporated into this Schedule as in force immediately before the commencement of this Determination.</w:t>
      </w:r>
    </w:p>
    <w:p w14:paraId="624E6D2B" w14:textId="686E821C" w:rsidR="009446B6" w:rsidRDefault="009446B6" w:rsidP="009446B6">
      <w:pPr>
        <w:pStyle w:val="Sectiontext"/>
        <w:rPr>
          <w:snapToGrid w:val="0"/>
        </w:rPr>
      </w:pPr>
      <w:r w:rsidRPr="00C14FEB">
        <w:rPr>
          <w:snapToGrid w:val="0"/>
        </w:rPr>
        <w:t xml:space="preserve">Section </w:t>
      </w:r>
      <w:r>
        <w:rPr>
          <w:snapToGrid w:val="0"/>
        </w:rPr>
        <w:t>2</w:t>
      </w:r>
      <w:r w:rsidRPr="00C14FEB">
        <w:rPr>
          <w:snapToGrid w:val="0"/>
        </w:rPr>
        <w:t xml:space="preserve"> </w:t>
      </w:r>
      <w:r>
        <w:rPr>
          <w:snapToGrid w:val="0"/>
        </w:rPr>
        <w:t xml:space="preserve">is </w:t>
      </w:r>
      <w:r w:rsidRPr="00C14FEB">
        <w:rPr>
          <w:snapToGrid w:val="0"/>
        </w:rPr>
        <w:t xml:space="preserve">a transitional provision </w:t>
      </w:r>
      <w:r>
        <w:rPr>
          <w:snapToGrid w:val="0"/>
        </w:rPr>
        <w:t>that provides members who performed duty in Greece or Romania be</w:t>
      </w:r>
      <w:r w:rsidR="00A03DD0">
        <w:rPr>
          <w:snapToGrid w:val="0"/>
        </w:rPr>
        <w:t>tween 12 August 2020 and 4 February</w:t>
      </w:r>
      <w:r>
        <w:rPr>
          <w:snapToGrid w:val="0"/>
        </w:rPr>
        <w:t xml:space="preserve"> 2021 eligibility for location allowance under Chapter 16 Part 2A of the Principal Determination as though the amendments in Schedule 1 had commenced from 12 August 2020. </w:t>
      </w:r>
    </w:p>
    <w:p w14:paraId="7BAC7350" w14:textId="1FBDA8FF" w:rsidR="009446B6" w:rsidRDefault="009446B6" w:rsidP="009446B6">
      <w:pPr>
        <w:pStyle w:val="Sectiontext"/>
        <w:rPr>
          <w:snapToGrid w:val="0"/>
        </w:rPr>
      </w:pPr>
      <w:r w:rsidRPr="1A48E728">
        <w:rPr>
          <w:rFonts w:eastAsia="Arial" w:cs="Arial"/>
          <w:color w:val="000000" w:themeColor="text1"/>
        </w:rPr>
        <w:t xml:space="preserve">Decisions that are made under the Principal Determination, as amended by this Determination, may be subject to inquiry under the ADF redress of grievance system provided under Part 7 of the </w:t>
      </w:r>
      <w:r w:rsidRPr="1A48E728">
        <w:rPr>
          <w:rFonts w:eastAsia="Arial" w:cs="Arial"/>
          <w:i/>
          <w:iCs/>
          <w:color w:val="000000" w:themeColor="text1"/>
        </w:rPr>
        <w:t>Defence Regulation 2016</w:t>
      </w:r>
      <w:r w:rsidRPr="1A48E728">
        <w:rPr>
          <w:rFonts w:eastAsia="Arial" w:cs="Arial"/>
          <w:color w:val="000000" w:themeColor="text1"/>
        </w:rPr>
        <w:t>. Also, a person may make a complaint to the Defence Force Ombudsman</w:t>
      </w:r>
    </w:p>
    <w:p w14:paraId="7E3990D4" w14:textId="77777777" w:rsidR="001E51FE" w:rsidRPr="0021243D" w:rsidRDefault="001E51FE" w:rsidP="001E51FE">
      <w:pPr>
        <w:pStyle w:val="Sectiontext"/>
        <w:jc w:val="center"/>
        <w:rPr>
          <w:rFonts w:cs="Arial"/>
          <w:snapToGrid w:val="0"/>
          <w:color w:val="000000"/>
        </w:rPr>
      </w:pPr>
      <w:r w:rsidRPr="0021243D">
        <w:rPr>
          <w:rFonts w:cs="Arial"/>
          <w:b/>
          <w:color w:val="000000"/>
        </w:rPr>
        <w:t>Consultation</w:t>
      </w:r>
    </w:p>
    <w:p w14:paraId="3546EA90" w14:textId="77777777" w:rsidR="009446B6" w:rsidRDefault="009446B6" w:rsidP="00E56EBF">
      <w:pPr>
        <w:pStyle w:val="Sectiontext"/>
        <w:rPr>
          <w:snapToGrid w:val="0"/>
        </w:rPr>
      </w:pPr>
      <w:r w:rsidRPr="008848EF">
        <w:rPr>
          <w:snapToGrid w:val="0"/>
        </w:rPr>
        <w:t>Consultation was undertaken with the Army</w:t>
      </w:r>
      <w:r>
        <w:rPr>
          <w:snapToGrid w:val="0"/>
        </w:rPr>
        <w:t>, Navy</w:t>
      </w:r>
      <w:r w:rsidRPr="008848EF">
        <w:rPr>
          <w:snapToGrid w:val="0"/>
        </w:rPr>
        <w:t xml:space="preserve"> and Air Force during the development of </w:t>
      </w:r>
      <w:r>
        <w:rPr>
          <w:snapToGrid w:val="0"/>
        </w:rPr>
        <w:t xml:space="preserve">Schedule 1. </w:t>
      </w:r>
    </w:p>
    <w:p w14:paraId="39E4BCE2" w14:textId="77777777" w:rsidR="009446B6" w:rsidRDefault="009446B6" w:rsidP="00E56EBF">
      <w:pPr>
        <w:pStyle w:val="Sectiontext"/>
        <w:rPr>
          <w:rStyle w:val="normaltextrun"/>
          <w:rFonts w:cs="Arial"/>
          <w:color w:val="000000"/>
          <w:shd w:val="clear" w:color="auto" w:fill="FFFFFF"/>
        </w:rPr>
      </w:pPr>
      <w:r>
        <w:rPr>
          <w:snapToGrid w:val="0"/>
        </w:rPr>
        <w:t xml:space="preserve">Consultation </w:t>
      </w:r>
      <w:r w:rsidRPr="00A575F1">
        <w:rPr>
          <w:snapToGrid w:val="0"/>
        </w:rPr>
        <w:t xml:space="preserve">was undertaken with the </w:t>
      </w:r>
      <w:r>
        <w:rPr>
          <w:rStyle w:val="normaltextrun"/>
          <w:rFonts w:cs="Arial"/>
          <w:color w:val="000000"/>
          <w:shd w:val="clear" w:color="auto" w:fill="FFFFFF"/>
        </w:rPr>
        <w:t xml:space="preserve">Navy, Army and Air Force, the Directorate of Attaché and Overseas Management during the development of Schedules 2 and 3. </w:t>
      </w:r>
    </w:p>
    <w:p w14:paraId="7CCA6474" w14:textId="55A349FE" w:rsidR="001E51FE" w:rsidRPr="00A575F1" w:rsidRDefault="001E51FE" w:rsidP="00A575F1">
      <w:pPr>
        <w:pStyle w:val="Sectiontext"/>
        <w:rPr>
          <w:snapToGrid w:val="0"/>
        </w:rPr>
      </w:pPr>
      <w:r w:rsidRPr="00A575F1">
        <w:rPr>
          <w:snapToGrid w:val="0"/>
        </w:rPr>
        <w:t>The rule</w:t>
      </w:r>
      <w:r w:rsidR="00EC45EE" w:rsidRPr="00A575F1">
        <w:rPr>
          <w:snapToGrid w:val="0"/>
        </w:rPr>
        <w:t xml:space="preserve"> </w:t>
      </w:r>
      <w:r w:rsidRPr="00A575F1">
        <w:rPr>
          <w:snapToGrid w:val="0"/>
        </w:rPr>
        <w:t>maker was satisfied that further external consultation was not required</w:t>
      </w:r>
      <w:r w:rsidR="00A575F1">
        <w:rPr>
          <w:snapToGrid w:val="0"/>
        </w:rPr>
        <w:t>.</w:t>
      </w:r>
    </w:p>
    <w:p w14:paraId="7B7CB0E8" w14:textId="77777777" w:rsidR="001E51FE" w:rsidRPr="00CA5BE0" w:rsidRDefault="001E51FE" w:rsidP="001E51FE">
      <w:pPr>
        <w:autoSpaceDE w:val="0"/>
        <w:autoSpaceDN w:val="0"/>
        <w:adjustRightInd w:val="0"/>
        <w:rPr>
          <w:snapToGrid w:val="0"/>
          <w:sz w:val="20"/>
        </w:rPr>
      </w:pPr>
    </w:p>
    <w:p w14:paraId="799BB920" w14:textId="77777777" w:rsidR="001E51FE" w:rsidRDefault="001E51FE" w:rsidP="001E51FE">
      <w:pPr>
        <w:pStyle w:val="Sectiontext"/>
      </w:pPr>
    </w:p>
    <w:p w14:paraId="661A02C6" w14:textId="77777777" w:rsidR="001E51FE" w:rsidRDefault="001E51FE" w:rsidP="001E51FE">
      <w:pPr>
        <w:pStyle w:val="Sectiontext"/>
        <w:jc w:val="right"/>
      </w:pPr>
      <w:r>
        <w:rPr>
          <w:b/>
        </w:rPr>
        <w:t>Authority:</w:t>
      </w:r>
      <w:r>
        <w:t xml:space="preserve">  Section 58B of the </w:t>
      </w:r>
      <w:r>
        <w:br/>
      </w:r>
      <w:r>
        <w:rPr>
          <w:i/>
        </w:rPr>
        <w:t>Defence Act 1903</w:t>
      </w:r>
    </w:p>
    <w:p w14:paraId="0EE95367" w14:textId="77777777" w:rsidR="001E51FE" w:rsidRPr="00370A0E" w:rsidRDefault="001E51FE" w:rsidP="001E51FE">
      <w:pPr>
        <w:pStyle w:val="Sectiontext"/>
        <w:jc w:val="center"/>
        <w:rPr>
          <w:b/>
          <w:color w:val="FF0000"/>
        </w:rPr>
      </w:pPr>
    </w:p>
    <w:p w14:paraId="2831585B" w14:textId="77777777" w:rsidR="001E51FE" w:rsidRDefault="001E51FE" w:rsidP="001E51FE">
      <w:pPr>
        <w:pStyle w:val="Sectiontext"/>
        <w:jc w:val="center"/>
        <w:rPr>
          <w:b/>
        </w:rPr>
        <w:sectPr w:rsidR="001E51FE" w:rsidSect="008417DF">
          <w:footerReference w:type="default" r:id="rId11"/>
          <w:headerReference w:type="first" r:id="rId12"/>
          <w:footerReference w:type="first" r:id="rId13"/>
          <w:pgSz w:w="11907" w:h="16839"/>
          <w:pgMar w:top="1134" w:right="1134" w:bottom="992" w:left="1418" w:header="720" w:footer="709" w:gutter="0"/>
          <w:pgNumType w:start="1"/>
          <w:cols w:space="708"/>
          <w:titlePg/>
          <w:docGrid w:linePitch="360"/>
        </w:sectPr>
      </w:pPr>
    </w:p>
    <w:p w14:paraId="08176EE8" w14:textId="77777777" w:rsidR="001E51FE" w:rsidRPr="00A575F1" w:rsidRDefault="001E51FE" w:rsidP="00A575F1">
      <w:pPr>
        <w:pStyle w:val="Sectiontext"/>
        <w:rPr>
          <w:snapToGrid w:val="0"/>
        </w:rPr>
      </w:pPr>
      <w:r w:rsidRPr="00A575F1">
        <w:rPr>
          <w:snapToGrid w:val="0"/>
        </w:rPr>
        <w:t xml:space="preserve">This Determination is compatible with the human rights and freedoms recognised or declared in the international instruments listed in section 3 of the </w:t>
      </w:r>
      <w:r w:rsidRPr="00C62CCC">
        <w:rPr>
          <w:i/>
          <w:iCs/>
          <w:snapToGrid w:val="0"/>
        </w:rPr>
        <w:t>Human Rights (Parliamentary Scrutiny) Act 2011</w:t>
      </w:r>
      <w:r w:rsidRPr="00A575F1">
        <w:rPr>
          <w:snapToGrid w:val="0"/>
        </w:rPr>
        <w:t>.</w:t>
      </w:r>
    </w:p>
    <w:p w14:paraId="06067794" w14:textId="77777777" w:rsidR="001E51FE" w:rsidRPr="0021243D" w:rsidRDefault="001E51FE" w:rsidP="001E51FE">
      <w:pPr>
        <w:spacing w:after="200"/>
        <w:rPr>
          <w:rFonts w:ascii="Arial" w:hAnsi="Arial" w:cs="Arial"/>
          <w:b/>
          <w:sz w:val="20"/>
        </w:rPr>
      </w:pPr>
      <w:r w:rsidRPr="0021243D">
        <w:rPr>
          <w:rFonts w:ascii="Arial" w:hAnsi="Arial" w:cs="Arial"/>
          <w:b/>
          <w:sz w:val="20"/>
        </w:rPr>
        <w:t>Overview of the Determination</w:t>
      </w:r>
    </w:p>
    <w:p w14:paraId="4523E5CC" w14:textId="5511FF80" w:rsidR="009446B6" w:rsidRPr="00A575F1" w:rsidRDefault="009446B6" w:rsidP="009446B6">
      <w:pPr>
        <w:pStyle w:val="Sectiontext"/>
        <w:rPr>
          <w:snapToGrid w:val="0"/>
        </w:rPr>
      </w:pPr>
      <w:r>
        <w:rPr>
          <w:snapToGrid w:val="0"/>
        </w:rPr>
        <w:t>The purpose of</w:t>
      </w:r>
      <w:r w:rsidRPr="00A575F1">
        <w:rPr>
          <w:snapToGrid w:val="0"/>
        </w:rPr>
        <w:t xml:space="preserve"> </w:t>
      </w:r>
      <w:r>
        <w:rPr>
          <w:snapToGrid w:val="0"/>
        </w:rPr>
        <w:t>Schedule</w:t>
      </w:r>
      <w:r w:rsidRPr="00A575F1">
        <w:rPr>
          <w:snapToGrid w:val="0"/>
        </w:rPr>
        <w:t xml:space="preserve"> </w:t>
      </w:r>
      <w:r>
        <w:rPr>
          <w:snapToGrid w:val="0"/>
        </w:rPr>
        <w:t xml:space="preserve">1 </w:t>
      </w:r>
      <w:r w:rsidRPr="00A575F1">
        <w:rPr>
          <w:snapToGrid w:val="0"/>
        </w:rPr>
        <w:t>is to</w:t>
      </w:r>
      <w:r>
        <w:rPr>
          <w:rFonts w:cs="Arial"/>
          <w:color w:val="000000"/>
          <w:shd w:val="clear" w:color="auto" w:fill="FFFFFF"/>
        </w:rPr>
        <w:t xml:space="preserve"> provide salary non-reduction for members affected by the termination of the Examiner Psychological employment category. The provisions ensure affected members' salaries are not reduced for a period of five years. The Schedule also</w:t>
      </w:r>
      <w:r w:rsidRPr="00A575F1">
        <w:rPr>
          <w:snapToGrid w:val="0"/>
        </w:rPr>
        <w:t xml:space="preserve"> </w:t>
      </w:r>
      <w:r>
        <w:rPr>
          <w:snapToGrid w:val="0"/>
        </w:rPr>
        <w:t xml:space="preserve">removes from the Principal Determination specific entries for salary non-reduction periods </w:t>
      </w:r>
      <w:r w:rsidR="008B15C0">
        <w:rPr>
          <w:snapToGrid w:val="0"/>
        </w:rPr>
        <w:t>that</w:t>
      </w:r>
      <w:bookmarkStart w:id="0" w:name="_GoBack"/>
      <w:bookmarkEnd w:id="0"/>
      <w:r>
        <w:rPr>
          <w:snapToGrid w:val="0"/>
        </w:rPr>
        <w:t xml:space="preserve"> have expired, as they no longer need to appear after this date.</w:t>
      </w:r>
    </w:p>
    <w:p w14:paraId="36575265" w14:textId="7E18D7F7" w:rsidR="009446B6" w:rsidRPr="000B4A17" w:rsidRDefault="009446B6" w:rsidP="009446B6">
      <w:pPr>
        <w:pStyle w:val="Sectiontext"/>
      </w:pPr>
      <w:r w:rsidRPr="00A575F1">
        <w:rPr>
          <w:snapToGrid w:val="0"/>
        </w:rPr>
        <w:t>The purpose of</w:t>
      </w:r>
      <w:r>
        <w:rPr>
          <w:snapToGrid w:val="0"/>
        </w:rPr>
        <w:t xml:space="preserve"> Schedules 2 and 3 are to </w:t>
      </w:r>
      <w:r w:rsidRPr="000B4A17">
        <w:rPr>
          <w:rFonts w:eastAsia="Arial" w:cs="Arial"/>
        </w:rPr>
        <w:t xml:space="preserve">include </w:t>
      </w:r>
      <w:r>
        <w:rPr>
          <w:rFonts w:eastAsia="Arial" w:cs="Arial"/>
        </w:rPr>
        <w:t>a new</w:t>
      </w:r>
      <w:r w:rsidRPr="000B4A17">
        <w:rPr>
          <w:rFonts w:eastAsia="Arial" w:cs="Arial"/>
        </w:rPr>
        <w:t xml:space="preserve"> posting index location and </w:t>
      </w:r>
      <w:r>
        <w:rPr>
          <w:rFonts w:eastAsia="Arial" w:cs="Arial"/>
        </w:rPr>
        <w:t xml:space="preserve">to add and </w:t>
      </w:r>
      <w:r w:rsidRPr="000B4A17">
        <w:rPr>
          <w:rFonts w:eastAsia="Arial" w:cs="Arial"/>
        </w:rPr>
        <w:t xml:space="preserve">update the hardship locations conditions of service </w:t>
      </w:r>
      <w:r>
        <w:rPr>
          <w:rFonts w:eastAsia="Arial" w:cs="Arial"/>
        </w:rPr>
        <w:t>for</w:t>
      </w:r>
      <w:r w:rsidRPr="000B4A17">
        <w:rPr>
          <w:rFonts w:eastAsia="Arial" w:cs="Arial"/>
        </w:rPr>
        <w:t xml:space="preserve"> </w:t>
      </w:r>
      <w:r>
        <w:rPr>
          <w:rFonts w:eastAsia="Arial" w:cs="Arial"/>
        </w:rPr>
        <w:t>three</w:t>
      </w:r>
      <w:r w:rsidRPr="000B4A17">
        <w:rPr>
          <w:rFonts w:eastAsia="Arial" w:cs="Arial"/>
        </w:rPr>
        <w:t xml:space="preserve"> posting location</w:t>
      </w:r>
      <w:r>
        <w:rPr>
          <w:rFonts w:eastAsia="Arial" w:cs="Arial"/>
        </w:rPr>
        <w:t>s</w:t>
      </w:r>
      <w:r w:rsidRPr="000B4A17">
        <w:rPr>
          <w:rFonts w:eastAsia="Arial" w:cs="Arial"/>
        </w:rPr>
        <w:t>: Laos</w:t>
      </w:r>
      <w:r>
        <w:rPr>
          <w:rFonts w:eastAsia="Arial" w:cs="Arial"/>
        </w:rPr>
        <w:t>, Greece and Romania, which are new hardship locations.</w:t>
      </w:r>
      <w:r w:rsidRPr="000B4A17">
        <w:rPr>
          <w:rFonts w:eastAsia="Arial" w:cs="Arial"/>
        </w:rPr>
        <w:t xml:space="preserve"> </w:t>
      </w:r>
      <w:r>
        <w:rPr>
          <w:rFonts w:eastAsia="Arial" w:cs="Arial"/>
        </w:rPr>
        <w:t xml:space="preserve"> A transitional provision is provided so that members who were posted to, and performed duty in, Greece or Romania are eligible for hardship location benefits for duty performed since 12 August 2020.</w:t>
      </w:r>
    </w:p>
    <w:p w14:paraId="38FFFAF4" w14:textId="2FF8AB9A" w:rsidR="001E51FE" w:rsidRDefault="001E51FE" w:rsidP="001E51FE">
      <w:pPr>
        <w:spacing w:after="200"/>
        <w:rPr>
          <w:rFonts w:ascii="Arial" w:hAnsi="Arial" w:cs="Arial"/>
          <w:b/>
          <w:sz w:val="20"/>
        </w:rPr>
      </w:pPr>
      <w:r w:rsidRPr="0021243D">
        <w:rPr>
          <w:rFonts w:ascii="Arial" w:hAnsi="Arial" w:cs="Arial"/>
          <w:b/>
          <w:sz w:val="20"/>
        </w:rPr>
        <w:t>Human rights implications</w:t>
      </w:r>
    </w:p>
    <w:p w14:paraId="384D99C7" w14:textId="77777777" w:rsidR="00B458D9" w:rsidRPr="00111460" w:rsidRDefault="00B458D9" w:rsidP="00B458D9">
      <w:pPr>
        <w:shd w:val="clear" w:color="auto" w:fill="FFFFFF"/>
        <w:spacing w:after="200"/>
        <w:rPr>
          <w:rFonts w:eastAsia="Times New Roman" w:cs="Times New Roman"/>
          <w:color w:val="000000"/>
          <w:szCs w:val="22"/>
          <w:lang w:eastAsia="en-AU"/>
        </w:rPr>
      </w:pPr>
      <w:r w:rsidRPr="00111460">
        <w:rPr>
          <w:rFonts w:ascii="Arial" w:eastAsia="Times New Roman" w:hAnsi="Arial" w:cs="Arial"/>
          <w:i/>
          <w:iCs/>
          <w:color w:val="000000"/>
          <w:sz w:val="20"/>
          <w:lang w:eastAsia="en-AU"/>
        </w:rPr>
        <w:t>Right to the enjoyment of just and favourable conditions of work</w:t>
      </w:r>
    </w:p>
    <w:p w14:paraId="14113406" w14:textId="77777777" w:rsidR="00B458D9" w:rsidRPr="00111460" w:rsidRDefault="00B458D9" w:rsidP="00B458D9">
      <w:pPr>
        <w:shd w:val="clear" w:color="auto" w:fill="FFFFFF"/>
        <w:spacing w:after="200" w:line="240" w:lineRule="auto"/>
        <w:rPr>
          <w:rFonts w:ascii="Arial" w:eastAsia="Times New Roman" w:hAnsi="Arial" w:cs="Arial"/>
          <w:color w:val="000000"/>
          <w:sz w:val="20"/>
          <w:lang w:eastAsia="en-AU"/>
        </w:rPr>
      </w:pPr>
      <w:r w:rsidRPr="00111460">
        <w:rPr>
          <w:rFonts w:ascii="Arial" w:eastAsia="Times New Roman" w:hAnsi="Arial" w:cs="Arial"/>
          <w:color w:val="000000"/>
          <w:sz w:val="20"/>
          <w:lang w:eastAsia="en-AU"/>
        </w:rPr>
        <w:t>The protection of a person's right to remuneration engages Article 7 of the International Covenant on Economic, Social and Cultural Rights. Article 7 guarantees just and favourable conditions of work, including remuneration, safe and healthy conditions, equal opportunity and reasonable limitations.</w:t>
      </w:r>
    </w:p>
    <w:p w14:paraId="73057DA7" w14:textId="77777777" w:rsidR="00B458D9" w:rsidRPr="00111460" w:rsidRDefault="00B458D9" w:rsidP="00B458D9">
      <w:pPr>
        <w:shd w:val="clear" w:color="auto" w:fill="FFFFFF"/>
        <w:spacing w:after="200"/>
        <w:rPr>
          <w:rFonts w:eastAsia="Times New Roman" w:cs="Times New Roman"/>
          <w:color w:val="000000"/>
          <w:szCs w:val="22"/>
          <w:lang w:eastAsia="en-AU"/>
        </w:rPr>
      </w:pPr>
      <w:r w:rsidRPr="00111460">
        <w:rPr>
          <w:rFonts w:ascii="Arial" w:eastAsia="Times New Roman" w:hAnsi="Arial" w:cs="Arial"/>
          <w:i/>
          <w:iCs/>
          <w:color w:val="000000"/>
          <w:sz w:val="20"/>
          <w:lang w:eastAsia="en-AU"/>
        </w:rPr>
        <w:t>Right to an adequate standard of living</w:t>
      </w:r>
    </w:p>
    <w:p w14:paraId="34B267B4" w14:textId="464F39E0" w:rsidR="00B458D9" w:rsidRDefault="00B458D9" w:rsidP="00B458D9">
      <w:pPr>
        <w:pStyle w:val="Sectiontext"/>
        <w:rPr>
          <w:snapToGrid w:val="0"/>
        </w:rPr>
      </w:pPr>
      <w:r w:rsidRPr="0020660F">
        <w:rPr>
          <w:snapToGrid w:val="0"/>
        </w:rPr>
        <w:t>The protection of a person's right to an adequate standard of living engages Article 11 of the International Covenant on Economic, Social and Cultural Rights. Article 11 recognises the right of everyone to an adequate standard of living for them and their family, including adequate food, clothing and housing, and to the continuous improvement of living conditions.</w:t>
      </w:r>
    </w:p>
    <w:p w14:paraId="766588B7" w14:textId="3E6553E2" w:rsidR="009446B6" w:rsidRPr="00BF6FB6" w:rsidRDefault="009446B6" w:rsidP="009446B6">
      <w:pPr>
        <w:spacing w:after="200" w:line="240" w:lineRule="auto"/>
        <w:rPr>
          <w:rFonts w:ascii="Arial" w:hAnsi="Arial" w:cs="Arial"/>
          <w:sz w:val="20"/>
        </w:rPr>
      </w:pPr>
      <w:r>
        <w:rPr>
          <w:rFonts w:ascii="Arial" w:hAnsi="Arial" w:cs="Arial"/>
          <w:sz w:val="20"/>
        </w:rPr>
        <w:t>Schedule 1 promotes the right to just and favourable conditions of work by ensuring that the members who are affected by the termination of their employment category have sufficient time to transition to a different employment category that advances their skill grade and remuneration to an equivalent level.</w:t>
      </w:r>
    </w:p>
    <w:p w14:paraId="16C06914" w14:textId="2BFD63AB" w:rsidR="009446B6" w:rsidRDefault="009446B6" w:rsidP="009446B6">
      <w:pPr>
        <w:spacing w:line="240" w:lineRule="auto"/>
        <w:textAlignment w:val="baseline"/>
        <w:rPr>
          <w:rFonts w:ascii="Arial" w:eastAsia="Times New Roman" w:hAnsi="Arial" w:cs="Arial"/>
          <w:sz w:val="20"/>
        </w:rPr>
      </w:pPr>
      <w:r>
        <w:rPr>
          <w:rFonts w:ascii="Arial" w:eastAsia="Times New Roman" w:hAnsi="Arial" w:cs="Arial"/>
          <w:sz w:val="20"/>
        </w:rPr>
        <w:t>Schedules 2 and 3 advice</w:t>
      </w:r>
      <w:r w:rsidRPr="004E37D5">
        <w:rPr>
          <w:rFonts w:ascii="Arial" w:eastAsia="Times New Roman" w:hAnsi="Arial" w:cs="Arial"/>
          <w:sz w:val="20"/>
        </w:rPr>
        <w:t xml:space="preserve"> </w:t>
      </w:r>
      <w:r>
        <w:rPr>
          <w:rFonts w:ascii="Arial" w:eastAsia="Times New Roman" w:hAnsi="Arial" w:cs="Arial"/>
          <w:sz w:val="20"/>
        </w:rPr>
        <w:t>human rights by</w:t>
      </w:r>
      <w:r w:rsidRPr="004E37D5">
        <w:rPr>
          <w:rFonts w:ascii="Arial" w:eastAsia="Times New Roman" w:hAnsi="Arial" w:cs="Arial"/>
          <w:sz w:val="20"/>
        </w:rPr>
        <w:t xml:space="preserve"> providing</w:t>
      </w:r>
      <w:r>
        <w:rPr>
          <w:rFonts w:ascii="Arial" w:eastAsia="Times New Roman" w:hAnsi="Arial" w:cs="Arial"/>
          <w:sz w:val="20"/>
        </w:rPr>
        <w:t xml:space="preserve"> additional</w:t>
      </w:r>
      <w:r w:rsidRPr="004E37D5">
        <w:rPr>
          <w:rFonts w:ascii="Arial" w:eastAsia="Times New Roman" w:hAnsi="Arial" w:cs="Arial"/>
          <w:sz w:val="20"/>
        </w:rPr>
        <w:t xml:space="preserve"> </w:t>
      </w:r>
      <w:r>
        <w:rPr>
          <w:rFonts w:ascii="Arial" w:eastAsia="Times New Roman" w:hAnsi="Arial" w:cs="Arial"/>
          <w:sz w:val="20"/>
        </w:rPr>
        <w:t>assistance</w:t>
      </w:r>
      <w:r w:rsidRPr="004E37D5">
        <w:rPr>
          <w:rFonts w:ascii="Arial" w:eastAsia="Times New Roman" w:hAnsi="Arial" w:cs="Arial"/>
          <w:sz w:val="20"/>
        </w:rPr>
        <w:t xml:space="preserve"> to a member </w:t>
      </w:r>
      <w:r>
        <w:rPr>
          <w:rFonts w:ascii="Arial" w:eastAsia="Times New Roman" w:hAnsi="Arial" w:cs="Arial"/>
          <w:sz w:val="20"/>
        </w:rPr>
        <w:t>performing duty in</w:t>
      </w:r>
      <w:r w:rsidRPr="004E37D5">
        <w:rPr>
          <w:rFonts w:ascii="Arial" w:eastAsia="Times New Roman" w:hAnsi="Arial" w:cs="Arial"/>
          <w:sz w:val="20"/>
        </w:rPr>
        <w:t xml:space="preserve"> </w:t>
      </w:r>
      <w:r>
        <w:rPr>
          <w:rFonts w:ascii="Arial" w:eastAsia="Times New Roman" w:hAnsi="Arial" w:cs="Arial"/>
          <w:sz w:val="20"/>
        </w:rPr>
        <w:t>Greece, Laos or Romania that goes beyond assistance provided for normal overseas conditions of service so that the member and their dependants are compensated for the difficulties or hardships they can experience while performing duty in a hardship location.</w:t>
      </w:r>
    </w:p>
    <w:p w14:paraId="36BACBBE" w14:textId="77777777" w:rsidR="009446B6" w:rsidRDefault="009446B6" w:rsidP="001E51FE">
      <w:pPr>
        <w:spacing w:after="200"/>
        <w:rPr>
          <w:rFonts w:ascii="Arial" w:hAnsi="Arial" w:cs="Arial"/>
          <w:b/>
          <w:sz w:val="20"/>
        </w:rPr>
      </w:pPr>
    </w:p>
    <w:p w14:paraId="494DEA52" w14:textId="2F8FB260" w:rsidR="001E51FE" w:rsidRPr="0021243D" w:rsidRDefault="001E51FE" w:rsidP="001E51FE">
      <w:pPr>
        <w:spacing w:after="200"/>
        <w:rPr>
          <w:rFonts w:ascii="Arial" w:hAnsi="Arial" w:cs="Arial"/>
          <w:b/>
          <w:sz w:val="20"/>
        </w:rPr>
      </w:pPr>
      <w:r w:rsidRPr="0021243D">
        <w:rPr>
          <w:rFonts w:ascii="Arial" w:hAnsi="Arial" w:cs="Arial"/>
          <w:b/>
          <w:sz w:val="20"/>
        </w:rPr>
        <w:t>Conclusion</w:t>
      </w:r>
    </w:p>
    <w:p w14:paraId="1D77FC50" w14:textId="026F4646" w:rsidR="001E51FE" w:rsidRPr="00A575F1" w:rsidRDefault="001E51FE" w:rsidP="00A575F1">
      <w:pPr>
        <w:pStyle w:val="Sectiontext"/>
        <w:rPr>
          <w:snapToGrid w:val="0"/>
        </w:rPr>
      </w:pPr>
      <w:r w:rsidRPr="00A575F1">
        <w:rPr>
          <w:snapToGrid w:val="0"/>
        </w:rPr>
        <w:t>This Determination is compatible with human rights because</w:t>
      </w:r>
      <w:r w:rsidR="009B118E">
        <w:rPr>
          <w:snapToGrid w:val="0"/>
        </w:rPr>
        <w:t>, to the extent that it engages with human rights,</w:t>
      </w:r>
      <w:r w:rsidRPr="00A575F1">
        <w:rPr>
          <w:snapToGrid w:val="0"/>
        </w:rPr>
        <w:t xml:space="preserve"> it advances the</w:t>
      </w:r>
      <w:r w:rsidR="009B118E">
        <w:rPr>
          <w:snapToGrid w:val="0"/>
        </w:rPr>
        <w:t>ir</w:t>
      </w:r>
      <w:r w:rsidRPr="00A575F1">
        <w:rPr>
          <w:snapToGrid w:val="0"/>
        </w:rPr>
        <w:t xml:space="preserve"> protection.</w:t>
      </w:r>
    </w:p>
    <w:p w14:paraId="1B4769FF" w14:textId="77777777" w:rsidR="001E51FE" w:rsidRPr="00A575F1" w:rsidRDefault="001E51FE" w:rsidP="00A575F1">
      <w:pPr>
        <w:pStyle w:val="Sectiontext"/>
        <w:rPr>
          <w:snapToGrid w:val="0"/>
        </w:rPr>
      </w:pPr>
    </w:p>
    <w:p w14:paraId="1DBA1602" w14:textId="703CFACC" w:rsidR="001E51FE" w:rsidRPr="0021243D" w:rsidRDefault="00B55885" w:rsidP="666828C3">
      <w:pPr>
        <w:spacing w:after="200"/>
        <w:jc w:val="center"/>
        <w:rPr>
          <w:rFonts w:ascii="Arial" w:hAnsi="Arial" w:cs="Arial"/>
          <w:sz w:val="20"/>
        </w:rPr>
      </w:pPr>
      <w:r>
        <w:rPr>
          <w:rFonts w:ascii="Arial" w:hAnsi="Arial" w:cs="Arial"/>
          <w:sz w:val="20"/>
        </w:rPr>
        <w:t>Fiona Louise McSpeerin,</w:t>
      </w:r>
      <w:r w:rsidR="0070441E">
        <w:rPr>
          <w:rFonts w:ascii="Arial" w:hAnsi="Arial" w:cs="Arial"/>
          <w:sz w:val="20"/>
        </w:rPr>
        <w:t xml:space="preserve"> </w:t>
      </w:r>
      <w:r w:rsidR="001E51FE" w:rsidRPr="666828C3">
        <w:rPr>
          <w:rFonts w:ascii="Arial" w:hAnsi="Arial" w:cs="Arial"/>
          <w:sz w:val="20"/>
        </w:rPr>
        <w:t>Assistant Secretary People Policy and Employment Conditions</w:t>
      </w:r>
    </w:p>
    <w:p w14:paraId="4D3CB653" w14:textId="77777777" w:rsidR="001E51FE" w:rsidRPr="00D15A4D" w:rsidRDefault="001E51FE" w:rsidP="00C22E9F">
      <w:pPr>
        <w:pStyle w:val="subsection"/>
        <w:ind w:left="0" w:firstLine="0"/>
      </w:pPr>
    </w:p>
    <w:sectPr w:rsidR="001E51FE" w:rsidRPr="00D15A4D" w:rsidSect="008417DF">
      <w:headerReference w:type="first" r:id="rId14"/>
      <w:pgSz w:w="11907" w:h="16839"/>
      <w:pgMar w:top="1134" w:right="1134" w:bottom="992" w:left="1418" w:header="720"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D8FC35" w14:textId="77777777" w:rsidR="009B22D7" w:rsidRDefault="009B22D7" w:rsidP="0048364F">
      <w:pPr>
        <w:spacing w:line="240" w:lineRule="auto"/>
      </w:pPr>
      <w:r>
        <w:separator/>
      </w:r>
    </w:p>
  </w:endnote>
  <w:endnote w:type="continuationSeparator" w:id="0">
    <w:p w14:paraId="6F58B15C" w14:textId="77777777" w:rsidR="009B22D7" w:rsidRDefault="009B22D7" w:rsidP="0048364F">
      <w:pPr>
        <w:spacing w:line="240" w:lineRule="auto"/>
      </w:pPr>
      <w:r>
        <w:continuationSeparator/>
      </w:r>
    </w:p>
  </w:endnote>
  <w:endnote w:type="continuationNotice" w:id="1">
    <w:p w14:paraId="0C9E0620" w14:textId="77777777" w:rsidR="00761BA3" w:rsidRDefault="00761BA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00000003" w:usb1="00000000" w:usb2="00000000" w:usb3="00000000" w:csb0="00000001" w:csb1="00000000"/>
  </w:font>
  <w:font w:name="Segoe UI">
    <w:altName w:val="Arial"/>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3120083"/>
      <w:docPartObj>
        <w:docPartGallery w:val="Page Numbers (Bottom of Page)"/>
        <w:docPartUnique/>
      </w:docPartObj>
    </w:sdtPr>
    <w:sdtEndPr>
      <w:rPr>
        <w:noProof/>
      </w:rPr>
    </w:sdtEndPr>
    <w:sdtContent>
      <w:p w14:paraId="786DDF70" w14:textId="1AB36CC3" w:rsidR="009B22D7" w:rsidRDefault="009B22D7">
        <w:pPr>
          <w:pStyle w:val="Footer"/>
          <w:jc w:val="right"/>
        </w:pPr>
        <w:r>
          <w:fldChar w:fldCharType="begin"/>
        </w:r>
        <w:r>
          <w:instrText xml:space="preserve"> PAGE   \* MERGEFORMAT </w:instrText>
        </w:r>
        <w:r>
          <w:fldChar w:fldCharType="separate"/>
        </w:r>
        <w:r w:rsidR="008B15C0">
          <w:rPr>
            <w:noProof/>
          </w:rPr>
          <w:t>2</w:t>
        </w:r>
        <w:r>
          <w:rPr>
            <w:noProof/>
          </w:rPr>
          <w:fldChar w:fldCharType="end"/>
        </w:r>
      </w:p>
    </w:sdtContent>
  </w:sdt>
  <w:p w14:paraId="080BA358" w14:textId="77777777" w:rsidR="009B22D7" w:rsidRPr="00ED79B6" w:rsidRDefault="009B22D7" w:rsidP="007A6863">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6602690"/>
      <w:docPartObj>
        <w:docPartGallery w:val="Page Numbers (Bottom of Page)"/>
        <w:docPartUnique/>
      </w:docPartObj>
    </w:sdtPr>
    <w:sdtEndPr>
      <w:rPr>
        <w:noProof/>
      </w:rPr>
    </w:sdtEndPr>
    <w:sdtContent>
      <w:p w14:paraId="15A37926" w14:textId="13EE375D" w:rsidR="009B22D7" w:rsidRDefault="009B22D7">
        <w:pPr>
          <w:pStyle w:val="Footer"/>
          <w:jc w:val="right"/>
        </w:pPr>
        <w:r>
          <w:fldChar w:fldCharType="begin"/>
        </w:r>
        <w:r>
          <w:instrText xml:space="preserve"> PAGE   \* MERGEFORMAT </w:instrText>
        </w:r>
        <w:r>
          <w:fldChar w:fldCharType="separate"/>
        </w:r>
        <w:r w:rsidR="008B15C0">
          <w:rPr>
            <w:noProof/>
          </w:rPr>
          <w:t>1</w:t>
        </w:r>
        <w:r>
          <w:rPr>
            <w:noProof/>
          </w:rPr>
          <w:fldChar w:fldCharType="end"/>
        </w:r>
      </w:p>
    </w:sdtContent>
  </w:sdt>
  <w:p w14:paraId="53A836F1" w14:textId="77777777" w:rsidR="009B22D7" w:rsidRPr="00ED79B6" w:rsidRDefault="009B22D7"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02D6CE" w14:textId="77777777" w:rsidR="009B22D7" w:rsidRDefault="009B22D7" w:rsidP="0048364F">
      <w:pPr>
        <w:spacing w:line="240" w:lineRule="auto"/>
      </w:pPr>
      <w:r>
        <w:separator/>
      </w:r>
    </w:p>
  </w:footnote>
  <w:footnote w:type="continuationSeparator" w:id="0">
    <w:p w14:paraId="486BC0BB" w14:textId="77777777" w:rsidR="009B22D7" w:rsidRDefault="009B22D7" w:rsidP="0048364F">
      <w:pPr>
        <w:spacing w:line="240" w:lineRule="auto"/>
      </w:pPr>
      <w:r>
        <w:continuationSeparator/>
      </w:r>
    </w:p>
  </w:footnote>
  <w:footnote w:type="continuationNotice" w:id="1">
    <w:p w14:paraId="233AFAC8" w14:textId="77777777" w:rsidR="00761BA3" w:rsidRDefault="00761BA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9BB659" w14:textId="77777777" w:rsidR="009B22D7" w:rsidRPr="009A6866" w:rsidRDefault="009B22D7" w:rsidP="00A91D3B">
    <w:pPr>
      <w:pStyle w:val="ActHead6"/>
    </w:pPr>
    <w:r>
      <w:t>EXPLANATORY STATEMENT</w:t>
    </w:r>
  </w:p>
  <w:p w14:paraId="25430922" w14:textId="77777777" w:rsidR="009B22D7" w:rsidRDefault="009B22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D855B" w14:textId="77777777" w:rsidR="009B22D7" w:rsidRPr="00B4022B" w:rsidRDefault="009B22D7" w:rsidP="001E51FE">
    <w:pPr>
      <w:pStyle w:val="Sectiontext"/>
      <w:jc w:val="center"/>
      <w:rPr>
        <w:b/>
        <w:snapToGrid w:val="0"/>
        <w:sz w:val="30"/>
        <w:szCs w:val="30"/>
      </w:rPr>
    </w:pPr>
    <w:r w:rsidRPr="00B4022B">
      <w:rPr>
        <w:b/>
        <w:snapToGrid w:val="0"/>
        <w:sz w:val="30"/>
        <w:szCs w:val="30"/>
      </w:rPr>
      <w:t>Statement of Compatibility with Human Rights</w:t>
    </w:r>
  </w:p>
  <w:p w14:paraId="2091DD2F" w14:textId="77777777" w:rsidR="009B22D7" w:rsidRDefault="009B22D7" w:rsidP="001E51FE">
    <w:pPr>
      <w:pStyle w:val="Sectiontext"/>
      <w:jc w:val="center"/>
      <w:rPr>
        <w:i/>
        <w:snapToGrid w:val="0"/>
      </w:rPr>
    </w:pPr>
    <w:r>
      <w:rPr>
        <w:i/>
        <w:snapToGrid w:val="0"/>
      </w:rPr>
      <w:t>Prepared in accordance with Part 3 of the Human Rights (Parliamentary Scrutiny) Act 2011</w:t>
    </w:r>
  </w:p>
  <w:p w14:paraId="16DF27EC" w14:textId="268797EE" w:rsidR="009B22D7" w:rsidRPr="0040214A" w:rsidRDefault="009B22D7" w:rsidP="00BC00AA">
    <w:pPr>
      <w:pStyle w:val="BlockText-Plain"/>
      <w:jc w:val="center"/>
      <w:rPr>
        <w:b/>
        <w:i/>
        <w:snapToGrid w:val="0"/>
      </w:rPr>
    </w:pPr>
    <w:r w:rsidRPr="0040214A">
      <w:rPr>
        <w:b/>
        <w:i/>
        <w:snapToGrid w:val="0"/>
      </w:rPr>
      <w:fldChar w:fldCharType="begin"/>
    </w:r>
    <w:r w:rsidRPr="009A6866">
      <w:rPr>
        <w:b/>
        <w:i/>
        <w:snapToGrid w:val="0"/>
      </w:rPr>
      <w:instrText xml:space="preserve"> STYLEREF  "Heading 6,ES-HRS Title"  \* MERGEFORMAT </w:instrText>
    </w:r>
    <w:r w:rsidRPr="0040214A">
      <w:rPr>
        <w:b/>
        <w:i/>
        <w:snapToGrid w:val="0"/>
      </w:rPr>
      <w:fldChar w:fldCharType="separate"/>
    </w:r>
    <w:r w:rsidR="008B15C0" w:rsidRPr="008B15C0">
      <w:rPr>
        <w:b/>
        <w:i/>
        <w:noProof/>
        <w:snapToGrid w:val="0"/>
        <w:lang w:val="en-US"/>
      </w:rPr>
      <w:t xml:space="preserve">Defence Determination, Conditions of service Amendment Determination 2021 </w:t>
    </w:r>
    <w:r w:rsidR="008B15C0">
      <w:rPr>
        <w:b/>
        <w:i/>
        <w:noProof/>
        <w:snapToGrid w:val="0"/>
      </w:rPr>
      <w:t>(No. 1)</w:t>
    </w:r>
    <w:r w:rsidRPr="0040214A">
      <w:rPr>
        <w:b/>
        <w:i/>
        <w:snapToGrid w:val="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85228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000DEB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9CE2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176F7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1864FC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76281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08FE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D0CD0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05E81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6F85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5368DC"/>
    <w:multiLevelType w:val="hybridMultilevel"/>
    <w:tmpl w:val="24FE771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5D5748"/>
    <w:multiLevelType w:val="hybridMultilevel"/>
    <w:tmpl w:val="3E7C74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D9A11CE"/>
    <w:multiLevelType w:val="hybridMultilevel"/>
    <w:tmpl w:val="745A13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E947A90"/>
    <w:multiLevelType w:val="hybridMultilevel"/>
    <w:tmpl w:val="0EEE1AFE"/>
    <w:lvl w:ilvl="0" w:tplc="0C090001">
      <w:start w:val="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8D42896"/>
    <w:multiLevelType w:val="hybridMultilevel"/>
    <w:tmpl w:val="5D18F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EC1605"/>
    <w:multiLevelType w:val="hybridMultilevel"/>
    <w:tmpl w:val="F82670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B03710E"/>
    <w:multiLevelType w:val="hybridMultilevel"/>
    <w:tmpl w:val="6F7076BC"/>
    <w:styleLink w:val="OPCBodyList"/>
    <w:lvl w:ilvl="0" w:tplc="04987772">
      <w:start w:val="1"/>
      <w:numFmt w:val="decimal"/>
      <w:pStyle w:val="BodyNum"/>
      <w:lvlText w:val="%1"/>
      <w:lvlJc w:val="left"/>
      <w:pPr>
        <w:tabs>
          <w:tab w:val="num" w:pos="720"/>
        </w:tabs>
        <w:ind w:left="0" w:firstLine="0"/>
      </w:pPr>
      <w:rPr>
        <w:rFonts w:hint="default"/>
      </w:rPr>
    </w:lvl>
    <w:lvl w:ilvl="1" w:tplc="E60A971E">
      <w:start w:val="1"/>
      <w:numFmt w:val="lowerLetter"/>
      <w:pStyle w:val="BodyPara"/>
      <w:lvlText w:val="(%2)"/>
      <w:lvlJc w:val="left"/>
      <w:pPr>
        <w:tabs>
          <w:tab w:val="num" w:pos="1440"/>
        </w:tabs>
        <w:ind w:left="1440" w:hanging="720"/>
      </w:pPr>
      <w:rPr>
        <w:rFonts w:hint="default"/>
      </w:rPr>
    </w:lvl>
    <w:lvl w:ilvl="2" w:tplc="F67CA686">
      <w:start w:val="1"/>
      <w:numFmt w:val="bullet"/>
      <w:lvlText w:val=""/>
      <w:lvlJc w:val="left"/>
      <w:pPr>
        <w:tabs>
          <w:tab w:val="num" w:pos="1440"/>
        </w:tabs>
        <w:ind w:left="1440" w:hanging="720"/>
      </w:pPr>
      <w:rPr>
        <w:rFonts w:ascii="Symbol" w:hAnsi="Symbol" w:hint="default"/>
      </w:rPr>
    </w:lvl>
    <w:lvl w:ilvl="3" w:tplc="F3C0AFB8">
      <w:start w:val="1"/>
      <w:numFmt w:val="lowerRoman"/>
      <w:lvlText w:val="(%4)"/>
      <w:lvlJc w:val="left"/>
      <w:pPr>
        <w:tabs>
          <w:tab w:val="num" w:pos="2160"/>
        </w:tabs>
        <w:ind w:left="2160" w:hanging="720"/>
      </w:pPr>
      <w:rPr>
        <w:rFonts w:hint="default"/>
      </w:rPr>
    </w:lvl>
    <w:lvl w:ilvl="4" w:tplc="B608D132">
      <w:start w:val="1"/>
      <w:numFmt w:val="lowerLetter"/>
      <w:lvlText w:val="(%5)"/>
      <w:lvlJc w:val="left"/>
      <w:pPr>
        <w:ind w:left="1800" w:hanging="360"/>
      </w:pPr>
      <w:rPr>
        <w:rFonts w:hint="default"/>
      </w:rPr>
    </w:lvl>
    <w:lvl w:ilvl="5" w:tplc="13B8DEDC">
      <w:start w:val="1"/>
      <w:numFmt w:val="lowerRoman"/>
      <w:lvlText w:val="(%6)"/>
      <w:lvlJc w:val="left"/>
      <w:pPr>
        <w:ind w:left="2160" w:hanging="360"/>
      </w:pPr>
      <w:rPr>
        <w:rFonts w:hint="default"/>
      </w:rPr>
    </w:lvl>
    <w:lvl w:ilvl="6" w:tplc="45426B6A">
      <w:start w:val="1"/>
      <w:numFmt w:val="decimal"/>
      <w:lvlText w:val="%7."/>
      <w:lvlJc w:val="left"/>
      <w:pPr>
        <w:ind w:left="2520" w:hanging="360"/>
      </w:pPr>
      <w:rPr>
        <w:rFonts w:hint="default"/>
      </w:rPr>
    </w:lvl>
    <w:lvl w:ilvl="7" w:tplc="4B34990C">
      <w:start w:val="1"/>
      <w:numFmt w:val="lowerLetter"/>
      <w:lvlText w:val="%8."/>
      <w:lvlJc w:val="left"/>
      <w:pPr>
        <w:ind w:left="2880" w:hanging="360"/>
      </w:pPr>
      <w:rPr>
        <w:rFonts w:hint="default"/>
      </w:rPr>
    </w:lvl>
    <w:lvl w:ilvl="8" w:tplc="EAA8F4A2">
      <w:start w:val="1"/>
      <w:numFmt w:val="lowerRoman"/>
      <w:lvlText w:val="%9."/>
      <w:lvlJc w:val="left"/>
      <w:pPr>
        <w:ind w:left="3240" w:hanging="360"/>
      </w:pPr>
      <w:rPr>
        <w:rFonts w:hint="default"/>
      </w:rPr>
    </w:lvl>
  </w:abstractNum>
  <w:abstractNum w:abstractNumId="18" w15:restartNumberingAfterBreak="0">
    <w:nsid w:val="27117C83"/>
    <w:multiLevelType w:val="hybridMultilevel"/>
    <w:tmpl w:val="0E5C47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5914C7A"/>
    <w:multiLevelType w:val="hybridMultilevel"/>
    <w:tmpl w:val="3E9A081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1" w15:restartNumberingAfterBreak="0">
    <w:nsid w:val="3B307114"/>
    <w:multiLevelType w:val="hybridMultilevel"/>
    <w:tmpl w:val="0F047F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ED821AC"/>
    <w:multiLevelType w:val="hybridMultilevel"/>
    <w:tmpl w:val="1D50E7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4313C7E"/>
    <w:multiLevelType w:val="hybridMultilevel"/>
    <w:tmpl w:val="F60A6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7926A3"/>
    <w:multiLevelType w:val="hybridMultilevel"/>
    <w:tmpl w:val="8CCA9EE6"/>
    <w:lvl w:ilvl="0" w:tplc="0C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76118FA"/>
    <w:multiLevelType w:val="hybridMultilevel"/>
    <w:tmpl w:val="ABEABC2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3432B3"/>
    <w:multiLevelType w:val="hybridMultilevel"/>
    <w:tmpl w:val="ABB612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D2D51DB"/>
    <w:multiLevelType w:val="hybridMultilevel"/>
    <w:tmpl w:val="EC46CC8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C24887"/>
    <w:multiLevelType w:val="hybridMultilevel"/>
    <w:tmpl w:val="BD68BCE0"/>
    <w:lvl w:ilvl="0" w:tplc="0C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E946308"/>
    <w:multiLevelType w:val="hybridMultilevel"/>
    <w:tmpl w:val="80222648"/>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6EC12B85"/>
    <w:multiLevelType w:val="hybridMultilevel"/>
    <w:tmpl w:val="A0D0EF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0857B69"/>
    <w:multiLevelType w:val="hybridMultilevel"/>
    <w:tmpl w:val="5BA086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0F11380"/>
    <w:multiLevelType w:val="hybridMultilevel"/>
    <w:tmpl w:val="B8540F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4D8558B"/>
    <w:multiLevelType w:val="hybridMultilevel"/>
    <w:tmpl w:val="DB2255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60617EC"/>
    <w:multiLevelType w:val="hybridMultilevel"/>
    <w:tmpl w:val="F0A201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7B81DC7"/>
    <w:multiLevelType w:val="hybridMultilevel"/>
    <w:tmpl w:val="0F28E6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F291FA6"/>
    <w:multiLevelType w:val="hybridMultilevel"/>
    <w:tmpl w:val="B39853D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10"/>
  </w:num>
  <w:num w:numId="13">
    <w:abstractNumId w:val="17"/>
  </w:num>
  <w:num w:numId="14">
    <w:abstractNumId w:val="22"/>
  </w:num>
  <w:num w:numId="15">
    <w:abstractNumId w:val="28"/>
  </w:num>
  <w:num w:numId="16">
    <w:abstractNumId w:val="23"/>
  </w:num>
  <w:num w:numId="17">
    <w:abstractNumId w:val="25"/>
  </w:num>
  <w:num w:numId="18">
    <w:abstractNumId w:val="19"/>
  </w:num>
  <w:num w:numId="19">
    <w:abstractNumId w:val="11"/>
  </w:num>
  <w:num w:numId="20">
    <w:abstractNumId w:val="27"/>
  </w:num>
  <w:num w:numId="21">
    <w:abstractNumId w:val="36"/>
  </w:num>
  <w:num w:numId="22">
    <w:abstractNumId w:val="15"/>
  </w:num>
  <w:num w:numId="23">
    <w:abstractNumId w:val="30"/>
  </w:num>
  <w:num w:numId="24">
    <w:abstractNumId w:val="24"/>
  </w:num>
  <w:num w:numId="25">
    <w:abstractNumId w:val="31"/>
  </w:num>
  <w:num w:numId="26">
    <w:abstractNumId w:val="26"/>
  </w:num>
  <w:num w:numId="27">
    <w:abstractNumId w:val="29"/>
  </w:num>
  <w:num w:numId="28">
    <w:abstractNumId w:val="35"/>
  </w:num>
  <w:num w:numId="29">
    <w:abstractNumId w:val="32"/>
  </w:num>
  <w:num w:numId="30">
    <w:abstractNumId w:val="33"/>
  </w:num>
  <w:num w:numId="31">
    <w:abstractNumId w:val="18"/>
  </w:num>
  <w:num w:numId="32">
    <w:abstractNumId w:val="14"/>
  </w:num>
  <w:num w:numId="33">
    <w:abstractNumId w:val="13"/>
  </w:num>
  <w:num w:numId="34">
    <w:abstractNumId w:val="21"/>
  </w:num>
  <w:num w:numId="35">
    <w:abstractNumId w:val="34"/>
  </w:num>
  <w:num w:numId="36">
    <w:abstractNumId w:val="12"/>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06B"/>
    <w:rsid w:val="00000263"/>
    <w:rsid w:val="00003B52"/>
    <w:rsid w:val="0000718A"/>
    <w:rsid w:val="000113BC"/>
    <w:rsid w:val="000136AF"/>
    <w:rsid w:val="00034420"/>
    <w:rsid w:val="0004044E"/>
    <w:rsid w:val="0005120E"/>
    <w:rsid w:val="00054577"/>
    <w:rsid w:val="00055E37"/>
    <w:rsid w:val="000614BF"/>
    <w:rsid w:val="0007169C"/>
    <w:rsid w:val="00073276"/>
    <w:rsid w:val="00077593"/>
    <w:rsid w:val="00083F48"/>
    <w:rsid w:val="000844C4"/>
    <w:rsid w:val="000A479A"/>
    <w:rsid w:val="000A7DF9"/>
    <w:rsid w:val="000C3719"/>
    <w:rsid w:val="000C696D"/>
    <w:rsid w:val="000D05EF"/>
    <w:rsid w:val="000D3FB9"/>
    <w:rsid w:val="000D5485"/>
    <w:rsid w:val="000E598E"/>
    <w:rsid w:val="000E5A3D"/>
    <w:rsid w:val="000F0ADA"/>
    <w:rsid w:val="000F21C1"/>
    <w:rsid w:val="0010745C"/>
    <w:rsid w:val="0010749F"/>
    <w:rsid w:val="00110D56"/>
    <w:rsid w:val="00110FE7"/>
    <w:rsid w:val="001122FF"/>
    <w:rsid w:val="00116410"/>
    <w:rsid w:val="00160BD7"/>
    <w:rsid w:val="001643C9"/>
    <w:rsid w:val="00164901"/>
    <w:rsid w:val="00165568"/>
    <w:rsid w:val="00166082"/>
    <w:rsid w:val="00166C2F"/>
    <w:rsid w:val="001716C9"/>
    <w:rsid w:val="0018385C"/>
    <w:rsid w:val="00184261"/>
    <w:rsid w:val="00185224"/>
    <w:rsid w:val="00193461"/>
    <w:rsid w:val="001939E1"/>
    <w:rsid w:val="0019452E"/>
    <w:rsid w:val="00195382"/>
    <w:rsid w:val="001A3B9F"/>
    <w:rsid w:val="001A5520"/>
    <w:rsid w:val="001A65C0"/>
    <w:rsid w:val="001A702E"/>
    <w:rsid w:val="001B7A5D"/>
    <w:rsid w:val="001C6368"/>
    <w:rsid w:val="001C69C4"/>
    <w:rsid w:val="001D6B30"/>
    <w:rsid w:val="001D75D3"/>
    <w:rsid w:val="001E0A8D"/>
    <w:rsid w:val="001E3590"/>
    <w:rsid w:val="001E51FE"/>
    <w:rsid w:val="001E7407"/>
    <w:rsid w:val="001F1A46"/>
    <w:rsid w:val="001F7E26"/>
    <w:rsid w:val="00201D27"/>
    <w:rsid w:val="0021153A"/>
    <w:rsid w:val="0021243D"/>
    <w:rsid w:val="0022229F"/>
    <w:rsid w:val="002245A6"/>
    <w:rsid w:val="002302EA"/>
    <w:rsid w:val="00235614"/>
    <w:rsid w:val="00237614"/>
    <w:rsid w:val="00240749"/>
    <w:rsid w:val="002468D7"/>
    <w:rsid w:val="00247E97"/>
    <w:rsid w:val="00255C57"/>
    <w:rsid w:val="00256C81"/>
    <w:rsid w:val="002644F1"/>
    <w:rsid w:val="00281D78"/>
    <w:rsid w:val="00285CDD"/>
    <w:rsid w:val="00291167"/>
    <w:rsid w:val="0029489E"/>
    <w:rsid w:val="00297ECB"/>
    <w:rsid w:val="002A0D64"/>
    <w:rsid w:val="002A3EC7"/>
    <w:rsid w:val="002B1B7A"/>
    <w:rsid w:val="002C152A"/>
    <w:rsid w:val="002C712A"/>
    <w:rsid w:val="002C71AE"/>
    <w:rsid w:val="002D043A"/>
    <w:rsid w:val="002E1CB3"/>
    <w:rsid w:val="002E5C17"/>
    <w:rsid w:val="0031713F"/>
    <w:rsid w:val="003222D1"/>
    <w:rsid w:val="0032750F"/>
    <w:rsid w:val="003415D3"/>
    <w:rsid w:val="003442F6"/>
    <w:rsid w:val="00346335"/>
    <w:rsid w:val="00352B0F"/>
    <w:rsid w:val="003561B0"/>
    <w:rsid w:val="00372BEA"/>
    <w:rsid w:val="00397893"/>
    <w:rsid w:val="003A15AC"/>
    <w:rsid w:val="003B0627"/>
    <w:rsid w:val="003C5F2B"/>
    <w:rsid w:val="003C7D35"/>
    <w:rsid w:val="003D0BFE"/>
    <w:rsid w:val="003D1135"/>
    <w:rsid w:val="003D5700"/>
    <w:rsid w:val="003F506B"/>
    <w:rsid w:val="003F6F52"/>
    <w:rsid w:val="0040214A"/>
    <w:rsid w:val="004022CA"/>
    <w:rsid w:val="004116CD"/>
    <w:rsid w:val="00414ADE"/>
    <w:rsid w:val="00424CA9"/>
    <w:rsid w:val="004257BB"/>
    <w:rsid w:val="0044291A"/>
    <w:rsid w:val="004600B0"/>
    <w:rsid w:val="00460499"/>
    <w:rsid w:val="00460FBA"/>
    <w:rsid w:val="00474835"/>
    <w:rsid w:val="004819C7"/>
    <w:rsid w:val="0048364F"/>
    <w:rsid w:val="004877FC"/>
    <w:rsid w:val="00490F2E"/>
    <w:rsid w:val="00496F97"/>
    <w:rsid w:val="004A53EA"/>
    <w:rsid w:val="004B35E7"/>
    <w:rsid w:val="004C5A5D"/>
    <w:rsid w:val="004D05EB"/>
    <w:rsid w:val="004F1FAC"/>
    <w:rsid w:val="004F676E"/>
    <w:rsid w:val="004F71C0"/>
    <w:rsid w:val="00500451"/>
    <w:rsid w:val="00506A01"/>
    <w:rsid w:val="00514EBC"/>
    <w:rsid w:val="00516B8D"/>
    <w:rsid w:val="00516D3D"/>
    <w:rsid w:val="0052756C"/>
    <w:rsid w:val="00530230"/>
    <w:rsid w:val="00530CC9"/>
    <w:rsid w:val="00531B46"/>
    <w:rsid w:val="00537FBC"/>
    <w:rsid w:val="00541D73"/>
    <w:rsid w:val="00543469"/>
    <w:rsid w:val="00546FA3"/>
    <w:rsid w:val="00557C7A"/>
    <w:rsid w:val="00562A58"/>
    <w:rsid w:val="0056541A"/>
    <w:rsid w:val="005803CD"/>
    <w:rsid w:val="00581211"/>
    <w:rsid w:val="00581E7A"/>
    <w:rsid w:val="00584811"/>
    <w:rsid w:val="00593AA6"/>
    <w:rsid w:val="00594161"/>
    <w:rsid w:val="00594749"/>
    <w:rsid w:val="00594956"/>
    <w:rsid w:val="005B1555"/>
    <w:rsid w:val="005B4067"/>
    <w:rsid w:val="005C3F41"/>
    <w:rsid w:val="005C4EF0"/>
    <w:rsid w:val="005D1A20"/>
    <w:rsid w:val="005D5EA1"/>
    <w:rsid w:val="005E0989"/>
    <w:rsid w:val="005E098C"/>
    <w:rsid w:val="005E1F8D"/>
    <w:rsid w:val="005E317F"/>
    <w:rsid w:val="005E61D3"/>
    <w:rsid w:val="00600219"/>
    <w:rsid w:val="006065DA"/>
    <w:rsid w:val="00606AA4"/>
    <w:rsid w:val="0061058B"/>
    <w:rsid w:val="00611E7D"/>
    <w:rsid w:val="00640402"/>
    <w:rsid w:val="00640F78"/>
    <w:rsid w:val="00655D6A"/>
    <w:rsid w:val="00656DE9"/>
    <w:rsid w:val="00672876"/>
    <w:rsid w:val="00677CC2"/>
    <w:rsid w:val="006827DC"/>
    <w:rsid w:val="00685F42"/>
    <w:rsid w:val="006903A7"/>
    <w:rsid w:val="0069207B"/>
    <w:rsid w:val="00697CB2"/>
    <w:rsid w:val="006A297B"/>
    <w:rsid w:val="006A304E"/>
    <w:rsid w:val="006B7006"/>
    <w:rsid w:val="006C7F8C"/>
    <w:rsid w:val="006D7AB9"/>
    <w:rsid w:val="00700B2C"/>
    <w:rsid w:val="0070196E"/>
    <w:rsid w:val="0070441E"/>
    <w:rsid w:val="00713084"/>
    <w:rsid w:val="00717463"/>
    <w:rsid w:val="00720FC2"/>
    <w:rsid w:val="00722E89"/>
    <w:rsid w:val="00731E00"/>
    <w:rsid w:val="007339C7"/>
    <w:rsid w:val="007440B7"/>
    <w:rsid w:val="00747993"/>
    <w:rsid w:val="00761BA3"/>
    <w:rsid w:val="007634AD"/>
    <w:rsid w:val="00765580"/>
    <w:rsid w:val="007715C9"/>
    <w:rsid w:val="00774EDD"/>
    <w:rsid w:val="007757EC"/>
    <w:rsid w:val="007952E9"/>
    <w:rsid w:val="007A6863"/>
    <w:rsid w:val="007B7E65"/>
    <w:rsid w:val="007C750C"/>
    <w:rsid w:val="007C78B4"/>
    <w:rsid w:val="007E0853"/>
    <w:rsid w:val="007E32B6"/>
    <w:rsid w:val="007E3976"/>
    <w:rsid w:val="007E486B"/>
    <w:rsid w:val="007E7D4A"/>
    <w:rsid w:val="007F48ED"/>
    <w:rsid w:val="007F5E3F"/>
    <w:rsid w:val="00812F45"/>
    <w:rsid w:val="008306F6"/>
    <w:rsid w:val="00836FE9"/>
    <w:rsid w:val="0084172C"/>
    <w:rsid w:val="008417DF"/>
    <w:rsid w:val="0085068A"/>
    <w:rsid w:val="0085175E"/>
    <w:rsid w:val="00856A31"/>
    <w:rsid w:val="00863AA6"/>
    <w:rsid w:val="00864A66"/>
    <w:rsid w:val="0086661A"/>
    <w:rsid w:val="008754D0"/>
    <w:rsid w:val="008773EC"/>
    <w:rsid w:val="00877C69"/>
    <w:rsid w:val="00877D48"/>
    <w:rsid w:val="0088345B"/>
    <w:rsid w:val="00891C08"/>
    <w:rsid w:val="00892C6D"/>
    <w:rsid w:val="00893B7F"/>
    <w:rsid w:val="008A16A5"/>
    <w:rsid w:val="008A2ACF"/>
    <w:rsid w:val="008A5C57"/>
    <w:rsid w:val="008B15C0"/>
    <w:rsid w:val="008C0629"/>
    <w:rsid w:val="008D0EE0"/>
    <w:rsid w:val="008D140C"/>
    <w:rsid w:val="008D56E6"/>
    <w:rsid w:val="008D7A27"/>
    <w:rsid w:val="008E4702"/>
    <w:rsid w:val="008E69AA"/>
    <w:rsid w:val="008F4F1C"/>
    <w:rsid w:val="009069AD"/>
    <w:rsid w:val="00910E64"/>
    <w:rsid w:val="00922764"/>
    <w:rsid w:val="00925CC8"/>
    <w:rsid w:val="009278C1"/>
    <w:rsid w:val="00932377"/>
    <w:rsid w:val="009346E3"/>
    <w:rsid w:val="009446B6"/>
    <w:rsid w:val="0094523D"/>
    <w:rsid w:val="00960A1D"/>
    <w:rsid w:val="00962E57"/>
    <w:rsid w:val="00976A63"/>
    <w:rsid w:val="00991733"/>
    <w:rsid w:val="009A6866"/>
    <w:rsid w:val="009B118E"/>
    <w:rsid w:val="009B1754"/>
    <w:rsid w:val="009B22D7"/>
    <w:rsid w:val="009B2490"/>
    <w:rsid w:val="009B50E5"/>
    <w:rsid w:val="009B5164"/>
    <w:rsid w:val="009C3431"/>
    <w:rsid w:val="009C5989"/>
    <w:rsid w:val="009C6A32"/>
    <w:rsid w:val="009D08DA"/>
    <w:rsid w:val="009F1229"/>
    <w:rsid w:val="00A003BB"/>
    <w:rsid w:val="00A03DD0"/>
    <w:rsid w:val="00A06860"/>
    <w:rsid w:val="00A07DDE"/>
    <w:rsid w:val="00A136F5"/>
    <w:rsid w:val="00A15D74"/>
    <w:rsid w:val="00A231E2"/>
    <w:rsid w:val="00A2535F"/>
    <w:rsid w:val="00A2550D"/>
    <w:rsid w:val="00A334E5"/>
    <w:rsid w:val="00A3548E"/>
    <w:rsid w:val="00A379BB"/>
    <w:rsid w:val="00A4169B"/>
    <w:rsid w:val="00A50D55"/>
    <w:rsid w:val="00A52FDA"/>
    <w:rsid w:val="00A575F1"/>
    <w:rsid w:val="00A6282F"/>
    <w:rsid w:val="00A64912"/>
    <w:rsid w:val="00A70A74"/>
    <w:rsid w:val="00A91D3B"/>
    <w:rsid w:val="00A9231A"/>
    <w:rsid w:val="00A93CFA"/>
    <w:rsid w:val="00A95BC7"/>
    <w:rsid w:val="00AA0343"/>
    <w:rsid w:val="00AA78CE"/>
    <w:rsid w:val="00AA7B26"/>
    <w:rsid w:val="00AB5791"/>
    <w:rsid w:val="00AC767C"/>
    <w:rsid w:val="00AD3467"/>
    <w:rsid w:val="00AD5641"/>
    <w:rsid w:val="00AF33DB"/>
    <w:rsid w:val="00AF6E41"/>
    <w:rsid w:val="00AF78BD"/>
    <w:rsid w:val="00B00CFB"/>
    <w:rsid w:val="00B032D8"/>
    <w:rsid w:val="00B039C8"/>
    <w:rsid w:val="00B05D72"/>
    <w:rsid w:val="00B20990"/>
    <w:rsid w:val="00B23FAF"/>
    <w:rsid w:val="00B33B3C"/>
    <w:rsid w:val="00B40D74"/>
    <w:rsid w:val="00B42649"/>
    <w:rsid w:val="00B458D9"/>
    <w:rsid w:val="00B46467"/>
    <w:rsid w:val="00B52663"/>
    <w:rsid w:val="00B55885"/>
    <w:rsid w:val="00B56DCB"/>
    <w:rsid w:val="00B60E21"/>
    <w:rsid w:val="00B61728"/>
    <w:rsid w:val="00B72900"/>
    <w:rsid w:val="00B770D2"/>
    <w:rsid w:val="00B93516"/>
    <w:rsid w:val="00B96776"/>
    <w:rsid w:val="00B973E5"/>
    <w:rsid w:val="00BA0F45"/>
    <w:rsid w:val="00BA47A3"/>
    <w:rsid w:val="00BA5026"/>
    <w:rsid w:val="00BA7B5B"/>
    <w:rsid w:val="00BB6E79"/>
    <w:rsid w:val="00BC00AA"/>
    <w:rsid w:val="00BE169A"/>
    <w:rsid w:val="00BE42C5"/>
    <w:rsid w:val="00BE719A"/>
    <w:rsid w:val="00BE720A"/>
    <w:rsid w:val="00BF0723"/>
    <w:rsid w:val="00BF6650"/>
    <w:rsid w:val="00C067E5"/>
    <w:rsid w:val="00C164CA"/>
    <w:rsid w:val="00C1777D"/>
    <w:rsid w:val="00C22E9F"/>
    <w:rsid w:val="00C26051"/>
    <w:rsid w:val="00C42BF8"/>
    <w:rsid w:val="00C460AE"/>
    <w:rsid w:val="00C50043"/>
    <w:rsid w:val="00C5015F"/>
    <w:rsid w:val="00C50A0F"/>
    <w:rsid w:val="00C50F4A"/>
    <w:rsid w:val="00C62CCC"/>
    <w:rsid w:val="00C65123"/>
    <w:rsid w:val="00C72D10"/>
    <w:rsid w:val="00C7573B"/>
    <w:rsid w:val="00C76CF3"/>
    <w:rsid w:val="00C93205"/>
    <w:rsid w:val="00C945DC"/>
    <w:rsid w:val="00C9675F"/>
    <w:rsid w:val="00CA7844"/>
    <w:rsid w:val="00CB5822"/>
    <w:rsid w:val="00CB58EF"/>
    <w:rsid w:val="00CB738F"/>
    <w:rsid w:val="00CC3872"/>
    <w:rsid w:val="00CE0A93"/>
    <w:rsid w:val="00CF0BB2"/>
    <w:rsid w:val="00D04977"/>
    <w:rsid w:val="00D12B0D"/>
    <w:rsid w:val="00D13441"/>
    <w:rsid w:val="00D15A4D"/>
    <w:rsid w:val="00D243A3"/>
    <w:rsid w:val="00D33440"/>
    <w:rsid w:val="00D33990"/>
    <w:rsid w:val="00D52EFE"/>
    <w:rsid w:val="00D55AEE"/>
    <w:rsid w:val="00D567A2"/>
    <w:rsid w:val="00D56A0D"/>
    <w:rsid w:val="00D63EF6"/>
    <w:rsid w:val="00D66518"/>
    <w:rsid w:val="00D70DFB"/>
    <w:rsid w:val="00D71EEA"/>
    <w:rsid w:val="00D735CD"/>
    <w:rsid w:val="00D766DF"/>
    <w:rsid w:val="00D84477"/>
    <w:rsid w:val="00D90841"/>
    <w:rsid w:val="00D94896"/>
    <w:rsid w:val="00D954D8"/>
    <w:rsid w:val="00DA2439"/>
    <w:rsid w:val="00DA2C79"/>
    <w:rsid w:val="00DA6F05"/>
    <w:rsid w:val="00DB64FC"/>
    <w:rsid w:val="00DD2033"/>
    <w:rsid w:val="00DE149E"/>
    <w:rsid w:val="00E01672"/>
    <w:rsid w:val="00E034DB"/>
    <w:rsid w:val="00E05704"/>
    <w:rsid w:val="00E076B1"/>
    <w:rsid w:val="00E12F1A"/>
    <w:rsid w:val="00E22935"/>
    <w:rsid w:val="00E232C6"/>
    <w:rsid w:val="00E23D16"/>
    <w:rsid w:val="00E54292"/>
    <w:rsid w:val="00E54D2B"/>
    <w:rsid w:val="00E56EBF"/>
    <w:rsid w:val="00E60191"/>
    <w:rsid w:val="00E74DC7"/>
    <w:rsid w:val="00E86D53"/>
    <w:rsid w:val="00E86DED"/>
    <w:rsid w:val="00E87699"/>
    <w:rsid w:val="00E92E27"/>
    <w:rsid w:val="00E9586B"/>
    <w:rsid w:val="00E9586C"/>
    <w:rsid w:val="00E97334"/>
    <w:rsid w:val="00EB3A99"/>
    <w:rsid w:val="00EB65F8"/>
    <w:rsid w:val="00EC45EE"/>
    <w:rsid w:val="00ED4928"/>
    <w:rsid w:val="00EE1298"/>
    <w:rsid w:val="00EE3FFE"/>
    <w:rsid w:val="00EE57E8"/>
    <w:rsid w:val="00EE6190"/>
    <w:rsid w:val="00EF2E3A"/>
    <w:rsid w:val="00EF6402"/>
    <w:rsid w:val="00F047E2"/>
    <w:rsid w:val="00F04D57"/>
    <w:rsid w:val="00F078DC"/>
    <w:rsid w:val="00F13E86"/>
    <w:rsid w:val="00F20B52"/>
    <w:rsid w:val="00F22CEE"/>
    <w:rsid w:val="00F23DBA"/>
    <w:rsid w:val="00F32FCB"/>
    <w:rsid w:val="00F33523"/>
    <w:rsid w:val="00F65EC4"/>
    <w:rsid w:val="00F677A9"/>
    <w:rsid w:val="00F8121C"/>
    <w:rsid w:val="00F84CF5"/>
    <w:rsid w:val="00F8612E"/>
    <w:rsid w:val="00F94583"/>
    <w:rsid w:val="00FA083A"/>
    <w:rsid w:val="00FA420B"/>
    <w:rsid w:val="00FB6AEE"/>
    <w:rsid w:val="00FC3EAC"/>
    <w:rsid w:val="00FD5635"/>
    <w:rsid w:val="00FF39DE"/>
    <w:rsid w:val="03BF5D22"/>
    <w:rsid w:val="0463F0ED"/>
    <w:rsid w:val="05542B65"/>
    <w:rsid w:val="1A48E728"/>
    <w:rsid w:val="264C50BC"/>
    <w:rsid w:val="2721E230"/>
    <w:rsid w:val="27BD92C9"/>
    <w:rsid w:val="2CB39BA7"/>
    <w:rsid w:val="2E7277EA"/>
    <w:rsid w:val="319F50F1"/>
    <w:rsid w:val="31FCB74C"/>
    <w:rsid w:val="325F17A9"/>
    <w:rsid w:val="332E0926"/>
    <w:rsid w:val="342B69B2"/>
    <w:rsid w:val="34556F49"/>
    <w:rsid w:val="36E8CEC8"/>
    <w:rsid w:val="3E0846FB"/>
    <w:rsid w:val="3E1B8A19"/>
    <w:rsid w:val="3E66AE48"/>
    <w:rsid w:val="3F1E668A"/>
    <w:rsid w:val="4217D80F"/>
    <w:rsid w:val="4824BD2A"/>
    <w:rsid w:val="50099FE1"/>
    <w:rsid w:val="531430A1"/>
    <w:rsid w:val="54E048F4"/>
    <w:rsid w:val="5C818CEC"/>
    <w:rsid w:val="5ECDE4DC"/>
    <w:rsid w:val="666828C3"/>
    <w:rsid w:val="6C962F14"/>
    <w:rsid w:val="6D3479B8"/>
    <w:rsid w:val="6ED4769B"/>
    <w:rsid w:val="6F38F1F4"/>
    <w:rsid w:val="6FD03861"/>
    <w:rsid w:val="730711B1"/>
    <w:rsid w:val="7A3B9BCE"/>
    <w:rsid w:val="7F98D2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1A85B1FB"/>
  <w15:docId w15:val="{C956F51B-A56A-43FE-A1DB-224EAD638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74835"/>
    <w:pPr>
      <w:spacing w:line="260" w:lineRule="atLeast"/>
    </w:pPr>
    <w:rPr>
      <w:sz w:val="22"/>
    </w:rPr>
  </w:style>
  <w:style w:type="paragraph" w:styleId="Heading1">
    <w:name w:val="heading 1"/>
    <w:aliases w:val="Document/Determination Title"/>
    <w:basedOn w:val="Normal"/>
    <w:next w:val="Normal"/>
    <w:link w:val="Heading1Char"/>
    <w:qFormat/>
    <w:rsid w:val="00DB64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Chapter"/>
    <w:basedOn w:val="Normal"/>
    <w:next w:val="Normal"/>
    <w:link w:val="Heading2Char"/>
    <w:uiPriority w:val="9"/>
    <w:unhideWhenUsed/>
    <w:qFormat/>
    <w:rsid w:val="004C5A5D"/>
    <w:pPr>
      <w:outlineLvl w:val="1"/>
    </w:pPr>
    <w:rPr>
      <w:rFonts w:ascii="Arial" w:eastAsia="Times New Roman" w:hAnsi="Arial" w:cs="Times New Roman"/>
      <w:b/>
      <w:sz w:val="30"/>
      <w:lang w:eastAsia="en-AU"/>
    </w:rPr>
  </w:style>
  <w:style w:type="paragraph" w:styleId="Heading3">
    <w:name w:val="heading 3"/>
    <w:aliases w:val="Part"/>
    <w:basedOn w:val="Normal"/>
    <w:next w:val="Normal"/>
    <w:link w:val="Heading3Char"/>
    <w:uiPriority w:val="9"/>
    <w:unhideWhenUsed/>
    <w:qFormat/>
    <w:rsid w:val="004C5A5D"/>
    <w:pPr>
      <w:keepNext/>
      <w:keepLines/>
      <w:spacing w:before="200"/>
      <w:outlineLvl w:val="2"/>
    </w:pPr>
    <w:rPr>
      <w:rFonts w:ascii="Arial Bold" w:eastAsia="Times New Roman" w:hAnsi="Arial Bold" w:cs="Times New Roman"/>
      <w:sz w:val="27"/>
      <w:lang w:eastAsia="en-AU"/>
    </w:rPr>
  </w:style>
  <w:style w:type="paragraph" w:styleId="Heading4">
    <w:name w:val="heading 4"/>
    <w:aliases w:val="Division"/>
    <w:basedOn w:val="Heading3"/>
    <w:next w:val="Normal"/>
    <w:link w:val="Heading4Char"/>
    <w:uiPriority w:val="9"/>
    <w:unhideWhenUsed/>
    <w:qFormat/>
    <w:rsid w:val="004C5A5D"/>
    <w:pPr>
      <w:outlineLvl w:val="3"/>
    </w:pPr>
    <w:rPr>
      <w:b/>
      <w:bCs/>
    </w:rPr>
  </w:style>
  <w:style w:type="paragraph" w:styleId="Heading5">
    <w:name w:val="heading 5"/>
    <w:aliases w:val="Clause/Block Label"/>
    <w:basedOn w:val="Normal"/>
    <w:next w:val="Normal"/>
    <w:link w:val="Heading5Char"/>
    <w:unhideWhenUsed/>
    <w:qFormat/>
    <w:rsid w:val="00991733"/>
    <w:pPr>
      <w:keepNext/>
      <w:keepLines/>
      <w:spacing w:before="360" w:after="120" w:line="240" w:lineRule="auto"/>
      <w:outlineLvl w:val="4"/>
    </w:pPr>
    <w:rPr>
      <w:rFonts w:ascii="Arial" w:eastAsiaTheme="majorEastAsia" w:hAnsi="Arial" w:cstheme="majorBidi"/>
      <w:b/>
    </w:rPr>
  </w:style>
  <w:style w:type="paragraph" w:styleId="Heading6">
    <w:name w:val="heading 6"/>
    <w:aliases w:val="ES-HRS Title"/>
    <w:basedOn w:val="ActHead7"/>
    <w:next w:val="Normal"/>
    <w:link w:val="Heading6Char"/>
    <w:qFormat/>
    <w:rsid w:val="009A6866"/>
    <w:pPr>
      <w:spacing w:after="280"/>
      <w:outlineLvl w:val="5"/>
    </w:pPr>
    <w:rPr>
      <w:rFonts w:ascii="Arial" w:hAnsi="Arial"/>
      <w:noProof/>
    </w:rPr>
  </w:style>
  <w:style w:type="paragraph" w:styleId="Heading7">
    <w:name w:val="heading 7"/>
    <w:basedOn w:val="Normal"/>
    <w:next w:val="Normal"/>
    <w:link w:val="Heading7Char"/>
    <w:uiPriority w:val="9"/>
    <w:semiHidden/>
    <w:unhideWhenUsed/>
    <w:qFormat/>
    <w:rsid w:val="00DB64F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B64F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B64F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2A3EC7"/>
    <w:pPr>
      <w:keepNext/>
      <w:keepLines/>
      <w:spacing w:before="280" w:line="240" w:lineRule="auto"/>
      <w:outlineLvl w:val="6"/>
    </w:pPr>
    <w:rPr>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2A3EC7"/>
    <w:pPr>
      <w:keepNext/>
      <w:keepLines/>
      <w:spacing w:before="280" w:line="240" w:lineRule="auto"/>
      <w:ind w:left="1134" w:hanging="1134"/>
      <w:outlineLvl w:val="8"/>
    </w:pPr>
    <w:rPr>
      <w:rFonts w:ascii="Arial" w:hAnsi="Arial"/>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4799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D52EFE"/>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B40D74"/>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B40D7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B40D74"/>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B40D74"/>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B20990"/>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B40D74"/>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40D74"/>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40D74"/>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B40D74"/>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uiPriority w:val="99"/>
    <w:rsid w:val="0048364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uiPriority w:val="99"/>
    <w:rsid w:val="0048364F"/>
    <w:rPr>
      <w:rFonts w:eastAsia="Times New Roman" w:cs="Times New Roman"/>
      <w:sz w:val="22"/>
      <w:szCs w:val="24"/>
      <w:lang w:eastAsia="en-AU"/>
    </w:rPr>
  </w:style>
  <w:style w:type="character" w:styleId="LineNumber">
    <w:name w:val="line number"/>
    <w:basedOn w:val="OPCCharBase"/>
    <w:uiPriority w:val="99"/>
    <w:semiHidden/>
    <w:unhideWhenUsed/>
    <w:rsid w:val="00FA420B"/>
    <w:rPr>
      <w:sz w:val="16"/>
    </w:rPr>
  </w:style>
  <w:style w:type="table" w:customStyle="1" w:styleId="CFlag">
    <w:name w:val="CFlag"/>
    <w:basedOn w:val="TableNormal"/>
    <w:uiPriority w:val="99"/>
    <w:rsid w:val="003C5F2B"/>
    <w:rPr>
      <w:rFonts w:eastAsia="Times New Roman" w:cs="Times New Roman"/>
      <w:lang w:eastAsia="en-AU"/>
    </w:rPr>
    <w:tblPr/>
  </w:style>
  <w:style w:type="paragraph" w:styleId="BalloonText">
    <w:name w:val="Balloon Text"/>
    <w:basedOn w:val="Normal"/>
    <w:link w:val="BalloonTextChar"/>
    <w:uiPriority w:val="99"/>
    <w:semiHidden/>
    <w:unhideWhenUsed/>
    <w:rsid w:val="001934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61"/>
    <w:rPr>
      <w:rFonts w:ascii="Tahoma" w:hAnsi="Tahoma" w:cs="Tahoma"/>
      <w:sz w:val="16"/>
      <w:szCs w:val="16"/>
    </w:rPr>
  </w:style>
  <w:style w:type="table" w:styleId="TableGrid">
    <w:name w:val="Table Grid"/>
    <w:basedOn w:val="TableNormal"/>
    <w:uiPriority w:val="59"/>
    <w:rsid w:val="00A1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A15AC"/>
    <w:rPr>
      <w:b/>
      <w:sz w:val="28"/>
      <w:szCs w:val="32"/>
    </w:rPr>
  </w:style>
  <w:style w:type="paragraph" w:customStyle="1" w:styleId="LegislationMadeUnder">
    <w:name w:val="LegislationMadeUnder"/>
    <w:basedOn w:val="OPCParaBase"/>
    <w:next w:val="Normal"/>
    <w:rsid w:val="00E60191"/>
    <w:rPr>
      <w:i/>
      <w:sz w:val="32"/>
      <w:szCs w:val="32"/>
    </w:rPr>
  </w:style>
  <w:style w:type="paragraph" w:customStyle="1" w:styleId="SignCoverPageEnd">
    <w:name w:val="SignCoverPageEnd"/>
    <w:basedOn w:val="OPCParaBase"/>
    <w:next w:val="Normal"/>
    <w:rsid w:val="008E69AA"/>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054577"/>
    <w:pPr>
      <w:pBdr>
        <w:top w:val="single" w:sz="4" w:space="1" w:color="auto"/>
      </w:pBdr>
      <w:spacing w:before="360"/>
      <w:ind w:right="397"/>
      <w:jc w:val="both"/>
    </w:pPr>
  </w:style>
  <w:style w:type="paragraph" w:customStyle="1" w:styleId="NotesHeading1">
    <w:name w:val="NotesHeading 1"/>
    <w:basedOn w:val="OPCParaBase"/>
    <w:next w:val="Normal"/>
    <w:rsid w:val="00054577"/>
    <w:rPr>
      <w:b/>
      <w:sz w:val="28"/>
      <w:szCs w:val="28"/>
    </w:rPr>
  </w:style>
  <w:style w:type="paragraph" w:customStyle="1" w:styleId="NotesHeading2">
    <w:name w:val="NotesHeading 2"/>
    <w:basedOn w:val="OPCParaBase"/>
    <w:next w:val="Normal"/>
    <w:rsid w:val="00054577"/>
    <w:rPr>
      <w:b/>
      <w:sz w:val="28"/>
      <w:szCs w:val="28"/>
    </w:rPr>
  </w:style>
  <w:style w:type="paragraph" w:customStyle="1" w:styleId="ENotesText">
    <w:name w:val="ENotesText"/>
    <w:aliases w:val="Ent"/>
    <w:basedOn w:val="OPCParaBase"/>
    <w:next w:val="Normal"/>
    <w:rsid w:val="006B7006"/>
    <w:pPr>
      <w:spacing w:before="120"/>
    </w:pPr>
  </w:style>
  <w:style w:type="paragraph" w:customStyle="1" w:styleId="CompiledActNo">
    <w:name w:val="CompiledActNo"/>
    <w:basedOn w:val="OPCParaBase"/>
    <w:next w:val="Normal"/>
    <w:rsid w:val="00AD3467"/>
    <w:rPr>
      <w:b/>
      <w:sz w:val="24"/>
      <w:szCs w:val="24"/>
    </w:rPr>
  </w:style>
  <w:style w:type="paragraph" w:customStyle="1" w:styleId="CompiledMadeUnder">
    <w:name w:val="CompiledMadeUnder"/>
    <w:basedOn w:val="OPCParaBase"/>
    <w:next w:val="Normal"/>
    <w:rsid w:val="00AD3467"/>
    <w:rPr>
      <w:i/>
      <w:sz w:val="24"/>
      <w:szCs w:val="24"/>
    </w:rPr>
  </w:style>
  <w:style w:type="paragraph" w:customStyle="1" w:styleId="Paragraphsub-sub-sub">
    <w:name w:val="Paragraph(sub-sub-sub)"/>
    <w:aliases w:val="aaaa"/>
    <w:basedOn w:val="OPCParaBase"/>
    <w:rsid w:val="00A0686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41D7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41D7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41D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41D7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B7006"/>
    <w:pPr>
      <w:spacing w:before="60" w:line="240" w:lineRule="auto"/>
    </w:pPr>
    <w:rPr>
      <w:rFonts w:cs="Arial"/>
      <w:sz w:val="20"/>
      <w:szCs w:val="22"/>
    </w:rPr>
  </w:style>
  <w:style w:type="paragraph" w:customStyle="1" w:styleId="NoteToSubpara">
    <w:name w:val="NoteToSubpara"/>
    <w:aliases w:val="nts"/>
    <w:basedOn w:val="OPCParaBase"/>
    <w:rsid w:val="00922764"/>
    <w:pPr>
      <w:spacing w:before="40" w:line="198" w:lineRule="exact"/>
      <w:ind w:left="2835" w:hanging="709"/>
    </w:pPr>
    <w:rPr>
      <w:sz w:val="18"/>
    </w:rPr>
  </w:style>
  <w:style w:type="paragraph" w:customStyle="1" w:styleId="ENoteTableHeading">
    <w:name w:val="ENoteTableHeading"/>
    <w:aliases w:val="enth"/>
    <w:basedOn w:val="OPCParaBase"/>
    <w:rsid w:val="001E0A8D"/>
    <w:pPr>
      <w:keepNext/>
      <w:spacing w:before="60" w:line="240" w:lineRule="atLeast"/>
    </w:pPr>
    <w:rPr>
      <w:rFonts w:ascii="Arial" w:hAnsi="Arial"/>
      <w:b/>
      <w:sz w:val="16"/>
    </w:rPr>
  </w:style>
  <w:style w:type="paragraph" w:customStyle="1" w:styleId="ENoteTTi">
    <w:name w:val="ENoteTTi"/>
    <w:aliases w:val="entti"/>
    <w:basedOn w:val="OPCParaBase"/>
    <w:rsid w:val="00640402"/>
    <w:pPr>
      <w:keepNext/>
      <w:spacing w:before="60" w:line="240" w:lineRule="atLeast"/>
      <w:ind w:left="170"/>
    </w:pPr>
    <w:rPr>
      <w:sz w:val="16"/>
    </w:rPr>
  </w:style>
  <w:style w:type="paragraph" w:customStyle="1" w:styleId="ENotesHeading1">
    <w:name w:val="ENotesHeading 1"/>
    <w:aliases w:val="Enh1"/>
    <w:basedOn w:val="OPCParaBase"/>
    <w:next w:val="Normal"/>
    <w:rsid w:val="00000263"/>
    <w:pPr>
      <w:spacing w:before="120"/>
      <w:outlineLvl w:val="1"/>
    </w:pPr>
    <w:rPr>
      <w:b/>
      <w:sz w:val="28"/>
      <w:szCs w:val="28"/>
    </w:rPr>
  </w:style>
  <w:style w:type="paragraph" w:customStyle="1" w:styleId="ENotesHeading2">
    <w:name w:val="ENotesHeading 2"/>
    <w:aliases w:val="Enh2"/>
    <w:basedOn w:val="OPCParaBase"/>
    <w:next w:val="Normal"/>
    <w:rsid w:val="00976A63"/>
    <w:pPr>
      <w:spacing w:before="120" w:after="120"/>
      <w:outlineLvl w:val="2"/>
    </w:pPr>
    <w:rPr>
      <w:b/>
      <w:sz w:val="24"/>
      <w:szCs w:val="28"/>
    </w:rPr>
  </w:style>
  <w:style w:type="paragraph" w:customStyle="1" w:styleId="ENoteTTIndentHeading">
    <w:name w:val="ENoteTTIndentHeading"/>
    <w:aliases w:val="enTTHi"/>
    <w:basedOn w:val="OPCParaBase"/>
    <w:rsid w:val="008A16A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A47A3"/>
    <w:pPr>
      <w:spacing w:before="60" w:line="240" w:lineRule="atLeast"/>
    </w:pPr>
    <w:rPr>
      <w:sz w:val="16"/>
    </w:rPr>
  </w:style>
  <w:style w:type="paragraph" w:customStyle="1" w:styleId="MadeunderText">
    <w:name w:val="MadeunderText"/>
    <w:basedOn w:val="OPCParaBase"/>
    <w:next w:val="CompiledMadeUnder"/>
    <w:rsid w:val="00F8612E"/>
    <w:pPr>
      <w:spacing w:before="240"/>
    </w:pPr>
    <w:rPr>
      <w:sz w:val="24"/>
      <w:szCs w:val="24"/>
    </w:rPr>
  </w:style>
  <w:style w:type="paragraph" w:customStyle="1" w:styleId="ENotesHeading3">
    <w:name w:val="ENotesHeading 3"/>
    <w:aliases w:val="Enh3"/>
    <w:basedOn w:val="OPCParaBase"/>
    <w:next w:val="Normal"/>
    <w:rsid w:val="004819C7"/>
    <w:pPr>
      <w:keepNext/>
      <w:spacing w:before="120" w:line="240" w:lineRule="auto"/>
      <w:outlineLvl w:val="4"/>
    </w:pPr>
    <w:rPr>
      <w:b/>
      <w:szCs w:val="24"/>
    </w:rPr>
  </w:style>
  <w:style w:type="paragraph" w:customStyle="1" w:styleId="SubPartCASA">
    <w:name w:val="SubPart(CASA)"/>
    <w:aliases w:val="csp"/>
    <w:basedOn w:val="OPCParaBase"/>
    <w:next w:val="ActHead3"/>
    <w:rsid w:val="00530CC9"/>
    <w:pPr>
      <w:keepNext/>
      <w:keepLines/>
      <w:spacing w:before="280"/>
      <w:outlineLvl w:val="1"/>
    </w:pPr>
    <w:rPr>
      <w:b/>
      <w:kern w:val="28"/>
      <w:sz w:val="32"/>
    </w:rPr>
  </w:style>
  <w:style w:type="character" w:customStyle="1" w:styleId="CharSubPartTextCASA">
    <w:name w:val="CharSubPartText(CASA)"/>
    <w:basedOn w:val="OPCCharBase"/>
    <w:uiPriority w:val="1"/>
    <w:rsid w:val="000D5485"/>
  </w:style>
  <w:style w:type="character" w:customStyle="1" w:styleId="CharSubPartNoCASA">
    <w:name w:val="CharSubPartNo(CASA)"/>
    <w:basedOn w:val="OPCCharBase"/>
    <w:uiPriority w:val="1"/>
    <w:rsid w:val="0007169C"/>
  </w:style>
  <w:style w:type="paragraph" w:customStyle="1" w:styleId="ENoteTTIndentHeadingSub">
    <w:name w:val="ENoteTTIndentHeadingSub"/>
    <w:aliases w:val="enTTHis"/>
    <w:basedOn w:val="OPCParaBase"/>
    <w:rsid w:val="00A50D55"/>
    <w:pPr>
      <w:keepNext/>
      <w:spacing w:before="60" w:line="240" w:lineRule="atLeast"/>
      <w:ind w:left="340"/>
    </w:pPr>
    <w:rPr>
      <w:b/>
      <w:sz w:val="16"/>
    </w:rPr>
  </w:style>
  <w:style w:type="paragraph" w:customStyle="1" w:styleId="ENoteTTiSub">
    <w:name w:val="ENoteTTiSub"/>
    <w:aliases w:val="enttis"/>
    <w:basedOn w:val="OPCParaBase"/>
    <w:rsid w:val="00CA7844"/>
    <w:pPr>
      <w:keepNext/>
      <w:spacing w:before="60" w:line="240" w:lineRule="atLeast"/>
      <w:ind w:left="340"/>
    </w:pPr>
    <w:rPr>
      <w:sz w:val="16"/>
    </w:rPr>
  </w:style>
  <w:style w:type="paragraph" w:customStyle="1" w:styleId="SubDivisionMigration">
    <w:name w:val="SubDivisionMigration"/>
    <w:aliases w:val="sdm"/>
    <w:basedOn w:val="OPCParaBase"/>
    <w:rsid w:val="004022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120E"/>
    <w:pPr>
      <w:keepNext/>
      <w:keepLines/>
      <w:spacing w:before="240" w:line="240" w:lineRule="auto"/>
      <w:ind w:left="1134" w:hanging="1134"/>
    </w:pPr>
    <w:rPr>
      <w:b/>
      <w:sz w:val="28"/>
    </w:rPr>
  </w:style>
  <w:style w:type="paragraph" w:customStyle="1" w:styleId="FreeForm">
    <w:name w:val="FreeForm"/>
    <w:rsid w:val="00FC3EAC"/>
    <w:rPr>
      <w:rFonts w:ascii="Arial" w:hAnsi="Arial"/>
      <w:sz w:val="22"/>
    </w:rPr>
  </w:style>
  <w:style w:type="paragraph" w:customStyle="1" w:styleId="SOText">
    <w:name w:val="SO Text"/>
    <w:aliases w:val="sot"/>
    <w:link w:val="SOTextChar"/>
    <w:rsid w:val="00DA6F0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A6F05"/>
    <w:rPr>
      <w:sz w:val="22"/>
    </w:rPr>
  </w:style>
  <w:style w:type="paragraph" w:customStyle="1" w:styleId="SOTextNote">
    <w:name w:val="SO TextNote"/>
    <w:aliases w:val="sont"/>
    <w:basedOn w:val="SOText"/>
    <w:qFormat/>
    <w:rsid w:val="00B23FAF"/>
    <w:pPr>
      <w:spacing w:before="122" w:line="198" w:lineRule="exact"/>
      <w:ind w:left="1843" w:hanging="709"/>
    </w:pPr>
    <w:rPr>
      <w:sz w:val="18"/>
    </w:rPr>
  </w:style>
  <w:style w:type="paragraph" w:customStyle="1" w:styleId="SOPara">
    <w:name w:val="SO Para"/>
    <w:aliases w:val="soa"/>
    <w:basedOn w:val="SOText"/>
    <w:link w:val="SOParaChar"/>
    <w:qFormat/>
    <w:rsid w:val="00460FBA"/>
    <w:pPr>
      <w:tabs>
        <w:tab w:val="right" w:pos="1786"/>
      </w:tabs>
      <w:spacing w:before="40"/>
      <w:ind w:left="2070" w:hanging="936"/>
    </w:pPr>
  </w:style>
  <w:style w:type="character" w:customStyle="1" w:styleId="SOParaChar">
    <w:name w:val="SO Para Char"/>
    <w:aliases w:val="soa Char"/>
    <w:basedOn w:val="DefaultParagraphFont"/>
    <w:link w:val="SOPara"/>
    <w:rsid w:val="00460FBA"/>
    <w:rPr>
      <w:sz w:val="22"/>
    </w:rPr>
  </w:style>
  <w:style w:type="paragraph" w:customStyle="1" w:styleId="FileName">
    <w:name w:val="FileName"/>
    <w:basedOn w:val="Normal"/>
    <w:rsid w:val="00A379BB"/>
  </w:style>
  <w:style w:type="paragraph" w:customStyle="1" w:styleId="TableHeading">
    <w:name w:val="TableHeading"/>
    <w:aliases w:val="th"/>
    <w:basedOn w:val="OPCParaBase"/>
    <w:next w:val="Tabletext"/>
    <w:rsid w:val="00594956"/>
    <w:pPr>
      <w:keepNext/>
      <w:spacing w:before="60" w:line="240" w:lineRule="atLeast"/>
    </w:pPr>
    <w:rPr>
      <w:b/>
      <w:sz w:val="20"/>
    </w:rPr>
  </w:style>
  <w:style w:type="paragraph" w:customStyle="1" w:styleId="SOHeadBold">
    <w:name w:val="SO HeadBold"/>
    <w:aliases w:val="sohb"/>
    <w:basedOn w:val="SOText"/>
    <w:next w:val="SOText"/>
    <w:link w:val="SOHeadBoldChar"/>
    <w:qFormat/>
    <w:rsid w:val="004600B0"/>
    <w:rPr>
      <w:b/>
    </w:rPr>
  </w:style>
  <w:style w:type="character" w:customStyle="1" w:styleId="SOHeadBoldChar">
    <w:name w:val="SO HeadBold Char"/>
    <w:aliases w:val="sohb Char"/>
    <w:basedOn w:val="DefaultParagraphFont"/>
    <w:link w:val="SOHeadBold"/>
    <w:rsid w:val="004600B0"/>
    <w:rPr>
      <w:b/>
      <w:sz w:val="22"/>
    </w:rPr>
  </w:style>
  <w:style w:type="paragraph" w:customStyle="1" w:styleId="SOHeadItalic">
    <w:name w:val="SO HeadItalic"/>
    <w:aliases w:val="sohi"/>
    <w:basedOn w:val="SOText"/>
    <w:next w:val="SOText"/>
    <w:link w:val="SOHeadItalicChar"/>
    <w:qFormat/>
    <w:rsid w:val="00BA7B5B"/>
    <w:rPr>
      <w:i/>
    </w:rPr>
  </w:style>
  <w:style w:type="character" w:customStyle="1" w:styleId="SOHeadItalicChar">
    <w:name w:val="SO HeadItalic Char"/>
    <w:aliases w:val="sohi Char"/>
    <w:basedOn w:val="DefaultParagraphFont"/>
    <w:link w:val="SOHeadItalic"/>
    <w:rsid w:val="00BA7B5B"/>
    <w:rPr>
      <w:i/>
      <w:sz w:val="22"/>
    </w:rPr>
  </w:style>
  <w:style w:type="paragraph" w:customStyle="1" w:styleId="SOBullet">
    <w:name w:val="SO Bullet"/>
    <w:aliases w:val="sotb"/>
    <w:basedOn w:val="SOText"/>
    <w:link w:val="SOBulletChar"/>
    <w:qFormat/>
    <w:rsid w:val="003222D1"/>
    <w:pPr>
      <w:ind w:left="1559" w:hanging="425"/>
    </w:pPr>
  </w:style>
  <w:style w:type="character" w:customStyle="1" w:styleId="SOBulletChar">
    <w:name w:val="SO Bullet Char"/>
    <w:aliases w:val="sotb Char"/>
    <w:basedOn w:val="DefaultParagraphFont"/>
    <w:link w:val="SOBullet"/>
    <w:rsid w:val="003222D1"/>
    <w:rPr>
      <w:sz w:val="22"/>
    </w:rPr>
  </w:style>
  <w:style w:type="paragraph" w:customStyle="1" w:styleId="SOBulletNote">
    <w:name w:val="SO BulletNote"/>
    <w:aliases w:val="sonb"/>
    <w:basedOn w:val="SOTextNote"/>
    <w:link w:val="SOBulletNoteChar"/>
    <w:qFormat/>
    <w:rsid w:val="00C50F4A"/>
    <w:pPr>
      <w:tabs>
        <w:tab w:val="left" w:pos="1560"/>
      </w:tabs>
      <w:ind w:left="2268" w:hanging="1134"/>
    </w:pPr>
  </w:style>
  <w:style w:type="character" w:customStyle="1" w:styleId="SOBulletNoteChar">
    <w:name w:val="SO BulletNote Char"/>
    <w:aliases w:val="sonb Char"/>
    <w:basedOn w:val="DefaultParagraphFont"/>
    <w:link w:val="SOBulletNote"/>
    <w:rsid w:val="00C50F4A"/>
    <w:rPr>
      <w:sz w:val="18"/>
    </w:rPr>
  </w:style>
  <w:style w:type="character" w:customStyle="1" w:styleId="subsectionChar">
    <w:name w:val="subsection Char"/>
    <w:aliases w:val="ss Char"/>
    <w:basedOn w:val="DefaultParagraphFont"/>
    <w:link w:val="subsection"/>
    <w:locked/>
    <w:rsid w:val="006065DA"/>
    <w:rPr>
      <w:rFonts w:eastAsia="Times New Roman" w:cs="Times New Roman"/>
      <w:sz w:val="22"/>
      <w:lang w:eastAsia="en-AU"/>
    </w:rPr>
  </w:style>
  <w:style w:type="paragraph" w:customStyle="1" w:styleId="BodyNum">
    <w:name w:val="BodyNum"/>
    <w:aliases w:val="b1"/>
    <w:basedOn w:val="OPCParaBase"/>
    <w:rsid w:val="006065DA"/>
    <w:pPr>
      <w:numPr>
        <w:numId w:val="13"/>
      </w:numPr>
      <w:spacing w:before="240" w:line="240" w:lineRule="auto"/>
    </w:pPr>
    <w:rPr>
      <w:sz w:val="24"/>
    </w:rPr>
  </w:style>
  <w:style w:type="paragraph" w:customStyle="1" w:styleId="BodyPara">
    <w:name w:val="BodyPara"/>
    <w:aliases w:val="ba"/>
    <w:basedOn w:val="OPCParaBase"/>
    <w:rsid w:val="006065DA"/>
    <w:pPr>
      <w:numPr>
        <w:ilvl w:val="1"/>
        <w:numId w:val="13"/>
      </w:numPr>
      <w:spacing w:before="240" w:line="240" w:lineRule="auto"/>
    </w:pPr>
    <w:rPr>
      <w:sz w:val="24"/>
    </w:rPr>
  </w:style>
  <w:style w:type="numbering" w:customStyle="1" w:styleId="OPCBodyList">
    <w:name w:val="OPCBodyList"/>
    <w:uiPriority w:val="99"/>
    <w:rsid w:val="006065DA"/>
    <w:pPr>
      <w:numPr>
        <w:numId w:val="13"/>
      </w:numPr>
    </w:pPr>
  </w:style>
  <w:style w:type="paragraph" w:customStyle="1" w:styleId="Head1">
    <w:name w:val="Head 1"/>
    <w:aliases w:val="1"/>
    <w:basedOn w:val="OPCParaBase"/>
    <w:next w:val="BodyNum"/>
    <w:rsid w:val="006065DA"/>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6065DA"/>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6065DA"/>
    <w:pPr>
      <w:keepNext/>
      <w:spacing w:before="240" w:after="60" w:line="240" w:lineRule="auto"/>
      <w:outlineLvl w:val="2"/>
    </w:pPr>
    <w:rPr>
      <w:rFonts w:ascii="Arial" w:hAnsi="Arial"/>
      <w:b/>
      <w:i/>
      <w:kern w:val="28"/>
      <w:sz w:val="26"/>
    </w:rPr>
  </w:style>
  <w:style w:type="character" w:customStyle="1" w:styleId="Heading6Char">
    <w:name w:val="Heading 6 Char"/>
    <w:aliases w:val="ES-HRS Title Char"/>
    <w:basedOn w:val="DefaultParagraphFont"/>
    <w:link w:val="Heading6"/>
    <w:rsid w:val="009A6866"/>
    <w:rPr>
      <w:rFonts w:ascii="Arial" w:eastAsia="Times New Roman" w:hAnsi="Arial" w:cs="Times New Roman"/>
      <w:b/>
      <w:noProof/>
      <w:kern w:val="28"/>
      <w:sz w:val="28"/>
      <w:lang w:eastAsia="en-AU"/>
    </w:rPr>
  </w:style>
  <w:style w:type="character" w:customStyle="1" w:styleId="Heading1Char">
    <w:name w:val="Heading 1 Char"/>
    <w:aliases w:val="Document/Determination Title Char"/>
    <w:basedOn w:val="DefaultParagraphFont"/>
    <w:link w:val="Heading1"/>
    <w:rsid w:val="00DB64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Chapter Char"/>
    <w:basedOn w:val="DefaultParagraphFont"/>
    <w:link w:val="Heading2"/>
    <w:uiPriority w:val="9"/>
    <w:rsid w:val="004C5A5D"/>
    <w:rPr>
      <w:rFonts w:ascii="Arial" w:eastAsia="Times New Roman" w:hAnsi="Arial" w:cs="Times New Roman"/>
      <w:b/>
      <w:sz w:val="30"/>
      <w:lang w:eastAsia="en-AU"/>
    </w:rPr>
  </w:style>
  <w:style w:type="character" w:customStyle="1" w:styleId="Heading3Char">
    <w:name w:val="Heading 3 Char"/>
    <w:aliases w:val="Part Char"/>
    <w:basedOn w:val="DefaultParagraphFont"/>
    <w:link w:val="Heading3"/>
    <w:uiPriority w:val="9"/>
    <w:rsid w:val="004C5A5D"/>
    <w:rPr>
      <w:rFonts w:ascii="Arial Bold" w:eastAsia="Times New Roman" w:hAnsi="Arial Bold" w:cs="Times New Roman"/>
      <w:sz w:val="27"/>
      <w:lang w:eastAsia="en-AU"/>
    </w:rPr>
  </w:style>
  <w:style w:type="character" w:customStyle="1" w:styleId="Heading4Char">
    <w:name w:val="Heading 4 Char"/>
    <w:aliases w:val="Division Char"/>
    <w:basedOn w:val="DefaultParagraphFont"/>
    <w:link w:val="Heading4"/>
    <w:uiPriority w:val="9"/>
    <w:rsid w:val="004C5A5D"/>
    <w:rPr>
      <w:rFonts w:ascii="Arial Bold" w:eastAsia="Times New Roman" w:hAnsi="Arial Bold" w:cs="Times New Roman"/>
      <w:sz w:val="27"/>
      <w:lang w:eastAsia="en-AU"/>
    </w:rPr>
  </w:style>
  <w:style w:type="character" w:customStyle="1" w:styleId="Heading5Char">
    <w:name w:val="Heading 5 Char"/>
    <w:aliases w:val="Clause/Block Label Char"/>
    <w:basedOn w:val="DefaultParagraphFont"/>
    <w:link w:val="Heading5"/>
    <w:rsid w:val="00991733"/>
    <w:rPr>
      <w:rFonts w:ascii="Arial" w:eastAsiaTheme="majorEastAsia" w:hAnsi="Arial" w:cstheme="majorBidi"/>
      <w:b/>
      <w:sz w:val="22"/>
    </w:rPr>
  </w:style>
  <w:style w:type="character" w:customStyle="1" w:styleId="Heading7Char">
    <w:name w:val="Heading 7 Char"/>
    <w:basedOn w:val="DefaultParagraphFont"/>
    <w:link w:val="Heading7"/>
    <w:uiPriority w:val="9"/>
    <w:semiHidden/>
    <w:rsid w:val="00DB64F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B64F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B64FC"/>
    <w:rPr>
      <w:rFonts w:asciiTheme="majorHAnsi" w:eastAsiaTheme="majorEastAsia" w:hAnsiTheme="majorHAnsi" w:cstheme="majorBidi"/>
      <w:i/>
      <w:iCs/>
      <w:color w:val="404040" w:themeColor="text1" w:themeTint="BF"/>
    </w:rPr>
  </w:style>
  <w:style w:type="paragraph" w:customStyle="1" w:styleId="Sectiontext">
    <w:name w:val="Section text"/>
    <w:basedOn w:val="Normal"/>
    <w:link w:val="SectiontextChar"/>
    <w:qFormat/>
    <w:rsid w:val="003F506B"/>
    <w:pPr>
      <w:spacing w:after="200" w:line="240" w:lineRule="auto"/>
    </w:pPr>
    <w:rPr>
      <w:rFonts w:ascii="Arial" w:eastAsia="Times New Roman" w:hAnsi="Arial" w:cs="Times New Roman"/>
      <w:sz w:val="20"/>
      <w:lang w:eastAsia="en-AU"/>
    </w:rPr>
  </w:style>
  <w:style w:type="character" w:customStyle="1" w:styleId="SectiontextChar">
    <w:name w:val="Section text Char"/>
    <w:basedOn w:val="DefaultParagraphFont"/>
    <w:link w:val="Sectiontext"/>
    <w:rsid w:val="003F506B"/>
    <w:rPr>
      <w:rFonts w:ascii="Arial" w:eastAsia="Times New Roman" w:hAnsi="Arial" w:cs="Times New Roman"/>
      <w:lang w:eastAsia="en-AU"/>
    </w:rPr>
  </w:style>
  <w:style w:type="character" w:styleId="CommentReference">
    <w:name w:val="annotation reference"/>
    <w:basedOn w:val="DefaultParagraphFont"/>
    <w:uiPriority w:val="99"/>
    <w:semiHidden/>
    <w:unhideWhenUsed/>
    <w:rsid w:val="00E86DED"/>
    <w:rPr>
      <w:sz w:val="16"/>
      <w:szCs w:val="16"/>
    </w:rPr>
  </w:style>
  <w:style w:type="paragraph" w:styleId="CommentText">
    <w:name w:val="annotation text"/>
    <w:basedOn w:val="Normal"/>
    <w:link w:val="CommentTextChar"/>
    <w:uiPriority w:val="99"/>
    <w:semiHidden/>
    <w:unhideWhenUsed/>
    <w:rsid w:val="00E86DED"/>
    <w:pPr>
      <w:spacing w:line="240" w:lineRule="auto"/>
    </w:pPr>
    <w:rPr>
      <w:sz w:val="20"/>
    </w:rPr>
  </w:style>
  <w:style w:type="character" w:customStyle="1" w:styleId="CommentTextChar">
    <w:name w:val="Comment Text Char"/>
    <w:basedOn w:val="DefaultParagraphFont"/>
    <w:link w:val="CommentText"/>
    <w:uiPriority w:val="99"/>
    <w:semiHidden/>
    <w:rsid w:val="00E86DED"/>
  </w:style>
  <w:style w:type="paragraph" w:styleId="CommentSubject">
    <w:name w:val="annotation subject"/>
    <w:basedOn w:val="CommentText"/>
    <w:next w:val="CommentText"/>
    <w:link w:val="CommentSubjectChar"/>
    <w:uiPriority w:val="99"/>
    <w:semiHidden/>
    <w:unhideWhenUsed/>
    <w:rsid w:val="00E86DED"/>
    <w:rPr>
      <w:b/>
      <w:bCs/>
    </w:rPr>
  </w:style>
  <w:style w:type="character" w:customStyle="1" w:styleId="CommentSubjectChar">
    <w:name w:val="Comment Subject Char"/>
    <w:basedOn w:val="CommentTextChar"/>
    <w:link w:val="CommentSubject"/>
    <w:uiPriority w:val="99"/>
    <w:semiHidden/>
    <w:rsid w:val="00E86DED"/>
    <w:rPr>
      <w:b/>
      <w:bCs/>
    </w:rPr>
  </w:style>
  <w:style w:type="paragraph" w:customStyle="1" w:styleId="TableHeaderArial">
    <w:name w:val="Table Header (Arial)"/>
    <w:basedOn w:val="Normal"/>
    <w:rsid w:val="004C5A5D"/>
    <w:pPr>
      <w:keepNext/>
      <w:keepLines/>
      <w:spacing w:before="40" w:after="20" w:line="240" w:lineRule="auto"/>
      <w:jc w:val="center"/>
    </w:pPr>
    <w:rPr>
      <w:rFonts w:ascii="Arial" w:eastAsia="Times New Roman" w:hAnsi="Arial" w:cs="Times New Roman"/>
      <w:b/>
      <w:sz w:val="20"/>
      <w:lang w:eastAsia="en-AU"/>
    </w:rPr>
  </w:style>
  <w:style w:type="paragraph" w:customStyle="1" w:styleId="TableTextArial-left">
    <w:name w:val="Table Text (Arial - left)"/>
    <w:basedOn w:val="Normal"/>
    <w:rsid w:val="004C5A5D"/>
    <w:pPr>
      <w:spacing w:before="20" w:after="20" w:line="240" w:lineRule="auto"/>
    </w:pPr>
    <w:rPr>
      <w:rFonts w:ascii="Arial" w:eastAsia="Times New Roman" w:hAnsi="Arial" w:cs="Times New Roman"/>
      <w:sz w:val="20"/>
      <w:lang w:eastAsia="en-AU"/>
    </w:rPr>
  </w:style>
  <w:style w:type="paragraph" w:customStyle="1" w:styleId="TableTextArial-ctrd">
    <w:name w:val="Table Text (Arial - ctrd)"/>
    <w:basedOn w:val="Normal"/>
    <w:rsid w:val="004C5A5D"/>
    <w:pPr>
      <w:widowControl w:val="0"/>
      <w:numPr>
        <w:ilvl w:val="12"/>
      </w:numPr>
      <w:spacing w:before="20" w:line="240" w:lineRule="auto"/>
      <w:jc w:val="center"/>
    </w:pPr>
    <w:rPr>
      <w:rFonts w:ascii="Arial" w:eastAsia="Times New Roman" w:hAnsi="Arial" w:cs="Times New Roman"/>
      <w:sz w:val="20"/>
      <w:lang w:eastAsia="en-AU"/>
    </w:rPr>
  </w:style>
  <w:style w:type="paragraph" w:customStyle="1" w:styleId="BlockText-PlainNoSpacing">
    <w:name w:val="Block Text - Plain (No Spacing)"/>
    <w:basedOn w:val="Normal"/>
    <w:link w:val="BlockText-PlainNoSpacingChar"/>
    <w:rsid w:val="000C696D"/>
    <w:pPr>
      <w:keepNext/>
      <w:keepLines/>
      <w:spacing w:before="20" w:after="20" w:line="240" w:lineRule="auto"/>
    </w:pPr>
    <w:rPr>
      <w:rFonts w:ascii="Arial" w:eastAsia="Times New Roman" w:hAnsi="Arial" w:cs="Times New Roman"/>
      <w:sz w:val="20"/>
      <w:lang w:eastAsia="en-AU"/>
    </w:rPr>
  </w:style>
  <w:style w:type="character" w:customStyle="1" w:styleId="BlockText-PlainNoSpacingChar">
    <w:name w:val="Block Text - Plain (No Spacing) Char"/>
    <w:link w:val="BlockText-PlainNoSpacing"/>
    <w:rsid w:val="000C696D"/>
    <w:rPr>
      <w:rFonts w:ascii="Arial" w:eastAsia="Times New Roman" w:hAnsi="Arial" w:cs="Times New Roman"/>
      <w:lang w:eastAsia="en-AU"/>
    </w:rPr>
  </w:style>
  <w:style w:type="character" w:styleId="PlaceholderText">
    <w:name w:val="Placeholder Text"/>
    <w:basedOn w:val="DefaultParagraphFont"/>
    <w:uiPriority w:val="99"/>
    <w:semiHidden/>
    <w:rsid w:val="007E3976"/>
    <w:rPr>
      <w:color w:val="808080"/>
    </w:rPr>
  </w:style>
  <w:style w:type="paragraph" w:customStyle="1" w:styleId="BlockText-Plain">
    <w:name w:val="Block Text- Plain"/>
    <w:basedOn w:val="Normal"/>
    <w:link w:val="BlockText-PlainChar"/>
    <w:rsid w:val="00BC00AA"/>
    <w:pPr>
      <w:spacing w:after="200" w:line="240" w:lineRule="auto"/>
    </w:pPr>
    <w:rPr>
      <w:rFonts w:ascii="Arial" w:eastAsia="Times New Roman" w:hAnsi="Arial" w:cs="Times New Roman"/>
      <w:sz w:val="20"/>
      <w:lang w:eastAsia="en-AU"/>
    </w:rPr>
  </w:style>
  <w:style w:type="character" w:customStyle="1" w:styleId="BlockText-PlainChar">
    <w:name w:val="Block Text- Plain Char"/>
    <w:basedOn w:val="DefaultParagraphFont"/>
    <w:link w:val="BlockText-Plain"/>
    <w:rsid w:val="00BC00AA"/>
    <w:rPr>
      <w:rFonts w:ascii="Arial" w:eastAsia="Times New Roman" w:hAnsi="Arial" w:cs="Times New Roman"/>
      <w:lang w:eastAsia="en-AU"/>
    </w:rPr>
  </w:style>
  <w:style w:type="paragraph" w:styleId="ListParagraph">
    <w:name w:val="List Paragraph"/>
    <w:basedOn w:val="Normal"/>
    <w:uiPriority w:val="34"/>
    <w:qFormat/>
    <w:rsid w:val="00962E57"/>
    <w:pPr>
      <w:ind w:left="720"/>
      <w:contextualSpacing/>
    </w:pPr>
  </w:style>
  <w:style w:type="character" w:customStyle="1" w:styleId="normaltextrun">
    <w:name w:val="normaltextrun"/>
    <w:basedOn w:val="DefaultParagraphFont"/>
    <w:rsid w:val="009446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925410">
      <w:bodyDiv w:val="1"/>
      <w:marLeft w:val="0"/>
      <w:marRight w:val="0"/>
      <w:marTop w:val="0"/>
      <w:marBottom w:val="0"/>
      <w:divBdr>
        <w:top w:val="none" w:sz="0" w:space="0" w:color="auto"/>
        <w:left w:val="none" w:sz="0" w:space="0" w:color="auto"/>
        <w:bottom w:val="none" w:sz="0" w:space="0" w:color="auto"/>
        <w:right w:val="none" w:sz="0" w:space="0" w:color="auto"/>
      </w:divBdr>
    </w:div>
    <w:div w:id="1472940020">
      <w:bodyDiv w:val="1"/>
      <w:marLeft w:val="0"/>
      <w:marRight w:val="0"/>
      <w:marTop w:val="0"/>
      <w:marBottom w:val="0"/>
      <w:divBdr>
        <w:top w:val="none" w:sz="0" w:space="0" w:color="auto"/>
        <w:left w:val="none" w:sz="0" w:space="0" w:color="auto"/>
        <w:bottom w:val="none" w:sz="0" w:space="0" w:color="auto"/>
        <w:right w:val="none" w:sz="0" w:space="0" w:color="auto"/>
      </w:divBdr>
    </w:div>
    <w:div w:id="1806238309">
      <w:bodyDiv w:val="1"/>
      <w:marLeft w:val="0"/>
      <w:marRight w:val="0"/>
      <w:marTop w:val="0"/>
      <w:marBottom w:val="0"/>
      <w:divBdr>
        <w:top w:val="none" w:sz="0" w:space="0" w:color="auto"/>
        <w:left w:val="none" w:sz="0" w:space="0" w:color="auto"/>
        <w:bottom w:val="none" w:sz="0" w:space="0" w:color="auto"/>
        <w:right w:val="none" w:sz="0" w:space="0" w:color="auto"/>
      </w:divBdr>
    </w:div>
    <w:div w:id="1944846614">
      <w:bodyDiv w:val="1"/>
      <w:marLeft w:val="0"/>
      <w:marRight w:val="0"/>
      <w:marTop w:val="0"/>
      <w:marBottom w:val="0"/>
      <w:divBdr>
        <w:top w:val="none" w:sz="0" w:space="0" w:color="auto"/>
        <w:left w:val="none" w:sz="0" w:space="0" w:color="auto"/>
        <w:bottom w:val="none" w:sz="0" w:space="0" w:color="auto"/>
        <w:right w:val="none" w:sz="0" w:space="0" w:color="auto"/>
      </w:divBdr>
    </w:div>
    <w:div w:id="2135979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mcculloch1\AppData\Local\Microsoft\Windows\INetCache\IE\3F7IOAGJ\template_-_amending_instr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7A4D2AC3D9C944A3BA2E3956678696" ma:contentTypeVersion="19" ma:contentTypeDescription="Create a new document." ma:contentTypeScope="" ma:versionID="f16467a35a7962543327fd4c0ae2f62f">
  <xsd:schema xmlns:xsd="http://www.w3.org/2001/XMLSchema" xmlns:xs="http://www.w3.org/2001/XMLSchema" xmlns:p="http://schemas.microsoft.com/office/2006/metadata/properties" xmlns:ns2="d4956981-af34-43b5-9bb9-127b84748104" xmlns:ns3="8a6f563f-2bdb-41f3-82d1-8dc8753557f6" targetNamespace="http://schemas.microsoft.com/office/2006/metadata/properties" ma:root="true" ma:fieldsID="036868ca51fd2b2b108cb6a3e0e1af30" ns2:_="" ns3:_="">
    <xsd:import namespace="d4956981-af34-43b5-9bb9-127b84748104"/>
    <xsd:import namespace="8a6f563f-2bdb-41f3-82d1-8dc8753557f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DateTaken" minOccurs="0"/>
                <xsd:element ref="ns2:_Flow_SignoffStatus" minOccurs="0"/>
                <xsd:element ref="ns2:MediaServiceLocation" minOccurs="0"/>
                <xsd:element ref="ns2:Draf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956981-af34-43b5-9bb9-127b847481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_Flow_SignoffStatus" ma:index="19" nillable="true" ma:displayName="Sign-off status" ma:internalName="Sign_x002d_off_x0020_status">
      <xsd:simpleType>
        <xsd:restriction base="dms:Text"/>
      </xsd:simpleType>
    </xsd:element>
    <xsd:element name="MediaServiceLocation" ma:index="20" nillable="true" ma:displayName="Location" ma:internalName="MediaServiceLocation" ma:readOnly="true">
      <xsd:simpleType>
        <xsd:restriction base="dms:Text"/>
      </xsd:simpleType>
    </xsd:element>
    <xsd:element name="Drafter" ma:index="21" nillable="true" ma:displayName="Drafter" ma:format="Dropdown" ma:internalName="Drafter">
      <xsd:complexType>
        <xsd:complexContent>
          <xsd:extension base="dms:MultiChoice">
            <xsd:sequence>
              <xsd:element name="Value" maxOccurs="unbounded" minOccurs="0" nillable="true">
                <xsd:simpleType>
                  <xsd:restriction base="dms:Choice">
                    <xsd:enumeration value="Jeremy"/>
                    <xsd:enumeration value="Yvette"/>
                    <xsd:enumeration value="Debbie"/>
                    <xsd:enumeration value="Karen"/>
                    <xsd:enumeration value="Jenn"/>
                    <xsd:enumeration value="David"/>
                    <xsd:enumeration value="Michael"/>
                    <xsd:enumeration value="Leah"/>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6f563f-2bdb-41f3-82d1-8dc8753557f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d4956981-af34-43b5-9bb9-127b84748104" xsi:nil="true"/>
    <Drafter xmlns="d4956981-af34-43b5-9bb9-127b84748104"/>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9AFA4-E191-450C-BF48-D9904D08A5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956981-af34-43b5-9bb9-127b84748104"/>
    <ds:schemaRef ds:uri="8a6f563f-2bdb-41f3-82d1-8dc8753557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B1E314-D049-45D9-94BB-6DE0A4BAF51A}">
  <ds:schemaRefs>
    <ds:schemaRef ds:uri="http://schemas.microsoft.com/sharepoint/v3/contenttype/forms"/>
  </ds:schemaRefs>
</ds:datastoreItem>
</file>

<file path=customXml/itemProps3.xml><?xml version="1.0" encoding="utf-8"?>
<ds:datastoreItem xmlns:ds="http://schemas.openxmlformats.org/officeDocument/2006/customXml" ds:itemID="{A8862338-F06B-42BD-B86D-D07984FE252B}">
  <ds:schemaRefs>
    <ds:schemaRef ds:uri="http://schemas.openxmlformats.org/package/2006/metadata/core-properties"/>
    <ds:schemaRef ds:uri="8a6f563f-2bdb-41f3-82d1-8dc8753557f6"/>
    <ds:schemaRef ds:uri="http://purl.org/dc/dcmitype/"/>
    <ds:schemaRef ds:uri="http://schemas.microsoft.com/office/2006/documentManagement/types"/>
    <ds:schemaRef ds:uri="http://purl.org/dc/elements/1.1/"/>
    <ds:schemaRef ds:uri="http://schemas.microsoft.com/office/2006/metadata/properties"/>
    <ds:schemaRef ds:uri="d4956981-af34-43b5-9bb9-127b84748104"/>
    <ds:schemaRef ds:uri="http://purl.org/dc/term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2DE55004-5CE6-486C-9F9B-76C2FB9D2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template_-_amending_instrument</Template>
  <TotalTime>242</TotalTime>
  <Pages>3</Pages>
  <Words>1276</Words>
  <Characters>7279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McCulloch, Michael MR 1</dc:creator>
  <cp:lastModifiedBy>McCulloch, Michael MR 1</cp:lastModifiedBy>
  <cp:revision>12</cp:revision>
  <cp:lastPrinted>2020-11-30T05:30:00Z</cp:lastPrinted>
  <dcterms:created xsi:type="dcterms:W3CDTF">2020-11-25T01:16:00Z</dcterms:created>
  <dcterms:modified xsi:type="dcterms:W3CDTF">2021-01-26T23:10:00Z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BN13513004</vt:lpwstr>
  </property>
  <property fmtid="{D5CDD505-2E9C-101B-9397-08002B2CF9AE}" pid="4" name="Objective-Title">
    <vt:lpwstr>2020 Template - Omnibus ES and HRS</vt:lpwstr>
  </property>
  <property fmtid="{D5CDD505-2E9C-101B-9397-08002B2CF9AE}" pid="5" name="Objective-Comment">
    <vt:lpwstr/>
  </property>
  <property fmtid="{D5CDD505-2E9C-101B-9397-08002B2CF9AE}" pid="6" name="Objective-CreationStamp">
    <vt:filetime>2020-02-12T03:02:07Z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2020-03-02T22:50:48Z</vt:filetime>
  </property>
  <property fmtid="{D5CDD505-2E9C-101B-9397-08002B2CF9AE}" pid="11" name="Objective-Owner">
    <vt:lpwstr>Mcmillen, Yvette (MS)(FOIIM DELS)</vt:lpwstr>
  </property>
  <property fmtid="{D5CDD505-2E9C-101B-9397-08002B2CF9AE}" pid="12" name="Objective-Path">
    <vt:lpwstr>Objective Global Folder - PROD:Defence Business Units:Chief Operating Officer Group:Defence People Group:People Policy &amp; Culture:PPEC : Personnel Policy and Employment Conditions:20 - Directorates:20 Engagement, Priorities and Drafting:02. Legislative Dra</vt:lpwstr>
  </property>
  <property fmtid="{D5CDD505-2E9C-101B-9397-08002B2CF9AE}" pid="13" name="Objective-Parent">
    <vt:lpwstr>Legal Instruments</vt:lpwstr>
  </property>
  <property fmtid="{D5CDD505-2E9C-101B-9397-08002B2CF9AE}" pid="14" name="Objective-State">
    <vt:lpwstr>Being Edited</vt:lpwstr>
  </property>
  <property fmtid="{D5CDD505-2E9C-101B-9397-08002B2CF9AE}" pid="15" name="Objective-Version">
    <vt:lpwstr>1.6</vt:lpwstr>
  </property>
  <property fmtid="{D5CDD505-2E9C-101B-9397-08002B2CF9AE}" pid="16" name="Objective-VersionNumber">
    <vt:i4>8</vt:i4>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Unclassified]</vt:lpwstr>
  </property>
  <property fmtid="{D5CDD505-2E9C-101B-9397-08002B2CF9AE}" pid="20" name="Objective-Caveats">
    <vt:lpwstr/>
  </property>
  <property fmtid="{D5CDD505-2E9C-101B-9397-08002B2CF9AE}" pid="21" name="Objective-Document Type [system]">
    <vt:lpwstr/>
  </property>
  <property fmtid="{D5CDD505-2E9C-101B-9397-08002B2CF9AE}" pid="22" name="ContentTypeId">
    <vt:lpwstr>0x010100897A4D2AC3D9C944A3BA2E3956678696</vt:lpwstr>
  </property>
</Properties>
</file>