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26015" w14:textId="77777777" w:rsidR="00C278B1" w:rsidRPr="005F0061" w:rsidRDefault="00C278B1" w:rsidP="00C278B1">
      <w:r w:rsidRPr="005F0061">
        <w:rPr>
          <w:noProof/>
          <w:lang w:eastAsia="en-AU"/>
        </w:rPr>
        <w:drawing>
          <wp:inline distT="0" distB="0" distL="0" distR="0" wp14:anchorId="0D7D9635" wp14:editId="25F81EE9">
            <wp:extent cx="12858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981075"/>
                    </a:xfrm>
                    <a:prstGeom prst="rect">
                      <a:avLst/>
                    </a:prstGeom>
                    <a:noFill/>
                    <a:ln>
                      <a:noFill/>
                    </a:ln>
                  </pic:spPr>
                </pic:pic>
              </a:graphicData>
            </a:graphic>
          </wp:inline>
        </w:drawing>
      </w:r>
    </w:p>
    <w:p w14:paraId="43DCD9A0" w14:textId="07C2AB13" w:rsidR="00C278B1" w:rsidRPr="005F0061" w:rsidRDefault="00C9233A" w:rsidP="00C278B1">
      <w:pPr>
        <w:spacing w:before="240"/>
        <w:rPr>
          <w:rFonts w:ascii="Arial" w:hAnsi="Arial" w:cs="Arial"/>
          <w:b/>
          <w:sz w:val="28"/>
          <w:szCs w:val="28"/>
        </w:rPr>
      </w:pPr>
      <w:r w:rsidRPr="005F0061">
        <w:rPr>
          <w:rFonts w:ascii="Arial" w:hAnsi="Arial" w:cs="Arial"/>
          <w:b/>
          <w:sz w:val="28"/>
          <w:szCs w:val="28"/>
        </w:rPr>
        <w:t>PB 4</w:t>
      </w:r>
      <w:r w:rsidR="00DB67CF" w:rsidRPr="005F0061">
        <w:rPr>
          <w:rFonts w:ascii="Arial" w:hAnsi="Arial" w:cs="Arial"/>
          <w:b/>
          <w:sz w:val="28"/>
          <w:szCs w:val="28"/>
        </w:rPr>
        <w:t xml:space="preserve"> </w:t>
      </w:r>
      <w:r w:rsidR="006B43C7" w:rsidRPr="005F0061">
        <w:rPr>
          <w:rFonts w:ascii="Arial" w:hAnsi="Arial" w:cs="Arial"/>
          <w:b/>
          <w:sz w:val="28"/>
          <w:szCs w:val="28"/>
        </w:rPr>
        <w:t>o</w:t>
      </w:r>
      <w:r w:rsidRPr="005F0061">
        <w:rPr>
          <w:rFonts w:ascii="Arial" w:hAnsi="Arial" w:cs="Arial"/>
          <w:b/>
          <w:sz w:val="28"/>
          <w:szCs w:val="28"/>
        </w:rPr>
        <w:t>f 2021</w:t>
      </w:r>
    </w:p>
    <w:p w14:paraId="0A959A5B" w14:textId="77777777" w:rsidR="00C278B1" w:rsidRPr="005F0061" w:rsidRDefault="00C278B1" w:rsidP="00C278B1">
      <w:pPr>
        <w:spacing w:before="240"/>
        <w:rPr>
          <w:rFonts w:ascii="Arial" w:hAnsi="Arial" w:cs="Arial"/>
          <w:sz w:val="28"/>
          <w:szCs w:val="28"/>
        </w:rPr>
      </w:pPr>
    </w:p>
    <w:p w14:paraId="284F569F" w14:textId="48829D54" w:rsidR="00C278B1" w:rsidRPr="005F0061" w:rsidRDefault="00C278B1" w:rsidP="00C278B1">
      <w:pPr>
        <w:rPr>
          <w:rFonts w:ascii="Arial" w:hAnsi="Arial" w:cs="Arial"/>
          <w:b/>
          <w:sz w:val="40"/>
          <w:szCs w:val="40"/>
        </w:rPr>
      </w:pPr>
      <w:r w:rsidRPr="005F0061">
        <w:rPr>
          <w:rFonts w:ascii="Arial" w:hAnsi="Arial" w:cs="Arial"/>
          <w:b/>
          <w:sz w:val="40"/>
          <w:szCs w:val="40"/>
        </w:rPr>
        <w:t>National Health (Highly specialised drugs program) Special Arrangement Amendment</w:t>
      </w:r>
      <w:r w:rsidR="006E5F07" w:rsidRPr="005F0061">
        <w:rPr>
          <w:rFonts w:ascii="Arial" w:hAnsi="Arial" w:cs="Arial"/>
          <w:b/>
          <w:sz w:val="40"/>
          <w:szCs w:val="40"/>
        </w:rPr>
        <w:t> </w:t>
      </w:r>
      <w:r w:rsidR="00373DCD" w:rsidRPr="005F0061">
        <w:rPr>
          <w:rFonts w:ascii="Arial" w:hAnsi="Arial" w:cs="Arial"/>
          <w:b/>
          <w:sz w:val="40"/>
          <w:szCs w:val="40"/>
        </w:rPr>
        <w:t>Instrument 2021</w:t>
      </w:r>
      <w:r w:rsidRPr="005F0061">
        <w:rPr>
          <w:rFonts w:ascii="Arial" w:hAnsi="Arial" w:cs="Arial"/>
          <w:b/>
          <w:sz w:val="40"/>
          <w:szCs w:val="40"/>
        </w:rPr>
        <w:t xml:space="preserve"> </w:t>
      </w:r>
      <w:r w:rsidR="00475B7F" w:rsidRPr="005F0061">
        <w:rPr>
          <w:rFonts w:ascii="Arial" w:hAnsi="Arial" w:cs="Arial"/>
          <w:b/>
          <w:sz w:val="40"/>
          <w:szCs w:val="40"/>
        </w:rPr>
        <w:t>(No. 1)</w:t>
      </w:r>
    </w:p>
    <w:p w14:paraId="06BAE922" w14:textId="77777777" w:rsidR="00C278B1" w:rsidRPr="005F0061" w:rsidRDefault="00C278B1" w:rsidP="00C278B1"/>
    <w:p w14:paraId="4B8E68E2" w14:textId="77777777" w:rsidR="00C278B1" w:rsidRPr="005F0061" w:rsidRDefault="00C278B1" w:rsidP="00C278B1">
      <w:pPr>
        <w:rPr>
          <w:rFonts w:ascii="Arial" w:hAnsi="Arial" w:cs="Arial"/>
          <w:i/>
          <w:sz w:val="28"/>
          <w:szCs w:val="28"/>
        </w:rPr>
      </w:pPr>
      <w:r w:rsidRPr="005F0061">
        <w:rPr>
          <w:rFonts w:ascii="Arial" w:hAnsi="Arial" w:cs="Arial"/>
          <w:i/>
          <w:sz w:val="28"/>
          <w:szCs w:val="28"/>
        </w:rPr>
        <w:t>National Health Act 1953</w:t>
      </w:r>
    </w:p>
    <w:p w14:paraId="315A9466" w14:textId="77777777" w:rsidR="00C278B1" w:rsidRPr="005F0061" w:rsidRDefault="00C278B1" w:rsidP="00C278B1">
      <w:r w:rsidRPr="005F0061">
        <w:t>___________________________________________________________________________</w:t>
      </w:r>
    </w:p>
    <w:p w14:paraId="7AFBCEEA" w14:textId="77777777" w:rsidR="00C278B1" w:rsidRPr="005F0061" w:rsidRDefault="00C278B1" w:rsidP="00C278B1"/>
    <w:p w14:paraId="293DDA40" w14:textId="67025F90" w:rsidR="00C278B1" w:rsidRPr="005F0061" w:rsidRDefault="00C278B1" w:rsidP="00C278B1">
      <w:r w:rsidRPr="005F0061">
        <w:t xml:space="preserve">I, </w:t>
      </w:r>
      <w:r w:rsidR="00F915CD" w:rsidRPr="005F0061">
        <w:t>BEN SLADIC</w:t>
      </w:r>
      <w:r w:rsidR="00AA449E" w:rsidRPr="005F0061">
        <w:t>, Assistant Secretary</w:t>
      </w:r>
      <w:r w:rsidRPr="005F0061">
        <w:t xml:space="preserve">, Pharmacy Branch, Technology Assessment and Access Division, Department of Health, delegate of the Minister for Health, make this Amendment Instrument under subsection 100(2) of the </w:t>
      </w:r>
      <w:r w:rsidRPr="005F0061">
        <w:rPr>
          <w:i/>
        </w:rPr>
        <w:t>National Health Act 1953</w:t>
      </w:r>
      <w:r w:rsidRPr="005F0061">
        <w:t>.</w:t>
      </w:r>
    </w:p>
    <w:p w14:paraId="44EA8AD0" w14:textId="77777777" w:rsidR="00C278B1" w:rsidRPr="005F0061" w:rsidRDefault="00C278B1" w:rsidP="00C278B1"/>
    <w:p w14:paraId="74DC24ED" w14:textId="4A575234" w:rsidR="00C278B1" w:rsidRPr="005F0061" w:rsidRDefault="00C278B1" w:rsidP="00C9233A">
      <w:pPr>
        <w:tabs>
          <w:tab w:val="left" w:pos="1134"/>
          <w:tab w:val="left" w:pos="2830"/>
        </w:tabs>
      </w:pPr>
      <w:r w:rsidRPr="005F0061">
        <w:t>Dated</w:t>
      </w:r>
      <w:r w:rsidR="007B56D7" w:rsidRPr="005F0061">
        <w:t xml:space="preserve">  </w:t>
      </w:r>
      <w:r w:rsidR="00F0514F" w:rsidRPr="005F0061">
        <w:tab/>
      </w:r>
      <w:r w:rsidR="00D36A90" w:rsidRPr="005F0061">
        <w:t xml:space="preserve">27 January </w:t>
      </w:r>
      <w:r w:rsidR="00C9233A" w:rsidRPr="005F0061">
        <w:t>2021</w:t>
      </w:r>
      <w:bookmarkStart w:id="0" w:name="_GoBack"/>
      <w:bookmarkEnd w:id="0"/>
    </w:p>
    <w:p w14:paraId="3C81905C" w14:textId="77777777" w:rsidR="00C278B1" w:rsidRPr="005F0061" w:rsidRDefault="00C278B1" w:rsidP="00C278B1"/>
    <w:p w14:paraId="518BE16D" w14:textId="77777777" w:rsidR="00C278B1" w:rsidRPr="005F0061" w:rsidRDefault="00C278B1" w:rsidP="00C278B1"/>
    <w:p w14:paraId="7E5401CA" w14:textId="77777777" w:rsidR="00C278B1" w:rsidRPr="005F0061" w:rsidRDefault="00C278B1" w:rsidP="00C278B1"/>
    <w:p w14:paraId="77D59180" w14:textId="77777777" w:rsidR="00C278B1" w:rsidRPr="005F0061" w:rsidRDefault="00C278B1" w:rsidP="00C278B1"/>
    <w:p w14:paraId="573BC3B9" w14:textId="77777777" w:rsidR="00C278B1" w:rsidRPr="005F0061" w:rsidRDefault="00C278B1" w:rsidP="00C278B1"/>
    <w:p w14:paraId="2AD08386" w14:textId="77777777" w:rsidR="00C278B1" w:rsidRPr="005F0061" w:rsidRDefault="00C278B1" w:rsidP="00C278B1"/>
    <w:p w14:paraId="1C527410" w14:textId="77777777" w:rsidR="00C278B1" w:rsidRPr="005F0061" w:rsidRDefault="00C278B1" w:rsidP="00C278B1"/>
    <w:p w14:paraId="223B4F20" w14:textId="77777777" w:rsidR="00C278B1" w:rsidRPr="005F0061" w:rsidRDefault="00C278B1" w:rsidP="00C278B1"/>
    <w:p w14:paraId="585732C6" w14:textId="77777777" w:rsidR="00C278B1" w:rsidRPr="005F0061" w:rsidRDefault="00C278B1" w:rsidP="00C278B1"/>
    <w:p w14:paraId="2443BFF5" w14:textId="77777777" w:rsidR="00C278B1" w:rsidRPr="005F0061" w:rsidRDefault="00C278B1" w:rsidP="00C278B1"/>
    <w:p w14:paraId="5627CE4E" w14:textId="77777777" w:rsidR="00C278B1" w:rsidRPr="005F0061" w:rsidRDefault="00C278B1" w:rsidP="00C278B1"/>
    <w:p w14:paraId="502257EF" w14:textId="77777777" w:rsidR="00C278B1" w:rsidRPr="005F0061" w:rsidRDefault="00C278B1" w:rsidP="00C278B1"/>
    <w:p w14:paraId="50943E3F" w14:textId="77777777" w:rsidR="00C278B1" w:rsidRPr="005F0061" w:rsidRDefault="00C278B1" w:rsidP="00C278B1"/>
    <w:p w14:paraId="6224C93B" w14:textId="77777777" w:rsidR="00C278B1" w:rsidRPr="005F0061" w:rsidRDefault="00C278B1" w:rsidP="00C278B1"/>
    <w:p w14:paraId="3848CE2D" w14:textId="77777777" w:rsidR="00C278B1" w:rsidRPr="005F0061" w:rsidRDefault="00C278B1" w:rsidP="00C278B1"/>
    <w:p w14:paraId="5C1A63D8" w14:textId="77777777" w:rsidR="00C278B1" w:rsidRPr="005F0061" w:rsidRDefault="00C278B1" w:rsidP="00C278B1"/>
    <w:p w14:paraId="7B754AF4" w14:textId="6115295B" w:rsidR="00C278B1" w:rsidRPr="005F0061" w:rsidRDefault="00C278B1" w:rsidP="00C278B1">
      <w:pPr>
        <w:rPr>
          <w:noProof/>
          <w:lang w:eastAsia="en-AU"/>
        </w:rPr>
      </w:pPr>
    </w:p>
    <w:p w14:paraId="03E07BE7" w14:textId="77777777" w:rsidR="00C72AAF" w:rsidRPr="005F0061" w:rsidRDefault="00C72AAF" w:rsidP="00C278B1"/>
    <w:p w14:paraId="5DC96BA6" w14:textId="77777777" w:rsidR="00C278B1" w:rsidRPr="005F0061" w:rsidRDefault="00C278B1" w:rsidP="00C278B1"/>
    <w:p w14:paraId="1333A6A2" w14:textId="77777777" w:rsidR="00C278B1" w:rsidRPr="005F0061" w:rsidRDefault="00C278B1" w:rsidP="00C278B1"/>
    <w:p w14:paraId="0FAFE3AA" w14:textId="77777777" w:rsidR="00F915CD" w:rsidRPr="005F0061" w:rsidRDefault="00F915CD" w:rsidP="00C9233A">
      <w:pPr>
        <w:rPr>
          <w:b/>
        </w:rPr>
      </w:pPr>
      <w:r w:rsidRPr="005F0061">
        <w:rPr>
          <w:b/>
        </w:rPr>
        <w:t>BEN SLADIC</w:t>
      </w:r>
    </w:p>
    <w:p w14:paraId="2184AA90" w14:textId="4361A710" w:rsidR="00C9233A" w:rsidRPr="005F0061" w:rsidRDefault="00C9233A" w:rsidP="00C9233A">
      <w:r w:rsidRPr="005F0061">
        <w:t>Assistant Secretary</w:t>
      </w:r>
    </w:p>
    <w:p w14:paraId="4CFB85D2" w14:textId="77777777" w:rsidR="00C278B1" w:rsidRPr="005F0061" w:rsidRDefault="00C278B1" w:rsidP="00C278B1">
      <w:r w:rsidRPr="005F0061">
        <w:t>Pharmacy Branch</w:t>
      </w:r>
    </w:p>
    <w:p w14:paraId="6849A752" w14:textId="77777777" w:rsidR="00C278B1" w:rsidRPr="005F0061" w:rsidRDefault="00C278B1" w:rsidP="00C278B1">
      <w:r w:rsidRPr="005F0061">
        <w:t>Technology Assessment and Access Division</w:t>
      </w:r>
    </w:p>
    <w:p w14:paraId="6CA4F36A" w14:textId="77777777" w:rsidR="00C278B1" w:rsidRPr="005F0061" w:rsidRDefault="00C278B1" w:rsidP="00C278B1">
      <w:r w:rsidRPr="005F0061">
        <w:t>Department of Health</w:t>
      </w:r>
    </w:p>
    <w:p w14:paraId="0F1B28AA" w14:textId="77777777" w:rsidR="00C278B1" w:rsidRPr="005F0061" w:rsidRDefault="00C278B1" w:rsidP="00C278B1">
      <w:r w:rsidRPr="005F0061">
        <w:br w:type="page"/>
      </w:r>
    </w:p>
    <w:p w14:paraId="1FF3BEAD" w14:textId="77777777" w:rsidR="00C278B1" w:rsidRPr="005F0061" w:rsidRDefault="00C278B1" w:rsidP="00C278B1"/>
    <w:p w14:paraId="64E6C02C" w14:textId="77777777" w:rsidR="00C278B1" w:rsidRPr="005F0061" w:rsidRDefault="00C278B1" w:rsidP="00C278B1">
      <w:pPr>
        <w:spacing w:before="120"/>
      </w:pPr>
      <w:r w:rsidRPr="005F0061">
        <w:t>___________________________________________________________________________</w:t>
      </w:r>
    </w:p>
    <w:p w14:paraId="03674336" w14:textId="77777777" w:rsidR="00C278B1" w:rsidRPr="005F0061" w:rsidRDefault="00C278B1" w:rsidP="00550AF2">
      <w:pPr>
        <w:pStyle w:val="ListParagraph"/>
        <w:numPr>
          <w:ilvl w:val="0"/>
          <w:numId w:val="8"/>
        </w:numPr>
        <w:spacing w:before="360"/>
        <w:ind w:left="567" w:hanging="567"/>
        <w:contextualSpacing w:val="0"/>
        <w:rPr>
          <w:rFonts w:ascii="Arial" w:hAnsi="Arial" w:cs="Arial"/>
          <w:b/>
        </w:rPr>
      </w:pPr>
      <w:r w:rsidRPr="005F0061">
        <w:rPr>
          <w:rFonts w:ascii="Arial" w:hAnsi="Arial" w:cs="Arial"/>
          <w:b/>
        </w:rPr>
        <w:t>Name of Instrument</w:t>
      </w:r>
    </w:p>
    <w:p w14:paraId="2B8A1F52" w14:textId="4D571C33" w:rsidR="00C278B1" w:rsidRPr="005F0061" w:rsidRDefault="00C278B1" w:rsidP="00550AF2">
      <w:pPr>
        <w:pStyle w:val="ListParagraph"/>
        <w:numPr>
          <w:ilvl w:val="0"/>
          <w:numId w:val="9"/>
        </w:numPr>
        <w:spacing w:before="120"/>
        <w:ind w:left="1134" w:hanging="567"/>
        <w:contextualSpacing w:val="0"/>
      </w:pPr>
      <w:r w:rsidRPr="005F0061">
        <w:t xml:space="preserve">This Instrument is the </w:t>
      </w:r>
      <w:r w:rsidRPr="005F0061">
        <w:rPr>
          <w:i/>
        </w:rPr>
        <w:t>National Health (Highly specialised drugs program) Special Arra</w:t>
      </w:r>
      <w:r w:rsidR="006B43C7" w:rsidRPr="005F0061">
        <w:rPr>
          <w:i/>
        </w:rPr>
        <w:t>n</w:t>
      </w:r>
      <w:r w:rsidR="00C9233A" w:rsidRPr="005F0061">
        <w:rPr>
          <w:i/>
        </w:rPr>
        <w:t>gement Amendment Instrument 2021</w:t>
      </w:r>
      <w:r w:rsidRPr="005F0061">
        <w:rPr>
          <w:i/>
        </w:rPr>
        <w:t xml:space="preserve"> </w:t>
      </w:r>
      <w:r w:rsidR="00475B7F" w:rsidRPr="005F0061">
        <w:rPr>
          <w:i/>
        </w:rPr>
        <w:t>(No. 1)</w:t>
      </w:r>
      <w:r w:rsidRPr="005F0061">
        <w:t>.</w:t>
      </w:r>
    </w:p>
    <w:p w14:paraId="6CE0692C" w14:textId="7CDFD8DF" w:rsidR="00C278B1" w:rsidRPr="005F0061" w:rsidRDefault="00C278B1" w:rsidP="00550AF2">
      <w:pPr>
        <w:pStyle w:val="ListParagraph"/>
        <w:numPr>
          <w:ilvl w:val="0"/>
          <w:numId w:val="9"/>
        </w:numPr>
        <w:spacing w:before="120"/>
        <w:ind w:left="1134" w:hanging="567"/>
        <w:contextualSpacing w:val="0"/>
      </w:pPr>
      <w:r w:rsidRPr="005F0061">
        <w:t xml:space="preserve">This Instrument may also be cited as </w:t>
      </w:r>
      <w:r w:rsidR="00C9233A" w:rsidRPr="005F0061">
        <w:t>PB 4</w:t>
      </w:r>
      <w:r w:rsidR="00725999" w:rsidRPr="005F0061">
        <w:t xml:space="preserve"> </w:t>
      </w:r>
      <w:r w:rsidR="006B43C7" w:rsidRPr="005F0061">
        <w:t>o</w:t>
      </w:r>
      <w:r w:rsidR="00C9233A" w:rsidRPr="005F0061">
        <w:t>f 2021</w:t>
      </w:r>
      <w:r w:rsidRPr="005F0061">
        <w:t>.</w:t>
      </w:r>
    </w:p>
    <w:p w14:paraId="782FBBC3" w14:textId="77777777" w:rsidR="00C278B1" w:rsidRPr="005F0061" w:rsidRDefault="00C278B1" w:rsidP="00550AF2">
      <w:pPr>
        <w:pStyle w:val="ListParagraph"/>
        <w:numPr>
          <w:ilvl w:val="0"/>
          <w:numId w:val="8"/>
        </w:numPr>
        <w:spacing w:before="360"/>
        <w:ind w:left="567" w:hanging="567"/>
        <w:contextualSpacing w:val="0"/>
        <w:rPr>
          <w:rFonts w:ascii="Arial" w:hAnsi="Arial" w:cs="Arial"/>
          <w:b/>
        </w:rPr>
      </w:pPr>
      <w:r w:rsidRPr="005F0061">
        <w:rPr>
          <w:rFonts w:ascii="Arial" w:hAnsi="Arial" w:cs="Arial"/>
          <w:b/>
        </w:rPr>
        <w:t>Commencement</w:t>
      </w:r>
    </w:p>
    <w:p w14:paraId="5A430E91" w14:textId="3BC3F602" w:rsidR="00C278B1" w:rsidRPr="005F0061" w:rsidRDefault="00C278B1" w:rsidP="00C278B1">
      <w:pPr>
        <w:spacing w:before="120"/>
        <w:ind w:left="567"/>
      </w:pPr>
      <w:r w:rsidRPr="005F0061">
        <w:t xml:space="preserve">This Instrument commences on </w:t>
      </w:r>
      <w:r w:rsidR="00475B7F" w:rsidRPr="005F0061">
        <w:t xml:space="preserve">1 </w:t>
      </w:r>
      <w:r w:rsidR="0092137F" w:rsidRPr="005F0061">
        <w:t>February</w:t>
      </w:r>
      <w:r w:rsidR="00475B7F" w:rsidRPr="005F0061">
        <w:t xml:space="preserve"> 2021</w:t>
      </w:r>
      <w:r w:rsidRPr="005F0061">
        <w:t>.</w:t>
      </w:r>
    </w:p>
    <w:p w14:paraId="5992ABB6" w14:textId="77777777" w:rsidR="00C278B1" w:rsidRPr="005F0061" w:rsidRDefault="00C278B1" w:rsidP="00550AF2">
      <w:pPr>
        <w:pStyle w:val="ListParagraph"/>
        <w:numPr>
          <w:ilvl w:val="0"/>
          <w:numId w:val="8"/>
        </w:numPr>
        <w:spacing w:before="360"/>
        <w:ind w:left="567" w:hanging="567"/>
        <w:contextualSpacing w:val="0"/>
        <w:rPr>
          <w:rFonts w:ascii="Arial" w:hAnsi="Arial" w:cs="Arial"/>
          <w:b/>
        </w:rPr>
      </w:pPr>
      <w:r w:rsidRPr="005F0061">
        <w:rPr>
          <w:rFonts w:ascii="Arial" w:hAnsi="Arial" w:cs="Arial"/>
          <w:b/>
        </w:rPr>
        <w:t xml:space="preserve">Amendment of </w:t>
      </w:r>
      <w:r w:rsidRPr="005F0061">
        <w:rPr>
          <w:rFonts w:ascii="Arial" w:hAnsi="Arial" w:cs="Arial"/>
          <w:b/>
          <w:i/>
        </w:rPr>
        <w:t>National Health (Highly specialised drugs program) Special Arrangement 2010</w:t>
      </w:r>
      <w:r w:rsidRPr="005F0061">
        <w:rPr>
          <w:rFonts w:ascii="Arial" w:hAnsi="Arial" w:cs="Arial"/>
          <w:b/>
        </w:rPr>
        <w:t xml:space="preserve"> (PB 116 of 2010)</w:t>
      </w:r>
    </w:p>
    <w:p w14:paraId="6AD2598E" w14:textId="77777777" w:rsidR="00C278B1" w:rsidRPr="005F0061" w:rsidRDefault="00C278B1" w:rsidP="00C278B1">
      <w:pPr>
        <w:spacing w:before="120"/>
        <w:ind w:left="567"/>
      </w:pPr>
      <w:r w:rsidRPr="005F0061">
        <w:t xml:space="preserve">Schedule 1 amends the </w:t>
      </w:r>
      <w:r w:rsidRPr="005F0061">
        <w:rPr>
          <w:i/>
        </w:rPr>
        <w:t>National Health (Highly specialised drugs program) Special Arrangement 2010</w:t>
      </w:r>
      <w:r w:rsidRPr="005F0061">
        <w:t xml:space="preserve"> (PB 116 of 2010).</w:t>
      </w:r>
    </w:p>
    <w:p w14:paraId="17BF4705" w14:textId="77777777" w:rsidR="00BE6C7C" w:rsidRPr="005F0061" w:rsidRDefault="00BE6C7C" w:rsidP="00C278B1"/>
    <w:p w14:paraId="79819DAF" w14:textId="77777777" w:rsidR="00257AAA" w:rsidRPr="005F0061" w:rsidRDefault="00257AAA" w:rsidP="009D3177"/>
    <w:p w14:paraId="7C8B4159" w14:textId="77777777" w:rsidR="00CA75F8" w:rsidRPr="005F0061" w:rsidRDefault="00CA75F8" w:rsidP="009D3177">
      <w:pPr>
        <w:sectPr w:rsidR="00CA75F8" w:rsidRPr="005F0061" w:rsidSect="00855665">
          <w:footerReference w:type="default" r:id="rId9"/>
          <w:footerReference w:type="first" r:id="rId10"/>
          <w:pgSz w:w="11906" w:h="16838" w:code="9"/>
          <w:pgMar w:top="962" w:right="1440" w:bottom="851" w:left="1440" w:header="709" w:footer="709" w:gutter="0"/>
          <w:cols w:space="708"/>
          <w:titlePg/>
          <w:docGrid w:linePitch="360"/>
        </w:sectPr>
      </w:pPr>
    </w:p>
    <w:p w14:paraId="1C812F78" w14:textId="4E6F3D03" w:rsidR="00B75D80" w:rsidRPr="005F0061" w:rsidRDefault="00C278B1" w:rsidP="00B61AC7">
      <w:pPr>
        <w:tabs>
          <w:tab w:val="left" w:pos="720"/>
        </w:tabs>
        <w:rPr>
          <w:rFonts w:ascii="Arial" w:hAnsi="Arial" w:cs="Arial"/>
          <w:b/>
          <w:sz w:val="32"/>
          <w:szCs w:val="32"/>
        </w:rPr>
      </w:pPr>
      <w:r w:rsidRPr="005F0061">
        <w:rPr>
          <w:rFonts w:ascii="Arial" w:hAnsi="Arial" w:cs="Arial"/>
          <w:b/>
          <w:sz w:val="32"/>
          <w:szCs w:val="32"/>
        </w:rPr>
        <w:lastRenderedPageBreak/>
        <w:t>Schedule 1</w:t>
      </w:r>
      <w:r w:rsidRPr="005F0061">
        <w:rPr>
          <w:rFonts w:ascii="Arial" w:hAnsi="Arial" w:cs="Arial"/>
          <w:b/>
          <w:sz w:val="32"/>
          <w:szCs w:val="32"/>
        </w:rPr>
        <w:tab/>
        <w:t>Amendments</w:t>
      </w:r>
    </w:p>
    <w:p w14:paraId="41F6D8BA" w14:textId="46AE5EB5" w:rsidR="00E07935" w:rsidRPr="005F0061" w:rsidRDefault="00FE1CF5" w:rsidP="003D58C6">
      <w:pPr>
        <w:pStyle w:val="Amendment1"/>
        <w:numPr>
          <w:ilvl w:val="0"/>
          <w:numId w:val="10"/>
        </w:numPr>
        <w:shd w:val="clear" w:color="auto" w:fill="FFFFFF" w:themeFill="background1"/>
        <w:ind w:left="567" w:hanging="567"/>
      </w:pPr>
      <w:r w:rsidRPr="005F0061">
        <w:t xml:space="preserve">Schedule 1, entry for </w:t>
      </w:r>
      <w:proofErr w:type="spellStart"/>
      <w:r w:rsidRPr="005F0061">
        <w:t>Ambrisentan</w:t>
      </w:r>
      <w:proofErr w:type="spellEnd"/>
      <w:r w:rsidRPr="005F0061">
        <w:t xml:space="preserve"> in each of the forms: Tablet 5 mg; and Tablet 10 mg</w:t>
      </w:r>
    </w:p>
    <w:p w14:paraId="1C8BE1E2" w14:textId="0FF44B3A" w:rsidR="00FE1CF5" w:rsidRPr="005F0061" w:rsidRDefault="00FE1CF5" w:rsidP="00291A25">
      <w:pPr>
        <w:pStyle w:val="Amendment1"/>
        <w:numPr>
          <w:ilvl w:val="0"/>
          <w:numId w:val="15"/>
        </w:numPr>
        <w:shd w:val="clear" w:color="auto" w:fill="FFFFFF" w:themeFill="background1"/>
        <w:spacing w:before="60" w:after="60"/>
        <w:ind w:left="1134" w:hanging="567"/>
      </w:pPr>
      <w:r w:rsidRPr="005F0061">
        <w:rPr>
          <w:rFonts w:ascii="Times New Roman" w:hAnsi="Times New Roman" w:cs="Times New Roman"/>
          <w:b w:val="0"/>
          <w:i/>
        </w:rPr>
        <w:t xml:space="preserve">omit from the column headed “Circumstances” (all instances): </w:t>
      </w:r>
      <w:r w:rsidRPr="005F0061">
        <w:t>C11007 C11008 C11010 C11024 C11037</w:t>
      </w:r>
    </w:p>
    <w:p w14:paraId="3D654D9B" w14:textId="2E15514D" w:rsidR="00FE1CF5" w:rsidRPr="005F0061" w:rsidRDefault="00FE1CF5" w:rsidP="00291A25">
      <w:pPr>
        <w:pStyle w:val="Amendment1"/>
        <w:numPr>
          <w:ilvl w:val="0"/>
          <w:numId w:val="15"/>
        </w:numPr>
        <w:shd w:val="clear" w:color="auto" w:fill="FFFFFF" w:themeFill="background1"/>
        <w:spacing w:before="60" w:after="60"/>
        <w:ind w:left="1134" w:hanging="567"/>
        <w:rPr>
          <w:bCs w:val="0"/>
          <w:iCs/>
        </w:rPr>
      </w:pPr>
      <w:r w:rsidRPr="005F0061">
        <w:rPr>
          <w:rFonts w:ascii="Times New Roman" w:hAnsi="Times New Roman" w:cs="Times New Roman"/>
          <w:b w:val="0"/>
          <w:i/>
        </w:rPr>
        <w:t xml:space="preserve">insert in numerical order in the column headed “Circumstances” (all instances): </w:t>
      </w:r>
      <w:r w:rsidRPr="005F0061">
        <w:t>C11189 C11191 C11229 C11239 C11256 C11257</w:t>
      </w:r>
    </w:p>
    <w:p w14:paraId="1A74F2CA" w14:textId="5A934BC6" w:rsidR="00E07935" w:rsidRPr="005F0061" w:rsidRDefault="00FE1CF5" w:rsidP="00291A25">
      <w:pPr>
        <w:pStyle w:val="Amendment1"/>
        <w:numPr>
          <w:ilvl w:val="0"/>
          <w:numId w:val="15"/>
        </w:numPr>
        <w:shd w:val="clear" w:color="auto" w:fill="FFFFFF" w:themeFill="background1"/>
        <w:spacing w:before="60" w:after="60"/>
        <w:ind w:left="1134" w:hanging="567"/>
        <w:rPr>
          <w:bCs w:val="0"/>
          <w:iCs/>
        </w:rPr>
      </w:pPr>
      <w:r w:rsidRPr="005F0061">
        <w:rPr>
          <w:rFonts w:ascii="Times New Roman" w:hAnsi="Times New Roman" w:cs="Times New Roman"/>
          <w:b w:val="0"/>
          <w:bCs w:val="0"/>
          <w:i/>
          <w:iCs/>
        </w:rPr>
        <w:t>omit from the column headed “Responsible Person” for the brand “</w:t>
      </w:r>
      <w:proofErr w:type="spellStart"/>
      <w:r w:rsidRPr="005F0061">
        <w:rPr>
          <w:rFonts w:ascii="Times New Roman" w:hAnsi="Times New Roman" w:cs="Times New Roman"/>
          <w:b w:val="0"/>
          <w:bCs w:val="0"/>
          <w:i/>
          <w:iCs/>
        </w:rPr>
        <w:t>Volibris</w:t>
      </w:r>
      <w:proofErr w:type="spellEnd"/>
      <w:r w:rsidRPr="005F0061">
        <w:rPr>
          <w:rFonts w:ascii="Times New Roman" w:hAnsi="Times New Roman" w:cs="Times New Roman"/>
          <w:b w:val="0"/>
          <w:bCs w:val="0"/>
          <w:i/>
          <w:iCs/>
        </w:rPr>
        <w:t xml:space="preserve">”: </w:t>
      </w:r>
      <w:r w:rsidRPr="005F0061">
        <w:rPr>
          <w:bCs w:val="0"/>
          <w:iCs/>
        </w:rPr>
        <w:t>GK</w:t>
      </w:r>
      <w:r w:rsidRPr="005F0061">
        <w:rPr>
          <w:bCs w:val="0"/>
          <w:iCs/>
        </w:rPr>
        <w:tab/>
      </w:r>
      <w:r w:rsidRPr="005F0061">
        <w:rPr>
          <w:rFonts w:ascii="Times New Roman" w:hAnsi="Times New Roman" w:cs="Times New Roman"/>
          <w:b w:val="0"/>
          <w:bCs w:val="0"/>
          <w:i/>
          <w:iCs/>
        </w:rPr>
        <w:tab/>
        <w:t xml:space="preserve">substitute: </w:t>
      </w:r>
      <w:r w:rsidRPr="005F0061">
        <w:rPr>
          <w:bCs w:val="0"/>
          <w:iCs/>
        </w:rPr>
        <w:t>ZE</w:t>
      </w:r>
    </w:p>
    <w:p w14:paraId="12910485" w14:textId="6DE3BDE3" w:rsidR="00E07935" w:rsidRPr="005F0061" w:rsidRDefault="00E07935" w:rsidP="003D58C6">
      <w:pPr>
        <w:pStyle w:val="Amendment1"/>
        <w:numPr>
          <w:ilvl w:val="0"/>
          <w:numId w:val="10"/>
        </w:numPr>
        <w:shd w:val="clear" w:color="auto" w:fill="FFFFFF" w:themeFill="background1"/>
        <w:ind w:left="567" w:hanging="567"/>
        <w:rPr>
          <w:i/>
        </w:rPr>
      </w:pPr>
      <w:r w:rsidRPr="005F0061">
        <w:t>Schedule</w:t>
      </w:r>
      <w:r w:rsidRPr="005F0061">
        <w:rPr>
          <w:bCs w:val="0"/>
          <w:iCs/>
        </w:rPr>
        <w:t xml:space="preserve"> 1, </w:t>
      </w:r>
      <w:r w:rsidRPr="005F0061">
        <w:t xml:space="preserve">entry for </w:t>
      </w:r>
      <w:proofErr w:type="spellStart"/>
      <w:r w:rsidRPr="005F0061">
        <w:t>Bosentan</w:t>
      </w:r>
      <w:proofErr w:type="spellEnd"/>
      <w:r w:rsidRPr="005F0061">
        <w:t xml:space="preserve"> </w:t>
      </w:r>
      <w:r w:rsidR="00CA6C5E" w:rsidRPr="005F0061">
        <w:t xml:space="preserve">in </w:t>
      </w:r>
      <w:r w:rsidR="00285914" w:rsidRPr="005F0061">
        <w:t>the form</w:t>
      </w:r>
      <w:r w:rsidR="00511199" w:rsidRPr="005F0061">
        <w:t xml:space="preserve"> </w:t>
      </w:r>
      <w:r w:rsidRPr="005F0061">
        <w:t>Tablet 62.5 mg (as monohydrate)</w:t>
      </w:r>
      <w:r w:rsidR="00511199" w:rsidRPr="005F0061">
        <w:t xml:space="preserve"> </w:t>
      </w:r>
    </w:p>
    <w:p w14:paraId="60671F75" w14:textId="77777777" w:rsidR="00E07935" w:rsidRPr="005F0061" w:rsidRDefault="00E07935" w:rsidP="00291A25">
      <w:pPr>
        <w:pStyle w:val="Amendment1"/>
        <w:numPr>
          <w:ilvl w:val="0"/>
          <w:numId w:val="16"/>
        </w:numPr>
        <w:shd w:val="clear" w:color="auto" w:fill="FFFFFF" w:themeFill="background1"/>
        <w:spacing w:before="60" w:after="60"/>
        <w:ind w:left="1134" w:hanging="567"/>
        <w:rPr>
          <w:bCs w:val="0"/>
          <w:iCs/>
        </w:rPr>
      </w:pPr>
      <w:r w:rsidRPr="005F0061">
        <w:rPr>
          <w:rFonts w:ascii="Times New Roman" w:hAnsi="Times New Roman" w:cs="Times New Roman"/>
          <w:b w:val="0"/>
          <w:i/>
        </w:rPr>
        <w:t xml:space="preserve">omit from the column headed “Circumstances” (all instances): </w:t>
      </w:r>
      <w:r w:rsidRPr="005F0061">
        <w:t>C11004 C11022 C11023 C11044 C11064</w:t>
      </w:r>
    </w:p>
    <w:p w14:paraId="6F2EADBB" w14:textId="77777777" w:rsidR="00E07935" w:rsidRPr="005F0061" w:rsidRDefault="00E07935" w:rsidP="00291A25">
      <w:pPr>
        <w:pStyle w:val="Amendment1"/>
        <w:numPr>
          <w:ilvl w:val="0"/>
          <w:numId w:val="16"/>
        </w:numPr>
        <w:shd w:val="clear" w:color="auto" w:fill="FFFFFF" w:themeFill="background1"/>
        <w:spacing w:before="60" w:after="60"/>
        <w:ind w:left="1134" w:hanging="567"/>
        <w:rPr>
          <w:bCs w:val="0"/>
          <w:iCs/>
        </w:rPr>
      </w:pPr>
      <w:r w:rsidRPr="005F0061">
        <w:rPr>
          <w:rFonts w:ascii="Times New Roman" w:hAnsi="Times New Roman" w:cs="Times New Roman"/>
          <w:b w:val="0"/>
          <w:i/>
        </w:rPr>
        <w:t xml:space="preserve">insert in numerical order in the column headed “Circumstances” (all instances): </w:t>
      </w:r>
      <w:r w:rsidRPr="005F0061">
        <w:t>C11229 C11231 C11232 C11253 C11282 C11295</w:t>
      </w:r>
    </w:p>
    <w:p w14:paraId="6CCBE427" w14:textId="77777777" w:rsidR="00E07935" w:rsidRPr="005F0061" w:rsidRDefault="00E07935" w:rsidP="00291A25">
      <w:pPr>
        <w:pStyle w:val="Amendment1"/>
        <w:numPr>
          <w:ilvl w:val="0"/>
          <w:numId w:val="16"/>
        </w:numPr>
        <w:shd w:val="clear" w:color="auto" w:fill="FFFFFF" w:themeFill="background1"/>
        <w:spacing w:before="60" w:after="60"/>
        <w:ind w:left="1134" w:hanging="567"/>
        <w:rPr>
          <w:rFonts w:ascii="Times New Roman" w:hAnsi="Times New Roman" w:cs="Times New Roman"/>
          <w:b w:val="0"/>
          <w:bCs w:val="0"/>
          <w:iCs/>
        </w:rPr>
      </w:pPr>
      <w:r w:rsidRPr="005F0061">
        <w:rPr>
          <w:rFonts w:ascii="Times New Roman" w:hAnsi="Times New Roman" w:cs="Times New Roman"/>
          <w:b w:val="0"/>
          <w:i/>
        </w:rPr>
        <w:t>insert in the columns in the order indicated, and in alphabetical order for the column headed “Brand”:</w:t>
      </w:r>
    </w:p>
    <w:tbl>
      <w:tblPr>
        <w:tblStyle w:val="TableGrid"/>
        <w:tblW w:w="13277" w:type="dxa"/>
        <w:tblBorders>
          <w:insideH w:val="none" w:sz="0" w:space="0" w:color="auto"/>
          <w:insideV w:val="none" w:sz="0" w:space="0" w:color="auto"/>
        </w:tblBorders>
        <w:tblLayout w:type="fixed"/>
        <w:tblLook w:val="04A0" w:firstRow="1" w:lastRow="0" w:firstColumn="1" w:lastColumn="0" w:noHBand="0" w:noVBand="1"/>
      </w:tblPr>
      <w:tblGrid>
        <w:gridCol w:w="2030"/>
        <w:gridCol w:w="2591"/>
        <w:gridCol w:w="1032"/>
        <w:gridCol w:w="1587"/>
        <w:gridCol w:w="607"/>
        <w:gridCol w:w="1474"/>
        <w:gridCol w:w="1417"/>
        <w:gridCol w:w="788"/>
        <w:gridCol w:w="850"/>
        <w:gridCol w:w="901"/>
      </w:tblGrid>
      <w:tr w:rsidR="00E07935" w:rsidRPr="005F0061" w14:paraId="7525033A" w14:textId="77777777" w:rsidTr="00D833F4">
        <w:tc>
          <w:tcPr>
            <w:tcW w:w="2030" w:type="dxa"/>
          </w:tcPr>
          <w:p w14:paraId="64FCAADF" w14:textId="77777777" w:rsidR="00E07935" w:rsidRPr="005F0061" w:rsidRDefault="00E07935" w:rsidP="00803235">
            <w:pPr>
              <w:pStyle w:val="Amendment1"/>
              <w:numPr>
                <w:ilvl w:val="0"/>
                <w:numId w:val="0"/>
              </w:numPr>
              <w:shd w:val="clear" w:color="auto" w:fill="FFFFFF" w:themeFill="background1"/>
              <w:spacing w:before="60" w:after="60"/>
              <w:rPr>
                <w:b w:val="0"/>
                <w:sz w:val="16"/>
                <w:szCs w:val="16"/>
              </w:rPr>
            </w:pPr>
          </w:p>
        </w:tc>
        <w:tc>
          <w:tcPr>
            <w:tcW w:w="2591" w:type="dxa"/>
          </w:tcPr>
          <w:p w14:paraId="4C340CD8" w14:textId="77777777" w:rsidR="00E07935" w:rsidRPr="005F0061" w:rsidRDefault="00E07935" w:rsidP="003327A6">
            <w:pPr>
              <w:pStyle w:val="Amendment1"/>
              <w:numPr>
                <w:ilvl w:val="0"/>
                <w:numId w:val="0"/>
              </w:numPr>
              <w:spacing w:before="60" w:after="60"/>
              <w:ind w:left="567"/>
              <w:rPr>
                <w:sz w:val="16"/>
                <w:szCs w:val="16"/>
              </w:rPr>
            </w:pPr>
          </w:p>
        </w:tc>
        <w:tc>
          <w:tcPr>
            <w:tcW w:w="1032" w:type="dxa"/>
          </w:tcPr>
          <w:p w14:paraId="03DDA086" w14:textId="77777777" w:rsidR="00E07935" w:rsidRPr="005F0061" w:rsidRDefault="00E07935" w:rsidP="00803235">
            <w:pPr>
              <w:shd w:val="clear" w:color="auto" w:fill="FFFFFF" w:themeFill="background1"/>
              <w:spacing w:before="60" w:after="60"/>
              <w:rPr>
                <w:rFonts w:ascii="Arial" w:hAnsi="Arial" w:cs="Arial"/>
                <w:sz w:val="16"/>
                <w:szCs w:val="16"/>
              </w:rPr>
            </w:pPr>
          </w:p>
        </w:tc>
        <w:tc>
          <w:tcPr>
            <w:tcW w:w="1587" w:type="dxa"/>
          </w:tcPr>
          <w:p w14:paraId="6863F74A" w14:textId="77777777" w:rsidR="00E07935" w:rsidRPr="005F0061" w:rsidRDefault="00E07935" w:rsidP="00803235">
            <w:pPr>
              <w:shd w:val="clear" w:color="auto" w:fill="FFFFFF" w:themeFill="background1"/>
              <w:spacing w:before="60" w:after="60"/>
              <w:rPr>
                <w:rFonts w:ascii="Arial" w:hAnsi="Arial" w:cs="Arial"/>
                <w:color w:val="000000" w:themeColor="text1"/>
                <w:sz w:val="16"/>
                <w:szCs w:val="16"/>
              </w:rPr>
            </w:pPr>
            <w:proofErr w:type="spellStart"/>
            <w:r w:rsidRPr="005F0061">
              <w:rPr>
                <w:rFonts w:ascii="Arial" w:hAnsi="Arial" w:cs="Arial"/>
                <w:color w:val="000000" w:themeColor="text1"/>
                <w:sz w:val="16"/>
                <w:szCs w:val="16"/>
              </w:rPr>
              <w:t>Bosentan</w:t>
            </w:r>
            <w:proofErr w:type="spellEnd"/>
            <w:r w:rsidRPr="005F0061">
              <w:rPr>
                <w:rFonts w:ascii="Arial" w:hAnsi="Arial" w:cs="Arial"/>
                <w:color w:val="000000" w:themeColor="text1"/>
                <w:sz w:val="16"/>
                <w:szCs w:val="16"/>
              </w:rPr>
              <w:t xml:space="preserve"> </w:t>
            </w:r>
            <w:proofErr w:type="spellStart"/>
            <w:r w:rsidRPr="005F0061">
              <w:rPr>
                <w:rFonts w:ascii="Arial" w:hAnsi="Arial" w:cs="Arial"/>
                <w:color w:val="000000" w:themeColor="text1"/>
                <w:sz w:val="16"/>
                <w:szCs w:val="16"/>
              </w:rPr>
              <w:t>Cipla</w:t>
            </w:r>
            <w:proofErr w:type="spellEnd"/>
          </w:p>
        </w:tc>
        <w:tc>
          <w:tcPr>
            <w:tcW w:w="607" w:type="dxa"/>
          </w:tcPr>
          <w:p w14:paraId="5E12BE14" w14:textId="77777777" w:rsidR="00E07935" w:rsidRPr="005F0061" w:rsidRDefault="00E07935" w:rsidP="00803235">
            <w:pPr>
              <w:shd w:val="clear" w:color="auto" w:fill="FFFFFF" w:themeFill="background1"/>
              <w:spacing w:before="60" w:after="60"/>
              <w:rPr>
                <w:rFonts w:ascii="Arial" w:hAnsi="Arial" w:cs="Arial"/>
                <w:color w:val="000000" w:themeColor="text1"/>
                <w:sz w:val="16"/>
                <w:szCs w:val="16"/>
              </w:rPr>
            </w:pPr>
            <w:r w:rsidRPr="005F0061">
              <w:rPr>
                <w:rFonts w:ascii="Arial" w:hAnsi="Arial" w:cs="Arial"/>
                <w:color w:val="000000" w:themeColor="text1"/>
                <w:sz w:val="16"/>
                <w:szCs w:val="16"/>
              </w:rPr>
              <w:t>LR</w:t>
            </w:r>
          </w:p>
        </w:tc>
        <w:tc>
          <w:tcPr>
            <w:tcW w:w="1474" w:type="dxa"/>
          </w:tcPr>
          <w:p w14:paraId="1012EA33" w14:textId="205D0237" w:rsidR="00E07935" w:rsidRPr="005F0061" w:rsidRDefault="00935611" w:rsidP="00803235">
            <w:pPr>
              <w:shd w:val="clear" w:color="auto" w:fill="FFFFFF" w:themeFill="background1"/>
              <w:spacing w:before="60" w:after="60"/>
              <w:rPr>
                <w:rFonts w:ascii="Arial" w:hAnsi="Arial" w:cs="Arial"/>
                <w:color w:val="000000" w:themeColor="text1"/>
                <w:sz w:val="16"/>
                <w:szCs w:val="16"/>
              </w:rPr>
            </w:pPr>
            <w:r w:rsidRPr="005F0061">
              <w:rPr>
                <w:rFonts w:ascii="Arial" w:hAnsi="Arial" w:cs="Arial"/>
                <w:color w:val="000000" w:themeColor="text1"/>
                <w:sz w:val="16"/>
                <w:szCs w:val="16"/>
              </w:rPr>
              <w:t xml:space="preserve">C10228 </w:t>
            </w:r>
            <w:r w:rsidR="00E07935" w:rsidRPr="005F0061">
              <w:rPr>
                <w:rFonts w:ascii="Arial" w:hAnsi="Arial" w:cs="Arial"/>
                <w:color w:val="000000" w:themeColor="text1"/>
                <w:sz w:val="16"/>
                <w:szCs w:val="16"/>
              </w:rPr>
              <w:t>C10238 C10924 C10945 C11229 C11231 C11232 C11253 C11282 C11295</w:t>
            </w:r>
          </w:p>
        </w:tc>
        <w:tc>
          <w:tcPr>
            <w:tcW w:w="1417" w:type="dxa"/>
          </w:tcPr>
          <w:p w14:paraId="40AF4D57" w14:textId="77777777" w:rsidR="00E07935" w:rsidRPr="005F0061" w:rsidRDefault="00E07935" w:rsidP="00803235">
            <w:pPr>
              <w:shd w:val="clear" w:color="auto" w:fill="FFFFFF" w:themeFill="background1"/>
              <w:spacing w:before="60" w:after="60"/>
              <w:rPr>
                <w:rFonts w:ascii="Arial" w:hAnsi="Arial" w:cs="Arial"/>
                <w:sz w:val="16"/>
                <w:szCs w:val="16"/>
              </w:rPr>
            </w:pPr>
          </w:p>
        </w:tc>
        <w:tc>
          <w:tcPr>
            <w:tcW w:w="788" w:type="dxa"/>
          </w:tcPr>
          <w:p w14:paraId="2036DFE5" w14:textId="77777777" w:rsidR="00E07935" w:rsidRPr="005F0061" w:rsidRDefault="00E07935" w:rsidP="00803235">
            <w:pPr>
              <w:shd w:val="clear" w:color="auto" w:fill="FFFFFF" w:themeFill="background1"/>
              <w:spacing w:before="60" w:after="60"/>
              <w:rPr>
                <w:rFonts w:ascii="Arial" w:hAnsi="Arial" w:cs="Arial"/>
                <w:color w:val="000000" w:themeColor="text1"/>
                <w:sz w:val="16"/>
                <w:szCs w:val="16"/>
              </w:rPr>
            </w:pPr>
            <w:r w:rsidRPr="005F0061">
              <w:rPr>
                <w:rFonts w:ascii="Arial" w:hAnsi="Arial" w:cs="Arial"/>
                <w:color w:val="000000" w:themeColor="text1"/>
                <w:sz w:val="16"/>
                <w:szCs w:val="16"/>
              </w:rPr>
              <w:t>See Note 1</w:t>
            </w:r>
          </w:p>
        </w:tc>
        <w:tc>
          <w:tcPr>
            <w:tcW w:w="850" w:type="dxa"/>
          </w:tcPr>
          <w:p w14:paraId="74380D22" w14:textId="77777777" w:rsidR="00E07935" w:rsidRPr="005F0061" w:rsidRDefault="00E07935" w:rsidP="00803235">
            <w:pPr>
              <w:shd w:val="clear" w:color="auto" w:fill="FFFFFF" w:themeFill="background1"/>
              <w:spacing w:before="60" w:after="60"/>
              <w:rPr>
                <w:rFonts w:ascii="Arial" w:hAnsi="Arial" w:cs="Arial"/>
                <w:color w:val="000000" w:themeColor="text1"/>
                <w:sz w:val="16"/>
                <w:szCs w:val="16"/>
              </w:rPr>
            </w:pPr>
            <w:r w:rsidRPr="005F0061">
              <w:rPr>
                <w:rFonts w:ascii="Arial" w:hAnsi="Arial" w:cs="Arial"/>
                <w:color w:val="000000" w:themeColor="text1"/>
                <w:sz w:val="16"/>
                <w:szCs w:val="16"/>
              </w:rPr>
              <w:t>See Note 2</w:t>
            </w:r>
          </w:p>
        </w:tc>
        <w:tc>
          <w:tcPr>
            <w:tcW w:w="901" w:type="dxa"/>
          </w:tcPr>
          <w:p w14:paraId="255CD35B" w14:textId="77777777" w:rsidR="00E07935" w:rsidRPr="005F0061" w:rsidRDefault="00E07935" w:rsidP="00803235">
            <w:pPr>
              <w:shd w:val="clear" w:color="auto" w:fill="FFFFFF" w:themeFill="background1"/>
              <w:spacing w:before="60" w:after="60"/>
              <w:rPr>
                <w:rFonts w:ascii="Arial" w:hAnsi="Arial" w:cs="Arial"/>
                <w:color w:val="000000" w:themeColor="text1"/>
                <w:sz w:val="16"/>
                <w:szCs w:val="16"/>
              </w:rPr>
            </w:pPr>
            <w:r w:rsidRPr="005F0061">
              <w:rPr>
                <w:rFonts w:ascii="Arial" w:hAnsi="Arial" w:cs="Arial"/>
                <w:color w:val="000000" w:themeColor="text1"/>
                <w:sz w:val="16"/>
                <w:szCs w:val="16"/>
              </w:rPr>
              <w:t>D</w:t>
            </w:r>
          </w:p>
        </w:tc>
      </w:tr>
    </w:tbl>
    <w:p w14:paraId="6FDD842E" w14:textId="2AE236BC" w:rsidR="00A05A53" w:rsidRPr="005F0061" w:rsidRDefault="00A05A53" w:rsidP="00974CBA">
      <w:pPr>
        <w:pStyle w:val="Amendment1"/>
        <w:numPr>
          <w:ilvl w:val="0"/>
          <w:numId w:val="16"/>
        </w:numPr>
        <w:shd w:val="clear" w:color="auto" w:fill="FFFFFF" w:themeFill="background1"/>
        <w:spacing w:before="60" w:after="60"/>
        <w:ind w:left="1134" w:hanging="567"/>
        <w:rPr>
          <w:i/>
        </w:rPr>
      </w:pPr>
      <w:r w:rsidRPr="005F0061">
        <w:rPr>
          <w:rFonts w:ascii="Times New Roman" w:hAnsi="Times New Roman" w:cs="Times New Roman"/>
          <w:b w:val="0"/>
          <w:i/>
        </w:rPr>
        <w:t xml:space="preserve">omit from </w:t>
      </w:r>
      <w:r w:rsidR="003327A6" w:rsidRPr="005F0061">
        <w:rPr>
          <w:rFonts w:ascii="Times New Roman" w:hAnsi="Times New Roman" w:cs="Times New Roman"/>
          <w:b w:val="0"/>
          <w:i/>
        </w:rPr>
        <w:t xml:space="preserve">the </w:t>
      </w:r>
      <w:r w:rsidRPr="005F0061">
        <w:rPr>
          <w:rFonts w:ascii="Times New Roman" w:hAnsi="Times New Roman" w:cs="Times New Roman"/>
          <w:b w:val="0"/>
          <w:i/>
        </w:rPr>
        <w:t xml:space="preserve">column headed “Brand”: </w:t>
      </w:r>
      <w:r w:rsidRPr="005F0061">
        <w:t>BOSENTAN DR. REDDY’S</w:t>
      </w:r>
      <w:r w:rsidRPr="005F0061">
        <w:rPr>
          <w:rFonts w:ascii="Times New Roman" w:hAnsi="Times New Roman" w:cs="Times New Roman"/>
          <w:b w:val="0"/>
          <w:i/>
        </w:rPr>
        <w:tab/>
        <w:t xml:space="preserve">substitute: </w:t>
      </w:r>
      <w:r w:rsidRPr="005F0061">
        <w:t>BOSENTAN DR.REDDY’S</w:t>
      </w:r>
    </w:p>
    <w:p w14:paraId="786B9F7F" w14:textId="4E3499E7" w:rsidR="00CA6C5E" w:rsidRPr="005F0061" w:rsidRDefault="00CA6C5E" w:rsidP="00A33F05">
      <w:pPr>
        <w:pStyle w:val="Amendment1"/>
        <w:numPr>
          <w:ilvl w:val="0"/>
          <w:numId w:val="10"/>
        </w:numPr>
        <w:shd w:val="clear" w:color="auto" w:fill="FFFFFF" w:themeFill="background1"/>
        <w:ind w:left="567" w:hanging="567"/>
        <w:rPr>
          <w:i/>
        </w:rPr>
      </w:pPr>
      <w:r w:rsidRPr="005F0061">
        <w:t>Schedule</w:t>
      </w:r>
      <w:r w:rsidRPr="005F0061">
        <w:rPr>
          <w:bCs w:val="0"/>
          <w:iCs/>
        </w:rPr>
        <w:t xml:space="preserve"> 1, </w:t>
      </w:r>
      <w:r w:rsidRPr="005F0061">
        <w:t xml:space="preserve">entry for </w:t>
      </w:r>
      <w:proofErr w:type="spellStart"/>
      <w:r w:rsidRPr="005F0061">
        <w:t>Bosentan</w:t>
      </w:r>
      <w:proofErr w:type="spellEnd"/>
      <w:r w:rsidRPr="005F0061">
        <w:t xml:space="preserve"> in </w:t>
      </w:r>
      <w:r w:rsidR="00285914" w:rsidRPr="005F0061">
        <w:t>the form</w:t>
      </w:r>
      <w:r w:rsidRPr="005F0061">
        <w:t xml:space="preserve"> Tablet 125 mg (as monohydrate)</w:t>
      </w:r>
    </w:p>
    <w:p w14:paraId="53D2CA37" w14:textId="3D5FEFBC" w:rsidR="00CA6C5E" w:rsidRPr="005F0061" w:rsidRDefault="00CA6C5E" w:rsidP="00291A25">
      <w:pPr>
        <w:pStyle w:val="Amendment1"/>
        <w:numPr>
          <w:ilvl w:val="0"/>
          <w:numId w:val="23"/>
        </w:numPr>
        <w:shd w:val="clear" w:color="auto" w:fill="FFFFFF" w:themeFill="background1"/>
        <w:spacing w:before="60" w:after="60"/>
        <w:ind w:left="1134" w:hanging="567"/>
        <w:rPr>
          <w:bCs w:val="0"/>
          <w:iCs/>
        </w:rPr>
      </w:pPr>
      <w:r w:rsidRPr="005F0061">
        <w:rPr>
          <w:rFonts w:ascii="Times New Roman" w:hAnsi="Times New Roman" w:cs="Times New Roman"/>
          <w:b w:val="0"/>
          <w:i/>
        </w:rPr>
        <w:t xml:space="preserve">omit from the column headed “Circumstances” (all instances): </w:t>
      </w:r>
      <w:r w:rsidRPr="005F0061">
        <w:t>C1</w:t>
      </w:r>
      <w:r w:rsidR="00D833F4" w:rsidRPr="005F0061">
        <w:t xml:space="preserve">1004 C11022 C11023 C11036 C11044 </w:t>
      </w:r>
    </w:p>
    <w:p w14:paraId="58A47C37" w14:textId="77777777" w:rsidR="00CA6C5E" w:rsidRPr="005F0061" w:rsidRDefault="00CA6C5E" w:rsidP="00291A25">
      <w:pPr>
        <w:pStyle w:val="Amendment1"/>
        <w:numPr>
          <w:ilvl w:val="0"/>
          <w:numId w:val="23"/>
        </w:numPr>
        <w:shd w:val="clear" w:color="auto" w:fill="FFFFFF" w:themeFill="background1"/>
        <w:spacing w:before="60" w:after="60"/>
        <w:ind w:left="1134" w:hanging="567"/>
        <w:rPr>
          <w:bCs w:val="0"/>
          <w:iCs/>
        </w:rPr>
      </w:pPr>
      <w:r w:rsidRPr="005F0061">
        <w:rPr>
          <w:rFonts w:ascii="Times New Roman" w:hAnsi="Times New Roman" w:cs="Times New Roman"/>
          <w:b w:val="0"/>
          <w:i/>
        </w:rPr>
        <w:t xml:space="preserve">insert in numerical order in the column headed “Circumstances” (all instances): </w:t>
      </w:r>
      <w:r w:rsidRPr="005F0061">
        <w:t>C11229 C11231 C11232 C11253 C11282 C11295</w:t>
      </w:r>
    </w:p>
    <w:p w14:paraId="393E3AD3" w14:textId="77777777" w:rsidR="00CA6C5E" w:rsidRPr="005F0061" w:rsidRDefault="00CA6C5E" w:rsidP="00291A25">
      <w:pPr>
        <w:pStyle w:val="Amendment1"/>
        <w:numPr>
          <w:ilvl w:val="0"/>
          <w:numId w:val="23"/>
        </w:numPr>
        <w:shd w:val="clear" w:color="auto" w:fill="FFFFFF" w:themeFill="background1"/>
        <w:spacing w:before="60" w:after="60"/>
        <w:ind w:left="1134" w:hanging="567"/>
        <w:rPr>
          <w:rFonts w:ascii="Times New Roman" w:hAnsi="Times New Roman" w:cs="Times New Roman"/>
          <w:b w:val="0"/>
          <w:bCs w:val="0"/>
          <w:iCs/>
        </w:rPr>
      </w:pPr>
      <w:r w:rsidRPr="005F0061">
        <w:rPr>
          <w:rFonts w:ascii="Times New Roman" w:hAnsi="Times New Roman" w:cs="Times New Roman"/>
          <w:b w:val="0"/>
          <w:i/>
        </w:rPr>
        <w:t>insert in the columns in the order indicated, and in alphabetical order for the column headed “Brand”:</w:t>
      </w:r>
    </w:p>
    <w:tbl>
      <w:tblPr>
        <w:tblStyle w:val="TableGrid"/>
        <w:tblW w:w="13277" w:type="dxa"/>
        <w:tblBorders>
          <w:insideH w:val="none" w:sz="0" w:space="0" w:color="auto"/>
          <w:insideV w:val="none" w:sz="0" w:space="0" w:color="auto"/>
        </w:tblBorders>
        <w:tblLayout w:type="fixed"/>
        <w:tblLook w:val="04A0" w:firstRow="1" w:lastRow="0" w:firstColumn="1" w:lastColumn="0" w:noHBand="0" w:noVBand="1"/>
      </w:tblPr>
      <w:tblGrid>
        <w:gridCol w:w="2030"/>
        <w:gridCol w:w="2591"/>
        <w:gridCol w:w="1032"/>
        <w:gridCol w:w="1587"/>
        <w:gridCol w:w="607"/>
        <w:gridCol w:w="1474"/>
        <w:gridCol w:w="1417"/>
        <w:gridCol w:w="788"/>
        <w:gridCol w:w="850"/>
        <w:gridCol w:w="901"/>
      </w:tblGrid>
      <w:tr w:rsidR="00CA6C5E" w:rsidRPr="005F0061" w14:paraId="719D9AF9" w14:textId="77777777" w:rsidTr="00D833F4">
        <w:tc>
          <w:tcPr>
            <w:tcW w:w="2030" w:type="dxa"/>
          </w:tcPr>
          <w:p w14:paraId="23637943" w14:textId="77777777" w:rsidR="00CA6C5E" w:rsidRPr="005F0061" w:rsidRDefault="00CA6C5E" w:rsidP="00CA6C5E">
            <w:pPr>
              <w:pStyle w:val="Amendment1"/>
              <w:numPr>
                <w:ilvl w:val="0"/>
                <w:numId w:val="0"/>
              </w:numPr>
              <w:shd w:val="clear" w:color="auto" w:fill="FFFFFF" w:themeFill="background1"/>
              <w:spacing w:before="60" w:after="60"/>
              <w:rPr>
                <w:b w:val="0"/>
                <w:sz w:val="16"/>
                <w:szCs w:val="16"/>
              </w:rPr>
            </w:pPr>
          </w:p>
        </w:tc>
        <w:tc>
          <w:tcPr>
            <w:tcW w:w="2591" w:type="dxa"/>
          </w:tcPr>
          <w:p w14:paraId="3A2FB331" w14:textId="77777777" w:rsidR="00CA6C5E" w:rsidRPr="005F0061" w:rsidRDefault="00CA6C5E" w:rsidP="00CA6C5E">
            <w:pPr>
              <w:shd w:val="clear" w:color="auto" w:fill="FFFFFF" w:themeFill="background1"/>
              <w:spacing w:before="60" w:after="60"/>
              <w:rPr>
                <w:rFonts w:ascii="Arial" w:hAnsi="Arial" w:cs="Arial"/>
                <w:sz w:val="16"/>
                <w:szCs w:val="16"/>
              </w:rPr>
            </w:pPr>
          </w:p>
        </w:tc>
        <w:tc>
          <w:tcPr>
            <w:tcW w:w="1032" w:type="dxa"/>
          </w:tcPr>
          <w:p w14:paraId="52FA2CF3" w14:textId="77777777" w:rsidR="00CA6C5E" w:rsidRPr="005F0061" w:rsidRDefault="00CA6C5E" w:rsidP="00CA6C5E">
            <w:pPr>
              <w:shd w:val="clear" w:color="auto" w:fill="FFFFFF" w:themeFill="background1"/>
              <w:spacing w:before="60" w:after="60"/>
              <w:rPr>
                <w:rFonts w:ascii="Arial" w:hAnsi="Arial" w:cs="Arial"/>
                <w:sz w:val="16"/>
                <w:szCs w:val="16"/>
              </w:rPr>
            </w:pPr>
          </w:p>
        </w:tc>
        <w:tc>
          <w:tcPr>
            <w:tcW w:w="1587" w:type="dxa"/>
          </w:tcPr>
          <w:p w14:paraId="629B516C" w14:textId="77777777" w:rsidR="00CA6C5E" w:rsidRPr="005F0061" w:rsidRDefault="00CA6C5E" w:rsidP="00CA6C5E">
            <w:pPr>
              <w:shd w:val="clear" w:color="auto" w:fill="FFFFFF" w:themeFill="background1"/>
              <w:spacing w:before="60" w:after="60"/>
              <w:rPr>
                <w:rFonts w:ascii="Arial" w:hAnsi="Arial" w:cs="Arial"/>
                <w:color w:val="000000" w:themeColor="text1"/>
                <w:sz w:val="16"/>
                <w:szCs w:val="16"/>
              </w:rPr>
            </w:pPr>
            <w:proofErr w:type="spellStart"/>
            <w:r w:rsidRPr="005F0061">
              <w:rPr>
                <w:rFonts w:ascii="Arial" w:hAnsi="Arial" w:cs="Arial"/>
                <w:color w:val="000000" w:themeColor="text1"/>
                <w:sz w:val="16"/>
                <w:szCs w:val="16"/>
              </w:rPr>
              <w:t>Bosentan</w:t>
            </w:r>
            <w:proofErr w:type="spellEnd"/>
            <w:r w:rsidRPr="005F0061">
              <w:rPr>
                <w:rFonts w:ascii="Arial" w:hAnsi="Arial" w:cs="Arial"/>
                <w:color w:val="000000" w:themeColor="text1"/>
                <w:sz w:val="16"/>
                <w:szCs w:val="16"/>
              </w:rPr>
              <w:t xml:space="preserve"> </w:t>
            </w:r>
            <w:proofErr w:type="spellStart"/>
            <w:r w:rsidRPr="005F0061">
              <w:rPr>
                <w:rFonts w:ascii="Arial" w:hAnsi="Arial" w:cs="Arial"/>
                <w:color w:val="000000" w:themeColor="text1"/>
                <w:sz w:val="16"/>
                <w:szCs w:val="16"/>
              </w:rPr>
              <w:t>Cipla</w:t>
            </w:r>
            <w:proofErr w:type="spellEnd"/>
          </w:p>
        </w:tc>
        <w:tc>
          <w:tcPr>
            <w:tcW w:w="607" w:type="dxa"/>
          </w:tcPr>
          <w:p w14:paraId="7B8F92B1" w14:textId="77777777" w:rsidR="00CA6C5E" w:rsidRPr="005F0061" w:rsidRDefault="00CA6C5E" w:rsidP="00CA6C5E">
            <w:pPr>
              <w:shd w:val="clear" w:color="auto" w:fill="FFFFFF" w:themeFill="background1"/>
              <w:spacing w:before="60" w:after="60"/>
              <w:rPr>
                <w:rFonts w:ascii="Arial" w:hAnsi="Arial" w:cs="Arial"/>
                <w:color w:val="000000" w:themeColor="text1"/>
                <w:sz w:val="16"/>
                <w:szCs w:val="16"/>
              </w:rPr>
            </w:pPr>
            <w:r w:rsidRPr="005F0061">
              <w:rPr>
                <w:rFonts w:ascii="Arial" w:hAnsi="Arial" w:cs="Arial"/>
                <w:color w:val="000000" w:themeColor="text1"/>
                <w:sz w:val="16"/>
                <w:szCs w:val="16"/>
              </w:rPr>
              <w:t>LR</w:t>
            </w:r>
          </w:p>
        </w:tc>
        <w:tc>
          <w:tcPr>
            <w:tcW w:w="1474" w:type="dxa"/>
          </w:tcPr>
          <w:p w14:paraId="4DFB972C" w14:textId="3C80BB04" w:rsidR="00CA6C5E" w:rsidRPr="005F0061" w:rsidRDefault="007A1D5A" w:rsidP="00CA6C5E">
            <w:pPr>
              <w:shd w:val="clear" w:color="auto" w:fill="FFFFFF" w:themeFill="background1"/>
              <w:spacing w:before="60" w:after="60"/>
              <w:rPr>
                <w:rFonts w:ascii="Arial" w:hAnsi="Arial" w:cs="Arial"/>
                <w:color w:val="000000" w:themeColor="text1"/>
                <w:sz w:val="16"/>
                <w:szCs w:val="16"/>
              </w:rPr>
            </w:pPr>
            <w:r w:rsidRPr="005F0061">
              <w:rPr>
                <w:rFonts w:ascii="Arial" w:hAnsi="Arial" w:cs="Arial"/>
                <w:color w:val="000000" w:themeColor="text1"/>
                <w:sz w:val="16"/>
                <w:szCs w:val="16"/>
              </w:rPr>
              <w:t>C10228 C10924 C10945 C11229 C11231 C11232 C11253 C11282 C11295</w:t>
            </w:r>
          </w:p>
        </w:tc>
        <w:tc>
          <w:tcPr>
            <w:tcW w:w="1417" w:type="dxa"/>
          </w:tcPr>
          <w:p w14:paraId="47E34B06" w14:textId="77777777" w:rsidR="00CA6C5E" w:rsidRPr="005F0061" w:rsidRDefault="00CA6C5E" w:rsidP="00CA6C5E">
            <w:pPr>
              <w:shd w:val="clear" w:color="auto" w:fill="FFFFFF" w:themeFill="background1"/>
              <w:spacing w:before="60" w:after="60"/>
              <w:rPr>
                <w:rFonts w:ascii="Arial" w:hAnsi="Arial" w:cs="Arial"/>
                <w:sz w:val="16"/>
                <w:szCs w:val="16"/>
              </w:rPr>
            </w:pPr>
          </w:p>
        </w:tc>
        <w:tc>
          <w:tcPr>
            <w:tcW w:w="788" w:type="dxa"/>
          </w:tcPr>
          <w:p w14:paraId="75C20F6D" w14:textId="77777777" w:rsidR="00CA6C5E" w:rsidRPr="005F0061" w:rsidRDefault="00CA6C5E" w:rsidP="00CA6C5E">
            <w:pPr>
              <w:shd w:val="clear" w:color="auto" w:fill="FFFFFF" w:themeFill="background1"/>
              <w:spacing w:before="60" w:after="60"/>
              <w:rPr>
                <w:rFonts w:ascii="Arial" w:hAnsi="Arial" w:cs="Arial"/>
                <w:color w:val="000000" w:themeColor="text1"/>
                <w:sz w:val="16"/>
                <w:szCs w:val="16"/>
              </w:rPr>
            </w:pPr>
            <w:r w:rsidRPr="005F0061">
              <w:rPr>
                <w:rFonts w:ascii="Arial" w:hAnsi="Arial" w:cs="Arial"/>
                <w:color w:val="000000" w:themeColor="text1"/>
                <w:sz w:val="16"/>
                <w:szCs w:val="16"/>
              </w:rPr>
              <w:t>See Note 1</w:t>
            </w:r>
          </w:p>
        </w:tc>
        <w:tc>
          <w:tcPr>
            <w:tcW w:w="850" w:type="dxa"/>
          </w:tcPr>
          <w:p w14:paraId="30D6B82B" w14:textId="77777777" w:rsidR="00CA6C5E" w:rsidRPr="005F0061" w:rsidRDefault="00CA6C5E" w:rsidP="00CA6C5E">
            <w:pPr>
              <w:shd w:val="clear" w:color="auto" w:fill="FFFFFF" w:themeFill="background1"/>
              <w:spacing w:before="60" w:after="60"/>
              <w:rPr>
                <w:rFonts w:ascii="Arial" w:hAnsi="Arial" w:cs="Arial"/>
                <w:color w:val="000000" w:themeColor="text1"/>
                <w:sz w:val="16"/>
                <w:szCs w:val="16"/>
              </w:rPr>
            </w:pPr>
            <w:r w:rsidRPr="005F0061">
              <w:rPr>
                <w:rFonts w:ascii="Arial" w:hAnsi="Arial" w:cs="Arial"/>
                <w:color w:val="000000" w:themeColor="text1"/>
                <w:sz w:val="16"/>
                <w:szCs w:val="16"/>
              </w:rPr>
              <w:t>See Note 2</w:t>
            </w:r>
          </w:p>
        </w:tc>
        <w:tc>
          <w:tcPr>
            <w:tcW w:w="901" w:type="dxa"/>
          </w:tcPr>
          <w:p w14:paraId="38640EEE" w14:textId="77777777" w:rsidR="00CA6C5E" w:rsidRPr="005F0061" w:rsidRDefault="00CA6C5E" w:rsidP="00CA6C5E">
            <w:pPr>
              <w:shd w:val="clear" w:color="auto" w:fill="FFFFFF" w:themeFill="background1"/>
              <w:spacing w:before="60" w:after="60"/>
              <w:rPr>
                <w:rFonts w:ascii="Arial" w:hAnsi="Arial" w:cs="Arial"/>
                <w:color w:val="000000" w:themeColor="text1"/>
                <w:sz w:val="16"/>
                <w:szCs w:val="16"/>
              </w:rPr>
            </w:pPr>
            <w:r w:rsidRPr="005F0061">
              <w:rPr>
                <w:rFonts w:ascii="Arial" w:hAnsi="Arial" w:cs="Arial"/>
                <w:color w:val="000000" w:themeColor="text1"/>
                <w:sz w:val="16"/>
                <w:szCs w:val="16"/>
              </w:rPr>
              <w:t>D</w:t>
            </w:r>
          </w:p>
        </w:tc>
      </w:tr>
    </w:tbl>
    <w:p w14:paraId="1E2CD5C1" w14:textId="1D493AF7" w:rsidR="00974CBA" w:rsidRPr="005F0061" w:rsidRDefault="00974CBA" w:rsidP="00974CBA">
      <w:pPr>
        <w:pStyle w:val="Amendment1"/>
        <w:numPr>
          <w:ilvl w:val="0"/>
          <w:numId w:val="38"/>
        </w:numPr>
        <w:shd w:val="clear" w:color="auto" w:fill="FFFFFF" w:themeFill="background1"/>
        <w:spacing w:before="60" w:after="60"/>
        <w:ind w:left="1134" w:hanging="567"/>
        <w:rPr>
          <w:i/>
        </w:rPr>
      </w:pPr>
      <w:r w:rsidRPr="005F0061">
        <w:rPr>
          <w:rFonts w:ascii="Times New Roman" w:hAnsi="Times New Roman" w:cs="Times New Roman"/>
          <w:b w:val="0"/>
          <w:i/>
        </w:rPr>
        <w:t xml:space="preserve">omit from </w:t>
      </w:r>
      <w:r w:rsidR="003327A6" w:rsidRPr="005F0061">
        <w:rPr>
          <w:rFonts w:ascii="Times New Roman" w:hAnsi="Times New Roman" w:cs="Times New Roman"/>
          <w:b w:val="0"/>
          <w:i/>
        </w:rPr>
        <w:t xml:space="preserve">the </w:t>
      </w:r>
      <w:r w:rsidRPr="005F0061">
        <w:rPr>
          <w:rFonts w:ascii="Times New Roman" w:hAnsi="Times New Roman" w:cs="Times New Roman"/>
          <w:b w:val="0"/>
          <w:i/>
        </w:rPr>
        <w:t xml:space="preserve">column headed “Brand”: </w:t>
      </w:r>
      <w:r w:rsidRPr="005F0061">
        <w:t>BOSENTAN DR. REDDY’S</w:t>
      </w:r>
      <w:r w:rsidRPr="005F0061">
        <w:rPr>
          <w:rFonts w:ascii="Times New Roman" w:hAnsi="Times New Roman" w:cs="Times New Roman"/>
          <w:b w:val="0"/>
          <w:i/>
        </w:rPr>
        <w:tab/>
        <w:t xml:space="preserve">substitute: </w:t>
      </w:r>
      <w:r w:rsidRPr="005F0061">
        <w:t>BOSENTAN DR.REDDY’S</w:t>
      </w:r>
    </w:p>
    <w:p w14:paraId="134C72DC" w14:textId="75CEEB7B" w:rsidR="00744DCB" w:rsidRPr="005F0061" w:rsidRDefault="00744DCB" w:rsidP="003D58C6">
      <w:pPr>
        <w:pStyle w:val="Amendment1"/>
        <w:numPr>
          <w:ilvl w:val="0"/>
          <w:numId w:val="10"/>
        </w:numPr>
        <w:ind w:left="567" w:hanging="567"/>
        <w:rPr>
          <w:b w:val="0"/>
        </w:rPr>
      </w:pPr>
      <w:r w:rsidRPr="005F0061">
        <w:t>Schedule 1, entry for </w:t>
      </w:r>
      <w:proofErr w:type="spellStart"/>
      <w:r w:rsidRPr="005F0061">
        <w:t>Eculizumab</w:t>
      </w:r>
      <w:proofErr w:type="spellEnd"/>
    </w:p>
    <w:p w14:paraId="76DF1DDD" w14:textId="77777777" w:rsidR="00744DCB" w:rsidRPr="005F0061" w:rsidRDefault="00744DCB" w:rsidP="00744DCB">
      <w:pPr>
        <w:pStyle w:val="Amendment1"/>
        <w:numPr>
          <w:ilvl w:val="0"/>
          <w:numId w:val="0"/>
        </w:numPr>
        <w:spacing w:before="60" w:after="60"/>
        <w:ind w:left="567"/>
        <w:rPr>
          <w:i/>
        </w:rPr>
      </w:pPr>
      <w:proofErr w:type="gramStart"/>
      <w:r w:rsidRPr="005F0061">
        <w:rPr>
          <w:rFonts w:ascii="Times New Roman" w:hAnsi="Times New Roman" w:cs="Times New Roman"/>
          <w:b w:val="0"/>
          <w:i/>
        </w:rPr>
        <w:t>substitute</w:t>
      </w:r>
      <w:proofErr w:type="gramEnd"/>
      <w:r w:rsidRPr="005F0061">
        <w:rPr>
          <w:rFonts w:ascii="Times New Roman" w:hAnsi="Times New Roman" w:cs="Times New Roman"/>
          <w:b w:val="0"/>
          <w:i/>
        </w:rPr>
        <w:t>:</w:t>
      </w:r>
    </w:p>
    <w:tbl>
      <w:tblPr>
        <w:tblStyle w:val="TableGrid"/>
        <w:tblW w:w="13277" w:type="dxa"/>
        <w:tblBorders>
          <w:insideH w:val="none" w:sz="0" w:space="0" w:color="auto"/>
          <w:insideV w:val="none" w:sz="0" w:space="0" w:color="auto"/>
        </w:tblBorders>
        <w:tblLayout w:type="fixed"/>
        <w:tblLook w:val="04A0" w:firstRow="1" w:lastRow="0" w:firstColumn="1" w:lastColumn="0" w:noHBand="0" w:noVBand="1"/>
      </w:tblPr>
      <w:tblGrid>
        <w:gridCol w:w="2030"/>
        <w:gridCol w:w="2591"/>
        <w:gridCol w:w="1032"/>
        <w:gridCol w:w="1587"/>
        <w:gridCol w:w="607"/>
        <w:gridCol w:w="1474"/>
        <w:gridCol w:w="1417"/>
        <w:gridCol w:w="788"/>
        <w:gridCol w:w="850"/>
        <w:gridCol w:w="901"/>
      </w:tblGrid>
      <w:tr w:rsidR="00744DCB" w:rsidRPr="005F0061" w14:paraId="3BBB6E9B" w14:textId="77777777" w:rsidTr="004A6AC8">
        <w:tc>
          <w:tcPr>
            <w:tcW w:w="2030" w:type="dxa"/>
          </w:tcPr>
          <w:p w14:paraId="69B9EEA5" w14:textId="5094AFD7" w:rsidR="00744DCB" w:rsidRPr="005F0061" w:rsidRDefault="00744DCB" w:rsidP="00744DCB">
            <w:pPr>
              <w:spacing w:before="60" w:after="60"/>
              <w:rPr>
                <w:rFonts w:ascii="Arial" w:hAnsi="Arial" w:cs="Arial"/>
                <w:sz w:val="16"/>
              </w:rPr>
            </w:pPr>
            <w:proofErr w:type="spellStart"/>
            <w:r w:rsidRPr="005F0061">
              <w:rPr>
                <w:rFonts w:ascii="Arial" w:hAnsi="Arial" w:cs="Arial"/>
                <w:sz w:val="16"/>
                <w:szCs w:val="16"/>
              </w:rPr>
              <w:t>Eculizumab</w:t>
            </w:r>
            <w:proofErr w:type="spellEnd"/>
          </w:p>
        </w:tc>
        <w:tc>
          <w:tcPr>
            <w:tcW w:w="2591" w:type="dxa"/>
          </w:tcPr>
          <w:p w14:paraId="1D050CDB" w14:textId="732AA0E5" w:rsidR="00744DCB" w:rsidRPr="005F0061" w:rsidRDefault="00744DCB" w:rsidP="00744DCB">
            <w:pPr>
              <w:spacing w:before="60" w:after="60"/>
              <w:rPr>
                <w:rFonts w:ascii="Arial" w:hAnsi="Arial" w:cs="Arial"/>
                <w:sz w:val="16"/>
              </w:rPr>
            </w:pPr>
            <w:r w:rsidRPr="005F0061">
              <w:rPr>
                <w:rFonts w:ascii="Arial" w:hAnsi="Arial" w:cs="Arial"/>
                <w:sz w:val="16"/>
                <w:szCs w:val="16"/>
              </w:rPr>
              <w:t>Solution concentrate for I.V. infusion 300 mg in 30 mL</w:t>
            </w:r>
          </w:p>
        </w:tc>
        <w:tc>
          <w:tcPr>
            <w:tcW w:w="1032" w:type="dxa"/>
          </w:tcPr>
          <w:p w14:paraId="65CAEA06" w14:textId="52DB6640" w:rsidR="00744DCB" w:rsidRPr="005F0061" w:rsidRDefault="00C7721B" w:rsidP="00744DCB">
            <w:pPr>
              <w:spacing w:before="60" w:after="60"/>
              <w:rPr>
                <w:rFonts w:ascii="Arial" w:hAnsi="Arial" w:cs="Arial"/>
                <w:sz w:val="16"/>
              </w:rPr>
            </w:pPr>
            <w:r w:rsidRPr="005F0061">
              <w:rPr>
                <w:rFonts w:ascii="Arial" w:hAnsi="Arial" w:cs="Arial"/>
                <w:sz w:val="16"/>
                <w:szCs w:val="16"/>
              </w:rPr>
              <w:t>Injection</w:t>
            </w:r>
          </w:p>
        </w:tc>
        <w:tc>
          <w:tcPr>
            <w:tcW w:w="1587" w:type="dxa"/>
          </w:tcPr>
          <w:p w14:paraId="3480D86C" w14:textId="7E9DD857" w:rsidR="00744DCB" w:rsidRPr="005F0061" w:rsidRDefault="00744DCB" w:rsidP="00744DCB">
            <w:pPr>
              <w:spacing w:before="60" w:after="60"/>
              <w:rPr>
                <w:rFonts w:ascii="Arial" w:hAnsi="Arial" w:cs="Arial"/>
                <w:sz w:val="16"/>
              </w:rPr>
            </w:pPr>
            <w:proofErr w:type="spellStart"/>
            <w:r w:rsidRPr="005F0061">
              <w:rPr>
                <w:rFonts w:ascii="Arial" w:hAnsi="Arial" w:cs="Arial"/>
                <w:sz w:val="16"/>
                <w:szCs w:val="16"/>
              </w:rPr>
              <w:t>Soliris</w:t>
            </w:r>
            <w:proofErr w:type="spellEnd"/>
          </w:p>
        </w:tc>
        <w:tc>
          <w:tcPr>
            <w:tcW w:w="607" w:type="dxa"/>
          </w:tcPr>
          <w:p w14:paraId="4DFB84D2" w14:textId="08817FB7" w:rsidR="00744DCB" w:rsidRPr="005F0061" w:rsidRDefault="00744DCB" w:rsidP="00744DCB">
            <w:pPr>
              <w:spacing w:before="60" w:after="60"/>
              <w:rPr>
                <w:rFonts w:ascii="Arial" w:hAnsi="Arial" w:cs="Arial"/>
                <w:sz w:val="16"/>
              </w:rPr>
            </w:pPr>
            <w:r w:rsidRPr="005F0061">
              <w:rPr>
                <w:rFonts w:ascii="Arial" w:hAnsi="Arial" w:cs="Arial"/>
                <w:sz w:val="16"/>
                <w:szCs w:val="16"/>
              </w:rPr>
              <w:t>XI</w:t>
            </w:r>
          </w:p>
        </w:tc>
        <w:tc>
          <w:tcPr>
            <w:tcW w:w="1474" w:type="dxa"/>
          </w:tcPr>
          <w:p w14:paraId="4523411C" w14:textId="51C85C01" w:rsidR="00744DCB" w:rsidRPr="005F0061" w:rsidRDefault="00744DCB" w:rsidP="00744DCB">
            <w:pPr>
              <w:spacing w:before="60" w:after="60"/>
              <w:rPr>
                <w:rFonts w:ascii="Arial" w:hAnsi="Arial" w:cs="Arial"/>
                <w:sz w:val="16"/>
              </w:rPr>
            </w:pPr>
            <w:r w:rsidRPr="005F0061">
              <w:rPr>
                <w:rFonts w:ascii="Arial" w:hAnsi="Arial" w:cs="Arial"/>
                <w:sz w:val="16"/>
                <w:szCs w:val="16"/>
              </w:rPr>
              <w:t>C6626 C6637 C6642 C6668 C6686 C6687 C6688</w:t>
            </w:r>
          </w:p>
        </w:tc>
        <w:tc>
          <w:tcPr>
            <w:tcW w:w="1417" w:type="dxa"/>
          </w:tcPr>
          <w:p w14:paraId="74859A52" w14:textId="77777777" w:rsidR="00744DCB" w:rsidRPr="005F0061" w:rsidRDefault="00744DCB" w:rsidP="00744DCB">
            <w:pPr>
              <w:spacing w:before="60" w:after="60"/>
              <w:rPr>
                <w:rFonts w:ascii="Arial" w:hAnsi="Arial" w:cs="Arial"/>
                <w:sz w:val="16"/>
              </w:rPr>
            </w:pPr>
          </w:p>
        </w:tc>
        <w:tc>
          <w:tcPr>
            <w:tcW w:w="788" w:type="dxa"/>
          </w:tcPr>
          <w:p w14:paraId="447E431C" w14:textId="77777777" w:rsidR="00744DCB" w:rsidRPr="005F0061" w:rsidRDefault="00744DCB" w:rsidP="00744DCB">
            <w:pPr>
              <w:spacing w:before="60" w:after="60"/>
              <w:rPr>
                <w:rFonts w:ascii="Arial" w:hAnsi="Arial" w:cs="Arial"/>
                <w:sz w:val="16"/>
              </w:rPr>
            </w:pPr>
            <w:r w:rsidRPr="005F0061">
              <w:rPr>
                <w:rFonts w:ascii="Arial" w:hAnsi="Arial" w:cs="Arial"/>
                <w:sz w:val="16"/>
              </w:rPr>
              <w:t>See Note 1</w:t>
            </w:r>
          </w:p>
        </w:tc>
        <w:tc>
          <w:tcPr>
            <w:tcW w:w="850" w:type="dxa"/>
          </w:tcPr>
          <w:p w14:paraId="3AE164CF" w14:textId="77777777" w:rsidR="00744DCB" w:rsidRPr="005F0061" w:rsidRDefault="00744DCB" w:rsidP="00744DCB">
            <w:pPr>
              <w:spacing w:before="60" w:after="60"/>
              <w:rPr>
                <w:rFonts w:ascii="Arial" w:hAnsi="Arial" w:cs="Arial"/>
                <w:sz w:val="16"/>
              </w:rPr>
            </w:pPr>
            <w:r w:rsidRPr="005F0061">
              <w:rPr>
                <w:rFonts w:ascii="Arial" w:hAnsi="Arial" w:cs="Arial"/>
                <w:sz w:val="16"/>
              </w:rPr>
              <w:t>See Note 2</w:t>
            </w:r>
          </w:p>
        </w:tc>
        <w:tc>
          <w:tcPr>
            <w:tcW w:w="901" w:type="dxa"/>
          </w:tcPr>
          <w:p w14:paraId="73E538A8" w14:textId="77777777" w:rsidR="00744DCB" w:rsidRPr="005F0061" w:rsidRDefault="00744DCB" w:rsidP="00744DCB">
            <w:pPr>
              <w:spacing w:before="60" w:after="60"/>
              <w:rPr>
                <w:rFonts w:ascii="Arial" w:hAnsi="Arial" w:cs="Arial"/>
                <w:sz w:val="16"/>
              </w:rPr>
            </w:pPr>
            <w:r w:rsidRPr="005F0061">
              <w:rPr>
                <w:rFonts w:ascii="Arial" w:hAnsi="Arial" w:cs="Arial"/>
                <w:sz w:val="16"/>
              </w:rPr>
              <w:t>D</w:t>
            </w:r>
          </w:p>
        </w:tc>
      </w:tr>
    </w:tbl>
    <w:p w14:paraId="06CD09E5" w14:textId="5635AF6F" w:rsidR="00DD760F" w:rsidRPr="005F0061" w:rsidRDefault="00DD760F" w:rsidP="003D58C6">
      <w:pPr>
        <w:pStyle w:val="Amendment1"/>
        <w:numPr>
          <w:ilvl w:val="0"/>
          <w:numId w:val="10"/>
        </w:numPr>
        <w:ind w:left="567" w:hanging="567"/>
        <w:rPr>
          <w:bCs w:val="0"/>
          <w:iCs/>
        </w:rPr>
      </w:pPr>
      <w:r w:rsidRPr="005F0061">
        <w:rPr>
          <w:bCs w:val="0"/>
          <w:iCs/>
        </w:rPr>
        <w:t xml:space="preserve">Schedule 1, entry for </w:t>
      </w:r>
      <w:proofErr w:type="spellStart"/>
      <w:r w:rsidRPr="005F0061">
        <w:rPr>
          <w:bCs w:val="0"/>
          <w:iCs/>
        </w:rPr>
        <w:t>Eltrombopag</w:t>
      </w:r>
      <w:proofErr w:type="spellEnd"/>
      <w:r w:rsidRPr="005F0061">
        <w:rPr>
          <w:bCs w:val="0"/>
          <w:iCs/>
        </w:rPr>
        <w:t xml:space="preserve"> </w:t>
      </w:r>
      <w:r w:rsidR="00C7721B" w:rsidRPr="005F0061">
        <w:t xml:space="preserve">in each of the forms: Tablet 25 mg (as </w:t>
      </w:r>
      <w:proofErr w:type="spellStart"/>
      <w:r w:rsidR="00C7721B" w:rsidRPr="005F0061">
        <w:t>olamine</w:t>
      </w:r>
      <w:proofErr w:type="spellEnd"/>
      <w:r w:rsidR="00C7721B" w:rsidRPr="005F0061">
        <w:t>)</w:t>
      </w:r>
      <w:r w:rsidRPr="005F0061">
        <w:t xml:space="preserve">; and </w:t>
      </w:r>
      <w:r w:rsidR="00C7721B" w:rsidRPr="005F0061">
        <w:t xml:space="preserve">Tablet 50 mg (as </w:t>
      </w:r>
      <w:proofErr w:type="spellStart"/>
      <w:r w:rsidR="00C7721B" w:rsidRPr="005F0061">
        <w:t>olamine</w:t>
      </w:r>
      <w:proofErr w:type="spellEnd"/>
      <w:r w:rsidR="00C7721B" w:rsidRPr="005F0061">
        <w:t>)</w:t>
      </w:r>
    </w:p>
    <w:p w14:paraId="7CC63693" w14:textId="68072382" w:rsidR="00233806" w:rsidRPr="005F0061" w:rsidRDefault="00DD760F" w:rsidP="0050089C">
      <w:pPr>
        <w:pStyle w:val="Amendment1"/>
        <w:numPr>
          <w:ilvl w:val="0"/>
          <w:numId w:val="0"/>
        </w:numPr>
        <w:spacing w:before="60" w:after="60"/>
        <w:ind w:left="1134" w:hanging="567"/>
      </w:pPr>
      <w:proofErr w:type="gramStart"/>
      <w:r w:rsidRPr="005F0061">
        <w:rPr>
          <w:rFonts w:ascii="Times New Roman" w:hAnsi="Times New Roman" w:cs="Times New Roman"/>
          <w:b w:val="0"/>
          <w:i/>
        </w:rPr>
        <w:t>omit</w:t>
      </w:r>
      <w:proofErr w:type="gramEnd"/>
      <w:r w:rsidRPr="005F0061">
        <w:rPr>
          <w:rFonts w:ascii="Times New Roman" w:hAnsi="Times New Roman" w:cs="Times New Roman"/>
          <w:b w:val="0"/>
          <w:i/>
        </w:rPr>
        <w:t xml:space="preserve"> from the column headed “Circumstances”</w:t>
      </w:r>
      <w:r w:rsidRPr="005F0061">
        <w:rPr>
          <w:rFonts w:ascii="Times New Roman" w:hAnsi="Times New Roman" w:cs="Times New Roman"/>
          <w:b w:val="0"/>
          <w:bCs w:val="0"/>
          <w:i/>
          <w:lang w:eastAsia="en-US"/>
        </w:rPr>
        <w:t>:</w:t>
      </w:r>
      <w:r w:rsidRPr="005F0061">
        <w:rPr>
          <w:rFonts w:ascii="Times New Roman" w:hAnsi="Times New Roman" w:cs="Times New Roman"/>
          <w:b w:val="0"/>
          <w:i/>
        </w:rPr>
        <w:t xml:space="preserve"> </w:t>
      </w:r>
      <w:r w:rsidR="00233806" w:rsidRPr="005F0061">
        <w:t>C6724 C6725 C6738 C6739 C6790</w:t>
      </w:r>
      <w:r w:rsidR="00916D57" w:rsidRPr="005F0061">
        <w:t xml:space="preserve">   </w:t>
      </w:r>
      <w:r w:rsidR="00916D57" w:rsidRPr="005F0061">
        <w:rPr>
          <w:rFonts w:ascii="Times New Roman" w:hAnsi="Times New Roman" w:cs="Times New Roman"/>
          <w:b w:val="0"/>
          <w:bCs w:val="0"/>
          <w:i/>
          <w:iCs/>
        </w:rPr>
        <w:t>substitute:</w:t>
      </w:r>
      <w:r w:rsidR="00916D57" w:rsidRPr="005F0061">
        <w:rPr>
          <w:rFonts w:ascii="Times New Roman" w:hAnsi="Times New Roman" w:cs="Times New Roman"/>
          <w:b w:val="0"/>
          <w:bCs w:val="0"/>
          <w:iCs/>
        </w:rPr>
        <w:t xml:space="preserve"> </w:t>
      </w:r>
      <w:r w:rsidR="00916D57" w:rsidRPr="005F0061">
        <w:t>C11199 C11202 C11244 C11262 C11263</w:t>
      </w:r>
    </w:p>
    <w:p w14:paraId="4744B664" w14:textId="4CD6ECEE" w:rsidR="005473A7" w:rsidRPr="005F0061" w:rsidRDefault="005473A7">
      <w:pPr>
        <w:rPr>
          <w:rFonts w:ascii="Arial" w:hAnsi="Arial" w:cs="Arial"/>
          <w:b/>
          <w:bCs/>
          <w:sz w:val="20"/>
          <w:szCs w:val="20"/>
          <w:lang w:eastAsia="en-AU"/>
        </w:rPr>
      </w:pPr>
    </w:p>
    <w:p w14:paraId="78D687F0" w14:textId="7ADE8FEF" w:rsidR="00785AF1" w:rsidRPr="005F0061" w:rsidRDefault="00744DCB" w:rsidP="006D36EF">
      <w:pPr>
        <w:pStyle w:val="Amendment1"/>
        <w:numPr>
          <w:ilvl w:val="0"/>
          <w:numId w:val="10"/>
        </w:numPr>
        <w:ind w:left="567" w:hanging="567"/>
      </w:pPr>
      <w:r w:rsidRPr="005F0061">
        <w:lastRenderedPageBreak/>
        <w:t>Schedule 1, entry for </w:t>
      </w:r>
      <w:proofErr w:type="spellStart"/>
      <w:r w:rsidRPr="005F0061">
        <w:t>Ivacaftor</w:t>
      </w:r>
      <w:proofErr w:type="spellEnd"/>
      <w:r w:rsidR="00785AF1" w:rsidRPr="005F0061">
        <w:t xml:space="preserve"> </w:t>
      </w:r>
    </w:p>
    <w:p w14:paraId="0CB52C28" w14:textId="3F365ECD" w:rsidR="00A473B9" w:rsidRPr="005F0061" w:rsidRDefault="00A473B9" w:rsidP="00A473B9">
      <w:pPr>
        <w:pStyle w:val="Amendment1"/>
        <w:numPr>
          <w:ilvl w:val="0"/>
          <w:numId w:val="0"/>
        </w:numPr>
        <w:spacing w:before="60" w:after="60"/>
        <w:ind w:left="1134" w:hanging="567"/>
        <w:rPr>
          <w:i/>
        </w:rPr>
      </w:pPr>
      <w:proofErr w:type="gramStart"/>
      <w:r w:rsidRPr="005F0061">
        <w:rPr>
          <w:rFonts w:ascii="Times New Roman" w:hAnsi="Times New Roman" w:cs="Times New Roman"/>
          <w:b w:val="0"/>
          <w:i/>
        </w:rPr>
        <w:t>substitute</w:t>
      </w:r>
      <w:proofErr w:type="gramEnd"/>
      <w:r w:rsidRPr="005F0061">
        <w:rPr>
          <w:rFonts w:ascii="Times New Roman" w:hAnsi="Times New Roman" w:cs="Times New Roman"/>
          <w:b w:val="0"/>
          <w:i/>
        </w:rPr>
        <w:t>:</w:t>
      </w:r>
    </w:p>
    <w:tbl>
      <w:tblPr>
        <w:tblStyle w:val="TableGrid"/>
        <w:tblW w:w="13277" w:type="dxa"/>
        <w:tblBorders>
          <w:insideH w:val="none" w:sz="0" w:space="0" w:color="auto"/>
          <w:insideV w:val="none" w:sz="0" w:space="0" w:color="auto"/>
        </w:tblBorders>
        <w:tblLayout w:type="fixed"/>
        <w:tblLook w:val="04A0" w:firstRow="1" w:lastRow="0" w:firstColumn="1" w:lastColumn="0" w:noHBand="0" w:noVBand="1"/>
      </w:tblPr>
      <w:tblGrid>
        <w:gridCol w:w="2030"/>
        <w:gridCol w:w="2591"/>
        <w:gridCol w:w="1032"/>
        <w:gridCol w:w="1587"/>
        <w:gridCol w:w="607"/>
        <w:gridCol w:w="1474"/>
        <w:gridCol w:w="1417"/>
        <w:gridCol w:w="788"/>
        <w:gridCol w:w="850"/>
        <w:gridCol w:w="901"/>
      </w:tblGrid>
      <w:tr w:rsidR="00A473B9" w:rsidRPr="005F0061" w14:paraId="132E9707" w14:textId="77777777" w:rsidTr="004A6AC8">
        <w:tc>
          <w:tcPr>
            <w:tcW w:w="2030" w:type="dxa"/>
          </w:tcPr>
          <w:p w14:paraId="1D6BA3D2" w14:textId="77777777" w:rsidR="00A473B9" w:rsidRPr="005F0061" w:rsidRDefault="00A473B9" w:rsidP="0058314E">
            <w:pPr>
              <w:spacing w:before="60" w:after="60"/>
              <w:rPr>
                <w:rFonts w:ascii="Arial" w:hAnsi="Arial" w:cs="Arial"/>
                <w:sz w:val="16"/>
              </w:rPr>
            </w:pPr>
            <w:proofErr w:type="spellStart"/>
            <w:r w:rsidRPr="005F0061">
              <w:rPr>
                <w:rFonts w:ascii="Arial" w:hAnsi="Arial" w:cs="Arial"/>
                <w:sz w:val="16"/>
                <w:szCs w:val="16"/>
              </w:rPr>
              <w:t>Ivacaftor</w:t>
            </w:r>
            <w:proofErr w:type="spellEnd"/>
          </w:p>
        </w:tc>
        <w:tc>
          <w:tcPr>
            <w:tcW w:w="2591" w:type="dxa"/>
          </w:tcPr>
          <w:p w14:paraId="457865FD" w14:textId="77777777" w:rsidR="00A473B9" w:rsidRPr="005F0061" w:rsidRDefault="00A473B9" w:rsidP="0058314E">
            <w:pPr>
              <w:spacing w:before="60" w:after="60"/>
              <w:rPr>
                <w:rFonts w:ascii="Arial" w:hAnsi="Arial" w:cs="Arial"/>
                <w:sz w:val="16"/>
              </w:rPr>
            </w:pPr>
            <w:r w:rsidRPr="005F0061">
              <w:rPr>
                <w:rFonts w:ascii="Arial" w:hAnsi="Arial" w:cs="Arial"/>
                <w:sz w:val="16"/>
                <w:szCs w:val="16"/>
              </w:rPr>
              <w:t xml:space="preserve">Sachet containing granules </w:t>
            </w:r>
            <w:r w:rsidRPr="005F0061">
              <w:rPr>
                <w:rFonts w:ascii="Arial" w:hAnsi="Arial" w:cs="Arial"/>
                <w:sz w:val="16"/>
                <w:szCs w:val="16"/>
              </w:rPr>
              <w:br/>
              <w:t>50 mg</w:t>
            </w:r>
          </w:p>
        </w:tc>
        <w:tc>
          <w:tcPr>
            <w:tcW w:w="1032" w:type="dxa"/>
          </w:tcPr>
          <w:p w14:paraId="36ED6551" w14:textId="77777777" w:rsidR="00A473B9" w:rsidRPr="005F0061" w:rsidRDefault="00A473B9" w:rsidP="0058314E">
            <w:pPr>
              <w:spacing w:before="60" w:after="60"/>
              <w:rPr>
                <w:rFonts w:ascii="Arial" w:hAnsi="Arial" w:cs="Arial"/>
                <w:sz w:val="16"/>
              </w:rPr>
            </w:pPr>
            <w:r w:rsidRPr="005F0061">
              <w:rPr>
                <w:rFonts w:ascii="Arial" w:hAnsi="Arial" w:cs="Arial"/>
                <w:sz w:val="16"/>
                <w:szCs w:val="16"/>
              </w:rPr>
              <w:t>Oral</w:t>
            </w:r>
          </w:p>
        </w:tc>
        <w:tc>
          <w:tcPr>
            <w:tcW w:w="1587" w:type="dxa"/>
          </w:tcPr>
          <w:p w14:paraId="4C549610" w14:textId="77777777" w:rsidR="00A473B9" w:rsidRPr="005F0061" w:rsidRDefault="00A473B9" w:rsidP="0058314E">
            <w:pPr>
              <w:spacing w:before="60" w:after="60"/>
              <w:rPr>
                <w:rFonts w:ascii="Arial" w:hAnsi="Arial" w:cs="Arial"/>
                <w:sz w:val="16"/>
              </w:rPr>
            </w:pPr>
            <w:proofErr w:type="spellStart"/>
            <w:r w:rsidRPr="005F0061">
              <w:rPr>
                <w:rFonts w:ascii="Arial" w:hAnsi="Arial" w:cs="Arial"/>
                <w:sz w:val="16"/>
                <w:szCs w:val="16"/>
              </w:rPr>
              <w:t>Kalydeco</w:t>
            </w:r>
            <w:proofErr w:type="spellEnd"/>
          </w:p>
        </w:tc>
        <w:tc>
          <w:tcPr>
            <w:tcW w:w="607" w:type="dxa"/>
          </w:tcPr>
          <w:p w14:paraId="640DC225" w14:textId="77777777" w:rsidR="00A473B9" w:rsidRPr="005F0061" w:rsidRDefault="00A473B9" w:rsidP="0058314E">
            <w:pPr>
              <w:spacing w:before="60" w:after="60"/>
              <w:rPr>
                <w:rFonts w:ascii="Arial" w:hAnsi="Arial" w:cs="Arial"/>
                <w:sz w:val="16"/>
              </w:rPr>
            </w:pPr>
            <w:r w:rsidRPr="005F0061">
              <w:rPr>
                <w:rFonts w:ascii="Arial" w:hAnsi="Arial" w:cs="Arial"/>
                <w:sz w:val="16"/>
                <w:szCs w:val="16"/>
              </w:rPr>
              <w:t>VR</w:t>
            </w:r>
          </w:p>
        </w:tc>
        <w:tc>
          <w:tcPr>
            <w:tcW w:w="1474" w:type="dxa"/>
          </w:tcPr>
          <w:p w14:paraId="7EDDF994" w14:textId="77777777" w:rsidR="00A473B9" w:rsidRPr="005F0061" w:rsidRDefault="00A473B9" w:rsidP="0058314E">
            <w:pPr>
              <w:spacing w:before="60" w:after="60"/>
              <w:rPr>
                <w:rFonts w:ascii="Arial" w:hAnsi="Arial" w:cs="Arial"/>
                <w:sz w:val="16"/>
              </w:rPr>
            </w:pPr>
            <w:r w:rsidRPr="005F0061">
              <w:rPr>
                <w:rFonts w:ascii="Arial" w:hAnsi="Arial" w:cs="Arial"/>
                <w:sz w:val="16"/>
                <w:szCs w:val="16"/>
              </w:rPr>
              <w:t>C9889 C9890</w:t>
            </w:r>
          </w:p>
        </w:tc>
        <w:tc>
          <w:tcPr>
            <w:tcW w:w="1417" w:type="dxa"/>
          </w:tcPr>
          <w:p w14:paraId="24BC9170" w14:textId="77777777" w:rsidR="00A473B9" w:rsidRPr="005F0061" w:rsidRDefault="00A473B9" w:rsidP="0058314E">
            <w:pPr>
              <w:spacing w:before="60" w:after="60"/>
              <w:rPr>
                <w:rFonts w:ascii="Arial" w:hAnsi="Arial" w:cs="Arial"/>
                <w:sz w:val="16"/>
              </w:rPr>
            </w:pPr>
          </w:p>
        </w:tc>
        <w:tc>
          <w:tcPr>
            <w:tcW w:w="788" w:type="dxa"/>
          </w:tcPr>
          <w:p w14:paraId="7124341A" w14:textId="77777777" w:rsidR="00A473B9" w:rsidRPr="005F0061" w:rsidRDefault="00A473B9" w:rsidP="0058314E">
            <w:pPr>
              <w:spacing w:before="60" w:after="60"/>
              <w:rPr>
                <w:rFonts w:ascii="Arial" w:hAnsi="Arial" w:cs="Arial"/>
                <w:sz w:val="16"/>
              </w:rPr>
            </w:pPr>
            <w:r w:rsidRPr="005F0061">
              <w:rPr>
                <w:rFonts w:ascii="Arial" w:hAnsi="Arial" w:cs="Arial"/>
                <w:sz w:val="16"/>
              </w:rPr>
              <w:t>See Note 1</w:t>
            </w:r>
          </w:p>
        </w:tc>
        <w:tc>
          <w:tcPr>
            <w:tcW w:w="850" w:type="dxa"/>
          </w:tcPr>
          <w:p w14:paraId="14EFAF0D" w14:textId="77777777" w:rsidR="00A473B9" w:rsidRPr="005F0061" w:rsidRDefault="00A473B9" w:rsidP="0058314E">
            <w:pPr>
              <w:spacing w:before="60" w:after="60"/>
              <w:rPr>
                <w:rFonts w:ascii="Arial" w:hAnsi="Arial" w:cs="Arial"/>
                <w:sz w:val="16"/>
              </w:rPr>
            </w:pPr>
            <w:r w:rsidRPr="005F0061">
              <w:rPr>
                <w:rFonts w:ascii="Arial" w:hAnsi="Arial" w:cs="Arial"/>
                <w:sz w:val="16"/>
              </w:rPr>
              <w:t>See Note 2</w:t>
            </w:r>
          </w:p>
        </w:tc>
        <w:tc>
          <w:tcPr>
            <w:tcW w:w="901" w:type="dxa"/>
          </w:tcPr>
          <w:p w14:paraId="4A1B44E3" w14:textId="77777777" w:rsidR="00A473B9" w:rsidRPr="005F0061" w:rsidRDefault="00A473B9" w:rsidP="0058314E">
            <w:pPr>
              <w:spacing w:before="60" w:after="60"/>
              <w:rPr>
                <w:sz w:val="20"/>
                <w:szCs w:val="20"/>
              </w:rPr>
            </w:pPr>
            <w:r w:rsidRPr="005F0061">
              <w:rPr>
                <w:rFonts w:ascii="Arial" w:hAnsi="Arial" w:cs="Arial"/>
                <w:sz w:val="16"/>
              </w:rPr>
              <w:t>D</w:t>
            </w:r>
          </w:p>
        </w:tc>
      </w:tr>
      <w:tr w:rsidR="00A473B9" w:rsidRPr="005F0061" w14:paraId="79AFA59C" w14:textId="77777777" w:rsidTr="004A6AC8">
        <w:tc>
          <w:tcPr>
            <w:tcW w:w="2030" w:type="dxa"/>
          </w:tcPr>
          <w:p w14:paraId="7D64A3DB" w14:textId="77777777" w:rsidR="00A473B9" w:rsidRPr="005F0061" w:rsidRDefault="00A473B9" w:rsidP="0058314E">
            <w:pPr>
              <w:spacing w:before="60" w:after="60"/>
              <w:rPr>
                <w:rFonts w:ascii="Arial" w:hAnsi="Arial" w:cs="Arial"/>
                <w:sz w:val="16"/>
                <w:szCs w:val="16"/>
              </w:rPr>
            </w:pPr>
          </w:p>
        </w:tc>
        <w:tc>
          <w:tcPr>
            <w:tcW w:w="2591" w:type="dxa"/>
          </w:tcPr>
          <w:p w14:paraId="18EF113B" w14:textId="77777777" w:rsidR="00A473B9" w:rsidRPr="005F0061" w:rsidRDefault="00A473B9" w:rsidP="0058314E">
            <w:pPr>
              <w:spacing w:before="60" w:after="60"/>
              <w:rPr>
                <w:rFonts w:ascii="Arial" w:hAnsi="Arial" w:cs="Arial"/>
                <w:sz w:val="16"/>
                <w:szCs w:val="16"/>
              </w:rPr>
            </w:pPr>
            <w:r w:rsidRPr="005F0061">
              <w:rPr>
                <w:rFonts w:ascii="Arial" w:hAnsi="Arial" w:cs="Arial"/>
                <w:sz w:val="16"/>
                <w:szCs w:val="16"/>
              </w:rPr>
              <w:t xml:space="preserve">Sachet containing granules </w:t>
            </w:r>
            <w:r w:rsidRPr="005F0061">
              <w:rPr>
                <w:rFonts w:ascii="Arial" w:hAnsi="Arial" w:cs="Arial"/>
                <w:sz w:val="16"/>
                <w:szCs w:val="16"/>
              </w:rPr>
              <w:br/>
              <w:t>75 mg</w:t>
            </w:r>
          </w:p>
        </w:tc>
        <w:tc>
          <w:tcPr>
            <w:tcW w:w="1032" w:type="dxa"/>
          </w:tcPr>
          <w:p w14:paraId="2674C3E6" w14:textId="77777777" w:rsidR="00A473B9" w:rsidRPr="005F0061" w:rsidRDefault="00A473B9" w:rsidP="0058314E">
            <w:pPr>
              <w:spacing w:before="60" w:after="60"/>
              <w:rPr>
                <w:rFonts w:ascii="Arial" w:hAnsi="Arial" w:cs="Arial"/>
                <w:sz w:val="16"/>
              </w:rPr>
            </w:pPr>
            <w:r w:rsidRPr="005F0061">
              <w:rPr>
                <w:rFonts w:ascii="Arial" w:hAnsi="Arial" w:cs="Arial"/>
                <w:sz w:val="16"/>
                <w:szCs w:val="16"/>
              </w:rPr>
              <w:t>Oral</w:t>
            </w:r>
          </w:p>
        </w:tc>
        <w:tc>
          <w:tcPr>
            <w:tcW w:w="1587" w:type="dxa"/>
          </w:tcPr>
          <w:p w14:paraId="688C229F" w14:textId="77777777" w:rsidR="00A473B9" w:rsidRPr="005F0061" w:rsidRDefault="00A473B9" w:rsidP="0058314E">
            <w:pPr>
              <w:spacing w:before="60" w:after="60"/>
              <w:rPr>
                <w:rFonts w:ascii="Arial" w:hAnsi="Arial" w:cs="Arial"/>
                <w:sz w:val="16"/>
                <w:szCs w:val="16"/>
              </w:rPr>
            </w:pPr>
            <w:proofErr w:type="spellStart"/>
            <w:r w:rsidRPr="005F0061">
              <w:rPr>
                <w:rFonts w:ascii="Arial" w:hAnsi="Arial" w:cs="Arial"/>
                <w:sz w:val="16"/>
                <w:szCs w:val="16"/>
              </w:rPr>
              <w:t>Kalydeco</w:t>
            </w:r>
            <w:proofErr w:type="spellEnd"/>
          </w:p>
        </w:tc>
        <w:tc>
          <w:tcPr>
            <w:tcW w:w="607" w:type="dxa"/>
          </w:tcPr>
          <w:p w14:paraId="63192652" w14:textId="77777777" w:rsidR="00A473B9" w:rsidRPr="005F0061" w:rsidRDefault="00A473B9" w:rsidP="0058314E">
            <w:pPr>
              <w:spacing w:before="60" w:after="60"/>
              <w:rPr>
                <w:rFonts w:ascii="Arial" w:hAnsi="Arial" w:cs="Arial"/>
                <w:sz w:val="16"/>
                <w:szCs w:val="16"/>
              </w:rPr>
            </w:pPr>
            <w:r w:rsidRPr="005F0061">
              <w:rPr>
                <w:rFonts w:ascii="Arial" w:hAnsi="Arial" w:cs="Arial"/>
                <w:sz w:val="16"/>
                <w:szCs w:val="16"/>
              </w:rPr>
              <w:t>VR</w:t>
            </w:r>
          </w:p>
        </w:tc>
        <w:tc>
          <w:tcPr>
            <w:tcW w:w="1474" w:type="dxa"/>
          </w:tcPr>
          <w:p w14:paraId="56DFFB98" w14:textId="77777777" w:rsidR="00A473B9" w:rsidRPr="005F0061" w:rsidRDefault="00A473B9" w:rsidP="0058314E">
            <w:pPr>
              <w:spacing w:before="60" w:after="60"/>
              <w:rPr>
                <w:rFonts w:ascii="Arial" w:hAnsi="Arial" w:cs="Arial"/>
                <w:sz w:val="16"/>
                <w:szCs w:val="16"/>
              </w:rPr>
            </w:pPr>
            <w:r w:rsidRPr="005F0061">
              <w:rPr>
                <w:rFonts w:ascii="Arial" w:hAnsi="Arial" w:cs="Arial"/>
                <w:sz w:val="16"/>
                <w:szCs w:val="16"/>
              </w:rPr>
              <w:t>C9889 C9890</w:t>
            </w:r>
          </w:p>
        </w:tc>
        <w:tc>
          <w:tcPr>
            <w:tcW w:w="1417" w:type="dxa"/>
          </w:tcPr>
          <w:p w14:paraId="69C3CDF5" w14:textId="77777777" w:rsidR="00A473B9" w:rsidRPr="005F0061" w:rsidRDefault="00A473B9" w:rsidP="0058314E">
            <w:pPr>
              <w:spacing w:before="60" w:after="60"/>
              <w:rPr>
                <w:rFonts w:ascii="Arial" w:hAnsi="Arial" w:cs="Arial"/>
                <w:sz w:val="16"/>
              </w:rPr>
            </w:pPr>
          </w:p>
        </w:tc>
        <w:tc>
          <w:tcPr>
            <w:tcW w:w="788" w:type="dxa"/>
          </w:tcPr>
          <w:p w14:paraId="17C124BF" w14:textId="77777777" w:rsidR="00A473B9" w:rsidRPr="005F0061" w:rsidRDefault="00A473B9" w:rsidP="0058314E">
            <w:pPr>
              <w:spacing w:before="60" w:after="60"/>
              <w:rPr>
                <w:rFonts w:ascii="Arial" w:hAnsi="Arial" w:cs="Arial"/>
                <w:sz w:val="16"/>
              </w:rPr>
            </w:pPr>
            <w:r w:rsidRPr="005F0061">
              <w:rPr>
                <w:rFonts w:ascii="Arial" w:hAnsi="Arial" w:cs="Arial"/>
                <w:sz w:val="16"/>
              </w:rPr>
              <w:t>See Note 1</w:t>
            </w:r>
          </w:p>
        </w:tc>
        <w:tc>
          <w:tcPr>
            <w:tcW w:w="850" w:type="dxa"/>
          </w:tcPr>
          <w:p w14:paraId="67AB66B6" w14:textId="77777777" w:rsidR="00A473B9" w:rsidRPr="005F0061" w:rsidRDefault="00A473B9" w:rsidP="0058314E">
            <w:pPr>
              <w:spacing w:before="60" w:after="60"/>
              <w:rPr>
                <w:rFonts w:ascii="Arial" w:hAnsi="Arial" w:cs="Arial"/>
                <w:sz w:val="16"/>
              </w:rPr>
            </w:pPr>
            <w:r w:rsidRPr="005F0061">
              <w:rPr>
                <w:rFonts w:ascii="Arial" w:hAnsi="Arial" w:cs="Arial"/>
                <w:sz w:val="16"/>
              </w:rPr>
              <w:t>See Note 2</w:t>
            </w:r>
          </w:p>
        </w:tc>
        <w:tc>
          <w:tcPr>
            <w:tcW w:w="901" w:type="dxa"/>
          </w:tcPr>
          <w:p w14:paraId="35903E37" w14:textId="77777777" w:rsidR="00A473B9" w:rsidRPr="005F0061" w:rsidRDefault="00A473B9" w:rsidP="0058314E">
            <w:pPr>
              <w:spacing w:before="60" w:after="60"/>
              <w:rPr>
                <w:i/>
                <w:sz w:val="20"/>
                <w:szCs w:val="20"/>
              </w:rPr>
            </w:pPr>
            <w:r w:rsidRPr="005F0061">
              <w:rPr>
                <w:rFonts w:ascii="Arial" w:hAnsi="Arial" w:cs="Arial"/>
                <w:sz w:val="16"/>
              </w:rPr>
              <w:t>D</w:t>
            </w:r>
          </w:p>
        </w:tc>
      </w:tr>
      <w:tr w:rsidR="00A473B9" w:rsidRPr="005F0061" w14:paraId="70EB0019" w14:textId="77777777" w:rsidTr="004A6AC8">
        <w:tc>
          <w:tcPr>
            <w:tcW w:w="2030" w:type="dxa"/>
          </w:tcPr>
          <w:p w14:paraId="62714582" w14:textId="77777777" w:rsidR="00A473B9" w:rsidRPr="005F0061" w:rsidRDefault="00A473B9" w:rsidP="0058314E">
            <w:pPr>
              <w:spacing w:before="60" w:after="60"/>
              <w:rPr>
                <w:rFonts w:ascii="Arial" w:hAnsi="Arial" w:cs="Arial"/>
                <w:sz w:val="16"/>
                <w:szCs w:val="16"/>
              </w:rPr>
            </w:pPr>
          </w:p>
        </w:tc>
        <w:tc>
          <w:tcPr>
            <w:tcW w:w="2591" w:type="dxa"/>
          </w:tcPr>
          <w:p w14:paraId="2E848589" w14:textId="77777777" w:rsidR="00A473B9" w:rsidRPr="005F0061" w:rsidRDefault="00A473B9" w:rsidP="0058314E">
            <w:pPr>
              <w:spacing w:before="60" w:after="60"/>
              <w:rPr>
                <w:rFonts w:ascii="Arial" w:hAnsi="Arial" w:cs="Arial"/>
                <w:sz w:val="16"/>
                <w:szCs w:val="16"/>
              </w:rPr>
            </w:pPr>
            <w:r w:rsidRPr="005F0061">
              <w:rPr>
                <w:rFonts w:ascii="Arial" w:hAnsi="Arial" w:cs="Arial"/>
                <w:sz w:val="16"/>
                <w:szCs w:val="16"/>
              </w:rPr>
              <w:t>Tablet 150 mg</w:t>
            </w:r>
          </w:p>
        </w:tc>
        <w:tc>
          <w:tcPr>
            <w:tcW w:w="1032" w:type="dxa"/>
          </w:tcPr>
          <w:p w14:paraId="2D03B588" w14:textId="77777777" w:rsidR="00A473B9" w:rsidRPr="005F0061" w:rsidRDefault="00A473B9" w:rsidP="0058314E">
            <w:pPr>
              <w:spacing w:before="60" w:after="60"/>
              <w:rPr>
                <w:rFonts w:ascii="Arial" w:hAnsi="Arial" w:cs="Arial"/>
                <w:sz w:val="16"/>
                <w:szCs w:val="16"/>
              </w:rPr>
            </w:pPr>
            <w:r w:rsidRPr="005F0061">
              <w:rPr>
                <w:rFonts w:ascii="Arial" w:hAnsi="Arial" w:cs="Arial"/>
                <w:sz w:val="16"/>
                <w:szCs w:val="16"/>
              </w:rPr>
              <w:t>Oral</w:t>
            </w:r>
          </w:p>
        </w:tc>
        <w:tc>
          <w:tcPr>
            <w:tcW w:w="1587" w:type="dxa"/>
          </w:tcPr>
          <w:p w14:paraId="0257F74E" w14:textId="77777777" w:rsidR="00A473B9" w:rsidRPr="005F0061" w:rsidRDefault="00A473B9" w:rsidP="0058314E">
            <w:pPr>
              <w:spacing w:before="60" w:after="60"/>
              <w:rPr>
                <w:rFonts w:ascii="Arial" w:hAnsi="Arial" w:cs="Arial"/>
                <w:sz w:val="16"/>
                <w:szCs w:val="16"/>
              </w:rPr>
            </w:pPr>
            <w:proofErr w:type="spellStart"/>
            <w:r w:rsidRPr="005F0061">
              <w:rPr>
                <w:rFonts w:ascii="Arial" w:hAnsi="Arial" w:cs="Arial"/>
                <w:sz w:val="16"/>
                <w:szCs w:val="16"/>
              </w:rPr>
              <w:t>Kalydeco</w:t>
            </w:r>
            <w:proofErr w:type="spellEnd"/>
          </w:p>
        </w:tc>
        <w:tc>
          <w:tcPr>
            <w:tcW w:w="607" w:type="dxa"/>
          </w:tcPr>
          <w:p w14:paraId="03B71719" w14:textId="77777777" w:rsidR="00A473B9" w:rsidRPr="005F0061" w:rsidRDefault="00A473B9" w:rsidP="0058314E">
            <w:pPr>
              <w:spacing w:before="60" w:after="60"/>
              <w:rPr>
                <w:rFonts w:ascii="Arial" w:hAnsi="Arial" w:cs="Arial"/>
                <w:sz w:val="16"/>
                <w:szCs w:val="16"/>
              </w:rPr>
            </w:pPr>
            <w:r w:rsidRPr="005F0061">
              <w:rPr>
                <w:rFonts w:ascii="Arial" w:hAnsi="Arial" w:cs="Arial"/>
                <w:sz w:val="16"/>
                <w:szCs w:val="16"/>
              </w:rPr>
              <w:t>VR</w:t>
            </w:r>
          </w:p>
        </w:tc>
        <w:tc>
          <w:tcPr>
            <w:tcW w:w="1474" w:type="dxa"/>
          </w:tcPr>
          <w:p w14:paraId="21FDD08F" w14:textId="77777777" w:rsidR="00A473B9" w:rsidRPr="005F0061" w:rsidRDefault="00A473B9" w:rsidP="0058314E">
            <w:pPr>
              <w:spacing w:before="60" w:after="60"/>
              <w:rPr>
                <w:rFonts w:ascii="Arial" w:hAnsi="Arial" w:cs="Arial"/>
                <w:sz w:val="16"/>
                <w:szCs w:val="16"/>
              </w:rPr>
            </w:pPr>
            <w:r w:rsidRPr="005F0061">
              <w:rPr>
                <w:rFonts w:ascii="Arial" w:hAnsi="Arial" w:cs="Arial"/>
                <w:sz w:val="16"/>
                <w:szCs w:val="16"/>
              </w:rPr>
              <w:t>C9889 C9890</w:t>
            </w:r>
          </w:p>
        </w:tc>
        <w:tc>
          <w:tcPr>
            <w:tcW w:w="1417" w:type="dxa"/>
          </w:tcPr>
          <w:p w14:paraId="2136CA72" w14:textId="77777777" w:rsidR="00A473B9" w:rsidRPr="005F0061" w:rsidRDefault="00A473B9" w:rsidP="0058314E">
            <w:pPr>
              <w:spacing w:before="60" w:after="60"/>
              <w:rPr>
                <w:rFonts w:ascii="Arial" w:hAnsi="Arial" w:cs="Arial"/>
                <w:sz w:val="16"/>
                <w:szCs w:val="16"/>
              </w:rPr>
            </w:pPr>
          </w:p>
        </w:tc>
        <w:tc>
          <w:tcPr>
            <w:tcW w:w="788" w:type="dxa"/>
          </w:tcPr>
          <w:p w14:paraId="4E012D1A" w14:textId="77777777" w:rsidR="00A473B9" w:rsidRPr="005F0061" w:rsidRDefault="00A473B9" w:rsidP="0058314E">
            <w:pPr>
              <w:spacing w:before="60" w:after="60"/>
              <w:rPr>
                <w:rFonts w:ascii="Arial" w:hAnsi="Arial" w:cs="Arial"/>
                <w:sz w:val="16"/>
                <w:szCs w:val="16"/>
              </w:rPr>
            </w:pPr>
            <w:r w:rsidRPr="005F0061">
              <w:rPr>
                <w:rFonts w:ascii="Arial" w:hAnsi="Arial" w:cs="Arial"/>
                <w:sz w:val="16"/>
                <w:szCs w:val="16"/>
              </w:rPr>
              <w:t>See Note 1</w:t>
            </w:r>
          </w:p>
        </w:tc>
        <w:tc>
          <w:tcPr>
            <w:tcW w:w="850" w:type="dxa"/>
          </w:tcPr>
          <w:p w14:paraId="1E2C0AB0" w14:textId="77777777" w:rsidR="00A473B9" w:rsidRPr="005F0061" w:rsidRDefault="00A473B9" w:rsidP="0058314E">
            <w:pPr>
              <w:spacing w:before="60" w:after="60"/>
              <w:rPr>
                <w:rFonts w:ascii="Arial" w:hAnsi="Arial" w:cs="Arial"/>
                <w:sz w:val="16"/>
                <w:szCs w:val="16"/>
              </w:rPr>
            </w:pPr>
            <w:r w:rsidRPr="005F0061">
              <w:rPr>
                <w:rFonts w:ascii="Arial" w:hAnsi="Arial" w:cs="Arial"/>
                <w:sz w:val="16"/>
                <w:szCs w:val="16"/>
              </w:rPr>
              <w:t>See Note 2</w:t>
            </w:r>
          </w:p>
        </w:tc>
        <w:tc>
          <w:tcPr>
            <w:tcW w:w="901" w:type="dxa"/>
          </w:tcPr>
          <w:p w14:paraId="1AA2C1A1" w14:textId="77777777" w:rsidR="00A473B9" w:rsidRPr="005F0061" w:rsidRDefault="00A473B9" w:rsidP="0058314E">
            <w:pPr>
              <w:spacing w:before="60" w:after="60"/>
              <w:rPr>
                <w:rFonts w:ascii="Arial" w:hAnsi="Arial" w:cs="Arial"/>
                <w:sz w:val="16"/>
                <w:szCs w:val="16"/>
              </w:rPr>
            </w:pPr>
            <w:r w:rsidRPr="005F0061">
              <w:rPr>
                <w:rFonts w:ascii="Arial" w:hAnsi="Arial" w:cs="Arial"/>
                <w:sz w:val="16"/>
                <w:szCs w:val="16"/>
              </w:rPr>
              <w:t>D</w:t>
            </w:r>
          </w:p>
        </w:tc>
      </w:tr>
    </w:tbl>
    <w:p w14:paraId="77008A47" w14:textId="412B41EF" w:rsidR="00F66E49" w:rsidRPr="005F0061" w:rsidRDefault="00785AF1" w:rsidP="00A473B9">
      <w:pPr>
        <w:pStyle w:val="Amendment1"/>
        <w:numPr>
          <w:ilvl w:val="0"/>
          <w:numId w:val="10"/>
        </w:numPr>
        <w:ind w:left="567" w:hanging="567"/>
        <w:rPr>
          <w:bCs w:val="0"/>
          <w:iCs/>
        </w:rPr>
      </w:pPr>
      <w:r w:rsidRPr="005F0061">
        <w:t>Schedule 1, entry for </w:t>
      </w:r>
      <w:proofErr w:type="spellStart"/>
      <w:r w:rsidRPr="005F0061">
        <w:t>Lumacaftor</w:t>
      </w:r>
      <w:proofErr w:type="spellEnd"/>
      <w:r w:rsidRPr="005F0061">
        <w:t xml:space="preserve"> with </w:t>
      </w:r>
      <w:proofErr w:type="spellStart"/>
      <w:r w:rsidRPr="005F0061">
        <w:t>ivacaftor</w:t>
      </w:r>
      <w:proofErr w:type="spellEnd"/>
      <w:r w:rsidRPr="005F0061">
        <w:t xml:space="preserve"> </w:t>
      </w:r>
    </w:p>
    <w:p w14:paraId="54D2B693" w14:textId="77777777" w:rsidR="00A473B9" w:rsidRPr="005F0061" w:rsidRDefault="00A473B9" w:rsidP="00A473B9">
      <w:pPr>
        <w:pStyle w:val="Amendment1"/>
        <w:numPr>
          <w:ilvl w:val="0"/>
          <w:numId w:val="0"/>
        </w:numPr>
        <w:spacing w:before="60" w:after="60"/>
        <w:ind w:left="1134" w:hanging="567"/>
        <w:rPr>
          <w:i/>
        </w:rPr>
      </w:pPr>
      <w:proofErr w:type="gramStart"/>
      <w:r w:rsidRPr="005F0061">
        <w:rPr>
          <w:rFonts w:ascii="Times New Roman" w:hAnsi="Times New Roman" w:cs="Times New Roman"/>
          <w:b w:val="0"/>
          <w:i/>
        </w:rPr>
        <w:t>substitute</w:t>
      </w:r>
      <w:proofErr w:type="gramEnd"/>
      <w:r w:rsidRPr="005F0061">
        <w:rPr>
          <w:rFonts w:ascii="Times New Roman" w:hAnsi="Times New Roman" w:cs="Times New Roman"/>
          <w:b w:val="0"/>
          <w:i/>
        </w:rPr>
        <w:t>:</w:t>
      </w:r>
    </w:p>
    <w:tbl>
      <w:tblPr>
        <w:tblStyle w:val="TableGrid"/>
        <w:tblW w:w="13277" w:type="dxa"/>
        <w:tblBorders>
          <w:insideH w:val="none" w:sz="0" w:space="0" w:color="auto"/>
          <w:insideV w:val="none" w:sz="0" w:space="0" w:color="auto"/>
        </w:tblBorders>
        <w:tblLayout w:type="fixed"/>
        <w:tblLook w:val="04A0" w:firstRow="1" w:lastRow="0" w:firstColumn="1" w:lastColumn="0" w:noHBand="0" w:noVBand="1"/>
      </w:tblPr>
      <w:tblGrid>
        <w:gridCol w:w="2030"/>
        <w:gridCol w:w="2591"/>
        <w:gridCol w:w="1032"/>
        <w:gridCol w:w="1587"/>
        <w:gridCol w:w="607"/>
        <w:gridCol w:w="1474"/>
        <w:gridCol w:w="1417"/>
        <w:gridCol w:w="788"/>
        <w:gridCol w:w="850"/>
        <w:gridCol w:w="901"/>
      </w:tblGrid>
      <w:tr w:rsidR="00A473B9" w:rsidRPr="005F0061" w14:paraId="3B574E66" w14:textId="77777777" w:rsidTr="004A6AC8">
        <w:tc>
          <w:tcPr>
            <w:tcW w:w="2030" w:type="dxa"/>
          </w:tcPr>
          <w:p w14:paraId="32B31858" w14:textId="77777777" w:rsidR="00A473B9" w:rsidRPr="005F0061" w:rsidRDefault="00A473B9" w:rsidP="0058314E">
            <w:pPr>
              <w:spacing w:before="60" w:after="60"/>
              <w:rPr>
                <w:rFonts w:ascii="Arial" w:hAnsi="Arial" w:cs="Arial"/>
                <w:sz w:val="16"/>
              </w:rPr>
            </w:pPr>
            <w:proofErr w:type="spellStart"/>
            <w:r w:rsidRPr="005F0061">
              <w:rPr>
                <w:rFonts w:ascii="Arial" w:hAnsi="Arial" w:cs="Arial"/>
                <w:sz w:val="16"/>
                <w:szCs w:val="16"/>
              </w:rPr>
              <w:t>Lumacaftor</w:t>
            </w:r>
            <w:proofErr w:type="spellEnd"/>
            <w:r w:rsidRPr="005F0061">
              <w:rPr>
                <w:rFonts w:ascii="Arial" w:hAnsi="Arial" w:cs="Arial"/>
                <w:sz w:val="16"/>
                <w:szCs w:val="16"/>
              </w:rPr>
              <w:t xml:space="preserve"> with </w:t>
            </w:r>
            <w:proofErr w:type="spellStart"/>
            <w:r w:rsidRPr="005F0061">
              <w:rPr>
                <w:rFonts w:ascii="Arial" w:hAnsi="Arial" w:cs="Arial"/>
                <w:sz w:val="16"/>
                <w:szCs w:val="16"/>
              </w:rPr>
              <w:t>ivacaftor</w:t>
            </w:r>
            <w:proofErr w:type="spellEnd"/>
          </w:p>
        </w:tc>
        <w:tc>
          <w:tcPr>
            <w:tcW w:w="2591" w:type="dxa"/>
          </w:tcPr>
          <w:p w14:paraId="1BB9B3E0" w14:textId="77777777" w:rsidR="00A473B9" w:rsidRPr="005F0061" w:rsidRDefault="00A473B9" w:rsidP="0058314E">
            <w:pPr>
              <w:spacing w:before="60" w:after="60"/>
              <w:rPr>
                <w:rFonts w:ascii="Arial" w:hAnsi="Arial" w:cs="Arial"/>
                <w:sz w:val="16"/>
              </w:rPr>
            </w:pPr>
            <w:r w:rsidRPr="005F0061">
              <w:rPr>
                <w:rFonts w:ascii="Arial" w:hAnsi="Arial" w:cs="Arial"/>
                <w:sz w:val="16"/>
                <w:szCs w:val="16"/>
              </w:rPr>
              <w:t xml:space="preserve">Sachet containing granules, </w:t>
            </w:r>
            <w:proofErr w:type="spellStart"/>
            <w:r w:rsidRPr="005F0061">
              <w:rPr>
                <w:rFonts w:ascii="Arial" w:hAnsi="Arial" w:cs="Arial"/>
                <w:sz w:val="16"/>
                <w:szCs w:val="16"/>
              </w:rPr>
              <w:t>lumacaftor</w:t>
            </w:r>
            <w:proofErr w:type="spellEnd"/>
            <w:r w:rsidRPr="005F0061">
              <w:rPr>
                <w:rFonts w:ascii="Arial" w:hAnsi="Arial" w:cs="Arial"/>
                <w:sz w:val="16"/>
                <w:szCs w:val="16"/>
              </w:rPr>
              <w:t xml:space="preserve"> 100 mg and </w:t>
            </w:r>
            <w:proofErr w:type="spellStart"/>
            <w:r w:rsidRPr="005F0061">
              <w:rPr>
                <w:rFonts w:ascii="Arial" w:hAnsi="Arial" w:cs="Arial"/>
                <w:sz w:val="16"/>
                <w:szCs w:val="16"/>
              </w:rPr>
              <w:t>ivacaftor</w:t>
            </w:r>
            <w:proofErr w:type="spellEnd"/>
            <w:r w:rsidRPr="005F0061">
              <w:rPr>
                <w:rFonts w:ascii="Arial" w:hAnsi="Arial" w:cs="Arial"/>
                <w:sz w:val="16"/>
                <w:szCs w:val="16"/>
              </w:rPr>
              <w:t xml:space="preserve"> 125 mg</w:t>
            </w:r>
          </w:p>
        </w:tc>
        <w:tc>
          <w:tcPr>
            <w:tcW w:w="1032" w:type="dxa"/>
          </w:tcPr>
          <w:p w14:paraId="3E364BED" w14:textId="77777777" w:rsidR="00A473B9" w:rsidRPr="005F0061" w:rsidRDefault="00A473B9" w:rsidP="0058314E">
            <w:pPr>
              <w:spacing w:before="60" w:after="60"/>
              <w:rPr>
                <w:rFonts w:ascii="Arial" w:hAnsi="Arial" w:cs="Arial"/>
                <w:sz w:val="16"/>
              </w:rPr>
            </w:pPr>
            <w:r w:rsidRPr="005F0061">
              <w:rPr>
                <w:rFonts w:ascii="Arial" w:hAnsi="Arial" w:cs="Arial"/>
                <w:sz w:val="16"/>
                <w:szCs w:val="16"/>
              </w:rPr>
              <w:t>Oral</w:t>
            </w:r>
          </w:p>
        </w:tc>
        <w:tc>
          <w:tcPr>
            <w:tcW w:w="1587" w:type="dxa"/>
          </w:tcPr>
          <w:p w14:paraId="440B9BBD" w14:textId="77777777" w:rsidR="00A473B9" w:rsidRPr="005F0061" w:rsidRDefault="00A473B9" w:rsidP="0058314E">
            <w:pPr>
              <w:spacing w:before="60" w:after="60"/>
              <w:rPr>
                <w:rFonts w:ascii="Arial" w:hAnsi="Arial" w:cs="Arial"/>
                <w:sz w:val="16"/>
              </w:rPr>
            </w:pPr>
            <w:proofErr w:type="spellStart"/>
            <w:r w:rsidRPr="005F0061">
              <w:rPr>
                <w:rFonts w:ascii="Arial" w:hAnsi="Arial" w:cs="Arial"/>
                <w:sz w:val="16"/>
                <w:szCs w:val="16"/>
              </w:rPr>
              <w:t>Orkambi</w:t>
            </w:r>
            <w:proofErr w:type="spellEnd"/>
          </w:p>
        </w:tc>
        <w:tc>
          <w:tcPr>
            <w:tcW w:w="607" w:type="dxa"/>
          </w:tcPr>
          <w:p w14:paraId="0C6276EF" w14:textId="77777777" w:rsidR="00A473B9" w:rsidRPr="005F0061" w:rsidRDefault="00A473B9" w:rsidP="0058314E">
            <w:pPr>
              <w:spacing w:before="60" w:after="60"/>
              <w:rPr>
                <w:rFonts w:ascii="Arial" w:hAnsi="Arial" w:cs="Arial"/>
                <w:sz w:val="16"/>
              </w:rPr>
            </w:pPr>
            <w:r w:rsidRPr="005F0061">
              <w:rPr>
                <w:rFonts w:ascii="Arial" w:hAnsi="Arial" w:cs="Arial"/>
                <w:sz w:val="16"/>
                <w:szCs w:val="16"/>
              </w:rPr>
              <w:t>VR</w:t>
            </w:r>
          </w:p>
        </w:tc>
        <w:tc>
          <w:tcPr>
            <w:tcW w:w="1474" w:type="dxa"/>
          </w:tcPr>
          <w:p w14:paraId="38795710" w14:textId="77777777" w:rsidR="00A473B9" w:rsidRPr="005F0061" w:rsidRDefault="00A473B9" w:rsidP="0058314E">
            <w:pPr>
              <w:spacing w:before="60" w:after="60"/>
              <w:rPr>
                <w:rFonts w:ascii="Arial" w:hAnsi="Arial" w:cs="Arial"/>
                <w:sz w:val="16"/>
              </w:rPr>
            </w:pPr>
            <w:r w:rsidRPr="005F0061">
              <w:rPr>
                <w:rFonts w:ascii="Arial" w:hAnsi="Arial" w:cs="Arial"/>
                <w:sz w:val="16"/>
                <w:szCs w:val="16"/>
              </w:rPr>
              <w:t>C10005 C10007</w:t>
            </w:r>
          </w:p>
        </w:tc>
        <w:tc>
          <w:tcPr>
            <w:tcW w:w="1417" w:type="dxa"/>
          </w:tcPr>
          <w:p w14:paraId="220DC90C" w14:textId="77777777" w:rsidR="00A473B9" w:rsidRPr="005F0061" w:rsidRDefault="00A473B9" w:rsidP="0058314E">
            <w:pPr>
              <w:spacing w:before="60" w:after="60"/>
              <w:rPr>
                <w:rFonts w:ascii="Arial" w:hAnsi="Arial" w:cs="Arial"/>
                <w:sz w:val="16"/>
              </w:rPr>
            </w:pPr>
          </w:p>
        </w:tc>
        <w:tc>
          <w:tcPr>
            <w:tcW w:w="788" w:type="dxa"/>
          </w:tcPr>
          <w:p w14:paraId="05E688BC" w14:textId="77777777" w:rsidR="00A473B9" w:rsidRPr="005F0061" w:rsidRDefault="00A473B9" w:rsidP="0058314E">
            <w:pPr>
              <w:spacing w:before="60" w:after="60"/>
              <w:rPr>
                <w:rFonts w:ascii="Arial" w:hAnsi="Arial" w:cs="Arial"/>
                <w:sz w:val="16"/>
              </w:rPr>
            </w:pPr>
            <w:r w:rsidRPr="005F0061">
              <w:rPr>
                <w:rFonts w:ascii="Arial" w:hAnsi="Arial" w:cs="Arial"/>
                <w:sz w:val="16"/>
              </w:rPr>
              <w:t>See Note 1</w:t>
            </w:r>
          </w:p>
        </w:tc>
        <w:tc>
          <w:tcPr>
            <w:tcW w:w="850" w:type="dxa"/>
          </w:tcPr>
          <w:p w14:paraId="781850B0" w14:textId="77777777" w:rsidR="00A473B9" w:rsidRPr="005F0061" w:rsidRDefault="00A473B9" w:rsidP="0058314E">
            <w:pPr>
              <w:spacing w:before="60" w:after="60"/>
              <w:rPr>
                <w:rFonts w:ascii="Arial" w:hAnsi="Arial" w:cs="Arial"/>
                <w:sz w:val="16"/>
              </w:rPr>
            </w:pPr>
            <w:r w:rsidRPr="005F0061">
              <w:rPr>
                <w:rFonts w:ascii="Arial" w:hAnsi="Arial" w:cs="Arial"/>
                <w:sz w:val="16"/>
              </w:rPr>
              <w:t>See Note 2</w:t>
            </w:r>
          </w:p>
        </w:tc>
        <w:tc>
          <w:tcPr>
            <w:tcW w:w="901" w:type="dxa"/>
          </w:tcPr>
          <w:p w14:paraId="57DC5936" w14:textId="77777777" w:rsidR="00A473B9" w:rsidRPr="005F0061" w:rsidRDefault="00A473B9" w:rsidP="0058314E">
            <w:pPr>
              <w:spacing w:before="60" w:after="60"/>
              <w:rPr>
                <w:rFonts w:ascii="Arial" w:hAnsi="Arial" w:cs="Arial"/>
                <w:sz w:val="16"/>
              </w:rPr>
            </w:pPr>
            <w:r w:rsidRPr="005F0061">
              <w:rPr>
                <w:rFonts w:ascii="Arial" w:hAnsi="Arial" w:cs="Arial"/>
                <w:sz w:val="16"/>
              </w:rPr>
              <w:t>D</w:t>
            </w:r>
          </w:p>
        </w:tc>
      </w:tr>
      <w:tr w:rsidR="00A473B9" w:rsidRPr="005F0061" w14:paraId="2EA46443" w14:textId="77777777" w:rsidTr="004A6AC8">
        <w:tc>
          <w:tcPr>
            <w:tcW w:w="2030" w:type="dxa"/>
          </w:tcPr>
          <w:p w14:paraId="1F677A78" w14:textId="77777777" w:rsidR="00A473B9" w:rsidRPr="005F0061" w:rsidRDefault="00A473B9" w:rsidP="0058314E">
            <w:pPr>
              <w:spacing w:before="60" w:after="60"/>
              <w:rPr>
                <w:rFonts w:ascii="Arial" w:hAnsi="Arial" w:cs="Arial"/>
                <w:sz w:val="16"/>
                <w:szCs w:val="16"/>
              </w:rPr>
            </w:pPr>
          </w:p>
        </w:tc>
        <w:tc>
          <w:tcPr>
            <w:tcW w:w="2591" w:type="dxa"/>
          </w:tcPr>
          <w:p w14:paraId="5FD21825" w14:textId="77777777" w:rsidR="00A473B9" w:rsidRPr="005F0061" w:rsidRDefault="00A473B9" w:rsidP="0058314E">
            <w:pPr>
              <w:spacing w:before="60" w:after="60"/>
              <w:rPr>
                <w:rFonts w:ascii="Arial" w:hAnsi="Arial" w:cs="Arial"/>
                <w:sz w:val="16"/>
                <w:szCs w:val="16"/>
              </w:rPr>
            </w:pPr>
            <w:r w:rsidRPr="005F0061">
              <w:rPr>
                <w:rFonts w:ascii="Arial" w:hAnsi="Arial" w:cs="Arial"/>
                <w:sz w:val="16"/>
                <w:szCs w:val="16"/>
              </w:rPr>
              <w:t xml:space="preserve">Sachet containing granules, </w:t>
            </w:r>
            <w:proofErr w:type="spellStart"/>
            <w:r w:rsidRPr="005F0061">
              <w:rPr>
                <w:rFonts w:ascii="Arial" w:hAnsi="Arial" w:cs="Arial"/>
                <w:sz w:val="16"/>
                <w:szCs w:val="16"/>
              </w:rPr>
              <w:t>lumacaftor</w:t>
            </w:r>
            <w:proofErr w:type="spellEnd"/>
            <w:r w:rsidRPr="005F0061">
              <w:rPr>
                <w:rFonts w:ascii="Arial" w:hAnsi="Arial" w:cs="Arial"/>
                <w:sz w:val="16"/>
                <w:szCs w:val="16"/>
              </w:rPr>
              <w:t xml:space="preserve"> 150 mg and </w:t>
            </w:r>
            <w:proofErr w:type="spellStart"/>
            <w:r w:rsidRPr="005F0061">
              <w:rPr>
                <w:rFonts w:ascii="Arial" w:hAnsi="Arial" w:cs="Arial"/>
                <w:sz w:val="16"/>
                <w:szCs w:val="16"/>
              </w:rPr>
              <w:t>ivacaftor</w:t>
            </w:r>
            <w:proofErr w:type="spellEnd"/>
            <w:r w:rsidRPr="005F0061">
              <w:rPr>
                <w:rFonts w:ascii="Arial" w:hAnsi="Arial" w:cs="Arial"/>
                <w:sz w:val="16"/>
                <w:szCs w:val="16"/>
              </w:rPr>
              <w:t xml:space="preserve"> 188 mg</w:t>
            </w:r>
          </w:p>
        </w:tc>
        <w:tc>
          <w:tcPr>
            <w:tcW w:w="1032" w:type="dxa"/>
          </w:tcPr>
          <w:p w14:paraId="19F53962" w14:textId="77777777" w:rsidR="00A473B9" w:rsidRPr="005F0061" w:rsidRDefault="00A473B9" w:rsidP="0058314E">
            <w:pPr>
              <w:spacing w:before="60" w:after="60"/>
              <w:rPr>
                <w:rFonts w:ascii="Arial" w:hAnsi="Arial" w:cs="Arial"/>
                <w:sz w:val="16"/>
              </w:rPr>
            </w:pPr>
            <w:r w:rsidRPr="005F0061">
              <w:rPr>
                <w:rFonts w:ascii="Arial" w:hAnsi="Arial" w:cs="Arial"/>
                <w:sz w:val="16"/>
                <w:szCs w:val="16"/>
              </w:rPr>
              <w:t>Oral</w:t>
            </w:r>
          </w:p>
        </w:tc>
        <w:tc>
          <w:tcPr>
            <w:tcW w:w="1587" w:type="dxa"/>
          </w:tcPr>
          <w:p w14:paraId="6FA71454" w14:textId="77777777" w:rsidR="00A473B9" w:rsidRPr="005F0061" w:rsidRDefault="00A473B9" w:rsidP="0058314E">
            <w:pPr>
              <w:spacing w:before="60" w:after="60"/>
              <w:rPr>
                <w:rFonts w:ascii="Arial" w:hAnsi="Arial" w:cs="Arial"/>
                <w:sz w:val="16"/>
                <w:szCs w:val="16"/>
              </w:rPr>
            </w:pPr>
            <w:proofErr w:type="spellStart"/>
            <w:r w:rsidRPr="005F0061">
              <w:rPr>
                <w:rFonts w:ascii="Arial" w:hAnsi="Arial" w:cs="Arial"/>
                <w:sz w:val="16"/>
                <w:szCs w:val="16"/>
              </w:rPr>
              <w:t>Orkambi</w:t>
            </w:r>
            <w:proofErr w:type="spellEnd"/>
          </w:p>
        </w:tc>
        <w:tc>
          <w:tcPr>
            <w:tcW w:w="607" w:type="dxa"/>
          </w:tcPr>
          <w:p w14:paraId="77C3CF67" w14:textId="77777777" w:rsidR="00A473B9" w:rsidRPr="005F0061" w:rsidRDefault="00A473B9" w:rsidP="0058314E">
            <w:pPr>
              <w:spacing w:before="60" w:after="60"/>
              <w:rPr>
                <w:rFonts w:ascii="Arial" w:hAnsi="Arial" w:cs="Arial"/>
                <w:sz w:val="16"/>
                <w:szCs w:val="16"/>
              </w:rPr>
            </w:pPr>
            <w:r w:rsidRPr="005F0061">
              <w:rPr>
                <w:rFonts w:ascii="Arial" w:hAnsi="Arial" w:cs="Arial"/>
                <w:sz w:val="16"/>
                <w:szCs w:val="16"/>
              </w:rPr>
              <w:t>VR</w:t>
            </w:r>
          </w:p>
        </w:tc>
        <w:tc>
          <w:tcPr>
            <w:tcW w:w="1474" w:type="dxa"/>
          </w:tcPr>
          <w:p w14:paraId="2DF88A0C" w14:textId="77777777" w:rsidR="00A473B9" w:rsidRPr="005F0061" w:rsidRDefault="00A473B9" w:rsidP="0058314E">
            <w:pPr>
              <w:spacing w:before="60" w:after="60"/>
              <w:rPr>
                <w:rFonts w:ascii="Arial" w:hAnsi="Arial" w:cs="Arial"/>
                <w:sz w:val="16"/>
                <w:szCs w:val="16"/>
              </w:rPr>
            </w:pPr>
            <w:r w:rsidRPr="005F0061">
              <w:rPr>
                <w:rFonts w:ascii="Arial" w:hAnsi="Arial" w:cs="Arial"/>
                <w:sz w:val="16"/>
                <w:szCs w:val="16"/>
              </w:rPr>
              <w:t>C10005 C10007</w:t>
            </w:r>
          </w:p>
        </w:tc>
        <w:tc>
          <w:tcPr>
            <w:tcW w:w="1417" w:type="dxa"/>
          </w:tcPr>
          <w:p w14:paraId="32D4A9EE" w14:textId="77777777" w:rsidR="00A473B9" w:rsidRPr="005F0061" w:rsidRDefault="00A473B9" w:rsidP="0058314E">
            <w:pPr>
              <w:spacing w:before="60" w:after="60"/>
              <w:rPr>
                <w:rFonts w:ascii="Arial" w:hAnsi="Arial" w:cs="Arial"/>
                <w:sz w:val="16"/>
              </w:rPr>
            </w:pPr>
          </w:p>
        </w:tc>
        <w:tc>
          <w:tcPr>
            <w:tcW w:w="788" w:type="dxa"/>
          </w:tcPr>
          <w:p w14:paraId="2387D273" w14:textId="77777777" w:rsidR="00A473B9" w:rsidRPr="005F0061" w:rsidRDefault="00A473B9" w:rsidP="0058314E">
            <w:pPr>
              <w:spacing w:before="60" w:after="60"/>
              <w:rPr>
                <w:rFonts w:ascii="Arial" w:hAnsi="Arial" w:cs="Arial"/>
                <w:sz w:val="16"/>
              </w:rPr>
            </w:pPr>
            <w:r w:rsidRPr="005F0061">
              <w:rPr>
                <w:rFonts w:ascii="Arial" w:hAnsi="Arial" w:cs="Arial"/>
                <w:sz w:val="16"/>
              </w:rPr>
              <w:t>See Note 1</w:t>
            </w:r>
          </w:p>
        </w:tc>
        <w:tc>
          <w:tcPr>
            <w:tcW w:w="850" w:type="dxa"/>
          </w:tcPr>
          <w:p w14:paraId="2CA14817" w14:textId="77777777" w:rsidR="00A473B9" w:rsidRPr="005F0061" w:rsidRDefault="00A473B9" w:rsidP="0058314E">
            <w:pPr>
              <w:spacing w:before="60" w:after="60"/>
              <w:rPr>
                <w:rFonts w:ascii="Arial" w:hAnsi="Arial" w:cs="Arial"/>
                <w:sz w:val="16"/>
              </w:rPr>
            </w:pPr>
            <w:r w:rsidRPr="005F0061">
              <w:rPr>
                <w:rFonts w:ascii="Arial" w:hAnsi="Arial" w:cs="Arial"/>
                <w:sz w:val="16"/>
              </w:rPr>
              <w:t>See Note 2</w:t>
            </w:r>
          </w:p>
        </w:tc>
        <w:tc>
          <w:tcPr>
            <w:tcW w:w="901" w:type="dxa"/>
          </w:tcPr>
          <w:p w14:paraId="42576AAE" w14:textId="77777777" w:rsidR="00A473B9" w:rsidRPr="005F0061" w:rsidRDefault="00A473B9" w:rsidP="0058314E">
            <w:pPr>
              <w:spacing w:before="60" w:after="60"/>
              <w:rPr>
                <w:rFonts w:ascii="Arial" w:hAnsi="Arial" w:cs="Arial"/>
                <w:sz w:val="16"/>
              </w:rPr>
            </w:pPr>
            <w:r w:rsidRPr="005F0061">
              <w:rPr>
                <w:rFonts w:ascii="Arial" w:hAnsi="Arial" w:cs="Arial"/>
                <w:sz w:val="16"/>
              </w:rPr>
              <w:t>D</w:t>
            </w:r>
          </w:p>
        </w:tc>
      </w:tr>
      <w:tr w:rsidR="00A473B9" w:rsidRPr="005F0061" w14:paraId="31759C6B" w14:textId="77777777" w:rsidTr="004A6AC8">
        <w:tc>
          <w:tcPr>
            <w:tcW w:w="2030" w:type="dxa"/>
          </w:tcPr>
          <w:p w14:paraId="73A72A04" w14:textId="77777777" w:rsidR="00A473B9" w:rsidRPr="005F0061" w:rsidRDefault="00A473B9" w:rsidP="0058314E">
            <w:pPr>
              <w:spacing w:before="60" w:after="60"/>
              <w:rPr>
                <w:rFonts w:ascii="Arial" w:hAnsi="Arial" w:cs="Arial"/>
                <w:sz w:val="16"/>
                <w:szCs w:val="16"/>
              </w:rPr>
            </w:pPr>
          </w:p>
        </w:tc>
        <w:tc>
          <w:tcPr>
            <w:tcW w:w="2591" w:type="dxa"/>
          </w:tcPr>
          <w:p w14:paraId="6F03C6D3" w14:textId="77777777" w:rsidR="00A473B9" w:rsidRPr="005F0061" w:rsidRDefault="00A473B9" w:rsidP="0058314E">
            <w:pPr>
              <w:spacing w:before="60" w:after="60"/>
              <w:rPr>
                <w:rFonts w:ascii="Arial" w:hAnsi="Arial" w:cs="Arial"/>
                <w:sz w:val="16"/>
                <w:szCs w:val="16"/>
              </w:rPr>
            </w:pPr>
            <w:r w:rsidRPr="005F0061">
              <w:rPr>
                <w:rFonts w:ascii="Arial" w:hAnsi="Arial" w:cs="Arial"/>
                <w:sz w:val="16"/>
                <w:szCs w:val="16"/>
              </w:rPr>
              <w:t xml:space="preserve">Tablet containing </w:t>
            </w:r>
            <w:proofErr w:type="spellStart"/>
            <w:r w:rsidRPr="005F0061">
              <w:rPr>
                <w:rFonts w:ascii="Arial" w:hAnsi="Arial" w:cs="Arial"/>
                <w:sz w:val="16"/>
                <w:szCs w:val="16"/>
              </w:rPr>
              <w:t>lumacaftor</w:t>
            </w:r>
            <w:proofErr w:type="spellEnd"/>
            <w:r w:rsidRPr="005F0061">
              <w:rPr>
                <w:rFonts w:ascii="Arial" w:hAnsi="Arial" w:cs="Arial"/>
                <w:sz w:val="16"/>
                <w:szCs w:val="16"/>
              </w:rPr>
              <w:t xml:space="preserve"> </w:t>
            </w:r>
            <w:r w:rsidRPr="005F0061">
              <w:rPr>
                <w:rFonts w:ascii="Arial" w:hAnsi="Arial" w:cs="Arial"/>
                <w:sz w:val="16"/>
                <w:szCs w:val="16"/>
              </w:rPr>
              <w:br/>
              <w:t xml:space="preserve">100 mg with </w:t>
            </w:r>
            <w:proofErr w:type="spellStart"/>
            <w:r w:rsidRPr="005F0061">
              <w:rPr>
                <w:rFonts w:ascii="Arial" w:hAnsi="Arial" w:cs="Arial"/>
                <w:sz w:val="16"/>
                <w:szCs w:val="16"/>
              </w:rPr>
              <w:t>ivacaftor</w:t>
            </w:r>
            <w:proofErr w:type="spellEnd"/>
            <w:r w:rsidRPr="005F0061">
              <w:rPr>
                <w:rFonts w:ascii="Arial" w:hAnsi="Arial" w:cs="Arial"/>
                <w:sz w:val="16"/>
                <w:szCs w:val="16"/>
              </w:rPr>
              <w:t xml:space="preserve"> 125 mg</w:t>
            </w:r>
          </w:p>
        </w:tc>
        <w:tc>
          <w:tcPr>
            <w:tcW w:w="1032" w:type="dxa"/>
          </w:tcPr>
          <w:p w14:paraId="7EEF71BA" w14:textId="77777777" w:rsidR="00A473B9" w:rsidRPr="005F0061" w:rsidRDefault="00A473B9" w:rsidP="0058314E">
            <w:pPr>
              <w:spacing w:before="60" w:after="60"/>
              <w:rPr>
                <w:rFonts w:ascii="Arial" w:hAnsi="Arial" w:cs="Arial"/>
                <w:sz w:val="16"/>
              </w:rPr>
            </w:pPr>
            <w:r w:rsidRPr="005F0061">
              <w:rPr>
                <w:rFonts w:ascii="Arial" w:hAnsi="Arial" w:cs="Arial"/>
                <w:sz w:val="16"/>
                <w:szCs w:val="16"/>
              </w:rPr>
              <w:t>Oral</w:t>
            </w:r>
          </w:p>
        </w:tc>
        <w:tc>
          <w:tcPr>
            <w:tcW w:w="1587" w:type="dxa"/>
          </w:tcPr>
          <w:p w14:paraId="42EAEE1F" w14:textId="77777777" w:rsidR="00A473B9" w:rsidRPr="005F0061" w:rsidRDefault="00A473B9" w:rsidP="0058314E">
            <w:pPr>
              <w:spacing w:before="60" w:after="60"/>
              <w:rPr>
                <w:rFonts w:ascii="Arial" w:hAnsi="Arial" w:cs="Arial"/>
                <w:sz w:val="16"/>
                <w:szCs w:val="16"/>
              </w:rPr>
            </w:pPr>
            <w:proofErr w:type="spellStart"/>
            <w:r w:rsidRPr="005F0061">
              <w:rPr>
                <w:rFonts w:ascii="Arial" w:hAnsi="Arial" w:cs="Arial"/>
                <w:sz w:val="16"/>
                <w:szCs w:val="16"/>
              </w:rPr>
              <w:t>Orkambi</w:t>
            </w:r>
            <w:proofErr w:type="spellEnd"/>
          </w:p>
        </w:tc>
        <w:tc>
          <w:tcPr>
            <w:tcW w:w="607" w:type="dxa"/>
          </w:tcPr>
          <w:p w14:paraId="49BDF759" w14:textId="77777777" w:rsidR="00A473B9" w:rsidRPr="005F0061" w:rsidRDefault="00A473B9" w:rsidP="0058314E">
            <w:pPr>
              <w:spacing w:before="60" w:after="60"/>
              <w:rPr>
                <w:rFonts w:ascii="Arial" w:hAnsi="Arial" w:cs="Arial"/>
                <w:sz w:val="16"/>
                <w:szCs w:val="16"/>
              </w:rPr>
            </w:pPr>
            <w:r w:rsidRPr="005F0061">
              <w:rPr>
                <w:rFonts w:ascii="Arial" w:hAnsi="Arial" w:cs="Arial"/>
                <w:sz w:val="16"/>
                <w:szCs w:val="16"/>
              </w:rPr>
              <w:t>VR</w:t>
            </w:r>
          </w:p>
        </w:tc>
        <w:tc>
          <w:tcPr>
            <w:tcW w:w="1474" w:type="dxa"/>
          </w:tcPr>
          <w:p w14:paraId="17C6F43D" w14:textId="77777777" w:rsidR="00A473B9" w:rsidRPr="005F0061" w:rsidRDefault="00A473B9" w:rsidP="0058314E">
            <w:pPr>
              <w:spacing w:before="60" w:after="60"/>
              <w:rPr>
                <w:rFonts w:ascii="Arial" w:hAnsi="Arial" w:cs="Arial"/>
                <w:sz w:val="16"/>
                <w:szCs w:val="16"/>
              </w:rPr>
            </w:pPr>
            <w:r w:rsidRPr="005F0061">
              <w:rPr>
                <w:rFonts w:ascii="Arial" w:hAnsi="Arial" w:cs="Arial"/>
                <w:sz w:val="16"/>
                <w:szCs w:val="16"/>
              </w:rPr>
              <w:t>C9891 C9920</w:t>
            </w:r>
          </w:p>
        </w:tc>
        <w:tc>
          <w:tcPr>
            <w:tcW w:w="1417" w:type="dxa"/>
          </w:tcPr>
          <w:p w14:paraId="46949902" w14:textId="77777777" w:rsidR="00A473B9" w:rsidRPr="005F0061" w:rsidRDefault="00A473B9" w:rsidP="0058314E">
            <w:pPr>
              <w:spacing w:before="60" w:after="60"/>
              <w:rPr>
                <w:rFonts w:ascii="Arial" w:hAnsi="Arial" w:cs="Arial"/>
                <w:sz w:val="16"/>
              </w:rPr>
            </w:pPr>
          </w:p>
        </w:tc>
        <w:tc>
          <w:tcPr>
            <w:tcW w:w="788" w:type="dxa"/>
          </w:tcPr>
          <w:p w14:paraId="4DBEBB31" w14:textId="77777777" w:rsidR="00A473B9" w:rsidRPr="005F0061" w:rsidRDefault="00A473B9" w:rsidP="0058314E">
            <w:pPr>
              <w:spacing w:before="60" w:after="60"/>
              <w:rPr>
                <w:rFonts w:ascii="Arial" w:hAnsi="Arial" w:cs="Arial"/>
                <w:sz w:val="16"/>
              </w:rPr>
            </w:pPr>
            <w:r w:rsidRPr="005F0061">
              <w:rPr>
                <w:rFonts w:ascii="Arial" w:hAnsi="Arial" w:cs="Arial"/>
                <w:sz w:val="16"/>
              </w:rPr>
              <w:t>See Note 1</w:t>
            </w:r>
          </w:p>
        </w:tc>
        <w:tc>
          <w:tcPr>
            <w:tcW w:w="850" w:type="dxa"/>
          </w:tcPr>
          <w:p w14:paraId="29201BFF" w14:textId="77777777" w:rsidR="00A473B9" w:rsidRPr="005F0061" w:rsidRDefault="00A473B9" w:rsidP="0058314E">
            <w:pPr>
              <w:spacing w:before="60" w:after="60"/>
              <w:rPr>
                <w:rFonts w:ascii="Arial" w:hAnsi="Arial" w:cs="Arial"/>
                <w:sz w:val="16"/>
              </w:rPr>
            </w:pPr>
            <w:r w:rsidRPr="005F0061">
              <w:rPr>
                <w:rFonts w:ascii="Arial" w:hAnsi="Arial" w:cs="Arial"/>
                <w:sz w:val="16"/>
              </w:rPr>
              <w:t>See Note 2</w:t>
            </w:r>
          </w:p>
        </w:tc>
        <w:tc>
          <w:tcPr>
            <w:tcW w:w="901" w:type="dxa"/>
          </w:tcPr>
          <w:p w14:paraId="4FDECD44" w14:textId="77777777" w:rsidR="00A473B9" w:rsidRPr="005F0061" w:rsidRDefault="00A473B9" w:rsidP="0058314E">
            <w:pPr>
              <w:spacing w:before="60" w:after="60"/>
              <w:rPr>
                <w:rFonts w:ascii="Arial" w:hAnsi="Arial" w:cs="Arial"/>
                <w:sz w:val="16"/>
              </w:rPr>
            </w:pPr>
            <w:r w:rsidRPr="005F0061">
              <w:rPr>
                <w:rFonts w:ascii="Arial" w:hAnsi="Arial" w:cs="Arial"/>
                <w:sz w:val="16"/>
              </w:rPr>
              <w:t>D</w:t>
            </w:r>
          </w:p>
        </w:tc>
      </w:tr>
      <w:tr w:rsidR="00A473B9" w:rsidRPr="005F0061" w14:paraId="4DFFECC6" w14:textId="77777777" w:rsidTr="004A6AC8">
        <w:tc>
          <w:tcPr>
            <w:tcW w:w="2030" w:type="dxa"/>
          </w:tcPr>
          <w:p w14:paraId="07FE923C" w14:textId="77777777" w:rsidR="00A473B9" w:rsidRPr="005F0061" w:rsidRDefault="00A473B9" w:rsidP="0058314E">
            <w:pPr>
              <w:spacing w:before="60" w:after="60"/>
              <w:rPr>
                <w:rFonts w:ascii="Arial" w:hAnsi="Arial" w:cs="Arial"/>
                <w:sz w:val="16"/>
                <w:szCs w:val="16"/>
              </w:rPr>
            </w:pPr>
          </w:p>
        </w:tc>
        <w:tc>
          <w:tcPr>
            <w:tcW w:w="2591" w:type="dxa"/>
          </w:tcPr>
          <w:p w14:paraId="4C3CC7B6" w14:textId="77777777" w:rsidR="00A473B9" w:rsidRPr="005F0061" w:rsidRDefault="00A473B9" w:rsidP="0058314E">
            <w:pPr>
              <w:spacing w:before="60" w:after="60"/>
              <w:rPr>
                <w:rFonts w:ascii="Arial" w:hAnsi="Arial" w:cs="Arial"/>
                <w:sz w:val="16"/>
                <w:szCs w:val="16"/>
              </w:rPr>
            </w:pPr>
            <w:r w:rsidRPr="005F0061">
              <w:rPr>
                <w:rFonts w:ascii="Arial" w:hAnsi="Arial" w:cs="Arial"/>
                <w:sz w:val="16"/>
                <w:szCs w:val="16"/>
              </w:rPr>
              <w:t xml:space="preserve">Tablet containing </w:t>
            </w:r>
            <w:proofErr w:type="spellStart"/>
            <w:r w:rsidRPr="005F0061">
              <w:rPr>
                <w:rFonts w:ascii="Arial" w:hAnsi="Arial" w:cs="Arial"/>
                <w:sz w:val="16"/>
                <w:szCs w:val="16"/>
              </w:rPr>
              <w:t>lumacaftor</w:t>
            </w:r>
            <w:proofErr w:type="spellEnd"/>
            <w:r w:rsidRPr="005F0061">
              <w:rPr>
                <w:rFonts w:ascii="Arial" w:hAnsi="Arial" w:cs="Arial"/>
                <w:sz w:val="16"/>
                <w:szCs w:val="16"/>
              </w:rPr>
              <w:t xml:space="preserve"> </w:t>
            </w:r>
            <w:r w:rsidRPr="005F0061">
              <w:rPr>
                <w:rFonts w:ascii="Arial" w:hAnsi="Arial" w:cs="Arial"/>
                <w:sz w:val="16"/>
                <w:szCs w:val="16"/>
              </w:rPr>
              <w:br/>
              <w:t xml:space="preserve">200 mg with </w:t>
            </w:r>
            <w:proofErr w:type="spellStart"/>
            <w:r w:rsidRPr="005F0061">
              <w:rPr>
                <w:rFonts w:ascii="Arial" w:hAnsi="Arial" w:cs="Arial"/>
                <w:sz w:val="16"/>
                <w:szCs w:val="16"/>
              </w:rPr>
              <w:t>ivacaftor</w:t>
            </w:r>
            <w:proofErr w:type="spellEnd"/>
            <w:r w:rsidRPr="005F0061">
              <w:rPr>
                <w:rFonts w:ascii="Arial" w:hAnsi="Arial" w:cs="Arial"/>
                <w:sz w:val="16"/>
                <w:szCs w:val="16"/>
              </w:rPr>
              <w:t xml:space="preserve"> 125 mg</w:t>
            </w:r>
          </w:p>
        </w:tc>
        <w:tc>
          <w:tcPr>
            <w:tcW w:w="1032" w:type="dxa"/>
          </w:tcPr>
          <w:p w14:paraId="52C668A2" w14:textId="77777777" w:rsidR="00A473B9" w:rsidRPr="005F0061" w:rsidRDefault="00A473B9" w:rsidP="0058314E">
            <w:pPr>
              <w:spacing w:before="60" w:after="60"/>
              <w:rPr>
                <w:rFonts w:ascii="Arial" w:hAnsi="Arial" w:cs="Arial"/>
                <w:sz w:val="16"/>
              </w:rPr>
            </w:pPr>
            <w:r w:rsidRPr="005F0061">
              <w:rPr>
                <w:rFonts w:ascii="Arial" w:hAnsi="Arial" w:cs="Arial"/>
                <w:sz w:val="16"/>
                <w:szCs w:val="16"/>
              </w:rPr>
              <w:t>Oral</w:t>
            </w:r>
          </w:p>
        </w:tc>
        <w:tc>
          <w:tcPr>
            <w:tcW w:w="1587" w:type="dxa"/>
          </w:tcPr>
          <w:p w14:paraId="20A8EEB0" w14:textId="77777777" w:rsidR="00A473B9" w:rsidRPr="005F0061" w:rsidRDefault="00A473B9" w:rsidP="0058314E">
            <w:pPr>
              <w:spacing w:before="60" w:after="60"/>
              <w:rPr>
                <w:rFonts w:ascii="Arial" w:hAnsi="Arial" w:cs="Arial"/>
                <w:sz w:val="16"/>
                <w:szCs w:val="16"/>
              </w:rPr>
            </w:pPr>
            <w:proofErr w:type="spellStart"/>
            <w:r w:rsidRPr="005F0061">
              <w:rPr>
                <w:rFonts w:ascii="Arial" w:hAnsi="Arial" w:cs="Arial"/>
                <w:sz w:val="16"/>
                <w:szCs w:val="16"/>
              </w:rPr>
              <w:t>Orkambi</w:t>
            </w:r>
            <w:proofErr w:type="spellEnd"/>
          </w:p>
        </w:tc>
        <w:tc>
          <w:tcPr>
            <w:tcW w:w="607" w:type="dxa"/>
          </w:tcPr>
          <w:p w14:paraId="0BD995A1" w14:textId="77777777" w:rsidR="00A473B9" w:rsidRPr="005F0061" w:rsidRDefault="00A473B9" w:rsidP="0058314E">
            <w:pPr>
              <w:spacing w:before="60" w:after="60"/>
              <w:rPr>
                <w:rFonts w:ascii="Arial" w:hAnsi="Arial" w:cs="Arial"/>
                <w:sz w:val="16"/>
                <w:szCs w:val="16"/>
              </w:rPr>
            </w:pPr>
            <w:r w:rsidRPr="005F0061">
              <w:rPr>
                <w:rFonts w:ascii="Arial" w:hAnsi="Arial" w:cs="Arial"/>
                <w:sz w:val="16"/>
                <w:szCs w:val="16"/>
              </w:rPr>
              <w:t>VR</w:t>
            </w:r>
          </w:p>
        </w:tc>
        <w:tc>
          <w:tcPr>
            <w:tcW w:w="1474" w:type="dxa"/>
          </w:tcPr>
          <w:p w14:paraId="354E041A" w14:textId="77777777" w:rsidR="00A473B9" w:rsidRPr="005F0061" w:rsidRDefault="00A473B9" w:rsidP="0058314E">
            <w:pPr>
              <w:spacing w:before="60" w:after="60"/>
              <w:rPr>
                <w:rFonts w:ascii="Arial" w:hAnsi="Arial" w:cs="Arial"/>
                <w:sz w:val="16"/>
                <w:szCs w:val="16"/>
              </w:rPr>
            </w:pPr>
            <w:r w:rsidRPr="005F0061">
              <w:rPr>
                <w:rFonts w:ascii="Arial" w:hAnsi="Arial" w:cs="Arial"/>
                <w:sz w:val="16"/>
                <w:szCs w:val="16"/>
              </w:rPr>
              <w:t>C9857 C9943</w:t>
            </w:r>
          </w:p>
        </w:tc>
        <w:tc>
          <w:tcPr>
            <w:tcW w:w="1417" w:type="dxa"/>
          </w:tcPr>
          <w:p w14:paraId="0D001F48" w14:textId="77777777" w:rsidR="00A473B9" w:rsidRPr="005F0061" w:rsidRDefault="00A473B9" w:rsidP="0058314E">
            <w:pPr>
              <w:spacing w:before="60" w:after="60"/>
              <w:rPr>
                <w:rFonts w:ascii="Arial" w:hAnsi="Arial" w:cs="Arial"/>
                <w:sz w:val="16"/>
              </w:rPr>
            </w:pPr>
          </w:p>
        </w:tc>
        <w:tc>
          <w:tcPr>
            <w:tcW w:w="788" w:type="dxa"/>
          </w:tcPr>
          <w:p w14:paraId="58BCCBB8" w14:textId="77777777" w:rsidR="00A473B9" w:rsidRPr="005F0061" w:rsidRDefault="00A473B9" w:rsidP="0058314E">
            <w:pPr>
              <w:spacing w:before="60" w:after="60"/>
              <w:rPr>
                <w:rFonts w:ascii="Arial" w:hAnsi="Arial" w:cs="Arial"/>
                <w:sz w:val="16"/>
              </w:rPr>
            </w:pPr>
            <w:r w:rsidRPr="005F0061">
              <w:rPr>
                <w:rFonts w:ascii="Arial" w:hAnsi="Arial" w:cs="Arial"/>
                <w:sz w:val="16"/>
              </w:rPr>
              <w:t>See Note 1</w:t>
            </w:r>
          </w:p>
        </w:tc>
        <w:tc>
          <w:tcPr>
            <w:tcW w:w="850" w:type="dxa"/>
          </w:tcPr>
          <w:p w14:paraId="5DE04562" w14:textId="77777777" w:rsidR="00A473B9" w:rsidRPr="005F0061" w:rsidRDefault="00A473B9" w:rsidP="0058314E">
            <w:pPr>
              <w:spacing w:before="60" w:after="60"/>
              <w:rPr>
                <w:rFonts w:ascii="Arial" w:hAnsi="Arial" w:cs="Arial"/>
                <w:sz w:val="16"/>
              </w:rPr>
            </w:pPr>
            <w:r w:rsidRPr="005F0061">
              <w:rPr>
                <w:rFonts w:ascii="Arial" w:hAnsi="Arial" w:cs="Arial"/>
                <w:sz w:val="16"/>
              </w:rPr>
              <w:t>See Note 2</w:t>
            </w:r>
          </w:p>
        </w:tc>
        <w:tc>
          <w:tcPr>
            <w:tcW w:w="901" w:type="dxa"/>
          </w:tcPr>
          <w:p w14:paraId="7FD29DE2" w14:textId="77777777" w:rsidR="00A473B9" w:rsidRPr="005F0061" w:rsidRDefault="00A473B9" w:rsidP="0058314E">
            <w:pPr>
              <w:spacing w:before="60" w:after="60"/>
              <w:rPr>
                <w:rFonts w:ascii="Arial" w:hAnsi="Arial" w:cs="Arial"/>
                <w:sz w:val="16"/>
              </w:rPr>
            </w:pPr>
            <w:r w:rsidRPr="005F0061">
              <w:rPr>
                <w:rFonts w:ascii="Arial" w:hAnsi="Arial" w:cs="Arial"/>
                <w:sz w:val="16"/>
              </w:rPr>
              <w:t>D</w:t>
            </w:r>
          </w:p>
        </w:tc>
      </w:tr>
    </w:tbl>
    <w:p w14:paraId="6265D240" w14:textId="77777777" w:rsidR="00785AF1" w:rsidRPr="005F0061" w:rsidRDefault="00785AF1" w:rsidP="00785AF1">
      <w:pPr>
        <w:pStyle w:val="Amendment1"/>
        <w:numPr>
          <w:ilvl w:val="0"/>
          <w:numId w:val="10"/>
        </w:numPr>
        <w:ind w:left="567" w:hanging="567"/>
        <w:rPr>
          <w:bCs w:val="0"/>
          <w:iCs/>
        </w:rPr>
      </w:pPr>
      <w:r w:rsidRPr="005F0061">
        <w:rPr>
          <w:bCs w:val="0"/>
          <w:iCs/>
        </w:rPr>
        <w:t xml:space="preserve">Schedule 1, entry for </w:t>
      </w:r>
      <w:proofErr w:type="spellStart"/>
      <w:r w:rsidRPr="005F0061">
        <w:rPr>
          <w:bCs w:val="0"/>
          <w:iCs/>
        </w:rPr>
        <w:t>Macitentan</w:t>
      </w:r>
      <w:proofErr w:type="spellEnd"/>
    </w:p>
    <w:p w14:paraId="773FC2E1" w14:textId="77777777" w:rsidR="00785AF1" w:rsidRPr="005F0061" w:rsidRDefault="00785AF1" w:rsidP="00291A25">
      <w:pPr>
        <w:pStyle w:val="Amendment1"/>
        <w:numPr>
          <w:ilvl w:val="0"/>
          <w:numId w:val="31"/>
        </w:numPr>
        <w:spacing w:before="60" w:after="60"/>
        <w:ind w:left="1134" w:hanging="567"/>
        <w:rPr>
          <w:bCs w:val="0"/>
          <w:iCs/>
        </w:rPr>
      </w:pPr>
      <w:r w:rsidRPr="005F0061">
        <w:rPr>
          <w:rFonts w:ascii="Times New Roman" w:hAnsi="Times New Roman" w:cs="Times New Roman"/>
          <w:b w:val="0"/>
          <w:i/>
        </w:rPr>
        <w:t xml:space="preserve">omit from the column headed “Circumstances”: </w:t>
      </w:r>
      <w:r w:rsidRPr="005F0061">
        <w:t>C11021 C11033 C11034 C11043 C11071</w:t>
      </w:r>
    </w:p>
    <w:p w14:paraId="64242593" w14:textId="77777777" w:rsidR="00785AF1" w:rsidRPr="005F0061" w:rsidRDefault="00785AF1" w:rsidP="00291A25">
      <w:pPr>
        <w:pStyle w:val="Amendment1"/>
        <w:numPr>
          <w:ilvl w:val="0"/>
          <w:numId w:val="31"/>
        </w:numPr>
        <w:spacing w:before="60" w:after="60"/>
        <w:ind w:left="1134" w:hanging="567"/>
        <w:rPr>
          <w:bCs w:val="0"/>
          <w:iCs/>
        </w:rPr>
      </w:pPr>
      <w:r w:rsidRPr="005F0061">
        <w:rPr>
          <w:rFonts w:ascii="Times New Roman" w:hAnsi="Times New Roman" w:cs="Times New Roman"/>
          <w:b w:val="0"/>
          <w:i/>
        </w:rPr>
        <w:t xml:space="preserve">insert in numerical order in the column headed “Circumstances”: </w:t>
      </w:r>
      <w:r w:rsidRPr="005F0061">
        <w:t>C11186 C11229 C11237 C11275 C11276 C11285</w:t>
      </w:r>
    </w:p>
    <w:p w14:paraId="104FCD52" w14:textId="2B394FBD" w:rsidR="00785AF1" w:rsidRPr="005F0061" w:rsidRDefault="00785AF1" w:rsidP="004A6AC8">
      <w:pPr>
        <w:pStyle w:val="Amendment1"/>
        <w:numPr>
          <w:ilvl w:val="0"/>
          <w:numId w:val="31"/>
        </w:numPr>
        <w:shd w:val="clear" w:color="auto" w:fill="FFFFFF" w:themeFill="background1"/>
        <w:spacing w:before="60" w:after="60"/>
        <w:ind w:left="1134" w:hanging="567"/>
        <w:rPr>
          <w:bCs w:val="0"/>
          <w:iCs/>
        </w:rPr>
      </w:pPr>
      <w:r w:rsidRPr="005F0061">
        <w:rPr>
          <w:rFonts w:ascii="Times New Roman" w:hAnsi="Times New Roman" w:cs="Times New Roman"/>
          <w:b w:val="0"/>
          <w:bCs w:val="0"/>
          <w:i/>
          <w:iCs/>
        </w:rPr>
        <w:t>omit from the column headed “</w:t>
      </w:r>
      <w:r w:rsidRPr="005F0061">
        <w:rPr>
          <w:rFonts w:ascii="Times New Roman" w:hAnsi="Times New Roman" w:cs="Times New Roman"/>
          <w:b w:val="0"/>
          <w:i/>
        </w:rPr>
        <w:t>Maximum Quantity”</w:t>
      </w:r>
      <w:r w:rsidRPr="005F0061">
        <w:rPr>
          <w:rFonts w:ascii="Times New Roman" w:hAnsi="Times New Roman" w:cs="Times New Roman"/>
          <w:b w:val="0"/>
          <w:bCs w:val="0"/>
          <w:i/>
          <w:iCs/>
        </w:rPr>
        <w:t>:</w:t>
      </w:r>
      <w:r w:rsidRPr="005F0061">
        <w:t xml:space="preserve"> 30</w:t>
      </w:r>
      <w:r w:rsidRPr="005F0061">
        <w:rPr>
          <w:bCs w:val="0"/>
          <w:iCs/>
        </w:rPr>
        <w:tab/>
      </w:r>
      <w:r w:rsidRPr="005F0061">
        <w:rPr>
          <w:rFonts w:ascii="Times New Roman" w:hAnsi="Times New Roman" w:cs="Times New Roman"/>
          <w:b w:val="0"/>
          <w:bCs w:val="0"/>
          <w:i/>
          <w:iCs/>
        </w:rPr>
        <w:tab/>
        <w:t xml:space="preserve">substitute: </w:t>
      </w:r>
      <w:r w:rsidRPr="005F0061">
        <w:rPr>
          <w:bCs w:val="0"/>
          <w:iCs/>
        </w:rPr>
        <w:t>See Note 1</w:t>
      </w:r>
    </w:p>
    <w:p w14:paraId="5355AE7A" w14:textId="77777777" w:rsidR="0050089C" w:rsidRPr="005F0061" w:rsidRDefault="0050089C" w:rsidP="0050089C">
      <w:pPr>
        <w:pStyle w:val="Amendment1"/>
        <w:numPr>
          <w:ilvl w:val="0"/>
          <w:numId w:val="31"/>
        </w:numPr>
        <w:shd w:val="clear" w:color="auto" w:fill="FFFFFF" w:themeFill="background1"/>
        <w:spacing w:before="60" w:after="60"/>
        <w:ind w:left="1134" w:hanging="567"/>
        <w:rPr>
          <w:bCs w:val="0"/>
          <w:iCs/>
        </w:rPr>
      </w:pPr>
      <w:r w:rsidRPr="005F0061">
        <w:rPr>
          <w:rFonts w:ascii="Times New Roman" w:hAnsi="Times New Roman" w:cs="Times New Roman"/>
          <w:b w:val="0"/>
          <w:bCs w:val="0"/>
          <w:i/>
          <w:iCs/>
        </w:rPr>
        <w:t>omit from the column headed “</w:t>
      </w:r>
      <w:r w:rsidRPr="005F0061">
        <w:rPr>
          <w:rFonts w:ascii="Times New Roman" w:hAnsi="Times New Roman" w:cs="Times New Roman"/>
          <w:b w:val="0"/>
          <w:i/>
        </w:rPr>
        <w:t>Number of Repeats”</w:t>
      </w:r>
      <w:r w:rsidRPr="005F0061">
        <w:rPr>
          <w:rFonts w:ascii="Times New Roman" w:hAnsi="Times New Roman" w:cs="Times New Roman"/>
          <w:b w:val="0"/>
          <w:bCs w:val="0"/>
          <w:i/>
          <w:iCs/>
        </w:rPr>
        <w:t>:</w:t>
      </w:r>
      <w:r w:rsidRPr="005F0061">
        <w:t xml:space="preserve"> 5</w:t>
      </w:r>
      <w:r w:rsidRPr="005F0061">
        <w:rPr>
          <w:bCs w:val="0"/>
          <w:iCs/>
        </w:rPr>
        <w:tab/>
      </w:r>
      <w:r w:rsidRPr="005F0061">
        <w:rPr>
          <w:rFonts w:ascii="Times New Roman" w:hAnsi="Times New Roman" w:cs="Times New Roman"/>
          <w:b w:val="0"/>
          <w:bCs w:val="0"/>
          <w:i/>
          <w:iCs/>
        </w:rPr>
        <w:tab/>
        <w:t xml:space="preserve">substitute: </w:t>
      </w:r>
      <w:r w:rsidRPr="005F0061">
        <w:rPr>
          <w:bCs w:val="0"/>
          <w:iCs/>
        </w:rPr>
        <w:t>See Note 2</w:t>
      </w:r>
    </w:p>
    <w:p w14:paraId="70062C45" w14:textId="1DF66365" w:rsidR="00BA0C6D" w:rsidRPr="005F0061" w:rsidRDefault="00BA0C6D" w:rsidP="003D58C6">
      <w:pPr>
        <w:pStyle w:val="Amendment1"/>
        <w:numPr>
          <w:ilvl w:val="0"/>
          <w:numId w:val="10"/>
        </w:numPr>
        <w:ind w:left="567" w:hanging="567"/>
        <w:rPr>
          <w:b w:val="0"/>
        </w:rPr>
      </w:pPr>
      <w:r w:rsidRPr="005F0061">
        <w:t>Schedule 1, entry for </w:t>
      </w:r>
      <w:proofErr w:type="spellStart"/>
      <w:r w:rsidRPr="005F0061">
        <w:t>Mepolizumab</w:t>
      </w:r>
      <w:proofErr w:type="spellEnd"/>
      <w:r w:rsidRPr="005F0061">
        <w:t xml:space="preserve"> </w:t>
      </w:r>
    </w:p>
    <w:p w14:paraId="5B14DFCB" w14:textId="5366E8D0" w:rsidR="00BA0C6D" w:rsidRPr="005F0061" w:rsidRDefault="00BA0C6D" w:rsidP="00BA0C6D">
      <w:pPr>
        <w:pStyle w:val="Amendment1"/>
        <w:numPr>
          <w:ilvl w:val="0"/>
          <w:numId w:val="0"/>
        </w:numPr>
        <w:spacing w:before="60" w:after="60"/>
        <w:ind w:left="567"/>
        <w:rPr>
          <w:rFonts w:ascii="Times New Roman" w:hAnsi="Times New Roman" w:cs="Times New Roman"/>
          <w:b w:val="0"/>
          <w:i/>
        </w:rPr>
      </w:pPr>
      <w:proofErr w:type="gramStart"/>
      <w:r w:rsidRPr="005F0061">
        <w:rPr>
          <w:rFonts w:ascii="Times New Roman" w:hAnsi="Times New Roman" w:cs="Times New Roman"/>
          <w:b w:val="0"/>
          <w:i/>
        </w:rPr>
        <w:t>substitute</w:t>
      </w:r>
      <w:proofErr w:type="gramEnd"/>
      <w:r w:rsidRPr="005F0061">
        <w:rPr>
          <w:rFonts w:ascii="Times New Roman" w:hAnsi="Times New Roman" w:cs="Times New Roman"/>
          <w:b w:val="0"/>
          <w:i/>
        </w:rPr>
        <w:t>:</w:t>
      </w:r>
    </w:p>
    <w:tbl>
      <w:tblPr>
        <w:tblStyle w:val="TableGrid"/>
        <w:tblW w:w="13277" w:type="dxa"/>
        <w:tblBorders>
          <w:insideH w:val="none" w:sz="0" w:space="0" w:color="auto"/>
          <w:insideV w:val="none" w:sz="0" w:space="0" w:color="auto"/>
        </w:tblBorders>
        <w:tblLayout w:type="fixed"/>
        <w:tblLook w:val="04A0" w:firstRow="1" w:lastRow="0" w:firstColumn="1" w:lastColumn="0" w:noHBand="0" w:noVBand="1"/>
      </w:tblPr>
      <w:tblGrid>
        <w:gridCol w:w="2030"/>
        <w:gridCol w:w="2591"/>
        <w:gridCol w:w="1032"/>
        <w:gridCol w:w="1587"/>
        <w:gridCol w:w="607"/>
        <w:gridCol w:w="1474"/>
        <w:gridCol w:w="1417"/>
        <w:gridCol w:w="788"/>
        <w:gridCol w:w="850"/>
        <w:gridCol w:w="901"/>
      </w:tblGrid>
      <w:tr w:rsidR="008A5339" w:rsidRPr="005F0061" w14:paraId="483D25C3" w14:textId="77777777" w:rsidTr="004A6AC8">
        <w:tc>
          <w:tcPr>
            <w:tcW w:w="2030" w:type="dxa"/>
          </w:tcPr>
          <w:p w14:paraId="0C181318" w14:textId="4AD7D4BA" w:rsidR="008A5339" w:rsidRPr="005F0061" w:rsidRDefault="008A5339" w:rsidP="008A5339">
            <w:pPr>
              <w:spacing w:before="60" w:after="60"/>
              <w:rPr>
                <w:rFonts w:ascii="Arial" w:hAnsi="Arial" w:cs="Arial"/>
                <w:sz w:val="16"/>
              </w:rPr>
            </w:pPr>
            <w:proofErr w:type="spellStart"/>
            <w:r w:rsidRPr="005F0061">
              <w:rPr>
                <w:rFonts w:ascii="Arial" w:hAnsi="Arial" w:cs="Arial"/>
                <w:sz w:val="16"/>
                <w:szCs w:val="16"/>
              </w:rPr>
              <w:t>Mepolizumab</w:t>
            </w:r>
            <w:proofErr w:type="spellEnd"/>
          </w:p>
        </w:tc>
        <w:tc>
          <w:tcPr>
            <w:tcW w:w="2591" w:type="dxa"/>
          </w:tcPr>
          <w:p w14:paraId="12A1373E" w14:textId="5508C6D9" w:rsidR="008A5339" w:rsidRPr="005F0061" w:rsidRDefault="008A5339" w:rsidP="008A5339">
            <w:pPr>
              <w:spacing w:before="60" w:after="60"/>
              <w:rPr>
                <w:rFonts w:ascii="Arial" w:hAnsi="Arial" w:cs="Arial"/>
                <w:sz w:val="16"/>
              </w:rPr>
            </w:pPr>
            <w:r w:rsidRPr="005F0061">
              <w:rPr>
                <w:rFonts w:ascii="Arial" w:hAnsi="Arial" w:cs="Arial"/>
                <w:sz w:val="16"/>
                <w:szCs w:val="16"/>
              </w:rPr>
              <w:t>Injection 100 mg in 1 mL single dose pre-filled pen</w:t>
            </w:r>
          </w:p>
        </w:tc>
        <w:tc>
          <w:tcPr>
            <w:tcW w:w="1032" w:type="dxa"/>
          </w:tcPr>
          <w:p w14:paraId="4DD10FDA" w14:textId="6906F086" w:rsidR="008A5339" w:rsidRPr="005F0061" w:rsidRDefault="008A5339" w:rsidP="008A5339">
            <w:pPr>
              <w:spacing w:before="60" w:after="60"/>
              <w:rPr>
                <w:rFonts w:ascii="Arial" w:hAnsi="Arial" w:cs="Arial"/>
                <w:sz w:val="16"/>
              </w:rPr>
            </w:pPr>
            <w:r w:rsidRPr="005F0061">
              <w:rPr>
                <w:rFonts w:ascii="Arial" w:hAnsi="Arial" w:cs="Arial"/>
                <w:sz w:val="16"/>
                <w:szCs w:val="16"/>
              </w:rPr>
              <w:t>Injection</w:t>
            </w:r>
          </w:p>
        </w:tc>
        <w:tc>
          <w:tcPr>
            <w:tcW w:w="1587" w:type="dxa"/>
          </w:tcPr>
          <w:p w14:paraId="6859FF3A" w14:textId="2E7C90B8" w:rsidR="008A5339" w:rsidRPr="005F0061" w:rsidRDefault="008A5339" w:rsidP="008A5339">
            <w:pPr>
              <w:spacing w:before="60" w:after="60"/>
              <w:rPr>
                <w:rFonts w:ascii="Arial" w:hAnsi="Arial" w:cs="Arial"/>
                <w:sz w:val="16"/>
              </w:rPr>
            </w:pPr>
            <w:proofErr w:type="spellStart"/>
            <w:r w:rsidRPr="005F0061">
              <w:rPr>
                <w:rFonts w:ascii="Arial" w:hAnsi="Arial" w:cs="Arial"/>
                <w:sz w:val="16"/>
                <w:szCs w:val="16"/>
              </w:rPr>
              <w:t>Nucala</w:t>
            </w:r>
            <w:proofErr w:type="spellEnd"/>
          </w:p>
        </w:tc>
        <w:tc>
          <w:tcPr>
            <w:tcW w:w="607" w:type="dxa"/>
          </w:tcPr>
          <w:p w14:paraId="5FA13686" w14:textId="7BC8AAC6" w:rsidR="008A5339" w:rsidRPr="005F0061" w:rsidRDefault="008A5339" w:rsidP="008A5339">
            <w:pPr>
              <w:spacing w:before="60" w:after="60"/>
              <w:rPr>
                <w:rFonts w:ascii="Arial" w:hAnsi="Arial" w:cs="Arial"/>
                <w:sz w:val="16"/>
              </w:rPr>
            </w:pPr>
            <w:r w:rsidRPr="005F0061">
              <w:rPr>
                <w:rFonts w:ascii="Arial" w:hAnsi="Arial" w:cs="Arial"/>
                <w:sz w:val="16"/>
                <w:szCs w:val="16"/>
              </w:rPr>
              <w:t>GK</w:t>
            </w:r>
          </w:p>
        </w:tc>
        <w:tc>
          <w:tcPr>
            <w:tcW w:w="1474" w:type="dxa"/>
          </w:tcPr>
          <w:p w14:paraId="46B5A672" w14:textId="6D8D33E2" w:rsidR="008A5339" w:rsidRPr="005F0061" w:rsidRDefault="008A5339" w:rsidP="008A5339">
            <w:pPr>
              <w:spacing w:before="60" w:after="60"/>
              <w:rPr>
                <w:rFonts w:ascii="Arial" w:hAnsi="Arial" w:cs="Arial"/>
                <w:sz w:val="16"/>
              </w:rPr>
            </w:pPr>
            <w:r w:rsidRPr="005F0061">
              <w:rPr>
                <w:rFonts w:ascii="Arial" w:hAnsi="Arial" w:cs="Arial"/>
                <w:sz w:val="16"/>
                <w:szCs w:val="16"/>
              </w:rPr>
              <w:t>C9885 C10221 C10222 C10280 C10483 C10484</w:t>
            </w:r>
          </w:p>
        </w:tc>
        <w:tc>
          <w:tcPr>
            <w:tcW w:w="1417" w:type="dxa"/>
          </w:tcPr>
          <w:p w14:paraId="41BF2F3E" w14:textId="77777777" w:rsidR="008A5339" w:rsidRPr="005F0061" w:rsidRDefault="008A5339" w:rsidP="008A5339">
            <w:pPr>
              <w:spacing w:before="60" w:after="60"/>
              <w:rPr>
                <w:rFonts w:ascii="Arial" w:hAnsi="Arial" w:cs="Arial"/>
                <w:sz w:val="16"/>
              </w:rPr>
            </w:pPr>
          </w:p>
        </w:tc>
        <w:tc>
          <w:tcPr>
            <w:tcW w:w="788" w:type="dxa"/>
          </w:tcPr>
          <w:p w14:paraId="5E843078" w14:textId="77777777" w:rsidR="008A5339" w:rsidRPr="005F0061" w:rsidRDefault="008A5339" w:rsidP="008A5339">
            <w:pPr>
              <w:spacing w:before="60" w:after="60"/>
              <w:rPr>
                <w:rFonts w:ascii="Arial" w:hAnsi="Arial" w:cs="Arial"/>
                <w:sz w:val="16"/>
              </w:rPr>
            </w:pPr>
            <w:r w:rsidRPr="005F0061">
              <w:rPr>
                <w:rFonts w:ascii="Arial" w:hAnsi="Arial" w:cs="Arial"/>
                <w:sz w:val="16"/>
              </w:rPr>
              <w:t>See Note 1</w:t>
            </w:r>
          </w:p>
        </w:tc>
        <w:tc>
          <w:tcPr>
            <w:tcW w:w="850" w:type="dxa"/>
          </w:tcPr>
          <w:p w14:paraId="1044485C" w14:textId="77777777" w:rsidR="008A5339" w:rsidRPr="005F0061" w:rsidRDefault="008A5339" w:rsidP="008A5339">
            <w:pPr>
              <w:spacing w:before="60" w:after="60"/>
              <w:rPr>
                <w:rFonts w:ascii="Arial" w:hAnsi="Arial" w:cs="Arial"/>
                <w:sz w:val="16"/>
              </w:rPr>
            </w:pPr>
            <w:r w:rsidRPr="005F0061">
              <w:rPr>
                <w:rFonts w:ascii="Arial" w:hAnsi="Arial" w:cs="Arial"/>
                <w:sz w:val="16"/>
              </w:rPr>
              <w:t>See Note 2</w:t>
            </w:r>
          </w:p>
        </w:tc>
        <w:tc>
          <w:tcPr>
            <w:tcW w:w="901" w:type="dxa"/>
          </w:tcPr>
          <w:p w14:paraId="26989FF4" w14:textId="77777777" w:rsidR="008A5339" w:rsidRPr="005F0061" w:rsidRDefault="008A5339" w:rsidP="008A5339">
            <w:pPr>
              <w:spacing w:before="60" w:after="60"/>
              <w:rPr>
                <w:rFonts w:ascii="Arial" w:hAnsi="Arial" w:cs="Arial"/>
                <w:sz w:val="16"/>
              </w:rPr>
            </w:pPr>
            <w:r w:rsidRPr="005F0061">
              <w:rPr>
                <w:rFonts w:ascii="Arial" w:hAnsi="Arial" w:cs="Arial"/>
                <w:sz w:val="16"/>
              </w:rPr>
              <w:t>D</w:t>
            </w:r>
          </w:p>
        </w:tc>
      </w:tr>
      <w:tr w:rsidR="008A5339" w:rsidRPr="005F0061" w14:paraId="45B1D064" w14:textId="77777777" w:rsidTr="004A6AC8">
        <w:tc>
          <w:tcPr>
            <w:tcW w:w="2030" w:type="dxa"/>
          </w:tcPr>
          <w:p w14:paraId="7840C709" w14:textId="77777777" w:rsidR="008A5339" w:rsidRPr="005F0061" w:rsidRDefault="008A5339" w:rsidP="008A5339">
            <w:pPr>
              <w:spacing w:before="60" w:after="60"/>
              <w:rPr>
                <w:rFonts w:ascii="Arial" w:hAnsi="Arial" w:cs="Arial"/>
                <w:sz w:val="16"/>
                <w:szCs w:val="16"/>
              </w:rPr>
            </w:pPr>
          </w:p>
        </w:tc>
        <w:tc>
          <w:tcPr>
            <w:tcW w:w="2591" w:type="dxa"/>
          </w:tcPr>
          <w:p w14:paraId="6820A1D9" w14:textId="4576BB3F" w:rsidR="008A5339" w:rsidRPr="005F0061" w:rsidRDefault="008A5339" w:rsidP="008A5339">
            <w:pPr>
              <w:spacing w:before="60" w:after="60"/>
              <w:rPr>
                <w:rFonts w:ascii="Arial" w:hAnsi="Arial" w:cs="Arial"/>
                <w:sz w:val="16"/>
                <w:szCs w:val="16"/>
              </w:rPr>
            </w:pPr>
            <w:r w:rsidRPr="005F0061">
              <w:rPr>
                <w:rFonts w:ascii="Arial" w:hAnsi="Arial" w:cs="Arial"/>
                <w:sz w:val="16"/>
                <w:szCs w:val="16"/>
              </w:rPr>
              <w:t>Powder for injection 100 mg</w:t>
            </w:r>
          </w:p>
        </w:tc>
        <w:tc>
          <w:tcPr>
            <w:tcW w:w="1032" w:type="dxa"/>
          </w:tcPr>
          <w:p w14:paraId="46EDEC28" w14:textId="4A463778" w:rsidR="008A5339" w:rsidRPr="005F0061" w:rsidRDefault="008A5339" w:rsidP="008A5339">
            <w:pPr>
              <w:spacing w:before="60" w:after="60"/>
              <w:rPr>
                <w:rFonts w:ascii="Arial" w:hAnsi="Arial" w:cs="Arial"/>
                <w:sz w:val="16"/>
              </w:rPr>
            </w:pPr>
            <w:r w:rsidRPr="005F0061">
              <w:rPr>
                <w:rFonts w:ascii="Arial" w:hAnsi="Arial" w:cs="Arial"/>
                <w:sz w:val="16"/>
                <w:szCs w:val="16"/>
              </w:rPr>
              <w:t>Injection</w:t>
            </w:r>
          </w:p>
        </w:tc>
        <w:tc>
          <w:tcPr>
            <w:tcW w:w="1587" w:type="dxa"/>
          </w:tcPr>
          <w:p w14:paraId="30898AB5" w14:textId="7CE1E91F" w:rsidR="008A5339" w:rsidRPr="005F0061" w:rsidRDefault="008A5339" w:rsidP="008A5339">
            <w:pPr>
              <w:spacing w:before="60" w:after="60"/>
              <w:rPr>
                <w:rFonts w:ascii="Arial" w:hAnsi="Arial" w:cs="Arial"/>
                <w:sz w:val="16"/>
                <w:szCs w:val="16"/>
              </w:rPr>
            </w:pPr>
            <w:proofErr w:type="spellStart"/>
            <w:r w:rsidRPr="005F0061">
              <w:rPr>
                <w:rFonts w:ascii="Arial" w:hAnsi="Arial" w:cs="Arial"/>
                <w:sz w:val="16"/>
                <w:szCs w:val="16"/>
              </w:rPr>
              <w:t>Nucala</w:t>
            </w:r>
            <w:proofErr w:type="spellEnd"/>
          </w:p>
        </w:tc>
        <w:tc>
          <w:tcPr>
            <w:tcW w:w="607" w:type="dxa"/>
          </w:tcPr>
          <w:p w14:paraId="279B02DE" w14:textId="01B9581B" w:rsidR="008A5339" w:rsidRPr="005F0061" w:rsidRDefault="008A5339" w:rsidP="008A5339">
            <w:pPr>
              <w:spacing w:before="60" w:after="60"/>
              <w:rPr>
                <w:rFonts w:ascii="Arial" w:hAnsi="Arial" w:cs="Arial"/>
                <w:sz w:val="16"/>
                <w:szCs w:val="16"/>
              </w:rPr>
            </w:pPr>
            <w:r w:rsidRPr="005F0061">
              <w:rPr>
                <w:rFonts w:ascii="Arial" w:hAnsi="Arial" w:cs="Arial"/>
                <w:sz w:val="16"/>
                <w:szCs w:val="16"/>
              </w:rPr>
              <w:t>GK</w:t>
            </w:r>
          </w:p>
        </w:tc>
        <w:tc>
          <w:tcPr>
            <w:tcW w:w="1474" w:type="dxa"/>
          </w:tcPr>
          <w:p w14:paraId="00C9D293" w14:textId="24EA0B23" w:rsidR="008A5339" w:rsidRPr="005F0061" w:rsidRDefault="008A5339" w:rsidP="008A5339">
            <w:pPr>
              <w:spacing w:before="60" w:after="60"/>
              <w:rPr>
                <w:rFonts w:ascii="Arial" w:hAnsi="Arial" w:cs="Arial"/>
                <w:sz w:val="16"/>
                <w:szCs w:val="16"/>
              </w:rPr>
            </w:pPr>
            <w:r w:rsidRPr="005F0061">
              <w:rPr>
                <w:rFonts w:ascii="Arial" w:hAnsi="Arial" w:cs="Arial"/>
                <w:sz w:val="16"/>
                <w:szCs w:val="16"/>
              </w:rPr>
              <w:t>C9885</w:t>
            </w:r>
            <w:r w:rsidRPr="005F0061">
              <w:rPr>
                <w:sz w:val="16"/>
                <w:szCs w:val="16"/>
              </w:rPr>
              <w:t xml:space="preserve"> </w:t>
            </w:r>
            <w:r w:rsidRPr="005F0061">
              <w:rPr>
                <w:rStyle w:val="charAmendmentKeyword"/>
                <w:b w:val="0"/>
                <w:sz w:val="16"/>
                <w:szCs w:val="16"/>
              </w:rPr>
              <w:t>C10221 C10222 C10280</w:t>
            </w:r>
          </w:p>
        </w:tc>
        <w:tc>
          <w:tcPr>
            <w:tcW w:w="1417" w:type="dxa"/>
          </w:tcPr>
          <w:p w14:paraId="599FEF4C" w14:textId="77777777" w:rsidR="008A5339" w:rsidRPr="005F0061" w:rsidRDefault="008A5339" w:rsidP="008A5339">
            <w:pPr>
              <w:spacing w:before="60" w:after="60"/>
              <w:rPr>
                <w:rFonts w:ascii="Arial" w:hAnsi="Arial" w:cs="Arial"/>
                <w:sz w:val="16"/>
              </w:rPr>
            </w:pPr>
          </w:p>
        </w:tc>
        <w:tc>
          <w:tcPr>
            <w:tcW w:w="788" w:type="dxa"/>
          </w:tcPr>
          <w:p w14:paraId="67AC22A8" w14:textId="42C28881" w:rsidR="008A5339" w:rsidRPr="005F0061" w:rsidRDefault="008A5339" w:rsidP="008A5339">
            <w:pPr>
              <w:spacing w:before="60" w:after="60"/>
              <w:rPr>
                <w:rFonts w:ascii="Arial" w:hAnsi="Arial" w:cs="Arial"/>
                <w:sz w:val="16"/>
              </w:rPr>
            </w:pPr>
            <w:r w:rsidRPr="005F0061">
              <w:rPr>
                <w:rFonts w:ascii="Arial" w:hAnsi="Arial" w:cs="Arial"/>
                <w:sz w:val="16"/>
              </w:rPr>
              <w:t>See Note 1</w:t>
            </w:r>
          </w:p>
        </w:tc>
        <w:tc>
          <w:tcPr>
            <w:tcW w:w="850" w:type="dxa"/>
          </w:tcPr>
          <w:p w14:paraId="51BA697C" w14:textId="3BFB8C37" w:rsidR="008A5339" w:rsidRPr="005F0061" w:rsidRDefault="008A5339" w:rsidP="008A5339">
            <w:pPr>
              <w:spacing w:before="60" w:after="60"/>
              <w:rPr>
                <w:rFonts w:ascii="Arial" w:hAnsi="Arial" w:cs="Arial"/>
                <w:sz w:val="16"/>
              </w:rPr>
            </w:pPr>
            <w:r w:rsidRPr="005F0061">
              <w:rPr>
                <w:rFonts w:ascii="Arial" w:hAnsi="Arial" w:cs="Arial"/>
                <w:sz w:val="16"/>
              </w:rPr>
              <w:t>See Note 2</w:t>
            </w:r>
          </w:p>
        </w:tc>
        <w:tc>
          <w:tcPr>
            <w:tcW w:w="901" w:type="dxa"/>
          </w:tcPr>
          <w:p w14:paraId="776DADCF" w14:textId="3C3EDB2B" w:rsidR="008A5339" w:rsidRPr="005F0061" w:rsidRDefault="008A5339" w:rsidP="008A5339">
            <w:pPr>
              <w:spacing w:before="60" w:after="60"/>
              <w:rPr>
                <w:rFonts w:ascii="Arial" w:hAnsi="Arial" w:cs="Arial"/>
                <w:sz w:val="16"/>
              </w:rPr>
            </w:pPr>
            <w:r w:rsidRPr="005F0061">
              <w:rPr>
                <w:rFonts w:ascii="Arial" w:hAnsi="Arial" w:cs="Arial"/>
                <w:sz w:val="16"/>
              </w:rPr>
              <w:t>D</w:t>
            </w:r>
          </w:p>
        </w:tc>
      </w:tr>
    </w:tbl>
    <w:p w14:paraId="2FF94161" w14:textId="5D52A3B5" w:rsidR="00866C66" w:rsidRPr="005F0061" w:rsidRDefault="00866C66" w:rsidP="00A60B92">
      <w:pPr>
        <w:pStyle w:val="Amendment1"/>
        <w:numPr>
          <w:ilvl w:val="0"/>
          <w:numId w:val="10"/>
        </w:numPr>
        <w:ind w:left="567" w:hanging="567"/>
        <w:rPr>
          <w:rFonts w:ascii="Times New Roman" w:hAnsi="Times New Roman" w:cs="Times New Roman"/>
          <w:b w:val="0"/>
          <w:i/>
        </w:rPr>
      </w:pPr>
      <w:r w:rsidRPr="005F0061">
        <w:t>Schedule 1, entry for </w:t>
      </w:r>
      <w:proofErr w:type="spellStart"/>
      <w:r w:rsidRPr="005F0061">
        <w:t>Midostaurin</w:t>
      </w:r>
      <w:proofErr w:type="spellEnd"/>
      <w:r w:rsidRPr="005F0061">
        <w:rPr>
          <w:b w:val="0"/>
        </w:rPr>
        <w:t xml:space="preserve"> </w:t>
      </w:r>
    </w:p>
    <w:p w14:paraId="5E250D6B" w14:textId="77777777" w:rsidR="00BA0C6D" w:rsidRPr="005F0061" w:rsidRDefault="00BA0C6D" w:rsidP="00AF2782">
      <w:pPr>
        <w:pStyle w:val="Amendment1"/>
        <w:numPr>
          <w:ilvl w:val="0"/>
          <w:numId w:val="0"/>
        </w:numPr>
        <w:spacing w:before="60" w:after="60"/>
        <w:ind w:left="567"/>
        <w:rPr>
          <w:rFonts w:ascii="Times New Roman" w:hAnsi="Times New Roman" w:cs="Times New Roman"/>
          <w:b w:val="0"/>
          <w:i/>
        </w:rPr>
      </w:pPr>
      <w:proofErr w:type="gramStart"/>
      <w:r w:rsidRPr="005F0061">
        <w:rPr>
          <w:rFonts w:ascii="Times New Roman" w:hAnsi="Times New Roman" w:cs="Times New Roman"/>
          <w:b w:val="0"/>
          <w:i/>
        </w:rPr>
        <w:t>substitute</w:t>
      </w:r>
      <w:proofErr w:type="gramEnd"/>
      <w:r w:rsidRPr="005F0061">
        <w:rPr>
          <w:rFonts w:ascii="Times New Roman" w:hAnsi="Times New Roman" w:cs="Times New Roman"/>
          <w:b w:val="0"/>
          <w:i/>
        </w:rPr>
        <w:t>:</w:t>
      </w:r>
    </w:p>
    <w:tbl>
      <w:tblPr>
        <w:tblStyle w:val="TableGrid"/>
        <w:tblW w:w="13277" w:type="dxa"/>
        <w:tblBorders>
          <w:insideH w:val="none" w:sz="0" w:space="0" w:color="auto"/>
          <w:insideV w:val="none" w:sz="0" w:space="0" w:color="auto"/>
        </w:tblBorders>
        <w:tblLayout w:type="fixed"/>
        <w:tblLook w:val="04A0" w:firstRow="1" w:lastRow="0" w:firstColumn="1" w:lastColumn="0" w:noHBand="0" w:noVBand="1"/>
      </w:tblPr>
      <w:tblGrid>
        <w:gridCol w:w="2030"/>
        <w:gridCol w:w="2591"/>
        <w:gridCol w:w="1032"/>
        <w:gridCol w:w="1587"/>
        <w:gridCol w:w="607"/>
        <w:gridCol w:w="1474"/>
        <w:gridCol w:w="1417"/>
        <w:gridCol w:w="788"/>
        <w:gridCol w:w="850"/>
        <w:gridCol w:w="901"/>
      </w:tblGrid>
      <w:tr w:rsidR="00BA0C6D" w:rsidRPr="005F0061" w14:paraId="7C59C63A" w14:textId="77777777" w:rsidTr="004A6AC8">
        <w:tc>
          <w:tcPr>
            <w:tcW w:w="2030" w:type="dxa"/>
          </w:tcPr>
          <w:p w14:paraId="4E80AD3E" w14:textId="64F81A83" w:rsidR="00BA0C6D" w:rsidRPr="005F0061" w:rsidRDefault="00BA0C6D" w:rsidP="00BA0C6D">
            <w:pPr>
              <w:spacing w:before="60" w:after="60"/>
              <w:rPr>
                <w:rFonts w:ascii="Arial" w:hAnsi="Arial" w:cs="Arial"/>
                <w:sz w:val="16"/>
              </w:rPr>
            </w:pPr>
            <w:proofErr w:type="spellStart"/>
            <w:r w:rsidRPr="005F0061">
              <w:rPr>
                <w:rFonts w:ascii="Arial" w:hAnsi="Arial" w:cs="Arial"/>
                <w:sz w:val="16"/>
                <w:szCs w:val="16"/>
              </w:rPr>
              <w:lastRenderedPageBreak/>
              <w:t>Midostaurin</w:t>
            </w:r>
            <w:proofErr w:type="spellEnd"/>
          </w:p>
        </w:tc>
        <w:tc>
          <w:tcPr>
            <w:tcW w:w="2591" w:type="dxa"/>
          </w:tcPr>
          <w:p w14:paraId="39830887" w14:textId="214710D6" w:rsidR="00BA0C6D" w:rsidRPr="005F0061" w:rsidRDefault="00BA0C6D" w:rsidP="00BA0C6D">
            <w:pPr>
              <w:spacing w:before="60" w:after="60"/>
              <w:rPr>
                <w:rFonts w:ascii="Arial" w:hAnsi="Arial" w:cs="Arial"/>
                <w:sz w:val="16"/>
              </w:rPr>
            </w:pPr>
            <w:r w:rsidRPr="005F0061">
              <w:rPr>
                <w:rFonts w:ascii="Arial" w:hAnsi="Arial" w:cs="Arial"/>
                <w:sz w:val="16"/>
                <w:szCs w:val="16"/>
              </w:rPr>
              <w:t>Capsule 25 mg</w:t>
            </w:r>
          </w:p>
        </w:tc>
        <w:tc>
          <w:tcPr>
            <w:tcW w:w="1032" w:type="dxa"/>
          </w:tcPr>
          <w:p w14:paraId="72EAF72F" w14:textId="09AF86E6" w:rsidR="00BA0C6D" w:rsidRPr="005F0061" w:rsidRDefault="008A5339" w:rsidP="00BA0C6D">
            <w:pPr>
              <w:spacing w:before="60" w:after="60"/>
              <w:rPr>
                <w:rFonts w:ascii="Arial" w:hAnsi="Arial" w:cs="Arial"/>
                <w:sz w:val="16"/>
              </w:rPr>
            </w:pPr>
            <w:r w:rsidRPr="005F0061">
              <w:rPr>
                <w:rFonts w:ascii="Arial" w:hAnsi="Arial" w:cs="Arial"/>
                <w:sz w:val="16"/>
                <w:szCs w:val="16"/>
              </w:rPr>
              <w:t>Oral</w:t>
            </w:r>
          </w:p>
        </w:tc>
        <w:tc>
          <w:tcPr>
            <w:tcW w:w="1587" w:type="dxa"/>
          </w:tcPr>
          <w:p w14:paraId="3B19C59A" w14:textId="7C30284B" w:rsidR="00BA0C6D" w:rsidRPr="005F0061" w:rsidRDefault="00BA0C6D" w:rsidP="00BA0C6D">
            <w:pPr>
              <w:spacing w:before="60" w:after="60"/>
              <w:rPr>
                <w:rFonts w:ascii="Arial" w:hAnsi="Arial" w:cs="Arial"/>
                <w:sz w:val="16"/>
              </w:rPr>
            </w:pPr>
            <w:proofErr w:type="spellStart"/>
            <w:r w:rsidRPr="005F0061">
              <w:rPr>
                <w:rFonts w:ascii="Arial" w:hAnsi="Arial" w:cs="Arial"/>
                <w:sz w:val="16"/>
                <w:szCs w:val="16"/>
              </w:rPr>
              <w:t>Rydapt</w:t>
            </w:r>
            <w:proofErr w:type="spellEnd"/>
          </w:p>
        </w:tc>
        <w:tc>
          <w:tcPr>
            <w:tcW w:w="607" w:type="dxa"/>
          </w:tcPr>
          <w:p w14:paraId="66BE84C7" w14:textId="753A4889" w:rsidR="00BA0C6D" w:rsidRPr="005F0061" w:rsidRDefault="00BA0C6D" w:rsidP="00BA0C6D">
            <w:pPr>
              <w:spacing w:before="60" w:after="60"/>
              <w:rPr>
                <w:rFonts w:ascii="Arial" w:hAnsi="Arial" w:cs="Arial"/>
                <w:sz w:val="16"/>
              </w:rPr>
            </w:pPr>
            <w:r w:rsidRPr="005F0061">
              <w:rPr>
                <w:rFonts w:ascii="Arial" w:hAnsi="Arial" w:cs="Arial"/>
                <w:sz w:val="16"/>
                <w:szCs w:val="16"/>
              </w:rPr>
              <w:t>NV</w:t>
            </w:r>
          </w:p>
        </w:tc>
        <w:tc>
          <w:tcPr>
            <w:tcW w:w="1474" w:type="dxa"/>
          </w:tcPr>
          <w:p w14:paraId="35F8AC59" w14:textId="42BA6182" w:rsidR="00BA0C6D" w:rsidRPr="005F0061" w:rsidRDefault="00BA0C6D" w:rsidP="00BA0C6D">
            <w:pPr>
              <w:spacing w:before="60" w:after="60"/>
              <w:rPr>
                <w:rFonts w:ascii="Arial" w:hAnsi="Arial" w:cs="Arial"/>
                <w:sz w:val="16"/>
              </w:rPr>
            </w:pPr>
            <w:r w:rsidRPr="005F0061">
              <w:rPr>
                <w:rFonts w:ascii="Arial" w:hAnsi="Arial" w:cs="Arial"/>
                <w:sz w:val="16"/>
                <w:szCs w:val="16"/>
              </w:rPr>
              <w:t>C8138 C8177 C8193 C8218</w:t>
            </w:r>
          </w:p>
        </w:tc>
        <w:tc>
          <w:tcPr>
            <w:tcW w:w="1417" w:type="dxa"/>
          </w:tcPr>
          <w:p w14:paraId="1FF894F2" w14:textId="77777777" w:rsidR="00BA0C6D" w:rsidRPr="005F0061" w:rsidRDefault="00BA0C6D" w:rsidP="00BA0C6D">
            <w:pPr>
              <w:spacing w:before="60" w:after="60"/>
              <w:rPr>
                <w:rFonts w:ascii="Arial" w:hAnsi="Arial" w:cs="Arial"/>
                <w:sz w:val="16"/>
              </w:rPr>
            </w:pPr>
          </w:p>
        </w:tc>
        <w:tc>
          <w:tcPr>
            <w:tcW w:w="788" w:type="dxa"/>
          </w:tcPr>
          <w:p w14:paraId="1E76CDC0" w14:textId="77777777" w:rsidR="00BA0C6D" w:rsidRPr="005F0061" w:rsidRDefault="00BA0C6D" w:rsidP="00BA0C6D">
            <w:pPr>
              <w:spacing w:before="60" w:after="60"/>
              <w:rPr>
                <w:rFonts w:ascii="Arial" w:hAnsi="Arial" w:cs="Arial"/>
                <w:sz w:val="16"/>
              </w:rPr>
            </w:pPr>
            <w:r w:rsidRPr="005F0061">
              <w:rPr>
                <w:rFonts w:ascii="Arial" w:hAnsi="Arial" w:cs="Arial"/>
                <w:sz w:val="16"/>
              </w:rPr>
              <w:t>See Note 1</w:t>
            </w:r>
          </w:p>
        </w:tc>
        <w:tc>
          <w:tcPr>
            <w:tcW w:w="850" w:type="dxa"/>
          </w:tcPr>
          <w:p w14:paraId="4EBFFD51" w14:textId="77777777" w:rsidR="00BA0C6D" w:rsidRPr="005F0061" w:rsidRDefault="00BA0C6D" w:rsidP="00BA0C6D">
            <w:pPr>
              <w:spacing w:before="60" w:after="60"/>
              <w:rPr>
                <w:rFonts w:ascii="Arial" w:hAnsi="Arial" w:cs="Arial"/>
                <w:sz w:val="16"/>
              </w:rPr>
            </w:pPr>
            <w:r w:rsidRPr="005F0061">
              <w:rPr>
                <w:rFonts w:ascii="Arial" w:hAnsi="Arial" w:cs="Arial"/>
                <w:sz w:val="16"/>
              </w:rPr>
              <w:t>See Note 2</w:t>
            </w:r>
          </w:p>
        </w:tc>
        <w:tc>
          <w:tcPr>
            <w:tcW w:w="901" w:type="dxa"/>
          </w:tcPr>
          <w:p w14:paraId="3665D99A" w14:textId="77777777" w:rsidR="00BA0C6D" w:rsidRPr="005F0061" w:rsidRDefault="00BA0C6D" w:rsidP="00BA0C6D">
            <w:pPr>
              <w:spacing w:before="60" w:after="60"/>
              <w:rPr>
                <w:rFonts w:ascii="Arial" w:hAnsi="Arial" w:cs="Arial"/>
                <w:sz w:val="16"/>
              </w:rPr>
            </w:pPr>
            <w:r w:rsidRPr="005F0061">
              <w:rPr>
                <w:rFonts w:ascii="Arial" w:hAnsi="Arial" w:cs="Arial"/>
                <w:sz w:val="16"/>
              </w:rPr>
              <w:t>D</w:t>
            </w:r>
          </w:p>
        </w:tc>
      </w:tr>
    </w:tbl>
    <w:p w14:paraId="1BCA3364" w14:textId="761638EE" w:rsidR="00291A25" w:rsidRPr="005F0061" w:rsidRDefault="00BD0F13" w:rsidP="004D5BE0">
      <w:pPr>
        <w:pStyle w:val="Amendment1"/>
        <w:numPr>
          <w:ilvl w:val="0"/>
          <w:numId w:val="10"/>
        </w:numPr>
        <w:ind w:left="567" w:hanging="567"/>
        <w:rPr>
          <w:rFonts w:ascii="Times New Roman" w:hAnsi="Times New Roman" w:cs="Times New Roman"/>
          <w:b w:val="0"/>
          <w:i/>
        </w:rPr>
      </w:pPr>
      <w:r w:rsidRPr="005F0061">
        <w:t>Schedule 1, entry for </w:t>
      </w:r>
      <w:proofErr w:type="spellStart"/>
      <w:r w:rsidRPr="005F0061">
        <w:t>Pomalidomide</w:t>
      </w:r>
      <w:proofErr w:type="spellEnd"/>
      <w:r w:rsidR="00291A25" w:rsidRPr="005F0061">
        <w:rPr>
          <w:b w:val="0"/>
        </w:rPr>
        <w:t xml:space="preserve"> </w:t>
      </w:r>
    </w:p>
    <w:p w14:paraId="41993E39" w14:textId="77777777" w:rsidR="000F694B" w:rsidRPr="005F0061" w:rsidRDefault="000F694B" w:rsidP="00AF2782">
      <w:pPr>
        <w:pStyle w:val="Amendment1"/>
        <w:numPr>
          <w:ilvl w:val="0"/>
          <w:numId w:val="0"/>
        </w:numPr>
        <w:spacing w:before="60" w:after="60"/>
        <w:ind w:left="1134" w:hanging="567"/>
        <w:rPr>
          <w:rFonts w:ascii="Times New Roman" w:hAnsi="Times New Roman" w:cs="Times New Roman"/>
          <w:b w:val="0"/>
          <w:i/>
        </w:rPr>
      </w:pPr>
      <w:proofErr w:type="gramStart"/>
      <w:r w:rsidRPr="005F0061">
        <w:rPr>
          <w:rFonts w:ascii="Times New Roman" w:hAnsi="Times New Roman" w:cs="Times New Roman"/>
          <w:b w:val="0"/>
          <w:i/>
        </w:rPr>
        <w:t>substitute</w:t>
      </w:r>
      <w:proofErr w:type="gramEnd"/>
      <w:r w:rsidRPr="005F0061">
        <w:rPr>
          <w:rFonts w:ascii="Times New Roman" w:hAnsi="Times New Roman" w:cs="Times New Roman"/>
          <w:b w:val="0"/>
          <w:i/>
        </w:rPr>
        <w:t>:</w:t>
      </w:r>
    </w:p>
    <w:tbl>
      <w:tblPr>
        <w:tblStyle w:val="TableGrid"/>
        <w:tblW w:w="13277" w:type="dxa"/>
        <w:tblBorders>
          <w:insideH w:val="none" w:sz="0" w:space="0" w:color="auto"/>
          <w:insideV w:val="none" w:sz="0" w:space="0" w:color="auto"/>
        </w:tblBorders>
        <w:tblLayout w:type="fixed"/>
        <w:tblLook w:val="04A0" w:firstRow="1" w:lastRow="0" w:firstColumn="1" w:lastColumn="0" w:noHBand="0" w:noVBand="1"/>
      </w:tblPr>
      <w:tblGrid>
        <w:gridCol w:w="2030"/>
        <w:gridCol w:w="2591"/>
        <w:gridCol w:w="1032"/>
        <w:gridCol w:w="1587"/>
        <w:gridCol w:w="607"/>
        <w:gridCol w:w="1474"/>
        <w:gridCol w:w="1417"/>
        <w:gridCol w:w="788"/>
        <w:gridCol w:w="850"/>
        <w:gridCol w:w="901"/>
      </w:tblGrid>
      <w:tr w:rsidR="000F694B" w:rsidRPr="005F0061" w14:paraId="5B459E9A" w14:textId="77777777" w:rsidTr="004A6AC8">
        <w:tc>
          <w:tcPr>
            <w:tcW w:w="2030" w:type="dxa"/>
          </w:tcPr>
          <w:p w14:paraId="2EF4FA82" w14:textId="77777777" w:rsidR="000F694B" w:rsidRPr="005F0061" w:rsidRDefault="000F694B" w:rsidP="00974CBA">
            <w:pPr>
              <w:spacing w:before="60" w:after="60"/>
              <w:rPr>
                <w:rFonts w:ascii="Arial" w:hAnsi="Arial" w:cs="Arial"/>
                <w:sz w:val="16"/>
              </w:rPr>
            </w:pPr>
            <w:proofErr w:type="spellStart"/>
            <w:r w:rsidRPr="005F0061">
              <w:rPr>
                <w:rFonts w:ascii="Arial" w:hAnsi="Arial" w:cs="Arial"/>
                <w:sz w:val="16"/>
                <w:szCs w:val="16"/>
              </w:rPr>
              <w:t>Pomalidomide</w:t>
            </w:r>
            <w:proofErr w:type="spellEnd"/>
          </w:p>
        </w:tc>
        <w:tc>
          <w:tcPr>
            <w:tcW w:w="2591" w:type="dxa"/>
          </w:tcPr>
          <w:p w14:paraId="073B12FD" w14:textId="77777777" w:rsidR="000F694B" w:rsidRPr="005F0061" w:rsidRDefault="000F694B" w:rsidP="00974CBA">
            <w:pPr>
              <w:spacing w:before="60" w:after="60"/>
              <w:rPr>
                <w:rFonts w:ascii="Arial" w:hAnsi="Arial" w:cs="Arial"/>
                <w:sz w:val="16"/>
              </w:rPr>
            </w:pPr>
            <w:r w:rsidRPr="005F0061">
              <w:rPr>
                <w:rFonts w:ascii="Arial" w:hAnsi="Arial" w:cs="Arial"/>
                <w:sz w:val="16"/>
                <w:szCs w:val="16"/>
              </w:rPr>
              <w:t>Capsule 3 mg</w:t>
            </w:r>
          </w:p>
        </w:tc>
        <w:tc>
          <w:tcPr>
            <w:tcW w:w="1032" w:type="dxa"/>
          </w:tcPr>
          <w:p w14:paraId="00542B83" w14:textId="77777777" w:rsidR="000F694B" w:rsidRPr="005F0061" w:rsidRDefault="000F694B" w:rsidP="00974CBA">
            <w:pPr>
              <w:spacing w:before="60" w:after="60"/>
              <w:rPr>
                <w:rFonts w:ascii="Arial" w:hAnsi="Arial" w:cs="Arial"/>
                <w:sz w:val="16"/>
              </w:rPr>
            </w:pPr>
            <w:r w:rsidRPr="005F0061">
              <w:rPr>
                <w:rFonts w:ascii="Arial" w:hAnsi="Arial" w:cs="Arial"/>
                <w:sz w:val="16"/>
                <w:szCs w:val="16"/>
              </w:rPr>
              <w:t>Oral</w:t>
            </w:r>
          </w:p>
        </w:tc>
        <w:tc>
          <w:tcPr>
            <w:tcW w:w="1587" w:type="dxa"/>
          </w:tcPr>
          <w:p w14:paraId="3815EB86" w14:textId="77777777" w:rsidR="000F694B" w:rsidRPr="005F0061" w:rsidRDefault="000F694B" w:rsidP="00974CBA">
            <w:pPr>
              <w:spacing w:before="60" w:after="60"/>
              <w:rPr>
                <w:rFonts w:ascii="Arial" w:hAnsi="Arial" w:cs="Arial"/>
                <w:sz w:val="16"/>
              </w:rPr>
            </w:pPr>
            <w:proofErr w:type="spellStart"/>
            <w:r w:rsidRPr="005F0061">
              <w:rPr>
                <w:rFonts w:ascii="Arial" w:hAnsi="Arial" w:cs="Arial"/>
                <w:sz w:val="16"/>
                <w:szCs w:val="16"/>
              </w:rPr>
              <w:t>Pomalyst</w:t>
            </w:r>
            <w:proofErr w:type="spellEnd"/>
          </w:p>
        </w:tc>
        <w:tc>
          <w:tcPr>
            <w:tcW w:w="607" w:type="dxa"/>
          </w:tcPr>
          <w:p w14:paraId="3BF95098" w14:textId="77777777" w:rsidR="000F694B" w:rsidRPr="005F0061" w:rsidRDefault="000F694B" w:rsidP="00974CBA">
            <w:pPr>
              <w:spacing w:before="60" w:after="60"/>
              <w:rPr>
                <w:rFonts w:ascii="Arial" w:hAnsi="Arial" w:cs="Arial"/>
                <w:sz w:val="16"/>
              </w:rPr>
            </w:pPr>
            <w:r w:rsidRPr="005F0061">
              <w:rPr>
                <w:rFonts w:ascii="Arial" w:hAnsi="Arial" w:cs="Arial"/>
                <w:sz w:val="16"/>
                <w:szCs w:val="16"/>
              </w:rPr>
              <w:t>CJ</w:t>
            </w:r>
          </w:p>
        </w:tc>
        <w:tc>
          <w:tcPr>
            <w:tcW w:w="1474" w:type="dxa"/>
          </w:tcPr>
          <w:p w14:paraId="6695A212" w14:textId="77777777" w:rsidR="000F694B" w:rsidRPr="005F0061" w:rsidRDefault="000F694B" w:rsidP="00974CBA">
            <w:pPr>
              <w:spacing w:before="60" w:after="60"/>
              <w:rPr>
                <w:rFonts w:ascii="Arial" w:hAnsi="Arial" w:cs="Arial"/>
                <w:sz w:val="16"/>
              </w:rPr>
            </w:pPr>
            <w:r w:rsidRPr="005F0061">
              <w:rPr>
                <w:rFonts w:ascii="Arial" w:hAnsi="Arial" w:cs="Arial"/>
                <w:sz w:val="16"/>
                <w:szCs w:val="16"/>
              </w:rPr>
              <w:t>C7791 C7952</w:t>
            </w:r>
          </w:p>
        </w:tc>
        <w:tc>
          <w:tcPr>
            <w:tcW w:w="1417" w:type="dxa"/>
          </w:tcPr>
          <w:p w14:paraId="157777FD" w14:textId="77777777" w:rsidR="000F694B" w:rsidRPr="005F0061" w:rsidRDefault="000F694B" w:rsidP="00974CBA">
            <w:pPr>
              <w:spacing w:before="60" w:after="60"/>
              <w:rPr>
                <w:rFonts w:ascii="Arial" w:hAnsi="Arial" w:cs="Arial"/>
                <w:sz w:val="16"/>
              </w:rPr>
            </w:pPr>
          </w:p>
        </w:tc>
        <w:tc>
          <w:tcPr>
            <w:tcW w:w="788" w:type="dxa"/>
          </w:tcPr>
          <w:p w14:paraId="2342EA85" w14:textId="77777777" w:rsidR="000F694B" w:rsidRPr="005F0061" w:rsidRDefault="000F694B" w:rsidP="00974CBA">
            <w:pPr>
              <w:spacing w:before="60" w:after="60"/>
              <w:rPr>
                <w:rFonts w:ascii="Arial" w:hAnsi="Arial" w:cs="Arial"/>
                <w:sz w:val="16"/>
              </w:rPr>
            </w:pPr>
            <w:r w:rsidRPr="005F0061">
              <w:rPr>
                <w:rFonts w:ascii="Arial" w:hAnsi="Arial" w:cs="Arial"/>
                <w:sz w:val="16"/>
              </w:rPr>
              <w:t>See Note 1</w:t>
            </w:r>
          </w:p>
        </w:tc>
        <w:tc>
          <w:tcPr>
            <w:tcW w:w="850" w:type="dxa"/>
          </w:tcPr>
          <w:p w14:paraId="592BC057" w14:textId="77777777" w:rsidR="000F694B" w:rsidRPr="005F0061" w:rsidRDefault="000F694B" w:rsidP="00974CBA">
            <w:pPr>
              <w:spacing w:before="60" w:after="60"/>
              <w:rPr>
                <w:rFonts w:ascii="Arial" w:hAnsi="Arial" w:cs="Arial"/>
                <w:sz w:val="16"/>
              </w:rPr>
            </w:pPr>
            <w:r w:rsidRPr="005F0061">
              <w:rPr>
                <w:rFonts w:ascii="Arial" w:hAnsi="Arial" w:cs="Arial"/>
                <w:sz w:val="16"/>
              </w:rPr>
              <w:t>See Note 2</w:t>
            </w:r>
          </w:p>
        </w:tc>
        <w:tc>
          <w:tcPr>
            <w:tcW w:w="901" w:type="dxa"/>
          </w:tcPr>
          <w:p w14:paraId="7E7EA324" w14:textId="77777777" w:rsidR="000F694B" w:rsidRPr="005F0061" w:rsidRDefault="000F694B" w:rsidP="00974CBA">
            <w:pPr>
              <w:spacing w:before="60" w:after="60"/>
              <w:rPr>
                <w:rFonts w:ascii="Arial" w:hAnsi="Arial" w:cs="Arial"/>
                <w:sz w:val="16"/>
              </w:rPr>
            </w:pPr>
            <w:r w:rsidRPr="005F0061">
              <w:rPr>
                <w:rFonts w:ascii="Arial" w:hAnsi="Arial" w:cs="Arial"/>
                <w:sz w:val="16"/>
              </w:rPr>
              <w:t>D</w:t>
            </w:r>
          </w:p>
        </w:tc>
      </w:tr>
      <w:tr w:rsidR="000F694B" w:rsidRPr="005F0061" w14:paraId="68AA8C9A" w14:textId="77777777" w:rsidTr="004A6AC8">
        <w:tc>
          <w:tcPr>
            <w:tcW w:w="2030" w:type="dxa"/>
          </w:tcPr>
          <w:p w14:paraId="18E263F9" w14:textId="77777777" w:rsidR="000F694B" w:rsidRPr="005F0061" w:rsidRDefault="000F694B" w:rsidP="00974CBA">
            <w:pPr>
              <w:spacing w:before="60" w:after="60"/>
              <w:rPr>
                <w:rFonts w:ascii="Arial" w:hAnsi="Arial" w:cs="Arial"/>
                <w:sz w:val="16"/>
                <w:szCs w:val="16"/>
              </w:rPr>
            </w:pPr>
          </w:p>
        </w:tc>
        <w:tc>
          <w:tcPr>
            <w:tcW w:w="2591" w:type="dxa"/>
          </w:tcPr>
          <w:p w14:paraId="4021FBC2" w14:textId="77777777" w:rsidR="000F694B" w:rsidRPr="005F0061" w:rsidRDefault="000F694B" w:rsidP="00974CBA">
            <w:pPr>
              <w:spacing w:before="60" w:after="60"/>
              <w:rPr>
                <w:rFonts w:ascii="Arial" w:hAnsi="Arial" w:cs="Arial"/>
                <w:sz w:val="16"/>
                <w:szCs w:val="16"/>
              </w:rPr>
            </w:pPr>
            <w:r w:rsidRPr="005F0061">
              <w:rPr>
                <w:rFonts w:ascii="Arial" w:hAnsi="Arial" w:cs="Arial"/>
                <w:sz w:val="16"/>
                <w:szCs w:val="16"/>
              </w:rPr>
              <w:t>Capsule 4 mg</w:t>
            </w:r>
          </w:p>
        </w:tc>
        <w:tc>
          <w:tcPr>
            <w:tcW w:w="1032" w:type="dxa"/>
          </w:tcPr>
          <w:p w14:paraId="72C41312" w14:textId="77777777" w:rsidR="000F694B" w:rsidRPr="005F0061" w:rsidRDefault="000F694B" w:rsidP="00974CBA">
            <w:pPr>
              <w:spacing w:before="60" w:after="60"/>
              <w:rPr>
                <w:rFonts w:ascii="Arial" w:hAnsi="Arial" w:cs="Arial"/>
                <w:sz w:val="16"/>
              </w:rPr>
            </w:pPr>
            <w:r w:rsidRPr="005F0061">
              <w:rPr>
                <w:rFonts w:ascii="Arial" w:hAnsi="Arial" w:cs="Arial"/>
                <w:sz w:val="16"/>
                <w:szCs w:val="16"/>
              </w:rPr>
              <w:t>Oral</w:t>
            </w:r>
          </w:p>
        </w:tc>
        <w:tc>
          <w:tcPr>
            <w:tcW w:w="1587" w:type="dxa"/>
          </w:tcPr>
          <w:p w14:paraId="671C9252" w14:textId="77777777" w:rsidR="000F694B" w:rsidRPr="005F0061" w:rsidRDefault="000F694B" w:rsidP="00974CBA">
            <w:pPr>
              <w:spacing w:before="60" w:after="60"/>
              <w:rPr>
                <w:rFonts w:ascii="Arial" w:hAnsi="Arial" w:cs="Arial"/>
                <w:sz w:val="16"/>
                <w:szCs w:val="16"/>
              </w:rPr>
            </w:pPr>
            <w:proofErr w:type="spellStart"/>
            <w:r w:rsidRPr="005F0061">
              <w:rPr>
                <w:rFonts w:ascii="Arial" w:hAnsi="Arial" w:cs="Arial"/>
                <w:sz w:val="16"/>
                <w:szCs w:val="16"/>
              </w:rPr>
              <w:t>Pomalyst</w:t>
            </w:r>
            <w:proofErr w:type="spellEnd"/>
          </w:p>
        </w:tc>
        <w:tc>
          <w:tcPr>
            <w:tcW w:w="607" w:type="dxa"/>
          </w:tcPr>
          <w:p w14:paraId="4E264C7F" w14:textId="77777777" w:rsidR="000F694B" w:rsidRPr="005F0061" w:rsidRDefault="000F694B" w:rsidP="00974CBA">
            <w:pPr>
              <w:spacing w:before="60" w:after="60"/>
              <w:rPr>
                <w:rFonts w:ascii="Arial" w:hAnsi="Arial" w:cs="Arial"/>
                <w:sz w:val="16"/>
                <w:szCs w:val="16"/>
              </w:rPr>
            </w:pPr>
            <w:r w:rsidRPr="005F0061">
              <w:rPr>
                <w:rFonts w:ascii="Arial" w:hAnsi="Arial" w:cs="Arial"/>
                <w:sz w:val="16"/>
                <w:szCs w:val="16"/>
              </w:rPr>
              <w:t>CJ</w:t>
            </w:r>
          </w:p>
        </w:tc>
        <w:tc>
          <w:tcPr>
            <w:tcW w:w="1474" w:type="dxa"/>
          </w:tcPr>
          <w:p w14:paraId="2E5195E1" w14:textId="77777777" w:rsidR="000F694B" w:rsidRPr="005F0061" w:rsidRDefault="000F694B" w:rsidP="00974CBA">
            <w:pPr>
              <w:spacing w:before="60" w:after="60"/>
              <w:rPr>
                <w:rFonts w:ascii="Arial" w:hAnsi="Arial" w:cs="Arial"/>
                <w:sz w:val="16"/>
                <w:szCs w:val="16"/>
              </w:rPr>
            </w:pPr>
            <w:r w:rsidRPr="005F0061">
              <w:rPr>
                <w:rFonts w:ascii="Arial" w:hAnsi="Arial" w:cs="Arial"/>
                <w:sz w:val="16"/>
                <w:szCs w:val="16"/>
              </w:rPr>
              <w:t>C7791 C7952</w:t>
            </w:r>
          </w:p>
        </w:tc>
        <w:tc>
          <w:tcPr>
            <w:tcW w:w="1417" w:type="dxa"/>
          </w:tcPr>
          <w:p w14:paraId="0AEFA83E" w14:textId="77777777" w:rsidR="000F694B" w:rsidRPr="005F0061" w:rsidRDefault="000F694B" w:rsidP="00974CBA">
            <w:pPr>
              <w:spacing w:before="60" w:after="60"/>
              <w:rPr>
                <w:rFonts w:ascii="Arial" w:hAnsi="Arial" w:cs="Arial"/>
                <w:sz w:val="16"/>
              </w:rPr>
            </w:pPr>
          </w:p>
        </w:tc>
        <w:tc>
          <w:tcPr>
            <w:tcW w:w="788" w:type="dxa"/>
          </w:tcPr>
          <w:p w14:paraId="2715FB49" w14:textId="77777777" w:rsidR="000F694B" w:rsidRPr="005F0061" w:rsidRDefault="000F694B" w:rsidP="00974CBA">
            <w:pPr>
              <w:spacing w:before="60" w:after="60"/>
              <w:rPr>
                <w:rFonts w:ascii="Arial" w:hAnsi="Arial" w:cs="Arial"/>
                <w:sz w:val="16"/>
              </w:rPr>
            </w:pPr>
            <w:r w:rsidRPr="005F0061">
              <w:rPr>
                <w:rFonts w:ascii="Arial" w:hAnsi="Arial" w:cs="Arial"/>
                <w:sz w:val="16"/>
              </w:rPr>
              <w:t>See Note 1</w:t>
            </w:r>
          </w:p>
        </w:tc>
        <w:tc>
          <w:tcPr>
            <w:tcW w:w="850" w:type="dxa"/>
          </w:tcPr>
          <w:p w14:paraId="1155F22B" w14:textId="77777777" w:rsidR="000F694B" w:rsidRPr="005F0061" w:rsidRDefault="000F694B" w:rsidP="00974CBA">
            <w:pPr>
              <w:spacing w:before="60" w:after="60"/>
              <w:rPr>
                <w:rFonts w:ascii="Arial" w:hAnsi="Arial" w:cs="Arial"/>
                <w:sz w:val="16"/>
              </w:rPr>
            </w:pPr>
            <w:r w:rsidRPr="005F0061">
              <w:rPr>
                <w:rFonts w:ascii="Arial" w:hAnsi="Arial" w:cs="Arial"/>
                <w:sz w:val="16"/>
              </w:rPr>
              <w:t>See Note 2</w:t>
            </w:r>
          </w:p>
        </w:tc>
        <w:tc>
          <w:tcPr>
            <w:tcW w:w="901" w:type="dxa"/>
          </w:tcPr>
          <w:p w14:paraId="29381C83" w14:textId="77777777" w:rsidR="000F694B" w:rsidRPr="005F0061" w:rsidRDefault="000F694B" w:rsidP="00974CBA">
            <w:pPr>
              <w:spacing w:before="60" w:after="60"/>
              <w:rPr>
                <w:rFonts w:ascii="Arial" w:hAnsi="Arial" w:cs="Arial"/>
                <w:sz w:val="16"/>
              </w:rPr>
            </w:pPr>
            <w:r w:rsidRPr="005F0061">
              <w:rPr>
                <w:rFonts w:ascii="Arial" w:hAnsi="Arial" w:cs="Arial"/>
                <w:sz w:val="16"/>
              </w:rPr>
              <w:t>D</w:t>
            </w:r>
          </w:p>
        </w:tc>
      </w:tr>
    </w:tbl>
    <w:p w14:paraId="53F8B67E" w14:textId="6815A2AC" w:rsidR="002A6BC3" w:rsidRPr="005F0061" w:rsidRDefault="002A6BC3" w:rsidP="004D5BE0">
      <w:pPr>
        <w:pStyle w:val="Amendment1"/>
        <w:keepNext/>
        <w:numPr>
          <w:ilvl w:val="0"/>
          <w:numId w:val="10"/>
        </w:numPr>
        <w:ind w:left="567" w:hanging="567"/>
        <w:rPr>
          <w:bCs w:val="0"/>
          <w:iCs/>
        </w:rPr>
      </w:pPr>
      <w:r w:rsidRPr="005F0061">
        <w:rPr>
          <w:bCs w:val="0"/>
          <w:iCs/>
        </w:rPr>
        <w:t xml:space="preserve">Schedule 1, entry for </w:t>
      </w:r>
      <w:proofErr w:type="spellStart"/>
      <w:r w:rsidRPr="005F0061">
        <w:rPr>
          <w:bCs w:val="0"/>
          <w:iCs/>
        </w:rPr>
        <w:t>Romiplostim</w:t>
      </w:r>
      <w:proofErr w:type="spellEnd"/>
      <w:r w:rsidRPr="005F0061">
        <w:rPr>
          <w:bCs w:val="0"/>
          <w:iCs/>
        </w:rPr>
        <w:t xml:space="preserve"> </w:t>
      </w:r>
      <w:r w:rsidR="00DE5EAF" w:rsidRPr="005F0061">
        <w:t xml:space="preserve">in each of the forms: </w:t>
      </w:r>
      <w:r w:rsidRPr="005F0061">
        <w:rPr>
          <w:bCs w:val="0"/>
          <w:iCs/>
        </w:rPr>
        <w:t>Powder for injection 375 micrograms</w:t>
      </w:r>
      <w:r w:rsidR="00DE5EAF" w:rsidRPr="005F0061">
        <w:rPr>
          <w:bCs w:val="0"/>
          <w:iCs/>
        </w:rPr>
        <w:t xml:space="preserve">; and </w:t>
      </w:r>
      <w:r w:rsidR="00D13542" w:rsidRPr="005F0061">
        <w:t>Powder for injection 625 micrograms</w:t>
      </w:r>
    </w:p>
    <w:p w14:paraId="077DEED3" w14:textId="5B95C7F1" w:rsidR="002A6BC3" w:rsidRPr="005F0061" w:rsidRDefault="002A6BC3" w:rsidP="004D5BE0">
      <w:pPr>
        <w:pStyle w:val="Amendment1"/>
        <w:numPr>
          <w:ilvl w:val="0"/>
          <w:numId w:val="0"/>
        </w:numPr>
        <w:spacing w:before="60" w:after="60"/>
        <w:ind w:left="1134" w:hanging="567"/>
        <w:rPr>
          <w:bCs w:val="0"/>
          <w:iCs/>
        </w:rPr>
      </w:pPr>
      <w:proofErr w:type="gramStart"/>
      <w:r w:rsidRPr="005F0061">
        <w:rPr>
          <w:rFonts w:ascii="Times New Roman" w:hAnsi="Times New Roman" w:cs="Times New Roman"/>
          <w:b w:val="0"/>
          <w:i/>
        </w:rPr>
        <w:t>omit</w:t>
      </w:r>
      <w:proofErr w:type="gramEnd"/>
      <w:r w:rsidRPr="005F0061">
        <w:rPr>
          <w:rFonts w:ascii="Times New Roman" w:hAnsi="Times New Roman" w:cs="Times New Roman"/>
          <w:b w:val="0"/>
          <w:i/>
        </w:rPr>
        <w:t xml:space="preserve"> from the column headed “Circumstances”: </w:t>
      </w:r>
      <w:r w:rsidR="000E1034" w:rsidRPr="005F0061">
        <w:rPr>
          <w:bCs w:val="0"/>
          <w:iCs/>
        </w:rPr>
        <w:t>C6694 C6737 C6738 C6766 C6789</w:t>
      </w:r>
      <w:r w:rsidR="004768B0" w:rsidRPr="005F0061">
        <w:rPr>
          <w:bCs w:val="0"/>
          <w:iCs/>
        </w:rPr>
        <w:t xml:space="preserve"> </w:t>
      </w:r>
      <w:r w:rsidR="004768B0" w:rsidRPr="005F0061">
        <w:rPr>
          <w:bCs w:val="0"/>
          <w:iCs/>
        </w:rPr>
        <w:tab/>
      </w:r>
      <w:r w:rsidR="00916D57" w:rsidRPr="005F0061">
        <w:rPr>
          <w:rFonts w:ascii="Times New Roman" w:hAnsi="Times New Roman" w:cs="Times New Roman"/>
          <w:b w:val="0"/>
          <w:bCs w:val="0"/>
          <w:i/>
          <w:iCs/>
        </w:rPr>
        <w:t xml:space="preserve">substitute: </w:t>
      </w:r>
      <w:r w:rsidR="00916D57" w:rsidRPr="005F0061">
        <w:rPr>
          <w:bCs w:val="0"/>
          <w:iCs/>
        </w:rPr>
        <w:t>C11205 C11246 C11266 C11267 C11289</w:t>
      </w:r>
    </w:p>
    <w:p w14:paraId="553DADDB" w14:textId="409872E6" w:rsidR="00357348" w:rsidRPr="005F0061" w:rsidRDefault="00AC3372" w:rsidP="003D58C6">
      <w:pPr>
        <w:pStyle w:val="Amendment1"/>
        <w:numPr>
          <w:ilvl w:val="0"/>
          <w:numId w:val="10"/>
        </w:numPr>
        <w:ind w:left="567" w:hanging="567"/>
        <w:rPr>
          <w:bCs w:val="0"/>
          <w:iCs/>
        </w:rPr>
      </w:pPr>
      <w:r w:rsidRPr="005F0061">
        <w:t>Schedule 1, after entry for</w:t>
      </w:r>
      <w:r w:rsidR="00357348" w:rsidRPr="005F0061">
        <w:t xml:space="preserve"> </w:t>
      </w:r>
      <w:proofErr w:type="spellStart"/>
      <w:r w:rsidR="00357348" w:rsidRPr="005F0061">
        <w:rPr>
          <w:bCs w:val="0"/>
          <w:iCs/>
        </w:rPr>
        <w:t>Saquinavir</w:t>
      </w:r>
      <w:proofErr w:type="spellEnd"/>
    </w:p>
    <w:p w14:paraId="2F28E913" w14:textId="7E188B47" w:rsidR="0058314E" w:rsidRPr="005F0061" w:rsidRDefault="00155A4F" w:rsidP="0058314E">
      <w:pPr>
        <w:pStyle w:val="Amendment1"/>
        <w:numPr>
          <w:ilvl w:val="0"/>
          <w:numId w:val="0"/>
        </w:numPr>
        <w:spacing w:before="60" w:after="60"/>
        <w:ind w:left="1134" w:hanging="567"/>
        <w:rPr>
          <w:rFonts w:ascii="Times New Roman" w:hAnsi="Times New Roman" w:cs="Times New Roman"/>
          <w:b w:val="0"/>
          <w:i/>
        </w:rPr>
      </w:pPr>
      <w:proofErr w:type="gramStart"/>
      <w:r w:rsidRPr="005F0061">
        <w:rPr>
          <w:rFonts w:ascii="Times New Roman" w:hAnsi="Times New Roman" w:cs="Times New Roman"/>
          <w:b w:val="0"/>
          <w:i/>
        </w:rPr>
        <w:t>insert</w:t>
      </w:r>
      <w:proofErr w:type="gramEnd"/>
      <w:r w:rsidRPr="005F0061">
        <w:rPr>
          <w:rFonts w:ascii="Times New Roman" w:hAnsi="Times New Roman" w:cs="Times New Roman"/>
          <w:b w:val="0"/>
          <w:i/>
        </w:rPr>
        <w:t>:</w:t>
      </w:r>
    </w:p>
    <w:tbl>
      <w:tblPr>
        <w:tblStyle w:val="TableGrid"/>
        <w:tblW w:w="13277" w:type="dxa"/>
        <w:tblBorders>
          <w:insideH w:val="none" w:sz="0" w:space="0" w:color="auto"/>
          <w:insideV w:val="none" w:sz="0" w:space="0" w:color="auto"/>
        </w:tblBorders>
        <w:tblLayout w:type="fixed"/>
        <w:tblLook w:val="04A0" w:firstRow="1" w:lastRow="0" w:firstColumn="1" w:lastColumn="0" w:noHBand="0" w:noVBand="1"/>
      </w:tblPr>
      <w:tblGrid>
        <w:gridCol w:w="2030"/>
        <w:gridCol w:w="2591"/>
        <w:gridCol w:w="1032"/>
        <w:gridCol w:w="1587"/>
        <w:gridCol w:w="607"/>
        <w:gridCol w:w="1474"/>
        <w:gridCol w:w="1417"/>
        <w:gridCol w:w="788"/>
        <w:gridCol w:w="850"/>
        <w:gridCol w:w="901"/>
      </w:tblGrid>
      <w:tr w:rsidR="00357348" w:rsidRPr="005F0061" w14:paraId="506376A4" w14:textId="77777777" w:rsidTr="004A6AC8">
        <w:tc>
          <w:tcPr>
            <w:tcW w:w="2030" w:type="dxa"/>
          </w:tcPr>
          <w:p w14:paraId="216AAED2" w14:textId="101866BE" w:rsidR="00357348" w:rsidRPr="005F0061" w:rsidRDefault="00357348" w:rsidP="00357348">
            <w:pPr>
              <w:spacing w:before="60" w:after="60"/>
              <w:rPr>
                <w:rFonts w:ascii="Arial" w:hAnsi="Arial" w:cs="Arial"/>
                <w:sz w:val="16"/>
                <w:szCs w:val="16"/>
              </w:rPr>
            </w:pPr>
            <w:proofErr w:type="spellStart"/>
            <w:r w:rsidRPr="005F0061">
              <w:rPr>
                <w:rFonts w:ascii="Arial" w:hAnsi="Arial" w:cs="Arial"/>
                <w:sz w:val="16"/>
                <w:szCs w:val="16"/>
              </w:rPr>
              <w:t>Selexipag</w:t>
            </w:r>
            <w:proofErr w:type="spellEnd"/>
          </w:p>
        </w:tc>
        <w:tc>
          <w:tcPr>
            <w:tcW w:w="2591" w:type="dxa"/>
          </w:tcPr>
          <w:p w14:paraId="14C18403" w14:textId="132A4238"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Tablet 200 micrograms</w:t>
            </w:r>
          </w:p>
        </w:tc>
        <w:tc>
          <w:tcPr>
            <w:tcW w:w="1032" w:type="dxa"/>
          </w:tcPr>
          <w:p w14:paraId="5EF212C5" w14:textId="573B24DA"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Oral</w:t>
            </w:r>
          </w:p>
        </w:tc>
        <w:tc>
          <w:tcPr>
            <w:tcW w:w="1587" w:type="dxa"/>
          </w:tcPr>
          <w:p w14:paraId="07C70BCD" w14:textId="5A62A424" w:rsidR="00357348" w:rsidRPr="005F0061" w:rsidRDefault="00357348" w:rsidP="00357348">
            <w:pPr>
              <w:spacing w:before="60" w:after="60"/>
              <w:rPr>
                <w:rFonts w:ascii="Arial" w:hAnsi="Arial" w:cs="Arial"/>
                <w:sz w:val="16"/>
                <w:szCs w:val="16"/>
              </w:rPr>
            </w:pPr>
            <w:proofErr w:type="spellStart"/>
            <w:r w:rsidRPr="005F0061">
              <w:rPr>
                <w:rFonts w:ascii="Arial" w:hAnsi="Arial" w:cs="Arial"/>
                <w:sz w:val="16"/>
                <w:szCs w:val="16"/>
              </w:rPr>
              <w:t>Uptravi</w:t>
            </w:r>
            <w:proofErr w:type="spellEnd"/>
          </w:p>
        </w:tc>
        <w:tc>
          <w:tcPr>
            <w:tcW w:w="607" w:type="dxa"/>
          </w:tcPr>
          <w:p w14:paraId="7A1C7117" w14:textId="153FCD60"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JC</w:t>
            </w:r>
          </w:p>
        </w:tc>
        <w:tc>
          <w:tcPr>
            <w:tcW w:w="1474" w:type="dxa"/>
          </w:tcPr>
          <w:p w14:paraId="302B7359" w14:textId="7EC827FA"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C11193 C11195 C11241 C11261</w:t>
            </w:r>
          </w:p>
        </w:tc>
        <w:tc>
          <w:tcPr>
            <w:tcW w:w="1417" w:type="dxa"/>
          </w:tcPr>
          <w:p w14:paraId="0DF4D7B4" w14:textId="41DF0F40"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P11193 P11195 P11241</w:t>
            </w:r>
          </w:p>
        </w:tc>
        <w:tc>
          <w:tcPr>
            <w:tcW w:w="788" w:type="dxa"/>
          </w:tcPr>
          <w:p w14:paraId="0503DAFA" w14:textId="2558D555"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60</w:t>
            </w:r>
          </w:p>
        </w:tc>
        <w:tc>
          <w:tcPr>
            <w:tcW w:w="850" w:type="dxa"/>
          </w:tcPr>
          <w:p w14:paraId="7FF46057" w14:textId="5BFCD181"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5</w:t>
            </w:r>
          </w:p>
        </w:tc>
        <w:tc>
          <w:tcPr>
            <w:tcW w:w="901" w:type="dxa"/>
          </w:tcPr>
          <w:p w14:paraId="5D20DA4C" w14:textId="1E984C06"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D</w:t>
            </w:r>
          </w:p>
        </w:tc>
      </w:tr>
      <w:tr w:rsidR="00357348" w:rsidRPr="005F0061" w14:paraId="29A5C2DD" w14:textId="77777777" w:rsidTr="004A6AC8">
        <w:tc>
          <w:tcPr>
            <w:tcW w:w="2030" w:type="dxa"/>
          </w:tcPr>
          <w:p w14:paraId="12CB5409" w14:textId="77777777" w:rsidR="00357348" w:rsidRPr="005F0061" w:rsidRDefault="00357348" w:rsidP="00357348">
            <w:pPr>
              <w:spacing w:before="60" w:after="60"/>
              <w:rPr>
                <w:rFonts w:ascii="Arial" w:hAnsi="Arial" w:cs="Arial"/>
                <w:sz w:val="16"/>
                <w:szCs w:val="16"/>
              </w:rPr>
            </w:pPr>
          </w:p>
        </w:tc>
        <w:tc>
          <w:tcPr>
            <w:tcW w:w="2591" w:type="dxa"/>
          </w:tcPr>
          <w:p w14:paraId="1D63AAAC" w14:textId="637AF120" w:rsidR="00357348" w:rsidRPr="005F0061" w:rsidRDefault="00357348" w:rsidP="00357348">
            <w:pPr>
              <w:spacing w:before="60" w:after="60"/>
              <w:rPr>
                <w:rFonts w:ascii="Arial" w:hAnsi="Arial" w:cs="Arial"/>
                <w:sz w:val="16"/>
                <w:szCs w:val="16"/>
              </w:rPr>
            </w:pPr>
          </w:p>
        </w:tc>
        <w:tc>
          <w:tcPr>
            <w:tcW w:w="1032" w:type="dxa"/>
          </w:tcPr>
          <w:p w14:paraId="13975451" w14:textId="3CB76A6F" w:rsidR="00357348" w:rsidRPr="005F0061" w:rsidRDefault="00357348" w:rsidP="00357348">
            <w:pPr>
              <w:spacing w:before="60" w:after="60"/>
              <w:rPr>
                <w:rFonts w:ascii="Arial" w:hAnsi="Arial" w:cs="Arial"/>
                <w:sz w:val="16"/>
                <w:szCs w:val="16"/>
              </w:rPr>
            </w:pPr>
          </w:p>
        </w:tc>
        <w:tc>
          <w:tcPr>
            <w:tcW w:w="1587" w:type="dxa"/>
          </w:tcPr>
          <w:p w14:paraId="2F8A5402" w14:textId="67016CCA" w:rsidR="00357348" w:rsidRPr="005F0061" w:rsidRDefault="00357348" w:rsidP="00357348">
            <w:pPr>
              <w:spacing w:before="60" w:after="60"/>
              <w:rPr>
                <w:rFonts w:ascii="Arial" w:hAnsi="Arial" w:cs="Arial"/>
                <w:sz w:val="16"/>
                <w:szCs w:val="16"/>
              </w:rPr>
            </w:pPr>
          </w:p>
        </w:tc>
        <w:tc>
          <w:tcPr>
            <w:tcW w:w="607" w:type="dxa"/>
          </w:tcPr>
          <w:p w14:paraId="68C5AD7C" w14:textId="1F9D0CD1" w:rsidR="00357348" w:rsidRPr="005F0061" w:rsidRDefault="00357348" w:rsidP="00357348">
            <w:pPr>
              <w:spacing w:before="60" w:after="60"/>
              <w:rPr>
                <w:rFonts w:ascii="Arial" w:hAnsi="Arial" w:cs="Arial"/>
                <w:sz w:val="16"/>
                <w:szCs w:val="16"/>
              </w:rPr>
            </w:pPr>
          </w:p>
        </w:tc>
        <w:tc>
          <w:tcPr>
            <w:tcW w:w="1474" w:type="dxa"/>
          </w:tcPr>
          <w:p w14:paraId="029D694F" w14:textId="5FB29821"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C11193 C11195 C11241 C11261</w:t>
            </w:r>
          </w:p>
        </w:tc>
        <w:tc>
          <w:tcPr>
            <w:tcW w:w="1417" w:type="dxa"/>
          </w:tcPr>
          <w:p w14:paraId="6BDDA774" w14:textId="0CFE217A"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P11241 P11261</w:t>
            </w:r>
          </w:p>
        </w:tc>
        <w:tc>
          <w:tcPr>
            <w:tcW w:w="788" w:type="dxa"/>
          </w:tcPr>
          <w:p w14:paraId="316E1058" w14:textId="0C56F01C"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140</w:t>
            </w:r>
          </w:p>
        </w:tc>
        <w:tc>
          <w:tcPr>
            <w:tcW w:w="850" w:type="dxa"/>
          </w:tcPr>
          <w:p w14:paraId="6675CC78" w14:textId="7E460AC8"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2</w:t>
            </w:r>
          </w:p>
        </w:tc>
        <w:tc>
          <w:tcPr>
            <w:tcW w:w="901" w:type="dxa"/>
          </w:tcPr>
          <w:p w14:paraId="503202E4" w14:textId="53A933EE"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D</w:t>
            </w:r>
          </w:p>
        </w:tc>
      </w:tr>
      <w:tr w:rsidR="00357348" w:rsidRPr="005F0061" w14:paraId="43C4FB7A" w14:textId="77777777" w:rsidTr="004A6AC8">
        <w:tc>
          <w:tcPr>
            <w:tcW w:w="2030" w:type="dxa"/>
          </w:tcPr>
          <w:p w14:paraId="51DFF760" w14:textId="77777777" w:rsidR="00357348" w:rsidRPr="005F0061" w:rsidRDefault="00357348" w:rsidP="00357348">
            <w:pPr>
              <w:spacing w:before="60" w:after="60"/>
              <w:rPr>
                <w:rFonts w:ascii="Arial" w:hAnsi="Arial" w:cs="Arial"/>
                <w:sz w:val="16"/>
                <w:szCs w:val="16"/>
              </w:rPr>
            </w:pPr>
          </w:p>
        </w:tc>
        <w:tc>
          <w:tcPr>
            <w:tcW w:w="2591" w:type="dxa"/>
          </w:tcPr>
          <w:p w14:paraId="1821F7B7" w14:textId="1301961D"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Tablet 400 micrograms</w:t>
            </w:r>
          </w:p>
        </w:tc>
        <w:tc>
          <w:tcPr>
            <w:tcW w:w="1032" w:type="dxa"/>
          </w:tcPr>
          <w:p w14:paraId="6A28F926" w14:textId="3EE8A4FC"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Oral</w:t>
            </w:r>
          </w:p>
        </w:tc>
        <w:tc>
          <w:tcPr>
            <w:tcW w:w="1587" w:type="dxa"/>
          </w:tcPr>
          <w:p w14:paraId="40EB268F" w14:textId="4BB69C9D" w:rsidR="00357348" w:rsidRPr="005F0061" w:rsidRDefault="00357348" w:rsidP="00357348">
            <w:pPr>
              <w:spacing w:before="60" w:after="60"/>
              <w:rPr>
                <w:rFonts w:ascii="Arial" w:hAnsi="Arial" w:cs="Arial"/>
                <w:sz w:val="16"/>
                <w:szCs w:val="16"/>
              </w:rPr>
            </w:pPr>
            <w:proofErr w:type="spellStart"/>
            <w:r w:rsidRPr="005F0061">
              <w:rPr>
                <w:rFonts w:ascii="Arial" w:hAnsi="Arial" w:cs="Arial"/>
                <w:sz w:val="16"/>
                <w:szCs w:val="16"/>
              </w:rPr>
              <w:t>Uptravi</w:t>
            </w:r>
            <w:proofErr w:type="spellEnd"/>
          </w:p>
        </w:tc>
        <w:tc>
          <w:tcPr>
            <w:tcW w:w="607" w:type="dxa"/>
          </w:tcPr>
          <w:p w14:paraId="18330A2D" w14:textId="37A30A7A"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JC</w:t>
            </w:r>
          </w:p>
        </w:tc>
        <w:tc>
          <w:tcPr>
            <w:tcW w:w="1474" w:type="dxa"/>
          </w:tcPr>
          <w:p w14:paraId="791A2C19" w14:textId="618322FF"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C11193 C11195 C11241</w:t>
            </w:r>
          </w:p>
        </w:tc>
        <w:tc>
          <w:tcPr>
            <w:tcW w:w="1417" w:type="dxa"/>
          </w:tcPr>
          <w:p w14:paraId="7C1AAD6B" w14:textId="77777777" w:rsidR="00357348" w:rsidRPr="005F0061" w:rsidRDefault="00357348" w:rsidP="00357348">
            <w:pPr>
              <w:spacing w:before="60" w:after="60"/>
              <w:rPr>
                <w:rFonts w:ascii="Arial" w:hAnsi="Arial" w:cs="Arial"/>
                <w:sz w:val="16"/>
                <w:szCs w:val="16"/>
              </w:rPr>
            </w:pPr>
          </w:p>
        </w:tc>
        <w:tc>
          <w:tcPr>
            <w:tcW w:w="788" w:type="dxa"/>
          </w:tcPr>
          <w:p w14:paraId="267BE945" w14:textId="601885BA"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60</w:t>
            </w:r>
          </w:p>
        </w:tc>
        <w:tc>
          <w:tcPr>
            <w:tcW w:w="850" w:type="dxa"/>
          </w:tcPr>
          <w:p w14:paraId="7AB0B83B" w14:textId="27CF2024"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5</w:t>
            </w:r>
          </w:p>
        </w:tc>
        <w:tc>
          <w:tcPr>
            <w:tcW w:w="901" w:type="dxa"/>
          </w:tcPr>
          <w:p w14:paraId="6898AA2A" w14:textId="1D3A22AE"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D</w:t>
            </w:r>
          </w:p>
        </w:tc>
      </w:tr>
      <w:tr w:rsidR="00357348" w:rsidRPr="005F0061" w14:paraId="571E0741" w14:textId="77777777" w:rsidTr="004A6AC8">
        <w:tc>
          <w:tcPr>
            <w:tcW w:w="2030" w:type="dxa"/>
          </w:tcPr>
          <w:p w14:paraId="73D57763" w14:textId="77777777" w:rsidR="00357348" w:rsidRPr="005F0061" w:rsidRDefault="00357348" w:rsidP="00357348">
            <w:pPr>
              <w:spacing w:before="60" w:after="60"/>
              <w:rPr>
                <w:rFonts w:ascii="Arial" w:hAnsi="Arial" w:cs="Arial"/>
                <w:sz w:val="16"/>
                <w:szCs w:val="16"/>
              </w:rPr>
            </w:pPr>
          </w:p>
        </w:tc>
        <w:tc>
          <w:tcPr>
            <w:tcW w:w="2591" w:type="dxa"/>
          </w:tcPr>
          <w:p w14:paraId="5F5217E9" w14:textId="7E0E3833"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Tablet 600 micrograms</w:t>
            </w:r>
          </w:p>
        </w:tc>
        <w:tc>
          <w:tcPr>
            <w:tcW w:w="1032" w:type="dxa"/>
          </w:tcPr>
          <w:p w14:paraId="6B6C24BA" w14:textId="028F08DF"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Oral</w:t>
            </w:r>
          </w:p>
        </w:tc>
        <w:tc>
          <w:tcPr>
            <w:tcW w:w="1587" w:type="dxa"/>
          </w:tcPr>
          <w:p w14:paraId="2EC9E0AB" w14:textId="04D5C330" w:rsidR="00357348" w:rsidRPr="005F0061" w:rsidRDefault="00357348" w:rsidP="00357348">
            <w:pPr>
              <w:spacing w:before="60" w:after="60"/>
              <w:rPr>
                <w:rFonts w:ascii="Arial" w:hAnsi="Arial" w:cs="Arial"/>
                <w:sz w:val="16"/>
                <w:szCs w:val="16"/>
              </w:rPr>
            </w:pPr>
            <w:proofErr w:type="spellStart"/>
            <w:r w:rsidRPr="005F0061">
              <w:rPr>
                <w:rFonts w:ascii="Arial" w:hAnsi="Arial" w:cs="Arial"/>
                <w:sz w:val="16"/>
                <w:szCs w:val="16"/>
              </w:rPr>
              <w:t>Uptravi</w:t>
            </w:r>
            <w:proofErr w:type="spellEnd"/>
          </w:p>
        </w:tc>
        <w:tc>
          <w:tcPr>
            <w:tcW w:w="607" w:type="dxa"/>
          </w:tcPr>
          <w:p w14:paraId="11BCC595" w14:textId="17ADCC40"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JC</w:t>
            </w:r>
          </w:p>
        </w:tc>
        <w:tc>
          <w:tcPr>
            <w:tcW w:w="1474" w:type="dxa"/>
          </w:tcPr>
          <w:p w14:paraId="11F4A738" w14:textId="7EE277E2"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C11193 C11195 C11241</w:t>
            </w:r>
          </w:p>
        </w:tc>
        <w:tc>
          <w:tcPr>
            <w:tcW w:w="1417" w:type="dxa"/>
          </w:tcPr>
          <w:p w14:paraId="71BFCAC2" w14:textId="77777777" w:rsidR="00357348" w:rsidRPr="005F0061" w:rsidRDefault="00357348" w:rsidP="00357348">
            <w:pPr>
              <w:spacing w:before="60" w:after="60"/>
              <w:rPr>
                <w:rFonts w:ascii="Arial" w:hAnsi="Arial" w:cs="Arial"/>
                <w:sz w:val="16"/>
                <w:szCs w:val="16"/>
              </w:rPr>
            </w:pPr>
          </w:p>
        </w:tc>
        <w:tc>
          <w:tcPr>
            <w:tcW w:w="788" w:type="dxa"/>
          </w:tcPr>
          <w:p w14:paraId="65D27640" w14:textId="5010CA50"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60</w:t>
            </w:r>
          </w:p>
        </w:tc>
        <w:tc>
          <w:tcPr>
            <w:tcW w:w="850" w:type="dxa"/>
          </w:tcPr>
          <w:p w14:paraId="560F662A" w14:textId="2F2E329C"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5</w:t>
            </w:r>
          </w:p>
        </w:tc>
        <w:tc>
          <w:tcPr>
            <w:tcW w:w="901" w:type="dxa"/>
          </w:tcPr>
          <w:p w14:paraId="27CF4F32" w14:textId="5A51324B"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D</w:t>
            </w:r>
          </w:p>
        </w:tc>
      </w:tr>
      <w:tr w:rsidR="00357348" w:rsidRPr="005F0061" w14:paraId="7DD231D8" w14:textId="77777777" w:rsidTr="004A6AC8">
        <w:tc>
          <w:tcPr>
            <w:tcW w:w="2030" w:type="dxa"/>
          </w:tcPr>
          <w:p w14:paraId="321FBDE8" w14:textId="77777777" w:rsidR="00357348" w:rsidRPr="005F0061" w:rsidRDefault="00357348" w:rsidP="00357348">
            <w:pPr>
              <w:spacing w:before="60" w:after="60"/>
              <w:rPr>
                <w:rFonts w:ascii="Arial" w:hAnsi="Arial" w:cs="Arial"/>
                <w:sz w:val="16"/>
                <w:szCs w:val="16"/>
              </w:rPr>
            </w:pPr>
          </w:p>
        </w:tc>
        <w:tc>
          <w:tcPr>
            <w:tcW w:w="2591" w:type="dxa"/>
          </w:tcPr>
          <w:p w14:paraId="06C53F68" w14:textId="44540EBB"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Tablet 800 micrograms</w:t>
            </w:r>
          </w:p>
        </w:tc>
        <w:tc>
          <w:tcPr>
            <w:tcW w:w="1032" w:type="dxa"/>
          </w:tcPr>
          <w:p w14:paraId="581E2F41" w14:textId="67C5ECDB"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Oral</w:t>
            </w:r>
          </w:p>
        </w:tc>
        <w:tc>
          <w:tcPr>
            <w:tcW w:w="1587" w:type="dxa"/>
          </w:tcPr>
          <w:p w14:paraId="1907AC7A" w14:textId="0181757E" w:rsidR="00357348" w:rsidRPr="005F0061" w:rsidRDefault="00357348" w:rsidP="00357348">
            <w:pPr>
              <w:spacing w:before="60" w:after="60"/>
              <w:rPr>
                <w:rFonts w:ascii="Arial" w:hAnsi="Arial" w:cs="Arial"/>
                <w:sz w:val="16"/>
                <w:szCs w:val="16"/>
              </w:rPr>
            </w:pPr>
            <w:proofErr w:type="spellStart"/>
            <w:r w:rsidRPr="005F0061">
              <w:rPr>
                <w:rFonts w:ascii="Arial" w:hAnsi="Arial" w:cs="Arial"/>
                <w:sz w:val="16"/>
                <w:szCs w:val="16"/>
              </w:rPr>
              <w:t>Uptravi</w:t>
            </w:r>
            <w:proofErr w:type="spellEnd"/>
          </w:p>
        </w:tc>
        <w:tc>
          <w:tcPr>
            <w:tcW w:w="607" w:type="dxa"/>
          </w:tcPr>
          <w:p w14:paraId="56709252" w14:textId="5E8505C3"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JC</w:t>
            </w:r>
          </w:p>
        </w:tc>
        <w:tc>
          <w:tcPr>
            <w:tcW w:w="1474" w:type="dxa"/>
          </w:tcPr>
          <w:p w14:paraId="37AA3100" w14:textId="511E24D8"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C11193 C11195 C11241 C11261</w:t>
            </w:r>
          </w:p>
        </w:tc>
        <w:tc>
          <w:tcPr>
            <w:tcW w:w="1417" w:type="dxa"/>
          </w:tcPr>
          <w:p w14:paraId="1726A558" w14:textId="1A585275"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P11261</w:t>
            </w:r>
          </w:p>
        </w:tc>
        <w:tc>
          <w:tcPr>
            <w:tcW w:w="788" w:type="dxa"/>
          </w:tcPr>
          <w:p w14:paraId="40A1DA5D" w14:textId="4960066E"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60</w:t>
            </w:r>
          </w:p>
        </w:tc>
        <w:tc>
          <w:tcPr>
            <w:tcW w:w="850" w:type="dxa"/>
          </w:tcPr>
          <w:p w14:paraId="1C4300DF" w14:textId="03E37F15"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3</w:t>
            </w:r>
          </w:p>
        </w:tc>
        <w:tc>
          <w:tcPr>
            <w:tcW w:w="901" w:type="dxa"/>
          </w:tcPr>
          <w:p w14:paraId="518531BE" w14:textId="78035337"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D</w:t>
            </w:r>
          </w:p>
        </w:tc>
      </w:tr>
      <w:tr w:rsidR="00357348" w:rsidRPr="005F0061" w14:paraId="1BE7B67C" w14:textId="77777777" w:rsidTr="004A6AC8">
        <w:tc>
          <w:tcPr>
            <w:tcW w:w="2030" w:type="dxa"/>
          </w:tcPr>
          <w:p w14:paraId="426C07DC" w14:textId="77777777" w:rsidR="00357348" w:rsidRPr="005F0061" w:rsidRDefault="00357348" w:rsidP="00357348">
            <w:pPr>
              <w:spacing w:before="60" w:after="60"/>
              <w:rPr>
                <w:rFonts w:ascii="Arial" w:hAnsi="Arial" w:cs="Arial"/>
                <w:sz w:val="16"/>
                <w:szCs w:val="16"/>
              </w:rPr>
            </w:pPr>
          </w:p>
        </w:tc>
        <w:tc>
          <w:tcPr>
            <w:tcW w:w="2591" w:type="dxa"/>
          </w:tcPr>
          <w:p w14:paraId="45764F80" w14:textId="77777777" w:rsidR="00357348" w:rsidRPr="005F0061" w:rsidRDefault="00357348" w:rsidP="00357348">
            <w:pPr>
              <w:spacing w:before="60" w:after="60"/>
              <w:rPr>
                <w:rFonts w:ascii="Arial" w:hAnsi="Arial" w:cs="Arial"/>
                <w:sz w:val="16"/>
                <w:szCs w:val="16"/>
              </w:rPr>
            </w:pPr>
          </w:p>
        </w:tc>
        <w:tc>
          <w:tcPr>
            <w:tcW w:w="1032" w:type="dxa"/>
          </w:tcPr>
          <w:p w14:paraId="66D4AD66" w14:textId="77777777" w:rsidR="00357348" w:rsidRPr="005F0061" w:rsidRDefault="00357348" w:rsidP="00357348">
            <w:pPr>
              <w:spacing w:before="60" w:after="60"/>
              <w:rPr>
                <w:rFonts w:ascii="Arial" w:hAnsi="Arial" w:cs="Arial"/>
                <w:sz w:val="16"/>
                <w:szCs w:val="16"/>
              </w:rPr>
            </w:pPr>
          </w:p>
        </w:tc>
        <w:tc>
          <w:tcPr>
            <w:tcW w:w="1587" w:type="dxa"/>
          </w:tcPr>
          <w:p w14:paraId="080D2256" w14:textId="77777777" w:rsidR="00357348" w:rsidRPr="005F0061" w:rsidRDefault="00357348" w:rsidP="00357348">
            <w:pPr>
              <w:spacing w:before="60" w:after="60"/>
              <w:rPr>
                <w:rFonts w:ascii="Arial" w:hAnsi="Arial" w:cs="Arial"/>
                <w:sz w:val="16"/>
                <w:szCs w:val="16"/>
              </w:rPr>
            </w:pPr>
          </w:p>
        </w:tc>
        <w:tc>
          <w:tcPr>
            <w:tcW w:w="607" w:type="dxa"/>
          </w:tcPr>
          <w:p w14:paraId="7AEAEF84" w14:textId="77777777" w:rsidR="00357348" w:rsidRPr="005F0061" w:rsidRDefault="00357348" w:rsidP="00357348">
            <w:pPr>
              <w:spacing w:before="60" w:after="60"/>
              <w:rPr>
                <w:rFonts w:ascii="Arial" w:hAnsi="Arial" w:cs="Arial"/>
                <w:sz w:val="16"/>
                <w:szCs w:val="16"/>
              </w:rPr>
            </w:pPr>
          </w:p>
        </w:tc>
        <w:tc>
          <w:tcPr>
            <w:tcW w:w="1474" w:type="dxa"/>
          </w:tcPr>
          <w:p w14:paraId="21F39696" w14:textId="0C78432C"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C11193 C11195 C11241 C11261</w:t>
            </w:r>
          </w:p>
        </w:tc>
        <w:tc>
          <w:tcPr>
            <w:tcW w:w="1417" w:type="dxa"/>
          </w:tcPr>
          <w:p w14:paraId="18E4C73F" w14:textId="498F094B"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P11193 P11195 P11241</w:t>
            </w:r>
          </w:p>
        </w:tc>
        <w:tc>
          <w:tcPr>
            <w:tcW w:w="788" w:type="dxa"/>
          </w:tcPr>
          <w:p w14:paraId="1BBC6BB2" w14:textId="0F6452B9"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60</w:t>
            </w:r>
          </w:p>
        </w:tc>
        <w:tc>
          <w:tcPr>
            <w:tcW w:w="850" w:type="dxa"/>
          </w:tcPr>
          <w:p w14:paraId="267C3ACC" w14:textId="16C639D5"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5</w:t>
            </w:r>
          </w:p>
        </w:tc>
        <w:tc>
          <w:tcPr>
            <w:tcW w:w="901" w:type="dxa"/>
          </w:tcPr>
          <w:p w14:paraId="06E86141" w14:textId="329C5B5E"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D</w:t>
            </w:r>
          </w:p>
        </w:tc>
      </w:tr>
      <w:tr w:rsidR="00357348" w:rsidRPr="005F0061" w14:paraId="26BB5B06" w14:textId="77777777" w:rsidTr="004A6AC8">
        <w:tc>
          <w:tcPr>
            <w:tcW w:w="2030" w:type="dxa"/>
          </w:tcPr>
          <w:p w14:paraId="23506B8B" w14:textId="77777777" w:rsidR="00357348" w:rsidRPr="005F0061" w:rsidRDefault="00357348" w:rsidP="00357348">
            <w:pPr>
              <w:spacing w:before="60" w:after="60"/>
              <w:rPr>
                <w:rFonts w:ascii="Arial" w:hAnsi="Arial" w:cs="Arial"/>
                <w:sz w:val="16"/>
                <w:szCs w:val="16"/>
              </w:rPr>
            </w:pPr>
          </w:p>
        </w:tc>
        <w:tc>
          <w:tcPr>
            <w:tcW w:w="2591" w:type="dxa"/>
          </w:tcPr>
          <w:p w14:paraId="5F3A8BAF" w14:textId="2F1C84FF"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Tablet 1 mg</w:t>
            </w:r>
          </w:p>
        </w:tc>
        <w:tc>
          <w:tcPr>
            <w:tcW w:w="1032" w:type="dxa"/>
          </w:tcPr>
          <w:p w14:paraId="640DB0C2" w14:textId="7426F2A4"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Oral</w:t>
            </w:r>
          </w:p>
        </w:tc>
        <w:tc>
          <w:tcPr>
            <w:tcW w:w="1587" w:type="dxa"/>
          </w:tcPr>
          <w:p w14:paraId="7C42E9CD" w14:textId="303B0360" w:rsidR="00357348" w:rsidRPr="005F0061" w:rsidRDefault="00357348" w:rsidP="00357348">
            <w:pPr>
              <w:spacing w:before="60" w:after="60"/>
              <w:rPr>
                <w:rFonts w:ascii="Arial" w:hAnsi="Arial" w:cs="Arial"/>
                <w:sz w:val="16"/>
                <w:szCs w:val="16"/>
              </w:rPr>
            </w:pPr>
            <w:proofErr w:type="spellStart"/>
            <w:r w:rsidRPr="005F0061">
              <w:rPr>
                <w:rFonts w:ascii="Arial" w:hAnsi="Arial" w:cs="Arial"/>
                <w:sz w:val="16"/>
                <w:szCs w:val="16"/>
              </w:rPr>
              <w:t>Uptravi</w:t>
            </w:r>
            <w:proofErr w:type="spellEnd"/>
          </w:p>
        </w:tc>
        <w:tc>
          <w:tcPr>
            <w:tcW w:w="607" w:type="dxa"/>
          </w:tcPr>
          <w:p w14:paraId="2E1049D2" w14:textId="62FD50A4"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JC</w:t>
            </w:r>
          </w:p>
        </w:tc>
        <w:tc>
          <w:tcPr>
            <w:tcW w:w="1474" w:type="dxa"/>
          </w:tcPr>
          <w:p w14:paraId="41ECC9F1" w14:textId="7CB59425"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C11193 C11195 C11241</w:t>
            </w:r>
          </w:p>
        </w:tc>
        <w:tc>
          <w:tcPr>
            <w:tcW w:w="1417" w:type="dxa"/>
          </w:tcPr>
          <w:p w14:paraId="340BF56C" w14:textId="77777777" w:rsidR="00357348" w:rsidRPr="005F0061" w:rsidRDefault="00357348" w:rsidP="00357348">
            <w:pPr>
              <w:spacing w:before="60" w:after="60"/>
              <w:rPr>
                <w:rFonts w:ascii="Arial" w:hAnsi="Arial" w:cs="Arial"/>
                <w:sz w:val="16"/>
                <w:szCs w:val="16"/>
              </w:rPr>
            </w:pPr>
          </w:p>
        </w:tc>
        <w:tc>
          <w:tcPr>
            <w:tcW w:w="788" w:type="dxa"/>
          </w:tcPr>
          <w:p w14:paraId="49D30607" w14:textId="4DA563D0"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60</w:t>
            </w:r>
          </w:p>
        </w:tc>
        <w:tc>
          <w:tcPr>
            <w:tcW w:w="850" w:type="dxa"/>
          </w:tcPr>
          <w:p w14:paraId="3F9B138F" w14:textId="5CF30EAF"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5</w:t>
            </w:r>
          </w:p>
        </w:tc>
        <w:tc>
          <w:tcPr>
            <w:tcW w:w="901" w:type="dxa"/>
          </w:tcPr>
          <w:p w14:paraId="3B4A26B2" w14:textId="3369FEB0"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D</w:t>
            </w:r>
          </w:p>
        </w:tc>
      </w:tr>
      <w:tr w:rsidR="00357348" w:rsidRPr="005F0061" w14:paraId="0189EF9A" w14:textId="77777777" w:rsidTr="004A6AC8">
        <w:tc>
          <w:tcPr>
            <w:tcW w:w="2030" w:type="dxa"/>
          </w:tcPr>
          <w:p w14:paraId="7C9FBF48" w14:textId="77777777" w:rsidR="00357348" w:rsidRPr="005F0061" w:rsidRDefault="00357348" w:rsidP="00357348">
            <w:pPr>
              <w:spacing w:before="60" w:after="60"/>
              <w:rPr>
                <w:rFonts w:ascii="Arial" w:hAnsi="Arial" w:cs="Arial"/>
                <w:sz w:val="16"/>
                <w:szCs w:val="16"/>
              </w:rPr>
            </w:pPr>
          </w:p>
        </w:tc>
        <w:tc>
          <w:tcPr>
            <w:tcW w:w="2591" w:type="dxa"/>
          </w:tcPr>
          <w:p w14:paraId="177A1FA6" w14:textId="15376CC6"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Tablet 1.2 mg</w:t>
            </w:r>
          </w:p>
        </w:tc>
        <w:tc>
          <w:tcPr>
            <w:tcW w:w="1032" w:type="dxa"/>
          </w:tcPr>
          <w:p w14:paraId="431CEBC3" w14:textId="0A54B0B0"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Oral</w:t>
            </w:r>
          </w:p>
        </w:tc>
        <w:tc>
          <w:tcPr>
            <w:tcW w:w="1587" w:type="dxa"/>
          </w:tcPr>
          <w:p w14:paraId="478D641E" w14:textId="2B0B8A75" w:rsidR="00357348" w:rsidRPr="005F0061" w:rsidRDefault="00357348" w:rsidP="00357348">
            <w:pPr>
              <w:spacing w:before="60" w:after="60"/>
              <w:rPr>
                <w:rFonts w:ascii="Arial" w:hAnsi="Arial" w:cs="Arial"/>
                <w:sz w:val="16"/>
                <w:szCs w:val="16"/>
              </w:rPr>
            </w:pPr>
            <w:proofErr w:type="spellStart"/>
            <w:r w:rsidRPr="005F0061">
              <w:rPr>
                <w:rFonts w:ascii="Arial" w:hAnsi="Arial" w:cs="Arial"/>
                <w:sz w:val="16"/>
                <w:szCs w:val="16"/>
              </w:rPr>
              <w:t>Uptravi</w:t>
            </w:r>
            <w:proofErr w:type="spellEnd"/>
          </w:p>
        </w:tc>
        <w:tc>
          <w:tcPr>
            <w:tcW w:w="607" w:type="dxa"/>
          </w:tcPr>
          <w:p w14:paraId="1646A94B" w14:textId="74CB6D0A"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JC</w:t>
            </w:r>
          </w:p>
        </w:tc>
        <w:tc>
          <w:tcPr>
            <w:tcW w:w="1474" w:type="dxa"/>
          </w:tcPr>
          <w:p w14:paraId="2FD96648" w14:textId="5D01533D"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C11193 C11195 C11241</w:t>
            </w:r>
          </w:p>
        </w:tc>
        <w:tc>
          <w:tcPr>
            <w:tcW w:w="1417" w:type="dxa"/>
          </w:tcPr>
          <w:p w14:paraId="4235AF4C" w14:textId="77777777" w:rsidR="00357348" w:rsidRPr="005F0061" w:rsidRDefault="00357348" w:rsidP="00357348">
            <w:pPr>
              <w:spacing w:before="60" w:after="60"/>
              <w:rPr>
                <w:rFonts w:ascii="Arial" w:hAnsi="Arial" w:cs="Arial"/>
                <w:sz w:val="16"/>
                <w:szCs w:val="16"/>
              </w:rPr>
            </w:pPr>
          </w:p>
        </w:tc>
        <w:tc>
          <w:tcPr>
            <w:tcW w:w="788" w:type="dxa"/>
          </w:tcPr>
          <w:p w14:paraId="2092D9F7" w14:textId="73872D88"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60</w:t>
            </w:r>
          </w:p>
        </w:tc>
        <w:tc>
          <w:tcPr>
            <w:tcW w:w="850" w:type="dxa"/>
          </w:tcPr>
          <w:p w14:paraId="3CC0AD06" w14:textId="23EAB212"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5</w:t>
            </w:r>
          </w:p>
        </w:tc>
        <w:tc>
          <w:tcPr>
            <w:tcW w:w="901" w:type="dxa"/>
          </w:tcPr>
          <w:p w14:paraId="46BAA648" w14:textId="045C821A"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D</w:t>
            </w:r>
          </w:p>
        </w:tc>
      </w:tr>
      <w:tr w:rsidR="00357348" w:rsidRPr="005F0061" w14:paraId="6BECFC37" w14:textId="77777777" w:rsidTr="004A6AC8">
        <w:tc>
          <w:tcPr>
            <w:tcW w:w="2030" w:type="dxa"/>
          </w:tcPr>
          <w:p w14:paraId="23B99973" w14:textId="77777777" w:rsidR="00357348" w:rsidRPr="005F0061" w:rsidRDefault="00357348" w:rsidP="00357348">
            <w:pPr>
              <w:spacing w:before="60" w:after="60"/>
              <w:rPr>
                <w:rFonts w:ascii="Arial" w:hAnsi="Arial" w:cs="Arial"/>
                <w:sz w:val="16"/>
                <w:szCs w:val="16"/>
              </w:rPr>
            </w:pPr>
          </w:p>
        </w:tc>
        <w:tc>
          <w:tcPr>
            <w:tcW w:w="2591" w:type="dxa"/>
          </w:tcPr>
          <w:p w14:paraId="22409497" w14:textId="6E0B11B9"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Tablet 1.4 mg</w:t>
            </w:r>
          </w:p>
        </w:tc>
        <w:tc>
          <w:tcPr>
            <w:tcW w:w="1032" w:type="dxa"/>
          </w:tcPr>
          <w:p w14:paraId="22913298" w14:textId="39B3D27B"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Oral</w:t>
            </w:r>
          </w:p>
        </w:tc>
        <w:tc>
          <w:tcPr>
            <w:tcW w:w="1587" w:type="dxa"/>
          </w:tcPr>
          <w:p w14:paraId="374EC939" w14:textId="3B22FDDD" w:rsidR="00357348" w:rsidRPr="005F0061" w:rsidRDefault="00357348" w:rsidP="00357348">
            <w:pPr>
              <w:spacing w:before="60" w:after="60"/>
              <w:rPr>
                <w:rFonts w:ascii="Arial" w:hAnsi="Arial" w:cs="Arial"/>
                <w:sz w:val="16"/>
                <w:szCs w:val="16"/>
              </w:rPr>
            </w:pPr>
            <w:proofErr w:type="spellStart"/>
            <w:r w:rsidRPr="005F0061">
              <w:rPr>
                <w:rFonts w:ascii="Arial" w:hAnsi="Arial" w:cs="Arial"/>
                <w:sz w:val="16"/>
                <w:szCs w:val="16"/>
              </w:rPr>
              <w:t>Uptravi</w:t>
            </w:r>
            <w:proofErr w:type="spellEnd"/>
          </w:p>
        </w:tc>
        <w:tc>
          <w:tcPr>
            <w:tcW w:w="607" w:type="dxa"/>
          </w:tcPr>
          <w:p w14:paraId="648A634A" w14:textId="4871CA0C"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JC</w:t>
            </w:r>
          </w:p>
        </w:tc>
        <w:tc>
          <w:tcPr>
            <w:tcW w:w="1474" w:type="dxa"/>
          </w:tcPr>
          <w:p w14:paraId="2C0FEC4B" w14:textId="16E3387C"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C11193 C11195 C11241</w:t>
            </w:r>
          </w:p>
        </w:tc>
        <w:tc>
          <w:tcPr>
            <w:tcW w:w="1417" w:type="dxa"/>
          </w:tcPr>
          <w:p w14:paraId="79E8CDFD" w14:textId="77777777" w:rsidR="00357348" w:rsidRPr="005F0061" w:rsidRDefault="00357348" w:rsidP="00357348">
            <w:pPr>
              <w:spacing w:before="60" w:after="60"/>
              <w:rPr>
                <w:rFonts w:ascii="Arial" w:hAnsi="Arial" w:cs="Arial"/>
                <w:sz w:val="16"/>
                <w:szCs w:val="16"/>
              </w:rPr>
            </w:pPr>
          </w:p>
        </w:tc>
        <w:tc>
          <w:tcPr>
            <w:tcW w:w="788" w:type="dxa"/>
          </w:tcPr>
          <w:p w14:paraId="73334D75" w14:textId="7DBE1329"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60</w:t>
            </w:r>
          </w:p>
        </w:tc>
        <w:tc>
          <w:tcPr>
            <w:tcW w:w="850" w:type="dxa"/>
          </w:tcPr>
          <w:p w14:paraId="122F66BC" w14:textId="7FF1F5B1"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5</w:t>
            </w:r>
          </w:p>
        </w:tc>
        <w:tc>
          <w:tcPr>
            <w:tcW w:w="901" w:type="dxa"/>
          </w:tcPr>
          <w:p w14:paraId="3F84FD0F" w14:textId="6BF7E2F4"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D</w:t>
            </w:r>
          </w:p>
        </w:tc>
      </w:tr>
      <w:tr w:rsidR="00357348" w:rsidRPr="005F0061" w14:paraId="4D54BD9F" w14:textId="77777777" w:rsidTr="004A6AC8">
        <w:tc>
          <w:tcPr>
            <w:tcW w:w="2030" w:type="dxa"/>
          </w:tcPr>
          <w:p w14:paraId="7D94CD07" w14:textId="77777777" w:rsidR="00357348" w:rsidRPr="005F0061" w:rsidRDefault="00357348" w:rsidP="00357348">
            <w:pPr>
              <w:spacing w:before="60" w:after="60"/>
              <w:rPr>
                <w:rFonts w:ascii="Arial" w:hAnsi="Arial" w:cs="Arial"/>
                <w:sz w:val="16"/>
                <w:szCs w:val="16"/>
              </w:rPr>
            </w:pPr>
          </w:p>
        </w:tc>
        <w:tc>
          <w:tcPr>
            <w:tcW w:w="2591" w:type="dxa"/>
          </w:tcPr>
          <w:p w14:paraId="508A79E8" w14:textId="429E7E4B"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Tablet 1.6 mg</w:t>
            </w:r>
          </w:p>
        </w:tc>
        <w:tc>
          <w:tcPr>
            <w:tcW w:w="1032" w:type="dxa"/>
          </w:tcPr>
          <w:p w14:paraId="6B739691" w14:textId="555FD345"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Oral</w:t>
            </w:r>
          </w:p>
        </w:tc>
        <w:tc>
          <w:tcPr>
            <w:tcW w:w="1587" w:type="dxa"/>
          </w:tcPr>
          <w:p w14:paraId="4C6417FC" w14:textId="50610221" w:rsidR="00357348" w:rsidRPr="005F0061" w:rsidRDefault="00357348" w:rsidP="00357348">
            <w:pPr>
              <w:spacing w:before="60" w:after="60"/>
              <w:rPr>
                <w:rFonts w:ascii="Arial" w:hAnsi="Arial" w:cs="Arial"/>
                <w:sz w:val="16"/>
                <w:szCs w:val="16"/>
              </w:rPr>
            </w:pPr>
            <w:proofErr w:type="spellStart"/>
            <w:r w:rsidRPr="005F0061">
              <w:rPr>
                <w:rFonts w:ascii="Arial" w:hAnsi="Arial" w:cs="Arial"/>
                <w:sz w:val="16"/>
                <w:szCs w:val="16"/>
              </w:rPr>
              <w:t>Uptravi</w:t>
            </w:r>
            <w:proofErr w:type="spellEnd"/>
          </w:p>
        </w:tc>
        <w:tc>
          <w:tcPr>
            <w:tcW w:w="607" w:type="dxa"/>
          </w:tcPr>
          <w:p w14:paraId="36F8FA2F" w14:textId="349B88AD"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JC</w:t>
            </w:r>
          </w:p>
        </w:tc>
        <w:tc>
          <w:tcPr>
            <w:tcW w:w="1474" w:type="dxa"/>
          </w:tcPr>
          <w:p w14:paraId="08A2BC89" w14:textId="25FAA10D"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C11193 C11195 C11241</w:t>
            </w:r>
          </w:p>
        </w:tc>
        <w:tc>
          <w:tcPr>
            <w:tcW w:w="1417" w:type="dxa"/>
          </w:tcPr>
          <w:p w14:paraId="662796FA" w14:textId="77777777" w:rsidR="00357348" w:rsidRPr="005F0061" w:rsidRDefault="00357348" w:rsidP="00357348">
            <w:pPr>
              <w:spacing w:before="60" w:after="60"/>
              <w:rPr>
                <w:rFonts w:ascii="Arial" w:hAnsi="Arial" w:cs="Arial"/>
                <w:sz w:val="16"/>
                <w:szCs w:val="16"/>
              </w:rPr>
            </w:pPr>
          </w:p>
        </w:tc>
        <w:tc>
          <w:tcPr>
            <w:tcW w:w="788" w:type="dxa"/>
          </w:tcPr>
          <w:p w14:paraId="17D7F267" w14:textId="006B736D"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60</w:t>
            </w:r>
          </w:p>
        </w:tc>
        <w:tc>
          <w:tcPr>
            <w:tcW w:w="850" w:type="dxa"/>
          </w:tcPr>
          <w:p w14:paraId="527B1D61" w14:textId="3537D445"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5</w:t>
            </w:r>
          </w:p>
        </w:tc>
        <w:tc>
          <w:tcPr>
            <w:tcW w:w="901" w:type="dxa"/>
          </w:tcPr>
          <w:p w14:paraId="5822E269" w14:textId="1FCA9DBC" w:rsidR="00357348" w:rsidRPr="005F0061" w:rsidRDefault="00357348" w:rsidP="00357348">
            <w:pPr>
              <w:spacing w:before="60" w:after="60"/>
              <w:rPr>
                <w:rFonts w:ascii="Arial" w:hAnsi="Arial" w:cs="Arial"/>
                <w:sz w:val="16"/>
                <w:szCs w:val="16"/>
              </w:rPr>
            </w:pPr>
            <w:r w:rsidRPr="005F0061">
              <w:rPr>
                <w:rFonts w:ascii="Arial" w:hAnsi="Arial" w:cs="Arial"/>
                <w:sz w:val="16"/>
                <w:szCs w:val="16"/>
              </w:rPr>
              <w:t>D</w:t>
            </w:r>
          </w:p>
        </w:tc>
      </w:tr>
    </w:tbl>
    <w:p w14:paraId="63C60F88" w14:textId="0C5BCA89" w:rsidR="009C0F3D" w:rsidRPr="005F0061" w:rsidRDefault="005C0858" w:rsidP="003D58C6">
      <w:pPr>
        <w:pStyle w:val="Amendment1"/>
        <w:numPr>
          <w:ilvl w:val="0"/>
          <w:numId w:val="10"/>
        </w:numPr>
        <w:ind w:left="567" w:hanging="567"/>
        <w:rPr>
          <w:bCs w:val="0"/>
          <w:iCs/>
        </w:rPr>
      </w:pPr>
      <w:r w:rsidRPr="005F0061">
        <w:rPr>
          <w:bCs w:val="0"/>
          <w:iCs/>
        </w:rPr>
        <w:t>S</w:t>
      </w:r>
      <w:r w:rsidR="009C0F3D" w:rsidRPr="005F0061">
        <w:rPr>
          <w:bCs w:val="0"/>
          <w:iCs/>
        </w:rPr>
        <w:t xml:space="preserve">chedule 1, entry </w:t>
      </w:r>
      <w:r w:rsidR="009C0F3D" w:rsidRPr="005F0061">
        <w:t>for</w:t>
      </w:r>
      <w:r w:rsidR="009C0F3D" w:rsidRPr="005F0061">
        <w:rPr>
          <w:iCs/>
        </w:rPr>
        <w:t xml:space="preserve"> Sildenafil</w:t>
      </w:r>
    </w:p>
    <w:p w14:paraId="404EB5BD" w14:textId="7EE6AB9E" w:rsidR="009C0F3D" w:rsidRPr="005F0061" w:rsidRDefault="009C0F3D" w:rsidP="00291A25">
      <w:pPr>
        <w:pStyle w:val="Amendment1"/>
        <w:numPr>
          <w:ilvl w:val="0"/>
          <w:numId w:val="14"/>
        </w:numPr>
        <w:spacing w:before="60" w:after="60"/>
        <w:ind w:left="1134" w:hanging="567"/>
      </w:pPr>
      <w:r w:rsidRPr="005F0061">
        <w:rPr>
          <w:rFonts w:ascii="Times New Roman" w:hAnsi="Times New Roman" w:cs="Times New Roman"/>
          <w:b w:val="0"/>
          <w:bCs w:val="0"/>
          <w:i/>
          <w:lang w:eastAsia="en-US"/>
        </w:rPr>
        <w:t>omit from the column headed “Circumstances”</w:t>
      </w:r>
      <w:r w:rsidR="00A005F8" w:rsidRPr="005F0061">
        <w:rPr>
          <w:b w:val="0"/>
          <w:i/>
        </w:rPr>
        <w:t xml:space="preserve"> </w:t>
      </w:r>
      <w:r w:rsidR="00A005F8" w:rsidRPr="005F0061">
        <w:rPr>
          <w:rFonts w:ascii="Times New Roman" w:hAnsi="Times New Roman" w:cs="Times New Roman"/>
          <w:b w:val="0"/>
          <w:i/>
        </w:rPr>
        <w:t xml:space="preserve">(all instances)”: </w:t>
      </w:r>
      <w:r w:rsidRPr="005F0061">
        <w:rPr>
          <w:bCs w:val="0"/>
          <w:iCs/>
        </w:rPr>
        <w:t>C10998 C11012 C11020 C11032 C11045</w:t>
      </w:r>
    </w:p>
    <w:p w14:paraId="269EEBA1" w14:textId="616BB15A" w:rsidR="009C0F3D" w:rsidRPr="005F0061" w:rsidRDefault="009C0F3D" w:rsidP="00291A25">
      <w:pPr>
        <w:pStyle w:val="ListParagraph"/>
        <w:numPr>
          <w:ilvl w:val="0"/>
          <w:numId w:val="14"/>
        </w:numPr>
        <w:spacing w:before="60" w:after="60"/>
        <w:ind w:left="1134" w:hanging="567"/>
        <w:contextualSpacing w:val="0"/>
        <w:rPr>
          <w:color w:val="000000" w:themeColor="text1"/>
          <w:sz w:val="20"/>
          <w:szCs w:val="20"/>
        </w:rPr>
      </w:pPr>
      <w:r w:rsidRPr="005F0061">
        <w:rPr>
          <w:i/>
          <w:sz w:val="20"/>
          <w:szCs w:val="20"/>
        </w:rPr>
        <w:t>insert in numerical order in the column headed “Circumstances”</w:t>
      </w:r>
      <w:r w:rsidR="00A005F8" w:rsidRPr="005F0061">
        <w:rPr>
          <w:i/>
          <w:sz w:val="20"/>
          <w:szCs w:val="20"/>
        </w:rPr>
        <w:t xml:space="preserve"> (all instances)</w:t>
      </w:r>
      <w:r w:rsidRPr="005F0061">
        <w:rPr>
          <w:i/>
          <w:sz w:val="20"/>
          <w:szCs w:val="20"/>
        </w:rPr>
        <w:t xml:space="preserve">: </w:t>
      </w:r>
      <w:r w:rsidRPr="005F0061">
        <w:rPr>
          <w:rFonts w:ascii="Arial" w:hAnsi="Arial" w:cs="Arial"/>
          <w:b/>
          <w:iCs/>
          <w:sz w:val="20"/>
          <w:szCs w:val="20"/>
          <w:lang w:eastAsia="en-AU"/>
        </w:rPr>
        <w:t xml:space="preserve">C11228 C11229 C11230 C11280 C11281 C11299   </w:t>
      </w:r>
    </w:p>
    <w:p w14:paraId="39C23C68" w14:textId="71E979DF" w:rsidR="009C0F3D" w:rsidRPr="005F0061" w:rsidRDefault="009C0F3D" w:rsidP="00291A25">
      <w:pPr>
        <w:pStyle w:val="Amendment1"/>
        <w:numPr>
          <w:ilvl w:val="0"/>
          <w:numId w:val="14"/>
        </w:numPr>
        <w:shd w:val="clear" w:color="auto" w:fill="FFFFFF" w:themeFill="background1"/>
        <w:spacing w:before="60" w:after="60"/>
        <w:ind w:left="1134" w:hanging="567"/>
        <w:rPr>
          <w:rFonts w:ascii="Times New Roman" w:hAnsi="Times New Roman" w:cs="Times New Roman"/>
          <w:b w:val="0"/>
          <w:bCs w:val="0"/>
          <w:iCs/>
        </w:rPr>
      </w:pPr>
      <w:r w:rsidRPr="005F0061">
        <w:rPr>
          <w:rFonts w:ascii="Times New Roman" w:hAnsi="Times New Roman" w:cs="Times New Roman"/>
          <w:b w:val="0"/>
          <w:i/>
        </w:rPr>
        <w:lastRenderedPageBreak/>
        <w:t xml:space="preserve">insert in the columns in the order indicated, and in alphabetical order for the column headed “Brand”: </w:t>
      </w:r>
    </w:p>
    <w:tbl>
      <w:tblPr>
        <w:tblStyle w:val="TableGrid"/>
        <w:tblW w:w="13277" w:type="dxa"/>
        <w:tblBorders>
          <w:insideH w:val="none" w:sz="0" w:space="0" w:color="auto"/>
          <w:insideV w:val="none" w:sz="0" w:space="0" w:color="auto"/>
        </w:tblBorders>
        <w:tblLayout w:type="fixed"/>
        <w:tblLook w:val="04A0" w:firstRow="1" w:lastRow="0" w:firstColumn="1" w:lastColumn="0" w:noHBand="0" w:noVBand="1"/>
      </w:tblPr>
      <w:tblGrid>
        <w:gridCol w:w="2030"/>
        <w:gridCol w:w="2591"/>
        <w:gridCol w:w="1032"/>
        <w:gridCol w:w="1587"/>
        <w:gridCol w:w="607"/>
        <w:gridCol w:w="1474"/>
        <w:gridCol w:w="1417"/>
        <w:gridCol w:w="788"/>
        <w:gridCol w:w="850"/>
        <w:gridCol w:w="901"/>
      </w:tblGrid>
      <w:tr w:rsidR="008E1CCC" w:rsidRPr="005F0061" w14:paraId="3CAB9E8B" w14:textId="77777777" w:rsidTr="004A6AC8">
        <w:tc>
          <w:tcPr>
            <w:tcW w:w="2030" w:type="dxa"/>
          </w:tcPr>
          <w:p w14:paraId="26D6DBAB" w14:textId="77777777" w:rsidR="008E1CCC" w:rsidRPr="005F0061" w:rsidRDefault="008E1CCC" w:rsidP="008E1CCC">
            <w:pPr>
              <w:spacing w:before="60" w:after="60"/>
              <w:rPr>
                <w:rFonts w:ascii="Arial" w:hAnsi="Arial" w:cs="Arial"/>
                <w:sz w:val="16"/>
                <w:szCs w:val="16"/>
              </w:rPr>
            </w:pPr>
          </w:p>
        </w:tc>
        <w:tc>
          <w:tcPr>
            <w:tcW w:w="2591" w:type="dxa"/>
          </w:tcPr>
          <w:p w14:paraId="1BB5EBD1" w14:textId="24626890" w:rsidR="008E1CCC" w:rsidRPr="005F0061" w:rsidRDefault="008E1CCC" w:rsidP="008E1CCC">
            <w:pPr>
              <w:spacing w:before="60" w:after="60"/>
              <w:rPr>
                <w:rFonts w:ascii="Arial" w:hAnsi="Arial" w:cs="Arial"/>
                <w:sz w:val="16"/>
                <w:szCs w:val="16"/>
              </w:rPr>
            </w:pPr>
          </w:p>
        </w:tc>
        <w:tc>
          <w:tcPr>
            <w:tcW w:w="1032" w:type="dxa"/>
          </w:tcPr>
          <w:p w14:paraId="2D246959" w14:textId="40A21091" w:rsidR="008E1CCC" w:rsidRPr="005F0061" w:rsidRDefault="008E1CCC" w:rsidP="008E1CCC">
            <w:pPr>
              <w:spacing w:before="60" w:after="60"/>
              <w:rPr>
                <w:rFonts w:ascii="Arial" w:hAnsi="Arial" w:cs="Arial"/>
                <w:sz w:val="16"/>
                <w:szCs w:val="16"/>
              </w:rPr>
            </w:pPr>
          </w:p>
        </w:tc>
        <w:tc>
          <w:tcPr>
            <w:tcW w:w="1587" w:type="dxa"/>
          </w:tcPr>
          <w:p w14:paraId="68EA4C8D" w14:textId="290AE75F" w:rsidR="008E1CCC" w:rsidRPr="005F0061" w:rsidRDefault="008E1CCC" w:rsidP="008E1CCC">
            <w:pPr>
              <w:spacing w:before="60" w:after="60"/>
              <w:rPr>
                <w:rFonts w:ascii="Arial" w:hAnsi="Arial" w:cs="Arial"/>
                <w:sz w:val="16"/>
                <w:szCs w:val="16"/>
              </w:rPr>
            </w:pPr>
            <w:r w:rsidRPr="005F0061">
              <w:rPr>
                <w:rFonts w:ascii="Arial" w:hAnsi="Arial" w:cs="Arial"/>
                <w:color w:val="000000" w:themeColor="text1"/>
                <w:sz w:val="16"/>
                <w:szCs w:val="16"/>
              </w:rPr>
              <w:t>Sildenafil PHT APOTEX</w:t>
            </w:r>
          </w:p>
        </w:tc>
        <w:tc>
          <w:tcPr>
            <w:tcW w:w="607" w:type="dxa"/>
          </w:tcPr>
          <w:p w14:paraId="7F87B986" w14:textId="225AFAC2" w:rsidR="008E1CCC" w:rsidRPr="005F0061" w:rsidRDefault="008E1CCC" w:rsidP="008E1CCC">
            <w:pPr>
              <w:spacing w:before="60" w:after="60"/>
              <w:rPr>
                <w:rFonts w:ascii="Arial" w:hAnsi="Arial" w:cs="Arial"/>
                <w:sz w:val="16"/>
                <w:szCs w:val="16"/>
              </w:rPr>
            </w:pPr>
            <w:r w:rsidRPr="005F0061">
              <w:rPr>
                <w:rFonts w:ascii="Arial" w:hAnsi="Arial" w:cs="Arial"/>
                <w:color w:val="000000" w:themeColor="text1"/>
                <w:sz w:val="16"/>
                <w:szCs w:val="16"/>
              </w:rPr>
              <w:t>TY</w:t>
            </w:r>
          </w:p>
        </w:tc>
        <w:tc>
          <w:tcPr>
            <w:tcW w:w="1474" w:type="dxa"/>
          </w:tcPr>
          <w:p w14:paraId="14E556FF" w14:textId="256873ED" w:rsidR="008E1CCC" w:rsidRPr="005F0061" w:rsidRDefault="008E1CCC" w:rsidP="008E1CCC">
            <w:pPr>
              <w:spacing w:before="60" w:after="60"/>
              <w:rPr>
                <w:rFonts w:ascii="Arial" w:hAnsi="Arial" w:cs="Arial"/>
                <w:sz w:val="16"/>
                <w:szCs w:val="16"/>
              </w:rPr>
            </w:pPr>
            <w:r w:rsidRPr="005F0061">
              <w:rPr>
                <w:rFonts w:ascii="Arial" w:hAnsi="Arial" w:cs="Arial"/>
                <w:color w:val="000000" w:themeColor="text1"/>
                <w:sz w:val="16"/>
                <w:szCs w:val="16"/>
              </w:rPr>
              <w:t>C10228 C10234 C10304 C11228 C11229 C11230 C11280 C11281 C11299</w:t>
            </w:r>
          </w:p>
        </w:tc>
        <w:tc>
          <w:tcPr>
            <w:tcW w:w="1417" w:type="dxa"/>
          </w:tcPr>
          <w:p w14:paraId="3D473E4B" w14:textId="77777777" w:rsidR="008E1CCC" w:rsidRPr="005F0061" w:rsidRDefault="008E1CCC" w:rsidP="008E1CCC">
            <w:pPr>
              <w:spacing w:before="60" w:after="60"/>
              <w:rPr>
                <w:rFonts w:ascii="Arial" w:hAnsi="Arial" w:cs="Arial"/>
                <w:sz w:val="16"/>
                <w:szCs w:val="16"/>
              </w:rPr>
            </w:pPr>
          </w:p>
        </w:tc>
        <w:tc>
          <w:tcPr>
            <w:tcW w:w="788" w:type="dxa"/>
          </w:tcPr>
          <w:p w14:paraId="712D8BED" w14:textId="53F7FC79" w:rsidR="008E1CCC" w:rsidRPr="005F0061" w:rsidRDefault="008E1CCC" w:rsidP="008E1CCC">
            <w:pPr>
              <w:spacing w:before="60" w:after="60"/>
              <w:rPr>
                <w:rFonts w:ascii="Arial" w:hAnsi="Arial" w:cs="Arial"/>
                <w:sz w:val="16"/>
                <w:szCs w:val="16"/>
              </w:rPr>
            </w:pPr>
            <w:r w:rsidRPr="005F0061">
              <w:rPr>
                <w:rFonts w:ascii="Arial" w:hAnsi="Arial" w:cs="Arial"/>
                <w:color w:val="000000" w:themeColor="text1"/>
                <w:sz w:val="16"/>
                <w:szCs w:val="16"/>
              </w:rPr>
              <w:t>See Note 1</w:t>
            </w:r>
          </w:p>
        </w:tc>
        <w:tc>
          <w:tcPr>
            <w:tcW w:w="850" w:type="dxa"/>
          </w:tcPr>
          <w:p w14:paraId="7B5DE447" w14:textId="6B9D9E6C" w:rsidR="008E1CCC" w:rsidRPr="005F0061" w:rsidRDefault="008E1CCC" w:rsidP="008E1CCC">
            <w:pPr>
              <w:spacing w:before="60" w:after="60"/>
              <w:rPr>
                <w:rFonts w:ascii="Arial" w:hAnsi="Arial" w:cs="Arial"/>
                <w:sz w:val="16"/>
                <w:szCs w:val="16"/>
              </w:rPr>
            </w:pPr>
            <w:r w:rsidRPr="005F0061">
              <w:rPr>
                <w:rFonts w:ascii="Arial" w:hAnsi="Arial" w:cs="Arial"/>
                <w:color w:val="000000" w:themeColor="text1"/>
                <w:sz w:val="16"/>
                <w:szCs w:val="16"/>
              </w:rPr>
              <w:t>See Note 2</w:t>
            </w:r>
          </w:p>
        </w:tc>
        <w:tc>
          <w:tcPr>
            <w:tcW w:w="901" w:type="dxa"/>
          </w:tcPr>
          <w:p w14:paraId="5C0B6842" w14:textId="18D387BA" w:rsidR="008E1CCC" w:rsidRPr="005F0061" w:rsidRDefault="008E1CCC" w:rsidP="008E1CCC">
            <w:pPr>
              <w:spacing w:before="60" w:after="60"/>
              <w:rPr>
                <w:rFonts w:ascii="Arial" w:hAnsi="Arial" w:cs="Arial"/>
                <w:sz w:val="16"/>
                <w:szCs w:val="16"/>
              </w:rPr>
            </w:pPr>
            <w:r w:rsidRPr="005F0061">
              <w:rPr>
                <w:rFonts w:ascii="Arial" w:hAnsi="Arial" w:cs="Arial"/>
                <w:color w:val="000000" w:themeColor="text1"/>
                <w:sz w:val="16"/>
                <w:szCs w:val="16"/>
              </w:rPr>
              <w:t>D</w:t>
            </w:r>
          </w:p>
        </w:tc>
      </w:tr>
    </w:tbl>
    <w:p w14:paraId="67CBA0CA" w14:textId="501D7873" w:rsidR="005C0858" w:rsidRPr="005F0061" w:rsidRDefault="005C0858" w:rsidP="003D58C6">
      <w:pPr>
        <w:pStyle w:val="Amendment1"/>
        <w:keepNext/>
        <w:numPr>
          <w:ilvl w:val="0"/>
          <w:numId w:val="10"/>
        </w:numPr>
        <w:ind w:left="567" w:hanging="567"/>
        <w:rPr>
          <w:bCs w:val="0"/>
          <w:iCs/>
        </w:rPr>
      </w:pPr>
      <w:r w:rsidRPr="005F0061">
        <w:rPr>
          <w:bCs w:val="0"/>
          <w:iCs/>
        </w:rPr>
        <w:t xml:space="preserve">Schedule 1, entry for </w:t>
      </w:r>
      <w:proofErr w:type="spellStart"/>
      <w:r w:rsidR="00394ECD" w:rsidRPr="005F0061">
        <w:rPr>
          <w:iCs/>
        </w:rPr>
        <w:t>Tadalafil</w:t>
      </w:r>
      <w:proofErr w:type="spellEnd"/>
    </w:p>
    <w:p w14:paraId="27F0947F" w14:textId="39826A24" w:rsidR="005C0858" w:rsidRPr="005F0061" w:rsidRDefault="005C0858" w:rsidP="00291A25">
      <w:pPr>
        <w:pStyle w:val="Amendment1"/>
        <w:numPr>
          <w:ilvl w:val="0"/>
          <w:numId w:val="18"/>
        </w:numPr>
        <w:spacing w:before="60" w:after="60"/>
        <w:ind w:left="1134" w:hanging="567"/>
        <w:rPr>
          <w:bCs w:val="0"/>
          <w:iCs/>
        </w:rPr>
      </w:pPr>
      <w:r w:rsidRPr="005F0061">
        <w:rPr>
          <w:rFonts w:ascii="Times New Roman" w:hAnsi="Times New Roman" w:cs="Times New Roman"/>
          <w:b w:val="0"/>
          <w:i/>
        </w:rPr>
        <w:t xml:space="preserve">omit from the column headed “Circumstances” (all instances): </w:t>
      </w:r>
      <w:r w:rsidR="00394ECD" w:rsidRPr="005F0061">
        <w:rPr>
          <w:bCs w:val="0"/>
          <w:iCs/>
        </w:rPr>
        <w:t>C10998 C11012 C11020 C11032 C11045</w:t>
      </w:r>
    </w:p>
    <w:p w14:paraId="0037CF76" w14:textId="60559740" w:rsidR="005C0858" w:rsidRPr="005F0061" w:rsidRDefault="005C0858" w:rsidP="00291A25">
      <w:pPr>
        <w:pStyle w:val="Amendment1"/>
        <w:numPr>
          <w:ilvl w:val="0"/>
          <w:numId w:val="18"/>
        </w:numPr>
        <w:spacing w:before="60" w:after="60"/>
        <w:ind w:left="1134" w:hanging="567"/>
        <w:rPr>
          <w:bCs w:val="0"/>
          <w:iCs/>
        </w:rPr>
      </w:pPr>
      <w:r w:rsidRPr="005F0061">
        <w:rPr>
          <w:rFonts w:ascii="Times New Roman" w:hAnsi="Times New Roman" w:cs="Times New Roman"/>
          <w:b w:val="0"/>
          <w:i/>
        </w:rPr>
        <w:t xml:space="preserve">insert in numerical order in the column headed “Circumstances” (all instances): </w:t>
      </w:r>
      <w:r w:rsidR="00394ECD" w:rsidRPr="005F0061">
        <w:rPr>
          <w:bCs w:val="0"/>
          <w:iCs/>
        </w:rPr>
        <w:t>C11228 C11229 C11240 C11277 C11278 C11281</w:t>
      </w:r>
    </w:p>
    <w:p w14:paraId="7E667429" w14:textId="6A260873" w:rsidR="00946AD8" w:rsidRPr="005F0061" w:rsidRDefault="00946AD8" w:rsidP="003D58C6">
      <w:pPr>
        <w:pStyle w:val="Amendment1"/>
        <w:numPr>
          <w:ilvl w:val="0"/>
          <w:numId w:val="10"/>
        </w:numPr>
        <w:ind w:left="567" w:hanging="567"/>
        <w:rPr>
          <w:bCs w:val="0"/>
          <w:iCs/>
        </w:rPr>
      </w:pPr>
      <w:r w:rsidRPr="005F0061">
        <w:rPr>
          <w:bCs w:val="0"/>
          <w:iCs/>
        </w:rPr>
        <w:t>Schedule 2, after details relevant to Responsible Person code TX</w:t>
      </w:r>
    </w:p>
    <w:p w14:paraId="072FD877" w14:textId="77777777" w:rsidR="00A473B9" w:rsidRPr="005F0061" w:rsidRDefault="00A473B9" w:rsidP="00AF2782">
      <w:pPr>
        <w:pStyle w:val="Amendment1"/>
        <w:numPr>
          <w:ilvl w:val="0"/>
          <w:numId w:val="0"/>
        </w:numPr>
        <w:spacing w:before="60" w:after="60"/>
        <w:ind w:left="1134" w:hanging="567"/>
        <w:rPr>
          <w:rFonts w:ascii="Times New Roman" w:hAnsi="Times New Roman" w:cs="Times New Roman"/>
          <w:b w:val="0"/>
          <w:bCs w:val="0"/>
          <w:i/>
          <w:iCs/>
        </w:rPr>
      </w:pPr>
      <w:proofErr w:type="gramStart"/>
      <w:r w:rsidRPr="005F0061">
        <w:rPr>
          <w:rFonts w:ascii="Times New Roman" w:hAnsi="Times New Roman" w:cs="Times New Roman"/>
          <w:b w:val="0"/>
          <w:bCs w:val="0"/>
          <w:i/>
          <w:iCs/>
        </w:rPr>
        <w:t>insert</w:t>
      </w:r>
      <w:proofErr w:type="gramEnd"/>
      <w:r w:rsidRPr="005F0061">
        <w:rPr>
          <w:rFonts w:ascii="Times New Roman" w:hAnsi="Times New Roman" w:cs="Times New Roman"/>
          <w:b w:val="0"/>
          <w:bCs w:val="0"/>
          <w:i/>
          <w:iCs/>
        </w:rPr>
        <w:t>:</w:t>
      </w:r>
    </w:p>
    <w:tbl>
      <w:tblPr>
        <w:tblW w:w="7843" w:type="dxa"/>
        <w:tblBorders>
          <w:top w:val="single" w:sz="4" w:space="0" w:color="auto"/>
          <w:bottom w:val="single" w:sz="2" w:space="0" w:color="auto"/>
          <w:insideH w:val="single" w:sz="4" w:space="0" w:color="auto"/>
        </w:tblBorders>
        <w:tblLook w:val="04A0" w:firstRow="1" w:lastRow="0" w:firstColumn="1" w:lastColumn="0" w:noHBand="0" w:noVBand="1"/>
      </w:tblPr>
      <w:tblGrid>
        <w:gridCol w:w="1387"/>
        <w:gridCol w:w="3763"/>
        <w:gridCol w:w="2693"/>
      </w:tblGrid>
      <w:tr w:rsidR="00A473B9" w:rsidRPr="005F0061" w14:paraId="6D5B6E65" w14:textId="77777777" w:rsidTr="00A473B9">
        <w:trPr>
          <w:trHeight w:val="255"/>
        </w:trPr>
        <w:tc>
          <w:tcPr>
            <w:tcW w:w="1387" w:type="dxa"/>
            <w:tcBorders>
              <w:top w:val="single" w:sz="4" w:space="0" w:color="auto"/>
              <w:left w:val="single" w:sz="4" w:space="0" w:color="auto"/>
              <w:bottom w:val="single" w:sz="4" w:space="0" w:color="auto"/>
              <w:right w:val="single" w:sz="4" w:space="0" w:color="auto"/>
            </w:tcBorders>
          </w:tcPr>
          <w:p w14:paraId="518FF790" w14:textId="77777777" w:rsidR="00A473B9" w:rsidRPr="005F0061" w:rsidRDefault="00A473B9" w:rsidP="0058314E">
            <w:pPr>
              <w:spacing w:before="60" w:after="60"/>
              <w:rPr>
                <w:rFonts w:ascii="Arial" w:hAnsi="Arial" w:cs="Arial"/>
                <w:sz w:val="16"/>
                <w:szCs w:val="16"/>
              </w:rPr>
            </w:pPr>
            <w:r w:rsidRPr="005F0061">
              <w:rPr>
                <w:rFonts w:ascii="Arial" w:hAnsi="Arial" w:cs="Arial"/>
                <w:sz w:val="16"/>
                <w:szCs w:val="16"/>
              </w:rPr>
              <w:t>TY</w:t>
            </w:r>
          </w:p>
        </w:tc>
        <w:tc>
          <w:tcPr>
            <w:tcW w:w="3763" w:type="dxa"/>
            <w:tcBorders>
              <w:top w:val="single" w:sz="4" w:space="0" w:color="auto"/>
              <w:left w:val="single" w:sz="4" w:space="0" w:color="auto"/>
              <w:bottom w:val="single" w:sz="4" w:space="0" w:color="auto"/>
              <w:right w:val="single" w:sz="4" w:space="0" w:color="auto"/>
            </w:tcBorders>
          </w:tcPr>
          <w:p w14:paraId="1B194135" w14:textId="77777777" w:rsidR="00A473B9" w:rsidRPr="005F0061" w:rsidRDefault="00A473B9" w:rsidP="0058314E">
            <w:pPr>
              <w:spacing w:before="60" w:after="60"/>
              <w:rPr>
                <w:rFonts w:ascii="Arial" w:hAnsi="Arial" w:cs="Arial"/>
                <w:sz w:val="16"/>
                <w:szCs w:val="16"/>
              </w:rPr>
            </w:pPr>
            <w:proofErr w:type="spellStart"/>
            <w:r w:rsidRPr="005F0061">
              <w:rPr>
                <w:rFonts w:ascii="Arial" w:hAnsi="Arial" w:cs="Arial"/>
                <w:sz w:val="16"/>
                <w:szCs w:val="16"/>
              </w:rPr>
              <w:t>Apotex</w:t>
            </w:r>
            <w:proofErr w:type="spellEnd"/>
            <w:r w:rsidRPr="005F0061">
              <w:rPr>
                <w:rFonts w:ascii="Arial" w:hAnsi="Arial" w:cs="Arial"/>
                <w:sz w:val="16"/>
                <w:szCs w:val="16"/>
              </w:rPr>
              <w:t xml:space="preserve"> Pty Ltd</w:t>
            </w:r>
          </w:p>
        </w:tc>
        <w:tc>
          <w:tcPr>
            <w:tcW w:w="2693" w:type="dxa"/>
            <w:tcBorders>
              <w:top w:val="single" w:sz="4" w:space="0" w:color="auto"/>
              <w:left w:val="single" w:sz="4" w:space="0" w:color="auto"/>
              <w:bottom w:val="single" w:sz="4" w:space="0" w:color="auto"/>
              <w:right w:val="single" w:sz="4" w:space="0" w:color="auto"/>
            </w:tcBorders>
          </w:tcPr>
          <w:p w14:paraId="32E74554" w14:textId="77777777" w:rsidR="00A473B9" w:rsidRPr="005F0061" w:rsidRDefault="00A473B9" w:rsidP="0058314E">
            <w:pPr>
              <w:spacing w:before="60" w:after="60"/>
              <w:rPr>
                <w:rFonts w:ascii="Arial" w:hAnsi="Arial" w:cs="Arial"/>
                <w:sz w:val="16"/>
                <w:szCs w:val="16"/>
                <w:lang w:val="en-US"/>
              </w:rPr>
            </w:pPr>
            <w:r w:rsidRPr="005F0061">
              <w:rPr>
                <w:rFonts w:ascii="Arial" w:hAnsi="Arial" w:cs="Arial"/>
                <w:sz w:val="16"/>
                <w:szCs w:val="16"/>
                <w:lang w:eastAsia="en-AU"/>
              </w:rPr>
              <w:t>52 096 916 148</w:t>
            </w:r>
          </w:p>
        </w:tc>
      </w:tr>
    </w:tbl>
    <w:p w14:paraId="3DF09BB4" w14:textId="64822D17" w:rsidR="00812237" w:rsidRPr="005F0061" w:rsidRDefault="00AC4B43" w:rsidP="003D58C6">
      <w:pPr>
        <w:pStyle w:val="Amendment1"/>
        <w:numPr>
          <w:ilvl w:val="0"/>
          <w:numId w:val="10"/>
        </w:numPr>
        <w:ind w:left="567" w:hanging="567"/>
        <w:rPr>
          <w:bCs w:val="0"/>
          <w:iCs/>
        </w:rPr>
      </w:pPr>
      <w:r w:rsidRPr="005F0061">
        <w:rPr>
          <w:bCs w:val="0"/>
          <w:iCs/>
        </w:rPr>
        <w:t xml:space="preserve">Schedule 2, after details relevant to Responsible Person code </w:t>
      </w:r>
      <w:r w:rsidR="00946AD8" w:rsidRPr="005F0061">
        <w:rPr>
          <w:bCs w:val="0"/>
          <w:iCs/>
        </w:rPr>
        <w:t>YC</w:t>
      </w:r>
    </w:p>
    <w:p w14:paraId="72C95B8E" w14:textId="18A0AF1F" w:rsidR="00AC4B43" w:rsidRPr="005F0061" w:rsidRDefault="00AC4B43" w:rsidP="00AC4B43">
      <w:pPr>
        <w:pStyle w:val="Amendment1"/>
        <w:numPr>
          <w:ilvl w:val="0"/>
          <w:numId w:val="0"/>
        </w:numPr>
        <w:spacing w:before="60" w:after="60"/>
        <w:ind w:left="567"/>
        <w:rPr>
          <w:rFonts w:ascii="Times New Roman" w:hAnsi="Times New Roman" w:cs="Times New Roman"/>
          <w:b w:val="0"/>
          <w:bCs w:val="0"/>
          <w:i/>
          <w:iCs/>
        </w:rPr>
      </w:pPr>
      <w:proofErr w:type="gramStart"/>
      <w:r w:rsidRPr="005F0061">
        <w:rPr>
          <w:rFonts w:ascii="Times New Roman" w:hAnsi="Times New Roman" w:cs="Times New Roman"/>
          <w:b w:val="0"/>
          <w:bCs w:val="0"/>
          <w:i/>
          <w:iCs/>
        </w:rPr>
        <w:t>insert</w:t>
      </w:r>
      <w:proofErr w:type="gramEnd"/>
      <w:r w:rsidRPr="005F0061">
        <w:rPr>
          <w:rFonts w:ascii="Times New Roman" w:hAnsi="Times New Roman" w:cs="Times New Roman"/>
          <w:b w:val="0"/>
          <w:bCs w:val="0"/>
          <w:i/>
          <w:iCs/>
        </w:rPr>
        <w:t>:</w:t>
      </w:r>
    </w:p>
    <w:tbl>
      <w:tblPr>
        <w:tblW w:w="7843" w:type="dxa"/>
        <w:tblBorders>
          <w:top w:val="single" w:sz="4" w:space="0" w:color="auto"/>
          <w:bottom w:val="single" w:sz="2" w:space="0" w:color="auto"/>
          <w:insideH w:val="single" w:sz="4" w:space="0" w:color="auto"/>
        </w:tblBorders>
        <w:tblLook w:val="04A0" w:firstRow="1" w:lastRow="0" w:firstColumn="1" w:lastColumn="0" w:noHBand="0" w:noVBand="1"/>
      </w:tblPr>
      <w:tblGrid>
        <w:gridCol w:w="1387"/>
        <w:gridCol w:w="3763"/>
        <w:gridCol w:w="2693"/>
      </w:tblGrid>
      <w:tr w:rsidR="00AC4B43" w:rsidRPr="005F0061" w14:paraId="1E8D8DB6" w14:textId="77777777" w:rsidTr="00475B7F">
        <w:trPr>
          <w:trHeight w:val="255"/>
        </w:trPr>
        <w:tc>
          <w:tcPr>
            <w:tcW w:w="1387" w:type="dxa"/>
            <w:tcBorders>
              <w:top w:val="single" w:sz="4" w:space="0" w:color="auto"/>
              <w:left w:val="single" w:sz="4" w:space="0" w:color="auto"/>
              <w:bottom w:val="single" w:sz="4" w:space="0" w:color="auto"/>
              <w:right w:val="single" w:sz="4" w:space="0" w:color="auto"/>
            </w:tcBorders>
          </w:tcPr>
          <w:p w14:paraId="41F91344" w14:textId="2B77C82D" w:rsidR="00AC4B43" w:rsidRPr="005F0061" w:rsidRDefault="00323EA0" w:rsidP="00FA7DB9">
            <w:pPr>
              <w:spacing w:before="60" w:after="60"/>
              <w:rPr>
                <w:rFonts w:ascii="Arial" w:hAnsi="Arial" w:cs="Arial"/>
                <w:sz w:val="16"/>
                <w:szCs w:val="16"/>
              </w:rPr>
            </w:pPr>
            <w:r w:rsidRPr="005F0061">
              <w:rPr>
                <w:rFonts w:ascii="Arial" w:hAnsi="Arial" w:cs="Arial"/>
                <w:sz w:val="16"/>
                <w:szCs w:val="16"/>
              </w:rPr>
              <w:t>ZE</w:t>
            </w:r>
          </w:p>
        </w:tc>
        <w:tc>
          <w:tcPr>
            <w:tcW w:w="3763" w:type="dxa"/>
            <w:tcBorders>
              <w:top w:val="single" w:sz="4" w:space="0" w:color="auto"/>
              <w:left w:val="single" w:sz="4" w:space="0" w:color="auto"/>
              <w:bottom w:val="single" w:sz="4" w:space="0" w:color="auto"/>
              <w:right w:val="single" w:sz="4" w:space="0" w:color="auto"/>
            </w:tcBorders>
            <w:vAlign w:val="center"/>
          </w:tcPr>
          <w:p w14:paraId="0B64F27B" w14:textId="5B7674EC" w:rsidR="00AC4B43" w:rsidRPr="005F0061" w:rsidRDefault="00323EA0" w:rsidP="00FA7DB9">
            <w:pPr>
              <w:spacing w:before="60" w:after="60"/>
              <w:rPr>
                <w:rFonts w:ascii="Arial" w:hAnsi="Arial" w:cs="Arial"/>
                <w:sz w:val="16"/>
                <w:szCs w:val="16"/>
                <w:lang w:eastAsia="en-AU"/>
              </w:rPr>
            </w:pPr>
            <w:proofErr w:type="spellStart"/>
            <w:r w:rsidRPr="005F0061">
              <w:rPr>
                <w:rFonts w:ascii="Arial" w:hAnsi="Arial" w:cs="Arial"/>
                <w:sz w:val="16"/>
                <w:szCs w:val="16"/>
                <w:lang w:eastAsia="en-AU"/>
              </w:rPr>
              <w:t>Seekwell</w:t>
            </w:r>
            <w:proofErr w:type="spellEnd"/>
            <w:r w:rsidRPr="005F0061">
              <w:rPr>
                <w:rFonts w:ascii="Arial" w:hAnsi="Arial" w:cs="Arial"/>
                <w:sz w:val="16"/>
                <w:szCs w:val="16"/>
                <w:lang w:eastAsia="en-AU"/>
              </w:rPr>
              <w:t xml:space="preserve"> Pty Ltd</w:t>
            </w:r>
          </w:p>
        </w:tc>
        <w:tc>
          <w:tcPr>
            <w:tcW w:w="2693" w:type="dxa"/>
            <w:tcBorders>
              <w:top w:val="single" w:sz="4" w:space="0" w:color="auto"/>
              <w:left w:val="single" w:sz="4" w:space="0" w:color="auto"/>
              <w:bottom w:val="single" w:sz="4" w:space="0" w:color="auto"/>
              <w:right w:val="single" w:sz="4" w:space="0" w:color="auto"/>
            </w:tcBorders>
          </w:tcPr>
          <w:p w14:paraId="3AB72184" w14:textId="1B4464C1" w:rsidR="00AC4B43" w:rsidRPr="005F0061" w:rsidRDefault="00323EA0" w:rsidP="00323EA0">
            <w:pPr>
              <w:spacing w:before="60" w:after="60"/>
              <w:rPr>
                <w:rFonts w:ascii="Arial" w:hAnsi="Arial" w:cs="Arial"/>
                <w:sz w:val="16"/>
                <w:szCs w:val="16"/>
                <w:lang w:val="en-US"/>
              </w:rPr>
            </w:pPr>
            <w:r w:rsidRPr="005F0061">
              <w:rPr>
                <w:rFonts w:ascii="Arial" w:hAnsi="Arial" w:cs="Arial"/>
                <w:sz w:val="16"/>
                <w:szCs w:val="16"/>
                <w:lang w:eastAsia="en-AU"/>
              </w:rPr>
              <w:t>91 624 401 618</w:t>
            </w:r>
          </w:p>
        </w:tc>
      </w:tr>
    </w:tbl>
    <w:p w14:paraId="1690A8C3" w14:textId="2AFF2308" w:rsidR="00E80725" w:rsidRPr="005F0061" w:rsidRDefault="00E80725" w:rsidP="00970BDB">
      <w:pPr>
        <w:pStyle w:val="Amendment1"/>
        <w:numPr>
          <w:ilvl w:val="0"/>
          <w:numId w:val="10"/>
        </w:numPr>
        <w:ind w:left="567" w:hanging="567"/>
        <w:rPr>
          <w:bCs w:val="0"/>
          <w:iCs/>
        </w:rPr>
      </w:pPr>
      <w:r w:rsidRPr="005F0061">
        <w:t>Schedule</w:t>
      </w:r>
      <w:r w:rsidRPr="005F0061">
        <w:rPr>
          <w:bCs w:val="0"/>
          <w:iCs/>
        </w:rPr>
        <w:t xml:space="preserve"> 3, entry for </w:t>
      </w:r>
      <w:proofErr w:type="spellStart"/>
      <w:r w:rsidRPr="005F0061">
        <w:rPr>
          <w:bCs w:val="0"/>
          <w:iCs/>
        </w:rPr>
        <w:t>Ambrisentan</w:t>
      </w:r>
      <w:proofErr w:type="spellEnd"/>
    </w:p>
    <w:p w14:paraId="46A70D0B" w14:textId="77777777" w:rsidR="00E80725" w:rsidRPr="005F0061" w:rsidRDefault="00E80725" w:rsidP="0093450B">
      <w:pPr>
        <w:pStyle w:val="Amendment1"/>
        <w:widowControl/>
        <w:numPr>
          <w:ilvl w:val="0"/>
          <w:numId w:val="19"/>
        </w:numPr>
        <w:spacing w:before="60" w:after="60"/>
        <w:ind w:left="1134" w:hanging="567"/>
        <w:rPr>
          <w:bCs w:val="0"/>
          <w:iCs/>
        </w:rPr>
      </w:pPr>
      <w:r w:rsidRPr="005F0061">
        <w:rPr>
          <w:rFonts w:ascii="Times New Roman" w:hAnsi="Times New Roman" w:cs="Times New Roman"/>
          <w:b w:val="0"/>
          <w:bCs w:val="0"/>
          <w:i/>
          <w:iCs/>
        </w:rPr>
        <w:t>omit: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160781" w:rsidRPr="005F0061" w14:paraId="5F975032" w14:textId="77777777" w:rsidTr="00FA7DB9">
        <w:tc>
          <w:tcPr>
            <w:tcW w:w="1900" w:type="dxa"/>
            <w:shd w:val="clear" w:color="auto" w:fill="auto"/>
            <w:tcMar>
              <w:top w:w="28" w:type="dxa"/>
              <w:left w:w="28" w:type="dxa"/>
            </w:tcMar>
          </w:tcPr>
          <w:p w14:paraId="03CB174A" w14:textId="2BF8860D" w:rsidR="00160781" w:rsidRPr="005F0061" w:rsidRDefault="00160781" w:rsidP="00160781">
            <w:pPr>
              <w:pStyle w:val="Tabletext0"/>
              <w:tabs>
                <w:tab w:val="left" w:pos="958"/>
              </w:tabs>
              <w:rPr>
                <w:rFonts w:cs="Arial"/>
                <w:szCs w:val="16"/>
              </w:rPr>
            </w:pPr>
          </w:p>
        </w:tc>
        <w:tc>
          <w:tcPr>
            <w:tcW w:w="850" w:type="dxa"/>
            <w:shd w:val="clear" w:color="auto" w:fill="auto"/>
            <w:tcMar>
              <w:top w:w="28" w:type="dxa"/>
              <w:left w:w="28" w:type="dxa"/>
            </w:tcMar>
          </w:tcPr>
          <w:p w14:paraId="21491A45" w14:textId="06C0C511" w:rsidR="00160781" w:rsidRPr="005F0061" w:rsidRDefault="00160781" w:rsidP="00160781">
            <w:pPr>
              <w:pStyle w:val="Tabletext0"/>
              <w:rPr>
                <w:rFonts w:cs="Arial"/>
                <w:szCs w:val="16"/>
              </w:rPr>
            </w:pPr>
            <w:r w:rsidRPr="005F0061">
              <w:rPr>
                <w:rFonts w:cs="Arial"/>
                <w:szCs w:val="16"/>
              </w:rPr>
              <w:t>C11007</w:t>
            </w:r>
          </w:p>
        </w:tc>
        <w:tc>
          <w:tcPr>
            <w:tcW w:w="850" w:type="dxa"/>
            <w:shd w:val="clear" w:color="auto" w:fill="auto"/>
            <w:tcMar>
              <w:top w:w="28" w:type="dxa"/>
              <w:left w:w="28" w:type="dxa"/>
            </w:tcMar>
          </w:tcPr>
          <w:p w14:paraId="0C819F3D" w14:textId="0672A63A" w:rsidR="00160781" w:rsidRPr="005F0061" w:rsidDel="00E03489" w:rsidRDefault="00160781" w:rsidP="00160781">
            <w:pPr>
              <w:spacing w:before="60" w:after="60"/>
              <w:rPr>
                <w:rFonts w:ascii="Arial" w:hAnsi="Arial" w:cs="Arial"/>
                <w:sz w:val="16"/>
                <w:szCs w:val="16"/>
                <w:lang w:eastAsia="en-AU"/>
              </w:rPr>
            </w:pPr>
          </w:p>
        </w:tc>
        <w:tc>
          <w:tcPr>
            <w:tcW w:w="7661" w:type="dxa"/>
            <w:shd w:val="clear" w:color="auto" w:fill="auto"/>
            <w:tcMar>
              <w:top w:w="28" w:type="dxa"/>
              <w:left w:w="28" w:type="dxa"/>
            </w:tcMar>
          </w:tcPr>
          <w:p w14:paraId="63C6964A" w14:textId="2C54D034" w:rsidR="00160781" w:rsidRPr="005F0061" w:rsidRDefault="00160781" w:rsidP="00160781">
            <w:pPr>
              <w:spacing w:before="60" w:after="60"/>
              <w:rPr>
                <w:rFonts w:ascii="Arial" w:hAnsi="Arial" w:cs="Arial"/>
                <w:sz w:val="16"/>
                <w:szCs w:val="16"/>
              </w:rPr>
            </w:pPr>
            <w:r w:rsidRPr="005F0061">
              <w:rPr>
                <w:rFonts w:ascii="Arial" w:hAnsi="Arial" w:cs="Arial"/>
                <w:sz w:val="16"/>
                <w:szCs w:val="16"/>
              </w:rPr>
              <w:t>Pulmonary arterial hypertension (PAH</w:t>
            </w:r>
            <w:proofErr w:type="gramStart"/>
            <w:r w:rsidRPr="005F0061">
              <w:rPr>
                <w:rFonts w:ascii="Arial" w:hAnsi="Arial" w:cs="Arial"/>
                <w:sz w:val="16"/>
                <w:szCs w:val="16"/>
              </w:rPr>
              <w:t>)</w:t>
            </w:r>
            <w:proofErr w:type="gramEnd"/>
            <w:r w:rsidRPr="005F0061">
              <w:rPr>
                <w:rFonts w:ascii="Arial" w:hAnsi="Arial" w:cs="Arial"/>
                <w:sz w:val="16"/>
                <w:szCs w:val="16"/>
              </w:rPr>
              <w:br/>
              <w:t>Continuing treatment (dual therapy)</w:t>
            </w:r>
            <w:r w:rsidRPr="005F0061">
              <w:rPr>
                <w:rFonts w:ascii="Arial" w:hAnsi="Arial" w:cs="Arial"/>
                <w:sz w:val="16"/>
                <w:szCs w:val="16"/>
              </w:rPr>
              <w:br/>
              <w:t>Patient must have received their most recent course of PBS-subsidised dual therapy with this PAH agent and a phosphodiesterase-5 inhibitor (PDE-5i) for this condition.</w:t>
            </w:r>
            <w:r w:rsidRPr="005F0061">
              <w:rPr>
                <w:rFonts w:ascii="Arial" w:hAnsi="Arial" w:cs="Arial"/>
                <w:sz w:val="16"/>
                <w:szCs w:val="16"/>
              </w:rPr>
              <w:br/>
              <w:t xml:space="preserve">The term 'PAH agents' refers to </w:t>
            </w:r>
            <w:proofErr w:type="spellStart"/>
            <w:r w:rsidRPr="005F0061">
              <w:rPr>
                <w:rFonts w:ascii="Arial" w:hAnsi="Arial" w:cs="Arial"/>
                <w:sz w:val="16"/>
                <w:szCs w:val="16"/>
              </w:rPr>
              <w:t>bosentan</w:t>
            </w:r>
            <w:proofErr w:type="spellEnd"/>
            <w:r w:rsidRPr="005F0061">
              <w:rPr>
                <w:rFonts w:ascii="Arial" w:hAnsi="Arial" w:cs="Arial"/>
                <w:sz w:val="16"/>
                <w:szCs w:val="16"/>
              </w:rPr>
              <w:t xml:space="preserve"> monohydrate, </w:t>
            </w:r>
            <w:proofErr w:type="spellStart"/>
            <w:r w:rsidRPr="005F0061">
              <w:rPr>
                <w:rFonts w:ascii="Arial" w:hAnsi="Arial" w:cs="Arial"/>
                <w:sz w:val="16"/>
                <w:szCs w:val="16"/>
              </w:rPr>
              <w:t>iloprost</w:t>
            </w:r>
            <w:proofErr w:type="spellEnd"/>
            <w:r w:rsidRPr="005F0061">
              <w:rPr>
                <w:rFonts w:ascii="Arial" w:hAnsi="Arial" w:cs="Arial"/>
                <w:sz w:val="16"/>
                <w:szCs w:val="16"/>
              </w:rPr>
              <w:t xml:space="preserve"> trometamol, </w:t>
            </w:r>
            <w:proofErr w:type="spellStart"/>
            <w:r w:rsidRPr="005F0061">
              <w:rPr>
                <w:rFonts w:ascii="Arial" w:hAnsi="Arial" w:cs="Arial"/>
                <w:sz w:val="16"/>
                <w:szCs w:val="16"/>
              </w:rPr>
              <w:t>epoprostenol</w:t>
            </w:r>
            <w:proofErr w:type="spellEnd"/>
            <w:r w:rsidRPr="005F0061">
              <w:rPr>
                <w:rFonts w:ascii="Arial" w:hAnsi="Arial" w:cs="Arial"/>
                <w:sz w:val="16"/>
                <w:szCs w:val="16"/>
              </w:rPr>
              <w:t xml:space="preserve"> sodium, sildenafil citrate, </w:t>
            </w:r>
            <w:proofErr w:type="spellStart"/>
            <w:r w:rsidRPr="005F0061">
              <w:rPr>
                <w:rFonts w:ascii="Arial" w:hAnsi="Arial" w:cs="Arial"/>
                <w:sz w:val="16"/>
                <w:szCs w:val="16"/>
              </w:rPr>
              <w:t>ambrisentan</w:t>
            </w:r>
            <w:proofErr w:type="spellEnd"/>
            <w:r w:rsidRPr="005F0061">
              <w:rPr>
                <w:rFonts w:ascii="Arial" w:hAnsi="Arial" w:cs="Arial"/>
                <w:sz w:val="16"/>
                <w:szCs w:val="16"/>
              </w:rPr>
              <w:t xml:space="preserve">, </w:t>
            </w:r>
            <w:proofErr w:type="spellStart"/>
            <w:r w:rsidRPr="005F0061">
              <w:rPr>
                <w:rFonts w:ascii="Arial" w:hAnsi="Arial" w:cs="Arial"/>
                <w:sz w:val="16"/>
                <w:szCs w:val="16"/>
              </w:rPr>
              <w:t>tadalafil</w:t>
            </w:r>
            <w:proofErr w:type="spellEnd"/>
            <w:r w:rsidRPr="005F0061">
              <w:rPr>
                <w:rFonts w:ascii="Arial" w:hAnsi="Arial" w:cs="Arial"/>
                <w:sz w:val="16"/>
                <w:szCs w:val="16"/>
              </w:rPr>
              <w:t xml:space="preserve">, and </w:t>
            </w:r>
            <w:proofErr w:type="spellStart"/>
            <w:r w:rsidRPr="005F0061">
              <w:rPr>
                <w:rFonts w:ascii="Arial" w:hAnsi="Arial" w:cs="Arial"/>
                <w:sz w:val="16"/>
                <w:szCs w:val="16"/>
              </w:rPr>
              <w:t>macitentan</w:t>
            </w:r>
            <w:proofErr w:type="spellEnd"/>
            <w:r w:rsidRPr="005F0061">
              <w:rPr>
                <w:rFonts w:ascii="Arial" w:hAnsi="Arial" w:cs="Arial"/>
                <w:sz w:val="16"/>
                <w:szCs w:val="16"/>
              </w:rPr>
              <w:t>.</w:t>
            </w:r>
            <w:r w:rsidRPr="005F0061">
              <w:rPr>
                <w:rFonts w:ascii="Arial" w:hAnsi="Arial" w:cs="Arial"/>
                <w:sz w:val="16"/>
                <w:szCs w:val="16"/>
              </w:rPr>
              <w:br/>
              <w:t>For the purposes of PBS subsidy, dual therapy refers to combined use of an endothelin receptor antagonist (ERA) and a phosphodiesterase-5 inhibitor (PDE-5i).</w:t>
            </w:r>
            <w:r w:rsidRPr="005F0061">
              <w:rPr>
                <w:rFonts w:ascii="Arial" w:hAnsi="Arial" w:cs="Arial"/>
                <w:sz w:val="16"/>
                <w:szCs w:val="16"/>
              </w:rPr>
              <w:br/>
              <w:t>(</w:t>
            </w:r>
            <w:proofErr w:type="spellStart"/>
            <w:r w:rsidRPr="005F0061">
              <w:rPr>
                <w:rFonts w:ascii="Arial" w:hAnsi="Arial" w:cs="Arial"/>
                <w:sz w:val="16"/>
                <w:szCs w:val="16"/>
              </w:rPr>
              <w:t>i</w:t>
            </w:r>
            <w:proofErr w:type="spellEnd"/>
            <w:r w:rsidRPr="005F0061">
              <w:rPr>
                <w:rFonts w:ascii="Arial" w:hAnsi="Arial" w:cs="Arial"/>
                <w:sz w:val="16"/>
                <w:szCs w:val="16"/>
              </w:rPr>
              <w:t xml:space="preserve">) An ERA includes </w:t>
            </w:r>
            <w:proofErr w:type="spellStart"/>
            <w:r w:rsidRPr="005F0061">
              <w:rPr>
                <w:rFonts w:ascii="Arial" w:hAnsi="Arial" w:cs="Arial"/>
                <w:sz w:val="16"/>
                <w:szCs w:val="16"/>
              </w:rPr>
              <w:t>ambrisentan</w:t>
            </w:r>
            <w:proofErr w:type="spellEnd"/>
            <w:r w:rsidRPr="005F0061">
              <w:rPr>
                <w:rFonts w:ascii="Arial" w:hAnsi="Arial" w:cs="Arial"/>
                <w:sz w:val="16"/>
                <w:szCs w:val="16"/>
              </w:rPr>
              <w:t xml:space="preserve">, </w:t>
            </w:r>
            <w:proofErr w:type="spellStart"/>
            <w:r w:rsidRPr="005F0061">
              <w:rPr>
                <w:rFonts w:ascii="Arial" w:hAnsi="Arial" w:cs="Arial"/>
                <w:sz w:val="16"/>
                <w:szCs w:val="16"/>
              </w:rPr>
              <w:t>bosentan</w:t>
            </w:r>
            <w:proofErr w:type="spellEnd"/>
            <w:r w:rsidRPr="005F0061">
              <w:rPr>
                <w:rFonts w:ascii="Arial" w:hAnsi="Arial" w:cs="Arial"/>
                <w:sz w:val="16"/>
                <w:szCs w:val="16"/>
              </w:rPr>
              <w:t xml:space="preserve"> monohydrate, or </w:t>
            </w:r>
            <w:proofErr w:type="spellStart"/>
            <w:r w:rsidRPr="005F0061">
              <w:rPr>
                <w:rFonts w:ascii="Arial" w:hAnsi="Arial" w:cs="Arial"/>
                <w:sz w:val="16"/>
                <w:szCs w:val="16"/>
              </w:rPr>
              <w:t>macitentan</w:t>
            </w:r>
            <w:proofErr w:type="spellEnd"/>
            <w:r w:rsidRPr="005F0061">
              <w:rPr>
                <w:rFonts w:ascii="Arial" w:hAnsi="Arial" w:cs="Arial"/>
                <w:sz w:val="16"/>
                <w:szCs w:val="16"/>
              </w:rPr>
              <w:t>.</w:t>
            </w:r>
            <w:r w:rsidRPr="005F0061">
              <w:rPr>
                <w:rFonts w:ascii="Arial" w:hAnsi="Arial" w:cs="Arial"/>
                <w:sz w:val="16"/>
                <w:szCs w:val="16"/>
              </w:rPr>
              <w:br/>
              <w:t xml:space="preserve">(ii) A PDE-5i includes sildenafil citrate, or </w:t>
            </w:r>
            <w:proofErr w:type="spellStart"/>
            <w:r w:rsidRPr="005F0061">
              <w:rPr>
                <w:rFonts w:ascii="Arial" w:hAnsi="Arial" w:cs="Arial"/>
                <w:sz w:val="16"/>
                <w:szCs w:val="16"/>
              </w:rPr>
              <w:t>tadalafil</w:t>
            </w:r>
            <w:proofErr w:type="spellEnd"/>
            <w:r w:rsidRPr="005F0061">
              <w:rPr>
                <w:rFonts w:ascii="Arial" w:hAnsi="Arial" w:cs="Arial"/>
                <w:sz w:val="16"/>
                <w:szCs w:val="16"/>
              </w:rPr>
              <w:t>.</w:t>
            </w:r>
            <w:r w:rsidRPr="005F0061">
              <w:rPr>
                <w:rFonts w:ascii="Arial"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5F0061">
              <w:rPr>
                <w:rFonts w:ascii="Arial" w:hAnsi="Arial" w:cs="Arial"/>
                <w:sz w:val="16"/>
                <w:szCs w:val="16"/>
              </w:rPr>
              <w:br/>
              <w:t>The maximum quantity authorised will be limited to provide sufficient supply for 1 month of treatment, based on the dosage recommendations in the TGA-approved Product Information.</w:t>
            </w:r>
            <w:r w:rsidRPr="005F0061">
              <w:rPr>
                <w:rFonts w:ascii="Arial" w:hAnsi="Arial" w:cs="Arial"/>
                <w:sz w:val="16"/>
                <w:szCs w:val="16"/>
              </w:rPr>
              <w:br/>
              <w:t>A maximum of 5 repeats may be requested.</w:t>
            </w:r>
          </w:p>
        </w:tc>
        <w:tc>
          <w:tcPr>
            <w:tcW w:w="2650" w:type="dxa"/>
            <w:shd w:val="clear" w:color="auto" w:fill="auto"/>
            <w:tcMar>
              <w:top w:w="28" w:type="dxa"/>
              <w:left w:w="28" w:type="dxa"/>
              <w:right w:w="57" w:type="dxa"/>
            </w:tcMar>
          </w:tcPr>
          <w:p w14:paraId="54807863" w14:textId="4CC4291E" w:rsidR="00160781" w:rsidRPr="005F0061" w:rsidRDefault="00160781" w:rsidP="00160781">
            <w:pPr>
              <w:pStyle w:val="Tabletext0"/>
              <w:rPr>
                <w:rFonts w:cs="Arial"/>
                <w:szCs w:val="16"/>
              </w:rPr>
            </w:pPr>
            <w:r w:rsidRPr="005F0061">
              <w:rPr>
                <w:rFonts w:cs="Arial"/>
                <w:szCs w:val="16"/>
              </w:rPr>
              <w:t>Compliance with Authority Required procedures</w:t>
            </w:r>
          </w:p>
        </w:tc>
      </w:tr>
      <w:tr w:rsidR="00160781" w:rsidRPr="005F0061" w14:paraId="6CF291FB" w14:textId="77777777" w:rsidTr="00FA7DB9">
        <w:tc>
          <w:tcPr>
            <w:tcW w:w="1900" w:type="dxa"/>
            <w:shd w:val="clear" w:color="auto" w:fill="auto"/>
            <w:tcMar>
              <w:top w:w="28" w:type="dxa"/>
              <w:left w:w="28" w:type="dxa"/>
            </w:tcMar>
          </w:tcPr>
          <w:p w14:paraId="40D8723C" w14:textId="77777777" w:rsidR="00160781" w:rsidRPr="005F0061" w:rsidRDefault="00160781" w:rsidP="00160781">
            <w:pPr>
              <w:pStyle w:val="Tabletext0"/>
              <w:tabs>
                <w:tab w:val="left" w:pos="958"/>
              </w:tabs>
              <w:rPr>
                <w:rFonts w:cs="Arial"/>
                <w:szCs w:val="16"/>
              </w:rPr>
            </w:pPr>
          </w:p>
        </w:tc>
        <w:tc>
          <w:tcPr>
            <w:tcW w:w="850" w:type="dxa"/>
            <w:shd w:val="clear" w:color="auto" w:fill="auto"/>
            <w:tcMar>
              <w:top w:w="28" w:type="dxa"/>
              <w:left w:w="28" w:type="dxa"/>
            </w:tcMar>
          </w:tcPr>
          <w:p w14:paraId="4AA33725" w14:textId="1C6A2FA7" w:rsidR="00160781" w:rsidRPr="005F0061" w:rsidRDefault="00160781" w:rsidP="00160781">
            <w:pPr>
              <w:pStyle w:val="Tabletext0"/>
              <w:rPr>
                <w:rFonts w:cs="Arial"/>
                <w:szCs w:val="16"/>
              </w:rPr>
            </w:pPr>
            <w:r w:rsidRPr="005F0061">
              <w:rPr>
                <w:rFonts w:cs="Arial"/>
                <w:szCs w:val="16"/>
              </w:rPr>
              <w:t>C11008</w:t>
            </w:r>
          </w:p>
        </w:tc>
        <w:tc>
          <w:tcPr>
            <w:tcW w:w="850" w:type="dxa"/>
            <w:shd w:val="clear" w:color="auto" w:fill="auto"/>
            <w:tcMar>
              <w:top w:w="28" w:type="dxa"/>
              <w:left w:w="28" w:type="dxa"/>
            </w:tcMar>
          </w:tcPr>
          <w:p w14:paraId="72876DFD" w14:textId="77777777" w:rsidR="00160781" w:rsidRPr="005F0061" w:rsidDel="00E03489" w:rsidRDefault="00160781" w:rsidP="00160781">
            <w:pPr>
              <w:spacing w:before="60" w:after="60"/>
              <w:rPr>
                <w:rFonts w:ascii="Arial" w:hAnsi="Arial" w:cs="Arial"/>
                <w:sz w:val="16"/>
                <w:szCs w:val="16"/>
                <w:lang w:eastAsia="en-AU"/>
              </w:rPr>
            </w:pPr>
          </w:p>
        </w:tc>
        <w:tc>
          <w:tcPr>
            <w:tcW w:w="7661" w:type="dxa"/>
            <w:shd w:val="clear" w:color="auto" w:fill="auto"/>
            <w:tcMar>
              <w:top w:w="28" w:type="dxa"/>
              <w:left w:w="28" w:type="dxa"/>
            </w:tcMar>
          </w:tcPr>
          <w:p w14:paraId="50938429" w14:textId="30B2E5A6" w:rsidR="00160781" w:rsidRPr="005F0061" w:rsidRDefault="00160781" w:rsidP="00160781">
            <w:pPr>
              <w:spacing w:before="60" w:after="60"/>
              <w:rPr>
                <w:rFonts w:ascii="Arial" w:hAnsi="Arial" w:cs="Arial"/>
                <w:sz w:val="16"/>
                <w:szCs w:val="16"/>
              </w:rPr>
            </w:pPr>
            <w:r w:rsidRPr="005F0061">
              <w:rPr>
                <w:rFonts w:ascii="Arial" w:hAnsi="Arial" w:cs="Arial"/>
                <w:sz w:val="16"/>
                <w:szCs w:val="16"/>
              </w:rPr>
              <w:t>Pulmonary arterial hypertension (PAH</w:t>
            </w:r>
            <w:proofErr w:type="gramStart"/>
            <w:r w:rsidRPr="005F0061">
              <w:rPr>
                <w:rFonts w:ascii="Arial" w:hAnsi="Arial" w:cs="Arial"/>
                <w:sz w:val="16"/>
                <w:szCs w:val="16"/>
              </w:rPr>
              <w:t>)</w:t>
            </w:r>
            <w:proofErr w:type="gramEnd"/>
            <w:r w:rsidRPr="005F0061">
              <w:rPr>
                <w:rFonts w:ascii="Arial" w:hAnsi="Arial" w:cs="Arial"/>
                <w:sz w:val="16"/>
                <w:szCs w:val="16"/>
              </w:rPr>
              <w:br/>
              <w:t>Grandfathered patients (dual therapy)</w:t>
            </w:r>
            <w:r w:rsidRPr="005F0061">
              <w:rPr>
                <w:rFonts w:ascii="Arial" w:hAnsi="Arial" w:cs="Arial"/>
                <w:sz w:val="16"/>
                <w:szCs w:val="16"/>
              </w:rPr>
              <w:br/>
              <w:t>Patient must be receiving dual therapy with this non PBS-subsidised pulmonary arterial hypertension (PAH) agent and a non PBS-subsidised phosphodiesterase-5 inhibitor (PDE-5i) for this condition prior to 1 December 2020; AND</w:t>
            </w:r>
            <w:r w:rsidRPr="005F0061">
              <w:rPr>
                <w:rFonts w:ascii="Arial" w:hAnsi="Arial" w:cs="Arial"/>
                <w:sz w:val="16"/>
                <w:szCs w:val="16"/>
              </w:rPr>
              <w:br/>
              <w:t>Patient must have been assessed by a physician with expertise in the management of PAH; AND</w:t>
            </w:r>
            <w:r w:rsidRPr="005F0061">
              <w:rPr>
                <w:rFonts w:ascii="Arial" w:hAnsi="Arial" w:cs="Arial"/>
                <w:sz w:val="16"/>
                <w:szCs w:val="16"/>
              </w:rPr>
              <w:br/>
            </w:r>
            <w:r w:rsidRPr="005F0061">
              <w:rPr>
                <w:rFonts w:ascii="Arial" w:hAnsi="Arial" w:cs="Arial"/>
                <w:sz w:val="16"/>
                <w:szCs w:val="16"/>
              </w:rPr>
              <w:lastRenderedPageBreak/>
              <w:t>Patient must have documented WHO Functional Class III PAH or WHO Functional Class IV PAH.</w:t>
            </w:r>
            <w:r w:rsidRPr="005F0061">
              <w:rPr>
                <w:rFonts w:ascii="Arial" w:hAnsi="Arial" w:cs="Arial"/>
                <w:sz w:val="16"/>
                <w:szCs w:val="16"/>
              </w:rPr>
              <w:br/>
              <w:t xml:space="preserve">The term 'PAH agents' refers to </w:t>
            </w:r>
            <w:proofErr w:type="spellStart"/>
            <w:r w:rsidRPr="005F0061">
              <w:rPr>
                <w:rFonts w:ascii="Arial" w:hAnsi="Arial" w:cs="Arial"/>
                <w:sz w:val="16"/>
                <w:szCs w:val="16"/>
              </w:rPr>
              <w:t>bosentan</w:t>
            </w:r>
            <w:proofErr w:type="spellEnd"/>
            <w:r w:rsidRPr="005F0061">
              <w:rPr>
                <w:rFonts w:ascii="Arial" w:hAnsi="Arial" w:cs="Arial"/>
                <w:sz w:val="16"/>
                <w:szCs w:val="16"/>
              </w:rPr>
              <w:t xml:space="preserve"> monohydrate, </w:t>
            </w:r>
            <w:proofErr w:type="spellStart"/>
            <w:r w:rsidRPr="005F0061">
              <w:rPr>
                <w:rFonts w:ascii="Arial" w:hAnsi="Arial" w:cs="Arial"/>
                <w:sz w:val="16"/>
                <w:szCs w:val="16"/>
              </w:rPr>
              <w:t>iloprost</w:t>
            </w:r>
            <w:proofErr w:type="spellEnd"/>
            <w:r w:rsidRPr="005F0061">
              <w:rPr>
                <w:rFonts w:ascii="Arial" w:hAnsi="Arial" w:cs="Arial"/>
                <w:sz w:val="16"/>
                <w:szCs w:val="16"/>
              </w:rPr>
              <w:t xml:space="preserve"> trometamol, </w:t>
            </w:r>
            <w:proofErr w:type="spellStart"/>
            <w:r w:rsidRPr="005F0061">
              <w:rPr>
                <w:rFonts w:ascii="Arial" w:hAnsi="Arial" w:cs="Arial"/>
                <w:sz w:val="16"/>
                <w:szCs w:val="16"/>
              </w:rPr>
              <w:t>epoprostenol</w:t>
            </w:r>
            <w:proofErr w:type="spellEnd"/>
            <w:r w:rsidRPr="005F0061">
              <w:rPr>
                <w:rFonts w:ascii="Arial" w:hAnsi="Arial" w:cs="Arial"/>
                <w:sz w:val="16"/>
                <w:szCs w:val="16"/>
              </w:rPr>
              <w:t xml:space="preserve"> sodium, sildenafil citrate, </w:t>
            </w:r>
            <w:proofErr w:type="spellStart"/>
            <w:r w:rsidRPr="005F0061">
              <w:rPr>
                <w:rFonts w:ascii="Arial" w:hAnsi="Arial" w:cs="Arial"/>
                <w:sz w:val="16"/>
                <w:szCs w:val="16"/>
              </w:rPr>
              <w:t>ambrisentan</w:t>
            </w:r>
            <w:proofErr w:type="spellEnd"/>
            <w:r w:rsidRPr="005F0061">
              <w:rPr>
                <w:rFonts w:ascii="Arial" w:hAnsi="Arial" w:cs="Arial"/>
                <w:sz w:val="16"/>
                <w:szCs w:val="16"/>
              </w:rPr>
              <w:t xml:space="preserve">, </w:t>
            </w:r>
            <w:proofErr w:type="spellStart"/>
            <w:r w:rsidRPr="005F0061">
              <w:rPr>
                <w:rFonts w:ascii="Arial" w:hAnsi="Arial" w:cs="Arial"/>
                <w:sz w:val="16"/>
                <w:szCs w:val="16"/>
              </w:rPr>
              <w:t>tadalafil</w:t>
            </w:r>
            <w:proofErr w:type="spellEnd"/>
            <w:r w:rsidRPr="005F0061">
              <w:rPr>
                <w:rFonts w:ascii="Arial" w:hAnsi="Arial" w:cs="Arial"/>
                <w:sz w:val="16"/>
                <w:szCs w:val="16"/>
              </w:rPr>
              <w:t xml:space="preserve">, and </w:t>
            </w:r>
            <w:proofErr w:type="spellStart"/>
            <w:r w:rsidRPr="005F0061">
              <w:rPr>
                <w:rFonts w:ascii="Arial" w:hAnsi="Arial" w:cs="Arial"/>
                <w:sz w:val="16"/>
                <w:szCs w:val="16"/>
              </w:rPr>
              <w:t>macitentan</w:t>
            </w:r>
            <w:proofErr w:type="spellEnd"/>
            <w:r w:rsidRPr="005F0061">
              <w:rPr>
                <w:rFonts w:ascii="Arial" w:hAnsi="Arial" w:cs="Arial"/>
                <w:sz w:val="16"/>
                <w:szCs w:val="16"/>
              </w:rPr>
              <w:t>.</w:t>
            </w:r>
            <w:r w:rsidRPr="005F0061">
              <w:rPr>
                <w:rFonts w:ascii="Arial" w:hAnsi="Arial" w:cs="Arial"/>
                <w:sz w:val="16"/>
                <w:szCs w:val="16"/>
              </w:rPr>
              <w:br/>
              <w:t>For the purposes of PBS subsidy, dual therapy refers to combined use of an endothelin receptor antagonist (ERA) and a phosphodiesterase-5 inhibitor (PDE-5i).</w:t>
            </w:r>
            <w:r w:rsidRPr="005F0061">
              <w:rPr>
                <w:rFonts w:ascii="Arial" w:hAnsi="Arial" w:cs="Arial"/>
                <w:sz w:val="16"/>
                <w:szCs w:val="16"/>
              </w:rPr>
              <w:br/>
              <w:t>(</w:t>
            </w:r>
            <w:proofErr w:type="spellStart"/>
            <w:r w:rsidRPr="005F0061">
              <w:rPr>
                <w:rFonts w:ascii="Arial" w:hAnsi="Arial" w:cs="Arial"/>
                <w:sz w:val="16"/>
                <w:szCs w:val="16"/>
              </w:rPr>
              <w:t>i</w:t>
            </w:r>
            <w:proofErr w:type="spellEnd"/>
            <w:r w:rsidRPr="005F0061">
              <w:rPr>
                <w:rFonts w:ascii="Arial" w:hAnsi="Arial" w:cs="Arial"/>
                <w:sz w:val="16"/>
                <w:szCs w:val="16"/>
              </w:rPr>
              <w:t xml:space="preserve">) An ERA includes </w:t>
            </w:r>
            <w:proofErr w:type="spellStart"/>
            <w:r w:rsidRPr="005F0061">
              <w:rPr>
                <w:rFonts w:ascii="Arial" w:hAnsi="Arial" w:cs="Arial"/>
                <w:sz w:val="16"/>
                <w:szCs w:val="16"/>
              </w:rPr>
              <w:t>ambrisentan</w:t>
            </w:r>
            <w:proofErr w:type="spellEnd"/>
            <w:r w:rsidRPr="005F0061">
              <w:rPr>
                <w:rFonts w:ascii="Arial" w:hAnsi="Arial" w:cs="Arial"/>
                <w:sz w:val="16"/>
                <w:szCs w:val="16"/>
              </w:rPr>
              <w:t xml:space="preserve">, </w:t>
            </w:r>
            <w:proofErr w:type="spellStart"/>
            <w:r w:rsidRPr="005F0061">
              <w:rPr>
                <w:rFonts w:ascii="Arial" w:hAnsi="Arial" w:cs="Arial"/>
                <w:sz w:val="16"/>
                <w:szCs w:val="16"/>
              </w:rPr>
              <w:t>bosentan</w:t>
            </w:r>
            <w:proofErr w:type="spellEnd"/>
            <w:r w:rsidRPr="005F0061">
              <w:rPr>
                <w:rFonts w:ascii="Arial" w:hAnsi="Arial" w:cs="Arial"/>
                <w:sz w:val="16"/>
                <w:szCs w:val="16"/>
              </w:rPr>
              <w:t xml:space="preserve"> monohydrate, or </w:t>
            </w:r>
            <w:proofErr w:type="spellStart"/>
            <w:r w:rsidRPr="005F0061">
              <w:rPr>
                <w:rFonts w:ascii="Arial" w:hAnsi="Arial" w:cs="Arial"/>
                <w:sz w:val="16"/>
                <w:szCs w:val="16"/>
              </w:rPr>
              <w:t>macitentan</w:t>
            </w:r>
            <w:proofErr w:type="spellEnd"/>
            <w:r w:rsidRPr="005F0061">
              <w:rPr>
                <w:rFonts w:ascii="Arial" w:hAnsi="Arial" w:cs="Arial"/>
                <w:sz w:val="16"/>
                <w:szCs w:val="16"/>
              </w:rPr>
              <w:t>.</w:t>
            </w:r>
            <w:r w:rsidRPr="005F0061">
              <w:rPr>
                <w:rFonts w:ascii="Arial" w:hAnsi="Arial" w:cs="Arial"/>
                <w:sz w:val="16"/>
                <w:szCs w:val="16"/>
              </w:rPr>
              <w:br/>
              <w:t xml:space="preserve">(ii) A PDE-5i includes sildenafil citrate, or </w:t>
            </w:r>
            <w:proofErr w:type="spellStart"/>
            <w:r w:rsidRPr="005F0061">
              <w:rPr>
                <w:rFonts w:ascii="Arial" w:hAnsi="Arial" w:cs="Arial"/>
                <w:sz w:val="16"/>
                <w:szCs w:val="16"/>
              </w:rPr>
              <w:t>tadalafil</w:t>
            </w:r>
            <w:proofErr w:type="spellEnd"/>
            <w:r w:rsidRPr="005F0061">
              <w:rPr>
                <w:rFonts w:ascii="Arial" w:hAnsi="Arial" w:cs="Arial"/>
                <w:sz w:val="16"/>
                <w:szCs w:val="16"/>
              </w:rPr>
              <w:t>.</w:t>
            </w:r>
            <w:r w:rsidRPr="005F0061">
              <w:rPr>
                <w:rFonts w:ascii="Arial"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5F0061">
              <w:rPr>
                <w:rFonts w:ascii="Arial" w:hAnsi="Arial" w:cs="Arial"/>
                <w:sz w:val="16"/>
                <w:szCs w:val="16"/>
              </w:rPr>
              <w:br/>
              <w:t>PAH (WHO Group 1 pulmonary hypertension) is defined as follows</w:t>
            </w:r>
            <w:proofErr w:type="gramStart"/>
            <w:r w:rsidRPr="005F0061">
              <w:rPr>
                <w:rFonts w:ascii="Arial" w:hAnsi="Arial" w:cs="Arial"/>
                <w:sz w:val="16"/>
                <w:szCs w:val="16"/>
              </w:rPr>
              <w:t>:</w:t>
            </w:r>
            <w:proofErr w:type="gramEnd"/>
            <w:r w:rsidRPr="005F0061">
              <w:rPr>
                <w:rFonts w:ascii="Arial" w:hAnsi="Arial" w:cs="Arial"/>
                <w:sz w:val="16"/>
                <w:szCs w:val="16"/>
              </w:rPr>
              <w:br/>
              <w:t>(</w:t>
            </w:r>
            <w:proofErr w:type="spellStart"/>
            <w:r w:rsidRPr="005F0061">
              <w:rPr>
                <w:rFonts w:ascii="Arial" w:hAnsi="Arial" w:cs="Arial"/>
                <w:sz w:val="16"/>
                <w:szCs w:val="16"/>
              </w:rPr>
              <w:t>i</w:t>
            </w:r>
            <w:proofErr w:type="spellEnd"/>
            <w:r w:rsidRPr="005F0061">
              <w:rPr>
                <w:rFonts w:ascii="Arial" w:hAnsi="Arial" w:cs="Arial"/>
                <w:sz w:val="16"/>
                <w:szCs w:val="16"/>
              </w:rPr>
              <w:t>) mean pulmonary artery pressure (</w:t>
            </w:r>
            <w:proofErr w:type="spellStart"/>
            <w:r w:rsidRPr="005F0061">
              <w:rPr>
                <w:rFonts w:ascii="Arial" w:hAnsi="Arial" w:cs="Arial"/>
                <w:sz w:val="16"/>
                <w:szCs w:val="16"/>
              </w:rPr>
              <w:t>mPAP</w:t>
            </w:r>
            <w:proofErr w:type="spellEnd"/>
            <w:r w:rsidRPr="005F0061">
              <w:rPr>
                <w:rFonts w:ascii="Arial" w:hAnsi="Arial" w:cs="Arial"/>
                <w:sz w:val="16"/>
                <w:szCs w:val="16"/>
              </w:rPr>
              <w:t>) greater than or equal to 25 mmHg at rest and pulmonary artery wedge pressure (PAWP) less than or equal to 15 mmHg; or</w:t>
            </w:r>
            <w:r w:rsidRPr="005F0061">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5F0061">
              <w:rPr>
                <w:rFonts w:ascii="Arial" w:hAnsi="Arial" w:cs="Arial"/>
                <w:sz w:val="16"/>
                <w:szCs w:val="16"/>
              </w:rPr>
              <w:br/>
              <w:t>Applications for authorisation must be in writing and must include:</w:t>
            </w:r>
            <w:r w:rsidRPr="005F0061">
              <w:rPr>
                <w:rFonts w:ascii="Arial" w:hAnsi="Arial" w:cs="Arial"/>
                <w:sz w:val="16"/>
                <w:szCs w:val="16"/>
              </w:rPr>
              <w:br/>
              <w:t>(1) a completed authority prescription form; and</w:t>
            </w:r>
            <w:r w:rsidRPr="005F0061">
              <w:rPr>
                <w:rFonts w:ascii="Arial" w:hAnsi="Arial" w:cs="Arial"/>
                <w:sz w:val="16"/>
                <w:szCs w:val="16"/>
              </w:rPr>
              <w:br/>
              <w:t>(2) a completed Pulmonary Arterial Hypertension PBS Authority Application - Supporting Information form which includes results from the three tests below, where available:</w:t>
            </w:r>
            <w:r w:rsidRPr="005F0061">
              <w:rPr>
                <w:rFonts w:ascii="Arial" w:hAnsi="Arial" w:cs="Arial"/>
                <w:sz w:val="16"/>
                <w:szCs w:val="16"/>
              </w:rPr>
              <w:br/>
              <w:t>(</w:t>
            </w:r>
            <w:proofErr w:type="spellStart"/>
            <w:r w:rsidRPr="005F0061">
              <w:rPr>
                <w:rFonts w:ascii="Arial" w:hAnsi="Arial" w:cs="Arial"/>
                <w:sz w:val="16"/>
                <w:szCs w:val="16"/>
              </w:rPr>
              <w:t>i</w:t>
            </w:r>
            <w:proofErr w:type="spellEnd"/>
            <w:r w:rsidRPr="005F0061">
              <w:rPr>
                <w:rFonts w:ascii="Arial" w:hAnsi="Arial" w:cs="Arial"/>
                <w:sz w:val="16"/>
                <w:szCs w:val="16"/>
              </w:rPr>
              <w:t>) RHC composite assessment; and</w:t>
            </w:r>
            <w:r w:rsidRPr="005F0061">
              <w:rPr>
                <w:rFonts w:ascii="Arial" w:hAnsi="Arial" w:cs="Arial"/>
                <w:sz w:val="16"/>
                <w:szCs w:val="16"/>
              </w:rPr>
              <w:br/>
              <w:t>(ii) ECHO composite assessment; and</w:t>
            </w:r>
            <w:r w:rsidRPr="005F0061">
              <w:rPr>
                <w:rFonts w:ascii="Arial" w:hAnsi="Arial" w:cs="Arial"/>
                <w:sz w:val="16"/>
                <w:szCs w:val="16"/>
              </w:rPr>
              <w:br/>
              <w:t>(iii) 6 Minute Walk Test (6MWT).</w:t>
            </w:r>
            <w:r w:rsidRPr="005F0061">
              <w:rPr>
                <w:rFonts w:ascii="Arial" w:hAnsi="Arial" w:cs="Arial"/>
                <w:sz w:val="16"/>
                <w:szCs w:val="16"/>
              </w:rPr>
              <w:br/>
              <w:t>Where it was not possible to perform all 3 tests on clinical grounds, the following list outlines the preferred test combination, in descending order, for the purposes of initiation of PBS-subsidised treatment:</w:t>
            </w:r>
            <w:r w:rsidRPr="005F0061">
              <w:rPr>
                <w:rFonts w:ascii="Arial" w:hAnsi="Arial" w:cs="Arial"/>
                <w:sz w:val="16"/>
                <w:szCs w:val="16"/>
              </w:rPr>
              <w:br/>
              <w:t>(1) RHC plus ECHO composite assessments;</w:t>
            </w:r>
            <w:r w:rsidRPr="005F0061">
              <w:rPr>
                <w:rFonts w:ascii="Arial" w:hAnsi="Arial" w:cs="Arial"/>
                <w:sz w:val="16"/>
                <w:szCs w:val="16"/>
              </w:rPr>
              <w:br/>
              <w:t>(2) RHC composite assessment plus 6MWT;</w:t>
            </w:r>
            <w:r w:rsidRPr="005F0061">
              <w:rPr>
                <w:rFonts w:ascii="Arial" w:hAnsi="Arial" w:cs="Arial"/>
                <w:sz w:val="16"/>
                <w:szCs w:val="16"/>
              </w:rPr>
              <w:br/>
              <w:t>(3) RHC composite assessment only.</w:t>
            </w:r>
            <w:r w:rsidRPr="005F0061">
              <w:rPr>
                <w:rFonts w:ascii="Arial" w:hAnsi="Arial" w:cs="Arial"/>
                <w:sz w:val="16"/>
                <w:szCs w:val="16"/>
              </w:rPr>
              <w:br/>
              <w:t>In circumstances where a RHC could not be performed on clinical grounds, applications may be submitted for consideration based on the results of the following test combinations, which are listed in descending order of preference</w:t>
            </w:r>
            <w:proofErr w:type="gramStart"/>
            <w:r w:rsidRPr="005F0061">
              <w:rPr>
                <w:rFonts w:ascii="Arial" w:hAnsi="Arial" w:cs="Arial"/>
                <w:sz w:val="16"/>
                <w:szCs w:val="16"/>
              </w:rPr>
              <w:t>:</w:t>
            </w:r>
            <w:proofErr w:type="gramEnd"/>
            <w:r w:rsidRPr="005F0061">
              <w:rPr>
                <w:rFonts w:ascii="Arial" w:hAnsi="Arial" w:cs="Arial"/>
                <w:sz w:val="16"/>
                <w:szCs w:val="16"/>
              </w:rPr>
              <w:br/>
              <w:t>(1) ECHO composite assessment plus 6MWT;</w:t>
            </w:r>
            <w:r w:rsidRPr="005F0061">
              <w:rPr>
                <w:rFonts w:ascii="Arial" w:hAnsi="Arial" w:cs="Arial"/>
                <w:sz w:val="16"/>
                <w:szCs w:val="16"/>
              </w:rPr>
              <w:br/>
              <w:t>(2) ECHO composite assessment only.</w:t>
            </w:r>
            <w:r w:rsidRPr="005F0061">
              <w:rPr>
                <w:rFonts w:ascii="Arial" w:hAnsi="Arial" w:cs="Arial"/>
                <w:sz w:val="16"/>
                <w:szCs w:val="16"/>
              </w:rPr>
              <w:br/>
              <w:t>Where fewer than 3 tests were able to be performed on clinical grounds, a patient specific reason outlining why the particular test(s) could not be conducted must be provided with the authority application.</w:t>
            </w:r>
            <w:r w:rsidRPr="005F0061">
              <w:rPr>
                <w:rFonts w:ascii="Arial" w:hAnsi="Arial" w:cs="Arial"/>
                <w:sz w:val="16"/>
                <w:szCs w:val="16"/>
              </w:rPr>
              <w:br/>
              <w:t>Where a RHC could not be performed on clinical grounds, confirmation of the reason(s) must be provided with the authority application by a second PAH physician or cardiologist with expertise in the management of PAH.</w:t>
            </w:r>
            <w:r w:rsidRPr="005F0061">
              <w:rPr>
                <w:rFonts w:ascii="Arial" w:hAnsi="Arial" w:cs="Arial"/>
                <w:sz w:val="16"/>
                <w:szCs w:val="16"/>
              </w:rPr>
              <w:br/>
              <w:t>A patient may qualify for PBS-subsidised treatment under this restriction once only. For continuing PBS-subsidised treatment, a Grandfathered patient must qualify under the Continuing treatment criteria for dual therapy for this condition.</w:t>
            </w:r>
            <w:r w:rsidRPr="005F0061">
              <w:rPr>
                <w:rFonts w:ascii="Arial" w:hAnsi="Arial" w:cs="Arial"/>
                <w:sz w:val="16"/>
                <w:szCs w:val="16"/>
              </w:rPr>
              <w:br/>
              <w:t>The maximum quantity authorised will be limited to provide sufficient supply for 1 month of treatment, based on the dosage recommendations in the TGA-approved Product Information.</w:t>
            </w:r>
            <w:r w:rsidRPr="005F0061">
              <w:rPr>
                <w:rFonts w:ascii="Arial" w:hAnsi="Arial" w:cs="Arial"/>
                <w:sz w:val="16"/>
                <w:szCs w:val="16"/>
              </w:rPr>
              <w:br/>
              <w:t>A maximum of 5 repeats may be requested.</w:t>
            </w:r>
          </w:p>
        </w:tc>
        <w:tc>
          <w:tcPr>
            <w:tcW w:w="2650" w:type="dxa"/>
            <w:shd w:val="clear" w:color="auto" w:fill="auto"/>
            <w:tcMar>
              <w:top w:w="28" w:type="dxa"/>
              <w:left w:w="28" w:type="dxa"/>
              <w:right w:w="57" w:type="dxa"/>
            </w:tcMar>
          </w:tcPr>
          <w:p w14:paraId="4641FF79" w14:textId="5A20CBD3" w:rsidR="00160781" w:rsidRPr="005F0061" w:rsidRDefault="00160781" w:rsidP="00160781">
            <w:pPr>
              <w:pStyle w:val="Tabletext0"/>
              <w:rPr>
                <w:rFonts w:cs="Arial"/>
                <w:szCs w:val="16"/>
              </w:rPr>
            </w:pPr>
            <w:r w:rsidRPr="005F0061">
              <w:rPr>
                <w:rFonts w:cs="Arial"/>
                <w:szCs w:val="16"/>
              </w:rPr>
              <w:lastRenderedPageBreak/>
              <w:t>Compliance with Written Authority Required procedures</w:t>
            </w:r>
          </w:p>
        </w:tc>
      </w:tr>
      <w:tr w:rsidR="00160781" w:rsidRPr="005F0061" w14:paraId="2F6E51DA" w14:textId="77777777" w:rsidTr="00FA7DB9">
        <w:tc>
          <w:tcPr>
            <w:tcW w:w="1900" w:type="dxa"/>
            <w:shd w:val="clear" w:color="auto" w:fill="auto"/>
            <w:tcMar>
              <w:top w:w="28" w:type="dxa"/>
              <w:left w:w="28" w:type="dxa"/>
            </w:tcMar>
          </w:tcPr>
          <w:p w14:paraId="12F0D4DE" w14:textId="77777777" w:rsidR="00160781" w:rsidRPr="005F0061" w:rsidRDefault="00160781" w:rsidP="00160781">
            <w:pPr>
              <w:pStyle w:val="Tabletext0"/>
              <w:tabs>
                <w:tab w:val="left" w:pos="958"/>
              </w:tabs>
              <w:rPr>
                <w:rFonts w:cs="Arial"/>
                <w:szCs w:val="16"/>
              </w:rPr>
            </w:pPr>
          </w:p>
        </w:tc>
        <w:tc>
          <w:tcPr>
            <w:tcW w:w="850" w:type="dxa"/>
            <w:shd w:val="clear" w:color="auto" w:fill="auto"/>
            <w:tcMar>
              <w:top w:w="28" w:type="dxa"/>
              <w:left w:w="28" w:type="dxa"/>
            </w:tcMar>
          </w:tcPr>
          <w:p w14:paraId="3C22F8AE" w14:textId="3738322C" w:rsidR="00160781" w:rsidRPr="005F0061" w:rsidRDefault="00160781" w:rsidP="00160781">
            <w:pPr>
              <w:pStyle w:val="Tabletext0"/>
              <w:rPr>
                <w:rFonts w:cs="Arial"/>
                <w:szCs w:val="16"/>
              </w:rPr>
            </w:pPr>
            <w:r w:rsidRPr="005F0061">
              <w:rPr>
                <w:rFonts w:cs="Arial"/>
                <w:szCs w:val="16"/>
              </w:rPr>
              <w:t>C11010</w:t>
            </w:r>
          </w:p>
        </w:tc>
        <w:tc>
          <w:tcPr>
            <w:tcW w:w="850" w:type="dxa"/>
            <w:shd w:val="clear" w:color="auto" w:fill="auto"/>
            <w:tcMar>
              <w:top w:w="28" w:type="dxa"/>
              <w:left w:w="28" w:type="dxa"/>
            </w:tcMar>
          </w:tcPr>
          <w:p w14:paraId="24AAEF3F" w14:textId="77777777" w:rsidR="00160781" w:rsidRPr="005F0061" w:rsidDel="00E03489" w:rsidRDefault="00160781" w:rsidP="00160781">
            <w:pPr>
              <w:spacing w:before="60" w:after="60"/>
              <w:rPr>
                <w:rFonts w:ascii="Arial" w:hAnsi="Arial" w:cs="Arial"/>
                <w:sz w:val="16"/>
                <w:szCs w:val="16"/>
                <w:lang w:eastAsia="en-AU"/>
              </w:rPr>
            </w:pPr>
          </w:p>
        </w:tc>
        <w:tc>
          <w:tcPr>
            <w:tcW w:w="7661" w:type="dxa"/>
            <w:shd w:val="clear" w:color="auto" w:fill="auto"/>
            <w:tcMar>
              <w:top w:w="28" w:type="dxa"/>
              <w:left w:w="28" w:type="dxa"/>
            </w:tcMar>
          </w:tcPr>
          <w:p w14:paraId="4CA91B07" w14:textId="01E997A2" w:rsidR="00160781" w:rsidRPr="005F0061" w:rsidRDefault="00160781" w:rsidP="00160781">
            <w:pPr>
              <w:spacing w:before="60" w:after="60"/>
              <w:rPr>
                <w:rFonts w:ascii="Arial" w:hAnsi="Arial" w:cs="Arial"/>
                <w:sz w:val="16"/>
                <w:szCs w:val="16"/>
              </w:rPr>
            </w:pPr>
            <w:r w:rsidRPr="005F0061">
              <w:rPr>
                <w:rFonts w:ascii="Arial" w:hAnsi="Arial" w:cs="Arial"/>
                <w:sz w:val="16"/>
                <w:szCs w:val="16"/>
              </w:rPr>
              <w:t>Pulmonary arterial hypertension (PAH</w:t>
            </w:r>
            <w:proofErr w:type="gramStart"/>
            <w:r w:rsidRPr="005F0061">
              <w:rPr>
                <w:rFonts w:ascii="Arial" w:hAnsi="Arial" w:cs="Arial"/>
                <w:sz w:val="16"/>
                <w:szCs w:val="16"/>
              </w:rPr>
              <w:t>)</w:t>
            </w:r>
            <w:proofErr w:type="gramEnd"/>
            <w:r w:rsidRPr="005F0061">
              <w:rPr>
                <w:rFonts w:ascii="Arial" w:hAnsi="Arial" w:cs="Arial"/>
                <w:sz w:val="16"/>
                <w:szCs w:val="16"/>
              </w:rPr>
              <w:br/>
              <w:t>Initial 3 (dual therapy - change)</w:t>
            </w:r>
            <w:r w:rsidRPr="005F0061">
              <w:rPr>
                <w:rFonts w:ascii="Arial" w:hAnsi="Arial" w:cs="Arial"/>
                <w:sz w:val="16"/>
                <w:szCs w:val="16"/>
              </w:rPr>
              <w:br/>
              <w:t>Patient must have had their most recent course of PBS-subsidised dual therapy with a phosphodiesterase-5 inhibitor (PDE-5i) and an endothelin receptor antagonist (ERA) other than this agent for this condition.</w:t>
            </w:r>
            <w:r w:rsidRPr="005F0061">
              <w:rPr>
                <w:rFonts w:ascii="Arial" w:hAnsi="Arial" w:cs="Arial"/>
                <w:sz w:val="16"/>
                <w:szCs w:val="16"/>
              </w:rPr>
              <w:br/>
              <w:t xml:space="preserve">The term 'PAH agents' refers to </w:t>
            </w:r>
            <w:proofErr w:type="spellStart"/>
            <w:r w:rsidRPr="005F0061">
              <w:rPr>
                <w:rFonts w:ascii="Arial" w:hAnsi="Arial" w:cs="Arial"/>
                <w:sz w:val="16"/>
                <w:szCs w:val="16"/>
              </w:rPr>
              <w:t>bosentan</w:t>
            </w:r>
            <w:proofErr w:type="spellEnd"/>
            <w:r w:rsidRPr="005F0061">
              <w:rPr>
                <w:rFonts w:ascii="Arial" w:hAnsi="Arial" w:cs="Arial"/>
                <w:sz w:val="16"/>
                <w:szCs w:val="16"/>
              </w:rPr>
              <w:t xml:space="preserve"> monohydrate, </w:t>
            </w:r>
            <w:proofErr w:type="spellStart"/>
            <w:r w:rsidRPr="005F0061">
              <w:rPr>
                <w:rFonts w:ascii="Arial" w:hAnsi="Arial" w:cs="Arial"/>
                <w:sz w:val="16"/>
                <w:szCs w:val="16"/>
              </w:rPr>
              <w:t>iloprost</w:t>
            </w:r>
            <w:proofErr w:type="spellEnd"/>
            <w:r w:rsidRPr="005F0061">
              <w:rPr>
                <w:rFonts w:ascii="Arial" w:hAnsi="Arial" w:cs="Arial"/>
                <w:sz w:val="16"/>
                <w:szCs w:val="16"/>
              </w:rPr>
              <w:t xml:space="preserve"> trometamol, </w:t>
            </w:r>
            <w:proofErr w:type="spellStart"/>
            <w:r w:rsidRPr="005F0061">
              <w:rPr>
                <w:rFonts w:ascii="Arial" w:hAnsi="Arial" w:cs="Arial"/>
                <w:sz w:val="16"/>
                <w:szCs w:val="16"/>
              </w:rPr>
              <w:t>epoprostenol</w:t>
            </w:r>
            <w:proofErr w:type="spellEnd"/>
            <w:r w:rsidRPr="005F0061">
              <w:rPr>
                <w:rFonts w:ascii="Arial" w:hAnsi="Arial" w:cs="Arial"/>
                <w:sz w:val="16"/>
                <w:szCs w:val="16"/>
              </w:rPr>
              <w:t xml:space="preserve"> sodium, sildenafil citrate, </w:t>
            </w:r>
            <w:proofErr w:type="spellStart"/>
            <w:r w:rsidRPr="005F0061">
              <w:rPr>
                <w:rFonts w:ascii="Arial" w:hAnsi="Arial" w:cs="Arial"/>
                <w:sz w:val="16"/>
                <w:szCs w:val="16"/>
              </w:rPr>
              <w:t>ambrisentan</w:t>
            </w:r>
            <w:proofErr w:type="spellEnd"/>
            <w:r w:rsidRPr="005F0061">
              <w:rPr>
                <w:rFonts w:ascii="Arial" w:hAnsi="Arial" w:cs="Arial"/>
                <w:sz w:val="16"/>
                <w:szCs w:val="16"/>
              </w:rPr>
              <w:t xml:space="preserve">, </w:t>
            </w:r>
            <w:proofErr w:type="spellStart"/>
            <w:r w:rsidRPr="005F0061">
              <w:rPr>
                <w:rFonts w:ascii="Arial" w:hAnsi="Arial" w:cs="Arial"/>
                <w:sz w:val="16"/>
                <w:szCs w:val="16"/>
              </w:rPr>
              <w:t>tadalafil</w:t>
            </w:r>
            <w:proofErr w:type="spellEnd"/>
            <w:r w:rsidRPr="005F0061">
              <w:rPr>
                <w:rFonts w:ascii="Arial" w:hAnsi="Arial" w:cs="Arial"/>
                <w:sz w:val="16"/>
                <w:szCs w:val="16"/>
              </w:rPr>
              <w:t xml:space="preserve">, and </w:t>
            </w:r>
            <w:proofErr w:type="spellStart"/>
            <w:r w:rsidRPr="005F0061">
              <w:rPr>
                <w:rFonts w:ascii="Arial" w:hAnsi="Arial" w:cs="Arial"/>
                <w:sz w:val="16"/>
                <w:szCs w:val="16"/>
              </w:rPr>
              <w:t>macitentan</w:t>
            </w:r>
            <w:proofErr w:type="spellEnd"/>
            <w:r w:rsidRPr="005F0061">
              <w:rPr>
                <w:rFonts w:ascii="Arial" w:hAnsi="Arial" w:cs="Arial"/>
                <w:sz w:val="16"/>
                <w:szCs w:val="16"/>
              </w:rPr>
              <w:t>.</w:t>
            </w:r>
            <w:r w:rsidRPr="005F0061">
              <w:rPr>
                <w:rFonts w:ascii="Arial" w:hAnsi="Arial" w:cs="Arial"/>
                <w:sz w:val="16"/>
                <w:szCs w:val="16"/>
              </w:rPr>
              <w:br/>
            </w:r>
            <w:r w:rsidRPr="005F0061">
              <w:rPr>
                <w:rFonts w:ascii="Arial" w:hAnsi="Arial" w:cs="Arial"/>
                <w:sz w:val="16"/>
                <w:szCs w:val="16"/>
              </w:rPr>
              <w:lastRenderedPageBreak/>
              <w:t>For the purposes of PBS subsidy, dual therapy refers to combined use of an endothelin receptor antagonist (ERA) and a phosphodiesterase-5 inhibitor (PDE-5i).</w:t>
            </w:r>
            <w:r w:rsidRPr="005F0061">
              <w:rPr>
                <w:rFonts w:ascii="Arial" w:hAnsi="Arial" w:cs="Arial"/>
                <w:sz w:val="16"/>
                <w:szCs w:val="16"/>
              </w:rPr>
              <w:br/>
              <w:t>(</w:t>
            </w:r>
            <w:proofErr w:type="spellStart"/>
            <w:r w:rsidRPr="005F0061">
              <w:rPr>
                <w:rFonts w:ascii="Arial" w:hAnsi="Arial" w:cs="Arial"/>
                <w:sz w:val="16"/>
                <w:szCs w:val="16"/>
              </w:rPr>
              <w:t>i</w:t>
            </w:r>
            <w:proofErr w:type="spellEnd"/>
            <w:r w:rsidRPr="005F0061">
              <w:rPr>
                <w:rFonts w:ascii="Arial" w:hAnsi="Arial" w:cs="Arial"/>
                <w:sz w:val="16"/>
                <w:szCs w:val="16"/>
              </w:rPr>
              <w:t xml:space="preserve">) An ERA includes </w:t>
            </w:r>
            <w:proofErr w:type="spellStart"/>
            <w:r w:rsidRPr="005F0061">
              <w:rPr>
                <w:rFonts w:ascii="Arial" w:hAnsi="Arial" w:cs="Arial"/>
                <w:sz w:val="16"/>
                <w:szCs w:val="16"/>
              </w:rPr>
              <w:t>ambrisentan</w:t>
            </w:r>
            <w:proofErr w:type="spellEnd"/>
            <w:r w:rsidRPr="005F0061">
              <w:rPr>
                <w:rFonts w:ascii="Arial" w:hAnsi="Arial" w:cs="Arial"/>
                <w:sz w:val="16"/>
                <w:szCs w:val="16"/>
              </w:rPr>
              <w:t xml:space="preserve">, </w:t>
            </w:r>
            <w:proofErr w:type="spellStart"/>
            <w:r w:rsidRPr="005F0061">
              <w:rPr>
                <w:rFonts w:ascii="Arial" w:hAnsi="Arial" w:cs="Arial"/>
                <w:sz w:val="16"/>
                <w:szCs w:val="16"/>
              </w:rPr>
              <w:t>bosentan</w:t>
            </w:r>
            <w:proofErr w:type="spellEnd"/>
            <w:r w:rsidRPr="005F0061">
              <w:rPr>
                <w:rFonts w:ascii="Arial" w:hAnsi="Arial" w:cs="Arial"/>
                <w:sz w:val="16"/>
                <w:szCs w:val="16"/>
              </w:rPr>
              <w:t xml:space="preserve"> monohydrate, or </w:t>
            </w:r>
            <w:proofErr w:type="spellStart"/>
            <w:r w:rsidRPr="005F0061">
              <w:rPr>
                <w:rFonts w:ascii="Arial" w:hAnsi="Arial" w:cs="Arial"/>
                <w:sz w:val="16"/>
                <w:szCs w:val="16"/>
              </w:rPr>
              <w:t>macitentan</w:t>
            </w:r>
            <w:proofErr w:type="spellEnd"/>
            <w:r w:rsidRPr="005F0061">
              <w:rPr>
                <w:rFonts w:ascii="Arial" w:hAnsi="Arial" w:cs="Arial"/>
                <w:sz w:val="16"/>
                <w:szCs w:val="16"/>
              </w:rPr>
              <w:t>.</w:t>
            </w:r>
            <w:r w:rsidRPr="005F0061">
              <w:rPr>
                <w:rFonts w:ascii="Arial" w:hAnsi="Arial" w:cs="Arial"/>
                <w:sz w:val="16"/>
                <w:szCs w:val="16"/>
              </w:rPr>
              <w:br/>
              <w:t xml:space="preserve">(ii) A PDE-5i includes sildenafil citrate, or </w:t>
            </w:r>
            <w:proofErr w:type="spellStart"/>
            <w:r w:rsidRPr="005F0061">
              <w:rPr>
                <w:rFonts w:ascii="Arial" w:hAnsi="Arial" w:cs="Arial"/>
                <w:sz w:val="16"/>
                <w:szCs w:val="16"/>
              </w:rPr>
              <w:t>tadalafil</w:t>
            </w:r>
            <w:proofErr w:type="spellEnd"/>
            <w:r w:rsidRPr="005F0061">
              <w:rPr>
                <w:rFonts w:ascii="Arial" w:hAnsi="Arial" w:cs="Arial"/>
                <w:sz w:val="16"/>
                <w:szCs w:val="16"/>
              </w:rPr>
              <w:t>.</w:t>
            </w:r>
            <w:r w:rsidRPr="005F0061">
              <w:rPr>
                <w:rFonts w:ascii="Arial"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5F0061">
              <w:rPr>
                <w:rFonts w:ascii="Arial" w:hAnsi="Arial" w:cs="Arial"/>
                <w:sz w:val="16"/>
                <w:szCs w:val="16"/>
              </w:rPr>
              <w:br/>
              <w:t>Swapping between PAH agents: Patients can access PAH agents through the PBS according to the relevant restrictions.</w:t>
            </w:r>
            <w:r w:rsidRPr="005F0061">
              <w:rPr>
                <w:rFonts w:ascii="Arial" w:hAnsi="Arial" w:cs="Arial"/>
                <w:sz w:val="16"/>
                <w:szCs w:val="16"/>
              </w:rPr>
              <w:br/>
              <w:t>Once patients are approved dual therapy with a PAH agent from the PDE-5i class; or a PAH agent from the ERA class, they may swap between PAH agents within the same class. This means that patients may commence treatment with another PAH agent in the same class, subject to that agent's restriction, irrespective of the severity of their disease at the time the application to swap therapy is submitted.</w:t>
            </w:r>
            <w:r w:rsidRPr="005F0061">
              <w:rPr>
                <w:rFonts w:ascii="Arial" w:hAnsi="Arial" w:cs="Arial"/>
                <w:sz w:val="16"/>
                <w:szCs w:val="16"/>
              </w:rPr>
              <w:br/>
              <w:t>Applications to swap within a PAH agent class must be made under the relevant initial treatment restriction.</w:t>
            </w:r>
            <w:r w:rsidRPr="005F0061">
              <w:rPr>
                <w:rFonts w:ascii="Arial" w:hAnsi="Arial" w:cs="Arial"/>
                <w:sz w:val="16"/>
                <w:szCs w:val="16"/>
              </w:rPr>
              <w:br/>
              <w:t>The maximum quantity authorised will be limited to provide sufficient supply for 1 month of treatment, based on the dosage recommendations in the TGA-approved Product Information.</w:t>
            </w:r>
            <w:r w:rsidRPr="005F0061">
              <w:rPr>
                <w:rFonts w:ascii="Arial" w:hAnsi="Arial" w:cs="Arial"/>
                <w:sz w:val="16"/>
                <w:szCs w:val="16"/>
              </w:rPr>
              <w:br/>
              <w:t>A maximum of 5 repeats may be requested.</w:t>
            </w:r>
          </w:p>
        </w:tc>
        <w:tc>
          <w:tcPr>
            <w:tcW w:w="2650" w:type="dxa"/>
            <w:shd w:val="clear" w:color="auto" w:fill="auto"/>
            <w:tcMar>
              <w:top w:w="28" w:type="dxa"/>
              <w:left w:w="28" w:type="dxa"/>
              <w:right w:w="57" w:type="dxa"/>
            </w:tcMar>
          </w:tcPr>
          <w:p w14:paraId="0E7EBEE7" w14:textId="796AC690" w:rsidR="00160781" w:rsidRPr="005F0061" w:rsidRDefault="00160781" w:rsidP="00160781">
            <w:pPr>
              <w:pStyle w:val="Tabletext0"/>
              <w:rPr>
                <w:rFonts w:cs="Arial"/>
                <w:szCs w:val="16"/>
              </w:rPr>
            </w:pPr>
            <w:r w:rsidRPr="005F0061">
              <w:rPr>
                <w:rFonts w:cs="Arial"/>
                <w:szCs w:val="16"/>
              </w:rPr>
              <w:lastRenderedPageBreak/>
              <w:t>Compliance with Authority Required procedures</w:t>
            </w:r>
          </w:p>
        </w:tc>
      </w:tr>
      <w:tr w:rsidR="00160781" w:rsidRPr="005F0061" w14:paraId="565368B8" w14:textId="77777777" w:rsidTr="00FA7DB9">
        <w:tc>
          <w:tcPr>
            <w:tcW w:w="1900" w:type="dxa"/>
            <w:shd w:val="clear" w:color="auto" w:fill="auto"/>
            <w:tcMar>
              <w:top w:w="28" w:type="dxa"/>
              <w:left w:w="28" w:type="dxa"/>
            </w:tcMar>
          </w:tcPr>
          <w:p w14:paraId="1ECBB914" w14:textId="77777777" w:rsidR="00160781" w:rsidRPr="005F0061" w:rsidRDefault="00160781" w:rsidP="00160781">
            <w:pPr>
              <w:pStyle w:val="Tabletext0"/>
              <w:tabs>
                <w:tab w:val="left" w:pos="958"/>
              </w:tabs>
              <w:rPr>
                <w:rFonts w:cs="Arial"/>
                <w:szCs w:val="16"/>
              </w:rPr>
            </w:pPr>
          </w:p>
        </w:tc>
        <w:tc>
          <w:tcPr>
            <w:tcW w:w="850" w:type="dxa"/>
            <w:shd w:val="clear" w:color="auto" w:fill="auto"/>
            <w:tcMar>
              <w:top w:w="28" w:type="dxa"/>
              <w:left w:w="28" w:type="dxa"/>
            </w:tcMar>
          </w:tcPr>
          <w:p w14:paraId="0887E8F2" w14:textId="105082AC" w:rsidR="00160781" w:rsidRPr="005F0061" w:rsidRDefault="00160781" w:rsidP="00160781">
            <w:pPr>
              <w:pStyle w:val="Tabletext0"/>
              <w:rPr>
                <w:rFonts w:cs="Arial"/>
                <w:szCs w:val="16"/>
              </w:rPr>
            </w:pPr>
            <w:r w:rsidRPr="005F0061">
              <w:rPr>
                <w:rFonts w:cs="Arial"/>
                <w:szCs w:val="16"/>
              </w:rPr>
              <w:t>C11024</w:t>
            </w:r>
          </w:p>
        </w:tc>
        <w:tc>
          <w:tcPr>
            <w:tcW w:w="850" w:type="dxa"/>
            <w:shd w:val="clear" w:color="auto" w:fill="auto"/>
            <w:tcMar>
              <w:top w:w="28" w:type="dxa"/>
              <w:left w:w="28" w:type="dxa"/>
            </w:tcMar>
          </w:tcPr>
          <w:p w14:paraId="610033A0" w14:textId="77777777" w:rsidR="00160781" w:rsidRPr="005F0061" w:rsidDel="00E03489" w:rsidRDefault="00160781" w:rsidP="00160781">
            <w:pPr>
              <w:spacing w:before="60" w:after="60"/>
              <w:rPr>
                <w:rFonts w:ascii="Arial" w:hAnsi="Arial" w:cs="Arial"/>
                <w:sz w:val="16"/>
                <w:szCs w:val="16"/>
                <w:lang w:eastAsia="en-AU"/>
              </w:rPr>
            </w:pPr>
          </w:p>
        </w:tc>
        <w:tc>
          <w:tcPr>
            <w:tcW w:w="7661" w:type="dxa"/>
            <w:shd w:val="clear" w:color="auto" w:fill="auto"/>
            <w:tcMar>
              <w:top w:w="28" w:type="dxa"/>
              <w:left w:w="28" w:type="dxa"/>
            </w:tcMar>
          </w:tcPr>
          <w:p w14:paraId="5FC9654D" w14:textId="7BB1AA5E" w:rsidR="00160781" w:rsidRPr="005F0061" w:rsidRDefault="00160781" w:rsidP="00160781">
            <w:pPr>
              <w:spacing w:before="60" w:after="60"/>
              <w:rPr>
                <w:rFonts w:ascii="Arial" w:hAnsi="Arial" w:cs="Arial"/>
                <w:sz w:val="16"/>
                <w:szCs w:val="16"/>
              </w:rPr>
            </w:pPr>
            <w:r w:rsidRPr="005F0061">
              <w:rPr>
                <w:rFonts w:ascii="Arial" w:hAnsi="Arial" w:cs="Arial"/>
                <w:sz w:val="16"/>
                <w:szCs w:val="16"/>
              </w:rPr>
              <w:t>Pulmonary arterial hypertension (PAH</w:t>
            </w:r>
            <w:proofErr w:type="gramStart"/>
            <w:r w:rsidRPr="005F0061">
              <w:rPr>
                <w:rFonts w:ascii="Arial" w:hAnsi="Arial" w:cs="Arial"/>
                <w:sz w:val="16"/>
                <w:szCs w:val="16"/>
              </w:rPr>
              <w:t>)</w:t>
            </w:r>
            <w:proofErr w:type="gramEnd"/>
            <w:r w:rsidRPr="005F0061">
              <w:rPr>
                <w:rFonts w:ascii="Arial" w:hAnsi="Arial" w:cs="Arial"/>
                <w:sz w:val="16"/>
                <w:szCs w:val="16"/>
              </w:rPr>
              <w:br/>
              <w:t>Initial 2 (dual therapy - previously treated patients)</w:t>
            </w:r>
            <w:r w:rsidRPr="005F0061">
              <w:rPr>
                <w:rFonts w:ascii="Arial" w:hAnsi="Arial" w:cs="Arial"/>
                <w:sz w:val="16"/>
                <w:szCs w:val="16"/>
              </w:rPr>
              <w:br/>
              <w:t>Patient must have documented WHO Functional Class III PAH or WHO Functional Class IV PAH; AND</w:t>
            </w:r>
            <w:r w:rsidRPr="005F0061">
              <w:rPr>
                <w:rFonts w:ascii="Arial" w:hAnsi="Arial" w:cs="Arial"/>
                <w:sz w:val="16"/>
                <w:szCs w:val="16"/>
              </w:rPr>
              <w:br/>
              <w:t>Patient must have documented a failure to achieve or maintain WHO Functional Class II status with prior PBS-subsidised monotherapy treatment with a phosphodiesterase-5 inhibitor (PDE-5i) for this condition; AND</w:t>
            </w:r>
            <w:r w:rsidRPr="005F0061">
              <w:rPr>
                <w:rFonts w:ascii="Arial" w:hAnsi="Arial" w:cs="Arial"/>
                <w:sz w:val="16"/>
                <w:szCs w:val="16"/>
              </w:rPr>
              <w:br/>
              <w:t>The treatment must be in combination with the PBS-subsidised PDE-5i for this condition.</w:t>
            </w:r>
            <w:r w:rsidRPr="005F0061">
              <w:rPr>
                <w:rFonts w:ascii="Arial" w:hAnsi="Arial" w:cs="Arial"/>
                <w:sz w:val="16"/>
                <w:szCs w:val="16"/>
              </w:rPr>
              <w:br/>
              <w:t xml:space="preserve">The term 'PAH agents' refers to </w:t>
            </w:r>
            <w:proofErr w:type="spellStart"/>
            <w:r w:rsidRPr="005F0061">
              <w:rPr>
                <w:rFonts w:ascii="Arial" w:hAnsi="Arial" w:cs="Arial"/>
                <w:sz w:val="16"/>
                <w:szCs w:val="16"/>
              </w:rPr>
              <w:t>bosentan</w:t>
            </w:r>
            <w:proofErr w:type="spellEnd"/>
            <w:r w:rsidRPr="005F0061">
              <w:rPr>
                <w:rFonts w:ascii="Arial" w:hAnsi="Arial" w:cs="Arial"/>
                <w:sz w:val="16"/>
                <w:szCs w:val="16"/>
              </w:rPr>
              <w:t xml:space="preserve"> monohydrate, </w:t>
            </w:r>
            <w:proofErr w:type="spellStart"/>
            <w:r w:rsidRPr="005F0061">
              <w:rPr>
                <w:rFonts w:ascii="Arial" w:hAnsi="Arial" w:cs="Arial"/>
                <w:sz w:val="16"/>
                <w:szCs w:val="16"/>
              </w:rPr>
              <w:t>iloprost</w:t>
            </w:r>
            <w:proofErr w:type="spellEnd"/>
            <w:r w:rsidRPr="005F0061">
              <w:rPr>
                <w:rFonts w:ascii="Arial" w:hAnsi="Arial" w:cs="Arial"/>
                <w:sz w:val="16"/>
                <w:szCs w:val="16"/>
              </w:rPr>
              <w:t xml:space="preserve"> trometamol, </w:t>
            </w:r>
            <w:proofErr w:type="spellStart"/>
            <w:r w:rsidRPr="005F0061">
              <w:rPr>
                <w:rFonts w:ascii="Arial" w:hAnsi="Arial" w:cs="Arial"/>
                <w:sz w:val="16"/>
                <w:szCs w:val="16"/>
              </w:rPr>
              <w:t>epoprostenol</w:t>
            </w:r>
            <w:proofErr w:type="spellEnd"/>
            <w:r w:rsidRPr="005F0061">
              <w:rPr>
                <w:rFonts w:ascii="Arial" w:hAnsi="Arial" w:cs="Arial"/>
                <w:sz w:val="16"/>
                <w:szCs w:val="16"/>
              </w:rPr>
              <w:t xml:space="preserve"> sodium, sildenafil citrate, </w:t>
            </w:r>
            <w:proofErr w:type="spellStart"/>
            <w:r w:rsidRPr="005F0061">
              <w:rPr>
                <w:rFonts w:ascii="Arial" w:hAnsi="Arial" w:cs="Arial"/>
                <w:sz w:val="16"/>
                <w:szCs w:val="16"/>
              </w:rPr>
              <w:t>ambrisentan</w:t>
            </w:r>
            <w:proofErr w:type="spellEnd"/>
            <w:r w:rsidRPr="005F0061">
              <w:rPr>
                <w:rFonts w:ascii="Arial" w:hAnsi="Arial" w:cs="Arial"/>
                <w:sz w:val="16"/>
                <w:szCs w:val="16"/>
              </w:rPr>
              <w:t xml:space="preserve">, </w:t>
            </w:r>
            <w:proofErr w:type="spellStart"/>
            <w:r w:rsidRPr="005F0061">
              <w:rPr>
                <w:rFonts w:ascii="Arial" w:hAnsi="Arial" w:cs="Arial"/>
                <w:sz w:val="16"/>
                <w:szCs w:val="16"/>
              </w:rPr>
              <w:t>tadalafil</w:t>
            </w:r>
            <w:proofErr w:type="spellEnd"/>
            <w:r w:rsidRPr="005F0061">
              <w:rPr>
                <w:rFonts w:ascii="Arial" w:hAnsi="Arial" w:cs="Arial"/>
                <w:sz w:val="16"/>
                <w:szCs w:val="16"/>
              </w:rPr>
              <w:t xml:space="preserve">, and </w:t>
            </w:r>
            <w:proofErr w:type="spellStart"/>
            <w:r w:rsidRPr="005F0061">
              <w:rPr>
                <w:rFonts w:ascii="Arial" w:hAnsi="Arial" w:cs="Arial"/>
                <w:sz w:val="16"/>
                <w:szCs w:val="16"/>
              </w:rPr>
              <w:t>macitentan</w:t>
            </w:r>
            <w:proofErr w:type="spellEnd"/>
            <w:r w:rsidRPr="005F0061">
              <w:rPr>
                <w:rFonts w:ascii="Arial" w:hAnsi="Arial" w:cs="Arial"/>
                <w:sz w:val="16"/>
                <w:szCs w:val="16"/>
              </w:rPr>
              <w:t>.</w:t>
            </w:r>
            <w:r w:rsidRPr="005F0061">
              <w:rPr>
                <w:rFonts w:ascii="Arial" w:hAnsi="Arial" w:cs="Arial"/>
                <w:sz w:val="16"/>
                <w:szCs w:val="16"/>
              </w:rPr>
              <w:br/>
              <w:t>For the purposes of PBS subsidy, dual therapy refers to combined use of an endothelin receptor antagonist (ERA) and a phosphodiesterase-5 inhibitor (PDE-5i).</w:t>
            </w:r>
            <w:r w:rsidRPr="005F0061">
              <w:rPr>
                <w:rFonts w:ascii="Arial" w:hAnsi="Arial" w:cs="Arial"/>
                <w:sz w:val="16"/>
                <w:szCs w:val="16"/>
              </w:rPr>
              <w:br/>
              <w:t>(</w:t>
            </w:r>
            <w:proofErr w:type="spellStart"/>
            <w:r w:rsidRPr="005F0061">
              <w:rPr>
                <w:rFonts w:ascii="Arial" w:hAnsi="Arial" w:cs="Arial"/>
                <w:sz w:val="16"/>
                <w:szCs w:val="16"/>
              </w:rPr>
              <w:t>i</w:t>
            </w:r>
            <w:proofErr w:type="spellEnd"/>
            <w:r w:rsidRPr="005F0061">
              <w:rPr>
                <w:rFonts w:ascii="Arial" w:hAnsi="Arial" w:cs="Arial"/>
                <w:sz w:val="16"/>
                <w:szCs w:val="16"/>
              </w:rPr>
              <w:t xml:space="preserve">) An ERA includes </w:t>
            </w:r>
            <w:proofErr w:type="spellStart"/>
            <w:r w:rsidRPr="005F0061">
              <w:rPr>
                <w:rFonts w:ascii="Arial" w:hAnsi="Arial" w:cs="Arial"/>
                <w:sz w:val="16"/>
                <w:szCs w:val="16"/>
              </w:rPr>
              <w:t>ambrisentan</w:t>
            </w:r>
            <w:proofErr w:type="spellEnd"/>
            <w:r w:rsidRPr="005F0061">
              <w:rPr>
                <w:rFonts w:ascii="Arial" w:hAnsi="Arial" w:cs="Arial"/>
                <w:sz w:val="16"/>
                <w:szCs w:val="16"/>
              </w:rPr>
              <w:t xml:space="preserve">, </w:t>
            </w:r>
            <w:proofErr w:type="spellStart"/>
            <w:r w:rsidRPr="005F0061">
              <w:rPr>
                <w:rFonts w:ascii="Arial" w:hAnsi="Arial" w:cs="Arial"/>
                <w:sz w:val="16"/>
                <w:szCs w:val="16"/>
              </w:rPr>
              <w:t>bosentan</w:t>
            </w:r>
            <w:proofErr w:type="spellEnd"/>
            <w:r w:rsidRPr="005F0061">
              <w:rPr>
                <w:rFonts w:ascii="Arial" w:hAnsi="Arial" w:cs="Arial"/>
                <w:sz w:val="16"/>
                <w:szCs w:val="16"/>
              </w:rPr>
              <w:t xml:space="preserve"> monohydrate, or </w:t>
            </w:r>
            <w:proofErr w:type="spellStart"/>
            <w:r w:rsidRPr="005F0061">
              <w:rPr>
                <w:rFonts w:ascii="Arial" w:hAnsi="Arial" w:cs="Arial"/>
                <w:sz w:val="16"/>
                <w:szCs w:val="16"/>
              </w:rPr>
              <w:t>macitentan</w:t>
            </w:r>
            <w:proofErr w:type="spellEnd"/>
            <w:r w:rsidRPr="005F0061">
              <w:rPr>
                <w:rFonts w:ascii="Arial" w:hAnsi="Arial" w:cs="Arial"/>
                <w:sz w:val="16"/>
                <w:szCs w:val="16"/>
              </w:rPr>
              <w:t>.</w:t>
            </w:r>
            <w:r w:rsidRPr="005F0061">
              <w:rPr>
                <w:rFonts w:ascii="Arial" w:hAnsi="Arial" w:cs="Arial"/>
                <w:sz w:val="16"/>
                <w:szCs w:val="16"/>
              </w:rPr>
              <w:br/>
              <w:t xml:space="preserve">(ii) A PDE-5i includes sildenafil citrate, or </w:t>
            </w:r>
            <w:proofErr w:type="spellStart"/>
            <w:r w:rsidRPr="005F0061">
              <w:rPr>
                <w:rFonts w:ascii="Arial" w:hAnsi="Arial" w:cs="Arial"/>
                <w:sz w:val="16"/>
                <w:szCs w:val="16"/>
              </w:rPr>
              <w:t>tadalafil</w:t>
            </w:r>
            <w:proofErr w:type="spellEnd"/>
            <w:r w:rsidRPr="005F0061">
              <w:rPr>
                <w:rFonts w:ascii="Arial" w:hAnsi="Arial" w:cs="Arial"/>
                <w:sz w:val="16"/>
                <w:szCs w:val="16"/>
              </w:rPr>
              <w:t>.</w:t>
            </w:r>
            <w:r w:rsidRPr="005F0061">
              <w:rPr>
                <w:rFonts w:ascii="Arial"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5F0061">
              <w:rPr>
                <w:rFonts w:ascii="Arial" w:hAnsi="Arial" w:cs="Arial"/>
                <w:sz w:val="16"/>
                <w:szCs w:val="16"/>
              </w:rPr>
              <w:br/>
              <w:t>PAH (WHO Group 1 pulmonary hypertension) is defined as follows</w:t>
            </w:r>
            <w:proofErr w:type="gramStart"/>
            <w:r w:rsidRPr="005F0061">
              <w:rPr>
                <w:rFonts w:ascii="Arial" w:hAnsi="Arial" w:cs="Arial"/>
                <w:sz w:val="16"/>
                <w:szCs w:val="16"/>
              </w:rPr>
              <w:t>:</w:t>
            </w:r>
            <w:proofErr w:type="gramEnd"/>
            <w:r w:rsidRPr="005F0061">
              <w:rPr>
                <w:rFonts w:ascii="Arial" w:hAnsi="Arial" w:cs="Arial"/>
                <w:sz w:val="16"/>
                <w:szCs w:val="16"/>
              </w:rPr>
              <w:br/>
              <w:t>(</w:t>
            </w:r>
            <w:proofErr w:type="spellStart"/>
            <w:r w:rsidRPr="005F0061">
              <w:rPr>
                <w:rFonts w:ascii="Arial" w:hAnsi="Arial" w:cs="Arial"/>
                <w:sz w:val="16"/>
                <w:szCs w:val="16"/>
              </w:rPr>
              <w:t>i</w:t>
            </w:r>
            <w:proofErr w:type="spellEnd"/>
            <w:r w:rsidRPr="005F0061">
              <w:rPr>
                <w:rFonts w:ascii="Arial" w:hAnsi="Arial" w:cs="Arial"/>
                <w:sz w:val="16"/>
                <w:szCs w:val="16"/>
              </w:rPr>
              <w:t>) mean pulmonary artery pressure (</w:t>
            </w:r>
            <w:proofErr w:type="spellStart"/>
            <w:r w:rsidRPr="005F0061">
              <w:rPr>
                <w:rFonts w:ascii="Arial" w:hAnsi="Arial" w:cs="Arial"/>
                <w:sz w:val="16"/>
                <w:szCs w:val="16"/>
              </w:rPr>
              <w:t>mPAP</w:t>
            </w:r>
            <w:proofErr w:type="spellEnd"/>
            <w:r w:rsidRPr="005F0061">
              <w:rPr>
                <w:rFonts w:ascii="Arial" w:hAnsi="Arial" w:cs="Arial"/>
                <w:sz w:val="16"/>
                <w:szCs w:val="16"/>
              </w:rPr>
              <w:t>) greater than or equal to 25 mmHg at rest and pulmonary artery wedge pressure (PAWP) less than or equal to 15 mmHg; or</w:t>
            </w:r>
            <w:r w:rsidRPr="005F0061">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5F0061">
              <w:rPr>
                <w:rFonts w:ascii="Arial" w:hAnsi="Arial" w:cs="Arial"/>
                <w:sz w:val="16"/>
                <w:szCs w:val="16"/>
              </w:rPr>
              <w:br/>
              <w:t>The results and date of the RHC, ECHO and 6 MWT as applicable must be included in the patient's medical record. Where a RHC cannot be performed on clinical grounds, the written confirmation of the reasons why must also be included in the patient's medical record.</w:t>
            </w:r>
            <w:r w:rsidRPr="005F0061">
              <w:rPr>
                <w:rFonts w:ascii="Arial" w:hAnsi="Arial" w:cs="Arial"/>
                <w:sz w:val="16"/>
                <w:szCs w:val="16"/>
              </w:rPr>
              <w:br/>
              <w:t>The maximum quantity authorised will be limited to provide sufficient supply for 1 month of treatment, based on the dosage recommendations in the TGA-approved Product Information.</w:t>
            </w:r>
            <w:r w:rsidRPr="005F0061">
              <w:rPr>
                <w:rFonts w:ascii="Arial" w:hAnsi="Arial" w:cs="Arial"/>
                <w:sz w:val="16"/>
                <w:szCs w:val="16"/>
              </w:rPr>
              <w:br/>
              <w:t>A maximum of 5 repeats may be requested.</w:t>
            </w:r>
          </w:p>
        </w:tc>
        <w:tc>
          <w:tcPr>
            <w:tcW w:w="2650" w:type="dxa"/>
            <w:shd w:val="clear" w:color="auto" w:fill="auto"/>
            <w:tcMar>
              <w:top w:w="28" w:type="dxa"/>
              <w:left w:w="28" w:type="dxa"/>
              <w:right w:w="57" w:type="dxa"/>
            </w:tcMar>
          </w:tcPr>
          <w:p w14:paraId="4C40358E" w14:textId="69E1C697" w:rsidR="00160781" w:rsidRPr="005F0061" w:rsidRDefault="00160781" w:rsidP="00160781">
            <w:pPr>
              <w:pStyle w:val="Tabletext0"/>
              <w:rPr>
                <w:rFonts w:cs="Arial"/>
                <w:szCs w:val="16"/>
              </w:rPr>
            </w:pPr>
            <w:r w:rsidRPr="005F0061">
              <w:rPr>
                <w:rFonts w:cs="Arial"/>
                <w:szCs w:val="16"/>
              </w:rPr>
              <w:t>Compliance with Authority Required procedures</w:t>
            </w:r>
          </w:p>
        </w:tc>
      </w:tr>
      <w:tr w:rsidR="00160781" w:rsidRPr="005F0061" w14:paraId="08522D78" w14:textId="77777777" w:rsidTr="00FA7DB9">
        <w:tc>
          <w:tcPr>
            <w:tcW w:w="1900" w:type="dxa"/>
            <w:shd w:val="clear" w:color="auto" w:fill="auto"/>
            <w:tcMar>
              <w:top w:w="28" w:type="dxa"/>
              <w:left w:w="28" w:type="dxa"/>
            </w:tcMar>
          </w:tcPr>
          <w:p w14:paraId="4D3D4AE3" w14:textId="3E4E7D1C" w:rsidR="00160781" w:rsidRPr="005F0061" w:rsidRDefault="00160781" w:rsidP="00A60B92">
            <w:pPr>
              <w:rPr>
                <w:lang w:eastAsia="en-AU"/>
              </w:rPr>
            </w:pPr>
          </w:p>
        </w:tc>
        <w:tc>
          <w:tcPr>
            <w:tcW w:w="850" w:type="dxa"/>
            <w:shd w:val="clear" w:color="auto" w:fill="auto"/>
            <w:tcMar>
              <w:top w:w="28" w:type="dxa"/>
              <w:left w:w="28" w:type="dxa"/>
            </w:tcMar>
          </w:tcPr>
          <w:p w14:paraId="1707AA8C" w14:textId="158C852C" w:rsidR="00160781" w:rsidRPr="005F0061" w:rsidRDefault="00160781" w:rsidP="00160781">
            <w:pPr>
              <w:pStyle w:val="Tabletext0"/>
              <w:rPr>
                <w:rFonts w:cs="Arial"/>
                <w:szCs w:val="16"/>
              </w:rPr>
            </w:pPr>
            <w:r w:rsidRPr="005F0061">
              <w:rPr>
                <w:rFonts w:cs="Arial"/>
                <w:szCs w:val="16"/>
              </w:rPr>
              <w:t>C11037</w:t>
            </w:r>
          </w:p>
        </w:tc>
        <w:tc>
          <w:tcPr>
            <w:tcW w:w="850" w:type="dxa"/>
            <w:shd w:val="clear" w:color="auto" w:fill="auto"/>
            <w:tcMar>
              <w:top w:w="28" w:type="dxa"/>
              <w:left w:w="28" w:type="dxa"/>
            </w:tcMar>
          </w:tcPr>
          <w:p w14:paraId="1C266A7E" w14:textId="77777777" w:rsidR="00160781" w:rsidRPr="005F0061" w:rsidDel="00E03489" w:rsidRDefault="00160781" w:rsidP="00160781">
            <w:pPr>
              <w:spacing w:before="60" w:after="60"/>
              <w:rPr>
                <w:rFonts w:ascii="Arial" w:hAnsi="Arial" w:cs="Arial"/>
                <w:sz w:val="16"/>
                <w:szCs w:val="16"/>
                <w:lang w:eastAsia="en-AU"/>
              </w:rPr>
            </w:pPr>
          </w:p>
        </w:tc>
        <w:tc>
          <w:tcPr>
            <w:tcW w:w="7661" w:type="dxa"/>
            <w:shd w:val="clear" w:color="auto" w:fill="auto"/>
            <w:tcMar>
              <w:top w:w="28" w:type="dxa"/>
              <w:left w:w="28" w:type="dxa"/>
            </w:tcMar>
          </w:tcPr>
          <w:p w14:paraId="08D02F01" w14:textId="4ADD9531" w:rsidR="00160781" w:rsidRPr="005F0061" w:rsidRDefault="00160781" w:rsidP="00160781">
            <w:pPr>
              <w:spacing w:before="60" w:after="60"/>
              <w:rPr>
                <w:rFonts w:ascii="Arial" w:hAnsi="Arial" w:cs="Arial"/>
                <w:sz w:val="16"/>
                <w:szCs w:val="16"/>
              </w:rPr>
            </w:pPr>
            <w:r w:rsidRPr="005F0061">
              <w:rPr>
                <w:rFonts w:ascii="Arial" w:hAnsi="Arial" w:cs="Arial"/>
                <w:sz w:val="16"/>
                <w:szCs w:val="16"/>
              </w:rPr>
              <w:t>Pulmonary arterial hypertension (PAH)</w:t>
            </w:r>
            <w:r w:rsidRPr="005F0061">
              <w:rPr>
                <w:rFonts w:ascii="Arial" w:hAnsi="Arial" w:cs="Arial"/>
                <w:sz w:val="16"/>
                <w:szCs w:val="16"/>
              </w:rPr>
              <w:br/>
              <w:t>Initial 1 (dual therapy - previously untreated patients)</w:t>
            </w:r>
            <w:r w:rsidRPr="005F0061">
              <w:rPr>
                <w:rFonts w:ascii="Arial" w:hAnsi="Arial" w:cs="Arial"/>
                <w:sz w:val="16"/>
                <w:szCs w:val="16"/>
              </w:rPr>
              <w:br/>
              <w:t>Patient must not have received prior PBS-subsidised treatment with a pulmonary arterial hypertension (PAH) agent; AND</w:t>
            </w:r>
            <w:r w:rsidRPr="005F0061">
              <w:rPr>
                <w:rFonts w:ascii="Arial" w:hAnsi="Arial" w:cs="Arial"/>
                <w:sz w:val="16"/>
                <w:szCs w:val="16"/>
              </w:rPr>
              <w:br/>
            </w:r>
            <w:r w:rsidRPr="005F0061">
              <w:rPr>
                <w:rFonts w:ascii="Arial" w:hAnsi="Arial" w:cs="Arial"/>
                <w:sz w:val="16"/>
                <w:szCs w:val="16"/>
              </w:rPr>
              <w:lastRenderedPageBreak/>
              <w:t>Patient must have been assessed by a physician with expertise in the management of PAH; AND</w:t>
            </w:r>
            <w:r w:rsidRPr="005F0061">
              <w:rPr>
                <w:rFonts w:ascii="Arial" w:hAnsi="Arial" w:cs="Arial"/>
                <w:sz w:val="16"/>
                <w:szCs w:val="16"/>
              </w:rPr>
              <w:br/>
              <w:t>Patient must currently have WHO Functional Class III PAH or WHO Functional Class IV PAH; AND</w:t>
            </w:r>
            <w:r w:rsidRPr="005F0061">
              <w:rPr>
                <w:rFonts w:ascii="Arial" w:hAnsi="Arial" w:cs="Arial"/>
                <w:sz w:val="16"/>
                <w:szCs w:val="16"/>
              </w:rPr>
              <w:br/>
              <w:t>The treatment must be in combination with a PBS-subsidised phosphodiesterase-5 inhibitor (PDE-5i) for this condition.</w:t>
            </w:r>
            <w:r w:rsidRPr="005F0061">
              <w:rPr>
                <w:rFonts w:ascii="Arial" w:hAnsi="Arial" w:cs="Arial"/>
                <w:sz w:val="16"/>
                <w:szCs w:val="16"/>
              </w:rPr>
              <w:br/>
              <w:t xml:space="preserve">The term 'PAH agents' refers to </w:t>
            </w:r>
            <w:proofErr w:type="spellStart"/>
            <w:r w:rsidRPr="005F0061">
              <w:rPr>
                <w:rFonts w:ascii="Arial" w:hAnsi="Arial" w:cs="Arial"/>
                <w:sz w:val="16"/>
                <w:szCs w:val="16"/>
              </w:rPr>
              <w:t>bosentan</w:t>
            </w:r>
            <w:proofErr w:type="spellEnd"/>
            <w:r w:rsidRPr="005F0061">
              <w:rPr>
                <w:rFonts w:ascii="Arial" w:hAnsi="Arial" w:cs="Arial"/>
                <w:sz w:val="16"/>
                <w:szCs w:val="16"/>
              </w:rPr>
              <w:t xml:space="preserve"> monohydrate, </w:t>
            </w:r>
            <w:proofErr w:type="spellStart"/>
            <w:r w:rsidRPr="005F0061">
              <w:rPr>
                <w:rFonts w:ascii="Arial" w:hAnsi="Arial" w:cs="Arial"/>
                <w:sz w:val="16"/>
                <w:szCs w:val="16"/>
              </w:rPr>
              <w:t>iloprost</w:t>
            </w:r>
            <w:proofErr w:type="spellEnd"/>
            <w:r w:rsidRPr="005F0061">
              <w:rPr>
                <w:rFonts w:ascii="Arial" w:hAnsi="Arial" w:cs="Arial"/>
                <w:sz w:val="16"/>
                <w:szCs w:val="16"/>
              </w:rPr>
              <w:t xml:space="preserve"> trometamol, </w:t>
            </w:r>
            <w:proofErr w:type="spellStart"/>
            <w:r w:rsidRPr="005F0061">
              <w:rPr>
                <w:rFonts w:ascii="Arial" w:hAnsi="Arial" w:cs="Arial"/>
                <w:sz w:val="16"/>
                <w:szCs w:val="16"/>
              </w:rPr>
              <w:t>epoprostenol</w:t>
            </w:r>
            <w:proofErr w:type="spellEnd"/>
            <w:r w:rsidRPr="005F0061">
              <w:rPr>
                <w:rFonts w:ascii="Arial" w:hAnsi="Arial" w:cs="Arial"/>
                <w:sz w:val="16"/>
                <w:szCs w:val="16"/>
              </w:rPr>
              <w:t xml:space="preserve"> sodium, sildenafil citrate, </w:t>
            </w:r>
            <w:proofErr w:type="spellStart"/>
            <w:r w:rsidRPr="005F0061">
              <w:rPr>
                <w:rFonts w:ascii="Arial" w:hAnsi="Arial" w:cs="Arial"/>
                <w:sz w:val="16"/>
                <w:szCs w:val="16"/>
              </w:rPr>
              <w:t>ambrisentan</w:t>
            </w:r>
            <w:proofErr w:type="spellEnd"/>
            <w:r w:rsidRPr="005F0061">
              <w:rPr>
                <w:rFonts w:ascii="Arial" w:hAnsi="Arial" w:cs="Arial"/>
                <w:sz w:val="16"/>
                <w:szCs w:val="16"/>
              </w:rPr>
              <w:t xml:space="preserve">, </w:t>
            </w:r>
            <w:proofErr w:type="spellStart"/>
            <w:r w:rsidRPr="005F0061">
              <w:rPr>
                <w:rFonts w:ascii="Arial" w:hAnsi="Arial" w:cs="Arial"/>
                <w:sz w:val="16"/>
                <w:szCs w:val="16"/>
              </w:rPr>
              <w:t>tadalafil</w:t>
            </w:r>
            <w:proofErr w:type="spellEnd"/>
            <w:r w:rsidRPr="005F0061">
              <w:rPr>
                <w:rFonts w:ascii="Arial" w:hAnsi="Arial" w:cs="Arial"/>
                <w:sz w:val="16"/>
                <w:szCs w:val="16"/>
              </w:rPr>
              <w:t xml:space="preserve">, and </w:t>
            </w:r>
            <w:proofErr w:type="spellStart"/>
            <w:r w:rsidRPr="005F0061">
              <w:rPr>
                <w:rFonts w:ascii="Arial" w:hAnsi="Arial" w:cs="Arial"/>
                <w:sz w:val="16"/>
                <w:szCs w:val="16"/>
              </w:rPr>
              <w:t>macitentan</w:t>
            </w:r>
            <w:proofErr w:type="spellEnd"/>
            <w:r w:rsidRPr="005F0061">
              <w:rPr>
                <w:rFonts w:ascii="Arial" w:hAnsi="Arial" w:cs="Arial"/>
                <w:sz w:val="16"/>
                <w:szCs w:val="16"/>
              </w:rPr>
              <w:t>.</w:t>
            </w:r>
            <w:r w:rsidRPr="005F0061">
              <w:rPr>
                <w:rFonts w:ascii="Arial" w:hAnsi="Arial" w:cs="Arial"/>
                <w:sz w:val="16"/>
                <w:szCs w:val="16"/>
              </w:rPr>
              <w:br/>
              <w:t>For the purposes of PBS subsidy, dual therapy refers to combined use of an endothelin receptor antagonist (ERA) and a phosphodiesterase-5 inhibitor (PDE-5i).</w:t>
            </w:r>
            <w:r w:rsidRPr="005F0061">
              <w:rPr>
                <w:rFonts w:ascii="Arial" w:hAnsi="Arial" w:cs="Arial"/>
                <w:sz w:val="16"/>
                <w:szCs w:val="16"/>
              </w:rPr>
              <w:br/>
              <w:t>(</w:t>
            </w:r>
            <w:proofErr w:type="spellStart"/>
            <w:r w:rsidRPr="005F0061">
              <w:rPr>
                <w:rFonts w:ascii="Arial" w:hAnsi="Arial" w:cs="Arial"/>
                <w:sz w:val="16"/>
                <w:szCs w:val="16"/>
              </w:rPr>
              <w:t>i</w:t>
            </w:r>
            <w:proofErr w:type="spellEnd"/>
            <w:r w:rsidRPr="005F0061">
              <w:rPr>
                <w:rFonts w:ascii="Arial" w:hAnsi="Arial" w:cs="Arial"/>
                <w:sz w:val="16"/>
                <w:szCs w:val="16"/>
              </w:rPr>
              <w:t xml:space="preserve">) An ERA includes </w:t>
            </w:r>
            <w:proofErr w:type="spellStart"/>
            <w:r w:rsidRPr="005F0061">
              <w:rPr>
                <w:rFonts w:ascii="Arial" w:hAnsi="Arial" w:cs="Arial"/>
                <w:sz w:val="16"/>
                <w:szCs w:val="16"/>
              </w:rPr>
              <w:t>ambrisentan</w:t>
            </w:r>
            <w:proofErr w:type="spellEnd"/>
            <w:r w:rsidRPr="005F0061">
              <w:rPr>
                <w:rFonts w:ascii="Arial" w:hAnsi="Arial" w:cs="Arial"/>
                <w:sz w:val="16"/>
                <w:szCs w:val="16"/>
              </w:rPr>
              <w:t xml:space="preserve">, </w:t>
            </w:r>
            <w:proofErr w:type="spellStart"/>
            <w:r w:rsidRPr="005F0061">
              <w:rPr>
                <w:rFonts w:ascii="Arial" w:hAnsi="Arial" w:cs="Arial"/>
                <w:sz w:val="16"/>
                <w:szCs w:val="16"/>
              </w:rPr>
              <w:t>bosentan</w:t>
            </w:r>
            <w:proofErr w:type="spellEnd"/>
            <w:r w:rsidRPr="005F0061">
              <w:rPr>
                <w:rFonts w:ascii="Arial" w:hAnsi="Arial" w:cs="Arial"/>
                <w:sz w:val="16"/>
                <w:szCs w:val="16"/>
              </w:rPr>
              <w:t xml:space="preserve"> monohydrate, or </w:t>
            </w:r>
            <w:proofErr w:type="spellStart"/>
            <w:r w:rsidRPr="005F0061">
              <w:rPr>
                <w:rFonts w:ascii="Arial" w:hAnsi="Arial" w:cs="Arial"/>
                <w:sz w:val="16"/>
                <w:szCs w:val="16"/>
              </w:rPr>
              <w:t>macitentan</w:t>
            </w:r>
            <w:proofErr w:type="spellEnd"/>
            <w:r w:rsidRPr="005F0061">
              <w:rPr>
                <w:rFonts w:ascii="Arial" w:hAnsi="Arial" w:cs="Arial"/>
                <w:sz w:val="16"/>
                <w:szCs w:val="16"/>
              </w:rPr>
              <w:t>.</w:t>
            </w:r>
            <w:r w:rsidRPr="005F0061">
              <w:rPr>
                <w:rFonts w:ascii="Arial" w:hAnsi="Arial" w:cs="Arial"/>
                <w:sz w:val="16"/>
                <w:szCs w:val="16"/>
              </w:rPr>
              <w:br/>
              <w:t xml:space="preserve">(ii) A PDE-5i includes sildenafil citrate, or </w:t>
            </w:r>
            <w:proofErr w:type="spellStart"/>
            <w:r w:rsidRPr="005F0061">
              <w:rPr>
                <w:rFonts w:ascii="Arial" w:hAnsi="Arial" w:cs="Arial"/>
                <w:sz w:val="16"/>
                <w:szCs w:val="16"/>
              </w:rPr>
              <w:t>tadalafil</w:t>
            </w:r>
            <w:proofErr w:type="spellEnd"/>
            <w:r w:rsidRPr="005F0061">
              <w:rPr>
                <w:rFonts w:ascii="Arial" w:hAnsi="Arial" w:cs="Arial"/>
                <w:sz w:val="16"/>
                <w:szCs w:val="16"/>
              </w:rPr>
              <w:t>.</w:t>
            </w:r>
            <w:r w:rsidRPr="005F0061">
              <w:rPr>
                <w:rFonts w:ascii="Arial"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5F0061">
              <w:rPr>
                <w:rFonts w:ascii="Arial" w:hAnsi="Arial" w:cs="Arial"/>
                <w:sz w:val="16"/>
                <w:szCs w:val="16"/>
              </w:rPr>
              <w:br/>
              <w:t>PAH (WHO Group 1 pulmonary hypertension) is defined as follows</w:t>
            </w:r>
            <w:proofErr w:type="gramStart"/>
            <w:r w:rsidRPr="005F0061">
              <w:rPr>
                <w:rFonts w:ascii="Arial" w:hAnsi="Arial" w:cs="Arial"/>
                <w:sz w:val="16"/>
                <w:szCs w:val="16"/>
              </w:rPr>
              <w:t>:</w:t>
            </w:r>
            <w:proofErr w:type="gramEnd"/>
            <w:r w:rsidRPr="005F0061">
              <w:rPr>
                <w:rFonts w:ascii="Arial" w:hAnsi="Arial" w:cs="Arial"/>
                <w:sz w:val="16"/>
                <w:szCs w:val="16"/>
              </w:rPr>
              <w:br/>
              <w:t>(</w:t>
            </w:r>
            <w:proofErr w:type="spellStart"/>
            <w:r w:rsidRPr="005F0061">
              <w:rPr>
                <w:rFonts w:ascii="Arial" w:hAnsi="Arial" w:cs="Arial"/>
                <w:sz w:val="16"/>
                <w:szCs w:val="16"/>
              </w:rPr>
              <w:t>i</w:t>
            </w:r>
            <w:proofErr w:type="spellEnd"/>
            <w:r w:rsidRPr="005F0061">
              <w:rPr>
                <w:rFonts w:ascii="Arial" w:hAnsi="Arial" w:cs="Arial"/>
                <w:sz w:val="16"/>
                <w:szCs w:val="16"/>
              </w:rPr>
              <w:t>) mean pulmonary artery pressure (</w:t>
            </w:r>
            <w:proofErr w:type="spellStart"/>
            <w:r w:rsidRPr="005F0061">
              <w:rPr>
                <w:rFonts w:ascii="Arial" w:hAnsi="Arial" w:cs="Arial"/>
                <w:sz w:val="16"/>
                <w:szCs w:val="16"/>
              </w:rPr>
              <w:t>mPAP</w:t>
            </w:r>
            <w:proofErr w:type="spellEnd"/>
            <w:r w:rsidRPr="005F0061">
              <w:rPr>
                <w:rFonts w:ascii="Arial" w:hAnsi="Arial" w:cs="Arial"/>
                <w:sz w:val="16"/>
                <w:szCs w:val="16"/>
              </w:rPr>
              <w:t>) greater than or equal to 25 mmHg at rest and pulmonary artery wedge pressure (PAWP) less than or equal to 15 mmHg; or</w:t>
            </w:r>
            <w:r w:rsidRPr="005F0061">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5F0061">
              <w:rPr>
                <w:rFonts w:ascii="Arial" w:hAnsi="Arial" w:cs="Arial"/>
                <w:sz w:val="16"/>
                <w:szCs w:val="16"/>
              </w:rPr>
              <w:br/>
              <w:t>Applications for authorisation must be in writing and must include:</w:t>
            </w:r>
            <w:r w:rsidRPr="005F0061">
              <w:rPr>
                <w:rFonts w:ascii="Arial" w:hAnsi="Arial" w:cs="Arial"/>
                <w:sz w:val="16"/>
                <w:szCs w:val="16"/>
              </w:rPr>
              <w:br/>
              <w:t>(1) a completed authority prescription form; and</w:t>
            </w:r>
            <w:r w:rsidRPr="005F0061">
              <w:rPr>
                <w:rFonts w:ascii="Arial" w:hAnsi="Arial" w:cs="Arial"/>
                <w:sz w:val="16"/>
                <w:szCs w:val="16"/>
              </w:rPr>
              <w:br/>
              <w:t>(2) a completed Pulmonary Arterial Hypertension PBS Authority Application - Supporting Information form which includes results from the three tests below, where available:</w:t>
            </w:r>
            <w:r w:rsidRPr="005F0061">
              <w:rPr>
                <w:rFonts w:ascii="Arial" w:hAnsi="Arial" w:cs="Arial"/>
                <w:sz w:val="16"/>
                <w:szCs w:val="16"/>
              </w:rPr>
              <w:br/>
              <w:t>(</w:t>
            </w:r>
            <w:proofErr w:type="spellStart"/>
            <w:r w:rsidRPr="005F0061">
              <w:rPr>
                <w:rFonts w:ascii="Arial" w:hAnsi="Arial" w:cs="Arial"/>
                <w:sz w:val="16"/>
                <w:szCs w:val="16"/>
              </w:rPr>
              <w:t>i</w:t>
            </w:r>
            <w:proofErr w:type="spellEnd"/>
            <w:r w:rsidRPr="005F0061">
              <w:rPr>
                <w:rFonts w:ascii="Arial" w:hAnsi="Arial" w:cs="Arial"/>
                <w:sz w:val="16"/>
                <w:szCs w:val="16"/>
              </w:rPr>
              <w:t>) RHC composite assessment; and</w:t>
            </w:r>
            <w:r w:rsidRPr="005F0061">
              <w:rPr>
                <w:rFonts w:ascii="Arial" w:hAnsi="Arial" w:cs="Arial"/>
                <w:sz w:val="16"/>
                <w:szCs w:val="16"/>
              </w:rPr>
              <w:br/>
              <w:t>(ii) ECHO composite assessment; and</w:t>
            </w:r>
            <w:r w:rsidRPr="005F0061">
              <w:rPr>
                <w:rFonts w:ascii="Arial" w:hAnsi="Arial" w:cs="Arial"/>
                <w:sz w:val="16"/>
                <w:szCs w:val="16"/>
              </w:rPr>
              <w:br/>
              <w:t>(iii) 6 Minute Walk Test (6MWT).</w:t>
            </w:r>
            <w:r w:rsidRPr="005F0061">
              <w:rPr>
                <w:rFonts w:ascii="Arial" w:hAnsi="Arial" w:cs="Arial"/>
                <w:sz w:val="16"/>
                <w:szCs w:val="16"/>
              </w:rPr>
              <w:br/>
              <w:t>Where it is not possible to perform all 3 tests on clinical grounds, the following list outlines the preferred test combination, in descending order, for the purposes of initiation of PBS-subsidised treatment:</w:t>
            </w:r>
            <w:r w:rsidRPr="005F0061">
              <w:rPr>
                <w:rFonts w:ascii="Arial" w:hAnsi="Arial" w:cs="Arial"/>
                <w:sz w:val="16"/>
                <w:szCs w:val="16"/>
              </w:rPr>
              <w:br/>
              <w:t>(1) RHC plus ECHO composite assessments;</w:t>
            </w:r>
            <w:r w:rsidRPr="005F0061">
              <w:rPr>
                <w:rFonts w:ascii="Arial" w:hAnsi="Arial" w:cs="Arial"/>
                <w:sz w:val="16"/>
                <w:szCs w:val="16"/>
              </w:rPr>
              <w:br/>
              <w:t>(2) RHC composite assessment plus 6MWT;</w:t>
            </w:r>
            <w:r w:rsidRPr="005F0061">
              <w:rPr>
                <w:rFonts w:ascii="Arial" w:hAnsi="Arial" w:cs="Arial"/>
                <w:sz w:val="16"/>
                <w:szCs w:val="16"/>
              </w:rPr>
              <w:br/>
              <w:t>(3) RHC composite assessment only.</w:t>
            </w:r>
            <w:r w:rsidRPr="005F0061">
              <w:rPr>
                <w:rFonts w:ascii="Arial" w:hAnsi="Arial" w:cs="Arial"/>
                <w:sz w:val="16"/>
                <w:szCs w:val="16"/>
              </w:rPr>
              <w:br/>
              <w:t>In circumstances where a RHC cannot be performed on clinical grounds, applications may be submitted for consideration based on the results of the following test combinations, which are listed in descending order of preference</w:t>
            </w:r>
            <w:proofErr w:type="gramStart"/>
            <w:r w:rsidRPr="005F0061">
              <w:rPr>
                <w:rFonts w:ascii="Arial" w:hAnsi="Arial" w:cs="Arial"/>
                <w:sz w:val="16"/>
                <w:szCs w:val="16"/>
              </w:rPr>
              <w:t>:</w:t>
            </w:r>
            <w:proofErr w:type="gramEnd"/>
            <w:r w:rsidRPr="005F0061">
              <w:rPr>
                <w:rFonts w:ascii="Arial" w:hAnsi="Arial" w:cs="Arial"/>
                <w:sz w:val="16"/>
                <w:szCs w:val="16"/>
              </w:rPr>
              <w:br/>
              <w:t>(1) ECHO composite assessment plus 6MWT;</w:t>
            </w:r>
            <w:r w:rsidRPr="005F0061">
              <w:rPr>
                <w:rFonts w:ascii="Arial" w:hAnsi="Arial" w:cs="Arial"/>
                <w:sz w:val="16"/>
                <w:szCs w:val="16"/>
              </w:rPr>
              <w:br/>
              <w:t>(2) ECHO composite assessment only.</w:t>
            </w:r>
            <w:r w:rsidRPr="005F0061">
              <w:rPr>
                <w:rFonts w:ascii="Arial" w:hAnsi="Arial" w:cs="Arial"/>
                <w:sz w:val="16"/>
                <w:szCs w:val="16"/>
              </w:rPr>
              <w:br/>
              <w:t>Where fewer than 3 tests are able to be performed on clinical grounds, a patient specific reason outlining why the particular test(s) could not be conducted must be provided with the authority application.</w:t>
            </w:r>
            <w:r w:rsidRPr="005F0061">
              <w:rPr>
                <w:rFonts w:ascii="Arial" w:hAnsi="Arial" w:cs="Arial"/>
                <w:sz w:val="16"/>
                <w:szCs w:val="16"/>
              </w:rPr>
              <w:br/>
              <w:t>Where a RHC cannot be performed on clinical grounds, confirmation of the reason(s) must be provided with the authority application by a second PAH physician or cardiologist with expertise in the management of PAH.</w:t>
            </w:r>
            <w:r w:rsidRPr="005F0061">
              <w:rPr>
                <w:rFonts w:ascii="Arial" w:hAnsi="Arial" w:cs="Arial"/>
                <w:sz w:val="16"/>
                <w:szCs w:val="16"/>
              </w:rPr>
              <w:br/>
              <w:t>The test results provided must not be more than 2 months old at the time of application.</w:t>
            </w:r>
            <w:r w:rsidRPr="005F0061">
              <w:rPr>
                <w:rFonts w:ascii="Arial" w:hAnsi="Arial" w:cs="Arial"/>
                <w:sz w:val="16"/>
                <w:szCs w:val="16"/>
              </w:rPr>
              <w:br/>
              <w:t>The maximum quantity authorised will be limited to provide sufficient supply for 1 month of treatment, based on the dosage recommendations in the TGA-approved Product Information.</w:t>
            </w:r>
            <w:r w:rsidRPr="005F0061">
              <w:rPr>
                <w:rFonts w:ascii="Arial" w:hAnsi="Arial" w:cs="Arial"/>
                <w:sz w:val="16"/>
                <w:szCs w:val="16"/>
              </w:rPr>
              <w:br/>
              <w:t>A maximum of 5 repeats may be requested.</w:t>
            </w:r>
          </w:p>
        </w:tc>
        <w:tc>
          <w:tcPr>
            <w:tcW w:w="2650" w:type="dxa"/>
            <w:shd w:val="clear" w:color="auto" w:fill="auto"/>
            <w:tcMar>
              <w:top w:w="28" w:type="dxa"/>
              <w:left w:w="28" w:type="dxa"/>
              <w:right w:w="57" w:type="dxa"/>
            </w:tcMar>
          </w:tcPr>
          <w:p w14:paraId="35A7FAED" w14:textId="31B15916" w:rsidR="00160781" w:rsidRPr="005F0061" w:rsidRDefault="00160781" w:rsidP="00160781">
            <w:pPr>
              <w:pStyle w:val="Tabletext0"/>
              <w:rPr>
                <w:rFonts w:cs="Arial"/>
                <w:szCs w:val="16"/>
              </w:rPr>
            </w:pPr>
            <w:r w:rsidRPr="005F0061">
              <w:rPr>
                <w:rFonts w:cs="Arial"/>
                <w:szCs w:val="16"/>
              </w:rPr>
              <w:lastRenderedPageBreak/>
              <w:t>Compliance with Written Authority Required procedures</w:t>
            </w:r>
          </w:p>
        </w:tc>
      </w:tr>
    </w:tbl>
    <w:p w14:paraId="5B65105F" w14:textId="77777777" w:rsidR="00E32CD8" w:rsidRPr="005F0061" w:rsidRDefault="00E32CD8" w:rsidP="00651E39">
      <w:pPr>
        <w:pStyle w:val="Amendment1"/>
        <w:numPr>
          <w:ilvl w:val="0"/>
          <w:numId w:val="19"/>
        </w:numPr>
        <w:spacing w:before="60" w:after="60"/>
        <w:ind w:left="1134" w:hanging="567"/>
        <w:rPr>
          <w:rFonts w:ascii="Times New Roman" w:hAnsi="Times New Roman" w:cs="Times New Roman"/>
          <w:b w:val="0"/>
          <w:bCs w:val="0"/>
          <w:i/>
          <w:iCs/>
        </w:rPr>
      </w:pPr>
      <w:r w:rsidRPr="005F0061">
        <w:rPr>
          <w:rFonts w:ascii="Times New Roman" w:hAnsi="Times New Roman" w:cs="Times New Roman"/>
          <w:b w:val="0"/>
          <w:bCs w:val="0"/>
          <w:i/>
          <w:iCs/>
        </w:rPr>
        <w:t>insert in numerical order after existing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C11B81" w:rsidRPr="005F0061" w14:paraId="667D68EB" w14:textId="77777777" w:rsidTr="00FA7DB9">
        <w:tc>
          <w:tcPr>
            <w:tcW w:w="1900" w:type="dxa"/>
            <w:shd w:val="clear" w:color="auto" w:fill="auto"/>
            <w:tcMar>
              <w:top w:w="28" w:type="dxa"/>
              <w:left w:w="28" w:type="dxa"/>
            </w:tcMar>
          </w:tcPr>
          <w:p w14:paraId="04962C68" w14:textId="77777777" w:rsidR="00C11B81" w:rsidRPr="005F0061" w:rsidRDefault="00C11B81" w:rsidP="00C11B81">
            <w:pPr>
              <w:pStyle w:val="Tabletext0"/>
              <w:tabs>
                <w:tab w:val="left" w:pos="958"/>
              </w:tabs>
              <w:rPr>
                <w:rFonts w:cs="Arial"/>
                <w:szCs w:val="16"/>
              </w:rPr>
            </w:pPr>
          </w:p>
        </w:tc>
        <w:tc>
          <w:tcPr>
            <w:tcW w:w="850" w:type="dxa"/>
            <w:shd w:val="clear" w:color="auto" w:fill="auto"/>
            <w:tcMar>
              <w:top w:w="28" w:type="dxa"/>
              <w:left w:w="28" w:type="dxa"/>
            </w:tcMar>
          </w:tcPr>
          <w:p w14:paraId="10325632" w14:textId="2EAF7238" w:rsidR="00C11B81" w:rsidRPr="005F0061" w:rsidRDefault="00C11B81" w:rsidP="00C11B81">
            <w:pPr>
              <w:pStyle w:val="Tabletext0"/>
              <w:rPr>
                <w:rFonts w:cs="Arial"/>
                <w:szCs w:val="16"/>
              </w:rPr>
            </w:pPr>
            <w:r w:rsidRPr="005F0061">
              <w:rPr>
                <w:rFonts w:cs="Arial"/>
                <w:szCs w:val="16"/>
              </w:rPr>
              <w:t>C11189</w:t>
            </w:r>
          </w:p>
        </w:tc>
        <w:tc>
          <w:tcPr>
            <w:tcW w:w="850" w:type="dxa"/>
            <w:shd w:val="clear" w:color="auto" w:fill="auto"/>
            <w:tcMar>
              <w:top w:w="28" w:type="dxa"/>
              <w:left w:w="28" w:type="dxa"/>
            </w:tcMar>
          </w:tcPr>
          <w:p w14:paraId="7621696B" w14:textId="77777777" w:rsidR="00C11B81" w:rsidRPr="005F0061" w:rsidDel="00E03489" w:rsidRDefault="00C11B81" w:rsidP="00C11B81">
            <w:pPr>
              <w:pStyle w:val="mps3-data"/>
            </w:pPr>
          </w:p>
        </w:tc>
        <w:tc>
          <w:tcPr>
            <w:tcW w:w="7661" w:type="dxa"/>
            <w:shd w:val="clear" w:color="auto" w:fill="auto"/>
            <w:tcMar>
              <w:top w:w="28" w:type="dxa"/>
              <w:left w:w="28" w:type="dxa"/>
            </w:tcMar>
          </w:tcPr>
          <w:p w14:paraId="7AD622FB" w14:textId="10CD2ED5" w:rsidR="00C11B81" w:rsidRPr="005F0061" w:rsidRDefault="00C11B81" w:rsidP="00C11B81">
            <w:pPr>
              <w:pStyle w:val="mps3-data"/>
            </w:pPr>
            <w:r w:rsidRPr="005F0061">
              <w:t>Pulmonary arterial hypertension (PAH</w:t>
            </w:r>
            <w:proofErr w:type="gramStart"/>
            <w:r w:rsidRPr="005F0061">
              <w:t>)</w:t>
            </w:r>
            <w:proofErr w:type="gramEnd"/>
            <w:r w:rsidR="003327A6" w:rsidRPr="005F0061">
              <w:br/>
            </w:r>
            <w:r w:rsidRPr="005F0061">
              <w:t>Initial 3 (dual therapy - change)</w:t>
            </w:r>
            <w:r w:rsidR="003327A6" w:rsidRPr="005F0061">
              <w:br/>
            </w:r>
            <w:r w:rsidRPr="005F0061">
              <w:t>Patient must have had their most recent course of PBS-subsidised dual therapy with a phosphodiesterase-</w:t>
            </w:r>
            <w:r w:rsidRPr="005F0061">
              <w:lastRenderedPageBreak/>
              <w:t>5 inhibitor (PDE-5i) and an endothelin receptor antagonist (ERA) other than this agent for this condition.</w:t>
            </w:r>
            <w:r w:rsidR="003327A6" w:rsidRPr="005F0061">
              <w:br/>
            </w:r>
            <w:r w:rsidRPr="005F0061">
              <w:t>Must be treated by a physician with expertise in the management of PAH, with this authority application to be completed by the physician with expertise in PAH.</w:t>
            </w:r>
            <w:r w:rsidR="003327A6" w:rsidRPr="005F0061">
              <w:br/>
            </w:r>
            <w:r w:rsidRPr="005F0061">
              <w:t xml:space="preserve">The term 'PAH agents' refers to </w:t>
            </w:r>
            <w:proofErr w:type="spellStart"/>
            <w:r w:rsidRPr="005F0061">
              <w:t>bosentan</w:t>
            </w:r>
            <w:proofErr w:type="spellEnd"/>
            <w:r w:rsidRPr="005F0061">
              <w:t xml:space="preserve"> monohydrate, </w:t>
            </w:r>
            <w:proofErr w:type="spellStart"/>
            <w:r w:rsidRPr="005F0061">
              <w:t>iloprost</w:t>
            </w:r>
            <w:proofErr w:type="spellEnd"/>
            <w:r w:rsidRPr="005F0061">
              <w:t xml:space="preserve"> trometamol, </w:t>
            </w:r>
            <w:proofErr w:type="spellStart"/>
            <w:r w:rsidRPr="005F0061">
              <w:t>epoprostenol</w:t>
            </w:r>
            <w:proofErr w:type="spellEnd"/>
            <w:r w:rsidRPr="005F0061">
              <w:t xml:space="preserve"> sodium, sildenafil citrate, </w:t>
            </w:r>
            <w:proofErr w:type="spellStart"/>
            <w:r w:rsidRPr="005F0061">
              <w:t>ambrisentan</w:t>
            </w:r>
            <w:proofErr w:type="spellEnd"/>
            <w:r w:rsidRPr="005F0061">
              <w:t xml:space="preserve">, </w:t>
            </w:r>
            <w:proofErr w:type="spellStart"/>
            <w:r w:rsidRPr="005F0061">
              <w:t>tadalafil</w:t>
            </w:r>
            <w:proofErr w:type="spellEnd"/>
            <w:r w:rsidRPr="005F0061">
              <w:t xml:space="preserve">, and </w:t>
            </w:r>
            <w:proofErr w:type="spellStart"/>
            <w:r w:rsidRPr="005F0061">
              <w:t>macitentan</w:t>
            </w:r>
            <w:proofErr w:type="spellEnd"/>
            <w:r w:rsidRPr="005F0061">
              <w:t>.</w:t>
            </w:r>
            <w:r w:rsidR="003327A6" w:rsidRPr="005F0061">
              <w:br/>
            </w:r>
            <w:r w:rsidRPr="005F0061">
              <w:t>For the purposes of PBS subsidy, dual therapy refers to combined use of an endothelin receptor antagonist (ERA) and a phosphodiesterase-5 inhibitor (PDE-5i).</w:t>
            </w:r>
            <w:r w:rsidR="003327A6" w:rsidRPr="005F0061">
              <w:br/>
            </w:r>
            <w:r w:rsidRPr="005F0061">
              <w:t>(</w:t>
            </w:r>
            <w:proofErr w:type="spellStart"/>
            <w:r w:rsidRPr="005F0061">
              <w:t>i</w:t>
            </w:r>
            <w:proofErr w:type="spellEnd"/>
            <w:r w:rsidRPr="005F0061">
              <w:t xml:space="preserve">) An ERA includes </w:t>
            </w:r>
            <w:proofErr w:type="spellStart"/>
            <w:r w:rsidRPr="005F0061">
              <w:t>ambrisentan</w:t>
            </w:r>
            <w:proofErr w:type="spellEnd"/>
            <w:r w:rsidRPr="005F0061">
              <w:t xml:space="preserve">, </w:t>
            </w:r>
            <w:proofErr w:type="spellStart"/>
            <w:r w:rsidRPr="005F0061">
              <w:t>bosentan</w:t>
            </w:r>
            <w:proofErr w:type="spellEnd"/>
            <w:r w:rsidRPr="005F0061">
              <w:t xml:space="preserve"> monohydrate, or </w:t>
            </w:r>
            <w:proofErr w:type="spellStart"/>
            <w:r w:rsidRPr="005F0061">
              <w:t>macitentan</w:t>
            </w:r>
            <w:proofErr w:type="spellEnd"/>
            <w:r w:rsidRPr="005F0061">
              <w:t>.</w:t>
            </w:r>
            <w:r w:rsidR="003327A6" w:rsidRPr="005F0061">
              <w:br/>
            </w:r>
            <w:r w:rsidRPr="005F0061">
              <w:t xml:space="preserve">(ii) A PDE-5i includes sildenafil citrate, or </w:t>
            </w:r>
            <w:proofErr w:type="spellStart"/>
            <w:r w:rsidRPr="005F0061">
              <w:t>tadalafil</w:t>
            </w:r>
            <w:proofErr w:type="spellEnd"/>
            <w:r w:rsidRPr="005F0061">
              <w:t>.</w:t>
            </w:r>
            <w:r w:rsidR="003327A6" w:rsidRPr="005F0061">
              <w:br/>
            </w:r>
            <w:r w:rsidRPr="005F0061">
              <w:t>PAH agents are not PBS-subsidised for patients with pulmonary hypertension secondary to interstitial lung disease associated with connective tissue disease, where the total lung capacity is less than 70% of predicted.</w:t>
            </w:r>
            <w:r w:rsidR="003327A6" w:rsidRPr="005F0061">
              <w:br/>
            </w:r>
            <w:r w:rsidRPr="005F0061">
              <w:t>Swapping between PAH agents: Patients can access PAH agents through the PBS according to the relevant restrictions.</w:t>
            </w:r>
            <w:r w:rsidR="003327A6" w:rsidRPr="005F0061">
              <w:br/>
            </w:r>
            <w:r w:rsidRPr="005F0061">
              <w:t>Once patients are approved dual therapy with a PAH agent from the PDE-5i class; or a PAH agent from the ERA class, they may swap between PAH agents within the same class. This means that patients may commence treatment with another PAH agent in the same class, subject to that agent's restriction, irrespective of the severity of their disease at the time the application to swap therapy is submitted.</w:t>
            </w:r>
            <w:r w:rsidR="003327A6" w:rsidRPr="005F0061">
              <w:br/>
            </w:r>
            <w:r w:rsidRPr="005F0061">
              <w:t>Applications to swap within a PAH agent class must be made under the relevant initial treatment restriction.</w:t>
            </w:r>
            <w:r w:rsidR="003327A6" w:rsidRPr="005F0061">
              <w:br/>
            </w:r>
            <w:r w:rsidRPr="005F0061">
              <w:t>The maximum quantity authorised will be limited to provide sufficient supply for 1 month of treatment, based on the dosage recommendations in the TGA-approved Product Information.</w:t>
            </w:r>
            <w:r w:rsidR="003327A6" w:rsidRPr="005F0061">
              <w:br/>
            </w:r>
            <w:r w:rsidRPr="005F0061">
              <w:t>A maximum of 5 repeats may be requested.</w:t>
            </w:r>
          </w:p>
        </w:tc>
        <w:tc>
          <w:tcPr>
            <w:tcW w:w="2650" w:type="dxa"/>
            <w:shd w:val="clear" w:color="auto" w:fill="auto"/>
            <w:tcMar>
              <w:top w:w="28" w:type="dxa"/>
              <w:left w:w="28" w:type="dxa"/>
              <w:right w:w="57" w:type="dxa"/>
            </w:tcMar>
          </w:tcPr>
          <w:p w14:paraId="0408F3CB" w14:textId="24A93E98" w:rsidR="00C11B81" w:rsidRPr="005F0061" w:rsidRDefault="00C11B81" w:rsidP="00C11B81">
            <w:pPr>
              <w:pStyle w:val="Tabletext0"/>
              <w:rPr>
                <w:rFonts w:cs="Arial"/>
                <w:szCs w:val="16"/>
              </w:rPr>
            </w:pPr>
            <w:r w:rsidRPr="005F0061">
              <w:lastRenderedPageBreak/>
              <w:t>Compliance with Authority Required procedures</w:t>
            </w:r>
          </w:p>
        </w:tc>
      </w:tr>
      <w:tr w:rsidR="00C11B81" w:rsidRPr="005F0061" w14:paraId="6701976A" w14:textId="77777777" w:rsidTr="00FA7DB9">
        <w:tc>
          <w:tcPr>
            <w:tcW w:w="1900" w:type="dxa"/>
            <w:shd w:val="clear" w:color="auto" w:fill="auto"/>
            <w:tcMar>
              <w:top w:w="28" w:type="dxa"/>
              <w:left w:w="28" w:type="dxa"/>
            </w:tcMar>
          </w:tcPr>
          <w:p w14:paraId="02794316" w14:textId="77777777" w:rsidR="00C11B81" w:rsidRPr="005F0061" w:rsidRDefault="00C11B81" w:rsidP="00C11B81">
            <w:pPr>
              <w:pStyle w:val="Tabletext0"/>
              <w:tabs>
                <w:tab w:val="left" w:pos="958"/>
              </w:tabs>
              <w:rPr>
                <w:rFonts w:cs="Arial"/>
                <w:szCs w:val="16"/>
              </w:rPr>
            </w:pPr>
          </w:p>
        </w:tc>
        <w:tc>
          <w:tcPr>
            <w:tcW w:w="850" w:type="dxa"/>
            <w:shd w:val="clear" w:color="auto" w:fill="auto"/>
            <w:tcMar>
              <w:top w:w="28" w:type="dxa"/>
              <w:left w:w="28" w:type="dxa"/>
            </w:tcMar>
          </w:tcPr>
          <w:p w14:paraId="010F5FD7" w14:textId="0BD313F4" w:rsidR="00C11B81" w:rsidRPr="005F0061" w:rsidRDefault="00C11B81" w:rsidP="00C11B81">
            <w:pPr>
              <w:pStyle w:val="Tabletext0"/>
              <w:rPr>
                <w:rFonts w:cs="Arial"/>
                <w:szCs w:val="16"/>
              </w:rPr>
            </w:pPr>
            <w:r w:rsidRPr="005F0061">
              <w:rPr>
                <w:rFonts w:cs="Arial"/>
                <w:szCs w:val="16"/>
              </w:rPr>
              <w:t>C11191</w:t>
            </w:r>
          </w:p>
        </w:tc>
        <w:tc>
          <w:tcPr>
            <w:tcW w:w="850" w:type="dxa"/>
            <w:shd w:val="clear" w:color="auto" w:fill="auto"/>
            <w:tcMar>
              <w:top w:w="28" w:type="dxa"/>
              <w:left w:w="28" w:type="dxa"/>
            </w:tcMar>
          </w:tcPr>
          <w:p w14:paraId="45DC5B1A" w14:textId="77777777" w:rsidR="00C11B81" w:rsidRPr="005F0061" w:rsidDel="00E03489" w:rsidRDefault="00C11B81" w:rsidP="00C11B81">
            <w:pPr>
              <w:spacing w:before="60" w:after="60"/>
              <w:rPr>
                <w:rFonts w:ascii="Arial" w:hAnsi="Arial" w:cs="Arial"/>
                <w:sz w:val="16"/>
                <w:szCs w:val="16"/>
                <w:lang w:eastAsia="en-AU"/>
              </w:rPr>
            </w:pPr>
          </w:p>
        </w:tc>
        <w:tc>
          <w:tcPr>
            <w:tcW w:w="7661" w:type="dxa"/>
            <w:shd w:val="clear" w:color="auto" w:fill="auto"/>
            <w:tcMar>
              <w:top w:w="28" w:type="dxa"/>
              <w:left w:w="28" w:type="dxa"/>
            </w:tcMar>
          </w:tcPr>
          <w:p w14:paraId="319FD46C" w14:textId="0334A089" w:rsidR="00C11B81" w:rsidRPr="005F0061" w:rsidRDefault="00C11B81" w:rsidP="00C11B81">
            <w:pPr>
              <w:pStyle w:val="mps3-data"/>
              <w:rPr>
                <w:szCs w:val="16"/>
              </w:rPr>
            </w:pPr>
            <w:r w:rsidRPr="005F0061">
              <w:t>Pulmonary arterial hypertension (PAH)</w:t>
            </w:r>
            <w:r w:rsidR="003327A6" w:rsidRPr="005F0061">
              <w:br/>
            </w:r>
            <w:r w:rsidRPr="005F0061">
              <w:t>Grandfathered patients (dual therapy)</w:t>
            </w:r>
            <w:r w:rsidR="003327A6" w:rsidRPr="005F0061">
              <w:br/>
            </w:r>
            <w:r w:rsidRPr="005F0061">
              <w:t>Patient must be receiving dual therapy with this non PBS-subsidised pulmonary arterial hypertension (PAH) agent and a non PBS-subsidised phosphodiesterase-5 inhibitor (PDE-5i) for this condition prior to 1 December 2020.</w:t>
            </w:r>
            <w:r w:rsidR="003327A6" w:rsidRPr="005F0061">
              <w:br/>
            </w:r>
            <w:r w:rsidRPr="005F0061">
              <w:t>Must be treated by a physician with expertise in the management of PAH, with this authority application to be completed by the physician with expertise in PAH.</w:t>
            </w:r>
            <w:r w:rsidR="003327A6" w:rsidRPr="005F0061">
              <w:br/>
            </w:r>
            <w:r w:rsidRPr="005F0061">
              <w:t>Patient must have documented WHO Functional Class III PAH or WHO Functional Class IV PAH.</w:t>
            </w:r>
            <w:r w:rsidR="003327A6" w:rsidRPr="005F0061">
              <w:br/>
            </w:r>
            <w:r w:rsidRPr="005F0061">
              <w:t xml:space="preserve">The term 'PAH agents' refers to </w:t>
            </w:r>
            <w:proofErr w:type="spellStart"/>
            <w:r w:rsidRPr="005F0061">
              <w:t>bosentan</w:t>
            </w:r>
            <w:proofErr w:type="spellEnd"/>
            <w:r w:rsidRPr="005F0061">
              <w:t xml:space="preserve"> monohydrate, </w:t>
            </w:r>
            <w:proofErr w:type="spellStart"/>
            <w:r w:rsidRPr="005F0061">
              <w:t>iloprost</w:t>
            </w:r>
            <w:proofErr w:type="spellEnd"/>
            <w:r w:rsidRPr="005F0061">
              <w:t xml:space="preserve"> trometamol, </w:t>
            </w:r>
            <w:proofErr w:type="spellStart"/>
            <w:r w:rsidRPr="005F0061">
              <w:t>epoprostenol</w:t>
            </w:r>
            <w:proofErr w:type="spellEnd"/>
            <w:r w:rsidRPr="005F0061">
              <w:t xml:space="preserve"> sodium, sildenafil citrate, </w:t>
            </w:r>
            <w:proofErr w:type="spellStart"/>
            <w:r w:rsidRPr="005F0061">
              <w:t>ambrisentan</w:t>
            </w:r>
            <w:proofErr w:type="spellEnd"/>
            <w:r w:rsidRPr="005F0061">
              <w:t xml:space="preserve">, </w:t>
            </w:r>
            <w:proofErr w:type="spellStart"/>
            <w:r w:rsidRPr="005F0061">
              <w:t>tadalafil</w:t>
            </w:r>
            <w:proofErr w:type="spellEnd"/>
            <w:r w:rsidRPr="005F0061">
              <w:t xml:space="preserve">, and </w:t>
            </w:r>
            <w:proofErr w:type="spellStart"/>
            <w:r w:rsidRPr="005F0061">
              <w:t>macitentan</w:t>
            </w:r>
            <w:proofErr w:type="spellEnd"/>
            <w:r w:rsidRPr="005F0061">
              <w:t>.</w:t>
            </w:r>
            <w:r w:rsidR="003327A6" w:rsidRPr="005F0061">
              <w:br/>
            </w:r>
            <w:r w:rsidRPr="005F0061">
              <w:t>For the purposes of PBS subsidy, dual therapy refers to combined use of an endothelin receptor antagonist (ERA) and a phosphodiesterase-5 inhibitor (PDE-5i).</w:t>
            </w:r>
            <w:r w:rsidR="003327A6" w:rsidRPr="005F0061">
              <w:br/>
            </w:r>
            <w:r w:rsidRPr="005F0061">
              <w:t>(</w:t>
            </w:r>
            <w:proofErr w:type="spellStart"/>
            <w:r w:rsidRPr="005F0061">
              <w:t>i</w:t>
            </w:r>
            <w:proofErr w:type="spellEnd"/>
            <w:r w:rsidRPr="005F0061">
              <w:t xml:space="preserve">) An ERA includes </w:t>
            </w:r>
            <w:proofErr w:type="spellStart"/>
            <w:r w:rsidRPr="005F0061">
              <w:t>ambrisentan</w:t>
            </w:r>
            <w:proofErr w:type="spellEnd"/>
            <w:r w:rsidRPr="005F0061">
              <w:t xml:space="preserve">, </w:t>
            </w:r>
            <w:proofErr w:type="spellStart"/>
            <w:r w:rsidRPr="005F0061">
              <w:t>bosentan</w:t>
            </w:r>
            <w:proofErr w:type="spellEnd"/>
            <w:r w:rsidRPr="005F0061">
              <w:t xml:space="preserve"> monohydrate, or </w:t>
            </w:r>
            <w:proofErr w:type="spellStart"/>
            <w:r w:rsidRPr="005F0061">
              <w:t>macitentan</w:t>
            </w:r>
            <w:proofErr w:type="spellEnd"/>
            <w:r w:rsidRPr="005F0061">
              <w:t>.</w:t>
            </w:r>
            <w:r w:rsidR="003327A6" w:rsidRPr="005F0061">
              <w:br/>
            </w:r>
            <w:r w:rsidRPr="005F0061">
              <w:t xml:space="preserve">(ii) A PDE-5i includes sildenafil citrate, or </w:t>
            </w:r>
            <w:proofErr w:type="spellStart"/>
            <w:r w:rsidRPr="005F0061">
              <w:t>tadalafil</w:t>
            </w:r>
            <w:proofErr w:type="spellEnd"/>
            <w:r w:rsidRPr="005F0061">
              <w:t>.</w:t>
            </w:r>
            <w:r w:rsidR="003327A6" w:rsidRPr="005F0061">
              <w:br/>
            </w:r>
            <w:r w:rsidRPr="005F0061">
              <w:t>PAH agents are not PBS-subsidised for patients with pulmonary hypertension secondary to interstitial lung disease associated with connective tissue disease, where the total lung capacity is less than 70% of predicted.</w:t>
            </w:r>
            <w:r w:rsidR="003327A6" w:rsidRPr="005F0061">
              <w:br/>
            </w:r>
            <w:r w:rsidRPr="005F0061">
              <w:t>PAH (WHO Group 1 pulmonary hypertension) is defined as follows</w:t>
            </w:r>
            <w:proofErr w:type="gramStart"/>
            <w:r w:rsidRPr="005F0061">
              <w:t>:</w:t>
            </w:r>
            <w:proofErr w:type="gramEnd"/>
            <w:r w:rsidR="003327A6" w:rsidRPr="005F0061">
              <w:br/>
            </w:r>
            <w:r w:rsidRPr="005F0061">
              <w:t>(</w:t>
            </w:r>
            <w:proofErr w:type="spellStart"/>
            <w:r w:rsidRPr="005F0061">
              <w:t>i</w:t>
            </w:r>
            <w:proofErr w:type="spellEnd"/>
            <w:r w:rsidRPr="005F0061">
              <w:t>) mean pulmonary artery pressure (</w:t>
            </w:r>
            <w:proofErr w:type="spellStart"/>
            <w:r w:rsidRPr="005F0061">
              <w:t>mPAP</w:t>
            </w:r>
            <w:proofErr w:type="spellEnd"/>
            <w:r w:rsidRPr="005F0061">
              <w:t>) greater than or equal to 25 mmHg at rest and pulmonary artery wedge pressure (PAWP) less than or equal to 15 mmHg; or</w:t>
            </w:r>
            <w:r w:rsidR="003327A6" w:rsidRPr="005F0061">
              <w:br/>
            </w:r>
            <w:r w:rsidRPr="005F0061">
              <w:t>(ii) where a right heart catheter (RHC) cannot be performed on clinical grounds, right ventricular systolic pressure (RVSP), assessed by echocardiography (ECHO), greater than 40 mmHg, with normal left ventricular function.</w:t>
            </w:r>
            <w:r w:rsidR="003327A6" w:rsidRPr="005F0061">
              <w:br/>
            </w:r>
            <w:r w:rsidRPr="005F0061">
              <w:t>Applications for authorisation must be in writing and must include:</w:t>
            </w:r>
            <w:r w:rsidR="003327A6" w:rsidRPr="005F0061">
              <w:br/>
            </w:r>
            <w:r w:rsidRPr="005F0061">
              <w:t>(1) a completed authority prescription form; and</w:t>
            </w:r>
            <w:r w:rsidR="003327A6" w:rsidRPr="005F0061">
              <w:br/>
            </w:r>
            <w:r w:rsidRPr="005F0061">
              <w:t>(2) a completed Pulmonary Arterial Hypertension PBS Authority Application - Supporting Information form which includes results from the three tests below, where available:</w:t>
            </w:r>
            <w:r w:rsidR="003327A6" w:rsidRPr="005F0061">
              <w:br/>
            </w:r>
            <w:r w:rsidRPr="005F0061">
              <w:t>(</w:t>
            </w:r>
            <w:proofErr w:type="spellStart"/>
            <w:r w:rsidRPr="005F0061">
              <w:t>i</w:t>
            </w:r>
            <w:proofErr w:type="spellEnd"/>
            <w:r w:rsidRPr="005F0061">
              <w:t>) RHC composite assessment; and</w:t>
            </w:r>
            <w:r w:rsidR="003327A6" w:rsidRPr="005F0061">
              <w:br/>
            </w:r>
            <w:r w:rsidRPr="005F0061">
              <w:lastRenderedPageBreak/>
              <w:t>(ii) ECHO composite assessment; and</w:t>
            </w:r>
            <w:r w:rsidR="003327A6" w:rsidRPr="005F0061">
              <w:br/>
            </w:r>
            <w:r w:rsidRPr="005F0061">
              <w:t>(iii) 6 Minute Walk Test (6MWT).</w:t>
            </w:r>
            <w:r w:rsidR="003327A6" w:rsidRPr="005F0061">
              <w:br/>
            </w:r>
            <w:r w:rsidRPr="005F0061">
              <w:t>Where it was not possible to perform all 3 tests on clinical grounds, the following list outlines the preferred test combination, in descending order, for the purposes of initiation of PBS-subsidised treatment:</w:t>
            </w:r>
            <w:r w:rsidR="003327A6" w:rsidRPr="005F0061">
              <w:br/>
            </w:r>
            <w:r w:rsidRPr="005F0061">
              <w:t>(1) RHC plus ECHO composite assessments;</w:t>
            </w:r>
            <w:r w:rsidR="003327A6" w:rsidRPr="005F0061">
              <w:br/>
            </w:r>
            <w:r w:rsidRPr="005F0061">
              <w:t>(2) RHC composite assessment plus 6MWT;</w:t>
            </w:r>
            <w:r w:rsidR="003327A6" w:rsidRPr="005F0061">
              <w:br/>
            </w:r>
            <w:r w:rsidRPr="005F0061">
              <w:t>(3) RHC composite assessment only.</w:t>
            </w:r>
            <w:r w:rsidR="003327A6" w:rsidRPr="005F0061">
              <w:br/>
            </w:r>
            <w:r w:rsidRPr="005F0061">
              <w:t>In circumstances where a RHC could not be performed on clinical grounds, applications may be submitted for consideration based on the results of the following test combinations, which are listed in descending order of preference</w:t>
            </w:r>
            <w:proofErr w:type="gramStart"/>
            <w:r w:rsidRPr="005F0061">
              <w:t>:</w:t>
            </w:r>
            <w:proofErr w:type="gramEnd"/>
            <w:r w:rsidR="003327A6" w:rsidRPr="005F0061">
              <w:br/>
            </w:r>
            <w:r w:rsidRPr="005F0061">
              <w:t>(1) ECHO composite assessment plus 6MWT;</w:t>
            </w:r>
            <w:r w:rsidR="003327A6" w:rsidRPr="005F0061">
              <w:br/>
            </w:r>
            <w:r w:rsidRPr="005F0061">
              <w:t>(2) ECHO composite assessment only.</w:t>
            </w:r>
            <w:r w:rsidR="003327A6" w:rsidRPr="005F0061">
              <w:br/>
            </w:r>
            <w:r w:rsidRPr="005F0061">
              <w:t>Where fewer than 3 tests were able to be performed on clinical grounds, a patient specific reason outlining why the particular test(s) could not be conducted must be provided with the authority application.</w:t>
            </w:r>
            <w:r w:rsidR="003327A6" w:rsidRPr="005F0061">
              <w:br/>
            </w:r>
            <w:r w:rsidRPr="005F0061">
              <w:t>Where a RHC could not be performed on clinical grounds, confirmation of the reason(s) must be provided with the authority application by a second PAH physician or cardiologist with expertise in the management of PAH.</w:t>
            </w:r>
            <w:r w:rsidR="003327A6" w:rsidRPr="005F0061">
              <w:br/>
            </w:r>
            <w:r w:rsidRPr="005F0061">
              <w:t>A patient may qualify for PBS-subsidised treatment under this restriction once only. For continuing PBS-subsidised treatment, a Grandfathered patient must qualify under the Continuing treatment criteria for dual therapy for this condition.</w:t>
            </w:r>
            <w:r w:rsidR="003327A6" w:rsidRPr="005F0061">
              <w:br/>
            </w:r>
            <w:r w:rsidRPr="005F0061">
              <w:t>The maximum quantity authorised will be limited to provide sufficient supply for 1 month of treatment, based on the dosage recommendations in the TGA-approved Product Information.</w:t>
            </w:r>
            <w:r w:rsidR="003327A6" w:rsidRPr="005F0061">
              <w:br/>
            </w:r>
            <w:r w:rsidRPr="005F0061">
              <w:t>A maximum of 5 repeats may be requested.</w:t>
            </w:r>
          </w:p>
        </w:tc>
        <w:tc>
          <w:tcPr>
            <w:tcW w:w="2650" w:type="dxa"/>
            <w:shd w:val="clear" w:color="auto" w:fill="auto"/>
            <w:tcMar>
              <w:top w:w="28" w:type="dxa"/>
              <w:left w:w="28" w:type="dxa"/>
              <w:right w:w="57" w:type="dxa"/>
            </w:tcMar>
          </w:tcPr>
          <w:p w14:paraId="5BA5141E" w14:textId="4AC9C5AB" w:rsidR="00C11B81" w:rsidRPr="005F0061" w:rsidRDefault="00C11B81" w:rsidP="00C11B81">
            <w:pPr>
              <w:pStyle w:val="Tabletext0"/>
              <w:rPr>
                <w:rFonts w:cs="Arial"/>
                <w:szCs w:val="16"/>
              </w:rPr>
            </w:pPr>
            <w:r w:rsidRPr="005F0061">
              <w:rPr>
                <w:szCs w:val="16"/>
              </w:rPr>
              <w:lastRenderedPageBreak/>
              <w:t>Compliance with Written Authority Required procedures</w:t>
            </w:r>
          </w:p>
        </w:tc>
      </w:tr>
      <w:tr w:rsidR="00C11B81" w:rsidRPr="005F0061" w14:paraId="7AE22BE6" w14:textId="77777777" w:rsidTr="00FA7DB9">
        <w:tc>
          <w:tcPr>
            <w:tcW w:w="1900" w:type="dxa"/>
            <w:shd w:val="clear" w:color="auto" w:fill="auto"/>
            <w:tcMar>
              <w:top w:w="28" w:type="dxa"/>
              <w:left w:w="28" w:type="dxa"/>
            </w:tcMar>
          </w:tcPr>
          <w:p w14:paraId="13645517" w14:textId="77777777" w:rsidR="00C11B81" w:rsidRPr="005F0061" w:rsidRDefault="00C11B81" w:rsidP="00C11B81">
            <w:pPr>
              <w:pStyle w:val="Tabletext0"/>
              <w:tabs>
                <w:tab w:val="left" w:pos="958"/>
              </w:tabs>
              <w:rPr>
                <w:rFonts w:cs="Arial"/>
                <w:szCs w:val="16"/>
              </w:rPr>
            </w:pPr>
          </w:p>
        </w:tc>
        <w:tc>
          <w:tcPr>
            <w:tcW w:w="850" w:type="dxa"/>
            <w:shd w:val="clear" w:color="auto" w:fill="auto"/>
            <w:tcMar>
              <w:top w:w="28" w:type="dxa"/>
              <w:left w:w="28" w:type="dxa"/>
            </w:tcMar>
          </w:tcPr>
          <w:p w14:paraId="0B210616" w14:textId="39B1100E" w:rsidR="00C11B81" w:rsidRPr="005F0061" w:rsidRDefault="00C11B81" w:rsidP="00C11B81">
            <w:pPr>
              <w:pStyle w:val="Tabletext0"/>
              <w:rPr>
                <w:rFonts w:cs="Arial"/>
                <w:szCs w:val="16"/>
              </w:rPr>
            </w:pPr>
            <w:r w:rsidRPr="005F0061">
              <w:rPr>
                <w:rFonts w:cs="Arial"/>
                <w:szCs w:val="16"/>
              </w:rPr>
              <w:t>C11229</w:t>
            </w:r>
          </w:p>
        </w:tc>
        <w:tc>
          <w:tcPr>
            <w:tcW w:w="850" w:type="dxa"/>
            <w:shd w:val="clear" w:color="auto" w:fill="auto"/>
            <w:tcMar>
              <w:top w:w="28" w:type="dxa"/>
              <w:left w:w="28" w:type="dxa"/>
            </w:tcMar>
          </w:tcPr>
          <w:p w14:paraId="0CF32C59" w14:textId="77777777" w:rsidR="00C11B81" w:rsidRPr="005F0061" w:rsidDel="00E03489" w:rsidRDefault="00C11B81" w:rsidP="00C11B81">
            <w:pPr>
              <w:pStyle w:val="mps3-data"/>
            </w:pPr>
          </w:p>
        </w:tc>
        <w:tc>
          <w:tcPr>
            <w:tcW w:w="7661" w:type="dxa"/>
            <w:shd w:val="clear" w:color="auto" w:fill="auto"/>
            <w:tcMar>
              <w:top w:w="28" w:type="dxa"/>
              <w:left w:w="28" w:type="dxa"/>
            </w:tcMar>
          </w:tcPr>
          <w:p w14:paraId="67F90834" w14:textId="78508AC0" w:rsidR="00C11B81" w:rsidRPr="005F0061" w:rsidRDefault="00C11B81" w:rsidP="00C11B81">
            <w:pPr>
              <w:pStyle w:val="mps3-data"/>
            </w:pPr>
            <w:r w:rsidRPr="005F0061">
              <w:t>Pulmonary arterial hypertension (PAH)</w:t>
            </w:r>
            <w:r w:rsidR="003327A6" w:rsidRPr="005F0061">
              <w:br/>
            </w:r>
            <w:r w:rsidRPr="005F0061">
              <w:t xml:space="preserve">Triple therapy - Initial treatment or continuing treatment of triple combination therapy (including dual therapy in lieu of triple therapy) that includes </w:t>
            </w:r>
            <w:proofErr w:type="spellStart"/>
            <w:r w:rsidRPr="005F0061">
              <w:t>selexipag</w:t>
            </w:r>
            <w:proofErr w:type="spellEnd"/>
            <w:r w:rsidR="003327A6" w:rsidRPr="005F0061">
              <w:br/>
            </w:r>
            <w:r w:rsidRPr="005F0061">
              <w:t>The treatment must form part of triple combination therapy consisting of: (</w:t>
            </w:r>
            <w:proofErr w:type="spellStart"/>
            <w:r w:rsidRPr="005F0061">
              <w:t>i</w:t>
            </w:r>
            <w:proofErr w:type="spellEnd"/>
            <w:r w:rsidRPr="005F0061">
              <w:t xml:space="preserve">) one endothelin receptor antagonist, (ii) one phosphodiesterase-5 inhibitor, (iii) PBS-subsidised </w:t>
            </w:r>
            <w:proofErr w:type="spellStart"/>
            <w:r w:rsidRPr="005F0061">
              <w:t>selexipag</w:t>
            </w:r>
            <w:proofErr w:type="spellEnd"/>
            <w:r w:rsidRPr="005F0061">
              <w:t xml:space="preserve"> (referred to as 'triple therapy'); OR</w:t>
            </w:r>
            <w:r w:rsidR="003327A6" w:rsidRPr="005F0061">
              <w:br/>
            </w:r>
            <w:r w:rsidRPr="005F0061">
              <w:t>The treatment must form part of dual combination therapy consisting of either: (</w:t>
            </w:r>
            <w:proofErr w:type="spellStart"/>
            <w:r w:rsidRPr="005F0061">
              <w:t>i</w:t>
            </w:r>
            <w:proofErr w:type="spellEnd"/>
            <w:r w:rsidRPr="005F0061">
              <w:t xml:space="preserve">) PBS-subsidised </w:t>
            </w:r>
            <w:proofErr w:type="spellStart"/>
            <w:r w:rsidRPr="005F0061">
              <w:t>selexipag</w:t>
            </w:r>
            <w:proofErr w:type="spellEnd"/>
            <w:r w:rsidRPr="005F0061">
              <w:t xml:space="preserve"> with one endothelin receptor antagonist, (ii) PBS-subsidised </w:t>
            </w:r>
            <w:proofErr w:type="spellStart"/>
            <w:r w:rsidRPr="005F0061">
              <w:t>selexipag</w:t>
            </w:r>
            <w:proofErr w:type="spellEnd"/>
            <w:r w:rsidRPr="005F0061">
              <w:t xml:space="preserve"> with one phosphodiesterase-5 inhibitor, as triple combination therapy with </w:t>
            </w:r>
            <w:proofErr w:type="spellStart"/>
            <w:r w:rsidRPr="005F0061">
              <w:t>selexipag</w:t>
            </w:r>
            <w:proofErr w:type="spellEnd"/>
            <w:r w:rsidRPr="005F0061">
              <w:t>-an endothelin receptor antagonist-a phoshodiesterase-5 inhibitor is not possible due to an intolerance/contraindication to the endothelin receptor antagonist class/phosphodiesterase-5 inhibitor class (referred to as 'dual therapy in lieu of triple therapy').</w:t>
            </w:r>
            <w:r w:rsidR="003327A6" w:rsidRPr="005F0061">
              <w:br/>
            </w:r>
            <w:r w:rsidRPr="005F0061">
              <w:t>Must be treated by a physician with expertise in the management of PAH, with this authority application to be completed by the physician with expertise in PAH.</w:t>
            </w:r>
            <w:r w:rsidR="003327A6" w:rsidRPr="005F0061">
              <w:br/>
            </w:r>
            <w:r w:rsidRPr="005F0061">
              <w:t xml:space="preserve">The authority application for </w:t>
            </w:r>
            <w:proofErr w:type="spellStart"/>
            <w:r w:rsidRPr="005F0061">
              <w:t>selexipag</w:t>
            </w:r>
            <w:proofErr w:type="spellEnd"/>
            <w:r w:rsidRPr="005F0061">
              <w:t xml:space="preserve"> must be approved prior to the authority application for this agent.</w:t>
            </w:r>
            <w:r w:rsidR="003327A6" w:rsidRPr="005F0061">
              <w:br/>
            </w:r>
            <w:r w:rsidRPr="005F0061">
              <w:t xml:space="preserve">For the purposes of PBS subsidy, an endothelin receptor antagonist is one of: (a) </w:t>
            </w:r>
            <w:proofErr w:type="spellStart"/>
            <w:r w:rsidRPr="005F0061">
              <w:t>ambrisentan</w:t>
            </w:r>
            <w:proofErr w:type="spellEnd"/>
            <w:r w:rsidRPr="005F0061">
              <w:t xml:space="preserve">, (b) </w:t>
            </w:r>
            <w:proofErr w:type="spellStart"/>
            <w:r w:rsidRPr="005F0061">
              <w:t>bosentan</w:t>
            </w:r>
            <w:proofErr w:type="spellEnd"/>
            <w:r w:rsidRPr="005F0061">
              <w:t xml:space="preserve">, (c) </w:t>
            </w:r>
            <w:proofErr w:type="spellStart"/>
            <w:r w:rsidRPr="005F0061">
              <w:t>macitentan</w:t>
            </w:r>
            <w:proofErr w:type="spellEnd"/>
            <w:r w:rsidRPr="005F0061">
              <w:t xml:space="preserve">; a phosphodiesterase-5 inhibitor is one of: (d) sildenafil, (e) </w:t>
            </w:r>
            <w:proofErr w:type="spellStart"/>
            <w:r w:rsidRPr="005F0061">
              <w:t>tadalafil</w:t>
            </w:r>
            <w:proofErr w:type="spellEnd"/>
            <w:r w:rsidRPr="005F0061">
              <w:t>.</w:t>
            </w:r>
            <w:r w:rsidR="003327A6" w:rsidRPr="005F0061">
              <w:br/>
            </w:r>
            <w:r w:rsidRPr="005F0061">
              <w:t>PBS-subsidy does not cover patients with pulmonary hypertension secondary to interstitial lung disease associated with connective tissue disease, where the total lung capacity is less than 70% of predicted.</w:t>
            </w:r>
            <w:r w:rsidR="003327A6" w:rsidRPr="005F0061">
              <w:br/>
            </w:r>
            <w:r w:rsidRPr="005F0061">
              <w:t>PAH (WHO Group 1 pulmonary hypertension) is defined as follows</w:t>
            </w:r>
            <w:proofErr w:type="gramStart"/>
            <w:r w:rsidRPr="005F0061">
              <w:t>:</w:t>
            </w:r>
            <w:proofErr w:type="gramEnd"/>
            <w:r w:rsidR="003327A6" w:rsidRPr="005F0061">
              <w:br/>
            </w:r>
            <w:r w:rsidRPr="005F0061">
              <w:t>(</w:t>
            </w:r>
            <w:proofErr w:type="spellStart"/>
            <w:r w:rsidRPr="005F0061">
              <w:t>i</w:t>
            </w:r>
            <w:proofErr w:type="spellEnd"/>
            <w:r w:rsidRPr="005F0061">
              <w:t>) mean pulmonary artery pressure (</w:t>
            </w:r>
            <w:proofErr w:type="spellStart"/>
            <w:r w:rsidRPr="005F0061">
              <w:t>mPAP</w:t>
            </w:r>
            <w:proofErr w:type="spellEnd"/>
            <w:r w:rsidRPr="005F0061">
              <w:t>) greater than or equal to 25 mmHg at rest and pulmonary artery wedge pressure (PAWP) less than or equal to 15 mmHg; or</w:t>
            </w:r>
            <w:r w:rsidR="003327A6" w:rsidRPr="005F0061">
              <w:br/>
            </w:r>
            <w:r w:rsidRPr="005F0061">
              <w:t>(ii) where a right heart catheter (RHC) cannot be performed on clinical grounds, right ventricular systolic pressure (RVSP), assessed by echocardiography (ECHO), greater than 40 mmHg, with normal left ventricular function.</w:t>
            </w:r>
            <w:r w:rsidR="003327A6" w:rsidRPr="005F0061">
              <w:br/>
            </w:r>
            <w:r w:rsidRPr="005F0061">
              <w:t xml:space="preserve">The results and date of the RHC, ECHO and 6 MWT as applicable must be included in the patient's medical record. Where a RHC cannot be performed on clinical grounds, the written confirmation of the </w:t>
            </w:r>
            <w:r w:rsidRPr="005F0061">
              <w:lastRenderedPageBreak/>
              <w:t>reasons why must also be included in the patient's medical record.</w:t>
            </w:r>
            <w:r w:rsidR="003327A6" w:rsidRPr="005F0061">
              <w:br/>
            </w:r>
            <w:r w:rsidRPr="005F0061">
              <w:t>The maximum quantity authorised will be limited to provide sufficient supply for 1 month of treatment, based on the dosage recommendations in the TGA-approved Product Information.</w:t>
            </w:r>
            <w:r w:rsidR="003327A6" w:rsidRPr="005F0061">
              <w:br/>
            </w:r>
            <w:r w:rsidRPr="005F0061">
              <w:t>A maximum of 5 repeats may be requested.</w:t>
            </w:r>
          </w:p>
        </w:tc>
        <w:tc>
          <w:tcPr>
            <w:tcW w:w="2650" w:type="dxa"/>
            <w:shd w:val="clear" w:color="auto" w:fill="auto"/>
            <w:tcMar>
              <w:top w:w="28" w:type="dxa"/>
              <w:left w:w="28" w:type="dxa"/>
              <w:right w:w="57" w:type="dxa"/>
            </w:tcMar>
          </w:tcPr>
          <w:p w14:paraId="57BCA3BB" w14:textId="02EC494F" w:rsidR="00C11B81" w:rsidRPr="005F0061" w:rsidRDefault="00C11B81" w:rsidP="00C11B81">
            <w:pPr>
              <w:pStyle w:val="Tabletext0"/>
              <w:rPr>
                <w:rFonts w:cs="Arial"/>
                <w:szCs w:val="16"/>
              </w:rPr>
            </w:pPr>
            <w:r w:rsidRPr="005F0061">
              <w:lastRenderedPageBreak/>
              <w:t>Compliance with Authority Required procedures</w:t>
            </w:r>
          </w:p>
        </w:tc>
      </w:tr>
      <w:tr w:rsidR="00C11B81" w:rsidRPr="005F0061" w14:paraId="6EDB2850" w14:textId="77777777" w:rsidTr="00FA7DB9">
        <w:tc>
          <w:tcPr>
            <w:tcW w:w="1900" w:type="dxa"/>
            <w:shd w:val="clear" w:color="auto" w:fill="auto"/>
            <w:tcMar>
              <w:top w:w="28" w:type="dxa"/>
              <w:left w:w="28" w:type="dxa"/>
            </w:tcMar>
          </w:tcPr>
          <w:p w14:paraId="46BA54FE" w14:textId="77777777" w:rsidR="00C11B81" w:rsidRPr="005F0061" w:rsidRDefault="00C11B81" w:rsidP="00C11B81">
            <w:pPr>
              <w:pStyle w:val="Tabletext0"/>
              <w:tabs>
                <w:tab w:val="left" w:pos="958"/>
              </w:tabs>
              <w:rPr>
                <w:rFonts w:cs="Arial"/>
                <w:szCs w:val="16"/>
              </w:rPr>
            </w:pPr>
          </w:p>
        </w:tc>
        <w:tc>
          <w:tcPr>
            <w:tcW w:w="850" w:type="dxa"/>
            <w:shd w:val="clear" w:color="auto" w:fill="auto"/>
            <w:tcMar>
              <w:top w:w="28" w:type="dxa"/>
              <w:left w:w="28" w:type="dxa"/>
            </w:tcMar>
          </w:tcPr>
          <w:p w14:paraId="755B675E" w14:textId="3DC51552" w:rsidR="00C11B81" w:rsidRPr="005F0061" w:rsidRDefault="00C11B81" w:rsidP="00C11B81">
            <w:pPr>
              <w:pStyle w:val="Tabletext0"/>
              <w:rPr>
                <w:rFonts w:cs="Arial"/>
                <w:szCs w:val="16"/>
              </w:rPr>
            </w:pPr>
            <w:r w:rsidRPr="005F0061">
              <w:rPr>
                <w:rFonts w:cs="Arial"/>
                <w:szCs w:val="16"/>
              </w:rPr>
              <w:t>C11239</w:t>
            </w:r>
          </w:p>
        </w:tc>
        <w:tc>
          <w:tcPr>
            <w:tcW w:w="850" w:type="dxa"/>
            <w:shd w:val="clear" w:color="auto" w:fill="auto"/>
            <w:tcMar>
              <w:top w:w="28" w:type="dxa"/>
              <w:left w:w="28" w:type="dxa"/>
            </w:tcMar>
          </w:tcPr>
          <w:p w14:paraId="4E996BD9" w14:textId="77777777" w:rsidR="00C11B81" w:rsidRPr="005F0061" w:rsidDel="00E03489" w:rsidRDefault="00C11B81" w:rsidP="00C11B81">
            <w:pPr>
              <w:pStyle w:val="mps3-data"/>
            </w:pPr>
          </w:p>
        </w:tc>
        <w:tc>
          <w:tcPr>
            <w:tcW w:w="7661" w:type="dxa"/>
            <w:shd w:val="clear" w:color="auto" w:fill="auto"/>
            <w:tcMar>
              <w:top w:w="28" w:type="dxa"/>
              <w:left w:w="28" w:type="dxa"/>
            </w:tcMar>
          </w:tcPr>
          <w:p w14:paraId="6ECB307B" w14:textId="236612C3" w:rsidR="00C11B81" w:rsidRPr="005F0061" w:rsidRDefault="00C11B81" w:rsidP="00C11B81">
            <w:pPr>
              <w:pStyle w:val="mps3-data"/>
            </w:pPr>
            <w:r w:rsidRPr="005F0061">
              <w:t>Pulmonary arterial hypertension (PAH</w:t>
            </w:r>
            <w:proofErr w:type="gramStart"/>
            <w:r w:rsidRPr="005F0061">
              <w:t>)</w:t>
            </w:r>
            <w:proofErr w:type="gramEnd"/>
            <w:r w:rsidR="003327A6" w:rsidRPr="005F0061">
              <w:br/>
            </w:r>
            <w:r w:rsidRPr="005F0061">
              <w:t>Continuing treatment (dual therapy)</w:t>
            </w:r>
            <w:r w:rsidR="003327A6" w:rsidRPr="005F0061">
              <w:br/>
            </w:r>
            <w:r w:rsidRPr="005F0061">
              <w:t>Patient must have received their most recent course of PBS-subsidised dual therapy with this PAH agent and a phosphodiesterase-5 inhibitor (PDE-5i) for this condition.</w:t>
            </w:r>
            <w:r w:rsidR="003327A6" w:rsidRPr="005F0061">
              <w:br/>
            </w:r>
            <w:r w:rsidRPr="005F0061">
              <w:t>Must be treated by a physician with expertise in the management of PAH, with this authority application to be completed by the physician with expertise in PAH.</w:t>
            </w:r>
            <w:r w:rsidR="003327A6" w:rsidRPr="005F0061">
              <w:br/>
            </w:r>
            <w:r w:rsidRPr="005F0061">
              <w:t xml:space="preserve">The term 'PAH agents' refers to </w:t>
            </w:r>
            <w:proofErr w:type="spellStart"/>
            <w:r w:rsidRPr="005F0061">
              <w:t>bosentan</w:t>
            </w:r>
            <w:proofErr w:type="spellEnd"/>
            <w:r w:rsidRPr="005F0061">
              <w:t xml:space="preserve"> monohydrate, </w:t>
            </w:r>
            <w:proofErr w:type="spellStart"/>
            <w:r w:rsidRPr="005F0061">
              <w:t>iloprost</w:t>
            </w:r>
            <w:proofErr w:type="spellEnd"/>
            <w:r w:rsidRPr="005F0061">
              <w:t xml:space="preserve"> trometamol, </w:t>
            </w:r>
            <w:proofErr w:type="spellStart"/>
            <w:r w:rsidRPr="005F0061">
              <w:t>epoprostenol</w:t>
            </w:r>
            <w:proofErr w:type="spellEnd"/>
            <w:r w:rsidRPr="005F0061">
              <w:t xml:space="preserve"> sodium, sildenafil citrate, </w:t>
            </w:r>
            <w:proofErr w:type="spellStart"/>
            <w:r w:rsidRPr="005F0061">
              <w:t>ambrisentan</w:t>
            </w:r>
            <w:proofErr w:type="spellEnd"/>
            <w:r w:rsidRPr="005F0061">
              <w:t xml:space="preserve">, </w:t>
            </w:r>
            <w:proofErr w:type="spellStart"/>
            <w:r w:rsidRPr="005F0061">
              <w:t>tadalafil</w:t>
            </w:r>
            <w:proofErr w:type="spellEnd"/>
            <w:r w:rsidRPr="005F0061">
              <w:t xml:space="preserve">, and </w:t>
            </w:r>
            <w:proofErr w:type="spellStart"/>
            <w:r w:rsidRPr="005F0061">
              <w:t>macitentan</w:t>
            </w:r>
            <w:proofErr w:type="spellEnd"/>
            <w:r w:rsidRPr="005F0061">
              <w:t>.</w:t>
            </w:r>
            <w:r w:rsidR="003327A6" w:rsidRPr="005F0061">
              <w:br/>
            </w:r>
            <w:r w:rsidRPr="005F0061">
              <w:t>For the purposes of PBS subsidy, dual therapy refers to combined use of an endothelin receptor antagonist (ERA) and a phosphodiesterase-5 inhibitor (PDE-5i).</w:t>
            </w:r>
            <w:r w:rsidR="003327A6" w:rsidRPr="005F0061">
              <w:br/>
            </w:r>
            <w:r w:rsidRPr="005F0061">
              <w:t>(</w:t>
            </w:r>
            <w:proofErr w:type="spellStart"/>
            <w:r w:rsidRPr="005F0061">
              <w:t>i</w:t>
            </w:r>
            <w:proofErr w:type="spellEnd"/>
            <w:r w:rsidRPr="005F0061">
              <w:t xml:space="preserve">) An ERA includes </w:t>
            </w:r>
            <w:proofErr w:type="spellStart"/>
            <w:r w:rsidRPr="005F0061">
              <w:t>ambrisentan</w:t>
            </w:r>
            <w:proofErr w:type="spellEnd"/>
            <w:r w:rsidRPr="005F0061">
              <w:t xml:space="preserve">, </w:t>
            </w:r>
            <w:proofErr w:type="spellStart"/>
            <w:r w:rsidRPr="005F0061">
              <w:t>bosentan</w:t>
            </w:r>
            <w:proofErr w:type="spellEnd"/>
            <w:r w:rsidRPr="005F0061">
              <w:t xml:space="preserve"> monohydrate, or </w:t>
            </w:r>
            <w:proofErr w:type="spellStart"/>
            <w:r w:rsidRPr="005F0061">
              <w:t>macitentan</w:t>
            </w:r>
            <w:proofErr w:type="spellEnd"/>
            <w:r w:rsidRPr="005F0061">
              <w:t>.</w:t>
            </w:r>
            <w:r w:rsidR="003327A6" w:rsidRPr="005F0061">
              <w:br/>
            </w:r>
            <w:r w:rsidRPr="005F0061">
              <w:t xml:space="preserve">(ii) A PDE-5i includes sildenafil citrate, or </w:t>
            </w:r>
            <w:proofErr w:type="spellStart"/>
            <w:r w:rsidRPr="005F0061">
              <w:t>tadalafil</w:t>
            </w:r>
            <w:proofErr w:type="spellEnd"/>
            <w:r w:rsidRPr="005F0061">
              <w:t>.</w:t>
            </w:r>
            <w:r w:rsidR="003327A6" w:rsidRPr="005F0061">
              <w:br/>
            </w:r>
            <w:r w:rsidRPr="005F0061">
              <w:t>PAH agents are not PBS-subsidised for patients with pulmonary hypertension secondary to interstitial lung disease associated with connective tissue disease, where the total lung capacity is less than 70% of predicted.</w:t>
            </w:r>
            <w:r w:rsidR="003327A6" w:rsidRPr="005F0061">
              <w:br/>
            </w:r>
            <w:r w:rsidRPr="005F0061">
              <w:t>The maximum quantity authorised will be limited to provide sufficient supply for 1 month of treatment, based on the dosage recommendations in the TGA-approved Product Information.</w:t>
            </w:r>
            <w:r w:rsidR="003327A6" w:rsidRPr="005F0061">
              <w:br/>
            </w:r>
            <w:r w:rsidRPr="005F0061">
              <w:t>A maximum of 5 repeats may be requested.</w:t>
            </w:r>
          </w:p>
        </w:tc>
        <w:tc>
          <w:tcPr>
            <w:tcW w:w="2650" w:type="dxa"/>
            <w:shd w:val="clear" w:color="auto" w:fill="auto"/>
            <w:tcMar>
              <w:top w:w="28" w:type="dxa"/>
              <w:left w:w="28" w:type="dxa"/>
              <w:right w:w="57" w:type="dxa"/>
            </w:tcMar>
          </w:tcPr>
          <w:p w14:paraId="040FD7EC" w14:textId="4EE32F29" w:rsidR="00C11B81" w:rsidRPr="005F0061" w:rsidRDefault="00C11B81" w:rsidP="00C11B81">
            <w:pPr>
              <w:pStyle w:val="Tabletext0"/>
              <w:rPr>
                <w:rFonts w:cs="Arial"/>
                <w:szCs w:val="16"/>
              </w:rPr>
            </w:pPr>
            <w:r w:rsidRPr="005F0061">
              <w:t>Compliance with Authority Required procedures</w:t>
            </w:r>
          </w:p>
        </w:tc>
      </w:tr>
      <w:tr w:rsidR="00C11B81" w:rsidRPr="005F0061" w14:paraId="016F6BBD" w14:textId="77777777" w:rsidTr="00FA7DB9">
        <w:tc>
          <w:tcPr>
            <w:tcW w:w="1900" w:type="dxa"/>
            <w:shd w:val="clear" w:color="auto" w:fill="auto"/>
            <w:tcMar>
              <w:top w:w="28" w:type="dxa"/>
              <w:left w:w="28" w:type="dxa"/>
            </w:tcMar>
          </w:tcPr>
          <w:p w14:paraId="5E716FA8" w14:textId="77777777" w:rsidR="00C11B81" w:rsidRPr="005F0061" w:rsidRDefault="00C11B81" w:rsidP="00C11B81">
            <w:pPr>
              <w:pStyle w:val="Tabletext0"/>
              <w:tabs>
                <w:tab w:val="left" w:pos="958"/>
              </w:tabs>
              <w:rPr>
                <w:rFonts w:cs="Arial"/>
                <w:szCs w:val="16"/>
              </w:rPr>
            </w:pPr>
          </w:p>
        </w:tc>
        <w:tc>
          <w:tcPr>
            <w:tcW w:w="850" w:type="dxa"/>
            <w:shd w:val="clear" w:color="auto" w:fill="auto"/>
            <w:tcMar>
              <w:top w:w="28" w:type="dxa"/>
              <w:left w:w="28" w:type="dxa"/>
            </w:tcMar>
          </w:tcPr>
          <w:p w14:paraId="40D56B54" w14:textId="7C950FC8" w:rsidR="00C11B81" w:rsidRPr="005F0061" w:rsidRDefault="00C11B81" w:rsidP="00C11B81">
            <w:pPr>
              <w:pStyle w:val="Tabletext0"/>
              <w:rPr>
                <w:rFonts w:cs="Arial"/>
                <w:szCs w:val="16"/>
              </w:rPr>
            </w:pPr>
            <w:r w:rsidRPr="005F0061">
              <w:rPr>
                <w:rFonts w:cs="Arial"/>
                <w:szCs w:val="16"/>
              </w:rPr>
              <w:t>C11256</w:t>
            </w:r>
          </w:p>
        </w:tc>
        <w:tc>
          <w:tcPr>
            <w:tcW w:w="850" w:type="dxa"/>
            <w:shd w:val="clear" w:color="auto" w:fill="auto"/>
            <w:tcMar>
              <w:top w:w="28" w:type="dxa"/>
              <w:left w:w="28" w:type="dxa"/>
            </w:tcMar>
          </w:tcPr>
          <w:p w14:paraId="5683538D" w14:textId="77777777" w:rsidR="00C11B81" w:rsidRPr="005F0061" w:rsidDel="00E03489" w:rsidRDefault="00C11B81" w:rsidP="00C11B81">
            <w:pPr>
              <w:spacing w:before="60" w:after="60"/>
              <w:rPr>
                <w:rFonts w:ascii="Arial" w:hAnsi="Arial" w:cs="Arial"/>
                <w:sz w:val="16"/>
                <w:szCs w:val="16"/>
                <w:lang w:eastAsia="en-AU"/>
              </w:rPr>
            </w:pPr>
          </w:p>
        </w:tc>
        <w:tc>
          <w:tcPr>
            <w:tcW w:w="7661" w:type="dxa"/>
            <w:shd w:val="clear" w:color="auto" w:fill="auto"/>
            <w:tcMar>
              <w:top w:w="28" w:type="dxa"/>
              <w:left w:w="28" w:type="dxa"/>
            </w:tcMar>
          </w:tcPr>
          <w:p w14:paraId="0729207E" w14:textId="329B0809" w:rsidR="00C11B81" w:rsidRPr="005F0061" w:rsidRDefault="00C11B81" w:rsidP="00C11B81">
            <w:pPr>
              <w:pStyle w:val="mps3-data"/>
              <w:rPr>
                <w:szCs w:val="16"/>
              </w:rPr>
            </w:pPr>
            <w:r w:rsidRPr="005F0061">
              <w:t>Pulmonary arterial hypertension (PAH</w:t>
            </w:r>
            <w:proofErr w:type="gramStart"/>
            <w:r w:rsidRPr="005F0061">
              <w:t>)</w:t>
            </w:r>
            <w:proofErr w:type="gramEnd"/>
            <w:r w:rsidR="003327A6" w:rsidRPr="005F0061">
              <w:br/>
            </w:r>
            <w:r w:rsidRPr="005F0061">
              <w:t>Initial 1 (dual therapy - previously untreated patients)</w:t>
            </w:r>
            <w:r w:rsidR="003327A6" w:rsidRPr="005F0061">
              <w:br/>
            </w:r>
            <w:r w:rsidRPr="005F0061">
              <w:t>Patient must not have received prior PBS-subsidised treatment with a pulmonary arterial hypertension (PAH) agent.</w:t>
            </w:r>
            <w:r w:rsidR="003327A6" w:rsidRPr="005F0061">
              <w:br/>
            </w:r>
            <w:r w:rsidRPr="005F0061">
              <w:t>Must be treated by a physician with expertise in the management of PAH, with this authority application to be completed by the physician with expertise in PAH.</w:t>
            </w:r>
            <w:r w:rsidR="003327A6" w:rsidRPr="005F0061">
              <w:br/>
            </w:r>
            <w:r w:rsidRPr="005F0061">
              <w:t>Patient must currently have WHO Functional Class III PAH or WHO Functional Class IV PAH; AND</w:t>
            </w:r>
            <w:r w:rsidR="003327A6" w:rsidRPr="005F0061">
              <w:br/>
            </w:r>
            <w:r w:rsidRPr="005F0061">
              <w:t>The treatment must be in combination with a PBS-subsidised phosphodiesterase-5 inhibitor (PDE-5i) for this condition.</w:t>
            </w:r>
            <w:r w:rsidR="003327A6" w:rsidRPr="005F0061">
              <w:br/>
            </w:r>
            <w:r w:rsidRPr="005F0061">
              <w:t xml:space="preserve">The term 'PAH agents' refers to </w:t>
            </w:r>
            <w:proofErr w:type="spellStart"/>
            <w:r w:rsidRPr="005F0061">
              <w:t>bosentan</w:t>
            </w:r>
            <w:proofErr w:type="spellEnd"/>
            <w:r w:rsidRPr="005F0061">
              <w:t xml:space="preserve"> monohydrate, </w:t>
            </w:r>
            <w:proofErr w:type="spellStart"/>
            <w:r w:rsidRPr="005F0061">
              <w:t>iloprost</w:t>
            </w:r>
            <w:proofErr w:type="spellEnd"/>
            <w:r w:rsidRPr="005F0061">
              <w:t xml:space="preserve"> trometamol, </w:t>
            </w:r>
            <w:proofErr w:type="spellStart"/>
            <w:r w:rsidRPr="005F0061">
              <w:t>epoprostenol</w:t>
            </w:r>
            <w:proofErr w:type="spellEnd"/>
            <w:r w:rsidRPr="005F0061">
              <w:t xml:space="preserve"> sodium, sildenafil citrate, </w:t>
            </w:r>
            <w:proofErr w:type="spellStart"/>
            <w:r w:rsidRPr="005F0061">
              <w:t>ambrisentan</w:t>
            </w:r>
            <w:proofErr w:type="spellEnd"/>
            <w:r w:rsidRPr="005F0061">
              <w:t xml:space="preserve">, </w:t>
            </w:r>
            <w:proofErr w:type="spellStart"/>
            <w:r w:rsidRPr="005F0061">
              <w:t>tadalafil</w:t>
            </w:r>
            <w:proofErr w:type="spellEnd"/>
            <w:r w:rsidRPr="005F0061">
              <w:t xml:space="preserve">, and </w:t>
            </w:r>
            <w:proofErr w:type="spellStart"/>
            <w:r w:rsidRPr="005F0061">
              <w:t>macitentan</w:t>
            </w:r>
            <w:proofErr w:type="spellEnd"/>
            <w:r w:rsidRPr="005F0061">
              <w:t>.</w:t>
            </w:r>
            <w:r w:rsidR="003327A6" w:rsidRPr="005F0061">
              <w:br/>
            </w:r>
            <w:r w:rsidRPr="005F0061">
              <w:t>For the purposes of PBS subsidy, dual therapy refers to combined use of an endothelin receptor antagonist (ERA) and a phosphodiesterase-5 inhibitor (PDE-5i).</w:t>
            </w:r>
            <w:r w:rsidR="003327A6" w:rsidRPr="005F0061">
              <w:br/>
            </w:r>
            <w:r w:rsidRPr="005F0061">
              <w:t>(</w:t>
            </w:r>
            <w:proofErr w:type="spellStart"/>
            <w:r w:rsidRPr="005F0061">
              <w:t>i</w:t>
            </w:r>
            <w:proofErr w:type="spellEnd"/>
            <w:r w:rsidRPr="005F0061">
              <w:t xml:space="preserve">) An ERA includes </w:t>
            </w:r>
            <w:proofErr w:type="spellStart"/>
            <w:r w:rsidRPr="005F0061">
              <w:t>ambrisentan</w:t>
            </w:r>
            <w:proofErr w:type="spellEnd"/>
            <w:r w:rsidRPr="005F0061">
              <w:t xml:space="preserve">, </w:t>
            </w:r>
            <w:proofErr w:type="spellStart"/>
            <w:r w:rsidRPr="005F0061">
              <w:t>bosentan</w:t>
            </w:r>
            <w:proofErr w:type="spellEnd"/>
            <w:r w:rsidRPr="005F0061">
              <w:t xml:space="preserve"> monohydrate, or </w:t>
            </w:r>
            <w:proofErr w:type="spellStart"/>
            <w:r w:rsidRPr="005F0061">
              <w:t>macitentan</w:t>
            </w:r>
            <w:proofErr w:type="spellEnd"/>
            <w:r w:rsidRPr="005F0061">
              <w:t>.</w:t>
            </w:r>
            <w:r w:rsidR="003327A6" w:rsidRPr="005F0061">
              <w:br/>
            </w:r>
            <w:r w:rsidRPr="005F0061">
              <w:t xml:space="preserve">(ii) A PDE-5i includes sildenafil citrate, or </w:t>
            </w:r>
            <w:proofErr w:type="spellStart"/>
            <w:r w:rsidRPr="005F0061">
              <w:t>tadalafil</w:t>
            </w:r>
            <w:proofErr w:type="spellEnd"/>
            <w:r w:rsidRPr="005F0061">
              <w:t>.</w:t>
            </w:r>
            <w:r w:rsidR="003327A6" w:rsidRPr="005F0061">
              <w:br/>
            </w:r>
            <w:r w:rsidRPr="005F0061">
              <w:t>PAH agents are not PBS-subsidised for patients with pulmonary hypertension secondary to interstitial lung disease associated with connective tissue disease, where the total lung capacity is less than 70% of predicted.</w:t>
            </w:r>
            <w:r w:rsidR="003327A6" w:rsidRPr="005F0061">
              <w:br/>
            </w:r>
            <w:r w:rsidRPr="005F0061">
              <w:t>PAH (WHO Group 1 pulmonary hypertension) is defined as follows</w:t>
            </w:r>
            <w:proofErr w:type="gramStart"/>
            <w:r w:rsidRPr="005F0061">
              <w:t>:</w:t>
            </w:r>
            <w:proofErr w:type="gramEnd"/>
            <w:r w:rsidR="003327A6" w:rsidRPr="005F0061">
              <w:br/>
            </w:r>
            <w:r w:rsidRPr="005F0061">
              <w:t>(</w:t>
            </w:r>
            <w:proofErr w:type="spellStart"/>
            <w:r w:rsidRPr="005F0061">
              <w:t>i</w:t>
            </w:r>
            <w:proofErr w:type="spellEnd"/>
            <w:r w:rsidRPr="005F0061">
              <w:t>) mean pulmonary artery pressure (</w:t>
            </w:r>
            <w:proofErr w:type="spellStart"/>
            <w:r w:rsidRPr="005F0061">
              <w:t>mPAP</w:t>
            </w:r>
            <w:proofErr w:type="spellEnd"/>
            <w:r w:rsidRPr="005F0061">
              <w:t>) greater than or equal to 25 mmHg at rest and pulmonary artery wedge pressure (PAWP) less than or equal to 15 mmHg; or</w:t>
            </w:r>
            <w:r w:rsidR="003327A6" w:rsidRPr="005F0061">
              <w:br/>
            </w:r>
            <w:r w:rsidRPr="005F0061">
              <w:t>(ii) where a right heart catheter (RHC) cannot be performed on clinical grounds, right ventricular systolic pressure (RVSP), assessed by echocardiography (ECHO), greater than 40 mmHg, with normal left ventricular function.</w:t>
            </w:r>
            <w:r w:rsidR="003327A6" w:rsidRPr="005F0061">
              <w:br/>
            </w:r>
            <w:r w:rsidRPr="005F0061">
              <w:t>Applications for authorisation must be in writing and must include:</w:t>
            </w:r>
            <w:r w:rsidR="003327A6" w:rsidRPr="005F0061">
              <w:br/>
            </w:r>
            <w:r w:rsidRPr="005F0061">
              <w:t>(1) a completed authority prescription form; and</w:t>
            </w:r>
            <w:r w:rsidR="003327A6" w:rsidRPr="005F0061">
              <w:br/>
            </w:r>
            <w:r w:rsidRPr="005F0061">
              <w:t xml:space="preserve">(2) a completed Pulmonary Arterial Hypertension PBS Authority Application - Supporting Information form </w:t>
            </w:r>
            <w:r w:rsidRPr="005F0061">
              <w:lastRenderedPageBreak/>
              <w:t>which includes results from the three tests below, where available:</w:t>
            </w:r>
            <w:r w:rsidR="003327A6" w:rsidRPr="005F0061">
              <w:br/>
            </w:r>
            <w:r w:rsidRPr="005F0061">
              <w:t>(</w:t>
            </w:r>
            <w:proofErr w:type="spellStart"/>
            <w:r w:rsidRPr="005F0061">
              <w:t>i</w:t>
            </w:r>
            <w:proofErr w:type="spellEnd"/>
            <w:r w:rsidRPr="005F0061">
              <w:t>) RHC composite assessment; and</w:t>
            </w:r>
            <w:r w:rsidR="003327A6" w:rsidRPr="005F0061">
              <w:br/>
            </w:r>
            <w:r w:rsidRPr="005F0061">
              <w:t>(ii) ECHO composite assessment; and</w:t>
            </w:r>
            <w:r w:rsidR="003327A6" w:rsidRPr="005F0061">
              <w:br/>
            </w:r>
            <w:r w:rsidRPr="005F0061">
              <w:t>(iii) 6 Minute Walk Test (6MWT).</w:t>
            </w:r>
            <w:r w:rsidR="003327A6" w:rsidRPr="005F0061">
              <w:br/>
            </w:r>
            <w:r w:rsidRPr="005F0061">
              <w:t>Where it is not possible to perform all 3 tests on clinical grounds, the following list outlines the preferred test combination, in descending order, for the purposes of initiation of PBS-subsidised treatment:</w:t>
            </w:r>
            <w:r w:rsidR="003327A6" w:rsidRPr="005F0061">
              <w:br/>
            </w:r>
            <w:r w:rsidRPr="005F0061">
              <w:t>(1) RHC plus ECHO composite assessments;</w:t>
            </w:r>
            <w:r w:rsidR="003327A6" w:rsidRPr="005F0061">
              <w:br/>
            </w:r>
            <w:r w:rsidRPr="005F0061">
              <w:t>(2) RHC composite assessment plus 6MWT;</w:t>
            </w:r>
            <w:r w:rsidR="003327A6" w:rsidRPr="005F0061">
              <w:br/>
            </w:r>
            <w:r w:rsidRPr="005F0061">
              <w:t>(3) RHC composite assessment only.</w:t>
            </w:r>
            <w:r w:rsidR="003327A6" w:rsidRPr="005F0061">
              <w:br/>
            </w:r>
            <w:r w:rsidRPr="005F0061">
              <w:t>In circumstances where a RHC cannot be performed on clinical grounds, applications may be submitted for consideration based on the results of the following test combinations, which are listed in descending order of preference</w:t>
            </w:r>
            <w:proofErr w:type="gramStart"/>
            <w:r w:rsidRPr="005F0061">
              <w:t>:</w:t>
            </w:r>
            <w:proofErr w:type="gramEnd"/>
            <w:r w:rsidR="003327A6" w:rsidRPr="005F0061">
              <w:br/>
            </w:r>
            <w:r w:rsidRPr="005F0061">
              <w:t>(1) ECHO composite assessment plus 6MWT;</w:t>
            </w:r>
            <w:r w:rsidR="003327A6" w:rsidRPr="005F0061">
              <w:br/>
            </w:r>
            <w:r w:rsidRPr="005F0061">
              <w:t>(2) ECHO composite assessment only.</w:t>
            </w:r>
            <w:r w:rsidR="003327A6" w:rsidRPr="005F0061">
              <w:br/>
            </w:r>
            <w:r w:rsidRPr="005F0061">
              <w:t>Where fewer than 3 tests are able to be performed on clinical grounds, a patient specific reason outlining why the particular test(s) could not be conducted must be provided with the authority application.</w:t>
            </w:r>
            <w:r w:rsidR="003327A6" w:rsidRPr="005F0061">
              <w:br/>
            </w:r>
            <w:r w:rsidRPr="005F0061">
              <w:t>Where a RHC cannot be performed on clinical grounds, confirmation of the reason(s) must be provided with the authority application by a second PAH physician or cardiologist with expertise in the management of PAH.</w:t>
            </w:r>
            <w:r w:rsidR="003327A6" w:rsidRPr="005F0061">
              <w:br/>
            </w:r>
            <w:r w:rsidRPr="005F0061">
              <w:t>The test results provided must not be more than 2 months old at the time of application.</w:t>
            </w:r>
            <w:r w:rsidR="003327A6" w:rsidRPr="005F0061">
              <w:br/>
            </w:r>
            <w:r w:rsidRPr="005F0061">
              <w:t>The maximum quantity authorised will be limited to provide sufficient supply for 1 month of treatment, based on the dosage recommendations in the TGA-approved Product Information.</w:t>
            </w:r>
            <w:r w:rsidR="003327A6" w:rsidRPr="005F0061">
              <w:br/>
            </w:r>
            <w:r w:rsidRPr="005F0061">
              <w:t>A maximum of 5 repeats may be requested.</w:t>
            </w:r>
          </w:p>
        </w:tc>
        <w:tc>
          <w:tcPr>
            <w:tcW w:w="2650" w:type="dxa"/>
            <w:shd w:val="clear" w:color="auto" w:fill="auto"/>
            <w:tcMar>
              <w:top w:w="28" w:type="dxa"/>
              <w:left w:w="28" w:type="dxa"/>
              <w:right w:w="57" w:type="dxa"/>
            </w:tcMar>
          </w:tcPr>
          <w:p w14:paraId="4FD03433" w14:textId="5145022E" w:rsidR="00C11B81" w:rsidRPr="005F0061" w:rsidRDefault="00C11B81" w:rsidP="00C11B81">
            <w:pPr>
              <w:pStyle w:val="Tabletext0"/>
              <w:rPr>
                <w:rFonts w:cs="Arial"/>
                <w:szCs w:val="16"/>
              </w:rPr>
            </w:pPr>
            <w:r w:rsidRPr="005F0061">
              <w:lastRenderedPageBreak/>
              <w:t>Compliance with Written Authority Required procedures</w:t>
            </w:r>
          </w:p>
        </w:tc>
      </w:tr>
      <w:tr w:rsidR="00C11B81" w:rsidRPr="005F0061" w14:paraId="0E912643" w14:textId="77777777" w:rsidTr="00FA7DB9">
        <w:tc>
          <w:tcPr>
            <w:tcW w:w="1900" w:type="dxa"/>
            <w:shd w:val="clear" w:color="auto" w:fill="auto"/>
            <w:tcMar>
              <w:top w:w="28" w:type="dxa"/>
              <w:left w:w="28" w:type="dxa"/>
            </w:tcMar>
          </w:tcPr>
          <w:p w14:paraId="3EBCCFCE" w14:textId="77777777" w:rsidR="00C11B81" w:rsidRPr="005F0061" w:rsidRDefault="00C11B81" w:rsidP="00C11B81">
            <w:pPr>
              <w:pStyle w:val="Tabletext0"/>
              <w:tabs>
                <w:tab w:val="left" w:pos="958"/>
              </w:tabs>
              <w:rPr>
                <w:rFonts w:cs="Arial"/>
                <w:szCs w:val="16"/>
              </w:rPr>
            </w:pPr>
          </w:p>
        </w:tc>
        <w:tc>
          <w:tcPr>
            <w:tcW w:w="850" w:type="dxa"/>
            <w:shd w:val="clear" w:color="auto" w:fill="auto"/>
            <w:tcMar>
              <w:top w:w="28" w:type="dxa"/>
              <w:left w:w="28" w:type="dxa"/>
            </w:tcMar>
          </w:tcPr>
          <w:p w14:paraId="6C7CFA95" w14:textId="5F718C08" w:rsidR="00C11B81" w:rsidRPr="005F0061" w:rsidRDefault="00C11B81" w:rsidP="00C11B81">
            <w:pPr>
              <w:pStyle w:val="Tabletext0"/>
              <w:rPr>
                <w:rFonts w:cs="Arial"/>
                <w:szCs w:val="16"/>
              </w:rPr>
            </w:pPr>
            <w:r w:rsidRPr="005F0061">
              <w:rPr>
                <w:rFonts w:cs="Arial"/>
                <w:szCs w:val="16"/>
              </w:rPr>
              <w:t>C11257</w:t>
            </w:r>
          </w:p>
        </w:tc>
        <w:tc>
          <w:tcPr>
            <w:tcW w:w="850" w:type="dxa"/>
            <w:shd w:val="clear" w:color="auto" w:fill="auto"/>
            <w:tcMar>
              <w:top w:w="28" w:type="dxa"/>
              <w:left w:w="28" w:type="dxa"/>
            </w:tcMar>
          </w:tcPr>
          <w:p w14:paraId="11A623C9" w14:textId="77777777" w:rsidR="00C11B81" w:rsidRPr="005F0061" w:rsidDel="00E03489" w:rsidRDefault="00C11B81" w:rsidP="00C11B81">
            <w:pPr>
              <w:spacing w:before="60" w:after="60"/>
              <w:rPr>
                <w:rFonts w:ascii="Arial" w:hAnsi="Arial" w:cs="Arial"/>
                <w:sz w:val="16"/>
                <w:szCs w:val="16"/>
                <w:lang w:eastAsia="en-AU"/>
              </w:rPr>
            </w:pPr>
          </w:p>
        </w:tc>
        <w:tc>
          <w:tcPr>
            <w:tcW w:w="7661" w:type="dxa"/>
            <w:shd w:val="clear" w:color="auto" w:fill="auto"/>
            <w:tcMar>
              <w:top w:w="28" w:type="dxa"/>
              <w:left w:w="28" w:type="dxa"/>
            </w:tcMar>
          </w:tcPr>
          <w:p w14:paraId="2DB7A106" w14:textId="4A6206FE" w:rsidR="00C11B81" w:rsidRPr="005F0061" w:rsidRDefault="00C11B81" w:rsidP="00C11B81">
            <w:pPr>
              <w:pStyle w:val="mps3-data"/>
              <w:rPr>
                <w:szCs w:val="16"/>
              </w:rPr>
            </w:pPr>
            <w:r w:rsidRPr="005F0061">
              <w:t>Pulmonary arterial hypertension (PAH</w:t>
            </w:r>
            <w:proofErr w:type="gramStart"/>
            <w:r w:rsidRPr="005F0061">
              <w:t>)</w:t>
            </w:r>
            <w:proofErr w:type="gramEnd"/>
            <w:r w:rsidR="003327A6" w:rsidRPr="005F0061">
              <w:br/>
            </w:r>
            <w:r w:rsidRPr="005F0061">
              <w:t>Initial 2 (dual therapy - previously treated patients)</w:t>
            </w:r>
            <w:r w:rsidR="003327A6" w:rsidRPr="005F0061">
              <w:br/>
            </w:r>
            <w:r w:rsidRPr="005F0061">
              <w:t>Patient must have documented WHO Functional Class III PAH or WHO Functional Class IV PAH; AND</w:t>
            </w:r>
            <w:r w:rsidR="003327A6" w:rsidRPr="005F0061">
              <w:br/>
            </w:r>
            <w:r w:rsidRPr="005F0061">
              <w:t>Patient must have documented a failure to achieve or maintain WHO Functional Class II status with prior PBS-subsidised monotherapy treatment with a phosphodiesterase-5 inhibitor (PDE-5i) for this condition; AND</w:t>
            </w:r>
            <w:r w:rsidR="003327A6" w:rsidRPr="005F0061">
              <w:br/>
            </w:r>
            <w:r w:rsidRPr="005F0061">
              <w:t>The treatment must be in combination with the PBS-subsidised PDE-5i for this condition.</w:t>
            </w:r>
            <w:r w:rsidR="003327A6" w:rsidRPr="005F0061">
              <w:br/>
            </w:r>
            <w:r w:rsidRPr="005F0061">
              <w:t>Must be treated by a physician with expertise in the management of PAH, with this authority application to be completed by the physician with expertise in PAH.</w:t>
            </w:r>
            <w:r w:rsidR="003327A6" w:rsidRPr="005F0061">
              <w:br/>
            </w:r>
            <w:r w:rsidRPr="005F0061">
              <w:t xml:space="preserve">The term 'PAH agents' refers to </w:t>
            </w:r>
            <w:proofErr w:type="spellStart"/>
            <w:r w:rsidRPr="005F0061">
              <w:t>bosentan</w:t>
            </w:r>
            <w:proofErr w:type="spellEnd"/>
            <w:r w:rsidRPr="005F0061">
              <w:t xml:space="preserve"> monohydrate, </w:t>
            </w:r>
            <w:proofErr w:type="spellStart"/>
            <w:r w:rsidRPr="005F0061">
              <w:t>iloprost</w:t>
            </w:r>
            <w:proofErr w:type="spellEnd"/>
            <w:r w:rsidRPr="005F0061">
              <w:t xml:space="preserve"> trometamol, </w:t>
            </w:r>
            <w:proofErr w:type="spellStart"/>
            <w:r w:rsidRPr="005F0061">
              <w:t>epoprostenol</w:t>
            </w:r>
            <w:proofErr w:type="spellEnd"/>
            <w:r w:rsidRPr="005F0061">
              <w:t xml:space="preserve"> sodium, sildenafil citrate, </w:t>
            </w:r>
            <w:proofErr w:type="spellStart"/>
            <w:r w:rsidRPr="005F0061">
              <w:t>ambrisentan</w:t>
            </w:r>
            <w:proofErr w:type="spellEnd"/>
            <w:r w:rsidRPr="005F0061">
              <w:t xml:space="preserve">, </w:t>
            </w:r>
            <w:proofErr w:type="spellStart"/>
            <w:r w:rsidRPr="005F0061">
              <w:t>tadalafil</w:t>
            </w:r>
            <w:proofErr w:type="spellEnd"/>
            <w:r w:rsidRPr="005F0061">
              <w:t xml:space="preserve">, and </w:t>
            </w:r>
            <w:proofErr w:type="spellStart"/>
            <w:r w:rsidRPr="005F0061">
              <w:t>macitentan</w:t>
            </w:r>
            <w:proofErr w:type="spellEnd"/>
            <w:r w:rsidRPr="005F0061">
              <w:t>.</w:t>
            </w:r>
            <w:r w:rsidR="003327A6" w:rsidRPr="005F0061">
              <w:br/>
            </w:r>
            <w:r w:rsidRPr="005F0061">
              <w:t>For the purposes of PBS subsidy, dual therapy refers to combined use of an endothelin receptor antagonist (ERA) and a phosphodiesterase-5 inhibitor (PDE-5i).</w:t>
            </w:r>
            <w:r w:rsidR="003327A6" w:rsidRPr="005F0061">
              <w:br/>
            </w:r>
            <w:r w:rsidRPr="005F0061">
              <w:t>(</w:t>
            </w:r>
            <w:proofErr w:type="spellStart"/>
            <w:r w:rsidRPr="005F0061">
              <w:t>i</w:t>
            </w:r>
            <w:proofErr w:type="spellEnd"/>
            <w:r w:rsidRPr="005F0061">
              <w:t xml:space="preserve">) An ERA includes </w:t>
            </w:r>
            <w:proofErr w:type="spellStart"/>
            <w:r w:rsidRPr="005F0061">
              <w:t>ambrisentan</w:t>
            </w:r>
            <w:proofErr w:type="spellEnd"/>
            <w:r w:rsidRPr="005F0061">
              <w:t xml:space="preserve">, </w:t>
            </w:r>
            <w:proofErr w:type="spellStart"/>
            <w:r w:rsidRPr="005F0061">
              <w:t>bosentan</w:t>
            </w:r>
            <w:proofErr w:type="spellEnd"/>
            <w:r w:rsidRPr="005F0061">
              <w:t xml:space="preserve"> monohydrate, or </w:t>
            </w:r>
            <w:proofErr w:type="spellStart"/>
            <w:r w:rsidRPr="005F0061">
              <w:t>macitentan</w:t>
            </w:r>
            <w:proofErr w:type="spellEnd"/>
            <w:r w:rsidRPr="005F0061">
              <w:t>.</w:t>
            </w:r>
            <w:r w:rsidR="003327A6" w:rsidRPr="005F0061">
              <w:br/>
            </w:r>
            <w:r w:rsidRPr="005F0061">
              <w:t xml:space="preserve">(ii) A PDE-5i includes sildenafil citrate, or </w:t>
            </w:r>
            <w:proofErr w:type="spellStart"/>
            <w:r w:rsidRPr="005F0061">
              <w:t>tadalafil</w:t>
            </w:r>
            <w:proofErr w:type="spellEnd"/>
            <w:r w:rsidRPr="005F0061">
              <w:t>.</w:t>
            </w:r>
            <w:r w:rsidR="003327A6" w:rsidRPr="005F0061">
              <w:br/>
            </w:r>
            <w:r w:rsidRPr="005F0061">
              <w:t>PAH agents are not PBS-subsidised for patients with pulmonary hypertension secondary to interstitial lung disease associated with connective tissue disease, where the total lung capacity is less than 70% of predicted.</w:t>
            </w:r>
            <w:r w:rsidR="003327A6" w:rsidRPr="005F0061">
              <w:br/>
            </w:r>
            <w:r w:rsidRPr="005F0061">
              <w:t>PAH (WHO Group 1 pulmonary hypertension) is defined as follows</w:t>
            </w:r>
            <w:proofErr w:type="gramStart"/>
            <w:r w:rsidRPr="005F0061">
              <w:t>:</w:t>
            </w:r>
            <w:proofErr w:type="gramEnd"/>
            <w:r w:rsidR="003327A6" w:rsidRPr="005F0061">
              <w:br/>
            </w:r>
            <w:r w:rsidRPr="005F0061">
              <w:t>(</w:t>
            </w:r>
            <w:proofErr w:type="spellStart"/>
            <w:r w:rsidRPr="005F0061">
              <w:t>i</w:t>
            </w:r>
            <w:proofErr w:type="spellEnd"/>
            <w:r w:rsidRPr="005F0061">
              <w:t>) mean pulmonary artery pressure (</w:t>
            </w:r>
            <w:proofErr w:type="spellStart"/>
            <w:r w:rsidRPr="005F0061">
              <w:t>mPAP</w:t>
            </w:r>
            <w:proofErr w:type="spellEnd"/>
            <w:r w:rsidRPr="005F0061">
              <w:t>) greater than or equal to 25 mmHg at rest and pulmonary artery wedge pressure (PAWP) less than or equal to 15 mmHg; or</w:t>
            </w:r>
            <w:r w:rsidR="003327A6" w:rsidRPr="005F0061">
              <w:br/>
            </w:r>
            <w:r w:rsidRPr="005F0061">
              <w:t>(ii) where a right heart catheter (RHC) cannot be performed on clinical grounds, right ventricular systolic pressure (RVSP), assessed by echocardiography (ECHO), greater than 40 mmHg, with normal left ventricular function.</w:t>
            </w:r>
            <w:r w:rsidR="003327A6" w:rsidRPr="005F0061">
              <w:br/>
            </w:r>
            <w:r w:rsidRPr="005F0061">
              <w:t>The results and date of the RHC, ECHO and 6 MWT as applicable must be included in the patient's medical record. Where a RHC cannot be performed on clinical grounds, the written confirmation of the reasons why must also be included in the patient's medical record.</w:t>
            </w:r>
            <w:r w:rsidR="003327A6" w:rsidRPr="005F0061">
              <w:br/>
            </w:r>
            <w:r w:rsidRPr="005F0061">
              <w:lastRenderedPageBreak/>
              <w:t>The maximum quantity authorised will be limited to provide sufficient supply for 1 month of treatment, based on the dosage recommendations in the TGA-approved Product Information.</w:t>
            </w:r>
            <w:r w:rsidR="003327A6" w:rsidRPr="005F0061">
              <w:br/>
            </w:r>
            <w:r w:rsidRPr="005F0061">
              <w:t>A maximum of 5 repeats may be requested.</w:t>
            </w:r>
          </w:p>
        </w:tc>
        <w:tc>
          <w:tcPr>
            <w:tcW w:w="2650" w:type="dxa"/>
            <w:shd w:val="clear" w:color="auto" w:fill="auto"/>
            <w:tcMar>
              <w:top w:w="28" w:type="dxa"/>
              <w:left w:w="28" w:type="dxa"/>
              <w:right w:w="57" w:type="dxa"/>
            </w:tcMar>
          </w:tcPr>
          <w:p w14:paraId="78A93632" w14:textId="032965BD" w:rsidR="00C11B81" w:rsidRPr="005F0061" w:rsidRDefault="00C11B81" w:rsidP="00C11B81">
            <w:pPr>
              <w:pStyle w:val="Tabletext0"/>
              <w:rPr>
                <w:rFonts w:cs="Arial"/>
                <w:szCs w:val="16"/>
              </w:rPr>
            </w:pPr>
            <w:r w:rsidRPr="005F0061">
              <w:lastRenderedPageBreak/>
              <w:t>Compliance with Authority Required procedures</w:t>
            </w:r>
          </w:p>
        </w:tc>
      </w:tr>
    </w:tbl>
    <w:p w14:paraId="0F4D3D00" w14:textId="13E3E0E3" w:rsidR="008B1745" w:rsidRPr="005F0061" w:rsidRDefault="00FA7DB9" w:rsidP="00D43979">
      <w:pPr>
        <w:pStyle w:val="Amendment1"/>
        <w:numPr>
          <w:ilvl w:val="0"/>
          <w:numId w:val="10"/>
        </w:numPr>
        <w:spacing w:before="60"/>
        <w:ind w:left="567" w:hanging="567"/>
        <w:rPr>
          <w:bCs w:val="0"/>
          <w:iCs/>
        </w:rPr>
      </w:pPr>
      <w:r w:rsidRPr="005F0061">
        <w:rPr>
          <w:bCs w:val="0"/>
          <w:iCs/>
        </w:rPr>
        <w:t xml:space="preserve">Schedule 3, entry for </w:t>
      </w:r>
      <w:proofErr w:type="spellStart"/>
      <w:r w:rsidR="00346D28" w:rsidRPr="005F0061">
        <w:rPr>
          <w:bCs w:val="0"/>
          <w:iCs/>
        </w:rPr>
        <w:t>Bosentan</w:t>
      </w:r>
      <w:proofErr w:type="spellEnd"/>
    </w:p>
    <w:p w14:paraId="1F197BFB" w14:textId="12EE0454" w:rsidR="00FA7DB9" w:rsidRPr="005F0061" w:rsidRDefault="008B0820" w:rsidP="00651E39">
      <w:pPr>
        <w:pStyle w:val="Amendment1"/>
        <w:numPr>
          <w:ilvl w:val="0"/>
          <w:numId w:val="25"/>
        </w:numPr>
        <w:spacing w:before="60" w:after="60"/>
        <w:ind w:left="1134" w:hanging="567"/>
        <w:rPr>
          <w:rFonts w:ascii="Times New Roman" w:hAnsi="Times New Roman" w:cs="Times New Roman"/>
          <w:b w:val="0"/>
          <w:bCs w:val="0"/>
          <w:i/>
          <w:iCs/>
        </w:rPr>
      </w:pPr>
      <w:r w:rsidRPr="005F0061">
        <w:rPr>
          <w:rFonts w:ascii="Times New Roman" w:hAnsi="Times New Roman" w:cs="Times New Roman"/>
          <w:b w:val="0"/>
          <w:bCs w:val="0"/>
          <w:i/>
          <w:iCs/>
        </w:rPr>
        <w:t>omit: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BA628B" w:rsidRPr="005F0061" w14:paraId="61348183" w14:textId="77777777" w:rsidTr="005E778F">
        <w:tc>
          <w:tcPr>
            <w:tcW w:w="1900" w:type="dxa"/>
            <w:shd w:val="clear" w:color="auto" w:fill="auto"/>
            <w:tcMar>
              <w:top w:w="28" w:type="dxa"/>
              <w:left w:w="28" w:type="dxa"/>
            </w:tcMar>
          </w:tcPr>
          <w:p w14:paraId="382AFF4F" w14:textId="77777777" w:rsidR="00BA628B" w:rsidRPr="005F0061" w:rsidRDefault="00BA628B" w:rsidP="00BA628B">
            <w:pPr>
              <w:pStyle w:val="Tabletext0"/>
              <w:tabs>
                <w:tab w:val="left" w:pos="958"/>
              </w:tabs>
              <w:rPr>
                <w:rFonts w:cs="Arial"/>
                <w:szCs w:val="16"/>
              </w:rPr>
            </w:pPr>
          </w:p>
        </w:tc>
        <w:tc>
          <w:tcPr>
            <w:tcW w:w="850" w:type="dxa"/>
            <w:shd w:val="clear" w:color="auto" w:fill="auto"/>
            <w:tcMar>
              <w:top w:w="28" w:type="dxa"/>
              <w:left w:w="28" w:type="dxa"/>
            </w:tcMar>
          </w:tcPr>
          <w:p w14:paraId="64914526" w14:textId="4241CADA" w:rsidR="00BA628B" w:rsidRPr="005F0061" w:rsidRDefault="00BA628B" w:rsidP="00BA628B">
            <w:pPr>
              <w:pStyle w:val="Tabletext0"/>
              <w:rPr>
                <w:rFonts w:cs="Arial"/>
                <w:szCs w:val="16"/>
              </w:rPr>
            </w:pPr>
            <w:r w:rsidRPr="005F0061">
              <w:rPr>
                <w:rFonts w:cs="Arial"/>
                <w:szCs w:val="16"/>
              </w:rPr>
              <w:t>C11004</w:t>
            </w:r>
          </w:p>
        </w:tc>
        <w:tc>
          <w:tcPr>
            <w:tcW w:w="850" w:type="dxa"/>
            <w:shd w:val="clear" w:color="auto" w:fill="auto"/>
            <w:tcMar>
              <w:top w:w="28" w:type="dxa"/>
              <w:left w:w="28" w:type="dxa"/>
            </w:tcMar>
          </w:tcPr>
          <w:p w14:paraId="3416BFA3" w14:textId="77777777" w:rsidR="00BA628B" w:rsidRPr="005F0061" w:rsidDel="00E03489" w:rsidRDefault="00BA628B" w:rsidP="00BA628B">
            <w:pPr>
              <w:spacing w:before="60" w:after="60"/>
              <w:rPr>
                <w:rFonts w:ascii="Arial" w:hAnsi="Arial" w:cs="Arial"/>
                <w:sz w:val="16"/>
                <w:szCs w:val="16"/>
                <w:lang w:eastAsia="en-AU"/>
              </w:rPr>
            </w:pPr>
          </w:p>
        </w:tc>
        <w:tc>
          <w:tcPr>
            <w:tcW w:w="7661" w:type="dxa"/>
            <w:shd w:val="clear" w:color="auto" w:fill="auto"/>
            <w:tcMar>
              <w:top w:w="28" w:type="dxa"/>
              <w:left w:w="28" w:type="dxa"/>
            </w:tcMar>
          </w:tcPr>
          <w:p w14:paraId="67C29B37" w14:textId="710FE59C" w:rsidR="00BA628B" w:rsidRPr="005F0061" w:rsidRDefault="00BA628B" w:rsidP="00BA628B">
            <w:pPr>
              <w:spacing w:before="60" w:after="60"/>
              <w:rPr>
                <w:rFonts w:ascii="Arial" w:hAnsi="Arial" w:cs="Arial"/>
                <w:sz w:val="16"/>
                <w:szCs w:val="16"/>
              </w:rPr>
            </w:pPr>
            <w:r w:rsidRPr="005F0061">
              <w:rPr>
                <w:rFonts w:ascii="Arial" w:hAnsi="Arial" w:cs="Arial"/>
                <w:sz w:val="16"/>
                <w:szCs w:val="16"/>
              </w:rPr>
              <w:t>Pulmonary arterial hypertension (PAH</w:t>
            </w:r>
            <w:proofErr w:type="gramStart"/>
            <w:r w:rsidRPr="005F0061">
              <w:rPr>
                <w:rFonts w:ascii="Arial" w:hAnsi="Arial" w:cs="Arial"/>
                <w:sz w:val="16"/>
                <w:szCs w:val="16"/>
              </w:rPr>
              <w:t>)</w:t>
            </w:r>
            <w:proofErr w:type="gramEnd"/>
            <w:r w:rsidRPr="005F0061">
              <w:rPr>
                <w:rFonts w:ascii="Arial" w:hAnsi="Arial" w:cs="Arial"/>
                <w:sz w:val="16"/>
                <w:szCs w:val="16"/>
              </w:rPr>
              <w:br/>
              <w:t>Grandfathered patients (dual therapy)</w:t>
            </w:r>
            <w:r w:rsidRPr="005F0061">
              <w:rPr>
                <w:rFonts w:ascii="Arial" w:hAnsi="Arial" w:cs="Arial"/>
                <w:sz w:val="16"/>
                <w:szCs w:val="16"/>
              </w:rPr>
              <w:br/>
              <w:t>Patient must be receiving dual therapy with this non PBS-subsidised pulmonary arterial hypertension (PAH) agent and a non PBS-subsidised phosphodiesterase-5 inhibitor (PDE-5i) for this condition prior to 1 October 2020; AND</w:t>
            </w:r>
            <w:r w:rsidRPr="005F0061">
              <w:rPr>
                <w:rFonts w:ascii="Arial" w:hAnsi="Arial" w:cs="Arial"/>
                <w:sz w:val="16"/>
                <w:szCs w:val="16"/>
              </w:rPr>
              <w:br/>
              <w:t>Patient must have been assessed by a physician with expertise in the management of PAH; AND</w:t>
            </w:r>
            <w:r w:rsidRPr="005F0061">
              <w:rPr>
                <w:rFonts w:ascii="Arial" w:hAnsi="Arial" w:cs="Arial"/>
                <w:sz w:val="16"/>
                <w:szCs w:val="16"/>
              </w:rPr>
              <w:br/>
              <w:t>Patient must have documented WHO Functional Class III PAH or WHO Functional Class IV PAH.</w:t>
            </w:r>
            <w:r w:rsidRPr="005F0061">
              <w:rPr>
                <w:rFonts w:ascii="Arial" w:hAnsi="Arial" w:cs="Arial"/>
                <w:sz w:val="16"/>
                <w:szCs w:val="16"/>
              </w:rPr>
              <w:br/>
              <w:t xml:space="preserve">The term 'PAH agents' refers to </w:t>
            </w:r>
            <w:proofErr w:type="spellStart"/>
            <w:r w:rsidRPr="005F0061">
              <w:rPr>
                <w:rFonts w:ascii="Arial" w:hAnsi="Arial" w:cs="Arial"/>
                <w:sz w:val="16"/>
                <w:szCs w:val="16"/>
              </w:rPr>
              <w:t>bosentan</w:t>
            </w:r>
            <w:proofErr w:type="spellEnd"/>
            <w:r w:rsidRPr="005F0061">
              <w:rPr>
                <w:rFonts w:ascii="Arial" w:hAnsi="Arial" w:cs="Arial"/>
                <w:sz w:val="16"/>
                <w:szCs w:val="16"/>
              </w:rPr>
              <w:t xml:space="preserve"> monohydrate, </w:t>
            </w:r>
            <w:proofErr w:type="spellStart"/>
            <w:r w:rsidRPr="005F0061">
              <w:rPr>
                <w:rFonts w:ascii="Arial" w:hAnsi="Arial" w:cs="Arial"/>
                <w:sz w:val="16"/>
                <w:szCs w:val="16"/>
              </w:rPr>
              <w:t>iloprost</w:t>
            </w:r>
            <w:proofErr w:type="spellEnd"/>
            <w:r w:rsidRPr="005F0061">
              <w:rPr>
                <w:rFonts w:ascii="Arial" w:hAnsi="Arial" w:cs="Arial"/>
                <w:sz w:val="16"/>
                <w:szCs w:val="16"/>
              </w:rPr>
              <w:t xml:space="preserve"> trometamol, </w:t>
            </w:r>
            <w:proofErr w:type="spellStart"/>
            <w:r w:rsidRPr="005F0061">
              <w:rPr>
                <w:rFonts w:ascii="Arial" w:hAnsi="Arial" w:cs="Arial"/>
                <w:sz w:val="16"/>
                <w:szCs w:val="16"/>
              </w:rPr>
              <w:t>epoprostenol</w:t>
            </w:r>
            <w:proofErr w:type="spellEnd"/>
            <w:r w:rsidRPr="005F0061">
              <w:rPr>
                <w:rFonts w:ascii="Arial" w:hAnsi="Arial" w:cs="Arial"/>
                <w:sz w:val="16"/>
                <w:szCs w:val="16"/>
              </w:rPr>
              <w:t xml:space="preserve"> sodium, sildenafil citrate, </w:t>
            </w:r>
            <w:proofErr w:type="spellStart"/>
            <w:r w:rsidRPr="005F0061">
              <w:rPr>
                <w:rFonts w:ascii="Arial" w:hAnsi="Arial" w:cs="Arial"/>
                <w:sz w:val="16"/>
                <w:szCs w:val="16"/>
              </w:rPr>
              <w:t>ambrisentan</w:t>
            </w:r>
            <w:proofErr w:type="spellEnd"/>
            <w:r w:rsidRPr="005F0061">
              <w:rPr>
                <w:rFonts w:ascii="Arial" w:hAnsi="Arial" w:cs="Arial"/>
                <w:sz w:val="16"/>
                <w:szCs w:val="16"/>
              </w:rPr>
              <w:t xml:space="preserve">, </w:t>
            </w:r>
            <w:proofErr w:type="spellStart"/>
            <w:r w:rsidRPr="005F0061">
              <w:rPr>
                <w:rFonts w:ascii="Arial" w:hAnsi="Arial" w:cs="Arial"/>
                <w:sz w:val="16"/>
                <w:szCs w:val="16"/>
              </w:rPr>
              <w:t>tadalafil</w:t>
            </w:r>
            <w:proofErr w:type="spellEnd"/>
            <w:r w:rsidRPr="005F0061">
              <w:rPr>
                <w:rFonts w:ascii="Arial" w:hAnsi="Arial" w:cs="Arial"/>
                <w:sz w:val="16"/>
                <w:szCs w:val="16"/>
              </w:rPr>
              <w:t xml:space="preserve">, </w:t>
            </w:r>
            <w:proofErr w:type="spellStart"/>
            <w:r w:rsidRPr="005F0061">
              <w:rPr>
                <w:rFonts w:ascii="Arial" w:hAnsi="Arial" w:cs="Arial"/>
                <w:sz w:val="16"/>
                <w:szCs w:val="16"/>
              </w:rPr>
              <w:t>macitentan</w:t>
            </w:r>
            <w:proofErr w:type="spellEnd"/>
            <w:r w:rsidRPr="005F0061">
              <w:rPr>
                <w:rFonts w:ascii="Arial" w:hAnsi="Arial" w:cs="Arial"/>
                <w:sz w:val="16"/>
                <w:szCs w:val="16"/>
              </w:rPr>
              <w:t xml:space="preserve">, and </w:t>
            </w:r>
            <w:proofErr w:type="spellStart"/>
            <w:r w:rsidRPr="005F0061">
              <w:rPr>
                <w:rFonts w:ascii="Arial" w:hAnsi="Arial" w:cs="Arial"/>
                <w:sz w:val="16"/>
                <w:szCs w:val="16"/>
              </w:rPr>
              <w:t>riociguat</w:t>
            </w:r>
            <w:proofErr w:type="spellEnd"/>
            <w:r w:rsidRPr="005F0061">
              <w:rPr>
                <w:rFonts w:ascii="Arial" w:hAnsi="Arial" w:cs="Arial"/>
                <w:sz w:val="16"/>
                <w:szCs w:val="16"/>
              </w:rPr>
              <w:t>.</w:t>
            </w:r>
            <w:r w:rsidRPr="005F0061">
              <w:rPr>
                <w:rFonts w:ascii="Arial" w:hAnsi="Arial" w:cs="Arial"/>
                <w:sz w:val="16"/>
                <w:szCs w:val="16"/>
              </w:rPr>
              <w:br/>
              <w:t>For the purposes of PBS subsidy, dual therapy refers to combined use of an endothelin receptor antagonist (ERA) and a phosphodiesterase-5 inhibitor (PDE-5i).</w:t>
            </w:r>
            <w:r w:rsidRPr="005F0061">
              <w:rPr>
                <w:rFonts w:ascii="Arial" w:hAnsi="Arial" w:cs="Arial"/>
                <w:sz w:val="16"/>
                <w:szCs w:val="16"/>
              </w:rPr>
              <w:br/>
              <w:t>(</w:t>
            </w:r>
            <w:proofErr w:type="spellStart"/>
            <w:r w:rsidRPr="005F0061">
              <w:rPr>
                <w:rFonts w:ascii="Arial" w:hAnsi="Arial" w:cs="Arial"/>
                <w:sz w:val="16"/>
                <w:szCs w:val="16"/>
              </w:rPr>
              <w:t>i</w:t>
            </w:r>
            <w:proofErr w:type="spellEnd"/>
            <w:r w:rsidRPr="005F0061">
              <w:rPr>
                <w:rFonts w:ascii="Arial" w:hAnsi="Arial" w:cs="Arial"/>
                <w:sz w:val="16"/>
                <w:szCs w:val="16"/>
              </w:rPr>
              <w:t xml:space="preserve">) An ERA includes </w:t>
            </w:r>
            <w:proofErr w:type="spellStart"/>
            <w:r w:rsidRPr="005F0061">
              <w:rPr>
                <w:rFonts w:ascii="Arial" w:hAnsi="Arial" w:cs="Arial"/>
                <w:sz w:val="16"/>
                <w:szCs w:val="16"/>
              </w:rPr>
              <w:t>ambrisentan</w:t>
            </w:r>
            <w:proofErr w:type="spellEnd"/>
            <w:r w:rsidRPr="005F0061">
              <w:rPr>
                <w:rFonts w:ascii="Arial" w:hAnsi="Arial" w:cs="Arial"/>
                <w:sz w:val="16"/>
                <w:szCs w:val="16"/>
              </w:rPr>
              <w:t xml:space="preserve">, </w:t>
            </w:r>
            <w:proofErr w:type="spellStart"/>
            <w:r w:rsidRPr="005F0061">
              <w:rPr>
                <w:rFonts w:ascii="Arial" w:hAnsi="Arial" w:cs="Arial"/>
                <w:sz w:val="16"/>
                <w:szCs w:val="16"/>
              </w:rPr>
              <w:t>bosentan</w:t>
            </w:r>
            <w:proofErr w:type="spellEnd"/>
            <w:r w:rsidRPr="005F0061">
              <w:rPr>
                <w:rFonts w:ascii="Arial" w:hAnsi="Arial" w:cs="Arial"/>
                <w:sz w:val="16"/>
                <w:szCs w:val="16"/>
              </w:rPr>
              <w:t xml:space="preserve"> monohydrate, or </w:t>
            </w:r>
            <w:proofErr w:type="spellStart"/>
            <w:r w:rsidRPr="005F0061">
              <w:rPr>
                <w:rFonts w:ascii="Arial" w:hAnsi="Arial" w:cs="Arial"/>
                <w:sz w:val="16"/>
                <w:szCs w:val="16"/>
              </w:rPr>
              <w:t>macitentan</w:t>
            </w:r>
            <w:proofErr w:type="spellEnd"/>
            <w:r w:rsidRPr="005F0061">
              <w:rPr>
                <w:rFonts w:ascii="Arial" w:hAnsi="Arial" w:cs="Arial"/>
                <w:sz w:val="16"/>
                <w:szCs w:val="16"/>
              </w:rPr>
              <w:t>.</w:t>
            </w:r>
            <w:r w:rsidRPr="005F0061">
              <w:rPr>
                <w:rFonts w:ascii="Arial" w:hAnsi="Arial" w:cs="Arial"/>
                <w:sz w:val="16"/>
                <w:szCs w:val="16"/>
              </w:rPr>
              <w:br/>
              <w:t xml:space="preserve">(ii) A PDE-5i includes sildenafil citrate, or </w:t>
            </w:r>
            <w:proofErr w:type="spellStart"/>
            <w:r w:rsidRPr="005F0061">
              <w:rPr>
                <w:rFonts w:ascii="Arial" w:hAnsi="Arial" w:cs="Arial"/>
                <w:sz w:val="16"/>
                <w:szCs w:val="16"/>
              </w:rPr>
              <w:t>tadalafil</w:t>
            </w:r>
            <w:proofErr w:type="spellEnd"/>
            <w:r w:rsidRPr="005F0061">
              <w:rPr>
                <w:rFonts w:ascii="Arial" w:hAnsi="Arial" w:cs="Arial"/>
                <w:sz w:val="16"/>
                <w:szCs w:val="16"/>
              </w:rPr>
              <w:t>.</w:t>
            </w:r>
            <w:r w:rsidRPr="005F0061">
              <w:rPr>
                <w:rFonts w:ascii="Arial"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5F0061">
              <w:rPr>
                <w:rFonts w:ascii="Arial" w:hAnsi="Arial" w:cs="Arial"/>
                <w:sz w:val="16"/>
                <w:szCs w:val="16"/>
              </w:rPr>
              <w:br/>
              <w:t>PAH (WHO Group 1 pulmonary hypertension) is defined as follows</w:t>
            </w:r>
            <w:proofErr w:type="gramStart"/>
            <w:r w:rsidRPr="005F0061">
              <w:rPr>
                <w:rFonts w:ascii="Arial" w:hAnsi="Arial" w:cs="Arial"/>
                <w:sz w:val="16"/>
                <w:szCs w:val="16"/>
              </w:rPr>
              <w:t>:</w:t>
            </w:r>
            <w:proofErr w:type="gramEnd"/>
            <w:r w:rsidRPr="005F0061">
              <w:rPr>
                <w:rFonts w:ascii="Arial" w:hAnsi="Arial" w:cs="Arial"/>
                <w:sz w:val="16"/>
                <w:szCs w:val="16"/>
              </w:rPr>
              <w:br/>
              <w:t>(</w:t>
            </w:r>
            <w:proofErr w:type="spellStart"/>
            <w:r w:rsidRPr="005F0061">
              <w:rPr>
                <w:rFonts w:ascii="Arial" w:hAnsi="Arial" w:cs="Arial"/>
                <w:sz w:val="16"/>
                <w:szCs w:val="16"/>
              </w:rPr>
              <w:t>i</w:t>
            </w:r>
            <w:proofErr w:type="spellEnd"/>
            <w:r w:rsidRPr="005F0061">
              <w:rPr>
                <w:rFonts w:ascii="Arial" w:hAnsi="Arial" w:cs="Arial"/>
                <w:sz w:val="16"/>
                <w:szCs w:val="16"/>
              </w:rPr>
              <w:t>) mean pulmonary artery pressure (</w:t>
            </w:r>
            <w:proofErr w:type="spellStart"/>
            <w:r w:rsidRPr="005F0061">
              <w:rPr>
                <w:rFonts w:ascii="Arial" w:hAnsi="Arial" w:cs="Arial"/>
                <w:sz w:val="16"/>
                <w:szCs w:val="16"/>
              </w:rPr>
              <w:t>mPAP</w:t>
            </w:r>
            <w:proofErr w:type="spellEnd"/>
            <w:r w:rsidRPr="005F0061">
              <w:rPr>
                <w:rFonts w:ascii="Arial" w:hAnsi="Arial" w:cs="Arial"/>
                <w:sz w:val="16"/>
                <w:szCs w:val="16"/>
              </w:rPr>
              <w:t>) greater than or equal to 25 mmHg at rest and pulmonary artery wedge pressure (PAWP) less than or equal to 15 mmHg; or</w:t>
            </w:r>
            <w:r w:rsidRPr="005F0061">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5F0061">
              <w:rPr>
                <w:rFonts w:ascii="Arial" w:hAnsi="Arial" w:cs="Arial"/>
                <w:sz w:val="16"/>
                <w:szCs w:val="16"/>
              </w:rPr>
              <w:br/>
              <w:t>Applications for authorisation must be in writing and must include:</w:t>
            </w:r>
            <w:r w:rsidRPr="005F0061">
              <w:rPr>
                <w:rFonts w:ascii="Arial" w:hAnsi="Arial" w:cs="Arial"/>
                <w:sz w:val="16"/>
                <w:szCs w:val="16"/>
              </w:rPr>
              <w:br/>
              <w:t>(1) a completed authority prescription form; and</w:t>
            </w:r>
            <w:r w:rsidRPr="005F0061">
              <w:rPr>
                <w:rFonts w:ascii="Arial" w:hAnsi="Arial" w:cs="Arial"/>
                <w:sz w:val="16"/>
                <w:szCs w:val="16"/>
              </w:rPr>
              <w:br/>
              <w:t>(2) a completed Pulmonary Arterial Hypertension PBS Authority Application - Supporting Information form which includes results from the three tests below, where available:</w:t>
            </w:r>
            <w:r w:rsidRPr="005F0061">
              <w:rPr>
                <w:rFonts w:ascii="Arial" w:hAnsi="Arial" w:cs="Arial"/>
                <w:sz w:val="16"/>
                <w:szCs w:val="16"/>
              </w:rPr>
              <w:br/>
              <w:t>(</w:t>
            </w:r>
            <w:proofErr w:type="spellStart"/>
            <w:r w:rsidRPr="005F0061">
              <w:rPr>
                <w:rFonts w:ascii="Arial" w:hAnsi="Arial" w:cs="Arial"/>
                <w:sz w:val="16"/>
                <w:szCs w:val="16"/>
              </w:rPr>
              <w:t>i</w:t>
            </w:r>
            <w:proofErr w:type="spellEnd"/>
            <w:r w:rsidRPr="005F0061">
              <w:rPr>
                <w:rFonts w:ascii="Arial" w:hAnsi="Arial" w:cs="Arial"/>
                <w:sz w:val="16"/>
                <w:szCs w:val="16"/>
              </w:rPr>
              <w:t>) RHC composite assessment; and</w:t>
            </w:r>
            <w:r w:rsidRPr="005F0061">
              <w:rPr>
                <w:rFonts w:ascii="Arial" w:hAnsi="Arial" w:cs="Arial"/>
                <w:sz w:val="16"/>
                <w:szCs w:val="16"/>
              </w:rPr>
              <w:br/>
              <w:t>(ii) ECHO composite assessment; and</w:t>
            </w:r>
            <w:r w:rsidRPr="005F0061">
              <w:rPr>
                <w:rFonts w:ascii="Arial" w:hAnsi="Arial" w:cs="Arial"/>
                <w:sz w:val="16"/>
                <w:szCs w:val="16"/>
              </w:rPr>
              <w:br/>
              <w:t>(iii) 6 Minute Walk Test (6MWT).</w:t>
            </w:r>
            <w:r w:rsidRPr="005F0061">
              <w:rPr>
                <w:rFonts w:ascii="Arial" w:hAnsi="Arial" w:cs="Arial"/>
                <w:sz w:val="16"/>
                <w:szCs w:val="16"/>
              </w:rPr>
              <w:br/>
              <w:t>Where it was not possible to perform all 3 tests on clinical grounds, the following list outlines the preferred test combination, in descending order, for the purposes of initiation of PBS-subsidised treatment:</w:t>
            </w:r>
            <w:r w:rsidRPr="005F0061">
              <w:rPr>
                <w:rFonts w:ascii="Arial" w:hAnsi="Arial" w:cs="Arial"/>
                <w:sz w:val="16"/>
                <w:szCs w:val="16"/>
              </w:rPr>
              <w:br/>
              <w:t>(1) RHC plus ECHO composite assessments;</w:t>
            </w:r>
            <w:r w:rsidRPr="005F0061">
              <w:rPr>
                <w:rFonts w:ascii="Arial" w:hAnsi="Arial" w:cs="Arial"/>
                <w:sz w:val="16"/>
                <w:szCs w:val="16"/>
              </w:rPr>
              <w:br/>
              <w:t>(2) RHC composite assessment plus 6MWT;</w:t>
            </w:r>
            <w:r w:rsidRPr="005F0061">
              <w:rPr>
                <w:rFonts w:ascii="Arial" w:hAnsi="Arial" w:cs="Arial"/>
                <w:sz w:val="16"/>
                <w:szCs w:val="16"/>
              </w:rPr>
              <w:br/>
              <w:t>(3) RHC composite assessment only.</w:t>
            </w:r>
            <w:r w:rsidRPr="005F0061">
              <w:rPr>
                <w:rFonts w:ascii="Arial" w:hAnsi="Arial" w:cs="Arial"/>
                <w:sz w:val="16"/>
                <w:szCs w:val="16"/>
              </w:rPr>
              <w:br/>
              <w:t>In circumstances where a RHC could not be performed on clinical grounds, applications may be submitted for consideration based on the results of the following test combinations, which are listed in descending order of preference</w:t>
            </w:r>
            <w:proofErr w:type="gramStart"/>
            <w:r w:rsidRPr="005F0061">
              <w:rPr>
                <w:rFonts w:ascii="Arial" w:hAnsi="Arial" w:cs="Arial"/>
                <w:sz w:val="16"/>
                <w:szCs w:val="16"/>
              </w:rPr>
              <w:t>:</w:t>
            </w:r>
            <w:proofErr w:type="gramEnd"/>
            <w:r w:rsidRPr="005F0061">
              <w:rPr>
                <w:rFonts w:ascii="Arial" w:hAnsi="Arial" w:cs="Arial"/>
                <w:sz w:val="16"/>
                <w:szCs w:val="16"/>
              </w:rPr>
              <w:br/>
              <w:t>(1) ECHO composite assessment plus 6MWT;</w:t>
            </w:r>
            <w:r w:rsidRPr="005F0061">
              <w:rPr>
                <w:rFonts w:ascii="Arial" w:hAnsi="Arial" w:cs="Arial"/>
                <w:sz w:val="16"/>
                <w:szCs w:val="16"/>
              </w:rPr>
              <w:br/>
              <w:t>(2) ECHO composite assessment only.</w:t>
            </w:r>
            <w:r w:rsidRPr="005F0061">
              <w:rPr>
                <w:rFonts w:ascii="Arial" w:hAnsi="Arial" w:cs="Arial"/>
                <w:sz w:val="16"/>
                <w:szCs w:val="16"/>
              </w:rPr>
              <w:br/>
              <w:t>Where fewer than 3 tests were able to be performed on clinical grounds, a patient specific reason outlining why the particular test(s) could not be conducted must be provided with the authority application.</w:t>
            </w:r>
            <w:r w:rsidRPr="005F0061">
              <w:rPr>
                <w:rFonts w:ascii="Arial" w:hAnsi="Arial" w:cs="Arial"/>
                <w:sz w:val="16"/>
                <w:szCs w:val="16"/>
              </w:rPr>
              <w:br/>
              <w:t xml:space="preserve">Where a RHC could not be performed on clinical grounds, confirmation of the reason(s) must be provided with the authority application by a second PAH physician or cardiologist with expertise in the management </w:t>
            </w:r>
            <w:r w:rsidRPr="005F0061">
              <w:rPr>
                <w:rFonts w:ascii="Arial" w:hAnsi="Arial" w:cs="Arial"/>
                <w:sz w:val="16"/>
                <w:szCs w:val="16"/>
              </w:rPr>
              <w:lastRenderedPageBreak/>
              <w:t>of PAH.</w:t>
            </w:r>
            <w:r w:rsidRPr="005F0061">
              <w:rPr>
                <w:rFonts w:ascii="Arial" w:hAnsi="Arial" w:cs="Arial"/>
                <w:sz w:val="16"/>
                <w:szCs w:val="16"/>
              </w:rPr>
              <w:br/>
              <w:t>A patient may qualify for PBS-subsidised treatment under this restriction once only. For continuing PBS-subsidised treatment, a Grandfathered patient must qualify under the Continuing treatment criteria for dual therapy for this condition.</w:t>
            </w:r>
            <w:r w:rsidRPr="005F0061">
              <w:rPr>
                <w:rFonts w:ascii="Arial" w:hAnsi="Arial" w:cs="Arial"/>
                <w:sz w:val="16"/>
                <w:szCs w:val="16"/>
              </w:rPr>
              <w:br/>
              <w:t>The maximum quantity authorised will be limited to provide sufficient supply for 1 month of treatment, based on the dosage recommendations in the TGA-approved Product Information.</w:t>
            </w:r>
            <w:r w:rsidRPr="005F0061">
              <w:rPr>
                <w:rFonts w:ascii="Arial" w:hAnsi="Arial" w:cs="Arial"/>
                <w:sz w:val="16"/>
                <w:szCs w:val="16"/>
              </w:rPr>
              <w:br/>
              <w:t>A maximum of 5 repeats may be requested.</w:t>
            </w:r>
          </w:p>
        </w:tc>
        <w:tc>
          <w:tcPr>
            <w:tcW w:w="2650" w:type="dxa"/>
            <w:shd w:val="clear" w:color="auto" w:fill="auto"/>
            <w:tcMar>
              <w:top w:w="28" w:type="dxa"/>
              <w:left w:w="28" w:type="dxa"/>
              <w:right w:w="57" w:type="dxa"/>
            </w:tcMar>
          </w:tcPr>
          <w:p w14:paraId="2FC9865E" w14:textId="09E87867" w:rsidR="00BA628B" w:rsidRPr="005F0061" w:rsidRDefault="00BA628B" w:rsidP="00BA628B">
            <w:pPr>
              <w:pStyle w:val="Tabletext0"/>
              <w:rPr>
                <w:rFonts w:cs="Arial"/>
                <w:szCs w:val="16"/>
              </w:rPr>
            </w:pPr>
            <w:r w:rsidRPr="005F0061">
              <w:rPr>
                <w:rFonts w:cs="Arial"/>
                <w:szCs w:val="16"/>
              </w:rPr>
              <w:lastRenderedPageBreak/>
              <w:t>Compliance with Written Authority Required procedures</w:t>
            </w:r>
          </w:p>
        </w:tc>
      </w:tr>
      <w:tr w:rsidR="00BA628B" w:rsidRPr="005F0061" w14:paraId="5F209941" w14:textId="77777777" w:rsidTr="005E778F">
        <w:tc>
          <w:tcPr>
            <w:tcW w:w="1900" w:type="dxa"/>
            <w:shd w:val="clear" w:color="auto" w:fill="auto"/>
            <w:tcMar>
              <w:top w:w="28" w:type="dxa"/>
              <w:left w:w="28" w:type="dxa"/>
            </w:tcMar>
          </w:tcPr>
          <w:p w14:paraId="177BF42E" w14:textId="77777777" w:rsidR="00BA628B" w:rsidRPr="005F0061" w:rsidRDefault="00BA628B" w:rsidP="00BA628B">
            <w:pPr>
              <w:pStyle w:val="Tabletext0"/>
              <w:tabs>
                <w:tab w:val="left" w:pos="958"/>
              </w:tabs>
              <w:rPr>
                <w:rFonts w:cs="Arial"/>
                <w:szCs w:val="16"/>
              </w:rPr>
            </w:pPr>
          </w:p>
        </w:tc>
        <w:tc>
          <w:tcPr>
            <w:tcW w:w="850" w:type="dxa"/>
            <w:shd w:val="clear" w:color="auto" w:fill="auto"/>
            <w:tcMar>
              <w:top w:w="28" w:type="dxa"/>
              <w:left w:w="28" w:type="dxa"/>
            </w:tcMar>
          </w:tcPr>
          <w:p w14:paraId="09533C44" w14:textId="365FBC18" w:rsidR="00BA628B" w:rsidRPr="005F0061" w:rsidRDefault="00BA628B" w:rsidP="00BA628B">
            <w:pPr>
              <w:pStyle w:val="Tabletext0"/>
              <w:rPr>
                <w:rFonts w:cs="Arial"/>
                <w:szCs w:val="16"/>
              </w:rPr>
            </w:pPr>
            <w:r w:rsidRPr="005F0061">
              <w:rPr>
                <w:rFonts w:cs="Arial"/>
                <w:szCs w:val="16"/>
              </w:rPr>
              <w:t>C11022</w:t>
            </w:r>
          </w:p>
        </w:tc>
        <w:tc>
          <w:tcPr>
            <w:tcW w:w="850" w:type="dxa"/>
            <w:shd w:val="clear" w:color="auto" w:fill="auto"/>
            <w:tcMar>
              <w:top w:w="28" w:type="dxa"/>
              <w:left w:w="28" w:type="dxa"/>
            </w:tcMar>
          </w:tcPr>
          <w:p w14:paraId="593BAEFB" w14:textId="77777777" w:rsidR="00BA628B" w:rsidRPr="005F0061" w:rsidDel="00E03489" w:rsidRDefault="00BA628B" w:rsidP="00BA628B">
            <w:pPr>
              <w:spacing w:before="60" w:after="60"/>
              <w:rPr>
                <w:rFonts w:ascii="Arial" w:hAnsi="Arial" w:cs="Arial"/>
                <w:sz w:val="16"/>
                <w:szCs w:val="16"/>
                <w:lang w:eastAsia="en-AU"/>
              </w:rPr>
            </w:pPr>
          </w:p>
        </w:tc>
        <w:tc>
          <w:tcPr>
            <w:tcW w:w="7661" w:type="dxa"/>
            <w:shd w:val="clear" w:color="auto" w:fill="auto"/>
            <w:tcMar>
              <w:top w:w="28" w:type="dxa"/>
              <w:left w:w="28" w:type="dxa"/>
            </w:tcMar>
          </w:tcPr>
          <w:p w14:paraId="61B4A873" w14:textId="11BFB2CC" w:rsidR="00BA628B" w:rsidRPr="005F0061" w:rsidRDefault="00BA628B" w:rsidP="00BA628B">
            <w:pPr>
              <w:spacing w:before="60" w:after="60"/>
              <w:rPr>
                <w:rFonts w:ascii="Arial" w:hAnsi="Arial" w:cs="Arial"/>
                <w:sz w:val="16"/>
                <w:szCs w:val="16"/>
              </w:rPr>
            </w:pPr>
            <w:r w:rsidRPr="005F0061">
              <w:rPr>
                <w:rFonts w:ascii="Arial" w:hAnsi="Arial" w:cs="Arial"/>
                <w:sz w:val="16"/>
                <w:szCs w:val="16"/>
              </w:rPr>
              <w:t>Pulmonary arterial hypertension (PAH</w:t>
            </w:r>
            <w:proofErr w:type="gramStart"/>
            <w:r w:rsidRPr="005F0061">
              <w:rPr>
                <w:rFonts w:ascii="Arial" w:hAnsi="Arial" w:cs="Arial"/>
                <w:sz w:val="16"/>
                <w:szCs w:val="16"/>
              </w:rPr>
              <w:t>)</w:t>
            </w:r>
            <w:proofErr w:type="gramEnd"/>
            <w:r w:rsidRPr="005F0061">
              <w:rPr>
                <w:rFonts w:ascii="Arial" w:hAnsi="Arial" w:cs="Arial"/>
                <w:sz w:val="16"/>
                <w:szCs w:val="16"/>
              </w:rPr>
              <w:br/>
              <w:t>Initial 3 (dual therapy - change)</w:t>
            </w:r>
            <w:r w:rsidRPr="005F0061">
              <w:rPr>
                <w:rFonts w:ascii="Arial" w:hAnsi="Arial" w:cs="Arial"/>
                <w:sz w:val="16"/>
                <w:szCs w:val="16"/>
              </w:rPr>
              <w:br/>
              <w:t>Patient must have had their most recent course of PBS-subsidised dual therapy with a phosphodiesterase-5 inhibitor (PDE-5i) and an endothelin receptor antagonist (ERA) other than this agent for this condition.</w:t>
            </w:r>
            <w:r w:rsidRPr="005F0061">
              <w:rPr>
                <w:rFonts w:ascii="Arial" w:hAnsi="Arial" w:cs="Arial"/>
                <w:sz w:val="16"/>
                <w:szCs w:val="16"/>
              </w:rPr>
              <w:br/>
              <w:t xml:space="preserve">The term 'PAH agents' refers to </w:t>
            </w:r>
            <w:proofErr w:type="spellStart"/>
            <w:r w:rsidRPr="005F0061">
              <w:rPr>
                <w:rFonts w:ascii="Arial" w:hAnsi="Arial" w:cs="Arial"/>
                <w:sz w:val="16"/>
                <w:szCs w:val="16"/>
              </w:rPr>
              <w:t>bosentan</w:t>
            </w:r>
            <w:proofErr w:type="spellEnd"/>
            <w:r w:rsidRPr="005F0061">
              <w:rPr>
                <w:rFonts w:ascii="Arial" w:hAnsi="Arial" w:cs="Arial"/>
                <w:sz w:val="16"/>
                <w:szCs w:val="16"/>
              </w:rPr>
              <w:t xml:space="preserve"> monohydrate, </w:t>
            </w:r>
            <w:proofErr w:type="spellStart"/>
            <w:r w:rsidRPr="005F0061">
              <w:rPr>
                <w:rFonts w:ascii="Arial" w:hAnsi="Arial" w:cs="Arial"/>
                <w:sz w:val="16"/>
                <w:szCs w:val="16"/>
              </w:rPr>
              <w:t>iloprost</w:t>
            </w:r>
            <w:proofErr w:type="spellEnd"/>
            <w:r w:rsidRPr="005F0061">
              <w:rPr>
                <w:rFonts w:ascii="Arial" w:hAnsi="Arial" w:cs="Arial"/>
                <w:sz w:val="16"/>
                <w:szCs w:val="16"/>
              </w:rPr>
              <w:t xml:space="preserve"> trometamol, </w:t>
            </w:r>
            <w:proofErr w:type="spellStart"/>
            <w:r w:rsidRPr="005F0061">
              <w:rPr>
                <w:rFonts w:ascii="Arial" w:hAnsi="Arial" w:cs="Arial"/>
                <w:sz w:val="16"/>
                <w:szCs w:val="16"/>
              </w:rPr>
              <w:t>epoprostenol</w:t>
            </w:r>
            <w:proofErr w:type="spellEnd"/>
            <w:r w:rsidRPr="005F0061">
              <w:rPr>
                <w:rFonts w:ascii="Arial" w:hAnsi="Arial" w:cs="Arial"/>
                <w:sz w:val="16"/>
                <w:szCs w:val="16"/>
              </w:rPr>
              <w:t xml:space="preserve"> sodium, sildenafil citrate, </w:t>
            </w:r>
            <w:proofErr w:type="spellStart"/>
            <w:r w:rsidRPr="005F0061">
              <w:rPr>
                <w:rFonts w:ascii="Arial" w:hAnsi="Arial" w:cs="Arial"/>
                <w:sz w:val="16"/>
                <w:szCs w:val="16"/>
              </w:rPr>
              <w:t>ambrisentan</w:t>
            </w:r>
            <w:proofErr w:type="spellEnd"/>
            <w:r w:rsidRPr="005F0061">
              <w:rPr>
                <w:rFonts w:ascii="Arial" w:hAnsi="Arial" w:cs="Arial"/>
                <w:sz w:val="16"/>
                <w:szCs w:val="16"/>
              </w:rPr>
              <w:t xml:space="preserve">, </w:t>
            </w:r>
            <w:proofErr w:type="spellStart"/>
            <w:r w:rsidRPr="005F0061">
              <w:rPr>
                <w:rFonts w:ascii="Arial" w:hAnsi="Arial" w:cs="Arial"/>
                <w:sz w:val="16"/>
                <w:szCs w:val="16"/>
              </w:rPr>
              <w:t>tadalafil</w:t>
            </w:r>
            <w:proofErr w:type="spellEnd"/>
            <w:r w:rsidRPr="005F0061">
              <w:rPr>
                <w:rFonts w:ascii="Arial" w:hAnsi="Arial" w:cs="Arial"/>
                <w:sz w:val="16"/>
                <w:szCs w:val="16"/>
              </w:rPr>
              <w:t xml:space="preserve">, </w:t>
            </w:r>
            <w:proofErr w:type="spellStart"/>
            <w:r w:rsidRPr="005F0061">
              <w:rPr>
                <w:rFonts w:ascii="Arial" w:hAnsi="Arial" w:cs="Arial"/>
                <w:sz w:val="16"/>
                <w:szCs w:val="16"/>
              </w:rPr>
              <w:t>macitentan</w:t>
            </w:r>
            <w:proofErr w:type="spellEnd"/>
            <w:r w:rsidRPr="005F0061">
              <w:rPr>
                <w:rFonts w:ascii="Arial" w:hAnsi="Arial" w:cs="Arial"/>
                <w:sz w:val="16"/>
                <w:szCs w:val="16"/>
              </w:rPr>
              <w:t xml:space="preserve">, and </w:t>
            </w:r>
            <w:proofErr w:type="spellStart"/>
            <w:r w:rsidRPr="005F0061">
              <w:rPr>
                <w:rFonts w:ascii="Arial" w:hAnsi="Arial" w:cs="Arial"/>
                <w:sz w:val="16"/>
                <w:szCs w:val="16"/>
              </w:rPr>
              <w:t>riociguat</w:t>
            </w:r>
            <w:proofErr w:type="spellEnd"/>
            <w:r w:rsidRPr="005F0061">
              <w:rPr>
                <w:rFonts w:ascii="Arial" w:hAnsi="Arial" w:cs="Arial"/>
                <w:sz w:val="16"/>
                <w:szCs w:val="16"/>
              </w:rPr>
              <w:t>.</w:t>
            </w:r>
            <w:r w:rsidRPr="005F0061">
              <w:rPr>
                <w:rFonts w:ascii="Arial" w:hAnsi="Arial" w:cs="Arial"/>
                <w:sz w:val="16"/>
                <w:szCs w:val="16"/>
              </w:rPr>
              <w:br/>
              <w:t>For the purposes of PBS subsidy, dual therapy refers to combined use of an endothelin receptor antagonist (ERA) and a phosphodiesterase-5 inhibitor (PDE-5i).</w:t>
            </w:r>
            <w:r w:rsidRPr="005F0061">
              <w:rPr>
                <w:rFonts w:ascii="Arial" w:hAnsi="Arial" w:cs="Arial"/>
                <w:sz w:val="16"/>
                <w:szCs w:val="16"/>
              </w:rPr>
              <w:br/>
              <w:t>(</w:t>
            </w:r>
            <w:proofErr w:type="spellStart"/>
            <w:r w:rsidRPr="005F0061">
              <w:rPr>
                <w:rFonts w:ascii="Arial" w:hAnsi="Arial" w:cs="Arial"/>
                <w:sz w:val="16"/>
                <w:szCs w:val="16"/>
              </w:rPr>
              <w:t>i</w:t>
            </w:r>
            <w:proofErr w:type="spellEnd"/>
            <w:r w:rsidRPr="005F0061">
              <w:rPr>
                <w:rFonts w:ascii="Arial" w:hAnsi="Arial" w:cs="Arial"/>
                <w:sz w:val="16"/>
                <w:szCs w:val="16"/>
              </w:rPr>
              <w:t xml:space="preserve">) An ERA includes </w:t>
            </w:r>
            <w:proofErr w:type="spellStart"/>
            <w:r w:rsidRPr="005F0061">
              <w:rPr>
                <w:rFonts w:ascii="Arial" w:hAnsi="Arial" w:cs="Arial"/>
                <w:sz w:val="16"/>
                <w:szCs w:val="16"/>
              </w:rPr>
              <w:t>ambrisentan</w:t>
            </w:r>
            <w:proofErr w:type="spellEnd"/>
            <w:r w:rsidRPr="005F0061">
              <w:rPr>
                <w:rFonts w:ascii="Arial" w:hAnsi="Arial" w:cs="Arial"/>
                <w:sz w:val="16"/>
                <w:szCs w:val="16"/>
              </w:rPr>
              <w:t xml:space="preserve">, </w:t>
            </w:r>
            <w:proofErr w:type="spellStart"/>
            <w:r w:rsidRPr="005F0061">
              <w:rPr>
                <w:rFonts w:ascii="Arial" w:hAnsi="Arial" w:cs="Arial"/>
                <w:sz w:val="16"/>
                <w:szCs w:val="16"/>
              </w:rPr>
              <w:t>bosentan</w:t>
            </w:r>
            <w:proofErr w:type="spellEnd"/>
            <w:r w:rsidRPr="005F0061">
              <w:rPr>
                <w:rFonts w:ascii="Arial" w:hAnsi="Arial" w:cs="Arial"/>
                <w:sz w:val="16"/>
                <w:szCs w:val="16"/>
              </w:rPr>
              <w:t xml:space="preserve"> monohydrate, or </w:t>
            </w:r>
            <w:proofErr w:type="spellStart"/>
            <w:r w:rsidRPr="005F0061">
              <w:rPr>
                <w:rFonts w:ascii="Arial" w:hAnsi="Arial" w:cs="Arial"/>
                <w:sz w:val="16"/>
                <w:szCs w:val="16"/>
              </w:rPr>
              <w:t>macitentan</w:t>
            </w:r>
            <w:proofErr w:type="spellEnd"/>
            <w:r w:rsidRPr="005F0061">
              <w:rPr>
                <w:rFonts w:ascii="Arial" w:hAnsi="Arial" w:cs="Arial"/>
                <w:sz w:val="16"/>
                <w:szCs w:val="16"/>
              </w:rPr>
              <w:t>.</w:t>
            </w:r>
            <w:r w:rsidRPr="005F0061">
              <w:rPr>
                <w:rFonts w:ascii="Arial" w:hAnsi="Arial" w:cs="Arial"/>
                <w:sz w:val="16"/>
                <w:szCs w:val="16"/>
              </w:rPr>
              <w:br/>
              <w:t xml:space="preserve">(ii) A PDE-5i includes sildenafil citrate, or </w:t>
            </w:r>
            <w:proofErr w:type="spellStart"/>
            <w:r w:rsidRPr="005F0061">
              <w:rPr>
                <w:rFonts w:ascii="Arial" w:hAnsi="Arial" w:cs="Arial"/>
                <w:sz w:val="16"/>
                <w:szCs w:val="16"/>
              </w:rPr>
              <w:t>tadalafil</w:t>
            </w:r>
            <w:proofErr w:type="spellEnd"/>
            <w:r w:rsidRPr="005F0061">
              <w:rPr>
                <w:rFonts w:ascii="Arial" w:hAnsi="Arial" w:cs="Arial"/>
                <w:sz w:val="16"/>
                <w:szCs w:val="16"/>
              </w:rPr>
              <w:t>.</w:t>
            </w:r>
            <w:r w:rsidRPr="005F0061">
              <w:rPr>
                <w:rFonts w:ascii="Arial"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5F0061">
              <w:rPr>
                <w:rFonts w:ascii="Arial" w:hAnsi="Arial" w:cs="Arial"/>
                <w:sz w:val="16"/>
                <w:szCs w:val="16"/>
              </w:rPr>
              <w:br/>
              <w:t>Swapping between PAH agents: Patients can access PAH agents through the PBS according to the relevant restrictions.</w:t>
            </w:r>
            <w:r w:rsidRPr="005F0061">
              <w:rPr>
                <w:rFonts w:ascii="Arial" w:hAnsi="Arial" w:cs="Arial"/>
                <w:sz w:val="16"/>
                <w:szCs w:val="16"/>
              </w:rPr>
              <w:br/>
              <w:t>Once patients are approved dual therapy with a PAH agent from the PDE-5i class; or a PAH agent from the ERA class, they may swap between PAH agents within the same class. This means that patients may commence treatment with another PAH agent in the same class, subject to that agent's restriction, irrespective of the severity of their disease at the time the application to swap therapy is submitted.</w:t>
            </w:r>
            <w:r w:rsidRPr="005F0061">
              <w:rPr>
                <w:rFonts w:ascii="Arial" w:hAnsi="Arial" w:cs="Arial"/>
                <w:sz w:val="16"/>
                <w:szCs w:val="16"/>
              </w:rPr>
              <w:br/>
              <w:t>Applications to swap within a PAH agent class must be made under the relevant initial treatment restriction.</w:t>
            </w:r>
            <w:r w:rsidRPr="005F0061">
              <w:rPr>
                <w:rFonts w:ascii="Arial" w:hAnsi="Arial" w:cs="Arial"/>
                <w:sz w:val="16"/>
                <w:szCs w:val="16"/>
              </w:rPr>
              <w:br/>
              <w:t>If patients will be taking 62.5mg for the first month then 125 mg, prescribers should request the first authority prescription of therapy with the 62.5 mg tablet strength, with the quantity for one month of treatment, based on the dosage recommendations in the TGA-approved Product Information and no repeats.</w:t>
            </w:r>
            <w:r w:rsidRPr="005F0061">
              <w:rPr>
                <w:rFonts w:ascii="Arial" w:hAnsi="Arial" w:cs="Arial"/>
                <w:sz w:val="16"/>
                <w:szCs w:val="16"/>
              </w:rPr>
              <w:br/>
              <w:t>Prescribers should request the second authority prescription of therapy with the 125 mg tablet strengths, with a quantity for one month of treatment, based on the dosage recommendations in the TGA-approved Product Information, and a maximum of 4 repeats.</w:t>
            </w:r>
            <w:r w:rsidRPr="005F0061">
              <w:rPr>
                <w:rFonts w:ascii="Arial" w:hAnsi="Arial" w:cs="Arial"/>
                <w:sz w:val="16"/>
                <w:szCs w:val="16"/>
              </w:rPr>
              <w:br/>
              <w:t>If patients will be taking 62.5mg for longer than 1 month, prescribers should request the first authority prescription of therapy with the 62.5 mg tablet strength, with the quantity for one month of treatment and a maximum of 5 repeats based on the dosage recommendations in the TGA-approved Product Information.</w:t>
            </w:r>
          </w:p>
        </w:tc>
        <w:tc>
          <w:tcPr>
            <w:tcW w:w="2650" w:type="dxa"/>
            <w:shd w:val="clear" w:color="auto" w:fill="auto"/>
            <w:tcMar>
              <w:top w:w="28" w:type="dxa"/>
              <w:left w:w="28" w:type="dxa"/>
              <w:right w:w="57" w:type="dxa"/>
            </w:tcMar>
          </w:tcPr>
          <w:p w14:paraId="6AAF38BD" w14:textId="023AF9EE" w:rsidR="00BA628B" w:rsidRPr="005F0061" w:rsidRDefault="00BA628B" w:rsidP="00BA628B">
            <w:pPr>
              <w:pStyle w:val="Tabletext0"/>
              <w:rPr>
                <w:rFonts w:cs="Arial"/>
                <w:szCs w:val="16"/>
              </w:rPr>
            </w:pPr>
            <w:r w:rsidRPr="005F0061">
              <w:rPr>
                <w:rFonts w:cs="Arial"/>
                <w:szCs w:val="16"/>
              </w:rPr>
              <w:t>Compliance with Authority Required procedures</w:t>
            </w:r>
          </w:p>
        </w:tc>
      </w:tr>
      <w:tr w:rsidR="00BA628B" w:rsidRPr="005F0061" w14:paraId="0D23A378" w14:textId="77777777" w:rsidTr="005E778F">
        <w:tc>
          <w:tcPr>
            <w:tcW w:w="1900" w:type="dxa"/>
            <w:shd w:val="clear" w:color="auto" w:fill="auto"/>
            <w:tcMar>
              <w:top w:w="28" w:type="dxa"/>
              <w:left w:w="28" w:type="dxa"/>
            </w:tcMar>
          </w:tcPr>
          <w:p w14:paraId="249B1FC6" w14:textId="77777777" w:rsidR="00BA628B" w:rsidRPr="005F0061" w:rsidRDefault="00BA628B" w:rsidP="00BA628B">
            <w:pPr>
              <w:pStyle w:val="Tabletext0"/>
              <w:tabs>
                <w:tab w:val="left" w:pos="958"/>
              </w:tabs>
              <w:rPr>
                <w:rFonts w:cs="Arial"/>
                <w:szCs w:val="16"/>
              </w:rPr>
            </w:pPr>
          </w:p>
        </w:tc>
        <w:tc>
          <w:tcPr>
            <w:tcW w:w="850" w:type="dxa"/>
            <w:shd w:val="clear" w:color="auto" w:fill="auto"/>
            <w:tcMar>
              <w:top w:w="28" w:type="dxa"/>
              <w:left w:w="28" w:type="dxa"/>
            </w:tcMar>
          </w:tcPr>
          <w:p w14:paraId="6E1EC279" w14:textId="2B92CD52" w:rsidR="00BA628B" w:rsidRPr="005F0061" w:rsidRDefault="00BA628B" w:rsidP="00BA628B">
            <w:pPr>
              <w:pStyle w:val="Tabletext0"/>
              <w:rPr>
                <w:rFonts w:cs="Arial"/>
                <w:szCs w:val="16"/>
              </w:rPr>
            </w:pPr>
            <w:r w:rsidRPr="005F0061">
              <w:rPr>
                <w:rFonts w:cs="Arial"/>
                <w:szCs w:val="16"/>
              </w:rPr>
              <w:t>C11023</w:t>
            </w:r>
          </w:p>
        </w:tc>
        <w:tc>
          <w:tcPr>
            <w:tcW w:w="850" w:type="dxa"/>
            <w:shd w:val="clear" w:color="auto" w:fill="auto"/>
            <w:tcMar>
              <w:top w:w="28" w:type="dxa"/>
              <w:left w:w="28" w:type="dxa"/>
            </w:tcMar>
          </w:tcPr>
          <w:p w14:paraId="2D178A1A" w14:textId="77777777" w:rsidR="00BA628B" w:rsidRPr="005F0061" w:rsidDel="00E03489" w:rsidRDefault="00BA628B" w:rsidP="00BA628B">
            <w:pPr>
              <w:spacing w:before="60" w:after="60"/>
              <w:rPr>
                <w:rFonts w:ascii="Arial" w:hAnsi="Arial" w:cs="Arial"/>
                <w:sz w:val="16"/>
                <w:szCs w:val="16"/>
                <w:lang w:eastAsia="en-AU"/>
              </w:rPr>
            </w:pPr>
          </w:p>
        </w:tc>
        <w:tc>
          <w:tcPr>
            <w:tcW w:w="7661" w:type="dxa"/>
            <w:shd w:val="clear" w:color="auto" w:fill="auto"/>
            <w:tcMar>
              <w:top w:w="28" w:type="dxa"/>
              <w:left w:w="28" w:type="dxa"/>
            </w:tcMar>
          </w:tcPr>
          <w:p w14:paraId="7B19E1E1" w14:textId="39DB7C90" w:rsidR="00BA628B" w:rsidRPr="005F0061" w:rsidRDefault="00BA628B" w:rsidP="00BA628B">
            <w:pPr>
              <w:spacing w:before="60" w:after="60"/>
              <w:rPr>
                <w:rFonts w:ascii="Arial" w:hAnsi="Arial" w:cs="Arial"/>
                <w:sz w:val="16"/>
                <w:szCs w:val="16"/>
              </w:rPr>
            </w:pPr>
            <w:r w:rsidRPr="005F0061">
              <w:rPr>
                <w:rFonts w:ascii="Arial" w:hAnsi="Arial" w:cs="Arial"/>
                <w:sz w:val="16"/>
                <w:szCs w:val="16"/>
              </w:rPr>
              <w:t>Pulmonary arterial hypertension (PAH</w:t>
            </w:r>
            <w:proofErr w:type="gramStart"/>
            <w:r w:rsidRPr="005F0061">
              <w:rPr>
                <w:rFonts w:ascii="Arial" w:hAnsi="Arial" w:cs="Arial"/>
                <w:sz w:val="16"/>
                <w:szCs w:val="16"/>
              </w:rPr>
              <w:t>)</w:t>
            </w:r>
            <w:proofErr w:type="gramEnd"/>
            <w:r w:rsidRPr="005F0061">
              <w:rPr>
                <w:rFonts w:ascii="Arial" w:hAnsi="Arial" w:cs="Arial"/>
                <w:sz w:val="16"/>
                <w:szCs w:val="16"/>
              </w:rPr>
              <w:br/>
              <w:t>Continuing treatment (dual therapy)</w:t>
            </w:r>
            <w:r w:rsidRPr="005F0061">
              <w:rPr>
                <w:rFonts w:ascii="Arial" w:hAnsi="Arial" w:cs="Arial"/>
                <w:sz w:val="16"/>
                <w:szCs w:val="16"/>
              </w:rPr>
              <w:br/>
              <w:t>Patient must have received their most recent course of PBS-subsidised dual therapy with this PAH agent and a phosphodiesterase-5 inhibitor (PDE-5i) for this condition.</w:t>
            </w:r>
            <w:r w:rsidRPr="005F0061">
              <w:rPr>
                <w:rFonts w:ascii="Arial" w:hAnsi="Arial" w:cs="Arial"/>
                <w:sz w:val="16"/>
                <w:szCs w:val="16"/>
              </w:rPr>
              <w:br/>
              <w:t xml:space="preserve">The term 'PAH agents' refers to </w:t>
            </w:r>
            <w:proofErr w:type="spellStart"/>
            <w:r w:rsidRPr="005F0061">
              <w:rPr>
                <w:rFonts w:ascii="Arial" w:hAnsi="Arial" w:cs="Arial"/>
                <w:sz w:val="16"/>
                <w:szCs w:val="16"/>
              </w:rPr>
              <w:t>bosentan</w:t>
            </w:r>
            <w:proofErr w:type="spellEnd"/>
            <w:r w:rsidRPr="005F0061">
              <w:rPr>
                <w:rFonts w:ascii="Arial" w:hAnsi="Arial" w:cs="Arial"/>
                <w:sz w:val="16"/>
                <w:szCs w:val="16"/>
              </w:rPr>
              <w:t xml:space="preserve"> monohydrate, </w:t>
            </w:r>
            <w:proofErr w:type="spellStart"/>
            <w:r w:rsidRPr="005F0061">
              <w:rPr>
                <w:rFonts w:ascii="Arial" w:hAnsi="Arial" w:cs="Arial"/>
                <w:sz w:val="16"/>
                <w:szCs w:val="16"/>
              </w:rPr>
              <w:t>iloprost</w:t>
            </w:r>
            <w:proofErr w:type="spellEnd"/>
            <w:r w:rsidRPr="005F0061">
              <w:rPr>
                <w:rFonts w:ascii="Arial" w:hAnsi="Arial" w:cs="Arial"/>
                <w:sz w:val="16"/>
                <w:szCs w:val="16"/>
              </w:rPr>
              <w:t xml:space="preserve"> trometamol, </w:t>
            </w:r>
            <w:proofErr w:type="spellStart"/>
            <w:r w:rsidRPr="005F0061">
              <w:rPr>
                <w:rFonts w:ascii="Arial" w:hAnsi="Arial" w:cs="Arial"/>
                <w:sz w:val="16"/>
                <w:szCs w:val="16"/>
              </w:rPr>
              <w:t>epoprostenol</w:t>
            </w:r>
            <w:proofErr w:type="spellEnd"/>
            <w:r w:rsidRPr="005F0061">
              <w:rPr>
                <w:rFonts w:ascii="Arial" w:hAnsi="Arial" w:cs="Arial"/>
                <w:sz w:val="16"/>
                <w:szCs w:val="16"/>
              </w:rPr>
              <w:t xml:space="preserve"> sodium, sildenafil citrate, </w:t>
            </w:r>
            <w:proofErr w:type="spellStart"/>
            <w:r w:rsidRPr="005F0061">
              <w:rPr>
                <w:rFonts w:ascii="Arial" w:hAnsi="Arial" w:cs="Arial"/>
                <w:sz w:val="16"/>
                <w:szCs w:val="16"/>
              </w:rPr>
              <w:t>ambrisentan</w:t>
            </w:r>
            <w:proofErr w:type="spellEnd"/>
            <w:r w:rsidRPr="005F0061">
              <w:rPr>
                <w:rFonts w:ascii="Arial" w:hAnsi="Arial" w:cs="Arial"/>
                <w:sz w:val="16"/>
                <w:szCs w:val="16"/>
              </w:rPr>
              <w:t xml:space="preserve">, </w:t>
            </w:r>
            <w:proofErr w:type="spellStart"/>
            <w:r w:rsidRPr="005F0061">
              <w:rPr>
                <w:rFonts w:ascii="Arial" w:hAnsi="Arial" w:cs="Arial"/>
                <w:sz w:val="16"/>
                <w:szCs w:val="16"/>
              </w:rPr>
              <w:t>tadalafil</w:t>
            </w:r>
            <w:proofErr w:type="spellEnd"/>
            <w:r w:rsidRPr="005F0061">
              <w:rPr>
                <w:rFonts w:ascii="Arial" w:hAnsi="Arial" w:cs="Arial"/>
                <w:sz w:val="16"/>
                <w:szCs w:val="16"/>
              </w:rPr>
              <w:t xml:space="preserve">, </w:t>
            </w:r>
            <w:proofErr w:type="spellStart"/>
            <w:r w:rsidRPr="005F0061">
              <w:rPr>
                <w:rFonts w:ascii="Arial" w:hAnsi="Arial" w:cs="Arial"/>
                <w:sz w:val="16"/>
                <w:szCs w:val="16"/>
              </w:rPr>
              <w:t>macitentan</w:t>
            </w:r>
            <w:proofErr w:type="spellEnd"/>
            <w:r w:rsidRPr="005F0061">
              <w:rPr>
                <w:rFonts w:ascii="Arial" w:hAnsi="Arial" w:cs="Arial"/>
                <w:sz w:val="16"/>
                <w:szCs w:val="16"/>
              </w:rPr>
              <w:t xml:space="preserve">, and </w:t>
            </w:r>
            <w:proofErr w:type="spellStart"/>
            <w:r w:rsidRPr="005F0061">
              <w:rPr>
                <w:rFonts w:ascii="Arial" w:hAnsi="Arial" w:cs="Arial"/>
                <w:sz w:val="16"/>
                <w:szCs w:val="16"/>
              </w:rPr>
              <w:t>riociguat</w:t>
            </w:r>
            <w:proofErr w:type="spellEnd"/>
            <w:r w:rsidRPr="005F0061">
              <w:rPr>
                <w:rFonts w:ascii="Arial" w:hAnsi="Arial" w:cs="Arial"/>
                <w:sz w:val="16"/>
                <w:szCs w:val="16"/>
              </w:rPr>
              <w:t>.</w:t>
            </w:r>
            <w:r w:rsidRPr="005F0061">
              <w:rPr>
                <w:rFonts w:ascii="Arial" w:hAnsi="Arial" w:cs="Arial"/>
                <w:sz w:val="16"/>
                <w:szCs w:val="16"/>
              </w:rPr>
              <w:br/>
              <w:t>For the purposes of PBS subsidy, dual therapy refers to combined use of an endothelin receptor antagonist (ERA) and a phosphodiesterase-5 inhibitor (PDE-5i).</w:t>
            </w:r>
            <w:r w:rsidRPr="005F0061">
              <w:rPr>
                <w:rFonts w:ascii="Arial" w:hAnsi="Arial" w:cs="Arial"/>
                <w:sz w:val="16"/>
                <w:szCs w:val="16"/>
              </w:rPr>
              <w:br/>
              <w:t>(</w:t>
            </w:r>
            <w:proofErr w:type="spellStart"/>
            <w:r w:rsidRPr="005F0061">
              <w:rPr>
                <w:rFonts w:ascii="Arial" w:hAnsi="Arial" w:cs="Arial"/>
                <w:sz w:val="16"/>
                <w:szCs w:val="16"/>
              </w:rPr>
              <w:t>i</w:t>
            </w:r>
            <w:proofErr w:type="spellEnd"/>
            <w:r w:rsidRPr="005F0061">
              <w:rPr>
                <w:rFonts w:ascii="Arial" w:hAnsi="Arial" w:cs="Arial"/>
                <w:sz w:val="16"/>
                <w:szCs w:val="16"/>
              </w:rPr>
              <w:t xml:space="preserve">) An ERA includes </w:t>
            </w:r>
            <w:proofErr w:type="spellStart"/>
            <w:r w:rsidRPr="005F0061">
              <w:rPr>
                <w:rFonts w:ascii="Arial" w:hAnsi="Arial" w:cs="Arial"/>
                <w:sz w:val="16"/>
                <w:szCs w:val="16"/>
              </w:rPr>
              <w:t>ambrisentan</w:t>
            </w:r>
            <w:proofErr w:type="spellEnd"/>
            <w:r w:rsidRPr="005F0061">
              <w:rPr>
                <w:rFonts w:ascii="Arial" w:hAnsi="Arial" w:cs="Arial"/>
                <w:sz w:val="16"/>
                <w:szCs w:val="16"/>
              </w:rPr>
              <w:t xml:space="preserve">, </w:t>
            </w:r>
            <w:proofErr w:type="spellStart"/>
            <w:r w:rsidRPr="005F0061">
              <w:rPr>
                <w:rFonts w:ascii="Arial" w:hAnsi="Arial" w:cs="Arial"/>
                <w:sz w:val="16"/>
                <w:szCs w:val="16"/>
              </w:rPr>
              <w:t>bosentan</w:t>
            </w:r>
            <w:proofErr w:type="spellEnd"/>
            <w:r w:rsidRPr="005F0061">
              <w:rPr>
                <w:rFonts w:ascii="Arial" w:hAnsi="Arial" w:cs="Arial"/>
                <w:sz w:val="16"/>
                <w:szCs w:val="16"/>
              </w:rPr>
              <w:t xml:space="preserve"> monohydrate, or </w:t>
            </w:r>
            <w:proofErr w:type="spellStart"/>
            <w:r w:rsidRPr="005F0061">
              <w:rPr>
                <w:rFonts w:ascii="Arial" w:hAnsi="Arial" w:cs="Arial"/>
                <w:sz w:val="16"/>
                <w:szCs w:val="16"/>
              </w:rPr>
              <w:t>macitentan</w:t>
            </w:r>
            <w:proofErr w:type="spellEnd"/>
            <w:r w:rsidRPr="005F0061">
              <w:rPr>
                <w:rFonts w:ascii="Arial" w:hAnsi="Arial" w:cs="Arial"/>
                <w:sz w:val="16"/>
                <w:szCs w:val="16"/>
              </w:rPr>
              <w:t>.</w:t>
            </w:r>
            <w:r w:rsidRPr="005F0061">
              <w:rPr>
                <w:rFonts w:ascii="Arial" w:hAnsi="Arial" w:cs="Arial"/>
                <w:sz w:val="16"/>
                <w:szCs w:val="16"/>
              </w:rPr>
              <w:br/>
              <w:t xml:space="preserve">(ii) A PDE-5i includes sildenafil citrate, or </w:t>
            </w:r>
            <w:proofErr w:type="spellStart"/>
            <w:r w:rsidRPr="005F0061">
              <w:rPr>
                <w:rFonts w:ascii="Arial" w:hAnsi="Arial" w:cs="Arial"/>
                <w:sz w:val="16"/>
                <w:szCs w:val="16"/>
              </w:rPr>
              <w:t>tadalafil</w:t>
            </w:r>
            <w:proofErr w:type="spellEnd"/>
            <w:r w:rsidRPr="005F0061">
              <w:rPr>
                <w:rFonts w:ascii="Arial" w:hAnsi="Arial" w:cs="Arial"/>
                <w:sz w:val="16"/>
                <w:szCs w:val="16"/>
              </w:rPr>
              <w:t>.</w:t>
            </w:r>
            <w:r w:rsidRPr="005F0061">
              <w:rPr>
                <w:rFonts w:ascii="Arial" w:hAnsi="Arial" w:cs="Arial"/>
                <w:sz w:val="16"/>
                <w:szCs w:val="16"/>
              </w:rPr>
              <w:br/>
              <w:t xml:space="preserve">PAH agents are not PBS-subsidised for patients with pulmonary hypertension secondary to interstitial lung disease associated with connective tissue disease, where the total lung capacity is less than 70% of </w:t>
            </w:r>
            <w:r w:rsidRPr="005F0061">
              <w:rPr>
                <w:rFonts w:ascii="Arial" w:hAnsi="Arial" w:cs="Arial"/>
                <w:sz w:val="16"/>
                <w:szCs w:val="16"/>
              </w:rPr>
              <w:lastRenderedPageBreak/>
              <w:t>predicted.</w:t>
            </w:r>
            <w:r w:rsidRPr="005F0061">
              <w:rPr>
                <w:rFonts w:ascii="Arial" w:hAnsi="Arial" w:cs="Arial"/>
                <w:sz w:val="16"/>
                <w:szCs w:val="16"/>
              </w:rPr>
              <w:br/>
              <w:t>The maximum quantity authorised will be limited to provide sufficient supply for 1 month of treatment, based on the dosage recommendations in the TGA-approved Product Information.</w:t>
            </w:r>
            <w:r w:rsidRPr="005F0061">
              <w:rPr>
                <w:rFonts w:ascii="Arial" w:hAnsi="Arial" w:cs="Arial"/>
                <w:sz w:val="16"/>
                <w:szCs w:val="16"/>
              </w:rPr>
              <w:br/>
              <w:t>A maximum of 5 repeats may be requested.</w:t>
            </w:r>
          </w:p>
        </w:tc>
        <w:tc>
          <w:tcPr>
            <w:tcW w:w="2650" w:type="dxa"/>
            <w:shd w:val="clear" w:color="auto" w:fill="auto"/>
            <w:tcMar>
              <w:top w:w="28" w:type="dxa"/>
              <w:left w:w="28" w:type="dxa"/>
              <w:right w:w="57" w:type="dxa"/>
            </w:tcMar>
          </w:tcPr>
          <w:p w14:paraId="2AFB7E29" w14:textId="34466C84" w:rsidR="00BA628B" w:rsidRPr="005F0061" w:rsidRDefault="00BA628B" w:rsidP="00BA628B">
            <w:pPr>
              <w:pStyle w:val="Tabletext0"/>
              <w:rPr>
                <w:rFonts w:cs="Arial"/>
                <w:szCs w:val="16"/>
              </w:rPr>
            </w:pPr>
            <w:r w:rsidRPr="005F0061">
              <w:rPr>
                <w:rFonts w:cs="Arial"/>
                <w:szCs w:val="16"/>
              </w:rPr>
              <w:lastRenderedPageBreak/>
              <w:t>Compliance with Authority Required procedures</w:t>
            </w:r>
          </w:p>
        </w:tc>
      </w:tr>
      <w:tr w:rsidR="00E32CD8" w:rsidRPr="005F0061" w14:paraId="0E6E3995" w14:textId="77777777" w:rsidTr="005E778F">
        <w:tc>
          <w:tcPr>
            <w:tcW w:w="1900" w:type="dxa"/>
            <w:shd w:val="clear" w:color="auto" w:fill="auto"/>
            <w:tcMar>
              <w:top w:w="28" w:type="dxa"/>
              <w:left w:w="28" w:type="dxa"/>
            </w:tcMar>
          </w:tcPr>
          <w:p w14:paraId="5676C04A" w14:textId="77777777" w:rsidR="00E32CD8" w:rsidRPr="005F0061" w:rsidRDefault="00E32CD8" w:rsidP="00E32CD8">
            <w:pPr>
              <w:pStyle w:val="Tabletext0"/>
              <w:tabs>
                <w:tab w:val="left" w:pos="958"/>
              </w:tabs>
              <w:rPr>
                <w:rFonts w:cs="Arial"/>
                <w:szCs w:val="16"/>
              </w:rPr>
            </w:pPr>
          </w:p>
        </w:tc>
        <w:tc>
          <w:tcPr>
            <w:tcW w:w="850" w:type="dxa"/>
            <w:shd w:val="clear" w:color="auto" w:fill="auto"/>
            <w:tcMar>
              <w:top w:w="28" w:type="dxa"/>
              <w:left w:w="28" w:type="dxa"/>
            </w:tcMar>
          </w:tcPr>
          <w:p w14:paraId="24BBB119" w14:textId="56DB1A0D" w:rsidR="00E32CD8" w:rsidRPr="005F0061" w:rsidRDefault="00E32CD8" w:rsidP="00E32CD8">
            <w:pPr>
              <w:pStyle w:val="Tabletext0"/>
              <w:rPr>
                <w:rFonts w:cs="Arial"/>
                <w:szCs w:val="16"/>
              </w:rPr>
            </w:pPr>
            <w:r w:rsidRPr="005F0061">
              <w:rPr>
                <w:rFonts w:cs="Arial"/>
                <w:szCs w:val="16"/>
              </w:rPr>
              <w:t>C11036</w:t>
            </w:r>
          </w:p>
        </w:tc>
        <w:tc>
          <w:tcPr>
            <w:tcW w:w="850" w:type="dxa"/>
            <w:shd w:val="clear" w:color="auto" w:fill="auto"/>
            <w:tcMar>
              <w:top w:w="28" w:type="dxa"/>
              <w:left w:w="28" w:type="dxa"/>
            </w:tcMar>
          </w:tcPr>
          <w:p w14:paraId="4F85DA3B" w14:textId="77777777" w:rsidR="00E32CD8" w:rsidRPr="005F0061" w:rsidDel="00E03489" w:rsidRDefault="00E32CD8" w:rsidP="00E32CD8">
            <w:pPr>
              <w:spacing w:before="60" w:after="60"/>
              <w:rPr>
                <w:rFonts w:ascii="Arial" w:hAnsi="Arial" w:cs="Arial"/>
                <w:sz w:val="16"/>
                <w:szCs w:val="16"/>
                <w:lang w:eastAsia="en-AU"/>
              </w:rPr>
            </w:pPr>
          </w:p>
        </w:tc>
        <w:tc>
          <w:tcPr>
            <w:tcW w:w="7661" w:type="dxa"/>
            <w:shd w:val="clear" w:color="auto" w:fill="auto"/>
            <w:tcMar>
              <w:top w:w="28" w:type="dxa"/>
              <w:left w:w="28" w:type="dxa"/>
            </w:tcMar>
          </w:tcPr>
          <w:p w14:paraId="5D11F494" w14:textId="1486B1D1" w:rsidR="00E32CD8" w:rsidRPr="005F0061" w:rsidRDefault="00E32CD8" w:rsidP="00E32CD8">
            <w:pPr>
              <w:spacing w:before="60" w:after="60"/>
              <w:rPr>
                <w:rFonts w:ascii="Arial" w:hAnsi="Arial" w:cs="Arial"/>
                <w:sz w:val="16"/>
                <w:szCs w:val="16"/>
              </w:rPr>
            </w:pPr>
            <w:r w:rsidRPr="005F0061">
              <w:rPr>
                <w:rFonts w:ascii="Arial" w:hAnsi="Arial" w:cs="Arial"/>
                <w:sz w:val="16"/>
                <w:szCs w:val="16"/>
              </w:rPr>
              <w:t>Pulmonary arterial hypertension (PAH)</w:t>
            </w:r>
            <w:r w:rsidRPr="005F0061">
              <w:rPr>
                <w:rFonts w:ascii="Arial" w:hAnsi="Arial" w:cs="Arial"/>
                <w:sz w:val="16"/>
                <w:szCs w:val="16"/>
              </w:rPr>
              <w:br/>
              <w:t>Initial 1 (dual therapy - previously untreated patients)</w:t>
            </w:r>
            <w:r w:rsidRPr="005F0061">
              <w:rPr>
                <w:rFonts w:ascii="Arial" w:hAnsi="Arial" w:cs="Arial"/>
                <w:sz w:val="16"/>
                <w:szCs w:val="16"/>
              </w:rPr>
              <w:br/>
              <w:t>Patient must not have received prior PBS-subsidised treatment with a pulmonary arterial hypertension (PAH) agent; AND</w:t>
            </w:r>
            <w:r w:rsidRPr="005F0061">
              <w:rPr>
                <w:rFonts w:ascii="Arial" w:hAnsi="Arial" w:cs="Arial"/>
                <w:sz w:val="16"/>
                <w:szCs w:val="16"/>
              </w:rPr>
              <w:br/>
              <w:t>Patient must have been assessed by a physician with expertise in the management of PAH; AND</w:t>
            </w:r>
            <w:r w:rsidRPr="005F0061">
              <w:rPr>
                <w:rFonts w:ascii="Arial" w:hAnsi="Arial" w:cs="Arial"/>
                <w:sz w:val="16"/>
                <w:szCs w:val="16"/>
              </w:rPr>
              <w:br/>
              <w:t>Patient must currently have WHO Functional Class III PAH or WHO Functional Class IV PAH; AND</w:t>
            </w:r>
            <w:r w:rsidRPr="005F0061">
              <w:rPr>
                <w:rFonts w:ascii="Arial" w:hAnsi="Arial" w:cs="Arial"/>
                <w:sz w:val="16"/>
                <w:szCs w:val="16"/>
              </w:rPr>
              <w:br/>
              <w:t>The treatment must be in combination with a PBS-subsidised phosphodiesterase-5 inhibitor (PDE-5i) for this condition.</w:t>
            </w:r>
            <w:r w:rsidRPr="005F0061">
              <w:rPr>
                <w:rFonts w:ascii="Arial" w:hAnsi="Arial" w:cs="Arial"/>
                <w:sz w:val="16"/>
                <w:szCs w:val="16"/>
              </w:rPr>
              <w:br/>
              <w:t xml:space="preserve">The term 'PAH agents' refers to </w:t>
            </w:r>
            <w:proofErr w:type="spellStart"/>
            <w:r w:rsidRPr="005F0061">
              <w:rPr>
                <w:rFonts w:ascii="Arial" w:hAnsi="Arial" w:cs="Arial"/>
                <w:sz w:val="16"/>
                <w:szCs w:val="16"/>
              </w:rPr>
              <w:t>bosentan</w:t>
            </w:r>
            <w:proofErr w:type="spellEnd"/>
            <w:r w:rsidRPr="005F0061">
              <w:rPr>
                <w:rFonts w:ascii="Arial" w:hAnsi="Arial" w:cs="Arial"/>
                <w:sz w:val="16"/>
                <w:szCs w:val="16"/>
              </w:rPr>
              <w:t xml:space="preserve"> monohydrate, </w:t>
            </w:r>
            <w:proofErr w:type="spellStart"/>
            <w:r w:rsidRPr="005F0061">
              <w:rPr>
                <w:rFonts w:ascii="Arial" w:hAnsi="Arial" w:cs="Arial"/>
                <w:sz w:val="16"/>
                <w:szCs w:val="16"/>
              </w:rPr>
              <w:t>iloprost</w:t>
            </w:r>
            <w:proofErr w:type="spellEnd"/>
            <w:r w:rsidRPr="005F0061">
              <w:rPr>
                <w:rFonts w:ascii="Arial" w:hAnsi="Arial" w:cs="Arial"/>
                <w:sz w:val="16"/>
                <w:szCs w:val="16"/>
              </w:rPr>
              <w:t xml:space="preserve"> trometamol, </w:t>
            </w:r>
            <w:proofErr w:type="spellStart"/>
            <w:r w:rsidRPr="005F0061">
              <w:rPr>
                <w:rFonts w:ascii="Arial" w:hAnsi="Arial" w:cs="Arial"/>
                <w:sz w:val="16"/>
                <w:szCs w:val="16"/>
              </w:rPr>
              <w:t>epoprostenol</w:t>
            </w:r>
            <w:proofErr w:type="spellEnd"/>
            <w:r w:rsidRPr="005F0061">
              <w:rPr>
                <w:rFonts w:ascii="Arial" w:hAnsi="Arial" w:cs="Arial"/>
                <w:sz w:val="16"/>
                <w:szCs w:val="16"/>
              </w:rPr>
              <w:t xml:space="preserve"> sodium, sildenafil citrate, </w:t>
            </w:r>
            <w:proofErr w:type="spellStart"/>
            <w:r w:rsidRPr="005F0061">
              <w:rPr>
                <w:rFonts w:ascii="Arial" w:hAnsi="Arial" w:cs="Arial"/>
                <w:sz w:val="16"/>
                <w:szCs w:val="16"/>
              </w:rPr>
              <w:t>ambrisentan</w:t>
            </w:r>
            <w:proofErr w:type="spellEnd"/>
            <w:r w:rsidRPr="005F0061">
              <w:rPr>
                <w:rFonts w:ascii="Arial" w:hAnsi="Arial" w:cs="Arial"/>
                <w:sz w:val="16"/>
                <w:szCs w:val="16"/>
              </w:rPr>
              <w:t xml:space="preserve">, </w:t>
            </w:r>
            <w:proofErr w:type="spellStart"/>
            <w:r w:rsidRPr="005F0061">
              <w:rPr>
                <w:rFonts w:ascii="Arial" w:hAnsi="Arial" w:cs="Arial"/>
                <w:sz w:val="16"/>
                <w:szCs w:val="16"/>
              </w:rPr>
              <w:t>tadalafil</w:t>
            </w:r>
            <w:proofErr w:type="spellEnd"/>
            <w:r w:rsidRPr="005F0061">
              <w:rPr>
                <w:rFonts w:ascii="Arial" w:hAnsi="Arial" w:cs="Arial"/>
                <w:sz w:val="16"/>
                <w:szCs w:val="16"/>
              </w:rPr>
              <w:t xml:space="preserve">, </w:t>
            </w:r>
            <w:proofErr w:type="spellStart"/>
            <w:r w:rsidRPr="005F0061">
              <w:rPr>
                <w:rFonts w:ascii="Arial" w:hAnsi="Arial" w:cs="Arial"/>
                <w:sz w:val="16"/>
                <w:szCs w:val="16"/>
              </w:rPr>
              <w:t>macitentan</w:t>
            </w:r>
            <w:proofErr w:type="spellEnd"/>
            <w:r w:rsidRPr="005F0061">
              <w:rPr>
                <w:rFonts w:ascii="Arial" w:hAnsi="Arial" w:cs="Arial"/>
                <w:sz w:val="16"/>
                <w:szCs w:val="16"/>
              </w:rPr>
              <w:t xml:space="preserve">, and </w:t>
            </w:r>
            <w:proofErr w:type="spellStart"/>
            <w:r w:rsidRPr="005F0061">
              <w:rPr>
                <w:rFonts w:ascii="Arial" w:hAnsi="Arial" w:cs="Arial"/>
                <w:sz w:val="16"/>
                <w:szCs w:val="16"/>
              </w:rPr>
              <w:t>riociguat</w:t>
            </w:r>
            <w:proofErr w:type="spellEnd"/>
            <w:r w:rsidRPr="005F0061">
              <w:rPr>
                <w:rFonts w:ascii="Arial" w:hAnsi="Arial" w:cs="Arial"/>
                <w:sz w:val="16"/>
                <w:szCs w:val="16"/>
              </w:rPr>
              <w:t>.</w:t>
            </w:r>
            <w:r w:rsidRPr="005F0061">
              <w:rPr>
                <w:rFonts w:ascii="Arial" w:hAnsi="Arial" w:cs="Arial"/>
                <w:sz w:val="16"/>
                <w:szCs w:val="16"/>
              </w:rPr>
              <w:br/>
              <w:t>For the purposes of PBS subsidy, dual therapy refers to combined use of an endothelin receptor antagonist (ERA) and a phosphodiesterase-5 inhibitor (PDE-5i).</w:t>
            </w:r>
            <w:r w:rsidRPr="005F0061">
              <w:rPr>
                <w:rFonts w:ascii="Arial" w:hAnsi="Arial" w:cs="Arial"/>
                <w:sz w:val="16"/>
                <w:szCs w:val="16"/>
              </w:rPr>
              <w:br/>
              <w:t>(</w:t>
            </w:r>
            <w:proofErr w:type="spellStart"/>
            <w:r w:rsidRPr="005F0061">
              <w:rPr>
                <w:rFonts w:ascii="Arial" w:hAnsi="Arial" w:cs="Arial"/>
                <w:sz w:val="16"/>
                <w:szCs w:val="16"/>
              </w:rPr>
              <w:t>i</w:t>
            </w:r>
            <w:proofErr w:type="spellEnd"/>
            <w:r w:rsidRPr="005F0061">
              <w:rPr>
                <w:rFonts w:ascii="Arial" w:hAnsi="Arial" w:cs="Arial"/>
                <w:sz w:val="16"/>
                <w:szCs w:val="16"/>
              </w:rPr>
              <w:t xml:space="preserve">) An ERA includes </w:t>
            </w:r>
            <w:proofErr w:type="spellStart"/>
            <w:r w:rsidRPr="005F0061">
              <w:rPr>
                <w:rFonts w:ascii="Arial" w:hAnsi="Arial" w:cs="Arial"/>
                <w:sz w:val="16"/>
                <w:szCs w:val="16"/>
              </w:rPr>
              <w:t>ambrisentan</w:t>
            </w:r>
            <w:proofErr w:type="spellEnd"/>
            <w:r w:rsidRPr="005F0061">
              <w:rPr>
                <w:rFonts w:ascii="Arial" w:hAnsi="Arial" w:cs="Arial"/>
                <w:sz w:val="16"/>
                <w:szCs w:val="16"/>
              </w:rPr>
              <w:t xml:space="preserve">, </w:t>
            </w:r>
            <w:proofErr w:type="spellStart"/>
            <w:r w:rsidRPr="005F0061">
              <w:rPr>
                <w:rFonts w:ascii="Arial" w:hAnsi="Arial" w:cs="Arial"/>
                <w:sz w:val="16"/>
                <w:szCs w:val="16"/>
              </w:rPr>
              <w:t>bosentan</w:t>
            </w:r>
            <w:proofErr w:type="spellEnd"/>
            <w:r w:rsidRPr="005F0061">
              <w:rPr>
                <w:rFonts w:ascii="Arial" w:hAnsi="Arial" w:cs="Arial"/>
                <w:sz w:val="16"/>
                <w:szCs w:val="16"/>
              </w:rPr>
              <w:t xml:space="preserve"> monohydrate, or </w:t>
            </w:r>
            <w:proofErr w:type="spellStart"/>
            <w:r w:rsidRPr="005F0061">
              <w:rPr>
                <w:rFonts w:ascii="Arial" w:hAnsi="Arial" w:cs="Arial"/>
                <w:sz w:val="16"/>
                <w:szCs w:val="16"/>
              </w:rPr>
              <w:t>macitentan</w:t>
            </w:r>
            <w:proofErr w:type="spellEnd"/>
            <w:r w:rsidRPr="005F0061">
              <w:rPr>
                <w:rFonts w:ascii="Arial" w:hAnsi="Arial" w:cs="Arial"/>
                <w:sz w:val="16"/>
                <w:szCs w:val="16"/>
              </w:rPr>
              <w:t>.</w:t>
            </w:r>
            <w:r w:rsidRPr="005F0061">
              <w:rPr>
                <w:rFonts w:ascii="Arial" w:hAnsi="Arial" w:cs="Arial"/>
                <w:sz w:val="16"/>
                <w:szCs w:val="16"/>
              </w:rPr>
              <w:br/>
              <w:t xml:space="preserve">(ii) A PDE-5i includes sildenafil citrate, or </w:t>
            </w:r>
            <w:proofErr w:type="spellStart"/>
            <w:r w:rsidRPr="005F0061">
              <w:rPr>
                <w:rFonts w:ascii="Arial" w:hAnsi="Arial" w:cs="Arial"/>
                <w:sz w:val="16"/>
                <w:szCs w:val="16"/>
              </w:rPr>
              <w:t>tadalafil</w:t>
            </w:r>
            <w:proofErr w:type="spellEnd"/>
            <w:r w:rsidRPr="005F0061">
              <w:rPr>
                <w:rFonts w:ascii="Arial" w:hAnsi="Arial" w:cs="Arial"/>
                <w:sz w:val="16"/>
                <w:szCs w:val="16"/>
              </w:rPr>
              <w:t>.</w:t>
            </w:r>
            <w:r w:rsidRPr="005F0061">
              <w:rPr>
                <w:rFonts w:ascii="Arial"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5F0061">
              <w:rPr>
                <w:rFonts w:ascii="Arial" w:hAnsi="Arial" w:cs="Arial"/>
                <w:sz w:val="16"/>
                <w:szCs w:val="16"/>
              </w:rPr>
              <w:br/>
              <w:t>PAH (WHO Group 1 pulmonary hypertension) is defined as follows</w:t>
            </w:r>
            <w:proofErr w:type="gramStart"/>
            <w:r w:rsidRPr="005F0061">
              <w:rPr>
                <w:rFonts w:ascii="Arial" w:hAnsi="Arial" w:cs="Arial"/>
                <w:sz w:val="16"/>
                <w:szCs w:val="16"/>
              </w:rPr>
              <w:t>:</w:t>
            </w:r>
            <w:proofErr w:type="gramEnd"/>
            <w:r w:rsidRPr="005F0061">
              <w:rPr>
                <w:rFonts w:ascii="Arial" w:hAnsi="Arial" w:cs="Arial"/>
                <w:sz w:val="16"/>
                <w:szCs w:val="16"/>
              </w:rPr>
              <w:br/>
              <w:t>(</w:t>
            </w:r>
            <w:proofErr w:type="spellStart"/>
            <w:r w:rsidRPr="005F0061">
              <w:rPr>
                <w:rFonts w:ascii="Arial" w:hAnsi="Arial" w:cs="Arial"/>
                <w:sz w:val="16"/>
                <w:szCs w:val="16"/>
              </w:rPr>
              <w:t>i</w:t>
            </w:r>
            <w:proofErr w:type="spellEnd"/>
            <w:r w:rsidRPr="005F0061">
              <w:rPr>
                <w:rFonts w:ascii="Arial" w:hAnsi="Arial" w:cs="Arial"/>
                <w:sz w:val="16"/>
                <w:szCs w:val="16"/>
              </w:rPr>
              <w:t>) mean pulmonary artery pressure (</w:t>
            </w:r>
            <w:proofErr w:type="spellStart"/>
            <w:r w:rsidRPr="005F0061">
              <w:rPr>
                <w:rFonts w:ascii="Arial" w:hAnsi="Arial" w:cs="Arial"/>
                <w:sz w:val="16"/>
                <w:szCs w:val="16"/>
              </w:rPr>
              <w:t>mPAP</w:t>
            </w:r>
            <w:proofErr w:type="spellEnd"/>
            <w:r w:rsidRPr="005F0061">
              <w:rPr>
                <w:rFonts w:ascii="Arial" w:hAnsi="Arial" w:cs="Arial"/>
                <w:sz w:val="16"/>
                <w:szCs w:val="16"/>
              </w:rPr>
              <w:t>) greater than or equal to 25 mmHg at rest and pulmonary artery wedge pressure (PAWP) less than or equal to 15 mmHg; or</w:t>
            </w:r>
            <w:r w:rsidRPr="005F0061">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5F0061">
              <w:rPr>
                <w:rFonts w:ascii="Arial" w:hAnsi="Arial" w:cs="Arial"/>
                <w:sz w:val="16"/>
                <w:szCs w:val="16"/>
              </w:rPr>
              <w:br/>
              <w:t>Applications for authorisation must be in writing and must include:</w:t>
            </w:r>
            <w:r w:rsidRPr="005F0061">
              <w:rPr>
                <w:rFonts w:ascii="Arial" w:hAnsi="Arial" w:cs="Arial"/>
                <w:sz w:val="16"/>
                <w:szCs w:val="16"/>
              </w:rPr>
              <w:br/>
              <w:t>(1) a completed authority prescription form; and</w:t>
            </w:r>
            <w:r w:rsidRPr="005F0061">
              <w:rPr>
                <w:rFonts w:ascii="Arial" w:hAnsi="Arial" w:cs="Arial"/>
                <w:sz w:val="16"/>
                <w:szCs w:val="16"/>
              </w:rPr>
              <w:br/>
              <w:t>(2) a completed Pulmonary Arterial Hypertension PBS Authority Application - Supporting Information form which includes results from the three tests below, where available:</w:t>
            </w:r>
            <w:r w:rsidRPr="005F0061">
              <w:rPr>
                <w:rFonts w:ascii="Arial" w:hAnsi="Arial" w:cs="Arial"/>
                <w:sz w:val="16"/>
                <w:szCs w:val="16"/>
              </w:rPr>
              <w:br/>
              <w:t>(</w:t>
            </w:r>
            <w:proofErr w:type="spellStart"/>
            <w:r w:rsidRPr="005F0061">
              <w:rPr>
                <w:rFonts w:ascii="Arial" w:hAnsi="Arial" w:cs="Arial"/>
                <w:sz w:val="16"/>
                <w:szCs w:val="16"/>
              </w:rPr>
              <w:t>i</w:t>
            </w:r>
            <w:proofErr w:type="spellEnd"/>
            <w:r w:rsidRPr="005F0061">
              <w:rPr>
                <w:rFonts w:ascii="Arial" w:hAnsi="Arial" w:cs="Arial"/>
                <w:sz w:val="16"/>
                <w:szCs w:val="16"/>
              </w:rPr>
              <w:t>) RHC composite assessment; and</w:t>
            </w:r>
            <w:r w:rsidRPr="005F0061">
              <w:rPr>
                <w:rFonts w:ascii="Arial" w:hAnsi="Arial" w:cs="Arial"/>
                <w:sz w:val="16"/>
                <w:szCs w:val="16"/>
              </w:rPr>
              <w:br/>
              <w:t>(ii) ECHO composite assessment; and</w:t>
            </w:r>
            <w:r w:rsidRPr="005F0061">
              <w:rPr>
                <w:rFonts w:ascii="Arial" w:hAnsi="Arial" w:cs="Arial"/>
                <w:sz w:val="16"/>
                <w:szCs w:val="16"/>
              </w:rPr>
              <w:br/>
              <w:t>(iii) 6 Minute Walk Test (6MWT).</w:t>
            </w:r>
            <w:r w:rsidRPr="005F0061">
              <w:rPr>
                <w:rFonts w:ascii="Arial" w:hAnsi="Arial" w:cs="Arial"/>
                <w:sz w:val="16"/>
                <w:szCs w:val="16"/>
              </w:rPr>
              <w:br/>
              <w:t>Where it is not possible to perform all 3 tests on clinical grounds, the following list outlines the preferred test combination, in descending order, for the purposes of initiation of PBS-subsidised treatment:</w:t>
            </w:r>
            <w:r w:rsidRPr="005F0061">
              <w:rPr>
                <w:rFonts w:ascii="Arial" w:hAnsi="Arial" w:cs="Arial"/>
                <w:sz w:val="16"/>
                <w:szCs w:val="16"/>
              </w:rPr>
              <w:br/>
              <w:t>(1) RHC plus ECHO composite assessments;</w:t>
            </w:r>
            <w:r w:rsidRPr="005F0061">
              <w:rPr>
                <w:rFonts w:ascii="Arial" w:hAnsi="Arial" w:cs="Arial"/>
                <w:sz w:val="16"/>
                <w:szCs w:val="16"/>
              </w:rPr>
              <w:br/>
              <w:t>(2) RHC composite assessment plus 6MWT;</w:t>
            </w:r>
            <w:r w:rsidRPr="005F0061">
              <w:rPr>
                <w:rFonts w:ascii="Arial" w:hAnsi="Arial" w:cs="Arial"/>
                <w:sz w:val="16"/>
                <w:szCs w:val="16"/>
              </w:rPr>
              <w:br/>
              <w:t>(3) RHC composite assessment only.</w:t>
            </w:r>
            <w:r w:rsidRPr="005F0061">
              <w:rPr>
                <w:rFonts w:ascii="Arial" w:hAnsi="Arial" w:cs="Arial"/>
                <w:sz w:val="16"/>
                <w:szCs w:val="16"/>
              </w:rPr>
              <w:br/>
              <w:t>In circumstances where a RHC cannot be performed on clinical grounds, applications may be submitted for consideration based on the results of the following test combinations, which are listed in descending order of preference</w:t>
            </w:r>
            <w:proofErr w:type="gramStart"/>
            <w:r w:rsidRPr="005F0061">
              <w:rPr>
                <w:rFonts w:ascii="Arial" w:hAnsi="Arial" w:cs="Arial"/>
                <w:sz w:val="16"/>
                <w:szCs w:val="16"/>
              </w:rPr>
              <w:t>:</w:t>
            </w:r>
            <w:proofErr w:type="gramEnd"/>
            <w:r w:rsidRPr="005F0061">
              <w:rPr>
                <w:rFonts w:ascii="Arial" w:hAnsi="Arial" w:cs="Arial"/>
                <w:sz w:val="16"/>
                <w:szCs w:val="16"/>
              </w:rPr>
              <w:br/>
              <w:t>(1) ECHO composite assessment plus 6MWT;</w:t>
            </w:r>
            <w:r w:rsidRPr="005F0061">
              <w:rPr>
                <w:rFonts w:ascii="Arial" w:hAnsi="Arial" w:cs="Arial"/>
                <w:sz w:val="16"/>
                <w:szCs w:val="16"/>
              </w:rPr>
              <w:br/>
              <w:t>(2) ECHO composite assessment only.</w:t>
            </w:r>
            <w:r w:rsidRPr="005F0061">
              <w:rPr>
                <w:rFonts w:ascii="Arial" w:hAnsi="Arial" w:cs="Arial"/>
                <w:sz w:val="16"/>
                <w:szCs w:val="16"/>
              </w:rPr>
              <w:br/>
              <w:t>Where fewer than 3 tests are able to be performed on clinical grounds, a patient specific reason outlining why the particular test(s) could not be conducted must be provided with the authority application.</w:t>
            </w:r>
            <w:r w:rsidRPr="005F0061">
              <w:rPr>
                <w:rFonts w:ascii="Arial" w:hAnsi="Arial" w:cs="Arial"/>
                <w:sz w:val="16"/>
                <w:szCs w:val="16"/>
              </w:rPr>
              <w:br/>
              <w:t>Where a RHC cannot be performed on clinical grounds, confirmation of the reason(s) must be provided with the authority application by a second PAH physician or cardiologist with expertise in the management of PAH.</w:t>
            </w:r>
            <w:r w:rsidRPr="005F0061">
              <w:rPr>
                <w:rFonts w:ascii="Arial" w:hAnsi="Arial" w:cs="Arial"/>
                <w:sz w:val="16"/>
                <w:szCs w:val="16"/>
              </w:rPr>
              <w:br/>
              <w:t>The test results provided must not be more than 2 months old at the time of application.</w:t>
            </w:r>
            <w:r w:rsidRPr="005F0061">
              <w:rPr>
                <w:rFonts w:ascii="Arial" w:hAnsi="Arial" w:cs="Arial"/>
                <w:sz w:val="16"/>
                <w:szCs w:val="16"/>
              </w:rPr>
              <w:br/>
            </w:r>
            <w:r w:rsidRPr="005F0061">
              <w:rPr>
                <w:rFonts w:ascii="Arial" w:hAnsi="Arial" w:cs="Arial"/>
                <w:sz w:val="16"/>
                <w:szCs w:val="16"/>
              </w:rPr>
              <w:lastRenderedPageBreak/>
              <w:t>If patients will be taking 62.5mg for the first month then 125 mg, prescribers should request the first authority prescription of therapy with the 62.5 mg tablet strength, with the quantity for one month of treatment, based on the dosage recommendations in the TGA-approved Product Information and no repeats.</w:t>
            </w:r>
            <w:r w:rsidRPr="005F0061">
              <w:rPr>
                <w:rFonts w:ascii="Arial" w:hAnsi="Arial" w:cs="Arial"/>
                <w:sz w:val="16"/>
                <w:szCs w:val="16"/>
              </w:rPr>
              <w:br/>
              <w:t>Prescribers should request the second authority prescription of therapy with the 125 mg tablet strengths, with a quantity for one month of treatment, based on the dosage recommendations in the TGA-approved Product Information, and a maximum of 4 repeats.</w:t>
            </w:r>
            <w:r w:rsidRPr="005F0061">
              <w:rPr>
                <w:rFonts w:ascii="Arial" w:hAnsi="Arial" w:cs="Arial"/>
                <w:sz w:val="16"/>
                <w:szCs w:val="16"/>
              </w:rPr>
              <w:br/>
              <w:t>If patients will be taking 62.5mg for longer than 1 month, prescribers should request the first authority prescription of therapy with the 62.5 mg tablet strength, with the quantity for one month of treatment and a maximum of 5 repeats based on the dosage recommendations in the TGA-approved Product Information.</w:t>
            </w:r>
          </w:p>
        </w:tc>
        <w:tc>
          <w:tcPr>
            <w:tcW w:w="2650" w:type="dxa"/>
            <w:shd w:val="clear" w:color="auto" w:fill="auto"/>
            <w:tcMar>
              <w:top w:w="28" w:type="dxa"/>
              <w:left w:w="28" w:type="dxa"/>
              <w:right w:w="57" w:type="dxa"/>
            </w:tcMar>
          </w:tcPr>
          <w:p w14:paraId="14E0C83B" w14:textId="395C2F42" w:rsidR="00E32CD8" w:rsidRPr="005F0061" w:rsidRDefault="00E32CD8" w:rsidP="00E32CD8">
            <w:pPr>
              <w:pStyle w:val="Tabletext0"/>
              <w:rPr>
                <w:rFonts w:cs="Arial"/>
                <w:szCs w:val="16"/>
              </w:rPr>
            </w:pPr>
            <w:r w:rsidRPr="005F0061">
              <w:rPr>
                <w:rFonts w:cs="Arial"/>
                <w:szCs w:val="16"/>
              </w:rPr>
              <w:lastRenderedPageBreak/>
              <w:t>Compliance with Written Authority Required procedures</w:t>
            </w:r>
          </w:p>
        </w:tc>
      </w:tr>
      <w:tr w:rsidR="00E32CD8" w:rsidRPr="005F0061" w14:paraId="4C4D636D" w14:textId="77777777" w:rsidTr="005E778F">
        <w:tc>
          <w:tcPr>
            <w:tcW w:w="1900" w:type="dxa"/>
            <w:shd w:val="clear" w:color="auto" w:fill="auto"/>
            <w:tcMar>
              <w:top w:w="28" w:type="dxa"/>
              <w:left w:w="28" w:type="dxa"/>
            </w:tcMar>
          </w:tcPr>
          <w:p w14:paraId="73AA9066" w14:textId="77777777" w:rsidR="00E32CD8" w:rsidRPr="005F0061" w:rsidRDefault="00E32CD8" w:rsidP="00E32CD8">
            <w:pPr>
              <w:pStyle w:val="Tabletext0"/>
              <w:tabs>
                <w:tab w:val="left" w:pos="958"/>
              </w:tabs>
              <w:rPr>
                <w:rFonts w:cs="Arial"/>
                <w:szCs w:val="16"/>
              </w:rPr>
            </w:pPr>
          </w:p>
        </w:tc>
        <w:tc>
          <w:tcPr>
            <w:tcW w:w="850" w:type="dxa"/>
            <w:shd w:val="clear" w:color="auto" w:fill="auto"/>
            <w:tcMar>
              <w:top w:w="28" w:type="dxa"/>
              <w:left w:w="28" w:type="dxa"/>
            </w:tcMar>
          </w:tcPr>
          <w:p w14:paraId="71728686" w14:textId="71DDB97F" w:rsidR="00E32CD8" w:rsidRPr="005F0061" w:rsidRDefault="00E32CD8" w:rsidP="00E32CD8">
            <w:pPr>
              <w:pStyle w:val="Tabletext0"/>
              <w:rPr>
                <w:rFonts w:cs="Arial"/>
                <w:szCs w:val="16"/>
              </w:rPr>
            </w:pPr>
            <w:r w:rsidRPr="005F0061">
              <w:rPr>
                <w:rFonts w:cs="Arial"/>
                <w:szCs w:val="16"/>
              </w:rPr>
              <w:t>C11044</w:t>
            </w:r>
          </w:p>
        </w:tc>
        <w:tc>
          <w:tcPr>
            <w:tcW w:w="850" w:type="dxa"/>
            <w:shd w:val="clear" w:color="auto" w:fill="auto"/>
            <w:tcMar>
              <w:top w:w="28" w:type="dxa"/>
              <w:left w:w="28" w:type="dxa"/>
            </w:tcMar>
          </w:tcPr>
          <w:p w14:paraId="519FAB0E" w14:textId="77777777" w:rsidR="00E32CD8" w:rsidRPr="005F0061" w:rsidDel="00E03489" w:rsidRDefault="00E32CD8" w:rsidP="00E32CD8">
            <w:pPr>
              <w:spacing w:before="60" w:after="60"/>
              <w:rPr>
                <w:rFonts w:ascii="Arial" w:hAnsi="Arial" w:cs="Arial"/>
                <w:sz w:val="16"/>
                <w:szCs w:val="16"/>
                <w:lang w:eastAsia="en-AU"/>
              </w:rPr>
            </w:pPr>
          </w:p>
        </w:tc>
        <w:tc>
          <w:tcPr>
            <w:tcW w:w="7661" w:type="dxa"/>
            <w:shd w:val="clear" w:color="auto" w:fill="auto"/>
            <w:tcMar>
              <w:top w:w="28" w:type="dxa"/>
              <w:left w:w="28" w:type="dxa"/>
            </w:tcMar>
          </w:tcPr>
          <w:p w14:paraId="757212F9" w14:textId="0E606271" w:rsidR="00E32CD8" w:rsidRPr="005F0061" w:rsidRDefault="00E32CD8" w:rsidP="00E32CD8">
            <w:pPr>
              <w:spacing w:before="60" w:after="60"/>
              <w:rPr>
                <w:rFonts w:ascii="Arial" w:hAnsi="Arial" w:cs="Arial"/>
                <w:sz w:val="16"/>
                <w:szCs w:val="16"/>
              </w:rPr>
            </w:pPr>
            <w:r w:rsidRPr="005F0061">
              <w:rPr>
                <w:rFonts w:ascii="Arial" w:hAnsi="Arial" w:cs="Arial"/>
                <w:sz w:val="16"/>
                <w:szCs w:val="16"/>
              </w:rPr>
              <w:t>Pulmonary arterial hypertension (PAH</w:t>
            </w:r>
            <w:proofErr w:type="gramStart"/>
            <w:r w:rsidRPr="005F0061">
              <w:rPr>
                <w:rFonts w:ascii="Arial" w:hAnsi="Arial" w:cs="Arial"/>
                <w:sz w:val="16"/>
                <w:szCs w:val="16"/>
              </w:rPr>
              <w:t>)</w:t>
            </w:r>
            <w:proofErr w:type="gramEnd"/>
            <w:r w:rsidRPr="005F0061">
              <w:rPr>
                <w:rFonts w:ascii="Arial" w:hAnsi="Arial" w:cs="Arial"/>
                <w:sz w:val="16"/>
                <w:szCs w:val="16"/>
              </w:rPr>
              <w:br/>
              <w:t>Initial 2 (dual therapy - previously treated patients)</w:t>
            </w:r>
            <w:r w:rsidRPr="005F0061">
              <w:rPr>
                <w:rFonts w:ascii="Arial" w:hAnsi="Arial" w:cs="Arial"/>
                <w:sz w:val="16"/>
                <w:szCs w:val="16"/>
              </w:rPr>
              <w:br/>
              <w:t>Patient must have documented WHO Functional Class III PAH or WHO Functional Class IV PAH; AND</w:t>
            </w:r>
            <w:r w:rsidRPr="005F0061">
              <w:rPr>
                <w:rFonts w:ascii="Arial" w:hAnsi="Arial" w:cs="Arial"/>
                <w:sz w:val="16"/>
                <w:szCs w:val="16"/>
              </w:rPr>
              <w:br/>
              <w:t>Patient must have documented a failure to achieve or maintain WHO Functional Class II status with prior PBS-subsidised monotherapy treatment with a phosphodiesterase-5 inhibitor (PDE-5i) for this condition; AND</w:t>
            </w:r>
            <w:r w:rsidRPr="005F0061">
              <w:rPr>
                <w:rFonts w:ascii="Arial" w:hAnsi="Arial" w:cs="Arial"/>
                <w:sz w:val="16"/>
                <w:szCs w:val="16"/>
              </w:rPr>
              <w:br/>
              <w:t>The treatment must be in combination with the PBS-subsidised PDE-5i for this condition.</w:t>
            </w:r>
            <w:r w:rsidRPr="005F0061">
              <w:rPr>
                <w:rFonts w:ascii="Arial" w:hAnsi="Arial" w:cs="Arial"/>
                <w:sz w:val="16"/>
                <w:szCs w:val="16"/>
              </w:rPr>
              <w:br/>
              <w:t xml:space="preserve">The term 'PAH agents' refers to </w:t>
            </w:r>
            <w:proofErr w:type="spellStart"/>
            <w:r w:rsidRPr="005F0061">
              <w:rPr>
                <w:rFonts w:ascii="Arial" w:hAnsi="Arial" w:cs="Arial"/>
                <w:sz w:val="16"/>
                <w:szCs w:val="16"/>
              </w:rPr>
              <w:t>bosentan</w:t>
            </w:r>
            <w:proofErr w:type="spellEnd"/>
            <w:r w:rsidRPr="005F0061">
              <w:rPr>
                <w:rFonts w:ascii="Arial" w:hAnsi="Arial" w:cs="Arial"/>
                <w:sz w:val="16"/>
                <w:szCs w:val="16"/>
              </w:rPr>
              <w:t xml:space="preserve"> monohydrate, </w:t>
            </w:r>
            <w:proofErr w:type="spellStart"/>
            <w:r w:rsidRPr="005F0061">
              <w:rPr>
                <w:rFonts w:ascii="Arial" w:hAnsi="Arial" w:cs="Arial"/>
                <w:sz w:val="16"/>
                <w:szCs w:val="16"/>
              </w:rPr>
              <w:t>iloprost</w:t>
            </w:r>
            <w:proofErr w:type="spellEnd"/>
            <w:r w:rsidRPr="005F0061">
              <w:rPr>
                <w:rFonts w:ascii="Arial" w:hAnsi="Arial" w:cs="Arial"/>
                <w:sz w:val="16"/>
                <w:szCs w:val="16"/>
              </w:rPr>
              <w:t xml:space="preserve"> trometamol, </w:t>
            </w:r>
            <w:proofErr w:type="spellStart"/>
            <w:r w:rsidRPr="005F0061">
              <w:rPr>
                <w:rFonts w:ascii="Arial" w:hAnsi="Arial" w:cs="Arial"/>
                <w:sz w:val="16"/>
                <w:szCs w:val="16"/>
              </w:rPr>
              <w:t>epoprostenol</w:t>
            </w:r>
            <w:proofErr w:type="spellEnd"/>
            <w:r w:rsidRPr="005F0061">
              <w:rPr>
                <w:rFonts w:ascii="Arial" w:hAnsi="Arial" w:cs="Arial"/>
                <w:sz w:val="16"/>
                <w:szCs w:val="16"/>
              </w:rPr>
              <w:t xml:space="preserve"> sodium, sildenafil citrate, </w:t>
            </w:r>
            <w:proofErr w:type="spellStart"/>
            <w:r w:rsidRPr="005F0061">
              <w:rPr>
                <w:rFonts w:ascii="Arial" w:hAnsi="Arial" w:cs="Arial"/>
                <w:sz w:val="16"/>
                <w:szCs w:val="16"/>
              </w:rPr>
              <w:t>ambrisentan</w:t>
            </w:r>
            <w:proofErr w:type="spellEnd"/>
            <w:r w:rsidRPr="005F0061">
              <w:rPr>
                <w:rFonts w:ascii="Arial" w:hAnsi="Arial" w:cs="Arial"/>
                <w:sz w:val="16"/>
                <w:szCs w:val="16"/>
              </w:rPr>
              <w:t xml:space="preserve">, </w:t>
            </w:r>
            <w:proofErr w:type="spellStart"/>
            <w:r w:rsidRPr="005F0061">
              <w:rPr>
                <w:rFonts w:ascii="Arial" w:hAnsi="Arial" w:cs="Arial"/>
                <w:sz w:val="16"/>
                <w:szCs w:val="16"/>
              </w:rPr>
              <w:t>tadalafil</w:t>
            </w:r>
            <w:proofErr w:type="spellEnd"/>
            <w:r w:rsidRPr="005F0061">
              <w:rPr>
                <w:rFonts w:ascii="Arial" w:hAnsi="Arial" w:cs="Arial"/>
                <w:sz w:val="16"/>
                <w:szCs w:val="16"/>
              </w:rPr>
              <w:t xml:space="preserve">, </w:t>
            </w:r>
            <w:proofErr w:type="spellStart"/>
            <w:r w:rsidRPr="005F0061">
              <w:rPr>
                <w:rFonts w:ascii="Arial" w:hAnsi="Arial" w:cs="Arial"/>
                <w:sz w:val="16"/>
                <w:szCs w:val="16"/>
              </w:rPr>
              <w:t>macitentan</w:t>
            </w:r>
            <w:proofErr w:type="spellEnd"/>
            <w:r w:rsidRPr="005F0061">
              <w:rPr>
                <w:rFonts w:ascii="Arial" w:hAnsi="Arial" w:cs="Arial"/>
                <w:sz w:val="16"/>
                <w:szCs w:val="16"/>
              </w:rPr>
              <w:t xml:space="preserve">, and </w:t>
            </w:r>
            <w:proofErr w:type="spellStart"/>
            <w:r w:rsidRPr="005F0061">
              <w:rPr>
                <w:rFonts w:ascii="Arial" w:hAnsi="Arial" w:cs="Arial"/>
                <w:sz w:val="16"/>
                <w:szCs w:val="16"/>
              </w:rPr>
              <w:t>riociguat</w:t>
            </w:r>
            <w:proofErr w:type="spellEnd"/>
            <w:r w:rsidRPr="005F0061">
              <w:rPr>
                <w:rFonts w:ascii="Arial" w:hAnsi="Arial" w:cs="Arial"/>
                <w:sz w:val="16"/>
                <w:szCs w:val="16"/>
              </w:rPr>
              <w:t>.</w:t>
            </w:r>
            <w:r w:rsidRPr="005F0061">
              <w:rPr>
                <w:rFonts w:ascii="Arial" w:hAnsi="Arial" w:cs="Arial"/>
                <w:sz w:val="16"/>
                <w:szCs w:val="16"/>
              </w:rPr>
              <w:br/>
              <w:t>For the purposes of PBS subsidy, dual therapy refers to combined use of an endothelin receptor antagonist (ERA) and a phosphodiesterase-5 inhibitor (PDE-5i).</w:t>
            </w:r>
            <w:r w:rsidRPr="005F0061">
              <w:rPr>
                <w:rFonts w:ascii="Arial" w:hAnsi="Arial" w:cs="Arial"/>
                <w:sz w:val="16"/>
                <w:szCs w:val="16"/>
              </w:rPr>
              <w:br/>
              <w:t>(</w:t>
            </w:r>
            <w:proofErr w:type="spellStart"/>
            <w:r w:rsidRPr="005F0061">
              <w:rPr>
                <w:rFonts w:ascii="Arial" w:hAnsi="Arial" w:cs="Arial"/>
                <w:sz w:val="16"/>
                <w:szCs w:val="16"/>
              </w:rPr>
              <w:t>i</w:t>
            </w:r>
            <w:proofErr w:type="spellEnd"/>
            <w:r w:rsidRPr="005F0061">
              <w:rPr>
                <w:rFonts w:ascii="Arial" w:hAnsi="Arial" w:cs="Arial"/>
                <w:sz w:val="16"/>
                <w:szCs w:val="16"/>
              </w:rPr>
              <w:t xml:space="preserve">) An ERA includes </w:t>
            </w:r>
            <w:proofErr w:type="spellStart"/>
            <w:r w:rsidRPr="005F0061">
              <w:rPr>
                <w:rFonts w:ascii="Arial" w:hAnsi="Arial" w:cs="Arial"/>
                <w:sz w:val="16"/>
                <w:szCs w:val="16"/>
              </w:rPr>
              <w:t>ambrisentan</w:t>
            </w:r>
            <w:proofErr w:type="spellEnd"/>
            <w:r w:rsidRPr="005F0061">
              <w:rPr>
                <w:rFonts w:ascii="Arial" w:hAnsi="Arial" w:cs="Arial"/>
                <w:sz w:val="16"/>
                <w:szCs w:val="16"/>
              </w:rPr>
              <w:t xml:space="preserve">, </w:t>
            </w:r>
            <w:proofErr w:type="spellStart"/>
            <w:r w:rsidRPr="005F0061">
              <w:rPr>
                <w:rFonts w:ascii="Arial" w:hAnsi="Arial" w:cs="Arial"/>
                <w:sz w:val="16"/>
                <w:szCs w:val="16"/>
              </w:rPr>
              <w:t>bosentan</w:t>
            </w:r>
            <w:proofErr w:type="spellEnd"/>
            <w:r w:rsidRPr="005F0061">
              <w:rPr>
                <w:rFonts w:ascii="Arial" w:hAnsi="Arial" w:cs="Arial"/>
                <w:sz w:val="16"/>
                <w:szCs w:val="16"/>
              </w:rPr>
              <w:t xml:space="preserve"> monohydrate, or </w:t>
            </w:r>
            <w:proofErr w:type="spellStart"/>
            <w:r w:rsidRPr="005F0061">
              <w:rPr>
                <w:rFonts w:ascii="Arial" w:hAnsi="Arial" w:cs="Arial"/>
                <w:sz w:val="16"/>
                <w:szCs w:val="16"/>
              </w:rPr>
              <w:t>macitentan</w:t>
            </w:r>
            <w:proofErr w:type="spellEnd"/>
            <w:r w:rsidRPr="005F0061">
              <w:rPr>
                <w:rFonts w:ascii="Arial" w:hAnsi="Arial" w:cs="Arial"/>
                <w:sz w:val="16"/>
                <w:szCs w:val="16"/>
              </w:rPr>
              <w:t>.</w:t>
            </w:r>
            <w:r w:rsidRPr="005F0061">
              <w:rPr>
                <w:rFonts w:ascii="Arial" w:hAnsi="Arial" w:cs="Arial"/>
                <w:sz w:val="16"/>
                <w:szCs w:val="16"/>
              </w:rPr>
              <w:br/>
              <w:t xml:space="preserve">(ii) A PDE-5i includes sildenafil citrate, or </w:t>
            </w:r>
            <w:proofErr w:type="spellStart"/>
            <w:r w:rsidRPr="005F0061">
              <w:rPr>
                <w:rFonts w:ascii="Arial" w:hAnsi="Arial" w:cs="Arial"/>
                <w:sz w:val="16"/>
                <w:szCs w:val="16"/>
              </w:rPr>
              <w:t>tadalafil</w:t>
            </w:r>
            <w:proofErr w:type="spellEnd"/>
            <w:r w:rsidRPr="005F0061">
              <w:rPr>
                <w:rFonts w:ascii="Arial" w:hAnsi="Arial" w:cs="Arial"/>
                <w:sz w:val="16"/>
                <w:szCs w:val="16"/>
              </w:rPr>
              <w:t>.</w:t>
            </w:r>
            <w:r w:rsidRPr="005F0061">
              <w:rPr>
                <w:rFonts w:ascii="Arial"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5F0061">
              <w:rPr>
                <w:rFonts w:ascii="Arial" w:hAnsi="Arial" w:cs="Arial"/>
                <w:sz w:val="16"/>
                <w:szCs w:val="16"/>
              </w:rPr>
              <w:br/>
              <w:t>PAH (WHO Group 1 pulmonary hypertension) is defined as follows</w:t>
            </w:r>
            <w:proofErr w:type="gramStart"/>
            <w:r w:rsidRPr="005F0061">
              <w:rPr>
                <w:rFonts w:ascii="Arial" w:hAnsi="Arial" w:cs="Arial"/>
                <w:sz w:val="16"/>
                <w:szCs w:val="16"/>
              </w:rPr>
              <w:t>:</w:t>
            </w:r>
            <w:proofErr w:type="gramEnd"/>
            <w:r w:rsidRPr="005F0061">
              <w:rPr>
                <w:rFonts w:ascii="Arial" w:hAnsi="Arial" w:cs="Arial"/>
                <w:sz w:val="16"/>
                <w:szCs w:val="16"/>
              </w:rPr>
              <w:br/>
              <w:t>(</w:t>
            </w:r>
            <w:proofErr w:type="spellStart"/>
            <w:r w:rsidRPr="005F0061">
              <w:rPr>
                <w:rFonts w:ascii="Arial" w:hAnsi="Arial" w:cs="Arial"/>
                <w:sz w:val="16"/>
                <w:szCs w:val="16"/>
              </w:rPr>
              <w:t>i</w:t>
            </w:r>
            <w:proofErr w:type="spellEnd"/>
            <w:r w:rsidRPr="005F0061">
              <w:rPr>
                <w:rFonts w:ascii="Arial" w:hAnsi="Arial" w:cs="Arial"/>
                <w:sz w:val="16"/>
                <w:szCs w:val="16"/>
              </w:rPr>
              <w:t>) mean pulmonary artery pressure (</w:t>
            </w:r>
            <w:proofErr w:type="spellStart"/>
            <w:r w:rsidRPr="005F0061">
              <w:rPr>
                <w:rFonts w:ascii="Arial" w:hAnsi="Arial" w:cs="Arial"/>
                <w:sz w:val="16"/>
                <w:szCs w:val="16"/>
              </w:rPr>
              <w:t>mPAP</w:t>
            </w:r>
            <w:proofErr w:type="spellEnd"/>
            <w:r w:rsidRPr="005F0061">
              <w:rPr>
                <w:rFonts w:ascii="Arial" w:hAnsi="Arial" w:cs="Arial"/>
                <w:sz w:val="16"/>
                <w:szCs w:val="16"/>
              </w:rPr>
              <w:t>) greater than or equal to 25 mmHg at rest and pulmonary artery wedge pressure (PAWP) less than or equal to 15 mmHg; or</w:t>
            </w:r>
            <w:r w:rsidRPr="005F0061">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5F0061">
              <w:rPr>
                <w:rFonts w:ascii="Arial" w:hAnsi="Arial" w:cs="Arial"/>
                <w:sz w:val="16"/>
                <w:szCs w:val="16"/>
              </w:rPr>
              <w:br/>
              <w:t>The results and date of the RHC, ECHO and 6 MWT as applicable must be included in the patient's medical record. Where a RHC cannot be performed on clinical grounds, the written confirmation of the reasons why must also be included in the patient's medical record.</w:t>
            </w:r>
            <w:r w:rsidRPr="005F0061">
              <w:rPr>
                <w:rFonts w:ascii="Arial" w:hAnsi="Arial" w:cs="Arial"/>
                <w:sz w:val="16"/>
                <w:szCs w:val="16"/>
              </w:rPr>
              <w:br/>
              <w:t>If patients will be taking 62.5mg for the first month then 125 mg, prescribers should request the first authority prescription of therapy with the 62.5 mg tablet strength, with the quantity for one month of treatment, based on the dosage recommendations in the TGA-approved Product Information and no repeats.</w:t>
            </w:r>
            <w:r w:rsidRPr="005F0061">
              <w:rPr>
                <w:rFonts w:ascii="Arial" w:hAnsi="Arial" w:cs="Arial"/>
                <w:sz w:val="16"/>
                <w:szCs w:val="16"/>
              </w:rPr>
              <w:br/>
              <w:t>Prescribers should request the second authority prescription of therapy with the 125 mg tablet strengths, with a quantity for one month of treatment, based on the dosage recommendations in the TGA-approved Product Information, and a maximum of 4 repeats.</w:t>
            </w:r>
            <w:r w:rsidRPr="005F0061">
              <w:rPr>
                <w:rFonts w:ascii="Arial" w:hAnsi="Arial" w:cs="Arial"/>
                <w:sz w:val="16"/>
                <w:szCs w:val="16"/>
              </w:rPr>
              <w:br/>
              <w:t>If patients will be taking 62.5mg for longer than 1 month, prescribers should request the first authority prescription of therapy with the 62.5 mg tablet strength, with the quantity for one month of treatment and a maximum of 5 repeats based on the dosage recommendations in the TGA-approved Product Information.</w:t>
            </w:r>
          </w:p>
        </w:tc>
        <w:tc>
          <w:tcPr>
            <w:tcW w:w="2650" w:type="dxa"/>
            <w:shd w:val="clear" w:color="auto" w:fill="auto"/>
            <w:tcMar>
              <w:top w:w="28" w:type="dxa"/>
              <w:left w:w="28" w:type="dxa"/>
              <w:right w:w="57" w:type="dxa"/>
            </w:tcMar>
          </w:tcPr>
          <w:p w14:paraId="344EC0F6" w14:textId="3C33D970" w:rsidR="00E32CD8" w:rsidRPr="005F0061" w:rsidRDefault="00651E39" w:rsidP="00E32CD8">
            <w:pPr>
              <w:pStyle w:val="Tabletext0"/>
              <w:rPr>
                <w:rFonts w:cs="Arial"/>
                <w:szCs w:val="16"/>
              </w:rPr>
            </w:pPr>
            <w:r w:rsidRPr="005F0061">
              <w:rPr>
                <w:rFonts w:cs="Arial"/>
                <w:szCs w:val="16"/>
              </w:rPr>
              <w:t xml:space="preserve">Compliance with </w:t>
            </w:r>
            <w:r w:rsidR="00E32CD8" w:rsidRPr="005F0061">
              <w:rPr>
                <w:rFonts w:cs="Arial"/>
                <w:szCs w:val="16"/>
              </w:rPr>
              <w:t>Authority Required procedures</w:t>
            </w:r>
          </w:p>
        </w:tc>
      </w:tr>
      <w:tr w:rsidR="00BA628B" w:rsidRPr="005F0061" w14:paraId="59F3E093" w14:textId="77777777" w:rsidTr="005E778F">
        <w:tc>
          <w:tcPr>
            <w:tcW w:w="1900" w:type="dxa"/>
            <w:shd w:val="clear" w:color="auto" w:fill="auto"/>
            <w:tcMar>
              <w:top w:w="28" w:type="dxa"/>
              <w:left w:w="28" w:type="dxa"/>
            </w:tcMar>
          </w:tcPr>
          <w:p w14:paraId="214F8D1F" w14:textId="77777777" w:rsidR="00BA628B" w:rsidRPr="005F0061" w:rsidRDefault="00BA628B" w:rsidP="00BA628B">
            <w:pPr>
              <w:pStyle w:val="Tabletext0"/>
              <w:tabs>
                <w:tab w:val="left" w:pos="958"/>
              </w:tabs>
              <w:rPr>
                <w:rFonts w:cs="Arial"/>
                <w:szCs w:val="16"/>
              </w:rPr>
            </w:pPr>
          </w:p>
        </w:tc>
        <w:tc>
          <w:tcPr>
            <w:tcW w:w="850" w:type="dxa"/>
            <w:shd w:val="clear" w:color="auto" w:fill="auto"/>
            <w:tcMar>
              <w:top w:w="28" w:type="dxa"/>
              <w:left w:w="28" w:type="dxa"/>
            </w:tcMar>
          </w:tcPr>
          <w:p w14:paraId="03E5ACDE" w14:textId="30934182" w:rsidR="00BA628B" w:rsidRPr="005F0061" w:rsidRDefault="00BA628B" w:rsidP="00BA628B">
            <w:pPr>
              <w:pStyle w:val="Tabletext0"/>
              <w:rPr>
                <w:rFonts w:cs="Arial"/>
                <w:szCs w:val="16"/>
              </w:rPr>
            </w:pPr>
            <w:r w:rsidRPr="005F0061">
              <w:rPr>
                <w:rFonts w:cs="Arial"/>
                <w:szCs w:val="16"/>
              </w:rPr>
              <w:t>C11064</w:t>
            </w:r>
          </w:p>
        </w:tc>
        <w:tc>
          <w:tcPr>
            <w:tcW w:w="850" w:type="dxa"/>
            <w:shd w:val="clear" w:color="auto" w:fill="auto"/>
            <w:tcMar>
              <w:top w:w="28" w:type="dxa"/>
              <w:left w:w="28" w:type="dxa"/>
            </w:tcMar>
          </w:tcPr>
          <w:p w14:paraId="1D256285" w14:textId="77777777" w:rsidR="00BA628B" w:rsidRPr="005F0061" w:rsidDel="00E03489" w:rsidRDefault="00BA628B" w:rsidP="00BA628B">
            <w:pPr>
              <w:spacing w:before="60" w:after="60"/>
              <w:rPr>
                <w:rFonts w:ascii="Arial" w:hAnsi="Arial" w:cs="Arial"/>
                <w:sz w:val="16"/>
                <w:szCs w:val="16"/>
                <w:lang w:eastAsia="en-AU"/>
              </w:rPr>
            </w:pPr>
          </w:p>
        </w:tc>
        <w:tc>
          <w:tcPr>
            <w:tcW w:w="7661" w:type="dxa"/>
            <w:shd w:val="clear" w:color="auto" w:fill="auto"/>
            <w:tcMar>
              <w:top w:w="28" w:type="dxa"/>
              <w:left w:w="28" w:type="dxa"/>
            </w:tcMar>
          </w:tcPr>
          <w:p w14:paraId="3E413FB0" w14:textId="1C44E04F" w:rsidR="00BA628B" w:rsidRPr="005F0061" w:rsidRDefault="00BA628B" w:rsidP="00BA628B">
            <w:pPr>
              <w:spacing w:before="60" w:after="60"/>
              <w:rPr>
                <w:rFonts w:ascii="Arial" w:hAnsi="Arial" w:cs="Arial"/>
                <w:sz w:val="16"/>
                <w:szCs w:val="16"/>
              </w:rPr>
            </w:pPr>
            <w:r w:rsidRPr="005F0061">
              <w:rPr>
                <w:rFonts w:ascii="Arial" w:hAnsi="Arial" w:cs="Arial"/>
                <w:sz w:val="16"/>
                <w:szCs w:val="16"/>
              </w:rPr>
              <w:t>Pulmonary arterial hypertension (PAH)</w:t>
            </w:r>
            <w:r w:rsidRPr="005F0061">
              <w:rPr>
                <w:rFonts w:ascii="Arial" w:hAnsi="Arial" w:cs="Arial"/>
                <w:sz w:val="16"/>
                <w:szCs w:val="16"/>
              </w:rPr>
              <w:br/>
              <w:t>Initial 1 (dual therapy - previously untreated patients)</w:t>
            </w:r>
            <w:r w:rsidRPr="005F0061">
              <w:rPr>
                <w:rFonts w:ascii="Arial" w:hAnsi="Arial" w:cs="Arial"/>
                <w:sz w:val="16"/>
                <w:szCs w:val="16"/>
              </w:rPr>
              <w:br/>
              <w:t>Patient must not have received prior PBS-subsidised treatment with a pulmonary arterial hypertension (PAH) agent; AND</w:t>
            </w:r>
            <w:r w:rsidRPr="005F0061">
              <w:rPr>
                <w:rFonts w:ascii="Arial" w:hAnsi="Arial" w:cs="Arial"/>
                <w:sz w:val="16"/>
                <w:szCs w:val="16"/>
              </w:rPr>
              <w:br/>
            </w:r>
            <w:r w:rsidRPr="005F0061">
              <w:rPr>
                <w:rFonts w:ascii="Arial" w:hAnsi="Arial" w:cs="Arial"/>
                <w:sz w:val="16"/>
                <w:szCs w:val="16"/>
              </w:rPr>
              <w:lastRenderedPageBreak/>
              <w:t>Patient must have been assessed by a physician with expertise in the management of PAH; AND</w:t>
            </w:r>
            <w:r w:rsidRPr="005F0061">
              <w:rPr>
                <w:rFonts w:ascii="Arial" w:hAnsi="Arial" w:cs="Arial"/>
                <w:sz w:val="16"/>
                <w:szCs w:val="16"/>
              </w:rPr>
              <w:br/>
              <w:t>Patient must currently have WHO Functional Class III PAH or WHO Functional Class IV PAH; AND</w:t>
            </w:r>
            <w:r w:rsidRPr="005F0061">
              <w:rPr>
                <w:rFonts w:ascii="Arial" w:hAnsi="Arial" w:cs="Arial"/>
                <w:sz w:val="16"/>
                <w:szCs w:val="16"/>
              </w:rPr>
              <w:br/>
              <w:t>The treatment must be in combination with a PBS-subsidised phosphodiesterase-5 inhibitor (PDE-5i) for this condition.</w:t>
            </w:r>
            <w:r w:rsidRPr="005F0061">
              <w:rPr>
                <w:rFonts w:ascii="Arial" w:hAnsi="Arial" w:cs="Arial"/>
                <w:sz w:val="16"/>
                <w:szCs w:val="16"/>
              </w:rPr>
              <w:br/>
              <w:t xml:space="preserve">The term 'PAH agents' refers to </w:t>
            </w:r>
            <w:proofErr w:type="spellStart"/>
            <w:r w:rsidRPr="005F0061">
              <w:rPr>
                <w:rFonts w:ascii="Arial" w:hAnsi="Arial" w:cs="Arial"/>
                <w:sz w:val="16"/>
                <w:szCs w:val="16"/>
              </w:rPr>
              <w:t>bosentan</w:t>
            </w:r>
            <w:proofErr w:type="spellEnd"/>
            <w:r w:rsidRPr="005F0061">
              <w:rPr>
                <w:rFonts w:ascii="Arial" w:hAnsi="Arial" w:cs="Arial"/>
                <w:sz w:val="16"/>
                <w:szCs w:val="16"/>
              </w:rPr>
              <w:t xml:space="preserve"> monohydrate, </w:t>
            </w:r>
            <w:proofErr w:type="spellStart"/>
            <w:r w:rsidRPr="005F0061">
              <w:rPr>
                <w:rFonts w:ascii="Arial" w:hAnsi="Arial" w:cs="Arial"/>
                <w:sz w:val="16"/>
                <w:szCs w:val="16"/>
              </w:rPr>
              <w:t>iloprost</w:t>
            </w:r>
            <w:proofErr w:type="spellEnd"/>
            <w:r w:rsidRPr="005F0061">
              <w:rPr>
                <w:rFonts w:ascii="Arial" w:hAnsi="Arial" w:cs="Arial"/>
                <w:sz w:val="16"/>
                <w:szCs w:val="16"/>
              </w:rPr>
              <w:t xml:space="preserve"> trometamol, </w:t>
            </w:r>
            <w:proofErr w:type="spellStart"/>
            <w:r w:rsidRPr="005F0061">
              <w:rPr>
                <w:rFonts w:ascii="Arial" w:hAnsi="Arial" w:cs="Arial"/>
                <w:sz w:val="16"/>
                <w:szCs w:val="16"/>
              </w:rPr>
              <w:t>epoprostenol</w:t>
            </w:r>
            <w:proofErr w:type="spellEnd"/>
            <w:r w:rsidRPr="005F0061">
              <w:rPr>
                <w:rFonts w:ascii="Arial" w:hAnsi="Arial" w:cs="Arial"/>
                <w:sz w:val="16"/>
                <w:szCs w:val="16"/>
              </w:rPr>
              <w:t xml:space="preserve"> sodium, sildenafil citrate, </w:t>
            </w:r>
            <w:proofErr w:type="spellStart"/>
            <w:r w:rsidRPr="005F0061">
              <w:rPr>
                <w:rFonts w:ascii="Arial" w:hAnsi="Arial" w:cs="Arial"/>
                <w:sz w:val="16"/>
                <w:szCs w:val="16"/>
              </w:rPr>
              <w:t>ambrisentan</w:t>
            </w:r>
            <w:proofErr w:type="spellEnd"/>
            <w:r w:rsidRPr="005F0061">
              <w:rPr>
                <w:rFonts w:ascii="Arial" w:hAnsi="Arial" w:cs="Arial"/>
                <w:sz w:val="16"/>
                <w:szCs w:val="16"/>
              </w:rPr>
              <w:t xml:space="preserve">, </w:t>
            </w:r>
            <w:proofErr w:type="spellStart"/>
            <w:r w:rsidRPr="005F0061">
              <w:rPr>
                <w:rFonts w:ascii="Arial" w:hAnsi="Arial" w:cs="Arial"/>
                <w:sz w:val="16"/>
                <w:szCs w:val="16"/>
              </w:rPr>
              <w:t>tadalafil</w:t>
            </w:r>
            <w:proofErr w:type="spellEnd"/>
            <w:r w:rsidRPr="005F0061">
              <w:rPr>
                <w:rFonts w:ascii="Arial" w:hAnsi="Arial" w:cs="Arial"/>
                <w:sz w:val="16"/>
                <w:szCs w:val="16"/>
              </w:rPr>
              <w:t xml:space="preserve">, </w:t>
            </w:r>
            <w:proofErr w:type="spellStart"/>
            <w:r w:rsidRPr="005F0061">
              <w:rPr>
                <w:rFonts w:ascii="Arial" w:hAnsi="Arial" w:cs="Arial"/>
                <w:sz w:val="16"/>
                <w:szCs w:val="16"/>
              </w:rPr>
              <w:t>macitentan</w:t>
            </w:r>
            <w:proofErr w:type="spellEnd"/>
            <w:r w:rsidRPr="005F0061">
              <w:rPr>
                <w:rFonts w:ascii="Arial" w:hAnsi="Arial" w:cs="Arial"/>
                <w:sz w:val="16"/>
                <w:szCs w:val="16"/>
              </w:rPr>
              <w:t xml:space="preserve">, and </w:t>
            </w:r>
            <w:proofErr w:type="spellStart"/>
            <w:r w:rsidRPr="005F0061">
              <w:rPr>
                <w:rFonts w:ascii="Arial" w:hAnsi="Arial" w:cs="Arial"/>
                <w:sz w:val="16"/>
                <w:szCs w:val="16"/>
              </w:rPr>
              <w:t>riociguat</w:t>
            </w:r>
            <w:proofErr w:type="spellEnd"/>
            <w:r w:rsidRPr="005F0061">
              <w:rPr>
                <w:rFonts w:ascii="Arial" w:hAnsi="Arial" w:cs="Arial"/>
                <w:sz w:val="16"/>
                <w:szCs w:val="16"/>
              </w:rPr>
              <w:t>.</w:t>
            </w:r>
            <w:r w:rsidRPr="005F0061">
              <w:rPr>
                <w:rFonts w:ascii="Arial" w:hAnsi="Arial" w:cs="Arial"/>
                <w:sz w:val="16"/>
                <w:szCs w:val="16"/>
              </w:rPr>
              <w:br/>
              <w:t>For the purposes of PBS subsidy, dual therapy refers to combined use of an endothelin receptor antagonist (ERA) and a phosphodiesterase-5 inhibitor (PDE-5i).</w:t>
            </w:r>
            <w:r w:rsidRPr="005F0061">
              <w:rPr>
                <w:rFonts w:ascii="Arial" w:hAnsi="Arial" w:cs="Arial"/>
                <w:sz w:val="16"/>
                <w:szCs w:val="16"/>
              </w:rPr>
              <w:br/>
              <w:t>(</w:t>
            </w:r>
            <w:proofErr w:type="spellStart"/>
            <w:r w:rsidRPr="005F0061">
              <w:rPr>
                <w:rFonts w:ascii="Arial" w:hAnsi="Arial" w:cs="Arial"/>
                <w:sz w:val="16"/>
                <w:szCs w:val="16"/>
              </w:rPr>
              <w:t>i</w:t>
            </w:r>
            <w:proofErr w:type="spellEnd"/>
            <w:r w:rsidRPr="005F0061">
              <w:rPr>
                <w:rFonts w:ascii="Arial" w:hAnsi="Arial" w:cs="Arial"/>
                <w:sz w:val="16"/>
                <w:szCs w:val="16"/>
              </w:rPr>
              <w:t xml:space="preserve">) An ERA includes </w:t>
            </w:r>
            <w:proofErr w:type="spellStart"/>
            <w:r w:rsidRPr="005F0061">
              <w:rPr>
                <w:rFonts w:ascii="Arial" w:hAnsi="Arial" w:cs="Arial"/>
                <w:sz w:val="16"/>
                <w:szCs w:val="16"/>
              </w:rPr>
              <w:t>ambrisentan</w:t>
            </w:r>
            <w:proofErr w:type="spellEnd"/>
            <w:r w:rsidRPr="005F0061">
              <w:rPr>
                <w:rFonts w:ascii="Arial" w:hAnsi="Arial" w:cs="Arial"/>
                <w:sz w:val="16"/>
                <w:szCs w:val="16"/>
              </w:rPr>
              <w:t xml:space="preserve">, </w:t>
            </w:r>
            <w:proofErr w:type="spellStart"/>
            <w:r w:rsidRPr="005F0061">
              <w:rPr>
                <w:rFonts w:ascii="Arial" w:hAnsi="Arial" w:cs="Arial"/>
                <w:sz w:val="16"/>
                <w:szCs w:val="16"/>
              </w:rPr>
              <w:t>bosentan</w:t>
            </w:r>
            <w:proofErr w:type="spellEnd"/>
            <w:r w:rsidRPr="005F0061">
              <w:rPr>
                <w:rFonts w:ascii="Arial" w:hAnsi="Arial" w:cs="Arial"/>
                <w:sz w:val="16"/>
                <w:szCs w:val="16"/>
              </w:rPr>
              <w:t xml:space="preserve"> monohydrate, or </w:t>
            </w:r>
            <w:proofErr w:type="spellStart"/>
            <w:r w:rsidRPr="005F0061">
              <w:rPr>
                <w:rFonts w:ascii="Arial" w:hAnsi="Arial" w:cs="Arial"/>
                <w:sz w:val="16"/>
                <w:szCs w:val="16"/>
              </w:rPr>
              <w:t>macitentan</w:t>
            </w:r>
            <w:proofErr w:type="spellEnd"/>
            <w:r w:rsidRPr="005F0061">
              <w:rPr>
                <w:rFonts w:ascii="Arial" w:hAnsi="Arial" w:cs="Arial"/>
                <w:sz w:val="16"/>
                <w:szCs w:val="16"/>
              </w:rPr>
              <w:t>.</w:t>
            </w:r>
            <w:r w:rsidRPr="005F0061">
              <w:rPr>
                <w:rFonts w:ascii="Arial" w:hAnsi="Arial" w:cs="Arial"/>
                <w:sz w:val="16"/>
                <w:szCs w:val="16"/>
              </w:rPr>
              <w:br/>
              <w:t xml:space="preserve">(ii) A PDE-5i includes sildenafil citrate, or </w:t>
            </w:r>
            <w:proofErr w:type="spellStart"/>
            <w:r w:rsidRPr="005F0061">
              <w:rPr>
                <w:rFonts w:ascii="Arial" w:hAnsi="Arial" w:cs="Arial"/>
                <w:sz w:val="16"/>
                <w:szCs w:val="16"/>
              </w:rPr>
              <w:t>tadalafil</w:t>
            </w:r>
            <w:proofErr w:type="spellEnd"/>
            <w:r w:rsidRPr="005F0061">
              <w:rPr>
                <w:rFonts w:ascii="Arial" w:hAnsi="Arial" w:cs="Arial"/>
                <w:sz w:val="16"/>
                <w:szCs w:val="16"/>
              </w:rPr>
              <w:t>.</w:t>
            </w:r>
            <w:r w:rsidRPr="005F0061">
              <w:rPr>
                <w:rFonts w:ascii="Arial" w:hAnsi="Arial" w:cs="Arial"/>
                <w:sz w:val="16"/>
                <w:szCs w:val="16"/>
              </w:rPr>
              <w:br/>
              <w:t>PAH agents are not PBS-subsidised for patients with pulmonary hypertension secondary to interstitial lung disease associated with connective tissue disease, where the total lung capacity is less than 70% of predicted.</w:t>
            </w:r>
            <w:r w:rsidRPr="005F0061">
              <w:rPr>
                <w:rFonts w:ascii="Arial" w:hAnsi="Arial" w:cs="Arial"/>
                <w:sz w:val="16"/>
                <w:szCs w:val="16"/>
              </w:rPr>
              <w:br/>
              <w:t>PAH (WHO Group 1 pulmonary hypertension) is defined as follows</w:t>
            </w:r>
            <w:proofErr w:type="gramStart"/>
            <w:r w:rsidRPr="005F0061">
              <w:rPr>
                <w:rFonts w:ascii="Arial" w:hAnsi="Arial" w:cs="Arial"/>
                <w:sz w:val="16"/>
                <w:szCs w:val="16"/>
              </w:rPr>
              <w:t>:</w:t>
            </w:r>
            <w:proofErr w:type="gramEnd"/>
            <w:r w:rsidRPr="005F0061">
              <w:rPr>
                <w:rFonts w:ascii="Arial" w:hAnsi="Arial" w:cs="Arial"/>
                <w:sz w:val="16"/>
                <w:szCs w:val="16"/>
              </w:rPr>
              <w:br/>
              <w:t>(</w:t>
            </w:r>
            <w:proofErr w:type="spellStart"/>
            <w:r w:rsidRPr="005F0061">
              <w:rPr>
                <w:rFonts w:ascii="Arial" w:hAnsi="Arial" w:cs="Arial"/>
                <w:sz w:val="16"/>
                <w:szCs w:val="16"/>
              </w:rPr>
              <w:t>i</w:t>
            </w:r>
            <w:proofErr w:type="spellEnd"/>
            <w:r w:rsidRPr="005F0061">
              <w:rPr>
                <w:rFonts w:ascii="Arial" w:hAnsi="Arial" w:cs="Arial"/>
                <w:sz w:val="16"/>
                <w:szCs w:val="16"/>
              </w:rPr>
              <w:t>) mean pulmonary artery pressure (</w:t>
            </w:r>
            <w:proofErr w:type="spellStart"/>
            <w:r w:rsidRPr="005F0061">
              <w:rPr>
                <w:rFonts w:ascii="Arial" w:hAnsi="Arial" w:cs="Arial"/>
                <w:sz w:val="16"/>
                <w:szCs w:val="16"/>
              </w:rPr>
              <w:t>mPAP</w:t>
            </w:r>
            <w:proofErr w:type="spellEnd"/>
            <w:r w:rsidRPr="005F0061">
              <w:rPr>
                <w:rFonts w:ascii="Arial" w:hAnsi="Arial" w:cs="Arial"/>
                <w:sz w:val="16"/>
                <w:szCs w:val="16"/>
              </w:rPr>
              <w:t>) greater than or equal to 25 mmHg at rest and pulmonary artery wedge pressure (PAWP) less than or equal to 15 mmHg; or</w:t>
            </w:r>
            <w:r w:rsidRPr="005F0061">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5F0061">
              <w:rPr>
                <w:rFonts w:ascii="Arial" w:hAnsi="Arial" w:cs="Arial"/>
                <w:sz w:val="16"/>
                <w:szCs w:val="16"/>
              </w:rPr>
              <w:br/>
              <w:t>Applications for authorisation must be in writing and must include:</w:t>
            </w:r>
            <w:r w:rsidRPr="005F0061">
              <w:rPr>
                <w:rFonts w:ascii="Arial" w:hAnsi="Arial" w:cs="Arial"/>
                <w:sz w:val="16"/>
                <w:szCs w:val="16"/>
              </w:rPr>
              <w:br/>
              <w:t>(1) a completed authority prescription form; and</w:t>
            </w:r>
            <w:r w:rsidRPr="005F0061">
              <w:rPr>
                <w:rFonts w:ascii="Arial" w:hAnsi="Arial" w:cs="Arial"/>
                <w:sz w:val="16"/>
                <w:szCs w:val="16"/>
              </w:rPr>
              <w:br/>
              <w:t>(2) a completed Pulmonary Arterial Hypertension PBS Authority Application - Supporting Information form which includes results from the three tests below, where available:</w:t>
            </w:r>
            <w:r w:rsidRPr="005F0061">
              <w:rPr>
                <w:rFonts w:ascii="Arial" w:hAnsi="Arial" w:cs="Arial"/>
                <w:sz w:val="16"/>
                <w:szCs w:val="16"/>
              </w:rPr>
              <w:br/>
              <w:t>(</w:t>
            </w:r>
            <w:proofErr w:type="spellStart"/>
            <w:r w:rsidRPr="005F0061">
              <w:rPr>
                <w:rFonts w:ascii="Arial" w:hAnsi="Arial" w:cs="Arial"/>
                <w:sz w:val="16"/>
                <w:szCs w:val="16"/>
              </w:rPr>
              <w:t>i</w:t>
            </w:r>
            <w:proofErr w:type="spellEnd"/>
            <w:r w:rsidRPr="005F0061">
              <w:rPr>
                <w:rFonts w:ascii="Arial" w:hAnsi="Arial" w:cs="Arial"/>
                <w:sz w:val="16"/>
                <w:szCs w:val="16"/>
              </w:rPr>
              <w:t>) RHC composite assessment; and</w:t>
            </w:r>
            <w:r w:rsidRPr="005F0061">
              <w:rPr>
                <w:rFonts w:ascii="Arial" w:hAnsi="Arial" w:cs="Arial"/>
                <w:sz w:val="16"/>
                <w:szCs w:val="16"/>
              </w:rPr>
              <w:br/>
              <w:t>(ii) ECHO composite assessment; and</w:t>
            </w:r>
            <w:r w:rsidRPr="005F0061">
              <w:rPr>
                <w:rFonts w:ascii="Arial" w:hAnsi="Arial" w:cs="Arial"/>
                <w:sz w:val="16"/>
                <w:szCs w:val="16"/>
              </w:rPr>
              <w:br/>
              <w:t>(iii) 6 Minute Walk Test (6MWT).</w:t>
            </w:r>
            <w:r w:rsidRPr="005F0061">
              <w:rPr>
                <w:rFonts w:ascii="Arial" w:hAnsi="Arial" w:cs="Arial"/>
                <w:sz w:val="16"/>
                <w:szCs w:val="16"/>
              </w:rPr>
              <w:br/>
              <w:t>Where it is not possible to perform all 3 tests on clinical grounds, the following list outlines the preferred test combination, in descending order, for the purposes of initiation of PBS-subsidised treatment:</w:t>
            </w:r>
            <w:r w:rsidRPr="005F0061">
              <w:rPr>
                <w:rFonts w:ascii="Arial" w:hAnsi="Arial" w:cs="Arial"/>
                <w:sz w:val="16"/>
                <w:szCs w:val="16"/>
              </w:rPr>
              <w:br/>
              <w:t>(1) RHC plus ECHO composite assessments;</w:t>
            </w:r>
            <w:r w:rsidRPr="005F0061">
              <w:rPr>
                <w:rFonts w:ascii="Arial" w:hAnsi="Arial" w:cs="Arial"/>
                <w:sz w:val="16"/>
                <w:szCs w:val="16"/>
              </w:rPr>
              <w:br/>
              <w:t>(2) RHC composite assessment plus 6MWT;</w:t>
            </w:r>
            <w:r w:rsidRPr="005F0061">
              <w:rPr>
                <w:rFonts w:ascii="Arial" w:hAnsi="Arial" w:cs="Arial"/>
                <w:sz w:val="16"/>
                <w:szCs w:val="16"/>
              </w:rPr>
              <w:br/>
              <w:t>(3) RHC composite assessment only.</w:t>
            </w:r>
            <w:r w:rsidRPr="005F0061">
              <w:rPr>
                <w:rFonts w:ascii="Arial" w:hAnsi="Arial" w:cs="Arial"/>
                <w:sz w:val="16"/>
                <w:szCs w:val="16"/>
              </w:rPr>
              <w:br/>
              <w:t>In circumstances where a RHC cannot be performed on clinical grounds, applications may be submitted for consideration based on the results of the following test combinations, which are listed in descending order of preference</w:t>
            </w:r>
            <w:proofErr w:type="gramStart"/>
            <w:r w:rsidRPr="005F0061">
              <w:rPr>
                <w:rFonts w:ascii="Arial" w:hAnsi="Arial" w:cs="Arial"/>
                <w:sz w:val="16"/>
                <w:szCs w:val="16"/>
              </w:rPr>
              <w:t>:</w:t>
            </w:r>
            <w:proofErr w:type="gramEnd"/>
            <w:r w:rsidRPr="005F0061">
              <w:rPr>
                <w:rFonts w:ascii="Arial" w:hAnsi="Arial" w:cs="Arial"/>
                <w:sz w:val="16"/>
                <w:szCs w:val="16"/>
              </w:rPr>
              <w:br/>
              <w:t>(1) ECHO composite assessment plus 6MWT;</w:t>
            </w:r>
            <w:r w:rsidRPr="005F0061">
              <w:rPr>
                <w:rFonts w:ascii="Arial" w:hAnsi="Arial" w:cs="Arial"/>
                <w:sz w:val="16"/>
                <w:szCs w:val="16"/>
              </w:rPr>
              <w:br/>
              <w:t>(2) ECHO composite assessment only.</w:t>
            </w:r>
            <w:r w:rsidRPr="005F0061">
              <w:rPr>
                <w:rFonts w:ascii="Arial" w:hAnsi="Arial" w:cs="Arial"/>
                <w:sz w:val="16"/>
                <w:szCs w:val="16"/>
              </w:rPr>
              <w:br/>
              <w:t>Where fewer than 3 tests are able to be performed on clinical grounds, a patient specific reason outlining why the particular test(s) could not be conducted must be provided with the authority application.</w:t>
            </w:r>
            <w:r w:rsidRPr="005F0061">
              <w:rPr>
                <w:rFonts w:ascii="Arial" w:hAnsi="Arial" w:cs="Arial"/>
                <w:sz w:val="16"/>
                <w:szCs w:val="16"/>
              </w:rPr>
              <w:br/>
              <w:t>Where a RHC cannot be performed on clinical grounds, confirmation of the reason(s) must be provided with the authority application by a second PAH physician or cardiologist with expertise in the management of PAH.</w:t>
            </w:r>
            <w:r w:rsidRPr="005F0061">
              <w:rPr>
                <w:rFonts w:ascii="Arial" w:hAnsi="Arial" w:cs="Arial"/>
                <w:sz w:val="16"/>
                <w:szCs w:val="16"/>
              </w:rPr>
              <w:br/>
              <w:t>The test results provided must not be more than 2 months old at the time of application.</w:t>
            </w:r>
            <w:r w:rsidRPr="005F0061">
              <w:rPr>
                <w:rFonts w:ascii="Arial" w:hAnsi="Arial" w:cs="Arial"/>
                <w:sz w:val="16"/>
                <w:szCs w:val="16"/>
              </w:rPr>
              <w:br/>
              <w:t>If patients will be taking 62.5mg for the first month then 125 mg, prescribers should request the first authority prescription of therapy with the 62.5 mg tablet strength, with the quantity for one month of treatment, based on the dosage recommendations in the TGA-approved Product Information and no repeats.</w:t>
            </w:r>
            <w:r w:rsidRPr="005F0061">
              <w:rPr>
                <w:rFonts w:ascii="Arial" w:hAnsi="Arial" w:cs="Arial"/>
                <w:sz w:val="16"/>
                <w:szCs w:val="16"/>
              </w:rPr>
              <w:br/>
              <w:t>Prescribers should request the second authority prescription of therapy with the 125 mg tablet strengths, with a quantity for one month of treatment, based on the dosage recommendations in the TGA-approved Product Information, and a maximum of 4 repeats.</w:t>
            </w:r>
            <w:r w:rsidRPr="005F0061">
              <w:rPr>
                <w:rFonts w:ascii="Arial" w:hAnsi="Arial" w:cs="Arial"/>
                <w:sz w:val="16"/>
                <w:szCs w:val="16"/>
              </w:rPr>
              <w:br/>
              <w:t xml:space="preserve">If patients will be taking 62.5mg for longer than 1 month, prescribers should request the first authority </w:t>
            </w:r>
            <w:r w:rsidRPr="005F0061">
              <w:rPr>
                <w:rFonts w:ascii="Arial" w:hAnsi="Arial" w:cs="Arial"/>
                <w:sz w:val="16"/>
                <w:szCs w:val="16"/>
              </w:rPr>
              <w:lastRenderedPageBreak/>
              <w:t>prescription of therapy with the 62.5 mg tablet strength, with the quantity for one month of treatment and a maximum of 5 repeats based on the dosage recommendations in the TGA-approved Product Information.</w:t>
            </w:r>
          </w:p>
        </w:tc>
        <w:tc>
          <w:tcPr>
            <w:tcW w:w="2650" w:type="dxa"/>
            <w:shd w:val="clear" w:color="auto" w:fill="auto"/>
            <w:tcMar>
              <w:top w:w="28" w:type="dxa"/>
              <w:left w:w="28" w:type="dxa"/>
              <w:right w:w="57" w:type="dxa"/>
            </w:tcMar>
          </w:tcPr>
          <w:p w14:paraId="683525B1" w14:textId="195E0680" w:rsidR="00BA628B" w:rsidRPr="005F0061" w:rsidRDefault="00BA628B" w:rsidP="00BA628B">
            <w:pPr>
              <w:pStyle w:val="Tabletext0"/>
              <w:rPr>
                <w:rFonts w:cs="Arial"/>
                <w:szCs w:val="16"/>
              </w:rPr>
            </w:pPr>
            <w:r w:rsidRPr="005F0061">
              <w:rPr>
                <w:rFonts w:cs="Arial"/>
                <w:szCs w:val="16"/>
              </w:rPr>
              <w:lastRenderedPageBreak/>
              <w:t>Compliance with Written Authority Required procedures</w:t>
            </w:r>
          </w:p>
        </w:tc>
      </w:tr>
    </w:tbl>
    <w:p w14:paraId="366AFBBE" w14:textId="7C1334C8" w:rsidR="008B0820" w:rsidRPr="005F0061" w:rsidRDefault="008B0820" w:rsidP="00291A25">
      <w:pPr>
        <w:pStyle w:val="Amendment1"/>
        <w:numPr>
          <w:ilvl w:val="0"/>
          <w:numId w:val="26"/>
        </w:numPr>
        <w:spacing w:before="60" w:after="60"/>
        <w:ind w:left="1134" w:hanging="567"/>
        <w:rPr>
          <w:rFonts w:ascii="Times New Roman" w:hAnsi="Times New Roman" w:cs="Times New Roman"/>
          <w:b w:val="0"/>
          <w:bCs w:val="0"/>
          <w:i/>
          <w:iCs/>
        </w:rPr>
      </w:pPr>
      <w:r w:rsidRPr="005F0061">
        <w:rPr>
          <w:rFonts w:ascii="Times New Roman" w:hAnsi="Times New Roman" w:cs="Times New Roman"/>
          <w:b w:val="0"/>
          <w:bCs w:val="0"/>
          <w:i/>
          <w:iCs/>
        </w:rPr>
        <w:lastRenderedPageBreak/>
        <w:t>insert in numerical order after existing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C11B81" w:rsidRPr="005F0061" w14:paraId="02BC3A27" w14:textId="77777777" w:rsidTr="005E778F">
        <w:tc>
          <w:tcPr>
            <w:tcW w:w="1900" w:type="dxa"/>
            <w:shd w:val="clear" w:color="auto" w:fill="auto"/>
            <w:tcMar>
              <w:top w:w="28" w:type="dxa"/>
              <w:left w:w="28" w:type="dxa"/>
            </w:tcMar>
          </w:tcPr>
          <w:p w14:paraId="194A340D" w14:textId="77777777" w:rsidR="00C11B81" w:rsidRPr="005F0061" w:rsidRDefault="00C11B81" w:rsidP="00C11B81">
            <w:pPr>
              <w:pStyle w:val="Tabletext0"/>
              <w:tabs>
                <w:tab w:val="left" w:pos="958"/>
              </w:tabs>
              <w:rPr>
                <w:rFonts w:cs="Arial"/>
                <w:szCs w:val="16"/>
              </w:rPr>
            </w:pPr>
          </w:p>
        </w:tc>
        <w:tc>
          <w:tcPr>
            <w:tcW w:w="850" w:type="dxa"/>
            <w:shd w:val="clear" w:color="auto" w:fill="auto"/>
            <w:tcMar>
              <w:top w:w="28" w:type="dxa"/>
              <w:left w:w="28" w:type="dxa"/>
            </w:tcMar>
          </w:tcPr>
          <w:p w14:paraId="4EBB9450" w14:textId="2FCDFF40" w:rsidR="00C11B81" w:rsidRPr="005F0061" w:rsidRDefault="00C11B81" w:rsidP="00C11B81">
            <w:pPr>
              <w:pStyle w:val="Tabletext0"/>
              <w:rPr>
                <w:rFonts w:cs="Arial"/>
                <w:szCs w:val="16"/>
              </w:rPr>
            </w:pPr>
            <w:r w:rsidRPr="005F0061">
              <w:rPr>
                <w:rFonts w:cs="Arial"/>
                <w:szCs w:val="16"/>
              </w:rPr>
              <w:t>C11229</w:t>
            </w:r>
          </w:p>
        </w:tc>
        <w:tc>
          <w:tcPr>
            <w:tcW w:w="850" w:type="dxa"/>
            <w:shd w:val="clear" w:color="auto" w:fill="auto"/>
            <w:tcMar>
              <w:top w:w="28" w:type="dxa"/>
              <w:left w:w="28" w:type="dxa"/>
            </w:tcMar>
          </w:tcPr>
          <w:p w14:paraId="0D35A6BE" w14:textId="77777777" w:rsidR="00C11B81" w:rsidRPr="005F0061" w:rsidDel="00E03489" w:rsidRDefault="00C11B81" w:rsidP="0093450B">
            <w:pPr>
              <w:pStyle w:val="mps3-data"/>
            </w:pPr>
          </w:p>
        </w:tc>
        <w:tc>
          <w:tcPr>
            <w:tcW w:w="7661" w:type="dxa"/>
            <w:shd w:val="clear" w:color="auto" w:fill="auto"/>
            <w:tcMar>
              <w:top w:w="28" w:type="dxa"/>
              <w:left w:w="28" w:type="dxa"/>
            </w:tcMar>
          </w:tcPr>
          <w:p w14:paraId="5E4A8D28" w14:textId="0E269B5C" w:rsidR="00C11B81" w:rsidRPr="005F0061" w:rsidRDefault="00C11B81" w:rsidP="0093450B">
            <w:pPr>
              <w:pStyle w:val="mps3-data"/>
            </w:pPr>
            <w:r w:rsidRPr="005F0061">
              <w:t>Pulmonary arterial hypertension (PAH)</w:t>
            </w:r>
            <w:r w:rsidR="003327A6" w:rsidRPr="005F0061">
              <w:br/>
            </w:r>
            <w:r w:rsidRPr="005F0061">
              <w:t xml:space="preserve">Triple therapy - Initial treatment or continuing treatment of triple combination therapy (including dual therapy in lieu of triple therapy) that includes </w:t>
            </w:r>
            <w:proofErr w:type="spellStart"/>
            <w:r w:rsidRPr="005F0061">
              <w:t>selexipag</w:t>
            </w:r>
            <w:proofErr w:type="spellEnd"/>
            <w:r w:rsidR="003327A6" w:rsidRPr="005F0061">
              <w:br/>
            </w:r>
            <w:r w:rsidRPr="005F0061">
              <w:t>The treatment must form part of triple combination therapy consisting of: (</w:t>
            </w:r>
            <w:proofErr w:type="spellStart"/>
            <w:r w:rsidRPr="005F0061">
              <w:t>i</w:t>
            </w:r>
            <w:proofErr w:type="spellEnd"/>
            <w:r w:rsidRPr="005F0061">
              <w:t xml:space="preserve">) one endothelin receptor antagonist, (ii) one phosphodiesterase-5 inhibitor, (iii) PBS-subsidised </w:t>
            </w:r>
            <w:proofErr w:type="spellStart"/>
            <w:r w:rsidRPr="005F0061">
              <w:t>selexipag</w:t>
            </w:r>
            <w:proofErr w:type="spellEnd"/>
            <w:r w:rsidRPr="005F0061">
              <w:t xml:space="preserve"> (referred to as 'triple therapy'); OR</w:t>
            </w:r>
            <w:r w:rsidR="003327A6" w:rsidRPr="005F0061">
              <w:br/>
            </w:r>
            <w:r w:rsidRPr="005F0061">
              <w:t>The treatment must form part of dual combination therapy consisting of either: (</w:t>
            </w:r>
            <w:proofErr w:type="spellStart"/>
            <w:r w:rsidRPr="005F0061">
              <w:t>i</w:t>
            </w:r>
            <w:proofErr w:type="spellEnd"/>
            <w:r w:rsidRPr="005F0061">
              <w:t xml:space="preserve">) PBS-subsidised </w:t>
            </w:r>
            <w:proofErr w:type="spellStart"/>
            <w:r w:rsidRPr="005F0061">
              <w:t>selexipag</w:t>
            </w:r>
            <w:proofErr w:type="spellEnd"/>
            <w:r w:rsidRPr="005F0061">
              <w:t xml:space="preserve"> with one endothelin receptor antagonist, (ii) PBS-subsidised </w:t>
            </w:r>
            <w:proofErr w:type="spellStart"/>
            <w:r w:rsidRPr="005F0061">
              <w:t>selexipag</w:t>
            </w:r>
            <w:proofErr w:type="spellEnd"/>
            <w:r w:rsidRPr="005F0061">
              <w:t xml:space="preserve"> with one phosphodiesterase-5 inhibitor, as triple combination therapy with </w:t>
            </w:r>
            <w:proofErr w:type="spellStart"/>
            <w:r w:rsidRPr="005F0061">
              <w:t>selexipag</w:t>
            </w:r>
            <w:proofErr w:type="spellEnd"/>
            <w:r w:rsidRPr="005F0061">
              <w:t>-an endothelin receptor antagonist-a phoshodiesterase-5 inhibitor is not possible due to an intolerance/contraindication to the endothelin receptor antagonist class/phosphodiesterase-5 inhibitor class (referred to as 'dual therapy in lieu of triple therapy').</w:t>
            </w:r>
            <w:r w:rsidR="003327A6" w:rsidRPr="005F0061">
              <w:br/>
            </w:r>
            <w:r w:rsidRPr="005F0061">
              <w:t>Must be treated by a physician with expertise in the management of PAH, with this authority application to be completed by the physician with expertise in PAH.</w:t>
            </w:r>
            <w:r w:rsidR="003327A6" w:rsidRPr="005F0061">
              <w:br/>
            </w:r>
            <w:r w:rsidRPr="005F0061">
              <w:t xml:space="preserve">The authority application for </w:t>
            </w:r>
            <w:proofErr w:type="spellStart"/>
            <w:r w:rsidRPr="005F0061">
              <w:t>selexipag</w:t>
            </w:r>
            <w:proofErr w:type="spellEnd"/>
            <w:r w:rsidRPr="005F0061">
              <w:t xml:space="preserve"> must be approved prior to the authority application for this agent.</w:t>
            </w:r>
            <w:r w:rsidR="003327A6" w:rsidRPr="005F0061">
              <w:br/>
            </w:r>
            <w:r w:rsidRPr="005F0061">
              <w:t xml:space="preserve">For the purposes of PBS subsidy, an endothelin receptor antagonist is one of: (a) </w:t>
            </w:r>
            <w:proofErr w:type="spellStart"/>
            <w:r w:rsidRPr="005F0061">
              <w:t>ambrisentan</w:t>
            </w:r>
            <w:proofErr w:type="spellEnd"/>
            <w:r w:rsidRPr="005F0061">
              <w:t xml:space="preserve">, (b) </w:t>
            </w:r>
            <w:proofErr w:type="spellStart"/>
            <w:r w:rsidRPr="005F0061">
              <w:t>bosentan</w:t>
            </w:r>
            <w:proofErr w:type="spellEnd"/>
            <w:r w:rsidRPr="005F0061">
              <w:t xml:space="preserve">, (c) </w:t>
            </w:r>
            <w:proofErr w:type="spellStart"/>
            <w:r w:rsidRPr="005F0061">
              <w:t>macitentan</w:t>
            </w:r>
            <w:proofErr w:type="spellEnd"/>
            <w:r w:rsidRPr="005F0061">
              <w:t xml:space="preserve">; a phosphodiesterase-5 inhibitor is one of: (d) sildenafil, (e) </w:t>
            </w:r>
            <w:proofErr w:type="spellStart"/>
            <w:r w:rsidRPr="005F0061">
              <w:t>tadalafil</w:t>
            </w:r>
            <w:proofErr w:type="spellEnd"/>
            <w:r w:rsidRPr="005F0061">
              <w:t>.</w:t>
            </w:r>
            <w:r w:rsidR="003327A6" w:rsidRPr="005F0061">
              <w:br/>
            </w:r>
            <w:r w:rsidRPr="005F0061">
              <w:t>PBS-subsidy does not cover patients with pulmonary hypertension secondary to interstitial lung disease associated with connective tissue disease, where the total lung capacity is less than 70% of predicted.</w:t>
            </w:r>
            <w:r w:rsidR="003327A6" w:rsidRPr="005F0061">
              <w:br/>
            </w:r>
            <w:r w:rsidRPr="005F0061">
              <w:t>PAH (WHO Group 1 pulmonary hypertension) is defined as follows</w:t>
            </w:r>
            <w:proofErr w:type="gramStart"/>
            <w:r w:rsidRPr="005F0061">
              <w:t>:</w:t>
            </w:r>
            <w:proofErr w:type="gramEnd"/>
            <w:r w:rsidR="003327A6" w:rsidRPr="005F0061">
              <w:br/>
            </w:r>
            <w:r w:rsidRPr="005F0061">
              <w:t>(</w:t>
            </w:r>
            <w:proofErr w:type="spellStart"/>
            <w:r w:rsidRPr="005F0061">
              <w:t>i</w:t>
            </w:r>
            <w:proofErr w:type="spellEnd"/>
            <w:r w:rsidRPr="005F0061">
              <w:t>) mean pulmonary artery pressure (</w:t>
            </w:r>
            <w:proofErr w:type="spellStart"/>
            <w:r w:rsidRPr="005F0061">
              <w:t>mPAP</w:t>
            </w:r>
            <w:proofErr w:type="spellEnd"/>
            <w:r w:rsidRPr="005F0061">
              <w:t>) greater than or equal to 25 mmHg at rest and pulmonary artery wedge pressure (PAWP) less than or equal to 15 mmHg; or</w:t>
            </w:r>
            <w:r w:rsidR="003327A6" w:rsidRPr="005F0061">
              <w:br/>
            </w:r>
            <w:r w:rsidRPr="005F0061">
              <w:t>(ii) where a right heart catheter (RHC) cannot be performed on clinical grounds, right ventricular systolic pressure (RVSP), assessed by echocardiography (ECHO), greater than 40 mmHg, with normal left ventricular function.</w:t>
            </w:r>
            <w:r w:rsidR="003327A6" w:rsidRPr="005F0061">
              <w:br/>
            </w:r>
            <w:r w:rsidRPr="005F0061">
              <w:t>The results and date of the RHC, ECHO and 6 MWT as applicable must be included in the patient's medical record. Where a RHC cannot be performed on clinical grounds, the written confirmation of the reasons why must also be included in the patient's medical record.</w:t>
            </w:r>
            <w:r w:rsidR="003327A6" w:rsidRPr="005F0061">
              <w:br/>
            </w:r>
            <w:r w:rsidRPr="005F0061">
              <w:t>The maximum quantity authorised will be limited to provide sufficient supply for 1 month of treatment, based on the dosage recommendations in the TGA-approved Product Information.</w:t>
            </w:r>
            <w:r w:rsidR="003327A6" w:rsidRPr="005F0061">
              <w:br/>
            </w:r>
            <w:r w:rsidRPr="005F0061">
              <w:t>A maximum of 5 repeats may be requested.</w:t>
            </w:r>
          </w:p>
        </w:tc>
        <w:tc>
          <w:tcPr>
            <w:tcW w:w="2650" w:type="dxa"/>
            <w:shd w:val="clear" w:color="auto" w:fill="auto"/>
            <w:tcMar>
              <w:top w:w="28" w:type="dxa"/>
              <w:left w:w="28" w:type="dxa"/>
              <w:right w:w="57" w:type="dxa"/>
            </w:tcMar>
          </w:tcPr>
          <w:p w14:paraId="6D1611F8" w14:textId="10F0F5B0" w:rsidR="00C11B81" w:rsidRPr="005F0061" w:rsidRDefault="00C11B81" w:rsidP="00C11B81">
            <w:pPr>
              <w:pStyle w:val="Tabletext0"/>
              <w:rPr>
                <w:rFonts w:cs="Arial"/>
                <w:szCs w:val="16"/>
              </w:rPr>
            </w:pPr>
            <w:r w:rsidRPr="005F0061">
              <w:t>Compliance with Authority Required procedures</w:t>
            </w:r>
          </w:p>
        </w:tc>
      </w:tr>
      <w:tr w:rsidR="00C11B81" w:rsidRPr="005F0061" w14:paraId="7FE99ECC" w14:textId="77777777" w:rsidTr="005E778F">
        <w:tc>
          <w:tcPr>
            <w:tcW w:w="1900" w:type="dxa"/>
            <w:shd w:val="clear" w:color="auto" w:fill="auto"/>
            <w:tcMar>
              <w:top w:w="28" w:type="dxa"/>
              <w:left w:w="28" w:type="dxa"/>
            </w:tcMar>
          </w:tcPr>
          <w:p w14:paraId="7094E0BC" w14:textId="77777777" w:rsidR="00C11B81" w:rsidRPr="005F0061" w:rsidRDefault="00C11B81" w:rsidP="00C11B81">
            <w:pPr>
              <w:pStyle w:val="Tabletext0"/>
              <w:tabs>
                <w:tab w:val="left" w:pos="958"/>
              </w:tabs>
              <w:rPr>
                <w:rFonts w:cs="Arial"/>
                <w:szCs w:val="16"/>
              </w:rPr>
            </w:pPr>
          </w:p>
        </w:tc>
        <w:tc>
          <w:tcPr>
            <w:tcW w:w="850" w:type="dxa"/>
            <w:shd w:val="clear" w:color="auto" w:fill="auto"/>
            <w:tcMar>
              <w:top w:w="28" w:type="dxa"/>
              <w:left w:w="28" w:type="dxa"/>
            </w:tcMar>
          </w:tcPr>
          <w:p w14:paraId="1A7E90D9" w14:textId="49F5BFE9" w:rsidR="00C11B81" w:rsidRPr="005F0061" w:rsidRDefault="00C11B81" w:rsidP="00C11B81">
            <w:pPr>
              <w:pStyle w:val="Tabletext0"/>
              <w:rPr>
                <w:rFonts w:cs="Arial"/>
                <w:szCs w:val="16"/>
              </w:rPr>
            </w:pPr>
            <w:r w:rsidRPr="005F0061">
              <w:rPr>
                <w:rFonts w:cs="Arial"/>
                <w:szCs w:val="16"/>
              </w:rPr>
              <w:t>C11231</w:t>
            </w:r>
          </w:p>
        </w:tc>
        <w:tc>
          <w:tcPr>
            <w:tcW w:w="850" w:type="dxa"/>
            <w:shd w:val="clear" w:color="auto" w:fill="auto"/>
            <w:tcMar>
              <w:top w:w="28" w:type="dxa"/>
              <w:left w:w="28" w:type="dxa"/>
            </w:tcMar>
          </w:tcPr>
          <w:p w14:paraId="048794C0" w14:textId="77777777" w:rsidR="00C11B81" w:rsidRPr="005F0061" w:rsidDel="00E03489" w:rsidRDefault="00C11B81" w:rsidP="00C11B81">
            <w:pPr>
              <w:spacing w:before="60" w:after="60"/>
              <w:rPr>
                <w:rFonts w:ascii="Arial" w:hAnsi="Arial" w:cs="Arial"/>
                <w:sz w:val="16"/>
                <w:szCs w:val="16"/>
                <w:lang w:eastAsia="en-AU"/>
              </w:rPr>
            </w:pPr>
          </w:p>
        </w:tc>
        <w:tc>
          <w:tcPr>
            <w:tcW w:w="7661" w:type="dxa"/>
            <w:shd w:val="clear" w:color="auto" w:fill="auto"/>
            <w:tcMar>
              <w:top w:w="28" w:type="dxa"/>
              <w:left w:w="28" w:type="dxa"/>
            </w:tcMar>
          </w:tcPr>
          <w:p w14:paraId="60623AE7" w14:textId="78616024" w:rsidR="00C11B81" w:rsidRPr="005F0061" w:rsidRDefault="00C11B81" w:rsidP="00740101">
            <w:pPr>
              <w:pStyle w:val="mps3-data"/>
              <w:rPr>
                <w:szCs w:val="16"/>
              </w:rPr>
            </w:pPr>
            <w:r w:rsidRPr="005F0061">
              <w:t>Pulmonary arterial hypertension (PAH</w:t>
            </w:r>
            <w:proofErr w:type="gramStart"/>
            <w:r w:rsidRPr="005F0061">
              <w:t>)</w:t>
            </w:r>
            <w:proofErr w:type="gramEnd"/>
            <w:r w:rsidR="003327A6" w:rsidRPr="005F0061">
              <w:br/>
            </w:r>
            <w:r w:rsidRPr="005F0061">
              <w:t>Initial 3 (dual therapy - change)</w:t>
            </w:r>
            <w:r w:rsidR="003327A6" w:rsidRPr="005F0061">
              <w:br/>
            </w:r>
            <w:r w:rsidRPr="005F0061">
              <w:t>Patient must have had their most recent course of PBS-subsidised dual therapy with a phosphodiesterase-5 inhibitor (PDE-5i) and an endothelin receptor antagonist (ERA) other than this agent for this condition.</w:t>
            </w:r>
            <w:r w:rsidR="003327A6" w:rsidRPr="005F0061">
              <w:br/>
            </w:r>
            <w:r w:rsidRPr="005F0061">
              <w:t>Must be treated by a physician with expertise in the management of PAH, with this authority application to be completed by the physician with expertise in PAH.</w:t>
            </w:r>
            <w:r w:rsidR="003327A6" w:rsidRPr="005F0061">
              <w:br/>
            </w:r>
            <w:r w:rsidRPr="005F0061">
              <w:t xml:space="preserve">The term 'PAH agents' refers to </w:t>
            </w:r>
            <w:proofErr w:type="spellStart"/>
            <w:r w:rsidRPr="005F0061">
              <w:t>bosentan</w:t>
            </w:r>
            <w:proofErr w:type="spellEnd"/>
            <w:r w:rsidRPr="005F0061">
              <w:t xml:space="preserve"> monohydrate, </w:t>
            </w:r>
            <w:proofErr w:type="spellStart"/>
            <w:r w:rsidRPr="005F0061">
              <w:t>iloprost</w:t>
            </w:r>
            <w:proofErr w:type="spellEnd"/>
            <w:r w:rsidRPr="005F0061">
              <w:t xml:space="preserve"> trometamol, </w:t>
            </w:r>
            <w:proofErr w:type="spellStart"/>
            <w:r w:rsidRPr="005F0061">
              <w:t>epoprostenol</w:t>
            </w:r>
            <w:proofErr w:type="spellEnd"/>
            <w:r w:rsidRPr="005F0061">
              <w:t xml:space="preserve"> sodium, sildenafil citrate, </w:t>
            </w:r>
            <w:proofErr w:type="spellStart"/>
            <w:r w:rsidRPr="005F0061">
              <w:t>ambrisentan</w:t>
            </w:r>
            <w:proofErr w:type="spellEnd"/>
            <w:r w:rsidRPr="005F0061">
              <w:t xml:space="preserve">, </w:t>
            </w:r>
            <w:proofErr w:type="spellStart"/>
            <w:r w:rsidRPr="005F0061">
              <w:t>tadalafil</w:t>
            </w:r>
            <w:proofErr w:type="spellEnd"/>
            <w:r w:rsidRPr="005F0061">
              <w:t xml:space="preserve">, </w:t>
            </w:r>
            <w:proofErr w:type="spellStart"/>
            <w:r w:rsidRPr="005F0061">
              <w:t>macitentan</w:t>
            </w:r>
            <w:proofErr w:type="spellEnd"/>
            <w:r w:rsidRPr="005F0061">
              <w:t xml:space="preserve">, and </w:t>
            </w:r>
            <w:proofErr w:type="spellStart"/>
            <w:r w:rsidRPr="005F0061">
              <w:t>riociguat</w:t>
            </w:r>
            <w:proofErr w:type="spellEnd"/>
            <w:r w:rsidRPr="005F0061">
              <w:t>.</w:t>
            </w:r>
            <w:r w:rsidR="003327A6" w:rsidRPr="005F0061">
              <w:br/>
            </w:r>
            <w:r w:rsidRPr="005F0061">
              <w:t>For the purposes of PBS subsidy, dual therapy refers to combined use of an endothelin receptor antagonist (ERA) and a phosphodiesterase-5 inhibitor (PDE-5i).</w:t>
            </w:r>
            <w:r w:rsidR="003327A6" w:rsidRPr="005F0061">
              <w:br/>
            </w:r>
            <w:r w:rsidRPr="005F0061">
              <w:t>(</w:t>
            </w:r>
            <w:proofErr w:type="spellStart"/>
            <w:r w:rsidRPr="005F0061">
              <w:t>i</w:t>
            </w:r>
            <w:proofErr w:type="spellEnd"/>
            <w:r w:rsidRPr="005F0061">
              <w:t xml:space="preserve">) An ERA includes </w:t>
            </w:r>
            <w:proofErr w:type="spellStart"/>
            <w:r w:rsidRPr="005F0061">
              <w:t>ambrisentan</w:t>
            </w:r>
            <w:proofErr w:type="spellEnd"/>
            <w:r w:rsidRPr="005F0061">
              <w:t xml:space="preserve">, </w:t>
            </w:r>
            <w:proofErr w:type="spellStart"/>
            <w:r w:rsidRPr="005F0061">
              <w:t>bosentan</w:t>
            </w:r>
            <w:proofErr w:type="spellEnd"/>
            <w:r w:rsidRPr="005F0061">
              <w:t xml:space="preserve"> monohydrate, or </w:t>
            </w:r>
            <w:proofErr w:type="spellStart"/>
            <w:r w:rsidRPr="005F0061">
              <w:t>macitentan</w:t>
            </w:r>
            <w:proofErr w:type="spellEnd"/>
            <w:r w:rsidRPr="005F0061">
              <w:t>.</w:t>
            </w:r>
            <w:r w:rsidR="003327A6" w:rsidRPr="005F0061">
              <w:br/>
            </w:r>
            <w:r w:rsidRPr="005F0061">
              <w:t xml:space="preserve">(ii) A PDE-5i includes sildenafil citrate, or </w:t>
            </w:r>
            <w:proofErr w:type="spellStart"/>
            <w:r w:rsidRPr="005F0061">
              <w:t>tadalafil</w:t>
            </w:r>
            <w:proofErr w:type="spellEnd"/>
            <w:r w:rsidRPr="005F0061">
              <w:t>.</w:t>
            </w:r>
            <w:r w:rsidR="003327A6" w:rsidRPr="005F0061">
              <w:br/>
            </w:r>
            <w:r w:rsidRPr="005F0061">
              <w:t xml:space="preserve">PAH agents are not PBS-subsidised for patients with pulmonary hypertension secondary to interstitial lung disease associated with connective tissue disease, where the total lung capacity is less than 70% of </w:t>
            </w:r>
            <w:r w:rsidRPr="005F0061">
              <w:lastRenderedPageBreak/>
              <w:t>predicted.</w:t>
            </w:r>
            <w:r w:rsidR="003327A6" w:rsidRPr="005F0061">
              <w:br/>
            </w:r>
            <w:r w:rsidRPr="005F0061">
              <w:t>Swapping between PAH agents: Patients can access PAH agents through the PBS according to the relevant restrictions.</w:t>
            </w:r>
            <w:r w:rsidR="003327A6" w:rsidRPr="005F0061">
              <w:br/>
            </w:r>
            <w:r w:rsidRPr="005F0061">
              <w:t>Once patients are approved dual therapy with a PAH agent from the PDE-5i class; or a PAH agent from the ERA class, they may swap between PAH agents within the same class. This means that patients may commence treatment with another PAH agent in the same class, subject to that agent's restriction, irrespective of the severity of their disease at the time the application to swap therapy is submitted.</w:t>
            </w:r>
            <w:r w:rsidR="003327A6" w:rsidRPr="005F0061">
              <w:br/>
            </w:r>
            <w:r w:rsidRPr="005F0061">
              <w:t>Applications to swap within a PAH agent class must be made under the relevant initial treatment restriction.</w:t>
            </w:r>
            <w:r w:rsidR="003327A6" w:rsidRPr="005F0061">
              <w:br/>
            </w:r>
            <w:r w:rsidRPr="005F0061">
              <w:t>If patients will be taking 62.5mg for the first month then 125 mg, prescribers should request the first authority prescription of therapy with the 62.5 mg tablet strength, with the quantity for one month of treatment, based on the dosage recommendations in the TGA-approved Product Information and no repeats.</w:t>
            </w:r>
            <w:r w:rsidR="003327A6" w:rsidRPr="005F0061">
              <w:br/>
            </w:r>
            <w:r w:rsidRPr="005F0061">
              <w:t>Prescribers should request the second authority prescription of therapy with the 125 mg tablet strengths, with a quantity for one month of treatment, based on the dosage recommendations in the TGA-approved Product Information, and a maximum of 4 repeats.</w:t>
            </w:r>
            <w:r w:rsidR="003327A6" w:rsidRPr="005F0061">
              <w:br/>
            </w:r>
            <w:r w:rsidRPr="005F0061">
              <w:t>If patients will be taking 62.5mg for longer than 1 month, prescribers should request the first authority prescription of therapy with the 62.5 mg tablet strength, with the quantity for one month of treatment and a maximum of 5 repeats based on the dosage recommendations in the TGA-approved Product Information.</w:t>
            </w:r>
          </w:p>
        </w:tc>
        <w:tc>
          <w:tcPr>
            <w:tcW w:w="2650" w:type="dxa"/>
            <w:shd w:val="clear" w:color="auto" w:fill="auto"/>
            <w:tcMar>
              <w:top w:w="28" w:type="dxa"/>
              <w:left w:w="28" w:type="dxa"/>
              <w:right w:w="57" w:type="dxa"/>
            </w:tcMar>
          </w:tcPr>
          <w:p w14:paraId="337A8FC1" w14:textId="7D4FD571" w:rsidR="00C11B81" w:rsidRPr="005F0061" w:rsidRDefault="00C11B81" w:rsidP="00C11B81">
            <w:pPr>
              <w:pStyle w:val="Tabletext0"/>
              <w:rPr>
                <w:rFonts w:cs="Arial"/>
                <w:szCs w:val="16"/>
              </w:rPr>
            </w:pPr>
            <w:r w:rsidRPr="005F0061">
              <w:lastRenderedPageBreak/>
              <w:t>Compliance with Authority Required procedures</w:t>
            </w:r>
          </w:p>
        </w:tc>
      </w:tr>
      <w:tr w:rsidR="00C11B81" w:rsidRPr="005F0061" w14:paraId="40E7C96C" w14:textId="77777777" w:rsidTr="005E778F">
        <w:tc>
          <w:tcPr>
            <w:tcW w:w="1900" w:type="dxa"/>
            <w:shd w:val="clear" w:color="auto" w:fill="auto"/>
            <w:tcMar>
              <w:top w:w="28" w:type="dxa"/>
              <w:left w:w="28" w:type="dxa"/>
            </w:tcMar>
          </w:tcPr>
          <w:p w14:paraId="061EA497" w14:textId="77777777" w:rsidR="00C11B81" w:rsidRPr="005F0061" w:rsidRDefault="00C11B81" w:rsidP="00C11B81">
            <w:pPr>
              <w:pStyle w:val="Tabletext0"/>
              <w:tabs>
                <w:tab w:val="left" w:pos="958"/>
              </w:tabs>
              <w:rPr>
                <w:rFonts w:cs="Arial"/>
                <w:szCs w:val="16"/>
              </w:rPr>
            </w:pPr>
          </w:p>
        </w:tc>
        <w:tc>
          <w:tcPr>
            <w:tcW w:w="850" w:type="dxa"/>
            <w:shd w:val="clear" w:color="auto" w:fill="auto"/>
            <w:tcMar>
              <w:top w:w="28" w:type="dxa"/>
              <w:left w:w="28" w:type="dxa"/>
            </w:tcMar>
          </w:tcPr>
          <w:p w14:paraId="609CDF7D" w14:textId="73D01D71" w:rsidR="00C11B81" w:rsidRPr="005F0061" w:rsidRDefault="00C11B81" w:rsidP="00C11B81">
            <w:pPr>
              <w:pStyle w:val="Tabletext0"/>
              <w:rPr>
                <w:rFonts w:cs="Arial"/>
                <w:szCs w:val="16"/>
              </w:rPr>
            </w:pPr>
            <w:r w:rsidRPr="005F0061">
              <w:rPr>
                <w:rFonts w:cs="Arial"/>
                <w:szCs w:val="16"/>
              </w:rPr>
              <w:t>C11232</w:t>
            </w:r>
          </w:p>
        </w:tc>
        <w:tc>
          <w:tcPr>
            <w:tcW w:w="850" w:type="dxa"/>
            <w:shd w:val="clear" w:color="auto" w:fill="auto"/>
            <w:tcMar>
              <w:top w:w="28" w:type="dxa"/>
              <w:left w:w="28" w:type="dxa"/>
            </w:tcMar>
          </w:tcPr>
          <w:p w14:paraId="7D36A5CF" w14:textId="77777777" w:rsidR="00C11B81" w:rsidRPr="005F0061" w:rsidDel="00E03489" w:rsidRDefault="00C11B81" w:rsidP="00C11B81">
            <w:pPr>
              <w:spacing w:before="60" w:after="60"/>
              <w:rPr>
                <w:rFonts w:ascii="Arial" w:hAnsi="Arial" w:cs="Arial"/>
                <w:sz w:val="16"/>
                <w:szCs w:val="16"/>
                <w:lang w:eastAsia="en-AU"/>
              </w:rPr>
            </w:pPr>
          </w:p>
        </w:tc>
        <w:tc>
          <w:tcPr>
            <w:tcW w:w="7661" w:type="dxa"/>
            <w:shd w:val="clear" w:color="auto" w:fill="auto"/>
            <w:tcMar>
              <w:top w:w="28" w:type="dxa"/>
              <w:left w:w="28" w:type="dxa"/>
            </w:tcMar>
          </w:tcPr>
          <w:p w14:paraId="3483E984" w14:textId="3B145BD5" w:rsidR="00C11B81" w:rsidRPr="005F0061" w:rsidRDefault="00C11B81" w:rsidP="00C11B81">
            <w:pPr>
              <w:pStyle w:val="mps3-data"/>
              <w:rPr>
                <w:szCs w:val="16"/>
              </w:rPr>
            </w:pPr>
            <w:r w:rsidRPr="005F0061">
              <w:t>Pulmonary arterial hypertension (PAH)</w:t>
            </w:r>
            <w:r w:rsidR="003327A6" w:rsidRPr="005F0061">
              <w:br/>
            </w:r>
            <w:r w:rsidRPr="005F0061">
              <w:t>Grandfathered patients (dual therapy)</w:t>
            </w:r>
            <w:r w:rsidR="003327A6" w:rsidRPr="005F0061">
              <w:br/>
            </w:r>
            <w:r w:rsidRPr="005F0061">
              <w:t>Patient must be receiving dual therapy with this non PBS-subsidised pulmonary arterial hypertension (PAH) agent and a non PBS-subsidised phosphodiesterase-5 inhibitor (PDE-5i) for this condition prior to 1 October 2020.</w:t>
            </w:r>
            <w:r w:rsidR="003327A6" w:rsidRPr="005F0061">
              <w:br/>
            </w:r>
            <w:r w:rsidRPr="005F0061">
              <w:t>Must be treated by a physician with expertise in the management of PAH, with this authority application to be completed by the physician with expertise in PAH.</w:t>
            </w:r>
            <w:r w:rsidR="003327A6" w:rsidRPr="005F0061">
              <w:br/>
            </w:r>
            <w:r w:rsidRPr="005F0061">
              <w:t>Patient must have documented WHO Functional Class III PAH or WHO Functional Class IV PAH.</w:t>
            </w:r>
            <w:r w:rsidR="003327A6" w:rsidRPr="005F0061">
              <w:br/>
            </w:r>
            <w:r w:rsidRPr="005F0061">
              <w:t xml:space="preserve">The term 'PAH agents' refers to </w:t>
            </w:r>
            <w:proofErr w:type="spellStart"/>
            <w:r w:rsidRPr="005F0061">
              <w:t>bosentan</w:t>
            </w:r>
            <w:proofErr w:type="spellEnd"/>
            <w:r w:rsidRPr="005F0061">
              <w:t xml:space="preserve"> monohydrate, </w:t>
            </w:r>
            <w:proofErr w:type="spellStart"/>
            <w:r w:rsidRPr="005F0061">
              <w:t>iloprost</w:t>
            </w:r>
            <w:proofErr w:type="spellEnd"/>
            <w:r w:rsidRPr="005F0061">
              <w:t xml:space="preserve"> trometamol, </w:t>
            </w:r>
            <w:proofErr w:type="spellStart"/>
            <w:r w:rsidRPr="005F0061">
              <w:t>epoprostenol</w:t>
            </w:r>
            <w:proofErr w:type="spellEnd"/>
            <w:r w:rsidRPr="005F0061">
              <w:t xml:space="preserve"> sodium, sildenafil citrate, </w:t>
            </w:r>
            <w:proofErr w:type="spellStart"/>
            <w:r w:rsidRPr="005F0061">
              <w:t>ambrisentan</w:t>
            </w:r>
            <w:proofErr w:type="spellEnd"/>
            <w:r w:rsidRPr="005F0061">
              <w:t xml:space="preserve">, </w:t>
            </w:r>
            <w:proofErr w:type="spellStart"/>
            <w:r w:rsidRPr="005F0061">
              <w:t>tadalafil</w:t>
            </w:r>
            <w:proofErr w:type="spellEnd"/>
            <w:r w:rsidRPr="005F0061">
              <w:t xml:space="preserve">, </w:t>
            </w:r>
            <w:proofErr w:type="spellStart"/>
            <w:r w:rsidRPr="005F0061">
              <w:t>macitentan</w:t>
            </w:r>
            <w:proofErr w:type="spellEnd"/>
            <w:r w:rsidRPr="005F0061">
              <w:t xml:space="preserve">, and </w:t>
            </w:r>
            <w:proofErr w:type="spellStart"/>
            <w:r w:rsidRPr="005F0061">
              <w:t>riociguat</w:t>
            </w:r>
            <w:proofErr w:type="spellEnd"/>
            <w:r w:rsidRPr="005F0061">
              <w:t>.</w:t>
            </w:r>
            <w:r w:rsidR="003327A6" w:rsidRPr="005F0061">
              <w:br/>
            </w:r>
            <w:r w:rsidRPr="005F0061">
              <w:t>For the purposes of PBS subsidy, dual therapy refers to combined use of an endothelin receptor antagonist (ERA) and a phosphodiesterase-5 inhibitor (PDE-5i).</w:t>
            </w:r>
            <w:r w:rsidR="003327A6" w:rsidRPr="005F0061">
              <w:br/>
            </w:r>
            <w:r w:rsidRPr="005F0061">
              <w:t>(</w:t>
            </w:r>
            <w:proofErr w:type="spellStart"/>
            <w:r w:rsidRPr="005F0061">
              <w:t>i</w:t>
            </w:r>
            <w:proofErr w:type="spellEnd"/>
            <w:r w:rsidRPr="005F0061">
              <w:t xml:space="preserve">) An ERA includes </w:t>
            </w:r>
            <w:proofErr w:type="spellStart"/>
            <w:r w:rsidRPr="005F0061">
              <w:t>ambrisentan</w:t>
            </w:r>
            <w:proofErr w:type="spellEnd"/>
            <w:r w:rsidRPr="005F0061">
              <w:t xml:space="preserve">, </w:t>
            </w:r>
            <w:proofErr w:type="spellStart"/>
            <w:r w:rsidRPr="005F0061">
              <w:t>bosentan</w:t>
            </w:r>
            <w:proofErr w:type="spellEnd"/>
            <w:r w:rsidRPr="005F0061">
              <w:t xml:space="preserve"> monohydrate, or </w:t>
            </w:r>
            <w:proofErr w:type="spellStart"/>
            <w:r w:rsidRPr="005F0061">
              <w:t>macitentan</w:t>
            </w:r>
            <w:proofErr w:type="spellEnd"/>
            <w:r w:rsidRPr="005F0061">
              <w:t>.</w:t>
            </w:r>
            <w:r w:rsidR="003327A6" w:rsidRPr="005F0061">
              <w:br/>
            </w:r>
            <w:r w:rsidRPr="005F0061">
              <w:t xml:space="preserve">(ii) A PDE-5i includes sildenafil citrate, or </w:t>
            </w:r>
            <w:proofErr w:type="spellStart"/>
            <w:r w:rsidRPr="005F0061">
              <w:t>tadalafil</w:t>
            </w:r>
            <w:proofErr w:type="spellEnd"/>
            <w:r w:rsidRPr="005F0061">
              <w:t>.</w:t>
            </w:r>
            <w:r w:rsidR="003327A6" w:rsidRPr="005F0061">
              <w:br/>
            </w:r>
            <w:r w:rsidRPr="005F0061">
              <w:t>PAH agents are not PBS-subsidised for patients with pulmonary hypertension secondary to interstitial lung disease associated with connective tissue disease, where the total lung capacity is less than 70% of predicted.</w:t>
            </w:r>
            <w:r w:rsidR="003327A6" w:rsidRPr="005F0061">
              <w:br/>
            </w:r>
            <w:r w:rsidRPr="005F0061">
              <w:t>PAH (WHO Group 1 pulmonary hypertension) is defined as follows</w:t>
            </w:r>
            <w:proofErr w:type="gramStart"/>
            <w:r w:rsidRPr="005F0061">
              <w:t>:</w:t>
            </w:r>
            <w:proofErr w:type="gramEnd"/>
            <w:r w:rsidR="003327A6" w:rsidRPr="005F0061">
              <w:br/>
            </w:r>
            <w:r w:rsidRPr="005F0061">
              <w:t>(</w:t>
            </w:r>
            <w:proofErr w:type="spellStart"/>
            <w:r w:rsidRPr="005F0061">
              <w:t>i</w:t>
            </w:r>
            <w:proofErr w:type="spellEnd"/>
            <w:r w:rsidRPr="005F0061">
              <w:t>) mean pulmonary artery pressure (</w:t>
            </w:r>
            <w:proofErr w:type="spellStart"/>
            <w:r w:rsidRPr="005F0061">
              <w:t>mPAP</w:t>
            </w:r>
            <w:proofErr w:type="spellEnd"/>
            <w:r w:rsidRPr="005F0061">
              <w:t>) greater than or equal to 25 mmHg at rest and pulmonary artery wedge pressure (PAWP) less than or equal to 15 mmHg; or</w:t>
            </w:r>
            <w:r w:rsidR="003327A6" w:rsidRPr="005F0061">
              <w:br/>
            </w:r>
            <w:r w:rsidRPr="005F0061">
              <w:t>(ii) where a right heart catheter (RHC) cannot be performed on clinical grounds, right ventricular systolic pressure (RVSP), assessed by echocardiography (ECHO), greater than 40 mmHg, with normal left ventricular function.</w:t>
            </w:r>
            <w:r w:rsidR="003327A6" w:rsidRPr="005F0061">
              <w:br/>
            </w:r>
            <w:r w:rsidRPr="005F0061">
              <w:t>Applications for authorisation must be in writing and must include:</w:t>
            </w:r>
            <w:r w:rsidR="003327A6" w:rsidRPr="005F0061">
              <w:br/>
            </w:r>
            <w:r w:rsidRPr="005F0061">
              <w:t>(1) a completed authority prescription form; and</w:t>
            </w:r>
            <w:r w:rsidR="003327A6" w:rsidRPr="005F0061">
              <w:br/>
            </w:r>
            <w:r w:rsidRPr="005F0061">
              <w:t>(2) a completed Pulmonary Arterial Hypertension PBS Authority Application - Supporting Information form which includes results from the three tests below, where available:</w:t>
            </w:r>
            <w:r w:rsidR="003327A6" w:rsidRPr="005F0061">
              <w:br/>
            </w:r>
            <w:r w:rsidRPr="005F0061">
              <w:t>(</w:t>
            </w:r>
            <w:proofErr w:type="spellStart"/>
            <w:r w:rsidRPr="005F0061">
              <w:t>i</w:t>
            </w:r>
            <w:proofErr w:type="spellEnd"/>
            <w:r w:rsidRPr="005F0061">
              <w:t>) RHC composite assessment; and</w:t>
            </w:r>
            <w:r w:rsidR="003327A6" w:rsidRPr="005F0061">
              <w:br/>
            </w:r>
            <w:r w:rsidRPr="005F0061">
              <w:t>(ii) ECHO composite assessment; and</w:t>
            </w:r>
            <w:r w:rsidR="003327A6" w:rsidRPr="005F0061">
              <w:br/>
            </w:r>
            <w:r w:rsidRPr="005F0061">
              <w:t>(iii) 6 Minute Walk Test (6MWT).</w:t>
            </w:r>
            <w:r w:rsidR="003327A6" w:rsidRPr="005F0061">
              <w:br/>
            </w:r>
            <w:r w:rsidRPr="005F0061">
              <w:t>Where it was not possible to perform all 3 tests on clinical grounds, the following list outlines the preferred test combination, in descending order, for the purposes of initiation of PBS-subsidised treatment:</w:t>
            </w:r>
            <w:r w:rsidR="003327A6" w:rsidRPr="005F0061">
              <w:br/>
            </w:r>
            <w:r w:rsidRPr="005F0061">
              <w:lastRenderedPageBreak/>
              <w:t>(1) RHC plus ECHO composite assessments;</w:t>
            </w:r>
            <w:r w:rsidR="003327A6" w:rsidRPr="005F0061">
              <w:br/>
            </w:r>
            <w:r w:rsidRPr="005F0061">
              <w:t>(2) RHC composite assessment plus 6MWT;</w:t>
            </w:r>
            <w:r w:rsidR="003327A6" w:rsidRPr="005F0061">
              <w:br/>
            </w:r>
            <w:r w:rsidRPr="005F0061">
              <w:t>(3) RHC composite assessment only.</w:t>
            </w:r>
            <w:r w:rsidR="003327A6" w:rsidRPr="005F0061">
              <w:br/>
            </w:r>
            <w:r w:rsidRPr="005F0061">
              <w:t>In circumstances where a RHC could not be performed on clinical grounds, applications may be submitted for consideration based on the results of the following test combinations, which are listed in descending order of preference</w:t>
            </w:r>
            <w:proofErr w:type="gramStart"/>
            <w:r w:rsidRPr="005F0061">
              <w:t>:</w:t>
            </w:r>
            <w:proofErr w:type="gramEnd"/>
            <w:r w:rsidR="003327A6" w:rsidRPr="005F0061">
              <w:br/>
            </w:r>
            <w:r w:rsidRPr="005F0061">
              <w:t>(1) ECHO composite assessment plus 6MWT;</w:t>
            </w:r>
            <w:r w:rsidR="003327A6" w:rsidRPr="005F0061">
              <w:br/>
            </w:r>
            <w:r w:rsidRPr="005F0061">
              <w:t>(2) ECHO composite assessment only.</w:t>
            </w:r>
            <w:r w:rsidR="003327A6" w:rsidRPr="005F0061">
              <w:br/>
            </w:r>
            <w:r w:rsidRPr="005F0061">
              <w:t>Where fewer than 3 tests were able to be performed on clinical grounds, a patient specific reason outlining why the particular test(s) could not be conducted must be provided with the authority application.</w:t>
            </w:r>
            <w:r w:rsidR="003327A6" w:rsidRPr="005F0061">
              <w:br/>
            </w:r>
            <w:r w:rsidRPr="005F0061">
              <w:t>Where a RHC could not be performed on clinical grounds, confirmation of the reason(s) must be provided with the authority application by a second PAH physician or cardiologist with expertise in the management of PAH.</w:t>
            </w:r>
            <w:r w:rsidR="003327A6" w:rsidRPr="005F0061">
              <w:br/>
            </w:r>
            <w:r w:rsidRPr="005F0061">
              <w:t>A patient may qualify for PBS-subsidised treatment under this restriction once only. For continuing PBS-subsidised treatment, a Grandfathered patient must qualify under the Continuing treatment criteria for dual therapy for this condition.</w:t>
            </w:r>
            <w:r w:rsidR="003327A6" w:rsidRPr="005F0061">
              <w:br/>
            </w:r>
            <w:r w:rsidRPr="005F0061">
              <w:t>The maximum quantity authorised will be limited to provide sufficient supply for 1 month of treatment, based on the dosage recommendations in the TGA-approved Product Information.</w:t>
            </w:r>
            <w:r w:rsidR="003327A6" w:rsidRPr="005F0061">
              <w:br/>
            </w:r>
            <w:r w:rsidRPr="005F0061">
              <w:t>A maximum of 5 repeats may be requested.</w:t>
            </w:r>
          </w:p>
        </w:tc>
        <w:tc>
          <w:tcPr>
            <w:tcW w:w="2650" w:type="dxa"/>
            <w:shd w:val="clear" w:color="auto" w:fill="auto"/>
            <w:tcMar>
              <w:top w:w="28" w:type="dxa"/>
              <w:left w:w="28" w:type="dxa"/>
              <w:right w:w="57" w:type="dxa"/>
            </w:tcMar>
          </w:tcPr>
          <w:p w14:paraId="43A23569" w14:textId="2EC31A24" w:rsidR="00C11B81" w:rsidRPr="005F0061" w:rsidRDefault="00C11B81" w:rsidP="00C11B81">
            <w:pPr>
              <w:pStyle w:val="Tabletext0"/>
              <w:rPr>
                <w:rFonts w:cs="Arial"/>
                <w:szCs w:val="16"/>
              </w:rPr>
            </w:pPr>
            <w:r w:rsidRPr="005F0061">
              <w:rPr>
                <w:rFonts w:cs="Arial"/>
                <w:szCs w:val="16"/>
              </w:rPr>
              <w:lastRenderedPageBreak/>
              <w:t>Compliance with Written Authority Required procedures</w:t>
            </w:r>
          </w:p>
        </w:tc>
      </w:tr>
      <w:tr w:rsidR="00C11B81" w:rsidRPr="005F0061" w14:paraId="435E437F" w14:textId="77777777" w:rsidTr="005E778F">
        <w:tc>
          <w:tcPr>
            <w:tcW w:w="1900" w:type="dxa"/>
            <w:shd w:val="clear" w:color="auto" w:fill="auto"/>
            <w:tcMar>
              <w:top w:w="28" w:type="dxa"/>
              <w:left w:w="28" w:type="dxa"/>
            </w:tcMar>
          </w:tcPr>
          <w:p w14:paraId="1B6CA545" w14:textId="77777777" w:rsidR="00C11B81" w:rsidRPr="005F0061" w:rsidRDefault="00C11B81" w:rsidP="00C11B81">
            <w:pPr>
              <w:pStyle w:val="Tabletext0"/>
              <w:tabs>
                <w:tab w:val="left" w:pos="958"/>
              </w:tabs>
              <w:rPr>
                <w:rFonts w:cs="Arial"/>
                <w:szCs w:val="16"/>
              </w:rPr>
            </w:pPr>
          </w:p>
        </w:tc>
        <w:tc>
          <w:tcPr>
            <w:tcW w:w="850" w:type="dxa"/>
            <w:shd w:val="clear" w:color="auto" w:fill="auto"/>
            <w:tcMar>
              <w:top w:w="28" w:type="dxa"/>
              <w:left w:w="28" w:type="dxa"/>
            </w:tcMar>
          </w:tcPr>
          <w:p w14:paraId="320D068F" w14:textId="1206630D" w:rsidR="00C11B81" w:rsidRPr="005F0061" w:rsidRDefault="00C11B81" w:rsidP="00C11B81">
            <w:pPr>
              <w:pStyle w:val="Tabletext0"/>
              <w:rPr>
                <w:rFonts w:cs="Arial"/>
                <w:szCs w:val="16"/>
              </w:rPr>
            </w:pPr>
            <w:r w:rsidRPr="005F0061">
              <w:rPr>
                <w:rFonts w:cs="Arial"/>
                <w:szCs w:val="16"/>
              </w:rPr>
              <w:t>C11253</w:t>
            </w:r>
          </w:p>
        </w:tc>
        <w:tc>
          <w:tcPr>
            <w:tcW w:w="850" w:type="dxa"/>
            <w:shd w:val="clear" w:color="auto" w:fill="auto"/>
            <w:tcMar>
              <w:top w:w="28" w:type="dxa"/>
              <w:left w:w="28" w:type="dxa"/>
            </w:tcMar>
          </w:tcPr>
          <w:p w14:paraId="38C16228" w14:textId="77777777" w:rsidR="00C11B81" w:rsidRPr="005F0061" w:rsidDel="00E03489" w:rsidRDefault="00C11B81" w:rsidP="00C11B81">
            <w:pPr>
              <w:spacing w:before="60" w:after="60"/>
              <w:rPr>
                <w:rFonts w:ascii="Arial" w:hAnsi="Arial" w:cs="Arial"/>
                <w:sz w:val="16"/>
                <w:szCs w:val="16"/>
                <w:lang w:eastAsia="en-AU"/>
              </w:rPr>
            </w:pPr>
          </w:p>
        </w:tc>
        <w:tc>
          <w:tcPr>
            <w:tcW w:w="7661" w:type="dxa"/>
            <w:shd w:val="clear" w:color="auto" w:fill="auto"/>
            <w:tcMar>
              <w:top w:w="28" w:type="dxa"/>
              <w:left w:w="28" w:type="dxa"/>
            </w:tcMar>
          </w:tcPr>
          <w:p w14:paraId="6DDF79F0" w14:textId="69141195" w:rsidR="00C11B81" w:rsidRPr="005F0061" w:rsidRDefault="00C11B81" w:rsidP="00C11B81">
            <w:pPr>
              <w:pStyle w:val="mps3-data"/>
              <w:rPr>
                <w:szCs w:val="16"/>
              </w:rPr>
            </w:pPr>
            <w:r w:rsidRPr="005F0061">
              <w:t>Pulmonary arterial hypertension (PAH</w:t>
            </w:r>
            <w:proofErr w:type="gramStart"/>
            <w:r w:rsidRPr="005F0061">
              <w:t>)</w:t>
            </w:r>
            <w:proofErr w:type="gramEnd"/>
            <w:r w:rsidR="003327A6" w:rsidRPr="005F0061">
              <w:br/>
            </w:r>
            <w:r w:rsidRPr="005F0061">
              <w:t>Initial 2 (dual therapy - previously treated patients)</w:t>
            </w:r>
            <w:r w:rsidR="003327A6" w:rsidRPr="005F0061">
              <w:br/>
            </w:r>
            <w:r w:rsidRPr="005F0061">
              <w:t>Patient must have documented WHO Functional Class III PAH or WHO Functional Class IV PAH; AND</w:t>
            </w:r>
            <w:r w:rsidR="003327A6" w:rsidRPr="005F0061">
              <w:br/>
            </w:r>
            <w:r w:rsidRPr="005F0061">
              <w:t>Patient must have documented a failure to achieve or maintain WHO Functional Class II status with prior PBS-subsidised monotherapy treatment with a phosphodiesterase-5 inhibitor (PDE-5i) for this condition; AND</w:t>
            </w:r>
            <w:r w:rsidR="003327A6" w:rsidRPr="005F0061">
              <w:br/>
            </w:r>
            <w:r w:rsidRPr="005F0061">
              <w:t>The treatment must be in combination with the PBS-subsidised PDE-5i for this condition.</w:t>
            </w:r>
            <w:r w:rsidR="003327A6" w:rsidRPr="005F0061">
              <w:br/>
            </w:r>
            <w:r w:rsidRPr="005F0061">
              <w:t>Must be treated by a physician with expertise in the management of PAH, with this authority application to be completed by the physician with expertise in PAH.</w:t>
            </w:r>
            <w:r w:rsidR="003327A6" w:rsidRPr="005F0061">
              <w:br/>
            </w:r>
            <w:r w:rsidRPr="005F0061">
              <w:t xml:space="preserve">The term 'PAH agents' refers to </w:t>
            </w:r>
            <w:proofErr w:type="spellStart"/>
            <w:r w:rsidRPr="005F0061">
              <w:t>bosentan</w:t>
            </w:r>
            <w:proofErr w:type="spellEnd"/>
            <w:r w:rsidRPr="005F0061">
              <w:t xml:space="preserve"> monohydrate, </w:t>
            </w:r>
            <w:proofErr w:type="spellStart"/>
            <w:r w:rsidRPr="005F0061">
              <w:t>iloprost</w:t>
            </w:r>
            <w:proofErr w:type="spellEnd"/>
            <w:r w:rsidRPr="005F0061">
              <w:t xml:space="preserve"> trometamol, </w:t>
            </w:r>
            <w:proofErr w:type="spellStart"/>
            <w:r w:rsidRPr="005F0061">
              <w:t>epoprostenol</w:t>
            </w:r>
            <w:proofErr w:type="spellEnd"/>
            <w:r w:rsidRPr="005F0061">
              <w:t xml:space="preserve"> sodium, sildenafil citrate, </w:t>
            </w:r>
            <w:proofErr w:type="spellStart"/>
            <w:r w:rsidRPr="005F0061">
              <w:t>ambrisentan</w:t>
            </w:r>
            <w:proofErr w:type="spellEnd"/>
            <w:r w:rsidRPr="005F0061">
              <w:t xml:space="preserve">, </w:t>
            </w:r>
            <w:proofErr w:type="spellStart"/>
            <w:r w:rsidRPr="005F0061">
              <w:t>tadalafil</w:t>
            </w:r>
            <w:proofErr w:type="spellEnd"/>
            <w:r w:rsidRPr="005F0061">
              <w:t xml:space="preserve">, </w:t>
            </w:r>
            <w:proofErr w:type="spellStart"/>
            <w:r w:rsidRPr="005F0061">
              <w:t>macitentan</w:t>
            </w:r>
            <w:proofErr w:type="spellEnd"/>
            <w:r w:rsidRPr="005F0061">
              <w:t xml:space="preserve">, and </w:t>
            </w:r>
            <w:proofErr w:type="spellStart"/>
            <w:r w:rsidRPr="005F0061">
              <w:t>riociguat</w:t>
            </w:r>
            <w:proofErr w:type="spellEnd"/>
            <w:r w:rsidRPr="005F0061">
              <w:t>.</w:t>
            </w:r>
            <w:r w:rsidR="003327A6" w:rsidRPr="005F0061">
              <w:br/>
            </w:r>
            <w:r w:rsidRPr="005F0061">
              <w:t>For the purposes of PBS subsidy, dual therapy refers to combined use of an endothelin receptor antagonist (ERA) and a phosphodiesterase-5 inhibitor (PDE-5i).</w:t>
            </w:r>
            <w:r w:rsidR="003327A6" w:rsidRPr="005F0061">
              <w:br/>
            </w:r>
            <w:r w:rsidRPr="005F0061">
              <w:t>(</w:t>
            </w:r>
            <w:proofErr w:type="spellStart"/>
            <w:r w:rsidRPr="005F0061">
              <w:t>i</w:t>
            </w:r>
            <w:proofErr w:type="spellEnd"/>
            <w:r w:rsidRPr="005F0061">
              <w:t xml:space="preserve">) An ERA includes </w:t>
            </w:r>
            <w:proofErr w:type="spellStart"/>
            <w:r w:rsidRPr="005F0061">
              <w:t>ambrisentan</w:t>
            </w:r>
            <w:proofErr w:type="spellEnd"/>
            <w:r w:rsidRPr="005F0061">
              <w:t xml:space="preserve">, </w:t>
            </w:r>
            <w:proofErr w:type="spellStart"/>
            <w:r w:rsidRPr="005F0061">
              <w:t>bosentan</w:t>
            </w:r>
            <w:proofErr w:type="spellEnd"/>
            <w:r w:rsidRPr="005F0061">
              <w:t xml:space="preserve"> monohydrate, or </w:t>
            </w:r>
            <w:proofErr w:type="spellStart"/>
            <w:r w:rsidRPr="005F0061">
              <w:t>macitentan</w:t>
            </w:r>
            <w:proofErr w:type="spellEnd"/>
            <w:r w:rsidRPr="005F0061">
              <w:t>.</w:t>
            </w:r>
            <w:r w:rsidR="003327A6" w:rsidRPr="005F0061">
              <w:br/>
            </w:r>
            <w:r w:rsidRPr="005F0061">
              <w:t xml:space="preserve">(ii) A PDE-5i includes sildenafil citrate, or </w:t>
            </w:r>
            <w:proofErr w:type="spellStart"/>
            <w:r w:rsidRPr="005F0061">
              <w:t>tadalafil</w:t>
            </w:r>
            <w:proofErr w:type="spellEnd"/>
            <w:r w:rsidRPr="005F0061">
              <w:t>.</w:t>
            </w:r>
            <w:r w:rsidR="003327A6" w:rsidRPr="005F0061">
              <w:br/>
            </w:r>
            <w:r w:rsidRPr="005F0061">
              <w:t>PAH agents are not PBS-subsidised for patients with pulmonary hypertension secondary to interstitial lung disease associated with connective tissue disease, where the total lung capacity is less than 70% of predicted.</w:t>
            </w:r>
            <w:r w:rsidR="003327A6" w:rsidRPr="005F0061">
              <w:br/>
            </w:r>
            <w:r w:rsidRPr="005F0061">
              <w:t>PAH (WHO Group 1 pulmonary hypertension) is defined as follows</w:t>
            </w:r>
            <w:proofErr w:type="gramStart"/>
            <w:r w:rsidRPr="005F0061">
              <w:t>:</w:t>
            </w:r>
            <w:proofErr w:type="gramEnd"/>
            <w:r w:rsidR="003327A6" w:rsidRPr="005F0061">
              <w:br/>
            </w:r>
            <w:r w:rsidRPr="005F0061">
              <w:t>(</w:t>
            </w:r>
            <w:proofErr w:type="spellStart"/>
            <w:r w:rsidRPr="005F0061">
              <w:t>i</w:t>
            </w:r>
            <w:proofErr w:type="spellEnd"/>
            <w:r w:rsidRPr="005F0061">
              <w:t>) mean pulmonary artery pressure (</w:t>
            </w:r>
            <w:proofErr w:type="spellStart"/>
            <w:r w:rsidRPr="005F0061">
              <w:t>mPAP</w:t>
            </w:r>
            <w:proofErr w:type="spellEnd"/>
            <w:r w:rsidRPr="005F0061">
              <w:t>) greater than or equal to 25 mmHg at rest and pulmonary artery wedge pressure (PAWP) less than or equal to 15 mmHg; or</w:t>
            </w:r>
            <w:r w:rsidR="003327A6" w:rsidRPr="005F0061">
              <w:br/>
            </w:r>
            <w:r w:rsidRPr="005F0061">
              <w:t>(ii) where a right heart catheter (RHC) cannot be performed on clinical grounds, right ventricular systolic pressure (RVSP), assessed by echocardiography (ECHO), greater than 40 mmHg, with normal left ventricular function.</w:t>
            </w:r>
            <w:r w:rsidR="003327A6" w:rsidRPr="005F0061">
              <w:br/>
            </w:r>
            <w:r w:rsidRPr="005F0061">
              <w:t>The results and date of the RHC, ECHO and 6 MWT as applicable must be included in the patient's medical record. Where a RHC cannot be performed on clinical grounds, the written confirmation of the reasons why must also be included in the patient's medical record.</w:t>
            </w:r>
            <w:r w:rsidR="003327A6" w:rsidRPr="005F0061">
              <w:br/>
            </w:r>
            <w:r w:rsidRPr="005F0061">
              <w:t>If patients will be taking 62.5mg for the first month then 125 mg, prescribers should request the first authority prescription of therapy with the 62.5 mg tablet strength, with the quantity for one month of treatment, based on the dosage recommendations in the TGA-approved Product Information and no repeats.</w:t>
            </w:r>
            <w:r w:rsidR="003327A6" w:rsidRPr="005F0061">
              <w:br/>
            </w:r>
            <w:r w:rsidRPr="005F0061">
              <w:lastRenderedPageBreak/>
              <w:t>Prescribers should request the second authority prescription of therapy with the 125 mg tablet strengths, with a quantity for one month of treatment, based on the dosage recommendations in the TGA-approved Product Information, and a maximum of 4 repeats.</w:t>
            </w:r>
            <w:r w:rsidR="003327A6" w:rsidRPr="005F0061">
              <w:br/>
            </w:r>
            <w:r w:rsidRPr="005F0061">
              <w:t>If patients will be taking 62.5mg for longer than 1 month, prescribers should request the first authority prescription of therapy with the 62.5 mg tablet strength, with the quantity for one month of treatment and a maximum of 5 repeats based on the dosage recommendations in the TGA-approved Product Information.</w:t>
            </w:r>
          </w:p>
        </w:tc>
        <w:tc>
          <w:tcPr>
            <w:tcW w:w="2650" w:type="dxa"/>
            <w:shd w:val="clear" w:color="auto" w:fill="auto"/>
            <w:tcMar>
              <w:top w:w="28" w:type="dxa"/>
              <w:left w:w="28" w:type="dxa"/>
              <w:right w:w="57" w:type="dxa"/>
            </w:tcMar>
          </w:tcPr>
          <w:p w14:paraId="3155CB1F" w14:textId="53A5431A" w:rsidR="00C11B81" w:rsidRPr="005F0061" w:rsidRDefault="00C11B81" w:rsidP="00C11B81">
            <w:pPr>
              <w:pStyle w:val="Tabletext0"/>
              <w:rPr>
                <w:rFonts w:cs="Arial"/>
                <w:szCs w:val="16"/>
              </w:rPr>
            </w:pPr>
            <w:r w:rsidRPr="005F0061">
              <w:lastRenderedPageBreak/>
              <w:t>Compliance with Authority Required procedures</w:t>
            </w:r>
          </w:p>
        </w:tc>
      </w:tr>
      <w:tr w:rsidR="00C11B81" w:rsidRPr="005F0061" w14:paraId="15A3EB12" w14:textId="77777777" w:rsidTr="005E778F">
        <w:tc>
          <w:tcPr>
            <w:tcW w:w="1900" w:type="dxa"/>
            <w:shd w:val="clear" w:color="auto" w:fill="auto"/>
            <w:tcMar>
              <w:top w:w="28" w:type="dxa"/>
              <w:left w:w="28" w:type="dxa"/>
            </w:tcMar>
          </w:tcPr>
          <w:p w14:paraId="3DBBDAFF" w14:textId="77777777" w:rsidR="00C11B81" w:rsidRPr="005F0061" w:rsidRDefault="00C11B81" w:rsidP="00C11B81">
            <w:pPr>
              <w:pStyle w:val="Tabletext0"/>
              <w:tabs>
                <w:tab w:val="left" w:pos="958"/>
              </w:tabs>
              <w:rPr>
                <w:rFonts w:cs="Arial"/>
                <w:szCs w:val="16"/>
              </w:rPr>
            </w:pPr>
          </w:p>
        </w:tc>
        <w:tc>
          <w:tcPr>
            <w:tcW w:w="850" w:type="dxa"/>
            <w:shd w:val="clear" w:color="auto" w:fill="auto"/>
            <w:tcMar>
              <w:top w:w="28" w:type="dxa"/>
              <w:left w:w="28" w:type="dxa"/>
            </w:tcMar>
          </w:tcPr>
          <w:p w14:paraId="6ACD391B" w14:textId="1A12ABE3" w:rsidR="00C11B81" w:rsidRPr="005F0061" w:rsidRDefault="00C11B81" w:rsidP="00C11B81">
            <w:pPr>
              <w:pStyle w:val="Tabletext0"/>
              <w:rPr>
                <w:rFonts w:cs="Arial"/>
                <w:szCs w:val="16"/>
              </w:rPr>
            </w:pPr>
            <w:r w:rsidRPr="005F0061">
              <w:rPr>
                <w:rFonts w:cs="Arial"/>
                <w:szCs w:val="16"/>
              </w:rPr>
              <w:t>C11282</w:t>
            </w:r>
          </w:p>
        </w:tc>
        <w:tc>
          <w:tcPr>
            <w:tcW w:w="850" w:type="dxa"/>
            <w:shd w:val="clear" w:color="auto" w:fill="auto"/>
            <w:tcMar>
              <w:top w:w="28" w:type="dxa"/>
              <w:left w:w="28" w:type="dxa"/>
            </w:tcMar>
          </w:tcPr>
          <w:p w14:paraId="5E14C428" w14:textId="77777777" w:rsidR="00C11B81" w:rsidRPr="005F0061" w:rsidDel="00E03489" w:rsidRDefault="00C11B81" w:rsidP="00C11B81">
            <w:pPr>
              <w:spacing w:before="60" w:after="60"/>
              <w:rPr>
                <w:rFonts w:ascii="Arial" w:hAnsi="Arial" w:cs="Arial"/>
                <w:sz w:val="16"/>
                <w:szCs w:val="16"/>
                <w:lang w:eastAsia="en-AU"/>
              </w:rPr>
            </w:pPr>
          </w:p>
        </w:tc>
        <w:tc>
          <w:tcPr>
            <w:tcW w:w="7661" w:type="dxa"/>
            <w:shd w:val="clear" w:color="auto" w:fill="auto"/>
            <w:tcMar>
              <w:top w:w="28" w:type="dxa"/>
              <w:left w:w="28" w:type="dxa"/>
            </w:tcMar>
          </w:tcPr>
          <w:p w14:paraId="5DB61C67" w14:textId="275B9E61" w:rsidR="00C11B81" w:rsidRPr="005F0061" w:rsidRDefault="00C11B81" w:rsidP="00C11B81">
            <w:pPr>
              <w:pStyle w:val="mps3-data"/>
              <w:rPr>
                <w:szCs w:val="16"/>
              </w:rPr>
            </w:pPr>
            <w:r w:rsidRPr="005F0061">
              <w:t>Pulmonary arterial hypertension (PAH</w:t>
            </w:r>
            <w:proofErr w:type="gramStart"/>
            <w:r w:rsidRPr="005F0061">
              <w:t>)</w:t>
            </w:r>
            <w:proofErr w:type="gramEnd"/>
            <w:r w:rsidR="003327A6" w:rsidRPr="005F0061">
              <w:br/>
            </w:r>
            <w:r w:rsidRPr="005F0061">
              <w:t>Initial 1 (dual therapy - previously untreated patients)</w:t>
            </w:r>
            <w:r w:rsidR="003327A6" w:rsidRPr="005F0061">
              <w:br/>
            </w:r>
            <w:r w:rsidRPr="005F0061">
              <w:t>Patient must not have received prior PBS-subsidised treatment with a pulmonary arterial hypertension (PAH) agent.</w:t>
            </w:r>
            <w:r w:rsidR="003327A6" w:rsidRPr="005F0061">
              <w:br/>
            </w:r>
            <w:r w:rsidRPr="005F0061">
              <w:t>Must be treated by a physician with expertise in the management of PAH, with this authority application to be completed by the physician with expertise in PAH.</w:t>
            </w:r>
            <w:r w:rsidR="003327A6" w:rsidRPr="005F0061">
              <w:br/>
            </w:r>
            <w:r w:rsidRPr="005F0061">
              <w:t>Patient must currently have WHO Functional Class III PAH or WHO Functional Class IV PAH; AND</w:t>
            </w:r>
            <w:r w:rsidR="003327A6" w:rsidRPr="005F0061">
              <w:br/>
            </w:r>
            <w:r w:rsidRPr="005F0061">
              <w:t>The treatment must be in combination with a PBS-subsidised phosphodiesterase-5 inhibitor (PDE-5i) for this condition.</w:t>
            </w:r>
            <w:r w:rsidR="003327A6" w:rsidRPr="005F0061">
              <w:br/>
            </w:r>
            <w:r w:rsidRPr="005F0061">
              <w:t xml:space="preserve">The term 'PAH agents' refers to </w:t>
            </w:r>
            <w:proofErr w:type="spellStart"/>
            <w:r w:rsidRPr="005F0061">
              <w:t>bosentan</w:t>
            </w:r>
            <w:proofErr w:type="spellEnd"/>
            <w:r w:rsidRPr="005F0061">
              <w:t xml:space="preserve"> monohydrate, </w:t>
            </w:r>
            <w:proofErr w:type="spellStart"/>
            <w:r w:rsidRPr="005F0061">
              <w:t>iloprost</w:t>
            </w:r>
            <w:proofErr w:type="spellEnd"/>
            <w:r w:rsidRPr="005F0061">
              <w:t xml:space="preserve"> trometamol, </w:t>
            </w:r>
            <w:proofErr w:type="spellStart"/>
            <w:r w:rsidRPr="005F0061">
              <w:t>epoprostenol</w:t>
            </w:r>
            <w:proofErr w:type="spellEnd"/>
            <w:r w:rsidRPr="005F0061">
              <w:t xml:space="preserve"> sodium, sildenafil citrate, </w:t>
            </w:r>
            <w:proofErr w:type="spellStart"/>
            <w:r w:rsidRPr="005F0061">
              <w:t>ambrisentan</w:t>
            </w:r>
            <w:proofErr w:type="spellEnd"/>
            <w:r w:rsidRPr="005F0061">
              <w:t xml:space="preserve">, </w:t>
            </w:r>
            <w:proofErr w:type="spellStart"/>
            <w:r w:rsidRPr="005F0061">
              <w:t>tadalafil</w:t>
            </w:r>
            <w:proofErr w:type="spellEnd"/>
            <w:r w:rsidRPr="005F0061">
              <w:t xml:space="preserve">, </w:t>
            </w:r>
            <w:proofErr w:type="spellStart"/>
            <w:r w:rsidRPr="005F0061">
              <w:t>macitentan</w:t>
            </w:r>
            <w:proofErr w:type="spellEnd"/>
            <w:r w:rsidRPr="005F0061">
              <w:t xml:space="preserve">, and </w:t>
            </w:r>
            <w:proofErr w:type="spellStart"/>
            <w:r w:rsidRPr="005F0061">
              <w:t>riociguat</w:t>
            </w:r>
            <w:proofErr w:type="spellEnd"/>
            <w:r w:rsidRPr="005F0061">
              <w:t>.</w:t>
            </w:r>
            <w:r w:rsidR="003327A6" w:rsidRPr="005F0061">
              <w:br/>
            </w:r>
            <w:r w:rsidRPr="005F0061">
              <w:t>For the purposes of PBS subsidy, dual therapy refers to combined use of an endothelin receptor antagonist (ERA) and a phosphodiesterase-5 inhibitor (PDE-5i).</w:t>
            </w:r>
            <w:r w:rsidR="003327A6" w:rsidRPr="005F0061">
              <w:br/>
            </w:r>
            <w:r w:rsidRPr="005F0061">
              <w:t>(</w:t>
            </w:r>
            <w:proofErr w:type="spellStart"/>
            <w:r w:rsidRPr="005F0061">
              <w:t>i</w:t>
            </w:r>
            <w:proofErr w:type="spellEnd"/>
            <w:r w:rsidRPr="005F0061">
              <w:t xml:space="preserve">) An ERA includes </w:t>
            </w:r>
            <w:proofErr w:type="spellStart"/>
            <w:r w:rsidRPr="005F0061">
              <w:t>ambrisentan</w:t>
            </w:r>
            <w:proofErr w:type="spellEnd"/>
            <w:r w:rsidRPr="005F0061">
              <w:t xml:space="preserve">, </w:t>
            </w:r>
            <w:proofErr w:type="spellStart"/>
            <w:r w:rsidRPr="005F0061">
              <w:t>bosentan</w:t>
            </w:r>
            <w:proofErr w:type="spellEnd"/>
            <w:r w:rsidRPr="005F0061">
              <w:t xml:space="preserve"> monohydrate, or </w:t>
            </w:r>
            <w:proofErr w:type="spellStart"/>
            <w:r w:rsidRPr="005F0061">
              <w:t>macitentan</w:t>
            </w:r>
            <w:proofErr w:type="spellEnd"/>
            <w:r w:rsidRPr="005F0061">
              <w:t>.</w:t>
            </w:r>
            <w:r w:rsidR="003327A6" w:rsidRPr="005F0061">
              <w:br/>
            </w:r>
            <w:r w:rsidRPr="005F0061">
              <w:t xml:space="preserve">(ii) A PDE-5i includes sildenafil citrate, or </w:t>
            </w:r>
            <w:proofErr w:type="spellStart"/>
            <w:r w:rsidRPr="005F0061">
              <w:t>tadalafil</w:t>
            </w:r>
            <w:proofErr w:type="spellEnd"/>
            <w:r w:rsidRPr="005F0061">
              <w:t>.</w:t>
            </w:r>
            <w:r w:rsidR="003327A6" w:rsidRPr="005F0061">
              <w:br/>
            </w:r>
            <w:r w:rsidRPr="005F0061">
              <w:t>PAH agents are not PBS-subsidised for patients with pulmonary hypertension secondary to interstitial lung disease associated with connective tissue disease, where the total lung capacity is less than 70% of predicted.</w:t>
            </w:r>
            <w:r w:rsidR="003327A6" w:rsidRPr="005F0061">
              <w:br/>
            </w:r>
            <w:r w:rsidRPr="005F0061">
              <w:t>PAH (WHO Group 1 pulmonary hypertension) is defined as follows</w:t>
            </w:r>
            <w:proofErr w:type="gramStart"/>
            <w:r w:rsidRPr="005F0061">
              <w:t>:</w:t>
            </w:r>
            <w:proofErr w:type="gramEnd"/>
            <w:r w:rsidR="003327A6" w:rsidRPr="005F0061">
              <w:br/>
            </w:r>
            <w:r w:rsidRPr="005F0061">
              <w:t>(</w:t>
            </w:r>
            <w:proofErr w:type="spellStart"/>
            <w:r w:rsidRPr="005F0061">
              <w:t>i</w:t>
            </w:r>
            <w:proofErr w:type="spellEnd"/>
            <w:r w:rsidRPr="005F0061">
              <w:t>) mean pulmonary artery pressure (</w:t>
            </w:r>
            <w:proofErr w:type="spellStart"/>
            <w:r w:rsidRPr="005F0061">
              <w:t>mPAP</w:t>
            </w:r>
            <w:proofErr w:type="spellEnd"/>
            <w:r w:rsidRPr="005F0061">
              <w:t>) greater than or equal to 25 mmHg at rest and pulmonary artery wedge pressure (PAWP) less than or equal to 15 mmHg; or</w:t>
            </w:r>
            <w:r w:rsidR="003327A6" w:rsidRPr="005F0061">
              <w:br/>
            </w:r>
            <w:r w:rsidRPr="005F0061">
              <w:t>(ii) where a right heart catheter (RHC) cannot be performed on clinical grounds, right ventricular systolic pressure (RVSP), assessed by echocardiography (ECHO), greater than 40 mmHg, with normal left ventricular function.</w:t>
            </w:r>
            <w:r w:rsidR="003327A6" w:rsidRPr="005F0061">
              <w:br/>
            </w:r>
            <w:r w:rsidRPr="005F0061">
              <w:t>Applications for authorisation must be in writing and must include:</w:t>
            </w:r>
            <w:r w:rsidR="003327A6" w:rsidRPr="005F0061">
              <w:br/>
            </w:r>
            <w:r w:rsidRPr="005F0061">
              <w:t>(1) a completed authority prescription form; and</w:t>
            </w:r>
            <w:r w:rsidR="003327A6" w:rsidRPr="005F0061">
              <w:br/>
            </w:r>
            <w:r w:rsidRPr="005F0061">
              <w:t>(2) a completed Pulmonary Arterial Hypertension PBS Authority Application - Supporting Information form which includes results from the three tests below, where available:</w:t>
            </w:r>
            <w:r w:rsidR="003327A6" w:rsidRPr="005F0061">
              <w:br/>
            </w:r>
            <w:r w:rsidRPr="005F0061">
              <w:t>(</w:t>
            </w:r>
            <w:proofErr w:type="spellStart"/>
            <w:r w:rsidRPr="005F0061">
              <w:t>i</w:t>
            </w:r>
            <w:proofErr w:type="spellEnd"/>
            <w:r w:rsidRPr="005F0061">
              <w:t>) RHC composite assessment; and</w:t>
            </w:r>
            <w:r w:rsidR="003327A6" w:rsidRPr="005F0061">
              <w:br/>
            </w:r>
            <w:r w:rsidRPr="005F0061">
              <w:t>(ii) ECHO composite assessment; and</w:t>
            </w:r>
            <w:r w:rsidR="003327A6" w:rsidRPr="005F0061">
              <w:br/>
            </w:r>
            <w:r w:rsidRPr="005F0061">
              <w:t>(iii) 6 Minute Walk Test (6MWT).</w:t>
            </w:r>
            <w:r w:rsidR="003327A6" w:rsidRPr="005F0061">
              <w:br/>
            </w:r>
            <w:r w:rsidRPr="005F0061">
              <w:t>Where it is not possible to perform all 3 tests on clinical grounds, the following list outlines the preferred test combination, in descending order, for the purposes of initiation of PBS-subsidised treatment:</w:t>
            </w:r>
            <w:r w:rsidR="003327A6" w:rsidRPr="005F0061">
              <w:br/>
            </w:r>
            <w:r w:rsidRPr="005F0061">
              <w:t>(1) RHC plus ECHO composite assessments;</w:t>
            </w:r>
            <w:r w:rsidR="003327A6" w:rsidRPr="005F0061">
              <w:br/>
            </w:r>
            <w:r w:rsidRPr="005F0061">
              <w:t>(2) RHC composite assessment plus 6MWT;</w:t>
            </w:r>
            <w:r w:rsidR="003327A6" w:rsidRPr="005F0061">
              <w:br/>
            </w:r>
            <w:r w:rsidRPr="005F0061">
              <w:t>(3) RHC composite assessment only.</w:t>
            </w:r>
            <w:r w:rsidR="003327A6" w:rsidRPr="005F0061">
              <w:br/>
            </w:r>
            <w:r w:rsidRPr="005F0061">
              <w:t>In circumstances where a RHC cannot be performed on clinical grounds, applications may be submitted for consideration based on the results of the following test combinations, which are listed in descending order of preference</w:t>
            </w:r>
            <w:proofErr w:type="gramStart"/>
            <w:r w:rsidRPr="005F0061">
              <w:t>:</w:t>
            </w:r>
            <w:proofErr w:type="gramEnd"/>
            <w:r w:rsidR="003327A6" w:rsidRPr="005F0061">
              <w:br/>
            </w:r>
            <w:r w:rsidRPr="005F0061">
              <w:t>(1) ECHO composite assessment plus 6MWT;</w:t>
            </w:r>
            <w:r w:rsidR="003327A6" w:rsidRPr="005F0061">
              <w:br/>
            </w:r>
            <w:r w:rsidRPr="005F0061">
              <w:t>(2) ECHO composite assessment only.</w:t>
            </w:r>
            <w:r w:rsidR="003327A6" w:rsidRPr="005F0061">
              <w:br/>
            </w:r>
            <w:r w:rsidRPr="005F0061">
              <w:t>Where fewer than 3 tests are able to be performed on clinical grounds, a patient specific reason outlining why the particular test(s) could not be conducted must be provided with the authority application.</w:t>
            </w:r>
            <w:r w:rsidR="003327A6" w:rsidRPr="005F0061">
              <w:br/>
            </w:r>
            <w:r w:rsidRPr="005F0061">
              <w:t xml:space="preserve">Where a RHC cannot be performed on clinical grounds, confirmation of the reason(s) must be provided </w:t>
            </w:r>
            <w:r w:rsidRPr="005F0061">
              <w:lastRenderedPageBreak/>
              <w:t>with the authority application by a second PAH physician or cardiologist with expertise in the management of PAH.</w:t>
            </w:r>
            <w:r w:rsidR="003327A6" w:rsidRPr="005F0061">
              <w:br/>
            </w:r>
            <w:r w:rsidRPr="005F0061">
              <w:t>The test results provided must not be more than 2 months old at the time of application.</w:t>
            </w:r>
            <w:r w:rsidR="003327A6" w:rsidRPr="005F0061">
              <w:br/>
            </w:r>
            <w:r w:rsidRPr="005F0061">
              <w:t>If patients will be taking 62.5mg for the first month then 125 mg, prescribers should request the first authority prescription of therapy with the 62.5 mg tablet strength, with the quantity for one month of treatment, based on the dosage recommendations in the TGA-approved Product Information and no repeats.</w:t>
            </w:r>
            <w:r w:rsidR="003327A6" w:rsidRPr="005F0061">
              <w:br/>
            </w:r>
            <w:r w:rsidRPr="005F0061">
              <w:t>Prescribers should request the second authority prescription of therapy with the 125 mg tablet strengths, with a quantity for one month of treatment, based on the dosage recommendations in the TGA-approved Product Information, and a maximum of 4 repeats.</w:t>
            </w:r>
            <w:r w:rsidR="003327A6" w:rsidRPr="005F0061">
              <w:br/>
            </w:r>
            <w:r w:rsidRPr="005F0061">
              <w:t>If patients will be taking 62.5mg for longer than 1 month, prescribers should request the first authority prescription of therapy with the 62.5 mg tablet strength, with the quantity for one month of treatment and a maximum of 5 repeats based on the dosage recommendations in the TGA-approved Product Information.</w:t>
            </w:r>
          </w:p>
        </w:tc>
        <w:tc>
          <w:tcPr>
            <w:tcW w:w="2650" w:type="dxa"/>
            <w:shd w:val="clear" w:color="auto" w:fill="auto"/>
            <w:tcMar>
              <w:top w:w="28" w:type="dxa"/>
              <w:left w:w="28" w:type="dxa"/>
              <w:right w:w="57" w:type="dxa"/>
            </w:tcMar>
          </w:tcPr>
          <w:p w14:paraId="2E6C8E82" w14:textId="7F5F044F" w:rsidR="00C11B81" w:rsidRPr="005F0061" w:rsidRDefault="00C11B81" w:rsidP="00C11B81">
            <w:pPr>
              <w:pStyle w:val="Tabletext0"/>
              <w:rPr>
                <w:rFonts w:cs="Arial"/>
                <w:szCs w:val="16"/>
              </w:rPr>
            </w:pPr>
            <w:r w:rsidRPr="005F0061">
              <w:rPr>
                <w:rFonts w:cs="Arial"/>
                <w:szCs w:val="16"/>
              </w:rPr>
              <w:lastRenderedPageBreak/>
              <w:t>Compliance with Written Authority Required procedures</w:t>
            </w:r>
          </w:p>
        </w:tc>
      </w:tr>
      <w:tr w:rsidR="00C11B81" w:rsidRPr="005F0061" w14:paraId="5DD49BC9" w14:textId="77777777" w:rsidTr="005E778F">
        <w:tc>
          <w:tcPr>
            <w:tcW w:w="1900" w:type="dxa"/>
            <w:shd w:val="clear" w:color="auto" w:fill="auto"/>
            <w:tcMar>
              <w:top w:w="28" w:type="dxa"/>
              <w:left w:w="28" w:type="dxa"/>
            </w:tcMar>
          </w:tcPr>
          <w:p w14:paraId="243E89D2" w14:textId="77777777" w:rsidR="00C11B81" w:rsidRPr="005F0061" w:rsidRDefault="00C11B81" w:rsidP="00C11B81">
            <w:pPr>
              <w:pStyle w:val="Tabletext0"/>
              <w:tabs>
                <w:tab w:val="left" w:pos="958"/>
              </w:tabs>
              <w:rPr>
                <w:rFonts w:cs="Arial"/>
                <w:szCs w:val="16"/>
              </w:rPr>
            </w:pPr>
          </w:p>
        </w:tc>
        <w:tc>
          <w:tcPr>
            <w:tcW w:w="850" w:type="dxa"/>
            <w:shd w:val="clear" w:color="auto" w:fill="auto"/>
            <w:tcMar>
              <w:top w:w="28" w:type="dxa"/>
              <w:left w:w="28" w:type="dxa"/>
            </w:tcMar>
          </w:tcPr>
          <w:p w14:paraId="0E3A0F0A" w14:textId="5958E5DA" w:rsidR="00C11B81" w:rsidRPr="005F0061" w:rsidRDefault="00C11B81" w:rsidP="00C11B81">
            <w:pPr>
              <w:pStyle w:val="Tabletext0"/>
              <w:rPr>
                <w:rFonts w:cs="Arial"/>
                <w:szCs w:val="16"/>
              </w:rPr>
            </w:pPr>
            <w:r w:rsidRPr="005F0061">
              <w:rPr>
                <w:rFonts w:cs="Arial"/>
                <w:szCs w:val="16"/>
              </w:rPr>
              <w:t>C11295</w:t>
            </w:r>
          </w:p>
        </w:tc>
        <w:tc>
          <w:tcPr>
            <w:tcW w:w="850" w:type="dxa"/>
            <w:shd w:val="clear" w:color="auto" w:fill="auto"/>
            <w:tcMar>
              <w:top w:w="28" w:type="dxa"/>
              <w:left w:w="28" w:type="dxa"/>
            </w:tcMar>
          </w:tcPr>
          <w:p w14:paraId="645FACA0" w14:textId="77777777" w:rsidR="00C11B81" w:rsidRPr="005F0061" w:rsidDel="00E03489" w:rsidRDefault="00C11B81" w:rsidP="00C11B81">
            <w:pPr>
              <w:spacing w:before="60" w:after="60"/>
              <w:rPr>
                <w:rFonts w:ascii="Arial" w:hAnsi="Arial" w:cs="Arial"/>
                <w:sz w:val="16"/>
                <w:szCs w:val="16"/>
                <w:lang w:eastAsia="en-AU"/>
              </w:rPr>
            </w:pPr>
          </w:p>
        </w:tc>
        <w:tc>
          <w:tcPr>
            <w:tcW w:w="7661" w:type="dxa"/>
            <w:shd w:val="clear" w:color="auto" w:fill="auto"/>
            <w:tcMar>
              <w:top w:w="28" w:type="dxa"/>
              <w:left w:w="28" w:type="dxa"/>
            </w:tcMar>
          </w:tcPr>
          <w:p w14:paraId="456E6698" w14:textId="04AFC473" w:rsidR="00C11B81" w:rsidRPr="005F0061" w:rsidRDefault="00C11B81" w:rsidP="00C11B81">
            <w:pPr>
              <w:pStyle w:val="mps3-data"/>
              <w:rPr>
                <w:szCs w:val="16"/>
              </w:rPr>
            </w:pPr>
            <w:r w:rsidRPr="005F0061">
              <w:t>Pulmonary arterial hypertension (PAH</w:t>
            </w:r>
            <w:proofErr w:type="gramStart"/>
            <w:r w:rsidRPr="005F0061">
              <w:t>)</w:t>
            </w:r>
            <w:proofErr w:type="gramEnd"/>
            <w:r w:rsidR="003327A6" w:rsidRPr="005F0061">
              <w:br/>
            </w:r>
            <w:r w:rsidRPr="005F0061">
              <w:t>Continuing treatment (dual therapy)</w:t>
            </w:r>
            <w:r w:rsidR="003327A6" w:rsidRPr="005F0061">
              <w:br/>
            </w:r>
            <w:r w:rsidRPr="005F0061">
              <w:t>Patient must have received their most recent course of PBS-subsidised dual therapy with this PAH agent and a phosphodiesterase-5 inhibitor (PDE-5i) for this condition.</w:t>
            </w:r>
            <w:r w:rsidR="003327A6" w:rsidRPr="005F0061">
              <w:br/>
            </w:r>
            <w:r w:rsidRPr="005F0061">
              <w:t>Must be treated by a physician with expertise in the management of PAH, with this authority application to be completed by the physician with expertise in PAH.</w:t>
            </w:r>
            <w:r w:rsidR="003327A6" w:rsidRPr="005F0061">
              <w:br/>
            </w:r>
            <w:r w:rsidRPr="005F0061">
              <w:t xml:space="preserve">The term 'PAH agents' refers to </w:t>
            </w:r>
            <w:proofErr w:type="spellStart"/>
            <w:r w:rsidRPr="005F0061">
              <w:t>bosentan</w:t>
            </w:r>
            <w:proofErr w:type="spellEnd"/>
            <w:r w:rsidRPr="005F0061">
              <w:t xml:space="preserve"> monohydrate, </w:t>
            </w:r>
            <w:proofErr w:type="spellStart"/>
            <w:r w:rsidRPr="005F0061">
              <w:t>iloprost</w:t>
            </w:r>
            <w:proofErr w:type="spellEnd"/>
            <w:r w:rsidRPr="005F0061">
              <w:t xml:space="preserve"> trometamol, </w:t>
            </w:r>
            <w:proofErr w:type="spellStart"/>
            <w:r w:rsidRPr="005F0061">
              <w:t>epoprostenol</w:t>
            </w:r>
            <w:proofErr w:type="spellEnd"/>
            <w:r w:rsidRPr="005F0061">
              <w:t xml:space="preserve"> sodium, sildenafil citrate, </w:t>
            </w:r>
            <w:proofErr w:type="spellStart"/>
            <w:r w:rsidRPr="005F0061">
              <w:t>ambrisentan</w:t>
            </w:r>
            <w:proofErr w:type="spellEnd"/>
            <w:r w:rsidRPr="005F0061">
              <w:t xml:space="preserve">, </w:t>
            </w:r>
            <w:proofErr w:type="spellStart"/>
            <w:r w:rsidRPr="005F0061">
              <w:t>tadalafil</w:t>
            </w:r>
            <w:proofErr w:type="spellEnd"/>
            <w:r w:rsidRPr="005F0061">
              <w:t xml:space="preserve">, </w:t>
            </w:r>
            <w:proofErr w:type="spellStart"/>
            <w:r w:rsidRPr="005F0061">
              <w:t>macitentan</w:t>
            </w:r>
            <w:proofErr w:type="spellEnd"/>
            <w:r w:rsidRPr="005F0061">
              <w:t xml:space="preserve">, and </w:t>
            </w:r>
            <w:proofErr w:type="spellStart"/>
            <w:r w:rsidRPr="005F0061">
              <w:t>riociguat</w:t>
            </w:r>
            <w:proofErr w:type="spellEnd"/>
            <w:r w:rsidRPr="005F0061">
              <w:t>.</w:t>
            </w:r>
            <w:r w:rsidR="003327A6" w:rsidRPr="005F0061">
              <w:br/>
            </w:r>
            <w:r w:rsidRPr="005F0061">
              <w:t>For the purposes of PBS subsidy, dual therapy refers to combined use of an endothelin receptor antagonist (ERA) and a phosphodiesterase-5 inhibitor (PDE-5i).</w:t>
            </w:r>
            <w:r w:rsidR="003327A6" w:rsidRPr="005F0061">
              <w:br/>
            </w:r>
            <w:r w:rsidRPr="005F0061">
              <w:t>(</w:t>
            </w:r>
            <w:proofErr w:type="spellStart"/>
            <w:r w:rsidRPr="005F0061">
              <w:t>i</w:t>
            </w:r>
            <w:proofErr w:type="spellEnd"/>
            <w:r w:rsidRPr="005F0061">
              <w:t xml:space="preserve">) An ERA includes </w:t>
            </w:r>
            <w:proofErr w:type="spellStart"/>
            <w:r w:rsidRPr="005F0061">
              <w:t>ambrisentan</w:t>
            </w:r>
            <w:proofErr w:type="spellEnd"/>
            <w:r w:rsidRPr="005F0061">
              <w:t xml:space="preserve">, </w:t>
            </w:r>
            <w:proofErr w:type="spellStart"/>
            <w:r w:rsidRPr="005F0061">
              <w:t>bosentan</w:t>
            </w:r>
            <w:proofErr w:type="spellEnd"/>
            <w:r w:rsidRPr="005F0061">
              <w:t xml:space="preserve"> monohydrate, or </w:t>
            </w:r>
            <w:proofErr w:type="spellStart"/>
            <w:r w:rsidRPr="005F0061">
              <w:t>macitentan</w:t>
            </w:r>
            <w:proofErr w:type="spellEnd"/>
            <w:r w:rsidRPr="005F0061">
              <w:t>.</w:t>
            </w:r>
            <w:r w:rsidR="003327A6" w:rsidRPr="005F0061">
              <w:br/>
            </w:r>
            <w:r w:rsidRPr="005F0061">
              <w:t xml:space="preserve">(ii) A PDE-5i includes sildenafil citrate, or </w:t>
            </w:r>
            <w:proofErr w:type="spellStart"/>
            <w:r w:rsidRPr="005F0061">
              <w:t>tadalafil</w:t>
            </w:r>
            <w:proofErr w:type="spellEnd"/>
            <w:r w:rsidRPr="005F0061">
              <w:t>.</w:t>
            </w:r>
            <w:r w:rsidR="003327A6" w:rsidRPr="005F0061">
              <w:br/>
            </w:r>
            <w:r w:rsidRPr="005F0061">
              <w:t>PAH agents are not PBS-subsidised for patients with pulmonary hypertension secondary to interstitial lung disease associated with connective tissue disease, where the total lung capacity is less than 70% of predicted.</w:t>
            </w:r>
            <w:r w:rsidR="003327A6" w:rsidRPr="005F0061">
              <w:br/>
            </w:r>
            <w:r w:rsidRPr="005F0061">
              <w:t>The maximum quantity authorised will be limited to provide sufficient supply for 1 month of treatment, based on the dosage recommendations in the TGA-approved Product Information.</w:t>
            </w:r>
            <w:r w:rsidR="003327A6" w:rsidRPr="005F0061">
              <w:br/>
            </w:r>
            <w:r w:rsidRPr="005F0061">
              <w:t>A maximum of 5 repeats may be requested.</w:t>
            </w:r>
          </w:p>
        </w:tc>
        <w:tc>
          <w:tcPr>
            <w:tcW w:w="2650" w:type="dxa"/>
            <w:shd w:val="clear" w:color="auto" w:fill="auto"/>
            <w:tcMar>
              <w:top w:w="28" w:type="dxa"/>
              <w:left w:w="28" w:type="dxa"/>
              <w:right w:w="57" w:type="dxa"/>
            </w:tcMar>
          </w:tcPr>
          <w:p w14:paraId="3762A159" w14:textId="0C18DCF3" w:rsidR="00C11B81" w:rsidRPr="005F0061" w:rsidRDefault="00C11B81" w:rsidP="00C11B81">
            <w:pPr>
              <w:pStyle w:val="Tabletext0"/>
              <w:rPr>
                <w:rFonts w:cs="Arial"/>
                <w:szCs w:val="16"/>
              </w:rPr>
            </w:pPr>
            <w:r w:rsidRPr="005F0061">
              <w:t>Compliance with Authority Required procedures</w:t>
            </w:r>
          </w:p>
        </w:tc>
      </w:tr>
    </w:tbl>
    <w:p w14:paraId="6C9EA435" w14:textId="23E51968" w:rsidR="00FA7DB9" w:rsidRPr="005F0061" w:rsidRDefault="008B0820" w:rsidP="00186BFB">
      <w:pPr>
        <w:pStyle w:val="Amendment1"/>
        <w:numPr>
          <w:ilvl w:val="0"/>
          <w:numId w:val="10"/>
        </w:numPr>
        <w:spacing w:before="60" w:after="60"/>
        <w:ind w:left="1134" w:hanging="567"/>
        <w:rPr>
          <w:bCs w:val="0"/>
          <w:iCs/>
        </w:rPr>
      </w:pPr>
      <w:r w:rsidRPr="005F0061">
        <w:rPr>
          <w:bCs w:val="0"/>
          <w:iCs/>
        </w:rPr>
        <w:t xml:space="preserve">Schedule 3, entry for </w:t>
      </w:r>
      <w:proofErr w:type="spellStart"/>
      <w:r w:rsidR="00073DE1" w:rsidRPr="005F0061">
        <w:rPr>
          <w:bCs w:val="0"/>
          <w:iCs/>
        </w:rPr>
        <w:t>Eltrombopag</w:t>
      </w:r>
      <w:proofErr w:type="spellEnd"/>
    </w:p>
    <w:p w14:paraId="4C5B127E" w14:textId="7BE5657E" w:rsidR="008B0820" w:rsidRPr="005F0061" w:rsidRDefault="00781B39" w:rsidP="00186BFB">
      <w:pPr>
        <w:pStyle w:val="Amendment1"/>
        <w:numPr>
          <w:ilvl w:val="0"/>
          <w:numId w:val="0"/>
        </w:numPr>
        <w:spacing w:before="60" w:after="60"/>
        <w:ind w:left="1134" w:hanging="567"/>
        <w:rPr>
          <w:rFonts w:ascii="Times New Roman" w:hAnsi="Times New Roman" w:cs="Times New Roman"/>
          <w:b w:val="0"/>
          <w:bCs w:val="0"/>
          <w:i/>
          <w:iCs/>
        </w:rPr>
      </w:pPr>
      <w:proofErr w:type="gramStart"/>
      <w:r w:rsidRPr="005F0061">
        <w:rPr>
          <w:rFonts w:ascii="Times New Roman" w:hAnsi="Times New Roman" w:cs="Times New Roman"/>
          <w:b w:val="0"/>
          <w:bCs w:val="0"/>
          <w:i/>
          <w:iCs/>
        </w:rPr>
        <w:t>substitute</w:t>
      </w:r>
      <w:proofErr w:type="gramEnd"/>
      <w:r w:rsidR="00B5126B" w:rsidRPr="005F0061">
        <w:rPr>
          <w:rFonts w:ascii="Times New Roman" w:hAnsi="Times New Roman" w:cs="Times New Roman"/>
          <w:b w:val="0"/>
          <w:bCs w:val="0"/>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C11B81" w:rsidRPr="005F0061" w14:paraId="4A244DAA" w14:textId="77777777" w:rsidTr="005E778F">
        <w:tc>
          <w:tcPr>
            <w:tcW w:w="1900" w:type="dxa"/>
            <w:shd w:val="clear" w:color="auto" w:fill="auto"/>
            <w:tcMar>
              <w:top w:w="28" w:type="dxa"/>
              <w:left w:w="28" w:type="dxa"/>
            </w:tcMar>
          </w:tcPr>
          <w:p w14:paraId="44D18A80" w14:textId="72397B88" w:rsidR="00C11B81" w:rsidRPr="005F0061" w:rsidRDefault="00B9356C" w:rsidP="00C11B81">
            <w:pPr>
              <w:pStyle w:val="Tabletext0"/>
              <w:tabs>
                <w:tab w:val="left" w:pos="958"/>
              </w:tabs>
              <w:rPr>
                <w:rFonts w:cs="Arial"/>
                <w:szCs w:val="16"/>
              </w:rPr>
            </w:pPr>
            <w:proofErr w:type="spellStart"/>
            <w:r w:rsidRPr="005F0061">
              <w:rPr>
                <w:bCs/>
                <w:iCs/>
              </w:rPr>
              <w:t>Eltrombopag</w:t>
            </w:r>
            <w:proofErr w:type="spellEnd"/>
          </w:p>
        </w:tc>
        <w:tc>
          <w:tcPr>
            <w:tcW w:w="850" w:type="dxa"/>
            <w:shd w:val="clear" w:color="auto" w:fill="auto"/>
            <w:tcMar>
              <w:top w:w="28" w:type="dxa"/>
              <w:left w:w="28" w:type="dxa"/>
            </w:tcMar>
          </w:tcPr>
          <w:p w14:paraId="35BB1B81" w14:textId="051CB323" w:rsidR="00C11B81" w:rsidRPr="005F0061" w:rsidRDefault="00C11B81" w:rsidP="00C11B81">
            <w:pPr>
              <w:pStyle w:val="Tabletext0"/>
              <w:rPr>
                <w:rFonts w:cs="Arial"/>
                <w:color w:val="000000" w:themeColor="text1"/>
                <w:szCs w:val="16"/>
              </w:rPr>
            </w:pPr>
            <w:r w:rsidRPr="005F0061">
              <w:rPr>
                <w:rFonts w:cs="Arial"/>
                <w:color w:val="000000" w:themeColor="text1"/>
                <w:szCs w:val="22"/>
              </w:rPr>
              <w:t>C11199</w:t>
            </w:r>
          </w:p>
        </w:tc>
        <w:tc>
          <w:tcPr>
            <w:tcW w:w="850" w:type="dxa"/>
            <w:shd w:val="clear" w:color="auto" w:fill="auto"/>
            <w:tcMar>
              <w:top w:w="28" w:type="dxa"/>
              <w:left w:w="28" w:type="dxa"/>
            </w:tcMar>
          </w:tcPr>
          <w:p w14:paraId="661AF6E2" w14:textId="1A86A13C" w:rsidR="00C11B81" w:rsidRPr="005F0061" w:rsidDel="00E03489" w:rsidRDefault="00C11B81" w:rsidP="00C11B81">
            <w:pPr>
              <w:spacing w:before="60" w:after="60"/>
              <w:rPr>
                <w:rFonts w:ascii="Arial" w:hAnsi="Arial" w:cs="Arial"/>
                <w:color w:val="000000" w:themeColor="text1"/>
                <w:sz w:val="16"/>
                <w:szCs w:val="16"/>
                <w:lang w:eastAsia="en-AU"/>
              </w:rPr>
            </w:pPr>
          </w:p>
        </w:tc>
        <w:tc>
          <w:tcPr>
            <w:tcW w:w="7661" w:type="dxa"/>
            <w:shd w:val="clear" w:color="auto" w:fill="auto"/>
            <w:tcMar>
              <w:top w:w="28" w:type="dxa"/>
              <w:left w:w="28" w:type="dxa"/>
            </w:tcMar>
          </w:tcPr>
          <w:p w14:paraId="337E1FD5" w14:textId="1FAF2276" w:rsidR="00C11B81" w:rsidRPr="005F0061" w:rsidRDefault="00C11B81" w:rsidP="00C11B81">
            <w:pPr>
              <w:spacing w:before="60" w:after="60"/>
              <w:rPr>
                <w:rFonts w:ascii="Arial" w:eastAsia="Arial" w:hAnsi="Arial" w:cs="Arial"/>
                <w:sz w:val="16"/>
                <w:szCs w:val="16"/>
                <w:lang w:eastAsia="zh-CN"/>
              </w:rPr>
            </w:pPr>
            <w:r w:rsidRPr="005F0061">
              <w:rPr>
                <w:rFonts w:ascii="Arial" w:hAnsi="Arial" w:cs="Arial"/>
                <w:sz w:val="16"/>
                <w:szCs w:val="16"/>
              </w:rPr>
              <w:t>Severe thrombocytopenia</w:t>
            </w:r>
            <w:r w:rsidR="003327A6" w:rsidRPr="005F0061">
              <w:rPr>
                <w:rFonts w:ascii="Arial" w:hAnsi="Arial" w:cs="Arial"/>
                <w:sz w:val="16"/>
                <w:szCs w:val="16"/>
              </w:rPr>
              <w:br/>
            </w:r>
            <w:r w:rsidRPr="005F0061">
              <w:rPr>
                <w:rFonts w:ascii="Arial" w:hAnsi="Arial" w:cs="Arial"/>
                <w:sz w:val="16"/>
                <w:szCs w:val="16"/>
              </w:rPr>
              <w:t>Second or subsequent Continuing treatment</w:t>
            </w:r>
            <w:r w:rsidR="003327A6" w:rsidRPr="005F0061">
              <w:rPr>
                <w:rFonts w:ascii="Arial" w:hAnsi="Arial" w:cs="Arial"/>
                <w:sz w:val="16"/>
                <w:szCs w:val="16"/>
              </w:rPr>
              <w:br/>
            </w:r>
            <w:r w:rsidRPr="005F0061">
              <w:rPr>
                <w:rFonts w:ascii="Arial" w:hAnsi="Arial" w:cs="Arial"/>
                <w:sz w:val="16"/>
                <w:szCs w:val="16"/>
              </w:rPr>
              <w:t>The condition must be severe chronic immune (idiopathic) thrombocytopenic purpura (ITP); AND</w:t>
            </w:r>
            <w:r w:rsidR="003327A6" w:rsidRPr="005F0061">
              <w:rPr>
                <w:rFonts w:ascii="Arial" w:hAnsi="Arial" w:cs="Arial"/>
                <w:sz w:val="16"/>
                <w:szCs w:val="16"/>
              </w:rPr>
              <w:br/>
            </w:r>
            <w:r w:rsidRPr="005F0061">
              <w:rPr>
                <w:rFonts w:ascii="Arial" w:hAnsi="Arial" w:cs="Arial"/>
                <w:sz w:val="16"/>
                <w:szCs w:val="16"/>
              </w:rPr>
              <w:t>Patient must have previously received PBS-subsidised treatment with this drug for this condition under first continuing or re-initiation of interrupted continuing treatment restriction; AND</w:t>
            </w:r>
            <w:r w:rsidR="003327A6" w:rsidRPr="005F0061">
              <w:rPr>
                <w:rFonts w:ascii="Arial" w:hAnsi="Arial" w:cs="Arial"/>
                <w:sz w:val="16"/>
                <w:szCs w:val="16"/>
              </w:rPr>
              <w:br/>
            </w:r>
            <w:r w:rsidRPr="005F0061">
              <w:rPr>
                <w:rFonts w:ascii="Arial" w:hAnsi="Arial" w:cs="Arial"/>
                <w:sz w:val="16"/>
                <w:szCs w:val="16"/>
              </w:rPr>
              <w:t>Patient must have demonstrated a continuing response to PBS-subsidised treatment with this drug; AND</w:t>
            </w:r>
            <w:r w:rsidR="003327A6" w:rsidRPr="005F0061">
              <w:rPr>
                <w:rFonts w:ascii="Arial" w:hAnsi="Arial" w:cs="Arial"/>
                <w:sz w:val="16"/>
                <w:szCs w:val="16"/>
              </w:rPr>
              <w:br/>
            </w:r>
            <w:r w:rsidRPr="005F0061">
              <w:rPr>
                <w:rFonts w:ascii="Arial" w:hAnsi="Arial" w:cs="Arial"/>
                <w:sz w:val="16"/>
                <w:szCs w:val="16"/>
              </w:rPr>
              <w:t xml:space="preserve">The treatment must be the sole PBS-subsidised </w:t>
            </w:r>
            <w:proofErr w:type="spellStart"/>
            <w:r w:rsidRPr="005F0061">
              <w:rPr>
                <w:rFonts w:ascii="Arial" w:hAnsi="Arial" w:cs="Arial"/>
                <w:sz w:val="16"/>
                <w:szCs w:val="16"/>
              </w:rPr>
              <w:t>thrombopoietin</w:t>
            </w:r>
            <w:proofErr w:type="spellEnd"/>
            <w:r w:rsidRPr="005F0061">
              <w:rPr>
                <w:rFonts w:ascii="Arial" w:hAnsi="Arial" w:cs="Arial"/>
                <w:sz w:val="16"/>
                <w:szCs w:val="16"/>
              </w:rPr>
              <w:t xml:space="preserve"> receptor agonist (TRA) for this condition.</w:t>
            </w:r>
            <w:r w:rsidR="003327A6" w:rsidRPr="005F0061">
              <w:rPr>
                <w:rFonts w:ascii="Arial" w:hAnsi="Arial" w:cs="Arial"/>
                <w:sz w:val="16"/>
                <w:szCs w:val="16"/>
              </w:rPr>
              <w:br/>
            </w:r>
            <w:r w:rsidRPr="005F0061">
              <w:rPr>
                <w:rFonts w:ascii="Arial" w:hAnsi="Arial" w:cs="Arial"/>
                <w:sz w:val="16"/>
                <w:szCs w:val="16"/>
              </w:rPr>
              <w:t>Patient must be aged 18 years or older.</w:t>
            </w:r>
            <w:r w:rsidR="003327A6" w:rsidRPr="005F0061">
              <w:rPr>
                <w:rFonts w:ascii="Arial" w:hAnsi="Arial" w:cs="Arial"/>
                <w:sz w:val="16"/>
                <w:szCs w:val="16"/>
              </w:rPr>
              <w:br/>
            </w:r>
            <w:r w:rsidRPr="005F0061">
              <w:rPr>
                <w:rFonts w:ascii="Arial" w:hAnsi="Arial" w:cs="Arial"/>
                <w:sz w:val="16"/>
                <w:szCs w:val="16"/>
              </w:rPr>
              <w:t>For the purpose of this restriction, a continuing response to treatment with drug is defined as</w:t>
            </w:r>
            <w:proofErr w:type="gramStart"/>
            <w:r w:rsidRPr="005F0061">
              <w:rPr>
                <w:rFonts w:ascii="Arial" w:hAnsi="Arial" w:cs="Arial"/>
                <w:sz w:val="16"/>
                <w:szCs w:val="16"/>
              </w:rPr>
              <w:t>:</w:t>
            </w:r>
            <w:proofErr w:type="gramEnd"/>
            <w:r w:rsidR="003327A6" w:rsidRPr="005F0061">
              <w:rPr>
                <w:rFonts w:ascii="Arial" w:hAnsi="Arial" w:cs="Arial"/>
                <w:sz w:val="16"/>
                <w:szCs w:val="16"/>
              </w:rPr>
              <w:br/>
            </w:r>
            <w:r w:rsidRPr="005F0061">
              <w:rPr>
                <w:rFonts w:ascii="Arial" w:hAnsi="Arial" w:cs="Arial"/>
                <w:sz w:val="16"/>
                <w:szCs w:val="16"/>
              </w:rPr>
              <w:t>(a) use of rescue medication (corticosteroids or immunoglobulins) on no more than one occasion during the most recent 24 week period of PBS-subsidised treatment with this drug</w:t>
            </w:r>
            <w:r w:rsidR="003327A6" w:rsidRPr="005F0061">
              <w:rPr>
                <w:rFonts w:ascii="Arial" w:hAnsi="Arial" w:cs="Arial"/>
                <w:sz w:val="16"/>
                <w:szCs w:val="16"/>
              </w:rPr>
              <w:br/>
            </w:r>
            <w:r w:rsidRPr="005F0061">
              <w:rPr>
                <w:rFonts w:ascii="Arial" w:hAnsi="Arial" w:cs="Arial"/>
                <w:sz w:val="16"/>
                <w:szCs w:val="16"/>
              </w:rPr>
              <w:t>AND either of the following:</w:t>
            </w:r>
            <w:r w:rsidR="003327A6" w:rsidRPr="005F0061">
              <w:rPr>
                <w:rFonts w:ascii="Arial" w:hAnsi="Arial" w:cs="Arial"/>
                <w:sz w:val="16"/>
                <w:szCs w:val="16"/>
              </w:rPr>
              <w:br/>
            </w:r>
            <w:r w:rsidRPr="005F0061">
              <w:rPr>
                <w:rFonts w:ascii="Arial" w:hAnsi="Arial" w:cs="Arial"/>
                <w:sz w:val="16"/>
                <w:szCs w:val="16"/>
              </w:rPr>
              <w:t>(b) a platelet count greater than or equal to 50,000 million per L</w:t>
            </w:r>
            <w:r w:rsidR="003327A6" w:rsidRPr="005F0061">
              <w:rPr>
                <w:rFonts w:ascii="Arial" w:hAnsi="Arial" w:cs="Arial"/>
                <w:sz w:val="16"/>
                <w:szCs w:val="16"/>
              </w:rPr>
              <w:br/>
            </w:r>
            <w:r w:rsidRPr="005F0061">
              <w:rPr>
                <w:rFonts w:ascii="Arial" w:hAnsi="Arial" w:cs="Arial"/>
                <w:sz w:val="16"/>
                <w:szCs w:val="16"/>
              </w:rPr>
              <w:t>OR</w:t>
            </w:r>
            <w:r w:rsidR="003327A6" w:rsidRPr="005F0061">
              <w:rPr>
                <w:rFonts w:ascii="Arial" w:hAnsi="Arial" w:cs="Arial"/>
                <w:sz w:val="16"/>
                <w:szCs w:val="16"/>
              </w:rPr>
              <w:br/>
            </w:r>
            <w:r w:rsidRPr="005F0061">
              <w:rPr>
                <w:rFonts w:ascii="Arial" w:hAnsi="Arial" w:cs="Arial"/>
                <w:sz w:val="16"/>
                <w:szCs w:val="16"/>
              </w:rPr>
              <w:lastRenderedPageBreak/>
              <w:t>(c) a platelet count greater than 30,000 million per L and which is double the baseline platelet count.</w:t>
            </w:r>
            <w:r w:rsidR="003327A6" w:rsidRPr="005F0061">
              <w:rPr>
                <w:rFonts w:ascii="Arial" w:hAnsi="Arial" w:cs="Arial"/>
                <w:sz w:val="16"/>
                <w:szCs w:val="16"/>
              </w:rPr>
              <w:br/>
            </w:r>
            <w:r w:rsidRPr="005F0061">
              <w:rPr>
                <w:rFonts w:ascii="Arial" w:eastAsia="Arial" w:hAnsi="Arial" w:cs="Arial"/>
                <w:sz w:val="16"/>
                <w:szCs w:val="16"/>
                <w:lang w:eastAsia="zh-CN"/>
              </w:rPr>
              <w:t>The platelet count must be no more than 4 weeks old at the time of application.</w:t>
            </w:r>
          </w:p>
        </w:tc>
        <w:tc>
          <w:tcPr>
            <w:tcW w:w="2650" w:type="dxa"/>
            <w:shd w:val="clear" w:color="auto" w:fill="auto"/>
            <w:tcMar>
              <w:top w:w="28" w:type="dxa"/>
              <w:left w:w="28" w:type="dxa"/>
              <w:right w:w="57" w:type="dxa"/>
            </w:tcMar>
          </w:tcPr>
          <w:p w14:paraId="0897FF28" w14:textId="784CB84F" w:rsidR="00C11B81" w:rsidRPr="005F0061" w:rsidRDefault="00C11B81" w:rsidP="00C11B81">
            <w:pPr>
              <w:pStyle w:val="Tabletext0"/>
              <w:rPr>
                <w:rFonts w:cs="Arial"/>
                <w:color w:val="000000" w:themeColor="text1"/>
                <w:szCs w:val="16"/>
              </w:rPr>
            </w:pPr>
            <w:r w:rsidRPr="005F0061">
              <w:lastRenderedPageBreak/>
              <w:t>Compliance with Authority Required procedures</w:t>
            </w:r>
          </w:p>
        </w:tc>
      </w:tr>
      <w:tr w:rsidR="00C11B81" w:rsidRPr="005F0061" w14:paraId="6E44C46D" w14:textId="77777777" w:rsidTr="005E778F">
        <w:tc>
          <w:tcPr>
            <w:tcW w:w="1900" w:type="dxa"/>
            <w:shd w:val="clear" w:color="auto" w:fill="auto"/>
            <w:tcMar>
              <w:top w:w="28" w:type="dxa"/>
              <w:left w:w="28" w:type="dxa"/>
            </w:tcMar>
          </w:tcPr>
          <w:p w14:paraId="466612EF" w14:textId="77777777" w:rsidR="00C11B81" w:rsidRPr="005F0061" w:rsidRDefault="00C11B81" w:rsidP="00C11B81">
            <w:pPr>
              <w:pStyle w:val="Tabletext0"/>
              <w:tabs>
                <w:tab w:val="left" w:pos="958"/>
              </w:tabs>
              <w:rPr>
                <w:rFonts w:cs="Arial"/>
                <w:szCs w:val="16"/>
              </w:rPr>
            </w:pPr>
          </w:p>
        </w:tc>
        <w:tc>
          <w:tcPr>
            <w:tcW w:w="850" w:type="dxa"/>
            <w:shd w:val="clear" w:color="auto" w:fill="auto"/>
            <w:tcMar>
              <w:top w:w="28" w:type="dxa"/>
              <w:left w:w="28" w:type="dxa"/>
            </w:tcMar>
          </w:tcPr>
          <w:p w14:paraId="54F141DA" w14:textId="1DE90D71" w:rsidR="00C11B81" w:rsidRPr="005F0061" w:rsidRDefault="00C11B81" w:rsidP="00C11B81">
            <w:pPr>
              <w:pStyle w:val="Tabletext0"/>
              <w:rPr>
                <w:rFonts w:cs="Arial"/>
                <w:color w:val="000000" w:themeColor="text1"/>
                <w:szCs w:val="16"/>
              </w:rPr>
            </w:pPr>
            <w:r w:rsidRPr="005F0061">
              <w:rPr>
                <w:rFonts w:cs="Arial"/>
                <w:color w:val="000000" w:themeColor="text1"/>
                <w:szCs w:val="22"/>
              </w:rPr>
              <w:t>C11202</w:t>
            </w:r>
          </w:p>
        </w:tc>
        <w:tc>
          <w:tcPr>
            <w:tcW w:w="850" w:type="dxa"/>
            <w:shd w:val="clear" w:color="auto" w:fill="auto"/>
            <w:tcMar>
              <w:top w:w="28" w:type="dxa"/>
              <w:left w:w="28" w:type="dxa"/>
            </w:tcMar>
          </w:tcPr>
          <w:p w14:paraId="467818AB" w14:textId="1FB18F80" w:rsidR="00C11B81" w:rsidRPr="005F0061" w:rsidDel="00E03489" w:rsidRDefault="00C11B81" w:rsidP="00C11B81">
            <w:pPr>
              <w:spacing w:before="60" w:after="60"/>
              <w:rPr>
                <w:rFonts w:ascii="Arial" w:hAnsi="Arial" w:cs="Arial"/>
                <w:color w:val="000000" w:themeColor="text1"/>
                <w:sz w:val="16"/>
                <w:szCs w:val="16"/>
                <w:lang w:eastAsia="en-AU"/>
              </w:rPr>
            </w:pPr>
          </w:p>
        </w:tc>
        <w:tc>
          <w:tcPr>
            <w:tcW w:w="7661" w:type="dxa"/>
            <w:shd w:val="clear" w:color="auto" w:fill="auto"/>
            <w:tcMar>
              <w:top w:w="28" w:type="dxa"/>
              <w:left w:w="28" w:type="dxa"/>
            </w:tcMar>
          </w:tcPr>
          <w:p w14:paraId="0857351C" w14:textId="747785ED" w:rsidR="00C11B81" w:rsidRPr="005F0061" w:rsidRDefault="00C11B81" w:rsidP="00C11B81">
            <w:pPr>
              <w:pStyle w:val="mps3-data"/>
              <w:rPr>
                <w:color w:val="000000" w:themeColor="text1"/>
                <w:szCs w:val="16"/>
              </w:rPr>
            </w:pPr>
            <w:r w:rsidRPr="005F0061">
              <w:t>Severe thrombocytopenia</w:t>
            </w:r>
            <w:r w:rsidR="003327A6" w:rsidRPr="005F0061">
              <w:br/>
            </w:r>
            <w:r w:rsidRPr="005F0061">
              <w:t>Initial treatment 1 - New patient</w:t>
            </w:r>
            <w:r w:rsidR="003327A6" w:rsidRPr="005F0061">
              <w:br/>
            </w:r>
            <w:r w:rsidRPr="005F0061">
              <w:t>The condition must be severe chronic immune (idiopathic) thrombocytopenic purpura (ITP); AND</w:t>
            </w:r>
            <w:r w:rsidR="003327A6" w:rsidRPr="005F0061">
              <w:br/>
            </w:r>
            <w:r w:rsidRPr="005F0061">
              <w:t>Patient must have had a splenectomy; AND</w:t>
            </w:r>
            <w:r w:rsidR="003327A6" w:rsidRPr="005F0061">
              <w:br/>
            </w:r>
            <w:r w:rsidRPr="005F0061">
              <w:t>Patient must have failed to achieve an adequate response to, or be intolerant to, corticosteroid therapy following the splenectomy; AND</w:t>
            </w:r>
            <w:r w:rsidR="003327A6" w:rsidRPr="005F0061">
              <w:br/>
            </w:r>
            <w:r w:rsidRPr="005F0061">
              <w:t>Patient must have failed to achieve an adequate response to, or be intolerant to, immunoglobulin therapy following the splenectomy; AND</w:t>
            </w:r>
            <w:r w:rsidR="003327A6" w:rsidRPr="005F0061">
              <w:br/>
            </w:r>
            <w:r w:rsidRPr="005F0061">
              <w:t xml:space="preserve">The treatment must be the sole PBS-subsidised </w:t>
            </w:r>
            <w:proofErr w:type="spellStart"/>
            <w:r w:rsidRPr="005F0061">
              <w:t>thrombopoietin</w:t>
            </w:r>
            <w:proofErr w:type="spellEnd"/>
            <w:r w:rsidRPr="005F0061">
              <w:t xml:space="preserve"> receptor agonist (TRA) for this condition.</w:t>
            </w:r>
            <w:r w:rsidR="003327A6" w:rsidRPr="005F0061">
              <w:br/>
            </w:r>
            <w:r w:rsidRPr="005F0061">
              <w:t>Patient must be aged 18 years or older.</w:t>
            </w:r>
            <w:r w:rsidR="003327A6" w:rsidRPr="005F0061">
              <w:br/>
            </w:r>
            <w:r w:rsidRPr="005F0061">
              <w:t>The following criteria indicate failure to achieve an adequate response and must be demonstrated at the time of initial application</w:t>
            </w:r>
            <w:proofErr w:type="gramStart"/>
            <w:r w:rsidRPr="005F0061">
              <w:t>;</w:t>
            </w:r>
            <w:proofErr w:type="gramEnd"/>
            <w:r w:rsidR="003327A6" w:rsidRPr="005F0061">
              <w:br/>
            </w:r>
            <w:r w:rsidRPr="005F0061">
              <w:t>(a) a platelet count of less than or equal to 20,000 million per L; OR</w:t>
            </w:r>
            <w:r w:rsidR="003327A6" w:rsidRPr="005F0061">
              <w:br/>
            </w:r>
            <w:r w:rsidRPr="005F0061">
              <w:t>(b) a platelet count of 20,000 million to 30,000 million per L, where the patient is experiencing significant bleeding or has a history of significant bleeding in this platelet range.</w:t>
            </w:r>
            <w:r w:rsidR="003327A6" w:rsidRPr="005F0061">
              <w:br/>
            </w:r>
            <w:r w:rsidRPr="005F0061">
              <w:t>Where intolerance to treatment with corticosteroid and immunoglobulin therapy developed during the relevant period of use, which was of a severity to necessitate permanent treatment withdrawal, details of the degree of this toxicity must be provided at the time of application.</w:t>
            </w:r>
            <w:r w:rsidR="003327A6" w:rsidRPr="005F0061">
              <w:br/>
            </w:r>
            <w:r w:rsidRPr="005F0061">
              <w:t>The authority application must be made in writing and must include</w:t>
            </w:r>
            <w:proofErr w:type="gramStart"/>
            <w:r w:rsidRPr="005F0061">
              <w:t>:</w:t>
            </w:r>
            <w:proofErr w:type="gramEnd"/>
            <w:r w:rsidR="003327A6" w:rsidRPr="005F0061">
              <w:br/>
            </w:r>
            <w:r w:rsidRPr="005F0061">
              <w:t>(1) a completed authority prescription form,</w:t>
            </w:r>
            <w:r w:rsidR="003327A6" w:rsidRPr="005F0061">
              <w:br/>
            </w:r>
            <w:r w:rsidRPr="005F0061">
              <w:t>(2) a completed Idiopathic Thrombocytopenic Purpura Initial PBS Authority Application - Supporting Information Form,</w:t>
            </w:r>
            <w:r w:rsidR="003327A6" w:rsidRPr="005F0061">
              <w:br/>
            </w:r>
            <w:r w:rsidRPr="005F0061">
              <w:t>(3) details of a platelet count supporting the diagnosis of ITP.</w:t>
            </w:r>
            <w:r w:rsidR="003327A6" w:rsidRPr="005F0061">
              <w:br/>
            </w:r>
            <w:r w:rsidRPr="005F0061">
              <w:t>The platelet count must be no more than 4 weeks old at the time of application.</w:t>
            </w:r>
            <w:r w:rsidR="003327A6" w:rsidRPr="005F0061">
              <w:br/>
            </w:r>
            <w:r w:rsidRPr="005F0061">
              <w:t>A maximum of 24 weeks of treatment with this drug will be authorised under this criterion.</w:t>
            </w:r>
            <w:r w:rsidR="003327A6" w:rsidRPr="005F0061">
              <w:br/>
            </w:r>
            <w:r w:rsidRPr="005F0061">
              <w:t xml:space="preserve">Patients will be able to trial either </w:t>
            </w:r>
            <w:proofErr w:type="spellStart"/>
            <w:r w:rsidRPr="005F0061">
              <w:t>eltrombopag</w:t>
            </w:r>
            <w:proofErr w:type="spellEnd"/>
            <w:r w:rsidRPr="005F0061">
              <w:t xml:space="preserve"> or </w:t>
            </w:r>
            <w:proofErr w:type="spellStart"/>
            <w:r w:rsidRPr="005F0061">
              <w:t>romiplostim</w:t>
            </w:r>
            <w:proofErr w:type="spellEnd"/>
            <w:r w:rsidRPr="005F0061">
              <w:t xml:space="preserve"> within the initial 24 weeks treatment period. Where a patient has started initial treatment with one of the two agents, change of therapy to the alternative agent may be authorised under the Balance of supply or change of therapy restriction to complete up to 24 weeks initial treatment. Patients who fail to demonstrate a response to treatment with </w:t>
            </w:r>
            <w:proofErr w:type="spellStart"/>
            <w:r w:rsidRPr="005F0061">
              <w:t>eltrombopag</w:t>
            </w:r>
            <w:proofErr w:type="spellEnd"/>
            <w:r w:rsidRPr="005F0061">
              <w:t xml:space="preserve"> and/or </w:t>
            </w:r>
            <w:proofErr w:type="spellStart"/>
            <w:r w:rsidRPr="005F0061">
              <w:t>romiplostim</w:t>
            </w:r>
            <w:proofErr w:type="spellEnd"/>
            <w:r w:rsidRPr="005F0061">
              <w:t xml:space="preserve"> after completion of 24 weeks initial therapy will not be eligible to receive further PBS-subsidised treatment with either of these drugs.</w:t>
            </w:r>
          </w:p>
        </w:tc>
        <w:tc>
          <w:tcPr>
            <w:tcW w:w="2650" w:type="dxa"/>
            <w:shd w:val="clear" w:color="auto" w:fill="auto"/>
            <w:tcMar>
              <w:top w:w="28" w:type="dxa"/>
              <w:left w:w="28" w:type="dxa"/>
              <w:right w:w="57" w:type="dxa"/>
            </w:tcMar>
          </w:tcPr>
          <w:p w14:paraId="149D369C" w14:textId="2EE96127" w:rsidR="00C11B81" w:rsidRPr="005F0061" w:rsidRDefault="00C11B81" w:rsidP="00C11B81">
            <w:pPr>
              <w:pStyle w:val="Tabletext0"/>
              <w:rPr>
                <w:rFonts w:cs="Arial"/>
                <w:color w:val="000000" w:themeColor="text1"/>
                <w:szCs w:val="16"/>
              </w:rPr>
            </w:pPr>
            <w:r w:rsidRPr="005F0061">
              <w:rPr>
                <w:rFonts w:cs="Arial"/>
                <w:color w:val="000000" w:themeColor="text1"/>
                <w:szCs w:val="16"/>
              </w:rPr>
              <w:t>Compliance with Written Authority Required procedures</w:t>
            </w:r>
          </w:p>
        </w:tc>
      </w:tr>
      <w:tr w:rsidR="00C11B81" w:rsidRPr="005F0061" w14:paraId="3D27746A" w14:textId="77777777" w:rsidTr="005E778F">
        <w:tc>
          <w:tcPr>
            <w:tcW w:w="1900" w:type="dxa"/>
            <w:shd w:val="clear" w:color="auto" w:fill="auto"/>
            <w:tcMar>
              <w:top w:w="28" w:type="dxa"/>
              <w:left w:w="28" w:type="dxa"/>
            </w:tcMar>
          </w:tcPr>
          <w:p w14:paraId="164265AE" w14:textId="77777777" w:rsidR="00C11B81" w:rsidRPr="005F0061" w:rsidRDefault="00C11B81" w:rsidP="00C11B81">
            <w:pPr>
              <w:pStyle w:val="Tabletext0"/>
              <w:tabs>
                <w:tab w:val="left" w:pos="958"/>
              </w:tabs>
              <w:rPr>
                <w:rFonts w:cs="Arial"/>
                <w:szCs w:val="16"/>
              </w:rPr>
            </w:pPr>
          </w:p>
        </w:tc>
        <w:tc>
          <w:tcPr>
            <w:tcW w:w="850" w:type="dxa"/>
            <w:shd w:val="clear" w:color="auto" w:fill="auto"/>
            <w:tcMar>
              <w:top w:w="28" w:type="dxa"/>
              <w:left w:w="28" w:type="dxa"/>
            </w:tcMar>
          </w:tcPr>
          <w:p w14:paraId="0C438241" w14:textId="187F0CDE" w:rsidR="00C11B81" w:rsidRPr="005F0061" w:rsidRDefault="00C11B81" w:rsidP="00C11B81">
            <w:pPr>
              <w:pStyle w:val="Tabletext0"/>
              <w:rPr>
                <w:rFonts w:cs="Arial"/>
                <w:color w:val="000000" w:themeColor="text1"/>
                <w:szCs w:val="16"/>
              </w:rPr>
            </w:pPr>
            <w:r w:rsidRPr="005F0061">
              <w:rPr>
                <w:rFonts w:cs="Arial"/>
                <w:color w:val="000000" w:themeColor="text1"/>
                <w:szCs w:val="22"/>
              </w:rPr>
              <w:t>C11244</w:t>
            </w:r>
          </w:p>
        </w:tc>
        <w:tc>
          <w:tcPr>
            <w:tcW w:w="850" w:type="dxa"/>
            <w:shd w:val="clear" w:color="auto" w:fill="auto"/>
            <w:tcMar>
              <w:top w:w="28" w:type="dxa"/>
              <w:left w:w="28" w:type="dxa"/>
            </w:tcMar>
          </w:tcPr>
          <w:p w14:paraId="14E8BA61" w14:textId="43C76B84" w:rsidR="00C11B81" w:rsidRPr="005F0061" w:rsidDel="00E03489" w:rsidRDefault="00C11B81" w:rsidP="00C11B81">
            <w:pPr>
              <w:spacing w:before="60" w:after="60"/>
              <w:rPr>
                <w:rFonts w:ascii="Arial" w:hAnsi="Arial" w:cs="Arial"/>
                <w:color w:val="000000" w:themeColor="text1"/>
                <w:sz w:val="16"/>
                <w:szCs w:val="16"/>
                <w:lang w:eastAsia="en-AU"/>
              </w:rPr>
            </w:pPr>
          </w:p>
        </w:tc>
        <w:tc>
          <w:tcPr>
            <w:tcW w:w="7661" w:type="dxa"/>
            <w:shd w:val="clear" w:color="auto" w:fill="auto"/>
            <w:tcMar>
              <w:top w:w="28" w:type="dxa"/>
              <w:left w:w="28" w:type="dxa"/>
            </w:tcMar>
          </w:tcPr>
          <w:p w14:paraId="3F42C8A5" w14:textId="55A7FE73" w:rsidR="00C11B81" w:rsidRPr="005F0061" w:rsidRDefault="00C11B81" w:rsidP="00C11B81">
            <w:pPr>
              <w:pStyle w:val="mps3-data"/>
              <w:rPr>
                <w:color w:val="000000" w:themeColor="text1"/>
                <w:szCs w:val="16"/>
              </w:rPr>
            </w:pPr>
            <w:r w:rsidRPr="005F0061">
              <w:t>Severe thrombocytopenia</w:t>
            </w:r>
            <w:r w:rsidR="003327A6" w:rsidRPr="005F0061">
              <w:br/>
            </w:r>
            <w:r w:rsidRPr="005F0061">
              <w:t>Balance of supply or change of therapy within 24 weeks initial treatment</w:t>
            </w:r>
            <w:r w:rsidR="003327A6" w:rsidRPr="005F0061">
              <w:br/>
            </w:r>
            <w:r w:rsidRPr="005F0061">
              <w:t>The condition must be severe chronic immune (idiopathic) thrombocytopenic purpura (ITP); AND</w:t>
            </w:r>
            <w:r w:rsidR="003327A6" w:rsidRPr="005F0061">
              <w:br/>
            </w:r>
            <w:r w:rsidRPr="005F0061">
              <w:t xml:space="preserve">The treatment must be the sole PBS-subsidised </w:t>
            </w:r>
            <w:proofErr w:type="spellStart"/>
            <w:r w:rsidRPr="005F0061">
              <w:t>thrombopoietin</w:t>
            </w:r>
            <w:proofErr w:type="spellEnd"/>
            <w:r w:rsidRPr="005F0061">
              <w:t xml:space="preserve"> receptor agonist (TRA) for this condition; AND</w:t>
            </w:r>
            <w:r w:rsidR="003327A6" w:rsidRPr="005F0061">
              <w:br/>
            </w:r>
            <w:r w:rsidRPr="005F0061">
              <w:t>Patient must have received insufficient therapy with this drug for this condition under the Initial 1 restriction to complete 24 weeks treatment; OR</w:t>
            </w:r>
            <w:r w:rsidR="003327A6" w:rsidRPr="005F0061">
              <w:br/>
            </w:r>
            <w:r w:rsidRPr="005F0061">
              <w:t>Patient must have received insufficient therapy with this drug for this condition under the Initial 2 restriction to complete 24 weeks treatment; OR</w:t>
            </w:r>
            <w:r w:rsidR="003327A6" w:rsidRPr="005F0061">
              <w:br/>
            </w:r>
            <w:r w:rsidRPr="005F0061">
              <w:t xml:space="preserve">Patient must be swapping therapy from </w:t>
            </w:r>
            <w:proofErr w:type="spellStart"/>
            <w:r w:rsidRPr="005F0061">
              <w:t>romiplostim</w:t>
            </w:r>
            <w:proofErr w:type="spellEnd"/>
            <w:r w:rsidRPr="005F0061">
              <w:t xml:space="preserve"> to this drug for this condition within the initial 24 weeks of treatment; OR</w:t>
            </w:r>
            <w:r w:rsidR="003327A6" w:rsidRPr="005F0061">
              <w:br/>
            </w:r>
            <w:r w:rsidRPr="005F0061">
              <w:t>Patient must have received insufficient therapy with this drug for this condition under the First Continuing treatment or Re-initiation of interrupted continuing treatment restriction to complete 24 weeks treatment; OR</w:t>
            </w:r>
            <w:r w:rsidR="003327A6" w:rsidRPr="005F0061">
              <w:br/>
            </w:r>
            <w:r w:rsidRPr="005F0061">
              <w:t>Patient must have received insufficient therapy with this drug for this condition under the Second and subsequent Continuing treatment restriction to complete 24 weeks treatment; AND</w:t>
            </w:r>
            <w:r w:rsidR="003327A6" w:rsidRPr="005F0061">
              <w:br/>
            </w:r>
            <w:r w:rsidRPr="005F0061">
              <w:lastRenderedPageBreak/>
              <w:t>The treatment must provide no more than the balance of up to 24 weeks treatment available under the above restriction.</w:t>
            </w:r>
            <w:r w:rsidR="003327A6" w:rsidRPr="005F0061">
              <w:br/>
            </w:r>
            <w:r w:rsidRPr="005F0061">
              <w:t>Patient must be aged 18 years or older.</w:t>
            </w:r>
            <w:r w:rsidR="003327A6" w:rsidRPr="005F0061">
              <w:br/>
            </w:r>
            <w:r w:rsidRPr="005F0061">
              <w:t xml:space="preserve">Patients will be able to trial either </w:t>
            </w:r>
            <w:proofErr w:type="spellStart"/>
            <w:r w:rsidRPr="005F0061">
              <w:t>eltrombopag</w:t>
            </w:r>
            <w:proofErr w:type="spellEnd"/>
            <w:r w:rsidRPr="005F0061">
              <w:t xml:space="preserve"> or </w:t>
            </w:r>
            <w:proofErr w:type="spellStart"/>
            <w:r w:rsidRPr="005F0061">
              <w:t>romiplostim</w:t>
            </w:r>
            <w:proofErr w:type="spellEnd"/>
            <w:r w:rsidRPr="005F0061">
              <w:t xml:space="preserve"> within the initial 24 weeks treatment period. Where a patient has started initial treatment with one of the two agents, change of therapy to the alternative agent may be authorised under the Balance of supply or change of therapy restriction to complete up to 24 weeks initial treatment. Patients who fail to demonstrate a response to treatment with </w:t>
            </w:r>
            <w:proofErr w:type="spellStart"/>
            <w:r w:rsidRPr="005F0061">
              <w:t>eltrombopag</w:t>
            </w:r>
            <w:proofErr w:type="spellEnd"/>
            <w:r w:rsidRPr="005F0061">
              <w:t xml:space="preserve"> and/or </w:t>
            </w:r>
            <w:proofErr w:type="spellStart"/>
            <w:r w:rsidRPr="005F0061">
              <w:t>romiplostim</w:t>
            </w:r>
            <w:proofErr w:type="spellEnd"/>
            <w:r w:rsidRPr="005F0061">
              <w:t xml:space="preserve"> after completion of 24 weeks initial therapy will not be eligible to receive further PBS-subsidised treatment with either of these drugs.</w:t>
            </w:r>
          </w:p>
        </w:tc>
        <w:tc>
          <w:tcPr>
            <w:tcW w:w="2650" w:type="dxa"/>
            <w:shd w:val="clear" w:color="auto" w:fill="auto"/>
            <w:tcMar>
              <w:top w:w="28" w:type="dxa"/>
              <w:left w:w="28" w:type="dxa"/>
              <w:right w:w="57" w:type="dxa"/>
            </w:tcMar>
          </w:tcPr>
          <w:p w14:paraId="00183EA2" w14:textId="4A40D1B6" w:rsidR="00C11B81" w:rsidRPr="005F0061" w:rsidRDefault="00C11B81" w:rsidP="00C11B81">
            <w:pPr>
              <w:pStyle w:val="Tabletext0"/>
              <w:rPr>
                <w:rFonts w:cs="Arial"/>
                <w:color w:val="000000" w:themeColor="text1"/>
                <w:szCs w:val="16"/>
              </w:rPr>
            </w:pPr>
            <w:r w:rsidRPr="005F0061">
              <w:rPr>
                <w:rFonts w:cs="Arial"/>
                <w:color w:val="000000" w:themeColor="text1"/>
                <w:szCs w:val="16"/>
              </w:rPr>
              <w:lastRenderedPageBreak/>
              <w:t>Compliance with Authority Required procedures</w:t>
            </w:r>
          </w:p>
        </w:tc>
      </w:tr>
      <w:tr w:rsidR="00C11B81" w:rsidRPr="005F0061" w14:paraId="57465C28" w14:textId="77777777" w:rsidTr="005E778F">
        <w:tc>
          <w:tcPr>
            <w:tcW w:w="1900" w:type="dxa"/>
            <w:shd w:val="clear" w:color="auto" w:fill="auto"/>
            <w:tcMar>
              <w:top w:w="28" w:type="dxa"/>
              <w:left w:w="28" w:type="dxa"/>
            </w:tcMar>
          </w:tcPr>
          <w:p w14:paraId="54902E2F" w14:textId="77777777" w:rsidR="00C11B81" w:rsidRPr="005F0061" w:rsidRDefault="00C11B81" w:rsidP="00C11B81">
            <w:pPr>
              <w:pStyle w:val="Tabletext0"/>
              <w:tabs>
                <w:tab w:val="left" w:pos="958"/>
              </w:tabs>
              <w:rPr>
                <w:rFonts w:cs="Arial"/>
                <w:szCs w:val="16"/>
              </w:rPr>
            </w:pPr>
          </w:p>
        </w:tc>
        <w:tc>
          <w:tcPr>
            <w:tcW w:w="850" w:type="dxa"/>
            <w:shd w:val="clear" w:color="auto" w:fill="auto"/>
            <w:tcMar>
              <w:top w:w="28" w:type="dxa"/>
              <w:left w:w="28" w:type="dxa"/>
            </w:tcMar>
          </w:tcPr>
          <w:p w14:paraId="3A48A867" w14:textId="2A72E30C" w:rsidR="00C11B81" w:rsidRPr="005F0061" w:rsidRDefault="00C11B81" w:rsidP="00C11B81">
            <w:pPr>
              <w:pStyle w:val="Tabletext0"/>
              <w:rPr>
                <w:rFonts w:cs="Arial"/>
                <w:color w:val="000000" w:themeColor="text1"/>
                <w:szCs w:val="16"/>
              </w:rPr>
            </w:pPr>
            <w:r w:rsidRPr="005F0061">
              <w:rPr>
                <w:rFonts w:cs="Arial"/>
                <w:color w:val="000000" w:themeColor="text1"/>
                <w:szCs w:val="22"/>
              </w:rPr>
              <w:t>C11262</w:t>
            </w:r>
          </w:p>
        </w:tc>
        <w:tc>
          <w:tcPr>
            <w:tcW w:w="850" w:type="dxa"/>
            <w:shd w:val="clear" w:color="auto" w:fill="auto"/>
            <w:tcMar>
              <w:top w:w="28" w:type="dxa"/>
              <w:left w:w="28" w:type="dxa"/>
            </w:tcMar>
          </w:tcPr>
          <w:p w14:paraId="10713D67" w14:textId="55DF35D9" w:rsidR="00C11B81" w:rsidRPr="005F0061" w:rsidDel="00E03489" w:rsidRDefault="00C11B81" w:rsidP="00C11B81">
            <w:pPr>
              <w:spacing w:before="60" w:after="60"/>
              <w:rPr>
                <w:rFonts w:ascii="Arial" w:hAnsi="Arial" w:cs="Arial"/>
                <w:color w:val="000000" w:themeColor="text1"/>
                <w:sz w:val="16"/>
                <w:szCs w:val="16"/>
                <w:lang w:eastAsia="en-AU"/>
              </w:rPr>
            </w:pPr>
          </w:p>
        </w:tc>
        <w:tc>
          <w:tcPr>
            <w:tcW w:w="7661" w:type="dxa"/>
            <w:shd w:val="clear" w:color="auto" w:fill="auto"/>
            <w:tcMar>
              <w:top w:w="28" w:type="dxa"/>
              <w:left w:w="28" w:type="dxa"/>
            </w:tcMar>
          </w:tcPr>
          <w:p w14:paraId="634D64EB" w14:textId="3A94717E" w:rsidR="00C11B81" w:rsidRPr="005F0061" w:rsidRDefault="00C11B81" w:rsidP="00C11B81">
            <w:pPr>
              <w:spacing w:before="60" w:after="60"/>
              <w:rPr>
                <w:rFonts w:ascii="Arial" w:eastAsia="Arial" w:hAnsi="Arial" w:cs="Arial"/>
                <w:sz w:val="16"/>
                <w:szCs w:val="16"/>
                <w:lang w:eastAsia="zh-CN"/>
              </w:rPr>
            </w:pPr>
            <w:r w:rsidRPr="005F0061">
              <w:rPr>
                <w:rFonts w:ascii="Arial" w:hAnsi="Arial" w:cs="Arial"/>
                <w:sz w:val="16"/>
                <w:szCs w:val="16"/>
              </w:rPr>
              <w:t>Severe thrombocytopenia</w:t>
            </w:r>
            <w:r w:rsidR="003327A6" w:rsidRPr="005F0061">
              <w:rPr>
                <w:rFonts w:ascii="Arial" w:hAnsi="Arial" w:cs="Arial"/>
                <w:sz w:val="16"/>
                <w:szCs w:val="16"/>
              </w:rPr>
              <w:br/>
            </w:r>
            <w:r w:rsidRPr="005F0061">
              <w:rPr>
                <w:rFonts w:ascii="Arial" w:hAnsi="Arial" w:cs="Arial"/>
                <w:sz w:val="16"/>
                <w:szCs w:val="16"/>
              </w:rPr>
              <w:t>Initial treatment 2 - New patient</w:t>
            </w:r>
            <w:r w:rsidR="003327A6" w:rsidRPr="005F0061">
              <w:rPr>
                <w:rFonts w:ascii="Arial" w:hAnsi="Arial" w:cs="Arial"/>
                <w:sz w:val="16"/>
                <w:szCs w:val="16"/>
              </w:rPr>
              <w:br/>
            </w:r>
            <w:r w:rsidRPr="005F0061">
              <w:rPr>
                <w:rFonts w:ascii="Arial" w:hAnsi="Arial" w:cs="Arial"/>
                <w:sz w:val="16"/>
                <w:szCs w:val="16"/>
              </w:rPr>
              <w:t>The condition must be severe chronic immune (idiopathic) thrombocytopenic purpura (ITP); AND</w:t>
            </w:r>
            <w:r w:rsidR="003327A6" w:rsidRPr="005F0061">
              <w:rPr>
                <w:rFonts w:ascii="Arial" w:hAnsi="Arial" w:cs="Arial"/>
                <w:sz w:val="16"/>
                <w:szCs w:val="16"/>
              </w:rPr>
              <w:br/>
            </w:r>
            <w:r w:rsidRPr="005F0061">
              <w:rPr>
                <w:rFonts w:ascii="Arial" w:hAnsi="Arial" w:cs="Arial"/>
                <w:sz w:val="16"/>
                <w:szCs w:val="16"/>
              </w:rPr>
              <w:t>Patient must not have had a splenectomy; AND</w:t>
            </w:r>
            <w:r w:rsidR="003327A6" w:rsidRPr="005F0061">
              <w:rPr>
                <w:rFonts w:ascii="Arial" w:hAnsi="Arial" w:cs="Arial"/>
                <w:sz w:val="16"/>
                <w:szCs w:val="16"/>
              </w:rPr>
              <w:br/>
            </w:r>
            <w:r w:rsidRPr="005F0061">
              <w:rPr>
                <w:rFonts w:ascii="Arial" w:hAnsi="Arial" w:cs="Arial"/>
                <w:sz w:val="16"/>
                <w:szCs w:val="16"/>
              </w:rPr>
              <w:t>Patient must have failed to achieve an adequate response to, or be intolerant to, corticosteroid therapy at a dose equivalent to 0.5-2 mg/kg/day of prednisone for at least 4-6 weeks; AND</w:t>
            </w:r>
            <w:r w:rsidR="003327A6" w:rsidRPr="005F0061">
              <w:rPr>
                <w:rFonts w:ascii="Arial" w:hAnsi="Arial" w:cs="Arial"/>
                <w:sz w:val="16"/>
                <w:szCs w:val="16"/>
              </w:rPr>
              <w:br/>
            </w:r>
            <w:r w:rsidRPr="005F0061">
              <w:rPr>
                <w:rFonts w:ascii="Arial" w:hAnsi="Arial" w:cs="Arial"/>
                <w:sz w:val="16"/>
                <w:szCs w:val="16"/>
              </w:rPr>
              <w:t>Patient must have failed to achieve an adequate response to, or be intolerant to, immunoglobulin therapy; AND</w:t>
            </w:r>
            <w:r w:rsidR="003327A6" w:rsidRPr="005F0061">
              <w:rPr>
                <w:rFonts w:ascii="Arial" w:hAnsi="Arial" w:cs="Arial"/>
                <w:sz w:val="16"/>
                <w:szCs w:val="16"/>
              </w:rPr>
              <w:br/>
            </w:r>
            <w:r w:rsidRPr="005F0061">
              <w:rPr>
                <w:rFonts w:ascii="Arial" w:hAnsi="Arial" w:cs="Arial"/>
                <w:sz w:val="16"/>
                <w:szCs w:val="16"/>
              </w:rPr>
              <w:t>Patient must be unsuitable for splenectomy due to medical reasons; AND</w:t>
            </w:r>
            <w:r w:rsidR="003327A6" w:rsidRPr="005F0061">
              <w:rPr>
                <w:rFonts w:ascii="Arial" w:hAnsi="Arial" w:cs="Arial"/>
                <w:sz w:val="16"/>
                <w:szCs w:val="16"/>
              </w:rPr>
              <w:br/>
            </w:r>
            <w:r w:rsidRPr="005F0061">
              <w:rPr>
                <w:rFonts w:ascii="Arial" w:hAnsi="Arial" w:cs="Arial"/>
                <w:sz w:val="16"/>
                <w:szCs w:val="16"/>
              </w:rPr>
              <w:t xml:space="preserve">The treatment must be the sole PBS-subsidised </w:t>
            </w:r>
            <w:proofErr w:type="spellStart"/>
            <w:r w:rsidRPr="005F0061">
              <w:rPr>
                <w:rFonts w:ascii="Arial" w:hAnsi="Arial" w:cs="Arial"/>
                <w:sz w:val="16"/>
                <w:szCs w:val="16"/>
              </w:rPr>
              <w:t>thrombopoietin</w:t>
            </w:r>
            <w:proofErr w:type="spellEnd"/>
            <w:r w:rsidRPr="005F0061">
              <w:rPr>
                <w:rFonts w:ascii="Arial" w:hAnsi="Arial" w:cs="Arial"/>
                <w:sz w:val="16"/>
                <w:szCs w:val="16"/>
              </w:rPr>
              <w:t xml:space="preserve"> receptor agonist (TRA) for this condition.</w:t>
            </w:r>
            <w:r w:rsidR="003327A6" w:rsidRPr="005F0061">
              <w:rPr>
                <w:rFonts w:ascii="Arial" w:hAnsi="Arial" w:cs="Arial"/>
                <w:sz w:val="16"/>
                <w:szCs w:val="16"/>
              </w:rPr>
              <w:br/>
            </w:r>
            <w:r w:rsidRPr="005F0061">
              <w:rPr>
                <w:rFonts w:ascii="Arial" w:hAnsi="Arial" w:cs="Arial"/>
                <w:sz w:val="16"/>
                <w:szCs w:val="16"/>
              </w:rPr>
              <w:t>Patient must be aged 18 years or older.</w:t>
            </w:r>
            <w:r w:rsidR="003327A6" w:rsidRPr="005F0061">
              <w:rPr>
                <w:rFonts w:ascii="Arial" w:hAnsi="Arial" w:cs="Arial"/>
                <w:sz w:val="16"/>
                <w:szCs w:val="16"/>
              </w:rPr>
              <w:br/>
            </w:r>
            <w:r w:rsidRPr="005F0061">
              <w:rPr>
                <w:rFonts w:ascii="Arial" w:hAnsi="Arial" w:cs="Arial"/>
                <w:sz w:val="16"/>
                <w:szCs w:val="16"/>
              </w:rPr>
              <w:t>The following criteria indicate failure to achieve an adequate response and must be demonstrated at the time of initial application</w:t>
            </w:r>
            <w:proofErr w:type="gramStart"/>
            <w:r w:rsidRPr="005F0061">
              <w:rPr>
                <w:rFonts w:ascii="Arial" w:hAnsi="Arial" w:cs="Arial"/>
                <w:sz w:val="16"/>
                <w:szCs w:val="16"/>
              </w:rPr>
              <w:t>;</w:t>
            </w:r>
            <w:proofErr w:type="gramEnd"/>
            <w:r w:rsidR="003327A6" w:rsidRPr="005F0061">
              <w:rPr>
                <w:rFonts w:ascii="Arial" w:hAnsi="Arial" w:cs="Arial"/>
                <w:sz w:val="16"/>
                <w:szCs w:val="16"/>
              </w:rPr>
              <w:br/>
            </w:r>
            <w:r w:rsidRPr="005F0061">
              <w:rPr>
                <w:rFonts w:ascii="Arial" w:hAnsi="Arial" w:cs="Arial"/>
                <w:sz w:val="16"/>
                <w:szCs w:val="16"/>
              </w:rPr>
              <w:t>(a) a platelet count of less than or equal to 20,000 million per L; OR</w:t>
            </w:r>
            <w:r w:rsidR="003327A6" w:rsidRPr="005F0061">
              <w:rPr>
                <w:rFonts w:ascii="Arial" w:hAnsi="Arial" w:cs="Arial"/>
                <w:sz w:val="16"/>
                <w:szCs w:val="16"/>
              </w:rPr>
              <w:br/>
            </w:r>
            <w:r w:rsidRPr="005F0061">
              <w:rPr>
                <w:rFonts w:ascii="Arial" w:hAnsi="Arial" w:cs="Arial"/>
                <w:sz w:val="16"/>
                <w:szCs w:val="16"/>
              </w:rPr>
              <w:t>(b) a platelet count of 20,000 million to 30,000 million per L, where the patient is experiencing significant bleeding or has a history of significant bleeding in this platelet range.</w:t>
            </w:r>
            <w:r w:rsidR="003327A6" w:rsidRPr="005F0061">
              <w:rPr>
                <w:rFonts w:ascii="Arial" w:hAnsi="Arial" w:cs="Arial"/>
                <w:sz w:val="16"/>
                <w:szCs w:val="16"/>
              </w:rPr>
              <w:br/>
            </w:r>
            <w:r w:rsidRPr="005F0061">
              <w:rPr>
                <w:rFonts w:ascii="Arial" w:hAnsi="Arial" w:cs="Arial"/>
                <w:sz w:val="16"/>
                <w:szCs w:val="16"/>
              </w:rPr>
              <w:t>Where intolerance to treatment with corticosteroid and immunoglobulin therapy developed during the relevant period of use, which was of a severity to necessitate permanent treatment withdrawal, details of the degree of this toxicity must be provided at the time of application.</w:t>
            </w:r>
            <w:r w:rsidR="003327A6" w:rsidRPr="005F0061">
              <w:rPr>
                <w:rFonts w:ascii="Arial" w:hAnsi="Arial" w:cs="Arial"/>
                <w:sz w:val="16"/>
                <w:szCs w:val="16"/>
              </w:rPr>
              <w:br/>
            </w:r>
            <w:r w:rsidRPr="005F0061">
              <w:rPr>
                <w:rFonts w:ascii="Arial" w:hAnsi="Arial" w:cs="Arial"/>
                <w:sz w:val="16"/>
                <w:szCs w:val="16"/>
              </w:rPr>
              <w:t>The authority application must be made in writing and must include</w:t>
            </w:r>
            <w:proofErr w:type="gramStart"/>
            <w:r w:rsidRPr="005F0061">
              <w:rPr>
                <w:rFonts w:ascii="Arial" w:hAnsi="Arial" w:cs="Arial"/>
                <w:sz w:val="16"/>
                <w:szCs w:val="16"/>
              </w:rPr>
              <w:t>:</w:t>
            </w:r>
            <w:proofErr w:type="gramEnd"/>
            <w:r w:rsidR="003327A6" w:rsidRPr="005F0061">
              <w:rPr>
                <w:rFonts w:ascii="Arial" w:hAnsi="Arial" w:cs="Arial"/>
                <w:sz w:val="16"/>
                <w:szCs w:val="16"/>
              </w:rPr>
              <w:br/>
            </w:r>
            <w:r w:rsidRPr="005F0061">
              <w:rPr>
                <w:rFonts w:ascii="Arial" w:hAnsi="Arial" w:cs="Arial"/>
                <w:sz w:val="16"/>
                <w:szCs w:val="16"/>
              </w:rPr>
              <w:t>(1) a completed authority prescription form,</w:t>
            </w:r>
            <w:r w:rsidR="003327A6" w:rsidRPr="005F0061">
              <w:rPr>
                <w:rFonts w:ascii="Arial" w:hAnsi="Arial" w:cs="Arial"/>
                <w:sz w:val="16"/>
                <w:szCs w:val="16"/>
              </w:rPr>
              <w:br/>
            </w:r>
            <w:r w:rsidRPr="005F0061">
              <w:rPr>
                <w:rFonts w:ascii="Arial" w:hAnsi="Arial" w:cs="Arial"/>
                <w:sz w:val="16"/>
                <w:szCs w:val="16"/>
              </w:rPr>
              <w:t>(2) a completed Idiopathic Thrombocytopenic Purpura Initial PBS Authority Application - Supporting Information Form,</w:t>
            </w:r>
            <w:r w:rsidR="003327A6" w:rsidRPr="005F0061">
              <w:rPr>
                <w:rFonts w:ascii="Arial" w:hAnsi="Arial" w:cs="Arial"/>
                <w:sz w:val="16"/>
                <w:szCs w:val="16"/>
              </w:rPr>
              <w:br/>
            </w:r>
            <w:r w:rsidRPr="005F0061">
              <w:rPr>
                <w:rFonts w:ascii="Arial" w:hAnsi="Arial" w:cs="Arial"/>
                <w:sz w:val="16"/>
                <w:szCs w:val="16"/>
              </w:rPr>
              <w:t>(3) details of a platelet count supporting the diagnosis of ITP, and</w:t>
            </w:r>
            <w:r w:rsidR="003327A6" w:rsidRPr="005F0061">
              <w:rPr>
                <w:rFonts w:ascii="Arial" w:hAnsi="Arial" w:cs="Arial"/>
                <w:sz w:val="16"/>
                <w:szCs w:val="16"/>
              </w:rPr>
              <w:br/>
            </w:r>
            <w:r w:rsidRPr="005F0061">
              <w:rPr>
                <w:rFonts w:ascii="Arial" w:hAnsi="Arial" w:cs="Arial"/>
                <w:sz w:val="16"/>
                <w:szCs w:val="16"/>
              </w:rPr>
              <w:t>(4) details of the reason of medical contraindication for surgery and date of assessment.</w:t>
            </w:r>
            <w:r w:rsidR="003327A6" w:rsidRPr="005F0061">
              <w:rPr>
                <w:rFonts w:ascii="Arial" w:hAnsi="Arial" w:cs="Arial"/>
                <w:sz w:val="16"/>
                <w:szCs w:val="16"/>
              </w:rPr>
              <w:br/>
            </w:r>
            <w:r w:rsidRPr="005F0061">
              <w:rPr>
                <w:rFonts w:ascii="Arial" w:hAnsi="Arial" w:cs="Arial"/>
                <w:sz w:val="16"/>
                <w:szCs w:val="16"/>
              </w:rPr>
              <w:t>The platelet count must be no more than 4 weeks old at the time of application.</w:t>
            </w:r>
            <w:r w:rsidR="003327A6" w:rsidRPr="005F0061">
              <w:rPr>
                <w:rFonts w:ascii="Arial" w:hAnsi="Arial" w:cs="Arial"/>
                <w:sz w:val="16"/>
                <w:szCs w:val="16"/>
              </w:rPr>
              <w:br/>
            </w:r>
            <w:r w:rsidRPr="005F0061">
              <w:rPr>
                <w:rFonts w:ascii="Arial" w:hAnsi="Arial" w:cs="Arial"/>
                <w:sz w:val="16"/>
                <w:szCs w:val="16"/>
              </w:rPr>
              <w:t>A maximum of 24 weeks of treatment with this drug will be authorised under this criterion.</w:t>
            </w:r>
            <w:r w:rsidR="003327A6" w:rsidRPr="005F0061">
              <w:rPr>
                <w:rFonts w:ascii="Arial" w:hAnsi="Arial" w:cs="Arial"/>
                <w:sz w:val="16"/>
                <w:szCs w:val="16"/>
              </w:rPr>
              <w:br/>
            </w:r>
            <w:r w:rsidRPr="005F0061">
              <w:rPr>
                <w:rFonts w:ascii="Arial" w:eastAsia="Arial" w:hAnsi="Arial" w:cs="Arial"/>
                <w:sz w:val="16"/>
                <w:szCs w:val="16"/>
                <w:lang w:eastAsia="zh-CN"/>
              </w:rPr>
              <w:t xml:space="preserve">Patients will be able to trial either </w:t>
            </w:r>
            <w:proofErr w:type="spellStart"/>
            <w:r w:rsidRPr="005F0061">
              <w:rPr>
                <w:rFonts w:ascii="Arial" w:eastAsia="Arial" w:hAnsi="Arial" w:cs="Arial"/>
                <w:sz w:val="16"/>
                <w:szCs w:val="16"/>
                <w:lang w:eastAsia="zh-CN"/>
              </w:rPr>
              <w:t>eltrombopag</w:t>
            </w:r>
            <w:proofErr w:type="spellEnd"/>
            <w:r w:rsidRPr="005F0061">
              <w:rPr>
                <w:rFonts w:ascii="Arial" w:eastAsia="Arial" w:hAnsi="Arial" w:cs="Arial"/>
                <w:sz w:val="16"/>
                <w:szCs w:val="16"/>
                <w:lang w:eastAsia="zh-CN"/>
              </w:rPr>
              <w:t xml:space="preserve"> or </w:t>
            </w:r>
            <w:proofErr w:type="spellStart"/>
            <w:r w:rsidRPr="005F0061">
              <w:rPr>
                <w:rFonts w:ascii="Arial" w:eastAsia="Arial" w:hAnsi="Arial" w:cs="Arial"/>
                <w:sz w:val="16"/>
                <w:szCs w:val="16"/>
                <w:lang w:eastAsia="zh-CN"/>
              </w:rPr>
              <w:t>romiplostim</w:t>
            </w:r>
            <w:proofErr w:type="spellEnd"/>
            <w:r w:rsidRPr="005F0061">
              <w:rPr>
                <w:rFonts w:ascii="Arial" w:eastAsia="Arial" w:hAnsi="Arial" w:cs="Arial"/>
                <w:sz w:val="16"/>
                <w:szCs w:val="16"/>
                <w:lang w:eastAsia="zh-CN"/>
              </w:rPr>
              <w:t xml:space="preserve"> within the initial 24 weeks treatment period. Where a patient has started initial treatment with one of the two agents, change of therapy to the alternative agent may be authorised under the Balance of supply or change of therapy restriction to complete up to 24 weeks initial treatment. Patients who fail to demonstrate a response to treatment with </w:t>
            </w:r>
            <w:proofErr w:type="spellStart"/>
            <w:r w:rsidRPr="005F0061">
              <w:rPr>
                <w:rFonts w:ascii="Arial" w:eastAsia="Arial" w:hAnsi="Arial" w:cs="Arial"/>
                <w:sz w:val="16"/>
                <w:szCs w:val="16"/>
                <w:lang w:eastAsia="zh-CN"/>
              </w:rPr>
              <w:t>eltrombopag</w:t>
            </w:r>
            <w:proofErr w:type="spellEnd"/>
            <w:r w:rsidRPr="005F0061">
              <w:rPr>
                <w:rFonts w:ascii="Arial" w:eastAsia="Arial" w:hAnsi="Arial" w:cs="Arial"/>
                <w:sz w:val="16"/>
                <w:szCs w:val="16"/>
                <w:lang w:eastAsia="zh-CN"/>
              </w:rPr>
              <w:t xml:space="preserve"> and/or </w:t>
            </w:r>
            <w:proofErr w:type="spellStart"/>
            <w:r w:rsidRPr="005F0061">
              <w:rPr>
                <w:rFonts w:ascii="Arial" w:eastAsia="Arial" w:hAnsi="Arial" w:cs="Arial"/>
                <w:sz w:val="16"/>
                <w:szCs w:val="16"/>
                <w:lang w:eastAsia="zh-CN"/>
              </w:rPr>
              <w:t>romiplostim</w:t>
            </w:r>
            <w:proofErr w:type="spellEnd"/>
            <w:r w:rsidRPr="005F0061">
              <w:rPr>
                <w:rFonts w:ascii="Arial" w:eastAsia="Arial" w:hAnsi="Arial" w:cs="Arial"/>
                <w:sz w:val="16"/>
                <w:szCs w:val="16"/>
                <w:lang w:eastAsia="zh-CN"/>
              </w:rPr>
              <w:t xml:space="preserve"> after completion of 24 weeks initial therapy will not be eligible to receive further PBS-subsidised treatment with either of these drugs.</w:t>
            </w:r>
          </w:p>
        </w:tc>
        <w:tc>
          <w:tcPr>
            <w:tcW w:w="2650" w:type="dxa"/>
            <w:shd w:val="clear" w:color="auto" w:fill="auto"/>
            <w:tcMar>
              <w:top w:w="28" w:type="dxa"/>
              <w:left w:w="28" w:type="dxa"/>
              <w:right w:w="57" w:type="dxa"/>
            </w:tcMar>
          </w:tcPr>
          <w:p w14:paraId="2B2576AC" w14:textId="33BA03F7" w:rsidR="00C11B81" w:rsidRPr="005F0061" w:rsidRDefault="00C11B81" w:rsidP="00C11B81">
            <w:pPr>
              <w:pStyle w:val="Tabletext0"/>
              <w:rPr>
                <w:rFonts w:cs="Arial"/>
                <w:color w:val="000000" w:themeColor="text1"/>
                <w:szCs w:val="16"/>
              </w:rPr>
            </w:pPr>
            <w:r w:rsidRPr="005F0061">
              <w:rPr>
                <w:rFonts w:cs="Arial"/>
                <w:color w:val="000000" w:themeColor="text1"/>
                <w:szCs w:val="16"/>
              </w:rPr>
              <w:t>Compliance with Written Authority Required procedures</w:t>
            </w:r>
          </w:p>
        </w:tc>
      </w:tr>
      <w:tr w:rsidR="00C11B81" w:rsidRPr="005F0061" w14:paraId="306BE861" w14:textId="77777777" w:rsidTr="005E778F">
        <w:tc>
          <w:tcPr>
            <w:tcW w:w="1900" w:type="dxa"/>
            <w:shd w:val="clear" w:color="auto" w:fill="auto"/>
            <w:tcMar>
              <w:top w:w="28" w:type="dxa"/>
              <w:left w:w="28" w:type="dxa"/>
            </w:tcMar>
          </w:tcPr>
          <w:p w14:paraId="6CB3F926" w14:textId="77777777" w:rsidR="00C11B81" w:rsidRPr="005F0061" w:rsidRDefault="00C11B81" w:rsidP="00C11B81">
            <w:pPr>
              <w:pStyle w:val="Tabletext0"/>
              <w:tabs>
                <w:tab w:val="left" w:pos="958"/>
              </w:tabs>
              <w:rPr>
                <w:rFonts w:cs="Arial"/>
                <w:szCs w:val="16"/>
              </w:rPr>
            </w:pPr>
          </w:p>
        </w:tc>
        <w:tc>
          <w:tcPr>
            <w:tcW w:w="850" w:type="dxa"/>
            <w:shd w:val="clear" w:color="auto" w:fill="auto"/>
            <w:tcMar>
              <w:top w:w="28" w:type="dxa"/>
              <w:left w:w="28" w:type="dxa"/>
            </w:tcMar>
          </w:tcPr>
          <w:p w14:paraId="4F6A1865" w14:textId="4BFADF09" w:rsidR="00C11B81" w:rsidRPr="005F0061" w:rsidRDefault="00C11B81" w:rsidP="00C11B81">
            <w:pPr>
              <w:pStyle w:val="Tabletext0"/>
              <w:rPr>
                <w:rFonts w:cs="Arial"/>
                <w:color w:val="000000" w:themeColor="text1"/>
                <w:szCs w:val="16"/>
              </w:rPr>
            </w:pPr>
            <w:r w:rsidRPr="005F0061">
              <w:rPr>
                <w:rFonts w:cs="Arial"/>
                <w:color w:val="000000" w:themeColor="text1"/>
                <w:szCs w:val="22"/>
              </w:rPr>
              <w:t>C11263</w:t>
            </w:r>
          </w:p>
        </w:tc>
        <w:tc>
          <w:tcPr>
            <w:tcW w:w="850" w:type="dxa"/>
            <w:shd w:val="clear" w:color="auto" w:fill="auto"/>
            <w:tcMar>
              <w:top w:w="28" w:type="dxa"/>
              <w:left w:w="28" w:type="dxa"/>
            </w:tcMar>
          </w:tcPr>
          <w:p w14:paraId="3436C29E" w14:textId="7BDCE28C" w:rsidR="00C11B81" w:rsidRPr="005F0061" w:rsidDel="00E03489" w:rsidRDefault="00C11B81" w:rsidP="00C11B81">
            <w:pPr>
              <w:pStyle w:val="mps3-data"/>
            </w:pPr>
          </w:p>
        </w:tc>
        <w:tc>
          <w:tcPr>
            <w:tcW w:w="7661" w:type="dxa"/>
            <w:shd w:val="clear" w:color="auto" w:fill="auto"/>
            <w:tcMar>
              <w:top w:w="28" w:type="dxa"/>
              <w:left w:w="28" w:type="dxa"/>
            </w:tcMar>
          </w:tcPr>
          <w:p w14:paraId="33D4FEC4" w14:textId="395F9EE6" w:rsidR="00C11B81" w:rsidRPr="005F0061" w:rsidRDefault="00C11B81" w:rsidP="00C11B81">
            <w:pPr>
              <w:pStyle w:val="mps3-data"/>
            </w:pPr>
            <w:r w:rsidRPr="005F0061">
              <w:t>Severe thrombocytopenia</w:t>
            </w:r>
            <w:r w:rsidR="003327A6" w:rsidRPr="005F0061">
              <w:br/>
            </w:r>
            <w:r w:rsidRPr="005F0061">
              <w:t>First Continuing treatment or Re-initiation of interrupted continuing treatment</w:t>
            </w:r>
            <w:r w:rsidR="003327A6" w:rsidRPr="005F0061">
              <w:br/>
            </w:r>
            <w:r w:rsidRPr="005F0061">
              <w:t>The condition must be severe chronic immune (idiopathic) thrombocytopenic purpura (ITP); AND</w:t>
            </w:r>
            <w:r w:rsidR="003327A6" w:rsidRPr="005F0061">
              <w:br/>
            </w:r>
            <w:r w:rsidRPr="005F0061">
              <w:t>Patient must have demonstrated a sustained platelet response to PBS-subsidised treatment with this drug for this condition under the Initial treatment restriction if the patient has not had a treatment break; OR</w:t>
            </w:r>
            <w:r w:rsidR="003327A6" w:rsidRPr="005F0061">
              <w:br/>
            </w:r>
            <w:r w:rsidRPr="005F0061">
              <w:t>Patient must have demonstrated a sustained platelet response to the most recent PBS-subsidised treatment with this drug for this condition prior to interrupted treatment; AND</w:t>
            </w:r>
            <w:r w:rsidR="003327A6" w:rsidRPr="005F0061">
              <w:br/>
            </w:r>
            <w:r w:rsidRPr="005F0061">
              <w:lastRenderedPageBreak/>
              <w:t xml:space="preserve">Patient must not have previously received PBS-subsidised continuing treatment with </w:t>
            </w:r>
            <w:proofErr w:type="spellStart"/>
            <w:r w:rsidRPr="005F0061">
              <w:t>romiplostim</w:t>
            </w:r>
            <w:proofErr w:type="spellEnd"/>
            <w:r w:rsidRPr="005F0061">
              <w:t xml:space="preserve"> for this condition; AND</w:t>
            </w:r>
            <w:r w:rsidR="003327A6" w:rsidRPr="005F0061">
              <w:br/>
            </w:r>
            <w:r w:rsidRPr="005F0061">
              <w:t xml:space="preserve">The treatment must be the sole PBS-subsidised </w:t>
            </w:r>
            <w:proofErr w:type="spellStart"/>
            <w:r w:rsidRPr="005F0061">
              <w:t>thrombopoietin</w:t>
            </w:r>
            <w:proofErr w:type="spellEnd"/>
            <w:r w:rsidRPr="005F0061">
              <w:t xml:space="preserve"> receptor agonist (TRA) for this condition.</w:t>
            </w:r>
            <w:r w:rsidR="003327A6" w:rsidRPr="005F0061">
              <w:br/>
            </w:r>
            <w:r w:rsidRPr="005F0061">
              <w:t>Patient must be aged 18 years or older.</w:t>
            </w:r>
            <w:r w:rsidR="003327A6" w:rsidRPr="005F0061">
              <w:br/>
            </w:r>
            <w:r w:rsidRPr="005F0061">
              <w:t>For the purposes of this restriction, a sustained platelet response is defined as:</w:t>
            </w:r>
            <w:r w:rsidR="003327A6" w:rsidRPr="005F0061">
              <w:br/>
            </w:r>
            <w:r w:rsidRPr="005F0061">
              <w:t>(a) use of rescue medication (corticosteroids or immunoglobulins) on no more than one occasion during the initial period of PBS-subsidised treatment with this drug,</w:t>
            </w:r>
            <w:r w:rsidR="003327A6" w:rsidRPr="005F0061">
              <w:br/>
            </w:r>
            <w:r w:rsidRPr="005F0061">
              <w:t>AND either of the following:</w:t>
            </w:r>
            <w:r w:rsidR="003327A6" w:rsidRPr="005F0061">
              <w:br/>
            </w:r>
            <w:r w:rsidRPr="005F0061">
              <w:t>(b) a platelet count greater than or equal to 50,000 million per L on at least four (4) occasions, each at least one week apart;</w:t>
            </w:r>
            <w:r w:rsidR="003327A6" w:rsidRPr="005F0061">
              <w:br/>
            </w:r>
            <w:r w:rsidRPr="005F0061">
              <w:t>OR</w:t>
            </w:r>
            <w:r w:rsidR="003327A6" w:rsidRPr="005F0061">
              <w:br/>
            </w:r>
            <w:r w:rsidRPr="005F0061">
              <w:t>(c) a platelet count greater than 30,000 million per L and which is double the baseline (pre-treatment) platelet count on at least four (4) occasions, each at least one week apart.</w:t>
            </w:r>
            <w:r w:rsidR="003327A6" w:rsidRPr="005F0061">
              <w:br/>
            </w:r>
            <w:r w:rsidRPr="005F0061">
              <w:t>Applications for the First continuing PBS-subsidised treatment or Re-initiation of interrupted PBS-subsidised continuing treatment must be made in writing and must include:</w:t>
            </w:r>
            <w:r w:rsidR="003327A6" w:rsidRPr="005F0061">
              <w:br/>
            </w:r>
            <w:r w:rsidRPr="005F0061">
              <w:t>(1) a completed authority prescription form, and</w:t>
            </w:r>
            <w:r w:rsidR="003327A6" w:rsidRPr="005F0061">
              <w:br/>
            </w:r>
            <w:r w:rsidRPr="005F0061">
              <w:t>(2) a completed Idiopathic Thrombocytopenic Purpura Continuing PBS Authority Application - Supporting Information Form, and</w:t>
            </w:r>
            <w:r w:rsidR="003327A6" w:rsidRPr="005F0061">
              <w:br/>
            </w:r>
            <w:r w:rsidRPr="005F0061">
              <w:t>(3) the most recent platelet count.</w:t>
            </w:r>
            <w:r w:rsidR="003327A6" w:rsidRPr="005F0061">
              <w:br/>
            </w:r>
            <w:r w:rsidRPr="005F0061">
              <w:t>The platelet count must be conducted no later than 4 weeks from the date of completion of the most recent PBS-subsidised course of treatment with this drug.</w:t>
            </w:r>
            <w:r w:rsidR="003327A6" w:rsidRPr="005F0061">
              <w:br/>
            </w:r>
            <w:r w:rsidRPr="005F0061">
              <w:t>A maximum of 24 weeks of treatment with this drug will be authorised under this criterion.</w:t>
            </w:r>
          </w:p>
        </w:tc>
        <w:tc>
          <w:tcPr>
            <w:tcW w:w="2650" w:type="dxa"/>
            <w:shd w:val="clear" w:color="auto" w:fill="auto"/>
            <w:tcMar>
              <w:top w:w="28" w:type="dxa"/>
              <w:left w:w="28" w:type="dxa"/>
              <w:right w:w="57" w:type="dxa"/>
            </w:tcMar>
          </w:tcPr>
          <w:p w14:paraId="2C2A9871" w14:textId="4970D5F8" w:rsidR="00C11B81" w:rsidRPr="005F0061" w:rsidRDefault="00C11B81" w:rsidP="00C11B81">
            <w:pPr>
              <w:keepNext/>
              <w:rPr>
                <w:rFonts w:ascii="Arial" w:hAnsi="Arial" w:cs="Arial"/>
                <w:color w:val="000000" w:themeColor="text1"/>
                <w:sz w:val="16"/>
                <w:szCs w:val="16"/>
              </w:rPr>
            </w:pPr>
            <w:r w:rsidRPr="005F0061">
              <w:rPr>
                <w:rFonts w:ascii="Arial" w:hAnsi="Arial" w:cs="Arial"/>
                <w:color w:val="000000" w:themeColor="text1"/>
                <w:sz w:val="16"/>
                <w:szCs w:val="16"/>
              </w:rPr>
              <w:lastRenderedPageBreak/>
              <w:t xml:space="preserve">Compliance with </w:t>
            </w:r>
            <w:r w:rsidR="00294842" w:rsidRPr="005F0061">
              <w:rPr>
                <w:rFonts w:ascii="Arial" w:hAnsi="Arial" w:cs="Arial"/>
                <w:color w:val="000000" w:themeColor="text1"/>
                <w:sz w:val="16"/>
                <w:szCs w:val="16"/>
              </w:rPr>
              <w:t xml:space="preserve">Written </w:t>
            </w:r>
            <w:r w:rsidRPr="005F0061">
              <w:rPr>
                <w:rFonts w:ascii="Arial" w:hAnsi="Arial" w:cs="Arial"/>
                <w:color w:val="000000" w:themeColor="text1"/>
                <w:sz w:val="16"/>
                <w:szCs w:val="16"/>
              </w:rPr>
              <w:t>Authority Required procedures</w:t>
            </w:r>
            <w:r w:rsidR="003327A6" w:rsidRPr="005F0061">
              <w:rPr>
                <w:rFonts w:ascii="Arial" w:hAnsi="Arial" w:cs="Arial"/>
                <w:color w:val="000000" w:themeColor="text1"/>
                <w:sz w:val="16"/>
                <w:szCs w:val="16"/>
              </w:rPr>
              <w:br/>
            </w:r>
            <w:r w:rsidR="003327A6" w:rsidRPr="005F0061">
              <w:rPr>
                <w:rFonts w:ascii="Arial" w:hAnsi="Arial" w:cs="Arial"/>
                <w:color w:val="000000" w:themeColor="text1"/>
                <w:sz w:val="16"/>
                <w:szCs w:val="16"/>
              </w:rPr>
              <w:br/>
            </w:r>
            <w:r w:rsidR="003327A6" w:rsidRPr="005F0061">
              <w:rPr>
                <w:rFonts w:ascii="Arial" w:hAnsi="Arial" w:cs="Arial"/>
                <w:color w:val="000000" w:themeColor="text1"/>
                <w:sz w:val="16"/>
                <w:szCs w:val="16"/>
              </w:rPr>
              <w:lastRenderedPageBreak/>
              <w:br/>
            </w:r>
          </w:p>
          <w:p w14:paraId="7926FB58" w14:textId="77777777" w:rsidR="00C11B81" w:rsidRPr="005F0061" w:rsidRDefault="00C11B81" w:rsidP="00C11B81">
            <w:pPr>
              <w:keepNext/>
              <w:rPr>
                <w:rFonts w:ascii="Arial" w:hAnsi="Arial" w:cs="Arial"/>
                <w:color w:val="000000" w:themeColor="text1"/>
                <w:sz w:val="16"/>
                <w:szCs w:val="16"/>
              </w:rPr>
            </w:pPr>
          </w:p>
          <w:p w14:paraId="67854611" w14:textId="77777777" w:rsidR="00C11B81" w:rsidRPr="005F0061" w:rsidRDefault="00C11B81" w:rsidP="00C11B81">
            <w:pPr>
              <w:keepNext/>
              <w:rPr>
                <w:rFonts w:ascii="Arial" w:hAnsi="Arial" w:cs="Arial"/>
                <w:color w:val="000000" w:themeColor="text1"/>
                <w:sz w:val="16"/>
                <w:szCs w:val="16"/>
              </w:rPr>
            </w:pPr>
          </w:p>
          <w:p w14:paraId="7EDDF7FA" w14:textId="77777777" w:rsidR="00C11B81" w:rsidRPr="005F0061" w:rsidRDefault="00C11B81" w:rsidP="00C11B81">
            <w:pPr>
              <w:keepNext/>
              <w:rPr>
                <w:rFonts w:ascii="Arial" w:hAnsi="Arial" w:cs="Arial"/>
                <w:color w:val="000000" w:themeColor="text1"/>
                <w:sz w:val="16"/>
                <w:szCs w:val="16"/>
              </w:rPr>
            </w:pPr>
          </w:p>
          <w:p w14:paraId="247F310D" w14:textId="77777777" w:rsidR="00C11B81" w:rsidRPr="005F0061" w:rsidRDefault="00C11B81" w:rsidP="00C11B81">
            <w:pPr>
              <w:keepNext/>
              <w:rPr>
                <w:rFonts w:ascii="Arial" w:hAnsi="Arial" w:cs="Arial"/>
                <w:color w:val="000000" w:themeColor="text1"/>
                <w:sz w:val="16"/>
                <w:szCs w:val="16"/>
              </w:rPr>
            </w:pPr>
          </w:p>
          <w:p w14:paraId="0D3E771A" w14:textId="787015B9" w:rsidR="00C11B81" w:rsidRPr="005F0061" w:rsidRDefault="00C11B81" w:rsidP="00C11B81">
            <w:pPr>
              <w:pStyle w:val="Tabletext0"/>
              <w:rPr>
                <w:rFonts w:cs="Arial"/>
                <w:color w:val="000000" w:themeColor="text1"/>
                <w:szCs w:val="16"/>
              </w:rPr>
            </w:pPr>
          </w:p>
        </w:tc>
      </w:tr>
    </w:tbl>
    <w:p w14:paraId="0FE39548" w14:textId="644D6F84" w:rsidR="004C0A40" w:rsidRPr="005F0061" w:rsidRDefault="004C0A40" w:rsidP="00A1440E">
      <w:pPr>
        <w:pStyle w:val="Amendment1"/>
        <w:numPr>
          <w:ilvl w:val="0"/>
          <w:numId w:val="10"/>
        </w:numPr>
        <w:spacing w:before="60" w:after="60"/>
        <w:ind w:left="1134" w:hanging="567"/>
        <w:rPr>
          <w:bCs w:val="0"/>
          <w:iCs/>
        </w:rPr>
      </w:pPr>
      <w:r w:rsidRPr="005F0061">
        <w:rPr>
          <w:bCs w:val="0"/>
          <w:iCs/>
        </w:rPr>
        <w:lastRenderedPageBreak/>
        <w:t xml:space="preserve">Schedule 3, entry for </w:t>
      </w:r>
      <w:proofErr w:type="spellStart"/>
      <w:r w:rsidRPr="005F0061">
        <w:rPr>
          <w:bCs w:val="0"/>
          <w:iCs/>
        </w:rPr>
        <w:t>Macitentan</w:t>
      </w:r>
      <w:proofErr w:type="spellEnd"/>
    </w:p>
    <w:p w14:paraId="28E2A66D" w14:textId="77777777" w:rsidR="004C0A40" w:rsidRPr="005F0061" w:rsidRDefault="004C0A40" w:rsidP="00A1440E">
      <w:pPr>
        <w:pStyle w:val="Amendment1"/>
        <w:numPr>
          <w:ilvl w:val="0"/>
          <w:numId w:val="20"/>
        </w:numPr>
        <w:spacing w:before="60" w:after="60"/>
        <w:ind w:left="1134" w:hanging="567"/>
        <w:rPr>
          <w:bCs w:val="0"/>
          <w:iCs/>
        </w:rPr>
      </w:pPr>
      <w:r w:rsidRPr="005F0061">
        <w:rPr>
          <w:rFonts w:ascii="Times New Roman" w:hAnsi="Times New Roman" w:cs="Times New Roman"/>
          <w:b w:val="0"/>
          <w:bCs w:val="0"/>
          <w:i/>
          <w:iCs/>
        </w:rPr>
        <w:t>omit: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4C0A40" w:rsidRPr="005F0061" w14:paraId="4F05D785" w14:textId="77777777" w:rsidTr="005E778F">
        <w:tc>
          <w:tcPr>
            <w:tcW w:w="1900" w:type="dxa"/>
            <w:shd w:val="clear" w:color="auto" w:fill="auto"/>
            <w:tcMar>
              <w:top w:w="28" w:type="dxa"/>
              <w:left w:w="28" w:type="dxa"/>
            </w:tcMar>
          </w:tcPr>
          <w:p w14:paraId="40BB7399" w14:textId="7BB940E8" w:rsidR="004C0A40" w:rsidRPr="005F0061" w:rsidRDefault="004C0A40" w:rsidP="004C0A40">
            <w:pPr>
              <w:pStyle w:val="Tabletext0"/>
              <w:tabs>
                <w:tab w:val="left" w:pos="958"/>
              </w:tabs>
              <w:rPr>
                <w:rFonts w:cs="Arial"/>
                <w:szCs w:val="16"/>
              </w:rPr>
            </w:pPr>
          </w:p>
        </w:tc>
        <w:tc>
          <w:tcPr>
            <w:tcW w:w="850" w:type="dxa"/>
            <w:shd w:val="clear" w:color="auto" w:fill="auto"/>
            <w:tcMar>
              <w:top w:w="28" w:type="dxa"/>
              <w:left w:w="28" w:type="dxa"/>
            </w:tcMar>
          </w:tcPr>
          <w:p w14:paraId="724E832E" w14:textId="479C1FE4" w:rsidR="004C0A40" w:rsidRPr="005F0061" w:rsidRDefault="004C0A40" w:rsidP="004C0A40">
            <w:pPr>
              <w:pStyle w:val="Tabletext0"/>
              <w:rPr>
                <w:rFonts w:cs="Arial"/>
                <w:color w:val="000000" w:themeColor="text1"/>
                <w:szCs w:val="16"/>
              </w:rPr>
            </w:pPr>
            <w:r w:rsidRPr="005F0061">
              <w:rPr>
                <w:rFonts w:eastAsia="SimSun" w:cs="Arial"/>
                <w:color w:val="000000" w:themeColor="text1"/>
                <w:szCs w:val="16"/>
                <w:lang w:eastAsia="zh-CN"/>
              </w:rPr>
              <w:t>C11021</w:t>
            </w:r>
          </w:p>
        </w:tc>
        <w:tc>
          <w:tcPr>
            <w:tcW w:w="850" w:type="dxa"/>
            <w:shd w:val="clear" w:color="auto" w:fill="auto"/>
            <w:tcMar>
              <w:top w:w="28" w:type="dxa"/>
              <w:left w:w="28" w:type="dxa"/>
            </w:tcMar>
          </w:tcPr>
          <w:p w14:paraId="490B6A4E" w14:textId="77777777" w:rsidR="004C0A40" w:rsidRPr="005F0061" w:rsidDel="00E03489" w:rsidRDefault="004C0A40" w:rsidP="004C0A40">
            <w:pPr>
              <w:spacing w:before="60" w:after="60"/>
              <w:rPr>
                <w:rFonts w:ascii="Arial" w:hAnsi="Arial" w:cs="Arial"/>
                <w:sz w:val="16"/>
                <w:szCs w:val="16"/>
                <w:lang w:eastAsia="en-AU"/>
              </w:rPr>
            </w:pPr>
          </w:p>
        </w:tc>
        <w:tc>
          <w:tcPr>
            <w:tcW w:w="7661" w:type="dxa"/>
            <w:shd w:val="clear" w:color="auto" w:fill="auto"/>
            <w:tcMar>
              <w:top w:w="28" w:type="dxa"/>
              <w:left w:w="28" w:type="dxa"/>
            </w:tcMar>
          </w:tcPr>
          <w:p w14:paraId="55FA1012" w14:textId="567E526B" w:rsidR="004C0A40" w:rsidRPr="005F0061" w:rsidRDefault="004C0A40" w:rsidP="004C0A40">
            <w:pPr>
              <w:spacing w:before="60" w:after="60"/>
              <w:rPr>
                <w:rFonts w:ascii="Arial" w:hAnsi="Arial" w:cs="Arial"/>
                <w:color w:val="000000" w:themeColor="text1"/>
                <w:sz w:val="16"/>
                <w:szCs w:val="16"/>
              </w:rPr>
            </w:pPr>
            <w:r w:rsidRPr="005F0061">
              <w:rPr>
                <w:rFonts w:ascii="Arial" w:eastAsia="SimSun" w:hAnsi="Arial" w:cs="Arial"/>
                <w:color w:val="000000" w:themeColor="text1"/>
                <w:sz w:val="16"/>
                <w:szCs w:val="16"/>
                <w:lang w:eastAsia="zh-CN"/>
              </w:rPr>
              <w:t>Pulmonary arterial hypertension (PAH)</w:t>
            </w:r>
            <w:r w:rsidRPr="005F0061">
              <w:rPr>
                <w:rFonts w:ascii="Arial" w:eastAsia="SimSun" w:hAnsi="Arial" w:cs="Arial"/>
                <w:color w:val="000000" w:themeColor="text1"/>
                <w:sz w:val="16"/>
                <w:szCs w:val="16"/>
                <w:lang w:eastAsia="zh-CN"/>
              </w:rPr>
              <w:br/>
              <w:t>Initial 1 (dual therapy - previously untreated patients)</w:t>
            </w:r>
            <w:r w:rsidRPr="005F0061">
              <w:rPr>
                <w:rFonts w:ascii="Arial" w:eastAsia="SimSun" w:hAnsi="Arial" w:cs="Arial"/>
                <w:color w:val="000000" w:themeColor="text1"/>
                <w:sz w:val="16"/>
                <w:szCs w:val="16"/>
                <w:lang w:eastAsia="zh-CN"/>
              </w:rPr>
              <w:br/>
              <w:t>Patient must not have received prior PBS-subsidised treatment with a pulmonary arterial hypertension (PAH) agent; AND</w:t>
            </w:r>
            <w:r w:rsidRPr="005F0061">
              <w:rPr>
                <w:rFonts w:ascii="Arial" w:eastAsia="SimSun" w:hAnsi="Arial" w:cs="Arial"/>
                <w:color w:val="000000" w:themeColor="text1"/>
                <w:sz w:val="16"/>
                <w:szCs w:val="16"/>
                <w:lang w:eastAsia="zh-CN"/>
              </w:rPr>
              <w:br/>
              <w:t>Patient must have been assessed by a physician with expertise in the management of PAH; AND</w:t>
            </w:r>
            <w:r w:rsidRPr="005F0061">
              <w:rPr>
                <w:rFonts w:ascii="Arial" w:eastAsia="SimSun" w:hAnsi="Arial" w:cs="Arial"/>
                <w:color w:val="000000" w:themeColor="text1"/>
                <w:sz w:val="16"/>
                <w:szCs w:val="16"/>
                <w:lang w:eastAsia="zh-CN"/>
              </w:rPr>
              <w:br/>
              <w:t>Patient must currently have WHO Functional Class III PAH or WHO Functional Class IV PAH; AND</w:t>
            </w:r>
            <w:r w:rsidRPr="005F0061">
              <w:rPr>
                <w:rFonts w:ascii="Arial" w:eastAsia="SimSun" w:hAnsi="Arial" w:cs="Arial"/>
                <w:color w:val="000000" w:themeColor="text1"/>
                <w:sz w:val="16"/>
                <w:szCs w:val="16"/>
                <w:lang w:eastAsia="zh-CN"/>
              </w:rPr>
              <w:br/>
              <w:t>The treatment must be in combination with a PBS-subsidised phosphodiesterase-5 inhibitor (PDE-5i) for this condition.</w:t>
            </w:r>
            <w:r w:rsidRPr="005F0061">
              <w:rPr>
                <w:rFonts w:ascii="Arial" w:eastAsia="SimSun" w:hAnsi="Arial" w:cs="Arial"/>
                <w:color w:val="000000" w:themeColor="text1"/>
                <w:sz w:val="16"/>
                <w:szCs w:val="16"/>
                <w:lang w:eastAsia="zh-CN"/>
              </w:rPr>
              <w:br/>
              <w:t xml:space="preserve">The term 'PAH agents' refers to </w:t>
            </w:r>
            <w:proofErr w:type="spellStart"/>
            <w:r w:rsidRPr="005F0061">
              <w:rPr>
                <w:rFonts w:ascii="Arial" w:eastAsia="SimSun" w:hAnsi="Arial" w:cs="Arial"/>
                <w:color w:val="000000" w:themeColor="text1"/>
                <w:sz w:val="16"/>
                <w:szCs w:val="16"/>
                <w:lang w:eastAsia="zh-CN"/>
              </w:rPr>
              <w:t>bosentan</w:t>
            </w:r>
            <w:proofErr w:type="spellEnd"/>
            <w:r w:rsidRPr="005F0061">
              <w:rPr>
                <w:rFonts w:ascii="Arial" w:eastAsia="SimSun" w:hAnsi="Arial" w:cs="Arial"/>
                <w:color w:val="000000" w:themeColor="text1"/>
                <w:sz w:val="16"/>
                <w:szCs w:val="16"/>
                <w:lang w:eastAsia="zh-CN"/>
              </w:rPr>
              <w:t xml:space="preserve"> monohydrate, </w:t>
            </w:r>
            <w:proofErr w:type="spellStart"/>
            <w:r w:rsidRPr="005F0061">
              <w:rPr>
                <w:rFonts w:ascii="Arial" w:eastAsia="SimSun" w:hAnsi="Arial" w:cs="Arial"/>
                <w:color w:val="000000" w:themeColor="text1"/>
                <w:sz w:val="16"/>
                <w:szCs w:val="16"/>
                <w:lang w:eastAsia="zh-CN"/>
              </w:rPr>
              <w:t>iloprost</w:t>
            </w:r>
            <w:proofErr w:type="spellEnd"/>
            <w:r w:rsidRPr="005F0061">
              <w:rPr>
                <w:rFonts w:ascii="Arial" w:eastAsia="SimSun" w:hAnsi="Arial" w:cs="Arial"/>
                <w:color w:val="000000" w:themeColor="text1"/>
                <w:sz w:val="16"/>
                <w:szCs w:val="16"/>
                <w:lang w:eastAsia="zh-CN"/>
              </w:rPr>
              <w:t xml:space="preserve"> trometamol, </w:t>
            </w:r>
            <w:proofErr w:type="spellStart"/>
            <w:r w:rsidRPr="005F0061">
              <w:rPr>
                <w:rFonts w:ascii="Arial" w:eastAsia="SimSun" w:hAnsi="Arial" w:cs="Arial"/>
                <w:color w:val="000000" w:themeColor="text1"/>
                <w:sz w:val="16"/>
                <w:szCs w:val="16"/>
                <w:lang w:eastAsia="zh-CN"/>
              </w:rPr>
              <w:t>epoprostenol</w:t>
            </w:r>
            <w:proofErr w:type="spellEnd"/>
            <w:r w:rsidRPr="005F0061">
              <w:rPr>
                <w:rFonts w:ascii="Arial" w:eastAsia="SimSun" w:hAnsi="Arial" w:cs="Arial"/>
                <w:color w:val="000000" w:themeColor="text1"/>
                <w:sz w:val="16"/>
                <w:szCs w:val="16"/>
                <w:lang w:eastAsia="zh-CN"/>
              </w:rPr>
              <w:t xml:space="preserve"> sodium, sildenafil citrate, </w:t>
            </w:r>
            <w:proofErr w:type="spellStart"/>
            <w:r w:rsidRPr="005F0061">
              <w:rPr>
                <w:rFonts w:ascii="Arial" w:eastAsia="SimSun" w:hAnsi="Arial" w:cs="Arial"/>
                <w:color w:val="000000" w:themeColor="text1"/>
                <w:sz w:val="16"/>
                <w:szCs w:val="16"/>
                <w:lang w:eastAsia="zh-CN"/>
              </w:rPr>
              <w:t>ambrisentan</w:t>
            </w:r>
            <w:proofErr w:type="spellEnd"/>
            <w:r w:rsidRPr="005F0061">
              <w:rPr>
                <w:rFonts w:ascii="Arial" w:eastAsia="SimSun" w:hAnsi="Arial" w:cs="Arial"/>
                <w:color w:val="000000" w:themeColor="text1"/>
                <w:sz w:val="16"/>
                <w:szCs w:val="16"/>
                <w:lang w:eastAsia="zh-CN"/>
              </w:rPr>
              <w:t xml:space="preserve">, </w:t>
            </w:r>
            <w:proofErr w:type="spellStart"/>
            <w:r w:rsidRPr="005F0061">
              <w:rPr>
                <w:rFonts w:ascii="Arial" w:eastAsia="SimSun" w:hAnsi="Arial" w:cs="Arial"/>
                <w:color w:val="000000" w:themeColor="text1"/>
                <w:sz w:val="16"/>
                <w:szCs w:val="16"/>
                <w:lang w:eastAsia="zh-CN"/>
              </w:rPr>
              <w:t>tadalafil</w:t>
            </w:r>
            <w:proofErr w:type="spellEnd"/>
            <w:r w:rsidRPr="005F0061">
              <w:rPr>
                <w:rFonts w:ascii="Arial" w:eastAsia="SimSun" w:hAnsi="Arial" w:cs="Arial"/>
                <w:color w:val="000000" w:themeColor="text1"/>
                <w:sz w:val="16"/>
                <w:szCs w:val="16"/>
                <w:lang w:eastAsia="zh-CN"/>
              </w:rPr>
              <w:t xml:space="preserve">, </w:t>
            </w:r>
            <w:proofErr w:type="spellStart"/>
            <w:r w:rsidRPr="005F0061">
              <w:rPr>
                <w:rFonts w:ascii="Arial" w:eastAsia="SimSun" w:hAnsi="Arial" w:cs="Arial"/>
                <w:color w:val="000000" w:themeColor="text1"/>
                <w:sz w:val="16"/>
                <w:szCs w:val="16"/>
                <w:lang w:eastAsia="zh-CN"/>
              </w:rPr>
              <w:t>macitentan</w:t>
            </w:r>
            <w:proofErr w:type="spellEnd"/>
            <w:r w:rsidRPr="005F0061">
              <w:rPr>
                <w:rFonts w:ascii="Arial" w:eastAsia="SimSun" w:hAnsi="Arial" w:cs="Arial"/>
                <w:color w:val="000000" w:themeColor="text1"/>
                <w:sz w:val="16"/>
                <w:szCs w:val="16"/>
                <w:lang w:eastAsia="zh-CN"/>
              </w:rPr>
              <w:t xml:space="preserve">, and </w:t>
            </w:r>
            <w:proofErr w:type="spellStart"/>
            <w:r w:rsidRPr="005F0061">
              <w:rPr>
                <w:rFonts w:ascii="Arial" w:eastAsia="SimSun" w:hAnsi="Arial" w:cs="Arial"/>
                <w:color w:val="000000" w:themeColor="text1"/>
                <w:sz w:val="16"/>
                <w:szCs w:val="16"/>
                <w:lang w:eastAsia="zh-CN"/>
              </w:rPr>
              <w:t>riociguat</w:t>
            </w:r>
            <w:proofErr w:type="spellEnd"/>
            <w:r w:rsidRPr="005F0061">
              <w:rPr>
                <w:rFonts w:ascii="Arial" w:eastAsia="SimSun" w:hAnsi="Arial" w:cs="Arial"/>
                <w:color w:val="000000" w:themeColor="text1"/>
                <w:sz w:val="16"/>
                <w:szCs w:val="16"/>
                <w:lang w:eastAsia="zh-CN"/>
              </w:rPr>
              <w:t>.</w:t>
            </w:r>
            <w:r w:rsidRPr="005F0061">
              <w:rPr>
                <w:rFonts w:ascii="Arial" w:eastAsia="SimSun" w:hAnsi="Arial" w:cs="Arial"/>
                <w:color w:val="000000" w:themeColor="text1"/>
                <w:sz w:val="16"/>
                <w:szCs w:val="16"/>
                <w:lang w:eastAsia="zh-CN"/>
              </w:rPr>
              <w:br/>
              <w:t>For the purposes of PBS subsidy, dual therapy refers to combined use of an endothelin receptor antagonist (ERA) and a phosphodiesterase-5 inhibitor (PDE-5i).</w:t>
            </w:r>
            <w:r w:rsidRPr="005F0061">
              <w:rPr>
                <w:rFonts w:ascii="Arial" w:eastAsia="SimSun" w:hAnsi="Arial" w:cs="Arial"/>
                <w:color w:val="000000" w:themeColor="text1"/>
                <w:sz w:val="16"/>
                <w:szCs w:val="16"/>
                <w:lang w:eastAsia="zh-CN"/>
              </w:rPr>
              <w:br/>
              <w:t>(</w:t>
            </w:r>
            <w:proofErr w:type="spellStart"/>
            <w:r w:rsidRPr="005F0061">
              <w:rPr>
                <w:rFonts w:ascii="Arial" w:eastAsia="SimSun" w:hAnsi="Arial" w:cs="Arial"/>
                <w:color w:val="000000" w:themeColor="text1"/>
                <w:sz w:val="16"/>
                <w:szCs w:val="16"/>
                <w:lang w:eastAsia="zh-CN"/>
              </w:rPr>
              <w:t>i</w:t>
            </w:r>
            <w:proofErr w:type="spellEnd"/>
            <w:r w:rsidRPr="005F0061">
              <w:rPr>
                <w:rFonts w:ascii="Arial" w:eastAsia="SimSun" w:hAnsi="Arial" w:cs="Arial"/>
                <w:color w:val="000000" w:themeColor="text1"/>
                <w:sz w:val="16"/>
                <w:szCs w:val="16"/>
                <w:lang w:eastAsia="zh-CN"/>
              </w:rPr>
              <w:t xml:space="preserve">) An ERA includes </w:t>
            </w:r>
            <w:proofErr w:type="spellStart"/>
            <w:r w:rsidRPr="005F0061">
              <w:rPr>
                <w:rFonts w:ascii="Arial" w:eastAsia="SimSun" w:hAnsi="Arial" w:cs="Arial"/>
                <w:color w:val="000000" w:themeColor="text1"/>
                <w:sz w:val="16"/>
                <w:szCs w:val="16"/>
                <w:lang w:eastAsia="zh-CN"/>
              </w:rPr>
              <w:t>ambrisentan</w:t>
            </w:r>
            <w:proofErr w:type="spellEnd"/>
            <w:r w:rsidRPr="005F0061">
              <w:rPr>
                <w:rFonts w:ascii="Arial" w:eastAsia="SimSun" w:hAnsi="Arial" w:cs="Arial"/>
                <w:color w:val="000000" w:themeColor="text1"/>
                <w:sz w:val="16"/>
                <w:szCs w:val="16"/>
                <w:lang w:eastAsia="zh-CN"/>
              </w:rPr>
              <w:t xml:space="preserve">, </w:t>
            </w:r>
            <w:proofErr w:type="spellStart"/>
            <w:r w:rsidRPr="005F0061">
              <w:rPr>
                <w:rFonts w:ascii="Arial" w:eastAsia="SimSun" w:hAnsi="Arial" w:cs="Arial"/>
                <w:color w:val="000000" w:themeColor="text1"/>
                <w:sz w:val="16"/>
                <w:szCs w:val="16"/>
                <w:lang w:eastAsia="zh-CN"/>
              </w:rPr>
              <w:t>bosentan</w:t>
            </w:r>
            <w:proofErr w:type="spellEnd"/>
            <w:r w:rsidRPr="005F0061">
              <w:rPr>
                <w:rFonts w:ascii="Arial" w:eastAsia="SimSun" w:hAnsi="Arial" w:cs="Arial"/>
                <w:color w:val="000000" w:themeColor="text1"/>
                <w:sz w:val="16"/>
                <w:szCs w:val="16"/>
                <w:lang w:eastAsia="zh-CN"/>
              </w:rPr>
              <w:t xml:space="preserve"> monohydrate, or </w:t>
            </w:r>
            <w:proofErr w:type="spellStart"/>
            <w:r w:rsidRPr="005F0061">
              <w:rPr>
                <w:rFonts w:ascii="Arial" w:eastAsia="SimSun" w:hAnsi="Arial" w:cs="Arial"/>
                <w:color w:val="000000" w:themeColor="text1"/>
                <w:sz w:val="16"/>
                <w:szCs w:val="16"/>
                <w:lang w:eastAsia="zh-CN"/>
              </w:rPr>
              <w:t>macitentan</w:t>
            </w:r>
            <w:proofErr w:type="spellEnd"/>
            <w:r w:rsidRPr="005F0061">
              <w:rPr>
                <w:rFonts w:ascii="Arial" w:eastAsia="SimSun" w:hAnsi="Arial" w:cs="Arial"/>
                <w:color w:val="000000" w:themeColor="text1"/>
                <w:sz w:val="16"/>
                <w:szCs w:val="16"/>
                <w:lang w:eastAsia="zh-CN"/>
              </w:rPr>
              <w:t>.</w:t>
            </w:r>
            <w:r w:rsidRPr="005F0061">
              <w:rPr>
                <w:rFonts w:ascii="Arial" w:eastAsia="SimSun" w:hAnsi="Arial" w:cs="Arial"/>
                <w:color w:val="000000" w:themeColor="text1"/>
                <w:sz w:val="16"/>
                <w:szCs w:val="16"/>
                <w:lang w:eastAsia="zh-CN"/>
              </w:rPr>
              <w:br/>
              <w:t xml:space="preserve">(ii) A PDE-5i includes sildenafil citrate, or </w:t>
            </w:r>
            <w:proofErr w:type="spellStart"/>
            <w:r w:rsidRPr="005F0061">
              <w:rPr>
                <w:rFonts w:ascii="Arial" w:eastAsia="SimSun" w:hAnsi="Arial" w:cs="Arial"/>
                <w:color w:val="000000" w:themeColor="text1"/>
                <w:sz w:val="16"/>
                <w:szCs w:val="16"/>
                <w:lang w:eastAsia="zh-CN"/>
              </w:rPr>
              <w:t>tadalafil</w:t>
            </w:r>
            <w:proofErr w:type="spellEnd"/>
            <w:r w:rsidRPr="005F0061">
              <w:rPr>
                <w:rFonts w:ascii="Arial" w:eastAsia="SimSun" w:hAnsi="Arial" w:cs="Arial"/>
                <w:color w:val="000000" w:themeColor="text1"/>
                <w:sz w:val="16"/>
                <w:szCs w:val="16"/>
                <w:lang w:eastAsia="zh-CN"/>
              </w:rPr>
              <w:t>.</w:t>
            </w:r>
            <w:r w:rsidRPr="005F0061">
              <w:rPr>
                <w:rFonts w:ascii="Arial" w:eastAsia="SimSun" w:hAnsi="Arial" w:cs="Arial"/>
                <w:color w:val="000000" w:themeColor="text1"/>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5F0061">
              <w:rPr>
                <w:rFonts w:ascii="Arial" w:eastAsia="SimSun" w:hAnsi="Arial" w:cs="Arial"/>
                <w:color w:val="000000" w:themeColor="text1"/>
                <w:sz w:val="16"/>
                <w:szCs w:val="16"/>
                <w:lang w:eastAsia="zh-CN"/>
              </w:rPr>
              <w:br/>
              <w:t>PAH (WHO Group 1 pulmonary hypertension) is defined as follows</w:t>
            </w:r>
            <w:proofErr w:type="gramStart"/>
            <w:r w:rsidRPr="005F0061">
              <w:rPr>
                <w:rFonts w:ascii="Arial" w:eastAsia="SimSun" w:hAnsi="Arial" w:cs="Arial"/>
                <w:color w:val="000000" w:themeColor="text1"/>
                <w:sz w:val="16"/>
                <w:szCs w:val="16"/>
                <w:lang w:eastAsia="zh-CN"/>
              </w:rPr>
              <w:t>:</w:t>
            </w:r>
            <w:proofErr w:type="gramEnd"/>
            <w:r w:rsidRPr="005F0061">
              <w:rPr>
                <w:rFonts w:ascii="Arial" w:eastAsia="SimSun" w:hAnsi="Arial" w:cs="Arial"/>
                <w:color w:val="000000" w:themeColor="text1"/>
                <w:sz w:val="16"/>
                <w:szCs w:val="16"/>
                <w:lang w:eastAsia="zh-CN"/>
              </w:rPr>
              <w:br/>
              <w:t>(</w:t>
            </w:r>
            <w:proofErr w:type="spellStart"/>
            <w:r w:rsidRPr="005F0061">
              <w:rPr>
                <w:rFonts w:ascii="Arial" w:eastAsia="SimSun" w:hAnsi="Arial" w:cs="Arial"/>
                <w:color w:val="000000" w:themeColor="text1"/>
                <w:sz w:val="16"/>
                <w:szCs w:val="16"/>
                <w:lang w:eastAsia="zh-CN"/>
              </w:rPr>
              <w:t>i</w:t>
            </w:r>
            <w:proofErr w:type="spellEnd"/>
            <w:r w:rsidRPr="005F0061">
              <w:rPr>
                <w:rFonts w:ascii="Arial" w:eastAsia="SimSun" w:hAnsi="Arial" w:cs="Arial"/>
                <w:color w:val="000000" w:themeColor="text1"/>
                <w:sz w:val="16"/>
                <w:szCs w:val="16"/>
                <w:lang w:eastAsia="zh-CN"/>
              </w:rPr>
              <w:t>) mean pulmonary artery pressure (</w:t>
            </w:r>
            <w:proofErr w:type="spellStart"/>
            <w:r w:rsidRPr="005F0061">
              <w:rPr>
                <w:rFonts w:ascii="Arial" w:eastAsia="SimSun" w:hAnsi="Arial" w:cs="Arial"/>
                <w:color w:val="000000" w:themeColor="text1"/>
                <w:sz w:val="16"/>
                <w:szCs w:val="16"/>
                <w:lang w:eastAsia="zh-CN"/>
              </w:rPr>
              <w:t>mPAP</w:t>
            </w:r>
            <w:proofErr w:type="spellEnd"/>
            <w:r w:rsidRPr="005F0061">
              <w:rPr>
                <w:rFonts w:ascii="Arial" w:eastAsia="SimSun" w:hAnsi="Arial" w:cs="Arial"/>
                <w:color w:val="000000" w:themeColor="text1"/>
                <w:sz w:val="16"/>
                <w:szCs w:val="16"/>
                <w:lang w:eastAsia="zh-CN"/>
              </w:rPr>
              <w:t>) greater than or equal to 25 mmHg at rest and pulmonary artery wedge pressure (PAWP) less than or equal to 15 mmHg; or</w:t>
            </w:r>
            <w:r w:rsidRPr="005F0061">
              <w:rPr>
                <w:rFonts w:ascii="Arial" w:eastAsia="SimSun" w:hAnsi="Arial" w:cs="Arial"/>
                <w:color w:val="000000" w:themeColor="text1"/>
                <w:sz w:val="16"/>
                <w:szCs w:val="16"/>
                <w:lang w:eastAsia="zh-CN"/>
              </w:rPr>
              <w:br/>
              <w:t>(ii) where a right heart catheter (RHC) cannot be performed on clinical grounds, right ventricular systolic pressure (RVSP), assessed by echocardiography (ECHO), greater than 40 mmHg, with normal left ventricular function.</w:t>
            </w:r>
            <w:r w:rsidRPr="005F0061">
              <w:rPr>
                <w:rFonts w:ascii="Arial" w:eastAsia="SimSun" w:hAnsi="Arial" w:cs="Arial"/>
                <w:color w:val="000000" w:themeColor="text1"/>
                <w:sz w:val="16"/>
                <w:szCs w:val="16"/>
                <w:lang w:eastAsia="zh-CN"/>
              </w:rPr>
              <w:br/>
              <w:t>Applications for authorisation must be in writing and must include:</w:t>
            </w:r>
            <w:r w:rsidRPr="005F0061">
              <w:rPr>
                <w:rFonts w:ascii="Arial" w:eastAsia="SimSun" w:hAnsi="Arial" w:cs="Arial"/>
                <w:color w:val="000000" w:themeColor="text1"/>
                <w:sz w:val="16"/>
                <w:szCs w:val="16"/>
                <w:lang w:eastAsia="zh-CN"/>
              </w:rPr>
              <w:br/>
            </w:r>
            <w:r w:rsidRPr="005F0061">
              <w:rPr>
                <w:rFonts w:ascii="Arial" w:eastAsia="SimSun" w:hAnsi="Arial" w:cs="Arial"/>
                <w:color w:val="000000" w:themeColor="text1"/>
                <w:sz w:val="16"/>
                <w:szCs w:val="16"/>
                <w:lang w:eastAsia="zh-CN"/>
              </w:rPr>
              <w:lastRenderedPageBreak/>
              <w:t>(1) a completed authority prescription form; and</w:t>
            </w:r>
            <w:r w:rsidRPr="005F0061">
              <w:rPr>
                <w:rFonts w:ascii="Arial" w:eastAsia="SimSun" w:hAnsi="Arial" w:cs="Arial"/>
                <w:color w:val="000000" w:themeColor="text1"/>
                <w:sz w:val="16"/>
                <w:szCs w:val="16"/>
                <w:lang w:eastAsia="zh-CN"/>
              </w:rPr>
              <w:br/>
              <w:t>(2) a completed Pulmonary Arterial Hypertension PBS Authority Application - Supporting Information form which includes results from the three tests below, where available:</w:t>
            </w:r>
            <w:r w:rsidRPr="005F0061">
              <w:rPr>
                <w:rFonts w:ascii="Arial" w:eastAsia="SimSun" w:hAnsi="Arial" w:cs="Arial"/>
                <w:color w:val="000000" w:themeColor="text1"/>
                <w:sz w:val="16"/>
                <w:szCs w:val="16"/>
                <w:lang w:eastAsia="zh-CN"/>
              </w:rPr>
              <w:br/>
              <w:t>(</w:t>
            </w:r>
            <w:proofErr w:type="spellStart"/>
            <w:r w:rsidRPr="005F0061">
              <w:rPr>
                <w:rFonts w:ascii="Arial" w:eastAsia="SimSun" w:hAnsi="Arial" w:cs="Arial"/>
                <w:color w:val="000000" w:themeColor="text1"/>
                <w:sz w:val="16"/>
                <w:szCs w:val="16"/>
                <w:lang w:eastAsia="zh-CN"/>
              </w:rPr>
              <w:t>i</w:t>
            </w:r>
            <w:proofErr w:type="spellEnd"/>
            <w:r w:rsidRPr="005F0061">
              <w:rPr>
                <w:rFonts w:ascii="Arial" w:eastAsia="SimSun" w:hAnsi="Arial" w:cs="Arial"/>
                <w:color w:val="000000" w:themeColor="text1"/>
                <w:sz w:val="16"/>
                <w:szCs w:val="16"/>
                <w:lang w:eastAsia="zh-CN"/>
              </w:rPr>
              <w:t>) RHC composite assessment; and</w:t>
            </w:r>
            <w:r w:rsidRPr="005F0061">
              <w:rPr>
                <w:rFonts w:ascii="Arial" w:eastAsia="SimSun" w:hAnsi="Arial" w:cs="Arial"/>
                <w:color w:val="000000" w:themeColor="text1"/>
                <w:sz w:val="16"/>
                <w:szCs w:val="16"/>
                <w:lang w:eastAsia="zh-CN"/>
              </w:rPr>
              <w:br/>
              <w:t>(ii) ECHO composite assessment; and</w:t>
            </w:r>
            <w:r w:rsidRPr="005F0061">
              <w:rPr>
                <w:rFonts w:ascii="Arial" w:eastAsia="SimSun" w:hAnsi="Arial" w:cs="Arial"/>
                <w:color w:val="000000" w:themeColor="text1"/>
                <w:sz w:val="16"/>
                <w:szCs w:val="16"/>
                <w:lang w:eastAsia="zh-CN"/>
              </w:rPr>
              <w:br/>
              <w:t>(iii) 6 Minute Walk Test (6MWT).</w:t>
            </w:r>
            <w:r w:rsidRPr="005F0061">
              <w:rPr>
                <w:rFonts w:ascii="Arial" w:eastAsia="SimSun" w:hAnsi="Arial" w:cs="Arial"/>
                <w:color w:val="000000" w:themeColor="text1"/>
                <w:sz w:val="16"/>
                <w:szCs w:val="16"/>
                <w:lang w:eastAsia="zh-CN"/>
              </w:rPr>
              <w:br/>
              <w:t>Where it is not possible to perform all 3 tests on clinical grounds, the following list outlines the preferred test combination, in descending order, for the purposes of initiation of PBS-subsidised treatment:</w:t>
            </w:r>
            <w:r w:rsidRPr="005F0061">
              <w:rPr>
                <w:rFonts w:ascii="Arial" w:eastAsia="SimSun" w:hAnsi="Arial" w:cs="Arial"/>
                <w:color w:val="000000" w:themeColor="text1"/>
                <w:sz w:val="16"/>
                <w:szCs w:val="16"/>
                <w:lang w:eastAsia="zh-CN"/>
              </w:rPr>
              <w:br/>
              <w:t>(1) RHC plus ECHO composite assessments;</w:t>
            </w:r>
            <w:r w:rsidRPr="005F0061">
              <w:rPr>
                <w:rFonts w:ascii="Arial" w:eastAsia="SimSun" w:hAnsi="Arial" w:cs="Arial"/>
                <w:color w:val="000000" w:themeColor="text1"/>
                <w:sz w:val="16"/>
                <w:szCs w:val="16"/>
                <w:lang w:eastAsia="zh-CN"/>
              </w:rPr>
              <w:br/>
              <w:t>(2) RHC composite assessment plus 6MWT;</w:t>
            </w:r>
            <w:r w:rsidRPr="005F0061">
              <w:rPr>
                <w:rFonts w:ascii="Arial" w:eastAsia="SimSun" w:hAnsi="Arial" w:cs="Arial"/>
                <w:color w:val="000000" w:themeColor="text1"/>
                <w:sz w:val="16"/>
                <w:szCs w:val="16"/>
                <w:lang w:eastAsia="zh-CN"/>
              </w:rPr>
              <w:br/>
              <w:t>(3) RHC composite assessment only.</w:t>
            </w:r>
            <w:r w:rsidRPr="005F0061">
              <w:rPr>
                <w:rFonts w:ascii="Arial" w:eastAsia="SimSun" w:hAnsi="Arial" w:cs="Arial"/>
                <w:color w:val="000000" w:themeColor="text1"/>
                <w:sz w:val="16"/>
                <w:szCs w:val="16"/>
                <w:lang w:eastAsia="zh-CN"/>
              </w:rPr>
              <w:br/>
              <w:t>In circumstances where a RHC cannot be performed on clinical grounds, applications may be submitted for consideration based on the results of the following test combinations, which are listed in descending order of preference</w:t>
            </w:r>
            <w:proofErr w:type="gramStart"/>
            <w:r w:rsidRPr="005F0061">
              <w:rPr>
                <w:rFonts w:ascii="Arial" w:eastAsia="SimSun" w:hAnsi="Arial" w:cs="Arial"/>
                <w:color w:val="000000" w:themeColor="text1"/>
                <w:sz w:val="16"/>
                <w:szCs w:val="16"/>
                <w:lang w:eastAsia="zh-CN"/>
              </w:rPr>
              <w:t>:</w:t>
            </w:r>
            <w:proofErr w:type="gramEnd"/>
            <w:r w:rsidRPr="005F0061">
              <w:rPr>
                <w:rFonts w:ascii="Arial" w:eastAsia="SimSun" w:hAnsi="Arial" w:cs="Arial"/>
                <w:color w:val="000000" w:themeColor="text1"/>
                <w:sz w:val="16"/>
                <w:szCs w:val="16"/>
                <w:lang w:eastAsia="zh-CN"/>
              </w:rPr>
              <w:br/>
              <w:t>(1) ECHO composite assessment plus 6MWT;</w:t>
            </w:r>
            <w:r w:rsidRPr="005F0061">
              <w:rPr>
                <w:rFonts w:ascii="Arial" w:eastAsia="SimSun" w:hAnsi="Arial" w:cs="Arial"/>
                <w:color w:val="000000" w:themeColor="text1"/>
                <w:sz w:val="16"/>
                <w:szCs w:val="16"/>
                <w:lang w:eastAsia="zh-CN"/>
              </w:rPr>
              <w:br/>
              <w:t>(2) ECHO composite assessment only.</w:t>
            </w:r>
            <w:r w:rsidRPr="005F0061">
              <w:rPr>
                <w:rFonts w:ascii="Arial" w:eastAsia="SimSun" w:hAnsi="Arial" w:cs="Arial"/>
                <w:color w:val="000000" w:themeColor="text1"/>
                <w:sz w:val="16"/>
                <w:szCs w:val="16"/>
                <w:lang w:eastAsia="zh-CN"/>
              </w:rPr>
              <w:br/>
              <w:t>Where fewer than 3 tests are able to be performed on clinical grounds, a patient specific reason outlining why the particular test(s) could not be conducted must be provided with the authority application.</w:t>
            </w:r>
            <w:r w:rsidRPr="005F0061">
              <w:rPr>
                <w:rFonts w:ascii="Arial" w:eastAsia="SimSun" w:hAnsi="Arial" w:cs="Arial"/>
                <w:color w:val="000000" w:themeColor="text1"/>
                <w:sz w:val="16"/>
                <w:szCs w:val="16"/>
                <w:lang w:eastAsia="zh-CN"/>
              </w:rPr>
              <w:br/>
              <w:t>Where a RHC cannot be performed on clinical grounds, confirmation of the reason(s) must be provided with the authority application by a second PAH physician or cardiologist with expertise in the management of PAH.</w:t>
            </w:r>
            <w:r w:rsidRPr="005F0061">
              <w:rPr>
                <w:rFonts w:ascii="Arial" w:eastAsia="SimSun" w:hAnsi="Arial" w:cs="Arial"/>
                <w:color w:val="000000" w:themeColor="text1"/>
                <w:sz w:val="16"/>
                <w:szCs w:val="16"/>
                <w:lang w:eastAsia="zh-CN"/>
              </w:rPr>
              <w:br/>
              <w:t>The test results provided must not be more than 2 months old at the time of application.</w:t>
            </w:r>
            <w:r w:rsidRPr="005F0061">
              <w:rPr>
                <w:rFonts w:ascii="Arial" w:eastAsia="SimSun" w:hAnsi="Arial" w:cs="Arial"/>
                <w:color w:val="000000" w:themeColor="text1"/>
                <w:sz w:val="16"/>
                <w:szCs w:val="16"/>
                <w:lang w:eastAsia="zh-CN"/>
              </w:rPr>
              <w:br/>
              <w:t>The maximum quantity authorised will be limited to provide sufficient supply for 1 month of treatment, based on the dosage recommendations in the TGA-approved Product Information.</w:t>
            </w:r>
            <w:r w:rsidRPr="005F0061">
              <w:rPr>
                <w:rFonts w:ascii="Arial" w:eastAsia="SimSun" w:hAnsi="Arial" w:cs="Arial"/>
                <w:color w:val="000000" w:themeColor="text1"/>
                <w:sz w:val="16"/>
                <w:szCs w:val="16"/>
                <w:lang w:eastAsia="zh-CN"/>
              </w:rPr>
              <w:br/>
              <w:t>A maximum of 5 repeats may be requested.</w:t>
            </w:r>
          </w:p>
        </w:tc>
        <w:tc>
          <w:tcPr>
            <w:tcW w:w="2650" w:type="dxa"/>
            <w:shd w:val="clear" w:color="auto" w:fill="auto"/>
            <w:tcMar>
              <w:top w:w="28" w:type="dxa"/>
              <w:left w:w="28" w:type="dxa"/>
              <w:right w:w="57" w:type="dxa"/>
            </w:tcMar>
          </w:tcPr>
          <w:p w14:paraId="7547654B" w14:textId="0A0FE838" w:rsidR="004C0A40" w:rsidRPr="005F0061" w:rsidRDefault="004C0A40" w:rsidP="004C0A40">
            <w:pPr>
              <w:pStyle w:val="Tabletext0"/>
              <w:rPr>
                <w:rFonts w:cs="Arial"/>
                <w:color w:val="000000" w:themeColor="text1"/>
                <w:szCs w:val="16"/>
              </w:rPr>
            </w:pPr>
            <w:r w:rsidRPr="005F0061">
              <w:rPr>
                <w:rFonts w:eastAsia="SimSun" w:cs="Arial"/>
                <w:color w:val="000000" w:themeColor="text1"/>
                <w:szCs w:val="16"/>
                <w:lang w:eastAsia="zh-CN"/>
              </w:rPr>
              <w:lastRenderedPageBreak/>
              <w:t>Compliance with Written Authority Required procedures</w:t>
            </w:r>
          </w:p>
        </w:tc>
      </w:tr>
      <w:tr w:rsidR="004C0A40" w:rsidRPr="005F0061" w14:paraId="6DAB6D4A" w14:textId="77777777" w:rsidTr="005E778F">
        <w:tc>
          <w:tcPr>
            <w:tcW w:w="1900" w:type="dxa"/>
            <w:shd w:val="clear" w:color="auto" w:fill="auto"/>
            <w:tcMar>
              <w:top w:w="28" w:type="dxa"/>
              <w:left w:w="28" w:type="dxa"/>
            </w:tcMar>
          </w:tcPr>
          <w:p w14:paraId="4D86E067" w14:textId="77777777" w:rsidR="004C0A40" w:rsidRPr="005F0061" w:rsidRDefault="004C0A40" w:rsidP="004C0A40">
            <w:pPr>
              <w:pStyle w:val="Tabletext0"/>
              <w:tabs>
                <w:tab w:val="left" w:pos="958"/>
              </w:tabs>
              <w:rPr>
                <w:rFonts w:cs="Arial"/>
                <w:szCs w:val="16"/>
              </w:rPr>
            </w:pPr>
          </w:p>
        </w:tc>
        <w:tc>
          <w:tcPr>
            <w:tcW w:w="850" w:type="dxa"/>
            <w:shd w:val="clear" w:color="auto" w:fill="auto"/>
            <w:tcMar>
              <w:top w:w="28" w:type="dxa"/>
              <w:left w:w="28" w:type="dxa"/>
            </w:tcMar>
          </w:tcPr>
          <w:p w14:paraId="4A5BACDA" w14:textId="4B8057A0" w:rsidR="004C0A40" w:rsidRPr="005F0061" w:rsidRDefault="004C0A40" w:rsidP="004C0A40">
            <w:pPr>
              <w:pStyle w:val="Tabletext0"/>
              <w:rPr>
                <w:rFonts w:cs="Arial"/>
                <w:color w:val="000000" w:themeColor="text1"/>
                <w:szCs w:val="16"/>
              </w:rPr>
            </w:pPr>
            <w:r w:rsidRPr="005F0061">
              <w:rPr>
                <w:rFonts w:eastAsia="SimSun" w:cs="Arial"/>
                <w:color w:val="000000" w:themeColor="text1"/>
                <w:szCs w:val="16"/>
                <w:lang w:eastAsia="zh-CN"/>
              </w:rPr>
              <w:t>C11033</w:t>
            </w:r>
          </w:p>
        </w:tc>
        <w:tc>
          <w:tcPr>
            <w:tcW w:w="850" w:type="dxa"/>
            <w:shd w:val="clear" w:color="auto" w:fill="auto"/>
            <w:tcMar>
              <w:top w:w="28" w:type="dxa"/>
              <w:left w:w="28" w:type="dxa"/>
            </w:tcMar>
          </w:tcPr>
          <w:p w14:paraId="3A031471" w14:textId="77777777" w:rsidR="004C0A40" w:rsidRPr="005F0061" w:rsidDel="00E03489" w:rsidRDefault="004C0A40" w:rsidP="004C0A40">
            <w:pPr>
              <w:spacing w:before="60" w:after="60"/>
              <w:rPr>
                <w:rFonts w:ascii="Arial" w:hAnsi="Arial" w:cs="Arial"/>
                <w:sz w:val="16"/>
                <w:szCs w:val="16"/>
                <w:lang w:eastAsia="en-AU"/>
              </w:rPr>
            </w:pPr>
          </w:p>
        </w:tc>
        <w:tc>
          <w:tcPr>
            <w:tcW w:w="7661" w:type="dxa"/>
            <w:shd w:val="clear" w:color="auto" w:fill="auto"/>
            <w:tcMar>
              <w:top w:w="28" w:type="dxa"/>
              <w:left w:w="28" w:type="dxa"/>
            </w:tcMar>
          </w:tcPr>
          <w:p w14:paraId="23340673" w14:textId="472CC49D" w:rsidR="004C0A40" w:rsidRPr="005F0061" w:rsidRDefault="004C0A40" w:rsidP="004C0A40">
            <w:pPr>
              <w:spacing w:before="60" w:after="60"/>
              <w:rPr>
                <w:rFonts w:ascii="Arial" w:hAnsi="Arial" w:cs="Arial"/>
                <w:color w:val="000000" w:themeColor="text1"/>
                <w:sz w:val="16"/>
                <w:szCs w:val="16"/>
              </w:rPr>
            </w:pPr>
            <w:r w:rsidRPr="005F0061">
              <w:rPr>
                <w:rFonts w:ascii="Arial" w:eastAsia="SimSun" w:hAnsi="Arial" w:cs="Arial"/>
                <w:color w:val="000000" w:themeColor="text1"/>
                <w:sz w:val="16"/>
                <w:szCs w:val="16"/>
                <w:lang w:eastAsia="zh-CN"/>
              </w:rPr>
              <w:t>Pulmonary arterial hypertension (PAH</w:t>
            </w:r>
            <w:proofErr w:type="gramStart"/>
            <w:r w:rsidRPr="005F0061">
              <w:rPr>
                <w:rFonts w:ascii="Arial" w:eastAsia="SimSun" w:hAnsi="Arial" w:cs="Arial"/>
                <w:color w:val="000000" w:themeColor="text1"/>
                <w:sz w:val="16"/>
                <w:szCs w:val="16"/>
                <w:lang w:eastAsia="zh-CN"/>
              </w:rPr>
              <w:t>)</w:t>
            </w:r>
            <w:proofErr w:type="gramEnd"/>
            <w:r w:rsidRPr="005F0061">
              <w:rPr>
                <w:rFonts w:ascii="Arial" w:eastAsia="SimSun" w:hAnsi="Arial" w:cs="Arial"/>
                <w:color w:val="000000" w:themeColor="text1"/>
                <w:sz w:val="16"/>
                <w:szCs w:val="16"/>
                <w:lang w:eastAsia="zh-CN"/>
              </w:rPr>
              <w:br/>
              <w:t>Initial 2 (dual therapy - previously treated patients)</w:t>
            </w:r>
            <w:r w:rsidRPr="005F0061">
              <w:rPr>
                <w:rFonts w:ascii="Arial" w:eastAsia="SimSun" w:hAnsi="Arial" w:cs="Arial"/>
                <w:color w:val="000000" w:themeColor="text1"/>
                <w:sz w:val="16"/>
                <w:szCs w:val="16"/>
                <w:lang w:eastAsia="zh-CN"/>
              </w:rPr>
              <w:br/>
              <w:t>Patient must have documented WHO Functional Class III PAH or WHO Functional Class IV PAH; AND</w:t>
            </w:r>
            <w:r w:rsidRPr="005F0061">
              <w:rPr>
                <w:rFonts w:ascii="Arial" w:eastAsia="SimSun" w:hAnsi="Arial" w:cs="Arial"/>
                <w:color w:val="000000" w:themeColor="text1"/>
                <w:sz w:val="16"/>
                <w:szCs w:val="16"/>
                <w:lang w:eastAsia="zh-CN"/>
              </w:rPr>
              <w:br/>
              <w:t>Patient must have documented a failure to achieve or maintain WHO Functional Class II status with prior PBS-subsidised monotherapy treatment with a phosphodiesterase-5 inhibitor (PDE-5i) for this condition; AND</w:t>
            </w:r>
            <w:r w:rsidRPr="005F0061">
              <w:rPr>
                <w:rFonts w:ascii="Arial" w:eastAsia="SimSun" w:hAnsi="Arial" w:cs="Arial"/>
                <w:color w:val="000000" w:themeColor="text1"/>
                <w:sz w:val="16"/>
                <w:szCs w:val="16"/>
                <w:lang w:eastAsia="zh-CN"/>
              </w:rPr>
              <w:br/>
              <w:t>The treatment must be in combination with the PBS-subsidised PDE-5i for this condition.</w:t>
            </w:r>
            <w:r w:rsidRPr="005F0061">
              <w:rPr>
                <w:rFonts w:ascii="Arial" w:eastAsia="SimSun" w:hAnsi="Arial" w:cs="Arial"/>
                <w:color w:val="000000" w:themeColor="text1"/>
                <w:sz w:val="16"/>
                <w:szCs w:val="16"/>
                <w:lang w:eastAsia="zh-CN"/>
              </w:rPr>
              <w:br/>
              <w:t xml:space="preserve">The term 'PAH agents' refers to </w:t>
            </w:r>
            <w:proofErr w:type="spellStart"/>
            <w:r w:rsidRPr="005F0061">
              <w:rPr>
                <w:rFonts w:ascii="Arial" w:eastAsia="SimSun" w:hAnsi="Arial" w:cs="Arial"/>
                <w:color w:val="000000" w:themeColor="text1"/>
                <w:sz w:val="16"/>
                <w:szCs w:val="16"/>
                <w:lang w:eastAsia="zh-CN"/>
              </w:rPr>
              <w:t>bosentan</w:t>
            </w:r>
            <w:proofErr w:type="spellEnd"/>
            <w:r w:rsidRPr="005F0061">
              <w:rPr>
                <w:rFonts w:ascii="Arial" w:eastAsia="SimSun" w:hAnsi="Arial" w:cs="Arial"/>
                <w:color w:val="000000" w:themeColor="text1"/>
                <w:sz w:val="16"/>
                <w:szCs w:val="16"/>
                <w:lang w:eastAsia="zh-CN"/>
              </w:rPr>
              <w:t xml:space="preserve"> monohydrate, </w:t>
            </w:r>
            <w:proofErr w:type="spellStart"/>
            <w:r w:rsidRPr="005F0061">
              <w:rPr>
                <w:rFonts w:ascii="Arial" w:eastAsia="SimSun" w:hAnsi="Arial" w:cs="Arial"/>
                <w:color w:val="000000" w:themeColor="text1"/>
                <w:sz w:val="16"/>
                <w:szCs w:val="16"/>
                <w:lang w:eastAsia="zh-CN"/>
              </w:rPr>
              <w:t>iloprost</w:t>
            </w:r>
            <w:proofErr w:type="spellEnd"/>
            <w:r w:rsidRPr="005F0061">
              <w:rPr>
                <w:rFonts w:ascii="Arial" w:eastAsia="SimSun" w:hAnsi="Arial" w:cs="Arial"/>
                <w:color w:val="000000" w:themeColor="text1"/>
                <w:sz w:val="16"/>
                <w:szCs w:val="16"/>
                <w:lang w:eastAsia="zh-CN"/>
              </w:rPr>
              <w:t xml:space="preserve"> trometamol, </w:t>
            </w:r>
            <w:proofErr w:type="spellStart"/>
            <w:r w:rsidRPr="005F0061">
              <w:rPr>
                <w:rFonts w:ascii="Arial" w:eastAsia="SimSun" w:hAnsi="Arial" w:cs="Arial"/>
                <w:color w:val="000000" w:themeColor="text1"/>
                <w:sz w:val="16"/>
                <w:szCs w:val="16"/>
                <w:lang w:eastAsia="zh-CN"/>
              </w:rPr>
              <w:t>epoprostenol</w:t>
            </w:r>
            <w:proofErr w:type="spellEnd"/>
            <w:r w:rsidRPr="005F0061">
              <w:rPr>
                <w:rFonts w:ascii="Arial" w:eastAsia="SimSun" w:hAnsi="Arial" w:cs="Arial"/>
                <w:color w:val="000000" w:themeColor="text1"/>
                <w:sz w:val="16"/>
                <w:szCs w:val="16"/>
                <w:lang w:eastAsia="zh-CN"/>
              </w:rPr>
              <w:t xml:space="preserve"> sodium, sildenafil citrate, </w:t>
            </w:r>
            <w:proofErr w:type="spellStart"/>
            <w:r w:rsidRPr="005F0061">
              <w:rPr>
                <w:rFonts w:ascii="Arial" w:eastAsia="SimSun" w:hAnsi="Arial" w:cs="Arial"/>
                <w:color w:val="000000" w:themeColor="text1"/>
                <w:sz w:val="16"/>
                <w:szCs w:val="16"/>
                <w:lang w:eastAsia="zh-CN"/>
              </w:rPr>
              <w:t>ambrisentan</w:t>
            </w:r>
            <w:proofErr w:type="spellEnd"/>
            <w:r w:rsidRPr="005F0061">
              <w:rPr>
                <w:rFonts w:ascii="Arial" w:eastAsia="SimSun" w:hAnsi="Arial" w:cs="Arial"/>
                <w:color w:val="000000" w:themeColor="text1"/>
                <w:sz w:val="16"/>
                <w:szCs w:val="16"/>
                <w:lang w:eastAsia="zh-CN"/>
              </w:rPr>
              <w:t xml:space="preserve">, </w:t>
            </w:r>
            <w:proofErr w:type="spellStart"/>
            <w:r w:rsidRPr="005F0061">
              <w:rPr>
                <w:rFonts w:ascii="Arial" w:eastAsia="SimSun" w:hAnsi="Arial" w:cs="Arial"/>
                <w:color w:val="000000" w:themeColor="text1"/>
                <w:sz w:val="16"/>
                <w:szCs w:val="16"/>
                <w:lang w:eastAsia="zh-CN"/>
              </w:rPr>
              <w:t>tadalafil</w:t>
            </w:r>
            <w:proofErr w:type="spellEnd"/>
            <w:r w:rsidRPr="005F0061">
              <w:rPr>
                <w:rFonts w:ascii="Arial" w:eastAsia="SimSun" w:hAnsi="Arial" w:cs="Arial"/>
                <w:color w:val="000000" w:themeColor="text1"/>
                <w:sz w:val="16"/>
                <w:szCs w:val="16"/>
                <w:lang w:eastAsia="zh-CN"/>
              </w:rPr>
              <w:t xml:space="preserve">, </w:t>
            </w:r>
            <w:proofErr w:type="spellStart"/>
            <w:r w:rsidRPr="005F0061">
              <w:rPr>
                <w:rFonts w:ascii="Arial" w:eastAsia="SimSun" w:hAnsi="Arial" w:cs="Arial"/>
                <w:color w:val="000000" w:themeColor="text1"/>
                <w:sz w:val="16"/>
                <w:szCs w:val="16"/>
                <w:lang w:eastAsia="zh-CN"/>
              </w:rPr>
              <w:t>macitentan</w:t>
            </w:r>
            <w:proofErr w:type="spellEnd"/>
            <w:r w:rsidRPr="005F0061">
              <w:rPr>
                <w:rFonts w:ascii="Arial" w:eastAsia="SimSun" w:hAnsi="Arial" w:cs="Arial"/>
                <w:color w:val="000000" w:themeColor="text1"/>
                <w:sz w:val="16"/>
                <w:szCs w:val="16"/>
                <w:lang w:eastAsia="zh-CN"/>
              </w:rPr>
              <w:t xml:space="preserve">, and </w:t>
            </w:r>
            <w:proofErr w:type="spellStart"/>
            <w:r w:rsidRPr="005F0061">
              <w:rPr>
                <w:rFonts w:ascii="Arial" w:eastAsia="SimSun" w:hAnsi="Arial" w:cs="Arial"/>
                <w:color w:val="000000" w:themeColor="text1"/>
                <w:sz w:val="16"/>
                <w:szCs w:val="16"/>
                <w:lang w:eastAsia="zh-CN"/>
              </w:rPr>
              <w:t>riociguat</w:t>
            </w:r>
            <w:proofErr w:type="spellEnd"/>
            <w:r w:rsidRPr="005F0061">
              <w:rPr>
                <w:rFonts w:ascii="Arial" w:eastAsia="SimSun" w:hAnsi="Arial" w:cs="Arial"/>
                <w:color w:val="000000" w:themeColor="text1"/>
                <w:sz w:val="16"/>
                <w:szCs w:val="16"/>
                <w:lang w:eastAsia="zh-CN"/>
              </w:rPr>
              <w:t>.</w:t>
            </w:r>
            <w:r w:rsidRPr="005F0061">
              <w:rPr>
                <w:rFonts w:ascii="Arial" w:eastAsia="SimSun" w:hAnsi="Arial" w:cs="Arial"/>
                <w:color w:val="000000" w:themeColor="text1"/>
                <w:sz w:val="16"/>
                <w:szCs w:val="16"/>
                <w:lang w:eastAsia="zh-CN"/>
              </w:rPr>
              <w:br/>
              <w:t>For the purposes of PBS subsidy, dual therapy refers to combined use of an endothelin receptor antagonist (ERA) and a phosphodiesterase-5 inhibitor (PDE-5i).</w:t>
            </w:r>
            <w:r w:rsidRPr="005F0061">
              <w:rPr>
                <w:rFonts w:ascii="Arial" w:eastAsia="SimSun" w:hAnsi="Arial" w:cs="Arial"/>
                <w:color w:val="000000" w:themeColor="text1"/>
                <w:sz w:val="16"/>
                <w:szCs w:val="16"/>
                <w:lang w:eastAsia="zh-CN"/>
              </w:rPr>
              <w:br/>
              <w:t>(</w:t>
            </w:r>
            <w:proofErr w:type="spellStart"/>
            <w:r w:rsidRPr="005F0061">
              <w:rPr>
                <w:rFonts w:ascii="Arial" w:eastAsia="SimSun" w:hAnsi="Arial" w:cs="Arial"/>
                <w:color w:val="000000" w:themeColor="text1"/>
                <w:sz w:val="16"/>
                <w:szCs w:val="16"/>
                <w:lang w:eastAsia="zh-CN"/>
              </w:rPr>
              <w:t>i</w:t>
            </w:r>
            <w:proofErr w:type="spellEnd"/>
            <w:r w:rsidRPr="005F0061">
              <w:rPr>
                <w:rFonts w:ascii="Arial" w:eastAsia="SimSun" w:hAnsi="Arial" w:cs="Arial"/>
                <w:color w:val="000000" w:themeColor="text1"/>
                <w:sz w:val="16"/>
                <w:szCs w:val="16"/>
                <w:lang w:eastAsia="zh-CN"/>
              </w:rPr>
              <w:t xml:space="preserve">) An ERA includes </w:t>
            </w:r>
            <w:proofErr w:type="spellStart"/>
            <w:r w:rsidRPr="005F0061">
              <w:rPr>
                <w:rFonts w:ascii="Arial" w:eastAsia="SimSun" w:hAnsi="Arial" w:cs="Arial"/>
                <w:color w:val="000000" w:themeColor="text1"/>
                <w:sz w:val="16"/>
                <w:szCs w:val="16"/>
                <w:lang w:eastAsia="zh-CN"/>
              </w:rPr>
              <w:t>ambrisentan</w:t>
            </w:r>
            <w:proofErr w:type="spellEnd"/>
            <w:r w:rsidRPr="005F0061">
              <w:rPr>
                <w:rFonts w:ascii="Arial" w:eastAsia="SimSun" w:hAnsi="Arial" w:cs="Arial"/>
                <w:color w:val="000000" w:themeColor="text1"/>
                <w:sz w:val="16"/>
                <w:szCs w:val="16"/>
                <w:lang w:eastAsia="zh-CN"/>
              </w:rPr>
              <w:t xml:space="preserve">, </w:t>
            </w:r>
            <w:proofErr w:type="spellStart"/>
            <w:r w:rsidRPr="005F0061">
              <w:rPr>
                <w:rFonts w:ascii="Arial" w:eastAsia="SimSun" w:hAnsi="Arial" w:cs="Arial"/>
                <w:color w:val="000000" w:themeColor="text1"/>
                <w:sz w:val="16"/>
                <w:szCs w:val="16"/>
                <w:lang w:eastAsia="zh-CN"/>
              </w:rPr>
              <w:t>bosentan</w:t>
            </w:r>
            <w:proofErr w:type="spellEnd"/>
            <w:r w:rsidRPr="005F0061">
              <w:rPr>
                <w:rFonts w:ascii="Arial" w:eastAsia="SimSun" w:hAnsi="Arial" w:cs="Arial"/>
                <w:color w:val="000000" w:themeColor="text1"/>
                <w:sz w:val="16"/>
                <w:szCs w:val="16"/>
                <w:lang w:eastAsia="zh-CN"/>
              </w:rPr>
              <w:t xml:space="preserve"> monohydrate, or </w:t>
            </w:r>
            <w:proofErr w:type="spellStart"/>
            <w:r w:rsidRPr="005F0061">
              <w:rPr>
                <w:rFonts w:ascii="Arial" w:eastAsia="SimSun" w:hAnsi="Arial" w:cs="Arial"/>
                <w:color w:val="000000" w:themeColor="text1"/>
                <w:sz w:val="16"/>
                <w:szCs w:val="16"/>
                <w:lang w:eastAsia="zh-CN"/>
              </w:rPr>
              <w:t>macitentan</w:t>
            </w:r>
            <w:proofErr w:type="spellEnd"/>
            <w:r w:rsidRPr="005F0061">
              <w:rPr>
                <w:rFonts w:ascii="Arial" w:eastAsia="SimSun" w:hAnsi="Arial" w:cs="Arial"/>
                <w:color w:val="000000" w:themeColor="text1"/>
                <w:sz w:val="16"/>
                <w:szCs w:val="16"/>
                <w:lang w:eastAsia="zh-CN"/>
              </w:rPr>
              <w:t>.</w:t>
            </w:r>
            <w:r w:rsidRPr="005F0061">
              <w:rPr>
                <w:rFonts w:ascii="Arial" w:eastAsia="SimSun" w:hAnsi="Arial" w:cs="Arial"/>
                <w:color w:val="000000" w:themeColor="text1"/>
                <w:sz w:val="16"/>
                <w:szCs w:val="16"/>
                <w:lang w:eastAsia="zh-CN"/>
              </w:rPr>
              <w:br/>
              <w:t xml:space="preserve">(ii) A PDE-5i includes sildenafil citrate, or </w:t>
            </w:r>
            <w:proofErr w:type="spellStart"/>
            <w:r w:rsidRPr="005F0061">
              <w:rPr>
                <w:rFonts w:ascii="Arial" w:eastAsia="SimSun" w:hAnsi="Arial" w:cs="Arial"/>
                <w:color w:val="000000" w:themeColor="text1"/>
                <w:sz w:val="16"/>
                <w:szCs w:val="16"/>
                <w:lang w:eastAsia="zh-CN"/>
              </w:rPr>
              <w:t>tadalafil</w:t>
            </w:r>
            <w:proofErr w:type="spellEnd"/>
            <w:r w:rsidRPr="005F0061">
              <w:rPr>
                <w:rFonts w:ascii="Arial" w:eastAsia="SimSun" w:hAnsi="Arial" w:cs="Arial"/>
                <w:color w:val="000000" w:themeColor="text1"/>
                <w:sz w:val="16"/>
                <w:szCs w:val="16"/>
                <w:lang w:eastAsia="zh-CN"/>
              </w:rPr>
              <w:t>.</w:t>
            </w:r>
            <w:r w:rsidRPr="005F0061">
              <w:rPr>
                <w:rFonts w:ascii="Arial" w:eastAsia="SimSun" w:hAnsi="Arial" w:cs="Arial"/>
                <w:color w:val="000000" w:themeColor="text1"/>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5F0061">
              <w:rPr>
                <w:rFonts w:ascii="Arial" w:eastAsia="SimSun" w:hAnsi="Arial" w:cs="Arial"/>
                <w:color w:val="000000" w:themeColor="text1"/>
                <w:sz w:val="16"/>
                <w:szCs w:val="16"/>
                <w:lang w:eastAsia="zh-CN"/>
              </w:rPr>
              <w:br/>
              <w:t>PAH (WHO Group 1 pulmonary hypertension) is defined as follows</w:t>
            </w:r>
            <w:proofErr w:type="gramStart"/>
            <w:r w:rsidRPr="005F0061">
              <w:rPr>
                <w:rFonts w:ascii="Arial" w:eastAsia="SimSun" w:hAnsi="Arial" w:cs="Arial"/>
                <w:color w:val="000000" w:themeColor="text1"/>
                <w:sz w:val="16"/>
                <w:szCs w:val="16"/>
                <w:lang w:eastAsia="zh-CN"/>
              </w:rPr>
              <w:t>:</w:t>
            </w:r>
            <w:proofErr w:type="gramEnd"/>
            <w:r w:rsidRPr="005F0061">
              <w:rPr>
                <w:rFonts w:ascii="Arial" w:eastAsia="SimSun" w:hAnsi="Arial" w:cs="Arial"/>
                <w:color w:val="000000" w:themeColor="text1"/>
                <w:sz w:val="16"/>
                <w:szCs w:val="16"/>
                <w:lang w:eastAsia="zh-CN"/>
              </w:rPr>
              <w:br/>
              <w:t>(</w:t>
            </w:r>
            <w:proofErr w:type="spellStart"/>
            <w:r w:rsidRPr="005F0061">
              <w:rPr>
                <w:rFonts w:ascii="Arial" w:eastAsia="SimSun" w:hAnsi="Arial" w:cs="Arial"/>
                <w:color w:val="000000" w:themeColor="text1"/>
                <w:sz w:val="16"/>
                <w:szCs w:val="16"/>
                <w:lang w:eastAsia="zh-CN"/>
              </w:rPr>
              <w:t>i</w:t>
            </w:r>
            <w:proofErr w:type="spellEnd"/>
            <w:r w:rsidRPr="005F0061">
              <w:rPr>
                <w:rFonts w:ascii="Arial" w:eastAsia="SimSun" w:hAnsi="Arial" w:cs="Arial"/>
                <w:color w:val="000000" w:themeColor="text1"/>
                <w:sz w:val="16"/>
                <w:szCs w:val="16"/>
                <w:lang w:eastAsia="zh-CN"/>
              </w:rPr>
              <w:t>) mean pulmonary artery pressure (</w:t>
            </w:r>
            <w:proofErr w:type="spellStart"/>
            <w:r w:rsidRPr="005F0061">
              <w:rPr>
                <w:rFonts w:ascii="Arial" w:eastAsia="SimSun" w:hAnsi="Arial" w:cs="Arial"/>
                <w:color w:val="000000" w:themeColor="text1"/>
                <w:sz w:val="16"/>
                <w:szCs w:val="16"/>
                <w:lang w:eastAsia="zh-CN"/>
              </w:rPr>
              <w:t>mPAP</w:t>
            </w:r>
            <w:proofErr w:type="spellEnd"/>
            <w:r w:rsidRPr="005F0061">
              <w:rPr>
                <w:rFonts w:ascii="Arial" w:eastAsia="SimSun" w:hAnsi="Arial" w:cs="Arial"/>
                <w:color w:val="000000" w:themeColor="text1"/>
                <w:sz w:val="16"/>
                <w:szCs w:val="16"/>
                <w:lang w:eastAsia="zh-CN"/>
              </w:rPr>
              <w:t>) greater than or equal to 25 mmHg at rest and pulmonary artery wedge pressure (PAWP) less than or equal to 15 mmHg; or</w:t>
            </w:r>
            <w:r w:rsidRPr="005F0061">
              <w:rPr>
                <w:rFonts w:ascii="Arial" w:eastAsia="SimSun" w:hAnsi="Arial" w:cs="Arial"/>
                <w:color w:val="000000" w:themeColor="text1"/>
                <w:sz w:val="16"/>
                <w:szCs w:val="16"/>
                <w:lang w:eastAsia="zh-CN"/>
              </w:rPr>
              <w:br/>
              <w:t>(ii) where a right heart catheter (RHC) cannot be performed on clinical grounds, right ventricular systolic pressure (RVSP), assessed by echocardiography (ECHO), greater than 40 mmHg, with normal left ventricular function.</w:t>
            </w:r>
            <w:r w:rsidRPr="005F0061">
              <w:rPr>
                <w:rFonts w:ascii="Arial" w:eastAsia="SimSun" w:hAnsi="Arial" w:cs="Arial"/>
                <w:color w:val="000000" w:themeColor="text1"/>
                <w:sz w:val="16"/>
                <w:szCs w:val="16"/>
                <w:lang w:eastAsia="zh-CN"/>
              </w:rPr>
              <w:br/>
              <w:t>The results and date of the RHC, ECHO and 6 MWT as applicable must be included in the patient's medical record. Where a RHC cannot be performed on clinical grounds, the written confirmation of the reasons why must also be included in the patient's medical record.</w:t>
            </w:r>
            <w:r w:rsidRPr="005F0061">
              <w:rPr>
                <w:rFonts w:ascii="Arial" w:eastAsia="SimSun" w:hAnsi="Arial" w:cs="Arial"/>
                <w:color w:val="000000" w:themeColor="text1"/>
                <w:sz w:val="16"/>
                <w:szCs w:val="16"/>
                <w:lang w:eastAsia="zh-CN"/>
              </w:rPr>
              <w:br/>
            </w:r>
            <w:r w:rsidRPr="005F0061">
              <w:rPr>
                <w:rFonts w:ascii="Arial" w:eastAsia="SimSun" w:hAnsi="Arial" w:cs="Arial"/>
                <w:color w:val="000000" w:themeColor="text1"/>
                <w:sz w:val="16"/>
                <w:szCs w:val="16"/>
                <w:lang w:eastAsia="zh-CN"/>
              </w:rPr>
              <w:lastRenderedPageBreak/>
              <w:t>The maximum quantity authorised will be limited to provide sufficient supply for 1 month of treatment, based on the dosage recommendations in the TGA-approved Product Information.</w:t>
            </w:r>
            <w:r w:rsidRPr="005F0061">
              <w:rPr>
                <w:rFonts w:ascii="Arial" w:eastAsia="SimSun" w:hAnsi="Arial" w:cs="Arial"/>
                <w:color w:val="000000" w:themeColor="text1"/>
                <w:sz w:val="16"/>
                <w:szCs w:val="16"/>
                <w:lang w:eastAsia="zh-CN"/>
              </w:rPr>
              <w:br/>
              <w:t>A maximum of 5 repeats may be requested.</w:t>
            </w:r>
          </w:p>
        </w:tc>
        <w:tc>
          <w:tcPr>
            <w:tcW w:w="2650" w:type="dxa"/>
            <w:shd w:val="clear" w:color="auto" w:fill="auto"/>
            <w:tcMar>
              <w:top w:w="28" w:type="dxa"/>
              <w:left w:w="28" w:type="dxa"/>
              <w:right w:w="57" w:type="dxa"/>
            </w:tcMar>
          </w:tcPr>
          <w:p w14:paraId="1DE823A0" w14:textId="1F4C7387" w:rsidR="004C0A40" w:rsidRPr="005F0061" w:rsidRDefault="004C0A40" w:rsidP="004C0A40">
            <w:pPr>
              <w:pStyle w:val="Tabletext0"/>
              <w:rPr>
                <w:rFonts w:cs="Arial"/>
                <w:color w:val="000000" w:themeColor="text1"/>
                <w:szCs w:val="16"/>
              </w:rPr>
            </w:pPr>
            <w:r w:rsidRPr="005F0061">
              <w:rPr>
                <w:rFonts w:eastAsia="SimSun" w:cs="Arial"/>
                <w:color w:val="000000" w:themeColor="text1"/>
                <w:szCs w:val="16"/>
                <w:lang w:eastAsia="zh-CN"/>
              </w:rPr>
              <w:lastRenderedPageBreak/>
              <w:t>Compliance with Authority Required procedures</w:t>
            </w:r>
          </w:p>
        </w:tc>
      </w:tr>
      <w:tr w:rsidR="004C0A40" w:rsidRPr="005F0061" w14:paraId="3780DC0B" w14:textId="77777777" w:rsidTr="005E778F">
        <w:tc>
          <w:tcPr>
            <w:tcW w:w="1900" w:type="dxa"/>
            <w:shd w:val="clear" w:color="auto" w:fill="auto"/>
            <w:tcMar>
              <w:top w:w="28" w:type="dxa"/>
              <w:left w:w="28" w:type="dxa"/>
            </w:tcMar>
          </w:tcPr>
          <w:p w14:paraId="6A4181C7" w14:textId="77777777" w:rsidR="004C0A40" w:rsidRPr="005F0061" w:rsidRDefault="004C0A40" w:rsidP="004C0A40">
            <w:pPr>
              <w:pStyle w:val="Tabletext0"/>
              <w:tabs>
                <w:tab w:val="left" w:pos="958"/>
              </w:tabs>
              <w:rPr>
                <w:rFonts w:cs="Arial"/>
                <w:szCs w:val="16"/>
              </w:rPr>
            </w:pPr>
          </w:p>
        </w:tc>
        <w:tc>
          <w:tcPr>
            <w:tcW w:w="850" w:type="dxa"/>
            <w:shd w:val="clear" w:color="auto" w:fill="auto"/>
            <w:tcMar>
              <w:top w:w="28" w:type="dxa"/>
              <w:left w:w="28" w:type="dxa"/>
            </w:tcMar>
          </w:tcPr>
          <w:p w14:paraId="6E1CA155" w14:textId="15AE8140" w:rsidR="004C0A40" w:rsidRPr="005F0061" w:rsidRDefault="004C0A40" w:rsidP="004C0A40">
            <w:pPr>
              <w:pStyle w:val="Tabletext0"/>
              <w:rPr>
                <w:rFonts w:cs="Arial"/>
                <w:color w:val="000000" w:themeColor="text1"/>
                <w:szCs w:val="16"/>
              </w:rPr>
            </w:pPr>
            <w:r w:rsidRPr="005F0061">
              <w:rPr>
                <w:rFonts w:eastAsia="SimSun" w:cs="Arial"/>
                <w:color w:val="000000" w:themeColor="text1"/>
                <w:szCs w:val="16"/>
                <w:lang w:eastAsia="zh-CN"/>
              </w:rPr>
              <w:t>C11034</w:t>
            </w:r>
          </w:p>
        </w:tc>
        <w:tc>
          <w:tcPr>
            <w:tcW w:w="850" w:type="dxa"/>
            <w:shd w:val="clear" w:color="auto" w:fill="auto"/>
            <w:tcMar>
              <w:top w:w="28" w:type="dxa"/>
              <w:left w:w="28" w:type="dxa"/>
            </w:tcMar>
          </w:tcPr>
          <w:p w14:paraId="5B663C41" w14:textId="77777777" w:rsidR="004C0A40" w:rsidRPr="005F0061" w:rsidDel="00E03489" w:rsidRDefault="004C0A40" w:rsidP="004C0A40">
            <w:pPr>
              <w:spacing w:before="60" w:after="60"/>
              <w:rPr>
                <w:rFonts w:ascii="Arial" w:hAnsi="Arial" w:cs="Arial"/>
                <w:sz w:val="16"/>
                <w:szCs w:val="16"/>
                <w:lang w:eastAsia="en-AU"/>
              </w:rPr>
            </w:pPr>
          </w:p>
        </w:tc>
        <w:tc>
          <w:tcPr>
            <w:tcW w:w="7661" w:type="dxa"/>
            <w:shd w:val="clear" w:color="auto" w:fill="auto"/>
            <w:tcMar>
              <w:top w:w="28" w:type="dxa"/>
              <w:left w:w="28" w:type="dxa"/>
            </w:tcMar>
          </w:tcPr>
          <w:p w14:paraId="7C22658C" w14:textId="1B7F8A89" w:rsidR="004C0A40" w:rsidRPr="005F0061" w:rsidRDefault="004C0A40" w:rsidP="004C0A40">
            <w:pPr>
              <w:spacing w:before="60" w:after="60"/>
              <w:rPr>
                <w:rFonts w:ascii="Arial" w:hAnsi="Arial" w:cs="Arial"/>
                <w:color w:val="000000" w:themeColor="text1"/>
                <w:sz w:val="16"/>
                <w:szCs w:val="16"/>
              </w:rPr>
            </w:pPr>
            <w:r w:rsidRPr="005F0061">
              <w:rPr>
                <w:rFonts w:ascii="Arial" w:eastAsia="SimSun" w:hAnsi="Arial" w:cs="Arial"/>
                <w:color w:val="000000" w:themeColor="text1"/>
                <w:sz w:val="16"/>
                <w:szCs w:val="16"/>
                <w:lang w:eastAsia="zh-CN"/>
              </w:rPr>
              <w:t>Pulmonary arterial hypertension (PAH</w:t>
            </w:r>
            <w:proofErr w:type="gramStart"/>
            <w:r w:rsidRPr="005F0061">
              <w:rPr>
                <w:rFonts w:ascii="Arial" w:eastAsia="SimSun" w:hAnsi="Arial" w:cs="Arial"/>
                <w:color w:val="000000" w:themeColor="text1"/>
                <w:sz w:val="16"/>
                <w:szCs w:val="16"/>
                <w:lang w:eastAsia="zh-CN"/>
              </w:rPr>
              <w:t>)</w:t>
            </w:r>
            <w:proofErr w:type="gramEnd"/>
            <w:r w:rsidRPr="005F0061">
              <w:rPr>
                <w:rFonts w:ascii="Arial" w:eastAsia="SimSun" w:hAnsi="Arial" w:cs="Arial"/>
                <w:color w:val="000000" w:themeColor="text1"/>
                <w:sz w:val="16"/>
                <w:szCs w:val="16"/>
                <w:lang w:eastAsia="zh-CN"/>
              </w:rPr>
              <w:br/>
              <w:t>Continuing treatment (dual therapy)</w:t>
            </w:r>
            <w:r w:rsidRPr="005F0061">
              <w:rPr>
                <w:rFonts w:ascii="Arial" w:eastAsia="SimSun" w:hAnsi="Arial" w:cs="Arial"/>
                <w:color w:val="000000" w:themeColor="text1"/>
                <w:sz w:val="16"/>
                <w:szCs w:val="16"/>
                <w:lang w:eastAsia="zh-CN"/>
              </w:rPr>
              <w:br/>
              <w:t>Patient must have received their most recent course of PBS-subsidised dual therapy with this PAH agent and a phosphodiesterase-5 inhibitor (PDE-5i) for this condition.</w:t>
            </w:r>
            <w:r w:rsidRPr="005F0061">
              <w:rPr>
                <w:rFonts w:ascii="Arial" w:eastAsia="SimSun" w:hAnsi="Arial" w:cs="Arial"/>
                <w:color w:val="000000" w:themeColor="text1"/>
                <w:sz w:val="16"/>
                <w:szCs w:val="16"/>
                <w:lang w:eastAsia="zh-CN"/>
              </w:rPr>
              <w:br/>
              <w:t xml:space="preserve">The term 'PAH agents' refers to </w:t>
            </w:r>
            <w:proofErr w:type="spellStart"/>
            <w:r w:rsidRPr="005F0061">
              <w:rPr>
                <w:rFonts w:ascii="Arial" w:eastAsia="SimSun" w:hAnsi="Arial" w:cs="Arial"/>
                <w:color w:val="000000" w:themeColor="text1"/>
                <w:sz w:val="16"/>
                <w:szCs w:val="16"/>
                <w:lang w:eastAsia="zh-CN"/>
              </w:rPr>
              <w:t>bosentan</w:t>
            </w:r>
            <w:proofErr w:type="spellEnd"/>
            <w:r w:rsidRPr="005F0061">
              <w:rPr>
                <w:rFonts w:ascii="Arial" w:eastAsia="SimSun" w:hAnsi="Arial" w:cs="Arial"/>
                <w:color w:val="000000" w:themeColor="text1"/>
                <w:sz w:val="16"/>
                <w:szCs w:val="16"/>
                <w:lang w:eastAsia="zh-CN"/>
              </w:rPr>
              <w:t xml:space="preserve"> monohydrate, </w:t>
            </w:r>
            <w:proofErr w:type="spellStart"/>
            <w:r w:rsidRPr="005F0061">
              <w:rPr>
                <w:rFonts w:ascii="Arial" w:eastAsia="SimSun" w:hAnsi="Arial" w:cs="Arial"/>
                <w:color w:val="000000" w:themeColor="text1"/>
                <w:sz w:val="16"/>
                <w:szCs w:val="16"/>
                <w:lang w:eastAsia="zh-CN"/>
              </w:rPr>
              <w:t>iloprost</w:t>
            </w:r>
            <w:proofErr w:type="spellEnd"/>
            <w:r w:rsidRPr="005F0061">
              <w:rPr>
                <w:rFonts w:ascii="Arial" w:eastAsia="SimSun" w:hAnsi="Arial" w:cs="Arial"/>
                <w:color w:val="000000" w:themeColor="text1"/>
                <w:sz w:val="16"/>
                <w:szCs w:val="16"/>
                <w:lang w:eastAsia="zh-CN"/>
              </w:rPr>
              <w:t xml:space="preserve"> trometamol, </w:t>
            </w:r>
            <w:proofErr w:type="spellStart"/>
            <w:r w:rsidRPr="005F0061">
              <w:rPr>
                <w:rFonts w:ascii="Arial" w:eastAsia="SimSun" w:hAnsi="Arial" w:cs="Arial"/>
                <w:color w:val="000000" w:themeColor="text1"/>
                <w:sz w:val="16"/>
                <w:szCs w:val="16"/>
                <w:lang w:eastAsia="zh-CN"/>
              </w:rPr>
              <w:t>epoprostenol</w:t>
            </w:r>
            <w:proofErr w:type="spellEnd"/>
            <w:r w:rsidRPr="005F0061">
              <w:rPr>
                <w:rFonts w:ascii="Arial" w:eastAsia="SimSun" w:hAnsi="Arial" w:cs="Arial"/>
                <w:color w:val="000000" w:themeColor="text1"/>
                <w:sz w:val="16"/>
                <w:szCs w:val="16"/>
                <w:lang w:eastAsia="zh-CN"/>
              </w:rPr>
              <w:t xml:space="preserve"> sodium, sildenafil citrate, </w:t>
            </w:r>
            <w:proofErr w:type="spellStart"/>
            <w:r w:rsidRPr="005F0061">
              <w:rPr>
                <w:rFonts w:ascii="Arial" w:eastAsia="SimSun" w:hAnsi="Arial" w:cs="Arial"/>
                <w:color w:val="000000" w:themeColor="text1"/>
                <w:sz w:val="16"/>
                <w:szCs w:val="16"/>
                <w:lang w:eastAsia="zh-CN"/>
              </w:rPr>
              <w:t>ambrisentan</w:t>
            </w:r>
            <w:proofErr w:type="spellEnd"/>
            <w:r w:rsidRPr="005F0061">
              <w:rPr>
                <w:rFonts w:ascii="Arial" w:eastAsia="SimSun" w:hAnsi="Arial" w:cs="Arial"/>
                <w:color w:val="000000" w:themeColor="text1"/>
                <w:sz w:val="16"/>
                <w:szCs w:val="16"/>
                <w:lang w:eastAsia="zh-CN"/>
              </w:rPr>
              <w:t xml:space="preserve">, </w:t>
            </w:r>
            <w:proofErr w:type="spellStart"/>
            <w:r w:rsidRPr="005F0061">
              <w:rPr>
                <w:rFonts w:ascii="Arial" w:eastAsia="SimSun" w:hAnsi="Arial" w:cs="Arial"/>
                <w:color w:val="000000" w:themeColor="text1"/>
                <w:sz w:val="16"/>
                <w:szCs w:val="16"/>
                <w:lang w:eastAsia="zh-CN"/>
              </w:rPr>
              <w:t>tadalafil</w:t>
            </w:r>
            <w:proofErr w:type="spellEnd"/>
            <w:r w:rsidRPr="005F0061">
              <w:rPr>
                <w:rFonts w:ascii="Arial" w:eastAsia="SimSun" w:hAnsi="Arial" w:cs="Arial"/>
                <w:color w:val="000000" w:themeColor="text1"/>
                <w:sz w:val="16"/>
                <w:szCs w:val="16"/>
                <w:lang w:eastAsia="zh-CN"/>
              </w:rPr>
              <w:t xml:space="preserve">, </w:t>
            </w:r>
            <w:proofErr w:type="spellStart"/>
            <w:r w:rsidRPr="005F0061">
              <w:rPr>
                <w:rFonts w:ascii="Arial" w:eastAsia="SimSun" w:hAnsi="Arial" w:cs="Arial"/>
                <w:color w:val="000000" w:themeColor="text1"/>
                <w:sz w:val="16"/>
                <w:szCs w:val="16"/>
                <w:lang w:eastAsia="zh-CN"/>
              </w:rPr>
              <w:t>macitentan</w:t>
            </w:r>
            <w:proofErr w:type="spellEnd"/>
            <w:r w:rsidRPr="005F0061">
              <w:rPr>
                <w:rFonts w:ascii="Arial" w:eastAsia="SimSun" w:hAnsi="Arial" w:cs="Arial"/>
                <w:color w:val="000000" w:themeColor="text1"/>
                <w:sz w:val="16"/>
                <w:szCs w:val="16"/>
                <w:lang w:eastAsia="zh-CN"/>
              </w:rPr>
              <w:t xml:space="preserve">, and </w:t>
            </w:r>
            <w:proofErr w:type="spellStart"/>
            <w:r w:rsidRPr="005F0061">
              <w:rPr>
                <w:rFonts w:ascii="Arial" w:eastAsia="SimSun" w:hAnsi="Arial" w:cs="Arial"/>
                <w:color w:val="000000" w:themeColor="text1"/>
                <w:sz w:val="16"/>
                <w:szCs w:val="16"/>
                <w:lang w:eastAsia="zh-CN"/>
              </w:rPr>
              <w:t>riociguat</w:t>
            </w:r>
            <w:proofErr w:type="spellEnd"/>
            <w:r w:rsidRPr="005F0061">
              <w:rPr>
                <w:rFonts w:ascii="Arial" w:eastAsia="SimSun" w:hAnsi="Arial" w:cs="Arial"/>
                <w:color w:val="000000" w:themeColor="text1"/>
                <w:sz w:val="16"/>
                <w:szCs w:val="16"/>
                <w:lang w:eastAsia="zh-CN"/>
              </w:rPr>
              <w:t>.</w:t>
            </w:r>
            <w:r w:rsidRPr="005F0061">
              <w:rPr>
                <w:rFonts w:ascii="Arial" w:eastAsia="SimSun" w:hAnsi="Arial" w:cs="Arial"/>
                <w:color w:val="000000" w:themeColor="text1"/>
                <w:sz w:val="16"/>
                <w:szCs w:val="16"/>
                <w:lang w:eastAsia="zh-CN"/>
              </w:rPr>
              <w:br/>
              <w:t>For the purposes of PBS subsidy, dual therapy refers to combined use of an endothelin receptor antagonist (ERA) and a phosphodiesterase-5 inhibitor (PDE-5i).</w:t>
            </w:r>
            <w:r w:rsidRPr="005F0061">
              <w:rPr>
                <w:rFonts w:ascii="Arial" w:eastAsia="SimSun" w:hAnsi="Arial" w:cs="Arial"/>
                <w:color w:val="000000" w:themeColor="text1"/>
                <w:sz w:val="16"/>
                <w:szCs w:val="16"/>
                <w:lang w:eastAsia="zh-CN"/>
              </w:rPr>
              <w:br/>
              <w:t>(</w:t>
            </w:r>
            <w:proofErr w:type="spellStart"/>
            <w:r w:rsidRPr="005F0061">
              <w:rPr>
                <w:rFonts w:ascii="Arial" w:eastAsia="SimSun" w:hAnsi="Arial" w:cs="Arial"/>
                <w:color w:val="000000" w:themeColor="text1"/>
                <w:sz w:val="16"/>
                <w:szCs w:val="16"/>
                <w:lang w:eastAsia="zh-CN"/>
              </w:rPr>
              <w:t>i</w:t>
            </w:r>
            <w:proofErr w:type="spellEnd"/>
            <w:r w:rsidRPr="005F0061">
              <w:rPr>
                <w:rFonts w:ascii="Arial" w:eastAsia="SimSun" w:hAnsi="Arial" w:cs="Arial"/>
                <w:color w:val="000000" w:themeColor="text1"/>
                <w:sz w:val="16"/>
                <w:szCs w:val="16"/>
                <w:lang w:eastAsia="zh-CN"/>
              </w:rPr>
              <w:t xml:space="preserve">) An ERA includes </w:t>
            </w:r>
            <w:proofErr w:type="spellStart"/>
            <w:r w:rsidRPr="005F0061">
              <w:rPr>
                <w:rFonts w:ascii="Arial" w:eastAsia="SimSun" w:hAnsi="Arial" w:cs="Arial"/>
                <w:color w:val="000000" w:themeColor="text1"/>
                <w:sz w:val="16"/>
                <w:szCs w:val="16"/>
                <w:lang w:eastAsia="zh-CN"/>
              </w:rPr>
              <w:t>ambrisentan</w:t>
            </w:r>
            <w:proofErr w:type="spellEnd"/>
            <w:r w:rsidRPr="005F0061">
              <w:rPr>
                <w:rFonts w:ascii="Arial" w:eastAsia="SimSun" w:hAnsi="Arial" w:cs="Arial"/>
                <w:color w:val="000000" w:themeColor="text1"/>
                <w:sz w:val="16"/>
                <w:szCs w:val="16"/>
                <w:lang w:eastAsia="zh-CN"/>
              </w:rPr>
              <w:t xml:space="preserve">, </w:t>
            </w:r>
            <w:proofErr w:type="spellStart"/>
            <w:r w:rsidRPr="005F0061">
              <w:rPr>
                <w:rFonts w:ascii="Arial" w:eastAsia="SimSun" w:hAnsi="Arial" w:cs="Arial"/>
                <w:color w:val="000000" w:themeColor="text1"/>
                <w:sz w:val="16"/>
                <w:szCs w:val="16"/>
                <w:lang w:eastAsia="zh-CN"/>
              </w:rPr>
              <w:t>bosentan</w:t>
            </w:r>
            <w:proofErr w:type="spellEnd"/>
            <w:r w:rsidRPr="005F0061">
              <w:rPr>
                <w:rFonts w:ascii="Arial" w:eastAsia="SimSun" w:hAnsi="Arial" w:cs="Arial"/>
                <w:color w:val="000000" w:themeColor="text1"/>
                <w:sz w:val="16"/>
                <w:szCs w:val="16"/>
                <w:lang w:eastAsia="zh-CN"/>
              </w:rPr>
              <w:t xml:space="preserve"> monohydrate, or </w:t>
            </w:r>
            <w:proofErr w:type="spellStart"/>
            <w:r w:rsidRPr="005F0061">
              <w:rPr>
                <w:rFonts w:ascii="Arial" w:eastAsia="SimSun" w:hAnsi="Arial" w:cs="Arial"/>
                <w:color w:val="000000" w:themeColor="text1"/>
                <w:sz w:val="16"/>
                <w:szCs w:val="16"/>
                <w:lang w:eastAsia="zh-CN"/>
              </w:rPr>
              <w:t>macitentan</w:t>
            </w:r>
            <w:proofErr w:type="spellEnd"/>
            <w:r w:rsidRPr="005F0061">
              <w:rPr>
                <w:rFonts w:ascii="Arial" w:eastAsia="SimSun" w:hAnsi="Arial" w:cs="Arial"/>
                <w:color w:val="000000" w:themeColor="text1"/>
                <w:sz w:val="16"/>
                <w:szCs w:val="16"/>
                <w:lang w:eastAsia="zh-CN"/>
              </w:rPr>
              <w:t>.</w:t>
            </w:r>
            <w:r w:rsidRPr="005F0061">
              <w:rPr>
                <w:rFonts w:ascii="Arial" w:eastAsia="SimSun" w:hAnsi="Arial" w:cs="Arial"/>
                <w:color w:val="000000" w:themeColor="text1"/>
                <w:sz w:val="16"/>
                <w:szCs w:val="16"/>
                <w:lang w:eastAsia="zh-CN"/>
              </w:rPr>
              <w:br/>
              <w:t xml:space="preserve">(ii) A PDE-5i includes sildenafil citrate, or </w:t>
            </w:r>
            <w:proofErr w:type="spellStart"/>
            <w:r w:rsidRPr="005F0061">
              <w:rPr>
                <w:rFonts w:ascii="Arial" w:eastAsia="SimSun" w:hAnsi="Arial" w:cs="Arial"/>
                <w:color w:val="000000" w:themeColor="text1"/>
                <w:sz w:val="16"/>
                <w:szCs w:val="16"/>
                <w:lang w:eastAsia="zh-CN"/>
              </w:rPr>
              <w:t>tadalafil</w:t>
            </w:r>
            <w:proofErr w:type="spellEnd"/>
            <w:r w:rsidRPr="005F0061">
              <w:rPr>
                <w:rFonts w:ascii="Arial" w:eastAsia="SimSun" w:hAnsi="Arial" w:cs="Arial"/>
                <w:color w:val="000000" w:themeColor="text1"/>
                <w:sz w:val="16"/>
                <w:szCs w:val="16"/>
                <w:lang w:eastAsia="zh-CN"/>
              </w:rPr>
              <w:t>.</w:t>
            </w:r>
            <w:r w:rsidRPr="005F0061">
              <w:rPr>
                <w:rFonts w:ascii="Arial" w:eastAsia="SimSun" w:hAnsi="Arial" w:cs="Arial"/>
                <w:color w:val="000000" w:themeColor="text1"/>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5F0061">
              <w:rPr>
                <w:rFonts w:ascii="Arial" w:eastAsia="SimSun" w:hAnsi="Arial" w:cs="Arial"/>
                <w:color w:val="000000" w:themeColor="text1"/>
                <w:sz w:val="16"/>
                <w:szCs w:val="16"/>
                <w:lang w:eastAsia="zh-CN"/>
              </w:rPr>
              <w:br/>
              <w:t>The maximum quantity authorised will be limited to provide sufficient supply for 1 month of treatment, based on the dosage recommendations in the TGA-approved Product Information.</w:t>
            </w:r>
            <w:r w:rsidRPr="005F0061">
              <w:rPr>
                <w:rFonts w:ascii="Arial" w:eastAsia="SimSun" w:hAnsi="Arial" w:cs="Arial"/>
                <w:color w:val="000000" w:themeColor="text1"/>
                <w:sz w:val="16"/>
                <w:szCs w:val="16"/>
                <w:lang w:eastAsia="zh-CN"/>
              </w:rPr>
              <w:br/>
              <w:t>A maximum of 5 repeats may be requested.</w:t>
            </w:r>
          </w:p>
        </w:tc>
        <w:tc>
          <w:tcPr>
            <w:tcW w:w="2650" w:type="dxa"/>
            <w:shd w:val="clear" w:color="auto" w:fill="auto"/>
            <w:tcMar>
              <w:top w:w="28" w:type="dxa"/>
              <w:left w:w="28" w:type="dxa"/>
              <w:right w:w="57" w:type="dxa"/>
            </w:tcMar>
          </w:tcPr>
          <w:p w14:paraId="4E9EA731" w14:textId="52F8CAF3" w:rsidR="004C0A40" w:rsidRPr="005F0061" w:rsidRDefault="004C0A40" w:rsidP="004C0A40">
            <w:pPr>
              <w:pStyle w:val="Tabletext0"/>
              <w:rPr>
                <w:rFonts w:cs="Arial"/>
                <w:color w:val="000000" w:themeColor="text1"/>
                <w:szCs w:val="16"/>
              </w:rPr>
            </w:pPr>
            <w:r w:rsidRPr="005F0061">
              <w:rPr>
                <w:rFonts w:eastAsia="SimSun" w:cs="Arial"/>
                <w:color w:val="000000" w:themeColor="text1"/>
                <w:szCs w:val="16"/>
                <w:lang w:eastAsia="zh-CN"/>
              </w:rPr>
              <w:t>Compliance with Authority Required procedures</w:t>
            </w:r>
          </w:p>
        </w:tc>
      </w:tr>
      <w:tr w:rsidR="004C0A40" w:rsidRPr="005F0061" w14:paraId="1020A1CD" w14:textId="77777777" w:rsidTr="005E778F">
        <w:tc>
          <w:tcPr>
            <w:tcW w:w="1900" w:type="dxa"/>
            <w:shd w:val="clear" w:color="auto" w:fill="auto"/>
            <w:tcMar>
              <w:top w:w="28" w:type="dxa"/>
              <w:left w:w="28" w:type="dxa"/>
            </w:tcMar>
          </w:tcPr>
          <w:p w14:paraId="420FE733" w14:textId="77777777" w:rsidR="004C0A40" w:rsidRPr="005F0061" w:rsidRDefault="004C0A40" w:rsidP="004C0A40">
            <w:pPr>
              <w:pStyle w:val="Tabletext0"/>
              <w:tabs>
                <w:tab w:val="left" w:pos="958"/>
              </w:tabs>
              <w:rPr>
                <w:rFonts w:cs="Arial"/>
                <w:szCs w:val="16"/>
              </w:rPr>
            </w:pPr>
          </w:p>
        </w:tc>
        <w:tc>
          <w:tcPr>
            <w:tcW w:w="850" w:type="dxa"/>
            <w:shd w:val="clear" w:color="auto" w:fill="auto"/>
            <w:tcMar>
              <w:top w:w="28" w:type="dxa"/>
              <w:left w:w="28" w:type="dxa"/>
            </w:tcMar>
          </w:tcPr>
          <w:p w14:paraId="77257953" w14:textId="62A12BD8" w:rsidR="004C0A40" w:rsidRPr="005F0061" w:rsidRDefault="004C0A40" w:rsidP="004C0A40">
            <w:pPr>
              <w:pStyle w:val="Tabletext0"/>
              <w:rPr>
                <w:rFonts w:cs="Arial"/>
                <w:color w:val="000000" w:themeColor="text1"/>
                <w:szCs w:val="16"/>
              </w:rPr>
            </w:pPr>
            <w:r w:rsidRPr="005F0061">
              <w:rPr>
                <w:rFonts w:eastAsia="SimSun" w:cs="Arial"/>
                <w:color w:val="000000" w:themeColor="text1"/>
                <w:szCs w:val="16"/>
                <w:lang w:eastAsia="zh-CN"/>
              </w:rPr>
              <w:t>C11043</w:t>
            </w:r>
          </w:p>
        </w:tc>
        <w:tc>
          <w:tcPr>
            <w:tcW w:w="850" w:type="dxa"/>
            <w:shd w:val="clear" w:color="auto" w:fill="auto"/>
            <w:tcMar>
              <w:top w:w="28" w:type="dxa"/>
              <w:left w:w="28" w:type="dxa"/>
            </w:tcMar>
          </w:tcPr>
          <w:p w14:paraId="73AC5145" w14:textId="77777777" w:rsidR="004C0A40" w:rsidRPr="005F0061" w:rsidDel="00E03489" w:rsidRDefault="004C0A40" w:rsidP="004C0A40">
            <w:pPr>
              <w:spacing w:before="60" w:after="60"/>
              <w:rPr>
                <w:rFonts w:ascii="Arial" w:hAnsi="Arial" w:cs="Arial"/>
                <w:sz w:val="16"/>
                <w:szCs w:val="16"/>
                <w:lang w:eastAsia="en-AU"/>
              </w:rPr>
            </w:pPr>
          </w:p>
        </w:tc>
        <w:tc>
          <w:tcPr>
            <w:tcW w:w="7661" w:type="dxa"/>
            <w:shd w:val="clear" w:color="auto" w:fill="auto"/>
            <w:tcMar>
              <w:top w:w="28" w:type="dxa"/>
              <w:left w:w="28" w:type="dxa"/>
            </w:tcMar>
          </w:tcPr>
          <w:p w14:paraId="34B6C877" w14:textId="06F278E6" w:rsidR="004C0A40" w:rsidRPr="005F0061" w:rsidRDefault="004C0A40" w:rsidP="004C0A40">
            <w:pPr>
              <w:spacing w:before="60" w:after="60"/>
              <w:rPr>
                <w:rFonts w:ascii="Arial" w:hAnsi="Arial" w:cs="Arial"/>
                <w:color w:val="000000" w:themeColor="text1"/>
                <w:sz w:val="16"/>
                <w:szCs w:val="16"/>
              </w:rPr>
            </w:pPr>
            <w:r w:rsidRPr="005F0061">
              <w:rPr>
                <w:rFonts w:ascii="Arial" w:eastAsia="SimSun" w:hAnsi="Arial" w:cs="Arial"/>
                <w:color w:val="000000" w:themeColor="text1"/>
                <w:sz w:val="16"/>
                <w:szCs w:val="16"/>
                <w:lang w:eastAsia="zh-CN"/>
              </w:rPr>
              <w:t>Pulmonary arterial hypertension (PAH</w:t>
            </w:r>
            <w:proofErr w:type="gramStart"/>
            <w:r w:rsidRPr="005F0061">
              <w:rPr>
                <w:rFonts w:ascii="Arial" w:eastAsia="SimSun" w:hAnsi="Arial" w:cs="Arial"/>
                <w:color w:val="000000" w:themeColor="text1"/>
                <w:sz w:val="16"/>
                <w:szCs w:val="16"/>
                <w:lang w:eastAsia="zh-CN"/>
              </w:rPr>
              <w:t>)</w:t>
            </w:r>
            <w:proofErr w:type="gramEnd"/>
            <w:r w:rsidRPr="005F0061">
              <w:rPr>
                <w:rFonts w:ascii="Arial" w:eastAsia="SimSun" w:hAnsi="Arial" w:cs="Arial"/>
                <w:color w:val="000000" w:themeColor="text1"/>
                <w:sz w:val="16"/>
                <w:szCs w:val="16"/>
                <w:lang w:eastAsia="zh-CN"/>
              </w:rPr>
              <w:br/>
              <w:t>Initial 3 (dual therapy - change)</w:t>
            </w:r>
            <w:r w:rsidRPr="005F0061">
              <w:rPr>
                <w:rFonts w:ascii="Arial" w:eastAsia="SimSun" w:hAnsi="Arial" w:cs="Arial"/>
                <w:color w:val="000000" w:themeColor="text1"/>
                <w:sz w:val="16"/>
                <w:szCs w:val="16"/>
                <w:lang w:eastAsia="zh-CN"/>
              </w:rPr>
              <w:br/>
              <w:t>Patient must have had their most recent course of PBS-subsidised dual therapy with a phosphodiesterase-5 inhibitor (PDE-5i) and an endothelin receptor antagonist (ERA) other than this agent for this condition.</w:t>
            </w:r>
            <w:r w:rsidRPr="005F0061">
              <w:rPr>
                <w:rFonts w:ascii="Arial" w:eastAsia="SimSun" w:hAnsi="Arial" w:cs="Arial"/>
                <w:color w:val="000000" w:themeColor="text1"/>
                <w:sz w:val="16"/>
                <w:szCs w:val="16"/>
                <w:lang w:eastAsia="zh-CN"/>
              </w:rPr>
              <w:br/>
              <w:t xml:space="preserve">The term 'PAH agents' refers to </w:t>
            </w:r>
            <w:proofErr w:type="spellStart"/>
            <w:r w:rsidRPr="005F0061">
              <w:rPr>
                <w:rFonts w:ascii="Arial" w:eastAsia="SimSun" w:hAnsi="Arial" w:cs="Arial"/>
                <w:color w:val="000000" w:themeColor="text1"/>
                <w:sz w:val="16"/>
                <w:szCs w:val="16"/>
                <w:lang w:eastAsia="zh-CN"/>
              </w:rPr>
              <w:t>bosentan</w:t>
            </w:r>
            <w:proofErr w:type="spellEnd"/>
            <w:r w:rsidRPr="005F0061">
              <w:rPr>
                <w:rFonts w:ascii="Arial" w:eastAsia="SimSun" w:hAnsi="Arial" w:cs="Arial"/>
                <w:color w:val="000000" w:themeColor="text1"/>
                <w:sz w:val="16"/>
                <w:szCs w:val="16"/>
                <w:lang w:eastAsia="zh-CN"/>
              </w:rPr>
              <w:t xml:space="preserve"> monohydrate, </w:t>
            </w:r>
            <w:proofErr w:type="spellStart"/>
            <w:r w:rsidRPr="005F0061">
              <w:rPr>
                <w:rFonts w:ascii="Arial" w:eastAsia="SimSun" w:hAnsi="Arial" w:cs="Arial"/>
                <w:color w:val="000000" w:themeColor="text1"/>
                <w:sz w:val="16"/>
                <w:szCs w:val="16"/>
                <w:lang w:eastAsia="zh-CN"/>
              </w:rPr>
              <w:t>iloprost</w:t>
            </w:r>
            <w:proofErr w:type="spellEnd"/>
            <w:r w:rsidRPr="005F0061">
              <w:rPr>
                <w:rFonts w:ascii="Arial" w:eastAsia="SimSun" w:hAnsi="Arial" w:cs="Arial"/>
                <w:color w:val="000000" w:themeColor="text1"/>
                <w:sz w:val="16"/>
                <w:szCs w:val="16"/>
                <w:lang w:eastAsia="zh-CN"/>
              </w:rPr>
              <w:t xml:space="preserve"> trometamol, </w:t>
            </w:r>
            <w:proofErr w:type="spellStart"/>
            <w:r w:rsidRPr="005F0061">
              <w:rPr>
                <w:rFonts w:ascii="Arial" w:eastAsia="SimSun" w:hAnsi="Arial" w:cs="Arial"/>
                <w:color w:val="000000" w:themeColor="text1"/>
                <w:sz w:val="16"/>
                <w:szCs w:val="16"/>
                <w:lang w:eastAsia="zh-CN"/>
              </w:rPr>
              <w:t>epoprostenol</w:t>
            </w:r>
            <w:proofErr w:type="spellEnd"/>
            <w:r w:rsidRPr="005F0061">
              <w:rPr>
                <w:rFonts w:ascii="Arial" w:eastAsia="SimSun" w:hAnsi="Arial" w:cs="Arial"/>
                <w:color w:val="000000" w:themeColor="text1"/>
                <w:sz w:val="16"/>
                <w:szCs w:val="16"/>
                <w:lang w:eastAsia="zh-CN"/>
              </w:rPr>
              <w:t xml:space="preserve"> sodium, sildenafil citrate, </w:t>
            </w:r>
            <w:proofErr w:type="spellStart"/>
            <w:r w:rsidRPr="005F0061">
              <w:rPr>
                <w:rFonts w:ascii="Arial" w:eastAsia="SimSun" w:hAnsi="Arial" w:cs="Arial"/>
                <w:color w:val="000000" w:themeColor="text1"/>
                <w:sz w:val="16"/>
                <w:szCs w:val="16"/>
                <w:lang w:eastAsia="zh-CN"/>
              </w:rPr>
              <w:t>ambrisentan</w:t>
            </w:r>
            <w:proofErr w:type="spellEnd"/>
            <w:r w:rsidRPr="005F0061">
              <w:rPr>
                <w:rFonts w:ascii="Arial" w:eastAsia="SimSun" w:hAnsi="Arial" w:cs="Arial"/>
                <w:color w:val="000000" w:themeColor="text1"/>
                <w:sz w:val="16"/>
                <w:szCs w:val="16"/>
                <w:lang w:eastAsia="zh-CN"/>
              </w:rPr>
              <w:t xml:space="preserve">, </w:t>
            </w:r>
            <w:proofErr w:type="spellStart"/>
            <w:r w:rsidRPr="005F0061">
              <w:rPr>
                <w:rFonts w:ascii="Arial" w:eastAsia="SimSun" w:hAnsi="Arial" w:cs="Arial"/>
                <w:color w:val="000000" w:themeColor="text1"/>
                <w:sz w:val="16"/>
                <w:szCs w:val="16"/>
                <w:lang w:eastAsia="zh-CN"/>
              </w:rPr>
              <w:t>tadalafil</w:t>
            </w:r>
            <w:proofErr w:type="spellEnd"/>
            <w:r w:rsidRPr="005F0061">
              <w:rPr>
                <w:rFonts w:ascii="Arial" w:eastAsia="SimSun" w:hAnsi="Arial" w:cs="Arial"/>
                <w:color w:val="000000" w:themeColor="text1"/>
                <w:sz w:val="16"/>
                <w:szCs w:val="16"/>
                <w:lang w:eastAsia="zh-CN"/>
              </w:rPr>
              <w:t xml:space="preserve">, </w:t>
            </w:r>
            <w:proofErr w:type="spellStart"/>
            <w:r w:rsidRPr="005F0061">
              <w:rPr>
                <w:rFonts w:ascii="Arial" w:eastAsia="SimSun" w:hAnsi="Arial" w:cs="Arial"/>
                <w:color w:val="000000" w:themeColor="text1"/>
                <w:sz w:val="16"/>
                <w:szCs w:val="16"/>
                <w:lang w:eastAsia="zh-CN"/>
              </w:rPr>
              <w:t>macitentan</w:t>
            </w:r>
            <w:proofErr w:type="spellEnd"/>
            <w:r w:rsidRPr="005F0061">
              <w:rPr>
                <w:rFonts w:ascii="Arial" w:eastAsia="SimSun" w:hAnsi="Arial" w:cs="Arial"/>
                <w:color w:val="000000" w:themeColor="text1"/>
                <w:sz w:val="16"/>
                <w:szCs w:val="16"/>
                <w:lang w:eastAsia="zh-CN"/>
              </w:rPr>
              <w:t xml:space="preserve">, and </w:t>
            </w:r>
            <w:proofErr w:type="spellStart"/>
            <w:r w:rsidRPr="005F0061">
              <w:rPr>
                <w:rFonts w:ascii="Arial" w:eastAsia="SimSun" w:hAnsi="Arial" w:cs="Arial"/>
                <w:color w:val="000000" w:themeColor="text1"/>
                <w:sz w:val="16"/>
                <w:szCs w:val="16"/>
                <w:lang w:eastAsia="zh-CN"/>
              </w:rPr>
              <w:t>riociguat</w:t>
            </w:r>
            <w:proofErr w:type="spellEnd"/>
            <w:r w:rsidRPr="005F0061">
              <w:rPr>
                <w:rFonts w:ascii="Arial" w:eastAsia="SimSun" w:hAnsi="Arial" w:cs="Arial"/>
                <w:color w:val="000000" w:themeColor="text1"/>
                <w:sz w:val="16"/>
                <w:szCs w:val="16"/>
                <w:lang w:eastAsia="zh-CN"/>
              </w:rPr>
              <w:t>.</w:t>
            </w:r>
            <w:r w:rsidRPr="005F0061">
              <w:rPr>
                <w:rFonts w:ascii="Arial" w:eastAsia="SimSun" w:hAnsi="Arial" w:cs="Arial"/>
                <w:color w:val="000000" w:themeColor="text1"/>
                <w:sz w:val="16"/>
                <w:szCs w:val="16"/>
                <w:lang w:eastAsia="zh-CN"/>
              </w:rPr>
              <w:br/>
              <w:t>For the purposes of PBS subsidy, dual therapy refers to combined use of an endothelin receptor antagonist (ERA) and a phosphodiesterase-5 inhibitor (PDE-5i).</w:t>
            </w:r>
            <w:r w:rsidRPr="005F0061">
              <w:rPr>
                <w:rFonts w:ascii="Arial" w:eastAsia="SimSun" w:hAnsi="Arial" w:cs="Arial"/>
                <w:color w:val="000000" w:themeColor="text1"/>
                <w:sz w:val="16"/>
                <w:szCs w:val="16"/>
                <w:lang w:eastAsia="zh-CN"/>
              </w:rPr>
              <w:br/>
              <w:t>(</w:t>
            </w:r>
            <w:proofErr w:type="spellStart"/>
            <w:r w:rsidRPr="005F0061">
              <w:rPr>
                <w:rFonts w:ascii="Arial" w:eastAsia="SimSun" w:hAnsi="Arial" w:cs="Arial"/>
                <w:color w:val="000000" w:themeColor="text1"/>
                <w:sz w:val="16"/>
                <w:szCs w:val="16"/>
                <w:lang w:eastAsia="zh-CN"/>
              </w:rPr>
              <w:t>i</w:t>
            </w:r>
            <w:proofErr w:type="spellEnd"/>
            <w:r w:rsidRPr="005F0061">
              <w:rPr>
                <w:rFonts w:ascii="Arial" w:eastAsia="SimSun" w:hAnsi="Arial" w:cs="Arial"/>
                <w:color w:val="000000" w:themeColor="text1"/>
                <w:sz w:val="16"/>
                <w:szCs w:val="16"/>
                <w:lang w:eastAsia="zh-CN"/>
              </w:rPr>
              <w:t xml:space="preserve">) An ERA includes </w:t>
            </w:r>
            <w:proofErr w:type="spellStart"/>
            <w:r w:rsidRPr="005F0061">
              <w:rPr>
                <w:rFonts w:ascii="Arial" w:eastAsia="SimSun" w:hAnsi="Arial" w:cs="Arial"/>
                <w:color w:val="000000" w:themeColor="text1"/>
                <w:sz w:val="16"/>
                <w:szCs w:val="16"/>
                <w:lang w:eastAsia="zh-CN"/>
              </w:rPr>
              <w:t>ambrisentan</w:t>
            </w:r>
            <w:proofErr w:type="spellEnd"/>
            <w:r w:rsidRPr="005F0061">
              <w:rPr>
                <w:rFonts w:ascii="Arial" w:eastAsia="SimSun" w:hAnsi="Arial" w:cs="Arial"/>
                <w:color w:val="000000" w:themeColor="text1"/>
                <w:sz w:val="16"/>
                <w:szCs w:val="16"/>
                <w:lang w:eastAsia="zh-CN"/>
              </w:rPr>
              <w:t xml:space="preserve">, </w:t>
            </w:r>
            <w:proofErr w:type="spellStart"/>
            <w:r w:rsidRPr="005F0061">
              <w:rPr>
                <w:rFonts w:ascii="Arial" w:eastAsia="SimSun" w:hAnsi="Arial" w:cs="Arial"/>
                <w:color w:val="000000" w:themeColor="text1"/>
                <w:sz w:val="16"/>
                <w:szCs w:val="16"/>
                <w:lang w:eastAsia="zh-CN"/>
              </w:rPr>
              <w:t>bosentan</w:t>
            </w:r>
            <w:proofErr w:type="spellEnd"/>
            <w:r w:rsidRPr="005F0061">
              <w:rPr>
                <w:rFonts w:ascii="Arial" w:eastAsia="SimSun" w:hAnsi="Arial" w:cs="Arial"/>
                <w:color w:val="000000" w:themeColor="text1"/>
                <w:sz w:val="16"/>
                <w:szCs w:val="16"/>
                <w:lang w:eastAsia="zh-CN"/>
              </w:rPr>
              <w:t xml:space="preserve"> monohydrate, or </w:t>
            </w:r>
            <w:proofErr w:type="spellStart"/>
            <w:r w:rsidRPr="005F0061">
              <w:rPr>
                <w:rFonts w:ascii="Arial" w:eastAsia="SimSun" w:hAnsi="Arial" w:cs="Arial"/>
                <w:color w:val="000000" w:themeColor="text1"/>
                <w:sz w:val="16"/>
                <w:szCs w:val="16"/>
                <w:lang w:eastAsia="zh-CN"/>
              </w:rPr>
              <w:t>macitentan</w:t>
            </w:r>
            <w:proofErr w:type="spellEnd"/>
            <w:r w:rsidRPr="005F0061">
              <w:rPr>
                <w:rFonts w:ascii="Arial" w:eastAsia="SimSun" w:hAnsi="Arial" w:cs="Arial"/>
                <w:color w:val="000000" w:themeColor="text1"/>
                <w:sz w:val="16"/>
                <w:szCs w:val="16"/>
                <w:lang w:eastAsia="zh-CN"/>
              </w:rPr>
              <w:t>.</w:t>
            </w:r>
            <w:r w:rsidRPr="005F0061">
              <w:rPr>
                <w:rFonts w:ascii="Arial" w:eastAsia="SimSun" w:hAnsi="Arial" w:cs="Arial"/>
                <w:color w:val="000000" w:themeColor="text1"/>
                <w:sz w:val="16"/>
                <w:szCs w:val="16"/>
                <w:lang w:eastAsia="zh-CN"/>
              </w:rPr>
              <w:br/>
              <w:t xml:space="preserve">(ii) A PDE-5i includes sildenafil citrate, or </w:t>
            </w:r>
            <w:proofErr w:type="spellStart"/>
            <w:r w:rsidRPr="005F0061">
              <w:rPr>
                <w:rFonts w:ascii="Arial" w:eastAsia="SimSun" w:hAnsi="Arial" w:cs="Arial"/>
                <w:color w:val="000000" w:themeColor="text1"/>
                <w:sz w:val="16"/>
                <w:szCs w:val="16"/>
                <w:lang w:eastAsia="zh-CN"/>
              </w:rPr>
              <w:t>tadalafil</w:t>
            </w:r>
            <w:proofErr w:type="spellEnd"/>
            <w:r w:rsidRPr="005F0061">
              <w:rPr>
                <w:rFonts w:ascii="Arial" w:eastAsia="SimSun" w:hAnsi="Arial" w:cs="Arial"/>
                <w:color w:val="000000" w:themeColor="text1"/>
                <w:sz w:val="16"/>
                <w:szCs w:val="16"/>
                <w:lang w:eastAsia="zh-CN"/>
              </w:rPr>
              <w:t>.</w:t>
            </w:r>
            <w:r w:rsidRPr="005F0061">
              <w:rPr>
                <w:rFonts w:ascii="Arial" w:eastAsia="SimSun" w:hAnsi="Arial" w:cs="Arial"/>
                <w:color w:val="000000" w:themeColor="text1"/>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5F0061">
              <w:rPr>
                <w:rFonts w:ascii="Arial" w:eastAsia="SimSun" w:hAnsi="Arial" w:cs="Arial"/>
                <w:color w:val="000000" w:themeColor="text1"/>
                <w:sz w:val="16"/>
                <w:szCs w:val="16"/>
                <w:lang w:eastAsia="zh-CN"/>
              </w:rPr>
              <w:br/>
              <w:t>Swapping between PAH agents: Patients can access PAH agents through the PBS according to the relevant restrictions.</w:t>
            </w:r>
            <w:r w:rsidRPr="005F0061">
              <w:rPr>
                <w:rFonts w:ascii="Arial" w:eastAsia="SimSun" w:hAnsi="Arial" w:cs="Arial"/>
                <w:color w:val="000000" w:themeColor="text1"/>
                <w:sz w:val="16"/>
                <w:szCs w:val="16"/>
                <w:lang w:eastAsia="zh-CN"/>
              </w:rPr>
              <w:br/>
              <w:t>Once patients are approved dual therapy with a PAH agent from the PDE-5i class; or a PAH agent from the ERA class, they may swap between PAH agents within the same class. This means that patients may commence treatment with another PAH agent in the same class, subject to that agent's restriction, irrespective of the severity of their disease at the time the application to swap therapy is submitted.</w:t>
            </w:r>
            <w:r w:rsidRPr="005F0061">
              <w:rPr>
                <w:rFonts w:ascii="Arial" w:eastAsia="SimSun" w:hAnsi="Arial" w:cs="Arial"/>
                <w:color w:val="000000" w:themeColor="text1"/>
                <w:sz w:val="16"/>
                <w:szCs w:val="16"/>
                <w:lang w:eastAsia="zh-CN"/>
              </w:rPr>
              <w:br/>
              <w:t>Applications to swap within a PAH agent class must be made under the relevant initial treatment restriction.</w:t>
            </w:r>
            <w:r w:rsidRPr="005F0061">
              <w:rPr>
                <w:rFonts w:ascii="Arial" w:eastAsia="SimSun" w:hAnsi="Arial" w:cs="Arial"/>
                <w:color w:val="000000" w:themeColor="text1"/>
                <w:sz w:val="16"/>
                <w:szCs w:val="16"/>
                <w:lang w:eastAsia="zh-CN"/>
              </w:rPr>
              <w:br/>
              <w:t>The maximum quantity authorised will be limited to provide sufficient supply for 1 month of treatment, based on the dosage recommendations in the TGA-approved Product Information.</w:t>
            </w:r>
            <w:r w:rsidRPr="005F0061">
              <w:rPr>
                <w:rFonts w:ascii="Arial" w:eastAsia="SimSun" w:hAnsi="Arial" w:cs="Arial"/>
                <w:color w:val="000000" w:themeColor="text1"/>
                <w:sz w:val="16"/>
                <w:szCs w:val="16"/>
                <w:lang w:eastAsia="zh-CN"/>
              </w:rPr>
              <w:br/>
              <w:t>A maximum of 5 repeats may be requested.</w:t>
            </w:r>
          </w:p>
        </w:tc>
        <w:tc>
          <w:tcPr>
            <w:tcW w:w="2650" w:type="dxa"/>
            <w:shd w:val="clear" w:color="auto" w:fill="auto"/>
            <w:tcMar>
              <w:top w:w="28" w:type="dxa"/>
              <w:left w:w="28" w:type="dxa"/>
              <w:right w:w="57" w:type="dxa"/>
            </w:tcMar>
          </w:tcPr>
          <w:p w14:paraId="63355592" w14:textId="2D8E9C01" w:rsidR="004C0A40" w:rsidRPr="005F0061" w:rsidRDefault="004C0A40" w:rsidP="004C0A40">
            <w:pPr>
              <w:pStyle w:val="Tabletext0"/>
              <w:rPr>
                <w:rFonts w:cs="Arial"/>
                <w:color w:val="000000" w:themeColor="text1"/>
                <w:szCs w:val="16"/>
              </w:rPr>
            </w:pPr>
            <w:r w:rsidRPr="005F0061">
              <w:rPr>
                <w:rFonts w:eastAsia="SimSun" w:cs="Arial"/>
                <w:color w:val="000000" w:themeColor="text1"/>
                <w:szCs w:val="16"/>
                <w:lang w:eastAsia="zh-CN"/>
              </w:rPr>
              <w:t>Compliance with Authority Required procedures</w:t>
            </w:r>
          </w:p>
        </w:tc>
      </w:tr>
      <w:tr w:rsidR="004C0A40" w:rsidRPr="005F0061" w14:paraId="3CE58566" w14:textId="77777777" w:rsidTr="005E778F">
        <w:tc>
          <w:tcPr>
            <w:tcW w:w="1900" w:type="dxa"/>
            <w:shd w:val="clear" w:color="auto" w:fill="auto"/>
            <w:tcMar>
              <w:top w:w="28" w:type="dxa"/>
              <w:left w:w="28" w:type="dxa"/>
            </w:tcMar>
          </w:tcPr>
          <w:p w14:paraId="72A59A4A" w14:textId="77777777" w:rsidR="004C0A40" w:rsidRPr="005F0061" w:rsidRDefault="004C0A40" w:rsidP="004C0A40">
            <w:pPr>
              <w:pStyle w:val="Tabletext0"/>
              <w:tabs>
                <w:tab w:val="left" w:pos="958"/>
              </w:tabs>
              <w:rPr>
                <w:rFonts w:cs="Arial"/>
                <w:szCs w:val="16"/>
              </w:rPr>
            </w:pPr>
          </w:p>
        </w:tc>
        <w:tc>
          <w:tcPr>
            <w:tcW w:w="850" w:type="dxa"/>
            <w:shd w:val="clear" w:color="auto" w:fill="auto"/>
            <w:tcMar>
              <w:top w:w="28" w:type="dxa"/>
              <w:left w:w="28" w:type="dxa"/>
            </w:tcMar>
          </w:tcPr>
          <w:p w14:paraId="561CF5E7" w14:textId="5C1BF521" w:rsidR="004C0A40" w:rsidRPr="005F0061" w:rsidRDefault="004C0A40" w:rsidP="004C0A40">
            <w:pPr>
              <w:pStyle w:val="Tabletext0"/>
              <w:rPr>
                <w:rFonts w:cs="Arial"/>
                <w:color w:val="000000" w:themeColor="text1"/>
                <w:szCs w:val="16"/>
              </w:rPr>
            </w:pPr>
            <w:r w:rsidRPr="005F0061">
              <w:rPr>
                <w:rFonts w:eastAsia="SimSun" w:cs="Arial"/>
                <w:color w:val="000000" w:themeColor="text1"/>
                <w:szCs w:val="16"/>
                <w:lang w:eastAsia="zh-CN"/>
              </w:rPr>
              <w:t>C11071</w:t>
            </w:r>
          </w:p>
        </w:tc>
        <w:tc>
          <w:tcPr>
            <w:tcW w:w="850" w:type="dxa"/>
            <w:shd w:val="clear" w:color="auto" w:fill="auto"/>
            <w:tcMar>
              <w:top w:w="28" w:type="dxa"/>
              <w:left w:w="28" w:type="dxa"/>
            </w:tcMar>
          </w:tcPr>
          <w:p w14:paraId="301283D9" w14:textId="77777777" w:rsidR="004C0A40" w:rsidRPr="005F0061" w:rsidDel="00E03489" w:rsidRDefault="004C0A40" w:rsidP="004C0A40">
            <w:pPr>
              <w:spacing w:before="60" w:after="60"/>
              <w:rPr>
                <w:rFonts w:ascii="Arial" w:hAnsi="Arial" w:cs="Arial"/>
                <w:sz w:val="16"/>
                <w:szCs w:val="16"/>
                <w:lang w:eastAsia="en-AU"/>
              </w:rPr>
            </w:pPr>
          </w:p>
        </w:tc>
        <w:tc>
          <w:tcPr>
            <w:tcW w:w="7661" w:type="dxa"/>
            <w:shd w:val="clear" w:color="auto" w:fill="auto"/>
            <w:tcMar>
              <w:top w:w="28" w:type="dxa"/>
              <w:left w:w="28" w:type="dxa"/>
            </w:tcMar>
          </w:tcPr>
          <w:p w14:paraId="5158E902" w14:textId="1F14BBD7" w:rsidR="004C0A40" w:rsidRPr="005F0061" w:rsidRDefault="004C0A40" w:rsidP="004C0A40">
            <w:pPr>
              <w:spacing w:before="60" w:after="60"/>
              <w:rPr>
                <w:rFonts w:ascii="Arial" w:hAnsi="Arial" w:cs="Arial"/>
                <w:color w:val="000000" w:themeColor="text1"/>
                <w:sz w:val="16"/>
                <w:szCs w:val="16"/>
              </w:rPr>
            </w:pPr>
            <w:r w:rsidRPr="005F0061">
              <w:rPr>
                <w:rFonts w:ascii="Arial" w:eastAsia="SimSun" w:hAnsi="Arial" w:cs="Arial"/>
                <w:color w:val="000000" w:themeColor="text1"/>
                <w:sz w:val="16"/>
                <w:szCs w:val="16"/>
                <w:lang w:eastAsia="zh-CN"/>
              </w:rPr>
              <w:t>Pulmonary arterial hypertension (PAH</w:t>
            </w:r>
            <w:proofErr w:type="gramStart"/>
            <w:r w:rsidRPr="005F0061">
              <w:rPr>
                <w:rFonts w:ascii="Arial" w:eastAsia="SimSun" w:hAnsi="Arial" w:cs="Arial"/>
                <w:color w:val="000000" w:themeColor="text1"/>
                <w:sz w:val="16"/>
                <w:szCs w:val="16"/>
                <w:lang w:eastAsia="zh-CN"/>
              </w:rPr>
              <w:t>)</w:t>
            </w:r>
            <w:proofErr w:type="gramEnd"/>
            <w:r w:rsidRPr="005F0061">
              <w:rPr>
                <w:rFonts w:ascii="Arial" w:eastAsia="SimSun" w:hAnsi="Arial" w:cs="Arial"/>
                <w:color w:val="000000" w:themeColor="text1"/>
                <w:sz w:val="16"/>
                <w:szCs w:val="16"/>
                <w:lang w:eastAsia="zh-CN"/>
              </w:rPr>
              <w:br/>
              <w:t>Grandfathered patients (dual therapy)</w:t>
            </w:r>
            <w:r w:rsidRPr="005F0061">
              <w:rPr>
                <w:rFonts w:ascii="Arial" w:eastAsia="SimSun" w:hAnsi="Arial" w:cs="Arial"/>
                <w:color w:val="000000" w:themeColor="text1"/>
                <w:sz w:val="16"/>
                <w:szCs w:val="16"/>
                <w:lang w:eastAsia="zh-CN"/>
              </w:rPr>
              <w:br/>
              <w:t>Patient must be receiving dual therapy with this non PBS-subsidised pulmonary arterial hypertension (PAH) agent and a non PBS-subsidised phosphodiesterase-5 inhibitor (PDE-5i) for this condition prior to 1 October 2020; AND</w:t>
            </w:r>
            <w:r w:rsidRPr="005F0061">
              <w:rPr>
                <w:rFonts w:ascii="Arial" w:eastAsia="SimSun" w:hAnsi="Arial" w:cs="Arial"/>
                <w:color w:val="000000" w:themeColor="text1"/>
                <w:sz w:val="16"/>
                <w:szCs w:val="16"/>
                <w:lang w:eastAsia="zh-CN"/>
              </w:rPr>
              <w:br/>
              <w:t>Patient must have been assessed by a physician with expertise in the management of PAH; AND</w:t>
            </w:r>
            <w:r w:rsidRPr="005F0061">
              <w:rPr>
                <w:rFonts w:ascii="Arial" w:eastAsia="SimSun" w:hAnsi="Arial" w:cs="Arial"/>
                <w:color w:val="000000" w:themeColor="text1"/>
                <w:sz w:val="16"/>
                <w:szCs w:val="16"/>
                <w:lang w:eastAsia="zh-CN"/>
              </w:rPr>
              <w:br/>
            </w:r>
            <w:r w:rsidRPr="005F0061">
              <w:rPr>
                <w:rFonts w:ascii="Arial" w:eastAsia="SimSun" w:hAnsi="Arial" w:cs="Arial"/>
                <w:color w:val="000000" w:themeColor="text1"/>
                <w:sz w:val="16"/>
                <w:szCs w:val="16"/>
                <w:lang w:eastAsia="zh-CN"/>
              </w:rPr>
              <w:lastRenderedPageBreak/>
              <w:t>Patient must have documented WHO Functional Class III PAH or WHO Functional Class IV PAH.</w:t>
            </w:r>
            <w:r w:rsidRPr="005F0061">
              <w:rPr>
                <w:rFonts w:ascii="Arial" w:eastAsia="SimSun" w:hAnsi="Arial" w:cs="Arial"/>
                <w:color w:val="000000" w:themeColor="text1"/>
                <w:sz w:val="16"/>
                <w:szCs w:val="16"/>
                <w:lang w:eastAsia="zh-CN"/>
              </w:rPr>
              <w:br/>
              <w:t xml:space="preserve">The term 'PAH agents' refers to </w:t>
            </w:r>
            <w:proofErr w:type="spellStart"/>
            <w:r w:rsidRPr="005F0061">
              <w:rPr>
                <w:rFonts w:ascii="Arial" w:eastAsia="SimSun" w:hAnsi="Arial" w:cs="Arial"/>
                <w:color w:val="000000" w:themeColor="text1"/>
                <w:sz w:val="16"/>
                <w:szCs w:val="16"/>
                <w:lang w:eastAsia="zh-CN"/>
              </w:rPr>
              <w:t>bosentan</w:t>
            </w:r>
            <w:proofErr w:type="spellEnd"/>
            <w:r w:rsidRPr="005F0061">
              <w:rPr>
                <w:rFonts w:ascii="Arial" w:eastAsia="SimSun" w:hAnsi="Arial" w:cs="Arial"/>
                <w:color w:val="000000" w:themeColor="text1"/>
                <w:sz w:val="16"/>
                <w:szCs w:val="16"/>
                <w:lang w:eastAsia="zh-CN"/>
              </w:rPr>
              <w:t xml:space="preserve"> monohydrate, </w:t>
            </w:r>
            <w:proofErr w:type="spellStart"/>
            <w:r w:rsidRPr="005F0061">
              <w:rPr>
                <w:rFonts w:ascii="Arial" w:eastAsia="SimSun" w:hAnsi="Arial" w:cs="Arial"/>
                <w:color w:val="000000" w:themeColor="text1"/>
                <w:sz w:val="16"/>
                <w:szCs w:val="16"/>
                <w:lang w:eastAsia="zh-CN"/>
              </w:rPr>
              <w:t>iloprost</w:t>
            </w:r>
            <w:proofErr w:type="spellEnd"/>
            <w:r w:rsidRPr="005F0061">
              <w:rPr>
                <w:rFonts w:ascii="Arial" w:eastAsia="SimSun" w:hAnsi="Arial" w:cs="Arial"/>
                <w:color w:val="000000" w:themeColor="text1"/>
                <w:sz w:val="16"/>
                <w:szCs w:val="16"/>
                <w:lang w:eastAsia="zh-CN"/>
              </w:rPr>
              <w:t xml:space="preserve"> trometamol, </w:t>
            </w:r>
            <w:proofErr w:type="spellStart"/>
            <w:r w:rsidRPr="005F0061">
              <w:rPr>
                <w:rFonts w:ascii="Arial" w:eastAsia="SimSun" w:hAnsi="Arial" w:cs="Arial"/>
                <w:color w:val="000000" w:themeColor="text1"/>
                <w:sz w:val="16"/>
                <w:szCs w:val="16"/>
                <w:lang w:eastAsia="zh-CN"/>
              </w:rPr>
              <w:t>epoprostenol</w:t>
            </w:r>
            <w:proofErr w:type="spellEnd"/>
            <w:r w:rsidRPr="005F0061">
              <w:rPr>
                <w:rFonts w:ascii="Arial" w:eastAsia="SimSun" w:hAnsi="Arial" w:cs="Arial"/>
                <w:color w:val="000000" w:themeColor="text1"/>
                <w:sz w:val="16"/>
                <w:szCs w:val="16"/>
                <w:lang w:eastAsia="zh-CN"/>
              </w:rPr>
              <w:t xml:space="preserve"> sodium, sildenafil citrate, </w:t>
            </w:r>
            <w:proofErr w:type="spellStart"/>
            <w:r w:rsidRPr="005F0061">
              <w:rPr>
                <w:rFonts w:ascii="Arial" w:eastAsia="SimSun" w:hAnsi="Arial" w:cs="Arial"/>
                <w:color w:val="000000" w:themeColor="text1"/>
                <w:sz w:val="16"/>
                <w:szCs w:val="16"/>
                <w:lang w:eastAsia="zh-CN"/>
              </w:rPr>
              <w:t>ambrisentan</w:t>
            </w:r>
            <w:proofErr w:type="spellEnd"/>
            <w:r w:rsidRPr="005F0061">
              <w:rPr>
                <w:rFonts w:ascii="Arial" w:eastAsia="SimSun" w:hAnsi="Arial" w:cs="Arial"/>
                <w:color w:val="000000" w:themeColor="text1"/>
                <w:sz w:val="16"/>
                <w:szCs w:val="16"/>
                <w:lang w:eastAsia="zh-CN"/>
              </w:rPr>
              <w:t xml:space="preserve">, </w:t>
            </w:r>
            <w:proofErr w:type="spellStart"/>
            <w:r w:rsidRPr="005F0061">
              <w:rPr>
                <w:rFonts w:ascii="Arial" w:eastAsia="SimSun" w:hAnsi="Arial" w:cs="Arial"/>
                <w:color w:val="000000" w:themeColor="text1"/>
                <w:sz w:val="16"/>
                <w:szCs w:val="16"/>
                <w:lang w:eastAsia="zh-CN"/>
              </w:rPr>
              <w:t>tadalafil</w:t>
            </w:r>
            <w:proofErr w:type="spellEnd"/>
            <w:r w:rsidRPr="005F0061">
              <w:rPr>
                <w:rFonts w:ascii="Arial" w:eastAsia="SimSun" w:hAnsi="Arial" w:cs="Arial"/>
                <w:color w:val="000000" w:themeColor="text1"/>
                <w:sz w:val="16"/>
                <w:szCs w:val="16"/>
                <w:lang w:eastAsia="zh-CN"/>
              </w:rPr>
              <w:t xml:space="preserve">, </w:t>
            </w:r>
            <w:proofErr w:type="spellStart"/>
            <w:r w:rsidRPr="005F0061">
              <w:rPr>
                <w:rFonts w:ascii="Arial" w:eastAsia="SimSun" w:hAnsi="Arial" w:cs="Arial"/>
                <w:color w:val="000000" w:themeColor="text1"/>
                <w:sz w:val="16"/>
                <w:szCs w:val="16"/>
                <w:lang w:eastAsia="zh-CN"/>
              </w:rPr>
              <w:t>macitentan</w:t>
            </w:r>
            <w:proofErr w:type="spellEnd"/>
            <w:r w:rsidRPr="005F0061">
              <w:rPr>
                <w:rFonts w:ascii="Arial" w:eastAsia="SimSun" w:hAnsi="Arial" w:cs="Arial"/>
                <w:color w:val="000000" w:themeColor="text1"/>
                <w:sz w:val="16"/>
                <w:szCs w:val="16"/>
                <w:lang w:eastAsia="zh-CN"/>
              </w:rPr>
              <w:t xml:space="preserve">, and </w:t>
            </w:r>
            <w:proofErr w:type="spellStart"/>
            <w:r w:rsidRPr="005F0061">
              <w:rPr>
                <w:rFonts w:ascii="Arial" w:eastAsia="SimSun" w:hAnsi="Arial" w:cs="Arial"/>
                <w:color w:val="000000" w:themeColor="text1"/>
                <w:sz w:val="16"/>
                <w:szCs w:val="16"/>
                <w:lang w:eastAsia="zh-CN"/>
              </w:rPr>
              <w:t>riociguat</w:t>
            </w:r>
            <w:proofErr w:type="spellEnd"/>
            <w:r w:rsidRPr="005F0061">
              <w:rPr>
                <w:rFonts w:ascii="Arial" w:eastAsia="SimSun" w:hAnsi="Arial" w:cs="Arial"/>
                <w:color w:val="000000" w:themeColor="text1"/>
                <w:sz w:val="16"/>
                <w:szCs w:val="16"/>
                <w:lang w:eastAsia="zh-CN"/>
              </w:rPr>
              <w:t>.</w:t>
            </w:r>
            <w:r w:rsidRPr="005F0061">
              <w:rPr>
                <w:rFonts w:ascii="Arial" w:eastAsia="SimSun" w:hAnsi="Arial" w:cs="Arial"/>
                <w:color w:val="000000" w:themeColor="text1"/>
                <w:sz w:val="16"/>
                <w:szCs w:val="16"/>
                <w:lang w:eastAsia="zh-CN"/>
              </w:rPr>
              <w:br/>
              <w:t>For the purposes of PBS subsidy, dual therapy refers to combined use of an endothelin receptor antagonist (ERA) and a phosphodiesterase-5 inhibitor (PDE-5i).</w:t>
            </w:r>
            <w:r w:rsidRPr="005F0061">
              <w:rPr>
                <w:rFonts w:ascii="Arial" w:eastAsia="SimSun" w:hAnsi="Arial" w:cs="Arial"/>
                <w:color w:val="000000" w:themeColor="text1"/>
                <w:sz w:val="16"/>
                <w:szCs w:val="16"/>
                <w:lang w:eastAsia="zh-CN"/>
              </w:rPr>
              <w:br/>
              <w:t>(</w:t>
            </w:r>
            <w:proofErr w:type="spellStart"/>
            <w:r w:rsidRPr="005F0061">
              <w:rPr>
                <w:rFonts w:ascii="Arial" w:eastAsia="SimSun" w:hAnsi="Arial" w:cs="Arial"/>
                <w:color w:val="000000" w:themeColor="text1"/>
                <w:sz w:val="16"/>
                <w:szCs w:val="16"/>
                <w:lang w:eastAsia="zh-CN"/>
              </w:rPr>
              <w:t>i</w:t>
            </w:r>
            <w:proofErr w:type="spellEnd"/>
            <w:r w:rsidRPr="005F0061">
              <w:rPr>
                <w:rFonts w:ascii="Arial" w:eastAsia="SimSun" w:hAnsi="Arial" w:cs="Arial"/>
                <w:color w:val="000000" w:themeColor="text1"/>
                <w:sz w:val="16"/>
                <w:szCs w:val="16"/>
                <w:lang w:eastAsia="zh-CN"/>
              </w:rPr>
              <w:t xml:space="preserve">) An ERA includes </w:t>
            </w:r>
            <w:proofErr w:type="spellStart"/>
            <w:r w:rsidRPr="005F0061">
              <w:rPr>
                <w:rFonts w:ascii="Arial" w:eastAsia="SimSun" w:hAnsi="Arial" w:cs="Arial"/>
                <w:color w:val="000000" w:themeColor="text1"/>
                <w:sz w:val="16"/>
                <w:szCs w:val="16"/>
                <w:lang w:eastAsia="zh-CN"/>
              </w:rPr>
              <w:t>ambrisentan</w:t>
            </w:r>
            <w:proofErr w:type="spellEnd"/>
            <w:r w:rsidRPr="005F0061">
              <w:rPr>
                <w:rFonts w:ascii="Arial" w:eastAsia="SimSun" w:hAnsi="Arial" w:cs="Arial"/>
                <w:color w:val="000000" w:themeColor="text1"/>
                <w:sz w:val="16"/>
                <w:szCs w:val="16"/>
                <w:lang w:eastAsia="zh-CN"/>
              </w:rPr>
              <w:t xml:space="preserve">, </w:t>
            </w:r>
            <w:proofErr w:type="spellStart"/>
            <w:r w:rsidRPr="005F0061">
              <w:rPr>
                <w:rFonts w:ascii="Arial" w:eastAsia="SimSun" w:hAnsi="Arial" w:cs="Arial"/>
                <w:color w:val="000000" w:themeColor="text1"/>
                <w:sz w:val="16"/>
                <w:szCs w:val="16"/>
                <w:lang w:eastAsia="zh-CN"/>
              </w:rPr>
              <w:t>bosentan</w:t>
            </w:r>
            <w:proofErr w:type="spellEnd"/>
            <w:r w:rsidRPr="005F0061">
              <w:rPr>
                <w:rFonts w:ascii="Arial" w:eastAsia="SimSun" w:hAnsi="Arial" w:cs="Arial"/>
                <w:color w:val="000000" w:themeColor="text1"/>
                <w:sz w:val="16"/>
                <w:szCs w:val="16"/>
                <w:lang w:eastAsia="zh-CN"/>
              </w:rPr>
              <w:t xml:space="preserve"> monohydrate, or </w:t>
            </w:r>
            <w:proofErr w:type="spellStart"/>
            <w:r w:rsidRPr="005F0061">
              <w:rPr>
                <w:rFonts w:ascii="Arial" w:eastAsia="SimSun" w:hAnsi="Arial" w:cs="Arial"/>
                <w:color w:val="000000" w:themeColor="text1"/>
                <w:sz w:val="16"/>
                <w:szCs w:val="16"/>
                <w:lang w:eastAsia="zh-CN"/>
              </w:rPr>
              <w:t>macitentan</w:t>
            </w:r>
            <w:proofErr w:type="spellEnd"/>
            <w:r w:rsidRPr="005F0061">
              <w:rPr>
                <w:rFonts w:ascii="Arial" w:eastAsia="SimSun" w:hAnsi="Arial" w:cs="Arial"/>
                <w:color w:val="000000" w:themeColor="text1"/>
                <w:sz w:val="16"/>
                <w:szCs w:val="16"/>
                <w:lang w:eastAsia="zh-CN"/>
              </w:rPr>
              <w:t>.</w:t>
            </w:r>
            <w:r w:rsidRPr="005F0061">
              <w:rPr>
                <w:rFonts w:ascii="Arial" w:eastAsia="SimSun" w:hAnsi="Arial" w:cs="Arial"/>
                <w:color w:val="000000" w:themeColor="text1"/>
                <w:sz w:val="16"/>
                <w:szCs w:val="16"/>
                <w:lang w:eastAsia="zh-CN"/>
              </w:rPr>
              <w:br/>
              <w:t xml:space="preserve">(ii) A PDE-5i includes sildenafil citrate, or </w:t>
            </w:r>
            <w:proofErr w:type="spellStart"/>
            <w:r w:rsidRPr="005F0061">
              <w:rPr>
                <w:rFonts w:ascii="Arial" w:eastAsia="SimSun" w:hAnsi="Arial" w:cs="Arial"/>
                <w:color w:val="000000" w:themeColor="text1"/>
                <w:sz w:val="16"/>
                <w:szCs w:val="16"/>
                <w:lang w:eastAsia="zh-CN"/>
              </w:rPr>
              <w:t>tadalafil</w:t>
            </w:r>
            <w:proofErr w:type="spellEnd"/>
            <w:r w:rsidRPr="005F0061">
              <w:rPr>
                <w:rFonts w:ascii="Arial" w:eastAsia="SimSun" w:hAnsi="Arial" w:cs="Arial"/>
                <w:color w:val="000000" w:themeColor="text1"/>
                <w:sz w:val="16"/>
                <w:szCs w:val="16"/>
                <w:lang w:eastAsia="zh-CN"/>
              </w:rPr>
              <w:t>.</w:t>
            </w:r>
            <w:r w:rsidRPr="005F0061">
              <w:rPr>
                <w:rFonts w:ascii="Arial" w:eastAsia="SimSun" w:hAnsi="Arial" w:cs="Arial"/>
                <w:color w:val="000000" w:themeColor="text1"/>
                <w:sz w:val="16"/>
                <w:szCs w:val="16"/>
                <w:lang w:eastAsia="zh-CN"/>
              </w:rPr>
              <w:br/>
              <w:t>PAH agents are not PBS-subsidised for patients with pulmonary hypertension secondary to interstitial lung disease associated with connective tissue disease, where the total lung capacity is less than 70% of predicted.</w:t>
            </w:r>
            <w:r w:rsidRPr="005F0061">
              <w:rPr>
                <w:rFonts w:ascii="Arial" w:eastAsia="SimSun" w:hAnsi="Arial" w:cs="Arial"/>
                <w:color w:val="000000" w:themeColor="text1"/>
                <w:sz w:val="16"/>
                <w:szCs w:val="16"/>
                <w:lang w:eastAsia="zh-CN"/>
              </w:rPr>
              <w:br/>
              <w:t>PAH (WHO Group 1 pulmonary hypertension) is defined as follows</w:t>
            </w:r>
            <w:proofErr w:type="gramStart"/>
            <w:r w:rsidRPr="005F0061">
              <w:rPr>
                <w:rFonts w:ascii="Arial" w:eastAsia="SimSun" w:hAnsi="Arial" w:cs="Arial"/>
                <w:color w:val="000000" w:themeColor="text1"/>
                <w:sz w:val="16"/>
                <w:szCs w:val="16"/>
                <w:lang w:eastAsia="zh-CN"/>
              </w:rPr>
              <w:t>:</w:t>
            </w:r>
            <w:proofErr w:type="gramEnd"/>
            <w:r w:rsidRPr="005F0061">
              <w:rPr>
                <w:rFonts w:ascii="Arial" w:eastAsia="SimSun" w:hAnsi="Arial" w:cs="Arial"/>
                <w:color w:val="000000" w:themeColor="text1"/>
                <w:sz w:val="16"/>
                <w:szCs w:val="16"/>
                <w:lang w:eastAsia="zh-CN"/>
              </w:rPr>
              <w:br/>
              <w:t>(</w:t>
            </w:r>
            <w:proofErr w:type="spellStart"/>
            <w:r w:rsidRPr="005F0061">
              <w:rPr>
                <w:rFonts w:ascii="Arial" w:eastAsia="SimSun" w:hAnsi="Arial" w:cs="Arial"/>
                <w:color w:val="000000" w:themeColor="text1"/>
                <w:sz w:val="16"/>
                <w:szCs w:val="16"/>
                <w:lang w:eastAsia="zh-CN"/>
              </w:rPr>
              <w:t>i</w:t>
            </w:r>
            <w:proofErr w:type="spellEnd"/>
            <w:r w:rsidRPr="005F0061">
              <w:rPr>
                <w:rFonts w:ascii="Arial" w:eastAsia="SimSun" w:hAnsi="Arial" w:cs="Arial"/>
                <w:color w:val="000000" w:themeColor="text1"/>
                <w:sz w:val="16"/>
                <w:szCs w:val="16"/>
                <w:lang w:eastAsia="zh-CN"/>
              </w:rPr>
              <w:t>) mean pulmonary artery pressure (</w:t>
            </w:r>
            <w:proofErr w:type="spellStart"/>
            <w:r w:rsidRPr="005F0061">
              <w:rPr>
                <w:rFonts w:ascii="Arial" w:eastAsia="SimSun" w:hAnsi="Arial" w:cs="Arial"/>
                <w:color w:val="000000" w:themeColor="text1"/>
                <w:sz w:val="16"/>
                <w:szCs w:val="16"/>
                <w:lang w:eastAsia="zh-CN"/>
              </w:rPr>
              <w:t>mPAP</w:t>
            </w:r>
            <w:proofErr w:type="spellEnd"/>
            <w:r w:rsidRPr="005F0061">
              <w:rPr>
                <w:rFonts w:ascii="Arial" w:eastAsia="SimSun" w:hAnsi="Arial" w:cs="Arial"/>
                <w:color w:val="000000" w:themeColor="text1"/>
                <w:sz w:val="16"/>
                <w:szCs w:val="16"/>
                <w:lang w:eastAsia="zh-CN"/>
              </w:rPr>
              <w:t>) greater than or equal to 25 mmHg at rest and pulmonary artery wedge pressure (PAWP) less than or equal to 15 mmHg; or</w:t>
            </w:r>
            <w:r w:rsidRPr="005F0061">
              <w:rPr>
                <w:rFonts w:ascii="Arial" w:eastAsia="SimSun" w:hAnsi="Arial" w:cs="Arial"/>
                <w:color w:val="000000" w:themeColor="text1"/>
                <w:sz w:val="16"/>
                <w:szCs w:val="16"/>
                <w:lang w:eastAsia="zh-CN"/>
              </w:rPr>
              <w:br/>
              <w:t>(ii) where a right heart catheter (RHC) cannot be performed on clinical grounds, right ventricular systolic pressure (RVSP), assessed by echocardiography (ECHO), greater than 40 mmHg, with normal left ventricular function.</w:t>
            </w:r>
            <w:r w:rsidRPr="005F0061">
              <w:rPr>
                <w:rFonts w:ascii="Arial" w:eastAsia="SimSun" w:hAnsi="Arial" w:cs="Arial"/>
                <w:color w:val="000000" w:themeColor="text1"/>
                <w:sz w:val="16"/>
                <w:szCs w:val="16"/>
                <w:lang w:eastAsia="zh-CN"/>
              </w:rPr>
              <w:br/>
              <w:t>Applications for authorisation must be in writing and must include:</w:t>
            </w:r>
            <w:r w:rsidRPr="005F0061">
              <w:rPr>
                <w:rFonts w:ascii="Arial" w:eastAsia="SimSun" w:hAnsi="Arial" w:cs="Arial"/>
                <w:color w:val="000000" w:themeColor="text1"/>
                <w:sz w:val="16"/>
                <w:szCs w:val="16"/>
                <w:lang w:eastAsia="zh-CN"/>
              </w:rPr>
              <w:br/>
              <w:t>(1) a completed authority prescription form; and</w:t>
            </w:r>
            <w:r w:rsidRPr="005F0061">
              <w:rPr>
                <w:rFonts w:ascii="Arial" w:eastAsia="SimSun" w:hAnsi="Arial" w:cs="Arial"/>
                <w:color w:val="000000" w:themeColor="text1"/>
                <w:sz w:val="16"/>
                <w:szCs w:val="16"/>
                <w:lang w:eastAsia="zh-CN"/>
              </w:rPr>
              <w:br/>
              <w:t>(2) a completed Pulmonary Arterial Hypertension PBS Authority Application - Supporting Information form which includes results from the three tests below, where available:</w:t>
            </w:r>
            <w:r w:rsidRPr="005F0061">
              <w:rPr>
                <w:rFonts w:ascii="Arial" w:eastAsia="SimSun" w:hAnsi="Arial" w:cs="Arial"/>
                <w:color w:val="000000" w:themeColor="text1"/>
                <w:sz w:val="16"/>
                <w:szCs w:val="16"/>
                <w:lang w:eastAsia="zh-CN"/>
              </w:rPr>
              <w:br/>
              <w:t>(</w:t>
            </w:r>
            <w:proofErr w:type="spellStart"/>
            <w:r w:rsidRPr="005F0061">
              <w:rPr>
                <w:rFonts w:ascii="Arial" w:eastAsia="SimSun" w:hAnsi="Arial" w:cs="Arial"/>
                <w:color w:val="000000" w:themeColor="text1"/>
                <w:sz w:val="16"/>
                <w:szCs w:val="16"/>
                <w:lang w:eastAsia="zh-CN"/>
              </w:rPr>
              <w:t>i</w:t>
            </w:r>
            <w:proofErr w:type="spellEnd"/>
            <w:r w:rsidRPr="005F0061">
              <w:rPr>
                <w:rFonts w:ascii="Arial" w:eastAsia="SimSun" w:hAnsi="Arial" w:cs="Arial"/>
                <w:color w:val="000000" w:themeColor="text1"/>
                <w:sz w:val="16"/>
                <w:szCs w:val="16"/>
                <w:lang w:eastAsia="zh-CN"/>
              </w:rPr>
              <w:t>) RHC composite assessment; and</w:t>
            </w:r>
            <w:r w:rsidRPr="005F0061">
              <w:rPr>
                <w:rFonts w:ascii="Arial" w:eastAsia="SimSun" w:hAnsi="Arial" w:cs="Arial"/>
                <w:color w:val="000000" w:themeColor="text1"/>
                <w:sz w:val="16"/>
                <w:szCs w:val="16"/>
                <w:lang w:eastAsia="zh-CN"/>
              </w:rPr>
              <w:br/>
              <w:t>(ii) ECHO composite assessment; and</w:t>
            </w:r>
            <w:r w:rsidRPr="005F0061">
              <w:rPr>
                <w:rFonts w:ascii="Arial" w:eastAsia="SimSun" w:hAnsi="Arial" w:cs="Arial"/>
                <w:color w:val="000000" w:themeColor="text1"/>
                <w:sz w:val="16"/>
                <w:szCs w:val="16"/>
                <w:lang w:eastAsia="zh-CN"/>
              </w:rPr>
              <w:br/>
              <w:t>(iii) 6 Minute Walk Test (6MWT).</w:t>
            </w:r>
            <w:r w:rsidRPr="005F0061">
              <w:rPr>
                <w:rFonts w:ascii="Arial" w:eastAsia="SimSun" w:hAnsi="Arial" w:cs="Arial"/>
                <w:color w:val="000000" w:themeColor="text1"/>
                <w:sz w:val="16"/>
                <w:szCs w:val="16"/>
                <w:lang w:eastAsia="zh-CN"/>
              </w:rPr>
              <w:br/>
              <w:t>Where it was not possible to perform all 3 tests on clinical grounds, the following list outlines the preferred test combination, in descending order, for the purposes of initiation of PBS-subsidised treatment:</w:t>
            </w:r>
            <w:r w:rsidRPr="005F0061">
              <w:rPr>
                <w:rFonts w:ascii="Arial" w:eastAsia="SimSun" w:hAnsi="Arial" w:cs="Arial"/>
                <w:color w:val="000000" w:themeColor="text1"/>
                <w:sz w:val="16"/>
                <w:szCs w:val="16"/>
                <w:lang w:eastAsia="zh-CN"/>
              </w:rPr>
              <w:br/>
              <w:t>(1) RHC plus ECHO composite assessments;</w:t>
            </w:r>
            <w:r w:rsidRPr="005F0061">
              <w:rPr>
                <w:rFonts w:ascii="Arial" w:eastAsia="SimSun" w:hAnsi="Arial" w:cs="Arial"/>
                <w:color w:val="000000" w:themeColor="text1"/>
                <w:sz w:val="16"/>
                <w:szCs w:val="16"/>
                <w:lang w:eastAsia="zh-CN"/>
              </w:rPr>
              <w:br/>
              <w:t>(2) RHC composite assessment plus 6MWT;</w:t>
            </w:r>
            <w:r w:rsidRPr="005F0061">
              <w:rPr>
                <w:rFonts w:ascii="Arial" w:eastAsia="SimSun" w:hAnsi="Arial" w:cs="Arial"/>
                <w:color w:val="000000" w:themeColor="text1"/>
                <w:sz w:val="16"/>
                <w:szCs w:val="16"/>
                <w:lang w:eastAsia="zh-CN"/>
              </w:rPr>
              <w:br/>
              <w:t>(3) RHC composite assessment only.</w:t>
            </w:r>
            <w:r w:rsidRPr="005F0061">
              <w:rPr>
                <w:rFonts w:ascii="Arial" w:eastAsia="SimSun" w:hAnsi="Arial" w:cs="Arial"/>
                <w:color w:val="000000" w:themeColor="text1"/>
                <w:sz w:val="16"/>
                <w:szCs w:val="16"/>
                <w:lang w:eastAsia="zh-CN"/>
              </w:rPr>
              <w:br/>
              <w:t>In circumstances where a RHC could not be performed on clinical grounds, applications may be submitted for consideration based on the results of the following test combinations, which are listed in descending order of preference</w:t>
            </w:r>
            <w:proofErr w:type="gramStart"/>
            <w:r w:rsidRPr="005F0061">
              <w:rPr>
                <w:rFonts w:ascii="Arial" w:eastAsia="SimSun" w:hAnsi="Arial" w:cs="Arial"/>
                <w:color w:val="000000" w:themeColor="text1"/>
                <w:sz w:val="16"/>
                <w:szCs w:val="16"/>
                <w:lang w:eastAsia="zh-CN"/>
              </w:rPr>
              <w:t>:</w:t>
            </w:r>
            <w:proofErr w:type="gramEnd"/>
            <w:r w:rsidRPr="005F0061">
              <w:rPr>
                <w:rFonts w:ascii="Arial" w:eastAsia="SimSun" w:hAnsi="Arial" w:cs="Arial"/>
                <w:color w:val="000000" w:themeColor="text1"/>
                <w:sz w:val="16"/>
                <w:szCs w:val="16"/>
                <w:lang w:eastAsia="zh-CN"/>
              </w:rPr>
              <w:br/>
              <w:t>(1) ECHO composite assessment plus 6MWT;</w:t>
            </w:r>
            <w:r w:rsidRPr="005F0061">
              <w:rPr>
                <w:rFonts w:ascii="Arial" w:eastAsia="SimSun" w:hAnsi="Arial" w:cs="Arial"/>
                <w:color w:val="000000" w:themeColor="text1"/>
                <w:sz w:val="16"/>
                <w:szCs w:val="16"/>
                <w:lang w:eastAsia="zh-CN"/>
              </w:rPr>
              <w:br/>
              <w:t>(2) ECHO composite assessment only.</w:t>
            </w:r>
            <w:r w:rsidRPr="005F0061">
              <w:rPr>
                <w:rFonts w:ascii="Arial" w:eastAsia="SimSun" w:hAnsi="Arial" w:cs="Arial"/>
                <w:color w:val="000000" w:themeColor="text1"/>
                <w:sz w:val="16"/>
                <w:szCs w:val="16"/>
                <w:lang w:eastAsia="zh-CN"/>
              </w:rPr>
              <w:br/>
              <w:t>Where fewer than 3 tests were able to be performed on clinical grounds, a patient specific reason outlining why the particular test(s) could not be conducted must be provided with the authority application.</w:t>
            </w:r>
            <w:r w:rsidRPr="005F0061">
              <w:rPr>
                <w:rFonts w:ascii="Arial" w:eastAsia="SimSun" w:hAnsi="Arial" w:cs="Arial"/>
                <w:color w:val="000000" w:themeColor="text1"/>
                <w:sz w:val="16"/>
                <w:szCs w:val="16"/>
                <w:lang w:eastAsia="zh-CN"/>
              </w:rPr>
              <w:br/>
              <w:t>Where a RHC could not be performed on clinical grounds, confirmation of the reason(s) must be provided with the authority application by a second PAH physician or cardiologist with expertise in the management of PAH.</w:t>
            </w:r>
            <w:r w:rsidRPr="005F0061">
              <w:rPr>
                <w:rFonts w:ascii="Arial" w:eastAsia="SimSun" w:hAnsi="Arial" w:cs="Arial"/>
                <w:color w:val="000000" w:themeColor="text1"/>
                <w:sz w:val="16"/>
                <w:szCs w:val="16"/>
                <w:lang w:eastAsia="zh-CN"/>
              </w:rPr>
              <w:br/>
              <w:t>A patient may qualify for PBS-subsidised treatment under this restriction once only. For continuing PBS-subsidised treatment, a Grandfathered patient must qualify under the Continuing treatment criteria for dual therapy for this condition.</w:t>
            </w:r>
            <w:r w:rsidRPr="005F0061">
              <w:rPr>
                <w:rFonts w:ascii="Arial" w:eastAsia="SimSun" w:hAnsi="Arial" w:cs="Arial"/>
                <w:color w:val="000000" w:themeColor="text1"/>
                <w:sz w:val="16"/>
                <w:szCs w:val="16"/>
                <w:lang w:eastAsia="zh-CN"/>
              </w:rPr>
              <w:br/>
              <w:t>The maximum quantity authorised will be limited to provide sufficient supply for 1 month of treatment, based on the dosage recommendations in the TGA-approved Product Information.</w:t>
            </w:r>
            <w:r w:rsidRPr="005F0061">
              <w:rPr>
                <w:rFonts w:ascii="Arial" w:eastAsia="SimSun" w:hAnsi="Arial" w:cs="Arial"/>
                <w:color w:val="000000" w:themeColor="text1"/>
                <w:sz w:val="16"/>
                <w:szCs w:val="16"/>
                <w:lang w:eastAsia="zh-CN"/>
              </w:rPr>
              <w:br/>
              <w:t>A maximum of 5 repeats may be requested.</w:t>
            </w:r>
          </w:p>
        </w:tc>
        <w:tc>
          <w:tcPr>
            <w:tcW w:w="2650" w:type="dxa"/>
            <w:shd w:val="clear" w:color="auto" w:fill="auto"/>
            <w:tcMar>
              <w:top w:w="28" w:type="dxa"/>
              <w:left w:w="28" w:type="dxa"/>
              <w:right w:w="57" w:type="dxa"/>
            </w:tcMar>
          </w:tcPr>
          <w:p w14:paraId="5AEFCF03" w14:textId="779C8EDC" w:rsidR="004C0A40" w:rsidRPr="005F0061" w:rsidRDefault="004C0A40" w:rsidP="004C0A40">
            <w:pPr>
              <w:pStyle w:val="Tabletext0"/>
              <w:rPr>
                <w:rFonts w:cs="Arial"/>
                <w:color w:val="000000" w:themeColor="text1"/>
                <w:szCs w:val="16"/>
              </w:rPr>
            </w:pPr>
            <w:r w:rsidRPr="005F0061">
              <w:rPr>
                <w:rFonts w:eastAsia="SimSun" w:cs="Arial"/>
                <w:color w:val="000000" w:themeColor="text1"/>
                <w:szCs w:val="16"/>
                <w:lang w:eastAsia="zh-CN"/>
              </w:rPr>
              <w:lastRenderedPageBreak/>
              <w:t>Compliance with Written Authority Required procedures</w:t>
            </w:r>
          </w:p>
        </w:tc>
      </w:tr>
    </w:tbl>
    <w:p w14:paraId="13D0CAB5" w14:textId="77777777" w:rsidR="00781B39" w:rsidRPr="005F0061" w:rsidRDefault="00781B39" w:rsidP="00A1440E">
      <w:pPr>
        <w:pStyle w:val="Amendment1"/>
        <w:numPr>
          <w:ilvl w:val="0"/>
          <w:numId w:val="20"/>
        </w:numPr>
        <w:spacing w:before="60" w:after="60"/>
        <w:ind w:left="1134" w:hanging="567"/>
        <w:rPr>
          <w:rFonts w:ascii="Times New Roman" w:hAnsi="Times New Roman" w:cs="Times New Roman"/>
          <w:b w:val="0"/>
          <w:bCs w:val="0"/>
          <w:i/>
          <w:iCs/>
        </w:rPr>
      </w:pPr>
      <w:r w:rsidRPr="005F0061">
        <w:rPr>
          <w:rFonts w:ascii="Times New Roman" w:hAnsi="Times New Roman" w:cs="Times New Roman"/>
          <w:b w:val="0"/>
          <w:bCs w:val="0"/>
          <w:i/>
          <w:iCs/>
        </w:rPr>
        <w:t>insert in numerical order after existing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6A1374" w:rsidRPr="005F0061" w14:paraId="13647625" w14:textId="77777777" w:rsidTr="005E778F">
        <w:tc>
          <w:tcPr>
            <w:tcW w:w="1900" w:type="dxa"/>
            <w:shd w:val="clear" w:color="auto" w:fill="auto"/>
            <w:tcMar>
              <w:top w:w="28" w:type="dxa"/>
              <w:left w:w="28" w:type="dxa"/>
            </w:tcMar>
          </w:tcPr>
          <w:p w14:paraId="25B31270" w14:textId="77777777" w:rsidR="006A1374" w:rsidRPr="005F0061" w:rsidRDefault="006A1374" w:rsidP="006A1374">
            <w:pPr>
              <w:pStyle w:val="Tabletext0"/>
              <w:tabs>
                <w:tab w:val="left" w:pos="958"/>
              </w:tabs>
              <w:rPr>
                <w:rFonts w:cs="Arial"/>
                <w:szCs w:val="16"/>
              </w:rPr>
            </w:pPr>
          </w:p>
        </w:tc>
        <w:tc>
          <w:tcPr>
            <w:tcW w:w="850" w:type="dxa"/>
            <w:shd w:val="clear" w:color="auto" w:fill="auto"/>
            <w:tcMar>
              <w:top w:w="28" w:type="dxa"/>
              <w:left w:w="28" w:type="dxa"/>
            </w:tcMar>
          </w:tcPr>
          <w:p w14:paraId="61D709D5" w14:textId="19D78109" w:rsidR="006A1374" w:rsidRPr="005F0061" w:rsidRDefault="006A1374" w:rsidP="006A1374">
            <w:pPr>
              <w:pStyle w:val="Tabletext0"/>
              <w:rPr>
                <w:rFonts w:cs="Arial"/>
                <w:color w:val="000000" w:themeColor="text1"/>
                <w:szCs w:val="16"/>
              </w:rPr>
            </w:pPr>
            <w:r w:rsidRPr="005F0061">
              <w:rPr>
                <w:rFonts w:cs="Arial"/>
                <w:color w:val="000000" w:themeColor="text1"/>
                <w:szCs w:val="16"/>
              </w:rPr>
              <w:t xml:space="preserve">C11186 </w:t>
            </w:r>
          </w:p>
        </w:tc>
        <w:tc>
          <w:tcPr>
            <w:tcW w:w="850" w:type="dxa"/>
            <w:shd w:val="clear" w:color="auto" w:fill="auto"/>
            <w:tcMar>
              <w:top w:w="28" w:type="dxa"/>
              <w:left w:w="28" w:type="dxa"/>
            </w:tcMar>
          </w:tcPr>
          <w:p w14:paraId="11A12499" w14:textId="77777777" w:rsidR="006A1374" w:rsidRPr="005F0061" w:rsidDel="00E03489" w:rsidRDefault="006A1374" w:rsidP="006A1374">
            <w:pPr>
              <w:spacing w:before="60" w:after="60"/>
              <w:rPr>
                <w:rFonts w:ascii="Arial" w:hAnsi="Arial" w:cs="Arial"/>
                <w:sz w:val="16"/>
                <w:szCs w:val="16"/>
                <w:lang w:eastAsia="en-AU"/>
              </w:rPr>
            </w:pPr>
          </w:p>
        </w:tc>
        <w:tc>
          <w:tcPr>
            <w:tcW w:w="7661" w:type="dxa"/>
            <w:shd w:val="clear" w:color="auto" w:fill="auto"/>
            <w:tcMar>
              <w:top w:w="28" w:type="dxa"/>
              <w:left w:w="28" w:type="dxa"/>
            </w:tcMar>
          </w:tcPr>
          <w:p w14:paraId="6E05AA7E" w14:textId="61828EF6" w:rsidR="006A1374" w:rsidRPr="005F0061" w:rsidRDefault="006A1374" w:rsidP="006A1374">
            <w:pPr>
              <w:spacing w:before="60" w:after="60"/>
              <w:rPr>
                <w:rFonts w:ascii="Arial" w:hAnsi="Arial" w:cs="Arial"/>
                <w:sz w:val="16"/>
                <w:szCs w:val="16"/>
              </w:rPr>
            </w:pPr>
            <w:r w:rsidRPr="005F0061">
              <w:rPr>
                <w:rFonts w:ascii="Arial" w:hAnsi="Arial" w:cs="Arial"/>
                <w:sz w:val="16"/>
                <w:szCs w:val="16"/>
              </w:rPr>
              <w:t>Pulmonary arterial hypertension (PAH</w:t>
            </w:r>
            <w:proofErr w:type="gramStart"/>
            <w:r w:rsidRPr="005F0061">
              <w:rPr>
                <w:rFonts w:ascii="Arial" w:hAnsi="Arial" w:cs="Arial"/>
                <w:sz w:val="16"/>
                <w:szCs w:val="16"/>
              </w:rPr>
              <w:t>)</w:t>
            </w:r>
            <w:proofErr w:type="gramEnd"/>
            <w:r w:rsidR="003327A6" w:rsidRPr="005F0061">
              <w:rPr>
                <w:rFonts w:ascii="Arial" w:hAnsi="Arial" w:cs="Arial"/>
                <w:sz w:val="16"/>
                <w:szCs w:val="16"/>
              </w:rPr>
              <w:br/>
            </w:r>
            <w:r w:rsidRPr="005F0061">
              <w:rPr>
                <w:rFonts w:ascii="Arial" w:hAnsi="Arial" w:cs="Arial"/>
                <w:sz w:val="16"/>
                <w:szCs w:val="16"/>
              </w:rPr>
              <w:t>Initial 1 (dual therapy - previously untreated patients)</w:t>
            </w:r>
            <w:r w:rsidR="003327A6" w:rsidRPr="005F0061">
              <w:rPr>
                <w:rFonts w:ascii="Arial" w:hAnsi="Arial" w:cs="Arial"/>
                <w:sz w:val="16"/>
                <w:szCs w:val="16"/>
              </w:rPr>
              <w:br/>
            </w:r>
            <w:r w:rsidRPr="005F0061">
              <w:rPr>
                <w:rFonts w:ascii="Arial" w:hAnsi="Arial" w:cs="Arial"/>
                <w:sz w:val="16"/>
                <w:szCs w:val="16"/>
              </w:rPr>
              <w:t>Patient must not have received prior PBS-subsidised treatment with a pulmonary arterial hypertension (PAH) agent.</w:t>
            </w:r>
            <w:r w:rsidR="003327A6" w:rsidRPr="005F0061">
              <w:rPr>
                <w:rFonts w:ascii="Arial" w:hAnsi="Arial" w:cs="Arial"/>
                <w:sz w:val="16"/>
                <w:szCs w:val="16"/>
              </w:rPr>
              <w:br/>
            </w:r>
            <w:r w:rsidRPr="005F0061">
              <w:rPr>
                <w:rFonts w:ascii="Arial" w:hAnsi="Arial" w:cs="Arial"/>
                <w:sz w:val="16"/>
                <w:szCs w:val="16"/>
              </w:rPr>
              <w:lastRenderedPageBreak/>
              <w:t>Must be treated by a physician with expertise in the management of PAH, with this authority application to be completed by the physician with expertise in PAH.</w:t>
            </w:r>
            <w:r w:rsidR="003327A6" w:rsidRPr="005F0061">
              <w:rPr>
                <w:rFonts w:ascii="Arial" w:hAnsi="Arial" w:cs="Arial"/>
                <w:sz w:val="16"/>
                <w:szCs w:val="16"/>
              </w:rPr>
              <w:br/>
            </w:r>
            <w:r w:rsidRPr="005F0061">
              <w:rPr>
                <w:rFonts w:ascii="Arial" w:hAnsi="Arial" w:cs="Arial"/>
                <w:sz w:val="16"/>
                <w:szCs w:val="16"/>
              </w:rPr>
              <w:t>Patient must currently have WHO Functional Class III PAH or WHO Functional Class IV PAH; AND</w:t>
            </w:r>
            <w:r w:rsidR="003327A6" w:rsidRPr="005F0061">
              <w:rPr>
                <w:rFonts w:ascii="Arial" w:hAnsi="Arial" w:cs="Arial"/>
                <w:sz w:val="16"/>
                <w:szCs w:val="16"/>
              </w:rPr>
              <w:br/>
            </w:r>
            <w:r w:rsidRPr="005F0061">
              <w:rPr>
                <w:rFonts w:ascii="Arial" w:hAnsi="Arial" w:cs="Arial"/>
                <w:sz w:val="16"/>
                <w:szCs w:val="16"/>
              </w:rPr>
              <w:t>The treatment must be in combination with a PBS-subsidised phosphodiesterase-5 inhibitor (PDE-5i) for this condition.</w:t>
            </w:r>
            <w:r w:rsidR="003327A6" w:rsidRPr="005F0061">
              <w:rPr>
                <w:rFonts w:ascii="Arial" w:hAnsi="Arial" w:cs="Arial"/>
                <w:sz w:val="16"/>
                <w:szCs w:val="16"/>
              </w:rPr>
              <w:br/>
            </w:r>
            <w:r w:rsidRPr="005F0061">
              <w:rPr>
                <w:rFonts w:ascii="Arial" w:hAnsi="Arial" w:cs="Arial"/>
                <w:sz w:val="16"/>
                <w:szCs w:val="16"/>
              </w:rPr>
              <w:t xml:space="preserve">The term 'PAH agents' refers to </w:t>
            </w:r>
            <w:proofErr w:type="spellStart"/>
            <w:r w:rsidRPr="005F0061">
              <w:rPr>
                <w:rFonts w:ascii="Arial" w:hAnsi="Arial" w:cs="Arial"/>
                <w:sz w:val="16"/>
                <w:szCs w:val="16"/>
              </w:rPr>
              <w:t>bosentan</w:t>
            </w:r>
            <w:proofErr w:type="spellEnd"/>
            <w:r w:rsidRPr="005F0061">
              <w:rPr>
                <w:rFonts w:ascii="Arial" w:hAnsi="Arial" w:cs="Arial"/>
                <w:sz w:val="16"/>
                <w:szCs w:val="16"/>
              </w:rPr>
              <w:t xml:space="preserve"> monohydrate, </w:t>
            </w:r>
            <w:proofErr w:type="spellStart"/>
            <w:r w:rsidRPr="005F0061">
              <w:rPr>
                <w:rFonts w:ascii="Arial" w:hAnsi="Arial" w:cs="Arial"/>
                <w:sz w:val="16"/>
                <w:szCs w:val="16"/>
              </w:rPr>
              <w:t>iloprost</w:t>
            </w:r>
            <w:proofErr w:type="spellEnd"/>
            <w:r w:rsidRPr="005F0061">
              <w:rPr>
                <w:rFonts w:ascii="Arial" w:hAnsi="Arial" w:cs="Arial"/>
                <w:sz w:val="16"/>
                <w:szCs w:val="16"/>
              </w:rPr>
              <w:t xml:space="preserve"> trometamol, </w:t>
            </w:r>
            <w:proofErr w:type="spellStart"/>
            <w:r w:rsidRPr="005F0061">
              <w:rPr>
                <w:rFonts w:ascii="Arial" w:hAnsi="Arial" w:cs="Arial"/>
                <w:sz w:val="16"/>
                <w:szCs w:val="16"/>
              </w:rPr>
              <w:t>epoprostenol</w:t>
            </w:r>
            <w:proofErr w:type="spellEnd"/>
            <w:r w:rsidRPr="005F0061">
              <w:rPr>
                <w:rFonts w:ascii="Arial" w:hAnsi="Arial" w:cs="Arial"/>
                <w:sz w:val="16"/>
                <w:szCs w:val="16"/>
              </w:rPr>
              <w:t xml:space="preserve"> sodium, sildenafil citrate, </w:t>
            </w:r>
            <w:proofErr w:type="spellStart"/>
            <w:r w:rsidRPr="005F0061">
              <w:rPr>
                <w:rFonts w:ascii="Arial" w:hAnsi="Arial" w:cs="Arial"/>
                <w:sz w:val="16"/>
                <w:szCs w:val="16"/>
              </w:rPr>
              <w:t>ambrisentan</w:t>
            </w:r>
            <w:proofErr w:type="spellEnd"/>
            <w:r w:rsidRPr="005F0061">
              <w:rPr>
                <w:rFonts w:ascii="Arial" w:hAnsi="Arial" w:cs="Arial"/>
                <w:sz w:val="16"/>
                <w:szCs w:val="16"/>
              </w:rPr>
              <w:t xml:space="preserve">, </w:t>
            </w:r>
            <w:proofErr w:type="spellStart"/>
            <w:r w:rsidRPr="005F0061">
              <w:rPr>
                <w:rFonts w:ascii="Arial" w:hAnsi="Arial" w:cs="Arial"/>
                <w:sz w:val="16"/>
                <w:szCs w:val="16"/>
              </w:rPr>
              <w:t>tadalafil</w:t>
            </w:r>
            <w:proofErr w:type="spellEnd"/>
            <w:r w:rsidRPr="005F0061">
              <w:rPr>
                <w:rFonts w:ascii="Arial" w:hAnsi="Arial" w:cs="Arial"/>
                <w:sz w:val="16"/>
                <w:szCs w:val="16"/>
              </w:rPr>
              <w:t xml:space="preserve">, </w:t>
            </w:r>
            <w:proofErr w:type="spellStart"/>
            <w:r w:rsidRPr="005F0061">
              <w:rPr>
                <w:rFonts w:ascii="Arial" w:hAnsi="Arial" w:cs="Arial"/>
                <w:sz w:val="16"/>
                <w:szCs w:val="16"/>
              </w:rPr>
              <w:t>macitentan</w:t>
            </w:r>
            <w:proofErr w:type="spellEnd"/>
            <w:r w:rsidRPr="005F0061">
              <w:rPr>
                <w:rFonts w:ascii="Arial" w:hAnsi="Arial" w:cs="Arial"/>
                <w:sz w:val="16"/>
                <w:szCs w:val="16"/>
              </w:rPr>
              <w:t xml:space="preserve">, and </w:t>
            </w:r>
            <w:proofErr w:type="spellStart"/>
            <w:r w:rsidRPr="005F0061">
              <w:rPr>
                <w:rFonts w:ascii="Arial" w:hAnsi="Arial" w:cs="Arial"/>
                <w:sz w:val="16"/>
                <w:szCs w:val="16"/>
              </w:rPr>
              <w:t>riociguat</w:t>
            </w:r>
            <w:proofErr w:type="spellEnd"/>
            <w:r w:rsidRPr="005F0061">
              <w:rPr>
                <w:rFonts w:ascii="Arial" w:hAnsi="Arial" w:cs="Arial"/>
                <w:sz w:val="16"/>
                <w:szCs w:val="16"/>
              </w:rPr>
              <w:t>.</w:t>
            </w:r>
            <w:r w:rsidR="003327A6" w:rsidRPr="005F0061">
              <w:rPr>
                <w:rFonts w:ascii="Arial" w:hAnsi="Arial" w:cs="Arial"/>
                <w:sz w:val="16"/>
                <w:szCs w:val="16"/>
              </w:rPr>
              <w:br/>
            </w:r>
            <w:r w:rsidRPr="005F0061">
              <w:rPr>
                <w:rFonts w:ascii="Arial" w:hAnsi="Arial" w:cs="Arial"/>
                <w:sz w:val="16"/>
                <w:szCs w:val="16"/>
              </w:rPr>
              <w:t>For the purposes of PBS subsidy, dual therapy refers to combined use of an endothelin receptor antagonist (ERA) and a phosphodiesterase-5 inhibitor (PDE-5i).</w:t>
            </w:r>
            <w:r w:rsidR="003327A6" w:rsidRPr="005F0061">
              <w:rPr>
                <w:rFonts w:ascii="Arial" w:hAnsi="Arial" w:cs="Arial"/>
                <w:sz w:val="16"/>
                <w:szCs w:val="16"/>
              </w:rPr>
              <w:br/>
            </w:r>
            <w:r w:rsidRPr="005F0061">
              <w:rPr>
                <w:rFonts w:ascii="Arial" w:hAnsi="Arial" w:cs="Arial"/>
                <w:sz w:val="16"/>
                <w:szCs w:val="16"/>
              </w:rPr>
              <w:t>(</w:t>
            </w:r>
            <w:proofErr w:type="spellStart"/>
            <w:r w:rsidRPr="005F0061">
              <w:rPr>
                <w:rFonts w:ascii="Arial" w:hAnsi="Arial" w:cs="Arial"/>
                <w:sz w:val="16"/>
                <w:szCs w:val="16"/>
              </w:rPr>
              <w:t>i</w:t>
            </w:r>
            <w:proofErr w:type="spellEnd"/>
            <w:r w:rsidRPr="005F0061">
              <w:rPr>
                <w:rFonts w:ascii="Arial" w:hAnsi="Arial" w:cs="Arial"/>
                <w:sz w:val="16"/>
                <w:szCs w:val="16"/>
              </w:rPr>
              <w:t xml:space="preserve">) An ERA includes </w:t>
            </w:r>
            <w:proofErr w:type="spellStart"/>
            <w:r w:rsidRPr="005F0061">
              <w:rPr>
                <w:rFonts w:ascii="Arial" w:hAnsi="Arial" w:cs="Arial"/>
                <w:sz w:val="16"/>
                <w:szCs w:val="16"/>
              </w:rPr>
              <w:t>ambrisentan</w:t>
            </w:r>
            <w:proofErr w:type="spellEnd"/>
            <w:r w:rsidRPr="005F0061">
              <w:rPr>
                <w:rFonts w:ascii="Arial" w:hAnsi="Arial" w:cs="Arial"/>
                <w:sz w:val="16"/>
                <w:szCs w:val="16"/>
              </w:rPr>
              <w:t xml:space="preserve">, </w:t>
            </w:r>
            <w:proofErr w:type="spellStart"/>
            <w:r w:rsidRPr="005F0061">
              <w:rPr>
                <w:rFonts w:ascii="Arial" w:hAnsi="Arial" w:cs="Arial"/>
                <w:sz w:val="16"/>
                <w:szCs w:val="16"/>
              </w:rPr>
              <w:t>bosentan</w:t>
            </w:r>
            <w:proofErr w:type="spellEnd"/>
            <w:r w:rsidRPr="005F0061">
              <w:rPr>
                <w:rFonts w:ascii="Arial" w:hAnsi="Arial" w:cs="Arial"/>
                <w:sz w:val="16"/>
                <w:szCs w:val="16"/>
              </w:rPr>
              <w:t xml:space="preserve"> monohydrate, or </w:t>
            </w:r>
            <w:proofErr w:type="spellStart"/>
            <w:r w:rsidRPr="005F0061">
              <w:rPr>
                <w:rFonts w:ascii="Arial" w:hAnsi="Arial" w:cs="Arial"/>
                <w:sz w:val="16"/>
                <w:szCs w:val="16"/>
              </w:rPr>
              <w:t>macitentan</w:t>
            </w:r>
            <w:proofErr w:type="spellEnd"/>
            <w:r w:rsidRPr="005F0061">
              <w:rPr>
                <w:rFonts w:ascii="Arial" w:hAnsi="Arial" w:cs="Arial"/>
                <w:sz w:val="16"/>
                <w:szCs w:val="16"/>
              </w:rPr>
              <w:t>.</w:t>
            </w:r>
            <w:r w:rsidR="003327A6" w:rsidRPr="005F0061">
              <w:rPr>
                <w:rFonts w:ascii="Arial" w:hAnsi="Arial" w:cs="Arial"/>
                <w:sz w:val="16"/>
                <w:szCs w:val="16"/>
              </w:rPr>
              <w:br/>
            </w:r>
            <w:r w:rsidRPr="005F0061">
              <w:rPr>
                <w:rFonts w:ascii="Arial" w:hAnsi="Arial" w:cs="Arial"/>
                <w:sz w:val="16"/>
                <w:szCs w:val="16"/>
              </w:rPr>
              <w:t xml:space="preserve">(ii) A PDE-5i includes sildenafil citrate, or </w:t>
            </w:r>
            <w:proofErr w:type="spellStart"/>
            <w:r w:rsidRPr="005F0061">
              <w:rPr>
                <w:rFonts w:ascii="Arial" w:hAnsi="Arial" w:cs="Arial"/>
                <w:sz w:val="16"/>
                <w:szCs w:val="16"/>
              </w:rPr>
              <w:t>tadalafil</w:t>
            </w:r>
            <w:proofErr w:type="spellEnd"/>
            <w:r w:rsidRPr="005F0061">
              <w:rPr>
                <w:rFonts w:ascii="Arial" w:hAnsi="Arial" w:cs="Arial"/>
                <w:sz w:val="16"/>
                <w:szCs w:val="16"/>
              </w:rPr>
              <w:t>.</w:t>
            </w:r>
            <w:r w:rsidR="003327A6" w:rsidRPr="005F0061">
              <w:rPr>
                <w:rFonts w:ascii="Arial" w:hAnsi="Arial" w:cs="Arial"/>
                <w:sz w:val="16"/>
                <w:szCs w:val="16"/>
              </w:rPr>
              <w:br/>
            </w:r>
            <w:r w:rsidRPr="005F0061">
              <w:rPr>
                <w:rFonts w:ascii="Arial" w:hAnsi="Arial" w:cs="Arial"/>
                <w:sz w:val="16"/>
                <w:szCs w:val="16"/>
              </w:rPr>
              <w:t>PAH agents are not PBS-subsidised for patients with pulmonary hypertension secondary to interstitial lung disease associated with connective tissue disease, where the total lung capacity is less than 70% of predicted.</w:t>
            </w:r>
            <w:r w:rsidR="003327A6" w:rsidRPr="005F0061">
              <w:rPr>
                <w:rFonts w:ascii="Arial" w:hAnsi="Arial" w:cs="Arial"/>
                <w:sz w:val="16"/>
                <w:szCs w:val="16"/>
              </w:rPr>
              <w:br/>
            </w:r>
            <w:r w:rsidRPr="005F0061">
              <w:rPr>
                <w:rFonts w:ascii="Arial" w:hAnsi="Arial" w:cs="Arial"/>
                <w:sz w:val="16"/>
                <w:szCs w:val="16"/>
              </w:rPr>
              <w:t>PAH (WHO Group 1 pulmonary hypertension) is defined as follows</w:t>
            </w:r>
            <w:proofErr w:type="gramStart"/>
            <w:r w:rsidRPr="005F0061">
              <w:rPr>
                <w:rFonts w:ascii="Arial" w:hAnsi="Arial" w:cs="Arial"/>
                <w:sz w:val="16"/>
                <w:szCs w:val="16"/>
              </w:rPr>
              <w:t>:</w:t>
            </w:r>
            <w:proofErr w:type="gramEnd"/>
            <w:r w:rsidR="003327A6" w:rsidRPr="005F0061">
              <w:rPr>
                <w:rFonts w:ascii="Arial" w:hAnsi="Arial" w:cs="Arial"/>
                <w:sz w:val="16"/>
                <w:szCs w:val="16"/>
              </w:rPr>
              <w:br/>
            </w:r>
            <w:r w:rsidRPr="005F0061">
              <w:rPr>
                <w:rFonts w:ascii="Arial" w:hAnsi="Arial" w:cs="Arial"/>
                <w:sz w:val="16"/>
                <w:szCs w:val="16"/>
              </w:rPr>
              <w:t>(</w:t>
            </w:r>
            <w:proofErr w:type="spellStart"/>
            <w:r w:rsidRPr="005F0061">
              <w:rPr>
                <w:rFonts w:ascii="Arial" w:hAnsi="Arial" w:cs="Arial"/>
                <w:sz w:val="16"/>
                <w:szCs w:val="16"/>
              </w:rPr>
              <w:t>i</w:t>
            </w:r>
            <w:proofErr w:type="spellEnd"/>
            <w:r w:rsidRPr="005F0061">
              <w:rPr>
                <w:rFonts w:ascii="Arial" w:hAnsi="Arial" w:cs="Arial"/>
                <w:sz w:val="16"/>
                <w:szCs w:val="16"/>
              </w:rPr>
              <w:t>) mean pulmonary artery pressure (</w:t>
            </w:r>
            <w:proofErr w:type="spellStart"/>
            <w:r w:rsidRPr="005F0061">
              <w:rPr>
                <w:rFonts w:ascii="Arial" w:hAnsi="Arial" w:cs="Arial"/>
                <w:sz w:val="16"/>
                <w:szCs w:val="16"/>
              </w:rPr>
              <w:t>mPAP</w:t>
            </w:r>
            <w:proofErr w:type="spellEnd"/>
            <w:r w:rsidRPr="005F0061">
              <w:rPr>
                <w:rFonts w:ascii="Arial" w:hAnsi="Arial" w:cs="Arial"/>
                <w:sz w:val="16"/>
                <w:szCs w:val="16"/>
              </w:rPr>
              <w:t>) greater than or equal to 25 mmHg at rest and pulmonary artery wedge pressure (PAWP) less than or equal to 15 mmHg; or</w:t>
            </w:r>
            <w:r w:rsidR="003327A6" w:rsidRPr="005F0061">
              <w:rPr>
                <w:rFonts w:ascii="Arial" w:hAnsi="Arial" w:cs="Arial"/>
                <w:sz w:val="16"/>
                <w:szCs w:val="16"/>
              </w:rPr>
              <w:br/>
            </w:r>
            <w:r w:rsidRPr="005F0061">
              <w:rPr>
                <w:rFonts w:ascii="Arial" w:hAnsi="Arial" w:cs="Arial"/>
                <w:sz w:val="16"/>
                <w:szCs w:val="16"/>
              </w:rPr>
              <w:t>(ii) where a right heart catheter (RHC) cannot be performed on clinical grounds, right ventricular systolic pressure (RVSP), assessed by echocardiography (ECHO), greater than 40 mmHg, with normal left ventricular function.</w:t>
            </w:r>
            <w:r w:rsidR="003327A6" w:rsidRPr="005F0061">
              <w:rPr>
                <w:rFonts w:ascii="Arial" w:hAnsi="Arial" w:cs="Arial"/>
                <w:sz w:val="16"/>
                <w:szCs w:val="16"/>
              </w:rPr>
              <w:br/>
            </w:r>
            <w:r w:rsidRPr="005F0061">
              <w:rPr>
                <w:rFonts w:ascii="Arial" w:hAnsi="Arial" w:cs="Arial"/>
                <w:sz w:val="16"/>
                <w:szCs w:val="16"/>
              </w:rPr>
              <w:t>Applications for authorisation must be in writing and must include:</w:t>
            </w:r>
            <w:r w:rsidR="003327A6" w:rsidRPr="005F0061">
              <w:rPr>
                <w:rFonts w:ascii="Arial" w:hAnsi="Arial" w:cs="Arial"/>
                <w:sz w:val="16"/>
                <w:szCs w:val="16"/>
              </w:rPr>
              <w:br/>
            </w:r>
            <w:r w:rsidRPr="005F0061">
              <w:rPr>
                <w:rFonts w:ascii="Arial" w:hAnsi="Arial" w:cs="Arial"/>
                <w:sz w:val="16"/>
                <w:szCs w:val="16"/>
              </w:rPr>
              <w:t>(1) a completed authority prescription form; and</w:t>
            </w:r>
            <w:r w:rsidR="003327A6" w:rsidRPr="005F0061">
              <w:rPr>
                <w:rFonts w:ascii="Arial" w:hAnsi="Arial" w:cs="Arial"/>
                <w:sz w:val="16"/>
                <w:szCs w:val="16"/>
              </w:rPr>
              <w:br/>
            </w:r>
            <w:r w:rsidRPr="005F0061">
              <w:rPr>
                <w:rFonts w:ascii="Arial" w:hAnsi="Arial" w:cs="Arial"/>
                <w:sz w:val="16"/>
                <w:szCs w:val="16"/>
              </w:rPr>
              <w:t>(2) a completed Pulmonary Arterial Hypertension PBS Authority Application - Supporting Information form which includes results from the three tests below, where available:</w:t>
            </w:r>
            <w:r w:rsidR="003327A6" w:rsidRPr="005F0061">
              <w:rPr>
                <w:rFonts w:ascii="Arial" w:hAnsi="Arial" w:cs="Arial"/>
                <w:sz w:val="16"/>
                <w:szCs w:val="16"/>
              </w:rPr>
              <w:br/>
            </w:r>
            <w:r w:rsidRPr="005F0061">
              <w:rPr>
                <w:rFonts w:ascii="Arial" w:hAnsi="Arial" w:cs="Arial"/>
                <w:sz w:val="16"/>
                <w:szCs w:val="16"/>
              </w:rPr>
              <w:t>(</w:t>
            </w:r>
            <w:proofErr w:type="spellStart"/>
            <w:r w:rsidRPr="005F0061">
              <w:rPr>
                <w:rFonts w:ascii="Arial" w:hAnsi="Arial" w:cs="Arial"/>
                <w:sz w:val="16"/>
                <w:szCs w:val="16"/>
              </w:rPr>
              <w:t>i</w:t>
            </w:r>
            <w:proofErr w:type="spellEnd"/>
            <w:r w:rsidRPr="005F0061">
              <w:rPr>
                <w:rFonts w:ascii="Arial" w:hAnsi="Arial" w:cs="Arial"/>
                <w:sz w:val="16"/>
                <w:szCs w:val="16"/>
              </w:rPr>
              <w:t>) RHC composite assessment; and</w:t>
            </w:r>
            <w:r w:rsidR="003327A6" w:rsidRPr="005F0061">
              <w:rPr>
                <w:rFonts w:ascii="Arial" w:hAnsi="Arial" w:cs="Arial"/>
                <w:sz w:val="16"/>
                <w:szCs w:val="16"/>
              </w:rPr>
              <w:br/>
            </w:r>
            <w:r w:rsidRPr="005F0061">
              <w:rPr>
                <w:rFonts w:ascii="Arial" w:hAnsi="Arial" w:cs="Arial"/>
                <w:sz w:val="16"/>
                <w:szCs w:val="16"/>
              </w:rPr>
              <w:t>(ii) ECHO composite assessment; and</w:t>
            </w:r>
            <w:r w:rsidR="003327A6" w:rsidRPr="005F0061">
              <w:rPr>
                <w:rFonts w:ascii="Arial" w:hAnsi="Arial" w:cs="Arial"/>
                <w:sz w:val="16"/>
                <w:szCs w:val="16"/>
              </w:rPr>
              <w:br/>
            </w:r>
            <w:r w:rsidRPr="005F0061">
              <w:rPr>
                <w:rFonts w:ascii="Arial" w:hAnsi="Arial" w:cs="Arial"/>
                <w:sz w:val="16"/>
                <w:szCs w:val="16"/>
              </w:rPr>
              <w:t>(iii) 6 Minute Walk Test (6MWT).</w:t>
            </w:r>
            <w:r w:rsidR="003327A6" w:rsidRPr="005F0061">
              <w:rPr>
                <w:rFonts w:ascii="Arial" w:hAnsi="Arial" w:cs="Arial"/>
                <w:sz w:val="16"/>
                <w:szCs w:val="16"/>
              </w:rPr>
              <w:br/>
            </w:r>
            <w:r w:rsidRPr="005F0061">
              <w:rPr>
                <w:rFonts w:ascii="Arial" w:hAnsi="Arial" w:cs="Arial"/>
                <w:sz w:val="16"/>
                <w:szCs w:val="16"/>
              </w:rPr>
              <w:t>Where it is not possible to perform all 3 tests on clinical grounds, the following list outlines the preferred test combination, in descending order, for the purposes of initiation of PBS-subsidised treatment:</w:t>
            </w:r>
            <w:r w:rsidR="003327A6" w:rsidRPr="005F0061">
              <w:rPr>
                <w:rFonts w:ascii="Arial" w:hAnsi="Arial" w:cs="Arial"/>
                <w:sz w:val="16"/>
                <w:szCs w:val="16"/>
              </w:rPr>
              <w:br/>
            </w:r>
            <w:r w:rsidRPr="005F0061">
              <w:rPr>
                <w:rFonts w:ascii="Arial" w:hAnsi="Arial" w:cs="Arial"/>
                <w:sz w:val="16"/>
                <w:szCs w:val="16"/>
              </w:rPr>
              <w:t>(1) RHC plus ECHO composite assessments;</w:t>
            </w:r>
            <w:r w:rsidR="003327A6" w:rsidRPr="005F0061">
              <w:rPr>
                <w:rFonts w:ascii="Arial" w:hAnsi="Arial" w:cs="Arial"/>
                <w:sz w:val="16"/>
                <w:szCs w:val="16"/>
              </w:rPr>
              <w:br/>
            </w:r>
            <w:r w:rsidRPr="005F0061">
              <w:rPr>
                <w:rFonts w:ascii="Arial" w:hAnsi="Arial" w:cs="Arial"/>
                <w:sz w:val="16"/>
                <w:szCs w:val="16"/>
              </w:rPr>
              <w:t>(2) RHC composite assessment plus 6MWT;</w:t>
            </w:r>
            <w:r w:rsidR="003327A6" w:rsidRPr="005F0061">
              <w:rPr>
                <w:rFonts w:ascii="Arial" w:hAnsi="Arial" w:cs="Arial"/>
                <w:sz w:val="16"/>
                <w:szCs w:val="16"/>
              </w:rPr>
              <w:br/>
            </w:r>
            <w:r w:rsidRPr="005F0061">
              <w:rPr>
                <w:rFonts w:ascii="Arial" w:hAnsi="Arial" w:cs="Arial"/>
                <w:sz w:val="16"/>
                <w:szCs w:val="16"/>
              </w:rPr>
              <w:t>(3) RHC composite assessment only.</w:t>
            </w:r>
            <w:r w:rsidR="003327A6" w:rsidRPr="005F0061">
              <w:rPr>
                <w:rFonts w:ascii="Arial" w:hAnsi="Arial" w:cs="Arial"/>
                <w:sz w:val="16"/>
                <w:szCs w:val="16"/>
              </w:rPr>
              <w:br/>
            </w:r>
            <w:r w:rsidRPr="005F0061">
              <w:rPr>
                <w:rFonts w:ascii="Arial" w:hAnsi="Arial" w:cs="Arial"/>
                <w:sz w:val="16"/>
                <w:szCs w:val="16"/>
              </w:rPr>
              <w:t>In circumstances where a RHC cannot be performed on clinical grounds, applications may be submitted for consideration based on the results of the following test combinations, which are listed in descending order of preference</w:t>
            </w:r>
            <w:proofErr w:type="gramStart"/>
            <w:r w:rsidRPr="005F0061">
              <w:rPr>
                <w:rFonts w:ascii="Arial" w:hAnsi="Arial" w:cs="Arial"/>
                <w:sz w:val="16"/>
                <w:szCs w:val="16"/>
              </w:rPr>
              <w:t>:</w:t>
            </w:r>
            <w:proofErr w:type="gramEnd"/>
            <w:r w:rsidR="003327A6" w:rsidRPr="005F0061">
              <w:rPr>
                <w:rFonts w:ascii="Arial" w:hAnsi="Arial" w:cs="Arial"/>
                <w:sz w:val="16"/>
                <w:szCs w:val="16"/>
              </w:rPr>
              <w:br/>
            </w:r>
            <w:r w:rsidRPr="005F0061">
              <w:rPr>
                <w:rFonts w:ascii="Arial" w:hAnsi="Arial" w:cs="Arial"/>
                <w:sz w:val="16"/>
                <w:szCs w:val="16"/>
              </w:rPr>
              <w:t>(1) ECHO composite assessment plus 6MWT;</w:t>
            </w:r>
            <w:r w:rsidR="003327A6" w:rsidRPr="005F0061">
              <w:rPr>
                <w:rFonts w:ascii="Arial" w:hAnsi="Arial" w:cs="Arial"/>
                <w:sz w:val="16"/>
                <w:szCs w:val="16"/>
              </w:rPr>
              <w:br/>
            </w:r>
            <w:r w:rsidRPr="005F0061">
              <w:rPr>
                <w:rFonts w:ascii="Arial" w:hAnsi="Arial" w:cs="Arial"/>
                <w:sz w:val="16"/>
                <w:szCs w:val="16"/>
              </w:rPr>
              <w:t>(2) ECHO composite assessment only.</w:t>
            </w:r>
            <w:r w:rsidR="003327A6" w:rsidRPr="005F0061">
              <w:rPr>
                <w:rFonts w:ascii="Arial" w:hAnsi="Arial" w:cs="Arial"/>
                <w:sz w:val="16"/>
                <w:szCs w:val="16"/>
              </w:rPr>
              <w:br/>
            </w:r>
            <w:r w:rsidRPr="005F0061">
              <w:rPr>
                <w:rFonts w:ascii="Arial" w:hAnsi="Arial" w:cs="Arial"/>
                <w:sz w:val="16"/>
                <w:szCs w:val="16"/>
              </w:rPr>
              <w:t>Where fewer than 3 tests are able to be performed on clinical grounds, a patient specific reason outlining why the particular test(s) could not be conducted must be provided with the authority application.</w:t>
            </w:r>
            <w:r w:rsidR="003327A6" w:rsidRPr="005F0061">
              <w:rPr>
                <w:rFonts w:ascii="Arial" w:hAnsi="Arial" w:cs="Arial"/>
                <w:sz w:val="16"/>
                <w:szCs w:val="16"/>
              </w:rPr>
              <w:br/>
            </w:r>
            <w:r w:rsidRPr="005F0061">
              <w:rPr>
                <w:rFonts w:ascii="Arial" w:hAnsi="Arial" w:cs="Arial"/>
                <w:sz w:val="16"/>
                <w:szCs w:val="16"/>
              </w:rPr>
              <w:t>Where a RHC cannot be performed on clinical grounds, confirmation of the reason(s) must be provided with the authority application by a second PAH physician or cardiologist with expertise in the management of PAH.</w:t>
            </w:r>
            <w:r w:rsidR="003327A6" w:rsidRPr="005F0061">
              <w:rPr>
                <w:rFonts w:ascii="Arial" w:hAnsi="Arial" w:cs="Arial"/>
                <w:sz w:val="16"/>
                <w:szCs w:val="16"/>
              </w:rPr>
              <w:br/>
            </w:r>
            <w:r w:rsidRPr="005F0061">
              <w:rPr>
                <w:rFonts w:ascii="Arial" w:hAnsi="Arial" w:cs="Arial"/>
                <w:sz w:val="16"/>
                <w:szCs w:val="16"/>
              </w:rPr>
              <w:t>The test results provided must not be more than 2 months old at the time of application.</w:t>
            </w:r>
            <w:r w:rsidR="003327A6" w:rsidRPr="005F0061">
              <w:rPr>
                <w:rFonts w:ascii="Arial" w:hAnsi="Arial" w:cs="Arial"/>
                <w:sz w:val="16"/>
                <w:szCs w:val="16"/>
              </w:rPr>
              <w:br/>
            </w:r>
            <w:r w:rsidRPr="005F0061">
              <w:rPr>
                <w:rFonts w:ascii="Arial" w:hAnsi="Arial" w:cs="Arial"/>
                <w:sz w:val="16"/>
                <w:szCs w:val="16"/>
              </w:rPr>
              <w:t>The maximum quantity authorised will be limited to provide sufficient supply for 1 month of treatment, based on the dosage recommendations in the TGA-approved Product Information.</w:t>
            </w:r>
            <w:r w:rsidR="003327A6" w:rsidRPr="005F0061">
              <w:rPr>
                <w:rFonts w:ascii="Arial" w:hAnsi="Arial" w:cs="Arial"/>
                <w:sz w:val="16"/>
                <w:szCs w:val="16"/>
              </w:rPr>
              <w:br/>
            </w:r>
            <w:r w:rsidRPr="005F0061">
              <w:rPr>
                <w:rFonts w:ascii="Arial" w:eastAsia="Arial" w:hAnsi="Arial" w:cs="Arial"/>
                <w:sz w:val="16"/>
                <w:szCs w:val="16"/>
                <w:lang w:eastAsia="zh-CN"/>
              </w:rPr>
              <w:t>A maximum of 5 repeats may be requested.</w:t>
            </w:r>
          </w:p>
        </w:tc>
        <w:tc>
          <w:tcPr>
            <w:tcW w:w="2650" w:type="dxa"/>
            <w:shd w:val="clear" w:color="auto" w:fill="auto"/>
            <w:tcMar>
              <w:top w:w="28" w:type="dxa"/>
              <w:left w:w="28" w:type="dxa"/>
              <w:right w:w="57" w:type="dxa"/>
            </w:tcMar>
          </w:tcPr>
          <w:p w14:paraId="6A6A845B" w14:textId="6C63F42C" w:rsidR="006A1374" w:rsidRPr="005F0061" w:rsidRDefault="006A1374" w:rsidP="006A1374">
            <w:pPr>
              <w:pStyle w:val="Tabletext0"/>
              <w:rPr>
                <w:rFonts w:cs="Arial"/>
                <w:szCs w:val="16"/>
              </w:rPr>
            </w:pPr>
            <w:r w:rsidRPr="005F0061">
              <w:rPr>
                <w:rFonts w:eastAsia="SimSun" w:cs="Arial"/>
                <w:color w:val="000000" w:themeColor="text1"/>
                <w:szCs w:val="16"/>
                <w:lang w:eastAsia="zh-CN"/>
              </w:rPr>
              <w:lastRenderedPageBreak/>
              <w:t>Compliance with Written Authority Required procedures</w:t>
            </w:r>
          </w:p>
        </w:tc>
      </w:tr>
      <w:tr w:rsidR="006A1374" w:rsidRPr="005F0061" w14:paraId="500BB475" w14:textId="77777777" w:rsidTr="005E778F">
        <w:tc>
          <w:tcPr>
            <w:tcW w:w="1900" w:type="dxa"/>
            <w:shd w:val="clear" w:color="auto" w:fill="auto"/>
            <w:tcMar>
              <w:top w:w="28" w:type="dxa"/>
              <w:left w:w="28" w:type="dxa"/>
            </w:tcMar>
          </w:tcPr>
          <w:p w14:paraId="7B0B0A93" w14:textId="77777777" w:rsidR="006A1374" w:rsidRPr="005F0061" w:rsidRDefault="006A1374" w:rsidP="006A1374">
            <w:pPr>
              <w:pStyle w:val="Tabletext0"/>
              <w:tabs>
                <w:tab w:val="left" w:pos="958"/>
              </w:tabs>
              <w:rPr>
                <w:rFonts w:cs="Arial"/>
                <w:szCs w:val="16"/>
              </w:rPr>
            </w:pPr>
          </w:p>
        </w:tc>
        <w:tc>
          <w:tcPr>
            <w:tcW w:w="850" w:type="dxa"/>
            <w:shd w:val="clear" w:color="auto" w:fill="auto"/>
            <w:tcMar>
              <w:top w:w="28" w:type="dxa"/>
              <w:left w:w="28" w:type="dxa"/>
            </w:tcMar>
          </w:tcPr>
          <w:p w14:paraId="71A1A4F5" w14:textId="7B7DF116" w:rsidR="006A1374" w:rsidRPr="005F0061" w:rsidRDefault="006A1374" w:rsidP="006A1374">
            <w:pPr>
              <w:pStyle w:val="Tabletext0"/>
              <w:rPr>
                <w:rFonts w:cs="Arial"/>
                <w:color w:val="000000" w:themeColor="text1"/>
                <w:szCs w:val="16"/>
              </w:rPr>
            </w:pPr>
            <w:r w:rsidRPr="005F0061">
              <w:rPr>
                <w:rFonts w:cs="Arial"/>
                <w:color w:val="000000" w:themeColor="text1"/>
                <w:szCs w:val="16"/>
              </w:rPr>
              <w:t xml:space="preserve">C11229 </w:t>
            </w:r>
          </w:p>
        </w:tc>
        <w:tc>
          <w:tcPr>
            <w:tcW w:w="850" w:type="dxa"/>
            <w:shd w:val="clear" w:color="auto" w:fill="auto"/>
            <w:tcMar>
              <w:top w:w="28" w:type="dxa"/>
              <w:left w:w="28" w:type="dxa"/>
            </w:tcMar>
          </w:tcPr>
          <w:p w14:paraId="61423912" w14:textId="77777777" w:rsidR="006A1374" w:rsidRPr="005F0061" w:rsidDel="00E03489" w:rsidRDefault="006A1374" w:rsidP="006A1374">
            <w:pPr>
              <w:spacing w:before="60" w:after="60"/>
              <w:rPr>
                <w:rFonts w:ascii="Arial" w:hAnsi="Arial" w:cs="Arial"/>
                <w:sz w:val="16"/>
                <w:szCs w:val="16"/>
                <w:lang w:eastAsia="en-AU"/>
              </w:rPr>
            </w:pPr>
          </w:p>
        </w:tc>
        <w:tc>
          <w:tcPr>
            <w:tcW w:w="7661" w:type="dxa"/>
            <w:shd w:val="clear" w:color="auto" w:fill="auto"/>
            <w:tcMar>
              <w:top w:w="28" w:type="dxa"/>
              <w:left w:w="28" w:type="dxa"/>
            </w:tcMar>
          </w:tcPr>
          <w:p w14:paraId="4494614C" w14:textId="571C3AE0" w:rsidR="006A1374" w:rsidRPr="005F0061" w:rsidRDefault="006A1374" w:rsidP="00152473">
            <w:pPr>
              <w:pStyle w:val="mps3-data"/>
              <w:rPr>
                <w:szCs w:val="16"/>
              </w:rPr>
            </w:pPr>
            <w:r w:rsidRPr="005F0061">
              <w:t>Pulmonary arterial hypertension (PAH)</w:t>
            </w:r>
            <w:r w:rsidR="003327A6" w:rsidRPr="005F0061">
              <w:br/>
            </w:r>
            <w:r w:rsidRPr="005F0061">
              <w:t xml:space="preserve">Triple therapy - Initial treatment or continuing treatment of triple combination therapy (including dual therapy in lieu of triple therapy) that includes </w:t>
            </w:r>
            <w:proofErr w:type="spellStart"/>
            <w:r w:rsidRPr="005F0061">
              <w:t>selexipag</w:t>
            </w:r>
            <w:proofErr w:type="spellEnd"/>
            <w:r w:rsidR="003327A6" w:rsidRPr="005F0061">
              <w:br/>
            </w:r>
            <w:r w:rsidRPr="005F0061">
              <w:t>The treatment must form part of triple combination therapy consisting of: (</w:t>
            </w:r>
            <w:proofErr w:type="spellStart"/>
            <w:r w:rsidRPr="005F0061">
              <w:t>i</w:t>
            </w:r>
            <w:proofErr w:type="spellEnd"/>
            <w:r w:rsidRPr="005F0061">
              <w:t xml:space="preserve">) one endothelin receptor </w:t>
            </w:r>
            <w:r w:rsidRPr="005F0061">
              <w:lastRenderedPageBreak/>
              <w:t xml:space="preserve">antagonist, (ii) one phosphodiesterase-5 inhibitor, (iii) PBS-subsidised </w:t>
            </w:r>
            <w:proofErr w:type="spellStart"/>
            <w:r w:rsidRPr="005F0061">
              <w:t>selexipag</w:t>
            </w:r>
            <w:proofErr w:type="spellEnd"/>
            <w:r w:rsidRPr="005F0061">
              <w:t xml:space="preserve"> (referred to as 'triple therapy'); OR</w:t>
            </w:r>
            <w:r w:rsidR="003327A6" w:rsidRPr="005F0061">
              <w:br/>
            </w:r>
            <w:r w:rsidRPr="005F0061">
              <w:t>The treatment must form part of dual combination therapy consisting of either: (</w:t>
            </w:r>
            <w:proofErr w:type="spellStart"/>
            <w:r w:rsidRPr="005F0061">
              <w:t>i</w:t>
            </w:r>
            <w:proofErr w:type="spellEnd"/>
            <w:r w:rsidRPr="005F0061">
              <w:t xml:space="preserve">) PBS-subsidised </w:t>
            </w:r>
            <w:proofErr w:type="spellStart"/>
            <w:r w:rsidRPr="005F0061">
              <w:t>selexipag</w:t>
            </w:r>
            <w:proofErr w:type="spellEnd"/>
            <w:r w:rsidRPr="005F0061">
              <w:t xml:space="preserve"> with one endothelin receptor antagonist, (ii) PBS-subsidised </w:t>
            </w:r>
            <w:proofErr w:type="spellStart"/>
            <w:r w:rsidRPr="005F0061">
              <w:t>selexipag</w:t>
            </w:r>
            <w:proofErr w:type="spellEnd"/>
            <w:r w:rsidRPr="005F0061">
              <w:t xml:space="preserve"> with one phosphodiesterase-5 inhibitor, as triple combination therapy with </w:t>
            </w:r>
            <w:proofErr w:type="spellStart"/>
            <w:r w:rsidRPr="005F0061">
              <w:t>selexipag</w:t>
            </w:r>
            <w:proofErr w:type="spellEnd"/>
            <w:r w:rsidRPr="005F0061">
              <w:t>-an endothelin receptor antagonist-a phoshodiesterase-5 inhibitor is not possible due to an intolerance/contraindication to the endothelin receptor antagonist class/phosphodiesterase-5 inhibitor class (referred to as 'dual therapy in lieu of triple therapy').</w:t>
            </w:r>
            <w:r w:rsidR="003327A6" w:rsidRPr="005F0061">
              <w:br/>
            </w:r>
            <w:r w:rsidRPr="005F0061">
              <w:t>Must be treated by a physician with expertise in the management of PAH, with this authority application to be completed by the physician with expertise in PAH.</w:t>
            </w:r>
            <w:r w:rsidR="003327A6" w:rsidRPr="005F0061">
              <w:br/>
            </w:r>
            <w:r w:rsidRPr="005F0061">
              <w:t xml:space="preserve">The authority application for </w:t>
            </w:r>
            <w:proofErr w:type="spellStart"/>
            <w:r w:rsidRPr="005F0061">
              <w:t>selexipag</w:t>
            </w:r>
            <w:proofErr w:type="spellEnd"/>
            <w:r w:rsidRPr="005F0061">
              <w:t xml:space="preserve"> must be approved prior to the authority application for this agent.</w:t>
            </w:r>
            <w:r w:rsidR="003327A6" w:rsidRPr="005F0061">
              <w:br/>
            </w:r>
            <w:r w:rsidRPr="005F0061">
              <w:t xml:space="preserve">For the purposes of PBS subsidy, an endothelin receptor antagonist is one of: (a) </w:t>
            </w:r>
            <w:proofErr w:type="spellStart"/>
            <w:r w:rsidRPr="005F0061">
              <w:t>ambrisentan</w:t>
            </w:r>
            <w:proofErr w:type="spellEnd"/>
            <w:r w:rsidRPr="005F0061">
              <w:t xml:space="preserve">, (b) </w:t>
            </w:r>
            <w:proofErr w:type="spellStart"/>
            <w:r w:rsidRPr="005F0061">
              <w:t>bosentan</w:t>
            </w:r>
            <w:proofErr w:type="spellEnd"/>
            <w:r w:rsidRPr="005F0061">
              <w:t xml:space="preserve">, (c) </w:t>
            </w:r>
            <w:proofErr w:type="spellStart"/>
            <w:r w:rsidRPr="005F0061">
              <w:t>macitentan</w:t>
            </w:r>
            <w:proofErr w:type="spellEnd"/>
            <w:r w:rsidRPr="005F0061">
              <w:t xml:space="preserve">; a phosphodiesterase-5 inhibitor is one of: (d) sildenafil, (e) </w:t>
            </w:r>
            <w:proofErr w:type="spellStart"/>
            <w:r w:rsidRPr="005F0061">
              <w:t>tadalafil</w:t>
            </w:r>
            <w:proofErr w:type="spellEnd"/>
            <w:r w:rsidRPr="005F0061">
              <w:t>.</w:t>
            </w:r>
            <w:r w:rsidR="003327A6" w:rsidRPr="005F0061">
              <w:br/>
            </w:r>
            <w:r w:rsidRPr="005F0061">
              <w:t>PBS-subsidy does not cover patients with pulmonary hypertension secondary to interstitial lung disease associated with connective tissue disease, where the total lung capacity is less than 70% of predicted.</w:t>
            </w:r>
            <w:r w:rsidR="003327A6" w:rsidRPr="005F0061">
              <w:br/>
            </w:r>
            <w:r w:rsidRPr="005F0061">
              <w:t>PAH (WHO Group 1 pulmonary hypertension) is defined as follows</w:t>
            </w:r>
            <w:proofErr w:type="gramStart"/>
            <w:r w:rsidRPr="005F0061">
              <w:t>:</w:t>
            </w:r>
            <w:proofErr w:type="gramEnd"/>
            <w:r w:rsidR="003327A6" w:rsidRPr="005F0061">
              <w:br/>
            </w:r>
            <w:r w:rsidRPr="005F0061">
              <w:t>(</w:t>
            </w:r>
            <w:proofErr w:type="spellStart"/>
            <w:r w:rsidRPr="005F0061">
              <w:t>i</w:t>
            </w:r>
            <w:proofErr w:type="spellEnd"/>
            <w:r w:rsidRPr="005F0061">
              <w:t>) mean pulmonary artery pressure (</w:t>
            </w:r>
            <w:proofErr w:type="spellStart"/>
            <w:r w:rsidRPr="005F0061">
              <w:t>mPAP</w:t>
            </w:r>
            <w:proofErr w:type="spellEnd"/>
            <w:r w:rsidRPr="005F0061">
              <w:t>) greater than or equal to 25 mmHg at rest and pulmonary artery wedge pressure (PAWP) less than or equal to 15 mmHg; or</w:t>
            </w:r>
            <w:r w:rsidR="003327A6" w:rsidRPr="005F0061">
              <w:br/>
            </w:r>
            <w:r w:rsidRPr="005F0061">
              <w:t>(ii) where a right heart catheter (RHC) cannot be performed on clinical grounds, right ventricular systolic pressure (RVSP), assessed by echocardiography (ECHO), greater than 40 mmHg, with normal left ventricular function.</w:t>
            </w:r>
            <w:r w:rsidR="003327A6" w:rsidRPr="005F0061">
              <w:br/>
            </w:r>
            <w:r w:rsidRPr="005F0061">
              <w:t>The results and date of the RHC, ECHO and 6 MWT as applicable must be included in the patient's medical record. Where a RHC cannot be performed on clinical grounds, the written confirmation of the reasons why must also be included in the patient's medical record.</w:t>
            </w:r>
            <w:r w:rsidR="003327A6" w:rsidRPr="005F0061">
              <w:br/>
            </w:r>
            <w:r w:rsidRPr="005F0061">
              <w:t>The maximum quantity authorised will be limited to provide sufficient supply for 1 month of treatment, based on the dosage recommendations in the TGA-approved Product Information.</w:t>
            </w:r>
            <w:r w:rsidR="003327A6" w:rsidRPr="005F0061">
              <w:br/>
            </w:r>
            <w:r w:rsidRPr="005F0061">
              <w:t>A maximum of 5 repeats may be requested.</w:t>
            </w:r>
          </w:p>
        </w:tc>
        <w:tc>
          <w:tcPr>
            <w:tcW w:w="2650" w:type="dxa"/>
            <w:shd w:val="clear" w:color="auto" w:fill="auto"/>
            <w:tcMar>
              <w:top w:w="28" w:type="dxa"/>
              <w:left w:w="28" w:type="dxa"/>
              <w:right w:w="57" w:type="dxa"/>
            </w:tcMar>
          </w:tcPr>
          <w:p w14:paraId="0B6580D2" w14:textId="616E9FA4" w:rsidR="006A1374" w:rsidRPr="005F0061" w:rsidRDefault="006A1374" w:rsidP="006A1374">
            <w:pPr>
              <w:pStyle w:val="Tabletext0"/>
              <w:rPr>
                <w:rFonts w:cs="Arial"/>
                <w:szCs w:val="16"/>
              </w:rPr>
            </w:pPr>
            <w:r w:rsidRPr="005F0061">
              <w:lastRenderedPageBreak/>
              <w:t>Compliance with Authority Required procedures</w:t>
            </w:r>
          </w:p>
        </w:tc>
      </w:tr>
      <w:tr w:rsidR="006A1374" w:rsidRPr="005F0061" w14:paraId="6523C137" w14:textId="77777777" w:rsidTr="005E778F">
        <w:tc>
          <w:tcPr>
            <w:tcW w:w="1900" w:type="dxa"/>
            <w:shd w:val="clear" w:color="auto" w:fill="auto"/>
            <w:tcMar>
              <w:top w:w="28" w:type="dxa"/>
              <w:left w:w="28" w:type="dxa"/>
            </w:tcMar>
          </w:tcPr>
          <w:p w14:paraId="049E6A03" w14:textId="77777777" w:rsidR="006A1374" w:rsidRPr="005F0061" w:rsidRDefault="006A1374" w:rsidP="006A1374">
            <w:pPr>
              <w:pStyle w:val="Tabletext0"/>
              <w:tabs>
                <w:tab w:val="left" w:pos="958"/>
              </w:tabs>
              <w:rPr>
                <w:rFonts w:cs="Arial"/>
                <w:szCs w:val="16"/>
              </w:rPr>
            </w:pPr>
          </w:p>
        </w:tc>
        <w:tc>
          <w:tcPr>
            <w:tcW w:w="850" w:type="dxa"/>
            <w:shd w:val="clear" w:color="auto" w:fill="auto"/>
            <w:tcMar>
              <w:top w:w="28" w:type="dxa"/>
              <w:left w:w="28" w:type="dxa"/>
            </w:tcMar>
          </w:tcPr>
          <w:p w14:paraId="4C5598C1" w14:textId="2996C963" w:rsidR="006A1374" w:rsidRPr="005F0061" w:rsidRDefault="006A1374" w:rsidP="006A1374">
            <w:pPr>
              <w:pStyle w:val="Tabletext0"/>
              <w:rPr>
                <w:rFonts w:cs="Arial"/>
                <w:color w:val="000000" w:themeColor="text1"/>
                <w:szCs w:val="16"/>
              </w:rPr>
            </w:pPr>
            <w:r w:rsidRPr="005F0061">
              <w:rPr>
                <w:rFonts w:cs="Arial"/>
                <w:color w:val="000000" w:themeColor="text1"/>
                <w:szCs w:val="16"/>
              </w:rPr>
              <w:t xml:space="preserve">C11237 </w:t>
            </w:r>
          </w:p>
        </w:tc>
        <w:tc>
          <w:tcPr>
            <w:tcW w:w="850" w:type="dxa"/>
            <w:shd w:val="clear" w:color="auto" w:fill="auto"/>
            <w:tcMar>
              <w:top w:w="28" w:type="dxa"/>
              <w:left w:w="28" w:type="dxa"/>
            </w:tcMar>
          </w:tcPr>
          <w:p w14:paraId="0AD20FA4" w14:textId="77777777" w:rsidR="006A1374" w:rsidRPr="005F0061" w:rsidDel="00E03489" w:rsidRDefault="006A1374" w:rsidP="006A1374">
            <w:pPr>
              <w:spacing w:before="60" w:after="60"/>
              <w:rPr>
                <w:rFonts w:ascii="Arial" w:hAnsi="Arial" w:cs="Arial"/>
                <w:sz w:val="16"/>
                <w:szCs w:val="16"/>
                <w:lang w:eastAsia="en-AU"/>
              </w:rPr>
            </w:pPr>
          </w:p>
        </w:tc>
        <w:tc>
          <w:tcPr>
            <w:tcW w:w="7661" w:type="dxa"/>
            <w:shd w:val="clear" w:color="auto" w:fill="auto"/>
            <w:tcMar>
              <w:top w:w="28" w:type="dxa"/>
              <w:left w:w="28" w:type="dxa"/>
            </w:tcMar>
          </w:tcPr>
          <w:p w14:paraId="37AEACCB" w14:textId="534A65F4" w:rsidR="006A1374" w:rsidRPr="005F0061" w:rsidRDefault="006A1374" w:rsidP="006A1374">
            <w:pPr>
              <w:pStyle w:val="mps3-data"/>
              <w:rPr>
                <w:szCs w:val="16"/>
              </w:rPr>
            </w:pPr>
            <w:r w:rsidRPr="005F0061">
              <w:t>Pulmonary arterial hypertension (PAH)</w:t>
            </w:r>
            <w:r w:rsidR="003327A6" w:rsidRPr="005F0061">
              <w:br/>
            </w:r>
            <w:r w:rsidRPr="005F0061">
              <w:t>Grandfathered patients (dual therapy)</w:t>
            </w:r>
            <w:r w:rsidR="003327A6" w:rsidRPr="005F0061">
              <w:br/>
            </w:r>
            <w:r w:rsidRPr="005F0061">
              <w:t>Patient must be receiving dual therapy with this non PBS-subsidised pulmonary arterial hypertension (PAH) agent and a non PBS-subsidised phosphodiesterase-5 inhibitor (PDE-5i) for this condition prior to 1 October 2020.</w:t>
            </w:r>
            <w:r w:rsidR="003327A6" w:rsidRPr="005F0061">
              <w:br/>
            </w:r>
            <w:r w:rsidRPr="005F0061">
              <w:t>Must be treated by a physician with expertise in the management of PAH, with this authority application to be completed by the physician with expertise in PAH.</w:t>
            </w:r>
            <w:r w:rsidR="003327A6" w:rsidRPr="005F0061">
              <w:br/>
            </w:r>
            <w:r w:rsidRPr="005F0061">
              <w:t>Patient must have documented WHO Functional Class III PAH or WHO Functional Class IV PAH.</w:t>
            </w:r>
            <w:r w:rsidR="003327A6" w:rsidRPr="005F0061">
              <w:br/>
            </w:r>
            <w:r w:rsidRPr="005F0061">
              <w:t xml:space="preserve">The term 'PAH agents' refers to </w:t>
            </w:r>
            <w:proofErr w:type="spellStart"/>
            <w:r w:rsidRPr="005F0061">
              <w:t>bosentan</w:t>
            </w:r>
            <w:proofErr w:type="spellEnd"/>
            <w:r w:rsidRPr="005F0061">
              <w:t xml:space="preserve"> monohydrate, </w:t>
            </w:r>
            <w:proofErr w:type="spellStart"/>
            <w:r w:rsidRPr="005F0061">
              <w:t>iloprost</w:t>
            </w:r>
            <w:proofErr w:type="spellEnd"/>
            <w:r w:rsidRPr="005F0061">
              <w:t xml:space="preserve"> trometamol, </w:t>
            </w:r>
            <w:proofErr w:type="spellStart"/>
            <w:r w:rsidRPr="005F0061">
              <w:t>epoprostenol</w:t>
            </w:r>
            <w:proofErr w:type="spellEnd"/>
            <w:r w:rsidRPr="005F0061">
              <w:t xml:space="preserve"> sodium, sildenafil citrate, </w:t>
            </w:r>
            <w:proofErr w:type="spellStart"/>
            <w:r w:rsidRPr="005F0061">
              <w:t>ambrisentan</w:t>
            </w:r>
            <w:proofErr w:type="spellEnd"/>
            <w:r w:rsidRPr="005F0061">
              <w:t xml:space="preserve">, </w:t>
            </w:r>
            <w:proofErr w:type="spellStart"/>
            <w:r w:rsidRPr="005F0061">
              <w:t>tadalafil</w:t>
            </w:r>
            <w:proofErr w:type="spellEnd"/>
            <w:r w:rsidRPr="005F0061">
              <w:t xml:space="preserve">, </w:t>
            </w:r>
            <w:proofErr w:type="spellStart"/>
            <w:r w:rsidRPr="005F0061">
              <w:t>macitentan</w:t>
            </w:r>
            <w:proofErr w:type="spellEnd"/>
            <w:r w:rsidRPr="005F0061">
              <w:t xml:space="preserve">, and </w:t>
            </w:r>
            <w:proofErr w:type="spellStart"/>
            <w:r w:rsidRPr="005F0061">
              <w:t>riociguat</w:t>
            </w:r>
            <w:proofErr w:type="spellEnd"/>
            <w:r w:rsidRPr="005F0061">
              <w:t>.</w:t>
            </w:r>
            <w:r w:rsidR="003327A6" w:rsidRPr="005F0061">
              <w:br/>
            </w:r>
            <w:r w:rsidRPr="005F0061">
              <w:t>For the purposes of PBS subsidy, dual therapy refers to combined use of an endothelin receptor antagonist (ERA) and a phosphodiesterase-5 inhibitor (PDE-5i).</w:t>
            </w:r>
            <w:r w:rsidR="003327A6" w:rsidRPr="005F0061">
              <w:br/>
            </w:r>
            <w:r w:rsidRPr="005F0061">
              <w:t>(</w:t>
            </w:r>
            <w:proofErr w:type="spellStart"/>
            <w:r w:rsidRPr="005F0061">
              <w:t>i</w:t>
            </w:r>
            <w:proofErr w:type="spellEnd"/>
            <w:r w:rsidRPr="005F0061">
              <w:t xml:space="preserve">) An ERA includes </w:t>
            </w:r>
            <w:proofErr w:type="spellStart"/>
            <w:r w:rsidRPr="005F0061">
              <w:t>ambrisentan</w:t>
            </w:r>
            <w:proofErr w:type="spellEnd"/>
            <w:r w:rsidRPr="005F0061">
              <w:t xml:space="preserve">, </w:t>
            </w:r>
            <w:proofErr w:type="spellStart"/>
            <w:r w:rsidRPr="005F0061">
              <w:t>bosentan</w:t>
            </w:r>
            <w:proofErr w:type="spellEnd"/>
            <w:r w:rsidRPr="005F0061">
              <w:t xml:space="preserve"> monohydrate, or </w:t>
            </w:r>
            <w:proofErr w:type="spellStart"/>
            <w:r w:rsidRPr="005F0061">
              <w:t>macitentan</w:t>
            </w:r>
            <w:proofErr w:type="spellEnd"/>
            <w:r w:rsidRPr="005F0061">
              <w:t>.</w:t>
            </w:r>
            <w:r w:rsidR="003327A6" w:rsidRPr="005F0061">
              <w:br/>
            </w:r>
            <w:r w:rsidRPr="005F0061">
              <w:t xml:space="preserve">(ii) A PDE-5i includes sildenafil citrate, or </w:t>
            </w:r>
            <w:proofErr w:type="spellStart"/>
            <w:r w:rsidRPr="005F0061">
              <w:t>tadalafil</w:t>
            </w:r>
            <w:proofErr w:type="spellEnd"/>
            <w:r w:rsidRPr="005F0061">
              <w:t>.</w:t>
            </w:r>
            <w:r w:rsidR="003327A6" w:rsidRPr="005F0061">
              <w:br/>
            </w:r>
            <w:r w:rsidRPr="005F0061">
              <w:t>PAH agents are not PBS-subsidised for patients with pulmonary hypertension secondary to interstitial lung disease associated with connective tissue disease, where the total lung capacity is less than 70% of predicted.</w:t>
            </w:r>
            <w:r w:rsidR="003327A6" w:rsidRPr="005F0061">
              <w:br/>
            </w:r>
            <w:r w:rsidRPr="005F0061">
              <w:t>PAH (WHO Group 1 pulmonary hypertension) is defined as follows</w:t>
            </w:r>
            <w:proofErr w:type="gramStart"/>
            <w:r w:rsidRPr="005F0061">
              <w:t>:</w:t>
            </w:r>
            <w:proofErr w:type="gramEnd"/>
            <w:r w:rsidR="003327A6" w:rsidRPr="005F0061">
              <w:br/>
            </w:r>
            <w:r w:rsidRPr="005F0061">
              <w:t>(</w:t>
            </w:r>
            <w:proofErr w:type="spellStart"/>
            <w:r w:rsidRPr="005F0061">
              <w:t>i</w:t>
            </w:r>
            <w:proofErr w:type="spellEnd"/>
            <w:r w:rsidRPr="005F0061">
              <w:t>) mean pulmonary artery pressure (</w:t>
            </w:r>
            <w:proofErr w:type="spellStart"/>
            <w:r w:rsidRPr="005F0061">
              <w:t>mPAP</w:t>
            </w:r>
            <w:proofErr w:type="spellEnd"/>
            <w:r w:rsidRPr="005F0061">
              <w:t>) greater than or equal to 25 mmHg at rest and pulmonary artery wedge pressure (PAWP) less than or equal to 15 mmHg; or</w:t>
            </w:r>
            <w:r w:rsidR="003327A6" w:rsidRPr="005F0061">
              <w:br/>
            </w:r>
            <w:r w:rsidRPr="005F0061">
              <w:t>(ii) where a right heart catheter (RHC) cannot be performed on clinical grounds, right ventricular systolic pressure (RVSP), assessed by echocardiography (ECHO), greater than 40 mmHg, with normal left ventricular function.</w:t>
            </w:r>
            <w:r w:rsidR="003327A6" w:rsidRPr="005F0061">
              <w:br/>
            </w:r>
            <w:r w:rsidRPr="005F0061">
              <w:lastRenderedPageBreak/>
              <w:t>Applications for authorisation must be in writing and must include:</w:t>
            </w:r>
            <w:r w:rsidR="003327A6" w:rsidRPr="005F0061">
              <w:br/>
            </w:r>
            <w:r w:rsidRPr="005F0061">
              <w:t>(1) a completed authority prescription form; and</w:t>
            </w:r>
            <w:r w:rsidR="003327A6" w:rsidRPr="005F0061">
              <w:br/>
            </w:r>
            <w:r w:rsidRPr="005F0061">
              <w:t>(2) a completed Pulmonary Arterial Hypertension PBS Authority Application - Supporting Information form which includes results from the three tests below, where available:</w:t>
            </w:r>
            <w:r w:rsidR="003327A6" w:rsidRPr="005F0061">
              <w:br/>
            </w:r>
            <w:r w:rsidRPr="005F0061">
              <w:t>(</w:t>
            </w:r>
            <w:proofErr w:type="spellStart"/>
            <w:r w:rsidRPr="005F0061">
              <w:t>i</w:t>
            </w:r>
            <w:proofErr w:type="spellEnd"/>
            <w:r w:rsidRPr="005F0061">
              <w:t>) RHC composite assessment; and</w:t>
            </w:r>
            <w:r w:rsidR="003327A6" w:rsidRPr="005F0061">
              <w:br/>
            </w:r>
            <w:r w:rsidRPr="005F0061">
              <w:t>(ii) ECHO composite assessment; and</w:t>
            </w:r>
            <w:r w:rsidR="003327A6" w:rsidRPr="005F0061">
              <w:br/>
            </w:r>
            <w:r w:rsidRPr="005F0061">
              <w:t>(iii) 6 Minute Walk Test (6MWT).</w:t>
            </w:r>
            <w:r w:rsidR="003327A6" w:rsidRPr="005F0061">
              <w:br/>
            </w:r>
            <w:r w:rsidRPr="005F0061">
              <w:t>Where it was not possible to perform all 3 tests on clinical grounds, the following list outlines the preferred test combination, in descending order, for the purposes of initiation of PBS-subsidised treatment:</w:t>
            </w:r>
            <w:r w:rsidR="003327A6" w:rsidRPr="005F0061">
              <w:br/>
            </w:r>
            <w:r w:rsidRPr="005F0061">
              <w:t>(1) RHC plus ECHO composite assessments;</w:t>
            </w:r>
            <w:r w:rsidR="003327A6" w:rsidRPr="005F0061">
              <w:br/>
            </w:r>
            <w:r w:rsidRPr="005F0061">
              <w:t>(2) RHC composite assessment plus 6MWT;</w:t>
            </w:r>
            <w:r w:rsidR="003327A6" w:rsidRPr="005F0061">
              <w:br/>
            </w:r>
            <w:r w:rsidRPr="005F0061">
              <w:t>(3) RHC composite assessment only.</w:t>
            </w:r>
            <w:r w:rsidR="003327A6" w:rsidRPr="005F0061">
              <w:br/>
            </w:r>
            <w:r w:rsidRPr="005F0061">
              <w:t>In circumstances where a RHC could not be performed on clinical grounds, applications may be submitted for consideration based on the results of the following test combinations, which are listed in descending order of preference</w:t>
            </w:r>
            <w:proofErr w:type="gramStart"/>
            <w:r w:rsidRPr="005F0061">
              <w:t>:</w:t>
            </w:r>
            <w:proofErr w:type="gramEnd"/>
            <w:r w:rsidR="003327A6" w:rsidRPr="005F0061">
              <w:br/>
            </w:r>
            <w:r w:rsidRPr="005F0061">
              <w:t>(1) ECHO composite assessment plus 6MWT;</w:t>
            </w:r>
            <w:r w:rsidR="003327A6" w:rsidRPr="005F0061">
              <w:br/>
            </w:r>
            <w:r w:rsidRPr="005F0061">
              <w:t>(2) ECHO composite assessment only.</w:t>
            </w:r>
            <w:r w:rsidR="003327A6" w:rsidRPr="005F0061">
              <w:br/>
            </w:r>
            <w:r w:rsidRPr="005F0061">
              <w:t>Where fewer than 3 tests were able to be performed on clinical grounds, a patient specific reason outlining why the particular test(s) could not be conducted must be provided with the authority application.</w:t>
            </w:r>
            <w:r w:rsidR="003327A6" w:rsidRPr="005F0061">
              <w:br/>
            </w:r>
            <w:r w:rsidRPr="005F0061">
              <w:t>Where a RHC could not be performed on clinical grounds, confirmation of the reason(s) must be provided with the authority application by a second PAH physician or cardiologist with expertise in the management of PAH.</w:t>
            </w:r>
            <w:r w:rsidR="003327A6" w:rsidRPr="005F0061">
              <w:br/>
            </w:r>
            <w:r w:rsidRPr="005F0061">
              <w:t>A patient may qualify for PBS-subsidised treatment under this restriction once only. For continuing PBS-subsidised treatment, a Grandfathered patient must qualify under the Continuing treatment criteria for dual therapy for this condition.</w:t>
            </w:r>
            <w:r w:rsidR="003327A6" w:rsidRPr="005F0061">
              <w:br/>
            </w:r>
            <w:r w:rsidRPr="005F0061">
              <w:t>The maximum quantity authorised will be limited to provide sufficient supply for 1 month of treatment, based on the dosage recommendations in the TGA-approved Product Information.</w:t>
            </w:r>
            <w:r w:rsidR="003327A6" w:rsidRPr="005F0061">
              <w:br/>
            </w:r>
            <w:r w:rsidRPr="005F0061">
              <w:t>A maximum of 5 repeats may be requested.</w:t>
            </w:r>
          </w:p>
        </w:tc>
        <w:tc>
          <w:tcPr>
            <w:tcW w:w="2650" w:type="dxa"/>
            <w:shd w:val="clear" w:color="auto" w:fill="auto"/>
            <w:tcMar>
              <w:top w:w="28" w:type="dxa"/>
              <w:left w:w="28" w:type="dxa"/>
              <w:right w:w="57" w:type="dxa"/>
            </w:tcMar>
          </w:tcPr>
          <w:p w14:paraId="4327B3A6" w14:textId="455B4406" w:rsidR="006A1374" w:rsidRPr="005F0061" w:rsidRDefault="006A1374" w:rsidP="006A1374">
            <w:pPr>
              <w:pStyle w:val="Tabletext0"/>
              <w:rPr>
                <w:rFonts w:cs="Arial"/>
                <w:szCs w:val="16"/>
              </w:rPr>
            </w:pPr>
            <w:r w:rsidRPr="005F0061">
              <w:rPr>
                <w:rFonts w:eastAsia="SimSun" w:cs="Arial"/>
                <w:color w:val="000000" w:themeColor="text1"/>
                <w:szCs w:val="16"/>
                <w:lang w:eastAsia="zh-CN"/>
              </w:rPr>
              <w:lastRenderedPageBreak/>
              <w:t>Compliance with Written Authority Required procedures</w:t>
            </w:r>
          </w:p>
        </w:tc>
      </w:tr>
      <w:tr w:rsidR="006A1374" w:rsidRPr="005F0061" w14:paraId="496C2823" w14:textId="77777777" w:rsidTr="005E778F">
        <w:tc>
          <w:tcPr>
            <w:tcW w:w="1900" w:type="dxa"/>
            <w:shd w:val="clear" w:color="auto" w:fill="auto"/>
            <w:tcMar>
              <w:top w:w="28" w:type="dxa"/>
              <w:left w:w="28" w:type="dxa"/>
            </w:tcMar>
          </w:tcPr>
          <w:p w14:paraId="0AC90C2F" w14:textId="77777777" w:rsidR="006A1374" w:rsidRPr="005F0061" w:rsidRDefault="006A1374" w:rsidP="006A1374">
            <w:pPr>
              <w:pStyle w:val="Tabletext0"/>
              <w:tabs>
                <w:tab w:val="left" w:pos="958"/>
              </w:tabs>
              <w:rPr>
                <w:rFonts w:cs="Arial"/>
                <w:szCs w:val="16"/>
              </w:rPr>
            </w:pPr>
          </w:p>
        </w:tc>
        <w:tc>
          <w:tcPr>
            <w:tcW w:w="850" w:type="dxa"/>
            <w:shd w:val="clear" w:color="auto" w:fill="auto"/>
            <w:tcMar>
              <w:top w:w="28" w:type="dxa"/>
              <w:left w:w="28" w:type="dxa"/>
            </w:tcMar>
          </w:tcPr>
          <w:p w14:paraId="5DE50F02" w14:textId="18B8A020" w:rsidR="006A1374" w:rsidRPr="005F0061" w:rsidRDefault="006A1374" w:rsidP="006A1374">
            <w:pPr>
              <w:pStyle w:val="Tabletext0"/>
              <w:rPr>
                <w:rFonts w:cs="Arial"/>
                <w:color w:val="000000" w:themeColor="text1"/>
                <w:szCs w:val="16"/>
              </w:rPr>
            </w:pPr>
            <w:r w:rsidRPr="005F0061">
              <w:rPr>
                <w:rFonts w:cs="Arial"/>
                <w:color w:val="000000" w:themeColor="text1"/>
                <w:szCs w:val="16"/>
              </w:rPr>
              <w:t xml:space="preserve">C11275 </w:t>
            </w:r>
          </w:p>
        </w:tc>
        <w:tc>
          <w:tcPr>
            <w:tcW w:w="850" w:type="dxa"/>
            <w:shd w:val="clear" w:color="auto" w:fill="auto"/>
            <w:tcMar>
              <w:top w:w="28" w:type="dxa"/>
              <w:left w:w="28" w:type="dxa"/>
            </w:tcMar>
          </w:tcPr>
          <w:p w14:paraId="377DB8D0" w14:textId="77777777" w:rsidR="006A1374" w:rsidRPr="005F0061" w:rsidDel="00E03489" w:rsidRDefault="006A1374" w:rsidP="006A1374">
            <w:pPr>
              <w:spacing w:before="60" w:after="60"/>
              <w:rPr>
                <w:rFonts w:ascii="Arial" w:hAnsi="Arial" w:cs="Arial"/>
                <w:sz w:val="16"/>
                <w:szCs w:val="16"/>
                <w:lang w:eastAsia="en-AU"/>
              </w:rPr>
            </w:pPr>
          </w:p>
        </w:tc>
        <w:tc>
          <w:tcPr>
            <w:tcW w:w="7661" w:type="dxa"/>
            <w:shd w:val="clear" w:color="auto" w:fill="auto"/>
            <w:tcMar>
              <w:top w:w="28" w:type="dxa"/>
              <w:left w:w="28" w:type="dxa"/>
            </w:tcMar>
          </w:tcPr>
          <w:p w14:paraId="6D27CB6B" w14:textId="22764070" w:rsidR="006A1374" w:rsidRPr="005F0061" w:rsidRDefault="006A1374" w:rsidP="00294842">
            <w:pPr>
              <w:pStyle w:val="mps3-data"/>
              <w:rPr>
                <w:szCs w:val="16"/>
              </w:rPr>
            </w:pPr>
            <w:r w:rsidRPr="005F0061">
              <w:t>Pulmonary arterial hypertension (PAH</w:t>
            </w:r>
            <w:proofErr w:type="gramStart"/>
            <w:r w:rsidRPr="005F0061">
              <w:t>)</w:t>
            </w:r>
            <w:proofErr w:type="gramEnd"/>
            <w:r w:rsidR="003327A6" w:rsidRPr="005F0061">
              <w:br/>
            </w:r>
            <w:r w:rsidRPr="005F0061">
              <w:t>Initial 2 (dual therapy - previously treated patients)</w:t>
            </w:r>
            <w:r w:rsidR="003327A6" w:rsidRPr="005F0061">
              <w:br/>
            </w:r>
            <w:r w:rsidRPr="005F0061">
              <w:t>Patient must have documented WHO Functional Class III PAH or WHO Functional Class IV PAH; AND</w:t>
            </w:r>
            <w:r w:rsidR="003327A6" w:rsidRPr="005F0061">
              <w:br/>
            </w:r>
            <w:r w:rsidRPr="005F0061">
              <w:t>Patient must have documented a failure to achieve or maintain WHO Functional Class II status with prior PBS-subsidised monotherapy treatment with a phosphodiesterase-5 inhibitor (PDE-5i) for this condition; AND</w:t>
            </w:r>
            <w:r w:rsidR="003327A6" w:rsidRPr="005F0061">
              <w:br/>
            </w:r>
            <w:r w:rsidRPr="005F0061">
              <w:t>The treatment must be in combination with the PBS-subsidised PDE-5i for this condition.</w:t>
            </w:r>
            <w:r w:rsidR="003327A6" w:rsidRPr="005F0061">
              <w:br/>
            </w:r>
            <w:r w:rsidRPr="005F0061">
              <w:t>Must be treated by a physician with expertise in the management of PAH, with this authority application to be completed by the physician with expertise in PAH.</w:t>
            </w:r>
            <w:r w:rsidR="003327A6" w:rsidRPr="005F0061">
              <w:br/>
            </w:r>
            <w:r w:rsidRPr="005F0061">
              <w:t xml:space="preserve">The term 'PAH agents' refers to </w:t>
            </w:r>
            <w:proofErr w:type="spellStart"/>
            <w:r w:rsidRPr="005F0061">
              <w:t>bosentan</w:t>
            </w:r>
            <w:proofErr w:type="spellEnd"/>
            <w:r w:rsidRPr="005F0061">
              <w:t xml:space="preserve"> monohydrate, </w:t>
            </w:r>
            <w:proofErr w:type="spellStart"/>
            <w:r w:rsidRPr="005F0061">
              <w:t>iloprost</w:t>
            </w:r>
            <w:proofErr w:type="spellEnd"/>
            <w:r w:rsidRPr="005F0061">
              <w:t xml:space="preserve"> trometamol, </w:t>
            </w:r>
            <w:proofErr w:type="spellStart"/>
            <w:r w:rsidRPr="005F0061">
              <w:t>epoprostenol</w:t>
            </w:r>
            <w:proofErr w:type="spellEnd"/>
            <w:r w:rsidRPr="005F0061">
              <w:t xml:space="preserve"> sodium, sildenafil citrate, </w:t>
            </w:r>
            <w:proofErr w:type="spellStart"/>
            <w:r w:rsidRPr="005F0061">
              <w:t>ambrisentan</w:t>
            </w:r>
            <w:proofErr w:type="spellEnd"/>
            <w:r w:rsidRPr="005F0061">
              <w:t xml:space="preserve">, </w:t>
            </w:r>
            <w:proofErr w:type="spellStart"/>
            <w:r w:rsidRPr="005F0061">
              <w:t>tadalafil</w:t>
            </w:r>
            <w:proofErr w:type="spellEnd"/>
            <w:r w:rsidRPr="005F0061">
              <w:t xml:space="preserve">, </w:t>
            </w:r>
            <w:proofErr w:type="spellStart"/>
            <w:r w:rsidRPr="005F0061">
              <w:t>macitentan</w:t>
            </w:r>
            <w:proofErr w:type="spellEnd"/>
            <w:r w:rsidRPr="005F0061">
              <w:t xml:space="preserve">, and </w:t>
            </w:r>
            <w:proofErr w:type="spellStart"/>
            <w:r w:rsidRPr="005F0061">
              <w:t>riociguat</w:t>
            </w:r>
            <w:proofErr w:type="spellEnd"/>
            <w:r w:rsidRPr="005F0061">
              <w:t>.</w:t>
            </w:r>
            <w:r w:rsidR="003327A6" w:rsidRPr="005F0061">
              <w:br/>
            </w:r>
            <w:r w:rsidRPr="005F0061">
              <w:t>For the purposes of PBS subsidy, dual therapy refers to combined use of an endothelin receptor antagonist (ERA) and a phosphodiesterase-5 inhibitor (PDE-5i).</w:t>
            </w:r>
            <w:r w:rsidR="003327A6" w:rsidRPr="005F0061">
              <w:br/>
            </w:r>
            <w:r w:rsidRPr="005F0061">
              <w:t>(</w:t>
            </w:r>
            <w:proofErr w:type="spellStart"/>
            <w:r w:rsidRPr="005F0061">
              <w:t>i</w:t>
            </w:r>
            <w:proofErr w:type="spellEnd"/>
            <w:r w:rsidRPr="005F0061">
              <w:t xml:space="preserve">) An ERA includes </w:t>
            </w:r>
            <w:proofErr w:type="spellStart"/>
            <w:r w:rsidRPr="005F0061">
              <w:t>ambrisentan</w:t>
            </w:r>
            <w:proofErr w:type="spellEnd"/>
            <w:r w:rsidRPr="005F0061">
              <w:t xml:space="preserve">, </w:t>
            </w:r>
            <w:proofErr w:type="spellStart"/>
            <w:r w:rsidRPr="005F0061">
              <w:t>bosentan</w:t>
            </w:r>
            <w:proofErr w:type="spellEnd"/>
            <w:r w:rsidRPr="005F0061">
              <w:t xml:space="preserve"> monohydrate, or </w:t>
            </w:r>
            <w:proofErr w:type="spellStart"/>
            <w:r w:rsidRPr="005F0061">
              <w:t>macitentan</w:t>
            </w:r>
            <w:proofErr w:type="spellEnd"/>
            <w:r w:rsidRPr="005F0061">
              <w:t>.</w:t>
            </w:r>
            <w:r w:rsidR="003327A6" w:rsidRPr="005F0061">
              <w:br/>
            </w:r>
            <w:r w:rsidRPr="005F0061">
              <w:t xml:space="preserve">(ii) A PDE-5i includes sildenafil citrate, or </w:t>
            </w:r>
            <w:proofErr w:type="spellStart"/>
            <w:r w:rsidRPr="005F0061">
              <w:t>tadalafil</w:t>
            </w:r>
            <w:proofErr w:type="spellEnd"/>
            <w:r w:rsidRPr="005F0061">
              <w:t>.</w:t>
            </w:r>
            <w:r w:rsidR="003327A6" w:rsidRPr="005F0061">
              <w:br/>
            </w:r>
            <w:r w:rsidRPr="005F0061">
              <w:t>PAH agents are not PBS-subsidised for patients with pulmonary hypertension secondary to interstitial lung disease associated with connective tissue disease, where the total lung capacity is less than 70% of predicted.</w:t>
            </w:r>
            <w:r w:rsidR="003327A6" w:rsidRPr="005F0061">
              <w:br/>
            </w:r>
            <w:r w:rsidRPr="005F0061">
              <w:t>PAH (WHO Group 1 pulmonary hypertension) is defined as follows</w:t>
            </w:r>
            <w:proofErr w:type="gramStart"/>
            <w:r w:rsidRPr="005F0061">
              <w:t>:</w:t>
            </w:r>
            <w:proofErr w:type="gramEnd"/>
            <w:r w:rsidR="003327A6" w:rsidRPr="005F0061">
              <w:br/>
            </w:r>
            <w:r w:rsidRPr="005F0061">
              <w:t>(</w:t>
            </w:r>
            <w:proofErr w:type="spellStart"/>
            <w:r w:rsidRPr="005F0061">
              <w:t>i</w:t>
            </w:r>
            <w:proofErr w:type="spellEnd"/>
            <w:r w:rsidRPr="005F0061">
              <w:t>) mean pulmonary artery pressure (</w:t>
            </w:r>
            <w:proofErr w:type="spellStart"/>
            <w:r w:rsidRPr="005F0061">
              <w:t>mPAP</w:t>
            </w:r>
            <w:proofErr w:type="spellEnd"/>
            <w:r w:rsidRPr="005F0061">
              <w:t>) greater than or equal to 25 mmHg at rest and pulmonary artery wedge pressure (PAWP) less than or equal to 15 mmHg; or</w:t>
            </w:r>
            <w:r w:rsidR="003327A6" w:rsidRPr="005F0061">
              <w:br/>
            </w:r>
            <w:r w:rsidRPr="005F0061">
              <w:t xml:space="preserve">(ii) where a right heart catheter (RHC) cannot be performed on clinical grounds, right ventricular systolic </w:t>
            </w:r>
            <w:r w:rsidRPr="005F0061">
              <w:lastRenderedPageBreak/>
              <w:t>pressure (RVSP), assessed by echocardiography (ECHO), greater than 40 mmHg, with normal left ventricular function.</w:t>
            </w:r>
            <w:r w:rsidR="003327A6" w:rsidRPr="005F0061">
              <w:br/>
            </w:r>
            <w:r w:rsidRPr="005F0061">
              <w:t>The results and date of the RHC, ECHO and 6 MWT as applicable must be included in the patient's medical record. Where a RHC cannot be performed on clinical grounds, the written confirmation of the reasons why must also be included in the patient's medical record.</w:t>
            </w:r>
            <w:r w:rsidR="003327A6" w:rsidRPr="005F0061">
              <w:br/>
            </w:r>
            <w:r w:rsidRPr="005F0061">
              <w:t>The maximum quantity authorised will be limited to provide sufficient supply for 1 month of treatment, based on the dosage recommendations in the TGA-approved Product Information.</w:t>
            </w:r>
            <w:r w:rsidR="003327A6" w:rsidRPr="005F0061">
              <w:br/>
            </w:r>
            <w:r w:rsidRPr="005F0061">
              <w:t>A maximum of 5 repeats may be requested.</w:t>
            </w:r>
          </w:p>
        </w:tc>
        <w:tc>
          <w:tcPr>
            <w:tcW w:w="2650" w:type="dxa"/>
            <w:shd w:val="clear" w:color="auto" w:fill="auto"/>
            <w:tcMar>
              <w:top w:w="28" w:type="dxa"/>
              <w:left w:w="28" w:type="dxa"/>
              <w:right w:w="57" w:type="dxa"/>
            </w:tcMar>
          </w:tcPr>
          <w:p w14:paraId="2AB3A921" w14:textId="7DBD475F" w:rsidR="006A1374" w:rsidRPr="005F0061" w:rsidRDefault="006A1374" w:rsidP="006A1374">
            <w:pPr>
              <w:pStyle w:val="Tabletext0"/>
              <w:rPr>
                <w:rFonts w:cs="Arial"/>
                <w:szCs w:val="16"/>
              </w:rPr>
            </w:pPr>
            <w:r w:rsidRPr="005F0061">
              <w:lastRenderedPageBreak/>
              <w:t>Compliance with Authority Required procedure</w:t>
            </w:r>
            <w:r w:rsidR="00B9356C" w:rsidRPr="005F0061">
              <w:t>s</w:t>
            </w:r>
          </w:p>
        </w:tc>
      </w:tr>
      <w:tr w:rsidR="006A1374" w:rsidRPr="005F0061" w14:paraId="3A438D2D" w14:textId="77777777" w:rsidTr="005E778F">
        <w:tc>
          <w:tcPr>
            <w:tcW w:w="1900" w:type="dxa"/>
            <w:shd w:val="clear" w:color="auto" w:fill="auto"/>
            <w:tcMar>
              <w:top w:w="28" w:type="dxa"/>
              <w:left w:w="28" w:type="dxa"/>
            </w:tcMar>
          </w:tcPr>
          <w:p w14:paraId="73E6EC1E" w14:textId="77777777" w:rsidR="006A1374" w:rsidRPr="005F0061" w:rsidRDefault="006A1374" w:rsidP="006A1374">
            <w:pPr>
              <w:pStyle w:val="Tabletext0"/>
              <w:tabs>
                <w:tab w:val="left" w:pos="958"/>
              </w:tabs>
              <w:rPr>
                <w:rFonts w:cs="Arial"/>
                <w:szCs w:val="16"/>
              </w:rPr>
            </w:pPr>
          </w:p>
        </w:tc>
        <w:tc>
          <w:tcPr>
            <w:tcW w:w="850" w:type="dxa"/>
            <w:shd w:val="clear" w:color="auto" w:fill="auto"/>
            <w:tcMar>
              <w:top w:w="28" w:type="dxa"/>
              <w:left w:w="28" w:type="dxa"/>
            </w:tcMar>
          </w:tcPr>
          <w:p w14:paraId="7CFD266B" w14:textId="7DE3B833" w:rsidR="006A1374" w:rsidRPr="005F0061" w:rsidRDefault="006A1374" w:rsidP="006A1374">
            <w:pPr>
              <w:pStyle w:val="Tabletext0"/>
              <w:rPr>
                <w:rFonts w:cs="Arial"/>
                <w:color w:val="000000" w:themeColor="text1"/>
                <w:szCs w:val="16"/>
              </w:rPr>
            </w:pPr>
            <w:r w:rsidRPr="005F0061">
              <w:rPr>
                <w:rFonts w:cs="Arial"/>
                <w:color w:val="000000" w:themeColor="text1"/>
                <w:szCs w:val="16"/>
              </w:rPr>
              <w:t xml:space="preserve">C11276 </w:t>
            </w:r>
          </w:p>
        </w:tc>
        <w:tc>
          <w:tcPr>
            <w:tcW w:w="850" w:type="dxa"/>
            <w:shd w:val="clear" w:color="auto" w:fill="auto"/>
            <w:tcMar>
              <w:top w:w="28" w:type="dxa"/>
              <w:left w:w="28" w:type="dxa"/>
            </w:tcMar>
          </w:tcPr>
          <w:p w14:paraId="16B7C9E4" w14:textId="77777777" w:rsidR="006A1374" w:rsidRPr="005F0061" w:rsidDel="00E03489" w:rsidRDefault="006A1374" w:rsidP="006A1374">
            <w:pPr>
              <w:spacing w:before="60" w:after="60"/>
              <w:rPr>
                <w:rFonts w:ascii="Arial" w:hAnsi="Arial" w:cs="Arial"/>
                <w:sz w:val="16"/>
                <w:szCs w:val="16"/>
                <w:lang w:eastAsia="en-AU"/>
              </w:rPr>
            </w:pPr>
          </w:p>
        </w:tc>
        <w:tc>
          <w:tcPr>
            <w:tcW w:w="7661" w:type="dxa"/>
            <w:shd w:val="clear" w:color="auto" w:fill="auto"/>
            <w:tcMar>
              <w:top w:w="28" w:type="dxa"/>
              <w:left w:w="28" w:type="dxa"/>
            </w:tcMar>
          </w:tcPr>
          <w:p w14:paraId="23C8DC6A" w14:textId="3BD9F8DB" w:rsidR="006A1374" w:rsidRPr="005F0061" w:rsidRDefault="006A1374" w:rsidP="00294842">
            <w:pPr>
              <w:pStyle w:val="mps3-data"/>
              <w:rPr>
                <w:szCs w:val="16"/>
              </w:rPr>
            </w:pPr>
            <w:r w:rsidRPr="005F0061">
              <w:t>Pulmonary arterial hypertension (PAH</w:t>
            </w:r>
            <w:proofErr w:type="gramStart"/>
            <w:r w:rsidRPr="005F0061">
              <w:t>)</w:t>
            </w:r>
            <w:proofErr w:type="gramEnd"/>
            <w:r w:rsidR="003327A6" w:rsidRPr="005F0061">
              <w:br/>
            </w:r>
            <w:r w:rsidRPr="005F0061">
              <w:t>Initial 3 (dual therapy - change)</w:t>
            </w:r>
            <w:r w:rsidR="003327A6" w:rsidRPr="005F0061">
              <w:br/>
            </w:r>
            <w:r w:rsidRPr="005F0061">
              <w:t>Patient must have had their most recent course of PBS-subsidised dual therapy with a phosphodiesterase-5 inhibitor (PDE-5i) and an endothelin receptor antagonist (ERA) other than this agent for this condition.</w:t>
            </w:r>
            <w:r w:rsidR="003327A6" w:rsidRPr="005F0061">
              <w:br/>
            </w:r>
            <w:r w:rsidRPr="005F0061">
              <w:t>Must be treated by a physician with expertise in the management of PAH, with this authority application to be completed by the physician with expertise in PAH.</w:t>
            </w:r>
            <w:r w:rsidR="003327A6" w:rsidRPr="005F0061">
              <w:br/>
            </w:r>
            <w:r w:rsidRPr="005F0061">
              <w:t xml:space="preserve">The term 'PAH agents' refers to </w:t>
            </w:r>
            <w:proofErr w:type="spellStart"/>
            <w:r w:rsidRPr="005F0061">
              <w:t>bosentan</w:t>
            </w:r>
            <w:proofErr w:type="spellEnd"/>
            <w:r w:rsidRPr="005F0061">
              <w:t xml:space="preserve"> monohydrate, </w:t>
            </w:r>
            <w:proofErr w:type="spellStart"/>
            <w:r w:rsidRPr="005F0061">
              <w:t>iloprost</w:t>
            </w:r>
            <w:proofErr w:type="spellEnd"/>
            <w:r w:rsidRPr="005F0061">
              <w:t xml:space="preserve"> trometamol, </w:t>
            </w:r>
            <w:proofErr w:type="spellStart"/>
            <w:r w:rsidRPr="005F0061">
              <w:t>epoprostenol</w:t>
            </w:r>
            <w:proofErr w:type="spellEnd"/>
            <w:r w:rsidRPr="005F0061">
              <w:t xml:space="preserve"> sodium, sildenafil citrate, </w:t>
            </w:r>
            <w:proofErr w:type="spellStart"/>
            <w:r w:rsidRPr="005F0061">
              <w:t>ambrisentan</w:t>
            </w:r>
            <w:proofErr w:type="spellEnd"/>
            <w:r w:rsidRPr="005F0061">
              <w:t xml:space="preserve">, </w:t>
            </w:r>
            <w:proofErr w:type="spellStart"/>
            <w:r w:rsidRPr="005F0061">
              <w:t>tadalafil</w:t>
            </w:r>
            <w:proofErr w:type="spellEnd"/>
            <w:r w:rsidRPr="005F0061">
              <w:t xml:space="preserve">, </w:t>
            </w:r>
            <w:proofErr w:type="spellStart"/>
            <w:r w:rsidRPr="005F0061">
              <w:t>macitentan</w:t>
            </w:r>
            <w:proofErr w:type="spellEnd"/>
            <w:r w:rsidRPr="005F0061">
              <w:t xml:space="preserve">, and </w:t>
            </w:r>
            <w:proofErr w:type="spellStart"/>
            <w:r w:rsidRPr="005F0061">
              <w:t>riociguat</w:t>
            </w:r>
            <w:proofErr w:type="spellEnd"/>
            <w:r w:rsidRPr="005F0061">
              <w:t>.</w:t>
            </w:r>
            <w:r w:rsidR="003327A6" w:rsidRPr="005F0061">
              <w:br/>
            </w:r>
            <w:r w:rsidRPr="005F0061">
              <w:t>For the purposes of PBS subsidy, dual therapy refers to combined use of an endothelin receptor antagonist (ERA) and a phosphodiesterase-5 inhibitor (PDE-5i).</w:t>
            </w:r>
            <w:r w:rsidR="003327A6" w:rsidRPr="005F0061">
              <w:br/>
            </w:r>
            <w:r w:rsidRPr="005F0061">
              <w:t>(</w:t>
            </w:r>
            <w:proofErr w:type="spellStart"/>
            <w:r w:rsidRPr="005F0061">
              <w:t>i</w:t>
            </w:r>
            <w:proofErr w:type="spellEnd"/>
            <w:r w:rsidRPr="005F0061">
              <w:t xml:space="preserve">) An ERA includes </w:t>
            </w:r>
            <w:proofErr w:type="spellStart"/>
            <w:r w:rsidRPr="005F0061">
              <w:t>ambrisentan</w:t>
            </w:r>
            <w:proofErr w:type="spellEnd"/>
            <w:r w:rsidRPr="005F0061">
              <w:t xml:space="preserve">, </w:t>
            </w:r>
            <w:proofErr w:type="spellStart"/>
            <w:r w:rsidRPr="005F0061">
              <w:t>bosentan</w:t>
            </w:r>
            <w:proofErr w:type="spellEnd"/>
            <w:r w:rsidRPr="005F0061">
              <w:t xml:space="preserve"> monohydrate, or </w:t>
            </w:r>
            <w:proofErr w:type="spellStart"/>
            <w:r w:rsidRPr="005F0061">
              <w:t>macitentan</w:t>
            </w:r>
            <w:proofErr w:type="spellEnd"/>
            <w:r w:rsidRPr="005F0061">
              <w:t>.</w:t>
            </w:r>
            <w:r w:rsidR="003327A6" w:rsidRPr="005F0061">
              <w:br/>
            </w:r>
            <w:r w:rsidRPr="005F0061">
              <w:t xml:space="preserve">(ii) A PDE-5i includes sildenafil citrate, or </w:t>
            </w:r>
            <w:proofErr w:type="spellStart"/>
            <w:r w:rsidRPr="005F0061">
              <w:t>tadalafil</w:t>
            </w:r>
            <w:proofErr w:type="spellEnd"/>
            <w:r w:rsidRPr="005F0061">
              <w:t>.</w:t>
            </w:r>
            <w:r w:rsidR="003327A6" w:rsidRPr="005F0061">
              <w:br/>
            </w:r>
            <w:r w:rsidRPr="005F0061">
              <w:t>PAH agents are not PBS-subsidised for patients with pulmonary hypertension secondary to interstitial lung disease associated with connective tissue disease, where the total lung capacity is less than 70% of predicted.</w:t>
            </w:r>
            <w:r w:rsidR="003327A6" w:rsidRPr="005F0061">
              <w:br/>
            </w:r>
            <w:r w:rsidRPr="005F0061">
              <w:t>Swapping between PAH agents: Patients can access PAH agents through the PBS according to the relevant restrictions.</w:t>
            </w:r>
            <w:r w:rsidR="003327A6" w:rsidRPr="005F0061">
              <w:br/>
            </w:r>
            <w:r w:rsidRPr="005F0061">
              <w:t>Once patients are approved dual therapy with a PAH agent from the PDE-5i class; or a PAH agent from the ERA class, they may swap between PAH agents within the same class. This means that patients may commence treatment with another PAH agent in the same class, subject to that agent's restriction, irrespective of the severity of their disease at the time the application to swap therapy is submitted.</w:t>
            </w:r>
            <w:r w:rsidR="003327A6" w:rsidRPr="005F0061">
              <w:br/>
            </w:r>
            <w:r w:rsidRPr="005F0061">
              <w:t>Applications to swap within a PAH agent class must be made under the relevant initial treatment restriction.</w:t>
            </w:r>
            <w:r w:rsidR="003327A6" w:rsidRPr="005F0061">
              <w:br/>
            </w:r>
            <w:r w:rsidRPr="005F0061">
              <w:t>The maximum quantity authorised will be limited to provide sufficient supply for 1 month of treatment, based on the dosage recommendations in the TGA-approved Product Information.</w:t>
            </w:r>
            <w:r w:rsidR="003327A6" w:rsidRPr="005F0061">
              <w:br/>
            </w:r>
            <w:r w:rsidRPr="005F0061">
              <w:t>A maximum of 5 repeats may be requested.</w:t>
            </w:r>
          </w:p>
        </w:tc>
        <w:tc>
          <w:tcPr>
            <w:tcW w:w="2650" w:type="dxa"/>
            <w:shd w:val="clear" w:color="auto" w:fill="auto"/>
            <w:tcMar>
              <w:top w:w="28" w:type="dxa"/>
              <w:left w:w="28" w:type="dxa"/>
              <w:right w:w="57" w:type="dxa"/>
            </w:tcMar>
          </w:tcPr>
          <w:p w14:paraId="6BBC84E7" w14:textId="55E663C1" w:rsidR="006A1374" w:rsidRPr="005F0061" w:rsidRDefault="006A1374" w:rsidP="006A1374">
            <w:pPr>
              <w:pStyle w:val="Tabletext0"/>
              <w:rPr>
                <w:rFonts w:cs="Arial"/>
                <w:szCs w:val="16"/>
              </w:rPr>
            </w:pPr>
            <w:r w:rsidRPr="005F0061">
              <w:t>Compliance with Authority Required procedure</w:t>
            </w:r>
            <w:r w:rsidR="00B9356C" w:rsidRPr="005F0061">
              <w:t>s</w:t>
            </w:r>
          </w:p>
        </w:tc>
      </w:tr>
      <w:tr w:rsidR="006A1374" w:rsidRPr="005F0061" w14:paraId="0D3367C0" w14:textId="77777777" w:rsidTr="005E778F">
        <w:tc>
          <w:tcPr>
            <w:tcW w:w="1900" w:type="dxa"/>
            <w:shd w:val="clear" w:color="auto" w:fill="auto"/>
            <w:tcMar>
              <w:top w:w="28" w:type="dxa"/>
              <w:left w:w="28" w:type="dxa"/>
            </w:tcMar>
          </w:tcPr>
          <w:p w14:paraId="7230AFC8" w14:textId="77777777" w:rsidR="006A1374" w:rsidRPr="005F0061" w:rsidRDefault="006A1374" w:rsidP="006A1374">
            <w:pPr>
              <w:pStyle w:val="Tabletext0"/>
              <w:tabs>
                <w:tab w:val="left" w:pos="958"/>
              </w:tabs>
              <w:rPr>
                <w:rFonts w:cs="Arial"/>
                <w:szCs w:val="16"/>
              </w:rPr>
            </w:pPr>
          </w:p>
        </w:tc>
        <w:tc>
          <w:tcPr>
            <w:tcW w:w="850" w:type="dxa"/>
            <w:shd w:val="clear" w:color="auto" w:fill="auto"/>
            <w:tcMar>
              <w:top w:w="28" w:type="dxa"/>
              <w:left w:w="28" w:type="dxa"/>
            </w:tcMar>
          </w:tcPr>
          <w:p w14:paraId="50D46FFC" w14:textId="241E6ECC" w:rsidR="006A1374" w:rsidRPr="005F0061" w:rsidRDefault="006A1374" w:rsidP="006A1374">
            <w:pPr>
              <w:pStyle w:val="Tabletext0"/>
              <w:rPr>
                <w:rFonts w:cs="Arial"/>
                <w:color w:val="000000" w:themeColor="text1"/>
                <w:szCs w:val="16"/>
              </w:rPr>
            </w:pPr>
            <w:r w:rsidRPr="005F0061">
              <w:rPr>
                <w:rFonts w:cs="Arial"/>
                <w:color w:val="000000" w:themeColor="text1"/>
                <w:szCs w:val="16"/>
              </w:rPr>
              <w:t>C11285</w:t>
            </w:r>
          </w:p>
        </w:tc>
        <w:tc>
          <w:tcPr>
            <w:tcW w:w="850" w:type="dxa"/>
            <w:shd w:val="clear" w:color="auto" w:fill="auto"/>
            <w:tcMar>
              <w:top w:w="28" w:type="dxa"/>
              <w:left w:w="28" w:type="dxa"/>
            </w:tcMar>
          </w:tcPr>
          <w:p w14:paraId="00D8F8C8" w14:textId="77777777" w:rsidR="006A1374" w:rsidRPr="005F0061" w:rsidDel="00E03489" w:rsidRDefault="006A1374" w:rsidP="006A1374">
            <w:pPr>
              <w:spacing w:before="60" w:after="60"/>
              <w:rPr>
                <w:rFonts w:ascii="Arial" w:hAnsi="Arial" w:cs="Arial"/>
                <w:sz w:val="16"/>
                <w:szCs w:val="16"/>
                <w:lang w:eastAsia="en-AU"/>
              </w:rPr>
            </w:pPr>
          </w:p>
        </w:tc>
        <w:tc>
          <w:tcPr>
            <w:tcW w:w="7661" w:type="dxa"/>
            <w:shd w:val="clear" w:color="auto" w:fill="auto"/>
            <w:tcMar>
              <w:top w:w="28" w:type="dxa"/>
              <w:left w:w="28" w:type="dxa"/>
            </w:tcMar>
          </w:tcPr>
          <w:p w14:paraId="1ECCC928" w14:textId="7B1E5428" w:rsidR="006A1374" w:rsidRPr="005F0061" w:rsidRDefault="006A1374" w:rsidP="006A1374">
            <w:pPr>
              <w:pStyle w:val="mps3-data"/>
              <w:rPr>
                <w:szCs w:val="16"/>
              </w:rPr>
            </w:pPr>
            <w:r w:rsidRPr="005F0061">
              <w:t>Pulmonary arterial hypertension (PAH</w:t>
            </w:r>
            <w:proofErr w:type="gramStart"/>
            <w:r w:rsidRPr="005F0061">
              <w:t>)</w:t>
            </w:r>
            <w:proofErr w:type="gramEnd"/>
            <w:r w:rsidR="003327A6" w:rsidRPr="005F0061">
              <w:br/>
            </w:r>
            <w:r w:rsidRPr="005F0061">
              <w:t>Continuing treatment (dual therapy)</w:t>
            </w:r>
            <w:r w:rsidR="003327A6" w:rsidRPr="005F0061">
              <w:br/>
            </w:r>
            <w:r w:rsidRPr="005F0061">
              <w:t>Patient must have received their most recent course of PBS-subsidised dual therapy with this PAH agent and a phosphodiesterase-5 inhibitor (PDE-5i) for this condition.</w:t>
            </w:r>
            <w:r w:rsidR="003327A6" w:rsidRPr="005F0061">
              <w:br/>
            </w:r>
            <w:r w:rsidRPr="005F0061">
              <w:t>Must be treated by a physician with expertise in the management of PAH, with this authority application to be completed by the physician with expertise in PAH.</w:t>
            </w:r>
            <w:r w:rsidR="003327A6" w:rsidRPr="005F0061">
              <w:br/>
            </w:r>
            <w:r w:rsidRPr="005F0061">
              <w:t xml:space="preserve">The term 'PAH agents' refers to </w:t>
            </w:r>
            <w:proofErr w:type="spellStart"/>
            <w:r w:rsidRPr="005F0061">
              <w:t>bosentan</w:t>
            </w:r>
            <w:proofErr w:type="spellEnd"/>
            <w:r w:rsidRPr="005F0061">
              <w:t xml:space="preserve"> monohydrate, </w:t>
            </w:r>
            <w:proofErr w:type="spellStart"/>
            <w:r w:rsidRPr="005F0061">
              <w:t>iloprost</w:t>
            </w:r>
            <w:proofErr w:type="spellEnd"/>
            <w:r w:rsidRPr="005F0061">
              <w:t xml:space="preserve"> trometamol, </w:t>
            </w:r>
            <w:proofErr w:type="spellStart"/>
            <w:r w:rsidRPr="005F0061">
              <w:t>epoprostenol</w:t>
            </w:r>
            <w:proofErr w:type="spellEnd"/>
            <w:r w:rsidRPr="005F0061">
              <w:t xml:space="preserve"> sodium, sildenafil citrate, </w:t>
            </w:r>
            <w:proofErr w:type="spellStart"/>
            <w:r w:rsidRPr="005F0061">
              <w:t>ambrisentan</w:t>
            </w:r>
            <w:proofErr w:type="spellEnd"/>
            <w:r w:rsidRPr="005F0061">
              <w:t xml:space="preserve">, </w:t>
            </w:r>
            <w:proofErr w:type="spellStart"/>
            <w:r w:rsidRPr="005F0061">
              <w:t>tadalafil</w:t>
            </w:r>
            <w:proofErr w:type="spellEnd"/>
            <w:r w:rsidRPr="005F0061">
              <w:t xml:space="preserve">, </w:t>
            </w:r>
            <w:proofErr w:type="spellStart"/>
            <w:r w:rsidRPr="005F0061">
              <w:t>macitentan</w:t>
            </w:r>
            <w:proofErr w:type="spellEnd"/>
            <w:r w:rsidRPr="005F0061">
              <w:t xml:space="preserve">, and </w:t>
            </w:r>
            <w:proofErr w:type="spellStart"/>
            <w:r w:rsidRPr="005F0061">
              <w:t>riociguat</w:t>
            </w:r>
            <w:proofErr w:type="spellEnd"/>
            <w:r w:rsidRPr="005F0061">
              <w:t>.</w:t>
            </w:r>
            <w:r w:rsidR="003327A6" w:rsidRPr="005F0061">
              <w:br/>
            </w:r>
            <w:r w:rsidRPr="005F0061">
              <w:t>For the purposes of PBS subsidy, dual therapy refers to combined use of an endothelin receptor antagonist (ERA) and a phosphodiesterase-5 inhibitor (PDE-5i).</w:t>
            </w:r>
            <w:r w:rsidR="003327A6" w:rsidRPr="005F0061">
              <w:br/>
            </w:r>
            <w:r w:rsidRPr="005F0061">
              <w:t>(</w:t>
            </w:r>
            <w:proofErr w:type="spellStart"/>
            <w:r w:rsidRPr="005F0061">
              <w:t>i</w:t>
            </w:r>
            <w:proofErr w:type="spellEnd"/>
            <w:r w:rsidRPr="005F0061">
              <w:t xml:space="preserve">) An ERA includes </w:t>
            </w:r>
            <w:proofErr w:type="spellStart"/>
            <w:r w:rsidRPr="005F0061">
              <w:t>ambrisentan</w:t>
            </w:r>
            <w:proofErr w:type="spellEnd"/>
            <w:r w:rsidRPr="005F0061">
              <w:t xml:space="preserve">, </w:t>
            </w:r>
            <w:proofErr w:type="spellStart"/>
            <w:r w:rsidRPr="005F0061">
              <w:t>bosentan</w:t>
            </w:r>
            <w:proofErr w:type="spellEnd"/>
            <w:r w:rsidRPr="005F0061">
              <w:t xml:space="preserve"> monohydrate, or </w:t>
            </w:r>
            <w:proofErr w:type="spellStart"/>
            <w:r w:rsidRPr="005F0061">
              <w:t>macitentan</w:t>
            </w:r>
            <w:proofErr w:type="spellEnd"/>
            <w:r w:rsidRPr="005F0061">
              <w:t>.</w:t>
            </w:r>
            <w:r w:rsidR="003327A6" w:rsidRPr="005F0061">
              <w:br/>
            </w:r>
            <w:r w:rsidRPr="005F0061">
              <w:t xml:space="preserve">(ii) A PDE-5i includes sildenafil citrate, or </w:t>
            </w:r>
            <w:proofErr w:type="spellStart"/>
            <w:r w:rsidRPr="005F0061">
              <w:t>tadalafil</w:t>
            </w:r>
            <w:proofErr w:type="spellEnd"/>
            <w:r w:rsidRPr="005F0061">
              <w:t>.</w:t>
            </w:r>
            <w:r w:rsidR="003327A6" w:rsidRPr="005F0061">
              <w:br/>
            </w:r>
            <w:r w:rsidRPr="005F0061">
              <w:t>PAH agents are not PBS-subsidised for patients with pulmonary hypertension secondary to interstitial lung disease associated with connective tissue disease, where the total lung capacity is less than 70% of predicted.</w:t>
            </w:r>
            <w:r w:rsidR="003327A6" w:rsidRPr="005F0061">
              <w:br/>
            </w:r>
            <w:r w:rsidRPr="005F0061">
              <w:t xml:space="preserve">The maximum quantity authorised will be limited to provide sufficient supply for 1 month of treatment, </w:t>
            </w:r>
            <w:r w:rsidRPr="005F0061">
              <w:lastRenderedPageBreak/>
              <w:t>based on the dosage recommendations in the TGA-approved Product Information.</w:t>
            </w:r>
            <w:r w:rsidR="003327A6" w:rsidRPr="005F0061">
              <w:br/>
            </w:r>
            <w:r w:rsidRPr="005F0061">
              <w:t>A maximum of 5 repeats may be requested.</w:t>
            </w:r>
          </w:p>
        </w:tc>
        <w:tc>
          <w:tcPr>
            <w:tcW w:w="2650" w:type="dxa"/>
            <w:shd w:val="clear" w:color="auto" w:fill="auto"/>
            <w:tcMar>
              <w:top w:w="28" w:type="dxa"/>
              <w:left w:w="28" w:type="dxa"/>
              <w:right w:w="57" w:type="dxa"/>
            </w:tcMar>
          </w:tcPr>
          <w:p w14:paraId="314DB55C" w14:textId="0BEF03FA" w:rsidR="006A1374" w:rsidRPr="005F0061" w:rsidRDefault="006A1374" w:rsidP="006A1374">
            <w:pPr>
              <w:pStyle w:val="Tabletext0"/>
              <w:rPr>
                <w:rFonts w:cs="Arial"/>
                <w:szCs w:val="16"/>
              </w:rPr>
            </w:pPr>
            <w:r w:rsidRPr="005F0061">
              <w:lastRenderedPageBreak/>
              <w:t>Compliance with Authority Required procedure</w:t>
            </w:r>
            <w:r w:rsidR="00B9356C" w:rsidRPr="005F0061">
              <w:t>s</w:t>
            </w:r>
          </w:p>
        </w:tc>
      </w:tr>
    </w:tbl>
    <w:p w14:paraId="41963A02" w14:textId="450FC258" w:rsidR="00F84CB0" w:rsidRPr="005F0061" w:rsidRDefault="005E778F" w:rsidP="00A1440E">
      <w:pPr>
        <w:pStyle w:val="Amendment1"/>
        <w:numPr>
          <w:ilvl w:val="0"/>
          <w:numId w:val="10"/>
        </w:numPr>
        <w:spacing w:before="60" w:after="60"/>
        <w:ind w:left="1134" w:hanging="567"/>
        <w:rPr>
          <w:bCs w:val="0"/>
          <w:iCs/>
        </w:rPr>
      </w:pPr>
      <w:r w:rsidRPr="005F0061">
        <w:rPr>
          <w:bCs w:val="0"/>
          <w:iCs/>
        </w:rPr>
        <w:t xml:space="preserve">Schedule 3, entry for </w:t>
      </w:r>
      <w:proofErr w:type="spellStart"/>
      <w:r w:rsidR="006A7C42" w:rsidRPr="005F0061">
        <w:rPr>
          <w:bCs w:val="0"/>
          <w:iCs/>
        </w:rPr>
        <w:t>Romiplostim</w:t>
      </w:r>
      <w:proofErr w:type="spellEnd"/>
    </w:p>
    <w:p w14:paraId="7D02F694" w14:textId="77777777" w:rsidR="003C129B" w:rsidRPr="005F0061" w:rsidRDefault="003C129B" w:rsidP="00A1440E">
      <w:pPr>
        <w:pStyle w:val="Amendment1"/>
        <w:numPr>
          <w:ilvl w:val="0"/>
          <w:numId w:val="0"/>
        </w:numPr>
        <w:spacing w:before="60" w:after="60"/>
        <w:ind w:left="1134" w:hanging="567"/>
        <w:rPr>
          <w:i/>
        </w:rPr>
      </w:pPr>
      <w:proofErr w:type="gramStart"/>
      <w:r w:rsidRPr="005F0061">
        <w:rPr>
          <w:rFonts w:ascii="Times New Roman" w:hAnsi="Times New Roman" w:cs="Times New Roman"/>
          <w:b w:val="0"/>
          <w:i/>
        </w:rPr>
        <w:t>substitute</w:t>
      </w:r>
      <w:proofErr w:type="gramEnd"/>
      <w:r w:rsidRPr="005F0061">
        <w:rPr>
          <w:rFonts w:ascii="Times New Roman" w:hAnsi="Times New Roman" w:cs="Times New Roman"/>
          <w:b w:val="0"/>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152473" w:rsidRPr="005F0061" w14:paraId="071FD24D" w14:textId="77777777" w:rsidTr="005E778F">
        <w:tc>
          <w:tcPr>
            <w:tcW w:w="1900" w:type="dxa"/>
            <w:shd w:val="clear" w:color="auto" w:fill="auto"/>
            <w:tcMar>
              <w:top w:w="28" w:type="dxa"/>
              <w:left w:w="28" w:type="dxa"/>
            </w:tcMar>
          </w:tcPr>
          <w:p w14:paraId="0B64C431" w14:textId="556AA02A" w:rsidR="00152473" w:rsidRPr="005F0061" w:rsidRDefault="00152473" w:rsidP="00152473">
            <w:pPr>
              <w:pStyle w:val="Tabletext0"/>
              <w:tabs>
                <w:tab w:val="left" w:pos="958"/>
              </w:tabs>
              <w:rPr>
                <w:rFonts w:cs="Arial"/>
                <w:szCs w:val="16"/>
              </w:rPr>
            </w:pPr>
            <w:proofErr w:type="spellStart"/>
            <w:r w:rsidRPr="005F0061">
              <w:rPr>
                <w:bCs/>
                <w:iCs/>
              </w:rPr>
              <w:t>Romiplostim</w:t>
            </w:r>
            <w:proofErr w:type="spellEnd"/>
          </w:p>
        </w:tc>
        <w:tc>
          <w:tcPr>
            <w:tcW w:w="850" w:type="dxa"/>
            <w:shd w:val="clear" w:color="auto" w:fill="auto"/>
            <w:tcMar>
              <w:top w:w="28" w:type="dxa"/>
              <w:left w:w="28" w:type="dxa"/>
            </w:tcMar>
          </w:tcPr>
          <w:p w14:paraId="33C74007" w14:textId="2B1A8B16" w:rsidR="00152473" w:rsidRPr="005F0061" w:rsidRDefault="00152473" w:rsidP="00152473">
            <w:pPr>
              <w:pStyle w:val="Tabletext0"/>
              <w:rPr>
                <w:rFonts w:cs="Arial"/>
                <w:szCs w:val="16"/>
              </w:rPr>
            </w:pPr>
            <w:r w:rsidRPr="005F0061">
              <w:t>C11205</w:t>
            </w:r>
            <w:r w:rsidRPr="005F0061">
              <w:rPr>
                <w:color w:val="0000FF"/>
                <w:szCs w:val="16"/>
              </w:rPr>
              <w:t xml:space="preserve"> </w:t>
            </w:r>
          </w:p>
        </w:tc>
        <w:tc>
          <w:tcPr>
            <w:tcW w:w="850" w:type="dxa"/>
            <w:shd w:val="clear" w:color="auto" w:fill="auto"/>
            <w:tcMar>
              <w:top w:w="28" w:type="dxa"/>
              <w:left w:w="28" w:type="dxa"/>
            </w:tcMar>
          </w:tcPr>
          <w:p w14:paraId="7DF0172B" w14:textId="77777777" w:rsidR="00152473" w:rsidRPr="005F0061" w:rsidDel="00E03489" w:rsidRDefault="00152473" w:rsidP="00152473">
            <w:pPr>
              <w:spacing w:before="60" w:after="60"/>
              <w:rPr>
                <w:rFonts w:ascii="Arial" w:hAnsi="Arial" w:cs="Arial"/>
                <w:sz w:val="16"/>
                <w:szCs w:val="16"/>
                <w:lang w:eastAsia="en-AU"/>
              </w:rPr>
            </w:pPr>
          </w:p>
        </w:tc>
        <w:tc>
          <w:tcPr>
            <w:tcW w:w="7661" w:type="dxa"/>
            <w:shd w:val="clear" w:color="auto" w:fill="auto"/>
            <w:tcMar>
              <w:top w:w="28" w:type="dxa"/>
              <w:left w:w="28" w:type="dxa"/>
            </w:tcMar>
          </w:tcPr>
          <w:p w14:paraId="7EB5C986" w14:textId="751F1B70" w:rsidR="00152473" w:rsidRPr="005F0061" w:rsidRDefault="00152473" w:rsidP="00152473">
            <w:pPr>
              <w:pStyle w:val="mps3-data"/>
              <w:rPr>
                <w:szCs w:val="16"/>
              </w:rPr>
            </w:pPr>
            <w:r w:rsidRPr="005F0061">
              <w:t>Severe thrombocytopenia</w:t>
            </w:r>
            <w:r w:rsidR="003327A6" w:rsidRPr="005F0061">
              <w:br/>
            </w:r>
            <w:r w:rsidRPr="005F0061">
              <w:t>Initial treatment 2 - New patient</w:t>
            </w:r>
            <w:r w:rsidR="003327A6" w:rsidRPr="005F0061">
              <w:br/>
            </w:r>
            <w:r w:rsidRPr="005F0061">
              <w:t>The condition must be severe chronic immune (idiopathic) thrombocytopenic purpura (ITP); AND</w:t>
            </w:r>
            <w:r w:rsidR="003327A6" w:rsidRPr="005F0061">
              <w:br/>
            </w:r>
            <w:r w:rsidRPr="005F0061">
              <w:t>Patient must not have had a splenectomy; AND</w:t>
            </w:r>
            <w:r w:rsidR="003327A6" w:rsidRPr="005F0061">
              <w:br/>
            </w:r>
            <w:r w:rsidRPr="005F0061">
              <w:t>Patient must have failed to achieve an adequate response to, or be intolerant to, corticosteroid therapy at a dose equivalent to 0.5-2 mg/kg/day of prednisone for at least 4-6 weeks; AND</w:t>
            </w:r>
            <w:r w:rsidR="003327A6" w:rsidRPr="005F0061">
              <w:br/>
            </w:r>
            <w:r w:rsidRPr="005F0061">
              <w:t>Patient must have failed to achieve an adequate response to, or be intolerant to, immunoglobulin therapy; AND</w:t>
            </w:r>
            <w:r w:rsidR="003327A6" w:rsidRPr="005F0061">
              <w:br/>
            </w:r>
            <w:r w:rsidRPr="005F0061">
              <w:t>Patient must be unsuitable for splenectomy due to medical reasons; AND</w:t>
            </w:r>
            <w:r w:rsidR="003327A6" w:rsidRPr="005F0061">
              <w:br/>
            </w:r>
            <w:r w:rsidRPr="005F0061">
              <w:t xml:space="preserve">The treatment must be the sole PBS-subsidised </w:t>
            </w:r>
            <w:proofErr w:type="spellStart"/>
            <w:r w:rsidRPr="005F0061">
              <w:t>thrombopoietin</w:t>
            </w:r>
            <w:proofErr w:type="spellEnd"/>
            <w:r w:rsidRPr="005F0061">
              <w:t xml:space="preserve"> receptor agonist (TRA) for this condition.</w:t>
            </w:r>
            <w:r w:rsidR="003327A6" w:rsidRPr="005F0061">
              <w:br/>
            </w:r>
            <w:r w:rsidRPr="005F0061">
              <w:t>Patient must be aged 18 years or older.</w:t>
            </w:r>
            <w:r w:rsidR="003327A6" w:rsidRPr="005F0061">
              <w:br/>
            </w:r>
            <w:r w:rsidRPr="005F0061">
              <w:t>The following criteria indicate failure to achieve an adequate response and must be demonstrated at the time of initial application</w:t>
            </w:r>
            <w:proofErr w:type="gramStart"/>
            <w:r w:rsidRPr="005F0061">
              <w:t>;</w:t>
            </w:r>
            <w:proofErr w:type="gramEnd"/>
            <w:r w:rsidR="003327A6" w:rsidRPr="005F0061">
              <w:br/>
            </w:r>
            <w:r w:rsidRPr="005F0061">
              <w:t>(a) a platelet count of less than or equal to 20,000 million per L; OR</w:t>
            </w:r>
            <w:r w:rsidR="003327A6" w:rsidRPr="005F0061">
              <w:br/>
            </w:r>
            <w:r w:rsidRPr="005F0061">
              <w:t>(b) a platelet count of 20,000 million to 30,000 million per L, where the patient is experiencing significant bleeding or has a history of significant bleeding in this platelet range.</w:t>
            </w:r>
            <w:r w:rsidR="003327A6" w:rsidRPr="005F0061">
              <w:br/>
            </w:r>
            <w:r w:rsidRPr="005F0061">
              <w:t>Where intolerance to treatment with corticosteroid and immunoglobulin therapy developed during the relevant period of use, which was of a severity to necessitate permanent treatment withdrawal, details of the degree of this toxicity must be provided at the time of application.</w:t>
            </w:r>
            <w:r w:rsidR="003327A6" w:rsidRPr="005F0061">
              <w:br/>
            </w:r>
            <w:r w:rsidRPr="005F0061">
              <w:t>At the time of the written authority application, medical practitioners should request the appropriate quantity of vials of appropriate strength to provide sufficient drug for a single treatment at a dose of 1 microgram/kg. Up to 1 repeat may be requested with the initial written application.</w:t>
            </w:r>
            <w:r w:rsidR="003327A6" w:rsidRPr="005F0061">
              <w:br/>
            </w:r>
            <w:r w:rsidRPr="005F0061">
              <w:t>Subsequently during the initial period of dose titration, authority applications for a single dose and up to 1 repeat may be requested by telephone. The dose (microgram/kg/week) must be provided at the time of application.</w:t>
            </w:r>
            <w:r w:rsidR="003327A6" w:rsidRPr="005F0061">
              <w:br/>
            </w:r>
            <w:r w:rsidRPr="005F0061">
              <w:t>Once a patient's dose has been stable for a period of 4 weeks, authority approvals for sufficient vials of appropriate strength based on the weight of the patient and dose (microgram/kg/week) for up to 4 weeks of treatment and up to 4 repeats may be granted, as long as the total period of treatment authorised under this restriction does not exceed 24 weeks.</w:t>
            </w:r>
            <w:r w:rsidR="003327A6" w:rsidRPr="005F0061">
              <w:br/>
            </w:r>
            <w:r w:rsidRPr="005F0061">
              <w:t>Authority approval will not be given for doses higher than 10 micrograms/kg/week</w:t>
            </w:r>
            <w:r w:rsidR="003327A6" w:rsidRPr="005F0061">
              <w:br/>
            </w:r>
            <w:r w:rsidRPr="005F0061">
              <w:t>The authority application must be made in writing and must include</w:t>
            </w:r>
            <w:proofErr w:type="gramStart"/>
            <w:r w:rsidRPr="005F0061">
              <w:t>:</w:t>
            </w:r>
            <w:proofErr w:type="gramEnd"/>
            <w:r w:rsidR="003327A6" w:rsidRPr="005F0061">
              <w:br/>
            </w:r>
            <w:r w:rsidRPr="005F0061">
              <w:t>(1) a completed authority prescription form,</w:t>
            </w:r>
            <w:r w:rsidR="003327A6" w:rsidRPr="005F0061">
              <w:br/>
            </w:r>
            <w:r w:rsidRPr="005F0061">
              <w:t>(2) a completed Idiopathic Thrombocytopenic Purpura Initial PBS Authority Application - Supporting Information Form,</w:t>
            </w:r>
            <w:r w:rsidR="003327A6" w:rsidRPr="005F0061">
              <w:br/>
            </w:r>
            <w:r w:rsidRPr="005F0061">
              <w:t>(3) details of a platelet count supporting the diagnosis of ITP, and</w:t>
            </w:r>
            <w:r w:rsidR="003327A6" w:rsidRPr="005F0061">
              <w:br/>
            </w:r>
            <w:r w:rsidRPr="005F0061">
              <w:t>(4) details of the reason of medical contraindication for surgery and date of assessment.</w:t>
            </w:r>
            <w:r w:rsidR="003327A6" w:rsidRPr="005F0061">
              <w:br/>
            </w:r>
            <w:r w:rsidRPr="005F0061">
              <w:t>The platelet count must be no more than 4 weeks old at the time of application.</w:t>
            </w:r>
            <w:r w:rsidR="003327A6" w:rsidRPr="005F0061">
              <w:br/>
            </w:r>
            <w:r w:rsidRPr="005F0061">
              <w:t xml:space="preserve">Patients will be able to trial either </w:t>
            </w:r>
            <w:proofErr w:type="spellStart"/>
            <w:r w:rsidRPr="005F0061">
              <w:t>eltrombopag</w:t>
            </w:r>
            <w:proofErr w:type="spellEnd"/>
            <w:r w:rsidRPr="005F0061">
              <w:t xml:space="preserve"> or </w:t>
            </w:r>
            <w:proofErr w:type="spellStart"/>
            <w:r w:rsidRPr="005F0061">
              <w:t>romiplostim</w:t>
            </w:r>
            <w:proofErr w:type="spellEnd"/>
            <w:r w:rsidRPr="005F0061">
              <w:t xml:space="preserve"> within the initial 24 weeks treatment period. Where a patient has started initial treatment with one of the two agents, change of therapy to the alternative agent may be authorised under the Balance of supply or change of therapy restriction to complete up to 24 weeks initial treatment. Patients who fail to demonstrate a response to treatment with </w:t>
            </w:r>
            <w:proofErr w:type="spellStart"/>
            <w:r w:rsidRPr="005F0061">
              <w:t>eltrombopag</w:t>
            </w:r>
            <w:proofErr w:type="spellEnd"/>
            <w:r w:rsidRPr="005F0061">
              <w:t xml:space="preserve"> and/or </w:t>
            </w:r>
            <w:proofErr w:type="spellStart"/>
            <w:r w:rsidRPr="005F0061">
              <w:t>romiplostim</w:t>
            </w:r>
            <w:proofErr w:type="spellEnd"/>
            <w:r w:rsidRPr="005F0061">
              <w:t xml:space="preserve"> after completion of 24 weeks initial therapy will not be eligible to receive further PBS-subsidised treatment with either of these drugs.</w:t>
            </w:r>
          </w:p>
        </w:tc>
        <w:tc>
          <w:tcPr>
            <w:tcW w:w="2650" w:type="dxa"/>
            <w:shd w:val="clear" w:color="auto" w:fill="auto"/>
            <w:tcMar>
              <w:top w:w="28" w:type="dxa"/>
              <w:left w:w="28" w:type="dxa"/>
              <w:right w:w="57" w:type="dxa"/>
            </w:tcMar>
          </w:tcPr>
          <w:p w14:paraId="1F011217" w14:textId="309982EB" w:rsidR="00152473" w:rsidRPr="005F0061" w:rsidRDefault="00152473" w:rsidP="00152473">
            <w:pPr>
              <w:pStyle w:val="Tabletext0"/>
              <w:rPr>
                <w:rFonts w:cs="Arial"/>
                <w:szCs w:val="16"/>
              </w:rPr>
            </w:pPr>
            <w:r w:rsidRPr="005F0061">
              <w:rPr>
                <w:rFonts w:eastAsia="SimSun" w:cs="Arial"/>
                <w:szCs w:val="16"/>
                <w:lang w:eastAsia="zh-CN"/>
              </w:rPr>
              <w:t xml:space="preserve">Compliance with </w:t>
            </w:r>
            <w:r w:rsidR="00B9356C" w:rsidRPr="005F0061">
              <w:rPr>
                <w:rFonts w:eastAsia="SimSun" w:cs="Arial"/>
                <w:szCs w:val="16"/>
                <w:lang w:eastAsia="zh-CN"/>
              </w:rPr>
              <w:t xml:space="preserve">Written </w:t>
            </w:r>
            <w:r w:rsidRPr="005F0061">
              <w:rPr>
                <w:rFonts w:eastAsia="SimSun" w:cs="Arial"/>
                <w:szCs w:val="16"/>
                <w:lang w:eastAsia="zh-CN"/>
              </w:rPr>
              <w:t>Authority Required procedures</w:t>
            </w:r>
            <w:r w:rsidR="003327A6" w:rsidRPr="005F0061">
              <w:rPr>
                <w:rFonts w:eastAsia="SimSun" w:cs="Arial"/>
                <w:szCs w:val="16"/>
                <w:lang w:eastAsia="zh-CN"/>
              </w:rPr>
              <w:br/>
            </w:r>
          </w:p>
        </w:tc>
      </w:tr>
      <w:tr w:rsidR="00152473" w:rsidRPr="005F0061" w14:paraId="27091FEC" w14:textId="77777777" w:rsidTr="005E778F">
        <w:tc>
          <w:tcPr>
            <w:tcW w:w="1900" w:type="dxa"/>
            <w:shd w:val="clear" w:color="auto" w:fill="auto"/>
            <w:tcMar>
              <w:top w:w="28" w:type="dxa"/>
              <w:left w:w="28" w:type="dxa"/>
            </w:tcMar>
          </w:tcPr>
          <w:p w14:paraId="0ADF28FD" w14:textId="77777777" w:rsidR="00152473" w:rsidRPr="005F0061" w:rsidRDefault="00152473" w:rsidP="00152473">
            <w:pPr>
              <w:pStyle w:val="Tabletext0"/>
              <w:tabs>
                <w:tab w:val="left" w:pos="958"/>
              </w:tabs>
              <w:rPr>
                <w:rFonts w:cs="Arial"/>
                <w:szCs w:val="16"/>
              </w:rPr>
            </w:pPr>
          </w:p>
        </w:tc>
        <w:tc>
          <w:tcPr>
            <w:tcW w:w="850" w:type="dxa"/>
            <w:shd w:val="clear" w:color="auto" w:fill="auto"/>
            <w:tcMar>
              <w:top w:w="28" w:type="dxa"/>
              <w:left w:w="28" w:type="dxa"/>
            </w:tcMar>
          </w:tcPr>
          <w:p w14:paraId="2E343007" w14:textId="79D087CF" w:rsidR="00152473" w:rsidRPr="005F0061" w:rsidRDefault="00152473" w:rsidP="00152473">
            <w:pPr>
              <w:pStyle w:val="Tabletext0"/>
              <w:rPr>
                <w:rFonts w:cs="Arial"/>
                <w:szCs w:val="16"/>
              </w:rPr>
            </w:pPr>
            <w:r w:rsidRPr="005F0061">
              <w:t>C11246</w:t>
            </w:r>
          </w:p>
        </w:tc>
        <w:tc>
          <w:tcPr>
            <w:tcW w:w="850" w:type="dxa"/>
            <w:shd w:val="clear" w:color="auto" w:fill="auto"/>
            <w:tcMar>
              <w:top w:w="28" w:type="dxa"/>
              <w:left w:w="28" w:type="dxa"/>
            </w:tcMar>
          </w:tcPr>
          <w:p w14:paraId="23234646" w14:textId="77777777" w:rsidR="00152473" w:rsidRPr="005F0061" w:rsidDel="00E03489" w:rsidRDefault="00152473" w:rsidP="00152473">
            <w:pPr>
              <w:spacing w:before="60" w:after="60"/>
              <w:rPr>
                <w:rFonts w:ascii="Arial" w:hAnsi="Arial" w:cs="Arial"/>
                <w:sz w:val="16"/>
                <w:szCs w:val="16"/>
                <w:lang w:eastAsia="en-AU"/>
              </w:rPr>
            </w:pPr>
          </w:p>
        </w:tc>
        <w:tc>
          <w:tcPr>
            <w:tcW w:w="7661" w:type="dxa"/>
            <w:shd w:val="clear" w:color="auto" w:fill="auto"/>
            <w:tcMar>
              <w:top w:w="28" w:type="dxa"/>
              <w:left w:w="28" w:type="dxa"/>
            </w:tcMar>
          </w:tcPr>
          <w:p w14:paraId="1B4BBB15" w14:textId="29A520EB" w:rsidR="00152473" w:rsidRPr="005F0061" w:rsidRDefault="00152473" w:rsidP="00152473">
            <w:pPr>
              <w:spacing w:before="60" w:after="60"/>
              <w:rPr>
                <w:rFonts w:ascii="Arial" w:hAnsi="Arial" w:cs="Arial"/>
                <w:sz w:val="16"/>
                <w:szCs w:val="16"/>
              </w:rPr>
            </w:pPr>
            <w:r w:rsidRPr="005F0061">
              <w:rPr>
                <w:rFonts w:ascii="Arial" w:hAnsi="Arial" w:cs="Arial"/>
                <w:sz w:val="16"/>
                <w:szCs w:val="16"/>
              </w:rPr>
              <w:t>Severe thrombocytopenia</w:t>
            </w:r>
            <w:r w:rsidR="003327A6" w:rsidRPr="005F0061">
              <w:rPr>
                <w:rFonts w:ascii="Arial" w:hAnsi="Arial" w:cs="Arial"/>
                <w:sz w:val="16"/>
                <w:szCs w:val="16"/>
              </w:rPr>
              <w:br/>
            </w:r>
            <w:r w:rsidRPr="005F0061">
              <w:rPr>
                <w:rFonts w:ascii="Arial" w:hAnsi="Arial" w:cs="Arial"/>
                <w:sz w:val="16"/>
                <w:szCs w:val="16"/>
              </w:rPr>
              <w:t>Balance of supply or change of therapy within 24 weeks initial treatment</w:t>
            </w:r>
            <w:r w:rsidR="003327A6" w:rsidRPr="005F0061">
              <w:rPr>
                <w:rFonts w:ascii="Arial" w:hAnsi="Arial" w:cs="Arial"/>
                <w:sz w:val="16"/>
                <w:szCs w:val="16"/>
              </w:rPr>
              <w:br/>
            </w:r>
            <w:r w:rsidRPr="005F0061">
              <w:rPr>
                <w:rFonts w:ascii="Arial" w:hAnsi="Arial" w:cs="Arial"/>
                <w:sz w:val="16"/>
                <w:szCs w:val="16"/>
              </w:rPr>
              <w:t>The condition must be severe chronic immune (idiopathic) thrombocytopenic purpura (ITP); AND</w:t>
            </w:r>
            <w:r w:rsidR="003327A6" w:rsidRPr="005F0061">
              <w:rPr>
                <w:rFonts w:ascii="Arial" w:hAnsi="Arial" w:cs="Arial"/>
                <w:sz w:val="16"/>
                <w:szCs w:val="16"/>
              </w:rPr>
              <w:br/>
            </w:r>
            <w:r w:rsidRPr="005F0061">
              <w:rPr>
                <w:rFonts w:ascii="Arial" w:hAnsi="Arial" w:cs="Arial"/>
                <w:sz w:val="16"/>
                <w:szCs w:val="16"/>
              </w:rPr>
              <w:t xml:space="preserve">The treatment must be the sole PBS-subsidised </w:t>
            </w:r>
            <w:proofErr w:type="spellStart"/>
            <w:r w:rsidRPr="005F0061">
              <w:rPr>
                <w:rFonts w:ascii="Arial" w:hAnsi="Arial" w:cs="Arial"/>
                <w:sz w:val="16"/>
                <w:szCs w:val="16"/>
              </w:rPr>
              <w:t>thrombopoietin</w:t>
            </w:r>
            <w:proofErr w:type="spellEnd"/>
            <w:r w:rsidRPr="005F0061">
              <w:rPr>
                <w:rFonts w:ascii="Arial" w:hAnsi="Arial" w:cs="Arial"/>
                <w:sz w:val="16"/>
                <w:szCs w:val="16"/>
              </w:rPr>
              <w:t xml:space="preserve"> receptor agonist (TRA) for this condition; AND</w:t>
            </w:r>
            <w:r w:rsidR="003327A6" w:rsidRPr="005F0061">
              <w:rPr>
                <w:rFonts w:ascii="Arial" w:hAnsi="Arial" w:cs="Arial"/>
                <w:sz w:val="16"/>
                <w:szCs w:val="16"/>
              </w:rPr>
              <w:br/>
            </w:r>
            <w:r w:rsidRPr="005F0061">
              <w:rPr>
                <w:rFonts w:ascii="Arial" w:hAnsi="Arial" w:cs="Arial"/>
                <w:sz w:val="16"/>
                <w:szCs w:val="16"/>
              </w:rPr>
              <w:t>Patient must have received insufficient therapy with this drug for this condition under the Initial 1 restriction to complete 24 weeks treatment; OR</w:t>
            </w:r>
            <w:r w:rsidR="003327A6" w:rsidRPr="005F0061">
              <w:rPr>
                <w:rFonts w:ascii="Arial" w:hAnsi="Arial" w:cs="Arial"/>
                <w:sz w:val="16"/>
                <w:szCs w:val="16"/>
              </w:rPr>
              <w:br/>
            </w:r>
            <w:r w:rsidRPr="005F0061">
              <w:rPr>
                <w:rFonts w:ascii="Arial" w:hAnsi="Arial" w:cs="Arial"/>
                <w:sz w:val="16"/>
                <w:szCs w:val="16"/>
              </w:rPr>
              <w:t>Patient must have received insufficient therapy with this drug for this condition under the Initial 2 restriction to complete 24 weeks treatment; OR</w:t>
            </w:r>
            <w:r w:rsidR="003327A6" w:rsidRPr="005F0061">
              <w:rPr>
                <w:rFonts w:ascii="Arial" w:hAnsi="Arial" w:cs="Arial"/>
                <w:sz w:val="16"/>
                <w:szCs w:val="16"/>
              </w:rPr>
              <w:br/>
            </w:r>
            <w:r w:rsidRPr="005F0061">
              <w:rPr>
                <w:rFonts w:ascii="Arial" w:hAnsi="Arial" w:cs="Arial"/>
                <w:sz w:val="16"/>
                <w:szCs w:val="16"/>
              </w:rPr>
              <w:t xml:space="preserve">Patient must be swapping therapy from </w:t>
            </w:r>
            <w:proofErr w:type="spellStart"/>
            <w:r w:rsidRPr="005F0061">
              <w:rPr>
                <w:rFonts w:ascii="Arial" w:hAnsi="Arial" w:cs="Arial"/>
                <w:sz w:val="16"/>
                <w:szCs w:val="16"/>
              </w:rPr>
              <w:t>eltrombopag</w:t>
            </w:r>
            <w:proofErr w:type="spellEnd"/>
            <w:r w:rsidRPr="005F0061">
              <w:rPr>
                <w:rFonts w:ascii="Arial" w:hAnsi="Arial" w:cs="Arial"/>
                <w:sz w:val="16"/>
                <w:szCs w:val="16"/>
              </w:rPr>
              <w:t xml:space="preserve"> to this drug for this condition within the initial 24 weeks of treatment; OR</w:t>
            </w:r>
            <w:r w:rsidR="003327A6" w:rsidRPr="005F0061">
              <w:rPr>
                <w:rFonts w:ascii="Arial" w:hAnsi="Arial" w:cs="Arial"/>
                <w:sz w:val="16"/>
                <w:szCs w:val="16"/>
              </w:rPr>
              <w:br/>
            </w:r>
            <w:r w:rsidRPr="005F0061">
              <w:rPr>
                <w:rFonts w:ascii="Arial" w:hAnsi="Arial" w:cs="Arial"/>
                <w:sz w:val="16"/>
                <w:szCs w:val="16"/>
              </w:rPr>
              <w:t>Patient must have received insufficient therapy with this drug for this condition under the First Continuing treatment or Re-initiation of interrupted continuing treatment restriction to complete 24 weeks treatment; OR</w:t>
            </w:r>
            <w:r w:rsidR="003327A6" w:rsidRPr="005F0061">
              <w:rPr>
                <w:rFonts w:ascii="Arial" w:hAnsi="Arial" w:cs="Arial"/>
                <w:sz w:val="16"/>
                <w:szCs w:val="16"/>
              </w:rPr>
              <w:br/>
            </w:r>
            <w:r w:rsidRPr="005F0061">
              <w:rPr>
                <w:rFonts w:ascii="Arial" w:hAnsi="Arial" w:cs="Arial"/>
                <w:sz w:val="16"/>
                <w:szCs w:val="16"/>
              </w:rPr>
              <w:t>Patient must have received insufficient therapy with this drug for this condition under the Second and subsequent Continuing treatment restriction to complete 24 weeks treatment; AND</w:t>
            </w:r>
            <w:r w:rsidR="003327A6" w:rsidRPr="005F0061">
              <w:rPr>
                <w:rFonts w:ascii="Arial" w:hAnsi="Arial" w:cs="Arial"/>
                <w:sz w:val="16"/>
                <w:szCs w:val="16"/>
              </w:rPr>
              <w:br/>
            </w:r>
            <w:r w:rsidRPr="005F0061">
              <w:rPr>
                <w:rFonts w:ascii="Arial" w:hAnsi="Arial" w:cs="Arial"/>
                <w:sz w:val="16"/>
                <w:szCs w:val="16"/>
              </w:rPr>
              <w:t>The treatment must provide no more than the balance of up to 24 weeks treatment available under the above restriction.</w:t>
            </w:r>
            <w:r w:rsidR="003327A6" w:rsidRPr="005F0061">
              <w:rPr>
                <w:rFonts w:ascii="Arial" w:hAnsi="Arial" w:cs="Arial"/>
                <w:sz w:val="16"/>
                <w:szCs w:val="16"/>
              </w:rPr>
              <w:br/>
            </w:r>
            <w:r w:rsidRPr="005F0061">
              <w:rPr>
                <w:rFonts w:ascii="Arial" w:hAnsi="Arial" w:cs="Arial"/>
                <w:sz w:val="16"/>
                <w:szCs w:val="16"/>
              </w:rPr>
              <w:t>Patient must be aged 18 years or older.</w:t>
            </w:r>
            <w:r w:rsidR="003327A6" w:rsidRPr="005F0061">
              <w:rPr>
                <w:rFonts w:ascii="Arial" w:hAnsi="Arial" w:cs="Arial"/>
                <w:sz w:val="16"/>
                <w:szCs w:val="16"/>
              </w:rPr>
              <w:br/>
            </w:r>
            <w:r w:rsidRPr="005F0061">
              <w:rPr>
                <w:rFonts w:ascii="Arial" w:eastAsia="Arial" w:hAnsi="Arial" w:cs="Arial"/>
                <w:sz w:val="16"/>
                <w:szCs w:val="16"/>
                <w:lang w:eastAsia="zh-CN"/>
              </w:rPr>
              <w:t xml:space="preserve">Patients will be able to trial either </w:t>
            </w:r>
            <w:proofErr w:type="spellStart"/>
            <w:r w:rsidRPr="005F0061">
              <w:rPr>
                <w:rFonts w:ascii="Arial" w:eastAsia="Arial" w:hAnsi="Arial" w:cs="Arial"/>
                <w:sz w:val="16"/>
                <w:szCs w:val="16"/>
                <w:lang w:eastAsia="zh-CN"/>
              </w:rPr>
              <w:t>eltrombopag</w:t>
            </w:r>
            <w:proofErr w:type="spellEnd"/>
            <w:r w:rsidRPr="005F0061">
              <w:rPr>
                <w:rFonts w:ascii="Arial" w:eastAsia="Arial" w:hAnsi="Arial" w:cs="Arial"/>
                <w:sz w:val="16"/>
                <w:szCs w:val="16"/>
                <w:lang w:eastAsia="zh-CN"/>
              </w:rPr>
              <w:t xml:space="preserve"> or </w:t>
            </w:r>
            <w:proofErr w:type="spellStart"/>
            <w:r w:rsidRPr="005F0061">
              <w:rPr>
                <w:rFonts w:ascii="Arial" w:eastAsia="Arial" w:hAnsi="Arial" w:cs="Arial"/>
                <w:sz w:val="16"/>
                <w:szCs w:val="16"/>
                <w:lang w:eastAsia="zh-CN"/>
              </w:rPr>
              <w:t>romiplostim</w:t>
            </w:r>
            <w:proofErr w:type="spellEnd"/>
            <w:r w:rsidRPr="005F0061">
              <w:rPr>
                <w:rFonts w:ascii="Arial" w:eastAsia="Arial" w:hAnsi="Arial" w:cs="Arial"/>
                <w:sz w:val="16"/>
                <w:szCs w:val="16"/>
                <w:lang w:eastAsia="zh-CN"/>
              </w:rPr>
              <w:t xml:space="preserve"> within the initial 24 weeks treatment period. Where a patient has started initial treatment with one of the two agents, change of therapy to the alternative agent may be authorised under the Balance of supply or change of therapy restriction to complete up to 24 weeks initial treatment. Patients who fail to demonstrate a response to treatment with </w:t>
            </w:r>
            <w:proofErr w:type="spellStart"/>
            <w:r w:rsidRPr="005F0061">
              <w:rPr>
                <w:rFonts w:ascii="Arial" w:eastAsia="Arial" w:hAnsi="Arial" w:cs="Arial"/>
                <w:sz w:val="16"/>
                <w:szCs w:val="16"/>
                <w:lang w:eastAsia="zh-CN"/>
              </w:rPr>
              <w:t>eltrombopag</w:t>
            </w:r>
            <w:proofErr w:type="spellEnd"/>
            <w:r w:rsidRPr="005F0061">
              <w:rPr>
                <w:rFonts w:ascii="Arial" w:eastAsia="Arial" w:hAnsi="Arial" w:cs="Arial"/>
                <w:sz w:val="16"/>
                <w:szCs w:val="16"/>
                <w:lang w:eastAsia="zh-CN"/>
              </w:rPr>
              <w:t xml:space="preserve"> and/or </w:t>
            </w:r>
            <w:proofErr w:type="spellStart"/>
            <w:r w:rsidRPr="005F0061">
              <w:rPr>
                <w:rFonts w:ascii="Arial" w:eastAsia="Arial" w:hAnsi="Arial" w:cs="Arial"/>
                <w:sz w:val="16"/>
                <w:szCs w:val="16"/>
                <w:lang w:eastAsia="zh-CN"/>
              </w:rPr>
              <w:t>romiplostim</w:t>
            </w:r>
            <w:proofErr w:type="spellEnd"/>
            <w:r w:rsidRPr="005F0061">
              <w:rPr>
                <w:rFonts w:ascii="Arial" w:eastAsia="Arial" w:hAnsi="Arial" w:cs="Arial"/>
                <w:sz w:val="16"/>
                <w:szCs w:val="16"/>
                <w:lang w:eastAsia="zh-CN"/>
              </w:rPr>
              <w:t xml:space="preserve"> after completion of 24 weeks initial therapy will not be eligible to receive further PBS-subsidised treatment with either of these drugs.</w:t>
            </w:r>
          </w:p>
        </w:tc>
        <w:tc>
          <w:tcPr>
            <w:tcW w:w="2650" w:type="dxa"/>
            <w:shd w:val="clear" w:color="auto" w:fill="auto"/>
            <w:tcMar>
              <w:top w:w="28" w:type="dxa"/>
              <w:left w:w="28" w:type="dxa"/>
              <w:right w:w="57" w:type="dxa"/>
            </w:tcMar>
          </w:tcPr>
          <w:p w14:paraId="4354CB54" w14:textId="0A4964D1" w:rsidR="00152473" w:rsidRPr="005F0061" w:rsidRDefault="00152473" w:rsidP="00152473">
            <w:pPr>
              <w:pStyle w:val="Tabletext0"/>
              <w:rPr>
                <w:rFonts w:cs="Arial"/>
                <w:szCs w:val="16"/>
              </w:rPr>
            </w:pPr>
            <w:r w:rsidRPr="005F0061">
              <w:rPr>
                <w:rFonts w:eastAsia="SimSun" w:cs="Arial"/>
                <w:szCs w:val="16"/>
                <w:lang w:eastAsia="zh-CN"/>
              </w:rPr>
              <w:t>Compliance with Authority Required procedures</w:t>
            </w:r>
            <w:r w:rsidR="003327A6" w:rsidRPr="005F0061">
              <w:rPr>
                <w:rFonts w:eastAsia="SimSun" w:cs="Arial"/>
                <w:szCs w:val="16"/>
                <w:lang w:eastAsia="zh-CN"/>
              </w:rPr>
              <w:br/>
            </w:r>
          </w:p>
        </w:tc>
      </w:tr>
      <w:tr w:rsidR="00152473" w:rsidRPr="005F0061" w14:paraId="1B485B96" w14:textId="77777777" w:rsidTr="005E778F">
        <w:tc>
          <w:tcPr>
            <w:tcW w:w="1900" w:type="dxa"/>
            <w:shd w:val="clear" w:color="auto" w:fill="auto"/>
            <w:tcMar>
              <w:top w:w="28" w:type="dxa"/>
              <w:left w:w="28" w:type="dxa"/>
            </w:tcMar>
          </w:tcPr>
          <w:p w14:paraId="2838419E" w14:textId="77777777" w:rsidR="00152473" w:rsidRPr="005F0061" w:rsidRDefault="00152473" w:rsidP="00152473">
            <w:pPr>
              <w:pStyle w:val="Tabletext0"/>
              <w:tabs>
                <w:tab w:val="left" w:pos="958"/>
              </w:tabs>
              <w:rPr>
                <w:rFonts w:cs="Arial"/>
                <w:szCs w:val="16"/>
              </w:rPr>
            </w:pPr>
          </w:p>
        </w:tc>
        <w:tc>
          <w:tcPr>
            <w:tcW w:w="850" w:type="dxa"/>
            <w:shd w:val="clear" w:color="auto" w:fill="auto"/>
            <w:tcMar>
              <w:top w:w="28" w:type="dxa"/>
              <w:left w:w="28" w:type="dxa"/>
            </w:tcMar>
          </w:tcPr>
          <w:p w14:paraId="113A24B1" w14:textId="37D87F13" w:rsidR="00152473" w:rsidRPr="005F0061" w:rsidRDefault="00152473" w:rsidP="00152473">
            <w:pPr>
              <w:pStyle w:val="Tabletext0"/>
              <w:rPr>
                <w:rFonts w:cs="Arial"/>
                <w:szCs w:val="16"/>
              </w:rPr>
            </w:pPr>
            <w:r w:rsidRPr="005F0061">
              <w:t>C11266</w:t>
            </w:r>
          </w:p>
        </w:tc>
        <w:tc>
          <w:tcPr>
            <w:tcW w:w="850" w:type="dxa"/>
            <w:shd w:val="clear" w:color="auto" w:fill="auto"/>
            <w:tcMar>
              <w:top w:w="28" w:type="dxa"/>
              <w:left w:w="28" w:type="dxa"/>
            </w:tcMar>
          </w:tcPr>
          <w:p w14:paraId="7E9E490D" w14:textId="77777777" w:rsidR="00152473" w:rsidRPr="005F0061" w:rsidDel="00E03489" w:rsidRDefault="00152473" w:rsidP="00152473">
            <w:pPr>
              <w:spacing w:before="60" w:after="60"/>
              <w:rPr>
                <w:rFonts w:ascii="Arial" w:hAnsi="Arial" w:cs="Arial"/>
                <w:sz w:val="16"/>
                <w:szCs w:val="16"/>
                <w:lang w:eastAsia="en-AU"/>
              </w:rPr>
            </w:pPr>
          </w:p>
        </w:tc>
        <w:tc>
          <w:tcPr>
            <w:tcW w:w="7661" w:type="dxa"/>
            <w:shd w:val="clear" w:color="auto" w:fill="auto"/>
            <w:tcMar>
              <w:top w:w="28" w:type="dxa"/>
              <w:left w:w="28" w:type="dxa"/>
            </w:tcMar>
          </w:tcPr>
          <w:p w14:paraId="1965851D" w14:textId="45540FF0" w:rsidR="00152473" w:rsidRPr="005F0061" w:rsidRDefault="00152473" w:rsidP="00152473">
            <w:pPr>
              <w:pStyle w:val="mps3-data"/>
              <w:rPr>
                <w:szCs w:val="16"/>
              </w:rPr>
            </w:pPr>
            <w:r w:rsidRPr="005F0061">
              <w:t>Severe thrombocytopenia</w:t>
            </w:r>
            <w:r w:rsidR="003327A6" w:rsidRPr="005F0061">
              <w:br/>
            </w:r>
            <w:r w:rsidRPr="005F0061">
              <w:t>Initial treatment 1 - New patient</w:t>
            </w:r>
            <w:r w:rsidR="003327A6" w:rsidRPr="005F0061">
              <w:br/>
            </w:r>
            <w:r w:rsidRPr="005F0061">
              <w:t>The condition must be severe chronic immune (idiopathic) thrombocytopenic purpura (ITP); AND</w:t>
            </w:r>
            <w:r w:rsidR="003327A6" w:rsidRPr="005F0061">
              <w:br/>
            </w:r>
            <w:r w:rsidRPr="005F0061">
              <w:t>Patient must have had a splenectomy; AND</w:t>
            </w:r>
            <w:r w:rsidR="003327A6" w:rsidRPr="005F0061">
              <w:br/>
            </w:r>
            <w:r w:rsidRPr="005F0061">
              <w:t>Patient must have failed to achieve an adequate response to, or be intolerant to, corticosteroid therapy following the splenectomy; AND</w:t>
            </w:r>
            <w:r w:rsidR="003327A6" w:rsidRPr="005F0061">
              <w:br/>
            </w:r>
            <w:r w:rsidRPr="005F0061">
              <w:t>Patient must have failed to achieve an adequate response to, or be intolerant to, immunoglobulin therapy following the splenectomy; AND</w:t>
            </w:r>
            <w:r w:rsidR="003327A6" w:rsidRPr="005F0061">
              <w:br/>
            </w:r>
            <w:r w:rsidRPr="005F0061">
              <w:t xml:space="preserve">The treatment must be the sole PBS-subsidised </w:t>
            </w:r>
            <w:proofErr w:type="spellStart"/>
            <w:r w:rsidRPr="005F0061">
              <w:t>thrombopoietin</w:t>
            </w:r>
            <w:proofErr w:type="spellEnd"/>
            <w:r w:rsidRPr="005F0061">
              <w:t xml:space="preserve"> receptor agonist (TRA) for this condition.</w:t>
            </w:r>
            <w:r w:rsidR="003327A6" w:rsidRPr="005F0061">
              <w:br/>
            </w:r>
            <w:r w:rsidRPr="005F0061">
              <w:t>Patient must be aged 18 years or older.</w:t>
            </w:r>
            <w:r w:rsidR="003327A6" w:rsidRPr="005F0061">
              <w:br/>
            </w:r>
            <w:r w:rsidRPr="005F0061">
              <w:t>The following criteria indicate failure to achieve an adequate response and must be demonstrated at the time of initial application</w:t>
            </w:r>
            <w:proofErr w:type="gramStart"/>
            <w:r w:rsidRPr="005F0061">
              <w:t>;</w:t>
            </w:r>
            <w:proofErr w:type="gramEnd"/>
            <w:r w:rsidR="003327A6" w:rsidRPr="005F0061">
              <w:br/>
            </w:r>
            <w:r w:rsidRPr="005F0061">
              <w:t>(a) a platelet count of less than or equal to 20,000 million per L; OR</w:t>
            </w:r>
            <w:r w:rsidR="003327A6" w:rsidRPr="005F0061">
              <w:br/>
            </w:r>
            <w:r w:rsidRPr="005F0061">
              <w:t>(b) a platelet count of 20,000 million to 30,000 million per L, where the patient is experiencing significant bleeding or has a history of significant bleeding in this platelet range.</w:t>
            </w:r>
            <w:r w:rsidR="003327A6" w:rsidRPr="005F0061">
              <w:br/>
            </w:r>
            <w:r w:rsidRPr="005F0061">
              <w:t>Where intolerance to treatment with corticosteroid and immunoglobulin therapy developed during the relevant period of use, which was of a severity to necessitate permanent treatment withdrawal, details of the degree of this toxicity must be provided at the time of application.</w:t>
            </w:r>
            <w:r w:rsidR="003327A6" w:rsidRPr="005F0061">
              <w:br/>
            </w:r>
            <w:r w:rsidRPr="005F0061">
              <w:t>At the time of the written authority application, medical practitioners should request the appropriate quantity of vials of appropriate strength to provide sufficient drug for a single treatment at a dose of 1 microgram/kg. Up to 1 repeat may be requested with the initial written application.</w:t>
            </w:r>
            <w:r w:rsidR="003327A6" w:rsidRPr="005F0061">
              <w:br/>
            </w:r>
            <w:r w:rsidRPr="005F0061">
              <w:t>Subsequently during the initial period of dose titration, authority applications for a single dose and up to 1 repeat may be requested by telephone. The dose (microgram/kg/week) must be provided at the time of application.</w:t>
            </w:r>
            <w:r w:rsidR="003327A6" w:rsidRPr="005F0061">
              <w:br/>
            </w:r>
            <w:r w:rsidRPr="005F0061">
              <w:lastRenderedPageBreak/>
              <w:t>Once a patient's dose has been stable for a period of 4 weeks, authority approvals for sufficient vials of appropriate strength based on the weight of the patient and dose (microgram/kg/week) for up to 4 weeks of treatment and up to 4 repeats may be granted, as long as the total period of treatment authorised under this restriction does not exceed 24 weeks.</w:t>
            </w:r>
            <w:r w:rsidR="003327A6" w:rsidRPr="005F0061">
              <w:br/>
            </w:r>
            <w:r w:rsidRPr="005F0061">
              <w:t>Authority approval will not be given for doses higher than 10 micrograms/kg/week</w:t>
            </w:r>
            <w:r w:rsidR="003327A6" w:rsidRPr="005F0061">
              <w:br/>
            </w:r>
            <w:r w:rsidRPr="005F0061">
              <w:t>The authority application must be made in writing and must include</w:t>
            </w:r>
            <w:proofErr w:type="gramStart"/>
            <w:r w:rsidRPr="005F0061">
              <w:t>:</w:t>
            </w:r>
            <w:proofErr w:type="gramEnd"/>
            <w:r w:rsidR="003327A6" w:rsidRPr="005F0061">
              <w:br/>
            </w:r>
            <w:r w:rsidRPr="005F0061">
              <w:t>(1) a completed authority prescription form,</w:t>
            </w:r>
            <w:r w:rsidR="003327A6" w:rsidRPr="005F0061">
              <w:br/>
            </w:r>
            <w:r w:rsidRPr="005F0061">
              <w:t>(2) a completed Idiopathic Thrombocytopenic Purpura Initial PBS Authority Application - Supporting Information Form,</w:t>
            </w:r>
            <w:r w:rsidR="003327A6" w:rsidRPr="005F0061">
              <w:br/>
            </w:r>
            <w:r w:rsidRPr="005F0061">
              <w:t>(3) details of a platelet count supporting the diagnosis of ITP.</w:t>
            </w:r>
            <w:r w:rsidR="003327A6" w:rsidRPr="005F0061">
              <w:br/>
            </w:r>
            <w:r w:rsidRPr="005F0061">
              <w:t>The platelet count must be no more than 4 weeks old at the time of application.</w:t>
            </w:r>
            <w:r w:rsidR="003327A6" w:rsidRPr="005F0061">
              <w:br/>
            </w:r>
            <w:r w:rsidRPr="005F0061">
              <w:t xml:space="preserve">Patients will be able to trial either </w:t>
            </w:r>
            <w:proofErr w:type="spellStart"/>
            <w:r w:rsidRPr="005F0061">
              <w:t>eltrombopag</w:t>
            </w:r>
            <w:proofErr w:type="spellEnd"/>
            <w:r w:rsidRPr="005F0061">
              <w:t xml:space="preserve"> or </w:t>
            </w:r>
            <w:proofErr w:type="spellStart"/>
            <w:r w:rsidRPr="005F0061">
              <w:t>romiplostim</w:t>
            </w:r>
            <w:proofErr w:type="spellEnd"/>
            <w:r w:rsidRPr="005F0061">
              <w:t xml:space="preserve"> within the initial 24 weeks treatment period. Where a patient has started initial treatment with one of the two agents, change of therapy to the alternative agent may be authorised under the Balance of supply or change of therapy restriction to complete up to 24 weeks initial treatment. Patients who fail to demonstrate a response to treatment with </w:t>
            </w:r>
            <w:proofErr w:type="spellStart"/>
            <w:r w:rsidRPr="005F0061">
              <w:t>eltrombopag</w:t>
            </w:r>
            <w:proofErr w:type="spellEnd"/>
            <w:r w:rsidRPr="005F0061">
              <w:t xml:space="preserve"> and/or </w:t>
            </w:r>
            <w:proofErr w:type="spellStart"/>
            <w:r w:rsidRPr="005F0061">
              <w:t>romiplostim</w:t>
            </w:r>
            <w:proofErr w:type="spellEnd"/>
            <w:r w:rsidRPr="005F0061">
              <w:t xml:space="preserve"> after completion of 24 weeks initial therapy will not be eligible to receive further PBS-subsidised treatment with either of these drugs.</w:t>
            </w:r>
          </w:p>
        </w:tc>
        <w:tc>
          <w:tcPr>
            <w:tcW w:w="2650" w:type="dxa"/>
            <w:shd w:val="clear" w:color="auto" w:fill="auto"/>
            <w:tcMar>
              <w:top w:w="28" w:type="dxa"/>
              <w:left w:w="28" w:type="dxa"/>
              <w:right w:w="57" w:type="dxa"/>
            </w:tcMar>
          </w:tcPr>
          <w:p w14:paraId="66B07A15" w14:textId="57BF8898" w:rsidR="00152473" w:rsidRPr="005F0061" w:rsidRDefault="00152473" w:rsidP="00152473">
            <w:pPr>
              <w:pStyle w:val="Tabletext0"/>
              <w:rPr>
                <w:rFonts w:cs="Arial"/>
                <w:szCs w:val="16"/>
              </w:rPr>
            </w:pPr>
            <w:r w:rsidRPr="005F0061">
              <w:rPr>
                <w:rFonts w:eastAsia="SimSun" w:cs="Arial"/>
                <w:szCs w:val="16"/>
                <w:lang w:eastAsia="zh-CN"/>
              </w:rPr>
              <w:lastRenderedPageBreak/>
              <w:t xml:space="preserve">Compliance with </w:t>
            </w:r>
            <w:r w:rsidR="00B9356C" w:rsidRPr="005F0061">
              <w:rPr>
                <w:rFonts w:eastAsia="SimSun" w:cs="Arial"/>
                <w:szCs w:val="16"/>
                <w:lang w:eastAsia="zh-CN"/>
              </w:rPr>
              <w:t xml:space="preserve">Written </w:t>
            </w:r>
            <w:r w:rsidRPr="005F0061">
              <w:rPr>
                <w:rFonts w:eastAsia="SimSun" w:cs="Arial"/>
                <w:szCs w:val="16"/>
                <w:lang w:eastAsia="zh-CN"/>
              </w:rPr>
              <w:t>Authority Required procedures</w:t>
            </w:r>
            <w:r w:rsidR="003327A6" w:rsidRPr="005F0061">
              <w:rPr>
                <w:rFonts w:eastAsia="SimSun" w:cs="Arial"/>
                <w:szCs w:val="16"/>
                <w:lang w:eastAsia="zh-CN"/>
              </w:rPr>
              <w:br/>
            </w:r>
          </w:p>
        </w:tc>
      </w:tr>
      <w:tr w:rsidR="00152473" w:rsidRPr="005F0061" w14:paraId="2A61F8EA" w14:textId="77777777" w:rsidTr="005E778F">
        <w:tc>
          <w:tcPr>
            <w:tcW w:w="1900" w:type="dxa"/>
            <w:shd w:val="clear" w:color="auto" w:fill="auto"/>
            <w:tcMar>
              <w:top w:w="28" w:type="dxa"/>
              <w:left w:w="28" w:type="dxa"/>
            </w:tcMar>
          </w:tcPr>
          <w:p w14:paraId="48BD1E98" w14:textId="77777777" w:rsidR="00152473" w:rsidRPr="005F0061" w:rsidRDefault="00152473" w:rsidP="00152473">
            <w:pPr>
              <w:pStyle w:val="Tabletext0"/>
              <w:tabs>
                <w:tab w:val="left" w:pos="958"/>
              </w:tabs>
              <w:rPr>
                <w:rFonts w:cs="Arial"/>
                <w:szCs w:val="16"/>
              </w:rPr>
            </w:pPr>
          </w:p>
        </w:tc>
        <w:tc>
          <w:tcPr>
            <w:tcW w:w="850" w:type="dxa"/>
            <w:shd w:val="clear" w:color="auto" w:fill="auto"/>
            <w:tcMar>
              <w:top w:w="28" w:type="dxa"/>
              <w:left w:w="28" w:type="dxa"/>
            </w:tcMar>
          </w:tcPr>
          <w:p w14:paraId="1A4B90CD" w14:textId="61B6D466" w:rsidR="00152473" w:rsidRPr="005F0061" w:rsidRDefault="00152473" w:rsidP="00152473">
            <w:pPr>
              <w:pStyle w:val="Tabletext0"/>
              <w:rPr>
                <w:rFonts w:cs="Arial"/>
                <w:szCs w:val="16"/>
              </w:rPr>
            </w:pPr>
            <w:r w:rsidRPr="005F0061">
              <w:t>C11267</w:t>
            </w:r>
          </w:p>
        </w:tc>
        <w:tc>
          <w:tcPr>
            <w:tcW w:w="850" w:type="dxa"/>
            <w:shd w:val="clear" w:color="auto" w:fill="auto"/>
            <w:tcMar>
              <w:top w:w="28" w:type="dxa"/>
              <w:left w:w="28" w:type="dxa"/>
            </w:tcMar>
          </w:tcPr>
          <w:p w14:paraId="5FFECB4F" w14:textId="77777777" w:rsidR="00152473" w:rsidRPr="005F0061" w:rsidDel="00E03489" w:rsidRDefault="00152473" w:rsidP="00152473">
            <w:pPr>
              <w:spacing w:before="60" w:after="60"/>
              <w:rPr>
                <w:rFonts w:ascii="Arial" w:hAnsi="Arial" w:cs="Arial"/>
                <w:sz w:val="16"/>
                <w:szCs w:val="16"/>
                <w:lang w:eastAsia="en-AU"/>
              </w:rPr>
            </w:pPr>
          </w:p>
        </w:tc>
        <w:tc>
          <w:tcPr>
            <w:tcW w:w="7661" w:type="dxa"/>
            <w:shd w:val="clear" w:color="auto" w:fill="auto"/>
            <w:tcMar>
              <w:top w:w="28" w:type="dxa"/>
              <w:left w:w="28" w:type="dxa"/>
            </w:tcMar>
          </w:tcPr>
          <w:p w14:paraId="4CCA7070" w14:textId="55EC7B97" w:rsidR="00152473" w:rsidRPr="005F0061" w:rsidRDefault="00152473" w:rsidP="00152473">
            <w:pPr>
              <w:pStyle w:val="mps3-data"/>
              <w:rPr>
                <w:szCs w:val="16"/>
              </w:rPr>
            </w:pPr>
            <w:r w:rsidRPr="005F0061">
              <w:t>Severe thrombocytopenia</w:t>
            </w:r>
            <w:r w:rsidR="003327A6" w:rsidRPr="005F0061">
              <w:br/>
            </w:r>
            <w:r w:rsidRPr="005F0061">
              <w:t>First Continuing treatment or Re-initiation of interrupted continuing treatment</w:t>
            </w:r>
            <w:r w:rsidR="003327A6" w:rsidRPr="005F0061">
              <w:br/>
            </w:r>
            <w:r w:rsidRPr="005F0061">
              <w:t>The condition must be severe chronic immune (idiopathic) thrombocytopenic purpura (ITP); AND</w:t>
            </w:r>
            <w:r w:rsidR="003327A6" w:rsidRPr="005F0061">
              <w:br/>
            </w:r>
            <w:r w:rsidRPr="005F0061">
              <w:t>Patient must have demonstrated a sustained platelet response to PBS-subsidised treatment with this drug for this condition under the Initial treatment restriction if the patient has not had a treatment break; OR</w:t>
            </w:r>
            <w:r w:rsidR="003327A6" w:rsidRPr="005F0061">
              <w:br/>
            </w:r>
            <w:r w:rsidRPr="005F0061">
              <w:t>Patient must have demonstrated a sustained platelet response to the most recent PBS-subsidised treatment with this drug for this condition prior to interrupted treatment; AND</w:t>
            </w:r>
            <w:r w:rsidR="003327A6" w:rsidRPr="005F0061">
              <w:br/>
            </w:r>
            <w:r w:rsidRPr="005F0061">
              <w:t xml:space="preserve">Patient must not have previously received PBS-subsidised continuing treatment with </w:t>
            </w:r>
            <w:proofErr w:type="spellStart"/>
            <w:r w:rsidRPr="005F0061">
              <w:t>eltrombopag</w:t>
            </w:r>
            <w:proofErr w:type="spellEnd"/>
            <w:r w:rsidRPr="005F0061">
              <w:t xml:space="preserve"> for this condition; AND</w:t>
            </w:r>
            <w:r w:rsidR="003327A6" w:rsidRPr="005F0061">
              <w:br/>
            </w:r>
            <w:r w:rsidRPr="005F0061">
              <w:t xml:space="preserve">The treatment must be the sole PBS-subsidised </w:t>
            </w:r>
            <w:proofErr w:type="spellStart"/>
            <w:r w:rsidRPr="005F0061">
              <w:t>thrombopoietin</w:t>
            </w:r>
            <w:proofErr w:type="spellEnd"/>
            <w:r w:rsidRPr="005F0061">
              <w:t xml:space="preserve"> receptor agonist (TRA) for this condition.</w:t>
            </w:r>
            <w:r w:rsidR="003327A6" w:rsidRPr="005F0061">
              <w:br/>
            </w:r>
            <w:r w:rsidRPr="005F0061">
              <w:t>Patient must be aged 18 years or older.</w:t>
            </w:r>
            <w:r w:rsidR="003327A6" w:rsidRPr="005F0061">
              <w:br/>
            </w:r>
            <w:r w:rsidRPr="005F0061">
              <w:t>For the purposes of this restriction, a sustained platelet response is defined as:</w:t>
            </w:r>
            <w:r w:rsidR="003327A6" w:rsidRPr="005F0061">
              <w:br/>
            </w:r>
            <w:r w:rsidRPr="005F0061">
              <w:t>(a) use of rescue medication (corticosteroids or immunoglobulins) on no more than one occasion during the initial period of PBS-subsidised treatment with this drug,</w:t>
            </w:r>
            <w:r w:rsidR="003327A6" w:rsidRPr="005F0061">
              <w:br/>
            </w:r>
            <w:r w:rsidRPr="005F0061">
              <w:t>AND either of the following:</w:t>
            </w:r>
            <w:r w:rsidR="003327A6" w:rsidRPr="005F0061">
              <w:br/>
            </w:r>
            <w:r w:rsidRPr="005F0061">
              <w:t>(b) a platelet count greater than or equal to 50,000 million per L on at least four (4) occasions, each at least one week apart;</w:t>
            </w:r>
            <w:r w:rsidR="003327A6" w:rsidRPr="005F0061">
              <w:br/>
            </w:r>
            <w:r w:rsidRPr="005F0061">
              <w:t>OR</w:t>
            </w:r>
            <w:r w:rsidR="003327A6" w:rsidRPr="005F0061">
              <w:br/>
            </w:r>
            <w:r w:rsidRPr="005F0061">
              <w:t>(c) a platelet count greater than 30,000 million per L and which is double the baseline (pre-treatment) platelet count on at least four (4) occasions, each at least one week apart.</w:t>
            </w:r>
            <w:r w:rsidR="003327A6" w:rsidRPr="005F0061">
              <w:br/>
            </w:r>
            <w:r w:rsidRPr="005F0061">
              <w:t>The medical practitioner should request sufficient number of vials of appropriate strength based on the weight of the patient and dose (microgram/kg/week) to provide 4 weeks of treatment. Up to a maximum of 5 repeats may be authorised.</w:t>
            </w:r>
            <w:r w:rsidR="003327A6" w:rsidRPr="005F0061">
              <w:br/>
            </w:r>
            <w:r w:rsidRPr="005F0061">
              <w:t>Authority approval will not be given for doses higher than 10 micrograms/kg/week</w:t>
            </w:r>
            <w:r w:rsidR="003327A6" w:rsidRPr="005F0061">
              <w:br/>
            </w:r>
            <w:r w:rsidRPr="005F0061">
              <w:t>Applications for the First continuing PBS-subsidised treatment or Re-initiation of interrupted PBS-subsidised continuing treatment must be made in writing and must include</w:t>
            </w:r>
            <w:proofErr w:type="gramStart"/>
            <w:r w:rsidRPr="005F0061">
              <w:t>:</w:t>
            </w:r>
            <w:proofErr w:type="gramEnd"/>
            <w:r w:rsidR="003327A6" w:rsidRPr="005F0061">
              <w:br/>
            </w:r>
            <w:r w:rsidRPr="005F0061">
              <w:t>(1) a completed authority prescription form, and</w:t>
            </w:r>
            <w:r w:rsidR="003327A6" w:rsidRPr="005F0061">
              <w:br/>
            </w:r>
            <w:r w:rsidRPr="005F0061">
              <w:t>(2) a completed Idiopathic Thrombocytopenic Purpura Continuing PBS Authority Application - Supporting Information Form, and</w:t>
            </w:r>
            <w:r w:rsidR="003327A6" w:rsidRPr="005F0061">
              <w:br/>
            </w:r>
            <w:r w:rsidRPr="005F0061">
              <w:t>(3) the most recent platelet count.</w:t>
            </w:r>
            <w:r w:rsidR="003327A6" w:rsidRPr="005F0061">
              <w:br/>
            </w:r>
            <w:r w:rsidRPr="005F0061">
              <w:t>The platelet count must be conducted no later than 4 weeks from the date of completion of the most recent PBS-subsidised course of treatment with this drug.</w:t>
            </w:r>
          </w:p>
        </w:tc>
        <w:tc>
          <w:tcPr>
            <w:tcW w:w="2650" w:type="dxa"/>
            <w:shd w:val="clear" w:color="auto" w:fill="auto"/>
            <w:tcMar>
              <w:top w:w="28" w:type="dxa"/>
              <w:left w:w="28" w:type="dxa"/>
              <w:right w:w="57" w:type="dxa"/>
            </w:tcMar>
          </w:tcPr>
          <w:p w14:paraId="0D485142" w14:textId="0F3EF248" w:rsidR="00152473" w:rsidRPr="005F0061" w:rsidRDefault="00152473" w:rsidP="00152473">
            <w:pPr>
              <w:pStyle w:val="Tabletext0"/>
              <w:rPr>
                <w:rFonts w:cs="Arial"/>
                <w:szCs w:val="16"/>
              </w:rPr>
            </w:pPr>
            <w:r w:rsidRPr="005F0061">
              <w:rPr>
                <w:rFonts w:eastAsia="SimSun" w:cs="Arial"/>
                <w:szCs w:val="16"/>
                <w:lang w:eastAsia="zh-CN"/>
              </w:rPr>
              <w:t xml:space="preserve">Compliance with </w:t>
            </w:r>
            <w:r w:rsidR="00B9356C" w:rsidRPr="005F0061">
              <w:rPr>
                <w:rFonts w:eastAsia="SimSun" w:cs="Arial"/>
                <w:szCs w:val="16"/>
                <w:lang w:eastAsia="zh-CN"/>
              </w:rPr>
              <w:t xml:space="preserve">Written </w:t>
            </w:r>
            <w:r w:rsidRPr="005F0061">
              <w:rPr>
                <w:rFonts w:eastAsia="SimSun" w:cs="Arial"/>
                <w:szCs w:val="16"/>
                <w:lang w:eastAsia="zh-CN"/>
              </w:rPr>
              <w:t>Authority Required procedures</w:t>
            </w:r>
            <w:r w:rsidR="003327A6" w:rsidRPr="005F0061">
              <w:rPr>
                <w:rFonts w:eastAsia="SimSun" w:cs="Arial"/>
                <w:szCs w:val="16"/>
                <w:lang w:eastAsia="zh-CN"/>
              </w:rPr>
              <w:br/>
            </w:r>
          </w:p>
        </w:tc>
      </w:tr>
      <w:tr w:rsidR="00152473" w:rsidRPr="005F0061" w14:paraId="4C57B50D" w14:textId="77777777" w:rsidTr="005E778F">
        <w:tc>
          <w:tcPr>
            <w:tcW w:w="1900" w:type="dxa"/>
            <w:shd w:val="clear" w:color="auto" w:fill="auto"/>
            <w:tcMar>
              <w:top w:w="28" w:type="dxa"/>
              <w:left w:w="28" w:type="dxa"/>
            </w:tcMar>
          </w:tcPr>
          <w:p w14:paraId="125B27A8" w14:textId="77777777" w:rsidR="00152473" w:rsidRPr="005F0061" w:rsidRDefault="00152473" w:rsidP="00152473">
            <w:pPr>
              <w:pStyle w:val="Tabletext0"/>
              <w:tabs>
                <w:tab w:val="left" w:pos="958"/>
              </w:tabs>
              <w:rPr>
                <w:rFonts w:cs="Arial"/>
                <w:szCs w:val="16"/>
              </w:rPr>
            </w:pPr>
          </w:p>
        </w:tc>
        <w:tc>
          <w:tcPr>
            <w:tcW w:w="850" w:type="dxa"/>
            <w:shd w:val="clear" w:color="auto" w:fill="auto"/>
            <w:tcMar>
              <w:top w:w="28" w:type="dxa"/>
              <w:left w:w="28" w:type="dxa"/>
            </w:tcMar>
          </w:tcPr>
          <w:p w14:paraId="4E0D13AC" w14:textId="704CF055" w:rsidR="00152473" w:rsidRPr="005F0061" w:rsidRDefault="00152473" w:rsidP="00152473">
            <w:pPr>
              <w:pStyle w:val="Tabletext0"/>
              <w:rPr>
                <w:rFonts w:cs="Arial"/>
                <w:szCs w:val="16"/>
              </w:rPr>
            </w:pPr>
            <w:r w:rsidRPr="005F0061">
              <w:t>C11289</w:t>
            </w:r>
          </w:p>
        </w:tc>
        <w:tc>
          <w:tcPr>
            <w:tcW w:w="850" w:type="dxa"/>
            <w:shd w:val="clear" w:color="auto" w:fill="auto"/>
            <w:tcMar>
              <w:top w:w="28" w:type="dxa"/>
              <w:left w:w="28" w:type="dxa"/>
            </w:tcMar>
          </w:tcPr>
          <w:p w14:paraId="66B89DCD" w14:textId="77777777" w:rsidR="00152473" w:rsidRPr="005F0061" w:rsidDel="00E03489" w:rsidRDefault="00152473" w:rsidP="00152473">
            <w:pPr>
              <w:spacing w:before="60" w:after="60"/>
              <w:rPr>
                <w:rFonts w:ascii="Arial" w:hAnsi="Arial" w:cs="Arial"/>
                <w:sz w:val="16"/>
                <w:szCs w:val="16"/>
                <w:lang w:eastAsia="en-AU"/>
              </w:rPr>
            </w:pPr>
          </w:p>
        </w:tc>
        <w:tc>
          <w:tcPr>
            <w:tcW w:w="7661" w:type="dxa"/>
            <w:shd w:val="clear" w:color="auto" w:fill="auto"/>
            <w:tcMar>
              <w:top w:w="28" w:type="dxa"/>
              <w:left w:w="28" w:type="dxa"/>
            </w:tcMar>
          </w:tcPr>
          <w:p w14:paraId="538AA607" w14:textId="36EAC8DE" w:rsidR="00152473" w:rsidRPr="005F0061" w:rsidRDefault="00152473" w:rsidP="00152473">
            <w:pPr>
              <w:pStyle w:val="mps3-data"/>
              <w:rPr>
                <w:szCs w:val="16"/>
              </w:rPr>
            </w:pPr>
            <w:r w:rsidRPr="005F0061">
              <w:t>Severe thrombocytopenia</w:t>
            </w:r>
            <w:r w:rsidR="003327A6" w:rsidRPr="005F0061">
              <w:br/>
            </w:r>
            <w:r w:rsidRPr="005F0061">
              <w:t>Second or Subsequent Continuing treatment</w:t>
            </w:r>
            <w:r w:rsidR="003327A6" w:rsidRPr="005F0061">
              <w:br/>
            </w:r>
            <w:r w:rsidRPr="005F0061">
              <w:t>The condition must be severe chronic immune (idiopathic) thrombocytopenic purpura (ITP); AND</w:t>
            </w:r>
            <w:r w:rsidR="003327A6" w:rsidRPr="005F0061">
              <w:br/>
            </w:r>
            <w:r w:rsidRPr="005F0061">
              <w:t>Patient must have previously received PBS-subsidised treatment with this drug for this condition under first continuing or re-initiation of interrupted continuing treatment restriction; AND</w:t>
            </w:r>
            <w:r w:rsidR="003327A6" w:rsidRPr="005F0061">
              <w:br/>
            </w:r>
            <w:r w:rsidRPr="005F0061">
              <w:t>Patient must have demonstrated a continuing response to PBS-subsidised treatment with this drug; AND</w:t>
            </w:r>
            <w:r w:rsidR="003327A6" w:rsidRPr="005F0061">
              <w:br/>
            </w:r>
            <w:r w:rsidRPr="005F0061">
              <w:t xml:space="preserve">The treatment must be the sole PBS-subsidised </w:t>
            </w:r>
            <w:proofErr w:type="spellStart"/>
            <w:r w:rsidRPr="005F0061">
              <w:t>thrombopoietin</w:t>
            </w:r>
            <w:proofErr w:type="spellEnd"/>
            <w:r w:rsidRPr="005F0061">
              <w:t xml:space="preserve"> receptor agonist (TRA) for this condition.</w:t>
            </w:r>
            <w:r w:rsidR="003327A6" w:rsidRPr="005F0061">
              <w:br/>
            </w:r>
            <w:r w:rsidRPr="005F0061">
              <w:t>Patient must be aged 18 years or older.</w:t>
            </w:r>
            <w:r w:rsidR="003327A6" w:rsidRPr="005F0061">
              <w:br/>
            </w:r>
            <w:r w:rsidRPr="005F0061">
              <w:t>For the purpose of this restriction, a continuing response to treatment with drug is defined as</w:t>
            </w:r>
            <w:proofErr w:type="gramStart"/>
            <w:r w:rsidRPr="005F0061">
              <w:t>:</w:t>
            </w:r>
            <w:proofErr w:type="gramEnd"/>
            <w:r w:rsidR="003327A6" w:rsidRPr="005F0061">
              <w:br/>
            </w:r>
            <w:r w:rsidRPr="005F0061">
              <w:t>(a) use of rescue medication (corticosteroids or immunoglobulins) on no more than one occasion during the most recent 24 week period of PBS-subsidised treatment with this drug</w:t>
            </w:r>
            <w:r w:rsidR="003327A6" w:rsidRPr="005F0061">
              <w:br/>
            </w:r>
            <w:r w:rsidRPr="005F0061">
              <w:t>AND either of the following:</w:t>
            </w:r>
            <w:r w:rsidR="003327A6" w:rsidRPr="005F0061">
              <w:br/>
            </w:r>
            <w:r w:rsidRPr="005F0061">
              <w:t>(b) a platelet count greater than or equal to 50,000 million per L</w:t>
            </w:r>
            <w:r w:rsidR="003327A6" w:rsidRPr="005F0061">
              <w:br/>
            </w:r>
            <w:r w:rsidRPr="005F0061">
              <w:t>OR</w:t>
            </w:r>
            <w:r w:rsidR="003327A6" w:rsidRPr="005F0061">
              <w:br/>
            </w:r>
            <w:r w:rsidRPr="005F0061">
              <w:t>(c) a platelet count greater than 30,000 million per L and which is double the baseline platelet count.</w:t>
            </w:r>
            <w:r w:rsidR="003327A6" w:rsidRPr="005F0061">
              <w:br/>
            </w:r>
            <w:r w:rsidRPr="005F0061">
              <w:t>The platelet count must be no more than 4 weeks old at the time of application.</w:t>
            </w:r>
            <w:r w:rsidR="003327A6" w:rsidRPr="005F0061">
              <w:br/>
            </w:r>
            <w:r w:rsidRPr="005F0061">
              <w:t>The medical practitioner should request sufficient number of vials of appropriate strength based on the weight of the patient and dose (microgram/kg/week) to provide 4 weeks of treatment. Up to a maximum of 5 repeats may be authorised.</w:t>
            </w:r>
            <w:r w:rsidR="003327A6" w:rsidRPr="005F0061">
              <w:br/>
            </w:r>
            <w:r w:rsidRPr="005F0061">
              <w:t>Authority approval will not be given for doses higher than 10 micrograms/kg/week</w:t>
            </w:r>
          </w:p>
        </w:tc>
        <w:tc>
          <w:tcPr>
            <w:tcW w:w="2650" w:type="dxa"/>
            <w:shd w:val="clear" w:color="auto" w:fill="auto"/>
            <w:tcMar>
              <w:top w:w="28" w:type="dxa"/>
              <w:left w:w="28" w:type="dxa"/>
              <w:right w:w="57" w:type="dxa"/>
            </w:tcMar>
          </w:tcPr>
          <w:p w14:paraId="09102B3F" w14:textId="71572C9B" w:rsidR="00152473" w:rsidRPr="005F0061" w:rsidRDefault="00152473" w:rsidP="00152473">
            <w:pPr>
              <w:pStyle w:val="Tabletext0"/>
              <w:rPr>
                <w:rFonts w:cs="Arial"/>
                <w:szCs w:val="16"/>
              </w:rPr>
            </w:pPr>
            <w:r w:rsidRPr="005F0061">
              <w:rPr>
                <w:rFonts w:eastAsia="SimSun" w:cs="Arial"/>
                <w:szCs w:val="16"/>
                <w:lang w:eastAsia="zh-CN"/>
              </w:rPr>
              <w:t>Compliance with Authority Required procedures</w:t>
            </w:r>
            <w:r w:rsidR="003327A6" w:rsidRPr="005F0061">
              <w:rPr>
                <w:rFonts w:eastAsia="SimSun" w:cs="Arial"/>
                <w:szCs w:val="16"/>
                <w:lang w:eastAsia="zh-CN"/>
              </w:rPr>
              <w:br/>
            </w:r>
          </w:p>
        </w:tc>
      </w:tr>
    </w:tbl>
    <w:p w14:paraId="15641C3C" w14:textId="56B9C47B" w:rsidR="007A110F" w:rsidRPr="005F0061" w:rsidRDefault="007A110F" w:rsidP="00A1440E">
      <w:pPr>
        <w:pStyle w:val="Amendment1"/>
        <w:numPr>
          <w:ilvl w:val="0"/>
          <w:numId w:val="10"/>
        </w:numPr>
        <w:spacing w:before="60" w:after="60"/>
        <w:ind w:left="1134" w:hanging="567"/>
        <w:rPr>
          <w:bCs w:val="0"/>
          <w:iCs/>
          <w:color w:val="FF0000"/>
        </w:rPr>
      </w:pPr>
      <w:r w:rsidRPr="005F0061">
        <w:rPr>
          <w:bCs w:val="0"/>
          <w:iCs/>
        </w:rPr>
        <w:t xml:space="preserve">Schedule 3, </w:t>
      </w:r>
      <w:r w:rsidR="00C80B88" w:rsidRPr="005F0061">
        <w:t xml:space="preserve">after entry for </w:t>
      </w:r>
      <w:proofErr w:type="spellStart"/>
      <w:r w:rsidR="00C80B88" w:rsidRPr="005F0061">
        <w:rPr>
          <w:bCs w:val="0"/>
          <w:iCs/>
        </w:rPr>
        <w:t>Saquinavir</w:t>
      </w:r>
      <w:proofErr w:type="spellEnd"/>
      <w:r w:rsidR="00CC5E81" w:rsidRPr="005F0061">
        <w:rPr>
          <w:bCs w:val="0"/>
          <w:iCs/>
        </w:rPr>
        <w:t xml:space="preserve"> </w:t>
      </w:r>
    </w:p>
    <w:p w14:paraId="3C9BF780" w14:textId="0A70FE8A" w:rsidR="007A110F" w:rsidRPr="005F0061" w:rsidRDefault="00AD4D28" w:rsidP="00A1440E">
      <w:pPr>
        <w:pStyle w:val="Amendment1"/>
        <w:numPr>
          <w:ilvl w:val="0"/>
          <w:numId w:val="0"/>
        </w:numPr>
        <w:spacing w:before="60" w:after="60"/>
        <w:ind w:left="1134" w:hanging="567"/>
        <w:rPr>
          <w:rFonts w:ascii="Times New Roman" w:hAnsi="Times New Roman" w:cs="Times New Roman"/>
          <w:b w:val="0"/>
          <w:bCs w:val="0"/>
          <w:i/>
          <w:iCs/>
        </w:rPr>
      </w:pPr>
      <w:proofErr w:type="gramStart"/>
      <w:r w:rsidRPr="005F0061">
        <w:rPr>
          <w:rFonts w:ascii="Times New Roman" w:hAnsi="Times New Roman" w:cs="Times New Roman"/>
          <w:b w:val="0"/>
          <w:bCs w:val="0"/>
          <w:i/>
          <w:iCs/>
        </w:rPr>
        <w:t>insert</w:t>
      </w:r>
      <w:proofErr w:type="gramEnd"/>
      <w:r w:rsidR="007A110F" w:rsidRPr="005F0061">
        <w:rPr>
          <w:rFonts w:ascii="Times New Roman" w:hAnsi="Times New Roman" w:cs="Times New Roman"/>
          <w:b w:val="0"/>
          <w:bCs w:val="0"/>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7A110F" w:rsidRPr="005F0061" w14:paraId="74BD635A" w14:textId="77777777" w:rsidTr="000C4F8E">
        <w:tc>
          <w:tcPr>
            <w:tcW w:w="1900" w:type="dxa"/>
            <w:shd w:val="clear" w:color="auto" w:fill="auto"/>
            <w:tcMar>
              <w:top w:w="28" w:type="dxa"/>
              <w:left w:w="28" w:type="dxa"/>
            </w:tcMar>
          </w:tcPr>
          <w:p w14:paraId="688D5D5E" w14:textId="43D5BA7F" w:rsidR="007A110F" w:rsidRPr="005F0061" w:rsidRDefault="00C80B88" w:rsidP="00C80B88">
            <w:pPr>
              <w:pStyle w:val="mps3-data"/>
              <w:rPr>
                <w:szCs w:val="16"/>
              </w:rPr>
            </w:pPr>
            <w:proofErr w:type="spellStart"/>
            <w:r w:rsidRPr="005F0061">
              <w:rPr>
                <w:szCs w:val="16"/>
              </w:rPr>
              <w:t>Selexipag</w:t>
            </w:r>
            <w:proofErr w:type="spellEnd"/>
          </w:p>
        </w:tc>
        <w:tc>
          <w:tcPr>
            <w:tcW w:w="850" w:type="dxa"/>
            <w:shd w:val="clear" w:color="auto" w:fill="auto"/>
            <w:tcMar>
              <w:top w:w="28" w:type="dxa"/>
              <w:left w:w="28" w:type="dxa"/>
            </w:tcMar>
          </w:tcPr>
          <w:p w14:paraId="1243DF94" w14:textId="510B172B" w:rsidR="007A110F" w:rsidRPr="005F0061" w:rsidRDefault="007A110F" w:rsidP="007A110F">
            <w:pPr>
              <w:pStyle w:val="mps3-data"/>
              <w:rPr>
                <w:szCs w:val="16"/>
              </w:rPr>
            </w:pPr>
            <w:r w:rsidRPr="005F0061">
              <w:rPr>
                <w:szCs w:val="16"/>
              </w:rPr>
              <w:t xml:space="preserve">C11193 </w:t>
            </w:r>
          </w:p>
        </w:tc>
        <w:tc>
          <w:tcPr>
            <w:tcW w:w="850" w:type="dxa"/>
            <w:shd w:val="clear" w:color="auto" w:fill="auto"/>
            <w:tcMar>
              <w:top w:w="28" w:type="dxa"/>
              <w:left w:w="28" w:type="dxa"/>
            </w:tcMar>
          </w:tcPr>
          <w:p w14:paraId="50E4F0FA" w14:textId="1F360D44" w:rsidR="007A110F" w:rsidRPr="005F0061" w:rsidDel="00E03489" w:rsidRDefault="00152473" w:rsidP="00152473">
            <w:pPr>
              <w:pStyle w:val="mps3-data"/>
              <w:rPr>
                <w:szCs w:val="16"/>
                <w:lang w:eastAsia="en-AU"/>
              </w:rPr>
            </w:pPr>
            <w:r w:rsidRPr="005F0061">
              <w:rPr>
                <w:szCs w:val="16"/>
              </w:rPr>
              <w:t>P11193</w:t>
            </w:r>
          </w:p>
        </w:tc>
        <w:tc>
          <w:tcPr>
            <w:tcW w:w="7661" w:type="dxa"/>
            <w:shd w:val="clear" w:color="auto" w:fill="auto"/>
            <w:tcMar>
              <w:top w:w="28" w:type="dxa"/>
              <w:left w:w="28" w:type="dxa"/>
            </w:tcMar>
          </w:tcPr>
          <w:p w14:paraId="79FD9A35" w14:textId="79625857" w:rsidR="007A110F" w:rsidRPr="005F0061" w:rsidRDefault="00D10F5B" w:rsidP="00D10F5B">
            <w:pPr>
              <w:pStyle w:val="mps3-data"/>
              <w:rPr>
                <w:szCs w:val="16"/>
              </w:rPr>
            </w:pPr>
            <w:r w:rsidRPr="005F0061">
              <w:t>Pulmonary arterial hypertension (PAH)</w:t>
            </w:r>
            <w:r w:rsidR="003327A6" w:rsidRPr="005F0061">
              <w:br/>
            </w:r>
            <w:r w:rsidRPr="005F0061">
              <w:t>Continuing treatment</w:t>
            </w:r>
            <w:r w:rsidR="003327A6" w:rsidRPr="005F0061">
              <w:br/>
            </w:r>
            <w:r w:rsidRPr="005F0061">
              <w:t>Patient must have received PBS-subsidised treatment with this drug for this condition; AND</w:t>
            </w:r>
            <w:r w:rsidR="003327A6" w:rsidRPr="005F0061">
              <w:br/>
            </w:r>
            <w:r w:rsidRPr="005F0061">
              <w:t>Patient must not have developed disease progression while receiving treatment with this drug for this condition; AND</w:t>
            </w:r>
            <w:r w:rsidR="003327A6" w:rsidRPr="005F0061">
              <w:br/>
            </w:r>
            <w:r w:rsidRPr="005F0061">
              <w:t>The treatment must form part of triple combination therapy consisting of: (</w:t>
            </w:r>
            <w:proofErr w:type="spellStart"/>
            <w:r w:rsidRPr="005F0061">
              <w:t>i</w:t>
            </w:r>
            <w:proofErr w:type="spellEnd"/>
            <w:r w:rsidRPr="005F0061">
              <w:t xml:space="preserve">) one endothelin receptor antagonist, (ii) one phosphodiesterase-5 inhibitor, (iii) </w:t>
            </w:r>
            <w:proofErr w:type="spellStart"/>
            <w:r w:rsidRPr="005F0061">
              <w:t>selexipag</w:t>
            </w:r>
            <w:proofErr w:type="spellEnd"/>
            <w:r w:rsidRPr="005F0061">
              <w:t xml:space="preserve"> (referred to as 'triple therapy'); OR</w:t>
            </w:r>
            <w:r w:rsidR="003327A6" w:rsidRPr="005F0061">
              <w:br/>
            </w:r>
            <w:r w:rsidRPr="005F0061">
              <w:t>The treatment must form part of dual combination therapy consisting of either: (</w:t>
            </w:r>
            <w:proofErr w:type="spellStart"/>
            <w:r w:rsidRPr="005F0061">
              <w:t>i</w:t>
            </w:r>
            <w:proofErr w:type="spellEnd"/>
            <w:r w:rsidRPr="005F0061">
              <w:t xml:space="preserve">) </w:t>
            </w:r>
            <w:proofErr w:type="spellStart"/>
            <w:r w:rsidRPr="005F0061">
              <w:t>selexipag</w:t>
            </w:r>
            <w:proofErr w:type="spellEnd"/>
            <w:r w:rsidRPr="005F0061">
              <w:t xml:space="preserve"> with one endothelin receptor antagonist, (ii) </w:t>
            </w:r>
            <w:proofErr w:type="spellStart"/>
            <w:r w:rsidRPr="005F0061">
              <w:t>selexipag</w:t>
            </w:r>
            <w:proofErr w:type="spellEnd"/>
            <w:r w:rsidRPr="005F0061">
              <w:t xml:space="preserve"> with one phosphodiesterase-5 inhibitor, as triple combination therapy with </w:t>
            </w:r>
            <w:proofErr w:type="spellStart"/>
            <w:r w:rsidRPr="005F0061">
              <w:t>selexipag</w:t>
            </w:r>
            <w:proofErr w:type="spellEnd"/>
            <w:r w:rsidRPr="005F0061">
              <w:t>-an endothelin receptor antagonist-a phoshodiesterase-5 inhibitor is not possible due to an intolerance/contraindication to the endothelin receptor antagonist class/phosphodiesterase-5 inhibitor class (referred to as 'dual therapy in lieu of triple therapy'); AND</w:t>
            </w:r>
            <w:r w:rsidR="003327A6" w:rsidRPr="005F0061">
              <w:br/>
            </w:r>
            <w:r w:rsidRPr="005F0061">
              <w:t>The treatment must not be as monotherapy.</w:t>
            </w:r>
            <w:r w:rsidR="003327A6" w:rsidRPr="005F0061">
              <w:br/>
            </w:r>
            <w:r w:rsidRPr="005F0061">
              <w:t>Must be treated by a physician with expertise in the management of PAH, with this authority application to be completed by the physician with expertise in PAH.</w:t>
            </w:r>
            <w:r w:rsidR="003327A6" w:rsidRPr="005F0061">
              <w:br/>
            </w:r>
            <w:r w:rsidRPr="005F0061">
              <w:t xml:space="preserve">For the purposes of PBS subsidy, an endothelin receptor antagonist is one of: (a) </w:t>
            </w:r>
            <w:proofErr w:type="spellStart"/>
            <w:r w:rsidRPr="005F0061">
              <w:t>ambrisentan</w:t>
            </w:r>
            <w:proofErr w:type="spellEnd"/>
            <w:r w:rsidRPr="005F0061">
              <w:t xml:space="preserve">, (b) </w:t>
            </w:r>
            <w:proofErr w:type="spellStart"/>
            <w:r w:rsidRPr="005F0061">
              <w:t>bosentan</w:t>
            </w:r>
            <w:proofErr w:type="spellEnd"/>
            <w:r w:rsidRPr="005F0061">
              <w:t xml:space="preserve">, (c) </w:t>
            </w:r>
            <w:proofErr w:type="spellStart"/>
            <w:r w:rsidRPr="005F0061">
              <w:t>macitentan</w:t>
            </w:r>
            <w:proofErr w:type="spellEnd"/>
            <w:r w:rsidRPr="005F0061">
              <w:t xml:space="preserve">; a phosphodiesterase-5 inhibitor is one of: (d) sildenafil, (e) </w:t>
            </w:r>
            <w:proofErr w:type="spellStart"/>
            <w:r w:rsidRPr="005F0061">
              <w:t>tadalafil</w:t>
            </w:r>
            <w:proofErr w:type="spellEnd"/>
            <w:r w:rsidRPr="005F0061">
              <w:t>.</w:t>
            </w:r>
            <w:r w:rsidR="003327A6" w:rsidRPr="005F0061">
              <w:br/>
            </w:r>
            <w:r w:rsidRPr="005F0061">
              <w:t>For the purposes of administering this restriction, disease progression has developed if at least one of the following has occurred:</w:t>
            </w:r>
            <w:r w:rsidR="003327A6" w:rsidRPr="005F0061">
              <w:br/>
            </w:r>
            <w:r w:rsidRPr="005F0061">
              <w:t>(</w:t>
            </w:r>
            <w:proofErr w:type="spellStart"/>
            <w:r w:rsidRPr="005F0061">
              <w:t>i</w:t>
            </w:r>
            <w:proofErr w:type="spellEnd"/>
            <w:r w:rsidRPr="005F0061">
              <w:t>) Hospitalisation due to worsening PAH;</w:t>
            </w:r>
            <w:r w:rsidR="003327A6" w:rsidRPr="005F0061">
              <w:br/>
            </w:r>
            <w:r w:rsidRPr="005F0061">
              <w:t>(ii) Deterioration of aerobic capacity/endurance, consisting of at least a 15% decrease in 6-Minute Walk Distance from baseline, combined with worsening of WHO functional class status;</w:t>
            </w:r>
            <w:r w:rsidR="003327A6" w:rsidRPr="005F0061">
              <w:br/>
            </w:r>
            <w:r w:rsidRPr="005F0061">
              <w:t>(iii) Deterioration of aerobic capacity/endurance, consisting of at least a 15% decrease in 6-Minute Walk Distance from baseline, combined with the need for additional PAH-specific therapy;</w:t>
            </w:r>
            <w:r w:rsidR="003327A6" w:rsidRPr="005F0061">
              <w:br/>
            </w:r>
            <w:r w:rsidRPr="005F0061">
              <w:t xml:space="preserve">(iv) Initiation of parenteral </w:t>
            </w:r>
            <w:proofErr w:type="spellStart"/>
            <w:r w:rsidRPr="005F0061">
              <w:t>prostanoid</w:t>
            </w:r>
            <w:proofErr w:type="spellEnd"/>
            <w:r w:rsidRPr="005F0061">
              <w:t xml:space="preserve"> therapy or long-term oxygen therapy for worsening of PAH;</w:t>
            </w:r>
            <w:r w:rsidR="003327A6" w:rsidRPr="005F0061">
              <w:br/>
            </w:r>
            <w:r w:rsidRPr="005F0061">
              <w:t xml:space="preserve">(v) Need for lung transplantation or balloon atrial </w:t>
            </w:r>
            <w:proofErr w:type="spellStart"/>
            <w:r w:rsidRPr="005F0061">
              <w:t>septostomy</w:t>
            </w:r>
            <w:proofErr w:type="spellEnd"/>
            <w:r w:rsidRPr="005F0061">
              <w:t xml:space="preserve"> for worsening of PAH.</w:t>
            </w:r>
          </w:p>
        </w:tc>
        <w:tc>
          <w:tcPr>
            <w:tcW w:w="2650" w:type="dxa"/>
            <w:shd w:val="clear" w:color="auto" w:fill="auto"/>
            <w:tcMar>
              <w:top w:w="28" w:type="dxa"/>
              <w:left w:w="28" w:type="dxa"/>
              <w:right w:w="57" w:type="dxa"/>
            </w:tcMar>
          </w:tcPr>
          <w:p w14:paraId="1111D8F8" w14:textId="77777777" w:rsidR="007A110F" w:rsidRPr="005F0061" w:rsidRDefault="007A110F" w:rsidP="007A110F">
            <w:pPr>
              <w:pStyle w:val="Tabletext0"/>
              <w:rPr>
                <w:rFonts w:cs="Arial"/>
                <w:szCs w:val="16"/>
              </w:rPr>
            </w:pPr>
            <w:r w:rsidRPr="005F0061">
              <w:rPr>
                <w:rFonts w:eastAsia="SimSun" w:cs="Arial"/>
                <w:szCs w:val="16"/>
                <w:lang w:eastAsia="zh-CN"/>
              </w:rPr>
              <w:t>Compliance with Authority Required procedures</w:t>
            </w:r>
          </w:p>
        </w:tc>
      </w:tr>
      <w:tr w:rsidR="00D10F5B" w:rsidRPr="005F0061" w14:paraId="6855B739" w14:textId="77777777" w:rsidTr="000C4F8E">
        <w:tc>
          <w:tcPr>
            <w:tcW w:w="1900" w:type="dxa"/>
            <w:shd w:val="clear" w:color="auto" w:fill="auto"/>
            <w:tcMar>
              <w:top w:w="28" w:type="dxa"/>
              <w:left w:w="28" w:type="dxa"/>
            </w:tcMar>
          </w:tcPr>
          <w:p w14:paraId="31F21A01" w14:textId="77777777" w:rsidR="00D10F5B" w:rsidRPr="005F0061" w:rsidRDefault="00D10F5B" w:rsidP="00D10F5B">
            <w:pPr>
              <w:pStyle w:val="Tabletext0"/>
              <w:tabs>
                <w:tab w:val="left" w:pos="958"/>
              </w:tabs>
              <w:rPr>
                <w:rFonts w:cs="Arial"/>
                <w:szCs w:val="16"/>
              </w:rPr>
            </w:pPr>
          </w:p>
        </w:tc>
        <w:tc>
          <w:tcPr>
            <w:tcW w:w="850" w:type="dxa"/>
            <w:shd w:val="clear" w:color="auto" w:fill="auto"/>
            <w:tcMar>
              <w:top w:w="28" w:type="dxa"/>
              <w:left w:w="28" w:type="dxa"/>
            </w:tcMar>
          </w:tcPr>
          <w:p w14:paraId="2FDC6025" w14:textId="3184B36D" w:rsidR="00D10F5B" w:rsidRPr="005F0061" w:rsidRDefault="00D10F5B" w:rsidP="00D10F5B">
            <w:pPr>
              <w:pStyle w:val="mps3-data"/>
              <w:rPr>
                <w:szCs w:val="16"/>
              </w:rPr>
            </w:pPr>
            <w:r w:rsidRPr="005F0061">
              <w:rPr>
                <w:szCs w:val="16"/>
              </w:rPr>
              <w:t xml:space="preserve">C11195 </w:t>
            </w:r>
          </w:p>
        </w:tc>
        <w:tc>
          <w:tcPr>
            <w:tcW w:w="850" w:type="dxa"/>
            <w:shd w:val="clear" w:color="auto" w:fill="auto"/>
            <w:tcMar>
              <w:top w:w="28" w:type="dxa"/>
              <w:left w:w="28" w:type="dxa"/>
            </w:tcMar>
          </w:tcPr>
          <w:p w14:paraId="346145BB" w14:textId="315F5F1B" w:rsidR="00D10F5B" w:rsidRPr="005F0061" w:rsidDel="00E03489" w:rsidRDefault="003327A6" w:rsidP="00D10F5B">
            <w:pPr>
              <w:pStyle w:val="mps3-data"/>
              <w:rPr>
                <w:szCs w:val="16"/>
                <w:lang w:eastAsia="en-AU"/>
              </w:rPr>
            </w:pPr>
            <w:r w:rsidRPr="005F0061">
              <w:rPr>
                <w:szCs w:val="16"/>
              </w:rPr>
              <w:t>P</w:t>
            </w:r>
            <w:r w:rsidR="00D10F5B" w:rsidRPr="005F0061">
              <w:rPr>
                <w:szCs w:val="16"/>
              </w:rPr>
              <w:t>11195</w:t>
            </w:r>
          </w:p>
        </w:tc>
        <w:tc>
          <w:tcPr>
            <w:tcW w:w="7661" w:type="dxa"/>
            <w:shd w:val="clear" w:color="auto" w:fill="auto"/>
            <w:tcMar>
              <w:top w:w="28" w:type="dxa"/>
              <w:left w:w="28" w:type="dxa"/>
            </w:tcMar>
          </w:tcPr>
          <w:p w14:paraId="12BCEC0E" w14:textId="6FF67700" w:rsidR="00D10F5B" w:rsidRPr="005F0061" w:rsidRDefault="00D10F5B" w:rsidP="00D10F5B">
            <w:pPr>
              <w:pStyle w:val="mps3-data"/>
              <w:rPr>
                <w:szCs w:val="16"/>
              </w:rPr>
            </w:pPr>
            <w:r w:rsidRPr="005F0061">
              <w:t>Pulmonary arterial hypertension (PAH)</w:t>
            </w:r>
            <w:r w:rsidR="003327A6" w:rsidRPr="005F0061">
              <w:br/>
            </w:r>
            <w:r w:rsidRPr="005F0061">
              <w:t>Initial treatment following dose titration</w:t>
            </w:r>
            <w:r w:rsidR="003327A6" w:rsidRPr="005F0061">
              <w:br/>
            </w:r>
            <w:r w:rsidRPr="005F0061">
              <w:t>Patient must have WHO Functional Class III PAH at treatment initiation with this drug; OR</w:t>
            </w:r>
            <w:r w:rsidR="003327A6" w:rsidRPr="005F0061">
              <w:br/>
            </w:r>
            <w:r w:rsidRPr="005F0061">
              <w:t>Patient must have WHO Functional Class IV PAH at treatment initiation with this drug; AND</w:t>
            </w:r>
            <w:r w:rsidR="003327A6" w:rsidRPr="005F0061">
              <w:br/>
            </w:r>
            <w:r w:rsidRPr="005F0061">
              <w:t>The treatment must form part of triple combination therapy consisting of: (</w:t>
            </w:r>
            <w:proofErr w:type="spellStart"/>
            <w:r w:rsidRPr="005F0061">
              <w:t>i</w:t>
            </w:r>
            <w:proofErr w:type="spellEnd"/>
            <w:r w:rsidRPr="005F0061">
              <w:t xml:space="preserve">) one endothelin receptor antagonist, (ii) one phosphodiesterase-5 inhibitor, (iii) </w:t>
            </w:r>
            <w:proofErr w:type="spellStart"/>
            <w:r w:rsidRPr="005F0061">
              <w:t>selexipag</w:t>
            </w:r>
            <w:proofErr w:type="spellEnd"/>
            <w:r w:rsidRPr="005F0061">
              <w:t xml:space="preserve"> (referred to as 'triple therapy'); OR</w:t>
            </w:r>
            <w:r w:rsidR="003327A6" w:rsidRPr="005F0061">
              <w:br/>
            </w:r>
            <w:r w:rsidRPr="005F0061">
              <w:t>The treatment must form part of dual combination therapy consisting of either: (</w:t>
            </w:r>
            <w:proofErr w:type="spellStart"/>
            <w:r w:rsidRPr="005F0061">
              <w:t>i</w:t>
            </w:r>
            <w:proofErr w:type="spellEnd"/>
            <w:r w:rsidRPr="005F0061">
              <w:t xml:space="preserve">) </w:t>
            </w:r>
            <w:proofErr w:type="spellStart"/>
            <w:r w:rsidRPr="005F0061">
              <w:t>selexipag</w:t>
            </w:r>
            <w:proofErr w:type="spellEnd"/>
            <w:r w:rsidRPr="005F0061">
              <w:t xml:space="preserve"> with one endothelin receptor antagonist, (ii) </w:t>
            </w:r>
            <w:proofErr w:type="spellStart"/>
            <w:r w:rsidRPr="005F0061">
              <w:t>selexipag</w:t>
            </w:r>
            <w:proofErr w:type="spellEnd"/>
            <w:r w:rsidRPr="005F0061">
              <w:t xml:space="preserve"> with one phosphodiesterase-5 inhibitor, as triple combination therapy with </w:t>
            </w:r>
            <w:proofErr w:type="spellStart"/>
            <w:r w:rsidRPr="005F0061">
              <w:t>selexipag</w:t>
            </w:r>
            <w:proofErr w:type="spellEnd"/>
            <w:r w:rsidRPr="005F0061">
              <w:t>-an endothelin receptor antagonist-a phoshodiesterase-5 inhibitor is not possible due to an intolerance/contraindication to the endothelin receptor antagonist class/phosphodiesterase-5 inhibitor class (referred to as 'dual therapy in lieu of triple therapy'); AND</w:t>
            </w:r>
            <w:r w:rsidR="003327A6" w:rsidRPr="005F0061">
              <w:br/>
            </w:r>
            <w:r w:rsidRPr="005F0061">
              <w:t>Patient must have completed the dose titration phase; AND</w:t>
            </w:r>
            <w:r w:rsidR="003327A6" w:rsidRPr="005F0061">
              <w:br/>
            </w:r>
            <w:r w:rsidRPr="005F0061">
              <w:t>The treatment must not be as monotherapy.</w:t>
            </w:r>
            <w:r w:rsidR="003327A6" w:rsidRPr="005F0061">
              <w:br/>
            </w:r>
            <w:r w:rsidRPr="005F0061">
              <w:t>Must be treated by a physician with expertise in the management of PAH, with this authority application to be completed by the physician with expertise in PAH.</w:t>
            </w:r>
            <w:r w:rsidR="003327A6" w:rsidRPr="005F0061">
              <w:br/>
            </w:r>
            <w:r w:rsidRPr="005F0061">
              <w:t>Patient must have had at least one PBS-subsidised PAH agent prior to this authority application.</w:t>
            </w:r>
            <w:r w:rsidR="003327A6" w:rsidRPr="005F0061">
              <w:br/>
            </w:r>
            <w:r w:rsidRPr="005F0061">
              <w:t>Select one appropriate strength (determined under the 'Initial treatment - dose titration' phase) and apply under this treatment phase (Initial treatment following dose titration) once only. Should future dose adjustments be required, apply under the 'Continuing treatment' restriction.</w:t>
            </w:r>
            <w:r w:rsidR="003327A6" w:rsidRPr="005F0061">
              <w:br/>
            </w:r>
            <w:r w:rsidRPr="005F0061">
              <w:t xml:space="preserve">A prior PAH agent is any of: </w:t>
            </w:r>
            <w:proofErr w:type="spellStart"/>
            <w:r w:rsidRPr="005F0061">
              <w:t>ambrisentan</w:t>
            </w:r>
            <w:proofErr w:type="spellEnd"/>
            <w:r w:rsidRPr="005F0061">
              <w:t xml:space="preserve">, </w:t>
            </w:r>
            <w:proofErr w:type="spellStart"/>
            <w:r w:rsidRPr="005F0061">
              <w:t>bosentan</w:t>
            </w:r>
            <w:proofErr w:type="spellEnd"/>
            <w:r w:rsidRPr="005F0061">
              <w:t xml:space="preserve">, </w:t>
            </w:r>
            <w:proofErr w:type="spellStart"/>
            <w:r w:rsidRPr="005F0061">
              <w:t>macitentan</w:t>
            </w:r>
            <w:proofErr w:type="spellEnd"/>
            <w:r w:rsidRPr="005F0061">
              <w:t xml:space="preserve">, sildenafil, </w:t>
            </w:r>
            <w:proofErr w:type="spellStart"/>
            <w:r w:rsidRPr="005F0061">
              <w:t>tadalfil</w:t>
            </w:r>
            <w:proofErr w:type="spellEnd"/>
            <w:r w:rsidRPr="005F0061">
              <w:t xml:space="preserve">, </w:t>
            </w:r>
            <w:proofErr w:type="spellStart"/>
            <w:r w:rsidRPr="005F0061">
              <w:t>epoprostenol</w:t>
            </w:r>
            <w:proofErr w:type="spellEnd"/>
            <w:r w:rsidRPr="005F0061">
              <w:t xml:space="preserve">, </w:t>
            </w:r>
            <w:proofErr w:type="spellStart"/>
            <w:r w:rsidRPr="005F0061">
              <w:t>iloprost</w:t>
            </w:r>
            <w:proofErr w:type="spellEnd"/>
            <w:r w:rsidRPr="005F0061">
              <w:t xml:space="preserve">, </w:t>
            </w:r>
            <w:proofErr w:type="spellStart"/>
            <w:proofErr w:type="gramStart"/>
            <w:r w:rsidRPr="005F0061">
              <w:t>riociguat</w:t>
            </w:r>
            <w:proofErr w:type="spellEnd"/>
            <w:proofErr w:type="gramEnd"/>
            <w:r w:rsidRPr="005F0061">
              <w:t>.</w:t>
            </w:r>
            <w:r w:rsidR="003327A6" w:rsidRPr="005F0061">
              <w:br/>
            </w:r>
            <w:r w:rsidRPr="005F0061">
              <w:t xml:space="preserve">For the purposes of PBS subsidy, an endothelin receptor antagonist is one of: (a) </w:t>
            </w:r>
            <w:proofErr w:type="spellStart"/>
            <w:r w:rsidRPr="005F0061">
              <w:t>ambrisentan</w:t>
            </w:r>
            <w:proofErr w:type="spellEnd"/>
            <w:r w:rsidRPr="005F0061">
              <w:t xml:space="preserve">, (b) </w:t>
            </w:r>
            <w:proofErr w:type="spellStart"/>
            <w:r w:rsidRPr="005F0061">
              <w:t>bosentan</w:t>
            </w:r>
            <w:proofErr w:type="spellEnd"/>
            <w:r w:rsidRPr="005F0061">
              <w:t xml:space="preserve">, (c) </w:t>
            </w:r>
            <w:proofErr w:type="spellStart"/>
            <w:r w:rsidRPr="005F0061">
              <w:t>macitentan</w:t>
            </w:r>
            <w:proofErr w:type="spellEnd"/>
            <w:r w:rsidRPr="005F0061">
              <w:t xml:space="preserve">; a phosphodiesterase-5 inhibitor is one of: (d) sildenafil, (e) </w:t>
            </w:r>
            <w:proofErr w:type="spellStart"/>
            <w:r w:rsidRPr="005F0061">
              <w:t>tadalafil</w:t>
            </w:r>
            <w:proofErr w:type="spellEnd"/>
            <w:r w:rsidRPr="005F0061">
              <w:t>.</w:t>
            </w:r>
            <w:r w:rsidR="003327A6" w:rsidRPr="005F0061">
              <w:br/>
            </w:r>
            <w:r w:rsidRPr="005F0061">
              <w:t>PBS-subsidy does not cover patients with pulmonary hypertension secondary to interstitial lung disease associated with connective tissue disease, where the total lung capacity is less than 70% of predicted.</w:t>
            </w:r>
            <w:r w:rsidR="003327A6" w:rsidRPr="005F0061">
              <w:br/>
            </w:r>
            <w:r w:rsidRPr="005F0061">
              <w:t>PAH (WHO Group 1 pulmonary hypertension) is defined as follows</w:t>
            </w:r>
            <w:proofErr w:type="gramStart"/>
            <w:r w:rsidRPr="005F0061">
              <w:t>:</w:t>
            </w:r>
            <w:proofErr w:type="gramEnd"/>
            <w:r w:rsidR="003327A6" w:rsidRPr="005F0061">
              <w:br/>
            </w:r>
            <w:r w:rsidRPr="005F0061">
              <w:t>(</w:t>
            </w:r>
            <w:proofErr w:type="spellStart"/>
            <w:r w:rsidRPr="005F0061">
              <w:t>i</w:t>
            </w:r>
            <w:proofErr w:type="spellEnd"/>
            <w:r w:rsidRPr="005F0061">
              <w:t>) mean pulmonary artery pressure (</w:t>
            </w:r>
            <w:proofErr w:type="spellStart"/>
            <w:r w:rsidRPr="005F0061">
              <w:t>mPAP</w:t>
            </w:r>
            <w:proofErr w:type="spellEnd"/>
            <w:r w:rsidRPr="005F0061">
              <w:t>) greater than or equal to 25 mmHg at rest and pulmonary artery wedge pressure (PAWP) less than or equal to 15 mmHg; or</w:t>
            </w:r>
            <w:r w:rsidR="003327A6" w:rsidRPr="005F0061">
              <w:br/>
            </w:r>
            <w:r w:rsidRPr="005F0061">
              <w:t>(ii) where a right heart catheter (RHC) cannot be performed on clinical grounds, right ventricular systolic pressure (RVSP), assessed by echocardiography (ECHO), greater than 40 mmHg, with normal left ventricular function.</w:t>
            </w:r>
          </w:p>
        </w:tc>
        <w:tc>
          <w:tcPr>
            <w:tcW w:w="2650" w:type="dxa"/>
            <w:shd w:val="clear" w:color="auto" w:fill="auto"/>
            <w:tcMar>
              <w:top w:w="28" w:type="dxa"/>
              <w:left w:w="28" w:type="dxa"/>
              <w:right w:w="57" w:type="dxa"/>
            </w:tcMar>
          </w:tcPr>
          <w:p w14:paraId="74B895BF" w14:textId="55A03B7C" w:rsidR="00D10F5B" w:rsidRPr="005F0061" w:rsidRDefault="00D10F5B" w:rsidP="00D10F5B">
            <w:pPr>
              <w:pStyle w:val="Tabletext0"/>
              <w:rPr>
                <w:rFonts w:eastAsia="SimSun" w:cs="Arial"/>
                <w:szCs w:val="16"/>
                <w:lang w:eastAsia="zh-CN"/>
              </w:rPr>
            </w:pPr>
            <w:r w:rsidRPr="005F0061">
              <w:t>Compliance with Authority Required procedures</w:t>
            </w:r>
          </w:p>
        </w:tc>
      </w:tr>
      <w:tr w:rsidR="00D10F5B" w:rsidRPr="005F0061" w14:paraId="77D6D24C" w14:textId="77777777" w:rsidTr="000C4F8E">
        <w:tc>
          <w:tcPr>
            <w:tcW w:w="1900" w:type="dxa"/>
            <w:shd w:val="clear" w:color="auto" w:fill="auto"/>
            <w:tcMar>
              <w:top w:w="28" w:type="dxa"/>
              <w:left w:w="28" w:type="dxa"/>
            </w:tcMar>
          </w:tcPr>
          <w:p w14:paraId="56751C29" w14:textId="77777777" w:rsidR="00D10F5B" w:rsidRPr="005F0061" w:rsidRDefault="00D10F5B" w:rsidP="00D10F5B">
            <w:pPr>
              <w:pStyle w:val="Tabletext0"/>
              <w:tabs>
                <w:tab w:val="left" w:pos="958"/>
              </w:tabs>
              <w:rPr>
                <w:rFonts w:cs="Arial"/>
                <w:szCs w:val="16"/>
              </w:rPr>
            </w:pPr>
          </w:p>
        </w:tc>
        <w:tc>
          <w:tcPr>
            <w:tcW w:w="850" w:type="dxa"/>
            <w:shd w:val="clear" w:color="auto" w:fill="auto"/>
            <w:tcMar>
              <w:top w:w="28" w:type="dxa"/>
              <w:left w:w="28" w:type="dxa"/>
            </w:tcMar>
          </w:tcPr>
          <w:p w14:paraId="65C6257D" w14:textId="4AE4182A" w:rsidR="00D10F5B" w:rsidRPr="005F0061" w:rsidRDefault="00D10F5B" w:rsidP="00D10F5B">
            <w:pPr>
              <w:pStyle w:val="mps3-data"/>
              <w:rPr>
                <w:szCs w:val="16"/>
              </w:rPr>
            </w:pPr>
            <w:r w:rsidRPr="005F0061">
              <w:rPr>
                <w:szCs w:val="16"/>
              </w:rPr>
              <w:t xml:space="preserve">C11241 </w:t>
            </w:r>
          </w:p>
        </w:tc>
        <w:tc>
          <w:tcPr>
            <w:tcW w:w="850" w:type="dxa"/>
            <w:shd w:val="clear" w:color="auto" w:fill="auto"/>
            <w:tcMar>
              <w:top w:w="28" w:type="dxa"/>
              <w:left w:w="28" w:type="dxa"/>
            </w:tcMar>
          </w:tcPr>
          <w:p w14:paraId="7D990905" w14:textId="133B53EF" w:rsidR="00D10F5B" w:rsidRPr="005F0061" w:rsidDel="00E03489" w:rsidRDefault="00D10F5B" w:rsidP="00D10F5B">
            <w:pPr>
              <w:pStyle w:val="mps3-data"/>
              <w:rPr>
                <w:szCs w:val="16"/>
                <w:lang w:eastAsia="en-AU"/>
              </w:rPr>
            </w:pPr>
            <w:r w:rsidRPr="005F0061">
              <w:rPr>
                <w:szCs w:val="16"/>
              </w:rPr>
              <w:t xml:space="preserve">P11241 </w:t>
            </w:r>
          </w:p>
        </w:tc>
        <w:tc>
          <w:tcPr>
            <w:tcW w:w="7661" w:type="dxa"/>
            <w:shd w:val="clear" w:color="auto" w:fill="auto"/>
            <w:tcMar>
              <w:top w:w="28" w:type="dxa"/>
              <w:left w:w="28" w:type="dxa"/>
            </w:tcMar>
          </w:tcPr>
          <w:p w14:paraId="72FBF222" w14:textId="1D20946F" w:rsidR="00D10F5B" w:rsidRPr="005F0061" w:rsidRDefault="00D10F5B" w:rsidP="00D10F5B">
            <w:pPr>
              <w:pStyle w:val="mps3-data"/>
              <w:rPr>
                <w:szCs w:val="16"/>
              </w:rPr>
            </w:pPr>
            <w:r w:rsidRPr="005F0061">
              <w:t>Pulmonary arterial hypertension (PAH)</w:t>
            </w:r>
            <w:r w:rsidR="003327A6" w:rsidRPr="005F0061">
              <w:br/>
            </w:r>
            <w:r w:rsidRPr="005F0061">
              <w:t>Transitioning from non-PBS subsidised to PBS-subsidised supply - 'Grandfather' treatment</w:t>
            </w:r>
            <w:r w:rsidR="003327A6" w:rsidRPr="005F0061">
              <w:br/>
            </w:r>
            <w:r w:rsidRPr="005F0061">
              <w:t>Patient must have received non-PBS subsidised treatment with this drug prior to 1 February 2021; AND</w:t>
            </w:r>
            <w:r w:rsidR="003327A6" w:rsidRPr="005F0061">
              <w:br/>
            </w:r>
            <w:r w:rsidRPr="005F0061">
              <w:t>Patient must have failed to achieve/maintain a WHO Functional Class II status with PAH agents (other than this agent) given as dual therapy, prior to treatment initiation with this drug; AND</w:t>
            </w:r>
            <w:r w:rsidR="003327A6" w:rsidRPr="005F0061">
              <w:br/>
            </w:r>
            <w:r w:rsidRPr="005F0061">
              <w:t>Patient must have had WHO Functional Class III PAH at treatment initiation with this drug; OR</w:t>
            </w:r>
            <w:r w:rsidR="003327A6" w:rsidRPr="005F0061">
              <w:br/>
            </w:r>
            <w:r w:rsidRPr="005F0061">
              <w:t>Patient must have had WHO Functional Class IV PAH at treatment initiation with this drug; AND</w:t>
            </w:r>
            <w:r w:rsidR="003327A6" w:rsidRPr="005F0061">
              <w:br/>
            </w:r>
            <w:r w:rsidRPr="005F0061">
              <w:t>Patient must not have developed disease progression while receiving treatment with this drug for this condition; AND</w:t>
            </w:r>
            <w:r w:rsidR="003327A6" w:rsidRPr="005F0061">
              <w:br/>
            </w:r>
            <w:r w:rsidRPr="005F0061">
              <w:t>The treatment must form part of triple combination therapy consisting of: (</w:t>
            </w:r>
            <w:proofErr w:type="spellStart"/>
            <w:r w:rsidRPr="005F0061">
              <w:t>i</w:t>
            </w:r>
            <w:proofErr w:type="spellEnd"/>
            <w:r w:rsidRPr="005F0061">
              <w:t xml:space="preserve">) one endothelin receptor antagonist, (ii) one phosphodiesterase-5 inhibitor, (iii) </w:t>
            </w:r>
            <w:proofErr w:type="spellStart"/>
            <w:r w:rsidRPr="005F0061">
              <w:t>selexipag</w:t>
            </w:r>
            <w:proofErr w:type="spellEnd"/>
            <w:r w:rsidRPr="005F0061">
              <w:t xml:space="preserve"> (referred to as 'triple therapy'); OR</w:t>
            </w:r>
            <w:r w:rsidR="003327A6" w:rsidRPr="005F0061">
              <w:br/>
            </w:r>
            <w:r w:rsidRPr="005F0061">
              <w:t>The treatment must form part of dual combination therapy consisting of either: (</w:t>
            </w:r>
            <w:proofErr w:type="spellStart"/>
            <w:r w:rsidRPr="005F0061">
              <w:t>i</w:t>
            </w:r>
            <w:proofErr w:type="spellEnd"/>
            <w:r w:rsidRPr="005F0061">
              <w:t xml:space="preserve">) </w:t>
            </w:r>
            <w:proofErr w:type="spellStart"/>
            <w:r w:rsidRPr="005F0061">
              <w:t>selexipag</w:t>
            </w:r>
            <w:proofErr w:type="spellEnd"/>
            <w:r w:rsidRPr="005F0061">
              <w:t xml:space="preserve"> with one endothelin receptor antagonist, (ii) </w:t>
            </w:r>
            <w:proofErr w:type="spellStart"/>
            <w:r w:rsidRPr="005F0061">
              <w:t>selexipag</w:t>
            </w:r>
            <w:proofErr w:type="spellEnd"/>
            <w:r w:rsidRPr="005F0061">
              <w:t xml:space="preserve"> with one phosphodiesterase-5 inhibitor, as triple combination therapy with </w:t>
            </w:r>
            <w:proofErr w:type="spellStart"/>
            <w:r w:rsidRPr="005F0061">
              <w:t>selexipag</w:t>
            </w:r>
            <w:proofErr w:type="spellEnd"/>
            <w:r w:rsidRPr="005F0061">
              <w:t>-an endothelin receptor antagonist-a phoshodiesterase-5 inhibitor is not possible due to an intolerance/contraindication to the endothelin receptor antagonist class/phosphodiesterase-5 inhibitor class (referred to as 'dual therapy in lieu of triple therapy'); AND</w:t>
            </w:r>
            <w:r w:rsidR="003327A6" w:rsidRPr="005F0061">
              <w:br/>
            </w:r>
            <w:r w:rsidRPr="005F0061">
              <w:t>The treatment must not be as monotherapy.</w:t>
            </w:r>
            <w:r w:rsidR="003327A6" w:rsidRPr="005F0061">
              <w:br/>
            </w:r>
            <w:r w:rsidRPr="005F0061">
              <w:t xml:space="preserve">Must be treated by a physician with expertise in the management of PAH, with this authority application to </w:t>
            </w:r>
            <w:r w:rsidRPr="005F0061">
              <w:lastRenderedPageBreak/>
              <w:t>be completed by the physician with expertise in PAH.</w:t>
            </w:r>
            <w:r w:rsidR="003327A6" w:rsidRPr="005F0061">
              <w:br/>
            </w:r>
            <w:r w:rsidRPr="005F0061">
              <w:t>Patient must have had at least one PBS-subsidised PAH agent prior to this authority application.</w:t>
            </w:r>
            <w:r w:rsidR="003327A6" w:rsidRPr="005F0061">
              <w:br/>
            </w:r>
            <w:r w:rsidRPr="005F0061">
              <w:t xml:space="preserve">A prior PAH agent is any of: </w:t>
            </w:r>
            <w:proofErr w:type="spellStart"/>
            <w:r w:rsidRPr="005F0061">
              <w:t>ambrisentan</w:t>
            </w:r>
            <w:proofErr w:type="spellEnd"/>
            <w:r w:rsidRPr="005F0061">
              <w:t xml:space="preserve">, </w:t>
            </w:r>
            <w:proofErr w:type="spellStart"/>
            <w:r w:rsidRPr="005F0061">
              <w:t>bosentan</w:t>
            </w:r>
            <w:proofErr w:type="spellEnd"/>
            <w:r w:rsidRPr="005F0061">
              <w:t xml:space="preserve">, </w:t>
            </w:r>
            <w:proofErr w:type="spellStart"/>
            <w:r w:rsidRPr="005F0061">
              <w:t>macitentan</w:t>
            </w:r>
            <w:proofErr w:type="spellEnd"/>
            <w:r w:rsidRPr="005F0061">
              <w:t xml:space="preserve">, sildenafil, </w:t>
            </w:r>
            <w:proofErr w:type="spellStart"/>
            <w:r w:rsidRPr="005F0061">
              <w:t>tadalfil</w:t>
            </w:r>
            <w:proofErr w:type="spellEnd"/>
            <w:r w:rsidRPr="005F0061">
              <w:t xml:space="preserve">, </w:t>
            </w:r>
            <w:proofErr w:type="spellStart"/>
            <w:r w:rsidRPr="005F0061">
              <w:t>epoprostenol</w:t>
            </w:r>
            <w:proofErr w:type="spellEnd"/>
            <w:r w:rsidRPr="005F0061">
              <w:t xml:space="preserve">, </w:t>
            </w:r>
            <w:proofErr w:type="spellStart"/>
            <w:r w:rsidRPr="005F0061">
              <w:t>iloprost</w:t>
            </w:r>
            <w:proofErr w:type="spellEnd"/>
            <w:r w:rsidRPr="005F0061">
              <w:t xml:space="preserve">, </w:t>
            </w:r>
            <w:proofErr w:type="spellStart"/>
            <w:proofErr w:type="gramStart"/>
            <w:r w:rsidRPr="005F0061">
              <w:t>riociguat</w:t>
            </w:r>
            <w:proofErr w:type="spellEnd"/>
            <w:proofErr w:type="gramEnd"/>
            <w:r w:rsidRPr="005F0061">
              <w:t>.</w:t>
            </w:r>
            <w:r w:rsidR="003327A6" w:rsidRPr="005F0061">
              <w:br/>
            </w:r>
            <w:r w:rsidRPr="005F0061">
              <w:t xml:space="preserve">For the purposes of PBS subsidy, an endothelin receptor antagonist is one of: (a) </w:t>
            </w:r>
            <w:proofErr w:type="spellStart"/>
            <w:r w:rsidRPr="005F0061">
              <w:t>ambrisentan</w:t>
            </w:r>
            <w:proofErr w:type="spellEnd"/>
            <w:r w:rsidRPr="005F0061">
              <w:t xml:space="preserve">, (b) </w:t>
            </w:r>
            <w:proofErr w:type="spellStart"/>
            <w:r w:rsidRPr="005F0061">
              <w:t>bosentan</w:t>
            </w:r>
            <w:proofErr w:type="spellEnd"/>
            <w:r w:rsidRPr="005F0061">
              <w:t xml:space="preserve">, (c) </w:t>
            </w:r>
            <w:proofErr w:type="spellStart"/>
            <w:r w:rsidRPr="005F0061">
              <w:t>macitentan</w:t>
            </w:r>
            <w:proofErr w:type="spellEnd"/>
            <w:r w:rsidRPr="005F0061">
              <w:t xml:space="preserve">; a phosphodiesterase-5 inhibitor is one of: (d) sildenafil, (e) </w:t>
            </w:r>
            <w:proofErr w:type="spellStart"/>
            <w:r w:rsidRPr="005F0061">
              <w:t>tadalafil</w:t>
            </w:r>
            <w:proofErr w:type="spellEnd"/>
            <w:r w:rsidRPr="005F0061">
              <w:t>.</w:t>
            </w:r>
            <w:r w:rsidR="003327A6" w:rsidRPr="005F0061">
              <w:br/>
            </w:r>
            <w:r w:rsidRPr="005F0061">
              <w:t>For the purposes of administering this restriction, disease progression has developed if at least one of the following has occurred:</w:t>
            </w:r>
            <w:r w:rsidR="003327A6" w:rsidRPr="005F0061">
              <w:br/>
            </w:r>
            <w:r w:rsidRPr="005F0061">
              <w:t>(</w:t>
            </w:r>
            <w:proofErr w:type="spellStart"/>
            <w:r w:rsidRPr="005F0061">
              <w:t>i</w:t>
            </w:r>
            <w:proofErr w:type="spellEnd"/>
            <w:r w:rsidRPr="005F0061">
              <w:t>) Hospitalisation due to worsening PAH;</w:t>
            </w:r>
            <w:r w:rsidR="003327A6" w:rsidRPr="005F0061">
              <w:br/>
            </w:r>
            <w:r w:rsidRPr="005F0061">
              <w:t>(ii) Deterioration of aerobic capacity/endurance, consisting of at least a 15% decrease in 6-Minute Walk Distance from baseline, combined with worsening of WHO functional class status;</w:t>
            </w:r>
            <w:r w:rsidR="003327A6" w:rsidRPr="005F0061">
              <w:br/>
            </w:r>
            <w:r w:rsidRPr="005F0061">
              <w:t>(iii) Deterioration of aerobic capacity/endurance, consisting of at least a 15% decrease in 6-Minute Walk Distance from baseline, combined with the need for additional PAH-specific therapy;</w:t>
            </w:r>
            <w:r w:rsidR="003327A6" w:rsidRPr="005F0061">
              <w:br/>
            </w:r>
            <w:r w:rsidRPr="005F0061">
              <w:t xml:space="preserve">(iv) Initiation of parenteral </w:t>
            </w:r>
            <w:proofErr w:type="spellStart"/>
            <w:r w:rsidRPr="005F0061">
              <w:t>prostanoid</w:t>
            </w:r>
            <w:proofErr w:type="spellEnd"/>
            <w:r w:rsidRPr="005F0061">
              <w:t xml:space="preserve"> therapy or long-term oxygen therapy for worsening of PAH;</w:t>
            </w:r>
            <w:r w:rsidR="003327A6" w:rsidRPr="005F0061">
              <w:br/>
            </w:r>
            <w:r w:rsidRPr="005F0061">
              <w:t xml:space="preserve">(v) Need for lung transplantation or balloon atrial </w:t>
            </w:r>
            <w:proofErr w:type="spellStart"/>
            <w:r w:rsidRPr="005F0061">
              <w:t>septostomy</w:t>
            </w:r>
            <w:proofErr w:type="spellEnd"/>
            <w:r w:rsidRPr="005F0061">
              <w:t xml:space="preserve"> for worsening of PAH.</w:t>
            </w:r>
            <w:r w:rsidR="003327A6" w:rsidRPr="005F0061">
              <w:br/>
            </w:r>
            <w:r w:rsidRPr="005F0061">
              <w:t>PBS-subsidy does not cover patients with pulmonary hypertension secondary to interstitial lung disease associated with connective tissue disease, where the total lung capacity is less than 70% of predicted.</w:t>
            </w:r>
            <w:r w:rsidR="003327A6" w:rsidRPr="005F0061">
              <w:br/>
            </w:r>
            <w:r w:rsidRPr="005F0061">
              <w:t>PAH (WHO Group 1 pulmonary hypertension) is defined as follows</w:t>
            </w:r>
            <w:proofErr w:type="gramStart"/>
            <w:r w:rsidRPr="005F0061">
              <w:t>:</w:t>
            </w:r>
            <w:proofErr w:type="gramEnd"/>
            <w:r w:rsidR="003327A6" w:rsidRPr="005F0061">
              <w:br/>
            </w:r>
            <w:r w:rsidRPr="005F0061">
              <w:t>(</w:t>
            </w:r>
            <w:proofErr w:type="spellStart"/>
            <w:r w:rsidRPr="005F0061">
              <w:t>i</w:t>
            </w:r>
            <w:proofErr w:type="spellEnd"/>
            <w:r w:rsidRPr="005F0061">
              <w:t>) mean pulmonary artery pressure (</w:t>
            </w:r>
            <w:proofErr w:type="spellStart"/>
            <w:r w:rsidRPr="005F0061">
              <w:t>mPAP</w:t>
            </w:r>
            <w:proofErr w:type="spellEnd"/>
            <w:r w:rsidRPr="005F0061">
              <w:t>) greater than or equal to 25 mmHg at rest and pulmonary artery wedge pressure (PAWP) less than or equal to 15 mmHg; or</w:t>
            </w:r>
            <w:r w:rsidR="003327A6" w:rsidRPr="005F0061">
              <w:br/>
            </w:r>
            <w:r w:rsidRPr="005F0061">
              <w:t>(ii) where a right heart catheter (RHC) cannot be performed on clinical grounds, right ventricular systolic pressure (RVSP), assessed by echocardiography (ECHO), greater than 40 mmHg, with normal left ventricular function.</w:t>
            </w:r>
          </w:p>
        </w:tc>
        <w:tc>
          <w:tcPr>
            <w:tcW w:w="2650" w:type="dxa"/>
            <w:shd w:val="clear" w:color="auto" w:fill="auto"/>
            <w:tcMar>
              <w:top w:w="28" w:type="dxa"/>
              <w:left w:w="28" w:type="dxa"/>
              <w:right w:w="57" w:type="dxa"/>
            </w:tcMar>
          </w:tcPr>
          <w:p w14:paraId="46850327" w14:textId="6BAB0D5C" w:rsidR="00D10F5B" w:rsidRPr="005F0061" w:rsidRDefault="00D10F5B" w:rsidP="00D10F5B">
            <w:pPr>
              <w:pStyle w:val="Tabletext0"/>
              <w:rPr>
                <w:rFonts w:eastAsia="SimSun" w:cs="Arial"/>
                <w:szCs w:val="16"/>
                <w:lang w:eastAsia="zh-CN"/>
              </w:rPr>
            </w:pPr>
            <w:r w:rsidRPr="005F0061">
              <w:lastRenderedPageBreak/>
              <w:t>Compliance with Authority Required procedures</w:t>
            </w:r>
          </w:p>
        </w:tc>
      </w:tr>
      <w:tr w:rsidR="00D10F5B" w:rsidRPr="005F0061" w14:paraId="586674C0" w14:textId="77777777" w:rsidTr="000C4F8E">
        <w:tc>
          <w:tcPr>
            <w:tcW w:w="1900" w:type="dxa"/>
            <w:shd w:val="clear" w:color="auto" w:fill="auto"/>
            <w:tcMar>
              <w:top w:w="28" w:type="dxa"/>
              <w:left w:w="28" w:type="dxa"/>
            </w:tcMar>
          </w:tcPr>
          <w:p w14:paraId="6C3B9D48" w14:textId="77777777" w:rsidR="00D10F5B" w:rsidRPr="005F0061" w:rsidRDefault="00D10F5B" w:rsidP="00D10F5B">
            <w:pPr>
              <w:pStyle w:val="Tabletext0"/>
              <w:tabs>
                <w:tab w:val="left" w:pos="958"/>
              </w:tabs>
              <w:rPr>
                <w:rFonts w:cs="Arial"/>
                <w:szCs w:val="16"/>
              </w:rPr>
            </w:pPr>
          </w:p>
        </w:tc>
        <w:tc>
          <w:tcPr>
            <w:tcW w:w="850" w:type="dxa"/>
            <w:shd w:val="clear" w:color="auto" w:fill="auto"/>
            <w:tcMar>
              <w:top w:w="28" w:type="dxa"/>
              <w:left w:w="28" w:type="dxa"/>
            </w:tcMar>
          </w:tcPr>
          <w:p w14:paraId="460DCE30" w14:textId="2B7FEC9C" w:rsidR="00D10F5B" w:rsidRPr="005F0061" w:rsidRDefault="00D10F5B" w:rsidP="00D10F5B">
            <w:pPr>
              <w:pStyle w:val="mps3-data"/>
              <w:rPr>
                <w:szCs w:val="16"/>
              </w:rPr>
            </w:pPr>
            <w:r w:rsidRPr="005F0061">
              <w:rPr>
                <w:szCs w:val="16"/>
              </w:rPr>
              <w:t>C11261</w:t>
            </w:r>
          </w:p>
        </w:tc>
        <w:tc>
          <w:tcPr>
            <w:tcW w:w="850" w:type="dxa"/>
            <w:shd w:val="clear" w:color="auto" w:fill="auto"/>
            <w:tcMar>
              <w:top w:w="28" w:type="dxa"/>
              <w:left w:w="28" w:type="dxa"/>
            </w:tcMar>
          </w:tcPr>
          <w:p w14:paraId="1AABEB2B" w14:textId="46308C2B" w:rsidR="00D10F5B" w:rsidRPr="005F0061" w:rsidDel="00E03489" w:rsidRDefault="00D10F5B" w:rsidP="00D10F5B">
            <w:pPr>
              <w:pStyle w:val="mps3-data"/>
              <w:rPr>
                <w:szCs w:val="16"/>
                <w:lang w:eastAsia="en-AU"/>
              </w:rPr>
            </w:pPr>
            <w:r w:rsidRPr="005F0061">
              <w:rPr>
                <w:szCs w:val="16"/>
              </w:rPr>
              <w:t>P11261</w:t>
            </w:r>
          </w:p>
        </w:tc>
        <w:tc>
          <w:tcPr>
            <w:tcW w:w="7661" w:type="dxa"/>
            <w:shd w:val="clear" w:color="auto" w:fill="auto"/>
            <w:tcMar>
              <w:top w:w="28" w:type="dxa"/>
              <w:left w:w="28" w:type="dxa"/>
            </w:tcMar>
          </w:tcPr>
          <w:p w14:paraId="5069A165" w14:textId="17EF9168" w:rsidR="00D10F5B" w:rsidRPr="005F0061" w:rsidRDefault="00D10F5B" w:rsidP="00D10F5B">
            <w:pPr>
              <w:pStyle w:val="mps3-data"/>
              <w:rPr>
                <w:szCs w:val="16"/>
              </w:rPr>
            </w:pPr>
            <w:r w:rsidRPr="005F0061">
              <w:t>Pulmonary arterial hypertension (PAH)</w:t>
            </w:r>
            <w:r w:rsidR="003327A6" w:rsidRPr="005F0061">
              <w:br/>
            </w:r>
            <w:r w:rsidRPr="005F0061">
              <w:t>Initial treatment - dose titration</w:t>
            </w:r>
            <w:r w:rsidR="003327A6" w:rsidRPr="005F0061">
              <w:br/>
            </w:r>
            <w:r w:rsidRPr="005F0061">
              <w:t>Patient must have failed to achieve/maintain a WHO Functional Class II status with PAH agents (other than this agent) given as dual therapy; AND</w:t>
            </w:r>
            <w:r w:rsidR="003327A6" w:rsidRPr="005F0061">
              <w:br/>
            </w:r>
            <w:r w:rsidRPr="005F0061">
              <w:t>Patient must have WHO Functional Class III PAH at treatment initiation with this drug; OR</w:t>
            </w:r>
            <w:r w:rsidR="003327A6" w:rsidRPr="005F0061">
              <w:br/>
            </w:r>
            <w:r w:rsidRPr="005F0061">
              <w:t>Patient must have WHO Functional Class IV PAH at treatment initiation with this drug; AND</w:t>
            </w:r>
            <w:r w:rsidR="003327A6" w:rsidRPr="005F0061">
              <w:br/>
            </w:r>
            <w:r w:rsidRPr="005F0061">
              <w:t>The treatment must be for dose titration purposes with the intent of completing the titration within 12 weeks; AND</w:t>
            </w:r>
            <w:r w:rsidR="003327A6" w:rsidRPr="005F0061">
              <w:br/>
            </w:r>
            <w:r w:rsidRPr="005F0061">
              <w:t>The treatment must form part of triple combination therapy consisting of: (</w:t>
            </w:r>
            <w:proofErr w:type="spellStart"/>
            <w:r w:rsidRPr="005F0061">
              <w:t>i</w:t>
            </w:r>
            <w:proofErr w:type="spellEnd"/>
            <w:r w:rsidRPr="005F0061">
              <w:t xml:space="preserve">) one endothelin receptor antagonist, (ii) one phosphodiesterase-5 inhibitor, (iii) </w:t>
            </w:r>
            <w:proofErr w:type="spellStart"/>
            <w:r w:rsidRPr="005F0061">
              <w:t>selexipag</w:t>
            </w:r>
            <w:proofErr w:type="spellEnd"/>
            <w:r w:rsidRPr="005F0061">
              <w:t xml:space="preserve"> (referred to as 'triple therapy'); OR</w:t>
            </w:r>
            <w:r w:rsidR="003327A6" w:rsidRPr="005F0061">
              <w:br/>
            </w:r>
            <w:r w:rsidRPr="005F0061">
              <w:t>The treatment must form part of dual combination therapy consisting of either: (</w:t>
            </w:r>
            <w:proofErr w:type="spellStart"/>
            <w:r w:rsidRPr="005F0061">
              <w:t>i</w:t>
            </w:r>
            <w:proofErr w:type="spellEnd"/>
            <w:r w:rsidRPr="005F0061">
              <w:t xml:space="preserve">) </w:t>
            </w:r>
            <w:proofErr w:type="spellStart"/>
            <w:r w:rsidRPr="005F0061">
              <w:t>selexipag</w:t>
            </w:r>
            <w:proofErr w:type="spellEnd"/>
            <w:r w:rsidRPr="005F0061">
              <w:t xml:space="preserve"> with one endothelin receptor antagonist, (ii) </w:t>
            </w:r>
            <w:proofErr w:type="spellStart"/>
            <w:r w:rsidRPr="005F0061">
              <w:t>selexipag</w:t>
            </w:r>
            <w:proofErr w:type="spellEnd"/>
            <w:r w:rsidRPr="005F0061">
              <w:t xml:space="preserve"> with one phosphodiesterase-5 inhibitor, as triple combination therapy with </w:t>
            </w:r>
            <w:proofErr w:type="spellStart"/>
            <w:r w:rsidRPr="005F0061">
              <w:t>selexipag</w:t>
            </w:r>
            <w:proofErr w:type="spellEnd"/>
            <w:r w:rsidRPr="005F0061">
              <w:t>-an endothelin receptor antagonist-a phoshodiesterase-5 inhibitor is not possible due to an intolerance/contraindication to the endothelin receptor antagonist class/phosphodiesterase-5 inhibitor class (referred to as 'dual therapy in lieu of triple therapy'); AND</w:t>
            </w:r>
            <w:r w:rsidR="003327A6" w:rsidRPr="005F0061">
              <w:br/>
            </w:r>
            <w:r w:rsidRPr="005F0061">
              <w:t>The treatment must not be as monotherapy.</w:t>
            </w:r>
            <w:r w:rsidR="003327A6" w:rsidRPr="005F0061">
              <w:br/>
            </w:r>
            <w:r w:rsidRPr="005F0061">
              <w:t>Must be treated by a physician with expertise in the management of PAH, with this authority application to be completed by the physician with expertise in PAH.</w:t>
            </w:r>
            <w:r w:rsidR="003327A6" w:rsidRPr="005F0061">
              <w:br/>
            </w:r>
            <w:r w:rsidRPr="005F0061">
              <w:t>Patient must have had at least one PBS-subsidised PAH agent prior to this authority application.</w:t>
            </w:r>
            <w:r w:rsidR="003327A6" w:rsidRPr="005F0061">
              <w:br/>
            </w:r>
            <w:r w:rsidRPr="005F0061">
              <w:t xml:space="preserve">A prior PAH agent is any of: </w:t>
            </w:r>
            <w:proofErr w:type="spellStart"/>
            <w:r w:rsidRPr="005F0061">
              <w:t>ambrisentan</w:t>
            </w:r>
            <w:proofErr w:type="spellEnd"/>
            <w:r w:rsidRPr="005F0061">
              <w:t xml:space="preserve">, </w:t>
            </w:r>
            <w:proofErr w:type="spellStart"/>
            <w:r w:rsidRPr="005F0061">
              <w:t>bosentan</w:t>
            </w:r>
            <w:proofErr w:type="spellEnd"/>
            <w:r w:rsidRPr="005F0061">
              <w:t xml:space="preserve">, </w:t>
            </w:r>
            <w:proofErr w:type="spellStart"/>
            <w:r w:rsidRPr="005F0061">
              <w:t>macitentan</w:t>
            </w:r>
            <w:proofErr w:type="spellEnd"/>
            <w:r w:rsidRPr="005F0061">
              <w:t xml:space="preserve">, sildenafil, </w:t>
            </w:r>
            <w:proofErr w:type="spellStart"/>
            <w:r w:rsidRPr="005F0061">
              <w:t>tadalfil</w:t>
            </w:r>
            <w:proofErr w:type="spellEnd"/>
            <w:r w:rsidRPr="005F0061">
              <w:t xml:space="preserve">, </w:t>
            </w:r>
            <w:proofErr w:type="spellStart"/>
            <w:r w:rsidRPr="005F0061">
              <w:t>epoprostenol</w:t>
            </w:r>
            <w:proofErr w:type="spellEnd"/>
            <w:r w:rsidRPr="005F0061">
              <w:t xml:space="preserve">, </w:t>
            </w:r>
            <w:proofErr w:type="spellStart"/>
            <w:r w:rsidRPr="005F0061">
              <w:t>iloprost</w:t>
            </w:r>
            <w:proofErr w:type="spellEnd"/>
            <w:r w:rsidRPr="005F0061">
              <w:t xml:space="preserve">, </w:t>
            </w:r>
            <w:proofErr w:type="spellStart"/>
            <w:proofErr w:type="gramStart"/>
            <w:r w:rsidRPr="005F0061">
              <w:t>riociguat</w:t>
            </w:r>
            <w:proofErr w:type="spellEnd"/>
            <w:proofErr w:type="gramEnd"/>
            <w:r w:rsidRPr="005F0061">
              <w:t>.</w:t>
            </w:r>
            <w:r w:rsidR="003327A6" w:rsidRPr="005F0061">
              <w:br/>
            </w:r>
            <w:r w:rsidRPr="005F0061">
              <w:t xml:space="preserve">For the purposes of PBS subsidy, an endothelin receptor antagonist is one of: (a) </w:t>
            </w:r>
            <w:proofErr w:type="spellStart"/>
            <w:r w:rsidRPr="005F0061">
              <w:t>ambrisentan</w:t>
            </w:r>
            <w:proofErr w:type="spellEnd"/>
            <w:r w:rsidRPr="005F0061">
              <w:t xml:space="preserve">, (b) </w:t>
            </w:r>
            <w:proofErr w:type="spellStart"/>
            <w:r w:rsidRPr="005F0061">
              <w:t>bosentan</w:t>
            </w:r>
            <w:proofErr w:type="spellEnd"/>
            <w:r w:rsidRPr="005F0061">
              <w:t xml:space="preserve">, (c) </w:t>
            </w:r>
            <w:proofErr w:type="spellStart"/>
            <w:r w:rsidRPr="005F0061">
              <w:t>macitentan</w:t>
            </w:r>
            <w:proofErr w:type="spellEnd"/>
            <w:r w:rsidRPr="005F0061">
              <w:t xml:space="preserve">; a phosphodiesterase-5 inhibitor is one of: (d) sildenafil, (e) </w:t>
            </w:r>
            <w:proofErr w:type="spellStart"/>
            <w:r w:rsidRPr="005F0061">
              <w:t>tadalafil</w:t>
            </w:r>
            <w:proofErr w:type="spellEnd"/>
            <w:r w:rsidRPr="005F0061">
              <w:t>.</w:t>
            </w:r>
            <w:r w:rsidR="003327A6" w:rsidRPr="005F0061">
              <w:br/>
            </w:r>
            <w:r w:rsidRPr="005F0061">
              <w:t>PBS-subsidy does not cover patients with pulmonary hypertension secondary to interstitial lung disease associated with connective tissue disease, where the total lung capacity is less than 70% of predicted.</w:t>
            </w:r>
            <w:r w:rsidR="003327A6" w:rsidRPr="005F0061">
              <w:br/>
            </w:r>
            <w:r w:rsidRPr="005F0061">
              <w:t>PAH (WHO Group 1 pulmonary hypertension) is defined as follows</w:t>
            </w:r>
            <w:proofErr w:type="gramStart"/>
            <w:r w:rsidRPr="005F0061">
              <w:t>:</w:t>
            </w:r>
            <w:proofErr w:type="gramEnd"/>
            <w:r w:rsidR="003327A6" w:rsidRPr="005F0061">
              <w:br/>
            </w:r>
            <w:r w:rsidRPr="005F0061">
              <w:t>(</w:t>
            </w:r>
            <w:proofErr w:type="spellStart"/>
            <w:r w:rsidRPr="005F0061">
              <w:t>i</w:t>
            </w:r>
            <w:proofErr w:type="spellEnd"/>
            <w:r w:rsidRPr="005F0061">
              <w:t>) mean pulmonary artery pressure (</w:t>
            </w:r>
            <w:proofErr w:type="spellStart"/>
            <w:r w:rsidRPr="005F0061">
              <w:t>mPAP</w:t>
            </w:r>
            <w:proofErr w:type="spellEnd"/>
            <w:r w:rsidRPr="005F0061">
              <w:t xml:space="preserve">) greater than or equal to 25 mmHg at rest and pulmonary artery </w:t>
            </w:r>
            <w:r w:rsidRPr="005F0061">
              <w:lastRenderedPageBreak/>
              <w:t>wedge pressure (PAWP) less than or equal to 15 mmHg; or</w:t>
            </w:r>
            <w:r w:rsidR="003327A6" w:rsidRPr="005F0061">
              <w:br/>
            </w:r>
            <w:r w:rsidRPr="005F0061">
              <w:t>(ii) where a right heart catheter (RHC) cannot be performed on clinical grounds, right ventricular systolic pressure (RVSP), assessed by echocardiography (ECHO), greater than 40 mmHg, with normal left ventricular function.</w:t>
            </w:r>
          </w:p>
        </w:tc>
        <w:tc>
          <w:tcPr>
            <w:tcW w:w="2650" w:type="dxa"/>
            <w:shd w:val="clear" w:color="auto" w:fill="auto"/>
            <w:tcMar>
              <w:top w:w="28" w:type="dxa"/>
              <w:left w:w="28" w:type="dxa"/>
              <w:right w:w="57" w:type="dxa"/>
            </w:tcMar>
          </w:tcPr>
          <w:p w14:paraId="7F61722F" w14:textId="244C397D" w:rsidR="00D10F5B" w:rsidRPr="005F0061" w:rsidRDefault="00D10F5B" w:rsidP="00D10F5B">
            <w:pPr>
              <w:pStyle w:val="Tabletext0"/>
              <w:rPr>
                <w:rFonts w:eastAsia="SimSun" w:cs="Arial"/>
                <w:szCs w:val="16"/>
                <w:lang w:eastAsia="zh-CN"/>
              </w:rPr>
            </w:pPr>
            <w:r w:rsidRPr="005F0061">
              <w:lastRenderedPageBreak/>
              <w:t>Compliance with Authority Required procedures</w:t>
            </w:r>
          </w:p>
        </w:tc>
      </w:tr>
    </w:tbl>
    <w:p w14:paraId="392C1CD0" w14:textId="38A21D4A" w:rsidR="00213B9C" w:rsidRPr="005F0061" w:rsidRDefault="009418DF" w:rsidP="00A1440E">
      <w:pPr>
        <w:pStyle w:val="Amendment1"/>
        <w:numPr>
          <w:ilvl w:val="0"/>
          <w:numId w:val="10"/>
        </w:numPr>
        <w:spacing w:before="60" w:after="60"/>
        <w:ind w:left="1134" w:hanging="567"/>
        <w:rPr>
          <w:bCs w:val="0"/>
          <w:iCs/>
        </w:rPr>
      </w:pPr>
      <w:r w:rsidRPr="005F0061">
        <w:rPr>
          <w:bCs w:val="0"/>
          <w:iCs/>
        </w:rPr>
        <w:t>Schedule 3, entry for Sildenafil</w:t>
      </w:r>
      <w:r w:rsidR="00213B9C" w:rsidRPr="005F0061">
        <w:rPr>
          <w:bCs w:val="0"/>
          <w:iCs/>
        </w:rPr>
        <w:t xml:space="preserve"> </w:t>
      </w:r>
    </w:p>
    <w:p w14:paraId="500E5487" w14:textId="322D2D52" w:rsidR="00DB6EC0" w:rsidRPr="005F0061" w:rsidRDefault="00213B9C" w:rsidP="00A1440E">
      <w:pPr>
        <w:pStyle w:val="Amendment1"/>
        <w:numPr>
          <w:ilvl w:val="0"/>
          <w:numId w:val="21"/>
        </w:numPr>
        <w:spacing w:before="60" w:after="60"/>
        <w:ind w:left="1134" w:hanging="567"/>
        <w:rPr>
          <w:rFonts w:ascii="Times New Roman" w:hAnsi="Times New Roman" w:cs="Times New Roman"/>
          <w:b w:val="0"/>
          <w:bCs w:val="0"/>
          <w:i/>
          <w:iCs/>
        </w:rPr>
      </w:pPr>
      <w:r w:rsidRPr="005F0061">
        <w:rPr>
          <w:rFonts w:ascii="Times New Roman" w:hAnsi="Times New Roman" w:cs="Times New Roman"/>
          <w:b w:val="0"/>
          <w:bCs w:val="0"/>
          <w:i/>
          <w:iCs/>
        </w:rPr>
        <w:t>omit: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9418DF" w:rsidRPr="005F0061" w14:paraId="3CEACEE5" w14:textId="77777777" w:rsidTr="00DB6EC0">
        <w:tc>
          <w:tcPr>
            <w:tcW w:w="1900" w:type="dxa"/>
            <w:shd w:val="clear" w:color="auto" w:fill="auto"/>
            <w:tcMar>
              <w:top w:w="28" w:type="dxa"/>
              <w:left w:w="28" w:type="dxa"/>
            </w:tcMar>
          </w:tcPr>
          <w:p w14:paraId="622D6FD0" w14:textId="77777777" w:rsidR="009418DF" w:rsidRPr="005F0061" w:rsidRDefault="009418DF" w:rsidP="009418DF">
            <w:pPr>
              <w:pStyle w:val="Tabletext0"/>
              <w:tabs>
                <w:tab w:val="left" w:pos="958"/>
              </w:tabs>
              <w:rPr>
                <w:rFonts w:cs="Arial"/>
                <w:szCs w:val="16"/>
              </w:rPr>
            </w:pPr>
          </w:p>
        </w:tc>
        <w:tc>
          <w:tcPr>
            <w:tcW w:w="850" w:type="dxa"/>
            <w:shd w:val="clear" w:color="auto" w:fill="auto"/>
            <w:tcMar>
              <w:top w:w="28" w:type="dxa"/>
              <w:left w:w="28" w:type="dxa"/>
            </w:tcMar>
          </w:tcPr>
          <w:p w14:paraId="042758DB" w14:textId="7E1F937F" w:rsidR="009418DF" w:rsidRPr="005F0061" w:rsidRDefault="009418DF" w:rsidP="009418DF">
            <w:pPr>
              <w:pStyle w:val="mps3-data"/>
              <w:rPr>
                <w:szCs w:val="16"/>
              </w:rPr>
            </w:pPr>
            <w:r w:rsidRPr="005F0061">
              <w:rPr>
                <w:rFonts w:eastAsia="SimSun"/>
                <w:szCs w:val="16"/>
              </w:rPr>
              <w:t>C10998</w:t>
            </w:r>
          </w:p>
        </w:tc>
        <w:tc>
          <w:tcPr>
            <w:tcW w:w="850" w:type="dxa"/>
            <w:shd w:val="clear" w:color="auto" w:fill="auto"/>
            <w:tcMar>
              <w:top w:w="28" w:type="dxa"/>
              <w:left w:w="28" w:type="dxa"/>
            </w:tcMar>
          </w:tcPr>
          <w:p w14:paraId="74887850" w14:textId="77777777" w:rsidR="009418DF" w:rsidRPr="005F0061" w:rsidDel="00E03489" w:rsidRDefault="009418DF" w:rsidP="009418D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05D5E5CB" w14:textId="7455360D" w:rsidR="009418DF" w:rsidRPr="005F0061" w:rsidRDefault="009418DF" w:rsidP="009418DF">
            <w:pPr>
              <w:pStyle w:val="mps3-data"/>
              <w:rPr>
                <w:szCs w:val="16"/>
              </w:rPr>
            </w:pPr>
            <w:r w:rsidRPr="005F0061">
              <w:rPr>
                <w:rFonts w:eastAsia="SimSun"/>
                <w:szCs w:val="16"/>
              </w:rPr>
              <w:t>Pulmonary arterial hypertension (PAH</w:t>
            </w:r>
            <w:proofErr w:type="gramStart"/>
            <w:r w:rsidRPr="005F0061">
              <w:rPr>
                <w:rFonts w:eastAsia="SimSun"/>
                <w:szCs w:val="16"/>
              </w:rPr>
              <w:t>)</w:t>
            </w:r>
            <w:proofErr w:type="gramEnd"/>
            <w:r w:rsidRPr="005F0061">
              <w:rPr>
                <w:rFonts w:eastAsia="SimSun"/>
                <w:szCs w:val="16"/>
              </w:rPr>
              <w:br/>
              <w:t>Continuing treatment (dual therapy)</w:t>
            </w:r>
            <w:r w:rsidRPr="005F0061">
              <w:rPr>
                <w:rFonts w:eastAsia="SimSun"/>
                <w:szCs w:val="16"/>
              </w:rPr>
              <w:br/>
              <w:t>Patient must have received their most recent course of PBS-subsidised treatment with this PAH agent and an endothelin receptor antagonist (ERA) for this condition.</w:t>
            </w:r>
            <w:r w:rsidRPr="005F0061">
              <w:rPr>
                <w:rFonts w:eastAsia="SimSun"/>
                <w:szCs w:val="16"/>
              </w:rPr>
              <w:br/>
              <w:t xml:space="preserve">The term 'PAH agents' refers to </w:t>
            </w:r>
            <w:proofErr w:type="spellStart"/>
            <w:r w:rsidRPr="005F0061">
              <w:rPr>
                <w:rFonts w:eastAsia="SimSun"/>
                <w:szCs w:val="16"/>
              </w:rPr>
              <w:t>bosentan</w:t>
            </w:r>
            <w:proofErr w:type="spellEnd"/>
            <w:r w:rsidRPr="005F0061">
              <w:rPr>
                <w:rFonts w:eastAsia="SimSun"/>
                <w:szCs w:val="16"/>
              </w:rPr>
              <w:t xml:space="preserve"> monohydrate, </w:t>
            </w:r>
            <w:proofErr w:type="spellStart"/>
            <w:r w:rsidRPr="005F0061">
              <w:rPr>
                <w:rFonts w:eastAsia="SimSun"/>
                <w:szCs w:val="16"/>
              </w:rPr>
              <w:t>iloprost</w:t>
            </w:r>
            <w:proofErr w:type="spellEnd"/>
            <w:r w:rsidRPr="005F0061">
              <w:rPr>
                <w:rFonts w:eastAsia="SimSun"/>
                <w:szCs w:val="16"/>
              </w:rPr>
              <w:t xml:space="preserve"> trometamol, </w:t>
            </w:r>
            <w:proofErr w:type="spellStart"/>
            <w:r w:rsidRPr="005F0061">
              <w:rPr>
                <w:rFonts w:eastAsia="SimSun"/>
                <w:szCs w:val="16"/>
              </w:rPr>
              <w:t>epoprostenol</w:t>
            </w:r>
            <w:proofErr w:type="spellEnd"/>
            <w:r w:rsidRPr="005F0061">
              <w:rPr>
                <w:rFonts w:eastAsia="SimSun"/>
                <w:szCs w:val="16"/>
              </w:rPr>
              <w:t xml:space="preserve"> sodium, sildenafil citrate, </w:t>
            </w:r>
            <w:proofErr w:type="spellStart"/>
            <w:r w:rsidRPr="005F0061">
              <w:rPr>
                <w:rFonts w:eastAsia="SimSun"/>
                <w:szCs w:val="16"/>
              </w:rPr>
              <w:t>ambrisentan</w:t>
            </w:r>
            <w:proofErr w:type="spellEnd"/>
            <w:r w:rsidRPr="005F0061">
              <w:rPr>
                <w:rFonts w:eastAsia="SimSun"/>
                <w:szCs w:val="16"/>
              </w:rPr>
              <w:t xml:space="preserve">, </w:t>
            </w:r>
            <w:proofErr w:type="spellStart"/>
            <w:r w:rsidRPr="005F0061">
              <w:rPr>
                <w:rFonts w:eastAsia="SimSun"/>
                <w:szCs w:val="16"/>
              </w:rPr>
              <w:t>tadalafil</w:t>
            </w:r>
            <w:proofErr w:type="spellEnd"/>
            <w:r w:rsidRPr="005F0061">
              <w:rPr>
                <w:rFonts w:eastAsia="SimSun"/>
                <w:szCs w:val="16"/>
              </w:rPr>
              <w:t xml:space="preserve">, </w:t>
            </w:r>
            <w:proofErr w:type="spellStart"/>
            <w:r w:rsidRPr="005F0061">
              <w:rPr>
                <w:rFonts w:eastAsia="SimSun"/>
                <w:szCs w:val="16"/>
              </w:rPr>
              <w:t>macitentan</w:t>
            </w:r>
            <w:proofErr w:type="spellEnd"/>
            <w:r w:rsidRPr="005F0061">
              <w:rPr>
                <w:rFonts w:eastAsia="SimSun"/>
                <w:szCs w:val="16"/>
              </w:rPr>
              <w:t xml:space="preserve">, and </w:t>
            </w:r>
            <w:proofErr w:type="spellStart"/>
            <w:r w:rsidRPr="005F0061">
              <w:rPr>
                <w:rFonts w:eastAsia="SimSun"/>
                <w:szCs w:val="16"/>
              </w:rPr>
              <w:t>riociguat</w:t>
            </w:r>
            <w:proofErr w:type="spellEnd"/>
            <w:r w:rsidRPr="005F0061">
              <w:rPr>
                <w:rFonts w:eastAsia="SimSun"/>
                <w:szCs w:val="16"/>
              </w:rPr>
              <w:t>.</w:t>
            </w:r>
            <w:r w:rsidRPr="005F0061">
              <w:rPr>
                <w:rFonts w:eastAsia="SimSun"/>
                <w:szCs w:val="16"/>
              </w:rPr>
              <w:br/>
              <w:t>For the purposes of PBS subsidy, dual therapy refers to combined use of an endothelin receptor antagonist (ERA) and a phosphodiesterase-5 inhibitor (PDE-5i).</w:t>
            </w:r>
            <w:r w:rsidRPr="005F0061">
              <w:rPr>
                <w:rFonts w:eastAsia="SimSun"/>
                <w:szCs w:val="16"/>
              </w:rPr>
              <w:br/>
              <w:t>(</w:t>
            </w:r>
            <w:proofErr w:type="spellStart"/>
            <w:r w:rsidRPr="005F0061">
              <w:rPr>
                <w:rFonts w:eastAsia="SimSun"/>
                <w:szCs w:val="16"/>
              </w:rPr>
              <w:t>i</w:t>
            </w:r>
            <w:proofErr w:type="spellEnd"/>
            <w:r w:rsidRPr="005F0061">
              <w:rPr>
                <w:rFonts w:eastAsia="SimSun"/>
                <w:szCs w:val="16"/>
              </w:rPr>
              <w:t xml:space="preserve">) An ERA includes </w:t>
            </w:r>
            <w:proofErr w:type="spellStart"/>
            <w:r w:rsidRPr="005F0061">
              <w:rPr>
                <w:rFonts w:eastAsia="SimSun"/>
                <w:szCs w:val="16"/>
              </w:rPr>
              <w:t>ambrisentan</w:t>
            </w:r>
            <w:proofErr w:type="spellEnd"/>
            <w:r w:rsidRPr="005F0061">
              <w:rPr>
                <w:rFonts w:eastAsia="SimSun"/>
                <w:szCs w:val="16"/>
              </w:rPr>
              <w:t xml:space="preserve">, </w:t>
            </w:r>
            <w:proofErr w:type="spellStart"/>
            <w:r w:rsidRPr="005F0061">
              <w:rPr>
                <w:rFonts w:eastAsia="SimSun"/>
                <w:szCs w:val="16"/>
              </w:rPr>
              <w:t>bosentan</w:t>
            </w:r>
            <w:proofErr w:type="spellEnd"/>
            <w:r w:rsidRPr="005F0061">
              <w:rPr>
                <w:rFonts w:eastAsia="SimSun"/>
                <w:szCs w:val="16"/>
              </w:rPr>
              <w:t xml:space="preserve"> monohydrate, or </w:t>
            </w:r>
            <w:proofErr w:type="spellStart"/>
            <w:r w:rsidRPr="005F0061">
              <w:rPr>
                <w:rFonts w:eastAsia="SimSun"/>
                <w:szCs w:val="16"/>
              </w:rPr>
              <w:t>macitentan</w:t>
            </w:r>
            <w:proofErr w:type="spellEnd"/>
            <w:r w:rsidRPr="005F0061">
              <w:rPr>
                <w:rFonts w:eastAsia="SimSun"/>
                <w:szCs w:val="16"/>
              </w:rPr>
              <w:t>.</w:t>
            </w:r>
            <w:r w:rsidRPr="005F0061">
              <w:rPr>
                <w:rFonts w:eastAsia="SimSun"/>
                <w:szCs w:val="16"/>
              </w:rPr>
              <w:br/>
              <w:t xml:space="preserve">(ii) A PDE-5i includes sildenafil citrate, or </w:t>
            </w:r>
            <w:proofErr w:type="spellStart"/>
            <w:r w:rsidRPr="005F0061">
              <w:rPr>
                <w:rFonts w:eastAsia="SimSun"/>
                <w:szCs w:val="16"/>
              </w:rPr>
              <w:t>tadalafil</w:t>
            </w:r>
            <w:proofErr w:type="spellEnd"/>
            <w:r w:rsidRPr="005F0061">
              <w:rPr>
                <w:rFonts w:eastAsia="SimSun"/>
                <w:szCs w:val="16"/>
              </w:rPr>
              <w:t>.</w:t>
            </w:r>
            <w:r w:rsidRPr="005F0061">
              <w:rPr>
                <w:rFonts w:eastAsia="SimSun"/>
                <w:szCs w:val="16"/>
              </w:rPr>
              <w:br/>
              <w:t>PAH agents are not PBS-subsidised for patients with pulmonary hypertension secondary to interstitial lung disease associated with connective tissue disease, where the total lung capacity is less than 70% of predicted.</w:t>
            </w:r>
            <w:r w:rsidRPr="005F0061">
              <w:rPr>
                <w:rFonts w:eastAsia="SimSun"/>
                <w:szCs w:val="16"/>
              </w:rPr>
              <w:br/>
              <w:t>The maximum quantity authorised will be limited to provide sufficient supply for 1 month of treatment, based on the dosage recommendations in the TGA-approved Product Information.</w:t>
            </w:r>
            <w:r w:rsidRPr="005F0061">
              <w:rPr>
                <w:rFonts w:eastAsia="SimSun"/>
                <w:szCs w:val="16"/>
              </w:rPr>
              <w:br/>
              <w:t>A maximum of 5 repeats may be requested.</w:t>
            </w:r>
          </w:p>
        </w:tc>
        <w:tc>
          <w:tcPr>
            <w:tcW w:w="2650" w:type="dxa"/>
            <w:shd w:val="clear" w:color="auto" w:fill="auto"/>
            <w:tcMar>
              <w:top w:w="28" w:type="dxa"/>
              <w:left w:w="28" w:type="dxa"/>
              <w:right w:w="57" w:type="dxa"/>
            </w:tcMar>
          </w:tcPr>
          <w:p w14:paraId="79DD614D" w14:textId="552A6F18" w:rsidR="009418DF" w:rsidRPr="005F0061" w:rsidRDefault="009418DF" w:rsidP="009418DF">
            <w:pPr>
              <w:pStyle w:val="Tabletext0"/>
              <w:rPr>
                <w:rFonts w:cs="Arial"/>
                <w:szCs w:val="16"/>
              </w:rPr>
            </w:pPr>
            <w:r w:rsidRPr="005F0061">
              <w:rPr>
                <w:rFonts w:eastAsia="SimSun" w:cs="Arial"/>
                <w:szCs w:val="16"/>
                <w:lang w:eastAsia="zh-CN"/>
              </w:rPr>
              <w:t>Compliance with Authority Required procedures</w:t>
            </w:r>
          </w:p>
        </w:tc>
      </w:tr>
      <w:tr w:rsidR="009418DF" w:rsidRPr="005F0061" w14:paraId="22599FFD" w14:textId="77777777" w:rsidTr="00DB6EC0">
        <w:tc>
          <w:tcPr>
            <w:tcW w:w="1900" w:type="dxa"/>
            <w:shd w:val="clear" w:color="auto" w:fill="auto"/>
            <w:tcMar>
              <w:top w:w="28" w:type="dxa"/>
              <w:left w:w="28" w:type="dxa"/>
            </w:tcMar>
          </w:tcPr>
          <w:p w14:paraId="14EB75FE" w14:textId="77777777" w:rsidR="009418DF" w:rsidRPr="005F0061" w:rsidRDefault="009418DF" w:rsidP="009418DF">
            <w:pPr>
              <w:pStyle w:val="Tabletext0"/>
              <w:tabs>
                <w:tab w:val="left" w:pos="958"/>
              </w:tabs>
              <w:rPr>
                <w:rFonts w:cs="Arial"/>
                <w:szCs w:val="16"/>
              </w:rPr>
            </w:pPr>
          </w:p>
        </w:tc>
        <w:tc>
          <w:tcPr>
            <w:tcW w:w="850" w:type="dxa"/>
            <w:shd w:val="clear" w:color="auto" w:fill="auto"/>
            <w:tcMar>
              <w:top w:w="28" w:type="dxa"/>
              <w:left w:w="28" w:type="dxa"/>
            </w:tcMar>
          </w:tcPr>
          <w:p w14:paraId="281A53E3" w14:textId="1C6A6527" w:rsidR="009418DF" w:rsidRPr="005F0061" w:rsidRDefault="009418DF" w:rsidP="009418DF">
            <w:pPr>
              <w:pStyle w:val="mps3-data"/>
              <w:rPr>
                <w:szCs w:val="16"/>
              </w:rPr>
            </w:pPr>
            <w:r w:rsidRPr="005F0061">
              <w:rPr>
                <w:rFonts w:eastAsia="SimSun"/>
                <w:szCs w:val="16"/>
              </w:rPr>
              <w:t>C11012</w:t>
            </w:r>
          </w:p>
        </w:tc>
        <w:tc>
          <w:tcPr>
            <w:tcW w:w="850" w:type="dxa"/>
            <w:shd w:val="clear" w:color="auto" w:fill="auto"/>
            <w:tcMar>
              <w:top w:w="28" w:type="dxa"/>
              <w:left w:w="28" w:type="dxa"/>
            </w:tcMar>
          </w:tcPr>
          <w:p w14:paraId="1510F14D" w14:textId="77777777" w:rsidR="009418DF" w:rsidRPr="005F0061" w:rsidDel="00E03489" w:rsidRDefault="009418DF" w:rsidP="009418D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4605D58A" w14:textId="04079161" w:rsidR="009418DF" w:rsidRPr="005F0061" w:rsidRDefault="009418DF" w:rsidP="009418DF">
            <w:pPr>
              <w:pStyle w:val="mps3-data"/>
              <w:rPr>
                <w:szCs w:val="16"/>
              </w:rPr>
            </w:pPr>
            <w:r w:rsidRPr="005F0061">
              <w:rPr>
                <w:rFonts w:eastAsia="SimSun"/>
                <w:szCs w:val="16"/>
              </w:rPr>
              <w:t>Pulmonary arterial hypertension (PAH</w:t>
            </w:r>
            <w:proofErr w:type="gramStart"/>
            <w:r w:rsidRPr="005F0061">
              <w:rPr>
                <w:rFonts w:eastAsia="SimSun"/>
                <w:szCs w:val="16"/>
              </w:rPr>
              <w:t>)</w:t>
            </w:r>
            <w:proofErr w:type="gramEnd"/>
            <w:r w:rsidRPr="005F0061">
              <w:rPr>
                <w:rFonts w:eastAsia="SimSun"/>
                <w:szCs w:val="16"/>
              </w:rPr>
              <w:br/>
              <w:t>Initial 3 (dual therapy - change)</w:t>
            </w:r>
            <w:r w:rsidRPr="005F0061">
              <w:rPr>
                <w:rFonts w:eastAsia="SimSun"/>
                <w:szCs w:val="16"/>
              </w:rPr>
              <w:br/>
              <w:t>Patient must have had their most recent course of PBS-subsidised dual therapy with an endothelin receptor antagonist (ERA) and a phosphodiesterase-5 inhibitor (PDE-5i) other than this agent for this condition.</w:t>
            </w:r>
            <w:r w:rsidRPr="005F0061">
              <w:rPr>
                <w:rFonts w:eastAsia="SimSun"/>
                <w:szCs w:val="16"/>
              </w:rPr>
              <w:br/>
              <w:t xml:space="preserve">The term 'PAH agents' refers to </w:t>
            </w:r>
            <w:proofErr w:type="spellStart"/>
            <w:r w:rsidRPr="005F0061">
              <w:rPr>
                <w:rFonts w:eastAsia="SimSun"/>
                <w:szCs w:val="16"/>
              </w:rPr>
              <w:t>bosentan</w:t>
            </w:r>
            <w:proofErr w:type="spellEnd"/>
            <w:r w:rsidRPr="005F0061">
              <w:rPr>
                <w:rFonts w:eastAsia="SimSun"/>
                <w:szCs w:val="16"/>
              </w:rPr>
              <w:t xml:space="preserve"> monohydrate, </w:t>
            </w:r>
            <w:proofErr w:type="spellStart"/>
            <w:r w:rsidRPr="005F0061">
              <w:rPr>
                <w:rFonts w:eastAsia="SimSun"/>
                <w:szCs w:val="16"/>
              </w:rPr>
              <w:t>iloprost</w:t>
            </w:r>
            <w:proofErr w:type="spellEnd"/>
            <w:r w:rsidRPr="005F0061">
              <w:rPr>
                <w:rFonts w:eastAsia="SimSun"/>
                <w:szCs w:val="16"/>
              </w:rPr>
              <w:t xml:space="preserve"> trometamol, </w:t>
            </w:r>
            <w:proofErr w:type="spellStart"/>
            <w:r w:rsidRPr="005F0061">
              <w:rPr>
                <w:rFonts w:eastAsia="SimSun"/>
                <w:szCs w:val="16"/>
              </w:rPr>
              <w:t>epoprostenol</w:t>
            </w:r>
            <w:proofErr w:type="spellEnd"/>
            <w:r w:rsidRPr="005F0061">
              <w:rPr>
                <w:rFonts w:eastAsia="SimSun"/>
                <w:szCs w:val="16"/>
              </w:rPr>
              <w:t xml:space="preserve"> sodium, sildenafil citrate, </w:t>
            </w:r>
            <w:proofErr w:type="spellStart"/>
            <w:r w:rsidRPr="005F0061">
              <w:rPr>
                <w:rFonts w:eastAsia="SimSun"/>
                <w:szCs w:val="16"/>
              </w:rPr>
              <w:t>ambrisentan</w:t>
            </w:r>
            <w:proofErr w:type="spellEnd"/>
            <w:r w:rsidRPr="005F0061">
              <w:rPr>
                <w:rFonts w:eastAsia="SimSun"/>
                <w:szCs w:val="16"/>
              </w:rPr>
              <w:t xml:space="preserve">, </w:t>
            </w:r>
            <w:proofErr w:type="spellStart"/>
            <w:r w:rsidRPr="005F0061">
              <w:rPr>
                <w:rFonts w:eastAsia="SimSun"/>
                <w:szCs w:val="16"/>
              </w:rPr>
              <w:t>tadalafil</w:t>
            </w:r>
            <w:proofErr w:type="spellEnd"/>
            <w:r w:rsidRPr="005F0061">
              <w:rPr>
                <w:rFonts w:eastAsia="SimSun"/>
                <w:szCs w:val="16"/>
              </w:rPr>
              <w:t xml:space="preserve">, </w:t>
            </w:r>
            <w:proofErr w:type="spellStart"/>
            <w:r w:rsidRPr="005F0061">
              <w:rPr>
                <w:rFonts w:eastAsia="SimSun"/>
                <w:szCs w:val="16"/>
              </w:rPr>
              <w:t>macitentan</w:t>
            </w:r>
            <w:proofErr w:type="spellEnd"/>
            <w:r w:rsidRPr="005F0061">
              <w:rPr>
                <w:rFonts w:eastAsia="SimSun"/>
                <w:szCs w:val="16"/>
              </w:rPr>
              <w:t xml:space="preserve">, and </w:t>
            </w:r>
            <w:proofErr w:type="spellStart"/>
            <w:r w:rsidRPr="005F0061">
              <w:rPr>
                <w:rFonts w:eastAsia="SimSun"/>
                <w:szCs w:val="16"/>
              </w:rPr>
              <w:t>riociguat</w:t>
            </w:r>
            <w:proofErr w:type="spellEnd"/>
            <w:r w:rsidRPr="005F0061">
              <w:rPr>
                <w:rFonts w:eastAsia="SimSun"/>
                <w:szCs w:val="16"/>
              </w:rPr>
              <w:t>.</w:t>
            </w:r>
            <w:r w:rsidRPr="005F0061">
              <w:rPr>
                <w:rFonts w:eastAsia="SimSun"/>
                <w:szCs w:val="16"/>
              </w:rPr>
              <w:br/>
              <w:t>For the purposes of PBS subsidy, dual therapy refers to combined use of an endothelin receptor antagonist (ERA) and a phosphodiesterase-5 inhibitor (PDE-5i).</w:t>
            </w:r>
            <w:r w:rsidRPr="005F0061">
              <w:rPr>
                <w:rFonts w:eastAsia="SimSun"/>
                <w:szCs w:val="16"/>
              </w:rPr>
              <w:br/>
              <w:t>(</w:t>
            </w:r>
            <w:proofErr w:type="spellStart"/>
            <w:r w:rsidRPr="005F0061">
              <w:rPr>
                <w:rFonts w:eastAsia="SimSun"/>
                <w:szCs w:val="16"/>
              </w:rPr>
              <w:t>i</w:t>
            </w:r>
            <w:proofErr w:type="spellEnd"/>
            <w:r w:rsidRPr="005F0061">
              <w:rPr>
                <w:rFonts w:eastAsia="SimSun"/>
                <w:szCs w:val="16"/>
              </w:rPr>
              <w:t xml:space="preserve">) An ERA includes </w:t>
            </w:r>
            <w:proofErr w:type="spellStart"/>
            <w:r w:rsidRPr="005F0061">
              <w:rPr>
                <w:rFonts w:eastAsia="SimSun"/>
                <w:szCs w:val="16"/>
              </w:rPr>
              <w:t>ambrisentan</w:t>
            </w:r>
            <w:proofErr w:type="spellEnd"/>
            <w:r w:rsidRPr="005F0061">
              <w:rPr>
                <w:rFonts w:eastAsia="SimSun"/>
                <w:szCs w:val="16"/>
              </w:rPr>
              <w:t xml:space="preserve">, </w:t>
            </w:r>
            <w:proofErr w:type="spellStart"/>
            <w:r w:rsidRPr="005F0061">
              <w:rPr>
                <w:rFonts w:eastAsia="SimSun"/>
                <w:szCs w:val="16"/>
              </w:rPr>
              <w:t>bosentan</w:t>
            </w:r>
            <w:proofErr w:type="spellEnd"/>
            <w:r w:rsidRPr="005F0061">
              <w:rPr>
                <w:rFonts w:eastAsia="SimSun"/>
                <w:szCs w:val="16"/>
              </w:rPr>
              <w:t xml:space="preserve"> monohydrate, or </w:t>
            </w:r>
            <w:proofErr w:type="spellStart"/>
            <w:r w:rsidRPr="005F0061">
              <w:rPr>
                <w:rFonts w:eastAsia="SimSun"/>
                <w:szCs w:val="16"/>
              </w:rPr>
              <w:t>macitentan</w:t>
            </w:r>
            <w:proofErr w:type="spellEnd"/>
            <w:r w:rsidRPr="005F0061">
              <w:rPr>
                <w:rFonts w:eastAsia="SimSun"/>
                <w:szCs w:val="16"/>
              </w:rPr>
              <w:t>.</w:t>
            </w:r>
            <w:r w:rsidRPr="005F0061">
              <w:rPr>
                <w:rFonts w:eastAsia="SimSun"/>
                <w:szCs w:val="16"/>
              </w:rPr>
              <w:br/>
              <w:t xml:space="preserve">(ii) A PDE-5i includes sildenafil citrate, or </w:t>
            </w:r>
            <w:proofErr w:type="spellStart"/>
            <w:r w:rsidRPr="005F0061">
              <w:rPr>
                <w:rFonts w:eastAsia="SimSun"/>
                <w:szCs w:val="16"/>
              </w:rPr>
              <w:t>tadalafil</w:t>
            </w:r>
            <w:proofErr w:type="spellEnd"/>
            <w:r w:rsidRPr="005F0061">
              <w:rPr>
                <w:rFonts w:eastAsia="SimSun"/>
                <w:szCs w:val="16"/>
              </w:rPr>
              <w:t>.</w:t>
            </w:r>
            <w:r w:rsidRPr="005F0061">
              <w:rPr>
                <w:rFonts w:eastAsia="SimSun"/>
                <w:szCs w:val="16"/>
              </w:rPr>
              <w:br/>
              <w:t>PAH agents are not PBS-subsidised for patients with pulmonary hypertension secondary to interstitial lung disease associated with connective tissue disease, where the total lung capacity is less than 70% of predicted.</w:t>
            </w:r>
            <w:r w:rsidRPr="005F0061">
              <w:rPr>
                <w:rFonts w:eastAsia="SimSun"/>
                <w:szCs w:val="16"/>
              </w:rPr>
              <w:br/>
              <w:t>Swapping between PAH agents: Patients can access PAH agents through the PBS according to the relevant restrictions.</w:t>
            </w:r>
            <w:r w:rsidRPr="005F0061">
              <w:rPr>
                <w:rFonts w:eastAsia="SimSun"/>
                <w:szCs w:val="16"/>
              </w:rPr>
              <w:br/>
              <w:t>Once patients are approved dual therapy with a PAH agent from the PDE-5i class; or a PAH agent from the ERA class, they may swap between PAH agents within the same class. This means that patients may commence treatment with another PAH agent in the same class, subject to that agent's restriction, irrespective of the severity of their disease at the time the application to swap therapy is submitted.</w:t>
            </w:r>
            <w:r w:rsidRPr="005F0061">
              <w:rPr>
                <w:rFonts w:eastAsia="SimSun"/>
                <w:szCs w:val="16"/>
              </w:rPr>
              <w:br/>
              <w:t>Applications to swap within a PAH agent class must be made under the relevant initial treatment restriction.</w:t>
            </w:r>
            <w:r w:rsidRPr="005F0061">
              <w:rPr>
                <w:rFonts w:eastAsia="SimSun"/>
                <w:szCs w:val="16"/>
              </w:rPr>
              <w:br/>
              <w:t>The maximum quantity authorised will be limited to provide sufficient supply for 1 month of treatment, based on the dosage recommendations in the TGA-approved Product Information.</w:t>
            </w:r>
            <w:r w:rsidRPr="005F0061">
              <w:rPr>
                <w:rFonts w:eastAsia="SimSun"/>
                <w:szCs w:val="16"/>
              </w:rPr>
              <w:br/>
              <w:t>A maximum of 5 repeats may be requested.</w:t>
            </w:r>
          </w:p>
        </w:tc>
        <w:tc>
          <w:tcPr>
            <w:tcW w:w="2650" w:type="dxa"/>
            <w:shd w:val="clear" w:color="auto" w:fill="auto"/>
            <w:tcMar>
              <w:top w:w="28" w:type="dxa"/>
              <w:left w:w="28" w:type="dxa"/>
              <w:right w:w="57" w:type="dxa"/>
            </w:tcMar>
          </w:tcPr>
          <w:p w14:paraId="68DDDC4F" w14:textId="5B7F2CC1" w:rsidR="009418DF" w:rsidRPr="005F0061" w:rsidRDefault="009418DF" w:rsidP="009418DF">
            <w:pPr>
              <w:pStyle w:val="Tabletext0"/>
              <w:rPr>
                <w:rFonts w:cs="Arial"/>
                <w:szCs w:val="16"/>
              </w:rPr>
            </w:pPr>
            <w:r w:rsidRPr="005F0061">
              <w:rPr>
                <w:rFonts w:eastAsia="SimSun" w:cs="Arial"/>
                <w:szCs w:val="16"/>
                <w:lang w:eastAsia="zh-CN"/>
              </w:rPr>
              <w:t>Compliance with Authority Required procedures</w:t>
            </w:r>
          </w:p>
        </w:tc>
      </w:tr>
      <w:tr w:rsidR="009418DF" w:rsidRPr="005F0061" w14:paraId="0EB7239B" w14:textId="77777777" w:rsidTr="00DB6EC0">
        <w:tc>
          <w:tcPr>
            <w:tcW w:w="1900" w:type="dxa"/>
            <w:shd w:val="clear" w:color="auto" w:fill="auto"/>
            <w:tcMar>
              <w:top w:w="28" w:type="dxa"/>
              <w:left w:w="28" w:type="dxa"/>
            </w:tcMar>
          </w:tcPr>
          <w:p w14:paraId="69642977" w14:textId="77777777" w:rsidR="009418DF" w:rsidRPr="005F0061" w:rsidRDefault="009418DF" w:rsidP="009418DF">
            <w:pPr>
              <w:pStyle w:val="Tabletext0"/>
              <w:tabs>
                <w:tab w:val="left" w:pos="958"/>
              </w:tabs>
              <w:rPr>
                <w:rFonts w:cs="Arial"/>
                <w:szCs w:val="16"/>
              </w:rPr>
            </w:pPr>
          </w:p>
        </w:tc>
        <w:tc>
          <w:tcPr>
            <w:tcW w:w="850" w:type="dxa"/>
            <w:shd w:val="clear" w:color="auto" w:fill="auto"/>
            <w:tcMar>
              <w:top w:w="28" w:type="dxa"/>
              <w:left w:w="28" w:type="dxa"/>
            </w:tcMar>
          </w:tcPr>
          <w:p w14:paraId="4297AF1E" w14:textId="38B73FF1" w:rsidR="009418DF" w:rsidRPr="005F0061" w:rsidRDefault="009418DF" w:rsidP="009418DF">
            <w:pPr>
              <w:pStyle w:val="mps3-data"/>
              <w:rPr>
                <w:szCs w:val="16"/>
              </w:rPr>
            </w:pPr>
            <w:r w:rsidRPr="005F0061">
              <w:rPr>
                <w:rFonts w:eastAsia="SimSun"/>
                <w:szCs w:val="16"/>
              </w:rPr>
              <w:t>C11020</w:t>
            </w:r>
          </w:p>
        </w:tc>
        <w:tc>
          <w:tcPr>
            <w:tcW w:w="850" w:type="dxa"/>
            <w:shd w:val="clear" w:color="auto" w:fill="auto"/>
            <w:tcMar>
              <w:top w:w="28" w:type="dxa"/>
              <w:left w:w="28" w:type="dxa"/>
            </w:tcMar>
          </w:tcPr>
          <w:p w14:paraId="5025F986" w14:textId="77777777" w:rsidR="009418DF" w:rsidRPr="005F0061" w:rsidDel="00E03489" w:rsidRDefault="009418DF" w:rsidP="009418D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5BE26B89" w14:textId="3160E512" w:rsidR="009418DF" w:rsidRPr="005F0061" w:rsidRDefault="009418DF" w:rsidP="009418DF">
            <w:pPr>
              <w:pStyle w:val="mps3-data"/>
              <w:rPr>
                <w:szCs w:val="16"/>
              </w:rPr>
            </w:pPr>
            <w:r w:rsidRPr="005F0061">
              <w:rPr>
                <w:rFonts w:eastAsia="SimSun"/>
                <w:szCs w:val="16"/>
              </w:rPr>
              <w:t>Pulmonary arterial hypertension (PAH)</w:t>
            </w:r>
            <w:r w:rsidRPr="005F0061">
              <w:rPr>
                <w:rFonts w:eastAsia="SimSun"/>
                <w:szCs w:val="16"/>
              </w:rPr>
              <w:br/>
              <w:t>Initial 2 (dual therapy - previously treated patients)</w:t>
            </w:r>
            <w:r w:rsidRPr="005F0061">
              <w:rPr>
                <w:rFonts w:eastAsia="SimSun"/>
                <w:szCs w:val="16"/>
              </w:rPr>
              <w:br/>
              <w:t>Patient must have documented WHO Functional Class III PAH or WHO Functional Class IV PAH; AND</w:t>
            </w:r>
            <w:r w:rsidRPr="005F0061">
              <w:rPr>
                <w:rFonts w:eastAsia="SimSun"/>
                <w:szCs w:val="16"/>
              </w:rPr>
              <w:br/>
              <w:t>Patient must have documented a failure to achieve or maintain WHO Functional Class II status with prior PBS-subsidised monotherapy treatment with an endothelin receptor antagonist (ERA) for this condition; AND</w:t>
            </w:r>
            <w:r w:rsidRPr="005F0061">
              <w:rPr>
                <w:rFonts w:eastAsia="SimSun"/>
                <w:szCs w:val="16"/>
              </w:rPr>
              <w:br/>
              <w:t>The treatment must be in combination with a PBS-subsidised endothelin receptor antagonist (ERA) for this condition.</w:t>
            </w:r>
            <w:r w:rsidRPr="005F0061">
              <w:rPr>
                <w:rFonts w:eastAsia="SimSun"/>
                <w:szCs w:val="16"/>
              </w:rPr>
              <w:br/>
              <w:t xml:space="preserve">The term 'PAH agents' refers to </w:t>
            </w:r>
            <w:proofErr w:type="spellStart"/>
            <w:r w:rsidRPr="005F0061">
              <w:rPr>
                <w:rFonts w:eastAsia="SimSun"/>
                <w:szCs w:val="16"/>
              </w:rPr>
              <w:t>bosentan</w:t>
            </w:r>
            <w:proofErr w:type="spellEnd"/>
            <w:r w:rsidRPr="005F0061">
              <w:rPr>
                <w:rFonts w:eastAsia="SimSun"/>
                <w:szCs w:val="16"/>
              </w:rPr>
              <w:t xml:space="preserve"> monohydrate, </w:t>
            </w:r>
            <w:proofErr w:type="spellStart"/>
            <w:r w:rsidRPr="005F0061">
              <w:rPr>
                <w:rFonts w:eastAsia="SimSun"/>
                <w:szCs w:val="16"/>
              </w:rPr>
              <w:t>iloprost</w:t>
            </w:r>
            <w:proofErr w:type="spellEnd"/>
            <w:r w:rsidRPr="005F0061">
              <w:rPr>
                <w:rFonts w:eastAsia="SimSun"/>
                <w:szCs w:val="16"/>
              </w:rPr>
              <w:t xml:space="preserve"> trometamol, </w:t>
            </w:r>
            <w:proofErr w:type="spellStart"/>
            <w:r w:rsidRPr="005F0061">
              <w:rPr>
                <w:rFonts w:eastAsia="SimSun"/>
                <w:szCs w:val="16"/>
              </w:rPr>
              <w:t>epoprostenol</w:t>
            </w:r>
            <w:proofErr w:type="spellEnd"/>
            <w:r w:rsidRPr="005F0061">
              <w:rPr>
                <w:rFonts w:eastAsia="SimSun"/>
                <w:szCs w:val="16"/>
              </w:rPr>
              <w:t xml:space="preserve"> sodium, sildenafil citrate, </w:t>
            </w:r>
            <w:proofErr w:type="spellStart"/>
            <w:r w:rsidRPr="005F0061">
              <w:rPr>
                <w:rFonts w:eastAsia="SimSun"/>
                <w:szCs w:val="16"/>
              </w:rPr>
              <w:t>ambrisentan</w:t>
            </w:r>
            <w:proofErr w:type="spellEnd"/>
            <w:r w:rsidRPr="005F0061">
              <w:rPr>
                <w:rFonts w:eastAsia="SimSun"/>
                <w:szCs w:val="16"/>
              </w:rPr>
              <w:t xml:space="preserve">, </w:t>
            </w:r>
            <w:proofErr w:type="spellStart"/>
            <w:r w:rsidRPr="005F0061">
              <w:rPr>
                <w:rFonts w:eastAsia="SimSun"/>
                <w:szCs w:val="16"/>
              </w:rPr>
              <w:t>tadalafil</w:t>
            </w:r>
            <w:proofErr w:type="spellEnd"/>
            <w:r w:rsidRPr="005F0061">
              <w:rPr>
                <w:rFonts w:eastAsia="SimSun"/>
                <w:szCs w:val="16"/>
              </w:rPr>
              <w:t xml:space="preserve">, </w:t>
            </w:r>
            <w:proofErr w:type="spellStart"/>
            <w:r w:rsidRPr="005F0061">
              <w:rPr>
                <w:rFonts w:eastAsia="SimSun"/>
                <w:szCs w:val="16"/>
              </w:rPr>
              <w:t>macitentan</w:t>
            </w:r>
            <w:proofErr w:type="spellEnd"/>
            <w:r w:rsidRPr="005F0061">
              <w:rPr>
                <w:rFonts w:eastAsia="SimSun"/>
                <w:szCs w:val="16"/>
              </w:rPr>
              <w:t xml:space="preserve">, and </w:t>
            </w:r>
            <w:proofErr w:type="spellStart"/>
            <w:r w:rsidRPr="005F0061">
              <w:rPr>
                <w:rFonts w:eastAsia="SimSun"/>
                <w:szCs w:val="16"/>
              </w:rPr>
              <w:t>riociguat</w:t>
            </w:r>
            <w:proofErr w:type="spellEnd"/>
            <w:r w:rsidRPr="005F0061">
              <w:rPr>
                <w:rFonts w:eastAsia="SimSun"/>
                <w:szCs w:val="16"/>
              </w:rPr>
              <w:t>.</w:t>
            </w:r>
            <w:r w:rsidRPr="005F0061">
              <w:rPr>
                <w:rFonts w:eastAsia="SimSun"/>
                <w:szCs w:val="16"/>
              </w:rPr>
              <w:br/>
              <w:t>For the purposes of PBS subsidy, dual therapy refers to combined use of an endothelin receptor antagonist (ERA) and a phosphodiesterase-5 inhibitor (PDE-5i).</w:t>
            </w:r>
            <w:r w:rsidRPr="005F0061">
              <w:rPr>
                <w:rFonts w:eastAsia="SimSun"/>
                <w:szCs w:val="16"/>
              </w:rPr>
              <w:br/>
              <w:t>(</w:t>
            </w:r>
            <w:proofErr w:type="spellStart"/>
            <w:r w:rsidRPr="005F0061">
              <w:rPr>
                <w:rFonts w:eastAsia="SimSun"/>
                <w:szCs w:val="16"/>
              </w:rPr>
              <w:t>i</w:t>
            </w:r>
            <w:proofErr w:type="spellEnd"/>
            <w:r w:rsidRPr="005F0061">
              <w:rPr>
                <w:rFonts w:eastAsia="SimSun"/>
                <w:szCs w:val="16"/>
              </w:rPr>
              <w:t xml:space="preserve">) An ERA includes </w:t>
            </w:r>
            <w:proofErr w:type="spellStart"/>
            <w:r w:rsidRPr="005F0061">
              <w:rPr>
                <w:rFonts w:eastAsia="SimSun"/>
                <w:szCs w:val="16"/>
              </w:rPr>
              <w:t>ambrisentan</w:t>
            </w:r>
            <w:proofErr w:type="spellEnd"/>
            <w:r w:rsidRPr="005F0061">
              <w:rPr>
                <w:rFonts w:eastAsia="SimSun"/>
                <w:szCs w:val="16"/>
              </w:rPr>
              <w:t xml:space="preserve">, </w:t>
            </w:r>
            <w:proofErr w:type="spellStart"/>
            <w:r w:rsidRPr="005F0061">
              <w:rPr>
                <w:rFonts w:eastAsia="SimSun"/>
                <w:szCs w:val="16"/>
              </w:rPr>
              <w:t>bosentan</w:t>
            </w:r>
            <w:proofErr w:type="spellEnd"/>
            <w:r w:rsidRPr="005F0061">
              <w:rPr>
                <w:rFonts w:eastAsia="SimSun"/>
                <w:szCs w:val="16"/>
              </w:rPr>
              <w:t xml:space="preserve"> monohydrate, or </w:t>
            </w:r>
            <w:proofErr w:type="spellStart"/>
            <w:r w:rsidRPr="005F0061">
              <w:rPr>
                <w:rFonts w:eastAsia="SimSun"/>
                <w:szCs w:val="16"/>
              </w:rPr>
              <w:t>macitentan</w:t>
            </w:r>
            <w:proofErr w:type="spellEnd"/>
            <w:r w:rsidRPr="005F0061">
              <w:rPr>
                <w:rFonts w:eastAsia="SimSun"/>
                <w:szCs w:val="16"/>
              </w:rPr>
              <w:t>.</w:t>
            </w:r>
            <w:r w:rsidRPr="005F0061">
              <w:rPr>
                <w:rFonts w:eastAsia="SimSun"/>
                <w:szCs w:val="16"/>
              </w:rPr>
              <w:br/>
              <w:t xml:space="preserve">(ii) A PDE-5i includes sildenafil citrate, or </w:t>
            </w:r>
            <w:proofErr w:type="spellStart"/>
            <w:r w:rsidRPr="005F0061">
              <w:rPr>
                <w:rFonts w:eastAsia="SimSun"/>
                <w:szCs w:val="16"/>
              </w:rPr>
              <w:t>tadalafil</w:t>
            </w:r>
            <w:proofErr w:type="spellEnd"/>
            <w:r w:rsidRPr="005F0061">
              <w:rPr>
                <w:rFonts w:eastAsia="SimSun"/>
                <w:szCs w:val="16"/>
              </w:rPr>
              <w:t>.</w:t>
            </w:r>
            <w:r w:rsidRPr="005F0061">
              <w:rPr>
                <w:rFonts w:eastAsia="SimSun"/>
                <w:szCs w:val="16"/>
              </w:rPr>
              <w:br/>
              <w:t>PAH agents are not PBS-subsidised for patients with pulmonary hypertension secondary to interstitial lung disease associated with connective tissue disease, where the total lung capacity is less than 70% of predicted.</w:t>
            </w:r>
            <w:r w:rsidRPr="005F0061">
              <w:rPr>
                <w:rFonts w:eastAsia="SimSun"/>
                <w:szCs w:val="16"/>
              </w:rPr>
              <w:br/>
              <w:t>PAH (WHO Group 1 pulmonary hypertension) is defined as follows</w:t>
            </w:r>
            <w:proofErr w:type="gramStart"/>
            <w:r w:rsidRPr="005F0061">
              <w:rPr>
                <w:rFonts w:eastAsia="SimSun"/>
                <w:szCs w:val="16"/>
              </w:rPr>
              <w:t>:</w:t>
            </w:r>
            <w:proofErr w:type="gramEnd"/>
            <w:r w:rsidRPr="005F0061">
              <w:rPr>
                <w:rFonts w:eastAsia="SimSun"/>
                <w:szCs w:val="16"/>
              </w:rPr>
              <w:br/>
              <w:t>(</w:t>
            </w:r>
            <w:proofErr w:type="spellStart"/>
            <w:r w:rsidRPr="005F0061">
              <w:rPr>
                <w:rFonts w:eastAsia="SimSun"/>
                <w:szCs w:val="16"/>
              </w:rPr>
              <w:t>i</w:t>
            </w:r>
            <w:proofErr w:type="spellEnd"/>
            <w:r w:rsidRPr="005F0061">
              <w:rPr>
                <w:rFonts w:eastAsia="SimSun"/>
                <w:szCs w:val="16"/>
              </w:rPr>
              <w:t>) mean pulmonary artery pressure (</w:t>
            </w:r>
            <w:proofErr w:type="spellStart"/>
            <w:r w:rsidRPr="005F0061">
              <w:rPr>
                <w:rFonts w:eastAsia="SimSun"/>
                <w:szCs w:val="16"/>
              </w:rPr>
              <w:t>mPAP</w:t>
            </w:r>
            <w:proofErr w:type="spellEnd"/>
            <w:r w:rsidRPr="005F0061">
              <w:rPr>
                <w:rFonts w:eastAsia="SimSun"/>
                <w:szCs w:val="16"/>
              </w:rPr>
              <w:t>) greater than or equal to 25 mmHg at rest and pulmonary artery wedge pressure (PAWP) less than or equal to 15 mmHg; or</w:t>
            </w:r>
            <w:r w:rsidRPr="005F0061">
              <w:rPr>
                <w:rFonts w:eastAsia="SimSun"/>
                <w:szCs w:val="16"/>
              </w:rPr>
              <w:br/>
              <w:t>(ii) where a right heart catheter (RHC) cannot be performed on clinical grounds, right ventricular systolic pressure (RVSP), assessed by echocardiography (ECHO), greater than 40 mmHg, with normal left ventricular function.</w:t>
            </w:r>
            <w:r w:rsidRPr="005F0061">
              <w:rPr>
                <w:rFonts w:eastAsia="SimSun"/>
                <w:szCs w:val="16"/>
              </w:rPr>
              <w:br/>
              <w:t>The results and date of the RHC, ECHO and 6 MWT as applicable must be included in the patient's medical record. Where a RHC cannot be performed on clinical grounds, the written confirmation of the reasons why must also be included in the patient's medical record.</w:t>
            </w:r>
            <w:r w:rsidRPr="005F0061">
              <w:rPr>
                <w:rFonts w:eastAsia="SimSun"/>
                <w:szCs w:val="16"/>
              </w:rPr>
              <w:br/>
              <w:t>The maximum quantity authorised will be limited to provide sufficient supply for 1 month of treatment, based on the dosage recommendations in the TGA-approved Product Information.</w:t>
            </w:r>
            <w:r w:rsidRPr="005F0061">
              <w:rPr>
                <w:rFonts w:eastAsia="SimSun"/>
                <w:szCs w:val="16"/>
              </w:rPr>
              <w:br/>
              <w:t>A maximum of 5 repeats may be requested.</w:t>
            </w:r>
          </w:p>
        </w:tc>
        <w:tc>
          <w:tcPr>
            <w:tcW w:w="2650" w:type="dxa"/>
            <w:shd w:val="clear" w:color="auto" w:fill="auto"/>
            <w:tcMar>
              <w:top w:w="28" w:type="dxa"/>
              <w:left w:w="28" w:type="dxa"/>
              <w:right w:w="57" w:type="dxa"/>
            </w:tcMar>
          </w:tcPr>
          <w:p w14:paraId="18444927" w14:textId="6DB59742" w:rsidR="009418DF" w:rsidRPr="005F0061" w:rsidRDefault="009418DF" w:rsidP="009418DF">
            <w:pPr>
              <w:pStyle w:val="Tabletext0"/>
              <w:rPr>
                <w:rFonts w:cs="Arial"/>
                <w:szCs w:val="16"/>
              </w:rPr>
            </w:pPr>
            <w:r w:rsidRPr="005F0061">
              <w:rPr>
                <w:rFonts w:eastAsia="SimSun" w:cs="Arial"/>
                <w:szCs w:val="16"/>
                <w:lang w:eastAsia="zh-CN"/>
              </w:rPr>
              <w:t>Compliance with Authority Required procedures</w:t>
            </w:r>
          </w:p>
        </w:tc>
      </w:tr>
      <w:tr w:rsidR="009418DF" w:rsidRPr="005F0061" w14:paraId="66424A01" w14:textId="77777777" w:rsidTr="00DB6EC0">
        <w:tc>
          <w:tcPr>
            <w:tcW w:w="1900" w:type="dxa"/>
            <w:shd w:val="clear" w:color="auto" w:fill="auto"/>
            <w:tcMar>
              <w:top w:w="28" w:type="dxa"/>
              <w:left w:w="28" w:type="dxa"/>
            </w:tcMar>
          </w:tcPr>
          <w:p w14:paraId="33139712" w14:textId="77777777" w:rsidR="009418DF" w:rsidRPr="005F0061" w:rsidRDefault="009418DF" w:rsidP="009418DF">
            <w:pPr>
              <w:pStyle w:val="Tabletext0"/>
              <w:tabs>
                <w:tab w:val="left" w:pos="958"/>
              </w:tabs>
              <w:rPr>
                <w:rFonts w:cs="Arial"/>
                <w:szCs w:val="16"/>
              </w:rPr>
            </w:pPr>
          </w:p>
        </w:tc>
        <w:tc>
          <w:tcPr>
            <w:tcW w:w="850" w:type="dxa"/>
            <w:shd w:val="clear" w:color="auto" w:fill="auto"/>
            <w:tcMar>
              <w:top w:w="28" w:type="dxa"/>
              <w:left w:w="28" w:type="dxa"/>
            </w:tcMar>
          </w:tcPr>
          <w:p w14:paraId="11975E17" w14:textId="691CD1EC" w:rsidR="009418DF" w:rsidRPr="005F0061" w:rsidRDefault="009418DF" w:rsidP="009418DF">
            <w:pPr>
              <w:pStyle w:val="mps3-data"/>
              <w:rPr>
                <w:szCs w:val="16"/>
              </w:rPr>
            </w:pPr>
            <w:r w:rsidRPr="005F0061">
              <w:rPr>
                <w:rFonts w:eastAsia="SimSun"/>
                <w:szCs w:val="16"/>
              </w:rPr>
              <w:t>C11032</w:t>
            </w:r>
          </w:p>
        </w:tc>
        <w:tc>
          <w:tcPr>
            <w:tcW w:w="850" w:type="dxa"/>
            <w:shd w:val="clear" w:color="auto" w:fill="auto"/>
            <w:tcMar>
              <w:top w:w="28" w:type="dxa"/>
              <w:left w:w="28" w:type="dxa"/>
            </w:tcMar>
          </w:tcPr>
          <w:p w14:paraId="770155F2" w14:textId="77777777" w:rsidR="009418DF" w:rsidRPr="005F0061" w:rsidDel="00E03489" w:rsidRDefault="009418DF" w:rsidP="009418D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094B0A98" w14:textId="6D40AB2B" w:rsidR="009418DF" w:rsidRPr="005F0061" w:rsidRDefault="009418DF" w:rsidP="009418DF">
            <w:pPr>
              <w:pStyle w:val="mps3-data"/>
              <w:rPr>
                <w:szCs w:val="16"/>
              </w:rPr>
            </w:pPr>
            <w:r w:rsidRPr="005F0061">
              <w:rPr>
                <w:rFonts w:eastAsia="SimSun"/>
                <w:szCs w:val="16"/>
              </w:rPr>
              <w:t>Pulmonary arterial hypertension (PAH)</w:t>
            </w:r>
            <w:r w:rsidRPr="005F0061">
              <w:rPr>
                <w:rFonts w:eastAsia="SimSun"/>
                <w:szCs w:val="16"/>
              </w:rPr>
              <w:br/>
              <w:t>Initial 1 (dual therapy - previously untreated patients)</w:t>
            </w:r>
            <w:r w:rsidRPr="005F0061">
              <w:rPr>
                <w:rFonts w:eastAsia="SimSun"/>
                <w:szCs w:val="16"/>
              </w:rPr>
              <w:br/>
              <w:t>Patient must not have received prior PBS-subsidised treatment with a pulmonary arterial hypertension (PAH) agent; AND</w:t>
            </w:r>
            <w:r w:rsidRPr="005F0061">
              <w:rPr>
                <w:rFonts w:eastAsia="SimSun"/>
                <w:szCs w:val="16"/>
              </w:rPr>
              <w:br/>
              <w:t>Patient must have been assessed by a physician with expertise in the management of PAH; AND</w:t>
            </w:r>
            <w:r w:rsidRPr="005F0061">
              <w:rPr>
                <w:rFonts w:eastAsia="SimSun"/>
                <w:szCs w:val="16"/>
              </w:rPr>
              <w:br/>
              <w:t>Patient must currently have WHO Functional Class III PAH or WHO Functional Class IV PAH; AND</w:t>
            </w:r>
            <w:r w:rsidRPr="005F0061">
              <w:rPr>
                <w:rFonts w:eastAsia="SimSun"/>
                <w:szCs w:val="16"/>
              </w:rPr>
              <w:br/>
              <w:t>The treatment must be in combination with a PBS-subsidised endothelin receptor antagonist (ERA) for this condition.</w:t>
            </w:r>
            <w:r w:rsidRPr="005F0061">
              <w:rPr>
                <w:rFonts w:eastAsia="SimSun"/>
                <w:szCs w:val="16"/>
              </w:rPr>
              <w:br/>
              <w:t xml:space="preserve">The term 'PAH agents' refers to </w:t>
            </w:r>
            <w:proofErr w:type="spellStart"/>
            <w:r w:rsidRPr="005F0061">
              <w:rPr>
                <w:rFonts w:eastAsia="SimSun"/>
                <w:szCs w:val="16"/>
              </w:rPr>
              <w:t>bosentan</w:t>
            </w:r>
            <w:proofErr w:type="spellEnd"/>
            <w:r w:rsidRPr="005F0061">
              <w:rPr>
                <w:rFonts w:eastAsia="SimSun"/>
                <w:szCs w:val="16"/>
              </w:rPr>
              <w:t xml:space="preserve"> monohydrate, </w:t>
            </w:r>
            <w:proofErr w:type="spellStart"/>
            <w:r w:rsidRPr="005F0061">
              <w:rPr>
                <w:rFonts w:eastAsia="SimSun"/>
                <w:szCs w:val="16"/>
              </w:rPr>
              <w:t>iloprost</w:t>
            </w:r>
            <w:proofErr w:type="spellEnd"/>
            <w:r w:rsidRPr="005F0061">
              <w:rPr>
                <w:rFonts w:eastAsia="SimSun"/>
                <w:szCs w:val="16"/>
              </w:rPr>
              <w:t xml:space="preserve"> trometamol, </w:t>
            </w:r>
            <w:proofErr w:type="spellStart"/>
            <w:r w:rsidRPr="005F0061">
              <w:rPr>
                <w:rFonts w:eastAsia="SimSun"/>
                <w:szCs w:val="16"/>
              </w:rPr>
              <w:t>epoprostenol</w:t>
            </w:r>
            <w:proofErr w:type="spellEnd"/>
            <w:r w:rsidRPr="005F0061">
              <w:rPr>
                <w:rFonts w:eastAsia="SimSun"/>
                <w:szCs w:val="16"/>
              </w:rPr>
              <w:t xml:space="preserve"> sodium, sildenafil citrate, </w:t>
            </w:r>
            <w:proofErr w:type="spellStart"/>
            <w:r w:rsidRPr="005F0061">
              <w:rPr>
                <w:rFonts w:eastAsia="SimSun"/>
                <w:szCs w:val="16"/>
              </w:rPr>
              <w:t>ambrisentan</w:t>
            </w:r>
            <w:proofErr w:type="spellEnd"/>
            <w:r w:rsidRPr="005F0061">
              <w:rPr>
                <w:rFonts w:eastAsia="SimSun"/>
                <w:szCs w:val="16"/>
              </w:rPr>
              <w:t xml:space="preserve">, </w:t>
            </w:r>
            <w:proofErr w:type="spellStart"/>
            <w:r w:rsidRPr="005F0061">
              <w:rPr>
                <w:rFonts w:eastAsia="SimSun"/>
                <w:szCs w:val="16"/>
              </w:rPr>
              <w:t>tadalafil</w:t>
            </w:r>
            <w:proofErr w:type="spellEnd"/>
            <w:r w:rsidRPr="005F0061">
              <w:rPr>
                <w:rFonts w:eastAsia="SimSun"/>
                <w:szCs w:val="16"/>
              </w:rPr>
              <w:t xml:space="preserve">, </w:t>
            </w:r>
            <w:proofErr w:type="spellStart"/>
            <w:r w:rsidRPr="005F0061">
              <w:rPr>
                <w:rFonts w:eastAsia="SimSun"/>
                <w:szCs w:val="16"/>
              </w:rPr>
              <w:t>macitentan</w:t>
            </w:r>
            <w:proofErr w:type="spellEnd"/>
            <w:r w:rsidRPr="005F0061">
              <w:rPr>
                <w:rFonts w:eastAsia="SimSun"/>
                <w:szCs w:val="16"/>
              </w:rPr>
              <w:t xml:space="preserve">, and </w:t>
            </w:r>
            <w:proofErr w:type="spellStart"/>
            <w:r w:rsidRPr="005F0061">
              <w:rPr>
                <w:rFonts w:eastAsia="SimSun"/>
                <w:szCs w:val="16"/>
              </w:rPr>
              <w:t>riociguat</w:t>
            </w:r>
            <w:proofErr w:type="spellEnd"/>
            <w:r w:rsidRPr="005F0061">
              <w:rPr>
                <w:rFonts w:eastAsia="SimSun"/>
                <w:szCs w:val="16"/>
              </w:rPr>
              <w:t>.</w:t>
            </w:r>
            <w:r w:rsidRPr="005F0061">
              <w:rPr>
                <w:rFonts w:eastAsia="SimSun"/>
                <w:szCs w:val="16"/>
              </w:rPr>
              <w:br/>
              <w:t>For the purposes of PBS subsidy, dual therapy refers to combined use of an endothelin receptor antagonist (ERA) and a phosphodiesterase-5 inhibitor (PDE-5i).</w:t>
            </w:r>
            <w:r w:rsidRPr="005F0061">
              <w:rPr>
                <w:rFonts w:eastAsia="SimSun"/>
                <w:szCs w:val="16"/>
              </w:rPr>
              <w:br/>
              <w:t>(</w:t>
            </w:r>
            <w:proofErr w:type="spellStart"/>
            <w:r w:rsidRPr="005F0061">
              <w:rPr>
                <w:rFonts w:eastAsia="SimSun"/>
                <w:szCs w:val="16"/>
              </w:rPr>
              <w:t>i</w:t>
            </w:r>
            <w:proofErr w:type="spellEnd"/>
            <w:r w:rsidRPr="005F0061">
              <w:rPr>
                <w:rFonts w:eastAsia="SimSun"/>
                <w:szCs w:val="16"/>
              </w:rPr>
              <w:t xml:space="preserve">) An ERA includes </w:t>
            </w:r>
            <w:proofErr w:type="spellStart"/>
            <w:r w:rsidRPr="005F0061">
              <w:rPr>
                <w:rFonts w:eastAsia="SimSun"/>
                <w:szCs w:val="16"/>
              </w:rPr>
              <w:t>ambrisentan</w:t>
            </w:r>
            <w:proofErr w:type="spellEnd"/>
            <w:r w:rsidRPr="005F0061">
              <w:rPr>
                <w:rFonts w:eastAsia="SimSun"/>
                <w:szCs w:val="16"/>
              </w:rPr>
              <w:t xml:space="preserve">, </w:t>
            </w:r>
            <w:proofErr w:type="spellStart"/>
            <w:r w:rsidRPr="005F0061">
              <w:rPr>
                <w:rFonts w:eastAsia="SimSun"/>
                <w:szCs w:val="16"/>
              </w:rPr>
              <w:t>bosentan</w:t>
            </w:r>
            <w:proofErr w:type="spellEnd"/>
            <w:r w:rsidRPr="005F0061">
              <w:rPr>
                <w:rFonts w:eastAsia="SimSun"/>
                <w:szCs w:val="16"/>
              </w:rPr>
              <w:t xml:space="preserve"> monohydrate, or </w:t>
            </w:r>
            <w:proofErr w:type="spellStart"/>
            <w:r w:rsidRPr="005F0061">
              <w:rPr>
                <w:rFonts w:eastAsia="SimSun"/>
                <w:szCs w:val="16"/>
              </w:rPr>
              <w:t>macitentan</w:t>
            </w:r>
            <w:proofErr w:type="spellEnd"/>
            <w:r w:rsidRPr="005F0061">
              <w:rPr>
                <w:rFonts w:eastAsia="SimSun"/>
                <w:szCs w:val="16"/>
              </w:rPr>
              <w:t>.</w:t>
            </w:r>
            <w:r w:rsidRPr="005F0061">
              <w:rPr>
                <w:rFonts w:eastAsia="SimSun"/>
                <w:szCs w:val="16"/>
              </w:rPr>
              <w:br/>
              <w:t xml:space="preserve">(ii) A PDE-5i includes sildenafil citrate, or </w:t>
            </w:r>
            <w:proofErr w:type="spellStart"/>
            <w:r w:rsidRPr="005F0061">
              <w:rPr>
                <w:rFonts w:eastAsia="SimSun"/>
                <w:szCs w:val="16"/>
              </w:rPr>
              <w:t>tadalafil</w:t>
            </w:r>
            <w:proofErr w:type="spellEnd"/>
            <w:r w:rsidRPr="005F0061">
              <w:rPr>
                <w:rFonts w:eastAsia="SimSun"/>
                <w:szCs w:val="16"/>
              </w:rPr>
              <w:t>.</w:t>
            </w:r>
            <w:r w:rsidRPr="005F0061">
              <w:rPr>
                <w:rFonts w:eastAsia="SimSun"/>
                <w:szCs w:val="16"/>
              </w:rPr>
              <w:br/>
              <w:t>PAH agents are not PBS-subsidised for patients with pulmonary hypertension secondary to interstitial lung disease associated with connective tissue disease, where the total lung capacity is less than 70% of predicted.</w:t>
            </w:r>
            <w:r w:rsidRPr="005F0061">
              <w:rPr>
                <w:rFonts w:eastAsia="SimSun"/>
                <w:szCs w:val="16"/>
              </w:rPr>
              <w:br/>
              <w:t>PAH (WHO Group 1 pulmonary hypertension) is defined as follows</w:t>
            </w:r>
            <w:proofErr w:type="gramStart"/>
            <w:r w:rsidRPr="005F0061">
              <w:rPr>
                <w:rFonts w:eastAsia="SimSun"/>
                <w:szCs w:val="16"/>
              </w:rPr>
              <w:t>:</w:t>
            </w:r>
            <w:proofErr w:type="gramEnd"/>
            <w:r w:rsidRPr="005F0061">
              <w:rPr>
                <w:rFonts w:eastAsia="SimSun"/>
                <w:szCs w:val="16"/>
              </w:rPr>
              <w:br/>
              <w:t>(</w:t>
            </w:r>
            <w:proofErr w:type="spellStart"/>
            <w:r w:rsidRPr="005F0061">
              <w:rPr>
                <w:rFonts w:eastAsia="SimSun"/>
                <w:szCs w:val="16"/>
              </w:rPr>
              <w:t>i</w:t>
            </w:r>
            <w:proofErr w:type="spellEnd"/>
            <w:r w:rsidRPr="005F0061">
              <w:rPr>
                <w:rFonts w:eastAsia="SimSun"/>
                <w:szCs w:val="16"/>
              </w:rPr>
              <w:t>) mean pulmonary artery pressure (</w:t>
            </w:r>
            <w:proofErr w:type="spellStart"/>
            <w:r w:rsidRPr="005F0061">
              <w:rPr>
                <w:rFonts w:eastAsia="SimSun"/>
                <w:szCs w:val="16"/>
              </w:rPr>
              <w:t>mPAP</w:t>
            </w:r>
            <w:proofErr w:type="spellEnd"/>
            <w:r w:rsidRPr="005F0061">
              <w:rPr>
                <w:rFonts w:eastAsia="SimSun"/>
                <w:szCs w:val="16"/>
              </w:rPr>
              <w:t>) greater than or equal to 25 mmHg at rest and pulmonary artery wedge pressure (PAWP) less than or equal to 15 mmHg; or</w:t>
            </w:r>
            <w:r w:rsidRPr="005F0061">
              <w:rPr>
                <w:rFonts w:eastAsia="SimSun"/>
                <w:szCs w:val="16"/>
              </w:rPr>
              <w:br/>
            </w:r>
            <w:r w:rsidRPr="005F0061">
              <w:rPr>
                <w:rFonts w:eastAsia="SimSun"/>
                <w:szCs w:val="16"/>
              </w:rPr>
              <w:lastRenderedPageBreak/>
              <w:t>(ii) where a right heart catheter (RHC) cannot be performed on clinical grounds, right ventricular systolic pressure (RVSP), assessed by echocardiography (ECHO), greater than 40 mmHg, with normal left ventricular function.</w:t>
            </w:r>
            <w:r w:rsidRPr="005F0061">
              <w:rPr>
                <w:rFonts w:eastAsia="SimSun"/>
                <w:szCs w:val="16"/>
              </w:rPr>
              <w:br/>
              <w:t>Applications for authorisation must be in writing and must include:</w:t>
            </w:r>
            <w:r w:rsidRPr="005F0061">
              <w:rPr>
                <w:rFonts w:eastAsia="SimSun"/>
                <w:szCs w:val="16"/>
              </w:rPr>
              <w:br/>
              <w:t>(1) a completed authority prescription form; and</w:t>
            </w:r>
            <w:r w:rsidRPr="005F0061">
              <w:rPr>
                <w:rFonts w:eastAsia="SimSun"/>
                <w:szCs w:val="16"/>
              </w:rPr>
              <w:br/>
              <w:t>(2) a completed Pulmonary Arterial Hypertension PBS Authority Application - Supporting Information form which includes results from the three tests below, where available:</w:t>
            </w:r>
            <w:r w:rsidRPr="005F0061">
              <w:rPr>
                <w:rFonts w:eastAsia="SimSun"/>
                <w:szCs w:val="16"/>
              </w:rPr>
              <w:br/>
              <w:t>(</w:t>
            </w:r>
            <w:proofErr w:type="spellStart"/>
            <w:r w:rsidRPr="005F0061">
              <w:rPr>
                <w:rFonts w:eastAsia="SimSun"/>
                <w:szCs w:val="16"/>
              </w:rPr>
              <w:t>i</w:t>
            </w:r>
            <w:proofErr w:type="spellEnd"/>
            <w:r w:rsidRPr="005F0061">
              <w:rPr>
                <w:rFonts w:eastAsia="SimSun"/>
                <w:szCs w:val="16"/>
              </w:rPr>
              <w:t>) RHC composite assessment; and</w:t>
            </w:r>
            <w:r w:rsidRPr="005F0061">
              <w:rPr>
                <w:rFonts w:eastAsia="SimSun"/>
                <w:szCs w:val="16"/>
              </w:rPr>
              <w:br/>
              <w:t>(ii) ECHO composite assessment; and</w:t>
            </w:r>
            <w:r w:rsidRPr="005F0061">
              <w:rPr>
                <w:rFonts w:eastAsia="SimSun"/>
                <w:szCs w:val="16"/>
              </w:rPr>
              <w:br/>
              <w:t>(iii) 6 Minute Walk Test (6MWT).</w:t>
            </w:r>
            <w:r w:rsidRPr="005F0061">
              <w:rPr>
                <w:rFonts w:eastAsia="SimSun"/>
                <w:szCs w:val="16"/>
              </w:rPr>
              <w:br/>
              <w:t>Where it is not possible to perform all 3 tests on clinical grounds, the following list outlines the preferred test combination, in descending order, for the purposes of initiation of PBS-subsidised treatment:</w:t>
            </w:r>
            <w:r w:rsidRPr="005F0061">
              <w:rPr>
                <w:rFonts w:eastAsia="SimSun"/>
                <w:szCs w:val="16"/>
              </w:rPr>
              <w:br/>
              <w:t>(1) RHC plus ECHO composite assessments;</w:t>
            </w:r>
            <w:r w:rsidRPr="005F0061">
              <w:rPr>
                <w:rFonts w:eastAsia="SimSun"/>
                <w:szCs w:val="16"/>
              </w:rPr>
              <w:br/>
              <w:t>(2) RHC composite assessment plus 6MWT;</w:t>
            </w:r>
            <w:r w:rsidRPr="005F0061">
              <w:rPr>
                <w:rFonts w:eastAsia="SimSun"/>
                <w:szCs w:val="16"/>
              </w:rPr>
              <w:br/>
              <w:t>(3) RHC composite assessment only.</w:t>
            </w:r>
            <w:r w:rsidRPr="005F0061">
              <w:rPr>
                <w:rFonts w:eastAsia="SimSun"/>
                <w:szCs w:val="16"/>
              </w:rPr>
              <w:br/>
              <w:t>In circumstances where a RHC cannot be performed on clinical grounds, applications may be submitted for consideration based on the results of the following test combinations, which are listed in descending order of preference</w:t>
            </w:r>
            <w:proofErr w:type="gramStart"/>
            <w:r w:rsidRPr="005F0061">
              <w:rPr>
                <w:rFonts w:eastAsia="SimSun"/>
                <w:szCs w:val="16"/>
              </w:rPr>
              <w:t>:</w:t>
            </w:r>
            <w:proofErr w:type="gramEnd"/>
            <w:r w:rsidRPr="005F0061">
              <w:rPr>
                <w:rFonts w:eastAsia="SimSun"/>
                <w:szCs w:val="16"/>
              </w:rPr>
              <w:br/>
              <w:t>(1) ECHO composite assessment plus 6MWT;</w:t>
            </w:r>
            <w:r w:rsidRPr="005F0061">
              <w:rPr>
                <w:rFonts w:eastAsia="SimSun"/>
                <w:szCs w:val="16"/>
              </w:rPr>
              <w:br/>
              <w:t>(2) ECHO composite assessment only.</w:t>
            </w:r>
            <w:r w:rsidRPr="005F0061">
              <w:rPr>
                <w:rFonts w:eastAsia="SimSun"/>
                <w:szCs w:val="16"/>
              </w:rPr>
              <w:br/>
              <w:t>Where fewer than 3 tests are able to be performed on clinical grounds, a patient specific reason outlining why the particular test(s) could not be conducted must be provided with the authority application.</w:t>
            </w:r>
            <w:r w:rsidRPr="005F0061">
              <w:rPr>
                <w:rFonts w:eastAsia="SimSun"/>
                <w:szCs w:val="16"/>
              </w:rPr>
              <w:br/>
              <w:t>Where a RHC cannot be performed on clinical grounds, confirmation of the reason(s) must be provided with the authority application by a second PAH physician or cardiologist with expertise in the management of PAH.</w:t>
            </w:r>
            <w:r w:rsidRPr="005F0061">
              <w:rPr>
                <w:rFonts w:eastAsia="SimSun"/>
                <w:szCs w:val="16"/>
              </w:rPr>
              <w:br/>
              <w:t>The test results provided must not be more than 2 months old at the time of application.</w:t>
            </w:r>
            <w:r w:rsidRPr="005F0061">
              <w:rPr>
                <w:rFonts w:eastAsia="SimSun"/>
                <w:szCs w:val="16"/>
              </w:rPr>
              <w:br/>
              <w:t>The maximum quantity authorised will be limited to provide sufficient supply for 1 month of treatment, based on the dosage recommendations in the TGA-approved Product Information.</w:t>
            </w:r>
            <w:r w:rsidRPr="005F0061">
              <w:rPr>
                <w:rFonts w:eastAsia="SimSun"/>
                <w:szCs w:val="16"/>
              </w:rPr>
              <w:br/>
              <w:t>A maximum of 5 repeats may be requested.</w:t>
            </w:r>
          </w:p>
        </w:tc>
        <w:tc>
          <w:tcPr>
            <w:tcW w:w="2650" w:type="dxa"/>
            <w:shd w:val="clear" w:color="auto" w:fill="auto"/>
            <w:tcMar>
              <w:top w:w="28" w:type="dxa"/>
              <w:left w:w="28" w:type="dxa"/>
              <w:right w:w="57" w:type="dxa"/>
            </w:tcMar>
          </w:tcPr>
          <w:p w14:paraId="1EE22F6E" w14:textId="2AB1B6B8" w:rsidR="009418DF" w:rsidRPr="005F0061" w:rsidRDefault="009418DF" w:rsidP="009418DF">
            <w:pPr>
              <w:pStyle w:val="Tabletext0"/>
              <w:rPr>
                <w:rFonts w:cs="Arial"/>
                <w:szCs w:val="16"/>
              </w:rPr>
            </w:pPr>
            <w:r w:rsidRPr="005F0061">
              <w:rPr>
                <w:rFonts w:eastAsia="SimSun" w:cs="Arial"/>
                <w:szCs w:val="16"/>
                <w:lang w:eastAsia="zh-CN"/>
              </w:rPr>
              <w:lastRenderedPageBreak/>
              <w:t xml:space="preserve">Compliance with </w:t>
            </w:r>
            <w:r w:rsidR="00790361" w:rsidRPr="005F0061">
              <w:rPr>
                <w:rFonts w:eastAsia="SimSun" w:cs="Arial"/>
                <w:szCs w:val="16"/>
                <w:lang w:eastAsia="zh-CN"/>
              </w:rPr>
              <w:t xml:space="preserve">Written </w:t>
            </w:r>
            <w:r w:rsidRPr="005F0061">
              <w:rPr>
                <w:rFonts w:eastAsia="SimSun" w:cs="Arial"/>
                <w:szCs w:val="16"/>
                <w:lang w:eastAsia="zh-CN"/>
              </w:rPr>
              <w:t>Authority Required procedures</w:t>
            </w:r>
          </w:p>
        </w:tc>
      </w:tr>
      <w:tr w:rsidR="009418DF" w:rsidRPr="005F0061" w14:paraId="70757146" w14:textId="77777777" w:rsidTr="00DB6EC0">
        <w:tc>
          <w:tcPr>
            <w:tcW w:w="1900" w:type="dxa"/>
            <w:shd w:val="clear" w:color="auto" w:fill="auto"/>
            <w:tcMar>
              <w:top w:w="28" w:type="dxa"/>
              <w:left w:w="28" w:type="dxa"/>
            </w:tcMar>
          </w:tcPr>
          <w:p w14:paraId="416873D7" w14:textId="77777777" w:rsidR="009418DF" w:rsidRPr="005F0061" w:rsidRDefault="009418DF" w:rsidP="009418DF">
            <w:pPr>
              <w:pStyle w:val="Tabletext0"/>
              <w:tabs>
                <w:tab w:val="left" w:pos="958"/>
              </w:tabs>
              <w:rPr>
                <w:rFonts w:cs="Arial"/>
                <w:szCs w:val="16"/>
              </w:rPr>
            </w:pPr>
          </w:p>
        </w:tc>
        <w:tc>
          <w:tcPr>
            <w:tcW w:w="850" w:type="dxa"/>
            <w:shd w:val="clear" w:color="auto" w:fill="auto"/>
            <w:tcMar>
              <w:top w:w="28" w:type="dxa"/>
              <w:left w:w="28" w:type="dxa"/>
            </w:tcMar>
          </w:tcPr>
          <w:p w14:paraId="5F30E0A9" w14:textId="11AE2E9E" w:rsidR="009418DF" w:rsidRPr="005F0061" w:rsidRDefault="009418DF" w:rsidP="009418DF">
            <w:pPr>
              <w:pStyle w:val="mps3-data"/>
              <w:rPr>
                <w:szCs w:val="16"/>
              </w:rPr>
            </w:pPr>
            <w:r w:rsidRPr="005F0061">
              <w:rPr>
                <w:rFonts w:eastAsia="SimSun"/>
                <w:szCs w:val="16"/>
              </w:rPr>
              <w:t>C11045</w:t>
            </w:r>
          </w:p>
        </w:tc>
        <w:tc>
          <w:tcPr>
            <w:tcW w:w="850" w:type="dxa"/>
            <w:shd w:val="clear" w:color="auto" w:fill="auto"/>
            <w:tcMar>
              <w:top w:w="28" w:type="dxa"/>
              <w:left w:w="28" w:type="dxa"/>
            </w:tcMar>
          </w:tcPr>
          <w:p w14:paraId="7127A043" w14:textId="77777777" w:rsidR="009418DF" w:rsidRPr="005F0061" w:rsidDel="00E03489" w:rsidRDefault="009418DF" w:rsidP="009418D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183C279F" w14:textId="64F38356" w:rsidR="009418DF" w:rsidRPr="005F0061" w:rsidRDefault="009418DF" w:rsidP="009418DF">
            <w:pPr>
              <w:pStyle w:val="mps3-data"/>
              <w:rPr>
                <w:szCs w:val="16"/>
              </w:rPr>
            </w:pPr>
            <w:r w:rsidRPr="005F0061">
              <w:rPr>
                <w:rFonts w:eastAsia="SimSun"/>
                <w:szCs w:val="16"/>
              </w:rPr>
              <w:t>Pulmonary arterial hypertension (PAH</w:t>
            </w:r>
            <w:proofErr w:type="gramStart"/>
            <w:r w:rsidRPr="005F0061">
              <w:rPr>
                <w:rFonts w:eastAsia="SimSun"/>
                <w:szCs w:val="16"/>
              </w:rPr>
              <w:t>)</w:t>
            </w:r>
            <w:proofErr w:type="gramEnd"/>
            <w:r w:rsidRPr="005F0061">
              <w:rPr>
                <w:rFonts w:eastAsia="SimSun"/>
                <w:szCs w:val="16"/>
              </w:rPr>
              <w:br/>
              <w:t>Grandfathered patients (dual therapy)</w:t>
            </w:r>
            <w:r w:rsidRPr="005F0061">
              <w:rPr>
                <w:rFonts w:eastAsia="SimSun"/>
                <w:szCs w:val="16"/>
              </w:rPr>
              <w:br/>
              <w:t>Patient must be receiving dual therapy with this non PBS-subsidised pulmonary arterial hypertension (PAH) agent and a non PBS-subsidised endothelin receptor antagonist (ERA) for this condition prior to 1 October 2020; AND</w:t>
            </w:r>
            <w:r w:rsidRPr="005F0061">
              <w:rPr>
                <w:rFonts w:eastAsia="SimSun"/>
                <w:szCs w:val="16"/>
              </w:rPr>
              <w:br/>
              <w:t>Patient must have been assessed by a physician with expertise in the management of PAH; AND</w:t>
            </w:r>
            <w:r w:rsidRPr="005F0061">
              <w:rPr>
                <w:rFonts w:eastAsia="SimSun"/>
                <w:szCs w:val="16"/>
              </w:rPr>
              <w:br/>
              <w:t>Patient must have documented WHO Functional Class III PAH or WHO Functional Class IV PAH.</w:t>
            </w:r>
            <w:r w:rsidRPr="005F0061">
              <w:rPr>
                <w:rFonts w:eastAsia="SimSun"/>
                <w:szCs w:val="16"/>
              </w:rPr>
              <w:br/>
              <w:t xml:space="preserve">The term 'PAH agents' refers to </w:t>
            </w:r>
            <w:proofErr w:type="spellStart"/>
            <w:r w:rsidRPr="005F0061">
              <w:rPr>
                <w:rFonts w:eastAsia="SimSun"/>
                <w:szCs w:val="16"/>
              </w:rPr>
              <w:t>bosentan</w:t>
            </w:r>
            <w:proofErr w:type="spellEnd"/>
            <w:r w:rsidRPr="005F0061">
              <w:rPr>
                <w:rFonts w:eastAsia="SimSun"/>
                <w:szCs w:val="16"/>
              </w:rPr>
              <w:t xml:space="preserve"> monohydrate, </w:t>
            </w:r>
            <w:proofErr w:type="spellStart"/>
            <w:r w:rsidRPr="005F0061">
              <w:rPr>
                <w:rFonts w:eastAsia="SimSun"/>
                <w:szCs w:val="16"/>
              </w:rPr>
              <w:t>iloprost</w:t>
            </w:r>
            <w:proofErr w:type="spellEnd"/>
            <w:r w:rsidRPr="005F0061">
              <w:rPr>
                <w:rFonts w:eastAsia="SimSun"/>
                <w:szCs w:val="16"/>
              </w:rPr>
              <w:t xml:space="preserve"> trometamol, </w:t>
            </w:r>
            <w:proofErr w:type="spellStart"/>
            <w:r w:rsidRPr="005F0061">
              <w:rPr>
                <w:rFonts w:eastAsia="SimSun"/>
                <w:szCs w:val="16"/>
              </w:rPr>
              <w:t>epoprostenol</w:t>
            </w:r>
            <w:proofErr w:type="spellEnd"/>
            <w:r w:rsidRPr="005F0061">
              <w:rPr>
                <w:rFonts w:eastAsia="SimSun"/>
                <w:szCs w:val="16"/>
              </w:rPr>
              <w:t xml:space="preserve"> sodium, sildenafil citrate, </w:t>
            </w:r>
            <w:proofErr w:type="spellStart"/>
            <w:r w:rsidRPr="005F0061">
              <w:rPr>
                <w:rFonts w:eastAsia="SimSun"/>
                <w:szCs w:val="16"/>
              </w:rPr>
              <w:t>ambrisentan</w:t>
            </w:r>
            <w:proofErr w:type="spellEnd"/>
            <w:r w:rsidRPr="005F0061">
              <w:rPr>
                <w:rFonts w:eastAsia="SimSun"/>
                <w:szCs w:val="16"/>
              </w:rPr>
              <w:t xml:space="preserve">, </w:t>
            </w:r>
            <w:proofErr w:type="spellStart"/>
            <w:r w:rsidRPr="005F0061">
              <w:rPr>
                <w:rFonts w:eastAsia="SimSun"/>
                <w:szCs w:val="16"/>
              </w:rPr>
              <w:t>tadalafil</w:t>
            </w:r>
            <w:proofErr w:type="spellEnd"/>
            <w:r w:rsidRPr="005F0061">
              <w:rPr>
                <w:rFonts w:eastAsia="SimSun"/>
                <w:szCs w:val="16"/>
              </w:rPr>
              <w:t xml:space="preserve">, </w:t>
            </w:r>
            <w:proofErr w:type="spellStart"/>
            <w:r w:rsidRPr="005F0061">
              <w:rPr>
                <w:rFonts w:eastAsia="SimSun"/>
                <w:szCs w:val="16"/>
              </w:rPr>
              <w:t>macitentan</w:t>
            </w:r>
            <w:proofErr w:type="spellEnd"/>
            <w:r w:rsidRPr="005F0061">
              <w:rPr>
                <w:rFonts w:eastAsia="SimSun"/>
                <w:szCs w:val="16"/>
              </w:rPr>
              <w:t xml:space="preserve">, and </w:t>
            </w:r>
            <w:proofErr w:type="spellStart"/>
            <w:r w:rsidRPr="005F0061">
              <w:rPr>
                <w:rFonts w:eastAsia="SimSun"/>
                <w:szCs w:val="16"/>
              </w:rPr>
              <w:t>riociguat</w:t>
            </w:r>
            <w:proofErr w:type="spellEnd"/>
            <w:r w:rsidRPr="005F0061">
              <w:rPr>
                <w:rFonts w:eastAsia="SimSun"/>
                <w:szCs w:val="16"/>
              </w:rPr>
              <w:t>.</w:t>
            </w:r>
            <w:r w:rsidRPr="005F0061">
              <w:rPr>
                <w:rFonts w:eastAsia="SimSun"/>
                <w:szCs w:val="16"/>
              </w:rPr>
              <w:br/>
              <w:t>For the purposes of PBS subsidy, dual therapy refers to combined use of an endothelin receptor antagonist (ERA) and a phosphodiesterase-5 inhibitor (PDE-5i).</w:t>
            </w:r>
            <w:r w:rsidRPr="005F0061">
              <w:rPr>
                <w:rFonts w:eastAsia="SimSun"/>
                <w:szCs w:val="16"/>
              </w:rPr>
              <w:br/>
              <w:t>(</w:t>
            </w:r>
            <w:proofErr w:type="spellStart"/>
            <w:r w:rsidRPr="005F0061">
              <w:rPr>
                <w:rFonts w:eastAsia="SimSun"/>
                <w:szCs w:val="16"/>
              </w:rPr>
              <w:t>i</w:t>
            </w:r>
            <w:proofErr w:type="spellEnd"/>
            <w:r w:rsidRPr="005F0061">
              <w:rPr>
                <w:rFonts w:eastAsia="SimSun"/>
                <w:szCs w:val="16"/>
              </w:rPr>
              <w:t xml:space="preserve">) An ERA includes </w:t>
            </w:r>
            <w:proofErr w:type="spellStart"/>
            <w:r w:rsidRPr="005F0061">
              <w:rPr>
                <w:rFonts w:eastAsia="SimSun"/>
                <w:szCs w:val="16"/>
              </w:rPr>
              <w:t>ambrisentan</w:t>
            </w:r>
            <w:proofErr w:type="spellEnd"/>
            <w:r w:rsidRPr="005F0061">
              <w:rPr>
                <w:rFonts w:eastAsia="SimSun"/>
                <w:szCs w:val="16"/>
              </w:rPr>
              <w:t xml:space="preserve">, </w:t>
            </w:r>
            <w:proofErr w:type="spellStart"/>
            <w:r w:rsidRPr="005F0061">
              <w:rPr>
                <w:rFonts w:eastAsia="SimSun"/>
                <w:szCs w:val="16"/>
              </w:rPr>
              <w:t>bosentan</w:t>
            </w:r>
            <w:proofErr w:type="spellEnd"/>
            <w:r w:rsidRPr="005F0061">
              <w:rPr>
                <w:rFonts w:eastAsia="SimSun"/>
                <w:szCs w:val="16"/>
              </w:rPr>
              <w:t xml:space="preserve"> monohydrate, or </w:t>
            </w:r>
            <w:proofErr w:type="spellStart"/>
            <w:r w:rsidRPr="005F0061">
              <w:rPr>
                <w:rFonts w:eastAsia="SimSun"/>
                <w:szCs w:val="16"/>
              </w:rPr>
              <w:t>macitentan</w:t>
            </w:r>
            <w:proofErr w:type="spellEnd"/>
            <w:r w:rsidRPr="005F0061">
              <w:rPr>
                <w:rFonts w:eastAsia="SimSun"/>
                <w:szCs w:val="16"/>
              </w:rPr>
              <w:t>.</w:t>
            </w:r>
            <w:r w:rsidRPr="005F0061">
              <w:rPr>
                <w:rFonts w:eastAsia="SimSun"/>
                <w:szCs w:val="16"/>
              </w:rPr>
              <w:br/>
              <w:t xml:space="preserve">(ii) A PDE-5i includes sildenafil citrate, or </w:t>
            </w:r>
            <w:proofErr w:type="spellStart"/>
            <w:r w:rsidRPr="005F0061">
              <w:rPr>
                <w:rFonts w:eastAsia="SimSun"/>
                <w:szCs w:val="16"/>
              </w:rPr>
              <w:t>tadalafil</w:t>
            </w:r>
            <w:proofErr w:type="spellEnd"/>
            <w:r w:rsidRPr="005F0061">
              <w:rPr>
                <w:rFonts w:eastAsia="SimSun"/>
                <w:szCs w:val="16"/>
              </w:rPr>
              <w:t>.</w:t>
            </w:r>
            <w:r w:rsidRPr="005F0061">
              <w:rPr>
                <w:rFonts w:eastAsia="SimSun"/>
                <w:szCs w:val="16"/>
              </w:rPr>
              <w:br/>
              <w:t>PAH agents are not PBS-subsidised for patients with pulmonary hypertension secondary to interstitial lung disease associated with connective tissue disease, where the total lung capacity is less than 70% of predicted.</w:t>
            </w:r>
            <w:r w:rsidRPr="005F0061">
              <w:rPr>
                <w:rFonts w:eastAsia="SimSun"/>
                <w:szCs w:val="16"/>
              </w:rPr>
              <w:br/>
              <w:t>PAH (WHO Group 1 pulmonary hypertension) is defined as follows</w:t>
            </w:r>
            <w:proofErr w:type="gramStart"/>
            <w:r w:rsidRPr="005F0061">
              <w:rPr>
                <w:rFonts w:eastAsia="SimSun"/>
                <w:szCs w:val="16"/>
              </w:rPr>
              <w:t>:</w:t>
            </w:r>
            <w:proofErr w:type="gramEnd"/>
            <w:r w:rsidRPr="005F0061">
              <w:rPr>
                <w:rFonts w:eastAsia="SimSun"/>
                <w:szCs w:val="16"/>
              </w:rPr>
              <w:br/>
              <w:t>(</w:t>
            </w:r>
            <w:proofErr w:type="spellStart"/>
            <w:r w:rsidRPr="005F0061">
              <w:rPr>
                <w:rFonts w:eastAsia="SimSun"/>
                <w:szCs w:val="16"/>
              </w:rPr>
              <w:t>i</w:t>
            </w:r>
            <w:proofErr w:type="spellEnd"/>
            <w:r w:rsidRPr="005F0061">
              <w:rPr>
                <w:rFonts w:eastAsia="SimSun"/>
                <w:szCs w:val="16"/>
              </w:rPr>
              <w:t>) mean pulmonary artery pressure (</w:t>
            </w:r>
            <w:proofErr w:type="spellStart"/>
            <w:r w:rsidRPr="005F0061">
              <w:rPr>
                <w:rFonts w:eastAsia="SimSun"/>
                <w:szCs w:val="16"/>
              </w:rPr>
              <w:t>mPAP</w:t>
            </w:r>
            <w:proofErr w:type="spellEnd"/>
            <w:r w:rsidRPr="005F0061">
              <w:rPr>
                <w:rFonts w:eastAsia="SimSun"/>
                <w:szCs w:val="16"/>
              </w:rPr>
              <w:t>) greater than or equal to 25 mmHg at rest and pulmonary artery wedge pressure (PAWP) less than or equal to 15 mmHg; or</w:t>
            </w:r>
            <w:r w:rsidRPr="005F0061">
              <w:rPr>
                <w:rFonts w:eastAsia="SimSun"/>
                <w:szCs w:val="16"/>
              </w:rPr>
              <w:br/>
              <w:t xml:space="preserve">(ii) where a right heart catheter (RHC) cannot be performed on clinical grounds, right ventricular systolic pressure (RVSP), assessed by echocardiography (ECHO), greater than 40 mmHg, with normal left </w:t>
            </w:r>
            <w:r w:rsidRPr="005F0061">
              <w:rPr>
                <w:rFonts w:eastAsia="SimSun"/>
                <w:szCs w:val="16"/>
              </w:rPr>
              <w:lastRenderedPageBreak/>
              <w:t>ventricular function.</w:t>
            </w:r>
            <w:r w:rsidRPr="005F0061">
              <w:rPr>
                <w:rFonts w:eastAsia="SimSun"/>
                <w:szCs w:val="16"/>
              </w:rPr>
              <w:br/>
              <w:t>Applications for authorisation must be in writing and must include:</w:t>
            </w:r>
            <w:r w:rsidRPr="005F0061">
              <w:rPr>
                <w:rFonts w:eastAsia="SimSun"/>
                <w:szCs w:val="16"/>
              </w:rPr>
              <w:br/>
              <w:t>(1) a completed authority prescription form; and</w:t>
            </w:r>
            <w:r w:rsidRPr="005F0061">
              <w:rPr>
                <w:rFonts w:eastAsia="SimSun"/>
                <w:szCs w:val="16"/>
              </w:rPr>
              <w:br/>
              <w:t>(2) a completed Pulmonary Arterial Hypertension PBS Authority Application - Supporting Information form which includes results from the three tests below, where available:</w:t>
            </w:r>
            <w:r w:rsidRPr="005F0061">
              <w:rPr>
                <w:rFonts w:eastAsia="SimSun"/>
                <w:szCs w:val="16"/>
              </w:rPr>
              <w:br/>
              <w:t>(</w:t>
            </w:r>
            <w:proofErr w:type="spellStart"/>
            <w:r w:rsidRPr="005F0061">
              <w:rPr>
                <w:rFonts w:eastAsia="SimSun"/>
                <w:szCs w:val="16"/>
              </w:rPr>
              <w:t>i</w:t>
            </w:r>
            <w:proofErr w:type="spellEnd"/>
            <w:r w:rsidRPr="005F0061">
              <w:rPr>
                <w:rFonts w:eastAsia="SimSun"/>
                <w:szCs w:val="16"/>
              </w:rPr>
              <w:t>) RHC composite assessment; and</w:t>
            </w:r>
            <w:r w:rsidRPr="005F0061">
              <w:rPr>
                <w:rFonts w:eastAsia="SimSun"/>
                <w:szCs w:val="16"/>
              </w:rPr>
              <w:br/>
              <w:t>(ii) ECHO composite assessment; and</w:t>
            </w:r>
            <w:r w:rsidRPr="005F0061">
              <w:rPr>
                <w:rFonts w:eastAsia="SimSun"/>
                <w:szCs w:val="16"/>
              </w:rPr>
              <w:br/>
              <w:t>(iii) 6 Minute Walk Test (6MWT).</w:t>
            </w:r>
            <w:r w:rsidRPr="005F0061">
              <w:rPr>
                <w:rFonts w:eastAsia="SimSun"/>
                <w:szCs w:val="16"/>
              </w:rPr>
              <w:br/>
              <w:t>Where it was not possible to perform all 3 tests on clinical grounds, the following list outlines the preferred test combination, in descending order, for the purposes of initiation of PBS-subsidised treatment:</w:t>
            </w:r>
            <w:r w:rsidRPr="005F0061">
              <w:rPr>
                <w:rFonts w:eastAsia="SimSun"/>
                <w:szCs w:val="16"/>
              </w:rPr>
              <w:br/>
              <w:t>(1) RHC plus ECHO composite assessments;</w:t>
            </w:r>
            <w:r w:rsidRPr="005F0061">
              <w:rPr>
                <w:rFonts w:eastAsia="SimSun"/>
                <w:szCs w:val="16"/>
              </w:rPr>
              <w:br/>
              <w:t>(2) RHC composite assessment plus 6MWT;</w:t>
            </w:r>
            <w:r w:rsidRPr="005F0061">
              <w:rPr>
                <w:rFonts w:eastAsia="SimSun"/>
                <w:szCs w:val="16"/>
              </w:rPr>
              <w:br/>
              <w:t>(3) RHC composite assessment only.</w:t>
            </w:r>
            <w:r w:rsidRPr="005F0061">
              <w:rPr>
                <w:rFonts w:eastAsia="SimSun"/>
                <w:szCs w:val="16"/>
              </w:rPr>
              <w:br/>
              <w:t>In circumstances where a RHC could not be performed on clinical grounds, applications may be submitted for consideration based on the results of the following test combinations, which are listed in descending order of preference</w:t>
            </w:r>
            <w:proofErr w:type="gramStart"/>
            <w:r w:rsidRPr="005F0061">
              <w:rPr>
                <w:rFonts w:eastAsia="SimSun"/>
                <w:szCs w:val="16"/>
              </w:rPr>
              <w:t>:</w:t>
            </w:r>
            <w:proofErr w:type="gramEnd"/>
            <w:r w:rsidRPr="005F0061">
              <w:rPr>
                <w:rFonts w:eastAsia="SimSun"/>
                <w:szCs w:val="16"/>
              </w:rPr>
              <w:br/>
              <w:t>(1) ECHO composite assessment plus 6MWT;</w:t>
            </w:r>
            <w:r w:rsidRPr="005F0061">
              <w:rPr>
                <w:rFonts w:eastAsia="SimSun"/>
                <w:szCs w:val="16"/>
              </w:rPr>
              <w:br/>
              <w:t>(2) ECHO composite assessment only.</w:t>
            </w:r>
            <w:r w:rsidRPr="005F0061">
              <w:rPr>
                <w:rFonts w:eastAsia="SimSun"/>
                <w:szCs w:val="16"/>
              </w:rPr>
              <w:br/>
              <w:t>Where fewer than 3 tests were able to be performed on clinical grounds, a patient specific reason outlining why the particular test(s) could not be conducted must be provided with the authority application.</w:t>
            </w:r>
            <w:r w:rsidRPr="005F0061">
              <w:rPr>
                <w:rFonts w:eastAsia="SimSun"/>
                <w:szCs w:val="16"/>
              </w:rPr>
              <w:br/>
              <w:t>Where a RHC could not be performed on clinical grounds, confirmation of the reason(s) must be provided with the authority application by a second PAH physician or cardiologist with expertise in the management of PAH.</w:t>
            </w:r>
            <w:r w:rsidRPr="005F0061">
              <w:rPr>
                <w:rFonts w:eastAsia="SimSun"/>
                <w:szCs w:val="16"/>
              </w:rPr>
              <w:br/>
              <w:t>A patient may qualify for PBS-subsidised treatment under this restriction once only. For continuing PBS-subsidised treatment, a Grandfathered patient must qualify under the Continuing treatment criteria for dual therapy for this condition.</w:t>
            </w:r>
            <w:r w:rsidRPr="005F0061">
              <w:rPr>
                <w:rFonts w:eastAsia="SimSun"/>
                <w:szCs w:val="16"/>
              </w:rPr>
              <w:br/>
              <w:t>The maximum quantity authorised will be limited to provide sufficient supply for 1 month of treatment, based on the dosage recommendations in the TGA-approved Product Information.</w:t>
            </w:r>
            <w:r w:rsidRPr="005F0061">
              <w:rPr>
                <w:rFonts w:eastAsia="SimSun"/>
                <w:szCs w:val="16"/>
              </w:rPr>
              <w:br/>
              <w:t>A maximum of 5 repeats may be requested.</w:t>
            </w:r>
          </w:p>
        </w:tc>
        <w:tc>
          <w:tcPr>
            <w:tcW w:w="2650" w:type="dxa"/>
            <w:shd w:val="clear" w:color="auto" w:fill="auto"/>
            <w:tcMar>
              <w:top w:w="28" w:type="dxa"/>
              <w:left w:w="28" w:type="dxa"/>
              <w:right w:w="57" w:type="dxa"/>
            </w:tcMar>
          </w:tcPr>
          <w:p w14:paraId="56C8CD36" w14:textId="616B1188" w:rsidR="009418DF" w:rsidRPr="005F0061" w:rsidRDefault="009418DF" w:rsidP="009418DF">
            <w:pPr>
              <w:pStyle w:val="Tabletext0"/>
              <w:rPr>
                <w:rFonts w:cs="Arial"/>
                <w:szCs w:val="16"/>
              </w:rPr>
            </w:pPr>
            <w:r w:rsidRPr="005F0061">
              <w:rPr>
                <w:rFonts w:eastAsia="SimSun" w:cs="Arial"/>
                <w:szCs w:val="16"/>
                <w:lang w:eastAsia="zh-CN"/>
              </w:rPr>
              <w:lastRenderedPageBreak/>
              <w:t xml:space="preserve">Compliance with </w:t>
            </w:r>
            <w:r w:rsidR="00943A76" w:rsidRPr="005F0061">
              <w:rPr>
                <w:rFonts w:eastAsia="SimSun" w:cs="Arial"/>
                <w:szCs w:val="16"/>
                <w:lang w:eastAsia="zh-CN"/>
              </w:rPr>
              <w:t xml:space="preserve">Written </w:t>
            </w:r>
            <w:r w:rsidRPr="005F0061">
              <w:rPr>
                <w:rFonts w:eastAsia="SimSun" w:cs="Arial"/>
                <w:szCs w:val="16"/>
                <w:lang w:eastAsia="zh-CN"/>
              </w:rPr>
              <w:t>Authority Required procedures</w:t>
            </w:r>
          </w:p>
        </w:tc>
      </w:tr>
    </w:tbl>
    <w:p w14:paraId="71B6054C" w14:textId="77777777" w:rsidR="00790361" w:rsidRPr="005F0061" w:rsidRDefault="00790361" w:rsidP="00294842">
      <w:pPr>
        <w:pStyle w:val="Amendment1"/>
        <w:numPr>
          <w:ilvl w:val="0"/>
          <w:numId w:val="33"/>
        </w:numPr>
        <w:spacing w:before="60" w:after="60"/>
        <w:ind w:left="1134" w:hanging="567"/>
        <w:rPr>
          <w:rFonts w:ascii="Times New Roman" w:hAnsi="Times New Roman" w:cs="Times New Roman"/>
          <w:b w:val="0"/>
          <w:bCs w:val="0"/>
          <w:i/>
          <w:iCs/>
        </w:rPr>
      </w:pPr>
      <w:r w:rsidRPr="005F0061">
        <w:rPr>
          <w:rFonts w:ascii="Times New Roman" w:hAnsi="Times New Roman" w:cs="Times New Roman"/>
          <w:b w:val="0"/>
          <w:bCs w:val="0"/>
          <w:i/>
          <w:iCs/>
        </w:rPr>
        <w:t>insert in numerical order after existing text: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790361" w:rsidRPr="005F0061" w14:paraId="7A5CFBD4" w14:textId="77777777" w:rsidTr="00BE6C1F">
        <w:tc>
          <w:tcPr>
            <w:tcW w:w="1900" w:type="dxa"/>
            <w:shd w:val="clear" w:color="auto" w:fill="auto"/>
            <w:tcMar>
              <w:top w:w="28" w:type="dxa"/>
              <w:left w:w="28" w:type="dxa"/>
            </w:tcMar>
          </w:tcPr>
          <w:p w14:paraId="4F1860B5" w14:textId="77777777" w:rsidR="00790361" w:rsidRPr="005F0061" w:rsidRDefault="00790361" w:rsidP="00BE6C1F">
            <w:pPr>
              <w:pStyle w:val="Tabletext0"/>
              <w:tabs>
                <w:tab w:val="left" w:pos="958"/>
              </w:tabs>
              <w:rPr>
                <w:rFonts w:cs="Arial"/>
                <w:szCs w:val="16"/>
              </w:rPr>
            </w:pPr>
          </w:p>
        </w:tc>
        <w:tc>
          <w:tcPr>
            <w:tcW w:w="850" w:type="dxa"/>
            <w:shd w:val="clear" w:color="auto" w:fill="auto"/>
            <w:tcMar>
              <w:top w:w="28" w:type="dxa"/>
              <w:left w:w="28" w:type="dxa"/>
            </w:tcMar>
          </w:tcPr>
          <w:p w14:paraId="7542DF82" w14:textId="407BD968" w:rsidR="00790361" w:rsidRPr="005F0061" w:rsidRDefault="00790361" w:rsidP="00BE6C1F">
            <w:pPr>
              <w:pStyle w:val="mps3-data"/>
              <w:rPr>
                <w:szCs w:val="16"/>
              </w:rPr>
            </w:pPr>
            <w:r w:rsidRPr="005F0061">
              <w:rPr>
                <w:szCs w:val="16"/>
              </w:rPr>
              <w:t xml:space="preserve">C11228 </w:t>
            </w:r>
          </w:p>
        </w:tc>
        <w:tc>
          <w:tcPr>
            <w:tcW w:w="850" w:type="dxa"/>
            <w:shd w:val="clear" w:color="auto" w:fill="auto"/>
            <w:tcMar>
              <w:top w:w="28" w:type="dxa"/>
              <w:left w:w="28" w:type="dxa"/>
            </w:tcMar>
          </w:tcPr>
          <w:p w14:paraId="218583AD" w14:textId="77777777" w:rsidR="00790361" w:rsidRPr="005F0061" w:rsidDel="00E03489" w:rsidRDefault="00790361" w:rsidP="00BE6C1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1A194AA8" w14:textId="6EFA7F4F" w:rsidR="00790361" w:rsidRPr="005F0061" w:rsidRDefault="00790361" w:rsidP="00BE6C1F">
            <w:pPr>
              <w:pStyle w:val="mps3-data"/>
              <w:rPr>
                <w:szCs w:val="16"/>
              </w:rPr>
            </w:pPr>
            <w:r w:rsidRPr="005F0061">
              <w:t>Pulmonary arterial hypertension (PAH</w:t>
            </w:r>
            <w:proofErr w:type="gramStart"/>
            <w:r w:rsidRPr="005F0061">
              <w:t>)</w:t>
            </w:r>
            <w:proofErr w:type="gramEnd"/>
            <w:r w:rsidR="003327A6" w:rsidRPr="005F0061">
              <w:br/>
            </w:r>
            <w:r w:rsidRPr="005F0061">
              <w:t>Initial 1 (dual therapy - previously untreated patients)</w:t>
            </w:r>
            <w:r w:rsidR="003327A6" w:rsidRPr="005F0061">
              <w:br/>
            </w:r>
            <w:r w:rsidRPr="005F0061">
              <w:t>Patient must not have received prior PBS-subsidised treatment with a pulmonary arterial hypertension (PAH) agent.</w:t>
            </w:r>
            <w:r w:rsidR="003327A6" w:rsidRPr="005F0061">
              <w:br/>
            </w:r>
            <w:r w:rsidRPr="005F0061">
              <w:t>Must be treated by a physician with expertise in the management of PAH, with this authority application to be completed by the physician with expertise in PAH.</w:t>
            </w:r>
            <w:r w:rsidR="003327A6" w:rsidRPr="005F0061">
              <w:br/>
            </w:r>
            <w:r w:rsidRPr="005F0061">
              <w:t>Patient must currently have WHO Functional Class III PAH or WHO Functional Class IV PAH; AND</w:t>
            </w:r>
            <w:r w:rsidR="003327A6" w:rsidRPr="005F0061">
              <w:br/>
            </w:r>
            <w:r w:rsidRPr="005F0061">
              <w:t>The treatment must be in combination with a PBS-subsidised endothelin receptor antagonist (ERA) for this condition.</w:t>
            </w:r>
            <w:r w:rsidR="003327A6" w:rsidRPr="005F0061">
              <w:br/>
            </w:r>
            <w:r w:rsidRPr="005F0061">
              <w:t xml:space="preserve">The term 'PAH agents' refers to </w:t>
            </w:r>
            <w:proofErr w:type="spellStart"/>
            <w:r w:rsidRPr="005F0061">
              <w:t>bosentan</w:t>
            </w:r>
            <w:proofErr w:type="spellEnd"/>
            <w:r w:rsidRPr="005F0061">
              <w:t xml:space="preserve"> monohydrate, </w:t>
            </w:r>
            <w:proofErr w:type="spellStart"/>
            <w:r w:rsidRPr="005F0061">
              <w:t>iloprost</w:t>
            </w:r>
            <w:proofErr w:type="spellEnd"/>
            <w:r w:rsidRPr="005F0061">
              <w:t xml:space="preserve"> trometamol, </w:t>
            </w:r>
            <w:proofErr w:type="spellStart"/>
            <w:r w:rsidRPr="005F0061">
              <w:t>epoprostenol</w:t>
            </w:r>
            <w:proofErr w:type="spellEnd"/>
            <w:r w:rsidRPr="005F0061">
              <w:t xml:space="preserve"> sodium, sildenafil citrate, </w:t>
            </w:r>
            <w:proofErr w:type="spellStart"/>
            <w:r w:rsidRPr="005F0061">
              <w:t>ambrisentan</w:t>
            </w:r>
            <w:proofErr w:type="spellEnd"/>
            <w:r w:rsidRPr="005F0061">
              <w:t xml:space="preserve">, </w:t>
            </w:r>
            <w:proofErr w:type="spellStart"/>
            <w:r w:rsidRPr="005F0061">
              <w:t>tadalafil</w:t>
            </w:r>
            <w:proofErr w:type="spellEnd"/>
            <w:r w:rsidRPr="005F0061">
              <w:t xml:space="preserve">, </w:t>
            </w:r>
            <w:proofErr w:type="spellStart"/>
            <w:r w:rsidRPr="005F0061">
              <w:t>macitentan</w:t>
            </w:r>
            <w:proofErr w:type="spellEnd"/>
            <w:r w:rsidRPr="005F0061">
              <w:t xml:space="preserve">, and </w:t>
            </w:r>
            <w:proofErr w:type="spellStart"/>
            <w:r w:rsidRPr="005F0061">
              <w:t>riociguat</w:t>
            </w:r>
            <w:proofErr w:type="spellEnd"/>
            <w:r w:rsidRPr="005F0061">
              <w:t>.</w:t>
            </w:r>
            <w:r w:rsidR="003327A6" w:rsidRPr="005F0061">
              <w:br/>
            </w:r>
            <w:r w:rsidRPr="005F0061">
              <w:t>For the purposes of PBS subsidy, dual therapy refers to combined use of an endothelin receptor antagonist (ERA) and a phosphodiesterase-5 inhibitor (PDE-5i).</w:t>
            </w:r>
            <w:r w:rsidR="003327A6" w:rsidRPr="005F0061">
              <w:br/>
            </w:r>
            <w:r w:rsidRPr="005F0061">
              <w:t>(</w:t>
            </w:r>
            <w:proofErr w:type="spellStart"/>
            <w:r w:rsidRPr="005F0061">
              <w:t>i</w:t>
            </w:r>
            <w:proofErr w:type="spellEnd"/>
            <w:r w:rsidRPr="005F0061">
              <w:t xml:space="preserve">) An ERA includes </w:t>
            </w:r>
            <w:proofErr w:type="spellStart"/>
            <w:r w:rsidRPr="005F0061">
              <w:t>ambrisentan</w:t>
            </w:r>
            <w:proofErr w:type="spellEnd"/>
            <w:r w:rsidRPr="005F0061">
              <w:t xml:space="preserve">, </w:t>
            </w:r>
            <w:proofErr w:type="spellStart"/>
            <w:r w:rsidRPr="005F0061">
              <w:t>bosentan</w:t>
            </w:r>
            <w:proofErr w:type="spellEnd"/>
            <w:r w:rsidRPr="005F0061">
              <w:t xml:space="preserve"> monohydrate, or </w:t>
            </w:r>
            <w:proofErr w:type="spellStart"/>
            <w:r w:rsidRPr="005F0061">
              <w:t>macitentan</w:t>
            </w:r>
            <w:proofErr w:type="spellEnd"/>
            <w:r w:rsidRPr="005F0061">
              <w:t>.</w:t>
            </w:r>
            <w:r w:rsidR="003327A6" w:rsidRPr="005F0061">
              <w:br/>
            </w:r>
            <w:r w:rsidRPr="005F0061">
              <w:t xml:space="preserve">(ii) A PDE-5i includes sildenafil citrate, or </w:t>
            </w:r>
            <w:proofErr w:type="spellStart"/>
            <w:r w:rsidRPr="005F0061">
              <w:t>tadalafil</w:t>
            </w:r>
            <w:proofErr w:type="spellEnd"/>
            <w:r w:rsidRPr="005F0061">
              <w:t>.</w:t>
            </w:r>
            <w:r w:rsidR="003327A6" w:rsidRPr="005F0061">
              <w:br/>
            </w:r>
            <w:r w:rsidRPr="005F0061">
              <w:t>PAH agents are not PBS-subsidised for patients with pulmonary hypertension secondary to interstitial lung disease associated with connective tissue disease, where the total lung capacity is less than 70% of predicted.</w:t>
            </w:r>
            <w:r w:rsidR="003327A6" w:rsidRPr="005F0061">
              <w:br/>
            </w:r>
            <w:r w:rsidRPr="005F0061">
              <w:t>PAH (WHO Group 1 pulmonary hypertension) is defined as follows</w:t>
            </w:r>
            <w:proofErr w:type="gramStart"/>
            <w:r w:rsidRPr="005F0061">
              <w:t>:</w:t>
            </w:r>
            <w:proofErr w:type="gramEnd"/>
            <w:r w:rsidR="003327A6" w:rsidRPr="005F0061">
              <w:br/>
            </w:r>
            <w:r w:rsidRPr="005F0061">
              <w:lastRenderedPageBreak/>
              <w:t>(</w:t>
            </w:r>
            <w:proofErr w:type="spellStart"/>
            <w:r w:rsidRPr="005F0061">
              <w:t>i</w:t>
            </w:r>
            <w:proofErr w:type="spellEnd"/>
            <w:r w:rsidRPr="005F0061">
              <w:t>) mean pulmonary artery pressure (</w:t>
            </w:r>
            <w:proofErr w:type="spellStart"/>
            <w:r w:rsidRPr="005F0061">
              <w:t>mPAP</w:t>
            </w:r>
            <w:proofErr w:type="spellEnd"/>
            <w:r w:rsidRPr="005F0061">
              <w:t>) greater than or equal to 25 mmHg at rest and pulmonary artery wedge pressure (PAWP) less than or equal to 15 mmHg; or</w:t>
            </w:r>
            <w:r w:rsidR="003327A6" w:rsidRPr="005F0061">
              <w:br/>
            </w:r>
            <w:r w:rsidRPr="005F0061">
              <w:t>(ii) where a right heart catheter (RHC) cannot be performed on clinical grounds, right ventricular systolic pressure (RVSP), assessed by echocardiography (ECHO), greater than 40 mmHg, with normal left ventricular function.</w:t>
            </w:r>
            <w:r w:rsidR="003327A6" w:rsidRPr="005F0061">
              <w:br/>
            </w:r>
            <w:r w:rsidRPr="005F0061">
              <w:t>Applications for authorisation must be in writing and must include:</w:t>
            </w:r>
            <w:r w:rsidR="003327A6" w:rsidRPr="005F0061">
              <w:br/>
            </w:r>
            <w:r w:rsidRPr="005F0061">
              <w:t>(1) a completed authority prescription form; and</w:t>
            </w:r>
            <w:r w:rsidR="003327A6" w:rsidRPr="005F0061">
              <w:br/>
            </w:r>
            <w:r w:rsidRPr="005F0061">
              <w:t>(2) a completed Pulmonary Arterial Hypertension PBS Authority Application - Supporting Information form which includes results from the three tests below, where available:</w:t>
            </w:r>
            <w:r w:rsidR="003327A6" w:rsidRPr="005F0061">
              <w:br/>
            </w:r>
            <w:r w:rsidRPr="005F0061">
              <w:t>(</w:t>
            </w:r>
            <w:proofErr w:type="spellStart"/>
            <w:r w:rsidRPr="005F0061">
              <w:t>i</w:t>
            </w:r>
            <w:proofErr w:type="spellEnd"/>
            <w:r w:rsidRPr="005F0061">
              <w:t>) RHC composite assessment; and</w:t>
            </w:r>
            <w:r w:rsidR="003327A6" w:rsidRPr="005F0061">
              <w:br/>
            </w:r>
            <w:r w:rsidRPr="005F0061">
              <w:t>(ii) ECHO composite assessment; and</w:t>
            </w:r>
            <w:r w:rsidR="003327A6" w:rsidRPr="005F0061">
              <w:br/>
            </w:r>
            <w:r w:rsidRPr="005F0061">
              <w:t>(iii) 6 Minute Walk Test (6MWT).</w:t>
            </w:r>
            <w:r w:rsidR="003327A6" w:rsidRPr="005F0061">
              <w:br/>
            </w:r>
            <w:r w:rsidRPr="005F0061">
              <w:t>Where it is not possible to perform all 3 tests on clinical grounds, the following list outlines the preferred test combination, in descending order, for the purposes of initiation of PBS-subsidised treatment:</w:t>
            </w:r>
            <w:r w:rsidR="003327A6" w:rsidRPr="005F0061">
              <w:br/>
            </w:r>
            <w:r w:rsidRPr="005F0061">
              <w:t>(1) RHC plus ECHO composite assessments;</w:t>
            </w:r>
            <w:r w:rsidR="003327A6" w:rsidRPr="005F0061">
              <w:br/>
            </w:r>
            <w:r w:rsidRPr="005F0061">
              <w:t>(2) RHC composite assessment plus 6MWT;</w:t>
            </w:r>
            <w:r w:rsidR="003327A6" w:rsidRPr="005F0061">
              <w:br/>
            </w:r>
            <w:r w:rsidRPr="005F0061">
              <w:t>(3) RHC composite assessment only.</w:t>
            </w:r>
            <w:r w:rsidR="003327A6" w:rsidRPr="005F0061">
              <w:br/>
            </w:r>
            <w:r w:rsidRPr="005F0061">
              <w:t>In circumstances where a RHC cannot be performed on clinical grounds, applications may be submitted for consideration based on the results of the following test combinations, which are listed in descending order of preference</w:t>
            </w:r>
            <w:proofErr w:type="gramStart"/>
            <w:r w:rsidRPr="005F0061">
              <w:t>:</w:t>
            </w:r>
            <w:proofErr w:type="gramEnd"/>
            <w:r w:rsidR="003327A6" w:rsidRPr="005F0061">
              <w:br/>
            </w:r>
            <w:r w:rsidRPr="005F0061">
              <w:t>(1) ECHO composite assessment plus 6MWT;</w:t>
            </w:r>
            <w:r w:rsidR="003327A6" w:rsidRPr="005F0061">
              <w:br/>
            </w:r>
            <w:r w:rsidRPr="005F0061">
              <w:t>(2) ECHO composite assessment only.</w:t>
            </w:r>
            <w:r w:rsidR="003327A6" w:rsidRPr="005F0061">
              <w:br/>
            </w:r>
            <w:r w:rsidRPr="005F0061">
              <w:t>Where fewer than 3 tests are able to be performed on clinical grounds, a patient specific reason outlining why the particular test(s) could not be conducted must be provided with the authority application.</w:t>
            </w:r>
            <w:r w:rsidR="003327A6" w:rsidRPr="005F0061">
              <w:br/>
            </w:r>
            <w:r w:rsidRPr="005F0061">
              <w:t>Where a RHC cannot be performed on clinical grounds, confirmation of the reason(s) must be provided with the authority application by a second PAH physician or cardiologist with expertise in the management of PAH.</w:t>
            </w:r>
            <w:r w:rsidR="003327A6" w:rsidRPr="005F0061">
              <w:br/>
            </w:r>
            <w:r w:rsidRPr="005F0061">
              <w:t>The test results provided must not be more than 2 months old at the time of application.</w:t>
            </w:r>
            <w:r w:rsidR="003327A6" w:rsidRPr="005F0061">
              <w:br/>
            </w:r>
            <w:r w:rsidRPr="005F0061">
              <w:t>The maximum quantity authorised will be limited to provide sufficient supply for 1 month of treatment, based on the dosage recommendations in the TGA-approved Product Information.</w:t>
            </w:r>
            <w:r w:rsidR="003327A6" w:rsidRPr="005F0061">
              <w:br/>
            </w:r>
            <w:r w:rsidRPr="005F0061">
              <w:t>A maximum of 5 repeats may be requested.</w:t>
            </w:r>
          </w:p>
        </w:tc>
        <w:tc>
          <w:tcPr>
            <w:tcW w:w="2650" w:type="dxa"/>
            <w:shd w:val="clear" w:color="auto" w:fill="auto"/>
            <w:tcMar>
              <w:top w:w="28" w:type="dxa"/>
              <w:left w:w="28" w:type="dxa"/>
              <w:right w:w="57" w:type="dxa"/>
            </w:tcMar>
          </w:tcPr>
          <w:p w14:paraId="5751DB75" w14:textId="7A105FCE" w:rsidR="00790361" w:rsidRPr="005F0061" w:rsidRDefault="00790361" w:rsidP="00BE6C1F">
            <w:pPr>
              <w:pStyle w:val="Tabletext0"/>
              <w:rPr>
                <w:rFonts w:cs="Arial"/>
                <w:szCs w:val="16"/>
              </w:rPr>
            </w:pPr>
            <w:r w:rsidRPr="005F0061">
              <w:lastRenderedPageBreak/>
              <w:t>Compliance with Written Authority Required procedures</w:t>
            </w:r>
          </w:p>
        </w:tc>
      </w:tr>
      <w:tr w:rsidR="00790361" w:rsidRPr="005F0061" w14:paraId="625474F8" w14:textId="77777777" w:rsidTr="00BE6C1F">
        <w:tc>
          <w:tcPr>
            <w:tcW w:w="1900" w:type="dxa"/>
            <w:shd w:val="clear" w:color="auto" w:fill="auto"/>
            <w:tcMar>
              <w:top w:w="28" w:type="dxa"/>
              <w:left w:w="28" w:type="dxa"/>
            </w:tcMar>
          </w:tcPr>
          <w:p w14:paraId="5D684186" w14:textId="77777777" w:rsidR="00790361" w:rsidRPr="005F0061" w:rsidRDefault="00790361" w:rsidP="00BE6C1F">
            <w:pPr>
              <w:pStyle w:val="Tabletext0"/>
              <w:tabs>
                <w:tab w:val="left" w:pos="958"/>
              </w:tabs>
              <w:rPr>
                <w:rFonts w:cs="Arial"/>
                <w:szCs w:val="16"/>
              </w:rPr>
            </w:pPr>
          </w:p>
        </w:tc>
        <w:tc>
          <w:tcPr>
            <w:tcW w:w="850" w:type="dxa"/>
            <w:shd w:val="clear" w:color="auto" w:fill="auto"/>
            <w:tcMar>
              <w:top w:w="28" w:type="dxa"/>
              <w:left w:w="28" w:type="dxa"/>
            </w:tcMar>
          </w:tcPr>
          <w:p w14:paraId="03A69A49" w14:textId="6A503961" w:rsidR="00790361" w:rsidRPr="005F0061" w:rsidRDefault="00790361" w:rsidP="00BE6C1F">
            <w:pPr>
              <w:pStyle w:val="mps3-data"/>
              <w:rPr>
                <w:szCs w:val="16"/>
              </w:rPr>
            </w:pPr>
            <w:r w:rsidRPr="005F0061">
              <w:rPr>
                <w:szCs w:val="16"/>
              </w:rPr>
              <w:t xml:space="preserve">C11229 </w:t>
            </w:r>
          </w:p>
        </w:tc>
        <w:tc>
          <w:tcPr>
            <w:tcW w:w="850" w:type="dxa"/>
            <w:shd w:val="clear" w:color="auto" w:fill="auto"/>
            <w:tcMar>
              <w:top w:w="28" w:type="dxa"/>
              <w:left w:w="28" w:type="dxa"/>
            </w:tcMar>
          </w:tcPr>
          <w:p w14:paraId="29798583" w14:textId="77777777" w:rsidR="00790361" w:rsidRPr="005F0061" w:rsidDel="00E03489" w:rsidRDefault="00790361" w:rsidP="00BE6C1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3603C5C3" w14:textId="086D94FE" w:rsidR="00790361" w:rsidRPr="005F0061" w:rsidRDefault="00790361" w:rsidP="00BE6C1F">
            <w:pPr>
              <w:pStyle w:val="mps3-data"/>
              <w:rPr>
                <w:szCs w:val="16"/>
              </w:rPr>
            </w:pPr>
            <w:r w:rsidRPr="005F0061">
              <w:t>Pulmonary arterial hypertension (PAH)</w:t>
            </w:r>
            <w:r w:rsidR="003327A6" w:rsidRPr="005F0061">
              <w:br/>
            </w:r>
            <w:r w:rsidRPr="005F0061">
              <w:t xml:space="preserve">Triple therapy - Initial treatment or continuing treatment of triple combination therapy (including dual therapy in lieu of triple therapy) that includes </w:t>
            </w:r>
            <w:proofErr w:type="spellStart"/>
            <w:r w:rsidRPr="005F0061">
              <w:t>selexipag</w:t>
            </w:r>
            <w:proofErr w:type="spellEnd"/>
            <w:r w:rsidR="003327A6" w:rsidRPr="005F0061">
              <w:br/>
            </w:r>
            <w:r w:rsidRPr="005F0061">
              <w:t>The treatment must form part of triple combination therapy consisting of: (</w:t>
            </w:r>
            <w:proofErr w:type="spellStart"/>
            <w:r w:rsidRPr="005F0061">
              <w:t>i</w:t>
            </w:r>
            <w:proofErr w:type="spellEnd"/>
            <w:r w:rsidRPr="005F0061">
              <w:t xml:space="preserve">) one endothelin receptor antagonist, (ii) one phosphodiesterase-5 inhibitor, (iii) PBS-subsidised </w:t>
            </w:r>
            <w:proofErr w:type="spellStart"/>
            <w:r w:rsidRPr="005F0061">
              <w:t>selexipag</w:t>
            </w:r>
            <w:proofErr w:type="spellEnd"/>
            <w:r w:rsidRPr="005F0061">
              <w:t xml:space="preserve"> (referred to as 'triple therapy'); OR</w:t>
            </w:r>
            <w:r w:rsidR="003327A6" w:rsidRPr="005F0061">
              <w:br/>
            </w:r>
            <w:r w:rsidRPr="005F0061">
              <w:t>The treatment must form part of dual combination therapy consisting of either: (</w:t>
            </w:r>
            <w:proofErr w:type="spellStart"/>
            <w:r w:rsidRPr="005F0061">
              <w:t>i</w:t>
            </w:r>
            <w:proofErr w:type="spellEnd"/>
            <w:r w:rsidRPr="005F0061">
              <w:t xml:space="preserve">) PBS-subsidised </w:t>
            </w:r>
            <w:proofErr w:type="spellStart"/>
            <w:r w:rsidRPr="005F0061">
              <w:t>selexipag</w:t>
            </w:r>
            <w:proofErr w:type="spellEnd"/>
            <w:r w:rsidRPr="005F0061">
              <w:t xml:space="preserve"> with one endothelin receptor antagonist, (ii) PBS-subsidised </w:t>
            </w:r>
            <w:proofErr w:type="spellStart"/>
            <w:r w:rsidRPr="005F0061">
              <w:t>selexipag</w:t>
            </w:r>
            <w:proofErr w:type="spellEnd"/>
            <w:r w:rsidRPr="005F0061">
              <w:t xml:space="preserve"> with one phosphodiesterase-5 inhibitor, as triple combination therapy with </w:t>
            </w:r>
            <w:proofErr w:type="spellStart"/>
            <w:r w:rsidRPr="005F0061">
              <w:t>selexipag</w:t>
            </w:r>
            <w:proofErr w:type="spellEnd"/>
            <w:r w:rsidRPr="005F0061">
              <w:t>-an endothelin receptor antagonist-a phoshodiesterase-5 inhibitor is not possible due to an intolerance/contraindication to the endothelin receptor antagonist class/phosphodiesterase-5 inhibitor class (referred to as 'dual therapy in lieu of triple therapy').</w:t>
            </w:r>
            <w:r w:rsidR="003327A6" w:rsidRPr="005F0061">
              <w:br/>
            </w:r>
            <w:r w:rsidRPr="005F0061">
              <w:t>Must be treated by a physician with expertise in the management of PAH, with this authority application to be completed by the physician with expertise in PAH.</w:t>
            </w:r>
            <w:r w:rsidR="003327A6" w:rsidRPr="005F0061">
              <w:br/>
            </w:r>
            <w:r w:rsidRPr="005F0061">
              <w:t xml:space="preserve">The authority application for </w:t>
            </w:r>
            <w:proofErr w:type="spellStart"/>
            <w:r w:rsidRPr="005F0061">
              <w:t>selexipag</w:t>
            </w:r>
            <w:proofErr w:type="spellEnd"/>
            <w:r w:rsidRPr="005F0061">
              <w:t xml:space="preserve"> must be approved prior to the authority application for this agent.</w:t>
            </w:r>
            <w:r w:rsidR="003327A6" w:rsidRPr="005F0061">
              <w:br/>
            </w:r>
            <w:r w:rsidRPr="005F0061">
              <w:t xml:space="preserve">For the purposes of PBS subsidy, an endothelin receptor antagonist is one of: (a) </w:t>
            </w:r>
            <w:proofErr w:type="spellStart"/>
            <w:r w:rsidRPr="005F0061">
              <w:t>ambrisentan</w:t>
            </w:r>
            <w:proofErr w:type="spellEnd"/>
            <w:r w:rsidRPr="005F0061">
              <w:t xml:space="preserve">, (b) </w:t>
            </w:r>
            <w:proofErr w:type="spellStart"/>
            <w:r w:rsidRPr="005F0061">
              <w:t>bosentan</w:t>
            </w:r>
            <w:proofErr w:type="spellEnd"/>
            <w:r w:rsidRPr="005F0061">
              <w:t xml:space="preserve">, (c) </w:t>
            </w:r>
            <w:proofErr w:type="spellStart"/>
            <w:r w:rsidRPr="005F0061">
              <w:t>macitentan</w:t>
            </w:r>
            <w:proofErr w:type="spellEnd"/>
            <w:r w:rsidRPr="005F0061">
              <w:t xml:space="preserve">; a phosphodiesterase-5 inhibitor is one of: (d) sildenafil, (e) </w:t>
            </w:r>
            <w:proofErr w:type="spellStart"/>
            <w:r w:rsidRPr="005F0061">
              <w:t>tadalafil</w:t>
            </w:r>
            <w:proofErr w:type="spellEnd"/>
            <w:r w:rsidRPr="005F0061">
              <w:t>.</w:t>
            </w:r>
            <w:r w:rsidR="003327A6" w:rsidRPr="005F0061">
              <w:br/>
            </w:r>
            <w:r w:rsidRPr="005F0061">
              <w:t>PBS-subsidy does not cover patients with pulmonary hypertension secondary to interstitial lung disease associated with connective tissue disease, where the total lung capacity is less than 70% of predicted.</w:t>
            </w:r>
            <w:r w:rsidR="003327A6" w:rsidRPr="005F0061">
              <w:br/>
            </w:r>
            <w:r w:rsidRPr="005F0061">
              <w:lastRenderedPageBreak/>
              <w:t>PAH (WHO Group 1 pulmonary hypertension) is defined as follows</w:t>
            </w:r>
            <w:proofErr w:type="gramStart"/>
            <w:r w:rsidRPr="005F0061">
              <w:t>:</w:t>
            </w:r>
            <w:proofErr w:type="gramEnd"/>
            <w:r w:rsidR="003327A6" w:rsidRPr="005F0061">
              <w:br/>
            </w:r>
            <w:r w:rsidRPr="005F0061">
              <w:t>(</w:t>
            </w:r>
            <w:proofErr w:type="spellStart"/>
            <w:r w:rsidRPr="005F0061">
              <w:t>i</w:t>
            </w:r>
            <w:proofErr w:type="spellEnd"/>
            <w:r w:rsidRPr="005F0061">
              <w:t>) mean pulmonary artery pressure (</w:t>
            </w:r>
            <w:proofErr w:type="spellStart"/>
            <w:r w:rsidRPr="005F0061">
              <w:t>mPAP</w:t>
            </w:r>
            <w:proofErr w:type="spellEnd"/>
            <w:r w:rsidRPr="005F0061">
              <w:t>) greater than or equal to 25 mmHg at rest and pulmonary artery wedge pressure (PAWP) less than or equal to 15 mmHg; or</w:t>
            </w:r>
            <w:r w:rsidR="003327A6" w:rsidRPr="005F0061">
              <w:br/>
            </w:r>
            <w:r w:rsidRPr="005F0061">
              <w:t>(ii) where a right heart catheter (RHC) cannot be performed on clinical grounds, right ventricular systolic pressure (RVSP), assessed by echocardiography (ECHO), greater than 40 mmHg, with normal left ventricular function.</w:t>
            </w:r>
            <w:r w:rsidR="003327A6" w:rsidRPr="005F0061">
              <w:br/>
            </w:r>
            <w:r w:rsidRPr="005F0061">
              <w:t>The results and date of the RHC, ECHO and 6 MWT as applicable must be included in the patient's medical record. Where a RHC cannot be performed on clinical grounds, the written confirmation of the reasons why must also be included in the patient's medical record.</w:t>
            </w:r>
            <w:r w:rsidR="003327A6" w:rsidRPr="005F0061">
              <w:br/>
            </w:r>
            <w:r w:rsidRPr="005F0061">
              <w:t>The maximum quantity authorised will be limited to provide sufficient supply for 1 month of treatment, based on the dosage recommendations in the TGA-approved Product Information.</w:t>
            </w:r>
            <w:r w:rsidR="003327A6" w:rsidRPr="005F0061">
              <w:br/>
            </w:r>
            <w:r w:rsidRPr="005F0061">
              <w:t>A maximum of 5 repeats may be requested.</w:t>
            </w:r>
          </w:p>
        </w:tc>
        <w:tc>
          <w:tcPr>
            <w:tcW w:w="2650" w:type="dxa"/>
            <w:shd w:val="clear" w:color="auto" w:fill="auto"/>
            <w:tcMar>
              <w:top w:w="28" w:type="dxa"/>
              <w:left w:w="28" w:type="dxa"/>
              <w:right w:w="57" w:type="dxa"/>
            </w:tcMar>
          </w:tcPr>
          <w:p w14:paraId="49C69524" w14:textId="2777F29B" w:rsidR="00790361" w:rsidRPr="005F0061" w:rsidRDefault="00790361" w:rsidP="00BE6C1F">
            <w:pPr>
              <w:pStyle w:val="Tabletext0"/>
              <w:rPr>
                <w:rFonts w:cs="Arial"/>
                <w:szCs w:val="16"/>
              </w:rPr>
            </w:pPr>
            <w:r w:rsidRPr="005F0061">
              <w:lastRenderedPageBreak/>
              <w:t>Compliance with Authority Required procedures</w:t>
            </w:r>
          </w:p>
        </w:tc>
      </w:tr>
      <w:tr w:rsidR="008A73CD" w:rsidRPr="005F0061" w14:paraId="3EB07EBF" w14:textId="77777777" w:rsidTr="00BE6C1F">
        <w:tc>
          <w:tcPr>
            <w:tcW w:w="1900" w:type="dxa"/>
            <w:shd w:val="clear" w:color="auto" w:fill="auto"/>
            <w:tcMar>
              <w:top w:w="28" w:type="dxa"/>
              <w:left w:w="28" w:type="dxa"/>
            </w:tcMar>
          </w:tcPr>
          <w:p w14:paraId="2D2DD427" w14:textId="77777777" w:rsidR="008A73CD" w:rsidRPr="005F0061" w:rsidRDefault="008A73CD" w:rsidP="00BE6C1F">
            <w:pPr>
              <w:pStyle w:val="Tabletext0"/>
              <w:tabs>
                <w:tab w:val="left" w:pos="958"/>
              </w:tabs>
              <w:rPr>
                <w:rFonts w:cs="Arial"/>
                <w:szCs w:val="16"/>
              </w:rPr>
            </w:pPr>
          </w:p>
        </w:tc>
        <w:tc>
          <w:tcPr>
            <w:tcW w:w="850" w:type="dxa"/>
            <w:shd w:val="clear" w:color="auto" w:fill="auto"/>
            <w:tcMar>
              <w:top w:w="28" w:type="dxa"/>
              <w:left w:w="28" w:type="dxa"/>
            </w:tcMar>
          </w:tcPr>
          <w:p w14:paraId="5230A778" w14:textId="22B62CD6" w:rsidR="008A73CD" w:rsidRPr="005F0061" w:rsidRDefault="008A73CD" w:rsidP="00BE6C1F">
            <w:pPr>
              <w:pStyle w:val="mps3-data"/>
              <w:rPr>
                <w:szCs w:val="16"/>
              </w:rPr>
            </w:pPr>
            <w:r w:rsidRPr="005F0061">
              <w:rPr>
                <w:szCs w:val="16"/>
              </w:rPr>
              <w:t xml:space="preserve">C11230 </w:t>
            </w:r>
          </w:p>
        </w:tc>
        <w:tc>
          <w:tcPr>
            <w:tcW w:w="850" w:type="dxa"/>
            <w:shd w:val="clear" w:color="auto" w:fill="auto"/>
            <w:tcMar>
              <w:top w:w="28" w:type="dxa"/>
              <w:left w:w="28" w:type="dxa"/>
            </w:tcMar>
          </w:tcPr>
          <w:p w14:paraId="2F95957D" w14:textId="77777777" w:rsidR="008A73CD" w:rsidRPr="005F0061" w:rsidDel="00E03489" w:rsidRDefault="008A73CD" w:rsidP="00BE6C1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1894AFA9" w14:textId="68ECC05A" w:rsidR="008A73CD" w:rsidRPr="005F0061" w:rsidRDefault="00790361" w:rsidP="00BE6C1F">
            <w:pPr>
              <w:pStyle w:val="mps3-data"/>
              <w:rPr>
                <w:szCs w:val="16"/>
              </w:rPr>
            </w:pPr>
            <w:r w:rsidRPr="005F0061">
              <w:t>Pulmonary arterial hypertension (PAH</w:t>
            </w:r>
            <w:proofErr w:type="gramStart"/>
            <w:r w:rsidRPr="005F0061">
              <w:t>)</w:t>
            </w:r>
            <w:proofErr w:type="gramEnd"/>
            <w:r w:rsidR="003327A6" w:rsidRPr="005F0061">
              <w:br/>
            </w:r>
            <w:r w:rsidRPr="005F0061">
              <w:t>Initial 3 (dual therapy - change)</w:t>
            </w:r>
            <w:r w:rsidR="003327A6" w:rsidRPr="005F0061">
              <w:br/>
            </w:r>
            <w:r w:rsidRPr="005F0061">
              <w:t>Patient must have had their most recent course of PBS-subsidised dual therapy with an endothelin receptor antagonist (ERA) and a phosphodiesterase-5 inhibitor (PDE-5i) other than this agent for this condition.</w:t>
            </w:r>
            <w:r w:rsidR="003327A6" w:rsidRPr="005F0061">
              <w:br/>
            </w:r>
            <w:r w:rsidRPr="005F0061">
              <w:t>Must be treated by a physician with expertise in the management of PAH, with this authority application to be completed by the physician with expertise in PAH.</w:t>
            </w:r>
            <w:r w:rsidR="003327A6" w:rsidRPr="005F0061">
              <w:br/>
            </w:r>
            <w:r w:rsidRPr="005F0061">
              <w:t xml:space="preserve">The term 'PAH agents' refers to </w:t>
            </w:r>
            <w:proofErr w:type="spellStart"/>
            <w:r w:rsidRPr="005F0061">
              <w:t>bosentan</w:t>
            </w:r>
            <w:proofErr w:type="spellEnd"/>
            <w:r w:rsidRPr="005F0061">
              <w:t xml:space="preserve"> monohydrate, </w:t>
            </w:r>
            <w:proofErr w:type="spellStart"/>
            <w:r w:rsidRPr="005F0061">
              <w:t>iloprost</w:t>
            </w:r>
            <w:proofErr w:type="spellEnd"/>
            <w:r w:rsidRPr="005F0061">
              <w:t xml:space="preserve"> trometamol, </w:t>
            </w:r>
            <w:proofErr w:type="spellStart"/>
            <w:r w:rsidRPr="005F0061">
              <w:t>epoprostenol</w:t>
            </w:r>
            <w:proofErr w:type="spellEnd"/>
            <w:r w:rsidRPr="005F0061">
              <w:t xml:space="preserve"> sodium, sildenafil citrate, </w:t>
            </w:r>
            <w:proofErr w:type="spellStart"/>
            <w:r w:rsidRPr="005F0061">
              <w:t>ambrisentan</w:t>
            </w:r>
            <w:proofErr w:type="spellEnd"/>
            <w:r w:rsidRPr="005F0061">
              <w:t xml:space="preserve">, </w:t>
            </w:r>
            <w:proofErr w:type="spellStart"/>
            <w:r w:rsidRPr="005F0061">
              <w:t>tadalafil</w:t>
            </w:r>
            <w:proofErr w:type="spellEnd"/>
            <w:r w:rsidRPr="005F0061">
              <w:t xml:space="preserve">, </w:t>
            </w:r>
            <w:proofErr w:type="spellStart"/>
            <w:r w:rsidRPr="005F0061">
              <w:t>macitentan</w:t>
            </w:r>
            <w:proofErr w:type="spellEnd"/>
            <w:r w:rsidRPr="005F0061">
              <w:t xml:space="preserve">, and </w:t>
            </w:r>
            <w:proofErr w:type="spellStart"/>
            <w:r w:rsidRPr="005F0061">
              <w:t>riociguat</w:t>
            </w:r>
            <w:proofErr w:type="spellEnd"/>
            <w:r w:rsidRPr="005F0061">
              <w:t>.</w:t>
            </w:r>
            <w:r w:rsidR="003327A6" w:rsidRPr="005F0061">
              <w:br/>
            </w:r>
            <w:r w:rsidRPr="005F0061">
              <w:t>For the purposes of PBS subsidy, dual therapy refers to combined use of an endothelin receptor antagonist (ERA) and a phosphodiesterase-5 inhibitor (PDE-5i).</w:t>
            </w:r>
            <w:r w:rsidR="003327A6" w:rsidRPr="005F0061">
              <w:br/>
            </w:r>
            <w:r w:rsidRPr="005F0061">
              <w:t>(</w:t>
            </w:r>
            <w:proofErr w:type="spellStart"/>
            <w:r w:rsidRPr="005F0061">
              <w:t>i</w:t>
            </w:r>
            <w:proofErr w:type="spellEnd"/>
            <w:r w:rsidRPr="005F0061">
              <w:t xml:space="preserve">) An ERA includes </w:t>
            </w:r>
            <w:proofErr w:type="spellStart"/>
            <w:r w:rsidRPr="005F0061">
              <w:t>ambrisentan</w:t>
            </w:r>
            <w:proofErr w:type="spellEnd"/>
            <w:r w:rsidRPr="005F0061">
              <w:t xml:space="preserve">, </w:t>
            </w:r>
            <w:proofErr w:type="spellStart"/>
            <w:r w:rsidRPr="005F0061">
              <w:t>bosentan</w:t>
            </w:r>
            <w:proofErr w:type="spellEnd"/>
            <w:r w:rsidRPr="005F0061">
              <w:t xml:space="preserve"> monohydrate, or </w:t>
            </w:r>
            <w:proofErr w:type="spellStart"/>
            <w:r w:rsidRPr="005F0061">
              <w:t>macitentan</w:t>
            </w:r>
            <w:proofErr w:type="spellEnd"/>
            <w:r w:rsidRPr="005F0061">
              <w:t>.</w:t>
            </w:r>
            <w:r w:rsidR="003327A6" w:rsidRPr="005F0061">
              <w:br/>
            </w:r>
            <w:r w:rsidRPr="005F0061">
              <w:t xml:space="preserve">(ii) A PDE-5i includes sildenafil citrate, or </w:t>
            </w:r>
            <w:proofErr w:type="spellStart"/>
            <w:r w:rsidRPr="005F0061">
              <w:t>tadalafil</w:t>
            </w:r>
            <w:proofErr w:type="spellEnd"/>
            <w:r w:rsidRPr="005F0061">
              <w:t>.</w:t>
            </w:r>
            <w:r w:rsidR="003327A6" w:rsidRPr="005F0061">
              <w:br/>
            </w:r>
            <w:r w:rsidRPr="005F0061">
              <w:t>PAH agents are not PBS-subsidised for patients with pulmonary hypertension secondary to interstitial lung disease associated with connective tissue disease, where the total lung capacity is less than 70% of predicted.</w:t>
            </w:r>
            <w:r w:rsidR="003327A6" w:rsidRPr="005F0061">
              <w:br/>
            </w:r>
            <w:r w:rsidRPr="005F0061">
              <w:t>Swapping between PAH agents: Patients can access PAH agents through the PBS according to the relevant restrictions.</w:t>
            </w:r>
            <w:r w:rsidR="003327A6" w:rsidRPr="005F0061">
              <w:br/>
            </w:r>
            <w:r w:rsidRPr="005F0061">
              <w:t>Once patients are approved dual therapy with a PAH agent from the PDE-5i class; or a PAH agent from the ERA class, they may swap between PAH agents within the same class. This means that patients may commence treatment with another PAH agent in the same class, subject to that agent's restriction, irrespective of the severity of their disease at the time the application to swap therapy is submitted.</w:t>
            </w:r>
            <w:r w:rsidR="003327A6" w:rsidRPr="005F0061">
              <w:br/>
            </w:r>
            <w:r w:rsidRPr="005F0061">
              <w:t>Applications to swap within a PAH agent class must be made under the relevant initial treatment restriction.</w:t>
            </w:r>
            <w:r w:rsidR="003327A6" w:rsidRPr="005F0061">
              <w:br/>
            </w:r>
            <w:r w:rsidRPr="005F0061">
              <w:t>The maximum quantity authorised will be limited to provide sufficient supply for 1 month of treatment, based on the dosage recommendations in the TGA-approved Product Information.</w:t>
            </w:r>
            <w:r w:rsidR="003327A6" w:rsidRPr="005F0061">
              <w:br/>
            </w:r>
            <w:r w:rsidRPr="005F0061">
              <w:t>A maximum of 5 repeats may be requested.</w:t>
            </w:r>
          </w:p>
        </w:tc>
        <w:tc>
          <w:tcPr>
            <w:tcW w:w="2650" w:type="dxa"/>
            <w:shd w:val="clear" w:color="auto" w:fill="auto"/>
            <w:tcMar>
              <w:top w:w="28" w:type="dxa"/>
              <w:left w:w="28" w:type="dxa"/>
              <w:right w:w="57" w:type="dxa"/>
            </w:tcMar>
          </w:tcPr>
          <w:p w14:paraId="1B23924E" w14:textId="74A20ECC" w:rsidR="008A73CD" w:rsidRPr="005F0061" w:rsidRDefault="008A73CD" w:rsidP="00BE6C1F">
            <w:pPr>
              <w:pStyle w:val="Tabletext0"/>
              <w:rPr>
                <w:rFonts w:cs="Arial"/>
                <w:szCs w:val="16"/>
              </w:rPr>
            </w:pPr>
            <w:r w:rsidRPr="005F0061">
              <w:t>Compliance with Authority Required procedures</w:t>
            </w:r>
          </w:p>
        </w:tc>
      </w:tr>
      <w:tr w:rsidR="00790361" w:rsidRPr="005F0061" w14:paraId="0AFA679E" w14:textId="77777777" w:rsidTr="00BE6C1F">
        <w:tc>
          <w:tcPr>
            <w:tcW w:w="1900" w:type="dxa"/>
            <w:shd w:val="clear" w:color="auto" w:fill="auto"/>
            <w:tcMar>
              <w:top w:w="28" w:type="dxa"/>
              <w:left w:w="28" w:type="dxa"/>
            </w:tcMar>
          </w:tcPr>
          <w:p w14:paraId="5A58E24A" w14:textId="77777777" w:rsidR="00790361" w:rsidRPr="005F0061" w:rsidRDefault="00790361" w:rsidP="00BE6C1F">
            <w:pPr>
              <w:pStyle w:val="Tabletext0"/>
              <w:tabs>
                <w:tab w:val="left" w:pos="958"/>
              </w:tabs>
              <w:rPr>
                <w:rFonts w:cs="Arial"/>
                <w:szCs w:val="16"/>
              </w:rPr>
            </w:pPr>
          </w:p>
        </w:tc>
        <w:tc>
          <w:tcPr>
            <w:tcW w:w="850" w:type="dxa"/>
            <w:shd w:val="clear" w:color="auto" w:fill="auto"/>
            <w:tcMar>
              <w:top w:w="28" w:type="dxa"/>
              <w:left w:w="28" w:type="dxa"/>
            </w:tcMar>
          </w:tcPr>
          <w:p w14:paraId="1EEE216D" w14:textId="41E2C51D" w:rsidR="00790361" w:rsidRPr="005F0061" w:rsidRDefault="00790361" w:rsidP="00BE6C1F">
            <w:pPr>
              <w:pStyle w:val="mps3-data"/>
              <w:rPr>
                <w:szCs w:val="16"/>
              </w:rPr>
            </w:pPr>
            <w:r w:rsidRPr="005F0061">
              <w:rPr>
                <w:szCs w:val="16"/>
              </w:rPr>
              <w:t xml:space="preserve">C11280 </w:t>
            </w:r>
          </w:p>
        </w:tc>
        <w:tc>
          <w:tcPr>
            <w:tcW w:w="850" w:type="dxa"/>
            <w:shd w:val="clear" w:color="auto" w:fill="auto"/>
            <w:tcMar>
              <w:top w:w="28" w:type="dxa"/>
              <w:left w:w="28" w:type="dxa"/>
            </w:tcMar>
          </w:tcPr>
          <w:p w14:paraId="308525B2" w14:textId="77777777" w:rsidR="00790361" w:rsidRPr="005F0061" w:rsidDel="00E03489" w:rsidRDefault="00790361" w:rsidP="00BE6C1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7F03E1FF" w14:textId="7FCF52CA" w:rsidR="00790361" w:rsidRPr="005F0061" w:rsidRDefault="00790361" w:rsidP="00BE6C1F">
            <w:pPr>
              <w:pStyle w:val="mps3-data"/>
              <w:rPr>
                <w:szCs w:val="16"/>
              </w:rPr>
            </w:pPr>
            <w:r w:rsidRPr="005F0061">
              <w:t>Pulmonary arterial hypertension (PAH</w:t>
            </w:r>
            <w:proofErr w:type="gramStart"/>
            <w:r w:rsidRPr="005F0061">
              <w:t>)</w:t>
            </w:r>
            <w:proofErr w:type="gramEnd"/>
            <w:r w:rsidR="003327A6" w:rsidRPr="005F0061">
              <w:br/>
            </w:r>
            <w:r w:rsidRPr="005F0061">
              <w:t>Continuing treatment (dual therapy)</w:t>
            </w:r>
            <w:r w:rsidR="003327A6" w:rsidRPr="005F0061">
              <w:br/>
            </w:r>
            <w:r w:rsidRPr="005F0061">
              <w:t>Patient must have received their most recent course of PBS-subsidised treatment with this PAH agent and an endothelin receptor antagonist (ERA) for this condition.</w:t>
            </w:r>
            <w:r w:rsidR="003327A6" w:rsidRPr="005F0061">
              <w:br/>
            </w:r>
            <w:r w:rsidRPr="005F0061">
              <w:t>Must be treated by a physician with expertise in the management of PAH, with this authority application to be completed by the physician with expertise in PAH.</w:t>
            </w:r>
            <w:r w:rsidR="003327A6" w:rsidRPr="005F0061">
              <w:br/>
            </w:r>
            <w:r w:rsidRPr="005F0061">
              <w:t xml:space="preserve">The term 'PAH agents' refers to </w:t>
            </w:r>
            <w:proofErr w:type="spellStart"/>
            <w:r w:rsidRPr="005F0061">
              <w:t>bosentan</w:t>
            </w:r>
            <w:proofErr w:type="spellEnd"/>
            <w:r w:rsidRPr="005F0061">
              <w:t xml:space="preserve"> monohydrate, </w:t>
            </w:r>
            <w:proofErr w:type="spellStart"/>
            <w:r w:rsidRPr="005F0061">
              <w:t>iloprost</w:t>
            </w:r>
            <w:proofErr w:type="spellEnd"/>
            <w:r w:rsidRPr="005F0061">
              <w:t xml:space="preserve"> trometamol, </w:t>
            </w:r>
            <w:proofErr w:type="spellStart"/>
            <w:r w:rsidRPr="005F0061">
              <w:t>epoprostenol</w:t>
            </w:r>
            <w:proofErr w:type="spellEnd"/>
            <w:r w:rsidRPr="005F0061">
              <w:t xml:space="preserve"> sodium, sildenafil citrate, </w:t>
            </w:r>
            <w:proofErr w:type="spellStart"/>
            <w:r w:rsidRPr="005F0061">
              <w:t>ambrisentan</w:t>
            </w:r>
            <w:proofErr w:type="spellEnd"/>
            <w:r w:rsidRPr="005F0061">
              <w:t xml:space="preserve">, </w:t>
            </w:r>
            <w:proofErr w:type="spellStart"/>
            <w:r w:rsidRPr="005F0061">
              <w:t>tadalafil</w:t>
            </w:r>
            <w:proofErr w:type="spellEnd"/>
            <w:r w:rsidRPr="005F0061">
              <w:t xml:space="preserve">, </w:t>
            </w:r>
            <w:proofErr w:type="spellStart"/>
            <w:r w:rsidRPr="005F0061">
              <w:t>macitentan</w:t>
            </w:r>
            <w:proofErr w:type="spellEnd"/>
            <w:r w:rsidRPr="005F0061">
              <w:t xml:space="preserve">, and </w:t>
            </w:r>
            <w:proofErr w:type="spellStart"/>
            <w:r w:rsidRPr="005F0061">
              <w:t>riociguat</w:t>
            </w:r>
            <w:proofErr w:type="spellEnd"/>
            <w:r w:rsidRPr="005F0061">
              <w:t>.</w:t>
            </w:r>
            <w:r w:rsidR="003327A6" w:rsidRPr="005F0061">
              <w:br/>
            </w:r>
            <w:r w:rsidRPr="005F0061">
              <w:t>For the purposes of PBS subsidy, dual therapy refers to combined use of an endothelin receptor antagonist (ERA) and a phosphodiesterase-5 inhibitor (PDE-5i).</w:t>
            </w:r>
            <w:r w:rsidR="003327A6" w:rsidRPr="005F0061">
              <w:br/>
            </w:r>
            <w:r w:rsidRPr="005F0061">
              <w:t>(</w:t>
            </w:r>
            <w:proofErr w:type="spellStart"/>
            <w:r w:rsidRPr="005F0061">
              <w:t>i</w:t>
            </w:r>
            <w:proofErr w:type="spellEnd"/>
            <w:r w:rsidRPr="005F0061">
              <w:t xml:space="preserve">) An ERA includes </w:t>
            </w:r>
            <w:proofErr w:type="spellStart"/>
            <w:r w:rsidRPr="005F0061">
              <w:t>ambrisentan</w:t>
            </w:r>
            <w:proofErr w:type="spellEnd"/>
            <w:r w:rsidRPr="005F0061">
              <w:t xml:space="preserve">, </w:t>
            </w:r>
            <w:proofErr w:type="spellStart"/>
            <w:r w:rsidRPr="005F0061">
              <w:t>bosentan</w:t>
            </w:r>
            <w:proofErr w:type="spellEnd"/>
            <w:r w:rsidRPr="005F0061">
              <w:t xml:space="preserve"> monohydrate, or </w:t>
            </w:r>
            <w:proofErr w:type="spellStart"/>
            <w:r w:rsidRPr="005F0061">
              <w:t>macitentan</w:t>
            </w:r>
            <w:proofErr w:type="spellEnd"/>
            <w:r w:rsidRPr="005F0061">
              <w:t>.</w:t>
            </w:r>
            <w:r w:rsidR="003327A6" w:rsidRPr="005F0061">
              <w:br/>
            </w:r>
            <w:r w:rsidRPr="005F0061">
              <w:t xml:space="preserve">(ii) A PDE-5i includes sildenafil citrate, or </w:t>
            </w:r>
            <w:proofErr w:type="spellStart"/>
            <w:r w:rsidRPr="005F0061">
              <w:t>tadalafil</w:t>
            </w:r>
            <w:proofErr w:type="spellEnd"/>
            <w:r w:rsidRPr="005F0061">
              <w:t>.</w:t>
            </w:r>
            <w:r w:rsidR="003327A6" w:rsidRPr="005F0061">
              <w:br/>
            </w:r>
            <w:r w:rsidRPr="005F0061">
              <w:lastRenderedPageBreak/>
              <w:t>PAH agents are not PBS-subsidised for patients with pulmonary hypertension secondary to interstitial lung disease associated with connective tissue disease, where the total lung capacity is less than 70% of predicted.</w:t>
            </w:r>
            <w:r w:rsidR="003327A6" w:rsidRPr="005F0061">
              <w:br/>
            </w:r>
            <w:r w:rsidRPr="005F0061">
              <w:t>The maximum quantity authorised will be limited to provide sufficient supply for 1 month of treatment, based on the dosage recommendations in the TGA-approved Product Information.</w:t>
            </w:r>
            <w:r w:rsidR="003327A6" w:rsidRPr="005F0061">
              <w:br/>
            </w:r>
            <w:r w:rsidRPr="005F0061">
              <w:t>A maximum of 5 repeats may be requested.</w:t>
            </w:r>
          </w:p>
        </w:tc>
        <w:tc>
          <w:tcPr>
            <w:tcW w:w="2650" w:type="dxa"/>
            <w:shd w:val="clear" w:color="auto" w:fill="auto"/>
            <w:tcMar>
              <w:top w:w="28" w:type="dxa"/>
              <w:left w:w="28" w:type="dxa"/>
              <w:right w:w="57" w:type="dxa"/>
            </w:tcMar>
          </w:tcPr>
          <w:p w14:paraId="5301E6A7" w14:textId="2172DEF4" w:rsidR="00790361" w:rsidRPr="005F0061" w:rsidRDefault="00790361" w:rsidP="00BE6C1F">
            <w:pPr>
              <w:pStyle w:val="Tabletext0"/>
              <w:rPr>
                <w:rFonts w:cs="Arial"/>
                <w:szCs w:val="16"/>
              </w:rPr>
            </w:pPr>
            <w:r w:rsidRPr="005F0061">
              <w:lastRenderedPageBreak/>
              <w:t>Compliance with Authority Required procedures</w:t>
            </w:r>
          </w:p>
        </w:tc>
      </w:tr>
      <w:tr w:rsidR="00790361" w:rsidRPr="005F0061" w14:paraId="43E149EE" w14:textId="77777777" w:rsidTr="00BE6C1F">
        <w:tc>
          <w:tcPr>
            <w:tcW w:w="1900" w:type="dxa"/>
            <w:shd w:val="clear" w:color="auto" w:fill="auto"/>
            <w:tcMar>
              <w:top w:w="28" w:type="dxa"/>
              <w:left w:w="28" w:type="dxa"/>
            </w:tcMar>
          </w:tcPr>
          <w:p w14:paraId="05DDF017" w14:textId="77777777" w:rsidR="00790361" w:rsidRPr="005F0061" w:rsidRDefault="00790361" w:rsidP="00BE6C1F">
            <w:pPr>
              <w:pStyle w:val="Tabletext0"/>
              <w:tabs>
                <w:tab w:val="left" w:pos="958"/>
              </w:tabs>
              <w:rPr>
                <w:rFonts w:cs="Arial"/>
                <w:szCs w:val="16"/>
              </w:rPr>
            </w:pPr>
          </w:p>
        </w:tc>
        <w:tc>
          <w:tcPr>
            <w:tcW w:w="850" w:type="dxa"/>
            <w:shd w:val="clear" w:color="auto" w:fill="auto"/>
            <w:tcMar>
              <w:top w:w="28" w:type="dxa"/>
              <w:left w:w="28" w:type="dxa"/>
            </w:tcMar>
          </w:tcPr>
          <w:p w14:paraId="2E505FA6" w14:textId="33B0CC4B" w:rsidR="00790361" w:rsidRPr="005F0061" w:rsidRDefault="00790361" w:rsidP="00BE6C1F">
            <w:pPr>
              <w:pStyle w:val="mps3-data"/>
              <w:rPr>
                <w:szCs w:val="16"/>
              </w:rPr>
            </w:pPr>
            <w:r w:rsidRPr="005F0061">
              <w:rPr>
                <w:szCs w:val="16"/>
              </w:rPr>
              <w:t xml:space="preserve">C11281 </w:t>
            </w:r>
          </w:p>
        </w:tc>
        <w:tc>
          <w:tcPr>
            <w:tcW w:w="850" w:type="dxa"/>
            <w:shd w:val="clear" w:color="auto" w:fill="auto"/>
            <w:tcMar>
              <w:top w:w="28" w:type="dxa"/>
              <w:left w:w="28" w:type="dxa"/>
            </w:tcMar>
          </w:tcPr>
          <w:p w14:paraId="5C722D1C" w14:textId="77777777" w:rsidR="00790361" w:rsidRPr="005F0061" w:rsidDel="00E03489" w:rsidRDefault="00790361" w:rsidP="00BE6C1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233961CB" w14:textId="1F178360" w:rsidR="00790361" w:rsidRPr="005F0061" w:rsidRDefault="00790361" w:rsidP="00BE6C1F">
            <w:pPr>
              <w:pStyle w:val="mps3-data"/>
              <w:rPr>
                <w:szCs w:val="16"/>
              </w:rPr>
            </w:pPr>
            <w:r w:rsidRPr="005F0061">
              <w:t>Pulmonary arterial hypertension (PAH)</w:t>
            </w:r>
            <w:r w:rsidR="003327A6" w:rsidRPr="005F0061">
              <w:br/>
            </w:r>
            <w:r w:rsidRPr="005F0061">
              <w:t>Grandfathered patients (dual therapy)</w:t>
            </w:r>
            <w:r w:rsidR="003327A6" w:rsidRPr="005F0061">
              <w:br/>
            </w:r>
            <w:r w:rsidRPr="005F0061">
              <w:t>Patient must be receiving dual therapy with this non PBS-subsidised pulmonary arterial hypertension (PAH) agent and a non PBS-subsidised endothelin receptor antagonist (ERA) for this condition prior to 1 October 2020.</w:t>
            </w:r>
            <w:r w:rsidR="003327A6" w:rsidRPr="005F0061">
              <w:br/>
            </w:r>
            <w:r w:rsidRPr="005F0061">
              <w:t>Must be treated by a physician with expertise in the management of PAH, with this authority application to be completed by the physician with expertise in PAH.</w:t>
            </w:r>
            <w:r w:rsidR="003327A6" w:rsidRPr="005F0061">
              <w:br/>
            </w:r>
            <w:r w:rsidRPr="005F0061">
              <w:t>Patient must have documented WHO Functional Class III PAH or WHO Functional Class IV PAH.</w:t>
            </w:r>
            <w:r w:rsidR="003327A6" w:rsidRPr="005F0061">
              <w:br/>
            </w:r>
            <w:r w:rsidRPr="005F0061">
              <w:t xml:space="preserve">The term 'PAH agents' refers to </w:t>
            </w:r>
            <w:proofErr w:type="spellStart"/>
            <w:r w:rsidRPr="005F0061">
              <w:t>bosentan</w:t>
            </w:r>
            <w:proofErr w:type="spellEnd"/>
            <w:r w:rsidRPr="005F0061">
              <w:t xml:space="preserve"> monohydrate, </w:t>
            </w:r>
            <w:proofErr w:type="spellStart"/>
            <w:r w:rsidRPr="005F0061">
              <w:t>iloprost</w:t>
            </w:r>
            <w:proofErr w:type="spellEnd"/>
            <w:r w:rsidRPr="005F0061">
              <w:t xml:space="preserve"> trometamol, </w:t>
            </w:r>
            <w:proofErr w:type="spellStart"/>
            <w:r w:rsidRPr="005F0061">
              <w:t>epoprostenol</w:t>
            </w:r>
            <w:proofErr w:type="spellEnd"/>
            <w:r w:rsidRPr="005F0061">
              <w:t xml:space="preserve"> sodium, sildenafil citrate, </w:t>
            </w:r>
            <w:proofErr w:type="spellStart"/>
            <w:r w:rsidRPr="005F0061">
              <w:t>ambrisentan</w:t>
            </w:r>
            <w:proofErr w:type="spellEnd"/>
            <w:r w:rsidRPr="005F0061">
              <w:t xml:space="preserve">, </w:t>
            </w:r>
            <w:proofErr w:type="spellStart"/>
            <w:r w:rsidRPr="005F0061">
              <w:t>tadalafil</w:t>
            </w:r>
            <w:proofErr w:type="spellEnd"/>
            <w:r w:rsidRPr="005F0061">
              <w:t xml:space="preserve">, </w:t>
            </w:r>
            <w:proofErr w:type="spellStart"/>
            <w:r w:rsidRPr="005F0061">
              <w:t>macitentan</w:t>
            </w:r>
            <w:proofErr w:type="spellEnd"/>
            <w:r w:rsidRPr="005F0061">
              <w:t xml:space="preserve">, and </w:t>
            </w:r>
            <w:proofErr w:type="spellStart"/>
            <w:r w:rsidRPr="005F0061">
              <w:t>riociguat</w:t>
            </w:r>
            <w:proofErr w:type="spellEnd"/>
            <w:r w:rsidRPr="005F0061">
              <w:t>.</w:t>
            </w:r>
            <w:r w:rsidR="003327A6" w:rsidRPr="005F0061">
              <w:br/>
            </w:r>
            <w:r w:rsidRPr="005F0061">
              <w:t>For the purposes of PBS subsidy, dual therapy refers to combined use of an endothelin receptor antagonist (ERA) and a phosphodiesterase-5 inhibitor (PDE-5i).</w:t>
            </w:r>
            <w:r w:rsidR="003327A6" w:rsidRPr="005F0061">
              <w:br/>
            </w:r>
            <w:r w:rsidRPr="005F0061">
              <w:t>(</w:t>
            </w:r>
            <w:proofErr w:type="spellStart"/>
            <w:r w:rsidRPr="005F0061">
              <w:t>i</w:t>
            </w:r>
            <w:proofErr w:type="spellEnd"/>
            <w:r w:rsidRPr="005F0061">
              <w:t xml:space="preserve">) An ERA includes </w:t>
            </w:r>
            <w:proofErr w:type="spellStart"/>
            <w:r w:rsidRPr="005F0061">
              <w:t>ambrisentan</w:t>
            </w:r>
            <w:proofErr w:type="spellEnd"/>
            <w:r w:rsidRPr="005F0061">
              <w:t xml:space="preserve">, </w:t>
            </w:r>
            <w:proofErr w:type="spellStart"/>
            <w:r w:rsidRPr="005F0061">
              <w:t>bosentan</w:t>
            </w:r>
            <w:proofErr w:type="spellEnd"/>
            <w:r w:rsidRPr="005F0061">
              <w:t xml:space="preserve"> monohydrate, or </w:t>
            </w:r>
            <w:proofErr w:type="spellStart"/>
            <w:r w:rsidRPr="005F0061">
              <w:t>macitentan</w:t>
            </w:r>
            <w:proofErr w:type="spellEnd"/>
            <w:r w:rsidRPr="005F0061">
              <w:t>.</w:t>
            </w:r>
            <w:r w:rsidR="003327A6" w:rsidRPr="005F0061">
              <w:br/>
            </w:r>
            <w:r w:rsidRPr="005F0061">
              <w:t xml:space="preserve">(ii) A PDE-5i includes sildenafil citrate, or </w:t>
            </w:r>
            <w:proofErr w:type="spellStart"/>
            <w:r w:rsidRPr="005F0061">
              <w:t>tadalafil</w:t>
            </w:r>
            <w:proofErr w:type="spellEnd"/>
            <w:r w:rsidRPr="005F0061">
              <w:t>.</w:t>
            </w:r>
            <w:r w:rsidR="003327A6" w:rsidRPr="005F0061">
              <w:br/>
            </w:r>
            <w:r w:rsidRPr="005F0061">
              <w:t>PAH agents are not PBS-subsidised for patients with pulmonary hypertension secondary to interstitial lung disease associated with connective tissue disease, where the total lung capacity is less than 70% of predicted.</w:t>
            </w:r>
            <w:r w:rsidR="003327A6" w:rsidRPr="005F0061">
              <w:br/>
            </w:r>
            <w:r w:rsidRPr="005F0061">
              <w:t>PAH (WHO Group 1 pulmonary hypertension) is defined as follows</w:t>
            </w:r>
            <w:proofErr w:type="gramStart"/>
            <w:r w:rsidRPr="005F0061">
              <w:t>:</w:t>
            </w:r>
            <w:proofErr w:type="gramEnd"/>
            <w:r w:rsidR="003327A6" w:rsidRPr="005F0061">
              <w:br/>
            </w:r>
            <w:r w:rsidRPr="005F0061">
              <w:t>(</w:t>
            </w:r>
            <w:proofErr w:type="spellStart"/>
            <w:r w:rsidRPr="005F0061">
              <w:t>i</w:t>
            </w:r>
            <w:proofErr w:type="spellEnd"/>
            <w:r w:rsidRPr="005F0061">
              <w:t>) mean pulmonary artery pressure (</w:t>
            </w:r>
            <w:proofErr w:type="spellStart"/>
            <w:r w:rsidRPr="005F0061">
              <w:t>mPAP</w:t>
            </w:r>
            <w:proofErr w:type="spellEnd"/>
            <w:r w:rsidRPr="005F0061">
              <w:t>) greater than or equal to 25 mmHg at rest and pulmonary artery wedge pressure (PAWP) less than or equal to 15 mmHg; or</w:t>
            </w:r>
            <w:r w:rsidR="003327A6" w:rsidRPr="005F0061">
              <w:br/>
            </w:r>
            <w:r w:rsidRPr="005F0061">
              <w:t>(ii) where a right heart catheter (RHC) cannot be performed on clinical grounds, right ventricular systolic pressure (RVSP), assessed by echocardiography (ECHO), greater than 40 mmHg, with normal left ventricular function.</w:t>
            </w:r>
            <w:r w:rsidR="003327A6" w:rsidRPr="005F0061">
              <w:br/>
            </w:r>
            <w:r w:rsidRPr="005F0061">
              <w:t>Applications for authorisation must be in writing and must include:</w:t>
            </w:r>
            <w:r w:rsidR="003327A6" w:rsidRPr="005F0061">
              <w:br/>
            </w:r>
            <w:r w:rsidRPr="005F0061">
              <w:t>(1) a completed authority prescription form; and</w:t>
            </w:r>
            <w:r w:rsidR="003327A6" w:rsidRPr="005F0061">
              <w:br/>
            </w:r>
            <w:r w:rsidRPr="005F0061">
              <w:t>(2) a completed Pulmonary Arterial Hypertension PBS Authority Application - Supporting Information form which includes results from the three tests below, where available:</w:t>
            </w:r>
            <w:r w:rsidR="003327A6" w:rsidRPr="005F0061">
              <w:br/>
            </w:r>
            <w:r w:rsidRPr="005F0061">
              <w:t>(</w:t>
            </w:r>
            <w:proofErr w:type="spellStart"/>
            <w:r w:rsidRPr="005F0061">
              <w:t>i</w:t>
            </w:r>
            <w:proofErr w:type="spellEnd"/>
            <w:r w:rsidRPr="005F0061">
              <w:t>) RHC composite assessment; and</w:t>
            </w:r>
            <w:r w:rsidR="003327A6" w:rsidRPr="005F0061">
              <w:br/>
            </w:r>
            <w:r w:rsidRPr="005F0061">
              <w:t>(ii) ECHO composite assessment; and</w:t>
            </w:r>
            <w:r w:rsidR="003327A6" w:rsidRPr="005F0061">
              <w:br/>
            </w:r>
            <w:r w:rsidRPr="005F0061">
              <w:t>(iii) 6 Minute Walk Test (6MWT).</w:t>
            </w:r>
            <w:r w:rsidR="003327A6" w:rsidRPr="005F0061">
              <w:br/>
            </w:r>
            <w:r w:rsidRPr="005F0061">
              <w:t>Where it was not possible to perform all 3 tests on clinical grounds, the following list outlines the preferred test combination, in descending order, for the purposes of initiation of PBS-subsidised treatment:</w:t>
            </w:r>
            <w:r w:rsidR="003327A6" w:rsidRPr="005F0061">
              <w:br/>
            </w:r>
            <w:r w:rsidRPr="005F0061">
              <w:t>(1) RHC plus ECHO composite assessments;</w:t>
            </w:r>
            <w:r w:rsidR="003327A6" w:rsidRPr="005F0061">
              <w:br/>
            </w:r>
            <w:r w:rsidRPr="005F0061">
              <w:t>(2) RHC composite assessment plus 6MWT;</w:t>
            </w:r>
            <w:r w:rsidR="003327A6" w:rsidRPr="005F0061">
              <w:br/>
            </w:r>
            <w:r w:rsidRPr="005F0061">
              <w:t>(3) RHC composite assessment only.</w:t>
            </w:r>
            <w:r w:rsidR="003327A6" w:rsidRPr="005F0061">
              <w:br/>
            </w:r>
            <w:r w:rsidRPr="005F0061">
              <w:t>In circumstances where a RHC could not be performed on clinical grounds, applications may be submitted for consideration based on the results of the following test combinations, which are listed in descending order of preference</w:t>
            </w:r>
            <w:proofErr w:type="gramStart"/>
            <w:r w:rsidRPr="005F0061">
              <w:t>:</w:t>
            </w:r>
            <w:proofErr w:type="gramEnd"/>
            <w:r w:rsidR="003327A6" w:rsidRPr="005F0061">
              <w:br/>
            </w:r>
            <w:r w:rsidRPr="005F0061">
              <w:t>(1) ECHO composite assessment plus 6MWT;</w:t>
            </w:r>
            <w:r w:rsidR="003327A6" w:rsidRPr="005F0061">
              <w:br/>
            </w:r>
            <w:r w:rsidRPr="005F0061">
              <w:t>(2) ECHO composite assessment only.</w:t>
            </w:r>
            <w:r w:rsidR="003327A6" w:rsidRPr="005F0061">
              <w:br/>
            </w:r>
            <w:r w:rsidRPr="005F0061">
              <w:t>Where fewer than 3 tests were able to be performed on clinical grounds, a patient specific reason outlining why the particular test(s) could not be conducted must be provided with the authority application.</w:t>
            </w:r>
            <w:r w:rsidR="003327A6" w:rsidRPr="005F0061">
              <w:br/>
            </w:r>
            <w:r w:rsidRPr="005F0061">
              <w:t xml:space="preserve">Where a RHC could not be performed on clinical grounds, confirmation of the reason(s) must be provided with the authority application by a second PAH physician or cardiologist with expertise in the management </w:t>
            </w:r>
            <w:r w:rsidRPr="005F0061">
              <w:lastRenderedPageBreak/>
              <w:t>of PAH.</w:t>
            </w:r>
            <w:r w:rsidR="003327A6" w:rsidRPr="005F0061">
              <w:br/>
            </w:r>
            <w:r w:rsidRPr="005F0061">
              <w:t>A patient may qualify for PBS-subsidised treatment under this restriction once only. For continuing PBS-subsidised treatment, a Grandfathered patient must qualify under the Continuing treatment criteria for dual therapy for this condition.</w:t>
            </w:r>
            <w:r w:rsidR="003327A6" w:rsidRPr="005F0061">
              <w:br/>
            </w:r>
            <w:r w:rsidRPr="005F0061">
              <w:t>The maximum quantity authorised will be limited to provide sufficient supply for 1 month of treatment, based on the dosage recommendations in the TGA-approved Product Information.</w:t>
            </w:r>
            <w:r w:rsidR="003327A6" w:rsidRPr="005F0061">
              <w:br/>
            </w:r>
            <w:r w:rsidRPr="005F0061">
              <w:t>A maximum of 5 repeats may be requested.</w:t>
            </w:r>
          </w:p>
        </w:tc>
        <w:tc>
          <w:tcPr>
            <w:tcW w:w="2650" w:type="dxa"/>
            <w:shd w:val="clear" w:color="auto" w:fill="auto"/>
            <w:tcMar>
              <w:top w:w="28" w:type="dxa"/>
              <w:left w:w="28" w:type="dxa"/>
              <w:right w:w="57" w:type="dxa"/>
            </w:tcMar>
          </w:tcPr>
          <w:p w14:paraId="6B695B52" w14:textId="35C2F9DE" w:rsidR="00790361" w:rsidRPr="005F0061" w:rsidRDefault="00790361" w:rsidP="00BE6C1F">
            <w:pPr>
              <w:pStyle w:val="Tabletext0"/>
              <w:rPr>
                <w:rFonts w:cs="Arial"/>
                <w:szCs w:val="16"/>
              </w:rPr>
            </w:pPr>
            <w:r w:rsidRPr="005F0061">
              <w:lastRenderedPageBreak/>
              <w:t>Compliance with Written Authority Required procedures</w:t>
            </w:r>
          </w:p>
        </w:tc>
      </w:tr>
      <w:tr w:rsidR="00790361" w:rsidRPr="005F0061" w14:paraId="70F39AD5" w14:textId="77777777" w:rsidTr="00BE6C1F">
        <w:tc>
          <w:tcPr>
            <w:tcW w:w="1900" w:type="dxa"/>
            <w:shd w:val="clear" w:color="auto" w:fill="auto"/>
            <w:tcMar>
              <w:top w:w="28" w:type="dxa"/>
              <w:left w:w="28" w:type="dxa"/>
            </w:tcMar>
          </w:tcPr>
          <w:p w14:paraId="03AAC15F" w14:textId="77777777" w:rsidR="00790361" w:rsidRPr="005F0061" w:rsidRDefault="00790361" w:rsidP="00BE6C1F">
            <w:pPr>
              <w:pStyle w:val="Tabletext0"/>
              <w:tabs>
                <w:tab w:val="left" w:pos="958"/>
              </w:tabs>
              <w:rPr>
                <w:rFonts w:cs="Arial"/>
                <w:szCs w:val="16"/>
              </w:rPr>
            </w:pPr>
          </w:p>
        </w:tc>
        <w:tc>
          <w:tcPr>
            <w:tcW w:w="850" w:type="dxa"/>
            <w:shd w:val="clear" w:color="auto" w:fill="auto"/>
            <w:tcMar>
              <w:top w:w="28" w:type="dxa"/>
              <w:left w:w="28" w:type="dxa"/>
            </w:tcMar>
          </w:tcPr>
          <w:p w14:paraId="48C8F935" w14:textId="3A1A327D" w:rsidR="00790361" w:rsidRPr="005F0061" w:rsidRDefault="00790361" w:rsidP="00BE6C1F">
            <w:pPr>
              <w:pStyle w:val="mps3-data"/>
              <w:rPr>
                <w:szCs w:val="16"/>
              </w:rPr>
            </w:pPr>
            <w:r w:rsidRPr="005F0061">
              <w:rPr>
                <w:szCs w:val="16"/>
              </w:rPr>
              <w:t>C11299</w:t>
            </w:r>
          </w:p>
        </w:tc>
        <w:tc>
          <w:tcPr>
            <w:tcW w:w="850" w:type="dxa"/>
            <w:shd w:val="clear" w:color="auto" w:fill="auto"/>
            <w:tcMar>
              <w:top w:w="28" w:type="dxa"/>
              <w:left w:w="28" w:type="dxa"/>
            </w:tcMar>
          </w:tcPr>
          <w:p w14:paraId="610D39B9" w14:textId="77777777" w:rsidR="00790361" w:rsidRPr="005F0061" w:rsidDel="00E03489" w:rsidRDefault="00790361" w:rsidP="00BE6C1F">
            <w:pPr>
              <w:spacing w:before="60" w:after="60"/>
              <w:rPr>
                <w:rFonts w:ascii="Arial" w:hAnsi="Arial" w:cs="Arial"/>
                <w:sz w:val="16"/>
                <w:szCs w:val="16"/>
                <w:lang w:eastAsia="en-AU"/>
              </w:rPr>
            </w:pPr>
          </w:p>
        </w:tc>
        <w:tc>
          <w:tcPr>
            <w:tcW w:w="7661" w:type="dxa"/>
            <w:shd w:val="clear" w:color="auto" w:fill="auto"/>
            <w:tcMar>
              <w:top w:w="28" w:type="dxa"/>
              <w:left w:w="28" w:type="dxa"/>
            </w:tcMar>
          </w:tcPr>
          <w:p w14:paraId="536C5562" w14:textId="08F3D2DB" w:rsidR="00790361" w:rsidRPr="005F0061" w:rsidRDefault="00790361" w:rsidP="00BE6C1F">
            <w:pPr>
              <w:pStyle w:val="mps3-data"/>
              <w:rPr>
                <w:szCs w:val="16"/>
              </w:rPr>
            </w:pPr>
            <w:r w:rsidRPr="005F0061">
              <w:t>Pulmonary arterial hypertension (PAH)</w:t>
            </w:r>
            <w:r w:rsidR="003327A6" w:rsidRPr="005F0061">
              <w:br/>
            </w:r>
            <w:r w:rsidRPr="005F0061">
              <w:t>Initial 2 (dual therapy - previously treated patients)</w:t>
            </w:r>
            <w:r w:rsidR="003327A6" w:rsidRPr="005F0061">
              <w:br/>
            </w:r>
            <w:r w:rsidRPr="005F0061">
              <w:t>Patient must have documented WHO Functional Class III PAH or WHO Functional Class IV PAH; AND</w:t>
            </w:r>
            <w:r w:rsidR="003327A6" w:rsidRPr="005F0061">
              <w:br/>
            </w:r>
            <w:r w:rsidRPr="005F0061">
              <w:t>Patient must have documented a failure to achieve or maintain WHO Functional Class II status with prior PBS-subsidised monotherapy treatment with an endothelin receptor antagonist (ERA) for this condition; AND</w:t>
            </w:r>
            <w:r w:rsidR="003327A6" w:rsidRPr="005F0061">
              <w:br/>
            </w:r>
            <w:r w:rsidRPr="005F0061">
              <w:t>The treatment must be in combination with a PBS-subsidised endothelin receptor antagonist (ERA) for this condition.</w:t>
            </w:r>
            <w:r w:rsidR="003327A6" w:rsidRPr="005F0061">
              <w:br/>
            </w:r>
            <w:r w:rsidRPr="005F0061">
              <w:t>Must be treated by a physician with expertise in the management of PAH, with this authority application to be completed by the physician with expertise in PAH.</w:t>
            </w:r>
            <w:r w:rsidR="003327A6" w:rsidRPr="005F0061">
              <w:br/>
            </w:r>
            <w:r w:rsidRPr="005F0061">
              <w:t xml:space="preserve">The term 'PAH agents' refers to </w:t>
            </w:r>
            <w:proofErr w:type="spellStart"/>
            <w:r w:rsidRPr="005F0061">
              <w:t>bosentan</w:t>
            </w:r>
            <w:proofErr w:type="spellEnd"/>
            <w:r w:rsidRPr="005F0061">
              <w:t xml:space="preserve"> monohydrate, </w:t>
            </w:r>
            <w:proofErr w:type="spellStart"/>
            <w:r w:rsidRPr="005F0061">
              <w:t>iloprost</w:t>
            </w:r>
            <w:proofErr w:type="spellEnd"/>
            <w:r w:rsidRPr="005F0061">
              <w:t xml:space="preserve"> trometamol, </w:t>
            </w:r>
            <w:proofErr w:type="spellStart"/>
            <w:r w:rsidRPr="005F0061">
              <w:t>epoprostenol</w:t>
            </w:r>
            <w:proofErr w:type="spellEnd"/>
            <w:r w:rsidRPr="005F0061">
              <w:t xml:space="preserve"> sodium, sildenafil citrate, </w:t>
            </w:r>
            <w:proofErr w:type="spellStart"/>
            <w:r w:rsidRPr="005F0061">
              <w:t>ambrisentan</w:t>
            </w:r>
            <w:proofErr w:type="spellEnd"/>
            <w:r w:rsidRPr="005F0061">
              <w:t xml:space="preserve">, </w:t>
            </w:r>
            <w:proofErr w:type="spellStart"/>
            <w:r w:rsidRPr="005F0061">
              <w:t>tadalafil</w:t>
            </w:r>
            <w:proofErr w:type="spellEnd"/>
            <w:r w:rsidRPr="005F0061">
              <w:t xml:space="preserve">, </w:t>
            </w:r>
            <w:proofErr w:type="spellStart"/>
            <w:r w:rsidRPr="005F0061">
              <w:t>macitentan</w:t>
            </w:r>
            <w:proofErr w:type="spellEnd"/>
            <w:r w:rsidRPr="005F0061">
              <w:t xml:space="preserve">, and </w:t>
            </w:r>
            <w:proofErr w:type="spellStart"/>
            <w:r w:rsidRPr="005F0061">
              <w:t>riociguat</w:t>
            </w:r>
            <w:proofErr w:type="spellEnd"/>
            <w:r w:rsidRPr="005F0061">
              <w:t>.</w:t>
            </w:r>
            <w:r w:rsidR="003327A6" w:rsidRPr="005F0061">
              <w:br/>
            </w:r>
            <w:r w:rsidRPr="005F0061">
              <w:t>For the purposes of PBS subsidy, dual therapy refers to combined use of an endothelin receptor antagonist (ERA) and a phosphodiesterase-5 inhibitor (PDE-5i).</w:t>
            </w:r>
            <w:r w:rsidR="003327A6" w:rsidRPr="005F0061">
              <w:br/>
            </w:r>
            <w:r w:rsidRPr="005F0061">
              <w:t>(</w:t>
            </w:r>
            <w:proofErr w:type="spellStart"/>
            <w:r w:rsidRPr="005F0061">
              <w:t>i</w:t>
            </w:r>
            <w:proofErr w:type="spellEnd"/>
            <w:r w:rsidRPr="005F0061">
              <w:t xml:space="preserve">) An ERA includes </w:t>
            </w:r>
            <w:proofErr w:type="spellStart"/>
            <w:r w:rsidRPr="005F0061">
              <w:t>ambrisentan</w:t>
            </w:r>
            <w:proofErr w:type="spellEnd"/>
            <w:r w:rsidRPr="005F0061">
              <w:t xml:space="preserve">, </w:t>
            </w:r>
            <w:proofErr w:type="spellStart"/>
            <w:r w:rsidRPr="005F0061">
              <w:t>bosentan</w:t>
            </w:r>
            <w:proofErr w:type="spellEnd"/>
            <w:r w:rsidRPr="005F0061">
              <w:t xml:space="preserve"> monohydrate, or </w:t>
            </w:r>
            <w:proofErr w:type="spellStart"/>
            <w:r w:rsidRPr="005F0061">
              <w:t>macitentan</w:t>
            </w:r>
            <w:proofErr w:type="spellEnd"/>
            <w:r w:rsidRPr="005F0061">
              <w:t>.</w:t>
            </w:r>
            <w:r w:rsidR="003327A6" w:rsidRPr="005F0061">
              <w:br/>
            </w:r>
            <w:r w:rsidRPr="005F0061">
              <w:t xml:space="preserve">(ii) A PDE-5i includes sildenafil citrate, or </w:t>
            </w:r>
            <w:proofErr w:type="spellStart"/>
            <w:r w:rsidRPr="005F0061">
              <w:t>tadalafil</w:t>
            </w:r>
            <w:proofErr w:type="spellEnd"/>
            <w:r w:rsidRPr="005F0061">
              <w:t>.</w:t>
            </w:r>
            <w:r w:rsidR="003327A6" w:rsidRPr="005F0061">
              <w:br/>
            </w:r>
            <w:r w:rsidRPr="005F0061">
              <w:t>PAH agents are not PBS-subsidised for patients with pulmonary hypertension secondary to interstitial lung disease associated with connective tissue disease, where the total lung capacity is less than 70% of predicted.</w:t>
            </w:r>
            <w:r w:rsidR="003327A6" w:rsidRPr="005F0061">
              <w:br/>
            </w:r>
            <w:r w:rsidRPr="005F0061">
              <w:t>PAH (WHO Group 1 pulmonary hypertension) is defined as follows</w:t>
            </w:r>
            <w:proofErr w:type="gramStart"/>
            <w:r w:rsidRPr="005F0061">
              <w:t>:</w:t>
            </w:r>
            <w:proofErr w:type="gramEnd"/>
            <w:r w:rsidR="003327A6" w:rsidRPr="005F0061">
              <w:br/>
            </w:r>
            <w:r w:rsidRPr="005F0061">
              <w:t>(</w:t>
            </w:r>
            <w:proofErr w:type="spellStart"/>
            <w:r w:rsidRPr="005F0061">
              <w:t>i</w:t>
            </w:r>
            <w:proofErr w:type="spellEnd"/>
            <w:r w:rsidRPr="005F0061">
              <w:t>) mean pulmonary artery pressure (</w:t>
            </w:r>
            <w:proofErr w:type="spellStart"/>
            <w:r w:rsidRPr="005F0061">
              <w:t>mPAP</w:t>
            </w:r>
            <w:proofErr w:type="spellEnd"/>
            <w:r w:rsidRPr="005F0061">
              <w:t>) greater than or equal to 25 mmHg at rest and pulmonary artery wedge pressure (PAWP) less than or equal to 15 mmHg; or</w:t>
            </w:r>
            <w:r w:rsidR="003327A6" w:rsidRPr="005F0061">
              <w:br/>
            </w:r>
            <w:r w:rsidRPr="005F0061">
              <w:t>(ii) where a right heart catheter (RHC) cannot be performed on clinical grounds, right ventricular systolic pressure (RVSP), assessed by echocardiography (ECHO), greater than 40 mmHg, with normal left ventricular function.</w:t>
            </w:r>
            <w:r w:rsidR="003327A6" w:rsidRPr="005F0061">
              <w:br/>
            </w:r>
            <w:r w:rsidRPr="005F0061">
              <w:t>The results and date of the RHC, ECHO and 6 MWT as applicable must be included in the patient's medical record. Where a RHC cannot be performed on clinical grounds, the written confirmation of the reasons why must also be included in the patient's medical record.</w:t>
            </w:r>
            <w:r w:rsidR="003327A6" w:rsidRPr="005F0061">
              <w:br/>
            </w:r>
            <w:r w:rsidRPr="005F0061">
              <w:t>The maximum quantity authorised will be limited to provide sufficient supply for 1 month of treatment, based on the dosage recommendations in the TGA-approved Product Information.</w:t>
            </w:r>
            <w:r w:rsidR="003327A6" w:rsidRPr="005F0061">
              <w:br/>
            </w:r>
            <w:r w:rsidRPr="005F0061">
              <w:t>A maximum of 5 repeats may be requested.</w:t>
            </w:r>
          </w:p>
        </w:tc>
        <w:tc>
          <w:tcPr>
            <w:tcW w:w="2650" w:type="dxa"/>
            <w:shd w:val="clear" w:color="auto" w:fill="auto"/>
            <w:tcMar>
              <w:top w:w="28" w:type="dxa"/>
              <w:left w:w="28" w:type="dxa"/>
              <w:right w:w="57" w:type="dxa"/>
            </w:tcMar>
          </w:tcPr>
          <w:p w14:paraId="7E146F02" w14:textId="2BCA1547" w:rsidR="00790361" w:rsidRPr="005F0061" w:rsidRDefault="00790361" w:rsidP="00BE6C1F">
            <w:pPr>
              <w:pStyle w:val="Tabletext0"/>
              <w:rPr>
                <w:rFonts w:cs="Arial"/>
                <w:szCs w:val="16"/>
              </w:rPr>
            </w:pPr>
            <w:r w:rsidRPr="005F0061">
              <w:t>Compliance with Authority Required procedures</w:t>
            </w:r>
          </w:p>
        </w:tc>
      </w:tr>
    </w:tbl>
    <w:p w14:paraId="21CD5E93" w14:textId="68FD4781" w:rsidR="003A399A" w:rsidRPr="005F0061" w:rsidRDefault="003A399A" w:rsidP="00BE6C1F">
      <w:pPr>
        <w:pStyle w:val="Amendment1"/>
        <w:widowControl/>
        <w:numPr>
          <w:ilvl w:val="0"/>
          <w:numId w:val="10"/>
        </w:numPr>
        <w:spacing w:before="60" w:after="60"/>
        <w:ind w:left="1134" w:hanging="567"/>
        <w:rPr>
          <w:bCs w:val="0"/>
          <w:iCs/>
        </w:rPr>
      </w:pPr>
      <w:r w:rsidRPr="005F0061">
        <w:rPr>
          <w:bCs w:val="0"/>
          <w:iCs/>
        </w:rPr>
        <w:t xml:space="preserve">Schedule 3, entry for </w:t>
      </w:r>
      <w:proofErr w:type="spellStart"/>
      <w:r w:rsidRPr="005F0061">
        <w:rPr>
          <w:bCs w:val="0"/>
          <w:iCs/>
        </w:rPr>
        <w:t>Tadalafil</w:t>
      </w:r>
      <w:proofErr w:type="spellEnd"/>
    </w:p>
    <w:p w14:paraId="468C5FCF" w14:textId="31F34CB6" w:rsidR="003A399A" w:rsidRPr="005F0061" w:rsidRDefault="003A399A" w:rsidP="00A15A52">
      <w:pPr>
        <w:pStyle w:val="Amendment1"/>
        <w:widowControl/>
        <w:numPr>
          <w:ilvl w:val="0"/>
          <w:numId w:val="22"/>
        </w:numPr>
        <w:spacing w:before="60" w:after="60"/>
        <w:ind w:left="1134" w:hanging="567"/>
        <w:rPr>
          <w:bCs w:val="0"/>
          <w:iCs/>
        </w:rPr>
      </w:pPr>
      <w:r w:rsidRPr="005F0061">
        <w:rPr>
          <w:rFonts w:ascii="Times New Roman" w:hAnsi="Times New Roman" w:cs="Times New Roman"/>
          <w:b w:val="0"/>
          <w:bCs w:val="0"/>
          <w:i/>
          <w:iCs/>
        </w:rPr>
        <w:t>omit: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3A399A" w:rsidRPr="005F0061" w14:paraId="1772BF5E" w14:textId="77777777" w:rsidTr="00DB6EC0">
        <w:tc>
          <w:tcPr>
            <w:tcW w:w="1900" w:type="dxa"/>
            <w:shd w:val="clear" w:color="auto" w:fill="auto"/>
            <w:tcMar>
              <w:top w:w="28" w:type="dxa"/>
              <w:left w:w="28" w:type="dxa"/>
            </w:tcMar>
          </w:tcPr>
          <w:p w14:paraId="619B6992" w14:textId="77777777" w:rsidR="003A399A" w:rsidRPr="005F0061" w:rsidRDefault="003A399A" w:rsidP="003A399A">
            <w:pPr>
              <w:pStyle w:val="Tabletext0"/>
              <w:tabs>
                <w:tab w:val="left" w:pos="958"/>
              </w:tabs>
              <w:rPr>
                <w:rFonts w:cs="Arial"/>
                <w:szCs w:val="16"/>
              </w:rPr>
            </w:pPr>
          </w:p>
        </w:tc>
        <w:tc>
          <w:tcPr>
            <w:tcW w:w="850" w:type="dxa"/>
            <w:shd w:val="clear" w:color="auto" w:fill="auto"/>
            <w:tcMar>
              <w:top w:w="28" w:type="dxa"/>
              <w:left w:w="28" w:type="dxa"/>
            </w:tcMar>
          </w:tcPr>
          <w:p w14:paraId="222DE93F" w14:textId="25AF2609" w:rsidR="003A399A" w:rsidRPr="005F0061" w:rsidRDefault="003A399A" w:rsidP="003A399A">
            <w:pPr>
              <w:pStyle w:val="mps3-data"/>
              <w:rPr>
                <w:szCs w:val="16"/>
              </w:rPr>
            </w:pPr>
            <w:r w:rsidRPr="005F0061">
              <w:rPr>
                <w:rFonts w:eastAsia="SimSun"/>
                <w:szCs w:val="16"/>
              </w:rPr>
              <w:t>C10998</w:t>
            </w:r>
          </w:p>
        </w:tc>
        <w:tc>
          <w:tcPr>
            <w:tcW w:w="850" w:type="dxa"/>
            <w:shd w:val="clear" w:color="auto" w:fill="auto"/>
            <w:tcMar>
              <w:top w:w="28" w:type="dxa"/>
              <w:left w:w="28" w:type="dxa"/>
            </w:tcMar>
          </w:tcPr>
          <w:p w14:paraId="5659DC3E" w14:textId="77777777" w:rsidR="003A399A" w:rsidRPr="005F0061" w:rsidDel="00E03489" w:rsidRDefault="003A399A" w:rsidP="003A399A">
            <w:pPr>
              <w:spacing w:before="60" w:after="60"/>
              <w:rPr>
                <w:rFonts w:ascii="Arial" w:hAnsi="Arial" w:cs="Arial"/>
                <w:sz w:val="16"/>
                <w:szCs w:val="16"/>
                <w:lang w:eastAsia="en-AU"/>
              </w:rPr>
            </w:pPr>
          </w:p>
        </w:tc>
        <w:tc>
          <w:tcPr>
            <w:tcW w:w="7661" w:type="dxa"/>
            <w:shd w:val="clear" w:color="auto" w:fill="auto"/>
            <w:tcMar>
              <w:top w:w="28" w:type="dxa"/>
              <w:left w:w="28" w:type="dxa"/>
            </w:tcMar>
          </w:tcPr>
          <w:p w14:paraId="2348F260" w14:textId="6E100CEF" w:rsidR="003A399A" w:rsidRPr="005F0061" w:rsidRDefault="003A399A" w:rsidP="003A399A">
            <w:pPr>
              <w:pStyle w:val="mps3-data"/>
              <w:rPr>
                <w:szCs w:val="16"/>
              </w:rPr>
            </w:pPr>
            <w:r w:rsidRPr="005F0061">
              <w:rPr>
                <w:rFonts w:eastAsia="SimSun"/>
                <w:szCs w:val="16"/>
              </w:rPr>
              <w:t>Pulmonary arterial hypertension (PAH</w:t>
            </w:r>
            <w:proofErr w:type="gramStart"/>
            <w:r w:rsidRPr="005F0061">
              <w:rPr>
                <w:rFonts w:eastAsia="SimSun"/>
                <w:szCs w:val="16"/>
              </w:rPr>
              <w:t>)</w:t>
            </w:r>
            <w:proofErr w:type="gramEnd"/>
            <w:r w:rsidRPr="005F0061">
              <w:rPr>
                <w:rFonts w:eastAsia="SimSun"/>
                <w:szCs w:val="16"/>
              </w:rPr>
              <w:br/>
              <w:t>Continuing treatment (dual therapy)</w:t>
            </w:r>
            <w:r w:rsidRPr="005F0061">
              <w:rPr>
                <w:rFonts w:eastAsia="SimSun"/>
                <w:szCs w:val="16"/>
              </w:rPr>
              <w:br/>
              <w:t>Patient must have received their most recent course of PBS-subsidised treatment with this PAH agent and an endothelin receptor antagonist (ERA) for this condition.</w:t>
            </w:r>
            <w:r w:rsidRPr="005F0061">
              <w:rPr>
                <w:rFonts w:eastAsia="SimSun"/>
                <w:szCs w:val="16"/>
              </w:rPr>
              <w:br/>
              <w:t xml:space="preserve">The term 'PAH agents' refers to </w:t>
            </w:r>
            <w:proofErr w:type="spellStart"/>
            <w:r w:rsidRPr="005F0061">
              <w:rPr>
                <w:rFonts w:eastAsia="SimSun"/>
                <w:szCs w:val="16"/>
              </w:rPr>
              <w:t>bosentan</w:t>
            </w:r>
            <w:proofErr w:type="spellEnd"/>
            <w:r w:rsidRPr="005F0061">
              <w:rPr>
                <w:rFonts w:eastAsia="SimSun"/>
                <w:szCs w:val="16"/>
              </w:rPr>
              <w:t xml:space="preserve"> monohydrate, </w:t>
            </w:r>
            <w:proofErr w:type="spellStart"/>
            <w:r w:rsidRPr="005F0061">
              <w:rPr>
                <w:rFonts w:eastAsia="SimSun"/>
                <w:szCs w:val="16"/>
              </w:rPr>
              <w:t>iloprost</w:t>
            </w:r>
            <w:proofErr w:type="spellEnd"/>
            <w:r w:rsidRPr="005F0061">
              <w:rPr>
                <w:rFonts w:eastAsia="SimSun"/>
                <w:szCs w:val="16"/>
              </w:rPr>
              <w:t xml:space="preserve"> trometamol, </w:t>
            </w:r>
            <w:proofErr w:type="spellStart"/>
            <w:r w:rsidRPr="005F0061">
              <w:rPr>
                <w:rFonts w:eastAsia="SimSun"/>
                <w:szCs w:val="16"/>
              </w:rPr>
              <w:t>epoprostenol</w:t>
            </w:r>
            <w:proofErr w:type="spellEnd"/>
            <w:r w:rsidRPr="005F0061">
              <w:rPr>
                <w:rFonts w:eastAsia="SimSun"/>
                <w:szCs w:val="16"/>
              </w:rPr>
              <w:t xml:space="preserve"> sodium, sildenafil citrate, </w:t>
            </w:r>
            <w:proofErr w:type="spellStart"/>
            <w:r w:rsidRPr="005F0061">
              <w:rPr>
                <w:rFonts w:eastAsia="SimSun"/>
                <w:szCs w:val="16"/>
              </w:rPr>
              <w:t>ambrisentan</w:t>
            </w:r>
            <w:proofErr w:type="spellEnd"/>
            <w:r w:rsidRPr="005F0061">
              <w:rPr>
                <w:rFonts w:eastAsia="SimSun"/>
                <w:szCs w:val="16"/>
              </w:rPr>
              <w:t xml:space="preserve">, </w:t>
            </w:r>
            <w:proofErr w:type="spellStart"/>
            <w:r w:rsidRPr="005F0061">
              <w:rPr>
                <w:rFonts w:eastAsia="SimSun"/>
                <w:szCs w:val="16"/>
              </w:rPr>
              <w:t>tadalafil</w:t>
            </w:r>
            <w:proofErr w:type="spellEnd"/>
            <w:r w:rsidRPr="005F0061">
              <w:rPr>
                <w:rFonts w:eastAsia="SimSun"/>
                <w:szCs w:val="16"/>
              </w:rPr>
              <w:t xml:space="preserve">, </w:t>
            </w:r>
            <w:proofErr w:type="spellStart"/>
            <w:r w:rsidRPr="005F0061">
              <w:rPr>
                <w:rFonts w:eastAsia="SimSun"/>
                <w:szCs w:val="16"/>
              </w:rPr>
              <w:t>macitentan</w:t>
            </w:r>
            <w:proofErr w:type="spellEnd"/>
            <w:r w:rsidRPr="005F0061">
              <w:rPr>
                <w:rFonts w:eastAsia="SimSun"/>
                <w:szCs w:val="16"/>
              </w:rPr>
              <w:t xml:space="preserve">, and </w:t>
            </w:r>
            <w:proofErr w:type="spellStart"/>
            <w:r w:rsidRPr="005F0061">
              <w:rPr>
                <w:rFonts w:eastAsia="SimSun"/>
                <w:szCs w:val="16"/>
              </w:rPr>
              <w:t>riociguat</w:t>
            </w:r>
            <w:proofErr w:type="spellEnd"/>
            <w:r w:rsidRPr="005F0061">
              <w:rPr>
                <w:rFonts w:eastAsia="SimSun"/>
                <w:szCs w:val="16"/>
              </w:rPr>
              <w:t>.</w:t>
            </w:r>
            <w:r w:rsidRPr="005F0061">
              <w:rPr>
                <w:rFonts w:eastAsia="SimSun"/>
                <w:szCs w:val="16"/>
              </w:rPr>
              <w:br/>
              <w:t xml:space="preserve">For the purposes of PBS subsidy, dual therapy refers to combined use of an endothelin receptor antagonist </w:t>
            </w:r>
            <w:r w:rsidRPr="005F0061">
              <w:rPr>
                <w:rFonts w:eastAsia="SimSun"/>
                <w:szCs w:val="16"/>
              </w:rPr>
              <w:lastRenderedPageBreak/>
              <w:t>(ERA) and a phosphodiesterase-5 inhibitor (PDE-5i).</w:t>
            </w:r>
            <w:r w:rsidRPr="005F0061">
              <w:rPr>
                <w:rFonts w:eastAsia="SimSun"/>
                <w:szCs w:val="16"/>
              </w:rPr>
              <w:br/>
              <w:t>(</w:t>
            </w:r>
            <w:proofErr w:type="spellStart"/>
            <w:r w:rsidRPr="005F0061">
              <w:rPr>
                <w:rFonts w:eastAsia="SimSun"/>
                <w:szCs w:val="16"/>
              </w:rPr>
              <w:t>i</w:t>
            </w:r>
            <w:proofErr w:type="spellEnd"/>
            <w:r w:rsidRPr="005F0061">
              <w:rPr>
                <w:rFonts w:eastAsia="SimSun"/>
                <w:szCs w:val="16"/>
              </w:rPr>
              <w:t xml:space="preserve">) An ERA includes </w:t>
            </w:r>
            <w:proofErr w:type="spellStart"/>
            <w:r w:rsidRPr="005F0061">
              <w:rPr>
                <w:rFonts w:eastAsia="SimSun"/>
                <w:szCs w:val="16"/>
              </w:rPr>
              <w:t>ambrisentan</w:t>
            </w:r>
            <w:proofErr w:type="spellEnd"/>
            <w:r w:rsidRPr="005F0061">
              <w:rPr>
                <w:rFonts w:eastAsia="SimSun"/>
                <w:szCs w:val="16"/>
              </w:rPr>
              <w:t xml:space="preserve">, </w:t>
            </w:r>
            <w:proofErr w:type="spellStart"/>
            <w:r w:rsidRPr="005F0061">
              <w:rPr>
                <w:rFonts w:eastAsia="SimSun"/>
                <w:szCs w:val="16"/>
              </w:rPr>
              <w:t>bosentan</w:t>
            </w:r>
            <w:proofErr w:type="spellEnd"/>
            <w:r w:rsidRPr="005F0061">
              <w:rPr>
                <w:rFonts w:eastAsia="SimSun"/>
                <w:szCs w:val="16"/>
              </w:rPr>
              <w:t xml:space="preserve"> monohydrate, or </w:t>
            </w:r>
            <w:proofErr w:type="spellStart"/>
            <w:r w:rsidRPr="005F0061">
              <w:rPr>
                <w:rFonts w:eastAsia="SimSun"/>
                <w:szCs w:val="16"/>
              </w:rPr>
              <w:t>macitentan</w:t>
            </w:r>
            <w:proofErr w:type="spellEnd"/>
            <w:r w:rsidRPr="005F0061">
              <w:rPr>
                <w:rFonts w:eastAsia="SimSun"/>
                <w:szCs w:val="16"/>
              </w:rPr>
              <w:t>.</w:t>
            </w:r>
            <w:r w:rsidRPr="005F0061">
              <w:rPr>
                <w:rFonts w:eastAsia="SimSun"/>
                <w:szCs w:val="16"/>
              </w:rPr>
              <w:br/>
              <w:t xml:space="preserve">(ii) A PDE-5i includes sildenafil citrate, or </w:t>
            </w:r>
            <w:proofErr w:type="spellStart"/>
            <w:r w:rsidRPr="005F0061">
              <w:rPr>
                <w:rFonts w:eastAsia="SimSun"/>
                <w:szCs w:val="16"/>
              </w:rPr>
              <w:t>tadalafil</w:t>
            </w:r>
            <w:proofErr w:type="spellEnd"/>
            <w:r w:rsidRPr="005F0061">
              <w:rPr>
                <w:rFonts w:eastAsia="SimSun"/>
                <w:szCs w:val="16"/>
              </w:rPr>
              <w:t>.</w:t>
            </w:r>
            <w:r w:rsidRPr="005F0061">
              <w:rPr>
                <w:rFonts w:eastAsia="SimSun"/>
                <w:szCs w:val="16"/>
              </w:rPr>
              <w:br/>
              <w:t>PAH agents are not PBS-subsidised for patients with pulmonary hypertension secondary to interstitial lung disease associated with connective tissue disease, where the total lung capacity is less than 70% of predicted.</w:t>
            </w:r>
            <w:r w:rsidRPr="005F0061">
              <w:rPr>
                <w:rFonts w:eastAsia="SimSun"/>
                <w:szCs w:val="16"/>
              </w:rPr>
              <w:br/>
              <w:t>The maximum quantity authorised will be limited to provide sufficient supply for 1 month of treatment, based on the dosage recommendations in the TGA-approved Product Information.</w:t>
            </w:r>
            <w:r w:rsidRPr="005F0061">
              <w:rPr>
                <w:rFonts w:eastAsia="SimSun"/>
                <w:szCs w:val="16"/>
              </w:rPr>
              <w:br/>
              <w:t>A maximum of 5 repeats may be requested.</w:t>
            </w:r>
          </w:p>
        </w:tc>
        <w:tc>
          <w:tcPr>
            <w:tcW w:w="2650" w:type="dxa"/>
            <w:shd w:val="clear" w:color="auto" w:fill="auto"/>
            <w:tcMar>
              <w:top w:w="28" w:type="dxa"/>
              <w:left w:w="28" w:type="dxa"/>
              <w:right w:w="57" w:type="dxa"/>
            </w:tcMar>
          </w:tcPr>
          <w:p w14:paraId="4087090B" w14:textId="38D40DA7" w:rsidR="003A399A" w:rsidRPr="005F0061" w:rsidRDefault="003A399A" w:rsidP="003A399A">
            <w:pPr>
              <w:pStyle w:val="Tabletext0"/>
              <w:rPr>
                <w:rFonts w:cs="Arial"/>
                <w:szCs w:val="16"/>
              </w:rPr>
            </w:pPr>
            <w:r w:rsidRPr="005F0061">
              <w:rPr>
                <w:rFonts w:eastAsia="SimSun" w:cs="Arial"/>
                <w:szCs w:val="16"/>
                <w:lang w:eastAsia="zh-CN"/>
              </w:rPr>
              <w:lastRenderedPageBreak/>
              <w:t>Compliance with Authority Required procedures</w:t>
            </w:r>
            <w:r w:rsidR="003327A6" w:rsidRPr="005F0061">
              <w:rPr>
                <w:rFonts w:eastAsia="SimSun" w:cs="Arial"/>
                <w:szCs w:val="16"/>
                <w:lang w:eastAsia="zh-CN"/>
              </w:rPr>
              <w:br/>
            </w:r>
          </w:p>
        </w:tc>
      </w:tr>
      <w:tr w:rsidR="003A399A" w:rsidRPr="005F0061" w14:paraId="40939F0B" w14:textId="77777777" w:rsidTr="00DB6EC0">
        <w:tc>
          <w:tcPr>
            <w:tcW w:w="1900" w:type="dxa"/>
            <w:shd w:val="clear" w:color="auto" w:fill="auto"/>
            <w:tcMar>
              <w:top w:w="28" w:type="dxa"/>
              <w:left w:w="28" w:type="dxa"/>
            </w:tcMar>
          </w:tcPr>
          <w:p w14:paraId="779BA34B" w14:textId="77777777" w:rsidR="003A399A" w:rsidRPr="005F0061" w:rsidRDefault="003A399A" w:rsidP="003A399A">
            <w:pPr>
              <w:pStyle w:val="Tabletext0"/>
              <w:tabs>
                <w:tab w:val="left" w:pos="958"/>
              </w:tabs>
              <w:rPr>
                <w:rFonts w:cs="Arial"/>
                <w:szCs w:val="16"/>
              </w:rPr>
            </w:pPr>
          </w:p>
        </w:tc>
        <w:tc>
          <w:tcPr>
            <w:tcW w:w="850" w:type="dxa"/>
            <w:shd w:val="clear" w:color="auto" w:fill="auto"/>
            <w:tcMar>
              <w:top w:w="28" w:type="dxa"/>
              <w:left w:w="28" w:type="dxa"/>
            </w:tcMar>
          </w:tcPr>
          <w:p w14:paraId="28D45F65" w14:textId="4B52FBDD" w:rsidR="003A399A" w:rsidRPr="005F0061" w:rsidRDefault="003A399A" w:rsidP="003A399A">
            <w:pPr>
              <w:pStyle w:val="mps3-data"/>
              <w:rPr>
                <w:szCs w:val="16"/>
              </w:rPr>
            </w:pPr>
            <w:r w:rsidRPr="005F0061">
              <w:rPr>
                <w:rFonts w:eastAsia="SimSun"/>
                <w:szCs w:val="16"/>
              </w:rPr>
              <w:t>C11012</w:t>
            </w:r>
          </w:p>
        </w:tc>
        <w:tc>
          <w:tcPr>
            <w:tcW w:w="850" w:type="dxa"/>
            <w:shd w:val="clear" w:color="auto" w:fill="auto"/>
            <w:tcMar>
              <w:top w:w="28" w:type="dxa"/>
              <w:left w:w="28" w:type="dxa"/>
            </w:tcMar>
          </w:tcPr>
          <w:p w14:paraId="765C75F0" w14:textId="77777777" w:rsidR="003A399A" w:rsidRPr="005F0061" w:rsidDel="00E03489" w:rsidRDefault="003A399A" w:rsidP="003A399A">
            <w:pPr>
              <w:spacing w:before="60" w:after="60"/>
              <w:rPr>
                <w:rFonts w:ascii="Arial" w:hAnsi="Arial" w:cs="Arial"/>
                <w:sz w:val="16"/>
                <w:szCs w:val="16"/>
                <w:lang w:eastAsia="en-AU"/>
              </w:rPr>
            </w:pPr>
          </w:p>
        </w:tc>
        <w:tc>
          <w:tcPr>
            <w:tcW w:w="7661" w:type="dxa"/>
            <w:shd w:val="clear" w:color="auto" w:fill="auto"/>
            <w:tcMar>
              <w:top w:w="28" w:type="dxa"/>
              <w:left w:w="28" w:type="dxa"/>
            </w:tcMar>
          </w:tcPr>
          <w:p w14:paraId="542566A2" w14:textId="78CD2F45" w:rsidR="003A399A" w:rsidRPr="005F0061" w:rsidRDefault="003A399A" w:rsidP="003A399A">
            <w:pPr>
              <w:pStyle w:val="mps3-data"/>
              <w:rPr>
                <w:szCs w:val="16"/>
              </w:rPr>
            </w:pPr>
            <w:r w:rsidRPr="005F0061">
              <w:rPr>
                <w:rFonts w:eastAsia="SimSun"/>
                <w:szCs w:val="16"/>
              </w:rPr>
              <w:t>Pulmonary arterial hypertension (PAH</w:t>
            </w:r>
            <w:proofErr w:type="gramStart"/>
            <w:r w:rsidRPr="005F0061">
              <w:rPr>
                <w:rFonts w:eastAsia="SimSun"/>
                <w:szCs w:val="16"/>
              </w:rPr>
              <w:t>)</w:t>
            </w:r>
            <w:proofErr w:type="gramEnd"/>
            <w:r w:rsidRPr="005F0061">
              <w:rPr>
                <w:rFonts w:eastAsia="SimSun"/>
                <w:szCs w:val="16"/>
              </w:rPr>
              <w:br/>
              <w:t>Initial 3 (dual therapy - change)</w:t>
            </w:r>
            <w:r w:rsidRPr="005F0061">
              <w:rPr>
                <w:rFonts w:eastAsia="SimSun"/>
                <w:szCs w:val="16"/>
              </w:rPr>
              <w:br/>
              <w:t>Patient must have had their most recent course of PBS-subsidised dual therapy with an endothelin receptor antagonist (ERA) and a phosphodiesterase-5 inhibitor (PDE-5i) other than this agent for this condition.</w:t>
            </w:r>
            <w:r w:rsidRPr="005F0061">
              <w:rPr>
                <w:rFonts w:eastAsia="SimSun"/>
                <w:szCs w:val="16"/>
              </w:rPr>
              <w:br/>
              <w:t xml:space="preserve">The term 'PAH agents' refers to </w:t>
            </w:r>
            <w:proofErr w:type="spellStart"/>
            <w:r w:rsidRPr="005F0061">
              <w:rPr>
                <w:rFonts w:eastAsia="SimSun"/>
                <w:szCs w:val="16"/>
              </w:rPr>
              <w:t>bosentan</w:t>
            </w:r>
            <w:proofErr w:type="spellEnd"/>
            <w:r w:rsidRPr="005F0061">
              <w:rPr>
                <w:rFonts w:eastAsia="SimSun"/>
                <w:szCs w:val="16"/>
              </w:rPr>
              <w:t xml:space="preserve"> monohydrate, </w:t>
            </w:r>
            <w:proofErr w:type="spellStart"/>
            <w:r w:rsidRPr="005F0061">
              <w:rPr>
                <w:rFonts w:eastAsia="SimSun"/>
                <w:szCs w:val="16"/>
              </w:rPr>
              <w:t>iloprost</w:t>
            </w:r>
            <w:proofErr w:type="spellEnd"/>
            <w:r w:rsidRPr="005F0061">
              <w:rPr>
                <w:rFonts w:eastAsia="SimSun"/>
                <w:szCs w:val="16"/>
              </w:rPr>
              <w:t xml:space="preserve"> trometamol, </w:t>
            </w:r>
            <w:proofErr w:type="spellStart"/>
            <w:r w:rsidRPr="005F0061">
              <w:rPr>
                <w:rFonts w:eastAsia="SimSun"/>
                <w:szCs w:val="16"/>
              </w:rPr>
              <w:t>epoprostenol</w:t>
            </w:r>
            <w:proofErr w:type="spellEnd"/>
            <w:r w:rsidRPr="005F0061">
              <w:rPr>
                <w:rFonts w:eastAsia="SimSun"/>
                <w:szCs w:val="16"/>
              </w:rPr>
              <w:t xml:space="preserve"> sodium, sildenafil citrate, </w:t>
            </w:r>
            <w:proofErr w:type="spellStart"/>
            <w:r w:rsidRPr="005F0061">
              <w:rPr>
                <w:rFonts w:eastAsia="SimSun"/>
                <w:szCs w:val="16"/>
              </w:rPr>
              <w:t>ambrisentan</w:t>
            </w:r>
            <w:proofErr w:type="spellEnd"/>
            <w:r w:rsidRPr="005F0061">
              <w:rPr>
                <w:rFonts w:eastAsia="SimSun"/>
                <w:szCs w:val="16"/>
              </w:rPr>
              <w:t xml:space="preserve">, </w:t>
            </w:r>
            <w:proofErr w:type="spellStart"/>
            <w:r w:rsidRPr="005F0061">
              <w:rPr>
                <w:rFonts w:eastAsia="SimSun"/>
                <w:szCs w:val="16"/>
              </w:rPr>
              <w:t>tadalafil</w:t>
            </w:r>
            <w:proofErr w:type="spellEnd"/>
            <w:r w:rsidRPr="005F0061">
              <w:rPr>
                <w:rFonts w:eastAsia="SimSun"/>
                <w:szCs w:val="16"/>
              </w:rPr>
              <w:t xml:space="preserve">, </w:t>
            </w:r>
            <w:proofErr w:type="spellStart"/>
            <w:r w:rsidRPr="005F0061">
              <w:rPr>
                <w:rFonts w:eastAsia="SimSun"/>
                <w:szCs w:val="16"/>
              </w:rPr>
              <w:t>macitentan</w:t>
            </w:r>
            <w:proofErr w:type="spellEnd"/>
            <w:r w:rsidRPr="005F0061">
              <w:rPr>
                <w:rFonts w:eastAsia="SimSun"/>
                <w:szCs w:val="16"/>
              </w:rPr>
              <w:t xml:space="preserve">, and </w:t>
            </w:r>
            <w:proofErr w:type="spellStart"/>
            <w:r w:rsidRPr="005F0061">
              <w:rPr>
                <w:rFonts w:eastAsia="SimSun"/>
                <w:szCs w:val="16"/>
              </w:rPr>
              <w:t>riociguat</w:t>
            </w:r>
            <w:proofErr w:type="spellEnd"/>
            <w:r w:rsidRPr="005F0061">
              <w:rPr>
                <w:rFonts w:eastAsia="SimSun"/>
                <w:szCs w:val="16"/>
              </w:rPr>
              <w:t>.</w:t>
            </w:r>
            <w:r w:rsidRPr="005F0061">
              <w:rPr>
                <w:rFonts w:eastAsia="SimSun"/>
                <w:szCs w:val="16"/>
              </w:rPr>
              <w:br/>
              <w:t>For the purposes of PBS subsidy, dual therapy refers to combined use of an endothelin receptor antagonist (ERA) and a phosphodiesterase-5 inhibitor (PDE-5i).</w:t>
            </w:r>
            <w:r w:rsidRPr="005F0061">
              <w:rPr>
                <w:rFonts w:eastAsia="SimSun"/>
                <w:szCs w:val="16"/>
              </w:rPr>
              <w:br/>
              <w:t>(</w:t>
            </w:r>
            <w:proofErr w:type="spellStart"/>
            <w:r w:rsidRPr="005F0061">
              <w:rPr>
                <w:rFonts w:eastAsia="SimSun"/>
                <w:szCs w:val="16"/>
              </w:rPr>
              <w:t>i</w:t>
            </w:r>
            <w:proofErr w:type="spellEnd"/>
            <w:r w:rsidRPr="005F0061">
              <w:rPr>
                <w:rFonts w:eastAsia="SimSun"/>
                <w:szCs w:val="16"/>
              </w:rPr>
              <w:t xml:space="preserve">) An ERA includes </w:t>
            </w:r>
            <w:proofErr w:type="spellStart"/>
            <w:r w:rsidRPr="005F0061">
              <w:rPr>
                <w:rFonts w:eastAsia="SimSun"/>
                <w:szCs w:val="16"/>
              </w:rPr>
              <w:t>ambrisentan</w:t>
            </w:r>
            <w:proofErr w:type="spellEnd"/>
            <w:r w:rsidRPr="005F0061">
              <w:rPr>
                <w:rFonts w:eastAsia="SimSun"/>
                <w:szCs w:val="16"/>
              </w:rPr>
              <w:t xml:space="preserve">, </w:t>
            </w:r>
            <w:proofErr w:type="spellStart"/>
            <w:r w:rsidRPr="005F0061">
              <w:rPr>
                <w:rFonts w:eastAsia="SimSun"/>
                <w:szCs w:val="16"/>
              </w:rPr>
              <w:t>bosentan</w:t>
            </w:r>
            <w:proofErr w:type="spellEnd"/>
            <w:r w:rsidRPr="005F0061">
              <w:rPr>
                <w:rFonts w:eastAsia="SimSun"/>
                <w:szCs w:val="16"/>
              </w:rPr>
              <w:t xml:space="preserve"> monohydrate, or </w:t>
            </w:r>
            <w:proofErr w:type="spellStart"/>
            <w:r w:rsidRPr="005F0061">
              <w:rPr>
                <w:rFonts w:eastAsia="SimSun"/>
                <w:szCs w:val="16"/>
              </w:rPr>
              <w:t>macitentan</w:t>
            </w:r>
            <w:proofErr w:type="spellEnd"/>
            <w:r w:rsidRPr="005F0061">
              <w:rPr>
                <w:rFonts w:eastAsia="SimSun"/>
                <w:szCs w:val="16"/>
              </w:rPr>
              <w:t>.</w:t>
            </w:r>
            <w:r w:rsidRPr="005F0061">
              <w:rPr>
                <w:rFonts w:eastAsia="SimSun"/>
                <w:szCs w:val="16"/>
              </w:rPr>
              <w:br/>
              <w:t xml:space="preserve">(ii) A PDE-5i includes sildenafil citrate, or </w:t>
            </w:r>
            <w:proofErr w:type="spellStart"/>
            <w:r w:rsidRPr="005F0061">
              <w:rPr>
                <w:rFonts w:eastAsia="SimSun"/>
                <w:szCs w:val="16"/>
              </w:rPr>
              <w:t>tadalafil</w:t>
            </w:r>
            <w:proofErr w:type="spellEnd"/>
            <w:r w:rsidRPr="005F0061">
              <w:rPr>
                <w:rFonts w:eastAsia="SimSun"/>
                <w:szCs w:val="16"/>
              </w:rPr>
              <w:t>.</w:t>
            </w:r>
            <w:r w:rsidRPr="005F0061">
              <w:rPr>
                <w:rFonts w:eastAsia="SimSun"/>
                <w:szCs w:val="16"/>
              </w:rPr>
              <w:br/>
              <w:t>PAH agents are not PBS-subsidised for patients with pulmonary hypertension secondary to interstitial lung disease associated with connective tissue disease, where the total lung capacity is less than 70% of predicted.</w:t>
            </w:r>
            <w:r w:rsidRPr="005F0061">
              <w:rPr>
                <w:rFonts w:eastAsia="SimSun"/>
                <w:szCs w:val="16"/>
              </w:rPr>
              <w:br/>
              <w:t>Swapping between PAH agents: Patients can access PAH agents through the PBS according to the relevant restrictions.</w:t>
            </w:r>
            <w:r w:rsidRPr="005F0061">
              <w:rPr>
                <w:rFonts w:eastAsia="SimSun"/>
                <w:szCs w:val="16"/>
              </w:rPr>
              <w:br/>
              <w:t>Once patients are approved dual therapy with a PAH agent from the PDE-5i class; or a PAH agent from the ERA class, they may swap between PAH agents within the same class. This means that patients may commence treatment with another PAH agent in the same class, subject to that agent's restriction, irrespective of the severity of their disease at the time the application to swap therapy is submitted.</w:t>
            </w:r>
            <w:r w:rsidRPr="005F0061">
              <w:rPr>
                <w:rFonts w:eastAsia="SimSun"/>
                <w:szCs w:val="16"/>
              </w:rPr>
              <w:br/>
              <w:t>Applications to swap within a PAH agent class must be made under the relevant initial treatment restriction.</w:t>
            </w:r>
            <w:r w:rsidRPr="005F0061">
              <w:rPr>
                <w:rFonts w:eastAsia="SimSun"/>
                <w:szCs w:val="16"/>
              </w:rPr>
              <w:br/>
              <w:t>The maximum quantity authorised will be limited to provide sufficient supply for 1 month of treatment, based on the dosage recommendations in the TGA-approved Product Information.</w:t>
            </w:r>
            <w:r w:rsidRPr="005F0061">
              <w:rPr>
                <w:rFonts w:eastAsia="SimSun"/>
                <w:szCs w:val="16"/>
              </w:rPr>
              <w:br/>
              <w:t>A maximum of 5 repeats may be requested.</w:t>
            </w:r>
          </w:p>
        </w:tc>
        <w:tc>
          <w:tcPr>
            <w:tcW w:w="2650" w:type="dxa"/>
            <w:shd w:val="clear" w:color="auto" w:fill="auto"/>
            <w:tcMar>
              <w:top w:w="28" w:type="dxa"/>
              <w:left w:w="28" w:type="dxa"/>
              <w:right w:w="57" w:type="dxa"/>
            </w:tcMar>
          </w:tcPr>
          <w:p w14:paraId="39DF24CD" w14:textId="19220BB2" w:rsidR="003A399A" w:rsidRPr="005F0061" w:rsidRDefault="003A399A" w:rsidP="003A399A">
            <w:pPr>
              <w:pStyle w:val="Tabletext0"/>
              <w:rPr>
                <w:rFonts w:cs="Arial"/>
                <w:szCs w:val="16"/>
              </w:rPr>
            </w:pPr>
            <w:r w:rsidRPr="005F0061">
              <w:rPr>
                <w:rFonts w:eastAsia="SimSun" w:cs="Arial"/>
                <w:szCs w:val="16"/>
                <w:lang w:eastAsia="zh-CN"/>
              </w:rPr>
              <w:t>Compliance with Authority Required procedures</w:t>
            </w:r>
            <w:r w:rsidR="003327A6" w:rsidRPr="005F0061">
              <w:rPr>
                <w:rFonts w:eastAsia="SimSun" w:cs="Arial"/>
                <w:szCs w:val="16"/>
                <w:lang w:eastAsia="zh-CN"/>
              </w:rPr>
              <w:br/>
            </w:r>
          </w:p>
        </w:tc>
      </w:tr>
      <w:tr w:rsidR="003A399A" w:rsidRPr="005F0061" w14:paraId="1E1CDCB3" w14:textId="77777777" w:rsidTr="00DB6EC0">
        <w:tc>
          <w:tcPr>
            <w:tcW w:w="1900" w:type="dxa"/>
            <w:shd w:val="clear" w:color="auto" w:fill="auto"/>
            <w:tcMar>
              <w:top w:w="28" w:type="dxa"/>
              <w:left w:w="28" w:type="dxa"/>
            </w:tcMar>
          </w:tcPr>
          <w:p w14:paraId="6B31B190" w14:textId="77777777" w:rsidR="003A399A" w:rsidRPr="005F0061" w:rsidRDefault="003A399A" w:rsidP="003A399A">
            <w:pPr>
              <w:pStyle w:val="Tabletext0"/>
              <w:tabs>
                <w:tab w:val="left" w:pos="958"/>
              </w:tabs>
              <w:rPr>
                <w:rFonts w:cs="Arial"/>
                <w:szCs w:val="16"/>
              </w:rPr>
            </w:pPr>
          </w:p>
        </w:tc>
        <w:tc>
          <w:tcPr>
            <w:tcW w:w="850" w:type="dxa"/>
            <w:shd w:val="clear" w:color="auto" w:fill="auto"/>
            <w:tcMar>
              <w:top w:w="28" w:type="dxa"/>
              <w:left w:w="28" w:type="dxa"/>
            </w:tcMar>
          </w:tcPr>
          <w:p w14:paraId="6C75D3CD" w14:textId="499529E5" w:rsidR="003A399A" w:rsidRPr="005F0061" w:rsidRDefault="003A399A" w:rsidP="003A399A">
            <w:pPr>
              <w:pStyle w:val="mps3-data"/>
              <w:rPr>
                <w:szCs w:val="16"/>
              </w:rPr>
            </w:pPr>
            <w:r w:rsidRPr="005F0061">
              <w:rPr>
                <w:rFonts w:eastAsia="SimSun"/>
                <w:szCs w:val="16"/>
              </w:rPr>
              <w:t>C11020</w:t>
            </w:r>
          </w:p>
        </w:tc>
        <w:tc>
          <w:tcPr>
            <w:tcW w:w="850" w:type="dxa"/>
            <w:shd w:val="clear" w:color="auto" w:fill="auto"/>
            <w:tcMar>
              <w:top w:w="28" w:type="dxa"/>
              <w:left w:w="28" w:type="dxa"/>
            </w:tcMar>
          </w:tcPr>
          <w:p w14:paraId="7F4B4E4A" w14:textId="77777777" w:rsidR="003A399A" w:rsidRPr="005F0061" w:rsidDel="00E03489" w:rsidRDefault="003A399A" w:rsidP="003A399A">
            <w:pPr>
              <w:spacing w:before="60" w:after="60"/>
              <w:rPr>
                <w:rFonts w:ascii="Arial" w:hAnsi="Arial" w:cs="Arial"/>
                <w:sz w:val="16"/>
                <w:szCs w:val="16"/>
                <w:lang w:eastAsia="en-AU"/>
              </w:rPr>
            </w:pPr>
          </w:p>
        </w:tc>
        <w:tc>
          <w:tcPr>
            <w:tcW w:w="7661" w:type="dxa"/>
            <w:shd w:val="clear" w:color="auto" w:fill="auto"/>
            <w:tcMar>
              <w:top w:w="28" w:type="dxa"/>
              <w:left w:w="28" w:type="dxa"/>
            </w:tcMar>
          </w:tcPr>
          <w:p w14:paraId="07075F9A" w14:textId="729B7368" w:rsidR="003A399A" w:rsidRPr="005F0061" w:rsidRDefault="003A399A" w:rsidP="003A399A">
            <w:pPr>
              <w:pStyle w:val="mps3-data"/>
              <w:rPr>
                <w:szCs w:val="16"/>
              </w:rPr>
            </w:pPr>
            <w:r w:rsidRPr="005F0061">
              <w:rPr>
                <w:rFonts w:eastAsia="SimSun"/>
                <w:szCs w:val="16"/>
              </w:rPr>
              <w:t>Pulmonary arterial hypertension (PAH)</w:t>
            </w:r>
            <w:r w:rsidRPr="005F0061">
              <w:rPr>
                <w:rFonts w:eastAsia="SimSun"/>
                <w:szCs w:val="16"/>
              </w:rPr>
              <w:br/>
              <w:t>Initial 2 (dual therapy - previously treated patients)</w:t>
            </w:r>
            <w:r w:rsidRPr="005F0061">
              <w:rPr>
                <w:rFonts w:eastAsia="SimSun"/>
                <w:szCs w:val="16"/>
              </w:rPr>
              <w:br/>
              <w:t>Patient must have documented WHO Functional Class III PAH or WHO Functional Class IV PAH; AND</w:t>
            </w:r>
            <w:r w:rsidRPr="005F0061">
              <w:rPr>
                <w:rFonts w:eastAsia="SimSun"/>
                <w:szCs w:val="16"/>
              </w:rPr>
              <w:br/>
              <w:t>Patient must have documented a failure to achieve or maintain WHO Functional Class II status with prior PBS-subsidised monotherapy treatment with an endothelin receptor antagonist (ERA) for this condition; AND</w:t>
            </w:r>
            <w:r w:rsidRPr="005F0061">
              <w:rPr>
                <w:rFonts w:eastAsia="SimSun"/>
                <w:szCs w:val="16"/>
              </w:rPr>
              <w:br/>
              <w:t>The treatment must be in combination with a PBS-subsidised endothelin receptor antagonist (ERA) for this condition.</w:t>
            </w:r>
            <w:r w:rsidRPr="005F0061">
              <w:rPr>
                <w:rFonts w:eastAsia="SimSun"/>
                <w:szCs w:val="16"/>
              </w:rPr>
              <w:br/>
              <w:t xml:space="preserve">The term 'PAH agents' refers to </w:t>
            </w:r>
            <w:proofErr w:type="spellStart"/>
            <w:r w:rsidRPr="005F0061">
              <w:rPr>
                <w:rFonts w:eastAsia="SimSun"/>
                <w:szCs w:val="16"/>
              </w:rPr>
              <w:t>bosentan</w:t>
            </w:r>
            <w:proofErr w:type="spellEnd"/>
            <w:r w:rsidRPr="005F0061">
              <w:rPr>
                <w:rFonts w:eastAsia="SimSun"/>
                <w:szCs w:val="16"/>
              </w:rPr>
              <w:t xml:space="preserve"> monohydrate, </w:t>
            </w:r>
            <w:proofErr w:type="spellStart"/>
            <w:r w:rsidRPr="005F0061">
              <w:rPr>
                <w:rFonts w:eastAsia="SimSun"/>
                <w:szCs w:val="16"/>
              </w:rPr>
              <w:t>iloprost</w:t>
            </w:r>
            <w:proofErr w:type="spellEnd"/>
            <w:r w:rsidRPr="005F0061">
              <w:rPr>
                <w:rFonts w:eastAsia="SimSun"/>
                <w:szCs w:val="16"/>
              </w:rPr>
              <w:t xml:space="preserve"> trometamol, </w:t>
            </w:r>
            <w:proofErr w:type="spellStart"/>
            <w:r w:rsidRPr="005F0061">
              <w:rPr>
                <w:rFonts w:eastAsia="SimSun"/>
                <w:szCs w:val="16"/>
              </w:rPr>
              <w:t>epoprostenol</w:t>
            </w:r>
            <w:proofErr w:type="spellEnd"/>
            <w:r w:rsidRPr="005F0061">
              <w:rPr>
                <w:rFonts w:eastAsia="SimSun"/>
                <w:szCs w:val="16"/>
              </w:rPr>
              <w:t xml:space="preserve"> sodium, sildenafil citrate, </w:t>
            </w:r>
            <w:proofErr w:type="spellStart"/>
            <w:r w:rsidRPr="005F0061">
              <w:rPr>
                <w:rFonts w:eastAsia="SimSun"/>
                <w:szCs w:val="16"/>
              </w:rPr>
              <w:t>ambrisentan</w:t>
            </w:r>
            <w:proofErr w:type="spellEnd"/>
            <w:r w:rsidRPr="005F0061">
              <w:rPr>
                <w:rFonts w:eastAsia="SimSun"/>
                <w:szCs w:val="16"/>
              </w:rPr>
              <w:t xml:space="preserve">, </w:t>
            </w:r>
            <w:proofErr w:type="spellStart"/>
            <w:r w:rsidRPr="005F0061">
              <w:rPr>
                <w:rFonts w:eastAsia="SimSun"/>
                <w:szCs w:val="16"/>
              </w:rPr>
              <w:t>tadalafil</w:t>
            </w:r>
            <w:proofErr w:type="spellEnd"/>
            <w:r w:rsidRPr="005F0061">
              <w:rPr>
                <w:rFonts w:eastAsia="SimSun"/>
                <w:szCs w:val="16"/>
              </w:rPr>
              <w:t xml:space="preserve">, </w:t>
            </w:r>
            <w:proofErr w:type="spellStart"/>
            <w:r w:rsidRPr="005F0061">
              <w:rPr>
                <w:rFonts w:eastAsia="SimSun"/>
                <w:szCs w:val="16"/>
              </w:rPr>
              <w:t>macitentan</w:t>
            </w:r>
            <w:proofErr w:type="spellEnd"/>
            <w:r w:rsidRPr="005F0061">
              <w:rPr>
                <w:rFonts w:eastAsia="SimSun"/>
                <w:szCs w:val="16"/>
              </w:rPr>
              <w:t xml:space="preserve">, and </w:t>
            </w:r>
            <w:proofErr w:type="spellStart"/>
            <w:r w:rsidRPr="005F0061">
              <w:rPr>
                <w:rFonts w:eastAsia="SimSun"/>
                <w:szCs w:val="16"/>
              </w:rPr>
              <w:t>riociguat</w:t>
            </w:r>
            <w:proofErr w:type="spellEnd"/>
            <w:r w:rsidRPr="005F0061">
              <w:rPr>
                <w:rFonts w:eastAsia="SimSun"/>
                <w:szCs w:val="16"/>
              </w:rPr>
              <w:t>.</w:t>
            </w:r>
            <w:r w:rsidRPr="005F0061">
              <w:rPr>
                <w:rFonts w:eastAsia="SimSun"/>
                <w:szCs w:val="16"/>
              </w:rPr>
              <w:br/>
              <w:t>For the purposes of PBS subsidy, dual therapy refers to combined use of an endothelin receptor antagonist (ERA) and a phosphodiesterase-5 inhibitor (PDE-5i).</w:t>
            </w:r>
            <w:r w:rsidRPr="005F0061">
              <w:rPr>
                <w:rFonts w:eastAsia="SimSun"/>
                <w:szCs w:val="16"/>
              </w:rPr>
              <w:br/>
              <w:t>(</w:t>
            </w:r>
            <w:proofErr w:type="spellStart"/>
            <w:r w:rsidRPr="005F0061">
              <w:rPr>
                <w:rFonts w:eastAsia="SimSun"/>
                <w:szCs w:val="16"/>
              </w:rPr>
              <w:t>i</w:t>
            </w:r>
            <w:proofErr w:type="spellEnd"/>
            <w:r w:rsidRPr="005F0061">
              <w:rPr>
                <w:rFonts w:eastAsia="SimSun"/>
                <w:szCs w:val="16"/>
              </w:rPr>
              <w:t xml:space="preserve">) An ERA includes </w:t>
            </w:r>
            <w:proofErr w:type="spellStart"/>
            <w:r w:rsidRPr="005F0061">
              <w:rPr>
                <w:rFonts w:eastAsia="SimSun"/>
                <w:szCs w:val="16"/>
              </w:rPr>
              <w:t>ambrisentan</w:t>
            </w:r>
            <w:proofErr w:type="spellEnd"/>
            <w:r w:rsidRPr="005F0061">
              <w:rPr>
                <w:rFonts w:eastAsia="SimSun"/>
                <w:szCs w:val="16"/>
              </w:rPr>
              <w:t xml:space="preserve">, </w:t>
            </w:r>
            <w:proofErr w:type="spellStart"/>
            <w:r w:rsidRPr="005F0061">
              <w:rPr>
                <w:rFonts w:eastAsia="SimSun"/>
                <w:szCs w:val="16"/>
              </w:rPr>
              <w:t>bosentan</w:t>
            </w:r>
            <w:proofErr w:type="spellEnd"/>
            <w:r w:rsidRPr="005F0061">
              <w:rPr>
                <w:rFonts w:eastAsia="SimSun"/>
                <w:szCs w:val="16"/>
              </w:rPr>
              <w:t xml:space="preserve"> monohydrate, or </w:t>
            </w:r>
            <w:proofErr w:type="spellStart"/>
            <w:r w:rsidRPr="005F0061">
              <w:rPr>
                <w:rFonts w:eastAsia="SimSun"/>
                <w:szCs w:val="16"/>
              </w:rPr>
              <w:t>macitentan</w:t>
            </w:r>
            <w:proofErr w:type="spellEnd"/>
            <w:r w:rsidRPr="005F0061">
              <w:rPr>
                <w:rFonts w:eastAsia="SimSun"/>
                <w:szCs w:val="16"/>
              </w:rPr>
              <w:t>.</w:t>
            </w:r>
            <w:r w:rsidRPr="005F0061">
              <w:rPr>
                <w:rFonts w:eastAsia="SimSun"/>
                <w:szCs w:val="16"/>
              </w:rPr>
              <w:br/>
              <w:t xml:space="preserve">(ii) A PDE-5i includes sildenafil citrate, or </w:t>
            </w:r>
            <w:proofErr w:type="spellStart"/>
            <w:r w:rsidRPr="005F0061">
              <w:rPr>
                <w:rFonts w:eastAsia="SimSun"/>
                <w:szCs w:val="16"/>
              </w:rPr>
              <w:t>tadalafil</w:t>
            </w:r>
            <w:proofErr w:type="spellEnd"/>
            <w:r w:rsidRPr="005F0061">
              <w:rPr>
                <w:rFonts w:eastAsia="SimSun"/>
                <w:szCs w:val="16"/>
              </w:rPr>
              <w:t>.</w:t>
            </w:r>
            <w:r w:rsidRPr="005F0061">
              <w:rPr>
                <w:rFonts w:eastAsia="SimSun"/>
                <w:szCs w:val="16"/>
              </w:rPr>
              <w:br/>
              <w:t>PAH agents are not PBS-subsidised for patients with pulmonary hypertension secondary to interstitial lung disease associated with connective tissue disease, where the total lung capacity is less than 70% of predicted.</w:t>
            </w:r>
            <w:r w:rsidRPr="005F0061">
              <w:rPr>
                <w:rFonts w:eastAsia="SimSun"/>
                <w:szCs w:val="16"/>
              </w:rPr>
              <w:br/>
            </w:r>
            <w:r w:rsidRPr="005F0061">
              <w:rPr>
                <w:rFonts w:eastAsia="SimSun"/>
                <w:szCs w:val="16"/>
              </w:rPr>
              <w:lastRenderedPageBreak/>
              <w:t>PAH (WHO Group 1 pulmonary hypertension) is defined as follows</w:t>
            </w:r>
            <w:proofErr w:type="gramStart"/>
            <w:r w:rsidRPr="005F0061">
              <w:rPr>
                <w:rFonts w:eastAsia="SimSun"/>
                <w:szCs w:val="16"/>
              </w:rPr>
              <w:t>:</w:t>
            </w:r>
            <w:proofErr w:type="gramEnd"/>
            <w:r w:rsidRPr="005F0061">
              <w:rPr>
                <w:rFonts w:eastAsia="SimSun"/>
                <w:szCs w:val="16"/>
              </w:rPr>
              <w:br/>
              <w:t>(</w:t>
            </w:r>
            <w:proofErr w:type="spellStart"/>
            <w:r w:rsidRPr="005F0061">
              <w:rPr>
                <w:rFonts w:eastAsia="SimSun"/>
                <w:szCs w:val="16"/>
              </w:rPr>
              <w:t>i</w:t>
            </w:r>
            <w:proofErr w:type="spellEnd"/>
            <w:r w:rsidRPr="005F0061">
              <w:rPr>
                <w:rFonts w:eastAsia="SimSun"/>
                <w:szCs w:val="16"/>
              </w:rPr>
              <w:t>) mean pulmonary artery pressure (</w:t>
            </w:r>
            <w:proofErr w:type="spellStart"/>
            <w:r w:rsidRPr="005F0061">
              <w:rPr>
                <w:rFonts w:eastAsia="SimSun"/>
                <w:szCs w:val="16"/>
              </w:rPr>
              <w:t>mPAP</w:t>
            </w:r>
            <w:proofErr w:type="spellEnd"/>
            <w:r w:rsidRPr="005F0061">
              <w:rPr>
                <w:rFonts w:eastAsia="SimSun"/>
                <w:szCs w:val="16"/>
              </w:rPr>
              <w:t>) greater than or equal to 25 mmHg at rest and pulmonary artery wedge pressure (PAWP) less than or equal to 15 mmHg; or</w:t>
            </w:r>
            <w:r w:rsidRPr="005F0061">
              <w:rPr>
                <w:rFonts w:eastAsia="SimSun"/>
                <w:szCs w:val="16"/>
              </w:rPr>
              <w:br/>
              <w:t>(ii) where a right heart catheter (RHC) cannot be performed on clinical grounds, right ventricular systolic pressure (RVSP), assessed by echocardiography (ECHO), greater than 40 mmHg, with normal left ventricular function.</w:t>
            </w:r>
            <w:r w:rsidRPr="005F0061">
              <w:rPr>
                <w:rFonts w:eastAsia="SimSun"/>
                <w:szCs w:val="16"/>
              </w:rPr>
              <w:br/>
              <w:t>The results and date of the RHC, ECHO and 6 MWT as applicable must be included in the patient's medical record. Where a RHC cannot be performed on clinical grounds, the written confirmation of the reasons why must also be included in the patient's medical record.</w:t>
            </w:r>
            <w:r w:rsidRPr="005F0061">
              <w:rPr>
                <w:rFonts w:eastAsia="SimSun"/>
                <w:szCs w:val="16"/>
              </w:rPr>
              <w:br/>
              <w:t>The maximum quantity authorised will be limited to provide sufficient supply for 1 month of treatment, based on the dosage recommendations in the TGA-approved Product Information.</w:t>
            </w:r>
            <w:r w:rsidRPr="005F0061">
              <w:rPr>
                <w:rFonts w:eastAsia="SimSun"/>
                <w:szCs w:val="16"/>
              </w:rPr>
              <w:br/>
              <w:t>A maximum of 5 repeats may be requested.</w:t>
            </w:r>
          </w:p>
        </w:tc>
        <w:tc>
          <w:tcPr>
            <w:tcW w:w="2650" w:type="dxa"/>
            <w:shd w:val="clear" w:color="auto" w:fill="auto"/>
            <w:tcMar>
              <w:top w:w="28" w:type="dxa"/>
              <w:left w:w="28" w:type="dxa"/>
              <w:right w:w="57" w:type="dxa"/>
            </w:tcMar>
          </w:tcPr>
          <w:p w14:paraId="40EB4E05" w14:textId="51C6D80C" w:rsidR="003A399A" w:rsidRPr="005F0061" w:rsidRDefault="003A399A" w:rsidP="003327A6">
            <w:pPr>
              <w:pStyle w:val="Tabletext0"/>
              <w:rPr>
                <w:rFonts w:cs="Arial"/>
                <w:szCs w:val="16"/>
              </w:rPr>
            </w:pPr>
            <w:r w:rsidRPr="005F0061">
              <w:rPr>
                <w:rFonts w:eastAsia="SimSun" w:cs="Arial"/>
                <w:szCs w:val="16"/>
                <w:lang w:eastAsia="zh-CN"/>
              </w:rPr>
              <w:lastRenderedPageBreak/>
              <w:t>Compliance with Authority Required procedures</w:t>
            </w:r>
            <w:r w:rsidR="003327A6" w:rsidRPr="005F0061">
              <w:rPr>
                <w:rFonts w:eastAsia="SimSun" w:cs="Arial"/>
                <w:szCs w:val="16"/>
                <w:lang w:eastAsia="zh-CN"/>
              </w:rPr>
              <w:br/>
            </w:r>
          </w:p>
        </w:tc>
      </w:tr>
      <w:tr w:rsidR="003A399A" w:rsidRPr="005F0061" w14:paraId="1FF1E0D5" w14:textId="77777777" w:rsidTr="00DB6EC0">
        <w:tc>
          <w:tcPr>
            <w:tcW w:w="1900" w:type="dxa"/>
            <w:shd w:val="clear" w:color="auto" w:fill="auto"/>
            <w:tcMar>
              <w:top w:w="28" w:type="dxa"/>
              <w:left w:w="28" w:type="dxa"/>
            </w:tcMar>
          </w:tcPr>
          <w:p w14:paraId="37643FD8" w14:textId="77777777" w:rsidR="003A399A" w:rsidRPr="005F0061" w:rsidRDefault="003A399A" w:rsidP="003A399A">
            <w:pPr>
              <w:pStyle w:val="Tabletext0"/>
              <w:tabs>
                <w:tab w:val="left" w:pos="958"/>
              </w:tabs>
              <w:rPr>
                <w:rFonts w:cs="Arial"/>
                <w:szCs w:val="16"/>
              </w:rPr>
            </w:pPr>
          </w:p>
        </w:tc>
        <w:tc>
          <w:tcPr>
            <w:tcW w:w="850" w:type="dxa"/>
            <w:shd w:val="clear" w:color="auto" w:fill="auto"/>
            <w:tcMar>
              <w:top w:w="28" w:type="dxa"/>
              <w:left w:w="28" w:type="dxa"/>
            </w:tcMar>
          </w:tcPr>
          <w:p w14:paraId="1BF214F1" w14:textId="7A752382" w:rsidR="003A399A" w:rsidRPr="005F0061" w:rsidRDefault="003A399A" w:rsidP="003A399A">
            <w:pPr>
              <w:pStyle w:val="mps3-data"/>
              <w:rPr>
                <w:szCs w:val="16"/>
              </w:rPr>
            </w:pPr>
            <w:r w:rsidRPr="005F0061">
              <w:rPr>
                <w:rFonts w:eastAsia="SimSun"/>
                <w:szCs w:val="16"/>
              </w:rPr>
              <w:t>C11032</w:t>
            </w:r>
          </w:p>
        </w:tc>
        <w:tc>
          <w:tcPr>
            <w:tcW w:w="850" w:type="dxa"/>
            <w:shd w:val="clear" w:color="auto" w:fill="auto"/>
            <w:tcMar>
              <w:top w:w="28" w:type="dxa"/>
              <w:left w:w="28" w:type="dxa"/>
            </w:tcMar>
          </w:tcPr>
          <w:p w14:paraId="311A225D" w14:textId="77777777" w:rsidR="003A399A" w:rsidRPr="005F0061" w:rsidDel="00E03489" w:rsidRDefault="003A399A" w:rsidP="003A399A">
            <w:pPr>
              <w:spacing w:before="60" w:after="60"/>
              <w:rPr>
                <w:rFonts w:ascii="Arial" w:hAnsi="Arial" w:cs="Arial"/>
                <w:sz w:val="16"/>
                <w:szCs w:val="16"/>
                <w:lang w:eastAsia="en-AU"/>
              </w:rPr>
            </w:pPr>
          </w:p>
        </w:tc>
        <w:tc>
          <w:tcPr>
            <w:tcW w:w="7661" w:type="dxa"/>
            <w:shd w:val="clear" w:color="auto" w:fill="auto"/>
            <w:tcMar>
              <w:top w:w="28" w:type="dxa"/>
              <w:left w:w="28" w:type="dxa"/>
            </w:tcMar>
          </w:tcPr>
          <w:p w14:paraId="52A52832" w14:textId="50A75B09" w:rsidR="003A399A" w:rsidRPr="005F0061" w:rsidRDefault="003A399A" w:rsidP="003A399A">
            <w:pPr>
              <w:pStyle w:val="mps3-data"/>
              <w:rPr>
                <w:szCs w:val="16"/>
              </w:rPr>
            </w:pPr>
            <w:r w:rsidRPr="005F0061">
              <w:rPr>
                <w:rFonts w:eastAsia="SimSun"/>
                <w:szCs w:val="16"/>
              </w:rPr>
              <w:t>Pulmonary arterial hypertension (PAH)</w:t>
            </w:r>
            <w:r w:rsidRPr="005F0061">
              <w:rPr>
                <w:rFonts w:eastAsia="SimSun"/>
                <w:szCs w:val="16"/>
              </w:rPr>
              <w:br/>
              <w:t>Initial 1 (dual therapy - previously untreated patients)</w:t>
            </w:r>
            <w:r w:rsidRPr="005F0061">
              <w:rPr>
                <w:rFonts w:eastAsia="SimSun"/>
                <w:szCs w:val="16"/>
              </w:rPr>
              <w:br/>
              <w:t>Patient must not have received prior PBS-subsidised treatment with a pulmonary arterial hypertension (PAH) agent; AND</w:t>
            </w:r>
            <w:r w:rsidRPr="005F0061">
              <w:rPr>
                <w:rFonts w:eastAsia="SimSun"/>
                <w:szCs w:val="16"/>
              </w:rPr>
              <w:br/>
              <w:t>Patient must have been assessed by a physician with expertise in the management of PAH; AND</w:t>
            </w:r>
            <w:r w:rsidRPr="005F0061">
              <w:rPr>
                <w:rFonts w:eastAsia="SimSun"/>
                <w:szCs w:val="16"/>
              </w:rPr>
              <w:br/>
              <w:t>Patient must currently have WHO Functional Class III PAH or WHO Functional Class IV PAH; AND</w:t>
            </w:r>
            <w:r w:rsidRPr="005F0061">
              <w:rPr>
                <w:rFonts w:eastAsia="SimSun"/>
                <w:szCs w:val="16"/>
              </w:rPr>
              <w:br/>
              <w:t>The treatment must be in combination with a PBS-subsidised endothelin receptor antagonist (ERA) for this condition.</w:t>
            </w:r>
            <w:r w:rsidRPr="005F0061">
              <w:rPr>
                <w:rFonts w:eastAsia="SimSun"/>
                <w:szCs w:val="16"/>
              </w:rPr>
              <w:br/>
              <w:t xml:space="preserve">The term 'PAH agents' refers to </w:t>
            </w:r>
            <w:proofErr w:type="spellStart"/>
            <w:r w:rsidRPr="005F0061">
              <w:rPr>
                <w:rFonts w:eastAsia="SimSun"/>
                <w:szCs w:val="16"/>
              </w:rPr>
              <w:t>bosentan</w:t>
            </w:r>
            <w:proofErr w:type="spellEnd"/>
            <w:r w:rsidRPr="005F0061">
              <w:rPr>
                <w:rFonts w:eastAsia="SimSun"/>
                <w:szCs w:val="16"/>
              </w:rPr>
              <w:t xml:space="preserve"> monohydrate, </w:t>
            </w:r>
            <w:proofErr w:type="spellStart"/>
            <w:r w:rsidRPr="005F0061">
              <w:rPr>
                <w:rFonts w:eastAsia="SimSun"/>
                <w:szCs w:val="16"/>
              </w:rPr>
              <w:t>iloprost</w:t>
            </w:r>
            <w:proofErr w:type="spellEnd"/>
            <w:r w:rsidRPr="005F0061">
              <w:rPr>
                <w:rFonts w:eastAsia="SimSun"/>
                <w:szCs w:val="16"/>
              </w:rPr>
              <w:t xml:space="preserve"> trometamol, </w:t>
            </w:r>
            <w:proofErr w:type="spellStart"/>
            <w:r w:rsidRPr="005F0061">
              <w:rPr>
                <w:rFonts w:eastAsia="SimSun"/>
                <w:szCs w:val="16"/>
              </w:rPr>
              <w:t>epoprostenol</w:t>
            </w:r>
            <w:proofErr w:type="spellEnd"/>
            <w:r w:rsidRPr="005F0061">
              <w:rPr>
                <w:rFonts w:eastAsia="SimSun"/>
                <w:szCs w:val="16"/>
              </w:rPr>
              <w:t xml:space="preserve"> sodium, sildenafil citrate, </w:t>
            </w:r>
            <w:proofErr w:type="spellStart"/>
            <w:r w:rsidRPr="005F0061">
              <w:rPr>
                <w:rFonts w:eastAsia="SimSun"/>
                <w:szCs w:val="16"/>
              </w:rPr>
              <w:t>ambrisentan</w:t>
            </w:r>
            <w:proofErr w:type="spellEnd"/>
            <w:r w:rsidRPr="005F0061">
              <w:rPr>
                <w:rFonts w:eastAsia="SimSun"/>
                <w:szCs w:val="16"/>
              </w:rPr>
              <w:t xml:space="preserve">, </w:t>
            </w:r>
            <w:proofErr w:type="spellStart"/>
            <w:r w:rsidRPr="005F0061">
              <w:rPr>
                <w:rFonts w:eastAsia="SimSun"/>
                <w:szCs w:val="16"/>
              </w:rPr>
              <w:t>tadalafil</w:t>
            </w:r>
            <w:proofErr w:type="spellEnd"/>
            <w:r w:rsidRPr="005F0061">
              <w:rPr>
                <w:rFonts w:eastAsia="SimSun"/>
                <w:szCs w:val="16"/>
              </w:rPr>
              <w:t xml:space="preserve">, </w:t>
            </w:r>
            <w:proofErr w:type="spellStart"/>
            <w:r w:rsidRPr="005F0061">
              <w:rPr>
                <w:rFonts w:eastAsia="SimSun"/>
                <w:szCs w:val="16"/>
              </w:rPr>
              <w:t>macitentan</w:t>
            </w:r>
            <w:proofErr w:type="spellEnd"/>
            <w:r w:rsidRPr="005F0061">
              <w:rPr>
                <w:rFonts w:eastAsia="SimSun"/>
                <w:szCs w:val="16"/>
              </w:rPr>
              <w:t xml:space="preserve">, and </w:t>
            </w:r>
            <w:proofErr w:type="spellStart"/>
            <w:r w:rsidRPr="005F0061">
              <w:rPr>
                <w:rFonts w:eastAsia="SimSun"/>
                <w:szCs w:val="16"/>
              </w:rPr>
              <w:t>riociguat</w:t>
            </w:r>
            <w:proofErr w:type="spellEnd"/>
            <w:r w:rsidRPr="005F0061">
              <w:rPr>
                <w:rFonts w:eastAsia="SimSun"/>
                <w:szCs w:val="16"/>
              </w:rPr>
              <w:t>.</w:t>
            </w:r>
            <w:r w:rsidRPr="005F0061">
              <w:rPr>
                <w:rFonts w:eastAsia="SimSun"/>
                <w:szCs w:val="16"/>
              </w:rPr>
              <w:br/>
              <w:t>For the purposes of PBS subsidy, dual therapy refers to combined use of an endothelin receptor antagonist (ERA) and a phosphodiesterase-5 inhibitor (PDE-5i).</w:t>
            </w:r>
            <w:r w:rsidRPr="005F0061">
              <w:rPr>
                <w:rFonts w:eastAsia="SimSun"/>
                <w:szCs w:val="16"/>
              </w:rPr>
              <w:br/>
              <w:t>(</w:t>
            </w:r>
            <w:proofErr w:type="spellStart"/>
            <w:r w:rsidRPr="005F0061">
              <w:rPr>
                <w:rFonts w:eastAsia="SimSun"/>
                <w:szCs w:val="16"/>
              </w:rPr>
              <w:t>i</w:t>
            </w:r>
            <w:proofErr w:type="spellEnd"/>
            <w:r w:rsidRPr="005F0061">
              <w:rPr>
                <w:rFonts w:eastAsia="SimSun"/>
                <w:szCs w:val="16"/>
              </w:rPr>
              <w:t xml:space="preserve">) An ERA includes </w:t>
            </w:r>
            <w:proofErr w:type="spellStart"/>
            <w:r w:rsidRPr="005F0061">
              <w:rPr>
                <w:rFonts w:eastAsia="SimSun"/>
                <w:szCs w:val="16"/>
              </w:rPr>
              <w:t>ambrisentan</w:t>
            </w:r>
            <w:proofErr w:type="spellEnd"/>
            <w:r w:rsidRPr="005F0061">
              <w:rPr>
                <w:rFonts w:eastAsia="SimSun"/>
                <w:szCs w:val="16"/>
              </w:rPr>
              <w:t xml:space="preserve">, </w:t>
            </w:r>
            <w:proofErr w:type="spellStart"/>
            <w:r w:rsidRPr="005F0061">
              <w:rPr>
                <w:rFonts w:eastAsia="SimSun"/>
                <w:szCs w:val="16"/>
              </w:rPr>
              <w:t>bosentan</w:t>
            </w:r>
            <w:proofErr w:type="spellEnd"/>
            <w:r w:rsidRPr="005F0061">
              <w:rPr>
                <w:rFonts w:eastAsia="SimSun"/>
                <w:szCs w:val="16"/>
              </w:rPr>
              <w:t xml:space="preserve"> monohydrate, or </w:t>
            </w:r>
            <w:proofErr w:type="spellStart"/>
            <w:r w:rsidRPr="005F0061">
              <w:rPr>
                <w:rFonts w:eastAsia="SimSun"/>
                <w:szCs w:val="16"/>
              </w:rPr>
              <w:t>macitentan</w:t>
            </w:r>
            <w:proofErr w:type="spellEnd"/>
            <w:r w:rsidRPr="005F0061">
              <w:rPr>
                <w:rFonts w:eastAsia="SimSun"/>
                <w:szCs w:val="16"/>
              </w:rPr>
              <w:t>.</w:t>
            </w:r>
            <w:r w:rsidRPr="005F0061">
              <w:rPr>
                <w:rFonts w:eastAsia="SimSun"/>
                <w:szCs w:val="16"/>
              </w:rPr>
              <w:br/>
              <w:t xml:space="preserve">(ii) A PDE-5i includes sildenafil citrate, or </w:t>
            </w:r>
            <w:proofErr w:type="spellStart"/>
            <w:r w:rsidRPr="005F0061">
              <w:rPr>
                <w:rFonts w:eastAsia="SimSun"/>
                <w:szCs w:val="16"/>
              </w:rPr>
              <w:t>tadalafil</w:t>
            </w:r>
            <w:proofErr w:type="spellEnd"/>
            <w:r w:rsidRPr="005F0061">
              <w:rPr>
                <w:rFonts w:eastAsia="SimSun"/>
                <w:szCs w:val="16"/>
              </w:rPr>
              <w:t>.</w:t>
            </w:r>
            <w:r w:rsidRPr="005F0061">
              <w:rPr>
                <w:rFonts w:eastAsia="SimSun"/>
                <w:szCs w:val="16"/>
              </w:rPr>
              <w:br/>
              <w:t>PAH agents are not PBS-subsidised for patients with pulmonary hypertension secondary to interstitial lung disease associated with connective tissue disease, where the total lung capacity is less than 70% of predicted.</w:t>
            </w:r>
            <w:r w:rsidRPr="005F0061">
              <w:rPr>
                <w:rFonts w:eastAsia="SimSun"/>
                <w:szCs w:val="16"/>
              </w:rPr>
              <w:br/>
              <w:t>PAH (WHO Group 1 pulmonary hypertension) is defined as follows</w:t>
            </w:r>
            <w:proofErr w:type="gramStart"/>
            <w:r w:rsidRPr="005F0061">
              <w:rPr>
                <w:rFonts w:eastAsia="SimSun"/>
                <w:szCs w:val="16"/>
              </w:rPr>
              <w:t>:</w:t>
            </w:r>
            <w:proofErr w:type="gramEnd"/>
            <w:r w:rsidRPr="005F0061">
              <w:rPr>
                <w:rFonts w:eastAsia="SimSun"/>
                <w:szCs w:val="16"/>
              </w:rPr>
              <w:br/>
              <w:t>(</w:t>
            </w:r>
            <w:proofErr w:type="spellStart"/>
            <w:r w:rsidRPr="005F0061">
              <w:rPr>
                <w:rFonts w:eastAsia="SimSun"/>
                <w:szCs w:val="16"/>
              </w:rPr>
              <w:t>i</w:t>
            </w:r>
            <w:proofErr w:type="spellEnd"/>
            <w:r w:rsidRPr="005F0061">
              <w:rPr>
                <w:rFonts w:eastAsia="SimSun"/>
                <w:szCs w:val="16"/>
              </w:rPr>
              <w:t>) mean pulmonary artery pressure (</w:t>
            </w:r>
            <w:proofErr w:type="spellStart"/>
            <w:r w:rsidRPr="005F0061">
              <w:rPr>
                <w:rFonts w:eastAsia="SimSun"/>
                <w:szCs w:val="16"/>
              </w:rPr>
              <w:t>mPAP</w:t>
            </w:r>
            <w:proofErr w:type="spellEnd"/>
            <w:r w:rsidRPr="005F0061">
              <w:rPr>
                <w:rFonts w:eastAsia="SimSun"/>
                <w:szCs w:val="16"/>
              </w:rPr>
              <w:t>) greater than or equal to 25 mmHg at rest and pulmonary artery wedge pressure (PAWP) less than or equal to 15 mmHg; or</w:t>
            </w:r>
            <w:r w:rsidRPr="005F0061">
              <w:rPr>
                <w:rFonts w:eastAsia="SimSun"/>
                <w:szCs w:val="16"/>
              </w:rPr>
              <w:br/>
              <w:t>(ii) where a right heart catheter (RHC) cannot be performed on clinical grounds, right ventricular systolic pressure (RVSP), assessed by echocardiography (ECHO), greater than 40 mmHg, with normal left ventricular function.</w:t>
            </w:r>
            <w:r w:rsidRPr="005F0061">
              <w:rPr>
                <w:rFonts w:eastAsia="SimSun"/>
                <w:szCs w:val="16"/>
              </w:rPr>
              <w:br/>
              <w:t>Applications for authorisation must be in writing and must include:</w:t>
            </w:r>
            <w:r w:rsidRPr="005F0061">
              <w:rPr>
                <w:rFonts w:eastAsia="SimSun"/>
                <w:szCs w:val="16"/>
              </w:rPr>
              <w:br/>
              <w:t>(1) a completed authority prescription form; and</w:t>
            </w:r>
            <w:r w:rsidRPr="005F0061">
              <w:rPr>
                <w:rFonts w:eastAsia="SimSun"/>
                <w:szCs w:val="16"/>
              </w:rPr>
              <w:br/>
              <w:t>(2) a completed Pulmonary Arterial Hypertension PBS Authority Application - Supporting Information form which includes results from the three tests below, where available:</w:t>
            </w:r>
            <w:r w:rsidRPr="005F0061">
              <w:rPr>
                <w:rFonts w:eastAsia="SimSun"/>
                <w:szCs w:val="16"/>
              </w:rPr>
              <w:br/>
              <w:t>(</w:t>
            </w:r>
            <w:proofErr w:type="spellStart"/>
            <w:r w:rsidRPr="005F0061">
              <w:rPr>
                <w:rFonts w:eastAsia="SimSun"/>
                <w:szCs w:val="16"/>
              </w:rPr>
              <w:t>i</w:t>
            </w:r>
            <w:proofErr w:type="spellEnd"/>
            <w:r w:rsidRPr="005F0061">
              <w:rPr>
                <w:rFonts w:eastAsia="SimSun"/>
                <w:szCs w:val="16"/>
              </w:rPr>
              <w:t>) RHC composite assessment; and</w:t>
            </w:r>
            <w:r w:rsidRPr="005F0061">
              <w:rPr>
                <w:rFonts w:eastAsia="SimSun"/>
                <w:szCs w:val="16"/>
              </w:rPr>
              <w:br/>
              <w:t>(ii) ECHO composite assessment; and</w:t>
            </w:r>
            <w:r w:rsidRPr="005F0061">
              <w:rPr>
                <w:rFonts w:eastAsia="SimSun"/>
                <w:szCs w:val="16"/>
              </w:rPr>
              <w:br/>
              <w:t>(iii) 6 Minute Walk Test (6MWT).</w:t>
            </w:r>
            <w:r w:rsidRPr="005F0061">
              <w:rPr>
                <w:rFonts w:eastAsia="SimSun"/>
                <w:szCs w:val="16"/>
              </w:rPr>
              <w:br/>
              <w:t>Where it is not possible to perform all 3 tests on clinical grounds, the following list outlines the preferred test combination, in descending order, for the purposes of initiation of PBS-subsidised treatment:</w:t>
            </w:r>
            <w:r w:rsidRPr="005F0061">
              <w:rPr>
                <w:rFonts w:eastAsia="SimSun"/>
                <w:szCs w:val="16"/>
              </w:rPr>
              <w:br/>
              <w:t>(1) RHC plus ECHO composite assessments;</w:t>
            </w:r>
            <w:r w:rsidRPr="005F0061">
              <w:rPr>
                <w:rFonts w:eastAsia="SimSun"/>
                <w:szCs w:val="16"/>
              </w:rPr>
              <w:br/>
              <w:t>(2) RHC composite assessment plus 6MWT;</w:t>
            </w:r>
            <w:r w:rsidRPr="005F0061">
              <w:rPr>
                <w:rFonts w:eastAsia="SimSun"/>
                <w:szCs w:val="16"/>
              </w:rPr>
              <w:br/>
              <w:t>(3) RHC composite assessment only.</w:t>
            </w:r>
            <w:r w:rsidRPr="005F0061">
              <w:rPr>
                <w:rFonts w:eastAsia="SimSun"/>
                <w:szCs w:val="16"/>
              </w:rPr>
              <w:br/>
              <w:t>In circumstances where a RHC cannot be performed on clinical grounds, applications may be submitted for consideration based on the results of the following test combinations, which are listed in descending order of preference</w:t>
            </w:r>
            <w:proofErr w:type="gramStart"/>
            <w:r w:rsidRPr="005F0061">
              <w:rPr>
                <w:rFonts w:eastAsia="SimSun"/>
                <w:szCs w:val="16"/>
              </w:rPr>
              <w:t>:</w:t>
            </w:r>
            <w:proofErr w:type="gramEnd"/>
            <w:r w:rsidRPr="005F0061">
              <w:rPr>
                <w:rFonts w:eastAsia="SimSun"/>
                <w:szCs w:val="16"/>
              </w:rPr>
              <w:br/>
            </w:r>
            <w:r w:rsidRPr="005F0061">
              <w:rPr>
                <w:rFonts w:eastAsia="SimSun"/>
                <w:szCs w:val="16"/>
              </w:rPr>
              <w:lastRenderedPageBreak/>
              <w:t>(1) ECHO composite assessment plus 6MWT;</w:t>
            </w:r>
            <w:r w:rsidRPr="005F0061">
              <w:rPr>
                <w:rFonts w:eastAsia="SimSun"/>
                <w:szCs w:val="16"/>
              </w:rPr>
              <w:br/>
              <w:t>(2) ECHO composite assessment only.</w:t>
            </w:r>
            <w:r w:rsidRPr="005F0061">
              <w:rPr>
                <w:rFonts w:eastAsia="SimSun"/>
                <w:szCs w:val="16"/>
              </w:rPr>
              <w:br/>
              <w:t>Where fewer than 3 tests are able to be performed on clinical grounds, a patient specific reason outlining why the particular test(s) could not be conducted must be provided with the authority application.</w:t>
            </w:r>
            <w:r w:rsidRPr="005F0061">
              <w:rPr>
                <w:rFonts w:eastAsia="SimSun"/>
                <w:szCs w:val="16"/>
              </w:rPr>
              <w:br/>
              <w:t>Where a RHC cannot be performed on clinical grounds, confirmation of the reason(s) must be provided with the authority application by a second PAH physician or cardiologist with expertise in the management of PAH.</w:t>
            </w:r>
            <w:r w:rsidRPr="005F0061">
              <w:rPr>
                <w:rFonts w:eastAsia="SimSun"/>
                <w:szCs w:val="16"/>
              </w:rPr>
              <w:br/>
              <w:t>The test results provided must not be more than 2 months old at the time of application.</w:t>
            </w:r>
            <w:r w:rsidRPr="005F0061">
              <w:rPr>
                <w:rFonts w:eastAsia="SimSun"/>
                <w:szCs w:val="16"/>
              </w:rPr>
              <w:br/>
              <w:t>The maximum quantity authorised will be limited to provide sufficient supply for 1 month of treatment, based on the dosage recommendations in the TGA-approved Product Information.</w:t>
            </w:r>
            <w:r w:rsidRPr="005F0061">
              <w:rPr>
                <w:rFonts w:eastAsia="SimSun"/>
                <w:szCs w:val="16"/>
              </w:rPr>
              <w:br/>
              <w:t>A maximum of 5 repeats may be requested.</w:t>
            </w:r>
          </w:p>
        </w:tc>
        <w:tc>
          <w:tcPr>
            <w:tcW w:w="2650" w:type="dxa"/>
            <w:shd w:val="clear" w:color="auto" w:fill="auto"/>
            <w:tcMar>
              <w:top w:w="28" w:type="dxa"/>
              <w:left w:w="28" w:type="dxa"/>
              <w:right w:w="57" w:type="dxa"/>
            </w:tcMar>
          </w:tcPr>
          <w:p w14:paraId="2503DAE9" w14:textId="06E1D90E" w:rsidR="003A399A" w:rsidRPr="005F0061" w:rsidRDefault="003A399A" w:rsidP="003A399A">
            <w:pPr>
              <w:pStyle w:val="Tabletext0"/>
              <w:rPr>
                <w:rFonts w:cs="Arial"/>
                <w:szCs w:val="16"/>
              </w:rPr>
            </w:pPr>
            <w:r w:rsidRPr="005F0061">
              <w:rPr>
                <w:rFonts w:eastAsia="SimSun" w:cs="Arial"/>
                <w:szCs w:val="16"/>
                <w:lang w:eastAsia="zh-CN"/>
              </w:rPr>
              <w:lastRenderedPageBreak/>
              <w:t>Compliance with Written Authority Required procedures</w:t>
            </w:r>
            <w:r w:rsidR="003327A6" w:rsidRPr="005F0061">
              <w:rPr>
                <w:rFonts w:eastAsia="SimSun" w:cs="Arial"/>
                <w:szCs w:val="16"/>
                <w:lang w:eastAsia="zh-CN"/>
              </w:rPr>
              <w:br/>
            </w:r>
          </w:p>
        </w:tc>
      </w:tr>
      <w:tr w:rsidR="003A399A" w:rsidRPr="005F0061" w14:paraId="7944033B" w14:textId="77777777" w:rsidTr="00DB6EC0">
        <w:tc>
          <w:tcPr>
            <w:tcW w:w="1900" w:type="dxa"/>
            <w:shd w:val="clear" w:color="auto" w:fill="auto"/>
            <w:tcMar>
              <w:top w:w="28" w:type="dxa"/>
              <w:left w:w="28" w:type="dxa"/>
            </w:tcMar>
          </w:tcPr>
          <w:p w14:paraId="0D57FBC5" w14:textId="77777777" w:rsidR="003A399A" w:rsidRPr="005F0061" w:rsidRDefault="003A399A" w:rsidP="003A399A">
            <w:pPr>
              <w:pStyle w:val="Tabletext0"/>
              <w:tabs>
                <w:tab w:val="left" w:pos="958"/>
              </w:tabs>
              <w:rPr>
                <w:rFonts w:cs="Arial"/>
                <w:szCs w:val="16"/>
              </w:rPr>
            </w:pPr>
          </w:p>
        </w:tc>
        <w:tc>
          <w:tcPr>
            <w:tcW w:w="850" w:type="dxa"/>
            <w:shd w:val="clear" w:color="auto" w:fill="auto"/>
            <w:tcMar>
              <w:top w:w="28" w:type="dxa"/>
              <w:left w:w="28" w:type="dxa"/>
            </w:tcMar>
          </w:tcPr>
          <w:p w14:paraId="0362644D" w14:textId="7AE032F3" w:rsidR="003A399A" w:rsidRPr="005F0061" w:rsidRDefault="003A399A" w:rsidP="003A399A">
            <w:pPr>
              <w:pStyle w:val="mps3-data"/>
              <w:rPr>
                <w:szCs w:val="16"/>
              </w:rPr>
            </w:pPr>
            <w:r w:rsidRPr="005F0061">
              <w:rPr>
                <w:rFonts w:eastAsia="SimSun"/>
                <w:szCs w:val="16"/>
              </w:rPr>
              <w:t>C11045</w:t>
            </w:r>
          </w:p>
        </w:tc>
        <w:tc>
          <w:tcPr>
            <w:tcW w:w="850" w:type="dxa"/>
            <w:shd w:val="clear" w:color="auto" w:fill="auto"/>
            <w:tcMar>
              <w:top w:w="28" w:type="dxa"/>
              <w:left w:w="28" w:type="dxa"/>
            </w:tcMar>
          </w:tcPr>
          <w:p w14:paraId="70AE91A2" w14:textId="77777777" w:rsidR="003A399A" w:rsidRPr="005F0061" w:rsidDel="00E03489" w:rsidRDefault="003A399A" w:rsidP="003A399A">
            <w:pPr>
              <w:spacing w:before="60" w:after="60"/>
              <w:rPr>
                <w:rFonts w:ascii="Arial" w:hAnsi="Arial" w:cs="Arial"/>
                <w:sz w:val="16"/>
                <w:szCs w:val="16"/>
                <w:lang w:eastAsia="en-AU"/>
              </w:rPr>
            </w:pPr>
          </w:p>
        </w:tc>
        <w:tc>
          <w:tcPr>
            <w:tcW w:w="7661" w:type="dxa"/>
            <w:shd w:val="clear" w:color="auto" w:fill="auto"/>
            <w:tcMar>
              <w:top w:w="28" w:type="dxa"/>
              <w:left w:w="28" w:type="dxa"/>
            </w:tcMar>
          </w:tcPr>
          <w:p w14:paraId="7415EA1F" w14:textId="3F5C44A8" w:rsidR="003A399A" w:rsidRPr="005F0061" w:rsidRDefault="003A399A" w:rsidP="003A399A">
            <w:pPr>
              <w:pStyle w:val="mps3-data"/>
              <w:rPr>
                <w:szCs w:val="16"/>
              </w:rPr>
            </w:pPr>
            <w:r w:rsidRPr="005F0061">
              <w:rPr>
                <w:rFonts w:eastAsia="SimSun"/>
                <w:szCs w:val="16"/>
              </w:rPr>
              <w:t>Pulmonary arterial hypertension (PAH</w:t>
            </w:r>
            <w:proofErr w:type="gramStart"/>
            <w:r w:rsidRPr="005F0061">
              <w:rPr>
                <w:rFonts w:eastAsia="SimSun"/>
                <w:szCs w:val="16"/>
              </w:rPr>
              <w:t>)</w:t>
            </w:r>
            <w:proofErr w:type="gramEnd"/>
            <w:r w:rsidRPr="005F0061">
              <w:rPr>
                <w:rFonts w:eastAsia="SimSun"/>
                <w:szCs w:val="16"/>
              </w:rPr>
              <w:br/>
              <w:t>Grandfathered patients (dual therapy)</w:t>
            </w:r>
            <w:r w:rsidRPr="005F0061">
              <w:rPr>
                <w:rFonts w:eastAsia="SimSun"/>
                <w:szCs w:val="16"/>
              </w:rPr>
              <w:br/>
              <w:t>Patient must be receiving dual therapy with this non PBS-subsidised pulmonary arterial hypertension (PAH) agent and a non PBS-subsidised endothelin receptor antagonist (ERA) for this condition prior to 1 October 2020; AND</w:t>
            </w:r>
            <w:r w:rsidRPr="005F0061">
              <w:rPr>
                <w:rFonts w:eastAsia="SimSun"/>
                <w:szCs w:val="16"/>
              </w:rPr>
              <w:br/>
              <w:t>Patient must have been assessed by a physician with expertise in the management of PAH; AND</w:t>
            </w:r>
            <w:r w:rsidRPr="005F0061">
              <w:rPr>
                <w:rFonts w:eastAsia="SimSun"/>
                <w:szCs w:val="16"/>
              </w:rPr>
              <w:br/>
              <w:t>Patient must have documented WHO Functional Class III PAH or WHO Functional Class IV PAH.</w:t>
            </w:r>
            <w:r w:rsidRPr="005F0061">
              <w:rPr>
                <w:rFonts w:eastAsia="SimSun"/>
                <w:szCs w:val="16"/>
              </w:rPr>
              <w:br/>
              <w:t xml:space="preserve">The term 'PAH agents' refers to </w:t>
            </w:r>
            <w:proofErr w:type="spellStart"/>
            <w:r w:rsidRPr="005F0061">
              <w:rPr>
                <w:rFonts w:eastAsia="SimSun"/>
                <w:szCs w:val="16"/>
              </w:rPr>
              <w:t>bosentan</w:t>
            </w:r>
            <w:proofErr w:type="spellEnd"/>
            <w:r w:rsidRPr="005F0061">
              <w:rPr>
                <w:rFonts w:eastAsia="SimSun"/>
                <w:szCs w:val="16"/>
              </w:rPr>
              <w:t xml:space="preserve"> monohydrate, </w:t>
            </w:r>
            <w:proofErr w:type="spellStart"/>
            <w:r w:rsidRPr="005F0061">
              <w:rPr>
                <w:rFonts w:eastAsia="SimSun"/>
                <w:szCs w:val="16"/>
              </w:rPr>
              <w:t>iloprost</w:t>
            </w:r>
            <w:proofErr w:type="spellEnd"/>
            <w:r w:rsidRPr="005F0061">
              <w:rPr>
                <w:rFonts w:eastAsia="SimSun"/>
                <w:szCs w:val="16"/>
              </w:rPr>
              <w:t xml:space="preserve"> trometamol, </w:t>
            </w:r>
            <w:proofErr w:type="spellStart"/>
            <w:r w:rsidRPr="005F0061">
              <w:rPr>
                <w:rFonts w:eastAsia="SimSun"/>
                <w:szCs w:val="16"/>
              </w:rPr>
              <w:t>epoprostenol</w:t>
            </w:r>
            <w:proofErr w:type="spellEnd"/>
            <w:r w:rsidRPr="005F0061">
              <w:rPr>
                <w:rFonts w:eastAsia="SimSun"/>
                <w:szCs w:val="16"/>
              </w:rPr>
              <w:t xml:space="preserve"> sodium, sildenafil citrate, </w:t>
            </w:r>
            <w:proofErr w:type="spellStart"/>
            <w:r w:rsidRPr="005F0061">
              <w:rPr>
                <w:rFonts w:eastAsia="SimSun"/>
                <w:szCs w:val="16"/>
              </w:rPr>
              <w:t>ambrisentan</w:t>
            </w:r>
            <w:proofErr w:type="spellEnd"/>
            <w:r w:rsidRPr="005F0061">
              <w:rPr>
                <w:rFonts w:eastAsia="SimSun"/>
                <w:szCs w:val="16"/>
              </w:rPr>
              <w:t xml:space="preserve">, </w:t>
            </w:r>
            <w:proofErr w:type="spellStart"/>
            <w:r w:rsidRPr="005F0061">
              <w:rPr>
                <w:rFonts w:eastAsia="SimSun"/>
                <w:szCs w:val="16"/>
              </w:rPr>
              <w:t>tadalafil</w:t>
            </w:r>
            <w:proofErr w:type="spellEnd"/>
            <w:r w:rsidRPr="005F0061">
              <w:rPr>
                <w:rFonts w:eastAsia="SimSun"/>
                <w:szCs w:val="16"/>
              </w:rPr>
              <w:t xml:space="preserve">, </w:t>
            </w:r>
            <w:proofErr w:type="spellStart"/>
            <w:r w:rsidRPr="005F0061">
              <w:rPr>
                <w:rFonts w:eastAsia="SimSun"/>
                <w:szCs w:val="16"/>
              </w:rPr>
              <w:t>macitentan</w:t>
            </w:r>
            <w:proofErr w:type="spellEnd"/>
            <w:r w:rsidRPr="005F0061">
              <w:rPr>
                <w:rFonts w:eastAsia="SimSun"/>
                <w:szCs w:val="16"/>
              </w:rPr>
              <w:t xml:space="preserve">, and </w:t>
            </w:r>
            <w:proofErr w:type="spellStart"/>
            <w:r w:rsidRPr="005F0061">
              <w:rPr>
                <w:rFonts w:eastAsia="SimSun"/>
                <w:szCs w:val="16"/>
              </w:rPr>
              <w:t>riociguat</w:t>
            </w:r>
            <w:proofErr w:type="spellEnd"/>
            <w:r w:rsidRPr="005F0061">
              <w:rPr>
                <w:rFonts w:eastAsia="SimSun"/>
                <w:szCs w:val="16"/>
              </w:rPr>
              <w:t>.</w:t>
            </w:r>
            <w:r w:rsidRPr="005F0061">
              <w:rPr>
                <w:rFonts w:eastAsia="SimSun"/>
                <w:szCs w:val="16"/>
              </w:rPr>
              <w:br/>
              <w:t>For the purposes of PBS subsidy, dual therapy refers to combined use of an endothelin receptor antagonist (ERA) and a phosphodiesterase-5 inhibitor (PDE-5i).</w:t>
            </w:r>
            <w:r w:rsidRPr="005F0061">
              <w:rPr>
                <w:rFonts w:eastAsia="SimSun"/>
                <w:szCs w:val="16"/>
              </w:rPr>
              <w:br/>
              <w:t>(</w:t>
            </w:r>
            <w:proofErr w:type="spellStart"/>
            <w:r w:rsidRPr="005F0061">
              <w:rPr>
                <w:rFonts w:eastAsia="SimSun"/>
                <w:szCs w:val="16"/>
              </w:rPr>
              <w:t>i</w:t>
            </w:r>
            <w:proofErr w:type="spellEnd"/>
            <w:r w:rsidRPr="005F0061">
              <w:rPr>
                <w:rFonts w:eastAsia="SimSun"/>
                <w:szCs w:val="16"/>
              </w:rPr>
              <w:t xml:space="preserve">) An ERA includes </w:t>
            </w:r>
            <w:proofErr w:type="spellStart"/>
            <w:r w:rsidRPr="005F0061">
              <w:rPr>
                <w:rFonts w:eastAsia="SimSun"/>
                <w:szCs w:val="16"/>
              </w:rPr>
              <w:t>ambrisentan</w:t>
            </w:r>
            <w:proofErr w:type="spellEnd"/>
            <w:r w:rsidRPr="005F0061">
              <w:rPr>
                <w:rFonts w:eastAsia="SimSun"/>
                <w:szCs w:val="16"/>
              </w:rPr>
              <w:t xml:space="preserve">, </w:t>
            </w:r>
            <w:proofErr w:type="spellStart"/>
            <w:r w:rsidRPr="005F0061">
              <w:rPr>
                <w:rFonts w:eastAsia="SimSun"/>
                <w:szCs w:val="16"/>
              </w:rPr>
              <w:t>bosentan</w:t>
            </w:r>
            <w:proofErr w:type="spellEnd"/>
            <w:r w:rsidRPr="005F0061">
              <w:rPr>
                <w:rFonts w:eastAsia="SimSun"/>
                <w:szCs w:val="16"/>
              </w:rPr>
              <w:t xml:space="preserve"> monohydrate, or </w:t>
            </w:r>
            <w:proofErr w:type="spellStart"/>
            <w:r w:rsidRPr="005F0061">
              <w:rPr>
                <w:rFonts w:eastAsia="SimSun"/>
                <w:szCs w:val="16"/>
              </w:rPr>
              <w:t>macitentan</w:t>
            </w:r>
            <w:proofErr w:type="spellEnd"/>
            <w:r w:rsidRPr="005F0061">
              <w:rPr>
                <w:rFonts w:eastAsia="SimSun"/>
                <w:szCs w:val="16"/>
              </w:rPr>
              <w:t>.</w:t>
            </w:r>
            <w:r w:rsidRPr="005F0061">
              <w:rPr>
                <w:rFonts w:eastAsia="SimSun"/>
                <w:szCs w:val="16"/>
              </w:rPr>
              <w:br/>
              <w:t xml:space="preserve">(ii) A PDE-5i includes sildenafil citrate, or </w:t>
            </w:r>
            <w:proofErr w:type="spellStart"/>
            <w:r w:rsidRPr="005F0061">
              <w:rPr>
                <w:rFonts w:eastAsia="SimSun"/>
                <w:szCs w:val="16"/>
              </w:rPr>
              <w:t>tadalafil</w:t>
            </w:r>
            <w:proofErr w:type="spellEnd"/>
            <w:r w:rsidRPr="005F0061">
              <w:rPr>
                <w:rFonts w:eastAsia="SimSun"/>
                <w:szCs w:val="16"/>
              </w:rPr>
              <w:t>.</w:t>
            </w:r>
            <w:r w:rsidRPr="005F0061">
              <w:rPr>
                <w:rFonts w:eastAsia="SimSun"/>
                <w:szCs w:val="16"/>
              </w:rPr>
              <w:br/>
              <w:t>PAH agents are not PBS-subsidised for patients with pulmonary hypertension secondary to interstitial lung disease associated with connective tissue disease, where the total lung capacity is less than 70% of predicted.</w:t>
            </w:r>
            <w:r w:rsidRPr="005F0061">
              <w:rPr>
                <w:rFonts w:eastAsia="SimSun"/>
                <w:szCs w:val="16"/>
              </w:rPr>
              <w:br/>
              <w:t>PAH (WHO Group 1 pulmonary hypertension) is defined as follows</w:t>
            </w:r>
            <w:proofErr w:type="gramStart"/>
            <w:r w:rsidRPr="005F0061">
              <w:rPr>
                <w:rFonts w:eastAsia="SimSun"/>
                <w:szCs w:val="16"/>
              </w:rPr>
              <w:t>:</w:t>
            </w:r>
            <w:proofErr w:type="gramEnd"/>
            <w:r w:rsidRPr="005F0061">
              <w:rPr>
                <w:rFonts w:eastAsia="SimSun"/>
                <w:szCs w:val="16"/>
              </w:rPr>
              <w:br/>
              <w:t>(</w:t>
            </w:r>
            <w:proofErr w:type="spellStart"/>
            <w:r w:rsidRPr="005F0061">
              <w:rPr>
                <w:rFonts w:eastAsia="SimSun"/>
                <w:szCs w:val="16"/>
              </w:rPr>
              <w:t>i</w:t>
            </w:r>
            <w:proofErr w:type="spellEnd"/>
            <w:r w:rsidRPr="005F0061">
              <w:rPr>
                <w:rFonts w:eastAsia="SimSun"/>
                <w:szCs w:val="16"/>
              </w:rPr>
              <w:t>) mean pulmonary artery pressure (</w:t>
            </w:r>
            <w:proofErr w:type="spellStart"/>
            <w:r w:rsidRPr="005F0061">
              <w:rPr>
                <w:rFonts w:eastAsia="SimSun"/>
                <w:szCs w:val="16"/>
              </w:rPr>
              <w:t>mPAP</w:t>
            </w:r>
            <w:proofErr w:type="spellEnd"/>
            <w:r w:rsidRPr="005F0061">
              <w:rPr>
                <w:rFonts w:eastAsia="SimSun"/>
                <w:szCs w:val="16"/>
              </w:rPr>
              <w:t>) greater than or equal to 25 mmHg at rest and pulmonary artery wedge pressure (PAWP) less than or equal to 15 mmHg; or</w:t>
            </w:r>
            <w:r w:rsidRPr="005F0061">
              <w:rPr>
                <w:rFonts w:eastAsia="SimSun"/>
                <w:szCs w:val="16"/>
              </w:rPr>
              <w:br/>
              <w:t>(ii) where a right heart catheter (RHC) cannot be performed on clinical grounds, right ventricular systolic pressure (RVSP), assessed by echocardiography (ECHO), greater than 40 mmHg, with normal left ventricular function.</w:t>
            </w:r>
            <w:r w:rsidRPr="005F0061">
              <w:rPr>
                <w:rFonts w:eastAsia="SimSun"/>
                <w:szCs w:val="16"/>
              </w:rPr>
              <w:br/>
              <w:t>Applications for authorisation must be in writing and must include:</w:t>
            </w:r>
            <w:r w:rsidRPr="005F0061">
              <w:rPr>
                <w:rFonts w:eastAsia="SimSun"/>
                <w:szCs w:val="16"/>
              </w:rPr>
              <w:br/>
              <w:t>(1) a completed authority prescription form; and</w:t>
            </w:r>
            <w:r w:rsidRPr="005F0061">
              <w:rPr>
                <w:rFonts w:eastAsia="SimSun"/>
                <w:szCs w:val="16"/>
              </w:rPr>
              <w:br/>
              <w:t>(2) a completed Pulmonary Arterial Hypertension PBS Authority Application - Supporting Information form which includes results from the three tests below, where available:</w:t>
            </w:r>
            <w:r w:rsidRPr="005F0061">
              <w:rPr>
                <w:rFonts w:eastAsia="SimSun"/>
                <w:szCs w:val="16"/>
              </w:rPr>
              <w:br/>
              <w:t>(</w:t>
            </w:r>
            <w:proofErr w:type="spellStart"/>
            <w:r w:rsidRPr="005F0061">
              <w:rPr>
                <w:rFonts w:eastAsia="SimSun"/>
                <w:szCs w:val="16"/>
              </w:rPr>
              <w:t>i</w:t>
            </w:r>
            <w:proofErr w:type="spellEnd"/>
            <w:r w:rsidRPr="005F0061">
              <w:rPr>
                <w:rFonts w:eastAsia="SimSun"/>
                <w:szCs w:val="16"/>
              </w:rPr>
              <w:t>) RHC composite assessment; and</w:t>
            </w:r>
            <w:r w:rsidRPr="005F0061">
              <w:rPr>
                <w:rFonts w:eastAsia="SimSun"/>
                <w:szCs w:val="16"/>
              </w:rPr>
              <w:br/>
              <w:t>(ii) ECHO composite assessment; and</w:t>
            </w:r>
            <w:r w:rsidRPr="005F0061">
              <w:rPr>
                <w:rFonts w:eastAsia="SimSun"/>
                <w:szCs w:val="16"/>
              </w:rPr>
              <w:br/>
              <w:t>(iii) 6 Minute Walk Test (6MWT).</w:t>
            </w:r>
            <w:r w:rsidRPr="005F0061">
              <w:rPr>
                <w:rFonts w:eastAsia="SimSun"/>
                <w:szCs w:val="16"/>
              </w:rPr>
              <w:br/>
              <w:t>Where it was not possible to perform all 3 tests on clinical grounds, the following list outlines the preferred test combination, in descending order, for the purposes of initiation of PBS-subsidised treatment:</w:t>
            </w:r>
            <w:r w:rsidRPr="005F0061">
              <w:rPr>
                <w:rFonts w:eastAsia="SimSun"/>
                <w:szCs w:val="16"/>
              </w:rPr>
              <w:br/>
              <w:t>(1) RHC plus ECHO composite assessments;</w:t>
            </w:r>
            <w:r w:rsidRPr="005F0061">
              <w:rPr>
                <w:rFonts w:eastAsia="SimSun"/>
                <w:szCs w:val="16"/>
              </w:rPr>
              <w:br/>
              <w:t>(2) RHC composite assessment plus 6MWT;</w:t>
            </w:r>
            <w:r w:rsidRPr="005F0061">
              <w:rPr>
                <w:rFonts w:eastAsia="SimSun"/>
                <w:szCs w:val="16"/>
              </w:rPr>
              <w:br/>
              <w:t>(3) RHC composite assessment only.</w:t>
            </w:r>
            <w:r w:rsidRPr="005F0061">
              <w:rPr>
                <w:rFonts w:eastAsia="SimSun"/>
                <w:szCs w:val="16"/>
              </w:rPr>
              <w:br/>
              <w:t>In circumstances where a RHC could not be performed on clinical grounds, applications may be submitted for consideration based on the results of the following test combinations, which are listed in descending order of preference</w:t>
            </w:r>
            <w:proofErr w:type="gramStart"/>
            <w:r w:rsidRPr="005F0061">
              <w:rPr>
                <w:rFonts w:eastAsia="SimSun"/>
                <w:szCs w:val="16"/>
              </w:rPr>
              <w:t>:</w:t>
            </w:r>
            <w:proofErr w:type="gramEnd"/>
            <w:r w:rsidRPr="005F0061">
              <w:rPr>
                <w:rFonts w:eastAsia="SimSun"/>
                <w:szCs w:val="16"/>
              </w:rPr>
              <w:br/>
              <w:t>(1) ECHO composite assessment plus 6MWT;</w:t>
            </w:r>
            <w:r w:rsidRPr="005F0061">
              <w:rPr>
                <w:rFonts w:eastAsia="SimSun"/>
                <w:szCs w:val="16"/>
              </w:rPr>
              <w:br/>
              <w:t>(2) ECHO composite assessment only.</w:t>
            </w:r>
            <w:r w:rsidRPr="005F0061">
              <w:rPr>
                <w:rFonts w:eastAsia="SimSun"/>
                <w:szCs w:val="16"/>
              </w:rPr>
              <w:br/>
            </w:r>
            <w:r w:rsidRPr="005F0061">
              <w:rPr>
                <w:rFonts w:eastAsia="SimSun"/>
                <w:szCs w:val="16"/>
              </w:rPr>
              <w:lastRenderedPageBreak/>
              <w:t>Where fewer than 3 tests were able to be performed on clinical grounds, a patient specific reason outlining why the particular test(s) could not be conducted must be provided with the authority application.</w:t>
            </w:r>
            <w:r w:rsidRPr="005F0061">
              <w:rPr>
                <w:rFonts w:eastAsia="SimSun"/>
                <w:szCs w:val="16"/>
              </w:rPr>
              <w:br/>
              <w:t>Where a RHC could not be performed on clinical grounds, confirmation of the reason(s) must be provided with the authority application by a second PAH physician or cardiologist with expertise in the management of PAH.</w:t>
            </w:r>
            <w:r w:rsidRPr="005F0061">
              <w:rPr>
                <w:rFonts w:eastAsia="SimSun"/>
                <w:szCs w:val="16"/>
              </w:rPr>
              <w:br/>
              <w:t>A patient may qualify for PBS-subsidised treatment under this restriction once only. For continuing PBS-subsidised treatment, a Grandfathered patient must qualify under the Continuing treatment criteria for dual therapy for this condition.</w:t>
            </w:r>
            <w:r w:rsidRPr="005F0061">
              <w:rPr>
                <w:rFonts w:eastAsia="SimSun"/>
                <w:szCs w:val="16"/>
              </w:rPr>
              <w:br/>
              <w:t>The maximum quantity authorised will be limited to provide sufficient supply for 1 month of treatment, based on the dosage recommendations in the TGA-approved Product Information.</w:t>
            </w:r>
            <w:r w:rsidRPr="005F0061">
              <w:rPr>
                <w:rFonts w:eastAsia="SimSun"/>
                <w:szCs w:val="16"/>
              </w:rPr>
              <w:br/>
              <w:t>A maximum of 5 repeats may be requested.</w:t>
            </w:r>
          </w:p>
        </w:tc>
        <w:tc>
          <w:tcPr>
            <w:tcW w:w="2650" w:type="dxa"/>
            <w:shd w:val="clear" w:color="auto" w:fill="auto"/>
            <w:tcMar>
              <w:top w:w="28" w:type="dxa"/>
              <w:left w:w="28" w:type="dxa"/>
              <w:right w:w="57" w:type="dxa"/>
            </w:tcMar>
          </w:tcPr>
          <w:p w14:paraId="07C3B002" w14:textId="240125C0" w:rsidR="003A399A" w:rsidRPr="005F0061" w:rsidRDefault="003A399A" w:rsidP="003A399A">
            <w:pPr>
              <w:pStyle w:val="Tabletext0"/>
              <w:rPr>
                <w:rFonts w:cs="Arial"/>
                <w:szCs w:val="16"/>
              </w:rPr>
            </w:pPr>
            <w:r w:rsidRPr="005F0061">
              <w:rPr>
                <w:rFonts w:eastAsia="SimSun" w:cs="Arial"/>
                <w:szCs w:val="16"/>
                <w:lang w:eastAsia="zh-CN"/>
              </w:rPr>
              <w:lastRenderedPageBreak/>
              <w:t>Compliance with Written Authority Required procedures</w:t>
            </w:r>
            <w:r w:rsidR="003327A6" w:rsidRPr="005F0061">
              <w:rPr>
                <w:rFonts w:eastAsia="SimSun" w:cs="Arial"/>
                <w:szCs w:val="16"/>
                <w:lang w:eastAsia="zh-CN"/>
              </w:rPr>
              <w:br/>
            </w:r>
          </w:p>
        </w:tc>
      </w:tr>
    </w:tbl>
    <w:p w14:paraId="5FA639D6" w14:textId="77777777" w:rsidR="00790361" w:rsidRPr="005F0061" w:rsidRDefault="00790361" w:rsidP="00A15A52">
      <w:pPr>
        <w:pStyle w:val="Amendment1"/>
        <w:numPr>
          <w:ilvl w:val="0"/>
          <w:numId w:val="34"/>
        </w:numPr>
        <w:spacing w:before="60" w:after="60"/>
        <w:ind w:left="1134" w:hanging="567"/>
        <w:rPr>
          <w:rFonts w:ascii="Times New Roman" w:hAnsi="Times New Roman" w:cs="Times New Roman"/>
          <w:b w:val="0"/>
          <w:bCs w:val="0"/>
          <w:i/>
          <w:iCs/>
        </w:rPr>
      </w:pPr>
      <w:r w:rsidRPr="005F0061">
        <w:rPr>
          <w:rFonts w:ascii="Times New Roman" w:hAnsi="Times New Roman" w:cs="Times New Roman"/>
          <w:b w:val="0"/>
          <w:bCs w:val="0"/>
          <w:i/>
          <w:iCs/>
        </w:rPr>
        <w:t>insert in numerical order after existing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00"/>
        <w:gridCol w:w="850"/>
        <w:gridCol w:w="850"/>
        <w:gridCol w:w="7661"/>
        <w:gridCol w:w="2650"/>
      </w:tblGrid>
      <w:tr w:rsidR="00041B30" w:rsidRPr="005F0061" w14:paraId="3C42E073" w14:textId="77777777" w:rsidTr="00DB6EC0">
        <w:tc>
          <w:tcPr>
            <w:tcW w:w="1900" w:type="dxa"/>
            <w:shd w:val="clear" w:color="auto" w:fill="auto"/>
            <w:tcMar>
              <w:top w:w="28" w:type="dxa"/>
              <w:left w:w="28" w:type="dxa"/>
            </w:tcMar>
          </w:tcPr>
          <w:p w14:paraId="39B44B59" w14:textId="77777777" w:rsidR="00041B30" w:rsidRPr="005F0061" w:rsidRDefault="00041B30" w:rsidP="00041B30">
            <w:pPr>
              <w:pStyle w:val="Tabletext0"/>
              <w:tabs>
                <w:tab w:val="left" w:pos="958"/>
              </w:tabs>
              <w:rPr>
                <w:rFonts w:cs="Arial"/>
                <w:szCs w:val="16"/>
              </w:rPr>
            </w:pPr>
          </w:p>
        </w:tc>
        <w:tc>
          <w:tcPr>
            <w:tcW w:w="850" w:type="dxa"/>
            <w:shd w:val="clear" w:color="auto" w:fill="auto"/>
            <w:tcMar>
              <w:top w:w="28" w:type="dxa"/>
              <w:left w:w="28" w:type="dxa"/>
            </w:tcMar>
          </w:tcPr>
          <w:p w14:paraId="54BB7A42" w14:textId="7605A962" w:rsidR="00041B30" w:rsidRPr="005F0061" w:rsidRDefault="00041B30" w:rsidP="00041B30">
            <w:pPr>
              <w:pStyle w:val="mps3-data"/>
              <w:rPr>
                <w:szCs w:val="16"/>
              </w:rPr>
            </w:pPr>
            <w:r w:rsidRPr="005F0061">
              <w:rPr>
                <w:szCs w:val="16"/>
              </w:rPr>
              <w:t>C11228</w:t>
            </w:r>
            <w:r w:rsidRPr="005F0061">
              <w:rPr>
                <w:color w:val="0000FF"/>
                <w:szCs w:val="16"/>
              </w:rPr>
              <w:t xml:space="preserve"> </w:t>
            </w:r>
          </w:p>
        </w:tc>
        <w:tc>
          <w:tcPr>
            <w:tcW w:w="850" w:type="dxa"/>
            <w:shd w:val="clear" w:color="auto" w:fill="auto"/>
            <w:tcMar>
              <w:top w:w="28" w:type="dxa"/>
              <w:left w:w="28" w:type="dxa"/>
            </w:tcMar>
          </w:tcPr>
          <w:p w14:paraId="374E2984" w14:textId="77777777" w:rsidR="00041B30" w:rsidRPr="005F0061" w:rsidDel="00E03489" w:rsidRDefault="00041B30" w:rsidP="00041B30">
            <w:pPr>
              <w:spacing w:before="60" w:after="60"/>
              <w:rPr>
                <w:rFonts w:ascii="Arial" w:hAnsi="Arial" w:cs="Arial"/>
                <w:sz w:val="16"/>
                <w:szCs w:val="16"/>
                <w:lang w:eastAsia="en-AU"/>
              </w:rPr>
            </w:pPr>
          </w:p>
        </w:tc>
        <w:tc>
          <w:tcPr>
            <w:tcW w:w="7661" w:type="dxa"/>
            <w:shd w:val="clear" w:color="auto" w:fill="auto"/>
            <w:tcMar>
              <w:top w:w="28" w:type="dxa"/>
              <w:left w:w="28" w:type="dxa"/>
            </w:tcMar>
          </w:tcPr>
          <w:p w14:paraId="69AC51A7" w14:textId="56381417" w:rsidR="00041B30" w:rsidRPr="005F0061" w:rsidRDefault="00041B30" w:rsidP="00041B30">
            <w:pPr>
              <w:pStyle w:val="mps3-data"/>
              <w:rPr>
                <w:szCs w:val="16"/>
              </w:rPr>
            </w:pPr>
            <w:r w:rsidRPr="005F0061">
              <w:t>Pulmonary arterial hypertension (PAH</w:t>
            </w:r>
            <w:proofErr w:type="gramStart"/>
            <w:r w:rsidRPr="005F0061">
              <w:t>)</w:t>
            </w:r>
            <w:proofErr w:type="gramEnd"/>
            <w:r w:rsidR="003327A6" w:rsidRPr="005F0061">
              <w:br/>
            </w:r>
            <w:r w:rsidRPr="005F0061">
              <w:t>Initial 1 (dual therapy - previously untreated patients)</w:t>
            </w:r>
            <w:r w:rsidR="003327A6" w:rsidRPr="005F0061">
              <w:br/>
            </w:r>
            <w:r w:rsidRPr="005F0061">
              <w:t>Patient must not have received prior PBS-subsidised treatment with a pulmonary arterial hypertension (PAH) agent.</w:t>
            </w:r>
            <w:r w:rsidR="003327A6" w:rsidRPr="005F0061">
              <w:br/>
            </w:r>
            <w:r w:rsidRPr="005F0061">
              <w:t>Must be treated by a physician with expertise in the management of PAH, with this authority application to be completed by the physician with expertise in PAH.</w:t>
            </w:r>
            <w:r w:rsidR="003327A6" w:rsidRPr="005F0061">
              <w:br/>
            </w:r>
            <w:r w:rsidRPr="005F0061">
              <w:t>Patient must currently have WHO Functional Class III PAH or WHO Functional Class IV PAH; AND</w:t>
            </w:r>
            <w:r w:rsidR="003327A6" w:rsidRPr="005F0061">
              <w:br/>
            </w:r>
            <w:r w:rsidRPr="005F0061">
              <w:t>The treatment must be in combination with a PBS-subsidised endothelin receptor antagonist (ERA) for this condition.</w:t>
            </w:r>
            <w:r w:rsidR="003327A6" w:rsidRPr="005F0061">
              <w:br/>
            </w:r>
            <w:r w:rsidRPr="005F0061">
              <w:t xml:space="preserve">The term 'PAH agents' refers to </w:t>
            </w:r>
            <w:proofErr w:type="spellStart"/>
            <w:r w:rsidRPr="005F0061">
              <w:t>bosentan</w:t>
            </w:r>
            <w:proofErr w:type="spellEnd"/>
            <w:r w:rsidRPr="005F0061">
              <w:t xml:space="preserve"> monohydrate, </w:t>
            </w:r>
            <w:proofErr w:type="spellStart"/>
            <w:r w:rsidRPr="005F0061">
              <w:t>iloprost</w:t>
            </w:r>
            <w:proofErr w:type="spellEnd"/>
            <w:r w:rsidRPr="005F0061">
              <w:t xml:space="preserve"> trometamol, </w:t>
            </w:r>
            <w:proofErr w:type="spellStart"/>
            <w:r w:rsidRPr="005F0061">
              <w:t>epoprostenol</w:t>
            </w:r>
            <w:proofErr w:type="spellEnd"/>
            <w:r w:rsidRPr="005F0061">
              <w:t xml:space="preserve"> sodium, sildenafil citrate, </w:t>
            </w:r>
            <w:proofErr w:type="spellStart"/>
            <w:r w:rsidRPr="005F0061">
              <w:t>ambrisentan</w:t>
            </w:r>
            <w:proofErr w:type="spellEnd"/>
            <w:r w:rsidRPr="005F0061">
              <w:t xml:space="preserve">, </w:t>
            </w:r>
            <w:proofErr w:type="spellStart"/>
            <w:r w:rsidRPr="005F0061">
              <w:t>tadalafil</w:t>
            </w:r>
            <w:proofErr w:type="spellEnd"/>
            <w:r w:rsidRPr="005F0061">
              <w:t xml:space="preserve">, </w:t>
            </w:r>
            <w:proofErr w:type="spellStart"/>
            <w:r w:rsidRPr="005F0061">
              <w:t>macitentan</w:t>
            </w:r>
            <w:proofErr w:type="spellEnd"/>
            <w:r w:rsidRPr="005F0061">
              <w:t xml:space="preserve">, and </w:t>
            </w:r>
            <w:proofErr w:type="spellStart"/>
            <w:r w:rsidRPr="005F0061">
              <w:t>riociguat</w:t>
            </w:r>
            <w:proofErr w:type="spellEnd"/>
            <w:r w:rsidRPr="005F0061">
              <w:t>.</w:t>
            </w:r>
            <w:r w:rsidR="003327A6" w:rsidRPr="005F0061">
              <w:br/>
            </w:r>
            <w:r w:rsidRPr="005F0061">
              <w:t>For the purposes of PBS subsidy, dual therapy refers to combined use of an endothelin receptor antagonist (ERA) and a phosphodiesterase-5 inhibitor (PDE-5i).</w:t>
            </w:r>
            <w:r w:rsidR="003327A6" w:rsidRPr="005F0061">
              <w:br/>
            </w:r>
            <w:r w:rsidRPr="005F0061">
              <w:t>(</w:t>
            </w:r>
            <w:proofErr w:type="spellStart"/>
            <w:r w:rsidRPr="005F0061">
              <w:t>i</w:t>
            </w:r>
            <w:proofErr w:type="spellEnd"/>
            <w:r w:rsidRPr="005F0061">
              <w:t xml:space="preserve">) An ERA includes </w:t>
            </w:r>
            <w:proofErr w:type="spellStart"/>
            <w:r w:rsidRPr="005F0061">
              <w:t>ambrisentan</w:t>
            </w:r>
            <w:proofErr w:type="spellEnd"/>
            <w:r w:rsidRPr="005F0061">
              <w:t xml:space="preserve">, </w:t>
            </w:r>
            <w:proofErr w:type="spellStart"/>
            <w:r w:rsidRPr="005F0061">
              <w:t>bosentan</w:t>
            </w:r>
            <w:proofErr w:type="spellEnd"/>
            <w:r w:rsidRPr="005F0061">
              <w:t xml:space="preserve"> monohydrate, or </w:t>
            </w:r>
            <w:proofErr w:type="spellStart"/>
            <w:r w:rsidRPr="005F0061">
              <w:t>macitentan</w:t>
            </w:r>
            <w:proofErr w:type="spellEnd"/>
            <w:r w:rsidRPr="005F0061">
              <w:t>.</w:t>
            </w:r>
            <w:r w:rsidR="003327A6" w:rsidRPr="005F0061">
              <w:br/>
            </w:r>
            <w:r w:rsidRPr="005F0061">
              <w:t xml:space="preserve">(ii) A PDE-5i includes sildenafil citrate, or </w:t>
            </w:r>
            <w:proofErr w:type="spellStart"/>
            <w:r w:rsidRPr="005F0061">
              <w:t>tadalafil</w:t>
            </w:r>
            <w:proofErr w:type="spellEnd"/>
            <w:r w:rsidRPr="005F0061">
              <w:t>.</w:t>
            </w:r>
            <w:r w:rsidR="003327A6" w:rsidRPr="005F0061">
              <w:br/>
            </w:r>
            <w:r w:rsidRPr="005F0061">
              <w:t>PAH agents are not PBS-subsidised for patients with pulmonary hypertension secondary to interstitial lung disease associated with connective tissue disease, where the total lung capacity is less than 70% of predicted.</w:t>
            </w:r>
            <w:r w:rsidR="003327A6" w:rsidRPr="005F0061">
              <w:br/>
            </w:r>
            <w:r w:rsidRPr="005F0061">
              <w:t>PAH (WHO Group 1 pulmonary hypertension) is defined as follows</w:t>
            </w:r>
            <w:proofErr w:type="gramStart"/>
            <w:r w:rsidRPr="005F0061">
              <w:t>:</w:t>
            </w:r>
            <w:proofErr w:type="gramEnd"/>
            <w:r w:rsidR="003327A6" w:rsidRPr="005F0061">
              <w:br/>
            </w:r>
            <w:r w:rsidRPr="005F0061">
              <w:t>(</w:t>
            </w:r>
            <w:proofErr w:type="spellStart"/>
            <w:r w:rsidRPr="005F0061">
              <w:t>i</w:t>
            </w:r>
            <w:proofErr w:type="spellEnd"/>
            <w:r w:rsidRPr="005F0061">
              <w:t>) mean pulmonary artery pressure (</w:t>
            </w:r>
            <w:proofErr w:type="spellStart"/>
            <w:r w:rsidRPr="005F0061">
              <w:t>mPAP</w:t>
            </w:r>
            <w:proofErr w:type="spellEnd"/>
            <w:r w:rsidRPr="005F0061">
              <w:t>) greater than or equal to 25 mmHg at rest and pulmonary artery wedge pressure (PAWP) less than or equal to 15 mmHg; or</w:t>
            </w:r>
            <w:r w:rsidR="003327A6" w:rsidRPr="005F0061">
              <w:br/>
            </w:r>
            <w:r w:rsidRPr="005F0061">
              <w:t>(ii) where a right heart catheter (RHC) cannot be performed on clinical grounds, right ventricular systolic pressure (RVSP), assessed by echocardiography (ECHO), greater than 40 mmHg, with normal left ventricular function.</w:t>
            </w:r>
            <w:r w:rsidR="003327A6" w:rsidRPr="005F0061">
              <w:br/>
            </w:r>
            <w:r w:rsidRPr="005F0061">
              <w:t>Applications for authorisation must be in writing and must include:</w:t>
            </w:r>
            <w:r w:rsidR="003327A6" w:rsidRPr="005F0061">
              <w:br/>
            </w:r>
            <w:r w:rsidRPr="005F0061">
              <w:t>(1) a completed authority prescription form; and</w:t>
            </w:r>
            <w:r w:rsidR="003327A6" w:rsidRPr="005F0061">
              <w:br/>
            </w:r>
            <w:r w:rsidRPr="005F0061">
              <w:t>(2) a completed Pulmonary Arterial Hypertension PBS Authority Application - Supporting Information form which includes results from the three tests below, where available:</w:t>
            </w:r>
            <w:r w:rsidR="003327A6" w:rsidRPr="005F0061">
              <w:br/>
            </w:r>
            <w:r w:rsidRPr="005F0061">
              <w:t>(</w:t>
            </w:r>
            <w:proofErr w:type="spellStart"/>
            <w:r w:rsidRPr="005F0061">
              <w:t>i</w:t>
            </w:r>
            <w:proofErr w:type="spellEnd"/>
            <w:r w:rsidRPr="005F0061">
              <w:t>) RHC composite assessment; and</w:t>
            </w:r>
            <w:r w:rsidR="003327A6" w:rsidRPr="005F0061">
              <w:br/>
            </w:r>
            <w:r w:rsidRPr="005F0061">
              <w:t>(ii) ECHO composite assessment; and</w:t>
            </w:r>
            <w:r w:rsidR="003327A6" w:rsidRPr="005F0061">
              <w:br/>
            </w:r>
            <w:r w:rsidRPr="005F0061">
              <w:t>(iii) 6 Minute Walk Test (6MWT).</w:t>
            </w:r>
            <w:r w:rsidR="003327A6" w:rsidRPr="005F0061">
              <w:br/>
            </w:r>
            <w:r w:rsidRPr="005F0061">
              <w:t>Where it is not possible to perform all 3 tests on clinical grounds, the following list outlines the preferred test combination, in descending order, for the purposes of initiation of PBS-subsidised treatment:</w:t>
            </w:r>
            <w:r w:rsidR="003327A6" w:rsidRPr="005F0061">
              <w:br/>
            </w:r>
            <w:r w:rsidRPr="005F0061">
              <w:t>(1) RHC plus ECHO composite assessments;</w:t>
            </w:r>
            <w:r w:rsidR="003327A6" w:rsidRPr="005F0061">
              <w:br/>
            </w:r>
            <w:r w:rsidRPr="005F0061">
              <w:t>(2) RHC composite assessment plus 6MWT;</w:t>
            </w:r>
            <w:r w:rsidR="003327A6" w:rsidRPr="005F0061">
              <w:br/>
            </w:r>
            <w:r w:rsidRPr="005F0061">
              <w:t>(3) RHC composite assessment only.</w:t>
            </w:r>
            <w:r w:rsidR="003327A6" w:rsidRPr="005F0061">
              <w:br/>
            </w:r>
            <w:r w:rsidRPr="005F0061">
              <w:t xml:space="preserve">In circumstances where a RHC cannot be performed on clinical grounds, applications may be submitted for </w:t>
            </w:r>
            <w:r w:rsidRPr="005F0061">
              <w:lastRenderedPageBreak/>
              <w:t>consideration based on the results of the following test combinations, which are listed in descending order of preference</w:t>
            </w:r>
            <w:proofErr w:type="gramStart"/>
            <w:r w:rsidRPr="005F0061">
              <w:t>:</w:t>
            </w:r>
            <w:proofErr w:type="gramEnd"/>
            <w:r w:rsidR="003327A6" w:rsidRPr="005F0061">
              <w:br/>
            </w:r>
            <w:r w:rsidRPr="005F0061">
              <w:t>(1) ECHO composite assessment plus 6MWT;</w:t>
            </w:r>
            <w:r w:rsidR="003327A6" w:rsidRPr="005F0061">
              <w:br/>
            </w:r>
            <w:r w:rsidRPr="005F0061">
              <w:t>(2) ECHO composite assessment only.</w:t>
            </w:r>
            <w:r w:rsidR="003327A6" w:rsidRPr="005F0061">
              <w:br/>
            </w:r>
            <w:r w:rsidRPr="005F0061">
              <w:t>Where fewer than 3 tests are able to be performed on clinical grounds, a patient specific reason outlining why the particular test(s) could not be conducted must be provided with the authority application.</w:t>
            </w:r>
            <w:r w:rsidR="003327A6" w:rsidRPr="005F0061">
              <w:br/>
            </w:r>
            <w:r w:rsidRPr="005F0061">
              <w:t>Where a RHC cannot be performed on clinical grounds, confirmation of the reason(s) must be provided with the authority application by a second PAH physician or cardiologist with expertise in the management of PAH.</w:t>
            </w:r>
            <w:r w:rsidR="003327A6" w:rsidRPr="005F0061">
              <w:br/>
            </w:r>
            <w:r w:rsidRPr="005F0061">
              <w:t>The test results provided must not be more than 2 months old at the time of application.</w:t>
            </w:r>
            <w:r w:rsidR="003327A6" w:rsidRPr="005F0061">
              <w:br/>
            </w:r>
            <w:r w:rsidRPr="005F0061">
              <w:t>The maximum quantity authorised will be limited to provide sufficient supply for 1 month of treatment, based on the dosage recommendations in the TGA-approved Product Information.</w:t>
            </w:r>
            <w:r w:rsidR="003327A6" w:rsidRPr="005F0061">
              <w:br/>
            </w:r>
            <w:r w:rsidRPr="005F0061">
              <w:t>A maximum of 5 repeats may be requested.</w:t>
            </w:r>
          </w:p>
        </w:tc>
        <w:tc>
          <w:tcPr>
            <w:tcW w:w="2650" w:type="dxa"/>
            <w:shd w:val="clear" w:color="auto" w:fill="auto"/>
            <w:tcMar>
              <w:top w:w="28" w:type="dxa"/>
              <w:left w:w="28" w:type="dxa"/>
              <w:right w:w="57" w:type="dxa"/>
            </w:tcMar>
          </w:tcPr>
          <w:p w14:paraId="12C575BF" w14:textId="3DC34611" w:rsidR="00041B30" w:rsidRPr="005F0061" w:rsidRDefault="00041B30" w:rsidP="00041B30">
            <w:pPr>
              <w:pStyle w:val="Tabletext0"/>
              <w:rPr>
                <w:rFonts w:cs="Arial"/>
                <w:szCs w:val="16"/>
              </w:rPr>
            </w:pPr>
            <w:r w:rsidRPr="005F0061">
              <w:lastRenderedPageBreak/>
              <w:t>Compliance with Written Authority Required procedures</w:t>
            </w:r>
          </w:p>
        </w:tc>
      </w:tr>
      <w:tr w:rsidR="00041B30" w:rsidRPr="005F0061" w14:paraId="0F10C30F" w14:textId="77777777" w:rsidTr="00DB6EC0">
        <w:tc>
          <w:tcPr>
            <w:tcW w:w="1900" w:type="dxa"/>
            <w:shd w:val="clear" w:color="auto" w:fill="auto"/>
            <w:tcMar>
              <w:top w:w="28" w:type="dxa"/>
              <w:left w:w="28" w:type="dxa"/>
            </w:tcMar>
          </w:tcPr>
          <w:p w14:paraId="125CD669" w14:textId="05E88FCC" w:rsidR="00041B30" w:rsidRPr="005F0061" w:rsidRDefault="00041B30" w:rsidP="00A60B92">
            <w:pPr>
              <w:rPr>
                <w:lang w:eastAsia="en-AU"/>
              </w:rPr>
            </w:pPr>
          </w:p>
        </w:tc>
        <w:tc>
          <w:tcPr>
            <w:tcW w:w="850" w:type="dxa"/>
            <w:shd w:val="clear" w:color="auto" w:fill="auto"/>
            <w:tcMar>
              <w:top w:w="28" w:type="dxa"/>
              <w:left w:w="28" w:type="dxa"/>
            </w:tcMar>
          </w:tcPr>
          <w:p w14:paraId="28192E8F" w14:textId="52400405" w:rsidR="00041B30" w:rsidRPr="005F0061" w:rsidRDefault="00041B30" w:rsidP="00041B30">
            <w:pPr>
              <w:pStyle w:val="mps3-data"/>
              <w:rPr>
                <w:szCs w:val="16"/>
              </w:rPr>
            </w:pPr>
            <w:r w:rsidRPr="005F0061">
              <w:rPr>
                <w:szCs w:val="16"/>
              </w:rPr>
              <w:t xml:space="preserve">C11229 </w:t>
            </w:r>
          </w:p>
        </w:tc>
        <w:tc>
          <w:tcPr>
            <w:tcW w:w="850" w:type="dxa"/>
            <w:shd w:val="clear" w:color="auto" w:fill="auto"/>
            <w:tcMar>
              <w:top w:w="28" w:type="dxa"/>
              <w:left w:w="28" w:type="dxa"/>
            </w:tcMar>
          </w:tcPr>
          <w:p w14:paraId="691BFEAF" w14:textId="77777777" w:rsidR="00041B30" w:rsidRPr="005F0061" w:rsidDel="00E03489" w:rsidRDefault="00041B30" w:rsidP="00041B30">
            <w:pPr>
              <w:spacing w:before="60" w:after="60"/>
              <w:rPr>
                <w:rFonts w:ascii="Arial" w:hAnsi="Arial" w:cs="Arial"/>
                <w:sz w:val="16"/>
                <w:szCs w:val="16"/>
                <w:lang w:eastAsia="en-AU"/>
              </w:rPr>
            </w:pPr>
          </w:p>
        </w:tc>
        <w:tc>
          <w:tcPr>
            <w:tcW w:w="7661" w:type="dxa"/>
            <w:shd w:val="clear" w:color="auto" w:fill="auto"/>
            <w:tcMar>
              <w:top w:w="28" w:type="dxa"/>
              <w:left w:w="28" w:type="dxa"/>
            </w:tcMar>
          </w:tcPr>
          <w:p w14:paraId="72067E80" w14:textId="7E31C149" w:rsidR="00041B30" w:rsidRPr="005F0061" w:rsidRDefault="00041B30" w:rsidP="00041B30">
            <w:pPr>
              <w:pStyle w:val="mps3-data"/>
              <w:rPr>
                <w:szCs w:val="16"/>
              </w:rPr>
            </w:pPr>
            <w:r w:rsidRPr="005F0061">
              <w:t>Pulmonary arterial hypertension (PAH)</w:t>
            </w:r>
            <w:r w:rsidR="003327A6" w:rsidRPr="005F0061">
              <w:br/>
            </w:r>
            <w:r w:rsidRPr="005F0061">
              <w:t xml:space="preserve">Triple therapy - Initial treatment or continuing treatment of triple combination therapy (including dual therapy in lieu of triple therapy) that includes </w:t>
            </w:r>
            <w:proofErr w:type="spellStart"/>
            <w:r w:rsidRPr="005F0061">
              <w:t>selexipag</w:t>
            </w:r>
            <w:proofErr w:type="spellEnd"/>
            <w:r w:rsidR="003327A6" w:rsidRPr="005F0061">
              <w:br/>
            </w:r>
            <w:r w:rsidRPr="005F0061">
              <w:t>The treatment must form part of triple combination therapy consisting of: (</w:t>
            </w:r>
            <w:proofErr w:type="spellStart"/>
            <w:r w:rsidRPr="005F0061">
              <w:t>i</w:t>
            </w:r>
            <w:proofErr w:type="spellEnd"/>
            <w:r w:rsidRPr="005F0061">
              <w:t xml:space="preserve">) one endothelin receptor antagonist, (ii) one phosphodiesterase-5 inhibitor, (iii) PBS-subsidised </w:t>
            </w:r>
            <w:proofErr w:type="spellStart"/>
            <w:r w:rsidRPr="005F0061">
              <w:t>selexipag</w:t>
            </w:r>
            <w:proofErr w:type="spellEnd"/>
            <w:r w:rsidRPr="005F0061">
              <w:t xml:space="preserve"> (referred to as 'triple therapy'); OR</w:t>
            </w:r>
            <w:r w:rsidR="003327A6" w:rsidRPr="005F0061">
              <w:br/>
            </w:r>
            <w:r w:rsidRPr="005F0061">
              <w:t>The treatment must form part of dual combination therapy consisting of either: (</w:t>
            </w:r>
            <w:proofErr w:type="spellStart"/>
            <w:r w:rsidRPr="005F0061">
              <w:t>i</w:t>
            </w:r>
            <w:proofErr w:type="spellEnd"/>
            <w:r w:rsidRPr="005F0061">
              <w:t xml:space="preserve">) PBS-subsidised </w:t>
            </w:r>
            <w:proofErr w:type="spellStart"/>
            <w:r w:rsidRPr="005F0061">
              <w:t>selexipag</w:t>
            </w:r>
            <w:proofErr w:type="spellEnd"/>
            <w:r w:rsidRPr="005F0061">
              <w:t xml:space="preserve"> with one endothelin receptor antagonist, (ii) PBS-subsidised </w:t>
            </w:r>
            <w:proofErr w:type="spellStart"/>
            <w:r w:rsidRPr="005F0061">
              <w:t>selexipag</w:t>
            </w:r>
            <w:proofErr w:type="spellEnd"/>
            <w:r w:rsidRPr="005F0061">
              <w:t xml:space="preserve"> with one phosphodiesterase-5 inhibitor, as triple combination therapy with </w:t>
            </w:r>
            <w:proofErr w:type="spellStart"/>
            <w:r w:rsidRPr="005F0061">
              <w:t>selexipag</w:t>
            </w:r>
            <w:proofErr w:type="spellEnd"/>
            <w:r w:rsidRPr="005F0061">
              <w:t>-an endothelin receptor antagonist-a phoshodiesterase-5 inhibitor is not possible due to an intolerance/contraindication to the endothelin receptor antagonist class/phosphodiesterase-5 inhibitor class (referred to as 'dual therapy in lieu of triple therapy').</w:t>
            </w:r>
            <w:r w:rsidR="003327A6" w:rsidRPr="005F0061">
              <w:br/>
            </w:r>
            <w:r w:rsidRPr="005F0061">
              <w:t>Must be treated by a physician with expertise in the management of PAH, with this authority application to be completed by the physician with expertise in PAH.</w:t>
            </w:r>
            <w:r w:rsidR="003327A6" w:rsidRPr="005F0061">
              <w:br/>
            </w:r>
            <w:r w:rsidRPr="005F0061">
              <w:t xml:space="preserve">The authority application for </w:t>
            </w:r>
            <w:proofErr w:type="spellStart"/>
            <w:r w:rsidRPr="005F0061">
              <w:t>selexipag</w:t>
            </w:r>
            <w:proofErr w:type="spellEnd"/>
            <w:r w:rsidRPr="005F0061">
              <w:t xml:space="preserve"> must be approved prior to the authority application for this agent.</w:t>
            </w:r>
            <w:r w:rsidR="003327A6" w:rsidRPr="005F0061">
              <w:br/>
            </w:r>
            <w:r w:rsidRPr="005F0061">
              <w:t xml:space="preserve">For the purposes of PBS subsidy, an endothelin receptor antagonist is one of: (a) </w:t>
            </w:r>
            <w:proofErr w:type="spellStart"/>
            <w:r w:rsidRPr="005F0061">
              <w:t>ambrisentan</w:t>
            </w:r>
            <w:proofErr w:type="spellEnd"/>
            <w:r w:rsidRPr="005F0061">
              <w:t xml:space="preserve">, (b) </w:t>
            </w:r>
            <w:proofErr w:type="spellStart"/>
            <w:r w:rsidRPr="005F0061">
              <w:t>bosentan</w:t>
            </w:r>
            <w:proofErr w:type="spellEnd"/>
            <w:r w:rsidRPr="005F0061">
              <w:t xml:space="preserve">, (c) </w:t>
            </w:r>
            <w:proofErr w:type="spellStart"/>
            <w:r w:rsidRPr="005F0061">
              <w:t>macitentan</w:t>
            </w:r>
            <w:proofErr w:type="spellEnd"/>
            <w:r w:rsidRPr="005F0061">
              <w:t xml:space="preserve">; a phosphodiesterase-5 inhibitor is one of: (d) sildenafil, (e) </w:t>
            </w:r>
            <w:proofErr w:type="spellStart"/>
            <w:r w:rsidRPr="005F0061">
              <w:t>tadalafil</w:t>
            </w:r>
            <w:proofErr w:type="spellEnd"/>
            <w:r w:rsidRPr="005F0061">
              <w:t>.</w:t>
            </w:r>
            <w:r w:rsidR="003327A6" w:rsidRPr="005F0061">
              <w:br/>
            </w:r>
            <w:r w:rsidRPr="005F0061">
              <w:t>PBS-subsidy does not cover patients with pulmonary hypertension secondary to interstitial lung disease associated with connective tissue disease, where the total lung capacity is less than 70% of predicted.</w:t>
            </w:r>
            <w:r w:rsidR="003327A6" w:rsidRPr="005F0061">
              <w:br/>
            </w:r>
            <w:r w:rsidRPr="005F0061">
              <w:t>PAH (WHO Group 1 pulmonary hypertension) is defined as follows</w:t>
            </w:r>
            <w:proofErr w:type="gramStart"/>
            <w:r w:rsidRPr="005F0061">
              <w:t>:</w:t>
            </w:r>
            <w:proofErr w:type="gramEnd"/>
            <w:r w:rsidR="003327A6" w:rsidRPr="005F0061">
              <w:br/>
            </w:r>
            <w:r w:rsidRPr="005F0061">
              <w:t>(</w:t>
            </w:r>
            <w:proofErr w:type="spellStart"/>
            <w:r w:rsidRPr="005F0061">
              <w:t>i</w:t>
            </w:r>
            <w:proofErr w:type="spellEnd"/>
            <w:r w:rsidRPr="005F0061">
              <w:t>) mean pulmonary artery pressure (</w:t>
            </w:r>
            <w:proofErr w:type="spellStart"/>
            <w:r w:rsidRPr="005F0061">
              <w:t>mPAP</w:t>
            </w:r>
            <w:proofErr w:type="spellEnd"/>
            <w:r w:rsidRPr="005F0061">
              <w:t>) greater than or equal to 25 mmHg at rest and pulmonary artery wedge pressure (PAWP) less than or equal to 15 mmHg; or</w:t>
            </w:r>
            <w:r w:rsidR="003327A6" w:rsidRPr="005F0061">
              <w:br/>
            </w:r>
            <w:r w:rsidRPr="005F0061">
              <w:t>(ii) where a right heart catheter (RHC) cannot be performed on clinical grounds, right ventricular systolic pressure (RVSP), assessed by echocardiography (ECHO), greater than 40 mmHg, with normal left ventricular function.</w:t>
            </w:r>
            <w:r w:rsidR="003327A6" w:rsidRPr="005F0061">
              <w:br/>
            </w:r>
            <w:r w:rsidRPr="005F0061">
              <w:t>The results and date of the RHC, ECHO and 6 MWT as applicable must be included in the patient's medical record. Where a RHC cannot be performed on clinical grounds, the written confirmation of the reasons why must also be included in the patient's medical record.</w:t>
            </w:r>
            <w:r w:rsidR="003327A6" w:rsidRPr="005F0061">
              <w:br/>
            </w:r>
            <w:r w:rsidRPr="005F0061">
              <w:t>The maximum quantity authorised will be limited to provide sufficient supply for 1 month of treatment, based on the dosage recommendations in the TGA-approved Product Information.</w:t>
            </w:r>
            <w:r w:rsidR="003327A6" w:rsidRPr="005F0061">
              <w:br/>
            </w:r>
            <w:r w:rsidRPr="005F0061">
              <w:t>A maximum of 5 repeats may be requested.</w:t>
            </w:r>
          </w:p>
        </w:tc>
        <w:tc>
          <w:tcPr>
            <w:tcW w:w="2650" w:type="dxa"/>
            <w:shd w:val="clear" w:color="auto" w:fill="auto"/>
            <w:tcMar>
              <w:top w:w="28" w:type="dxa"/>
              <w:left w:w="28" w:type="dxa"/>
              <w:right w:w="57" w:type="dxa"/>
            </w:tcMar>
          </w:tcPr>
          <w:p w14:paraId="7E2FE929" w14:textId="46DA3D89" w:rsidR="00041B30" w:rsidRPr="005F0061" w:rsidRDefault="00041B30" w:rsidP="00041B30">
            <w:pPr>
              <w:pStyle w:val="Tabletext0"/>
            </w:pPr>
            <w:r w:rsidRPr="005F0061">
              <w:t>Compliance with Authority Required procedures</w:t>
            </w:r>
          </w:p>
        </w:tc>
      </w:tr>
      <w:tr w:rsidR="00041B30" w:rsidRPr="005F0061" w14:paraId="21644C72" w14:textId="77777777" w:rsidTr="00DB6EC0">
        <w:tc>
          <w:tcPr>
            <w:tcW w:w="1900" w:type="dxa"/>
            <w:shd w:val="clear" w:color="auto" w:fill="auto"/>
            <w:tcMar>
              <w:top w:w="28" w:type="dxa"/>
              <w:left w:w="28" w:type="dxa"/>
            </w:tcMar>
          </w:tcPr>
          <w:p w14:paraId="64CC1980" w14:textId="77777777" w:rsidR="00041B30" w:rsidRPr="005F0061" w:rsidRDefault="00041B30" w:rsidP="00041B30">
            <w:pPr>
              <w:pStyle w:val="Tabletext0"/>
              <w:tabs>
                <w:tab w:val="left" w:pos="958"/>
              </w:tabs>
              <w:rPr>
                <w:rFonts w:cs="Arial"/>
                <w:szCs w:val="16"/>
              </w:rPr>
            </w:pPr>
          </w:p>
        </w:tc>
        <w:tc>
          <w:tcPr>
            <w:tcW w:w="850" w:type="dxa"/>
            <w:shd w:val="clear" w:color="auto" w:fill="auto"/>
            <w:tcMar>
              <w:top w:w="28" w:type="dxa"/>
              <w:left w:w="28" w:type="dxa"/>
            </w:tcMar>
          </w:tcPr>
          <w:p w14:paraId="04FB28A8" w14:textId="7CE7118C" w:rsidR="00041B30" w:rsidRPr="005F0061" w:rsidRDefault="00041B30" w:rsidP="00041B30">
            <w:pPr>
              <w:pStyle w:val="mps3-data"/>
              <w:rPr>
                <w:szCs w:val="16"/>
              </w:rPr>
            </w:pPr>
            <w:r w:rsidRPr="005F0061">
              <w:rPr>
                <w:szCs w:val="16"/>
              </w:rPr>
              <w:t>C11240</w:t>
            </w:r>
            <w:r w:rsidRPr="005F0061">
              <w:rPr>
                <w:color w:val="0000FF"/>
                <w:szCs w:val="16"/>
              </w:rPr>
              <w:t xml:space="preserve"> </w:t>
            </w:r>
          </w:p>
        </w:tc>
        <w:tc>
          <w:tcPr>
            <w:tcW w:w="850" w:type="dxa"/>
            <w:shd w:val="clear" w:color="auto" w:fill="auto"/>
            <w:tcMar>
              <w:top w:w="28" w:type="dxa"/>
              <w:left w:w="28" w:type="dxa"/>
            </w:tcMar>
          </w:tcPr>
          <w:p w14:paraId="325370C0" w14:textId="77777777" w:rsidR="00041B30" w:rsidRPr="005F0061" w:rsidDel="00E03489" w:rsidRDefault="00041B30" w:rsidP="00041B30">
            <w:pPr>
              <w:spacing w:before="60" w:after="60"/>
              <w:rPr>
                <w:rFonts w:ascii="Arial" w:hAnsi="Arial" w:cs="Arial"/>
                <w:sz w:val="16"/>
                <w:szCs w:val="16"/>
                <w:lang w:eastAsia="en-AU"/>
              </w:rPr>
            </w:pPr>
          </w:p>
        </w:tc>
        <w:tc>
          <w:tcPr>
            <w:tcW w:w="7661" w:type="dxa"/>
            <w:shd w:val="clear" w:color="auto" w:fill="auto"/>
            <w:tcMar>
              <w:top w:w="28" w:type="dxa"/>
              <w:left w:w="28" w:type="dxa"/>
            </w:tcMar>
          </w:tcPr>
          <w:p w14:paraId="461946AC" w14:textId="62D300C4" w:rsidR="00041B30" w:rsidRPr="005F0061" w:rsidRDefault="00041B30" w:rsidP="00041B30">
            <w:pPr>
              <w:pStyle w:val="mps3-data"/>
              <w:rPr>
                <w:szCs w:val="16"/>
              </w:rPr>
            </w:pPr>
            <w:r w:rsidRPr="005F0061">
              <w:t>Pulmonary arterial hypertension (PAH</w:t>
            </w:r>
            <w:proofErr w:type="gramStart"/>
            <w:r w:rsidRPr="005F0061">
              <w:t>)</w:t>
            </w:r>
            <w:proofErr w:type="gramEnd"/>
            <w:r w:rsidR="003327A6" w:rsidRPr="005F0061">
              <w:br/>
            </w:r>
            <w:r w:rsidRPr="005F0061">
              <w:t>Initial 3 (dual therapy - change)</w:t>
            </w:r>
            <w:r w:rsidR="003327A6" w:rsidRPr="005F0061">
              <w:br/>
            </w:r>
            <w:r w:rsidRPr="005F0061">
              <w:t>Patient must have had their most recent course of PBS-subsidised dual therapy with an endothelin receptor antagonist (ERA) and a phosphodiesterase-5 inhibitor (PDE-5i) other than this agent for this condition.</w:t>
            </w:r>
            <w:r w:rsidR="003327A6" w:rsidRPr="005F0061">
              <w:br/>
            </w:r>
            <w:r w:rsidRPr="005F0061">
              <w:t xml:space="preserve">Must be treated by a physician with expertise in the management of PAH, with this authority application to </w:t>
            </w:r>
            <w:r w:rsidRPr="005F0061">
              <w:lastRenderedPageBreak/>
              <w:t>be completed by the physician with expertise in PAH.</w:t>
            </w:r>
            <w:r w:rsidR="003327A6" w:rsidRPr="005F0061">
              <w:br/>
            </w:r>
            <w:r w:rsidRPr="005F0061">
              <w:t xml:space="preserve">The term 'PAH agents' refers to </w:t>
            </w:r>
            <w:proofErr w:type="spellStart"/>
            <w:r w:rsidRPr="005F0061">
              <w:t>bosentan</w:t>
            </w:r>
            <w:proofErr w:type="spellEnd"/>
            <w:r w:rsidRPr="005F0061">
              <w:t xml:space="preserve"> monohydrate, </w:t>
            </w:r>
            <w:proofErr w:type="spellStart"/>
            <w:r w:rsidRPr="005F0061">
              <w:t>iloprost</w:t>
            </w:r>
            <w:proofErr w:type="spellEnd"/>
            <w:r w:rsidRPr="005F0061">
              <w:t xml:space="preserve"> trometamol, </w:t>
            </w:r>
            <w:proofErr w:type="spellStart"/>
            <w:r w:rsidRPr="005F0061">
              <w:t>epoprostenol</w:t>
            </w:r>
            <w:proofErr w:type="spellEnd"/>
            <w:r w:rsidRPr="005F0061">
              <w:t xml:space="preserve"> sodium, sildenafil citrate, </w:t>
            </w:r>
            <w:proofErr w:type="spellStart"/>
            <w:r w:rsidRPr="005F0061">
              <w:t>ambrisentan</w:t>
            </w:r>
            <w:proofErr w:type="spellEnd"/>
            <w:r w:rsidRPr="005F0061">
              <w:t xml:space="preserve">, </w:t>
            </w:r>
            <w:proofErr w:type="spellStart"/>
            <w:r w:rsidRPr="005F0061">
              <w:t>tadalafil</w:t>
            </w:r>
            <w:proofErr w:type="spellEnd"/>
            <w:r w:rsidRPr="005F0061">
              <w:t xml:space="preserve">, </w:t>
            </w:r>
            <w:proofErr w:type="spellStart"/>
            <w:r w:rsidRPr="005F0061">
              <w:t>macitentan</w:t>
            </w:r>
            <w:proofErr w:type="spellEnd"/>
            <w:r w:rsidRPr="005F0061">
              <w:t xml:space="preserve">, and </w:t>
            </w:r>
            <w:proofErr w:type="spellStart"/>
            <w:r w:rsidRPr="005F0061">
              <w:t>riociguat</w:t>
            </w:r>
            <w:proofErr w:type="spellEnd"/>
            <w:r w:rsidRPr="005F0061">
              <w:t>.</w:t>
            </w:r>
            <w:r w:rsidR="003327A6" w:rsidRPr="005F0061">
              <w:br/>
            </w:r>
            <w:r w:rsidRPr="005F0061">
              <w:t>For the purposes of PBS subsidy, dual therapy refers to combined use of an endothelin receptor antagonist (ERA) and a phosphodiesterase-5 inhibitor (PDE-5i).</w:t>
            </w:r>
            <w:r w:rsidR="003327A6" w:rsidRPr="005F0061">
              <w:br/>
            </w:r>
            <w:r w:rsidRPr="005F0061">
              <w:t>(</w:t>
            </w:r>
            <w:proofErr w:type="spellStart"/>
            <w:r w:rsidRPr="005F0061">
              <w:t>i</w:t>
            </w:r>
            <w:proofErr w:type="spellEnd"/>
            <w:r w:rsidRPr="005F0061">
              <w:t xml:space="preserve">) An ERA includes </w:t>
            </w:r>
            <w:proofErr w:type="spellStart"/>
            <w:r w:rsidRPr="005F0061">
              <w:t>ambrisentan</w:t>
            </w:r>
            <w:proofErr w:type="spellEnd"/>
            <w:r w:rsidRPr="005F0061">
              <w:t xml:space="preserve">, </w:t>
            </w:r>
            <w:proofErr w:type="spellStart"/>
            <w:r w:rsidRPr="005F0061">
              <w:t>bosentan</w:t>
            </w:r>
            <w:proofErr w:type="spellEnd"/>
            <w:r w:rsidRPr="005F0061">
              <w:t xml:space="preserve"> monohydrate, or </w:t>
            </w:r>
            <w:proofErr w:type="spellStart"/>
            <w:r w:rsidRPr="005F0061">
              <w:t>macitentan</w:t>
            </w:r>
            <w:proofErr w:type="spellEnd"/>
            <w:r w:rsidRPr="005F0061">
              <w:t>.</w:t>
            </w:r>
            <w:r w:rsidR="003327A6" w:rsidRPr="005F0061">
              <w:br/>
            </w:r>
            <w:r w:rsidRPr="005F0061">
              <w:t xml:space="preserve">(ii) A PDE-5i includes sildenafil citrate, or </w:t>
            </w:r>
            <w:proofErr w:type="spellStart"/>
            <w:r w:rsidRPr="005F0061">
              <w:t>tadalafil</w:t>
            </w:r>
            <w:proofErr w:type="spellEnd"/>
            <w:r w:rsidRPr="005F0061">
              <w:t>.</w:t>
            </w:r>
            <w:r w:rsidR="003327A6" w:rsidRPr="005F0061">
              <w:br/>
            </w:r>
            <w:r w:rsidRPr="005F0061">
              <w:t>PAH agents are not PBS-subsidised for patients with pulmonary hypertension secondary to interstitial lung disease associated with connective tissue disease, where the total lung capacity is less than 70% of predicted.</w:t>
            </w:r>
            <w:r w:rsidR="003327A6" w:rsidRPr="005F0061">
              <w:br/>
            </w:r>
            <w:r w:rsidRPr="005F0061">
              <w:t>Swapping between PAH agents: Patients can access PAH agents through the PBS according to the relevant restrictions.</w:t>
            </w:r>
            <w:r w:rsidR="003327A6" w:rsidRPr="005F0061">
              <w:br/>
            </w:r>
            <w:r w:rsidRPr="005F0061">
              <w:t>Once patients are approved dual therapy with a PAH agent from the PDE-5i class; or a PAH agent from the ERA class, they may swap between PAH agents within the same class. This means that patients may commence treatment with another PAH agent in the same class, subject to that agent's restriction, irrespective of the severity of their disease at the time the application to swap therapy is submitted.</w:t>
            </w:r>
            <w:r w:rsidR="003327A6" w:rsidRPr="005F0061">
              <w:br/>
            </w:r>
            <w:r w:rsidRPr="005F0061">
              <w:t>Applications to swap within a PAH agent class must be made under the relevant initial treatment restriction.</w:t>
            </w:r>
            <w:r w:rsidR="003327A6" w:rsidRPr="005F0061">
              <w:br/>
            </w:r>
            <w:r w:rsidRPr="005F0061">
              <w:t>The maximum quantity authorised will be limited to provide sufficient supply for 1 month of treatment, based on the dosage recommendations in the TGA-approved Product Information.</w:t>
            </w:r>
            <w:r w:rsidR="003327A6" w:rsidRPr="005F0061">
              <w:br/>
            </w:r>
            <w:r w:rsidRPr="005F0061">
              <w:t>A maximum of 5 repeats may be requested.</w:t>
            </w:r>
          </w:p>
        </w:tc>
        <w:tc>
          <w:tcPr>
            <w:tcW w:w="2650" w:type="dxa"/>
            <w:shd w:val="clear" w:color="auto" w:fill="auto"/>
            <w:tcMar>
              <w:top w:w="28" w:type="dxa"/>
              <w:left w:w="28" w:type="dxa"/>
              <w:right w:w="57" w:type="dxa"/>
            </w:tcMar>
          </w:tcPr>
          <w:p w14:paraId="52B914EB" w14:textId="280EA0F0" w:rsidR="00041B30" w:rsidRPr="005F0061" w:rsidRDefault="00041B30" w:rsidP="00041B30">
            <w:pPr>
              <w:pStyle w:val="Tabletext0"/>
            </w:pPr>
            <w:r w:rsidRPr="005F0061">
              <w:lastRenderedPageBreak/>
              <w:t>Compliance with Authority Required procedures</w:t>
            </w:r>
          </w:p>
        </w:tc>
      </w:tr>
      <w:tr w:rsidR="00041B30" w:rsidRPr="005F0061" w14:paraId="3F6A77B3" w14:textId="77777777" w:rsidTr="00DB6EC0">
        <w:tc>
          <w:tcPr>
            <w:tcW w:w="1900" w:type="dxa"/>
            <w:shd w:val="clear" w:color="auto" w:fill="auto"/>
            <w:tcMar>
              <w:top w:w="28" w:type="dxa"/>
              <w:left w:w="28" w:type="dxa"/>
            </w:tcMar>
          </w:tcPr>
          <w:p w14:paraId="155A3949" w14:textId="77777777" w:rsidR="00041B30" w:rsidRPr="005F0061" w:rsidRDefault="00041B30" w:rsidP="00041B30">
            <w:pPr>
              <w:pStyle w:val="Tabletext0"/>
              <w:tabs>
                <w:tab w:val="left" w:pos="958"/>
              </w:tabs>
              <w:rPr>
                <w:rFonts w:cs="Arial"/>
                <w:szCs w:val="16"/>
              </w:rPr>
            </w:pPr>
          </w:p>
        </w:tc>
        <w:tc>
          <w:tcPr>
            <w:tcW w:w="850" w:type="dxa"/>
            <w:shd w:val="clear" w:color="auto" w:fill="auto"/>
            <w:tcMar>
              <w:top w:w="28" w:type="dxa"/>
              <w:left w:w="28" w:type="dxa"/>
            </w:tcMar>
          </w:tcPr>
          <w:p w14:paraId="41545CD1" w14:textId="479930FA" w:rsidR="00041B30" w:rsidRPr="005F0061" w:rsidRDefault="00041B30" w:rsidP="00041B30">
            <w:pPr>
              <w:pStyle w:val="mps3-data"/>
              <w:rPr>
                <w:szCs w:val="16"/>
              </w:rPr>
            </w:pPr>
            <w:r w:rsidRPr="005F0061">
              <w:rPr>
                <w:szCs w:val="16"/>
              </w:rPr>
              <w:t>C11277</w:t>
            </w:r>
            <w:r w:rsidRPr="005F0061">
              <w:rPr>
                <w:color w:val="0000FF"/>
                <w:szCs w:val="16"/>
              </w:rPr>
              <w:t xml:space="preserve"> </w:t>
            </w:r>
          </w:p>
        </w:tc>
        <w:tc>
          <w:tcPr>
            <w:tcW w:w="850" w:type="dxa"/>
            <w:shd w:val="clear" w:color="auto" w:fill="auto"/>
            <w:tcMar>
              <w:top w:w="28" w:type="dxa"/>
              <w:left w:w="28" w:type="dxa"/>
            </w:tcMar>
          </w:tcPr>
          <w:p w14:paraId="5C7999B6" w14:textId="77777777" w:rsidR="00041B30" w:rsidRPr="005F0061" w:rsidDel="00E03489" w:rsidRDefault="00041B30" w:rsidP="00041B30">
            <w:pPr>
              <w:spacing w:before="60" w:after="60"/>
              <w:rPr>
                <w:rFonts w:ascii="Arial" w:hAnsi="Arial" w:cs="Arial"/>
                <w:sz w:val="16"/>
                <w:szCs w:val="16"/>
                <w:lang w:eastAsia="en-AU"/>
              </w:rPr>
            </w:pPr>
          </w:p>
        </w:tc>
        <w:tc>
          <w:tcPr>
            <w:tcW w:w="7661" w:type="dxa"/>
            <w:shd w:val="clear" w:color="auto" w:fill="auto"/>
            <w:tcMar>
              <w:top w:w="28" w:type="dxa"/>
              <w:left w:w="28" w:type="dxa"/>
            </w:tcMar>
          </w:tcPr>
          <w:p w14:paraId="400AC883" w14:textId="4140B14E" w:rsidR="00041B30" w:rsidRPr="005F0061" w:rsidRDefault="00041B30" w:rsidP="00041B30">
            <w:pPr>
              <w:pStyle w:val="mps3-data"/>
              <w:rPr>
                <w:szCs w:val="16"/>
              </w:rPr>
            </w:pPr>
            <w:r w:rsidRPr="005F0061">
              <w:t>Pulmonary arterial hypertension (PAH)</w:t>
            </w:r>
            <w:r w:rsidR="003327A6" w:rsidRPr="005F0061">
              <w:br/>
            </w:r>
            <w:r w:rsidRPr="005F0061">
              <w:t>Initial 2 (dual therapy - previously treated patients)</w:t>
            </w:r>
            <w:r w:rsidR="003327A6" w:rsidRPr="005F0061">
              <w:br/>
            </w:r>
            <w:r w:rsidRPr="005F0061">
              <w:t>Patient must have documented WHO Functional Class III PAH or WHO Functional Class IV PAH; AND</w:t>
            </w:r>
            <w:r w:rsidR="003327A6" w:rsidRPr="005F0061">
              <w:br/>
            </w:r>
            <w:r w:rsidRPr="005F0061">
              <w:t>Patient must have documented a failure to achieve or maintain WHO Functional Class II status with prior PBS-subsidised monotherapy treatment with an endothelin receptor antagonist (ERA) for this condition; AND</w:t>
            </w:r>
            <w:r w:rsidR="003327A6" w:rsidRPr="005F0061">
              <w:br/>
            </w:r>
            <w:r w:rsidRPr="005F0061">
              <w:t>The treatment must be in combination with a PBS-subsidised endothelin receptor antagonist (ERA) for this condition.</w:t>
            </w:r>
            <w:r w:rsidR="003327A6" w:rsidRPr="005F0061">
              <w:br/>
            </w:r>
            <w:r w:rsidRPr="005F0061">
              <w:t>Must be treated by a physician with expertise in the management of PAH, with this authority application to be completed by the physician with expertise in PAH.</w:t>
            </w:r>
            <w:r w:rsidR="003327A6" w:rsidRPr="005F0061">
              <w:br/>
            </w:r>
            <w:r w:rsidRPr="005F0061">
              <w:t xml:space="preserve">The term 'PAH agents' refers to </w:t>
            </w:r>
            <w:proofErr w:type="spellStart"/>
            <w:r w:rsidRPr="005F0061">
              <w:t>bosentan</w:t>
            </w:r>
            <w:proofErr w:type="spellEnd"/>
            <w:r w:rsidRPr="005F0061">
              <w:t xml:space="preserve"> monohydrate, </w:t>
            </w:r>
            <w:proofErr w:type="spellStart"/>
            <w:r w:rsidRPr="005F0061">
              <w:t>iloprost</w:t>
            </w:r>
            <w:proofErr w:type="spellEnd"/>
            <w:r w:rsidRPr="005F0061">
              <w:t xml:space="preserve"> trometamol, </w:t>
            </w:r>
            <w:proofErr w:type="spellStart"/>
            <w:r w:rsidRPr="005F0061">
              <w:t>epoprostenol</w:t>
            </w:r>
            <w:proofErr w:type="spellEnd"/>
            <w:r w:rsidRPr="005F0061">
              <w:t xml:space="preserve"> sodium, sildenafil citrate, </w:t>
            </w:r>
            <w:proofErr w:type="spellStart"/>
            <w:r w:rsidRPr="005F0061">
              <w:t>ambrisentan</w:t>
            </w:r>
            <w:proofErr w:type="spellEnd"/>
            <w:r w:rsidRPr="005F0061">
              <w:t xml:space="preserve">, </w:t>
            </w:r>
            <w:proofErr w:type="spellStart"/>
            <w:r w:rsidRPr="005F0061">
              <w:t>tadalafil</w:t>
            </w:r>
            <w:proofErr w:type="spellEnd"/>
            <w:r w:rsidRPr="005F0061">
              <w:t xml:space="preserve">, </w:t>
            </w:r>
            <w:proofErr w:type="spellStart"/>
            <w:r w:rsidRPr="005F0061">
              <w:t>macitentan</w:t>
            </w:r>
            <w:proofErr w:type="spellEnd"/>
            <w:r w:rsidRPr="005F0061">
              <w:t xml:space="preserve">, and </w:t>
            </w:r>
            <w:proofErr w:type="spellStart"/>
            <w:r w:rsidRPr="005F0061">
              <w:t>riociguat</w:t>
            </w:r>
            <w:proofErr w:type="spellEnd"/>
            <w:r w:rsidRPr="005F0061">
              <w:t>.</w:t>
            </w:r>
            <w:r w:rsidR="003327A6" w:rsidRPr="005F0061">
              <w:br/>
            </w:r>
            <w:r w:rsidRPr="005F0061">
              <w:t>For the purposes of PBS subsidy, dual therapy refers to combined use of an endothelin receptor antagonist (ERA) and a phosphodiesterase-5 inhibitor (PDE-5i).</w:t>
            </w:r>
            <w:r w:rsidR="003327A6" w:rsidRPr="005F0061">
              <w:br/>
            </w:r>
            <w:r w:rsidRPr="005F0061">
              <w:t>(</w:t>
            </w:r>
            <w:proofErr w:type="spellStart"/>
            <w:r w:rsidRPr="005F0061">
              <w:t>i</w:t>
            </w:r>
            <w:proofErr w:type="spellEnd"/>
            <w:r w:rsidRPr="005F0061">
              <w:t xml:space="preserve">) An ERA includes </w:t>
            </w:r>
            <w:proofErr w:type="spellStart"/>
            <w:r w:rsidRPr="005F0061">
              <w:t>ambrisentan</w:t>
            </w:r>
            <w:proofErr w:type="spellEnd"/>
            <w:r w:rsidRPr="005F0061">
              <w:t xml:space="preserve">, </w:t>
            </w:r>
            <w:proofErr w:type="spellStart"/>
            <w:r w:rsidRPr="005F0061">
              <w:t>bosentan</w:t>
            </w:r>
            <w:proofErr w:type="spellEnd"/>
            <w:r w:rsidRPr="005F0061">
              <w:t xml:space="preserve"> monohydrate, or </w:t>
            </w:r>
            <w:proofErr w:type="spellStart"/>
            <w:r w:rsidRPr="005F0061">
              <w:t>macitentan</w:t>
            </w:r>
            <w:proofErr w:type="spellEnd"/>
            <w:r w:rsidRPr="005F0061">
              <w:t>.</w:t>
            </w:r>
            <w:r w:rsidR="003327A6" w:rsidRPr="005F0061">
              <w:br/>
            </w:r>
            <w:r w:rsidRPr="005F0061">
              <w:t xml:space="preserve">(ii) A PDE-5i includes sildenafil citrate, or </w:t>
            </w:r>
            <w:proofErr w:type="spellStart"/>
            <w:r w:rsidRPr="005F0061">
              <w:t>tadalafil</w:t>
            </w:r>
            <w:proofErr w:type="spellEnd"/>
            <w:r w:rsidRPr="005F0061">
              <w:t>.</w:t>
            </w:r>
            <w:r w:rsidR="003327A6" w:rsidRPr="005F0061">
              <w:br/>
            </w:r>
            <w:r w:rsidRPr="005F0061">
              <w:t>PAH agents are not PBS-subsidised for patients with pulmonary hypertension secondary to interstitial lung disease associated with connective tissue disease, where the total lung capacity is less than 70% of predicted.</w:t>
            </w:r>
            <w:r w:rsidR="003327A6" w:rsidRPr="005F0061">
              <w:br/>
            </w:r>
            <w:r w:rsidRPr="005F0061">
              <w:t>PAH (WHO Group 1 pulmonary hypertension) is defined as follows</w:t>
            </w:r>
            <w:proofErr w:type="gramStart"/>
            <w:r w:rsidRPr="005F0061">
              <w:t>:</w:t>
            </w:r>
            <w:proofErr w:type="gramEnd"/>
            <w:r w:rsidR="003327A6" w:rsidRPr="005F0061">
              <w:br/>
            </w:r>
            <w:r w:rsidRPr="005F0061">
              <w:t>(</w:t>
            </w:r>
            <w:proofErr w:type="spellStart"/>
            <w:r w:rsidRPr="005F0061">
              <w:t>i</w:t>
            </w:r>
            <w:proofErr w:type="spellEnd"/>
            <w:r w:rsidRPr="005F0061">
              <w:t>) mean pulmonary artery pressure (</w:t>
            </w:r>
            <w:proofErr w:type="spellStart"/>
            <w:r w:rsidRPr="005F0061">
              <w:t>mPAP</w:t>
            </w:r>
            <w:proofErr w:type="spellEnd"/>
            <w:r w:rsidRPr="005F0061">
              <w:t>) greater than or equal to 25 mmHg at rest and pulmonary artery wedge pressure (PAWP) less than or equal to 15 mmHg; or</w:t>
            </w:r>
            <w:r w:rsidR="003327A6" w:rsidRPr="005F0061">
              <w:br/>
            </w:r>
            <w:r w:rsidRPr="005F0061">
              <w:t>(ii) where a right heart catheter (RHC) cannot be performed on clinical grounds, right ventricular systolic pressure (RVSP), assessed by echocardiography (ECHO), greater than 40 mmHg, with normal left ventricular function.</w:t>
            </w:r>
            <w:r w:rsidR="003327A6" w:rsidRPr="005F0061">
              <w:br/>
            </w:r>
            <w:r w:rsidRPr="005F0061">
              <w:t>The results and date of the RHC, ECHO and 6 MWT as applicable must be included in the patient's medical record. Where a RHC cannot be performed on clinical grounds, the written confirmation of the reasons why must also be included in the patient's medical record.</w:t>
            </w:r>
            <w:r w:rsidR="003327A6" w:rsidRPr="005F0061">
              <w:br/>
            </w:r>
            <w:r w:rsidRPr="005F0061">
              <w:t xml:space="preserve">The maximum quantity authorised will be limited to provide sufficient supply for 1 month of treatment, </w:t>
            </w:r>
            <w:r w:rsidRPr="005F0061">
              <w:lastRenderedPageBreak/>
              <w:t>based on the dosage recommendations in the TGA-approved Product Information.</w:t>
            </w:r>
            <w:r w:rsidR="003327A6" w:rsidRPr="005F0061">
              <w:br/>
            </w:r>
            <w:r w:rsidRPr="005F0061">
              <w:t>A maximum of 5 repeats may be requested.</w:t>
            </w:r>
          </w:p>
        </w:tc>
        <w:tc>
          <w:tcPr>
            <w:tcW w:w="2650" w:type="dxa"/>
            <w:shd w:val="clear" w:color="auto" w:fill="auto"/>
            <w:tcMar>
              <w:top w:w="28" w:type="dxa"/>
              <w:left w:w="28" w:type="dxa"/>
              <w:right w:w="57" w:type="dxa"/>
            </w:tcMar>
          </w:tcPr>
          <w:p w14:paraId="78BB2AEB" w14:textId="526BE3CC" w:rsidR="00041B30" w:rsidRPr="005F0061" w:rsidRDefault="00041B30" w:rsidP="00041B30">
            <w:pPr>
              <w:pStyle w:val="Tabletext0"/>
            </w:pPr>
            <w:r w:rsidRPr="005F0061">
              <w:lastRenderedPageBreak/>
              <w:t>Compliance with Authority Required procedures</w:t>
            </w:r>
          </w:p>
        </w:tc>
      </w:tr>
      <w:tr w:rsidR="00041B30" w:rsidRPr="005F0061" w14:paraId="0DF92EA9" w14:textId="77777777" w:rsidTr="00DB6EC0">
        <w:tc>
          <w:tcPr>
            <w:tcW w:w="1900" w:type="dxa"/>
            <w:shd w:val="clear" w:color="auto" w:fill="auto"/>
            <w:tcMar>
              <w:top w:w="28" w:type="dxa"/>
              <w:left w:w="28" w:type="dxa"/>
            </w:tcMar>
          </w:tcPr>
          <w:p w14:paraId="56BD021B" w14:textId="77777777" w:rsidR="00041B30" w:rsidRPr="005F0061" w:rsidRDefault="00041B30" w:rsidP="00041B30">
            <w:pPr>
              <w:pStyle w:val="Tabletext0"/>
              <w:tabs>
                <w:tab w:val="left" w:pos="958"/>
              </w:tabs>
              <w:rPr>
                <w:rFonts w:cs="Arial"/>
                <w:szCs w:val="16"/>
              </w:rPr>
            </w:pPr>
          </w:p>
        </w:tc>
        <w:tc>
          <w:tcPr>
            <w:tcW w:w="850" w:type="dxa"/>
            <w:shd w:val="clear" w:color="auto" w:fill="auto"/>
            <w:tcMar>
              <w:top w:w="28" w:type="dxa"/>
              <w:left w:w="28" w:type="dxa"/>
            </w:tcMar>
          </w:tcPr>
          <w:p w14:paraId="2C06A844" w14:textId="5AF8D03E" w:rsidR="00041B30" w:rsidRPr="005F0061" w:rsidRDefault="00041B30" w:rsidP="00041B30">
            <w:pPr>
              <w:pStyle w:val="mps3-data"/>
              <w:rPr>
                <w:szCs w:val="16"/>
              </w:rPr>
            </w:pPr>
            <w:r w:rsidRPr="005F0061">
              <w:rPr>
                <w:szCs w:val="16"/>
              </w:rPr>
              <w:t>C11278</w:t>
            </w:r>
            <w:r w:rsidRPr="005F0061">
              <w:rPr>
                <w:color w:val="0000FF"/>
                <w:szCs w:val="16"/>
              </w:rPr>
              <w:t xml:space="preserve"> </w:t>
            </w:r>
          </w:p>
        </w:tc>
        <w:tc>
          <w:tcPr>
            <w:tcW w:w="850" w:type="dxa"/>
            <w:shd w:val="clear" w:color="auto" w:fill="auto"/>
            <w:tcMar>
              <w:top w:w="28" w:type="dxa"/>
              <w:left w:w="28" w:type="dxa"/>
            </w:tcMar>
          </w:tcPr>
          <w:p w14:paraId="1672061B" w14:textId="77777777" w:rsidR="00041B30" w:rsidRPr="005F0061" w:rsidDel="00E03489" w:rsidRDefault="00041B30" w:rsidP="00041B30">
            <w:pPr>
              <w:spacing w:before="60" w:after="60"/>
              <w:rPr>
                <w:rFonts w:ascii="Arial" w:hAnsi="Arial" w:cs="Arial"/>
                <w:sz w:val="16"/>
                <w:szCs w:val="16"/>
                <w:lang w:eastAsia="en-AU"/>
              </w:rPr>
            </w:pPr>
          </w:p>
        </w:tc>
        <w:tc>
          <w:tcPr>
            <w:tcW w:w="7661" w:type="dxa"/>
            <w:shd w:val="clear" w:color="auto" w:fill="auto"/>
            <w:tcMar>
              <w:top w:w="28" w:type="dxa"/>
              <w:left w:w="28" w:type="dxa"/>
            </w:tcMar>
          </w:tcPr>
          <w:p w14:paraId="2F6105A3" w14:textId="0FF1D95E" w:rsidR="00041B30" w:rsidRPr="005F0061" w:rsidRDefault="00041B30" w:rsidP="00041B30">
            <w:pPr>
              <w:pStyle w:val="mps3-data"/>
              <w:rPr>
                <w:szCs w:val="16"/>
              </w:rPr>
            </w:pPr>
            <w:r w:rsidRPr="005F0061">
              <w:t>Pulmonary arterial hypertension (PAH</w:t>
            </w:r>
            <w:proofErr w:type="gramStart"/>
            <w:r w:rsidRPr="005F0061">
              <w:t>)</w:t>
            </w:r>
            <w:proofErr w:type="gramEnd"/>
            <w:r w:rsidR="003327A6" w:rsidRPr="005F0061">
              <w:br/>
            </w:r>
            <w:r w:rsidRPr="005F0061">
              <w:t>Continuing treatment (dual therapy)</w:t>
            </w:r>
            <w:r w:rsidR="003327A6" w:rsidRPr="005F0061">
              <w:br/>
            </w:r>
            <w:r w:rsidRPr="005F0061">
              <w:t>Patient must have received their most recent course of PBS-subsidised treatment with this PAH agent and an endothelin receptor antagonist (ERA) for this condition.</w:t>
            </w:r>
            <w:r w:rsidR="003327A6" w:rsidRPr="005F0061">
              <w:br/>
            </w:r>
            <w:r w:rsidRPr="005F0061">
              <w:t>Must be treated by a physician with expertise in the management of PAH, with this authority application to be completed by the physician with expertise in PAH.</w:t>
            </w:r>
            <w:r w:rsidR="003327A6" w:rsidRPr="005F0061">
              <w:br/>
            </w:r>
            <w:r w:rsidRPr="005F0061">
              <w:t xml:space="preserve">The term 'PAH agents' refers to </w:t>
            </w:r>
            <w:proofErr w:type="spellStart"/>
            <w:r w:rsidRPr="005F0061">
              <w:t>bosentan</w:t>
            </w:r>
            <w:proofErr w:type="spellEnd"/>
            <w:r w:rsidRPr="005F0061">
              <w:t xml:space="preserve"> monohydrate, </w:t>
            </w:r>
            <w:proofErr w:type="spellStart"/>
            <w:r w:rsidRPr="005F0061">
              <w:t>iloprost</w:t>
            </w:r>
            <w:proofErr w:type="spellEnd"/>
            <w:r w:rsidRPr="005F0061">
              <w:t xml:space="preserve"> trometamol, </w:t>
            </w:r>
            <w:proofErr w:type="spellStart"/>
            <w:r w:rsidRPr="005F0061">
              <w:t>epoprostenol</w:t>
            </w:r>
            <w:proofErr w:type="spellEnd"/>
            <w:r w:rsidRPr="005F0061">
              <w:t xml:space="preserve"> sodium, sildenafil citrate, </w:t>
            </w:r>
            <w:proofErr w:type="spellStart"/>
            <w:r w:rsidRPr="005F0061">
              <w:t>ambrisentan</w:t>
            </w:r>
            <w:proofErr w:type="spellEnd"/>
            <w:r w:rsidRPr="005F0061">
              <w:t xml:space="preserve">, </w:t>
            </w:r>
            <w:proofErr w:type="spellStart"/>
            <w:r w:rsidRPr="005F0061">
              <w:t>tadalafil</w:t>
            </w:r>
            <w:proofErr w:type="spellEnd"/>
            <w:r w:rsidRPr="005F0061">
              <w:t xml:space="preserve">, </w:t>
            </w:r>
            <w:proofErr w:type="spellStart"/>
            <w:r w:rsidRPr="005F0061">
              <w:t>macitentan</w:t>
            </w:r>
            <w:proofErr w:type="spellEnd"/>
            <w:r w:rsidRPr="005F0061">
              <w:t xml:space="preserve">, and </w:t>
            </w:r>
            <w:proofErr w:type="spellStart"/>
            <w:r w:rsidRPr="005F0061">
              <w:t>riociguat</w:t>
            </w:r>
            <w:proofErr w:type="spellEnd"/>
            <w:r w:rsidRPr="005F0061">
              <w:t>.</w:t>
            </w:r>
            <w:r w:rsidR="003327A6" w:rsidRPr="005F0061">
              <w:br/>
            </w:r>
            <w:r w:rsidRPr="005F0061">
              <w:t>For the purposes of PBS subsidy, dual therapy refers to combined use of an endothelin receptor antagonist (ERA) and a phosphodiesterase-5 inhibitor (PDE-5i).</w:t>
            </w:r>
            <w:r w:rsidR="003327A6" w:rsidRPr="005F0061">
              <w:br/>
            </w:r>
            <w:r w:rsidRPr="005F0061">
              <w:t>(</w:t>
            </w:r>
            <w:proofErr w:type="spellStart"/>
            <w:r w:rsidRPr="005F0061">
              <w:t>i</w:t>
            </w:r>
            <w:proofErr w:type="spellEnd"/>
            <w:r w:rsidRPr="005F0061">
              <w:t xml:space="preserve">) An ERA includes </w:t>
            </w:r>
            <w:proofErr w:type="spellStart"/>
            <w:r w:rsidRPr="005F0061">
              <w:t>ambrisentan</w:t>
            </w:r>
            <w:proofErr w:type="spellEnd"/>
            <w:r w:rsidRPr="005F0061">
              <w:t xml:space="preserve">, </w:t>
            </w:r>
            <w:proofErr w:type="spellStart"/>
            <w:r w:rsidRPr="005F0061">
              <w:t>bosentan</w:t>
            </w:r>
            <w:proofErr w:type="spellEnd"/>
            <w:r w:rsidRPr="005F0061">
              <w:t xml:space="preserve"> monohydrate, or </w:t>
            </w:r>
            <w:proofErr w:type="spellStart"/>
            <w:r w:rsidRPr="005F0061">
              <w:t>macitentan</w:t>
            </w:r>
            <w:proofErr w:type="spellEnd"/>
            <w:r w:rsidRPr="005F0061">
              <w:t>.</w:t>
            </w:r>
            <w:r w:rsidR="003327A6" w:rsidRPr="005F0061">
              <w:br/>
            </w:r>
            <w:r w:rsidRPr="005F0061">
              <w:t xml:space="preserve">(ii) A PDE-5i includes sildenafil citrate, or </w:t>
            </w:r>
            <w:proofErr w:type="spellStart"/>
            <w:r w:rsidRPr="005F0061">
              <w:t>tadalafil</w:t>
            </w:r>
            <w:proofErr w:type="spellEnd"/>
            <w:r w:rsidRPr="005F0061">
              <w:t>.</w:t>
            </w:r>
            <w:r w:rsidR="003327A6" w:rsidRPr="005F0061">
              <w:br/>
            </w:r>
            <w:r w:rsidRPr="005F0061">
              <w:t>PAH agents are not PBS-subsidised for patients with pulmonary hypertension secondary to interstitial lung disease associated with connective tissue disease, where the total lung capacity is less than 70% of predicted.</w:t>
            </w:r>
            <w:r w:rsidR="003327A6" w:rsidRPr="005F0061">
              <w:br/>
            </w:r>
            <w:r w:rsidRPr="005F0061">
              <w:t>The maximum quantity authorised will be limited to provide sufficient supply for 1 month of treatment, based on the dosage recommendations in the TGA-approved Product Information.</w:t>
            </w:r>
            <w:r w:rsidR="003327A6" w:rsidRPr="005F0061">
              <w:br/>
            </w:r>
            <w:r w:rsidRPr="005F0061">
              <w:t>A maximum of 5 repeats may be requested.</w:t>
            </w:r>
          </w:p>
        </w:tc>
        <w:tc>
          <w:tcPr>
            <w:tcW w:w="2650" w:type="dxa"/>
            <w:shd w:val="clear" w:color="auto" w:fill="auto"/>
            <w:tcMar>
              <w:top w:w="28" w:type="dxa"/>
              <w:left w:w="28" w:type="dxa"/>
              <w:right w:w="57" w:type="dxa"/>
            </w:tcMar>
          </w:tcPr>
          <w:p w14:paraId="38221129" w14:textId="74A5273B" w:rsidR="00041B30" w:rsidRPr="005F0061" w:rsidRDefault="00041B30" w:rsidP="00041B30">
            <w:pPr>
              <w:pStyle w:val="Tabletext0"/>
            </w:pPr>
            <w:r w:rsidRPr="005F0061">
              <w:t>Compliance with Authority Required procedures</w:t>
            </w:r>
            <w:r w:rsidR="003327A6" w:rsidRPr="005F0061">
              <w:br/>
            </w:r>
            <w:r w:rsidR="003327A6" w:rsidRPr="005F0061">
              <w:br/>
            </w:r>
            <w:r w:rsidR="003327A6" w:rsidRPr="005F0061">
              <w:br/>
            </w:r>
          </w:p>
        </w:tc>
      </w:tr>
      <w:tr w:rsidR="00041B30" w:rsidRPr="008A73CD" w14:paraId="278BEC9C" w14:textId="77777777" w:rsidTr="00DB6EC0">
        <w:tc>
          <w:tcPr>
            <w:tcW w:w="1900" w:type="dxa"/>
            <w:shd w:val="clear" w:color="auto" w:fill="auto"/>
            <w:tcMar>
              <w:top w:w="28" w:type="dxa"/>
              <w:left w:w="28" w:type="dxa"/>
            </w:tcMar>
          </w:tcPr>
          <w:p w14:paraId="2772203B" w14:textId="4BF62E28" w:rsidR="00041B30" w:rsidRPr="005F0061" w:rsidRDefault="00041B30" w:rsidP="00A60B92">
            <w:pPr>
              <w:rPr>
                <w:lang w:eastAsia="en-AU"/>
              </w:rPr>
            </w:pPr>
          </w:p>
        </w:tc>
        <w:tc>
          <w:tcPr>
            <w:tcW w:w="850" w:type="dxa"/>
            <w:shd w:val="clear" w:color="auto" w:fill="auto"/>
            <w:tcMar>
              <w:top w:w="28" w:type="dxa"/>
              <w:left w:w="28" w:type="dxa"/>
            </w:tcMar>
          </w:tcPr>
          <w:p w14:paraId="61434792" w14:textId="21957CF4" w:rsidR="00041B30" w:rsidRPr="005F0061" w:rsidRDefault="00041B30" w:rsidP="00041B30">
            <w:pPr>
              <w:pStyle w:val="mps3-data"/>
              <w:rPr>
                <w:szCs w:val="16"/>
              </w:rPr>
            </w:pPr>
            <w:r w:rsidRPr="005F0061">
              <w:rPr>
                <w:szCs w:val="16"/>
              </w:rPr>
              <w:t>C11281</w:t>
            </w:r>
          </w:p>
        </w:tc>
        <w:tc>
          <w:tcPr>
            <w:tcW w:w="850" w:type="dxa"/>
            <w:shd w:val="clear" w:color="auto" w:fill="auto"/>
            <w:tcMar>
              <w:top w:w="28" w:type="dxa"/>
              <w:left w:w="28" w:type="dxa"/>
            </w:tcMar>
          </w:tcPr>
          <w:p w14:paraId="6D1D844D" w14:textId="77777777" w:rsidR="00041B30" w:rsidRPr="005F0061" w:rsidDel="00E03489" w:rsidRDefault="00041B30" w:rsidP="00041B30">
            <w:pPr>
              <w:spacing w:before="60" w:after="60"/>
              <w:rPr>
                <w:rFonts w:ascii="Arial" w:hAnsi="Arial" w:cs="Arial"/>
                <w:sz w:val="16"/>
                <w:szCs w:val="16"/>
                <w:lang w:eastAsia="en-AU"/>
              </w:rPr>
            </w:pPr>
          </w:p>
        </w:tc>
        <w:tc>
          <w:tcPr>
            <w:tcW w:w="7661" w:type="dxa"/>
            <w:shd w:val="clear" w:color="auto" w:fill="auto"/>
            <w:tcMar>
              <w:top w:w="28" w:type="dxa"/>
              <w:left w:w="28" w:type="dxa"/>
            </w:tcMar>
          </w:tcPr>
          <w:p w14:paraId="20697D21" w14:textId="0563C3E6" w:rsidR="00041B30" w:rsidRPr="005F0061" w:rsidRDefault="00041B30" w:rsidP="00041B30">
            <w:pPr>
              <w:pStyle w:val="mps3-data"/>
            </w:pPr>
            <w:r w:rsidRPr="005F0061">
              <w:t>Pulmonary arterial hypertension (PAH)</w:t>
            </w:r>
            <w:r w:rsidR="003327A6" w:rsidRPr="005F0061">
              <w:br/>
            </w:r>
            <w:r w:rsidRPr="005F0061">
              <w:t>Grandfathered patients (dual therapy)</w:t>
            </w:r>
            <w:r w:rsidR="003327A6" w:rsidRPr="005F0061">
              <w:br/>
            </w:r>
            <w:r w:rsidRPr="005F0061">
              <w:t>Patient must be receiving dual therapy with this non PBS-subsidised pulmonary arterial hypertension (PAH) agent and a non PBS-subsidised endothelin receptor antagonist (ERA) for this condition prior to 1 October 2020.</w:t>
            </w:r>
            <w:r w:rsidR="003327A6" w:rsidRPr="005F0061">
              <w:br/>
            </w:r>
            <w:r w:rsidRPr="005F0061">
              <w:t>Must be treated by a physician with expertise in the management of PAH, with this authority application to be completed by the physician with expertise in PAH.</w:t>
            </w:r>
            <w:r w:rsidR="003327A6" w:rsidRPr="005F0061">
              <w:br/>
            </w:r>
            <w:r w:rsidRPr="005F0061">
              <w:t>Patient must have documented WHO Functional Class III PAH or WHO Functional Class IV PAH.</w:t>
            </w:r>
            <w:r w:rsidR="003327A6" w:rsidRPr="005F0061">
              <w:br/>
            </w:r>
            <w:r w:rsidRPr="005F0061">
              <w:t xml:space="preserve">The term 'PAH agents' refers to </w:t>
            </w:r>
            <w:proofErr w:type="spellStart"/>
            <w:r w:rsidRPr="005F0061">
              <w:t>bosentan</w:t>
            </w:r>
            <w:proofErr w:type="spellEnd"/>
            <w:r w:rsidRPr="005F0061">
              <w:t xml:space="preserve"> monohydrate, </w:t>
            </w:r>
            <w:proofErr w:type="spellStart"/>
            <w:r w:rsidRPr="005F0061">
              <w:t>iloprost</w:t>
            </w:r>
            <w:proofErr w:type="spellEnd"/>
            <w:r w:rsidRPr="005F0061">
              <w:t xml:space="preserve"> trometamol, </w:t>
            </w:r>
            <w:proofErr w:type="spellStart"/>
            <w:r w:rsidRPr="005F0061">
              <w:t>epoprostenol</w:t>
            </w:r>
            <w:proofErr w:type="spellEnd"/>
            <w:r w:rsidRPr="005F0061">
              <w:t xml:space="preserve"> sodium, sildenafil citrate, </w:t>
            </w:r>
            <w:proofErr w:type="spellStart"/>
            <w:r w:rsidRPr="005F0061">
              <w:t>ambrisentan</w:t>
            </w:r>
            <w:proofErr w:type="spellEnd"/>
            <w:r w:rsidRPr="005F0061">
              <w:t xml:space="preserve">, </w:t>
            </w:r>
            <w:proofErr w:type="spellStart"/>
            <w:r w:rsidRPr="005F0061">
              <w:t>tadalafil</w:t>
            </w:r>
            <w:proofErr w:type="spellEnd"/>
            <w:r w:rsidRPr="005F0061">
              <w:t xml:space="preserve">, </w:t>
            </w:r>
            <w:proofErr w:type="spellStart"/>
            <w:r w:rsidRPr="005F0061">
              <w:t>macitentan</w:t>
            </w:r>
            <w:proofErr w:type="spellEnd"/>
            <w:r w:rsidRPr="005F0061">
              <w:t xml:space="preserve">, and </w:t>
            </w:r>
            <w:proofErr w:type="spellStart"/>
            <w:r w:rsidRPr="005F0061">
              <w:t>riociguat</w:t>
            </w:r>
            <w:proofErr w:type="spellEnd"/>
            <w:r w:rsidRPr="005F0061">
              <w:t>.</w:t>
            </w:r>
            <w:r w:rsidR="003327A6" w:rsidRPr="005F0061">
              <w:br/>
            </w:r>
            <w:r w:rsidRPr="005F0061">
              <w:t>For the purposes of PBS subsidy, dual therapy refers to combined use of an endothelin receptor antagonist (ERA) and a phosphodiesterase-5 inhibitor (PDE-5i).</w:t>
            </w:r>
            <w:r w:rsidR="003327A6" w:rsidRPr="005F0061">
              <w:br/>
            </w:r>
            <w:r w:rsidRPr="005F0061">
              <w:t>(</w:t>
            </w:r>
            <w:proofErr w:type="spellStart"/>
            <w:r w:rsidRPr="005F0061">
              <w:t>i</w:t>
            </w:r>
            <w:proofErr w:type="spellEnd"/>
            <w:r w:rsidRPr="005F0061">
              <w:t xml:space="preserve">) An ERA includes </w:t>
            </w:r>
            <w:proofErr w:type="spellStart"/>
            <w:r w:rsidRPr="005F0061">
              <w:t>ambrisentan</w:t>
            </w:r>
            <w:proofErr w:type="spellEnd"/>
            <w:r w:rsidRPr="005F0061">
              <w:t xml:space="preserve">, </w:t>
            </w:r>
            <w:proofErr w:type="spellStart"/>
            <w:r w:rsidRPr="005F0061">
              <w:t>bosentan</w:t>
            </w:r>
            <w:proofErr w:type="spellEnd"/>
            <w:r w:rsidRPr="005F0061">
              <w:t xml:space="preserve"> monohydrate, or </w:t>
            </w:r>
            <w:proofErr w:type="spellStart"/>
            <w:r w:rsidRPr="005F0061">
              <w:t>macitentan</w:t>
            </w:r>
            <w:proofErr w:type="spellEnd"/>
            <w:r w:rsidRPr="005F0061">
              <w:t>.</w:t>
            </w:r>
            <w:r w:rsidR="003327A6" w:rsidRPr="005F0061">
              <w:br/>
            </w:r>
            <w:r w:rsidRPr="005F0061">
              <w:t xml:space="preserve">(ii) A PDE-5i includes sildenafil citrate, or </w:t>
            </w:r>
            <w:proofErr w:type="spellStart"/>
            <w:r w:rsidRPr="005F0061">
              <w:t>tadalafil</w:t>
            </w:r>
            <w:proofErr w:type="spellEnd"/>
            <w:r w:rsidRPr="005F0061">
              <w:t>.</w:t>
            </w:r>
            <w:r w:rsidR="003327A6" w:rsidRPr="005F0061">
              <w:br/>
            </w:r>
            <w:r w:rsidRPr="005F0061">
              <w:t>PAH agents are not PBS-subsidised for patients with pulmonary hypertension secondary to interstitial lung disease associated with connective tissue disease, where the total lung capacity is less than 70% of predicted.</w:t>
            </w:r>
            <w:r w:rsidR="003327A6" w:rsidRPr="005F0061">
              <w:br/>
            </w:r>
            <w:r w:rsidRPr="005F0061">
              <w:t>PAH (WHO Group 1 pulmonary hypertension) is defined as follows</w:t>
            </w:r>
            <w:proofErr w:type="gramStart"/>
            <w:r w:rsidRPr="005F0061">
              <w:t>:</w:t>
            </w:r>
            <w:proofErr w:type="gramEnd"/>
            <w:r w:rsidR="003327A6" w:rsidRPr="005F0061">
              <w:br/>
            </w:r>
            <w:r w:rsidRPr="005F0061">
              <w:t>(</w:t>
            </w:r>
            <w:proofErr w:type="spellStart"/>
            <w:r w:rsidRPr="005F0061">
              <w:t>i</w:t>
            </w:r>
            <w:proofErr w:type="spellEnd"/>
            <w:r w:rsidRPr="005F0061">
              <w:t>) mean pulmonary artery pressure (</w:t>
            </w:r>
            <w:proofErr w:type="spellStart"/>
            <w:r w:rsidRPr="005F0061">
              <w:t>mPAP</w:t>
            </w:r>
            <w:proofErr w:type="spellEnd"/>
            <w:r w:rsidRPr="005F0061">
              <w:t>) greater than or equal to 25 mmHg at rest and pulmonary artery wedge pressure (PAWP) less than or equal to 15 mmHg; or</w:t>
            </w:r>
            <w:r w:rsidR="003327A6" w:rsidRPr="005F0061">
              <w:br/>
            </w:r>
            <w:r w:rsidRPr="005F0061">
              <w:t>(ii) where a right heart catheter (RHC) cannot be performed on clinical grounds, right ventricular systolic pressure (RVSP), assessed by echocardiography (ECHO), greater than 40 mmHg, with normal left ventricular function.</w:t>
            </w:r>
            <w:r w:rsidR="003327A6" w:rsidRPr="005F0061">
              <w:br/>
            </w:r>
            <w:r w:rsidRPr="005F0061">
              <w:t>Applications for authorisation must be in writing and must include:</w:t>
            </w:r>
            <w:r w:rsidR="003327A6" w:rsidRPr="005F0061">
              <w:br/>
            </w:r>
            <w:r w:rsidRPr="005F0061">
              <w:t>(1) a completed authority prescription form; and</w:t>
            </w:r>
            <w:r w:rsidR="003327A6" w:rsidRPr="005F0061">
              <w:br/>
            </w:r>
            <w:r w:rsidRPr="005F0061">
              <w:t>(2) a completed Pulmonary Arterial Hypertension PBS Authority Application - Supporting Information form which includes results from the three tests below, where available:</w:t>
            </w:r>
            <w:r w:rsidR="003327A6" w:rsidRPr="005F0061">
              <w:br/>
            </w:r>
            <w:r w:rsidRPr="005F0061">
              <w:t>(</w:t>
            </w:r>
            <w:proofErr w:type="spellStart"/>
            <w:r w:rsidRPr="005F0061">
              <w:t>i</w:t>
            </w:r>
            <w:proofErr w:type="spellEnd"/>
            <w:r w:rsidRPr="005F0061">
              <w:t>) RHC composite assessment; and</w:t>
            </w:r>
            <w:r w:rsidR="003327A6" w:rsidRPr="005F0061">
              <w:br/>
            </w:r>
            <w:r w:rsidRPr="005F0061">
              <w:t>(ii) ECHO composite assessment; and</w:t>
            </w:r>
            <w:r w:rsidR="003327A6" w:rsidRPr="005F0061">
              <w:br/>
            </w:r>
            <w:r w:rsidRPr="005F0061">
              <w:lastRenderedPageBreak/>
              <w:t>(iii) 6 Minute Walk Test (6MWT).</w:t>
            </w:r>
            <w:r w:rsidR="003327A6" w:rsidRPr="005F0061">
              <w:br/>
            </w:r>
            <w:r w:rsidRPr="005F0061">
              <w:t>Where it was not possible to perform all 3 tests on clinical grounds, the following list outlines the preferred test combination, in descending order, for the purposes of initiation of PBS-subsidised treatment:</w:t>
            </w:r>
            <w:r w:rsidR="003327A6" w:rsidRPr="005F0061">
              <w:br/>
            </w:r>
            <w:r w:rsidRPr="005F0061">
              <w:t>(1) RHC plus ECHO composite assessments;</w:t>
            </w:r>
            <w:r w:rsidR="003327A6" w:rsidRPr="005F0061">
              <w:br/>
            </w:r>
            <w:r w:rsidRPr="005F0061">
              <w:t>(2) RHC composite assessment plus 6MWT;</w:t>
            </w:r>
            <w:r w:rsidR="003327A6" w:rsidRPr="005F0061">
              <w:br/>
            </w:r>
            <w:r w:rsidRPr="005F0061">
              <w:t>(3) RHC composite assessment only.</w:t>
            </w:r>
            <w:r w:rsidR="003327A6" w:rsidRPr="005F0061">
              <w:br/>
            </w:r>
            <w:r w:rsidRPr="005F0061">
              <w:t>In circumstances where a RHC could not be performed on clinical grounds, applications may be submitted for consideration based on the results of the following test combinations, which are listed in descending order of preference</w:t>
            </w:r>
            <w:proofErr w:type="gramStart"/>
            <w:r w:rsidRPr="005F0061">
              <w:t>:</w:t>
            </w:r>
            <w:proofErr w:type="gramEnd"/>
            <w:r w:rsidR="003327A6" w:rsidRPr="005F0061">
              <w:br/>
            </w:r>
            <w:r w:rsidRPr="005F0061">
              <w:t>(1) ECHO composite assessment plus 6MWT;</w:t>
            </w:r>
            <w:r w:rsidR="003327A6" w:rsidRPr="005F0061">
              <w:br/>
            </w:r>
            <w:r w:rsidRPr="005F0061">
              <w:t>(2) ECHO composite assessment only.</w:t>
            </w:r>
            <w:r w:rsidR="003327A6" w:rsidRPr="005F0061">
              <w:br/>
            </w:r>
            <w:r w:rsidRPr="005F0061">
              <w:t>Where fewer than 3 tests were able to be performed on clinical grounds, a patient specific reason outlining why the particular test(s) could not be conducted must be provided with the authority application.</w:t>
            </w:r>
            <w:r w:rsidR="003327A6" w:rsidRPr="005F0061">
              <w:br/>
            </w:r>
            <w:r w:rsidRPr="005F0061">
              <w:t>Where a RHC could not be performed on clinical grounds, confirmation of the reason(s) must be provided with the authority application by a second PAH physician or cardiologist with expertise in the management of PAH.</w:t>
            </w:r>
            <w:r w:rsidR="003327A6" w:rsidRPr="005F0061">
              <w:br/>
            </w:r>
            <w:r w:rsidRPr="005F0061">
              <w:t>A patient may qualify for PBS-subsidised treatment under this restriction once only. For continuing PBS-subsidised treatment, a Grandfathered patient must qualify under the Continuing treatment criteria for dual therapy for this condition.</w:t>
            </w:r>
            <w:r w:rsidR="003327A6" w:rsidRPr="005F0061">
              <w:br/>
            </w:r>
            <w:r w:rsidRPr="005F0061">
              <w:t>The maximum quantity authorised will be limited to provide sufficient supply for 1 month of treatment, based on the dosage recommendations in the TGA-approved Product Information.</w:t>
            </w:r>
            <w:r w:rsidR="003327A6" w:rsidRPr="005F0061">
              <w:br/>
            </w:r>
            <w:r w:rsidRPr="005F0061">
              <w:t>A maximum of 5 repeats may be requested.</w:t>
            </w:r>
          </w:p>
        </w:tc>
        <w:tc>
          <w:tcPr>
            <w:tcW w:w="2650" w:type="dxa"/>
            <w:shd w:val="clear" w:color="auto" w:fill="auto"/>
            <w:tcMar>
              <w:top w:w="28" w:type="dxa"/>
              <w:left w:w="28" w:type="dxa"/>
              <w:right w:w="57" w:type="dxa"/>
            </w:tcMar>
          </w:tcPr>
          <w:p w14:paraId="09F217E9" w14:textId="3F8A2654" w:rsidR="00041B30" w:rsidRPr="008A73CD" w:rsidRDefault="00041B30" w:rsidP="00041B30">
            <w:pPr>
              <w:pStyle w:val="Tabletext0"/>
            </w:pPr>
            <w:r w:rsidRPr="005F0061">
              <w:lastRenderedPageBreak/>
              <w:t>Compliance with Written Authority Required procedures</w:t>
            </w:r>
          </w:p>
        </w:tc>
      </w:tr>
    </w:tbl>
    <w:p w14:paraId="2A718C80" w14:textId="7ECD3A4C" w:rsidR="003A355E" w:rsidRDefault="003327A6">
      <w:pPr>
        <w:rPr>
          <w:rFonts w:ascii="Arial" w:hAnsi="Arial" w:cs="Arial"/>
          <w:b/>
          <w:bCs/>
          <w:sz w:val="20"/>
          <w:szCs w:val="20"/>
          <w:lang w:eastAsia="en-AU"/>
        </w:rPr>
      </w:pPr>
      <w:r>
        <w:rPr>
          <w:rFonts w:ascii="Arial" w:hAnsi="Arial" w:cs="Arial"/>
          <w:b/>
          <w:bCs/>
          <w:sz w:val="20"/>
          <w:szCs w:val="20"/>
          <w:lang w:eastAsia="en-AU"/>
        </w:rPr>
        <w:br/>
      </w:r>
    </w:p>
    <w:sectPr w:rsidR="003A355E" w:rsidSect="006D36EF">
      <w:footerReference w:type="default" r:id="rId11"/>
      <w:pgSz w:w="16838" w:h="11906" w:orient="landscape" w:code="9"/>
      <w:pgMar w:top="1276" w:right="1134" w:bottom="1134"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F38E2" w14:textId="77777777" w:rsidR="00974CBA" w:rsidRDefault="00974CBA">
      <w:r>
        <w:separator/>
      </w:r>
    </w:p>
  </w:endnote>
  <w:endnote w:type="continuationSeparator" w:id="0">
    <w:p w14:paraId="7E33D117" w14:textId="77777777" w:rsidR="00974CBA" w:rsidRDefault="0097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5A783" w14:textId="305B319D" w:rsidR="00974CBA" w:rsidRDefault="00974CBA" w:rsidP="00D11102">
    <w:pPr>
      <w:pStyle w:val="Footer"/>
      <w:tabs>
        <w:tab w:val="clear" w:pos="3600"/>
        <w:tab w:val="center" w:pos="4536"/>
        <w:tab w:val="left" w:pos="7513"/>
      </w:tabs>
      <w:ind w:right="357"/>
      <w:jc w:val="left"/>
      <w:rPr>
        <w:rStyle w:val="PageNumber"/>
        <w:i w:val="0"/>
        <w:iCs w:val="0"/>
        <w:sz w:val="16"/>
        <w:szCs w:val="16"/>
        <w:lang w:eastAsia="en-US"/>
      </w:rPr>
    </w:pPr>
    <w:r w:rsidRPr="00555971">
      <w:rPr>
        <w:sz w:val="16"/>
        <w:szCs w:val="16"/>
      </w:rPr>
      <w:t xml:space="preserve">Instrument </w:t>
    </w:r>
    <w:r w:rsidRPr="00876F29">
      <w:rPr>
        <w:sz w:val="16"/>
        <w:szCs w:val="16"/>
      </w:rPr>
      <w:t>Num</w:t>
    </w:r>
    <w:r w:rsidRPr="001039ED">
      <w:rPr>
        <w:sz w:val="16"/>
        <w:szCs w:val="16"/>
      </w:rPr>
      <w:t xml:space="preserve">ber </w:t>
    </w:r>
    <w:r>
      <w:rPr>
        <w:sz w:val="16"/>
        <w:szCs w:val="16"/>
      </w:rPr>
      <w:t>PB 4</w:t>
    </w:r>
    <w:r w:rsidRPr="00555971">
      <w:rPr>
        <w:sz w:val="16"/>
        <w:szCs w:val="16"/>
      </w:rPr>
      <w:t xml:space="preserve"> of 202</w:t>
    </w:r>
    <w:r>
      <w:rPr>
        <w:sz w:val="16"/>
        <w:szCs w:val="16"/>
      </w:rPr>
      <w:t>1</w:t>
    </w:r>
    <w:r>
      <w:rPr>
        <w:sz w:val="16"/>
        <w:szCs w:val="16"/>
      </w:rPr>
      <w:tab/>
    </w:r>
    <w:r w:rsidRPr="00195E5B">
      <w:rPr>
        <w:rStyle w:val="PageNumber"/>
        <w:sz w:val="16"/>
        <w:szCs w:val="16"/>
      </w:rPr>
      <w:fldChar w:fldCharType="begin"/>
    </w:r>
    <w:r w:rsidRPr="00195E5B">
      <w:rPr>
        <w:rStyle w:val="PageNumber"/>
        <w:sz w:val="16"/>
        <w:szCs w:val="16"/>
      </w:rPr>
      <w:instrText xml:space="preserve"> PAGE </w:instrText>
    </w:r>
    <w:r w:rsidRPr="00195E5B">
      <w:rPr>
        <w:rStyle w:val="PageNumber"/>
        <w:sz w:val="16"/>
        <w:szCs w:val="16"/>
      </w:rPr>
      <w:fldChar w:fldCharType="separate"/>
    </w:r>
    <w:r w:rsidR="005F0061">
      <w:rPr>
        <w:rStyle w:val="PageNumber"/>
        <w:noProof/>
        <w:sz w:val="16"/>
        <w:szCs w:val="16"/>
      </w:rPr>
      <w:t>2</w:t>
    </w:r>
    <w:r w:rsidRPr="00195E5B">
      <w:rPr>
        <w:rStyle w:val="PageNumber"/>
        <w:sz w:val="16"/>
        <w:szCs w:val="16"/>
      </w:rPr>
      <w:fldChar w:fldCharType="end"/>
    </w:r>
  </w:p>
  <w:p w14:paraId="19B9D774" w14:textId="0F3F1CA1" w:rsidR="00974CBA" w:rsidRPr="00AB094E" w:rsidRDefault="00974CBA" w:rsidP="00AB094E">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473D" w14:textId="77777777" w:rsidR="00974CBA" w:rsidRDefault="00974CBA" w:rsidP="009D3177">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04177"/>
      <w:docPartObj>
        <w:docPartGallery w:val="Page Numbers (Bottom of Page)"/>
        <w:docPartUnique/>
      </w:docPartObj>
    </w:sdtPr>
    <w:sdtEndPr>
      <w:rPr>
        <w:noProof/>
      </w:rPr>
    </w:sdtEndPr>
    <w:sdtContent>
      <w:p w14:paraId="28A75606" w14:textId="40DFB8FC" w:rsidR="00974CBA" w:rsidRDefault="00974CBA" w:rsidP="00D5430A">
        <w:pPr>
          <w:pStyle w:val="Footer"/>
          <w:jc w:val="left"/>
        </w:pPr>
        <w:r w:rsidRPr="00555971">
          <w:rPr>
            <w:sz w:val="16"/>
            <w:szCs w:val="16"/>
          </w:rPr>
          <w:t xml:space="preserve">Instrument </w:t>
        </w:r>
        <w:r w:rsidRPr="00876F29">
          <w:rPr>
            <w:sz w:val="16"/>
            <w:szCs w:val="16"/>
          </w:rPr>
          <w:t>Num</w:t>
        </w:r>
        <w:r w:rsidRPr="001039ED">
          <w:rPr>
            <w:sz w:val="16"/>
            <w:szCs w:val="16"/>
          </w:rPr>
          <w:t xml:space="preserve">ber </w:t>
        </w:r>
        <w:r>
          <w:rPr>
            <w:sz w:val="16"/>
            <w:szCs w:val="16"/>
          </w:rPr>
          <w:t>PB 4</w:t>
        </w:r>
        <w:r w:rsidRPr="00555971">
          <w:rPr>
            <w:sz w:val="16"/>
            <w:szCs w:val="16"/>
          </w:rPr>
          <w:t xml:space="preserve"> of 202</w:t>
        </w:r>
        <w:r>
          <w:rPr>
            <w:sz w:val="16"/>
            <w:szCs w:val="16"/>
          </w:rPr>
          <w:t>1</w:t>
        </w:r>
        <w:r>
          <w:t xml:space="preserve">                                                                              </w:t>
        </w:r>
        <w:r>
          <w:fldChar w:fldCharType="begin"/>
        </w:r>
        <w:r>
          <w:instrText xml:space="preserve"> PAGE   \* MERGEFORMAT </w:instrText>
        </w:r>
        <w:r>
          <w:fldChar w:fldCharType="separate"/>
        </w:r>
        <w:r w:rsidR="005F0061">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02618" w14:textId="77777777" w:rsidR="00974CBA" w:rsidRDefault="00974CBA">
      <w:r>
        <w:separator/>
      </w:r>
    </w:p>
  </w:footnote>
  <w:footnote w:type="continuationSeparator" w:id="0">
    <w:p w14:paraId="30EF3F6C" w14:textId="77777777" w:rsidR="00974CBA" w:rsidRDefault="00974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3213"/>
    <w:multiLevelType w:val="hybridMultilevel"/>
    <w:tmpl w:val="77D6ED78"/>
    <w:lvl w:ilvl="0" w:tplc="43C0ABF2">
      <w:start w:val="2"/>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050149"/>
    <w:multiLevelType w:val="hybridMultilevel"/>
    <w:tmpl w:val="D16A641E"/>
    <w:lvl w:ilvl="0" w:tplc="7CD6BBA4">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22114A"/>
    <w:multiLevelType w:val="hybridMultilevel"/>
    <w:tmpl w:val="D16A641E"/>
    <w:lvl w:ilvl="0" w:tplc="7CD6BBA4">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0D356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 w15:restartNumberingAfterBreak="0">
    <w:nsid w:val="11B1768C"/>
    <w:multiLevelType w:val="multilevel"/>
    <w:tmpl w:val="35C2D368"/>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2494095"/>
    <w:multiLevelType w:val="hybridMultilevel"/>
    <w:tmpl w:val="1CBCC590"/>
    <w:lvl w:ilvl="0" w:tplc="939411F6">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17BE15B0"/>
    <w:multiLevelType w:val="hybridMultilevel"/>
    <w:tmpl w:val="CF20BC8C"/>
    <w:lvl w:ilvl="0" w:tplc="939411F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7" w15:restartNumberingAfterBreak="0">
    <w:nsid w:val="19382094"/>
    <w:multiLevelType w:val="hybridMultilevel"/>
    <w:tmpl w:val="0BF4EFA8"/>
    <w:lvl w:ilvl="0" w:tplc="DC5081F6">
      <w:start w:val="4"/>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DE2159F"/>
    <w:multiLevelType w:val="hybridMultilevel"/>
    <w:tmpl w:val="C33434FC"/>
    <w:lvl w:ilvl="0" w:tplc="90F81A2C">
      <w:start w:val="1"/>
      <w:numFmt w:val="lowerLetter"/>
      <w:lvlText w:val="(%1)"/>
      <w:lvlJc w:val="left"/>
      <w:pPr>
        <w:ind w:left="1080" w:hanging="360"/>
      </w:pPr>
      <w:rPr>
        <w:rFonts w:ascii="Arial Bold" w:hAnsi="Arial Bold" w:hint="default"/>
        <w:b/>
        <w:i w:val="0"/>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6302A91"/>
    <w:multiLevelType w:val="hybridMultilevel"/>
    <w:tmpl w:val="4A8C3412"/>
    <w:lvl w:ilvl="0" w:tplc="FDF66B92">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607486"/>
    <w:multiLevelType w:val="hybridMultilevel"/>
    <w:tmpl w:val="14A0A89A"/>
    <w:lvl w:ilvl="0" w:tplc="CF44031A">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F9322B"/>
    <w:multiLevelType w:val="hybridMultilevel"/>
    <w:tmpl w:val="B836A0EA"/>
    <w:lvl w:ilvl="0" w:tplc="E41A4D88">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695243"/>
    <w:multiLevelType w:val="hybridMultilevel"/>
    <w:tmpl w:val="1DC0CBB6"/>
    <w:lvl w:ilvl="0" w:tplc="AE0A434E">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3D78F7"/>
    <w:multiLevelType w:val="hybridMultilevel"/>
    <w:tmpl w:val="B836A0EA"/>
    <w:lvl w:ilvl="0" w:tplc="E41A4D88">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7A0100"/>
    <w:multiLevelType w:val="hybridMultilevel"/>
    <w:tmpl w:val="F65A8646"/>
    <w:lvl w:ilvl="0" w:tplc="AE0A434E">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3BC94562"/>
    <w:multiLevelType w:val="hybridMultilevel"/>
    <w:tmpl w:val="262E0404"/>
    <w:lvl w:ilvl="0" w:tplc="90F81A2C">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E516E51"/>
    <w:multiLevelType w:val="hybridMultilevel"/>
    <w:tmpl w:val="C31EDE5C"/>
    <w:lvl w:ilvl="0" w:tplc="F6CA428C">
      <w:start w:val="2"/>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8C404E"/>
    <w:multiLevelType w:val="hybridMultilevel"/>
    <w:tmpl w:val="7728BA24"/>
    <w:lvl w:ilvl="0" w:tplc="60BCA3B8">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6D6F0B"/>
    <w:multiLevelType w:val="hybridMultilevel"/>
    <w:tmpl w:val="7DB4D478"/>
    <w:lvl w:ilvl="0" w:tplc="CB1A42BC">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7D5D09"/>
    <w:multiLevelType w:val="hybridMultilevel"/>
    <w:tmpl w:val="CD12B25E"/>
    <w:lvl w:ilvl="0" w:tplc="939411F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4B262F"/>
    <w:multiLevelType w:val="hybridMultilevel"/>
    <w:tmpl w:val="08702FDE"/>
    <w:lvl w:ilvl="0" w:tplc="939411F6">
      <w:start w:val="1"/>
      <w:numFmt w:val="lowerLetter"/>
      <w:lvlText w:val="(%1)"/>
      <w:lvlJc w:val="left"/>
      <w:pPr>
        <w:ind w:left="1874" w:hanging="360"/>
      </w:pPr>
      <w:rPr>
        <w:rFonts w:ascii="Arial Bold" w:hAnsi="Arial Bold" w:hint="default"/>
        <w:b/>
        <w:i w:val="0"/>
        <w:sz w:val="20"/>
      </w:rPr>
    </w:lvl>
    <w:lvl w:ilvl="1" w:tplc="0C090019" w:tentative="1">
      <w:start w:val="1"/>
      <w:numFmt w:val="lowerLetter"/>
      <w:lvlText w:val="%2."/>
      <w:lvlJc w:val="left"/>
      <w:pPr>
        <w:ind w:left="2594" w:hanging="360"/>
      </w:pPr>
    </w:lvl>
    <w:lvl w:ilvl="2" w:tplc="0C09001B" w:tentative="1">
      <w:start w:val="1"/>
      <w:numFmt w:val="lowerRoman"/>
      <w:lvlText w:val="%3."/>
      <w:lvlJc w:val="right"/>
      <w:pPr>
        <w:ind w:left="3314" w:hanging="180"/>
      </w:pPr>
    </w:lvl>
    <w:lvl w:ilvl="3" w:tplc="0C09000F" w:tentative="1">
      <w:start w:val="1"/>
      <w:numFmt w:val="decimal"/>
      <w:lvlText w:val="%4."/>
      <w:lvlJc w:val="left"/>
      <w:pPr>
        <w:ind w:left="4034" w:hanging="360"/>
      </w:pPr>
    </w:lvl>
    <w:lvl w:ilvl="4" w:tplc="0C090019" w:tentative="1">
      <w:start w:val="1"/>
      <w:numFmt w:val="lowerLetter"/>
      <w:lvlText w:val="%5."/>
      <w:lvlJc w:val="left"/>
      <w:pPr>
        <w:ind w:left="4754" w:hanging="360"/>
      </w:pPr>
    </w:lvl>
    <w:lvl w:ilvl="5" w:tplc="0C09001B" w:tentative="1">
      <w:start w:val="1"/>
      <w:numFmt w:val="lowerRoman"/>
      <w:lvlText w:val="%6."/>
      <w:lvlJc w:val="right"/>
      <w:pPr>
        <w:ind w:left="5474" w:hanging="180"/>
      </w:pPr>
    </w:lvl>
    <w:lvl w:ilvl="6" w:tplc="0C09000F" w:tentative="1">
      <w:start w:val="1"/>
      <w:numFmt w:val="decimal"/>
      <w:lvlText w:val="%7."/>
      <w:lvlJc w:val="left"/>
      <w:pPr>
        <w:ind w:left="6194" w:hanging="360"/>
      </w:pPr>
    </w:lvl>
    <w:lvl w:ilvl="7" w:tplc="0C090019" w:tentative="1">
      <w:start w:val="1"/>
      <w:numFmt w:val="lowerLetter"/>
      <w:lvlText w:val="%8."/>
      <w:lvlJc w:val="left"/>
      <w:pPr>
        <w:ind w:left="6914" w:hanging="360"/>
      </w:pPr>
    </w:lvl>
    <w:lvl w:ilvl="8" w:tplc="0C09001B" w:tentative="1">
      <w:start w:val="1"/>
      <w:numFmt w:val="lowerRoman"/>
      <w:lvlText w:val="%9."/>
      <w:lvlJc w:val="right"/>
      <w:pPr>
        <w:ind w:left="7634" w:hanging="180"/>
      </w:pPr>
    </w:lvl>
  </w:abstractNum>
  <w:abstractNum w:abstractNumId="24" w15:restartNumberingAfterBreak="0">
    <w:nsid w:val="4EEA24E6"/>
    <w:multiLevelType w:val="hybridMultilevel"/>
    <w:tmpl w:val="7966E4A8"/>
    <w:lvl w:ilvl="0" w:tplc="4DFC1EB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5FA1A94"/>
    <w:multiLevelType w:val="hybridMultilevel"/>
    <w:tmpl w:val="B19C3BB4"/>
    <w:lvl w:ilvl="0" w:tplc="246C9DFE">
      <w:start w:val="2"/>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C032701"/>
    <w:multiLevelType w:val="hybridMultilevel"/>
    <w:tmpl w:val="5FFEF142"/>
    <w:lvl w:ilvl="0" w:tplc="4C5E2182">
      <w:start w:val="1"/>
      <w:numFmt w:val="lowerLetter"/>
      <w:pStyle w:val="Heading1"/>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pStyle w:val="Heading2"/>
      <w:lvlText w:val="%2."/>
      <w:lvlJc w:val="left"/>
      <w:pPr>
        <w:ind w:left="1440" w:hanging="360"/>
      </w:pPr>
    </w:lvl>
    <w:lvl w:ilvl="2" w:tplc="0C09001B" w:tentative="1">
      <w:start w:val="1"/>
      <w:numFmt w:val="lowerRoman"/>
      <w:pStyle w:val="Heading3"/>
      <w:lvlText w:val="%3."/>
      <w:lvlJc w:val="right"/>
      <w:pPr>
        <w:ind w:left="2160" w:hanging="180"/>
      </w:pPr>
    </w:lvl>
    <w:lvl w:ilvl="3" w:tplc="0C09000F" w:tentative="1">
      <w:start w:val="1"/>
      <w:numFmt w:val="decimal"/>
      <w:pStyle w:val="Heading4"/>
      <w:lvlText w:val="%4."/>
      <w:lvlJc w:val="left"/>
      <w:pPr>
        <w:ind w:left="2880" w:hanging="360"/>
      </w:pPr>
    </w:lvl>
    <w:lvl w:ilvl="4" w:tplc="0C090019">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pStyle w:val="Heading7"/>
      <w:lvlText w:val="%7."/>
      <w:lvlJc w:val="left"/>
      <w:pPr>
        <w:ind w:left="5040" w:hanging="360"/>
      </w:pPr>
    </w:lvl>
    <w:lvl w:ilvl="7" w:tplc="0C090019" w:tentative="1">
      <w:start w:val="1"/>
      <w:numFmt w:val="lowerLetter"/>
      <w:pStyle w:val="Heading8"/>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27" w15:restartNumberingAfterBreak="0">
    <w:nsid w:val="5CC07D8F"/>
    <w:multiLevelType w:val="hybridMultilevel"/>
    <w:tmpl w:val="63BC7F0C"/>
    <w:lvl w:ilvl="0" w:tplc="33D4C980">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08518E6"/>
    <w:multiLevelType w:val="hybridMultilevel"/>
    <w:tmpl w:val="DE5CF68C"/>
    <w:lvl w:ilvl="0" w:tplc="38E620DA">
      <w:start w:val="4"/>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6858EA"/>
    <w:multiLevelType w:val="hybridMultilevel"/>
    <w:tmpl w:val="3D70833E"/>
    <w:lvl w:ilvl="0" w:tplc="7C7896F0">
      <w:start w:val="1"/>
      <w:numFmt w:val="decimal"/>
      <w:lvlText w:val="%1"/>
      <w:lvlJc w:val="left"/>
      <w:pPr>
        <w:ind w:left="720" w:hanging="360"/>
      </w:pPr>
      <w:rPr>
        <w:rFonts w:ascii="Arial Bold" w:hAnsi="Arial Bold"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CC6661"/>
    <w:multiLevelType w:val="hybridMultilevel"/>
    <w:tmpl w:val="B36CA952"/>
    <w:lvl w:ilvl="0" w:tplc="F0C441E8">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AA611E"/>
    <w:multiLevelType w:val="hybridMultilevel"/>
    <w:tmpl w:val="5778F270"/>
    <w:lvl w:ilvl="0" w:tplc="4BC6636A">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F57315"/>
    <w:multiLevelType w:val="hybridMultilevel"/>
    <w:tmpl w:val="D16A641E"/>
    <w:lvl w:ilvl="0" w:tplc="7CD6BBA4">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065D1C"/>
    <w:multiLevelType w:val="hybridMultilevel"/>
    <w:tmpl w:val="B39876BE"/>
    <w:lvl w:ilvl="0" w:tplc="8C3C4B58">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D5D1D8D"/>
    <w:multiLevelType w:val="hybridMultilevel"/>
    <w:tmpl w:val="B39876BE"/>
    <w:lvl w:ilvl="0" w:tplc="8C3C4B58">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9"/>
  </w:num>
  <w:num w:numId="3">
    <w:abstractNumId w:val="18"/>
  </w:num>
  <w:num w:numId="4">
    <w:abstractNumId w:val="26"/>
  </w:num>
  <w:num w:numId="5">
    <w:abstractNumId w:val="4"/>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abstractNumId w:val="4"/>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900"/>
          </w:tabs>
          <w:ind w:left="190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abstractNumId w:val="8"/>
  </w:num>
  <w:num w:numId="8">
    <w:abstractNumId w:val="29"/>
  </w:num>
  <w:num w:numId="9">
    <w:abstractNumId w:val="31"/>
  </w:num>
  <w:num w:numId="10">
    <w:abstractNumId w:val="4"/>
    <w:lvlOverride w:ilvl="0">
      <w:lvl w:ilvl="0">
        <w:start w:val="1"/>
        <w:numFmt w:val="decimal"/>
        <w:pStyle w:val="Amendment1"/>
        <w:lvlText w:val="[%1]"/>
        <w:lvlJc w:val="left"/>
        <w:pPr>
          <w:ind w:left="360" w:hanging="360"/>
        </w:pPr>
        <w:rPr>
          <w:rFonts w:ascii="Arial" w:hAnsi="Arial" w:cs="Arial" w:hint="default"/>
          <w:b/>
          <w:i w:val="0"/>
          <w:color w:val="auto"/>
          <w:sz w:val="20"/>
          <w:szCs w:val="20"/>
        </w:rPr>
      </w:lvl>
    </w:lvlOverride>
    <w:lvlOverride w:ilvl="1">
      <w:lvl w:ilvl="1" w:tentative="1">
        <w:start w:val="1"/>
        <w:numFmt w:val="lowerLetter"/>
        <w:pStyle w:val="Amendment2"/>
        <w:lvlText w:val="%2."/>
        <w:lvlJc w:val="left"/>
        <w:pPr>
          <w:ind w:left="1080" w:hanging="360"/>
        </w:pPr>
      </w:lvl>
    </w:lvlOverride>
    <w:lvlOverride w:ilvl="2">
      <w:lvl w:ilvl="2" w:tentative="1">
        <w:start w:val="1"/>
        <w:numFmt w:val="lowerRoman"/>
        <w:pStyle w:val="Amendment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1">
    <w:abstractNumId w:val="4"/>
  </w:num>
  <w:num w:numId="12">
    <w:abstractNumId w:val="17"/>
  </w:num>
  <w:num w:numId="13">
    <w:abstractNumId w:val="14"/>
  </w:num>
  <w:num w:numId="14">
    <w:abstractNumId w:val="34"/>
  </w:num>
  <w:num w:numId="15">
    <w:abstractNumId w:val="6"/>
  </w:num>
  <w:num w:numId="16">
    <w:abstractNumId w:val="13"/>
  </w:num>
  <w:num w:numId="17">
    <w:abstractNumId w:val="23"/>
  </w:num>
  <w:num w:numId="18">
    <w:abstractNumId w:val="33"/>
  </w:num>
  <w:num w:numId="19">
    <w:abstractNumId w:val="5"/>
  </w:num>
  <w:num w:numId="20">
    <w:abstractNumId w:val="2"/>
  </w:num>
  <w:num w:numId="21">
    <w:abstractNumId w:val="11"/>
  </w:num>
  <w:num w:numId="22">
    <w:abstractNumId w:val="21"/>
  </w:num>
  <w:num w:numId="23">
    <w:abstractNumId w:val="27"/>
  </w:num>
  <w:num w:numId="24">
    <w:abstractNumId w:val="7"/>
  </w:num>
  <w:num w:numId="25">
    <w:abstractNumId w:val="30"/>
  </w:num>
  <w:num w:numId="26">
    <w:abstractNumId w:val="19"/>
  </w:num>
  <w:num w:numId="27">
    <w:abstractNumId w:val="32"/>
  </w:num>
  <w:num w:numId="28">
    <w:abstractNumId w:val="1"/>
  </w:num>
  <w:num w:numId="29">
    <w:abstractNumId w:val="10"/>
  </w:num>
  <w:num w:numId="30">
    <w:abstractNumId w:val="12"/>
  </w:num>
  <w:num w:numId="31">
    <w:abstractNumId w:val="20"/>
  </w:num>
  <w:num w:numId="32">
    <w:abstractNumId w:val="24"/>
  </w:num>
  <w:num w:numId="33">
    <w:abstractNumId w:val="0"/>
  </w:num>
  <w:num w:numId="34">
    <w:abstractNumId w:val="25"/>
  </w:num>
  <w:num w:numId="35">
    <w:abstractNumId w:val="22"/>
  </w:num>
  <w:num w:numId="36">
    <w:abstractNumId w:val="16"/>
  </w:num>
  <w:num w:numId="37">
    <w:abstractNumId w:val="15"/>
  </w:num>
  <w:num w:numId="38">
    <w:abstractNumId w:val="28"/>
  </w:num>
  <w:num w:numId="39">
    <w:abstractNumId w:val="4"/>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452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66E"/>
    <w:rsid w:val="00000112"/>
    <w:rsid w:val="00000934"/>
    <w:rsid w:val="00000FC1"/>
    <w:rsid w:val="000015BB"/>
    <w:rsid w:val="00001670"/>
    <w:rsid w:val="00003743"/>
    <w:rsid w:val="00004252"/>
    <w:rsid w:val="00006474"/>
    <w:rsid w:val="00006A14"/>
    <w:rsid w:val="0001022A"/>
    <w:rsid w:val="00010EAB"/>
    <w:rsid w:val="000117BE"/>
    <w:rsid w:val="00011B41"/>
    <w:rsid w:val="0001290E"/>
    <w:rsid w:val="00012A16"/>
    <w:rsid w:val="00012E1E"/>
    <w:rsid w:val="00013696"/>
    <w:rsid w:val="00014CA0"/>
    <w:rsid w:val="000159FF"/>
    <w:rsid w:val="00015D90"/>
    <w:rsid w:val="0001717B"/>
    <w:rsid w:val="00021005"/>
    <w:rsid w:val="00021138"/>
    <w:rsid w:val="00021B9A"/>
    <w:rsid w:val="00023673"/>
    <w:rsid w:val="00025702"/>
    <w:rsid w:val="00025829"/>
    <w:rsid w:val="00025AF6"/>
    <w:rsid w:val="00026B0F"/>
    <w:rsid w:val="00027158"/>
    <w:rsid w:val="00027AF3"/>
    <w:rsid w:val="0003059B"/>
    <w:rsid w:val="00030CD5"/>
    <w:rsid w:val="000334B2"/>
    <w:rsid w:val="00034ADD"/>
    <w:rsid w:val="00034E8B"/>
    <w:rsid w:val="000357BB"/>
    <w:rsid w:val="0003657A"/>
    <w:rsid w:val="00037736"/>
    <w:rsid w:val="00040D0F"/>
    <w:rsid w:val="000410D7"/>
    <w:rsid w:val="00041442"/>
    <w:rsid w:val="000417DF"/>
    <w:rsid w:val="00041B30"/>
    <w:rsid w:val="00043E0D"/>
    <w:rsid w:val="00043EAC"/>
    <w:rsid w:val="00044FB1"/>
    <w:rsid w:val="000459A0"/>
    <w:rsid w:val="00046A7E"/>
    <w:rsid w:val="000471B8"/>
    <w:rsid w:val="00047992"/>
    <w:rsid w:val="00047B04"/>
    <w:rsid w:val="000505AF"/>
    <w:rsid w:val="00051776"/>
    <w:rsid w:val="000521F2"/>
    <w:rsid w:val="000545D9"/>
    <w:rsid w:val="00055DB0"/>
    <w:rsid w:val="00056738"/>
    <w:rsid w:val="0005711D"/>
    <w:rsid w:val="0005750A"/>
    <w:rsid w:val="00057650"/>
    <w:rsid w:val="000577DC"/>
    <w:rsid w:val="00057C3D"/>
    <w:rsid w:val="00061225"/>
    <w:rsid w:val="00063227"/>
    <w:rsid w:val="000633DE"/>
    <w:rsid w:val="00063C6C"/>
    <w:rsid w:val="00064837"/>
    <w:rsid w:val="000657DD"/>
    <w:rsid w:val="000664E2"/>
    <w:rsid w:val="00066801"/>
    <w:rsid w:val="00066863"/>
    <w:rsid w:val="00066A69"/>
    <w:rsid w:val="00066A6B"/>
    <w:rsid w:val="00066AD9"/>
    <w:rsid w:val="00067456"/>
    <w:rsid w:val="00067606"/>
    <w:rsid w:val="00067F97"/>
    <w:rsid w:val="0007154D"/>
    <w:rsid w:val="00072E9A"/>
    <w:rsid w:val="000733F1"/>
    <w:rsid w:val="000734E4"/>
    <w:rsid w:val="00073DE1"/>
    <w:rsid w:val="000760A3"/>
    <w:rsid w:val="0007676D"/>
    <w:rsid w:val="00076804"/>
    <w:rsid w:val="000778EA"/>
    <w:rsid w:val="00077E47"/>
    <w:rsid w:val="00077EC8"/>
    <w:rsid w:val="000808FD"/>
    <w:rsid w:val="000809EA"/>
    <w:rsid w:val="000815ED"/>
    <w:rsid w:val="00082477"/>
    <w:rsid w:val="00084097"/>
    <w:rsid w:val="00085309"/>
    <w:rsid w:val="00085893"/>
    <w:rsid w:val="00085AE3"/>
    <w:rsid w:val="00085AF8"/>
    <w:rsid w:val="000863F4"/>
    <w:rsid w:val="0008681E"/>
    <w:rsid w:val="00086D78"/>
    <w:rsid w:val="00086EA7"/>
    <w:rsid w:val="00087F26"/>
    <w:rsid w:val="0009066F"/>
    <w:rsid w:val="0009225C"/>
    <w:rsid w:val="00092606"/>
    <w:rsid w:val="00092D17"/>
    <w:rsid w:val="00093023"/>
    <w:rsid w:val="0009445B"/>
    <w:rsid w:val="00094B90"/>
    <w:rsid w:val="00095087"/>
    <w:rsid w:val="00095778"/>
    <w:rsid w:val="00095846"/>
    <w:rsid w:val="0009663C"/>
    <w:rsid w:val="00096DB4"/>
    <w:rsid w:val="00097206"/>
    <w:rsid w:val="000977B4"/>
    <w:rsid w:val="000A0525"/>
    <w:rsid w:val="000A07C1"/>
    <w:rsid w:val="000A152C"/>
    <w:rsid w:val="000A1C67"/>
    <w:rsid w:val="000A3CC1"/>
    <w:rsid w:val="000A3CD3"/>
    <w:rsid w:val="000A5F8C"/>
    <w:rsid w:val="000A6105"/>
    <w:rsid w:val="000A7F06"/>
    <w:rsid w:val="000B0095"/>
    <w:rsid w:val="000B3280"/>
    <w:rsid w:val="000B3770"/>
    <w:rsid w:val="000B51C5"/>
    <w:rsid w:val="000B52EF"/>
    <w:rsid w:val="000B6588"/>
    <w:rsid w:val="000B6E2A"/>
    <w:rsid w:val="000B6FD2"/>
    <w:rsid w:val="000B7687"/>
    <w:rsid w:val="000B7FC5"/>
    <w:rsid w:val="000C0471"/>
    <w:rsid w:val="000C04BC"/>
    <w:rsid w:val="000C19BA"/>
    <w:rsid w:val="000C3F41"/>
    <w:rsid w:val="000C40D8"/>
    <w:rsid w:val="000C4186"/>
    <w:rsid w:val="000C4F8E"/>
    <w:rsid w:val="000C5E22"/>
    <w:rsid w:val="000C61C0"/>
    <w:rsid w:val="000C6339"/>
    <w:rsid w:val="000D0485"/>
    <w:rsid w:val="000D06BB"/>
    <w:rsid w:val="000D3FEB"/>
    <w:rsid w:val="000D4213"/>
    <w:rsid w:val="000D4AEF"/>
    <w:rsid w:val="000D4CFD"/>
    <w:rsid w:val="000D57CF"/>
    <w:rsid w:val="000D61C3"/>
    <w:rsid w:val="000D7322"/>
    <w:rsid w:val="000D74EB"/>
    <w:rsid w:val="000E055D"/>
    <w:rsid w:val="000E080D"/>
    <w:rsid w:val="000E1034"/>
    <w:rsid w:val="000E3AB7"/>
    <w:rsid w:val="000E3D28"/>
    <w:rsid w:val="000E4757"/>
    <w:rsid w:val="000E4E26"/>
    <w:rsid w:val="000E5F17"/>
    <w:rsid w:val="000E6D9B"/>
    <w:rsid w:val="000E703D"/>
    <w:rsid w:val="000E755B"/>
    <w:rsid w:val="000E79A5"/>
    <w:rsid w:val="000E7E51"/>
    <w:rsid w:val="000F03B8"/>
    <w:rsid w:val="000F03F0"/>
    <w:rsid w:val="000F102E"/>
    <w:rsid w:val="000F1A47"/>
    <w:rsid w:val="000F1FDE"/>
    <w:rsid w:val="000F201E"/>
    <w:rsid w:val="000F2484"/>
    <w:rsid w:val="000F2E2A"/>
    <w:rsid w:val="000F30A9"/>
    <w:rsid w:val="000F3B87"/>
    <w:rsid w:val="000F3E84"/>
    <w:rsid w:val="000F4C82"/>
    <w:rsid w:val="000F52D6"/>
    <w:rsid w:val="000F59C6"/>
    <w:rsid w:val="000F611C"/>
    <w:rsid w:val="000F685D"/>
    <w:rsid w:val="000F694B"/>
    <w:rsid w:val="000F6C18"/>
    <w:rsid w:val="001005A5"/>
    <w:rsid w:val="0010115E"/>
    <w:rsid w:val="00101AA2"/>
    <w:rsid w:val="0010209F"/>
    <w:rsid w:val="001029DE"/>
    <w:rsid w:val="00102D6C"/>
    <w:rsid w:val="00103128"/>
    <w:rsid w:val="00103347"/>
    <w:rsid w:val="0010363E"/>
    <w:rsid w:val="001037C0"/>
    <w:rsid w:val="001039ED"/>
    <w:rsid w:val="001040F9"/>
    <w:rsid w:val="001047A5"/>
    <w:rsid w:val="00104A03"/>
    <w:rsid w:val="00104B8E"/>
    <w:rsid w:val="00107EC3"/>
    <w:rsid w:val="00110B7C"/>
    <w:rsid w:val="001119D3"/>
    <w:rsid w:val="00111FE8"/>
    <w:rsid w:val="00113643"/>
    <w:rsid w:val="00114DB9"/>
    <w:rsid w:val="0011570E"/>
    <w:rsid w:val="00116917"/>
    <w:rsid w:val="00120520"/>
    <w:rsid w:val="00122816"/>
    <w:rsid w:val="001230C5"/>
    <w:rsid w:val="00123591"/>
    <w:rsid w:val="0012399B"/>
    <w:rsid w:val="00124013"/>
    <w:rsid w:val="001247F4"/>
    <w:rsid w:val="00125373"/>
    <w:rsid w:val="00125E9F"/>
    <w:rsid w:val="00125FEA"/>
    <w:rsid w:val="00126FEB"/>
    <w:rsid w:val="0012744C"/>
    <w:rsid w:val="001275E8"/>
    <w:rsid w:val="00127B2C"/>
    <w:rsid w:val="0013000B"/>
    <w:rsid w:val="001312FF"/>
    <w:rsid w:val="00131429"/>
    <w:rsid w:val="0013341D"/>
    <w:rsid w:val="001336FD"/>
    <w:rsid w:val="00134B31"/>
    <w:rsid w:val="00134B73"/>
    <w:rsid w:val="00135089"/>
    <w:rsid w:val="001360E9"/>
    <w:rsid w:val="0013633C"/>
    <w:rsid w:val="00137A7A"/>
    <w:rsid w:val="00141527"/>
    <w:rsid w:val="00141537"/>
    <w:rsid w:val="00141892"/>
    <w:rsid w:val="001418C4"/>
    <w:rsid w:val="00142D44"/>
    <w:rsid w:val="00143DDC"/>
    <w:rsid w:val="00145E79"/>
    <w:rsid w:val="001461EB"/>
    <w:rsid w:val="00151716"/>
    <w:rsid w:val="001523B0"/>
    <w:rsid w:val="00152473"/>
    <w:rsid w:val="001527FF"/>
    <w:rsid w:val="00153A08"/>
    <w:rsid w:val="00155A4F"/>
    <w:rsid w:val="0015660A"/>
    <w:rsid w:val="001601CE"/>
    <w:rsid w:val="001602EA"/>
    <w:rsid w:val="00160781"/>
    <w:rsid w:val="001607EE"/>
    <w:rsid w:val="00160A51"/>
    <w:rsid w:val="0016126F"/>
    <w:rsid w:val="00161ABE"/>
    <w:rsid w:val="00164838"/>
    <w:rsid w:val="0016487D"/>
    <w:rsid w:val="001648E7"/>
    <w:rsid w:val="00165E97"/>
    <w:rsid w:val="00171525"/>
    <w:rsid w:val="001728D1"/>
    <w:rsid w:val="001732C2"/>
    <w:rsid w:val="001748DF"/>
    <w:rsid w:val="0017512D"/>
    <w:rsid w:val="0017545D"/>
    <w:rsid w:val="0017551D"/>
    <w:rsid w:val="001757A9"/>
    <w:rsid w:val="001765C9"/>
    <w:rsid w:val="00176832"/>
    <w:rsid w:val="0017742E"/>
    <w:rsid w:val="00177936"/>
    <w:rsid w:val="00180E39"/>
    <w:rsid w:val="00180E8A"/>
    <w:rsid w:val="00180F9E"/>
    <w:rsid w:val="001812A6"/>
    <w:rsid w:val="00182DF4"/>
    <w:rsid w:val="00183D95"/>
    <w:rsid w:val="00184B47"/>
    <w:rsid w:val="00185408"/>
    <w:rsid w:val="00185789"/>
    <w:rsid w:val="00185AB1"/>
    <w:rsid w:val="001866D4"/>
    <w:rsid w:val="00186BFB"/>
    <w:rsid w:val="00187469"/>
    <w:rsid w:val="00190F27"/>
    <w:rsid w:val="00191B96"/>
    <w:rsid w:val="00191EAC"/>
    <w:rsid w:val="0019378C"/>
    <w:rsid w:val="00193A13"/>
    <w:rsid w:val="00194585"/>
    <w:rsid w:val="001948AB"/>
    <w:rsid w:val="00195768"/>
    <w:rsid w:val="001958A2"/>
    <w:rsid w:val="00195E5B"/>
    <w:rsid w:val="00197219"/>
    <w:rsid w:val="001A01C9"/>
    <w:rsid w:val="001A0BFC"/>
    <w:rsid w:val="001A1446"/>
    <w:rsid w:val="001A1E7C"/>
    <w:rsid w:val="001A2041"/>
    <w:rsid w:val="001A2D2D"/>
    <w:rsid w:val="001A3046"/>
    <w:rsid w:val="001A31D7"/>
    <w:rsid w:val="001A33C9"/>
    <w:rsid w:val="001A4892"/>
    <w:rsid w:val="001A7DCF"/>
    <w:rsid w:val="001B0025"/>
    <w:rsid w:val="001B0EF3"/>
    <w:rsid w:val="001B11B6"/>
    <w:rsid w:val="001B11E7"/>
    <w:rsid w:val="001B2673"/>
    <w:rsid w:val="001B3443"/>
    <w:rsid w:val="001B49CB"/>
    <w:rsid w:val="001B4DE1"/>
    <w:rsid w:val="001B597D"/>
    <w:rsid w:val="001B7087"/>
    <w:rsid w:val="001C265C"/>
    <w:rsid w:val="001C27EE"/>
    <w:rsid w:val="001C3FCA"/>
    <w:rsid w:val="001C4ABD"/>
    <w:rsid w:val="001C62F3"/>
    <w:rsid w:val="001C6EBA"/>
    <w:rsid w:val="001C710F"/>
    <w:rsid w:val="001C7653"/>
    <w:rsid w:val="001D266E"/>
    <w:rsid w:val="001D3A62"/>
    <w:rsid w:val="001D4214"/>
    <w:rsid w:val="001D4434"/>
    <w:rsid w:val="001D4F52"/>
    <w:rsid w:val="001D54AD"/>
    <w:rsid w:val="001D5A72"/>
    <w:rsid w:val="001D6DDE"/>
    <w:rsid w:val="001D6F77"/>
    <w:rsid w:val="001D7010"/>
    <w:rsid w:val="001D7134"/>
    <w:rsid w:val="001D76B7"/>
    <w:rsid w:val="001E042F"/>
    <w:rsid w:val="001E1DBC"/>
    <w:rsid w:val="001E1FEA"/>
    <w:rsid w:val="001E272B"/>
    <w:rsid w:val="001E3AA7"/>
    <w:rsid w:val="001E3F47"/>
    <w:rsid w:val="001E4670"/>
    <w:rsid w:val="001E4996"/>
    <w:rsid w:val="001E5140"/>
    <w:rsid w:val="001E52A2"/>
    <w:rsid w:val="001E551E"/>
    <w:rsid w:val="001E6708"/>
    <w:rsid w:val="001E6746"/>
    <w:rsid w:val="001F0099"/>
    <w:rsid w:val="001F096C"/>
    <w:rsid w:val="001F105F"/>
    <w:rsid w:val="001F15F6"/>
    <w:rsid w:val="001F198C"/>
    <w:rsid w:val="001F1EFD"/>
    <w:rsid w:val="001F217E"/>
    <w:rsid w:val="001F2E37"/>
    <w:rsid w:val="001F370D"/>
    <w:rsid w:val="001F3B03"/>
    <w:rsid w:val="001F45B1"/>
    <w:rsid w:val="001F5C2C"/>
    <w:rsid w:val="001F6948"/>
    <w:rsid w:val="001F7A5F"/>
    <w:rsid w:val="001F7D2B"/>
    <w:rsid w:val="00200842"/>
    <w:rsid w:val="00200F12"/>
    <w:rsid w:val="00201C70"/>
    <w:rsid w:val="00203CC6"/>
    <w:rsid w:val="00205026"/>
    <w:rsid w:val="00210495"/>
    <w:rsid w:val="00210716"/>
    <w:rsid w:val="00210912"/>
    <w:rsid w:val="00211091"/>
    <w:rsid w:val="0021239B"/>
    <w:rsid w:val="00212717"/>
    <w:rsid w:val="00212DB2"/>
    <w:rsid w:val="00213037"/>
    <w:rsid w:val="00213927"/>
    <w:rsid w:val="00213B9C"/>
    <w:rsid w:val="0021517C"/>
    <w:rsid w:val="00215587"/>
    <w:rsid w:val="00216D47"/>
    <w:rsid w:val="00217786"/>
    <w:rsid w:val="0022002E"/>
    <w:rsid w:val="002207E6"/>
    <w:rsid w:val="0022370E"/>
    <w:rsid w:val="00223A04"/>
    <w:rsid w:val="002242E9"/>
    <w:rsid w:val="002246CF"/>
    <w:rsid w:val="00230CE5"/>
    <w:rsid w:val="00231EDF"/>
    <w:rsid w:val="00233806"/>
    <w:rsid w:val="00233CBF"/>
    <w:rsid w:val="00233FA1"/>
    <w:rsid w:val="00234463"/>
    <w:rsid w:val="0023488B"/>
    <w:rsid w:val="00234ABA"/>
    <w:rsid w:val="002360A6"/>
    <w:rsid w:val="00236429"/>
    <w:rsid w:val="00236940"/>
    <w:rsid w:val="00237282"/>
    <w:rsid w:val="00237292"/>
    <w:rsid w:val="00237447"/>
    <w:rsid w:val="0023745D"/>
    <w:rsid w:val="00237B60"/>
    <w:rsid w:val="00240D94"/>
    <w:rsid w:val="00240E18"/>
    <w:rsid w:val="00241350"/>
    <w:rsid w:val="002417EC"/>
    <w:rsid w:val="00243BEB"/>
    <w:rsid w:val="00244CA2"/>
    <w:rsid w:val="00244F31"/>
    <w:rsid w:val="00246AF6"/>
    <w:rsid w:val="00247FE9"/>
    <w:rsid w:val="00250FF0"/>
    <w:rsid w:val="0025181C"/>
    <w:rsid w:val="00251C24"/>
    <w:rsid w:val="00251EA8"/>
    <w:rsid w:val="00251F6C"/>
    <w:rsid w:val="00252168"/>
    <w:rsid w:val="00252187"/>
    <w:rsid w:val="00252A71"/>
    <w:rsid w:val="00254CBB"/>
    <w:rsid w:val="00257279"/>
    <w:rsid w:val="00257781"/>
    <w:rsid w:val="00257AAA"/>
    <w:rsid w:val="00257B89"/>
    <w:rsid w:val="00260131"/>
    <w:rsid w:val="00260EA6"/>
    <w:rsid w:val="002626F4"/>
    <w:rsid w:val="0026459B"/>
    <w:rsid w:val="002649AE"/>
    <w:rsid w:val="002658A3"/>
    <w:rsid w:val="0026662C"/>
    <w:rsid w:val="00266D5F"/>
    <w:rsid w:val="0027027C"/>
    <w:rsid w:val="00271685"/>
    <w:rsid w:val="00274A25"/>
    <w:rsid w:val="00274D79"/>
    <w:rsid w:val="00275623"/>
    <w:rsid w:val="00275E3C"/>
    <w:rsid w:val="00276005"/>
    <w:rsid w:val="00277427"/>
    <w:rsid w:val="00280C40"/>
    <w:rsid w:val="00280D15"/>
    <w:rsid w:val="00280F65"/>
    <w:rsid w:val="00284A25"/>
    <w:rsid w:val="00285914"/>
    <w:rsid w:val="002865E9"/>
    <w:rsid w:val="00290CA7"/>
    <w:rsid w:val="002914AE"/>
    <w:rsid w:val="00291A25"/>
    <w:rsid w:val="00291B31"/>
    <w:rsid w:val="00291BCC"/>
    <w:rsid w:val="002925C5"/>
    <w:rsid w:val="00293103"/>
    <w:rsid w:val="0029388C"/>
    <w:rsid w:val="00293922"/>
    <w:rsid w:val="00293923"/>
    <w:rsid w:val="00293E3A"/>
    <w:rsid w:val="00294842"/>
    <w:rsid w:val="00294A5C"/>
    <w:rsid w:val="00294BA1"/>
    <w:rsid w:val="0029517D"/>
    <w:rsid w:val="002958A7"/>
    <w:rsid w:val="00295995"/>
    <w:rsid w:val="002974C8"/>
    <w:rsid w:val="00297B5F"/>
    <w:rsid w:val="002A027D"/>
    <w:rsid w:val="002A2DFF"/>
    <w:rsid w:val="002A3B0A"/>
    <w:rsid w:val="002A55EE"/>
    <w:rsid w:val="002A6BC3"/>
    <w:rsid w:val="002A6F4D"/>
    <w:rsid w:val="002A7061"/>
    <w:rsid w:val="002A732B"/>
    <w:rsid w:val="002B065A"/>
    <w:rsid w:val="002B183C"/>
    <w:rsid w:val="002B377A"/>
    <w:rsid w:val="002B40A9"/>
    <w:rsid w:val="002B42B2"/>
    <w:rsid w:val="002B4EC3"/>
    <w:rsid w:val="002B67EA"/>
    <w:rsid w:val="002B7765"/>
    <w:rsid w:val="002C0F30"/>
    <w:rsid w:val="002C2478"/>
    <w:rsid w:val="002C3CB3"/>
    <w:rsid w:val="002C4112"/>
    <w:rsid w:val="002C46AC"/>
    <w:rsid w:val="002C4F33"/>
    <w:rsid w:val="002C5345"/>
    <w:rsid w:val="002C58A3"/>
    <w:rsid w:val="002C764C"/>
    <w:rsid w:val="002D0E71"/>
    <w:rsid w:val="002D14B0"/>
    <w:rsid w:val="002D18BA"/>
    <w:rsid w:val="002D215E"/>
    <w:rsid w:val="002D296E"/>
    <w:rsid w:val="002D46D3"/>
    <w:rsid w:val="002D46DA"/>
    <w:rsid w:val="002D4C49"/>
    <w:rsid w:val="002D50A3"/>
    <w:rsid w:val="002D5699"/>
    <w:rsid w:val="002D6BD9"/>
    <w:rsid w:val="002D7E12"/>
    <w:rsid w:val="002E0DF3"/>
    <w:rsid w:val="002E0FA1"/>
    <w:rsid w:val="002E13FC"/>
    <w:rsid w:val="002E1F31"/>
    <w:rsid w:val="002E2CA6"/>
    <w:rsid w:val="002E41C6"/>
    <w:rsid w:val="002E4EF6"/>
    <w:rsid w:val="002E7622"/>
    <w:rsid w:val="002E764E"/>
    <w:rsid w:val="002E7E4D"/>
    <w:rsid w:val="002E7FDE"/>
    <w:rsid w:val="002F0911"/>
    <w:rsid w:val="002F1D57"/>
    <w:rsid w:val="002F279A"/>
    <w:rsid w:val="002F2D7A"/>
    <w:rsid w:val="002F35C6"/>
    <w:rsid w:val="002F550B"/>
    <w:rsid w:val="002F6EEF"/>
    <w:rsid w:val="00300560"/>
    <w:rsid w:val="00300A86"/>
    <w:rsid w:val="003058D2"/>
    <w:rsid w:val="00305D7C"/>
    <w:rsid w:val="00306021"/>
    <w:rsid w:val="003071AC"/>
    <w:rsid w:val="0030786C"/>
    <w:rsid w:val="00307FD1"/>
    <w:rsid w:val="003102DE"/>
    <w:rsid w:val="00310320"/>
    <w:rsid w:val="003124FE"/>
    <w:rsid w:val="00312FAD"/>
    <w:rsid w:val="00313202"/>
    <w:rsid w:val="00314585"/>
    <w:rsid w:val="00316048"/>
    <w:rsid w:val="003166BD"/>
    <w:rsid w:val="00316802"/>
    <w:rsid w:val="00316C70"/>
    <w:rsid w:val="00316E29"/>
    <w:rsid w:val="00316F59"/>
    <w:rsid w:val="003176A9"/>
    <w:rsid w:val="00320948"/>
    <w:rsid w:val="00320FE6"/>
    <w:rsid w:val="00321CDA"/>
    <w:rsid w:val="00321D98"/>
    <w:rsid w:val="0032206E"/>
    <w:rsid w:val="00322170"/>
    <w:rsid w:val="00322D08"/>
    <w:rsid w:val="00323D74"/>
    <w:rsid w:val="00323EA0"/>
    <w:rsid w:val="003241D5"/>
    <w:rsid w:val="00324AAB"/>
    <w:rsid w:val="00324F9E"/>
    <w:rsid w:val="00326F7A"/>
    <w:rsid w:val="00327B6F"/>
    <w:rsid w:val="003309A2"/>
    <w:rsid w:val="0033180C"/>
    <w:rsid w:val="003327A6"/>
    <w:rsid w:val="0033349D"/>
    <w:rsid w:val="003353F9"/>
    <w:rsid w:val="00335823"/>
    <w:rsid w:val="00337371"/>
    <w:rsid w:val="00337420"/>
    <w:rsid w:val="00337D41"/>
    <w:rsid w:val="003405D6"/>
    <w:rsid w:val="00340818"/>
    <w:rsid w:val="00340DB2"/>
    <w:rsid w:val="0034201E"/>
    <w:rsid w:val="00342053"/>
    <w:rsid w:val="0034220C"/>
    <w:rsid w:val="00342A00"/>
    <w:rsid w:val="00342C11"/>
    <w:rsid w:val="00343040"/>
    <w:rsid w:val="00343AA0"/>
    <w:rsid w:val="00343BD1"/>
    <w:rsid w:val="00344016"/>
    <w:rsid w:val="003453AD"/>
    <w:rsid w:val="00346D1A"/>
    <w:rsid w:val="00346D28"/>
    <w:rsid w:val="003471BB"/>
    <w:rsid w:val="00347FB1"/>
    <w:rsid w:val="00347FCE"/>
    <w:rsid w:val="003504CB"/>
    <w:rsid w:val="003510FC"/>
    <w:rsid w:val="0035293E"/>
    <w:rsid w:val="003533EA"/>
    <w:rsid w:val="00354212"/>
    <w:rsid w:val="0035429B"/>
    <w:rsid w:val="003543A3"/>
    <w:rsid w:val="00356089"/>
    <w:rsid w:val="00356325"/>
    <w:rsid w:val="00356CF4"/>
    <w:rsid w:val="00356E61"/>
    <w:rsid w:val="00357348"/>
    <w:rsid w:val="00357784"/>
    <w:rsid w:val="00360555"/>
    <w:rsid w:val="00360E5E"/>
    <w:rsid w:val="00361B04"/>
    <w:rsid w:val="003624A1"/>
    <w:rsid w:val="00362B83"/>
    <w:rsid w:val="003634BB"/>
    <w:rsid w:val="003641BA"/>
    <w:rsid w:val="00365F8A"/>
    <w:rsid w:val="00366E0E"/>
    <w:rsid w:val="00370F58"/>
    <w:rsid w:val="00371F37"/>
    <w:rsid w:val="00373B29"/>
    <w:rsid w:val="00373DCD"/>
    <w:rsid w:val="0037402D"/>
    <w:rsid w:val="003748F6"/>
    <w:rsid w:val="0037532D"/>
    <w:rsid w:val="0037558A"/>
    <w:rsid w:val="00376597"/>
    <w:rsid w:val="00380196"/>
    <w:rsid w:val="003807A6"/>
    <w:rsid w:val="00380C26"/>
    <w:rsid w:val="00381BB5"/>
    <w:rsid w:val="003827F3"/>
    <w:rsid w:val="00382893"/>
    <w:rsid w:val="00382A87"/>
    <w:rsid w:val="0038394A"/>
    <w:rsid w:val="00383D3F"/>
    <w:rsid w:val="00386B3D"/>
    <w:rsid w:val="003877AF"/>
    <w:rsid w:val="00390109"/>
    <w:rsid w:val="00390947"/>
    <w:rsid w:val="00391AE9"/>
    <w:rsid w:val="00391EF4"/>
    <w:rsid w:val="0039255D"/>
    <w:rsid w:val="00392F9E"/>
    <w:rsid w:val="0039329C"/>
    <w:rsid w:val="00393486"/>
    <w:rsid w:val="00393756"/>
    <w:rsid w:val="00394019"/>
    <w:rsid w:val="00394ECD"/>
    <w:rsid w:val="00395068"/>
    <w:rsid w:val="0039520B"/>
    <w:rsid w:val="003954F9"/>
    <w:rsid w:val="00395E86"/>
    <w:rsid w:val="00396D12"/>
    <w:rsid w:val="0039727D"/>
    <w:rsid w:val="00397489"/>
    <w:rsid w:val="0039766E"/>
    <w:rsid w:val="00397C44"/>
    <w:rsid w:val="00397DDC"/>
    <w:rsid w:val="003A0441"/>
    <w:rsid w:val="003A09AF"/>
    <w:rsid w:val="003A2B1C"/>
    <w:rsid w:val="003A355E"/>
    <w:rsid w:val="003A399A"/>
    <w:rsid w:val="003A3B9C"/>
    <w:rsid w:val="003A4DDF"/>
    <w:rsid w:val="003A5709"/>
    <w:rsid w:val="003A589A"/>
    <w:rsid w:val="003A7D3E"/>
    <w:rsid w:val="003B01BD"/>
    <w:rsid w:val="003B09DB"/>
    <w:rsid w:val="003B0FCD"/>
    <w:rsid w:val="003B0FF3"/>
    <w:rsid w:val="003B1563"/>
    <w:rsid w:val="003B1654"/>
    <w:rsid w:val="003B1974"/>
    <w:rsid w:val="003B1C10"/>
    <w:rsid w:val="003B2109"/>
    <w:rsid w:val="003B4F59"/>
    <w:rsid w:val="003B69F9"/>
    <w:rsid w:val="003B6BCF"/>
    <w:rsid w:val="003B70D2"/>
    <w:rsid w:val="003B7877"/>
    <w:rsid w:val="003B7A79"/>
    <w:rsid w:val="003C0866"/>
    <w:rsid w:val="003C0F4F"/>
    <w:rsid w:val="003C10ED"/>
    <w:rsid w:val="003C129B"/>
    <w:rsid w:val="003C2808"/>
    <w:rsid w:val="003C43CE"/>
    <w:rsid w:val="003C47F1"/>
    <w:rsid w:val="003C4C30"/>
    <w:rsid w:val="003C4C8D"/>
    <w:rsid w:val="003C5AA2"/>
    <w:rsid w:val="003C74B9"/>
    <w:rsid w:val="003C769F"/>
    <w:rsid w:val="003D09CE"/>
    <w:rsid w:val="003D14B9"/>
    <w:rsid w:val="003D17F9"/>
    <w:rsid w:val="003D2B3E"/>
    <w:rsid w:val="003D3069"/>
    <w:rsid w:val="003D39BF"/>
    <w:rsid w:val="003D3C9F"/>
    <w:rsid w:val="003D410C"/>
    <w:rsid w:val="003D58C6"/>
    <w:rsid w:val="003D5C89"/>
    <w:rsid w:val="003D6200"/>
    <w:rsid w:val="003D7CEE"/>
    <w:rsid w:val="003D7DF3"/>
    <w:rsid w:val="003E03D5"/>
    <w:rsid w:val="003E0520"/>
    <w:rsid w:val="003E081C"/>
    <w:rsid w:val="003E0F16"/>
    <w:rsid w:val="003E176A"/>
    <w:rsid w:val="003E1E01"/>
    <w:rsid w:val="003E297A"/>
    <w:rsid w:val="003E36F5"/>
    <w:rsid w:val="003E59BC"/>
    <w:rsid w:val="003E6158"/>
    <w:rsid w:val="003E63BE"/>
    <w:rsid w:val="003E653D"/>
    <w:rsid w:val="003E6C01"/>
    <w:rsid w:val="003E6E20"/>
    <w:rsid w:val="003E79D9"/>
    <w:rsid w:val="003E7C2B"/>
    <w:rsid w:val="003E7C7E"/>
    <w:rsid w:val="003F12F2"/>
    <w:rsid w:val="003F22F3"/>
    <w:rsid w:val="003F2E00"/>
    <w:rsid w:val="003F6158"/>
    <w:rsid w:val="003F6B1F"/>
    <w:rsid w:val="003F76AA"/>
    <w:rsid w:val="003F7ADA"/>
    <w:rsid w:val="00400A17"/>
    <w:rsid w:val="00400AD0"/>
    <w:rsid w:val="00400E88"/>
    <w:rsid w:val="00401A68"/>
    <w:rsid w:val="00401F10"/>
    <w:rsid w:val="00402B18"/>
    <w:rsid w:val="004031E3"/>
    <w:rsid w:val="00403613"/>
    <w:rsid w:val="004040DB"/>
    <w:rsid w:val="0040479F"/>
    <w:rsid w:val="004049E8"/>
    <w:rsid w:val="00405256"/>
    <w:rsid w:val="004059A4"/>
    <w:rsid w:val="004060A9"/>
    <w:rsid w:val="00406424"/>
    <w:rsid w:val="00407389"/>
    <w:rsid w:val="0040761C"/>
    <w:rsid w:val="00411CD4"/>
    <w:rsid w:val="004122DE"/>
    <w:rsid w:val="00412CB2"/>
    <w:rsid w:val="00412E84"/>
    <w:rsid w:val="004146CD"/>
    <w:rsid w:val="004167AF"/>
    <w:rsid w:val="00416B1D"/>
    <w:rsid w:val="004174AF"/>
    <w:rsid w:val="00420499"/>
    <w:rsid w:val="00421CB5"/>
    <w:rsid w:val="00421E6D"/>
    <w:rsid w:val="004220B2"/>
    <w:rsid w:val="00422E74"/>
    <w:rsid w:val="00422EF9"/>
    <w:rsid w:val="00423736"/>
    <w:rsid w:val="004242D0"/>
    <w:rsid w:val="0042538A"/>
    <w:rsid w:val="00426387"/>
    <w:rsid w:val="0042709F"/>
    <w:rsid w:val="004277CD"/>
    <w:rsid w:val="0043125B"/>
    <w:rsid w:val="00431716"/>
    <w:rsid w:val="00432680"/>
    <w:rsid w:val="00432D4C"/>
    <w:rsid w:val="004331A7"/>
    <w:rsid w:val="0043365B"/>
    <w:rsid w:val="00434874"/>
    <w:rsid w:val="00434E2B"/>
    <w:rsid w:val="00436BA6"/>
    <w:rsid w:val="00437CC5"/>
    <w:rsid w:val="00437EE9"/>
    <w:rsid w:val="004403E7"/>
    <w:rsid w:val="00440B99"/>
    <w:rsid w:val="00440C05"/>
    <w:rsid w:val="0044164D"/>
    <w:rsid w:val="00441669"/>
    <w:rsid w:val="004424E1"/>
    <w:rsid w:val="0044267C"/>
    <w:rsid w:val="00442A20"/>
    <w:rsid w:val="00442BD1"/>
    <w:rsid w:val="00442CFB"/>
    <w:rsid w:val="00442D50"/>
    <w:rsid w:val="00442D7F"/>
    <w:rsid w:val="0044452A"/>
    <w:rsid w:val="004449F9"/>
    <w:rsid w:val="00444B69"/>
    <w:rsid w:val="0044584A"/>
    <w:rsid w:val="00446544"/>
    <w:rsid w:val="00446688"/>
    <w:rsid w:val="00447476"/>
    <w:rsid w:val="004479A0"/>
    <w:rsid w:val="00450F22"/>
    <w:rsid w:val="00452568"/>
    <w:rsid w:val="0045373A"/>
    <w:rsid w:val="00453C6D"/>
    <w:rsid w:val="00454510"/>
    <w:rsid w:val="004554CD"/>
    <w:rsid w:val="00456C1B"/>
    <w:rsid w:val="00456FCB"/>
    <w:rsid w:val="00460476"/>
    <w:rsid w:val="00460AE8"/>
    <w:rsid w:val="00460C1A"/>
    <w:rsid w:val="00461CD2"/>
    <w:rsid w:val="00461E48"/>
    <w:rsid w:val="004622B2"/>
    <w:rsid w:val="004625DF"/>
    <w:rsid w:val="004629B7"/>
    <w:rsid w:val="00462FCD"/>
    <w:rsid w:val="00463292"/>
    <w:rsid w:val="004632DC"/>
    <w:rsid w:val="004634B2"/>
    <w:rsid w:val="004640BD"/>
    <w:rsid w:val="00464624"/>
    <w:rsid w:val="00465641"/>
    <w:rsid w:val="00465DFA"/>
    <w:rsid w:val="00467035"/>
    <w:rsid w:val="004707E5"/>
    <w:rsid w:val="00471171"/>
    <w:rsid w:val="00471560"/>
    <w:rsid w:val="00472213"/>
    <w:rsid w:val="004722DD"/>
    <w:rsid w:val="004724B6"/>
    <w:rsid w:val="00475B7F"/>
    <w:rsid w:val="0047684C"/>
    <w:rsid w:val="004768B0"/>
    <w:rsid w:val="004775C2"/>
    <w:rsid w:val="00477893"/>
    <w:rsid w:val="00477AE2"/>
    <w:rsid w:val="00480340"/>
    <w:rsid w:val="00481972"/>
    <w:rsid w:val="00483071"/>
    <w:rsid w:val="004831DD"/>
    <w:rsid w:val="00483B35"/>
    <w:rsid w:val="00483CEB"/>
    <w:rsid w:val="004852D7"/>
    <w:rsid w:val="00485A95"/>
    <w:rsid w:val="00485D21"/>
    <w:rsid w:val="004861B4"/>
    <w:rsid w:val="0048624E"/>
    <w:rsid w:val="004867E2"/>
    <w:rsid w:val="0048746B"/>
    <w:rsid w:val="00487FCF"/>
    <w:rsid w:val="0049030B"/>
    <w:rsid w:val="00490A47"/>
    <w:rsid w:val="004911E2"/>
    <w:rsid w:val="00491AF2"/>
    <w:rsid w:val="004934FC"/>
    <w:rsid w:val="00493BE8"/>
    <w:rsid w:val="00495025"/>
    <w:rsid w:val="00497B47"/>
    <w:rsid w:val="004A5A09"/>
    <w:rsid w:val="004A6516"/>
    <w:rsid w:val="004A652F"/>
    <w:rsid w:val="004A65B6"/>
    <w:rsid w:val="004A6AC8"/>
    <w:rsid w:val="004A7467"/>
    <w:rsid w:val="004B1116"/>
    <w:rsid w:val="004B130F"/>
    <w:rsid w:val="004B1AD9"/>
    <w:rsid w:val="004B1C57"/>
    <w:rsid w:val="004B407E"/>
    <w:rsid w:val="004B6C9F"/>
    <w:rsid w:val="004B6EF9"/>
    <w:rsid w:val="004B7CA8"/>
    <w:rsid w:val="004C0A40"/>
    <w:rsid w:val="004C0E28"/>
    <w:rsid w:val="004C2275"/>
    <w:rsid w:val="004C25ED"/>
    <w:rsid w:val="004C362B"/>
    <w:rsid w:val="004C37A2"/>
    <w:rsid w:val="004C383D"/>
    <w:rsid w:val="004C3BEE"/>
    <w:rsid w:val="004C3E9A"/>
    <w:rsid w:val="004C3EC1"/>
    <w:rsid w:val="004C4506"/>
    <w:rsid w:val="004C4C49"/>
    <w:rsid w:val="004C533A"/>
    <w:rsid w:val="004C5494"/>
    <w:rsid w:val="004C5A59"/>
    <w:rsid w:val="004D04D4"/>
    <w:rsid w:val="004D0916"/>
    <w:rsid w:val="004D1364"/>
    <w:rsid w:val="004D2058"/>
    <w:rsid w:val="004D23DD"/>
    <w:rsid w:val="004D4296"/>
    <w:rsid w:val="004D4EBE"/>
    <w:rsid w:val="004D5B68"/>
    <w:rsid w:val="004D5BE0"/>
    <w:rsid w:val="004D6CC3"/>
    <w:rsid w:val="004D70A4"/>
    <w:rsid w:val="004D760E"/>
    <w:rsid w:val="004D7A33"/>
    <w:rsid w:val="004D7FFC"/>
    <w:rsid w:val="004E0229"/>
    <w:rsid w:val="004E0D1D"/>
    <w:rsid w:val="004E1412"/>
    <w:rsid w:val="004E16E9"/>
    <w:rsid w:val="004E21B0"/>
    <w:rsid w:val="004E2CCF"/>
    <w:rsid w:val="004E45AC"/>
    <w:rsid w:val="004E4FBE"/>
    <w:rsid w:val="004E5170"/>
    <w:rsid w:val="004E605B"/>
    <w:rsid w:val="004E6345"/>
    <w:rsid w:val="004E6C9F"/>
    <w:rsid w:val="004E763F"/>
    <w:rsid w:val="004F2459"/>
    <w:rsid w:val="004F2F45"/>
    <w:rsid w:val="004F3501"/>
    <w:rsid w:val="004F591E"/>
    <w:rsid w:val="004F5E53"/>
    <w:rsid w:val="004F6AAE"/>
    <w:rsid w:val="004F7222"/>
    <w:rsid w:val="004F7F6D"/>
    <w:rsid w:val="00500863"/>
    <w:rsid w:val="0050089C"/>
    <w:rsid w:val="0050157B"/>
    <w:rsid w:val="00501E6D"/>
    <w:rsid w:val="0050300E"/>
    <w:rsid w:val="005030E5"/>
    <w:rsid w:val="00504A2F"/>
    <w:rsid w:val="00504BD9"/>
    <w:rsid w:val="00504D74"/>
    <w:rsid w:val="0050585F"/>
    <w:rsid w:val="005065EE"/>
    <w:rsid w:val="00507F9B"/>
    <w:rsid w:val="005101B7"/>
    <w:rsid w:val="00510B3B"/>
    <w:rsid w:val="00511199"/>
    <w:rsid w:val="005144AB"/>
    <w:rsid w:val="00516339"/>
    <w:rsid w:val="005163AA"/>
    <w:rsid w:val="005165CB"/>
    <w:rsid w:val="0051761A"/>
    <w:rsid w:val="005215D0"/>
    <w:rsid w:val="00521809"/>
    <w:rsid w:val="005219AD"/>
    <w:rsid w:val="0052232E"/>
    <w:rsid w:val="00522488"/>
    <w:rsid w:val="00522B1E"/>
    <w:rsid w:val="00524131"/>
    <w:rsid w:val="00524473"/>
    <w:rsid w:val="005258B8"/>
    <w:rsid w:val="00525B41"/>
    <w:rsid w:val="00526A6F"/>
    <w:rsid w:val="00527E89"/>
    <w:rsid w:val="005313C9"/>
    <w:rsid w:val="00531790"/>
    <w:rsid w:val="00532033"/>
    <w:rsid w:val="005322E9"/>
    <w:rsid w:val="005325BE"/>
    <w:rsid w:val="0053276A"/>
    <w:rsid w:val="00532EAD"/>
    <w:rsid w:val="005343E8"/>
    <w:rsid w:val="0053440E"/>
    <w:rsid w:val="005346BC"/>
    <w:rsid w:val="00536851"/>
    <w:rsid w:val="005370FF"/>
    <w:rsid w:val="00537166"/>
    <w:rsid w:val="00537B1D"/>
    <w:rsid w:val="005400B7"/>
    <w:rsid w:val="0054071E"/>
    <w:rsid w:val="00541389"/>
    <w:rsid w:val="00541B54"/>
    <w:rsid w:val="00541F29"/>
    <w:rsid w:val="00542100"/>
    <w:rsid w:val="00542173"/>
    <w:rsid w:val="00542C99"/>
    <w:rsid w:val="00542F68"/>
    <w:rsid w:val="00543D50"/>
    <w:rsid w:val="00543DEF"/>
    <w:rsid w:val="00543F8E"/>
    <w:rsid w:val="005461FF"/>
    <w:rsid w:val="00546AFF"/>
    <w:rsid w:val="00546C16"/>
    <w:rsid w:val="00546D3C"/>
    <w:rsid w:val="005473A7"/>
    <w:rsid w:val="00547D3F"/>
    <w:rsid w:val="00550083"/>
    <w:rsid w:val="00550AF2"/>
    <w:rsid w:val="00552250"/>
    <w:rsid w:val="005523C0"/>
    <w:rsid w:val="00553E3E"/>
    <w:rsid w:val="005542A4"/>
    <w:rsid w:val="005557E0"/>
    <w:rsid w:val="00555971"/>
    <w:rsid w:val="0055686B"/>
    <w:rsid w:val="005574C3"/>
    <w:rsid w:val="00557C57"/>
    <w:rsid w:val="00561E8C"/>
    <w:rsid w:val="00562103"/>
    <w:rsid w:val="00562142"/>
    <w:rsid w:val="005621A0"/>
    <w:rsid w:val="00562861"/>
    <w:rsid w:val="00562D91"/>
    <w:rsid w:val="00566A65"/>
    <w:rsid w:val="00567B15"/>
    <w:rsid w:val="00567CF5"/>
    <w:rsid w:val="00570382"/>
    <w:rsid w:val="00570550"/>
    <w:rsid w:val="00570C0D"/>
    <w:rsid w:val="00571010"/>
    <w:rsid w:val="005710C3"/>
    <w:rsid w:val="005715A0"/>
    <w:rsid w:val="00571ABD"/>
    <w:rsid w:val="00572DB4"/>
    <w:rsid w:val="005756B0"/>
    <w:rsid w:val="005763B3"/>
    <w:rsid w:val="00576CB2"/>
    <w:rsid w:val="00577D92"/>
    <w:rsid w:val="00577F4F"/>
    <w:rsid w:val="00580041"/>
    <w:rsid w:val="0058082F"/>
    <w:rsid w:val="0058093C"/>
    <w:rsid w:val="00581420"/>
    <w:rsid w:val="0058314E"/>
    <w:rsid w:val="005834FB"/>
    <w:rsid w:val="005845E7"/>
    <w:rsid w:val="0058461F"/>
    <w:rsid w:val="00584D3D"/>
    <w:rsid w:val="00585D47"/>
    <w:rsid w:val="00586C92"/>
    <w:rsid w:val="00586FBC"/>
    <w:rsid w:val="00587862"/>
    <w:rsid w:val="00590AE5"/>
    <w:rsid w:val="00591336"/>
    <w:rsid w:val="0059135E"/>
    <w:rsid w:val="005913E9"/>
    <w:rsid w:val="0059156A"/>
    <w:rsid w:val="00591E93"/>
    <w:rsid w:val="00592A15"/>
    <w:rsid w:val="00593D78"/>
    <w:rsid w:val="00594981"/>
    <w:rsid w:val="00595099"/>
    <w:rsid w:val="0059737D"/>
    <w:rsid w:val="005978AF"/>
    <w:rsid w:val="005A15A4"/>
    <w:rsid w:val="005A22D0"/>
    <w:rsid w:val="005A23D4"/>
    <w:rsid w:val="005A24CF"/>
    <w:rsid w:val="005A29FC"/>
    <w:rsid w:val="005A3308"/>
    <w:rsid w:val="005A36FE"/>
    <w:rsid w:val="005A3747"/>
    <w:rsid w:val="005A3A03"/>
    <w:rsid w:val="005A3DC8"/>
    <w:rsid w:val="005A5707"/>
    <w:rsid w:val="005A57F6"/>
    <w:rsid w:val="005A58F6"/>
    <w:rsid w:val="005A5A74"/>
    <w:rsid w:val="005A66BF"/>
    <w:rsid w:val="005A6868"/>
    <w:rsid w:val="005A6EDB"/>
    <w:rsid w:val="005A6F88"/>
    <w:rsid w:val="005A74A2"/>
    <w:rsid w:val="005B0019"/>
    <w:rsid w:val="005B16D0"/>
    <w:rsid w:val="005B375E"/>
    <w:rsid w:val="005B4A08"/>
    <w:rsid w:val="005B4EA0"/>
    <w:rsid w:val="005C0683"/>
    <w:rsid w:val="005C0858"/>
    <w:rsid w:val="005C0F95"/>
    <w:rsid w:val="005C19E6"/>
    <w:rsid w:val="005C1AB6"/>
    <w:rsid w:val="005C2E1F"/>
    <w:rsid w:val="005C319D"/>
    <w:rsid w:val="005C3B5F"/>
    <w:rsid w:val="005C472B"/>
    <w:rsid w:val="005C561F"/>
    <w:rsid w:val="005C56F6"/>
    <w:rsid w:val="005C5CA4"/>
    <w:rsid w:val="005C6665"/>
    <w:rsid w:val="005D0BCF"/>
    <w:rsid w:val="005D1B87"/>
    <w:rsid w:val="005D2A5D"/>
    <w:rsid w:val="005D3B43"/>
    <w:rsid w:val="005D7B5D"/>
    <w:rsid w:val="005E0CB8"/>
    <w:rsid w:val="005E0CF0"/>
    <w:rsid w:val="005E1003"/>
    <w:rsid w:val="005E13A0"/>
    <w:rsid w:val="005E2B52"/>
    <w:rsid w:val="005E34C8"/>
    <w:rsid w:val="005E39A4"/>
    <w:rsid w:val="005E3E7D"/>
    <w:rsid w:val="005E41D8"/>
    <w:rsid w:val="005E445D"/>
    <w:rsid w:val="005E5029"/>
    <w:rsid w:val="005E5B06"/>
    <w:rsid w:val="005E5D88"/>
    <w:rsid w:val="005E6937"/>
    <w:rsid w:val="005E758B"/>
    <w:rsid w:val="005E778F"/>
    <w:rsid w:val="005F0061"/>
    <w:rsid w:val="005F04A5"/>
    <w:rsid w:val="005F0F37"/>
    <w:rsid w:val="005F11BF"/>
    <w:rsid w:val="005F1D45"/>
    <w:rsid w:val="005F2291"/>
    <w:rsid w:val="005F2C1C"/>
    <w:rsid w:val="005F2DC6"/>
    <w:rsid w:val="005F4B66"/>
    <w:rsid w:val="005F66F2"/>
    <w:rsid w:val="005F704A"/>
    <w:rsid w:val="005F70FC"/>
    <w:rsid w:val="00600A17"/>
    <w:rsid w:val="006010E2"/>
    <w:rsid w:val="00601148"/>
    <w:rsid w:val="00602329"/>
    <w:rsid w:val="006039B9"/>
    <w:rsid w:val="00604173"/>
    <w:rsid w:val="006048D2"/>
    <w:rsid w:val="00604CAA"/>
    <w:rsid w:val="00604D23"/>
    <w:rsid w:val="00607815"/>
    <w:rsid w:val="00607C45"/>
    <w:rsid w:val="006106B2"/>
    <w:rsid w:val="00610D65"/>
    <w:rsid w:val="0061108E"/>
    <w:rsid w:val="006111A8"/>
    <w:rsid w:val="006115F9"/>
    <w:rsid w:val="00611629"/>
    <w:rsid w:val="00611644"/>
    <w:rsid w:val="00611888"/>
    <w:rsid w:val="0061212E"/>
    <w:rsid w:val="00612276"/>
    <w:rsid w:val="0061302F"/>
    <w:rsid w:val="00613FD3"/>
    <w:rsid w:val="00617A06"/>
    <w:rsid w:val="00617B3D"/>
    <w:rsid w:val="00620EB6"/>
    <w:rsid w:val="006214B2"/>
    <w:rsid w:val="00621F4E"/>
    <w:rsid w:val="006226BB"/>
    <w:rsid w:val="006227CE"/>
    <w:rsid w:val="00622B7C"/>
    <w:rsid w:val="00624BC7"/>
    <w:rsid w:val="0062593C"/>
    <w:rsid w:val="00625B72"/>
    <w:rsid w:val="00626089"/>
    <w:rsid w:val="00626DF7"/>
    <w:rsid w:val="006276E2"/>
    <w:rsid w:val="00627C81"/>
    <w:rsid w:val="00632389"/>
    <w:rsid w:val="00633A2C"/>
    <w:rsid w:val="00633FFE"/>
    <w:rsid w:val="00634721"/>
    <w:rsid w:val="0063559E"/>
    <w:rsid w:val="0063579A"/>
    <w:rsid w:val="00635BB7"/>
    <w:rsid w:val="00635FA3"/>
    <w:rsid w:val="006362BC"/>
    <w:rsid w:val="006406D1"/>
    <w:rsid w:val="006411F8"/>
    <w:rsid w:val="0064148A"/>
    <w:rsid w:val="00643CB0"/>
    <w:rsid w:val="00644FD7"/>
    <w:rsid w:val="00645684"/>
    <w:rsid w:val="0064599A"/>
    <w:rsid w:val="00646524"/>
    <w:rsid w:val="006470AC"/>
    <w:rsid w:val="0064748E"/>
    <w:rsid w:val="00647666"/>
    <w:rsid w:val="006506D8"/>
    <w:rsid w:val="006519BE"/>
    <w:rsid w:val="00651D5A"/>
    <w:rsid w:val="00651E39"/>
    <w:rsid w:val="006538D9"/>
    <w:rsid w:val="00654B87"/>
    <w:rsid w:val="00655052"/>
    <w:rsid w:val="0065584F"/>
    <w:rsid w:val="00655BCF"/>
    <w:rsid w:val="00656417"/>
    <w:rsid w:val="00656695"/>
    <w:rsid w:val="00656700"/>
    <w:rsid w:val="00657418"/>
    <w:rsid w:val="006620F6"/>
    <w:rsid w:val="00663689"/>
    <w:rsid w:val="00663A2D"/>
    <w:rsid w:val="00663AB5"/>
    <w:rsid w:val="00664A7A"/>
    <w:rsid w:val="00664C87"/>
    <w:rsid w:val="0066547E"/>
    <w:rsid w:val="00666C89"/>
    <w:rsid w:val="00666DE9"/>
    <w:rsid w:val="0066723A"/>
    <w:rsid w:val="0066770A"/>
    <w:rsid w:val="00670282"/>
    <w:rsid w:val="00670D34"/>
    <w:rsid w:val="00670E69"/>
    <w:rsid w:val="006714E9"/>
    <w:rsid w:val="00672738"/>
    <w:rsid w:val="00672831"/>
    <w:rsid w:val="0067327D"/>
    <w:rsid w:val="00673A9B"/>
    <w:rsid w:val="00673C54"/>
    <w:rsid w:val="00673F34"/>
    <w:rsid w:val="006765A4"/>
    <w:rsid w:val="00676731"/>
    <w:rsid w:val="006767BC"/>
    <w:rsid w:val="006769DF"/>
    <w:rsid w:val="00676DA7"/>
    <w:rsid w:val="00677182"/>
    <w:rsid w:val="0067742B"/>
    <w:rsid w:val="00677937"/>
    <w:rsid w:val="00677A65"/>
    <w:rsid w:val="00677B6A"/>
    <w:rsid w:val="006838B8"/>
    <w:rsid w:val="006842E5"/>
    <w:rsid w:val="006851AA"/>
    <w:rsid w:val="00686406"/>
    <w:rsid w:val="00686C3D"/>
    <w:rsid w:val="0069004B"/>
    <w:rsid w:val="006929A3"/>
    <w:rsid w:val="00692D15"/>
    <w:rsid w:val="00696350"/>
    <w:rsid w:val="006966F3"/>
    <w:rsid w:val="00696A50"/>
    <w:rsid w:val="00696FBA"/>
    <w:rsid w:val="00697744"/>
    <w:rsid w:val="00697BD1"/>
    <w:rsid w:val="006A0276"/>
    <w:rsid w:val="006A0606"/>
    <w:rsid w:val="006A0B60"/>
    <w:rsid w:val="006A0D13"/>
    <w:rsid w:val="006A0E8E"/>
    <w:rsid w:val="006A106A"/>
    <w:rsid w:val="006A1374"/>
    <w:rsid w:val="006A3276"/>
    <w:rsid w:val="006A367C"/>
    <w:rsid w:val="006A3BAE"/>
    <w:rsid w:val="006A63F1"/>
    <w:rsid w:val="006A6E15"/>
    <w:rsid w:val="006A7C42"/>
    <w:rsid w:val="006B143F"/>
    <w:rsid w:val="006B43C7"/>
    <w:rsid w:val="006B4662"/>
    <w:rsid w:val="006B4784"/>
    <w:rsid w:val="006B5775"/>
    <w:rsid w:val="006B5CC3"/>
    <w:rsid w:val="006B5E57"/>
    <w:rsid w:val="006B626C"/>
    <w:rsid w:val="006B63B6"/>
    <w:rsid w:val="006C000D"/>
    <w:rsid w:val="006C0952"/>
    <w:rsid w:val="006C19AD"/>
    <w:rsid w:val="006C2656"/>
    <w:rsid w:val="006C46E6"/>
    <w:rsid w:val="006C4B36"/>
    <w:rsid w:val="006C5176"/>
    <w:rsid w:val="006C5C7F"/>
    <w:rsid w:val="006C74D6"/>
    <w:rsid w:val="006D0A8C"/>
    <w:rsid w:val="006D0C6C"/>
    <w:rsid w:val="006D1367"/>
    <w:rsid w:val="006D1371"/>
    <w:rsid w:val="006D17C4"/>
    <w:rsid w:val="006D1C59"/>
    <w:rsid w:val="006D2696"/>
    <w:rsid w:val="006D2783"/>
    <w:rsid w:val="006D2E53"/>
    <w:rsid w:val="006D36EF"/>
    <w:rsid w:val="006D4591"/>
    <w:rsid w:val="006D5B83"/>
    <w:rsid w:val="006D61F7"/>
    <w:rsid w:val="006D712E"/>
    <w:rsid w:val="006D7E0E"/>
    <w:rsid w:val="006E0B35"/>
    <w:rsid w:val="006E1B3C"/>
    <w:rsid w:val="006E1E65"/>
    <w:rsid w:val="006E42F0"/>
    <w:rsid w:val="006E4662"/>
    <w:rsid w:val="006E4DE1"/>
    <w:rsid w:val="006E5F07"/>
    <w:rsid w:val="006E72DF"/>
    <w:rsid w:val="006F061C"/>
    <w:rsid w:val="006F0CE7"/>
    <w:rsid w:val="006F0D7C"/>
    <w:rsid w:val="006F19C3"/>
    <w:rsid w:val="006F2BDA"/>
    <w:rsid w:val="006F51D1"/>
    <w:rsid w:val="006F5A04"/>
    <w:rsid w:val="006F6B9B"/>
    <w:rsid w:val="0070033D"/>
    <w:rsid w:val="00700AEE"/>
    <w:rsid w:val="007010E7"/>
    <w:rsid w:val="00701571"/>
    <w:rsid w:val="00702353"/>
    <w:rsid w:val="00702E56"/>
    <w:rsid w:val="007049CF"/>
    <w:rsid w:val="00704ECD"/>
    <w:rsid w:val="00706B88"/>
    <w:rsid w:val="00706D06"/>
    <w:rsid w:val="007118F1"/>
    <w:rsid w:val="007119C5"/>
    <w:rsid w:val="00714174"/>
    <w:rsid w:val="00715844"/>
    <w:rsid w:val="007158E0"/>
    <w:rsid w:val="00716F6D"/>
    <w:rsid w:val="0071793F"/>
    <w:rsid w:val="00720D67"/>
    <w:rsid w:val="00721898"/>
    <w:rsid w:val="00721F5C"/>
    <w:rsid w:val="00722F57"/>
    <w:rsid w:val="0072417F"/>
    <w:rsid w:val="007242C9"/>
    <w:rsid w:val="00725603"/>
    <w:rsid w:val="00725999"/>
    <w:rsid w:val="00725C2D"/>
    <w:rsid w:val="0072628F"/>
    <w:rsid w:val="00726880"/>
    <w:rsid w:val="00726DB6"/>
    <w:rsid w:val="00726DC9"/>
    <w:rsid w:val="007305B1"/>
    <w:rsid w:val="00730EA7"/>
    <w:rsid w:val="0073238A"/>
    <w:rsid w:val="0073285A"/>
    <w:rsid w:val="0073346A"/>
    <w:rsid w:val="0073389A"/>
    <w:rsid w:val="00733CFE"/>
    <w:rsid w:val="0073458A"/>
    <w:rsid w:val="0073542F"/>
    <w:rsid w:val="0073613B"/>
    <w:rsid w:val="00736F06"/>
    <w:rsid w:val="00737316"/>
    <w:rsid w:val="00740101"/>
    <w:rsid w:val="007404D7"/>
    <w:rsid w:val="00740F8D"/>
    <w:rsid w:val="007420D1"/>
    <w:rsid w:val="007422C2"/>
    <w:rsid w:val="0074243A"/>
    <w:rsid w:val="00744DCB"/>
    <w:rsid w:val="0074690C"/>
    <w:rsid w:val="00746BD0"/>
    <w:rsid w:val="00746F96"/>
    <w:rsid w:val="00747073"/>
    <w:rsid w:val="00747BA4"/>
    <w:rsid w:val="00747BFE"/>
    <w:rsid w:val="00750500"/>
    <w:rsid w:val="007517C6"/>
    <w:rsid w:val="00751D4D"/>
    <w:rsid w:val="00752093"/>
    <w:rsid w:val="00752DD7"/>
    <w:rsid w:val="00753C03"/>
    <w:rsid w:val="00754EAB"/>
    <w:rsid w:val="00754F5D"/>
    <w:rsid w:val="0075607B"/>
    <w:rsid w:val="0075677B"/>
    <w:rsid w:val="00756D77"/>
    <w:rsid w:val="00757578"/>
    <w:rsid w:val="00757D75"/>
    <w:rsid w:val="00757E2D"/>
    <w:rsid w:val="0076052A"/>
    <w:rsid w:val="00760B68"/>
    <w:rsid w:val="00761CF9"/>
    <w:rsid w:val="00761E5B"/>
    <w:rsid w:val="00761F74"/>
    <w:rsid w:val="00762A4B"/>
    <w:rsid w:val="007639D7"/>
    <w:rsid w:val="00763A1A"/>
    <w:rsid w:val="00763FA9"/>
    <w:rsid w:val="00764CF5"/>
    <w:rsid w:val="00765BD3"/>
    <w:rsid w:val="007661B6"/>
    <w:rsid w:val="007668A3"/>
    <w:rsid w:val="00767B3E"/>
    <w:rsid w:val="007706D7"/>
    <w:rsid w:val="007713E7"/>
    <w:rsid w:val="0077280B"/>
    <w:rsid w:val="00772B1B"/>
    <w:rsid w:val="00772E2D"/>
    <w:rsid w:val="00773402"/>
    <w:rsid w:val="007737CB"/>
    <w:rsid w:val="00773BBA"/>
    <w:rsid w:val="00774071"/>
    <w:rsid w:val="007740AE"/>
    <w:rsid w:val="007740ED"/>
    <w:rsid w:val="007745D6"/>
    <w:rsid w:val="00776D52"/>
    <w:rsid w:val="00781A60"/>
    <w:rsid w:val="00781AAD"/>
    <w:rsid w:val="00781B39"/>
    <w:rsid w:val="00781FA1"/>
    <w:rsid w:val="00782060"/>
    <w:rsid w:val="0078309E"/>
    <w:rsid w:val="0078330B"/>
    <w:rsid w:val="007846F7"/>
    <w:rsid w:val="00784823"/>
    <w:rsid w:val="00785AF1"/>
    <w:rsid w:val="00785B9B"/>
    <w:rsid w:val="00786354"/>
    <w:rsid w:val="007864B8"/>
    <w:rsid w:val="007864D1"/>
    <w:rsid w:val="0078650C"/>
    <w:rsid w:val="00786607"/>
    <w:rsid w:val="007876B9"/>
    <w:rsid w:val="00787CA8"/>
    <w:rsid w:val="00787E3F"/>
    <w:rsid w:val="0079002D"/>
    <w:rsid w:val="00790250"/>
    <w:rsid w:val="00790361"/>
    <w:rsid w:val="007929CF"/>
    <w:rsid w:val="007940A1"/>
    <w:rsid w:val="00794348"/>
    <w:rsid w:val="00796710"/>
    <w:rsid w:val="00797752"/>
    <w:rsid w:val="00797AD5"/>
    <w:rsid w:val="007A0532"/>
    <w:rsid w:val="007A0E79"/>
    <w:rsid w:val="007A110F"/>
    <w:rsid w:val="007A11E2"/>
    <w:rsid w:val="007A12B6"/>
    <w:rsid w:val="007A1632"/>
    <w:rsid w:val="007A1718"/>
    <w:rsid w:val="007A190E"/>
    <w:rsid w:val="007A1D5A"/>
    <w:rsid w:val="007A2A80"/>
    <w:rsid w:val="007A3162"/>
    <w:rsid w:val="007A358E"/>
    <w:rsid w:val="007A3C53"/>
    <w:rsid w:val="007A3C7C"/>
    <w:rsid w:val="007A4607"/>
    <w:rsid w:val="007A50A6"/>
    <w:rsid w:val="007A677D"/>
    <w:rsid w:val="007A683C"/>
    <w:rsid w:val="007A6D81"/>
    <w:rsid w:val="007A7262"/>
    <w:rsid w:val="007A753D"/>
    <w:rsid w:val="007A7CD1"/>
    <w:rsid w:val="007B277E"/>
    <w:rsid w:val="007B446C"/>
    <w:rsid w:val="007B56D7"/>
    <w:rsid w:val="007B5F80"/>
    <w:rsid w:val="007B6553"/>
    <w:rsid w:val="007B6725"/>
    <w:rsid w:val="007B6B2D"/>
    <w:rsid w:val="007B6C1A"/>
    <w:rsid w:val="007B75D2"/>
    <w:rsid w:val="007B7F0D"/>
    <w:rsid w:val="007C0994"/>
    <w:rsid w:val="007C0E9C"/>
    <w:rsid w:val="007C100B"/>
    <w:rsid w:val="007C1AAB"/>
    <w:rsid w:val="007C277C"/>
    <w:rsid w:val="007C2CD9"/>
    <w:rsid w:val="007C33C1"/>
    <w:rsid w:val="007C3D9D"/>
    <w:rsid w:val="007C3F5F"/>
    <w:rsid w:val="007D0536"/>
    <w:rsid w:val="007D1CEB"/>
    <w:rsid w:val="007D224B"/>
    <w:rsid w:val="007D36F7"/>
    <w:rsid w:val="007D379B"/>
    <w:rsid w:val="007D4F6D"/>
    <w:rsid w:val="007D6284"/>
    <w:rsid w:val="007D66A6"/>
    <w:rsid w:val="007D6D99"/>
    <w:rsid w:val="007D7D3E"/>
    <w:rsid w:val="007D7FAC"/>
    <w:rsid w:val="007E033F"/>
    <w:rsid w:val="007E1EB4"/>
    <w:rsid w:val="007E63CD"/>
    <w:rsid w:val="007E6FFD"/>
    <w:rsid w:val="007E73EB"/>
    <w:rsid w:val="007E75C3"/>
    <w:rsid w:val="007E79A7"/>
    <w:rsid w:val="007F09E8"/>
    <w:rsid w:val="007F0A48"/>
    <w:rsid w:val="007F0B1C"/>
    <w:rsid w:val="007F17AF"/>
    <w:rsid w:val="007F1E92"/>
    <w:rsid w:val="007F29B9"/>
    <w:rsid w:val="007F4080"/>
    <w:rsid w:val="007F5708"/>
    <w:rsid w:val="007F6258"/>
    <w:rsid w:val="007F74D7"/>
    <w:rsid w:val="007F7FF9"/>
    <w:rsid w:val="008001F9"/>
    <w:rsid w:val="00801319"/>
    <w:rsid w:val="00801AC0"/>
    <w:rsid w:val="00801E84"/>
    <w:rsid w:val="00803235"/>
    <w:rsid w:val="008033D4"/>
    <w:rsid w:val="00806535"/>
    <w:rsid w:val="0081009D"/>
    <w:rsid w:val="00810802"/>
    <w:rsid w:val="00810FDD"/>
    <w:rsid w:val="00811867"/>
    <w:rsid w:val="00812237"/>
    <w:rsid w:val="008141BD"/>
    <w:rsid w:val="00814D05"/>
    <w:rsid w:val="00814E8A"/>
    <w:rsid w:val="00815DAB"/>
    <w:rsid w:val="0081613F"/>
    <w:rsid w:val="0081657F"/>
    <w:rsid w:val="00817169"/>
    <w:rsid w:val="00817BB7"/>
    <w:rsid w:val="00820422"/>
    <w:rsid w:val="00821351"/>
    <w:rsid w:val="008231F5"/>
    <w:rsid w:val="00823B92"/>
    <w:rsid w:val="00823C97"/>
    <w:rsid w:val="00823F6F"/>
    <w:rsid w:val="008242BD"/>
    <w:rsid w:val="00824573"/>
    <w:rsid w:val="0082458A"/>
    <w:rsid w:val="0082478E"/>
    <w:rsid w:val="00824FEA"/>
    <w:rsid w:val="008264EB"/>
    <w:rsid w:val="008264EC"/>
    <w:rsid w:val="00827F73"/>
    <w:rsid w:val="0083092D"/>
    <w:rsid w:val="00830C31"/>
    <w:rsid w:val="00831C97"/>
    <w:rsid w:val="008325E0"/>
    <w:rsid w:val="008334C2"/>
    <w:rsid w:val="00833D63"/>
    <w:rsid w:val="00834B06"/>
    <w:rsid w:val="00835929"/>
    <w:rsid w:val="00835BA3"/>
    <w:rsid w:val="00835EC6"/>
    <w:rsid w:val="008360B0"/>
    <w:rsid w:val="00836632"/>
    <w:rsid w:val="00836E8C"/>
    <w:rsid w:val="00837456"/>
    <w:rsid w:val="00837604"/>
    <w:rsid w:val="00840076"/>
    <w:rsid w:val="008404DD"/>
    <w:rsid w:val="00840C13"/>
    <w:rsid w:val="008413B1"/>
    <w:rsid w:val="00841E18"/>
    <w:rsid w:val="00841EC6"/>
    <w:rsid w:val="008435BF"/>
    <w:rsid w:val="00843871"/>
    <w:rsid w:val="00844E8D"/>
    <w:rsid w:val="00844F37"/>
    <w:rsid w:val="00846772"/>
    <w:rsid w:val="008473D4"/>
    <w:rsid w:val="00851387"/>
    <w:rsid w:val="00851BAB"/>
    <w:rsid w:val="00854497"/>
    <w:rsid w:val="00854792"/>
    <w:rsid w:val="00854E08"/>
    <w:rsid w:val="00854E33"/>
    <w:rsid w:val="0085535F"/>
    <w:rsid w:val="00855665"/>
    <w:rsid w:val="00857DB8"/>
    <w:rsid w:val="00861D0D"/>
    <w:rsid w:val="00862DAC"/>
    <w:rsid w:val="00863159"/>
    <w:rsid w:val="008632C1"/>
    <w:rsid w:val="00863BB5"/>
    <w:rsid w:val="00864998"/>
    <w:rsid w:val="008649A5"/>
    <w:rsid w:val="008649C8"/>
    <w:rsid w:val="008663FB"/>
    <w:rsid w:val="00866C66"/>
    <w:rsid w:val="008673B0"/>
    <w:rsid w:val="0087097B"/>
    <w:rsid w:val="00872383"/>
    <w:rsid w:val="0087433C"/>
    <w:rsid w:val="00874851"/>
    <w:rsid w:val="00875A31"/>
    <w:rsid w:val="00876F29"/>
    <w:rsid w:val="0087795E"/>
    <w:rsid w:val="008800CA"/>
    <w:rsid w:val="00881337"/>
    <w:rsid w:val="0088144C"/>
    <w:rsid w:val="0088308E"/>
    <w:rsid w:val="0088377E"/>
    <w:rsid w:val="00883FD6"/>
    <w:rsid w:val="008864AD"/>
    <w:rsid w:val="008865E8"/>
    <w:rsid w:val="00886823"/>
    <w:rsid w:val="00886AE8"/>
    <w:rsid w:val="00887BCB"/>
    <w:rsid w:val="008902E5"/>
    <w:rsid w:val="00891359"/>
    <w:rsid w:val="008913A7"/>
    <w:rsid w:val="0089191E"/>
    <w:rsid w:val="008926D5"/>
    <w:rsid w:val="00892A97"/>
    <w:rsid w:val="00893D41"/>
    <w:rsid w:val="00894B65"/>
    <w:rsid w:val="00894CA6"/>
    <w:rsid w:val="00895438"/>
    <w:rsid w:val="00895EF0"/>
    <w:rsid w:val="00895F12"/>
    <w:rsid w:val="008971C5"/>
    <w:rsid w:val="0089769A"/>
    <w:rsid w:val="00897A46"/>
    <w:rsid w:val="008A0BDC"/>
    <w:rsid w:val="008A2774"/>
    <w:rsid w:val="008A2865"/>
    <w:rsid w:val="008A2DB3"/>
    <w:rsid w:val="008A333D"/>
    <w:rsid w:val="008A4E7C"/>
    <w:rsid w:val="008A5339"/>
    <w:rsid w:val="008A5C6C"/>
    <w:rsid w:val="008A65AD"/>
    <w:rsid w:val="008A6BD4"/>
    <w:rsid w:val="008A73CD"/>
    <w:rsid w:val="008A7C65"/>
    <w:rsid w:val="008B0820"/>
    <w:rsid w:val="008B1111"/>
    <w:rsid w:val="008B1745"/>
    <w:rsid w:val="008B1AF6"/>
    <w:rsid w:val="008B2593"/>
    <w:rsid w:val="008B3403"/>
    <w:rsid w:val="008B3494"/>
    <w:rsid w:val="008B4121"/>
    <w:rsid w:val="008B4524"/>
    <w:rsid w:val="008B4C55"/>
    <w:rsid w:val="008B510C"/>
    <w:rsid w:val="008B5889"/>
    <w:rsid w:val="008B6AD2"/>
    <w:rsid w:val="008B7FD4"/>
    <w:rsid w:val="008C09AD"/>
    <w:rsid w:val="008C1312"/>
    <w:rsid w:val="008C1A8C"/>
    <w:rsid w:val="008C1C13"/>
    <w:rsid w:val="008C1F04"/>
    <w:rsid w:val="008C210F"/>
    <w:rsid w:val="008C21A2"/>
    <w:rsid w:val="008C4ED7"/>
    <w:rsid w:val="008C4F13"/>
    <w:rsid w:val="008C54CC"/>
    <w:rsid w:val="008C58B0"/>
    <w:rsid w:val="008C5AE2"/>
    <w:rsid w:val="008C5B7E"/>
    <w:rsid w:val="008C5D4D"/>
    <w:rsid w:val="008C6B01"/>
    <w:rsid w:val="008C6CAD"/>
    <w:rsid w:val="008D088B"/>
    <w:rsid w:val="008D1095"/>
    <w:rsid w:val="008D24C6"/>
    <w:rsid w:val="008D3C92"/>
    <w:rsid w:val="008D5331"/>
    <w:rsid w:val="008E1CCC"/>
    <w:rsid w:val="008E2C26"/>
    <w:rsid w:val="008E3BB4"/>
    <w:rsid w:val="008E3C85"/>
    <w:rsid w:val="008E3CD9"/>
    <w:rsid w:val="008E4823"/>
    <w:rsid w:val="008E5C60"/>
    <w:rsid w:val="008E6AE5"/>
    <w:rsid w:val="008E6AF4"/>
    <w:rsid w:val="008F02EB"/>
    <w:rsid w:val="008F0315"/>
    <w:rsid w:val="008F06EE"/>
    <w:rsid w:val="008F0B39"/>
    <w:rsid w:val="008F0B8D"/>
    <w:rsid w:val="008F1252"/>
    <w:rsid w:val="008F2C50"/>
    <w:rsid w:val="008F38B8"/>
    <w:rsid w:val="008F52B8"/>
    <w:rsid w:val="008F5531"/>
    <w:rsid w:val="008F581F"/>
    <w:rsid w:val="008F5E69"/>
    <w:rsid w:val="008F61EF"/>
    <w:rsid w:val="008F6B45"/>
    <w:rsid w:val="008F725D"/>
    <w:rsid w:val="008F742E"/>
    <w:rsid w:val="0090049E"/>
    <w:rsid w:val="00900510"/>
    <w:rsid w:val="009007F5"/>
    <w:rsid w:val="00900BC9"/>
    <w:rsid w:val="00903284"/>
    <w:rsid w:val="009034F2"/>
    <w:rsid w:val="00903932"/>
    <w:rsid w:val="00904920"/>
    <w:rsid w:val="00904D72"/>
    <w:rsid w:val="00905FB6"/>
    <w:rsid w:val="00910ACD"/>
    <w:rsid w:val="009123BE"/>
    <w:rsid w:val="0091327E"/>
    <w:rsid w:val="00914F71"/>
    <w:rsid w:val="0091527C"/>
    <w:rsid w:val="00915855"/>
    <w:rsid w:val="00915A69"/>
    <w:rsid w:val="00915FFC"/>
    <w:rsid w:val="00916071"/>
    <w:rsid w:val="0091677E"/>
    <w:rsid w:val="00916D57"/>
    <w:rsid w:val="00917427"/>
    <w:rsid w:val="00917B15"/>
    <w:rsid w:val="0092137F"/>
    <w:rsid w:val="009216A0"/>
    <w:rsid w:val="00923F12"/>
    <w:rsid w:val="00924FE6"/>
    <w:rsid w:val="0093082A"/>
    <w:rsid w:val="00930A1D"/>
    <w:rsid w:val="00931EBA"/>
    <w:rsid w:val="0093215B"/>
    <w:rsid w:val="00932D76"/>
    <w:rsid w:val="00933283"/>
    <w:rsid w:val="0093389C"/>
    <w:rsid w:val="00933A54"/>
    <w:rsid w:val="00933E20"/>
    <w:rsid w:val="0093404B"/>
    <w:rsid w:val="009341C9"/>
    <w:rsid w:val="0093450B"/>
    <w:rsid w:val="00935284"/>
    <w:rsid w:val="00935611"/>
    <w:rsid w:val="00936B69"/>
    <w:rsid w:val="00940D4B"/>
    <w:rsid w:val="0094134D"/>
    <w:rsid w:val="009418DF"/>
    <w:rsid w:val="009421DE"/>
    <w:rsid w:val="00943927"/>
    <w:rsid w:val="00943A76"/>
    <w:rsid w:val="00943C42"/>
    <w:rsid w:val="00944755"/>
    <w:rsid w:val="009457C1"/>
    <w:rsid w:val="00945983"/>
    <w:rsid w:val="00945BF0"/>
    <w:rsid w:val="00945E48"/>
    <w:rsid w:val="00945F64"/>
    <w:rsid w:val="00945F9C"/>
    <w:rsid w:val="00946AD8"/>
    <w:rsid w:val="00947DB4"/>
    <w:rsid w:val="00947DDE"/>
    <w:rsid w:val="00947DFE"/>
    <w:rsid w:val="00947E4D"/>
    <w:rsid w:val="009515DC"/>
    <w:rsid w:val="00951E6F"/>
    <w:rsid w:val="0095271E"/>
    <w:rsid w:val="00952A37"/>
    <w:rsid w:val="0095379F"/>
    <w:rsid w:val="00954C80"/>
    <w:rsid w:val="00954F51"/>
    <w:rsid w:val="00955427"/>
    <w:rsid w:val="009557D1"/>
    <w:rsid w:val="00955D29"/>
    <w:rsid w:val="009574F0"/>
    <w:rsid w:val="00960B15"/>
    <w:rsid w:val="00961986"/>
    <w:rsid w:val="00962E21"/>
    <w:rsid w:val="00963111"/>
    <w:rsid w:val="00963828"/>
    <w:rsid w:val="00964051"/>
    <w:rsid w:val="00964C10"/>
    <w:rsid w:val="00964CDD"/>
    <w:rsid w:val="00965426"/>
    <w:rsid w:val="00965683"/>
    <w:rsid w:val="0096673F"/>
    <w:rsid w:val="00966761"/>
    <w:rsid w:val="00966FFC"/>
    <w:rsid w:val="009671C0"/>
    <w:rsid w:val="009709B4"/>
    <w:rsid w:val="00970BDB"/>
    <w:rsid w:val="00970E2F"/>
    <w:rsid w:val="0097221D"/>
    <w:rsid w:val="00974CBA"/>
    <w:rsid w:val="00974DF9"/>
    <w:rsid w:val="00974F71"/>
    <w:rsid w:val="00976D4E"/>
    <w:rsid w:val="00976F44"/>
    <w:rsid w:val="009804F5"/>
    <w:rsid w:val="00980B80"/>
    <w:rsid w:val="009859C1"/>
    <w:rsid w:val="00985BC1"/>
    <w:rsid w:val="00987152"/>
    <w:rsid w:val="00987384"/>
    <w:rsid w:val="0098744B"/>
    <w:rsid w:val="00990527"/>
    <w:rsid w:val="009907AC"/>
    <w:rsid w:val="0099083D"/>
    <w:rsid w:val="00990B70"/>
    <w:rsid w:val="00991C54"/>
    <w:rsid w:val="00991F68"/>
    <w:rsid w:val="009948A6"/>
    <w:rsid w:val="00994DFD"/>
    <w:rsid w:val="009A0F41"/>
    <w:rsid w:val="009A24CF"/>
    <w:rsid w:val="009A2606"/>
    <w:rsid w:val="009A3158"/>
    <w:rsid w:val="009A4D7A"/>
    <w:rsid w:val="009A56EA"/>
    <w:rsid w:val="009A63F6"/>
    <w:rsid w:val="009A68D0"/>
    <w:rsid w:val="009A7B0C"/>
    <w:rsid w:val="009A7CDD"/>
    <w:rsid w:val="009A7FDA"/>
    <w:rsid w:val="009B0184"/>
    <w:rsid w:val="009B068A"/>
    <w:rsid w:val="009B0D96"/>
    <w:rsid w:val="009B102C"/>
    <w:rsid w:val="009B2203"/>
    <w:rsid w:val="009B3C6C"/>
    <w:rsid w:val="009B406E"/>
    <w:rsid w:val="009B4DB3"/>
    <w:rsid w:val="009B5107"/>
    <w:rsid w:val="009B5647"/>
    <w:rsid w:val="009B6CD0"/>
    <w:rsid w:val="009B6DA9"/>
    <w:rsid w:val="009B7224"/>
    <w:rsid w:val="009C0BD7"/>
    <w:rsid w:val="009C0F3D"/>
    <w:rsid w:val="009C0FD6"/>
    <w:rsid w:val="009C1337"/>
    <w:rsid w:val="009C1EA8"/>
    <w:rsid w:val="009C221C"/>
    <w:rsid w:val="009C2775"/>
    <w:rsid w:val="009C385C"/>
    <w:rsid w:val="009C440D"/>
    <w:rsid w:val="009C4724"/>
    <w:rsid w:val="009C4D12"/>
    <w:rsid w:val="009C6774"/>
    <w:rsid w:val="009C73CD"/>
    <w:rsid w:val="009D3177"/>
    <w:rsid w:val="009D3312"/>
    <w:rsid w:val="009D4B03"/>
    <w:rsid w:val="009D5440"/>
    <w:rsid w:val="009D5C79"/>
    <w:rsid w:val="009D65CA"/>
    <w:rsid w:val="009D72BB"/>
    <w:rsid w:val="009D78A4"/>
    <w:rsid w:val="009E02F6"/>
    <w:rsid w:val="009E0596"/>
    <w:rsid w:val="009E17E7"/>
    <w:rsid w:val="009E243C"/>
    <w:rsid w:val="009E2B8C"/>
    <w:rsid w:val="009E56FD"/>
    <w:rsid w:val="009E616C"/>
    <w:rsid w:val="009E6445"/>
    <w:rsid w:val="009E796C"/>
    <w:rsid w:val="009F008E"/>
    <w:rsid w:val="009F0250"/>
    <w:rsid w:val="009F02D2"/>
    <w:rsid w:val="009F040E"/>
    <w:rsid w:val="009F04C2"/>
    <w:rsid w:val="009F090B"/>
    <w:rsid w:val="009F10E0"/>
    <w:rsid w:val="009F12BF"/>
    <w:rsid w:val="009F157C"/>
    <w:rsid w:val="009F2159"/>
    <w:rsid w:val="009F28C8"/>
    <w:rsid w:val="009F2AE3"/>
    <w:rsid w:val="009F34A5"/>
    <w:rsid w:val="009F48A7"/>
    <w:rsid w:val="009F4CDF"/>
    <w:rsid w:val="009F53B4"/>
    <w:rsid w:val="009F54B1"/>
    <w:rsid w:val="00A00572"/>
    <w:rsid w:val="00A005F8"/>
    <w:rsid w:val="00A006BB"/>
    <w:rsid w:val="00A0167B"/>
    <w:rsid w:val="00A018FF"/>
    <w:rsid w:val="00A02664"/>
    <w:rsid w:val="00A033FB"/>
    <w:rsid w:val="00A03B21"/>
    <w:rsid w:val="00A03C2D"/>
    <w:rsid w:val="00A043FE"/>
    <w:rsid w:val="00A04863"/>
    <w:rsid w:val="00A04AB5"/>
    <w:rsid w:val="00A04F19"/>
    <w:rsid w:val="00A057B4"/>
    <w:rsid w:val="00A059C8"/>
    <w:rsid w:val="00A05A53"/>
    <w:rsid w:val="00A06DEE"/>
    <w:rsid w:val="00A07639"/>
    <w:rsid w:val="00A077B0"/>
    <w:rsid w:val="00A07C77"/>
    <w:rsid w:val="00A07EAF"/>
    <w:rsid w:val="00A1018A"/>
    <w:rsid w:val="00A104F7"/>
    <w:rsid w:val="00A10C8E"/>
    <w:rsid w:val="00A11EBC"/>
    <w:rsid w:val="00A121E7"/>
    <w:rsid w:val="00A13CDF"/>
    <w:rsid w:val="00A14295"/>
    <w:rsid w:val="00A1440E"/>
    <w:rsid w:val="00A144F9"/>
    <w:rsid w:val="00A15274"/>
    <w:rsid w:val="00A15A52"/>
    <w:rsid w:val="00A15C02"/>
    <w:rsid w:val="00A16398"/>
    <w:rsid w:val="00A169B1"/>
    <w:rsid w:val="00A16AF7"/>
    <w:rsid w:val="00A16ED2"/>
    <w:rsid w:val="00A1775D"/>
    <w:rsid w:val="00A17A7C"/>
    <w:rsid w:val="00A20DA5"/>
    <w:rsid w:val="00A21318"/>
    <w:rsid w:val="00A229A7"/>
    <w:rsid w:val="00A2443B"/>
    <w:rsid w:val="00A24C64"/>
    <w:rsid w:val="00A25D98"/>
    <w:rsid w:val="00A26185"/>
    <w:rsid w:val="00A2631D"/>
    <w:rsid w:val="00A264F1"/>
    <w:rsid w:val="00A26740"/>
    <w:rsid w:val="00A2678C"/>
    <w:rsid w:val="00A27FDB"/>
    <w:rsid w:val="00A30BCA"/>
    <w:rsid w:val="00A3205A"/>
    <w:rsid w:val="00A3303F"/>
    <w:rsid w:val="00A334F2"/>
    <w:rsid w:val="00A33F05"/>
    <w:rsid w:val="00A341CE"/>
    <w:rsid w:val="00A34708"/>
    <w:rsid w:val="00A35061"/>
    <w:rsid w:val="00A352E1"/>
    <w:rsid w:val="00A35A43"/>
    <w:rsid w:val="00A35D4D"/>
    <w:rsid w:val="00A36894"/>
    <w:rsid w:val="00A36FC2"/>
    <w:rsid w:val="00A4133C"/>
    <w:rsid w:val="00A4254B"/>
    <w:rsid w:val="00A44208"/>
    <w:rsid w:val="00A4422A"/>
    <w:rsid w:val="00A4512D"/>
    <w:rsid w:val="00A460BC"/>
    <w:rsid w:val="00A46226"/>
    <w:rsid w:val="00A4701E"/>
    <w:rsid w:val="00A473B9"/>
    <w:rsid w:val="00A47406"/>
    <w:rsid w:val="00A50C75"/>
    <w:rsid w:val="00A512E6"/>
    <w:rsid w:val="00A51686"/>
    <w:rsid w:val="00A52DA7"/>
    <w:rsid w:val="00A535F3"/>
    <w:rsid w:val="00A53E42"/>
    <w:rsid w:val="00A53F10"/>
    <w:rsid w:val="00A540FF"/>
    <w:rsid w:val="00A54E0C"/>
    <w:rsid w:val="00A56176"/>
    <w:rsid w:val="00A5621C"/>
    <w:rsid w:val="00A569B8"/>
    <w:rsid w:val="00A57410"/>
    <w:rsid w:val="00A60B92"/>
    <w:rsid w:val="00A61368"/>
    <w:rsid w:val="00A626AA"/>
    <w:rsid w:val="00A62804"/>
    <w:rsid w:val="00A6280D"/>
    <w:rsid w:val="00A6326C"/>
    <w:rsid w:val="00A633FA"/>
    <w:rsid w:val="00A63AD2"/>
    <w:rsid w:val="00A63EC0"/>
    <w:rsid w:val="00A64750"/>
    <w:rsid w:val="00A6476E"/>
    <w:rsid w:val="00A657EE"/>
    <w:rsid w:val="00A67783"/>
    <w:rsid w:val="00A6790A"/>
    <w:rsid w:val="00A705AF"/>
    <w:rsid w:val="00A71213"/>
    <w:rsid w:val="00A7387A"/>
    <w:rsid w:val="00A74024"/>
    <w:rsid w:val="00A74AAA"/>
    <w:rsid w:val="00A755E1"/>
    <w:rsid w:val="00A760A2"/>
    <w:rsid w:val="00A76A9E"/>
    <w:rsid w:val="00A77629"/>
    <w:rsid w:val="00A8039D"/>
    <w:rsid w:val="00A8089F"/>
    <w:rsid w:val="00A809CB"/>
    <w:rsid w:val="00A81B1E"/>
    <w:rsid w:val="00A8262D"/>
    <w:rsid w:val="00A82D24"/>
    <w:rsid w:val="00A841C9"/>
    <w:rsid w:val="00A87E91"/>
    <w:rsid w:val="00A90A9D"/>
    <w:rsid w:val="00A90B23"/>
    <w:rsid w:val="00A9135B"/>
    <w:rsid w:val="00A929B7"/>
    <w:rsid w:val="00A92C70"/>
    <w:rsid w:val="00A9539B"/>
    <w:rsid w:val="00A95695"/>
    <w:rsid w:val="00A95E5E"/>
    <w:rsid w:val="00A963DA"/>
    <w:rsid w:val="00A96672"/>
    <w:rsid w:val="00A97F06"/>
    <w:rsid w:val="00AA07D7"/>
    <w:rsid w:val="00AA12A2"/>
    <w:rsid w:val="00AA1B8D"/>
    <w:rsid w:val="00AA23B3"/>
    <w:rsid w:val="00AA271D"/>
    <w:rsid w:val="00AA449E"/>
    <w:rsid w:val="00AA45F4"/>
    <w:rsid w:val="00AA52FF"/>
    <w:rsid w:val="00AA5855"/>
    <w:rsid w:val="00AA6012"/>
    <w:rsid w:val="00AA68CA"/>
    <w:rsid w:val="00AA78D3"/>
    <w:rsid w:val="00AA7AAB"/>
    <w:rsid w:val="00AB0212"/>
    <w:rsid w:val="00AB0292"/>
    <w:rsid w:val="00AB094E"/>
    <w:rsid w:val="00AB18E0"/>
    <w:rsid w:val="00AB278C"/>
    <w:rsid w:val="00AB2E8D"/>
    <w:rsid w:val="00AB46A9"/>
    <w:rsid w:val="00AB4958"/>
    <w:rsid w:val="00AC08B2"/>
    <w:rsid w:val="00AC0CED"/>
    <w:rsid w:val="00AC15AF"/>
    <w:rsid w:val="00AC224D"/>
    <w:rsid w:val="00AC3372"/>
    <w:rsid w:val="00AC35BF"/>
    <w:rsid w:val="00AC3687"/>
    <w:rsid w:val="00AC3A3D"/>
    <w:rsid w:val="00AC3C88"/>
    <w:rsid w:val="00AC3F0F"/>
    <w:rsid w:val="00AC4127"/>
    <w:rsid w:val="00AC4B43"/>
    <w:rsid w:val="00AC747C"/>
    <w:rsid w:val="00AD08B2"/>
    <w:rsid w:val="00AD182D"/>
    <w:rsid w:val="00AD1968"/>
    <w:rsid w:val="00AD361D"/>
    <w:rsid w:val="00AD4A38"/>
    <w:rsid w:val="00AD4D28"/>
    <w:rsid w:val="00AD5178"/>
    <w:rsid w:val="00AD52AD"/>
    <w:rsid w:val="00AD5D0E"/>
    <w:rsid w:val="00AD6553"/>
    <w:rsid w:val="00AD68B0"/>
    <w:rsid w:val="00AD7C5E"/>
    <w:rsid w:val="00AE0BF4"/>
    <w:rsid w:val="00AE1957"/>
    <w:rsid w:val="00AE24FE"/>
    <w:rsid w:val="00AE25E7"/>
    <w:rsid w:val="00AE3941"/>
    <w:rsid w:val="00AE3DB7"/>
    <w:rsid w:val="00AE45B1"/>
    <w:rsid w:val="00AE585C"/>
    <w:rsid w:val="00AE5D9E"/>
    <w:rsid w:val="00AE5E49"/>
    <w:rsid w:val="00AE64B7"/>
    <w:rsid w:val="00AE6688"/>
    <w:rsid w:val="00AE76E2"/>
    <w:rsid w:val="00AF0FF9"/>
    <w:rsid w:val="00AF14F7"/>
    <w:rsid w:val="00AF156E"/>
    <w:rsid w:val="00AF1743"/>
    <w:rsid w:val="00AF2722"/>
    <w:rsid w:val="00AF2782"/>
    <w:rsid w:val="00AF2A67"/>
    <w:rsid w:val="00AF2A74"/>
    <w:rsid w:val="00AF2EDD"/>
    <w:rsid w:val="00AF322F"/>
    <w:rsid w:val="00AF40D4"/>
    <w:rsid w:val="00AF4BCE"/>
    <w:rsid w:val="00AF5A1A"/>
    <w:rsid w:val="00AF7186"/>
    <w:rsid w:val="00AF7A7C"/>
    <w:rsid w:val="00B018E5"/>
    <w:rsid w:val="00B02A33"/>
    <w:rsid w:val="00B02F15"/>
    <w:rsid w:val="00B04679"/>
    <w:rsid w:val="00B04E68"/>
    <w:rsid w:val="00B064F1"/>
    <w:rsid w:val="00B079D9"/>
    <w:rsid w:val="00B07A92"/>
    <w:rsid w:val="00B07D60"/>
    <w:rsid w:val="00B105A1"/>
    <w:rsid w:val="00B10BE9"/>
    <w:rsid w:val="00B12493"/>
    <w:rsid w:val="00B1553D"/>
    <w:rsid w:val="00B15A20"/>
    <w:rsid w:val="00B15C37"/>
    <w:rsid w:val="00B15C63"/>
    <w:rsid w:val="00B1620D"/>
    <w:rsid w:val="00B210AA"/>
    <w:rsid w:val="00B2121C"/>
    <w:rsid w:val="00B21367"/>
    <w:rsid w:val="00B21526"/>
    <w:rsid w:val="00B21B38"/>
    <w:rsid w:val="00B22E05"/>
    <w:rsid w:val="00B232C7"/>
    <w:rsid w:val="00B23D01"/>
    <w:rsid w:val="00B23D14"/>
    <w:rsid w:val="00B240BD"/>
    <w:rsid w:val="00B252A7"/>
    <w:rsid w:val="00B263FA"/>
    <w:rsid w:val="00B26855"/>
    <w:rsid w:val="00B3000F"/>
    <w:rsid w:val="00B306B0"/>
    <w:rsid w:val="00B30911"/>
    <w:rsid w:val="00B30B67"/>
    <w:rsid w:val="00B30D0F"/>
    <w:rsid w:val="00B34178"/>
    <w:rsid w:val="00B34C08"/>
    <w:rsid w:val="00B35395"/>
    <w:rsid w:val="00B35CBD"/>
    <w:rsid w:val="00B37636"/>
    <w:rsid w:val="00B37738"/>
    <w:rsid w:val="00B406BB"/>
    <w:rsid w:val="00B41924"/>
    <w:rsid w:val="00B42851"/>
    <w:rsid w:val="00B434A3"/>
    <w:rsid w:val="00B435DC"/>
    <w:rsid w:val="00B43783"/>
    <w:rsid w:val="00B43900"/>
    <w:rsid w:val="00B44BA8"/>
    <w:rsid w:val="00B458DA"/>
    <w:rsid w:val="00B45B2B"/>
    <w:rsid w:val="00B46EA4"/>
    <w:rsid w:val="00B46F13"/>
    <w:rsid w:val="00B47416"/>
    <w:rsid w:val="00B4761C"/>
    <w:rsid w:val="00B47A97"/>
    <w:rsid w:val="00B47DD5"/>
    <w:rsid w:val="00B47E72"/>
    <w:rsid w:val="00B5126B"/>
    <w:rsid w:val="00B51F25"/>
    <w:rsid w:val="00B51F70"/>
    <w:rsid w:val="00B52CE6"/>
    <w:rsid w:val="00B52FEA"/>
    <w:rsid w:val="00B532A4"/>
    <w:rsid w:val="00B542B5"/>
    <w:rsid w:val="00B546EB"/>
    <w:rsid w:val="00B54FA0"/>
    <w:rsid w:val="00B563D9"/>
    <w:rsid w:val="00B57772"/>
    <w:rsid w:val="00B57CB8"/>
    <w:rsid w:val="00B57CFA"/>
    <w:rsid w:val="00B61AC7"/>
    <w:rsid w:val="00B62064"/>
    <w:rsid w:val="00B63373"/>
    <w:rsid w:val="00B63D25"/>
    <w:rsid w:val="00B64730"/>
    <w:rsid w:val="00B652A9"/>
    <w:rsid w:val="00B65CF3"/>
    <w:rsid w:val="00B6612D"/>
    <w:rsid w:val="00B6624C"/>
    <w:rsid w:val="00B66374"/>
    <w:rsid w:val="00B66A41"/>
    <w:rsid w:val="00B66ACC"/>
    <w:rsid w:val="00B66D38"/>
    <w:rsid w:val="00B66F6F"/>
    <w:rsid w:val="00B6779B"/>
    <w:rsid w:val="00B70564"/>
    <w:rsid w:val="00B72495"/>
    <w:rsid w:val="00B73033"/>
    <w:rsid w:val="00B7305B"/>
    <w:rsid w:val="00B73678"/>
    <w:rsid w:val="00B742DA"/>
    <w:rsid w:val="00B75A48"/>
    <w:rsid w:val="00B75D80"/>
    <w:rsid w:val="00B7607E"/>
    <w:rsid w:val="00B80650"/>
    <w:rsid w:val="00B826CA"/>
    <w:rsid w:val="00B835CD"/>
    <w:rsid w:val="00B83633"/>
    <w:rsid w:val="00B8542A"/>
    <w:rsid w:val="00B858D6"/>
    <w:rsid w:val="00B86264"/>
    <w:rsid w:val="00B86D5E"/>
    <w:rsid w:val="00B872E9"/>
    <w:rsid w:val="00B87588"/>
    <w:rsid w:val="00B87E10"/>
    <w:rsid w:val="00B903B7"/>
    <w:rsid w:val="00B90E14"/>
    <w:rsid w:val="00B90EE0"/>
    <w:rsid w:val="00B9107D"/>
    <w:rsid w:val="00B912FF"/>
    <w:rsid w:val="00B91B18"/>
    <w:rsid w:val="00B925DA"/>
    <w:rsid w:val="00B92742"/>
    <w:rsid w:val="00B9334C"/>
    <w:rsid w:val="00B9356C"/>
    <w:rsid w:val="00B940DA"/>
    <w:rsid w:val="00B94C62"/>
    <w:rsid w:val="00B96089"/>
    <w:rsid w:val="00BA0C6D"/>
    <w:rsid w:val="00BA19DE"/>
    <w:rsid w:val="00BA1C58"/>
    <w:rsid w:val="00BA1F72"/>
    <w:rsid w:val="00BA2411"/>
    <w:rsid w:val="00BA2FFF"/>
    <w:rsid w:val="00BA3423"/>
    <w:rsid w:val="00BA34EB"/>
    <w:rsid w:val="00BA3D0D"/>
    <w:rsid w:val="00BA3D7C"/>
    <w:rsid w:val="00BA4104"/>
    <w:rsid w:val="00BA450C"/>
    <w:rsid w:val="00BA4E01"/>
    <w:rsid w:val="00BA4EE8"/>
    <w:rsid w:val="00BA510F"/>
    <w:rsid w:val="00BA55D7"/>
    <w:rsid w:val="00BA5B86"/>
    <w:rsid w:val="00BA628B"/>
    <w:rsid w:val="00BA6789"/>
    <w:rsid w:val="00BA6903"/>
    <w:rsid w:val="00BA737C"/>
    <w:rsid w:val="00BB0128"/>
    <w:rsid w:val="00BB11F0"/>
    <w:rsid w:val="00BB12B8"/>
    <w:rsid w:val="00BB18FD"/>
    <w:rsid w:val="00BB290E"/>
    <w:rsid w:val="00BB2B06"/>
    <w:rsid w:val="00BB2D3C"/>
    <w:rsid w:val="00BB2E9A"/>
    <w:rsid w:val="00BB2F08"/>
    <w:rsid w:val="00BB34B7"/>
    <w:rsid w:val="00BB34EF"/>
    <w:rsid w:val="00BB4023"/>
    <w:rsid w:val="00BB4801"/>
    <w:rsid w:val="00BB4863"/>
    <w:rsid w:val="00BB5714"/>
    <w:rsid w:val="00BB6121"/>
    <w:rsid w:val="00BB63B1"/>
    <w:rsid w:val="00BB64ED"/>
    <w:rsid w:val="00BB7259"/>
    <w:rsid w:val="00BC000A"/>
    <w:rsid w:val="00BC176E"/>
    <w:rsid w:val="00BC1773"/>
    <w:rsid w:val="00BC1FDC"/>
    <w:rsid w:val="00BC2EEA"/>
    <w:rsid w:val="00BD0F13"/>
    <w:rsid w:val="00BD1369"/>
    <w:rsid w:val="00BD3657"/>
    <w:rsid w:val="00BD5614"/>
    <w:rsid w:val="00BD755A"/>
    <w:rsid w:val="00BD7679"/>
    <w:rsid w:val="00BE0931"/>
    <w:rsid w:val="00BE18A9"/>
    <w:rsid w:val="00BE1979"/>
    <w:rsid w:val="00BE22AB"/>
    <w:rsid w:val="00BE24A6"/>
    <w:rsid w:val="00BE317E"/>
    <w:rsid w:val="00BE3420"/>
    <w:rsid w:val="00BE4088"/>
    <w:rsid w:val="00BE6B71"/>
    <w:rsid w:val="00BE6C1F"/>
    <w:rsid w:val="00BE6C7C"/>
    <w:rsid w:val="00BE754C"/>
    <w:rsid w:val="00BE785C"/>
    <w:rsid w:val="00BE7BD8"/>
    <w:rsid w:val="00BF02D2"/>
    <w:rsid w:val="00BF0771"/>
    <w:rsid w:val="00BF3DF4"/>
    <w:rsid w:val="00BF439C"/>
    <w:rsid w:val="00BF4404"/>
    <w:rsid w:val="00BF4CD9"/>
    <w:rsid w:val="00BF535B"/>
    <w:rsid w:val="00BF63EA"/>
    <w:rsid w:val="00BF6E7C"/>
    <w:rsid w:val="00C00AD5"/>
    <w:rsid w:val="00C01247"/>
    <w:rsid w:val="00C01969"/>
    <w:rsid w:val="00C037A7"/>
    <w:rsid w:val="00C0534F"/>
    <w:rsid w:val="00C05CD4"/>
    <w:rsid w:val="00C06635"/>
    <w:rsid w:val="00C06A0E"/>
    <w:rsid w:val="00C06DCA"/>
    <w:rsid w:val="00C0739F"/>
    <w:rsid w:val="00C10D59"/>
    <w:rsid w:val="00C11133"/>
    <w:rsid w:val="00C11735"/>
    <w:rsid w:val="00C11B81"/>
    <w:rsid w:val="00C12744"/>
    <w:rsid w:val="00C1411C"/>
    <w:rsid w:val="00C156DC"/>
    <w:rsid w:val="00C15868"/>
    <w:rsid w:val="00C16715"/>
    <w:rsid w:val="00C17ACE"/>
    <w:rsid w:val="00C17D45"/>
    <w:rsid w:val="00C2014B"/>
    <w:rsid w:val="00C20158"/>
    <w:rsid w:val="00C202E3"/>
    <w:rsid w:val="00C20712"/>
    <w:rsid w:val="00C213AA"/>
    <w:rsid w:val="00C2174E"/>
    <w:rsid w:val="00C21A3B"/>
    <w:rsid w:val="00C24873"/>
    <w:rsid w:val="00C24978"/>
    <w:rsid w:val="00C252C1"/>
    <w:rsid w:val="00C2695F"/>
    <w:rsid w:val="00C270B6"/>
    <w:rsid w:val="00C27483"/>
    <w:rsid w:val="00C278B1"/>
    <w:rsid w:val="00C30766"/>
    <w:rsid w:val="00C31E8B"/>
    <w:rsid w:val="00C32D37"/>
    <w:rsid w:val="00C34421"/>
    <w:rsid w:val="00C3449F"/>
    <w:rsid w:val="00C34A99"/>
    <w:rsid w:val="00C34BC5"/>
    <w:rsid w:val="00C34EF6"/>
    <w:rsid w:val="00C3581E"/>
    <w:rsid w:val="00C36239"/>
    <w:rsid w:val="00C37364"/>
    <w:rsid w:val="00C374A7"/>
    <w:rsid w:val="00C37510"/>
    <w:rsid w:val="00C402F9"/>
    <w:rsid w:val="00C4133F"/>
    <w:rsid w:val="00C4437B"/>
    <w:rsid w:val="00C45292"/>
    <w:rsid w:val="00C45A70"/>
    <w:rsid w:val="00C4605E"/>
    <w:rsid w:val="00C47F09"/>
    <w:rsid w:val="00C50722"/>
    <w:rsid w:val="00C5193F"/>
    <w:rsid w:val="00C51DF6"/>
    <w:rsid w:val="00C525B4"/>
    <w:rsid w:val="00C529C9"/>
    <w:rsid w:val="00C52ED3"/>
    <w:rsid w:val="00C5339F"/>
    <w:rsid w:val="00C53568"/>
    <w:rsid w:val="00C5388C"/>
    <w:rsid w:val="00C53B58"/>
    <w:rsid w:val="00C53F6E"/>
    <w:rsid w:val="00C54433"/>
    <w:rsid w:val="00C54BE9"/>
    <w:rsid w:val="00C54EEE"/>
    <w:rsid w:val="00C54F5D"/>
    <w:rsid w:val="00C57C4E"/>
    <w:rsid w:val="00C60060"/>
    <w:rsid w:val="00C61025"/>
    <w:rsid w:val="00C61629"/>
    <w:rsid w:val="00C62DE8"/>
    <w:rsid w:val="00C65998"/>
    <w:rsid w:val="00C66484"/>
    <w:rsid w:val="00C70167"/>
    <w:rsid w:val="00C7063C"/>
    <w:rsid w:val="00C70E3C"/>
    <w:rsid w:val="00C710DF"/>
    <w:rsid w:val="00C7114E"/>
    <w:rsid w:val="00C71808"/>
    <w:rsid w:val="00C72AAF"/>
    <w:rsid w:val="00C72AFD"/>
    <w:rsid w:val="00C72C2A"/>
    <w:rsid w:val="00C73B01"/>
    <w:rsid w:val="00C74BFA"/>
    <w:rsid w:val="00C754DE"/>
    <w:rsid w:val="00C75E64"/>
    <w:rsid w:val="00C7674F"/>
    <w:rsid w:val="00C768F5"/>
    <w:rsid w:val="00C76A0E"/>
    <w:rsid w:val="00C7721B"/>
    <w:rsid w:val="00C77413"/>
    <w:rsid w:val="00C77FAF"/>
    <w:rsid w:val="00C805C2"/>
    <w:rsid w:val="00C807FA"/>
    <w:rsid w:val="00C80B88"/>
    <w:rsid w:val="00C80C0F"/>
    <w:rsid w:val="00C82232"/>
    <w:rsid w:val="00C8251E"/>
    <w:rsid w:val="00C8406E"/>
    <w:rsid w:val="00C84674"/>
    <w:rsid w:val="00C84F63"/>
    <w:rsid w:val="00C8541E"/>
    <w:rsid w:val="00C87062"/>
    <w:rsid w:val="00C90385"/>
    <w:rsid w:val="00C909DF"/>
    <w:rsid w:val="00C90E83"/>
    <w:rsid w:val="00C90F9F"/>
    <w:rsid w:val="00C91EA9"/>
    <w:rsid w:val="00C9233A"/>
    <w:rsid w:val="00C9286C"/>
    <w:rsid w:val="00C9303D"/>
    <w:rsid w:val="00C93778"/>
    <w:rsid w:val="00C93ACE"/>
    <w:rsid w:val="00C93BA3"/>
    <w:rsid w:val="00C93BD0"/>
    <w:rsid w:val="00C94272"/>
    <w:rsid w:val="00C9519D"/>
    <w:rsid w:val="00C96ADD"/>
    <w:rsid w:val="00C97269"/>
    <w:rsid w:val="00C97500"/>
    <w:rsid w:val="00CA1758"/>
    <w:rsid w:val="00CA258F"/>
    <w:rsid w:val="00CA25DA"/>
    <w:rsid w:val="00CA279B"/>
    <w:rsid w:val="00CA3594"/>
    <w:rsid w:val="00CA48E1"/>
    <w:rsid w:val="00CA55C6"/>
    <w:rsid w:val="00CA5A73"/>
    <w:rsid w:val="00CA5C05"/>
    <w:rsid w:val="00CA5E01"/>
    <w:rsid w:val="00CA61E4"/>
    <w:rsid w:val="00CA6C5E"/>
    <w:rsid w:val="00CA74B5"/>
    <w:rsid w:val="00CA75F8"/>
    <w:rsid w:val="00CA7638"/>
    <w:rsid w:val="00CB231B"/>
    <w:rsid w:val="00CB26A7"/>
    <w:rsid w:val="00CB354C"/>
    <w:rsid w:val="00CB3D39"/>
    <w:rsid w:val="00CB4ADA"/>
    <w:rsid w:val="00CB59B1"/>
    <w:rsid w:val="00CB5B1A"/>
    <w:rsid w:val="00CB6975"/>
    <w:rsid w:val="00CC093F"/>
    <w:rsid w:val="00CC110D"/>
    <w:rsid w:val="00CC1E83"/>
    <w:rsid w:val="00CC2425"/>
    <w:rsid w:val="00CC295C"/>
    <w:rsid w:val="00CC3222"/>
    <w:rsid w:val="00CC36DB"/>
    <w:rsid w:val="00CC3F2A"/>
    <w:rsid w:val="00CC5337"/>
    <w:rsid w:val="00CC5CBF"/>
    <w:rsid w:val="00CC5E81"/>
    <w:rsid w:val="00CC6389"/>
    <w:rsid w:val="00CC6CF2"/>
    <w:rsid w:val="00CC751F"/>
    <w:rsid w:val="00CC7681"/>
    <w:rsid w:val="00CC78F7"/>
    <w:rsid w:val="00CC79F1"/>
    <w:rsid w:val="00CC7D70"/>
    <w:rsid w:val="00CD06B5"/>
    <w:rsid w:val="00CD09BF"/>
    <w:rsid w:val="00CD0AD8"/>
    <w:rsid w:val="00CD20EC"/>
    <w:rsid w:val="00CD2475"/>
    <w:rsid w:val="00CD2CB4"/>
    <w:rsid w:val="00CD2F38"/>
    <w:rsid w:val="00CD3668"/>
    <w:rsid w:val="00CD3D91"/>
    <w:rsid w:val="00CD4855"/>
    <w:rsid w:val="00CD5BB4"/>
    <w:rsid w:val="00CD63AE"/>
    <w:rsid w:val="00CD742D"/>
    <w:rsid w:val="00CD7772"/>
    <w:rsid w:val="00CE0606"/>
    <w:rsid w:val="00CE0B76"/>
    <w:rsid w:val="00CE15B7"/>
    <w:rsid w:val="00CE1F25"/>
    <w:rsid w:val="00CE1FFC"/>
    <w:rsid w:val="00CE20B0"/>
    <w:rsid w:val="00CE2998"/>
    <w:rsid w:val="00CE3021"/>
    <w:rsid w:val="00CE38BB"/>
    <w:rsid w:val="00CE3B56"/>
    <w:rsid w:val="00CE416F"/>
    <w:rsid w:val="00CE42BA"/>
    <w:rsid w:val="00CE505B"/>
    <w:rsid w:val="00CE5AAA"/>
    <w:rsid w:val="00CE682A"/>
    <w:rsid w:val="00CF0012"/>
    <w:rsid w:val="00CF02BA"/>
    <w:rsid w:val="00CF08C4"/>
    <w:rsid w:val="00CF08FA"/>
    <w:rsid w:val="00CF0CC2"/>
    <w:rsid w:val="00CF1F2A"/>
    <w:rsid w:val="00CF2206"/>
    <w:rsid w:val="00CF2602"/>
    <w:rsid w:val="00CF2E9A"/>
    <w:rsid w:val="00CF4AFF"/>
    <w:rsid w:val="00CF51B3"/>
    <w:rsid w:val="00CF55FC"/>
    <w:rsid w:val="00CF5C46"/>
    <w:rsid w:val="00CF61F6"/>
    <w:rsid w:val="00CF6563"/>
    <w:rsid w:val="00CF6851"/>
    <w:rsid w:val="00CF68DE"/>
    <w:rsid w:val="00CF7D9C"/>
    <w:rsid w:val="00D0166F"/>
    <w:rsid w:val="00D01D12"/>
    <w:rsid w:val="00D02361"/>
    <w:rsid w:val="00D02850"/>
    <w:rsid w:val="00D02FFA"/>
    <w:rsid w:val="00D045F3"/>
    <w:rsid w:val="00D049B7"/>
    <w:rsid w:val="00D067B7"/>
    <w:rsid w:val="00D0689F"/>
    <w:rsid w:val="00D07AE3"/>
    <w:rsid w:val="00D1030A"/>
    <w:rsid w:val="00D106D2"/>
    <w:rsid w:val="00D10F5B"/>
    <w:rsid w:val="00D11102"/>
    <w:rsid w:val="00D115E6"/>
    <w:rsid w:val="00D11A14"/>
    <w:rsid w:val="00D12502"/>
    <w:rsid w:val="00D13542"/>
    <w:rsid w:val="00D1384E"/>
    <w:rsid w:val="00D13F55"/>
    <w:rsid w:val="00D14082"/>
    <w:rsid w:val="00D14D4D"/>
    <w:rsid w:val="00D159B6"/>
    <w:rsid w:val="00D16532"/>
    <w:rsid w:val="00D16C79"/>
    <w:rsid w:val="00D210FA"/>
    <w:rsid w:val="00D2171F"/>
    <w:rsid w:val="00D21775"/>
    <w:rsid w:val="00D220A9"/>
    <w:rsid w:val="00D230B1"/>
    <w:rsid w:val="00D257F0"/>
    <w:rsid w:val="00D25E73"/>
    <w:rsid w:val="00D2634A"/>
    <w:rsid w:val="00D304C4"/>
    <w:rsid w:val="00D30D1A"/>
    <w:rsid w:val="00D30F1C"/>
    <w:rsid w:val="00D3156F"/>
    <w:rsid w:val="00D31849"/>
    <w:rsid w:val="00D32045"/>
    <w:rsid w:val="00D3228F"/>
    <w:rsid w:val="00D342FF"/>
    <w:rsid w:val="00D357CA"/>
    <w:rsid w:val="00D36A90"/>
    <w:rsid w:val="00D36AF7"/>
    <w:rsid w:val="00D41207"/>
    <w:rsid w:val="00D42B90"/>
    <w:rsid w:val="00D432A2"/>
    <w:rsid w:val="00D438D7"/>
    <w:rsid w:val="00D43979"/>
    <w:rsid w:val="00D4429E"/>
    <w:rsid w:val="00D44434"/>
    <w:rsid w:val="00D447DF"/>
    <w:rsid w:val="00D44AA5"/>
    <w:rsid w:val="00D44CDE"/>
    <w:rsid w:val="00D45890"/>
    <w:rsid w:val="00D45981"/>
    <w:rsid w:val="00D46BB3"/>
    <w:rsid w:val="00D51F58"/>
    <w:rsid w:val="00D52178"/>
    <w:rsid w:val="00D524B4"/>
    <w:rsid w:val="00D526E5"/>
    <w:rsid w:val="00D5336B"/>
    <w:rsid w:val="00D5430A"/>
    <w:rsid w:val="00D544D4"/>
    <w:rsid w:val="00D54C34"/>
    <w:rsid w:val="00D554FA"/>
    <w:rsid w:val="00D55D5D"/>
    <w:rsid w:val="00D55E44"/>
    <w:rsid w:val="00D564F0"/>
    <w:rsid w:val="00D56F7B"/>
    <w:rsid w:val="00D571AE"/>
    <w:rsid w:val="00D57676"/>
    <w:rsid w:val="00D60DE5"/>
    <w:rsid w:val="00D61ECA"/>
    <w:rsid w:val="00D62060"/>
    <w:rsid w:val="00D62D05"/>
    <w:rsid w:val="00D62E1E"/>
    <w:rsid w:val="00D62F6B"/>
    <w:rsid w:val="00D62FA1"/>
    <w:rsid w:val="00D62FF4"/>
    <w:rsid w:val="00D633CA"/>
    <w:rsid w:val="00D63909"/>
    <w:rsid w:val="00D63F05"/>
    <w:rsid w:val="00D66057"/>
    <w:rsid w:val="00D6678E"/>
    <w:rsid w:val="00D66F99"/>
    <w:rsid w:val="00D70669"/>
    <w:rsid w:val="00D711F6"/>
    <w:rsid w:val="00D71309"/>
    <w:rsid w:val="00D714A7"/>
    <w:rsid w:val="00D71A58"/>
    <w:rsid w:val="00D727DD"/>
    <w:rsid w:val="00D751EC"/>
    <w:rsid w:val="00D759A3"/>
    <w:rsid w:val="00D76650"/>
    <w:rsid w:val="00D7670E"/>
    <w:rsid w:val="00D76F4A"/>
    <w:rsid w:val="00D774D8"/>
    <w:rsid w:val="00D77BF7"/>
    <w:rsid w:val="00D81CB8"/>
    <w:rsid w:val="00D821E0"/>
    <w:rsid w:val="00D833F4"/>
    <w:rsid w:val="00D839BE"/>
    <w:rsid w:val="00D83B60"/>
    <w:rsid w:val="00D83D76"/>
    <w:rsid w:val="00D84175"/>
    <w:rsid w:val="00D848FD"/>
    <w:rsid w:val="00D85A55"/>
    <w:rsid w:val="00D86005"/>
    <w:rsid w:val="00D8627D"/>
    <w:rsid w:val="00D863E6"/>
    <w:rsid w:val="00D867D3"/>
    <w:rsid w:val="00D90010"/>
    <w:rsid w:val="00D9020E"/>
    <w:rsid w:val="00D919BF"/>
    <w:rsid w:val="00D91FD3"/>
    <w:rsid w:val="00D935F6"/>
    <w:rsid w:val="00D937AE"/>
    <w:rsid w:val="00D93E30"/>
    <w:rsid w:val="00D953C4"/>
    <w:rsid w:val="00D95DAF"/>
    <w:rsid w:val="00D971EF"/>
    <w:rsid w:val="00D97595"/>
    <w:rsid w:val="00D97637"/>
    <w:rsid w:val="00DA0506"/>
    <w:rsid w:val="00DA1478"/>
    <w:rsid w:val="00DA1BD8"/>
    <w:rsid w:val="00DA226E"/>
    <w:rsid w:val="00DA276D"/>
    <w:rsid w:val="00DA2F79"/>
    <w:rsid w:val="00DA3122"/>
    <w:rsid w:val="00DA3168"/>
    <w:rsid w:val="00DA4003"/>
    <w:rsid w:val="00DA4537"/>
    <w:rsid w:val="00DA4A15"/>
    <w:rsid w:val="00DA4BE6"/>
    <w:rsid w:val="00DA4D6D"/>
    <w:rsid w:val="00DA51A6"/>
    <w:rsid w:val="00DA7651"/>
    <w:rsid w:val="00DA7824"/>
    <w:rsid w:val="00DA7879"/>
    <w:rsid w:val="00DA7FB3"/>
    <w:rsid w:val="00DB138D"/>
    <w:rsid w:val="00DB148D"/>
    <w:rsid w:val="00DB37A0"/>
    <w:rsid w:val="00DB3802"/>
    <w:rsid w:val="00DB3D68"/>
    <w:rsid w:val="00DB45EF"/>
    <w:rsid w:val="00DB4EF8"/>
    <w:rsid w:val="00DB566F"/>
    <w:rsid w:val="00DB5FF8"/>
    <w:rsid w:val="00DB603F"/>
    <w:rsid w:val="00DB67CF"/>
    <w:rsid w:val="00DB6EC0"/>
    <w:rsid w:val="00DB7099"/>
    <w:rsid w:val="00DB7D37"/>
    <w:rsid w:val="00DC0BC7"/>
    <w:rsid w:val="00DC12DE"/>
    <w:rsid w:val="00DC181A"/>
    <w:rsid w:val="00DC1A50"/>
    <w:rsid w:val="00DC212D"/>
    <w:rsid w:val="00DC298D"/>
    <w:rsid w:val="00DC2DB9"/>
    <w:rsid w:val="00DC3054"/>
    <w:rsid w:val="00DC3D31"/>
    <w:rsid w:val="00DC428B"/>
    <w:rsid w:val="00DC4E3F"/>
    <w:rsid w:val="00DC7DFA"/>
    <w:rsid w:val="00DC7F1B"/>
    <w:rsid w:val="00DD0B9B"/>
    <w:rsid w:val="00DD0F28"/>
    <w:rsid w:val="00DD2312"/>
    <w:rsid w:val="00DD24A9"/>
    <w:rsid w:val="00DD25D4"/>
    <w:rsid w:val="00DD40DD"/>
    <w:rsid w:val="00DD42DE"/>
    <w:rsid w:val="00DD4455"/>
    <w:rsid w:val="00DD521F"/>
    <w:rsid w:val="00DD5CF1"/>
    <w:rsid w:val="00DD60AF"/>
    <w:rsid w:val="00DD65B1"/>
    <w:rsid w:val="00DD70D1"/>
    <w:rsid w:val="00DD760F"/>
    <w:rsid w:val="00DE16A7"/>
    <w:rsid w:val="00DE188C"/>
    <w:rsid w:val="00DE22BB"/>
    <w:rsid w:val="00DE2719"/>
    <w:rsid w:val="00DE4328"/>
    <w:rsid w:val="00DE461F"/>
    <w:rsid w:val="00DE5DB0"/>
    <w:rsid w:val="00DE5EAF"/>
    <w:rsid w:val="00DE7204"/>
    <w:rsid w:val="00DF03B4"/>
    <w:rsid w:val="00DF05F4"/>
    <w:rsid w:val="00DF09CD"/>
    <w:rsid w:val="00DF0AD7"/>
    <w:rsid w:val="00DF0B25"/>
    <w:rsid w:val="00DF0E82"/>
    <w:rsid w:val="00DF1082"/>
    <w:rsid w:val="00DF13F3"/>
    <w:rsid w:val="00DF1FCF"/>
    <w:rsid w:val="00DF21E7"/>
    <w:rsid w:val="00DF253E"/>
    <w:rsid w:val="00DF322B"/>
    <w:rsid w:val="00DF34F4"/>
    <w:rsid w:val="00DF5D29"/>
    <w:rsid w:val="00DF631F"/>
    <w:rsid w:val="00DF6EA4"/>
    <w:rsid w:val="00DF6F0B"/>
    <w:rsid w:val="00DF76F1"/>
    <w:rsid w:val="00E000B5"/>
    <w:rsid w:val="00E00E41"/>
    <w:rsid w:val="00E027EF"/>
    <w:rsid w:val="00E02D14"/>
    <w:rsid w:val="00E03EE2"/>
    <w:rsid w:val="00E047E6"/>
    <w:rsid w:val="00E04EE7"/>
    <w:rsid w:val="00E054F9"/>
    <w:rsid w:val="00E05A67"/>
    <w:rsid w:val="00E05BDD"/>
    <w:rsid w:val="00E05D1A"/>
    <w:rsid w:val="00E068F6"/>
    <w:rsid w:val="00E06BA7"/>
    <w:rsid w:val="00E07935"/>
    <w:rsid w:val="00E07E31"/>
    <w:rsid w:val="00E10020"/>
    <w:rsid w:val="00E10889"/>
    <w:rsid w:val="00E10E2E"/>
    <w:rsid w:val="00E136B9"/>
    <w:rsid w:val="00E1520C"/>
    <w:rsid w:val="00E15E07"/>
    <w:rsid w:val="00E1680D"/>
    <w:rsid w:val="00E17A66"/>
    <w:rsid w:val="00E2064E"/>
    <w:rsid w:val="00E20C93"/>
    <w:rsid w:val="00E20F6D"/>
    <w:rsid w:val="00E21130"/>
    <w:rsid w:val="00E215B0"/>
    <w:rsid w:val="00E2160B"/>
    <w:rsid w:val="00E217C4"/>
    <w:rsid w:val="00E22E49"/>
    <w:rsid w:val="00E23789"/>
    <w:rsid w:val="00E24A54"/>
    <w:rsid w:val="00E250AF"/>
    <w:rsid w:val="00E26E67"/>
    <w:rsid w:val="00E30B7A"/>
    <w:rsid w:val="00E3137A"/>
    <w:rsid w:val="00E31576"/>
    <w:rsid w:val="00E32444"/>
    <w:rsid w:val="00E32CD8"/>
    <w:rsid w:val="00E3317E"/>
    <w:rsid w:val="00E33E47"/>
    <w:rsid w:val="00E363DC"/>
    <w:rsid w:val="00E404AD"/>
    <w:rsid w:val="00E405E0"/>
    <w:rsid w:val="00E41000"/>
    <w:rsid w:val="00E41078"/>
    <w:rsid w:val="00E41687"/>
    <w:rsid w:val="00E429E3"/>
    <w:rsid w:val="00E43512"/>
    <w:rsid w:val="00E43858"/>
    <w:rsid w:val="00E43E77"/>
    <w:rsid w:val="00E44F93"/>
    <w:rsid w:val="00E46209"/>
    <w:rsid w:val="00E468E8"/>
    <w:rsid w:val="00E46C5E"/>
    <w:rsid w:val="00E476B1"/>
    <w:rsid w:val="00E47DB8"/>
    <w:rsid w:val="00E50011"/>
    <w:rsid w:val="00E5011B"/>
    <w:rsid w:val="00E504B2"/>
    <w:rsid w:val="00E51AD9"/>
    <w:rsid w:val="00E524C1"/>
    <w:rsid w:val="00E54201"/>
    <w:rsid w:val="00E55801"/>
    <w:rsid w:val="00E55C65"/>
    <w:rsid w:val="00E56230"/>
    <w:rsid w:val="00E56716"/>
    <w:rsid w:val="00E569A1"/>
    <w:rsid w:val="00E60438"/>
    <w:rsid w:val="00E60F07"/>
    <w:rsid w:val="00E619ED"/>
    <w:rsid w:val="00E61B8C"/>
    <w:rsid w:val="00E62B0F"/>
    <w:rsid w:val="00E641DF"/>
    <w:rsid w:val="00E645AC"/>
    <w:rsid w:val="00E64A6D"/>
    <w:rsid w:val="00E6578F"/>
    <w:rsid w:val="00E65B92"/>
    <w:rsid w:val="00E66602"/>
    <w:rsid w:val="00E673ED"/>
    <w:rsid w:val="00E67CC9"/>
    <w:rsid w:val="00E713A6"/>
    <w:rsid w:val="00E71B01"/>
    <w:rsid w:val="00E721B5"/>
    <w:rsid w:val="00E7302E"/>
    <w:rsid w:val="00E73740"/>
    <w:rsid w:val="00E73C38"/>
    <w:rsid w:val="00E74032"/>
    <w:rsid w:val="00E74A2D"/>
    <w:rsid w:val="00E75211"/>
    <w:rsid w:val="00E767E7"/>
    <w:rsid w:val="00E768D8"/>
    <w:rsid w:val="00E7722A"/>
    <w:rsid w:val="00E77509"/>
    <w:rsid w:val="00E80272"/>
    <w:rsid w:val="00E80725"/>
    <w:rsid w:val="00E80B8D"/>
    <w:rsid w:val="00E80CF8"/>
    <w:rsid w:val="00E8187F"/>
    <w:rsid w:val="00E8445E"/>
    <w:rsid w:val="00E8452A"/>
    <w:rsid w:val="00E85562"/>
    <w:rsid w:val="00E85606"/>
    <w:rsid w:val="00E90B09"/>
    <w:rsid w:val="00E925F3"/>
    <w:rsid w:val="00E92824"/>
    <w:rsid w:val="00E92D03"/>
    <w:rsid w:val="00E9343A"/>
    <w:rsid w:val="00E93A5F"/>
    <w:rsid w:val="00E93D0E"/>
    <w:rsid w:val="00E942ED"/>
    <w:rsid w:val="00E94F16"/>
    <w:rsid w:val="00E95E1F"/>
    <w:rsid w:val="00E961D0"/>
    <w:rsid w:val="00EA1E94"/>
    <w:rsid w:val="00EA278F"/>
    <w:rsid w:val="00EA2C20"/>
    <w:rsid w:val="00EA3F00"/>
    <w:rsid w:val="00EA4081"/>
    <w:rsid w:val="00EA422F"/>
    <w:rsid w:val="00EA4B4D"/>
    <w:rsid w:val="00EA54DA"/>
    <w:rsid w:val="00EA557F"/>
    <w:rsid w:val="00EA598E"/>
    <w:rsid w:val="00EA69C6"/>
    <w:rsid w:val="00EA6A66"/>
    <w:rsid w:val="00EA74E6"/>
    <w:rsid w:val="00EB075C"/>
    <w:rsid w:val="00EB07A2"/>
    <w:rsid w:val="00EB1897"/>
    <w:rsid w:val="00EB1F3D"/>
    <w:rsid w:val="00EB1FC7"/>
    <w:rsid w:val="00EB2603"/>
    <w:rsid w:val="00EB2D9B"/>
    <w:rsid w:val="00EB313F"/>
    <w:rsid w:val="00EB3823"/>
    <w:rsid w:val="00EB637A"/>
    <w:rsid w:val="00EB6C87"/>
    <w:rsid w:val="00EC073D"/>
    <w:rsid w:val="00EC076D"/>
    <w:rsid w:val="00EC096E"/>
    <w:rsid w:val="00EC1868"/>
    <w:rsid w:val="00EC18D8"/>
    <w:rsid w:val="00EC1D54"/>
    <w:rsid w:val="00EC3CE8"/>
    <w:rsid w:val="00EC3E97"/>
    <w:rsid w:val="00EC5A0D"/>
    <w:rsid w:val="00EC6D60"/>
    <w:rsid w:val="00EC7CD9"/>
    <w:rsid w:val="00ED0408"/>
    <w:rsid w:val="00ED0B89"/>
    <w:rsid w:val="00ED0EDB"/>
    <w:rsid w:val="00ED22F5"/>
    <w:rsid w:val="00ED278C"/>
    <w:rsid w:val="00ED3050"/>
    <w:rsid w:val="00ED386B"/>
    <w:rsid w:val="00ED4CD6"/>
    <w:rsid w:val="00ED6242"/>
    <w:rsid w:val="00ED6570"/>
    <w:rsid w:val="00ED660A"/>
    <w:rsid w:val="00ED67F0"/>
    <w:rsid w:val="00ED6C67"/>
    <w:rsid w:val="00ED6DB3"/>
    <w:rsid w:val="00ED7748"/>
    <w:rsid w:val="00EE1001"/>
    <w:rsid w:val="00EE1A66"/>
    <w:rsid w:val="00EE1B05"/>
    <w:rsid w:val="00EE1D47"/>
    <w:rsid w:val="00EE22C5"/>
    <w:rsid w:val="00EE3FB3"/>
    <w:rsid w:val="00EE4383"/>
    <w:rsid w:val="00EE4DA5"/>
    <w:rsid w:val="00EE4F93"/>
    <w:rsid w:val="00EE6A8F"/>
    <w:rsid w:val="00EE6BE6"/>
    <w:rsid w:val="00EE7212"/>
    <w:rsid w:val="00EE78D1"/>
    <w:rsid w:val="00EF05D9"/>
    <w:rsid w:val="00EF0F40"/>
    <w:rsid w:val="00EF1100"/>
    <w:rsid w:val="00EF246C"/>
    <w:rsid w:val="00EF2E04"/>
    <w:rsid w:val="00EF3BAA"/>
    <w:rsid w:val="00EF3E98"/>
    <w:rsid w:val="00EF4101"/>
    <w:rsid w:val="00EF422C"/>
    <w:rsid w:val="00EF4625"/>
    <w:rsid w:val="00EF4BBA"/>
    <w:rsid w:val="00EF5383"/>
    <w:rsid w:val="00EF57BF"/>
    <w:rsid w:val="00EF59C2"/>
    <w:rsid w:val="00EF5F0E"/>
    <w:rsid w:val="00EF62F3"/>
    <w:rsid w:val="00EF6F77"/>
    <w:rsid w:val="00F00852"/>
    <w:rsid w:val="00F02213"/>
    <w:rsid w:val="00F02B72"/>
    <w:rsid w:val="00F03561"/>
    <w:rsid w:val="00F0514F"/>
    <w:rsid w:val="00F064A5"/>
    <w:rsid w:val="00F06998"/>
    <w:rsid w:val="00F06EF9"/>
    <w:rsid w:val="00F07BD8"/>
    <w:rsid w:val="00F07E83"/>
    <w:rsid w:val="00F10841"/>
    <w:rsid w:val="00F11EAB"/>
    <w:rsid w:val="00F13ADF"/>
    <w:rsid w:val="00F14A19"/>
    <w:rsid w:val="00F15F2B"/>
    <w:rsid w:val="00F1605F"/>
    <w:rsid w:val="00F16600"/>
    <w:rsid w:val="00F170AA"/>
    <w:rsid w:val="00F174F9"/>
    <w:rsid w:val="00F17921"/>
    <w:rsid w:val="00F20CC4"/>
    <w:rsid w:val="00F2161E"/>
    <w:rsid w:val="00F22E28"/>
    <w:rsid w:val="00F22F74"/>
    <w:rsid w:val="00F23475"/>
    <w:rsid w:val="00F23E0D"/>
    <w:rsid w:val="00F24501"/>
    <w:rsid w:val="00F25E4A"/>
    <w:rsid w:val="00F30D85"/>
    <w:rsid w:val="00F30F7B"/>
    <w:rsid w:val="00F31C7F"/>
    <w:rsid w:val="00F31D4B"/>
    <w:rsid w:val="00F31FC7"/>
    <w:rsid w:val="00F342C2"/>
    <w:rsid w:val="00F34C97"/>
    <w:rsid w:val="00F34D8B"/>
    <w:rsid w:val="00F354AC"/>
    <w:rsid w:val="00F36EA5"/>
    <w:rsid w:val="00F41533"/>
    <w:rsid w:val="00F4267E"/>
    <w:rsid w:val="00F427F9"/>
    <w:rsid w:val="00F428B7"/>
    <w:rsid w:val="00F43745"/>
    <w:rsid w:val="00F43D16"/>
    <w:rsid w:val="00F4477E"/>
    <w:rsid w:val="00F44B1A"/>
    <w:rsid w:val="00F44DBE"/>
    <w:rsid w:val="00F44FE9"/>
    <w:rsid w:val="00F45242"/>
    <w:rsid w:val="00F45B12"/>
    <w:rsid w:val="00F47563"/>
    <w:rsid w:val="00F47F95"/>
    <w:rsid w:val="00F51507"/>
    <w:rsid w:val="00F51ACE"/>
    <w:rsid w:val="00F53C5D"/>
    <w:rsid w:val="00F544A3"/>
    <w:rsid w:val="00F5538B"/>
    <w:rsid w:val="00F55DED"/>
    <w:rsid w:val="00F55FB2"/>
    <w:rsid w:val="00F565C3"/>
    <w:rsid w:val="00F5778A"/>
    <w:rsid w:val="00F60CE3"/>
    <w:rsid w:val="00F62B8D"/>
    <w:rsid w:val="00F632E0"/>
    <w:rsid w:val="00F63481"/>
    <w:rsid w:val="00F638FE"/>
    <w:rsid w:val="00F6485F"/>
    <w:rsid w:val="00F6487E"/>
    <w:rsid w:val="00F64B82"/>
    <w:rsid w:val="00F65895"/>
    <w:rsid w:val="00F66E49"/>
    <w:rsid w:val="00F67289"/>
    <w:rsid w:val="00F67474"/>
    <w:rsid w:val="00F67D43"/>
    <w:rsid w:val="00F70073"/>
    <w:rsid w:val="00F719DB"/>
    <w:rsid w:val="00F71A4A"/>
    <w:rsid w:val="00F72275"/>
    <w:rsid w:val="00F73913"/>
    <w:rsid w:val="00F76131"/>
    <w:rsid w:val="00F77080"/>
    <w:rsid w:val="00F77234"/>
    <w:rsid w:val="00F77483"/>
    <w:rsid w:val="00F80583"/>
    <w:rsid w:val="00F80B20"/>
    <w:rsid w:val="00F80CF6"/>
    <w:rsid w:val="00F81E2E"/>
    <w:rsid w:val="00F82F67"/>
    <w:rsid w:val="00F83BB7"/>
    <w:rsid w:val="00F83BBC"/>
    <w:rsid w:val="00F83C0B"/>
    <w:rsid w:val="00F84CB0"/>
    <w:rsid w:val="00F85060"/>
    <w:rsid w:val="00F85563"/>
    <w:rsid w:val="00F860D0"/>
    <w:rsid w:val="00F879E3"/>
    <w:rsid w:val="00F90020"/>
    <w:rsid w:val="00F9047C"/>
    <w:rsid w:val="00F915CD"/>
    <w:rsid w:val="00F91740"/>
    <w:rsid w:val="00F92466"/>
    <w:rsid w:val="00F92D51"/>
    <w:rsid w:val="00F948E8"/>
    <w:rsid w:val="00F96CE4"/>
    <w:rsid w:val="00F96FDF"/>
    <w:rsid w:val="00FA0987"/>
    <w:rsid w:val="00FA09AF"/>
    <w:rsid w:val="00FA11DD"/>
    <w:rsid w:val="00FA1A0F"/>
    <w:rsid w:val="00FA1F0D"/>
    <w:rsid w:val="00FA2144"/>
    <w:rsid w:val="00FA2AD3"/>
    <w:rsid w:val="00FA3954"/>
    <w:rsid w:val="00FA3BE3"/>
    <w:rsid w:val="00FA3DD5"/>
    <w:rsid w:val="00FA50F5"/>
    <w:rsid w:val="00FA5552"/>
    <w:rsid w:val="00FA569E"/>
    <w:rsid w:val="00FA56E1"/>
    <w:rsid w:val="00FA7DB9"/>
    <w:rsid w:val="00FB03D5"/>
    <w:rsid w:val="00FB04F4"/>
    <w:rsid w:val="00FB1C5E"/>
    <w:rsid w:val="00FB297E"/>
    <w:rsid w:val="00FB29E0"/>
    <w:rsid w:val="00FB335A"/>
    <w:rsid w:val="00FB4608"/>
    <w:rsid w:val="00FB51C5"/>
    <w:rsid w:val="00FC177E"/>
    <w:rsid w:val="00FC2767"/>
    <w:rsid w:val="00FC2B54"/>
    <w:rsid w:val="00FC3299"/>
    <w:rsid w:val="00FC3FBE"/>
    <w:rsid w:val="00FC4246"/>
    <w:rsid w:val="00FC59B4"/>
    <w:rsid w:val="00FC5D9E"/>
    <w:rsid w:val="00FC5E4D"/>
    <w:rsid w:val="00FC610B"/>
    <w:rsid w:val="00FC639C"/>
    <w:rsid w:val="00FC6759"/>
    <w:rsid w:val="00FC68F2"/>
    <w:rsid w:val="00FC6A18"/>
    <w:rsid w:val="00FC79B8"/>
    <w:rsid w:val="00FC7FD3"/>
    <w:rsid w:val="00FD0013"/>
    <w:rsid w:val="00FD0AF9"/>
    <w:rsid w:val="00FD120E"/>
    <w:rsid w:val="00FD2CD4"/>
    <w:rsid w:val="00FD3764"/>
    <w:rsid w:val="00FD3F3D"/>
    <w:rsid w:val="00FD4391"/>
    <w:rsid w:val="00FD4552"/>
    <w:rsid w:val="00FD5A07"/>
    <w:rsid w:val="00FD66C7"/>
    <w:rsid w:val="00FD6A6B"/>
    <w:rsid w:val="00FD6AAD"/>
    <w:rsid w:val="00FD7D90"/>
    <w:rsid w:val="00FE104C"/>
    <w:rsid w:val="00FE11F3"/>
    <w:rsid w:val="00FE15ED"/>
    <w:rsid w:val="00FE1C8F"/>
    <w:rsid w:val="00FE1CF5"/>
    <w:rsid w:val="00FE21D6"/>
    <w:rsid w:val="00FE22F8"/>
    <w:rsid w:val="00FE2779"/>
    <w:rsid w:val="00FE2881"/>
    <w:rsid w:val="00FE32C8"/>
    <w:rsid w:val="00FE3A42"/>
    <w:rsid w:val="00FE4801"/>
    <w:rsid w:val="00FE4CE0"/>
    <w:rsid w:val="00FE4E2D"/>
    <w:rsid w:val="00FE5310"/>
    <w:rsid w:val="00FE5B0F"/>
    <w:rsid w:val="00FE6002"/>
    <w:rsid w:val="00FE686E"/>
    <w:rsid w:val="00FE6F3F"/>
    <w:rsid w:val="00FE7127"/>
    <w:rsid w:val="00FE7374"/>
    <w:rsid w:val="00FE7C04"/>
    <w:rsid w:val="00FF0CCB"/>
    <w:rsid w:val="00FF10A8"/>
    <w:rsid w:val="00FF1D6A"/>
    <w:rsid w:val="00FF23DE"/>
    <w:rsid w:val="00FF2688"/>
    <w:rsid w:val="00FF2925"/>
    <w:rsid w:val="00FF4D32"/>
    <w:rsid w:val="00FF4FA7"/>
    <w:rsid w:val="00FF6789"/>
    <w:rsid w:val="00FF6CB1"/>
    <w:rsid w:val="00FF6D28"/>
    <w:rsid w:val="00FF794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2609"/>
    <o:shapelayout v:ext="edit">
      <o:idmap v:ext="edit" data="1"/>
    </o:shapelayout>
  </w:shapeDefaults>
  <w:decimalSymbol w:val="."/>
  <w:listSeparator w:val=","/>
  <w14:docId w14:val="3929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466"/>
    <w:rPr>
      <w:sz w:val="24"/>
      <w:szCs w:val="24"/>
      <w:lang w:eastAsia="en-US"/>
    </w:rPr>
  </w:style>
  <w:style w:type="paragraph" w:styleId="Heading1">
    <w:name w:val="heading 1"/>
    <w:basedOn w:val="Normal"/>
    <w:next w:val="Normal"/>
    <w:link w:val="Heading1Char"/>
    <w:qFormat/>
    <w:rsid w:val="00A705AF"/>
    <w:pPr>
      <w:keepNext/>
      <w:numPr>
        <w:numId w:val="4"/>
      </w:numPr>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numPr>
        <w:ilvl w:val="1"/>
        <w:numId w:val="4"/>
      </w:numPr>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numPr>
        <w:ilvl w:val="2"/>
        <w:numId w:val="4"/>
      </w:numPr>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numPr>
        <w:ilvl w:val="3"/>
        <w:numId w:val="4"/>
      </w:numPr>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numPr>
        <w:ilvl w:val="4"/>
        <w:numId w:val="4"/>
      </w:numPr>
      <w:spacing w:before="240" w:after="60"/>
      <w:outlineLvl w:val="4"/>
    </w:pPr>
    <w:rPr>
      <w:b/>
      <w:bCs/>
      <w:iCs/>
      <w:szCs w:val="26"/>
    </w:rPr>
  </w:style>
  <w:style w:type="paragraph" w:styleId="Heading6">
    <w:name w:val="heading 6"/>
    <w:basedOn w:val="Normal"/>
    <w:next w:val="Normal"/>
    <w:link w:val="Heading6Char"/>
    <w:qFormat/>
    <w:rsid w:val="00A705AF"/>
    <w:pPr>
      <w:keepNext/>
      <w:numPr>
        <w:ilvl w:val="5"/>
        <w:numId w:val="4"/>
      </w:numPr>
      <w:spacing w:before="240" w:after="60"/>
      <w:outlineLvl w:val="5"/>
    </w:pPr>
    <w:rPr>
      <w:b/>
      <w:bCs/>
      <w:i/>
      <w:szCs w:val="22"/>
    </w:rPr>
  </w:style>
  <w:style w:type="paragraph" w:styleId="Heading7">
    <w:name w:val="heading 7"/>
    <w:basedOn w:val="Normal"/>
    <w:next w:val="Normal"/>
    <w:link w:val="Heading7Char"/>
    <w:qFormat/>
    <w:rsid w:val="001D266E"/>
    <w:pPr>
      <w:numPr>
        <w:ilvl w:val="6"/>
        <w:numId w:val="4"/>
      </w:numPr>
      <w:spacing w:before="240" w:after="60"/>
      <w:ind w:left="1296" w:hanging="288"/>
      <w:outlineLvl w:val="6"/>
    </w:pPr>
    <w:rPr>
      <w:lang w:eastAsia="en-AU"/>
    </w:rPr>
  </w:style>
  <w:style w:type="paragraph" w:styleId="Heading8">
    <w:name w:val="heading 8"/>
    <w:basedOn w:val="Normal"/>
    <w:next w:val="Normal"/>
    <w:link w:val="Heading8Char"/>
    <w:qFormat/>
    <w:rsid w:val="001D266E"/>
    <w:pPr>
      <w:numPr>
        <w:ilvl w:val="7"/>
        <w:numId w:val="4"/>
      </w:numPr>
      <w:spacing w:before="240" w:after="60"/>
      <w:ind w:left="1440" w:hanging="432"/>
      <w:outlineLvl w:val="7"/>
    </w:pPr>
    <w:rPr>
      <w:i/>
      <w:iCs/>
      <w:lang w:eastAsia="en-AU"/>
    </w:rPr>
  </w:style>
  <w:style w:type="paragraph" w:styleId="Heading9">
    <w:name w:val="heading 9"/>
    <w:basedOn w:val="Normal"/>
    <w:next w:val="Normal"/>
    <w:link w:val="Heading9Char"/>
    <w:qFormat/>
    <w:rsid w:val="001D266E"/>
    <w:pPr>
      <w:numPr>
        <w:ilvl w:val="8"/>
        <w:numId w:val="4"/>
      </w:numPr>
      <w:spacing w:before="240" w:after="60"/>
      <w:ind w:left="1584" w:hanging="144"/>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qFormat/>
    <w:rsid w:val="00A4512D"/>
    <w:pPr>
      <w:ind w:left="720"/>
      <w:contextualSpacing/>
    </w:pPr>
  </w:style>
  <w:style w:type="character" w:customStyle="1" w:styleId="Heading7Char">
    <w:name w:val="Heading 7 Char"/>
    <w:basedOn w:val="DefaultParagraphFont"/>
    <w:link w:val="Heading7"/>
    <w:rsid w:val="001D266E"/>
    <w:rPr>
      <w:sz w:val="24"/>
      <w:szCs w:val="24"/>
    </w:rPr>
  </w:style>
  <w:style w:type="character" w:customStyle="1" w:styleId="Heading8Char">
    <w:name w:val="Heading 8 Char"/>
    <w:basedOn w:val="DefaultParagraphFont"/>
    <w:link w:val="Heading8"/>
    <w:rsid w:val="001D266E"/>
    <w:rPr>
      <w:i/>
      <w:iCs/>
      <w:sz w:val="24"/>
      <w:szCs w:val="24"/>
    </w:rPr>
  </w:style>
  <w:style w:type="character" w:customStyle="1" w:styleId="Heading9Char">
    <w:name w:val="Heading 9 Char"/>
    <w:basedOn w:val="DefaultParagraphFont"/>
    <w:link w:val="Heading9"/>
    <w:rsid w:val="001D266E"/>
    <w:rPr>
      <w:rFonts w:ascii="Arial" w:hAnsi="Arial" w:cs="Arial"/>
      <w:sz w:val="22"/>
      <w:szCs w:val="22"/>
    </w:rPr>
  </w:style>
  <w:style w:type="character" w:customStyle="1" w:styleId="Heading1Char">
    <w:name w:val="Heading 1 Char"/>
    <w:link w:val="Heading1"/>
    <w:locked/>
    <w:rsid w:val="001D266E"/>
    <w:rPr>
      <w:rFonts w:ascii="Arial" w:hAnsi="Arial" w:cs="Arial"/>
      <w:b/>
      <w:bCs/>
      <w:kern w:val="28"/>
      <w:sz w:val="28"/>
      <w:szCs w:val="32"/>
      <w:lang w:eastAsia="en-US"/>
    </w:rPr>
  </w:style>
  <w:style w:type="character" w:customStyle="1" w:styleId="Heading2Char">
    <w:name w:val="Heading 2 Char"/>
    <w:link w:val="Heading2"/>
    <w:locked/>
    <w:rsid w:val="001D266E"/>
    <w:rPr>
      <w:rFonts w:ascii="Arial" w:hAnsi="Arial" w:cs="Arial"/>
      <w:b/>
      <w:bCs/>
      <w:i/>
      <w:iCs/>
      <w:sz w:val="24"/>
      <w:szCs w:val="28"/>
      <w:lang w:eastAsia="en-US"/>
    </w:rPr>
  </w:style>
  <w:style w:type="character" w:customStyle="1" w:styleId="Heading3Char">
    <w:name w:val="Heading 3 Char"/>
    <w:link w:val="Heading3"/>
    <w:locked/>
    <w:rsid w:val="001D266E"/>
    <w:rPr>
      <w:rFonts w:ascii="Arial" w:hAnsi="Arial" w:cs="Arial"/>
      <w:bCs/>
      <w:sz w:val="24"/>
      <w:szCs w:val="26"/>
      <w:lang w:eastAsia="en-US"/>
    </w:rPr>
  </w:style>
  <w:style w:type="character" w:customStyle="1" w:styleId="Heading4Char">
    <w:name w:val="Heading 4 Char"/>
    <w:link w:val="Heading4"/>
    <w:locked/>
    <w:rsid w:val="001D266E"/>
    <w:rPr>
      <w:rFonts w:ascii="Arial" w:hAnsi="Arial"/>
      <w:bCs/>
      <w:sz w:val="28"/>
      <w:szCs w:val="28"/>
      <w:lang w:eastAsia="en-US"/>
    </w:rPr>
  </w:style>
  <w:style w:type="character" w:customStyle="1" w:styleId="Heading5Char">
    <w:name w:val="Heading 5 Char"/>
    <w:link w:val="Heading5"/>
    <w:locked/>
    <w:rsid w:val="001D266E"/>
    <w:rPr>
      <w:b/>
      <w:bCs/>
      <w:iCs/>
      <w:sz w:val="24"/>
      <w:szCs w:val="26"/>
      <w:lang w:eastAsia="en-US"/>
    </w:rPr>
  </w:style>
  <w:style w:type="character" w:customStyle="1" w:styleId="Heading6Char">
    <w:name w:val="Heading 6 Char"/>
    <w:link w:val="Heading6"/>
    <w:locked/>
    <w:rsid w:val="001D266E"/>
    <w:rPr>
      <w:b/>
      <w:bCs/>
      <w:i/>
      <w:sz w:val="24"/>
      <w:szCs w:val="22"/>
      <w:lang w:eastAsia="en-US"/>
    </w:rPr>
  </w:style>
  <w:style w:type="paragraph" w:customStyle="1" w:styleId="HeaderBoldEven">
    <w:name w:val="HeaderBoldEven"/>
    <w:basedOn w:val="Normal"/>
    <w:rsid w:val="001D266E"/>
    <w:pPr>
      <w:spacing w:before="120" w:after="60"/>
    </w:pPr>
    <w:rPr>
      <w:rFonts w:ascii="Arial" w:hAnsi="Arial" w:cs="Arial"/>
      <w:b/>
      <w:bCs/>
      <w:sz w:val="20"/>
      <w:szCs w:val="20"/>
      <w:lang w:eastAsia="en-AU"/>
    </w:rPr>
  </w:style>
  <w:style w:type="paragraph" w:customStyle="1" w:styleId="HeaderBoldOdd">
    <w:name w:val="HeaderBoldOdd"/>
    <w:basedOn w:val="Normal"/>
    <w:rsid w:val="001D266E"/>
    <w:pPr>
      <w:spacing w:before="120" w:after="60"/>
      <w:jc w:val="right"/>
    </w:pPr>
    <w:rPr>
      <w:rFonts w:ascii="Arial" w:hAnsi="Arial" w:cs="Arial"/>
      <w:b/>
      <w:bCs/>
      <w:sz w:val="20"/>
      <w:szCs w:val="20"/>
      <w:lang w:eastAsia="en-AU"/>
    </w:rPr>
  </w:style>
  <w:style w:type="paragraph" w:customStyle="1" w:styleId="HeaderLiteEven">
    <w:name w:val="HeaderLiteEven"/>
    <w:basedOn w:val="Normal"/>
    <w:rsid w:val="001D266E"/>
    <w:pPr>
      <w:tabs>
        <w:tab w:val="center" w:pos="3969"/>
        <w:tab w:val="right" w:pos="8505"/>
      </w:tabs>
      <w:spacing w:before="60"/>
    </w:pPr>
    <w:rPr>
      <w:rFonts w:ascii="Arial" w:hAnsi="Arial" w:cs="Arial"/>
      <w:sz w:val="18"/>
      <w:szCs w:val="18"/>
      <w:lang w:eastAsia="en-AU"/>
    </w:rPr>
  </w:style>
  <w:style w:type="paragraph" w:customStyle="1" w:styleId="HeaderContentsPage">
    <w:name w:val="HeaderContents&quot;Page&quot;"/>
    <w:basedOn w:val="Normal"/>
    <w:rsid w:val="001D266E"/>
    <w:pPr>
      <w:spacing w:before="120" w:after="120"/>
      <w:jc w:val="right"/>
    </w:pPr>
    <w:rPr>
      <w:rFonts w:ascii="Arial" w:hAnsi="Arial" w:cs="Arial"/>
      <w:sz w:val="20"/>
      <w:szCs w:val="20"/>
      <w:lang w:eastAsia="en-AU"/>
    </w:rPr>
  </w:style>
  <w:style w:type="paragraph" w:customStyle="1" w:styleId="HeaderLiteOdd">
    <w:name w:val="HeaderLiteOdd"/>
    <w:basedOn w:val="Normal"/>
    <w:rsid w:val="001D266E"/>
    <w:pPr>
      <w:tabs>
        <w:tab w:val="center" w:pos="3969"/>
        <w:tab w:val="right" w:pos="8505"/>
      </w:tabs>
      <w:spacing w:before="60"/>
      <w:jc w:val="right"/>
    </w:pPr>
    <w:rPr>
      <w:rFonts w:ascii="Arial" w:hAnsi="Arial" w:cs="Arial"/>
      <w:sz w:val="18"/>
      <w:szCs w:val="18"/>
      <w:lang w:eastAsia="en-AU"/>
    </w:rPr>
  </w:style>
  <w:style w:type="paragraph" w:styleId="Footer">
    <w:name w:val="footer"/>
    <w:basedOn w:val="Normal"/>
    <w:link w:val="FooterChar"/>
    <w:uiPriority w:val="99"/>
    <w:rsid w:val="001D266E"/>
    <w:pPr>
      <w:tabs>
        <w:tab w:val="center" w:pos="3600"/>
        <w:tab w:val="right" w:pos="7201"/>
      </w:tabs>
      <w:jc w:val="center"/>
    </w:pPr>
    <w:rPr>
      <w:rFonts w:ascii="Arial" w:hAnsi="Arial" w:cs="Arial"/>
      <w:i/>
      <w:iCs/>
      <w:sz w:val="18"/>
      <w:szCs w:val="18"/>
      <w:lang w:eastAsia="en-AU"/>
    </w:rPr>
  </w:style>
  <w:style w:type="character" w:customStyle="1" w:styleId="FooterChar">
    <w:name w:val="Footer Char"/>
    <w:basedOn w:val="DefaultParagraphFont"/>
    <w:link w:val="Footer"/>
    <w:uiPriority w:val="99"/>
    <w:rsid w:val="001D266E"/>
    <w:rPr>
      <w:rFonts w:ascii="Arial" w:hAnsi="Arial" w:cs="Arial"/>
      <w:i/>
      <w:iCs/>
      <w:sz w:val="18"/>
      <w:szCs w:val="18"/>
    </w:rPr>
  </w:style>
  <w:style w:type="paragraph" w:customStyle="1" w:styleId="FooterDraft">
    <w:name w:val="FooterDraft"/>
    <w:basedOn w:val="Normal"/>
    <w:rsid w:val="001D266E"/>
    <w:pPr>
      <w:jc w:val="center"/>
    </w:pPr>
    <w:rPr>
      <w:rFonts w:ascii="Arial" w:hAnsi="Arial" w:cs="Arial"/>
      <w:b/>
      <w:bCs/>
      <w:sz w:val="40"/>
      <w:szCs w:val="40"/>
      <w:lang w:eastAsia="en-AU"/>
    </w:rPr>
  </w:style>
  <w:style w:type="paragraph" w:customStyle="1" w:styleId="FooterInfo">
    <w:name w:val="FooterInfo"/>
    <w:basedOn w:val="Normal"/>
    <w:rsid w:val="001D266E"/>
    <w:rPr>
      <w:rFonts w:ascii="Arial" w:hAnsi="Arial" w:cs="Arial"/>
      <w:sz w:val="12"/>
      <w:szCs w:val="12"/>
      <w:lang w:eastAsia="en-AU"/>
    </w:rPr>
  </w:style>
  <w:style w:type="paragraph" w:styleId="BlockText">
    <w:name w:val="Block Text"/>
    <w:basedOn w:val="Normal"/>
    <w:rsid w:val="001D266E"/>
    <w:pPr>
      <w:spacing w:after="120"/>
      <w:ind w:left="1440" w:right="1440"/>
    </w:pPr>
    <w:rPr>
      <w:lang w:eastAsia="en-AU"/>
    </w:rPr>
  </w:style>
  <w:style w:type="paragraph" w:styleId="BodyText">
    <w:name w:val="Body Text"/>
    <w:basedOn w:val="Normal"/>
    <w:link w:val="BodyTextChar"/>
    <w:rsid w:val="001D266E"/>
    <w:pPr>
      <w:spacing w:after="120"/>
    </w:pPr>
    <w:rPr>
      <w:lang w:eastAsia="en-AU"/>
    </w:rPr>
  </w:style>
  <w:style w:type="character" w:customStyle="1" w:styleId="BodyTextChar">
    <w:name w:val="Body Text Char"/>
    <w:basedOn w:val="DefaultParagraphFont"/>
    <w:link w:val="BodyText"/>
    <w:rsid w:val="001D266E"/>
    <w:rPr>
      <w:sz w:val="24"/>
      <w:szCs w:val="24"/>
    </w:rPr>
  </w:style>
  <w:style w:type="paragraph" w:styleId="BodyText2">
    <w:name w:val="Body Text 2"/>
    <w:basedOn w:val="Normal"/>
    <w:link w:val="BodyText2Char"/>
    <w:rsid w:val="001D266E"/>
    <w:pPr>
      <w:spacing w:after="120" w:line="480" w:lineRule="auto"/>
    </w:pPr>
    <w:rPr>
      <w:lang w:eastAsia="en-AU"/>
    </w:rPr>
  </w:style>
  <w:style w:type="character" w:customStyle="1" w:styleId="BodyText2Char">
    <w:name w:val="Body Text 2 Char"/>
    <w:basedOn w:val="DefaultParagraphFont"/>
    <w:link w:val="BodyText2"/>
    <w:rsid w:val="001D266E"/>
    <w:rPr>
      <w:sz w:val="24"/>
      <w:szCs w:val="24"/>
    </w:rPr>
  </w:style>
  <w:style w:type="paragraph" w:styleId="BodyText3">
    <w:name w:val="Body Text 3"/>
    <w:basedOn w:val="Normal"/>
    <w:link w:val="BodyText3Char"/>
    <w:rsid w:val="001D266E"/>
    <w:pPr>
      <w:spacing w:after="120"/>
    </w:pPr>
    <w:rPr>
      <w:sz w:val="16"/>
      <w:szCs w:val="16"/>
      <w:lang w:eastAsia="en-AU"/>
    </w:rPr>
  </w:style>
  <w:style w:type="character" w:customStyle="1" w:styleId="BodyText3Char">
    <w:name w:val="Body Text 3 Char"/>
    <w:basedOn w:val="DefaultParagraphFont"/>
    <w:link w:val="BodyText3"/>
    <w:rsid w:val="001D266E"/>
    <w:rPr>
      <w:sz w:val="16"/>
      <w:szCs w:val="16"/>
    </w:rPr>
  </w:style>
  <w:style w:type="paragraph" w:styleId="BodyTextFirstIndent">
    <w:name w:val="Body Text First Indent"/>
    <w:basedOn w:val="BodyText"/>
    <w:link w:val="BodyTextFirstIndentChar"/>
    <w:rsid w:val="001D266E"/>
    <w:pPr>
      <w:ind w:firstLine="210"/>
    </w:pPr>
  </w:style>
  <w:style w:type="character" w:customStyle="1" w:styleId="BodyTextFirstIndentChar">
    <w:name w:val="Body Text First Indent Char"/>
    <w:basedOn w:val="BodyTextChar"/>
    <w:link w:val="BodyTextFirstIndent"/>
    <w:rsid w:val="001D266E"/>
    <w:rPr>
      <w:sz w:val="24"/>
      <w:szCs w:val="24"/>
    </w:rPr>
  </w:style>
  <w:style w:type="paragraph" w:styleId="BodyTextIndent">
    <w:name w:val="Body Text Indent"/>
    <w:basedOn w:val="Normal"/>
    <w:link w:val="BodyTextIndentChar"/>
    <w:rsid w:val="001D266E"/>
    <w:pPr>
      <w:spacing w:after="120"/>
      <w:ind w:left="283"/>
    </w:pPr>
    <w:rPr>
      <w:lang w:eastAsia="en-AU"/>
    </w:rPr>
  </w:style>
  <w:style w:type="character" w:customStyle="1" w:styleId="BodyTextIndentChar">
    <w:name w:val="Body Text Indent Char"/>
    <w:basedOn w:val="DefaultParagraphFont"/>
    <w:link w:val="BodyTextIndent"/>
    <w:rsid w:val="001D266E"/>
    <w:rPr>
      <w:sz w:val="24"/>
      <w:szCs w:val="24"/>
    </w:rPr>
  </w:style>
  <w:style w:type="paragraph" w:styleId="BodyTextFirstIndent2">
    <w:name w:val="Body Text First Indent 2"/>
    <w:basedOn w:val="BodyTextIndent"/>
    <w:link w:val="BodyTextFirstIndent2Char"/>
    <w:rsid w:val="001D266E"/>
    <w:pPr>
      <w:ind w:firstLine="210"/>
    </w:pPr>
  </w:style>
  <w:style w:type="character" w:customStyle="1" w:styleId="BodyTextFirstIndent2Char">
    <w:name w:val="Body Text First Indent 2 Char"/>
    <w:basedOn w:val="BodyTextIndentChar"/>
    <w:link w:val="BodyTextFirstIndent2"/>
    <w:rsid w:val="001D266E"/>
    <w:rPr>
      <w:sz w:val="24"/>
      <w:szCs w:val="24"/>
    </w:rPr>
  </w:style>
  <w:style w:type="paragraph" w:styleId="BodyTextIndent2">
    <w:name w:val="Body Text Indent 2"/>
    <w:basedOn w:val="Normal"/>
    <w:link w:val="BodyTextIndent2Char"/>
    <w:rsid w:val="001D266E"/>
    <w:pPr>
      <w:spacing w:after="120" w:line="480" w:lineRule="auto"/>
      <w:ind w:left="283"/>
    </w:pPr>
    <w:rPr>
      <w:lang w:eastAsia="en-AU"/>
    </w:rPr>
  </w:style>
  <w:style w:type="character" w:customStyle="1" w:styleId="BodyTextIndent2Char">
    <w:name w:val="Body Text Indent 2 Char"/>
    <w:basedOn w:val="DefaultParagraphFont"/>
    <w:link w:val="BodyTextIndent2"/>
    <w:rsid w:val="001D266E"/>
    <w:rPr>
      <w:sz w:val="24"/>
      <w:szCs w:val="24"/>
    </w:rPr>
  </w:style>
  <w:style w:type="paragraph" w:styleId="BodyTextIndent3">
    <w:name w:val="Body Text Indent 3"/>
    <w:basedOn w:val="Normal"/>
    <w:link w:val="BodyTextIndent3Char"/>
    <w:rsid w:val="001D266E"/>
    <w:pPr>
      <w:spacing w:after="120"/>
      <w:ind w:left="283"/>
    </w:pPr>
    <w:rPr>
      <w:sz w:val="16"/>
      <w:szCs w:val="16"/>
      <w:lang w:eastAsia="en-AU"/>
    </w:rPr>
  </w:style>
  <w:style w:type="character" w:customStyle="1" w:styleId="BodyTextIndent3Char">
    <w:name w:val="Body Text Indent 3 Char"/>
    <w:basedOn w:val="DefaultParagraphFont"/>
    <w:link w:val="BodyTextIndent3"/>
    <w:rsid w:val="001D266E"/>
    <w:rPr>
      <w:sz w:val="16"/>
      <w:szCs w:val="16"/>
    </w:rPr>
  </w:style>
  <w:style w:type="paragraph" w:styleId="Closing">
    <w:name w:val="Closing"/>
    <w:basedOn w:val="Normal"/>
    <w:link w:val="ClosingChar"/>
    <w:rsid w:val="001D266E"/>
    <w:pPr>
      <w:ind w:left="4252"/>
    </w:pPr>
    <w:rPr>
      <w:lang w:eastAsia="en-AU"/>
    </w:rPr>
  </w:style>
  <w:style w:type="character" w:customStyle="1" w:styleId="ClosingChar">
    <w:name w:val="Closing Char"/>
    <w:basedOn w:val="DefaultParagraphFont"/>
    <w:link w:val="Closing"/>
    <w:rsid w:val="001D266E"/>
    <w:rPr>
      <w:sz w:val="24"/>
      <w:szCs w:val="24"/>
    </w:rPr>
  </w:style>
  <w:style w:type="paragraph" w:styleId="Date">
    <w:name w:val="Date"/>
    <w:basedOn w:val="Normal"/>
    <w:next w:val="Normal"/>
    <w:link w:val="DateChar"/>
    <w:rsid w:val="001D266E"/>
    <w:rPr>
      <w:lang w:eastAsia="en-AU"/>
    </w:rPr>
  </w:style>
  <w:style w:type="character" w:customStyle="1" w:styleId="DateChar">
    <w:name w:val="Date Char"/>
    <w:basedOn w:val="DefaultParagraphFont"/>
    <w:link w:val="Date"/>
    <w:rsid w:val="001D266E"/>
    <w:rPr>
      <w:sz w:val="24"/>
      <w:szCs w:val="24"/>
    </w:rPr>
  </w:style>
  <w:style w:type="paragraph" w:styleId="E-mailSignature">
    <w:name w:val="E-mail Signature"/>
    <w:basedOn w:val="Normal"/>
    <w:link w:val="E-mailSignatureChar"/>
    <w:rsid w:val="001D266E"/>
    <w:rPr>
      <w:lang w:eastAsia="en-AU"/>
    </w:rPr>
  </w:style>
  <w:style w:type="character" w:customStyle="1" w:styleId="E-mailSignatureChar">
    <w:name w:val="E-mail Signature Char"/>
    <w:basedOn w:val="DefaultParagraphFont"/>
    <w:link w:val="E-mailSignature"/>
    <w:rsid w:val="001D266E"/>
    <w:rPr>
      <w:sz w:val="24"/>
      <w:szCs w:val="24"/>
    </w:rPr>
  </w:style>
  <w:style w:type="paragraph" w:styleId="EnvelopeAddress">
    <w:name w:val="envelope address"/>
    <w:basedOn w:val="Normal"/>
    <w:rsid w:val="001D266E"/>
    <w:pPr>
      <w:framePr w:w="7920" w:h="1980" w:hRule="exact" w:hSpace="180" w:wrap="auto" w:hAnchor="page" w:xAlign="center" w:yAlign="bottom"/>
      <w:ind w:left="2880"/>
    </w:pPr>
    <w:rPr>
      <w:rFonts w:ascii="Arial" w:hAnsi="Arial" w:cs="Arial"/>
      <w:lang w:eastAsia="en-AU"/>
    </w:rPr>
  </w:style>
  <w:style w:type="paragraph" w:styleId="EnvelopeReturn">
    <w:name w:val="envelope return"/>
    <w:basedOn w:val="Normal"/>
    <w:rsid w:val="001D266E"/>
    <w:rPr>
      <w:rFonts w:ascii="Arial" w:hAnsi="Arial" w:cs="Arial"/>
      <w:sz w:val="20"/>
      <w:szCs w:val="20"/>
      <w:lang w:eastAsia="en-AU"/>
    </w:rPr>
  </w:style>
  <w:style w:type="character" w:styleId="FollowedHyperlink">
    <w:name w:val="FollowedHyperlink"/>
    <w:rsid w:val="001D266E"/>
    <w:rPr>
      <w:rFonts w:cs="Times New Roman"/>
      <w:color w:val="800080"/>
      <w:u w:val="single"/>
    </w:rPr>
  </w:style>
  <w:style w:type="paragraph" w:styleId="Header">
    <w:name w:val="header"/>
    <w:basedOn w:val="Normal"/>
    <w:link w:val="HeaderChar"/>
    <w:rsid w:val="001D266E"/>
    <w:pPr>
      <w:tabs>
        <w:tab w:val="center" w:pos="3969"/>
        <w:tab w:val="right" w:pos="8505"/>
      </w:tabs>
      <w:jc w:val="both"/>
    </w:pPr>
    <w:rPr>
      <w:rFonts w:ascii="Arial" w:hAnsi="Arial" w:cs="Arial"/>
      <w:sz w:val="16"/>
      <w:szCs w:val="16"/>
      <w:lang w:eastAsia="en-AU"/>
    </w:rPr>
  </w:style>
  <w:style w:type="character" w:customStyle="1" w:styleId="HeaderChar">
    <w:name w:val="Header Char"/>
    <w:basedOn w:val="DefaultParagraphFont"/>
    <w:link w:val="Header"/>
    <w:rsid w:val="001D266E"/>
    <w:rPr>
      <w:rFonts w:ascii="Arial" w:hAnsi="Arial" w:cs="Arial"/>
      <w:sz w:val="16"/>
      <w:szCs w:val="16"/>
    </w:rPr>
  </w:style>
  <w:style w:type="character" w:styleId="HTMLAcronym">
    <w:name w:val="HTML Acronym"/>
    <w:rsid w:val="001D266E"/>
    <w:rPr>
      <w:rFonts w:cs="Times New Roman"/>
    </w:rPr>
  </w:style>
  <w:style w:type="paragraph" w:styleId="HTMLAddress">
    <w:name w:val="HTML Address"/>
    <w:basedOn w:val="Normal"/>
    <w:link w:val="HTMLAddressChar"/>
    <w:rsid w:val="001D266E"/>
    <w:rPr>
      <w:i/>
      <w:iCs/>
      <w:lang w:eastAsia="en-AU"/>
    </w:rPr>
  </w:style>
  <w:style w:type="character" w:customStyle="1" w:styleId="HTMLAddressChar">
    <w:name w:val="HTML Address Char"/>
    <w:basedOn w:val="DefaultParagraphFont"/>
    <w:link w:val="HTMLAddress"/>
    <w:rsid w:val="001D266E"/>
    <w:rPr>
      <w:i/>
      <w:iCs/>
      <w:sz w:val="24"/>
      <w:szCs w:val="24"/>
    </w:rPr>
  </w:style>
  <w:style w:type="character" w:styleId="HTMLCite">
    <w:name w:val="HTML Cite"/>
    <w:rsid w:val="001D266E"/>
    <w:rPr>
      <w:rFonts w:cs="Times New Roman"/>
      <w:i/>
      <w:iCs/>
    </w:rPr>
  </w:style>
  <w:style w:type="character" w:styleId="HTMLCode">
    <w:name w:val="HTML Code"/>
    <w:rsid w:val="001D266E"/>
    <w:rPr>
      <w:rFonts w:ascii="Courier New" w:hAnsi="Courier New" w:cs="Courier New"/>
      <w:sz w:val="20"/>
      <w:szCs w:val="20"/>
    </w:rPr>
  </w:style>
  <w:style w:type="character" w:styleId="HTMLDefinition">
    <w:name w:val="HTML Definition"/>
    <w:rsid w:val="001D266E"/>
    <w:rPr>
      <w:rFonts w:cs="Times New Roman"/>
      <w:i/>
      <w:iCs/>
    </w:rPr>
  </w:style>
  <w:style w:type="character" w:styleId="HTMLKeyboard">
    <w:name w:val="HTML Keyboard"/>
    <w:rsid w:val="001D266E"/>
    <w:rPr>
      <w:rFonts w:ascii="Courier New" w:hAnsi="Courier New" w:cs="Courier New"/>
      <w:sz w:val="20"/>
      <w:szCs w:val="20"/>
    </w:rPr>
  </w:style>
  <w:style w:type="paragraph" w:styleId="HTMLPreformatted">
    <w:name w:val="HTML Preformatted"/>
    <w:basedOn w:val="Normal"/>
    <w:link w:val="HTMLPreformattedChar"/>
    <w:rsid w:val="001D266E"/>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rsid w:val="001D266E"/>
    <w:rPr>
      <w:rFonts w:ascii="Courier New" w:hAnsi="Courier New" w:cs="Courier New"/>
    </w:rPr>
  </w:style>
  <w:style w:type="character" w:styleId="HTMLSample">
    <w:name w:val="HTML Sample"/>
    <w:rsid w:val="001D266E"/>
    <w:rPr>
      <w:rFonts w:ascii="Courier New" w:hAnsi="Courier New" w:cs="Courier New"/>
    </w:rPr>
  </w:style>
  <w:style w:type="character" w:styleId="HTMLTypewriter">
    <w:name w:val="HTML Typewriter"/>
    <w:rsid w:val="001D266E"/>
    <w:rPr>
      <w:rFonts w:ascii="Courier New" w:hAnsi="Courier New" w:cs="Courier New"/>
      <w:sz w:val="20"/>
      <w:szCs w:val="20"/>
    </w:rPr>
  </w:style>
  <w:style w:type="character" w:styleId="HTMLVariable">
    <w:name w:val="HTML Variable"/>
    <w:rsid w:val="001D266E"/>
    <w:rPr>
      <w:rFonts w:cs="Times New Roman"/>
      <w:i/>
      <w:iCs/>
    </w:rPr>
  </w:style>
  <w:style w:type="character" w:styleId="Hyperlink">
    <w:name w:val="Hyperlink"/>
    <w:rsid w:val="001D266E"/>
    <w:rPr>
      <w:rFonts w:cs="Times New Roman"/>
      <w:color w:val="0000FF"/>
      <w:u w:val="single"/>
    </w:rPr>
  </w:style>
  <w:style w:type="character" w:styleId="LineNumber">
    <w:name w:val="line number"/>
    <w:rsid w:val="001D266E"/>
    <w:rPr>
      <w:rFonts w:cs="Times New Roman"/>
    </w:rPr>
  </w:style>
  <w:style w:type="paragraph" w:styleId="List">
    <w:name w:val="List"/>
    <w:basedOn w:val="Normal"/>
    <w:rsid w:val="001D266E"/>
    <w:pPr>
      <w:ind w:left="283" w:hanging="283"/>
    </w:pPr>
    <w:rPr>
      <w:lang w:eastAsia="en-AU"/>
    </w:rPr>
  </w:style>
  <w:style w:type="paragraph" w:styleId="List2">
    <w:name w:val="List 2"/>
    <w:basedOn w:val="Normal"/>
    <w:rsid w:val="001D266E"/>
    <w:pPr>
      <w:ind w:left="566" w:hanging="283"/>
    </w:pPr>
    <w:rPr>
      <w:lang w:eastAsia="en-AU"/>
    </w:rPr>
  </w:style>
  <w:style w:type="paragraph" w:styleId="List3">
    <w:name w:val="List 3"/>
    <w:basedOn w:val="Normal"/>
    <w:rsid w:val="001D266E"/>
    <w:pPr>
      <w:ind w:left="849" w:hanging="283"/>
    </w:pPr>
    <w:rPr>
      <w:lang w:eastAsia="en-AU"/>
    </w:rPr>
  </w:style>
  <w:style w:type="paragraph" w:styleId="List4">
    <w:name w:val="List 4"/>
    <w:basedOn w:val="Normal"/>
    <w:rsid w:val="001D266E"/>
    <w:pPr>
      <w:ind w:left="1132" w:hanging="283"/>
    </w:pPr>
    <w:rPr>
      <w:lang w:eastAsia="en-AU"/>
    </w:rPr>
  </w:style>
  <w:style w:type="paragraph" w:styleId="List5">
    <w:name w:val="List 5"/>
    <w:basedOn w:val="Normal"/>
    <w:rsid w:val="001D266E"/>
    <w:pPr>
      <w:ind w:left="1415" w:hanging="283"/>
    </w:pPr>
    <w:rPr>
      <w:lang w:eastAsia="en-AU"/>
    </w:rPr>
  </w:style>
  <w:style w:type="paragraph" w:styleId="ListBullet">
    <w:name w:val="List Bullet"/>
    <w:basedOn w:val="Normal"/>
    <w:autoRedefine/>
    <w:rsid w:val="001D266E"/>
    <w:pPr>
      <w:tabs>
        <w:tab w:val="num" w:pos="360"/>
      </w:tabs>
      <w:ind w:left="360" w:hanging="360"/>
    </w:pPr>
    <w:rPr>
      <w:lang w:eastAsia="en-AU"/>
    </w:rPr>
  </w:style>
  <w:style w:type="paragraph" w:styleId="ListBullet2">
    <w:name w:val="List Bullet 2"/>
    <w:basedOn w:val="Normal"/>
    <w:autoRedefine/>
    <w:rsid w:val="001D266E"/>
    <w:pPr>
      <w:tabs>
        <w:tab w:val="num" w:pos="643"/>
      </w:tabs>
      <w:ind w:left="643" w:hanging="360"/>
    </w:pPr>
    <w:rPr>
      <w:lang w:eastAsia="en-AU"/>
    </w:rPr>
  </w:style>
  <w:style w:type="paragraph" w:styleId="ListBullet3">
    <w:name w:val="List Bullet 3"/>
    <w:basedOn w:val="Normal"/>
    <w:autoRedefine/>
    <w:rsid w:val="001D266E"/>
    <w:pPr>
      <w:tabs>
        <w:tab w:val="num" w:pos="926"/>
      </w:tabs>
      <w:ind w:left="926" w:hanging="360"/>
    </w:pPr>
    <w:rPr>
      <w:lang w:eastAsia="en-AU"/>
    </w:rPr>
  </w:style>
  <w:style w:type="paragraph" w:styleId="ListBullet4">
    <w:name w:val="List Bullet 4"/>
    <w:basedOn w:val="Normal"/>
    <w:autoRedefine/>
    <w:rsid w:val="001D266E"/>
    <w:pPr>
      <w:tabs>
        <w:tab w:val="num" w:pos="1209"/>
      </w:tabs>
      <w:ind w:left="1209" w:hanging="360"/>
    </w:pPr>
    <w:rPr>
      <w:lang w:eastAsia="en-AU"/>
    </w:rPr>
  </w:style>
  <w:style w:type="paragraph" w:styleId="ListBullet5">
    <w:name w:val="List Bullet 5"/>
    <w:basedOn w:val="Normal"/>
    <w:autoRedefine/>
    <w:rsid w:val="001D266E"/>
    <w:pPr>
      <w:tabs>
        <w:tab w:val="num" w:pos="1492"/>
      </w:tabs>
      <w:ind w:left="1492" w:hanging="360"/>
    </w:pPr>
    <w:rPr>
      <w:lang w:eastAsia="en-AU"/>
    </w:rPr>
  </w:style>
  <w:style w:type="paragraph" w:styleId="ListContinue">
    <w:name w:val="List Continue"/>
    <w:basedOn w:val="Normal"/>
    <w:rsid w:val="001D266E"/>
    <w:pPr>
      <w:spacing w:after="120"/>
      <w:ind w:left="283"/>
    </w:pPr>
    <w:rPr>
      <w:lang w:eastAsia="en-AU"/>
    </w:rPr>
  </w:style>
  <w:style w:type="paragraph" w:styleId="ListContinue2">
    <w:name w:val="List Continue 2"/>
    <w:basedOn w:val="Normal"/>
    <w:rsid w:val="001D266E"/>
    <w:pPr>
      <w:spacing w:after="120"/>
      <w:ind w:left="566"/>
    </w:pPr>
    <w:rPr>
      <w:lang w:eastAsia="en-AU"/>
    </w:rPr>
  </w:style>
  <w:style w:type="paragraph" w:styleId="ListContinue3">
    <w:name w:val="List Continue 3"/>
    <w:basedOn w:val="Normal"/>
    <w:rsid w:val="001D266E"/>
    <w:pPr>
      <w:spacing w:after="120"/>
      <w:ind w:left="849"/>
    </w:pPr>
    <w:rPr>
      <w:lang w:eastAsia="en-AU"/>
    </w:rPr>
  </w:style>
  <w:style w:type="paragraph" w:styleId="ListContinue4">
    <w:name w:val="List Continue 4"/>
    <w:basedOn w:val="Normal"/>
    <w:rsid w:val="001D266E"/>
    <w:pPr>
      <w:spacing w:after="120"/>
      <w:ind w:left="1132"/>
    </w:pPr>
    <w:rPr>
      <w:lang w:eastAsia="en-AU"/>
    </w:rPr>
  </w:style>
  <w:style w:type="paragraph" w:styleId="ListContinue5">
    <w:name w:val="List Continue 5"/>
    <w:basedOn w:val="Normal"/>
    <w:rsid w:val="001D266E"/>
    <w:pPr>
      <w:spacing w:after="120"/>
      <w:ind w:left="1415"/>
    </w:pPr>
    <w:rPr>
      <w:lang w:eastAsia="en-AU"/>
    </w:rPr>
  </w:style>
  <w:style w:type="paragraph" w:styleId="ListNumber">
    <w:name w:val="List Number"/>
    <w:basedOn w:val="Normal"/>
    <w:rsid w:val="001D266E"/>
    <w:pPr>
      <w:tabs>
        <w:tab w:val="num" w:pos="360"/>
      </w:tabs>
      <w:ind w:left="360" w:hanging="360"/>
    </w:pPr>
    <w:rPr>
      <w:lang w:eastAsia="en-AU"/>
    </w:rPr>
  </w:style>
  <w:style w:type="paragraph" w:styleId="ListNumber2">
    <w:name w:val="List Number 2"/>
    <w:basedOn w:val="Normal"/>
    <w:rsid w:val="001D266E"/>
    <w:pPr>
      <w:tabs>
        <w:tab w:val="num" w:pos="643"/>
      </w:tabs>
      <w:ind w:left="643" w:hanging="360"/>
    </w:pPr>
    <w:rPr>
      <w:lang w:eastAsia="en-AU"/>
    </w:rPr>
  </w:style>
  <w:style w:type="paragraph" w:styleId="ListNumber3">
    <w:name w:val="List Number 3"/>
    <w:basedOn w:val="Normal"/>
    <w:rsid w:val="001D266E"/>
    <w:pPr>
      <w:tabs>
        <w:tab w:val="num" w:pos="926"/>
      </w:tabs>
      <w:ind w:left="926" w:hanging="360"/>
    </w:pPr>
    <w:rPr>
      <w:lang w:eastAsia="en-AU"/>
    </w:rPr>
  </w:style>
  <w:style w:type="paragraph" w:styleId="ListNumber4">
    <w:name w:val="List Number 4"/>
    <w:basedOn w:val="Normal"/>
    <w:rsid w:val="001D266E"/>
    <w:pPr>
      <w:tabs>
        <w:tab w:val="num" w:pos="1209"/>
      </w:tabs>
      <w:ind w:left="1209" w:hanging="360"/>
    </w:pPr>
    <w:rPr>
      <w:lang w:eastAsia="en-AU"/>
    </w:rPr>
  </w:style>
  <w:style w:type="paragraph" w:styleId="ListNumber5">
    <w:name w:val="List Number 5"/>
    <w:basedOn w:val="Normal"/>
    <w:rsid w:val="001D266E"/>
    <w:pPr>
      <w:tabs>
        <w:tab w:val="num" w:pos="1492"/>
      </w:tabs>
      <w:ind w:left="1492" w:hanging="360"/>
    </w:pPr>
    <w:rPr>
      <w:lang w:eastAsia="en-AU"/>
    </w:rPr>
  </w:style>
  <w:style w:type="paragraph" w:styleId="MessageHeader">
    <w:name w:val="Message Header"/>
    <w:basedOn w:val="Normal"/>
    <w:link w:val="MessageHeaderChar"/>
    <w:rsid w:val="001D26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AU"/>
    </w:rPr>
  </w:style>
  <w:style w:type="character" w:customStyle="1" w:styleId="MessageHeaderChar">
    <w:name w:val="Message Header Char"/>
    <w:basedOn w:val="DefaultParagraphFont"/>
    <w:link w:val="MessageHeader"/>
    <w:rsid w:val="001D266E"/>
    <w:rPr>
      <w:rFonts w:ascii="Arial" w:hAnsi="Arial" w:cs="Arial"/>
      <w:sz w:val="24"/>
      <w:szCs w:val="24"/>
      <w:shd w:val="pct20" w:color="auto" w:fill="auto"/>
    </w:rPr>
  </w:style>
  <w:style w:type="paragraph" w:styleId="NormalWeb">
    <w:name w:val="Normal (Web)"/>
    <w:basedOn w:val="Normal"/>
    <w:uiPriority w:val="99"/>
    <w:rsid w:val="001D266E"/>
    <w:rPr>
      <w:lang w:eastAsia="en-AU"/>
    </w:rPr>
  </w:style>
  <w:style w:type="paragraph" w:styleId="NormalIndent">
    <w:name w:val="Normal Indent"/>
    <w:basedOn w:val="Normal"/>
    <w:rsid w:val="001D266E"/>
    <w:pPr>
      <w:ind w:left="720"/>
    </w:pPr>
    <w:rPr>
      <w:lang w:eastAsia="en-AU"/>
    </w:rPr>
  </w:style>
  <w:style w:type="paragraph" w:styleId="NoteHeading">
    <w:name w:val="Note Heading"/>
    <w:aliases w:val="HN"/>
    <w:basedOn w:val="Normal"/>
    <w:next w:val="Normal"/>
    <w:link w:val="NoteHeadingChar"/>
    <w:rsid w:val="001D266E"/>
    <w:pPr>
      <w:keepNext/>
      <w:keepLines/>
      <w:pageBreakBefore/>
      <w:tabs>
        <w:tab w:val="left" w:pos="1559"/>
      </w:tabs>
      <w:spacing w:before="120" w:line="240" w:lineRule="atLeast"/>
    </w:pPr>
    <w:rPr>
      <w:rFonts w:ascii="Arial" w:hAnsi="Arial" w:cs="Arial"/>
      <w:b/>
      <w:bCs/>
      <w:sz w:val="32"/>
      <w:szCs w:val="32"/>
      <w:lang w:eastAsia="en-AU"/>
    </w:rPr>
  </w:style>
  <w:style w:type="character" w:customStyle="1" w:styleId="NoteHeadingChar">
    <w:name w:val="Note Heading Char"/>
    <w:aliases w:val="HN Char"/>
    <w:basedOn w:val="DefaultParagraphFont"/>
    <w:link w:val="NoteHeading"/>
    <w:rsid w:val="001D266E"/>
    <w:rPr>
      <w:rFonts w:ascii="Arial" w:hAnsi="Arial" w:cs="Arial"/>
      <w:b/>
      <w:bCs/>
      <w:sz w:val="32"/>
      <w:szCs w:val="32"/>
    </w:rPr>
  </w:style>
  <w:style w:type="character" w:styleId="PageNumber">
    <w:name w:val="page number"/>
    <w:rsid w:val="001D266E"/>
    <w:rPr>
      <w:rFonts w:ascii="Arial" w:hAnsi="Arial" w:cs="Arial"/>
      <w:sz w:val="22"/>
      <w:szCs w:val="22"/>
    </w:rPr>
  </w:style>
  <w:style w:type="paragraph" w:styleId="PlainText">
    <w:name w:val="Plain Text"/>
    <w:basedOn w:val="Normal"/>
    <w:link w:val="PlainTextChar"/>
    <w:rsid w:val="001D266E"/>
    <w:rPr>
      <w:rFonts w:ascii="Courier New" w:hAnsi="Courier New" w:cs="Courier New"/>
      <w:sz w:val="20"/>
      <w:szCs w:val="20"/>
      <w:lang w:eastAsia="en-AU"/>
    </w:rPr>
  </w:style>
  <w:style w:type="character" w:customStyle="1" w:styleId="PlainTextChar">
    <w:name w:val="Plain Text Char"/>
    <w:basedOn w:val="DefaultParagraphFont"/>
    <w:link w:val="PlainText"/>
    <w:rsid w:val="001D266E"/>
    <w:rPr>
      <w:rFonts w:ascii="Courier New" w:hAnsi="Courier New" w:cs="Courier New"/>
    </w:rPr>
  </w:style>
  <w:style w:type="paragraph" w:styleId="Salutation">
    <w:name w:val="Salutation"/>
    <w:basedOn w:val="Normal"/>
    <w:next w:val="Normal"/>
    <w:link w:val="SalutationChar"/>
    <w:rsid w:val="001D266E"/>
    <w:rPr>
      <w:lang w:eastAsia="en-AU"/>
    </w:rPr>
  </w:style>
  <w:style w:type="character" w:customStyle="1" w:styleId="SalutationChar">
    <w:name w:val="Salutation Char"/>
    <w:basedOn w:val="DefaultParagraphFont"/>
    <w:link w:val="Salutation"/>
    <w:rsid w:val="001D266E"/>
    <w:rPr>
      <w:sz w:val="24"/>
      <w:szCs w:val="24"/>
    </w:rPr>
  </w:style>
  <w:style w:type="paragraph" w:styleId="Signature">
    <w:name w:val="Signature"/>
    <w:basedOn w:val="Normal"/>
    <w:link w:val="SignatureChar"/>
    <w:rsid w:val="001D266E"/>
    <w:pPr>
      <w:ind w:left="4252"/>
    </w:pPr>
    <w:rPr>
      <w:lang w:eastAsia="en-AU"/>
    </w:rPr>
  </w:style>
  <w:style w:type="character" w:customStyle="1" w:styleId="SignatureChar">
    <w:name w:val="Signature Char"/>
    <w:basedOn w:val="DefaultParagraphFont"/>
    <w:link w:val="Signature"/>
    <w:rsid w:val="001D266E"/>
    <w:rPr>
      <w:sz w:val="24"/>
      <w:szCs w:val="24"/>
    </w:rPr>
  </w:style>
  <w:style w:type="table" w:styleId="Table3Deffects1">
    <w:name w:val="Table 3D effects 1"/>
    <w:basedOn w:val="TableNormal"/>
    <w:rsid w:val="001D266E"/>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266E"/>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1D266E"/>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1D266E"/>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1D266E"/>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1D266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1D266E"/>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1D26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1D266E"/>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1D26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266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1D266E"/>
    <w:rPr>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1D266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1D266E"/>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1D266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1D266E"/>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266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rsid w:val="001D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1D266E"/>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1D266E"/>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1D266E"/>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1D266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D266E"/>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D266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D26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1D266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1D266E"/>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1D266E"/>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1D266E"/>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1D26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266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266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D266E"/>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266E"/>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266E"/>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266E"/>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1D266E"/>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1D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D266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1D266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1D266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1D266E"/>
    <w:pPr>
      <w:keepNext/>
      <w:spacing w:before="480" w:line="260" w:lineRule="exact"/>
      <w:ind w:left="964" w:hanging="964"/>
    </w:pPr>
    <w:rPr>
      <w:rFonts w:ascii="Arial" w:hAnsi="Arial" w:cs="Arial"/>
      <w:b/>
      <w:bCs/>
      <w:lang w:eastAsia="en-AU"/>
    </w:rPr>
  </w:style>
  <w:style w:type="paragraph" w:customStyle="1" w:styleId="A1S">
    <w:name w:val="A1S"/>
    <w:aliases w:val="1.Schedule Amendment"/>
    <w:basedOn w:val="Normal"/>
    <w:next w:val="A2S"/>
    <w:rsid w:val="001D266E"/>
    <w:pPr>
      <w:keepNext/>
      <w:spacing w:before="480" w:line="260" w:lineRule="exact"/>
      <w:ind w:left="964" w:hanging="964"/>
    </w:pPr>
    <w:rPr>
      <w:rFonts w:ascii="Arial" w:hAnsi="Arial" w:cs="Arial"/>
      <w:b/>
      <w:bCs/>
      <w:lang w:eastAsia="en-AU"/>
    </w:rPr>
  </w:style>
  <w:style w:type="paragraph" w:customStyle="1" w:styleId="A2">
    <w:name w:val="A2"/>
    <w:aliases w:val="1.1 amendment,Instruction amendment"/>
    <w:basedOn w:val="Normal"/>
    <w:next w:val="Normal"/>
    <w:rsid w:val="001D266E"/>
    <w:pPr>
      <w:tabs>
        <w:tab w:val="right" w:pos="794"/>
      </w:tabs>
      <w:spacing w:before="120" w:line="260" w:lineRule="exact"/>
      <w:ind w:left="964" w:hanging="964"/>
      <w:jc w:val="both"/>
    </w:pPr>
    <w:rPr>
      <w:lang w:eastAsia="en-AU"/>
    </w:rPr>
  </w:style>
  <w:style w:type="paragraph" w:customStyle="1" w:styleId="A2S">
    <w:name w:val="A2S"/>
    <w:aliases w:val="Schedule Inst Amendment"/>
    <w:basedOn w:val="Normal"/>
    <w:next w:val="A3S"/>
    <w:link w:val="A2SChar"/>
    <w:rsid w:val="001D266E"/>
    <w:pPr>
      <w:keepNext/>
      <w:spacing w:before="120" w:line="260" w:lineRule="exact"/>
      <w:ind w:left="964"/>
    </w:pPr>
    <w:rPr>
      <w:i/>
      <w:iCs/>
      <w:lang w:eastAsia="en-AU"/>
    </w:rPr>
  </w:style>
  <w:style w:type="paragraph" w:customStyle="1" w:styleId="A3">
    <w:name w:val="A3"/>
    <w:aliases w:val="1.2 amendment"/>
    <w:basedOn w:val="Normal"/>
    <w:rsid w:val="001D266E"/>
    <w:pPr>
      <w:tabs>
        <w:tab w:val="right" w:pos="794"/>
      </w:tabs>
      <w:spacing w:before="180" w:line="260" w:lineRule="exact"/>
      <w:ind w:left="964" w:hanging="964"/>
      <w:jc w:val="both"/>
    </w:pPr>
    <w:rPr>
      <w:lang w:eastAsia="en-AU"/>
    </w:rPr>
  </w:style>
  <w:style w:type="paragraph" w:customStyle="1" w:styleId="A3S">
    <w:name w:val="A3S"/>
    <w:aliases w:val="Schedule Amendment"/>
    <w:basedOn w:val="Normal"/>
    <w:next w:val="A1S"/>
    <w:rsid w:val="001D266E"/>
    <w:pPr>
      <w:spacing w:before="60" w:line="260" w:lineRule="exact"/>
      <w:ind w:left="1247"/>
      <w:jc w:val="both"/>
    </w:pPr>
    <w:rPr>
      <w:lang w:eastAsia="en-AU"/>
    </w:rPr>
  </w:style>
  <w:style w:type="paragraph" w:customStyle="1" w:styleId="A4">
    <w:name w:val="A4"/>
    <w:aliases w:val="(a) Amendment"/>
    <w:basedOn w:val="Normal"/>
    <w:rsid w:val="001D266E"/>
    <w:pPr>
      <w:tabs>
        <w:tab w:val="right" w:pos="1247"/>
      </w:tabs>
      <w:spacing w:before="60" w:line="260" w:lineRule="exact"/>
      <w:ind w:left="1531" w:hanging="1531"/>
      <w:jc w:val="both"/>
    </w:pPr>
    <w:rPr>
      <w:lang w:eastAsia="en-AU"/>
    </w:rPr>
  </w:style>
  <w:style w:type="paragraph" w:customStyle="1" w:styleId="A5">
    <w:name w:val="A5"/>
    <w:aliases w:val="(i) Amendment"/>
    <w:basedOn w:val="Normal"/>
    <w:rsid w:val="001D266E"/>
    <w:pPr>
      <w:tabs>
        <w:tab w:val="right" w:pos="1758"/>
      </w:tabs>
      <w:spacing w:before="60" w:line="260" w:lineRule="exact"/>
      <w:ind w:left="2041" w:hanging="2041"/>
      <w:jc w:val="both"/>
    </w:pPr>
    <w:rPr>
      <w:lang w:eastAsia="en-AU"/>
    </w:rPr>
  </w:style>
  <w:style w:type="paragraph" w:customStyle="1" w:styleId="AN">
    <w:name w:val="AN"/>
    <w:aliases w:val="Note Amendment"/>
    <w:basedOn w:val="Normal"/>
    <w:next w:val="A1"/>
    <w:rsid w:val="001D266E"/>
    <w:pPr>
      <w:spacing w:before="120" w:line="220" w:lineRule="exact"/>
      <w:ind w:left="964"/>
      <w:jc w:val="both"/>
    </w:pPr>
    <w:rPr>
      <w:sz w:val="20"/>
      <w:szCs w:val="20"/>
      <w:lang w:eastAsia="en-AU"/>
    </w:rPr>
  </w:style>
  <w:style w:type="paragraph" w:customStyle="1" w:styleId="ASref">
    <w:name w:val="AS ref"/>
    <w:basedOn w:val="Normal"/>
    <w:next w:val="A1S"/>
    <w:rsid w:val="001D266E"/>
    <w:pPr>
      <w:keepNext/>
      <w:spacing w:before="60" w:line="200" w:lineRule="exact"/>
      <w:ind w:left="2410"/>
    </w:pPr>
    <w:rPr>
      <w:rFonts w:ascii="Arial" w:hAnsi="Arial" w:cs="Arial"/>
      <w:sz w:val="18"/>
      <w:szCs w:val="18"/>
      <w:lang w:eastAsia="en-AU"/>
    </w:rPr>
  </w:style>
  <w:style w:type="paragraph" w:customStyle="1" w:styleId="AS">
    <w:name w:val="AS"/>
    <w:aliases w:val="Schedule title Amendment"/>
    <w:basedOn w:val="Normal"/>
    <w:next w:val="ASref"/>
    <w:rsid w:val="001D266E"/>
    <w:pPr>
      <w:keepNext/>
      <w:spacing w:before="480"/>
      <w:ind w:left="2410" w:hanging="2410"/>
    </w:pPr>
    <w:rPr>
      <w:rFonts w:ascii="Arial" w:hAnsi="Arial" w:cs="Arial"/>
      <w:b/>
      <w:bCs/>
      <w:sz w:val="32"/>
      <w:szCs w:val="32"/>
      <w:lang w:eastAsia="en-AU"/>
    </w:rPr>
  </w:style>
  <w:style w:type="paragraph" w:customStyle="1" w:styleId="ASP">
    <w:name w:val="ASP"/>
    <w:aliases w:val="Schedule Part Amendment"/>
    <w:basedOn w:val="Normal"/>
    <w:next w:val="A1S"/>
    <w:rsid w:val="001D266E"/>
    <w:pPr>
      <w:keepNext/>
      <w:spacing w:before="360"/>
      <w:ind w:left="2410" w:hanging="2410"/>
    </w:pPr>
    <w:rPr>
      <w:rFonts w:ascii="Arial" w:hAnsi="Arial" w:cs="Arial"/>
      <w:b/>
      <w:bCs/>
      <w:sz w:val="28"/>
      <w:szCs w:val="28"/>
      <w:lang w:eastAsia="en-AU"/>
    </w:rPr>
  </w:style>
  <w:style w:type="paragraph" w:styleId="BalloonText">
    <w:name w:val="Balloon Text"/>
    <w:basedOn w:val="Normal"/>
    <w:link w:val="BalloonTextChar"/>
    <w:rsid w:val="001D266E"/>
    <w:rPr>
      <w:rFonts w:ascii="Tahoma" w:hAnsi="Tahoma" w:cs="Tahoma"/>
      <w:sz w:val="16"/>
      <w:szCs w:val="16"/>
      <w:lang w:eastAsia="en-AU"/>
    </w:rPr>
  </w:style>
  <w:style w:type="character" w:customStyle="1" w:styleId="BalloonTextChar">
    <w:name w:val="Balloon Text Char"/>
    <w:basedOn w:val="DefaultParagraphFont"/>
    <w:link w:val="BalloonText"/>
    <w:rsid w:val="001D266E"/>
    <w:rPr>
      <w:rFonts w:ascii="Tahoma" w:hAnsi="Tahoma" w:cs="Tahoma"/>
      <w:sz w:val="16"/>
      <w:szCs w:val="16"/>
    </w:rPr>
  </w:style>
  <w:style w:type="paragraph" w:styleId="Caption">
    <w:name w:val="caption"/>
    <w:basedOn w:val="Normal"/>
    <w:next w:val="Normal"/>
    <w:qFormat/>
    <w:rsid w:val="001D266E"/>
    <w:pPr>
      <w:spacing w:before="120" w:after="120"/>
    </w:pPr>
    <w:rPr>
      <w:b/>
      <w:bCs/>
      <w:sz w:val="20"/>
      <w:szCs w:val="20"/>
      <w:lang w:eastAsia="en-AU"/>
    </w:rPr>
  </w:style>
  <w:style w:type="character" w:customStyle="1" w:styleId="CharAmSchNo">
    <w:name w:val="CharAmSchNo"/>
    <w:rsid w:val="001D266E"/>
    <w:rPr>
      <w:rFonts w:cs="Times New Roman"/>
    </w:rPr>
  </w:style>
  <w:style w:type="character" w:customStyle="1" w:styleId="CharAmSchText">
    <w:name w:val="CharAmSchText"/>
    <w:rsid w:val="001D266E"/>
    <w:rPr>
      <w:rFonts w:cs="Times New Roman"/>
    </w:rPr>
  </w:style>
  <w:style w:type="character" w:customStyle="1" w:styleId="CharChapNo">
    <w:name w:val="CharChapNo"/>
    <w:rsid w:val="001D266E"/>
    <w:rPr>
      <w:rFonts w:cs="Times New Roman"/>
    </w:rPr>
  </w:style>
  <w:style w:type="character" w:customStyle="1" w:styleId="CharChapText">
    <w:name w:val="CharChapText"/>
    <w:rsid w:val="001D266E"/>
    <w:rPr>
      <w:rFonts w:cs="Times New Roman"/>
    </w:rPr>
  </w:style>
  <w:style w:type="character" w:customStyle="1" w:styleId="CharDivNo">
    <w:name w:val="CharDivNo"/>
    <w:rsid w:val="001D266E"/>
    <w:rPr>
      <w:rFonts w:cs="Times New Roman"/>
    </w:rPr>
  </w:style>
  <w:style w:type="character" w:customStyle="1" w:styleId="CharDivText">
    <w:name w:val="CharDivText"/>
    <w:rsid w:val="001D266E"/>
    <w:rPr>
      <w:rFonts w:cs="Times New Roman"/>
    </w:rPr>
  </w:style>
  <w:style w:type="character" w:customStyle="1" w:styleId="CharPartNo">
    <w:name w:val="CharPartNo"/>
    <w:qFormat/>
    <w:rsid w:val="001D266E"/>
    <w:rPr>
      <w:rFonts w:cs="Times New Roman"/>
    </w:rPr>
  </w:style>
  <w:style w:type="character" w:customStyle="1" w:styleId="CharPartText">
    <w:name w:val="CharPartText"/>
    <w:qFormat/>
    <w:rsid w:val="001D266E"/>
    <w:rPr>
      <w:rFonts w:cs="Times New Roman"/>
    </w:rPr>
  </w:style>
  <w:style w:type="character" w:customStyle="1" w:styleId="CharSchPTNo">
    <w:name w:val="CharSchPTNo"/>
    <w:rsid w:val="001D266E"/>
    <w:rPr>
      <w:rFonts w:cs="Times New Roman"/>
    </w:rPr>
  </w:style>
  <w:style w:type="character" w:customStyle="1" w:styleId="CharSchPTText">
    <w:name w:val="CharSchPTText"/>
    <w:rsid w:val="001D266E"/>
    <w:rPr>
      <w:rFonts w:cs="Times New Roman"/>
    </w:rPr>
  </w:style>
  <w:style w:type="character" w:customStyle="1" w:styleId="CharSectno">
    <w:name w:val="CharSectno"/>
    <w:rsid w:val="001D266E"/>
    <w:rPr>
      <w:rFonts w:cs="Times New Roman"/>
    </w:rPr>
  </w:style>
  <w:style w:type="character" w:styleId="CommentReference">
    <w:name w:val="annotation reference"/>
    <w:rsid w:val="001D266E"/>
    <w:rPr>
      <w:rFonts w:cs="Times New Roman"/>
      <w:sz w:val="16"/>
      <w:szCs w:val="16"/>
    </w:rPr>
  </w:style>
  <w:style w:type="paragraph" w:styleId="CommentText">
    <w:name w:val="annotation text"/>
    <w:basedOn w:val="Normal"/>
    <w:link w:val="CommentTextChar"/>
    <w:rsid w:val="001D266E"/>
    <w:rPr>
      <w:sz w:val="20"/>
      <w:szCs w:val="20"/>
      <w:lang w:eastAsia="en-AU"/>
    </w:rPr>
  </w:style>
  <w:style w:type="character" w:customStyle="1" w:styleId="CommentTextChar">
    <w:name w:val="Comment Text Char"/>
    <w:basedOn w:val="DefaultParagraphFont"/>
    <w:link w:val="CommentText"/>
    <w:rsid w:val="001D266E"/>
  </w:style>
  <w:style w:type="paragraph" w:styleId="CommentSubject">
    <w:name w:val="annotation subject"/>
    <w:basedOn w:val="CommentText"/>
    <w:next w:val="CommentText"/>
    <w:link w:val="CommentSubjectChar"/>
    <w:rsid w:val="001D266E"/>
    <w:rPr>
      <w:b/>
      <w:bCs/>
    </w:rPr>
  </w:style>
  <w:style w:type="character" w:customStyle="1" w:styleId="CommentSubjectChar">
    <w:name w:val="Comment Subject Char"/>
    <w:basedOn w:val="CommentTextChar"/>
    <w:link w:val="CommentSubject"/>
    <w:rsid w:val="001D266E"/>
    <w:rPr>
      <w:b/>
      <w:bCs/>
    </w:rPr>
  </w:style>
  <w:style w:type="paragraph" w:customStyle="1" w:styleId="ContentsHead">
    <w:name w:val="ContentsHead"/>
    <w:basedOn w:val="Normal"/>
    <w:next w:val="Normal"/>
    <w:rsid w:val="001D266E"/>
    <w:pPr>
      <w:keepNext/>
      <w:spacing w:before="240" w:after="240"/>
    </w:pPr>
    <w:rPr>
      <w:rFonts w:ascii="Arial" w:hAnsi="Arial" w:cs="Arial"/>
      <w:b/>
      <w:bCs/>
      <w:sz w:val="28"/>
      <w:szCs w:val="28"/>
      <w:lang w:eastAsia="en-AU"/>
    </w:rPr>
  </w:style>
  <w:style w:type="paragraph" w:customStyle="1" w:styleId="ContentsSectionBreak">
    <w:name w:val="ContentsSectionBreak"/>
    <w:basedOn w:val="Normal"/>
    <w:next w:val="Normal"/>
    <w:rsid w:val="001D266E"/>
    <w:rPr>
      <w:lang w:eastAsia="en-AU"/>
    </w:rPr>
  </w:style>
  <w:style w:type="paragraph" w:customStyle="1" w:styleId="DD">
    <w:name w:val="DD"/>
    <w:aliases w:val="Dictionary Definition"/>
    <w:basedOn w:val="Normal"/>
    <w:rsid w:val="001D266E"/>
    <w:pPr>
      <w:spacing w:before="80" w:line="260" w:lineRule="exact"/>
      <w:jc w:val="both"/>
    </w:pPr>
    <w:rPr>
      <w:lang w:eastAsia="en-AU"/>
    </w:rPr>
  </w:style>
  <w:style w:type="paragraph" w:customStyle="1" w:styleId="definition">
    <w:name w:val="definition"/>
    <w:basedOn w:val="Normal"/>
    <w:rsid w:val="001D266E"/>
    <w:pPr>
      <w:spacing w:before="80" w:line="260" w:lineRule="exact"/>
      <w:ind w:left="964"/>
      <w:jc w:val="both"/>
    </w:pPr>
    <w:rPr>
      <w:lang w:eastAsia="en-AU"/>
    </w:rPr>
  </w:style>
  <w:style w:type="paragraph" w:customStyle="1" w:styleId="DictionaryHeading">
    <w:name w:val="Dictionary Heading"/>
    <w:basedOn w:val="Normal"/>
    <w:next w:val="DD"/>
    <w:rsid w:val="001D266E"/>
    <w:pPr>
      <w:keepNext/>
      <w:spacing w:before="480"/>
      <w:ind w:left="2552" w:hanging="2552"/>
    </w:pPr>
    <w:rPr>
      <w:rFonts w:ascii="Arial" w:hAnsi="Arial" w:cs="Arial"/>
      <w:b/>
      <w:bCs/>
      <w:sz w:val="32"/>
      <w:szCs w:val="32"/>
      <w:lang w:eastAsia="en-AU"/>
    </w:rPr>
  </w:style>
  <w:style w:type="paragraph" w:customStyle="1" w:styleId="DictionarySectionBreak">
    <w:name w:val="DictionarySectionBreak"/>
    <w:basedOn w:val="Normal"/>
    <w:next w:val="Normal"/>
    <w:rsid w:val="001D266E"/>
    <w:rPr>
      <w:lang w:eastAsia="en-AU"/>
    </w:rPr>
  </w:style>
  <w:style w:type="paragraph" w:customStyle="1" w:styleId="DNote">
    <w:name w:val="DNote"/>
    <w:aliases w:val="DictionaryNote"/>
    <w:basedOn w:val="Normal"/>
    <w:rsid w:val="001D266E"/>
    <w:pPr>
      <w:spacing w:before="120" w:line="220" w:lineRule="exact"/>
      <w:ind w:left="425"/>
      <w:jc w:val="both"/>
    </w:pPr>
    <w:rPr>
      <w:sz w:val="20"/>
      <w:szCs w:val="20"/>
      <w:lang w:eastAsia="en-AU"/>
    </w:rPr>
  </w:style>
  <w:style w:type="paragraph" w:styleId="DocumentMap">
    <w:name w:val="Document Map"/>
    <w:basedOn w:val="Normal"/>
    <w:link w:val="DocumentMapChar"/>
    <w:rsid w:val="001D266E"/>
    <w:pPr>
      <w:shd w:val="clear" w:color="auto" w:fill="000080"/>
    </w:pPr>
    <w:rPr>
      <w:rFonts w:ascii="Tahoma" w:hAnsi="Tahoma" w:cs="Tahoma"/>
      <w:lang w:eastAsia="en-AU"/>
    </w:rPr>
  </w:style>
  <w:style w:type="character" w:customStyle="1" w:styleId="DocumentMapChar">
    <w:name w:val="Document Map Char"/>
    <w:basedOn w:val="DefaultParagraphFont"/>
    <w:link w:val="DocumentMap"/>
    <w:rsid w:val="001D266E"/>
    <w:rPr>
      <w:rFonts w:ascii="Tahoma" w:hAnsi="Tahoma" w:cs="Tahoma"/>
      <w:sz w:val="24"/>
      <w:szCs w:val="24"/>
      <w:shd w:val="clear" w:color="auto" w:fill="000080"/>
    </w:rPr>
  </w:style>
  <w:style w:type="paragraph" w:customStyle="1" w:styleId="DP1a">
    <w:name w:val="DP1(a)"/>
    <w:aliases w:val="Dictionary (a)"/>
    <w:basedOn w:val="Normal"/>
    <w:rsid w:val="001D266E"/>
    <w:pPr>
      <w:tabs>
        <w:tab w:val="right" w:pos="709"/>
      </w:tabs>
      <w:spacing w:before="60" w:line="260" w:lineRule="exact"/>
      <w:ind w:left="936" w:hanging="936"/>
      <w:jc w:val="both"/>
    </w:pPr>
    <w:rPr>
      <w:lang w:eastAsia="en-AU"/>
    </w:rPr>
  </w:style>
  <w:style w:type="paragraph" w:customStyle="1" w:styleId="DP2i">
    <w:name w:val="DP2(i)"/>
    <w:aliases w:val="Dictionary(i)"/>
    <w:basedOn w:val="Normal"/>
    <w:rsid w:val="001D266E"/>
    <w:pPr>
      <w:tabs>
        <w:tab w:val="right" w:pos="1276"/>
      </w:tabs>
      <w:spacing w:before="60" w:line="260" w:lineRule="exact"/>
      <w:ind w:left="1503" w:hanging="1503"/>
      <w:jc w:val="both"/>
    </w:pPr>
    <w:rPr>
      <w:lang w:eastAsia="en-AU"/>
    </w:rPr>
  </w:style>
  <w:style w:type="character" w:styleId="EndnoteReference">
    <w:name w:val="endnote reference"/>
    <w:rsid w:val="001D266E"/>
    <w:rPr>
      <w:rFonts w:cs="Times New Roman"/>
      <w:vertAlign w:val="superscript"/>
    </w:rPr>
  </w:style>
  <w:style w:type="paragraph" w:styleId="EndnoteText">
    <w:name w:val="endnote text"/>
    <w:basedOn w:val="Normal"/>
    <w:link w:val="EndnoteTextChar"/>
    <w:rsid w:val="001D266E"/>
    <w:rPr>
      <w:sz w:val="20"/>
      <w:szCs w:val="20"/>
      <w:lang w:eastAsia="en-AU"/>
    </w:rPr>
  </w:style>
  <w:style w:type="character" w:customStyle="1" w:styleId="EndnoteTextChar">
    <w:name w:val="Endnote Text Char"/>
    <w:basedOn w:val="DefaultParagraphFont"/>
    <w:link w:val="EndnoteText"/>
    <w:rsid w:val="001D266E"/>
  </w:style>
  <w:style w:type="paragraph" w:customStyle="1" w:styleId="ExampleBody">
    <w:name w:val="Example Body"/>
    <w:basedOn w:val="Normal"/>
    <w:rsid w:val="001D266E"/>
    <w:pPr>
      <w:spacing w:before="60" w:line="220" w:lineRule="exact"/>
      <w:ind w:left="964"/>
      <w:jc w:val="both"/>
    </w:pPr>
    <w:rPr>
      <w:sz w:val="20"/>
      <w:szCs w:val="20"/>
      <w:lang w:eastAsia="en-AU"/>
    </w:rPr>
  </w:style>
  <w:style w:type="paragraph" w:customStyle="1" w:styleId="ExampleList">
    <w:name w:val="Example List"/>
    <w:basedOn w:val="Normal"/>
    <w:rsid w:val="001D266E"/>
    <w:pPr>
      <w:tabs>
        <w:tab w:val="left" w:pos="1247"/>
        <w:tab w:val="left" w:pos="1349"/>
      </w:tabs>
      <w:spacing w:before="60" w:line="220" w:lineRule="exact"/>
      <w:ind w:left="340" w:firstLine="652"/>
      <w:jc w:val="both"/>
    </w:pPr>
    <w:rPr>
      <w:sz w:val="20"/>
      <w:szCs w:val="20"/>
      <w:lang w:eastAsia="en-AU"/>
    </w:rPr>
  </w:style>
  <w:style w:type="character" w:styleId="FootnoteReference">
    <w:name w:val="footnote reference"/>
    <w:rsid w:val="001D266E"/>
    <w:rPr>
      <w:rFonts w:ascii="Times New Roman" w:hAnsi="Times New Roman" w:cs="Times New Roman"/>
      <w:sz w:val="20"/>
      <w:szCs w:val="20"/>
      <w:vertAlign w:val="superscript"/>
    </w:rPr>
  </w:style>
  <w:style w:type="paragraph" w:styleId="FootnoteText">
    <w:name w:val="footnote text"/>
    <w:basedOn w:val="Normal"/>
    <w:link w:val="FootnoteTextChar"/>
    <w:rsid w:val="001D266E"/>
    <w:rPr>
      <w:sz w:val="20"/>
      <w:szCs w:val="20"/>
      <w:lang w:eastAsia="en-AU"/>
    </w:rPr>
  </w:style>
  <w:style w:type="character" w:customStyle="1" w:styleId="FootnoteTextChar">
    <w:name w:val="Footnote Text Char"/>
    <w:basedOn w:val="DefaultParagraphFont"/>
    <w:link w:val="FootnoteText"/>
    <w:rsid w:val="001D266E"/>
  </w:style>
  <w:style w:type="paragraph" w:customStyle="1" w:styleId="Formula">
    <w:name w:val="Formula"/>
    <w:basedOn w:val="Normal"/>
    <w:next w:val="Normal"/>
    <w:rsid w:val="001D266E"/>
    <w:pPr>
      <w:spacing w:before="180" w:after="180"/>
      <w:jc w:val="center"/>
    </w:pPr>
    <w:rPr>
      <w:lang w:eastAsia="en-AU"/>
    </w:rPr>
  </w:style>
  <w:style w:type="paragraph" w:customStyle="1" w:styleId="HC">
    <w:name w:val="HC"/>
    <w:aliases w:val="Chapter Heading"/>
    <w:basedOn w:val="Normal"/>
    <w:next w:val="Normal"/>
    <w:rsid w:val="001D266E"/>
    <w:pPr>
      <w:keepNext/>
      <w:pageBreakBefore/>
      <w:spacing w:before="480"/>
      <w:ind w:left="2410" w:hanging="2410"/>
    </w:pPr>
    <w:rPr>
      <w:rFonts w:ascii="Arial" w:hAnsi="Arial" w:cs="Arial"/>
      <w:b/>
      <w:bCs/>
      <w:sz w:val="40"/>
      <w:szCs w:val="40"/>
      <w:lang w:eastAsia="en-AU"/>
    </w:rPr>
  </w:style>
  <w:style w:type="paragraph" w:customStyle="1" w:styleId="HD">
    <w:name w:val="HD"/>
    <w:aliases w:val="Division Heading"/>
    <w:basedOn w:val="Normal"/>
    <w:next w:val="HR"/>
    <w:rsid w:val="001D266E"/>
    <w:pPr>
      <w:keepNext/>
      <w:spacing w:before="360"/>
      <w:ind w:left="2410" w:hanging="2410"/>
    </w:pPr>
    <w:rPr>
      <w:rFonts w:ascii="Arial" w:hAnsi="Arial" w:cs="Arial"/>
      <w:b/>
      <w:bCs/>
      <w:sz w:val="28"/>
      <w:szCs w:val="28"/>
      <w:lang w:eastAsia="en-AU"/>
    </w:rPr>
  </w:style>
  <w:style w:type="paragraph" w:customStyle="1" w:styleId="HE">
    <w:name w:val="HE"/>
    <w:aliases w:val="Example heading"/>
    <w:basedOn w:val="Normal"/>
    <w:next w:val="ExampleBody"/>
    <w:rsid w:val="001D266E"/>
    <w:pPr>
      <w:keepNext/>
      <w:spacing w:before="120" w:line="220" w:lineRule="exact"/>
      <w:ind w:left="964"/>
    </w:pPr>
    <w:rPr>
      <w:i/>
      <w:iCs/>
      <w:sz w:val="20"/>
      <w:szCs w:val="20"/>
      <w:lang w:eastAsia="en-AU"/>
    </w:rPr>
  </w:style>
  <w:style w:type="paragraph" w:customStyle="1" w:styleId="HP">
    <w:name w:val="HP"/>
    <w:aliases w:val="Part Heading"/>
    <w:basedOn w:val="Normal"/>
    <w:next w:val="HD"/>
    <w:rsid w:val="001D266E"/>
    <w:pPr>
      <w:keepNext/>
      <w:spacing w:before="360"/>
      <w:ind w:left="2410" w:hanging="2410"/>
    </w:pPr>
    <w:rPr>
      <w:rFonts w:ascii="Arial" w:hAnsi="Arial" w:cs="Arial"/>
      <w:b/>
      <w:bCs/>
      <w:sz w:val="32"/>
      <w:szCs w:val="32"/>
      <w:lang w:eastAsia="en-AU"/>
    </w:rPr>
  </w:style>
  <w:style w:type="paragraph" w:customStyle="1" w:styleId="HR">
    <w:name w:val="HR"/>
    <w:aliases w:val="Regulation Heading"/>
    <w:basedOn w:val="Normal"/>
    <w:next w:val="R1"/>
    <w:rsid w:val="001D266E"/>
    <w:pPr>
      <w:keepNext/>
      <w:spacing w:before="360"/>
      <w:ind w:left="964" w:hanging="964"/>
    </w:pPr>
    <w:rPr>
      <w:rFonts w:ascii="Arial" w:hAnsi="Arial" w:cs="Arial"/>
      <w:b/>
      <w:bCs/>
      <w:lang w:eastAsia="en-AU"/>
    </w:rPr>
  </w:style>
  <w:style w:type="paragraph" w:customStyle="1" w:styleId="HS">
    <w:name w:val="HS"/>
    <w:aliases w:val="Subdiv Heading"/>
    <w:basedOn w:val="Normal"/>
    <w:next w:val="HR"/>
    <w:rsid w:val="001D266E"/>
    <w:pPr>
      <w:keepNext/>
      <w:spacing w:before="360"/>
      <w:ind w:left="2410" w:hanging="2410"/>
    </w:pPr>
    <w:rPr>
      <w:rFonts w:ascii="Arial" w:hAnsi="Arial" w:cs="Arial"/>
      <w:b/>
      <w:bCs/>
      <w:lang w:eastAsia="en-AU"/>
    </w:rPr>
  </w:style>
  <w:style w:type="paragraph" w:customStyle="1" w:styleId="HSR">
    <w:name w:val="HSR"/>
    <w:aliases w:val="Subregulation Heading"/>
    <w:basedOn w:val="Normal"/>
    <w:next w:val="Normal"/>
    <w:rsid w:val="001D266E"/>
    <w:pPr>
      <w:keepNext/>
      <w:spacing w:before="300"/>
      <w:ind w:left="964"/>
    </w:pPr>
    <w:rPr>
      <w:rFonts w:ascii="Arial" w:hAnsi="Arial" w:cs="Arial"/>
      <w:i/>
      <w:iCs/>
      <w:lang w:eastAsia="en-AU"/>
    </w:rPr>
  </w:style>
  <w:style w:type="paragraph" w:styleId="Index1">
    <w:name w:val="index 1"/>
    <w:basedOn w:val="Normal"/>
    <w:next w:val="Normal"/>
    <w:autoRedefine/>
    <w:rsid w:val="001D266E"/>
    <w:pPr>
      <w:ind w:left="240" w:hanging="240"/>
    </w:pPr>
    <w:rPr>
      <w:lang w:eastAsia="en-AU"/>
    </w:rPr>
  </w:style>
  <w:style w:type="paragraph" w:styleId="Index2">
    <w:name w:val="index 2"/>
    <w:basedOn w:val="Normal"/>
    <w:next w:val="Normal"/>
    <w:autoRedefine/>
    <w:rsid w:val="001D266E"/>
    <w:pPr>
      <w:ind w:left="480" w:hanging="240"/>
    </w:pPr>
    <w:rPr>
      <w:lang w:eastAsia="en-AU"/>
    </w:rPr>
  </w:style>
  <w:style w:type="paragraph" w:styleId="Index3">
    <w:name w:val="index 3"/>
    <w:basedOn w:val="Normal"/>
    <w:next w:val="Normal"/>
    <w:autoRedefine/>
    <w:rsid w:val="001D266E"/>
    <w:pPr>
      <w:ind w:left="720" w:hanging="240"/>
    </w:pPr>
    <w:rPr>
      <w:lang w:eastAsia="en-AU"/>
    </w:rPr>
  </w:style>
  <w:style w:type="paragraph" w:styleId="Index4">
    <w:name w:val="index 4"/>
    <w:basedOn w:val="Normal"/>
    <w:next w:val="Normal"/>
    <w:autoRedefine/>
    <w:rsid w:val="001D266E"/>
    <w:pPr>
      <w:ind w:left="960" w:hanging="240"/>
    </w:pPr>
    <w:rPr>
      <w:lang w:eastAsia="en-AU"/>
    </w:rPr>
  </w:style>
  <w:style w:type="paragraph" w:styleId="Index5">
    <w:name w:val="index 5"/>
    <w:basedOn w:val="Normal"/>
    <w:next w:val="Normal"/>
    <w:autoRedefine/>
    <w:rsid w:val="001D266E"/>
    <w:pPr>
      <w:ind w:left="1200" w:hanging="240"/>
    </w:pPr>
    <w:rPr>
      <w:lang w:eastAsia="en-AU"/>
    </w:rPr>
  </w:style>
  <w:style w:type="paragraph" w:styleId="Index6">
    <w:name w:val="index 6"/>
    <w:basedOn w:val="Normal"/>
    <w:next w:val="Normal"/>
    <w:autoRedefine/>
    <w:rsid w:val="001D266E"/>
    <w:pPr>
      <w:ind w:left="1440" w:hanging="240"/>
    </w:pPr>
    <w:rPr>
      <w:lang w:eastAsia="en-AU"/>
    </w:rPr>
  </w:style>
  <w:style w:type="paragraph" w:styleId="Index7">
    <w:name w:val="index 7"/>
    <w:basedOn w:val="Normal"/>
    <w:next w:val="Normal"/>
    <w:autoRedefine/>
    <w:rsid w:val="001D266E"/>
    <w:pPr>
      <w:ind w:left="1680" w:hanging="240"/>
    </w:pPr>
    <w:rPr>
      <w:lang w:eastAsia="en-AU"/>
    </w:rPr>
  </w:style>
  <w:style w:type="paragraph" w:styleId="Index8">
    <w:name w:val="index 8"/>
    <w:basedOn w:val="Normal"/>
    <w:next w:val="Normal"/>
    <w:autoRedefine/>
    <w:rsid w:val="001D266E"/>
    <w:pPr>
      <w:ind w:left="1920" w:hanging="240"/>
    </w:pPr>
    <w:rPr>
      <w:lang w:eastAsia="en-AU"/>
    </w:rPr>
  </w:style>
  <w:style w:type="paragraph" w:styleId="Index9">
    <w:name w:val="index 9"/>
    <w:basedOn w:val="Normal"/>
    <w:next w:val="Normal"/>
    <w:autoRedefine/>
    <w:rsid w:val="001D266E"/>
    <w:pPr>
      <w:ind w:left="2160" w:hanging="240"/>
    </w:pPr>
    <w:rPr>
      <w:lang w:eastAsia="en-AU"/>
    </w:rPr>
  </w:style>
  <w:style w:type="paragraph" w:styleId="IndexHeading">
    <w:name w:val="index heading"/>
    <w:basedOn w:val="Normal"/>
    <w:next w:val="Index1"/>
    <w:rsid w:val="001D266E"/>
    <w:rPr>
      <w:rFonts w:ascii="Arial" w:hAnsi="Arial" w:cs="Arial"/>
      <w:b/>
      <w:bCs/>
      <w:lang w:eastAsia="en-AU"/>
    </w:rPr>
  </w:style>
  <w:style w:type="paragraph" w:customStyle="1" w:styleId="Lt">
    <w:name w:val="Lt"/>
    <w:aliases w:val="Long title"/>
    <w:basedOn w:val="Normal"/>
    <w:rsid w:val="001D266E"/>
    <w:pPr>
      <w:spacing w:before="260"/>
    </w:pPr>
    <w:rPr>
      <w:rFonts w:ascii="Arial" w:hAnsi="Arial" w:cs="Arial"/>
      <w:b/>
      <w:bCs/>
      <w:sz w:val="28"/>
      <w:szCs w:val="28"/>
      <w:lang w:eastAsia="en-AU"/>
    </w:rPr>
  </w:style>
  <w:style w:type="paragraph" w:customStyle="1" w:styleId="M1">
    <w:name w:val="M1"/>
    <w:aliases w:val="Modification Heading"/>
    <w:basedOn w:val="Normal"/>
    <w:next w:val="Normal"/>
    <w:rsid w:val="001D266E"/>
    <w:pPr>
      <w:keepNext/>
      <w:spacing w:before="480" w:line="260" w:lineRule="exact"/>
      <w:ind w:left="964" w:hanging="964"/>
    </w:pPr>
    <w:rPr>
      <w:rFonts w:ascii="Arial" w:hAnsi="Arial" w:cs="Arial"/>
      <w:b/>
      <w:bCs/>
      <w:lang w:eastAsia="en-AU"/>
    </w:rPr>
  </w:style>
  <w:style w:type="paragraph" w:customStyle="1" w:styleId="M2">
    <w:name w:val="M2"/>
    <w:aliases w:val="Modification Instruction"/>
    <w:basedOn w:val="Normal"/>
    <w:next w:val="Normal"/>
    <w:rsid w:val="001D266E"/>
    <w:pPr>
      <w:keepNext/>
      <w:spacing w:before="120" w:line="260" w:lineRule="exact"/>
      <w:ind w:left="964"/>
    </w:pPr>
    <w:rPr>
      <w:i/>
      <w:iCs/>
      <w:lang w:eastAsia="en-AU"/>
    </w:rPr>
  </w:style>
  <w:style w:type="paragraph" w:customStyle="1" w:styleId="M3">
    <w:name w:val="M3"/>
    <w:aliases w:val="Modification Text"/>
    <w:basedOn w:val="Normal"/>
    <w:next w:val="M1"/>
    <w:rsid w:val="001D266E"/>
    <w:pPr>
      <w:spacing w:before="60" w:line="260" w:lineRule="exact"/>
      <w:ind w:left="1247"/>
      <w:jc w:val="both"/>
    </w:pPr>
    <w:rPr>
      <w:lang w:eastAsia="en-AU"/>
    </w:rPr>
  </w:style>
  <w:style w:type="paragraph" w:styleId="MacroText">
    <w:name w:val="macro"/>
    <w:link w:val="MacroTextChar"/>
    <w:rsid w:val="001D266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1D266E"/>
    <w:rPr>
      <w:rFonts w:ascii="Courier New" w:hAnsi="Courier New" w:cs="Courier New"/>
      <w:lang w:eastAsia="en-US"/>
    </w:rPr>
  </w:style>
  <w:style w:type="paragraph" w:customStyle="1" w:styleId="MainBodySectionBreak">
    <w:name w:val="MainBody Section Break"/>
    <w:basedOn w:val="Normal"/>
    <w:next w:val="Normal"/>
    <w:rsid w:val="001D266E"/>
    <w:rPr>
      <w:lang w:eastAsia="en-AU"/>
    </w:rPr>
  </w:style>
  <w:style w:type="paragraph" w:customStyle="1" w:styleId="Maker">
    <w:name w:val="Maker"/>
    <w:basedOn w:val="Normal"/>
    <w:rsid w:val="001D266E"/>
    <w:pPr>
      <w:tabs>
        <w:tab w:val="left" w:pos="3119"/>
      </w:tabs>
      <w:spacing w:line="300" w:lineRule="atLeast"/>
    </w:pPr>
    <w:rPr>
      <w:lang w:eastAsia="en-AU"/>
    </w:rPr>
  </w:style>
  <w:style w:type="paragraph" w:customStyle="1" w:styleId="MHD">
    <w:name w:val="MHD"/>
    <w:aliases w:val="Mod Division Heading"/>
    <w:basedOn w:val="Normal"/>
    <w:next w:val="Normal"/>
    <w:rsid w:val="001D266E"/>
    <w:pPr>
      <w:keepNext/>
      <w:spacing w:before="360"/>
      <w:ind w:left="2410" w:hanging="2410"/>
    </w:pPr>
    <w:rPr>
      <w:b/>
      <w:bCs/>
      <w:sz w:val="28"/>
      <w:szCs w:val="28"/>
      <w:lang w:eastAsia="en-AU"/>
    </w:rPr>
  </w:style>
  <w:style w:type="paragraph" w:customStyle="1" w:styleId="MHP">
    <w:name w:val="MHP"/>
    <w:aliases w:val="Mod Part Heading"/>
    <w:basedOn w:val="Normal"/>
    <w:next w:val="Normal"/>
    <w:rsid w:val="001D266E"/>
    <w:pPr>
      <w:keepNext/>
      <w:spacing w:before="360"/>
      <w:ind w:left="2410" w:hanging="2410"/>
    </w:pPr>
    <w:rPr>
      <w:b/>
      <w:bCs/>
      <w:sz w:val="32"/>
      <w:szCs w:val="32"/>
      <w:lang w:eastAsia="en-AU"/>
    </w:rPr>
  </w:style>
  <w:style w:type="paragraph" w:customStyle="1" w:styleId="MHR">
    <w:name w:val="MHR"/>
    <w:aliases w:val="Mod Regulation Heading"/>
    <w:basedOn w:val="Normal"/>
    <w:next w:val="Normal"/>
    <w:rsid w:val="001D266E"/>
    <w:pPr>
      <w:keepNext/>
      <w:spacing w:before="360"/>
      <w:ind w:left="964" w:hanging="964"/>
    </w:pPr>
    <w:rPr>
      <w:b/>
      <w:bCs/>
      <w:lang w:eastAsia="en-AU"/>
    </w:rPr>
  </w:style>
  <w:style w:type="paragraph" w:customStyle="1" w:styleId="MHS">
    <w:name w:val="MHS"/>
    <w:aliases w:val="Mod Subdivision Heading"/>
    <w:basedOn w:val="Normal"/>
    <w:next w:val="MHR"/>
    <w:rsid w:val="001D266E"/>
    <w:pPr>
      <w:keepNext/>
      <w:spacing w:before="360"/>
      <w:ind w:left="2410" w:hanging="2410"/>
    </w:pPr>
    <w:rPr>
      <w:b/>
      <w:bCs/>
      <w:lang w:eastAsia="en-AU"/>
    </w:rPr>
  </w:style>
  <w:style w:type="paragraph" w:customStyle="1" w:styleId="MHSR">
    <w:name w:val="MHSR"/>
    <w:aliases w:val="Mod Subregulation Heading"/>
    <w:basedOn w:val="Normal"/>
    <w:next w:val="Normal"/>
    <w:rsid w:val="001D266E"/>
    <w:pPr>
      <w:keepNext/>
      <w:spacing w:before="300"/>
      <w:ind w:left="964" w:hanging="964"/>
    </w:pPr>
    <w:rPr>
      <w:i/>
      <w:iCs/>
      <w:lang w:eastAsia="en-AU"/>
    </w:rPr>
  </w:style>
  <w:style w:type="paragraph" w:customStyle="1" w:styleId="Note">
    <w:name w:val="Note"/>
    <w:basedOn w:val="Normal"/>
    <w:rsid w:val="001D266E"/>
    <w:pPr>
      <w:spacing w:before="120" w:line="220" w:lineRule="exact"/>
      <w:ind w:left="964"/>
      <w:jc w:val="both"/>
    </w:pPr>
    <w:rPr>
      <w:sz w:val="20"/>
      <w:szCs w:val="20"/>
      <w:lang w:eastAsia="en-AU"/>
    </w:rPr>
  </w:style>
  <w:style w:type="paragraph" w:customStyle="1" w:styleId="NoteEnd">
    <w:name w:val="Note End"/>
    <w:basedOn w:val="Normal"/>
    <w:rsid w:val="001D266E"/>
    <w:pPr>
      <w:spacing w:before="120" w:line="240" w:lineRule="exact"/>
      <w:ind w:left="567" w:hanging="567"/>
      <w:jc w:val="both"/>
    </w:pPr>
    <w:rPr>
      <w:sz w:val="22"/>
      <w:szCs w:val="22"/>
      <w:lang w:eastAsia="en-AU"/>
    </w:rPr>
  </w:style>
  <w:style w:type="paragraph" w:customStyle="1" w:styleId="Notepara">
    <w:name w:val="Note para"/>
    <w:basedOn w:val="Normal"/>
    <w:rsid w:val="001D266E"/>
    <w:pPr>
      <w:spacing w:before="60" w:line="220" w:lineRule="exact"/>
      <w:ind w:left="1304" w:hanging="340"/>
      <w:jc w:val="both"/>
    </w:pPr>
    <w:rPr>
      <w:sz w:val="20"/>
      <w:szCs w:val="20"/>
      <w:lang w:eastAsia="en-AU"/>
    </w:rPr>
  </w:style>
  <w:style w:type="paragraph" w:customStyle="1" w:styleId="NotesSectionBreak">
    <w:name w:val="NotesSectionBreak"/>
    <w:basedOn w:val="Normal"/>
    <w:next w:val="Normal"/>
    <w:rsid w:val="001D266E"/>
    <w:rPr>
      <w:lang w:eastAsia="en-AU"/>
    </w:rPr>
  </w:style>
  <w:style w:type="paragraph" w:customStyle="1" w:styleId="P1">
    <w:name w:val="P1"/>
    <w:aliases w:val="(a)"/>
    <w:basedOn w:val="Normal"/>
    <w:rsid w:val="001D266E"/>
    <w:pPr>
      <w:tabs>
        <w:tab w:val="right" w:pos="1191"/>
      </w:tabs>
      <w:spacing w:before="60" w:line="260" w:lineRule="exact"/>
      <w:ind w:left="1418" w:hanging="1418"/>
      <w:jc w:val="both"/>
    </w:pPr>
    <w:rPr>
      <w:lang w:eastAsia="en-AU"/>
    </w:rPr>
  </w:style>
  <w:style w:type="paragraph" w:customStyle="1" w:styleId="P2">
    <w:name w:val="P2"/>
    <w:aliases w:val="(i)"/>
    <w:basedOn w:val="Normal"/>
    <w:rsid w:val="001D266E"/>
    <w:pPr>
      <w:tabs>
        <w:tab w:val="right" w:pos="1758"/>
        <w:tab w:val="left" w:pos="2155"/>
      </w:tabs>
      <w:spacing w:before="60" w:line="260" w:lineRule="exact"/>
      <w:ind w:left="1985" w:hanging="1985"/>
      <w:jc w:val="both"/>
    </w:pPr>
    <w:rPr>
      <w:lang w:eastAsia="en-AU"/>
    </w:rPr>
  </w:style>
  <w:style w:type="paragraph" w:customStyle="1" w:styleId="P3">
    <w:name w:val="P3"/>
    <w:aliases w:val="(A)"/>
    <w:basedOn w:val="Normal"/>
    <w:rsid w:val="001D266E"/>
    <w:pPr>
      <w:tabs>
        <w:tab w:val="right" w:pos="2410"/>
      </w:tabs>
      <w:spacing w:before="60" w:line="260" w:lineRule="exact"/>
      <w:ind w:left="2693" w:hanging="2693"/>
      <w:jc w:val="both"/>
    </w:pPr>
    <w:rPr>
      <w:lang w:eastAsia="en-AU"/>
    </w:rPr>
  </w:style>
  <w:style w:type="paragraph" w:customStyle="1" w:styleId="P4">
    <w:name w:val="P4"/>
    <w:aliases w:val="(I)"/>
    <w:basedOn w:val="Normal"/>
    <w:rsid w:val="001D266E"/>
    <w:pPr>
      <w:tabs>
        <w:tab w:val="right" w:pos="3119"/>
      </w:tabs>
      <w:spacing w:before="60" w:line="260" w:lineRule="exact"/>
      <w:ind w:left="3419" w:hanging="3419"/>
      <w:jc w:val="both"/>
    </w:pPr>
    <w:rPr>
      <w:lang w:eastAsia="en-AU"/>
    </w:rPr>
  </w:style>
  <w:style w:type="paragraph" w:customStyle="1" w:styleId="PageBreak">
    <w:name w:val="PageBreak"/>
    <w:aliases w:val="pb"/>
    <w:basedOn w:val="Normal"/>
    <w:next w:val="Normal"/>
    <w:rsid w:val="001D266E"/>
    <w:rPr>
      <w:sz w:val="4"/>
      <w:szCs w:val="4"/>
      <w:lang w:eastAsia="en-AU"/>
    </w:rPr>
  </w:style>
  <w:style w:type="paragraph" w:customStyle="1" w:styleId="Penalty">
    <w:name w:val="Penalty"/>
    <w:basedOn w:val="Normal"/>
    <w:next w:val="Normal"/>
    <w:rsid w:val="001D266E"/>
    <w:pPr>
      <w:spacing w:before="180" w:line="260" w:lineRule="exact"/>
      <w:ind w:left="964"/>
      <w:jc w:val="both"/>
    </w:pPr>
    <w:rPr>
      <w:lang w:eastAsia="en-AU"/>
    </w:rPr>
  </w:style>
  <w:style w:type="paragraph" w:customStyle="1" w:styleId="Query">
    <w:name w:val="Query"/>
    <w:aliases w:val="QY"/>
    <w:basedOn w:val="Normal"/>
    <w:rsid w:val="001D266E"/>
    <w:pPr>
      <w:spacing w:before="180" w:line="260" w:lineRule="exact"/>
      <w:ind w:left="964" w:hanging="964"/>
      <w:jc w:val="both"/>
    </w:pPr>
    <w:rPr>
      <w:b/>
      <w:bCs/>
      <w:i/>
      <w:iCs/>
      <w:lang w:eastAsia="en-AU"/>
    </w:rPr>
  </w:style>
  <w:style w:type="paragraph" w:customStyle="1" w:styleId="R1">
    <w:name w:val="R1"/>
    <w:aliases w:val="1. or 1.(1)"/>
    <w:basedOn w:val="Normal"/>
    <w:next w:val="R2"/>
    <w:rsid w:val="001D266E"/>
    <w:pPr>
      <w:keepLines/>
      <w:tabs>
        <w:tab w:val="right" w:pos="794"/>
      </w:tabs>
      <w:spacing w:before="120" w:line="260" w:lineRule="exact"/>
      <w:ind w:left="964" w:hanging="964"/>
      <w:jc w:val="both"/>
    </w:pPr>
    <w:rPr>
      <w:lang w:eastAsia="en-AU"/>
    </w:rPr>
  </w:style>
  <w:style w:type="paragraph" w:customStyle="1" w:styleId="R2">
    <w:name w:val="R2"/>
    <w:aliases w:val="(2)"/>
    <w:basedOn w:val="Normal"/>
    <w:rsid w:val="001D266E"/>
    <w:pPr>
      <w:keepLines/>
      <w:tabs>
        <w:tab w:val="right" w:pos="794"/>
      </w:tabs>
      <w:spacing w:before="180" w:line="260" w:lineRule="exact"/>
      <w:ind w:left="964" w:hanging="964"/>
      <w:jc w:val="both"/>
    </w:pPr>
    <w:rPr>
      <w:lang w:eastAsia="en-AU"/>
    </w:rPr>
  </w:style>
  <w:style w:type="paragraph" w:customStyle="1" w:styleId="Rc">
    <w:name w:val="Rc"/>
    <w:aliases w:val="Rn continued"/>
    <w:basedOn w:val="Normal"/>
    <w:next w:val="R2"/>
    <w:rsid w:val="001D266E"/>
    <w:pPr>
      <w:spacing w:before="60" w:line="260" w:lineRule="exact"/>
      <w:ind w:left="964"/>
      <w:jc w:val="both"/>
    </w:pPr>
    <w:rPr>
      <w:lang w:eastAsia="en-AU"/>
    </w:rPr>
  </w:style>
  <w:style w:type="paragraph" w:customStyle="1" w:styleId="ReadersGuideSectionBreak">
    <w:name w:val="ReadersGuideSectionBreak"/>
    <w:basedOn w:val="Normal"/>
    <w:next w:val="Normal"/>
    <w:rsid w:val="001D266E"/>
    <w:rPr>
      <w:lang w:eastAsia="en-AU"/>
    </w:rPr>
  </w:style>
  <w:style w:type="paragraph" w:customStyle="1" w:styleId="RGHead">
    <w:name w:val="RGHead"/>
    <w:basedOn w:val="Normal"/>
    <w:next w:val="Normal"/>
    <w:rsid w:val="001D266E"/>
    <w:pPr>
      <w:keepNext/>
      <w:spacing w:before="360"/>
    </w:pPr>
    <w:rPr>
      <w:rFonts w:ascii="Arial" w:hAnsi="Arial" w:cs="Arial"/>
      <w:b/>
      <w:bCs/>
      <w:sz w:val="32"/>
      <w:szCs w:val="32"/>
      <w:lang w:eastAsia="en-AU"/>
    </w:rPr>
  </w:style>
  <w:style w:type="paragraph" w:customStyle="1" w:styleId="RGPara">
    <w:name w:val="RGPara"/>
    <w:aliases w:val="Readers Guide Para"/>
    <w:basedOn w:val="Normal"/>
    <w:rsid w:val="001D266E"/>
    <w:pPr>
      <w:spacing w:before="120" w:line="260" w:lineRule="exact"/>
      <w:jc w:val="both"/>
    </w:pPr>
    <w:rPr>
      <w:lang w:eastAsia="en-AU"/>
    </w:rPr>
  </w:style>
  <w:style w:type="paragraph" w:customStyle="1" w:styleId="RGPtHd">
    <w:name w:val="RGPtHd"/>
    <w:aliases w:val="Readers Guide PT Heading"/>
    <w:basedOn w:val="Normal"/>
    <w:next w:val="Normal"/>
    <w:rsid w:val="001D266E"/>
    <w:pPr>
      <w:keepNext/>
      <w:spacing w:before="360"/>
    </w:pPr>
    <w:rPr>
      <w:rFonts w:ascii="Arial" w:hAnsi="Arial" w:cs="Arial"/>
      <w:b/>
      <w:bCs/>
      <w:sz w:val="28"/>
      <w:szCs w:val="28"/>
      <w:lang w:eastAsia="en-AU"/>
    </w:rPr>
  </w:style>
  <w:style w:type="paragraph" w:customStyle="1" w:styleId="RGSecHdg">
    <w:name w:val="RGSecHdg"/>
    <w:aliases w:val="Readers Guide Sec Heading"/>
    <w:basedOn w:val="Normal"/>
    <w:next w:val="RGPara"/>
    <w:rsid w:val="001D266E"/>
    <w:pPr>
      <w:keepNext/>
      <w:spacing w:before="360"/>
      <w:ind w:left="964" w:hanging="964"/>
    </w:pPr>
    <w:rPr>
      <w:rFonts w:ascii="Arial" w:hAnsi="Arial" w:cs="Arial"/>
      <w:b/>
      <w:bCs/>
      <w:lang w:eastAsia="en-AU"/>
    </w:rPr>
  </w:style>
  <w:style w:type="paragraph" w:customStyle="1" w:styleId="LandscapeSectionBreak">
    <w:name w:val="LandscapeSectionBreak"/>
    <w:basedOn w:val="Normal"/>
    <w:next w:val="Normal"/>
    <w:rsid w:val="001D266E"/>
    <w:rPr>
      <w:lang w:eastAsia="en-AU"/>
    </w:rPr>
  </w:style>
  <w:style w:type="paragraph" w:customStyle="1" w:styleId="ScheduleDivision">
    <w:name w:val="Schedule Division"/>
    <w:basedOn w:val="Normal"/>
    <w:next w:val="ScheduleHeading"/>
    <w:rsid w:val="001D266E"/>
    <w:pPr>
      <w:keepNext/>
      <w:spacing w:before="360"/>
      <w:ind w:left="1559" w:hanging="1559"/>
    </w:pPr>
    <w:rPr>
      <w:rFonts w:ascii="Arial" w:hAnsi="Arial" w:cs="Arial"/>
      <w:b/>
      <w:bCs/>
      <w:lang w:eastAsia="en-AU"/>
    </w:rPr>
  </w:style>
  <w:style w:type="character" w:customStyle="1" w:styleId="CharSchNo">
    <w:name w:val="CharSchNo"/>
    <w:rsid w:val="001D266E"/>
    <w:rPr>
      <w:rFonts w:cs="Times New Roman"/>
    </w:rPr>
  </w:style>
  <w:style w:type="character" w:customStyle="1" w:styleId="CharSchText">
    <w:name w:val="CharSchText"/>
    <w:rsid w:val="001D266E"/>
    <w:rPr>
      <w:rFonts w:cs="Times New Roman"/>
    </w:rPr>
  </w:style>
  <w:style w:type="paragraph" w:customStyle="1" w:styleId="IntroP1a">
    <w:name w:val="IntroP1(a)"/>
    <w:basedOn w:val="Normal"/>
    <w:rsid w:val="001D266E"/>
    <w:pPr>
      <w:spacing w:before="60" w:line="260" w:lineRule="exact"/>
      <w:ind w:left="454" w:hanging="454"/>
      <w:jc w:val="both"/>
    </w:pPr>
    <w:rPr>
      <w:lang w:eastAsia="en-AU"/>
    </w:rPr>
  </w:style>
  <w:style w:type="character" w:customStyle="1" w:styleId="CharAmSchPTNo">
    <w:name w:val="CharAmSchPTNo"/>
    <w:rsid w:val="001D266E"/>
    <w:rPr>
      <w:rFonts w:cs="Times New Roman"/>
    </w:rPr>
  </w:style>
  <w:style w:type="character" w:customStyle="1" w:styleId="CharAmSchPTText">
    <w:name w:val="CharAmSchPTText"/>
    <w:rsid w:val="001D266E"/>
    <w:rPr>
      <w:rFonts w:cs="Times New Roman"/>
    </w:rPr>
  </w:style>
  <w:style w:type="paragraph" w:customStyle="1" w:styleId="Footerinfo0">
    <w:name w:val="Footerinfo"/>
    <w:basedOn w:val="Footer"/>
    <w:rsid w:val="001D266E"/>
    <w:pPr>
      <w:spacing w:before="20"/>
    </w:pPr>
    <w:rPr>
      <w:sz w:val="12"/>
      <w:szCs w:val="12"/>
    </w:rPr>
  </w:style>
  <w:style w:type="paragraph" w:customStyle="1" w:styleId="FooterPageEven">
    <w:name w:val="FooterPageEven"/>
    <w:basedOn w:val="FooterPageOdd"/>
    <w:rsid w:val="001D266E"/>
    <w:pPr>
      <w:jc w:val="left"/>
    </w:pPr>
  </w:style>
  <w:style w:type="paragraph" w:customStyle="1" w:styleId="FooterPageOdd">
    <w:name w:val="FooterPageOdd"/>
    <w:basedOn w:val="Footer"/>
    <w:rsid w:val="001D266E"/>
    <w:pPr>
      <w:spacing w:before="20"/>
      <w:jc w:val="right"/>
    </w:pPr>
    <w:rPr>
      <w:i w:val="0"/>
      <w:iCs w:val="0"/>
      <w:sz w:val="22"/>
      <w:szCs w:val="22"/>
    </w:rPr>
  </w:style>
  <w:style w:type="paragraph" w:customStyle="1" w:styleId="FooterCitation">
    <w:name w:val="FooterCitation"/>
    <w:basedOn w:val="Footer"/>
    <w:rsid w:val="001D266E"/>
    <w:pPr>
      <w:tabs>
        <w:tab w:val="clear" w:pos="3600"/>
        <w:tab w:val="clear" w:pos="7201"/>
        <w:tab w:val="center" w:pos="4153"/>
        <w:tab w:val="right" w:pos="8306"/>
      </w:tabs>
      <w:spacing w:before="20" w:line="240" w:lineRule="exact"/>
    </w:pPr>
  </w:style>
  <w:style w:type="paragraph" w:customStyle="1" w:styleId="SchedSectionBreak">
    <w:name w:val="SchedSectionBreak"/>
    <w:basedOn w:val="Normal"/>
    <w:next w:val="Normal"/>
    <w:rsid w:val="001D266E"/>
    <w:rPr>
      <w:lang w:eastAsia="en-AU"/>
    </w:rPr>
  </w:style>
  <w:style w:type="paragraph" w:customStyle="1" w:styleId="ScheduleHeading">
    <w:name w:val="Schedule Heading"/>
    <w:basedOn w:val="Normal"/>
    <w:next w:val="Normal"/>
    <w:rsid w:val="001D266E"/>
    <w:pPr>
      <w:keepNext/>
      <w:keepLines/>
      <w:spacing w:before="360"/>
      <w:ind w:left="964" w:hanging="964"/>
    </w:pPr>
    <w:rPr>
      <w:rFonts w:ascii="Arial" w:hAnsi="Arial" w:cs="Arial"/>
      <w:b/>
      <w:bCs/>
      <w:lang w:eastAsia="en-AU"/>
    </w:rPr>
  </w:style>
  <w:style w:type="paragraph" w:customStyle="1" w:styleId="Schedulelist">
    <w:name w:val="Schedule list"/>
    <w:basedOn w:val="Normal"/>
    <w:rsid w:val="001D266E"/>
    <w:pPr>
      <w:tabs>
        <w:tab w:val="right" w:pos="1985"/>
      </w:tabs>
      <w:spacing w:before="60" w:line="260" w:lineRule="exact"/>
      <w:ind w:left="454"/>
    </w:pPr>
    <w:rPr>
      <w:lang w:eastAsia="en-AU"/>
    </w:rPr>
  </w:style>
  <w:style w:type="paragraph" w:customStyle="1" w:styleId="Schedulepara">
    <w:name w:val="Schedule para"/>
    <w:basedOn w:val="Normal"/>
    <w:rsid w:val="001D266E"/>
    <w:pPr>
      <w:tabs>
        <w:tab w:val="right" w:pos="567"/>
      </w:tabs>
      <w:spacing w:before="180" w:line="260" w:lineRule="exact"/>
      <w:ind w:left="964" w:hanging="964"/>
      <w:jc w:val="both"/>
    </w:pPr>
    <w:rPr>
      <w:lang w:eastAsia="en-AU"/>
    </w:rPr>
  </w:style>
  <w:style w:type="paragraph" w:customStyle="1" w:styleId="Schedulepart">
    <w:name w:val="Schedule part"/>
    <w:basedOn w:val="Normal"/>
    <w:rsid w:val="001D266E"/>
    <w:pPr>
      <w:keepNext/>
      <w:keepLines/>
      <w:spacing w:before="360"/>
      <w:ind w:left="1559" w:hanging="1559"/>
    </w:pPr>
    <w:rPr>
      <w:rFonts w:ascii="Arial" w:hAnsi="Arial" w:cs="Arial"/>
      <w:b/>
      <w:bCs/>
      <w:sz w:val="28"/>
      <w:szCs w:val="28"/>
      <w:lang w:eastAsia="en-AU"/>
    </w:rPr>
  </w:style>
  <w:style w:type="paragraph" w:customStyle="1" w:styleId="Schedulereference">
    <w:name w:val="Schedule reference"/>
    <w:basedOn w:val="Normal"/>
    <w:next w:val="Schedulepart"/>
    <w:rsid w:val="001D266E"/>
    <w:pPr>
      <w:keepNext/>
      <w:keepLines/>
      <w:spacing w:before="60" w:line="200" w:lineRule="exact"/>
      <w:ind w:left="2410"/>
    </w:pPr>
    <w:rPr>
      <w:rFonts w:ascii="Arial" w:hAnsi="Arial" w:cs="Arial"/>
      <w:sz w:val="18"/>
      <w:szCs w:val="18"/>
      <w:lang w:eastAsia="en-AU"/>
    </w:rPr>
  </w:style>
  <w:style w:type="paragraph" w:customStyle="1" w:styleId="Scheduletitle">
    <w:name w:val="Schedule title"/>
    <w:basedOn w:val="Normal"/>
    <w:next w:val="Schedulereference"/>
    <w:rsid w:val="001D266E"/>
    <w:pPr>
      <w:keepNext/>
      <w:keepLines/>
      <w:spacing w:before="480"/>
      <w:ind w:left="2410" w:hanging="2410"/>
    </w:pPr>
    <w:rPr>
      <w:rFonts w:ascii="Arial" w:hAnsi="Arial" w:cs="Arial"/>
      <w:b/>
      <w:bCs/>
      <w:sz w:val="32"/>
      <w:szCs w:val="32"/>
      <w:lang w:eastAsia="en-AU"/>
    </w:rPr>
  </w:style>
  <w:style w:type="paragraph" w:customStyle="1" w:styleId="SigningPageBreak">
    <w:name w:val="SigningPageBreak"/>
    <w:basedOn w:val="Normal"/>
    <w:next w:val="Normal"/>
    <w:rsid w:val="001D266E"/>
    <w:rPr>
      <w:lang w:eastAsia="en-AU"/>
    </w:rPr>
  </w:style>
  <w:style w:type="paragraph" w:customStyle="1" w:styleId="SRNo">
    <w:name w:val="SRNo"/>
    <w:basedOn w:val="Normal"/>
    <w:next w:val="Normal"/>
    <w:rsid w:val="001D266E"/>
    <w:pPr>
      <w:pBdr>
        <w:bottom w:val="single" w:sz="4" w:space="3" w:color="auto"/>
      </w:pBdr>
      <w:spacing w:before="480"/>
    </w:pPr>
    <w:rPr>
      <w:rFonts w:ascii="Arial" w:hAnsi="Arial" w:cs="Arial"/>
      <w:b/>
      <w:bCs/>
      <w:lang w:eastAsia="en-AU"/>
    </w:rPr>
  </w:style>
  <w:style w:type="paragraph" w:styleId="TableofAuthorities">
    <w:name w:val="table of authorities"/>
    <w:basedOn w:val="Normal"/>
    <w:next w:val="Normal"/>
    <w:rsid w:val="001D266E"/>
    <w:pPr>
      <w:ind w:left="240" w:hanging="240"/>
    </w:pPr>
    <w:rPr>
      <w:lang w:eastAsia="en-AU"/>
    </w:rPr>
  </w:style>
  <w:style w:type="paragraph" w:styleId="TableofFigures">
    <w:name w:val="table of figures"/>
    <w:basedOn w:val="Normal"/>
    <w:next w:val="Normal"/>
    <w:rsid w:val="001D266E"/>
    <w:pPr>
      <w:ind w:left="480" w:hanging="480"/>
    </w:pPr>
    <w:rPr>
      <w:lang w:eastAsia="en-AU"/>
    </w:rPr>
  </w:style>
  <w:style w:type="paragraph" w:customStyle="1" w:styleId="TableColHead">
    <w:name w:val="TableColHead"/>
    <w:basedOn w:val="Normal"/>
    <w:rsid w:val="001D266E"/>
    <w:pPr>
      <w:keepNext/>
      <w:spacing w:before="120" w:after="60" w:line="200" w:lineRule="exact"/>
    </w:pPr>
    <w:rPr>
      <w:rFonts w:ascii="Arial" w:hAnsi="Arial" w:cs="Arial"/>
      <w:b/>
      <w:bCs/>
      <w:sz w:val="18"/>
      <w:szCs w:val="18"/>
      <w:lang w:eastAsia="en-AU"/>
    </w:rPr>
  </w:style>
  <w:style w:type="table" w:customStyle="1" w:styleId="TableGeneral">
    <w:name w:val="TableGeneral"/>
    <w:rsid w:val="001D266E"/>
    <w:pPr>
      <w:spacing w:before="60" w:after="60" w:line="240" w:lineRule="exact"/>
    </w:pPr>
    <w:rPr>
      <w:sz w:val="22"/>
      <w:szCs w:val="22"/>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1D266E"/>
    <w:pPr>
      <w:tabs>
        <w:tab w:val="right" w:pos="408"/>
      </w:tabs>
      <w:spacing w:after="60" w:line="240" w:lineRule="exact"/>
      <w:ind w:left="533" w:hanging="533"/>
    </w:pPr>
    <w:rPr>
      <w:sz w:val="22"/>
      <w:szCs w:val="22"/>
      <w:lang w:eastAsia="en-AU"/>
    </w:rPr>
  </w:style>
  <w:style w:type="paragraph" w:customStyle="1" w:styleId="TableP2i">
    <w:name w:val="TableP2(i)"/>
    <w:basedOn w:val="Normal"/>
    <w:rsid w:val="001D266E"/>
    <w:pPr>
      <w:tabs>
        <w:tab w:val="right" w:pos="726"/>
      </w:tabs>
      <w:spacing w:after="60" w:line="240" w:lineRule="exact"/>
      <w:ind w:left="868" w:hanging="868"/>
    </w:pPr>
    <w:rPr>
      <w:sz w:val="22"/>
      <w:szCs w:val="22"/>
      <w:lang w:eastAsia="en-AU"/>
    </w:rPr>
  </w:style>
  <w:style w:type="paragraph" w:customStyle="1" w:styleId="TableText">
    <w:name w:val="TableText"/>
    <w:basedOn w:val="Normal"/>
    <w:rsid w:val="001D266E"/>
    <w:pPr>
      <w:spacing w:before="60" w:after="60" w:line="240" w:lineRule="exact"/>
    </w:pPr>
    <w:rPr>
      <w:sz w:val="22"/>
      <w:szCs w:val="22"/>
      <w:lang w:eastAsia="en-AU"/>
    </w:rPr>
  </w:style>
  <w:style w:type="paragraph" w:styleId="TOAHeading">
    <w:name w:val="toa heading"/>
    <w:basedOn w:val="Normal"/>
    <w:next w:val="Normal"/>
    <w:rsid w:val="001D266E"/>
    <w:pPr>
      <w:spacing w:before="120"/>
    </w:pPr>
    <w:rPr>
      <w:rFonts w:ascii="Arial" w:hAnsi="Arial" w:cs="Arial"/>
      <w:b/>
      <w:bCs/>
      <w:lang w:eastAsia="en-AU"/>
    </w:rPr>
  </w:style>
  <w:style w:type="paragraph" w:customStyle="1" w:styleId="TOC">
    <w:name w:val="TOC"/>
    <w:basedOn w:val="Normal"/>
    <w:next w:val="Normal"/>
    <w:rsid w:val="001D266E"/>
    <w:pPr>
      <w:tabs>
        <w:tab w:val="right" w:pos="7088"/>
      </w:tabs>
      <w:spacing w:after="120"/>
    </w:pPr>
    <w:rPr>
      <w:rFonts w:ascii="Arial" w:hAnsi="Arial" w:cs="Arial"/>
      <w:sz w:val="20"/>
      <w:szCs w:val="20"/>
    </w:rPr>
  </w:style>
  <w:style w:type="paragraph" w:styleId="TOC1">
    <w:name w:val="toc 1"/>
    <w:basedOn w:val="Normal"/>
    <w:next w:val="Normal"/>
    <w:autoRedefine/>
    <w:rsid w:val="001D266E"/>
    <w:pPr>
      <w:keepNext/>
      <w:tabs>
        <w:tab w:val="right" w:pos="8278"/>
      </w:tabs>
      <w:spacing w:before="120"/>
      <w:ind w:left="1843" w:hanging="1843"/>
    </w:pPr>
    <w:rPr>
      <w:rFonts w:ascii="Arial" w:hAnsi="Arial" w:cs="Arial"/>
      <w:b/>
      <w:bCs/>
    </w:rPr>
  </w:style>
  <w:style w:type="paragraph" w:styleId="TOC2">
    <w:name w:val="toc 2"/>
    <w:basedOn w:val="Normal"/>
    <w:next w:val="Normal"/>
    <w:autoRedefine/>
    <w:rsid w:val="001D266E"/>
    <w:pPr>
      <w:keepNext/>
      <w:tabs>
        <w:tab w:val="right" w:pos="8278"/>
      </w:tabs>
      <w:spacing w:before="240" w:after="120"/>
      <w:ind w:left="1843" w:right="714" w:hanging="1843"/>
    </w:pPr>
    <w:rPr>
      <w:rFonts w:ascii="Arial" w:hAnsi="Arial" w:cs="Arial"/>
      <w:b/>
      <w:bCs/>
    </w:rPr>
  </w:style>
  <w:style w:type="paragraph" w:styleId="TOC3">
    <w:name w:val="toc 3"/>
    <w:basedOn w:val="Normal"/>
    <w:next w:val="Normal"/>
    <w:autoRedefine/>
    <w:rsid w:val="001D266E"/>
    <w:pPr>
      <w:keepNext/>
      <w:tabs>
        <w:tab w:val="right" w:pos="8278"/>
      </w:tabs>
      <w:spacing w:before="180" w:after="60"/>
      <w:ind w:left="1843" w:right="714" w:hanging="1843"/>
    </w:pPr>
    <w:rPr>
      <w:rFonts w:ascii="Arial" w:hAnsi="Arial" w:cs="Arial"/>
      <w:b/>
      <w:bCs/>
      <w:sz w:val="20"/>
      <w:szCs w:val="20"/>
    </w:rPr>
  </w:style>
  <w:style w:type="paragraph" w:styleId="TOC4">
    <w:name w:val="toc 4"/>
    <w:basedOn w:val="Normal"/>
    <w:next w:val="Normal"/>
    <w:autoRedefine/>
    <w:rsid w:val="001D266E"/>
    <w:pPr>
      <w:keepNext/>
      <w:tabs>
        <w:tab w:val="right" w:pos="8278"/>
      </w:tabs>
      <w:spacing w:before="80"/>
      <w:ind w:left="1843" w:hanging="1843"/>
    </w:pPr>
    <w:rPr>
      <w:rFonts w:ascii="Arial" w:hAnsi="Arial" w:cs="Arial"/>
      <w:b/>
      <w:bCs/>
      <w:sz w:val="18"/>
      <w:szCs w:val="18"/>
    </w:rPr>
  </w:style>
  <w:style w:type="paragraph" w:styleId="TOC5">
    <w:name w:val="toc 5"/>
    <w:basedOn w:val="Normal"/>
    <w:next w:val="Normal"/>
    <w:autoRedefine/>
    <w:rsid w:val="001D266E"/>
    <w:pPr>
      <w:tabs>
        <w:tab w:val="right" w:pos="1559"/>
        <w:tab w:val="right" w:pos="8278"/>
      </w:tabs>
      <w:spacing w:before="40"/>
      <w:ind w:left="1843" w:right="714" w:hanging="1843"/>
    </w:pPr>
    <w:rPr>
      <w:rFonts w:ascii="Arial" w:hAnsi="Arial" w:cs="Arial"/>
      <w:sz w:val="20"/>
      <w:szCs w:val="20"/>
    </w:rPr>
  </w:style>
  <w:style w:type="paragraph" w:styleId="TOC6">
    <w:name w:val="toc 6"/>
    <w:basedOn w:val="Normal"/>
    <w:next w:val="Normal"/>
    <w:autoRedefine/>
    <w:rsid w:val="001D266E"/>
    <w:pPr>
      <w:keepNext/>
      <w:tabs>
        <w:tab w:val="right" w:pos="8278"/>
      </w:tabs>
      <w:spacing w:before="120"/>
      <w:ind w:left="1843" w:right="561" w:hanging="1843"/>
    </w:pPr>
    <w:rPr>
      <w:rFonts w:ascii="Arial" w:hAnsi="Arial" w:cs="Arial"/>
      <w:b/>
      <w:bCs/>
      <w:sz w:val="20"/>
      <w:szCs w:val="20"/>
    </w:rPr>
  </w:style>
  <w:style w:type="paragraph" w:styleId="TOC7">
    <w:name w:val="toc 7"/>
    <w:basedOn w:val="Normal"/>
    <w:next w:val="Normal"/>
    <w:autoRedefine/>
    <w:rsid w:val="001D266E"/>
    <w:pPr>
      <w:tabs>
        <w:tab w:val="right" w:pos="8278"/>
      </w:tabs>
      <w:spacing w:before="240" w:after="120"/>
      <w:ind w:left="1134" w:right="714" w:hanging="1134"/>
    </w:pPr>
    <w:rPr>
      <w:rFonts w:ascii="Arial" w:hAnsi="Arial" w:cs="Arial"/>
      <w:b/>
      <w:bCs/>
      <w:sz w:val="20"/>
      <w:szCs w:val="20"/>
    </w:rPr>
  </w:style>
  <w:style w:type="paragraph" w:styleId="TOC8">
    <w:name w:val="toc 8"/>
    <w:basedOn w:val="Normal"/>
    <w:next w:val="Normal"/>
    <w:autoRedefine/>
    <w:rsid w:val="001D266E"/>
    <w:pPr>
      <w:tabs>
        <w:tab w:val="right" w:pos="8278"/>
      </w:tabs>
      <w:spacing w:before="60"/>
      <w:ind w:left="1843" w:right="714" w:hanging="1843"/>
    </w:pPr>
    <w:rPr>
      <w:rFonts w:ascii="Arial" w:hAnsi="Arial" w:cs="Arial"/>
      <w:sz w:val="20"/>
      <w:szCs w:val="20"/>
    </w:rPr>
  </w:style>
  <w:style w:type="paragraph" w:styleId="TOC9">
    <w:name w:val="toc 9"/>
    <w:basedOn w:val="Normal"/>
    <w:next w:val="Normal"/>
    <w:autoRedefine/>
    <w:rsid w:val="001D266E"/>
    <w:pPr>
      <w:tabs>
        <w:tab w:val="right" w:pos="8278"/>
      </w:tabs>
      <w:spacing w:before="240" w:after="120"/>
    </w:pPr>
    <w:rPr>
      <w:rFonts w:ascii="Arial" w:hAnsi="Arial" w:cs="Arial"/>
      <w:b/>
      <w:bCs/>
      <w:sz w:val="20"/>
      <w:szCs w:val="20"/>
    </w:rPr>
  </w:style>
  <w:style w:type="paragraph" w:customStyle="1" w:styleId="IntroP2i">
    <w:name w:val="IntroP2(i)"/>
    <w:basedOn w:val="Normal"/>
    <w:rsid w:val="001D266E"/>
    <w:pPr>
      <w:tabs>
        <w:tab w:val="right" w:pos="709"/>
      </w:tabs>
      <w:spacing w:before="60" w:line="260" w:lineRule="exact"/>
      <w:ind w:left="907" w:hanging="907"/>
      <w:jc w:val="both"/>
    </w:pPr>
    <w:rPr>
      <w:lang w:eastAsia="en-AU"/>
    </w:rPr>
  </w:style>
  <w:style w:type="paragraph" w:customStyle="1" w:styleId="IntroP3A">
    <w:name w:val="IntroP3(A)"/>
    <w:basedOn w:val="Normal"/>
    <w:rsid w:val="001D266E"/>
    <w:pPr>
      <w:tabs>
        <w:tab w:val="right" w:pos="1276"/>
      </w:tabs>
      <w:spacing w:before="60" w:line="260" w:lineRule="exact"/>
      <w:ind w:left="1503" w:hanging="1503"/>
      <w:jc w:val="both"/>
    </w:pPr>
    <w:rPr>
      <w:lang w:eastAsia="en-AU"/>
    </w:rPr>
  </w:style>
  <w:style w:type="paragraph" w:customStyle="1" w:styleId="InstructorsNote">
    <w:name w:val="InstructorsNote"/>
    <w:basedOn w:val="Normal"/>
    <w:next w:val="Normal"/>
    <w:rsid w:val="001D266E"/>
    <w:pPr>
      <w:spacing w:before="120"/>
      <w:ind w:left="958" w:hanging="958"/>
    </w:pPr>
    <w:rPr>
      <w:rFonts w:ascii="Arial" w:hAnsi="Arial" w:cs="Arial"/>
      <w:b/>
      <w:bCs/>
      <w:sz w:val="16"/>
      <w:szCs w:val="16"/>
    </w:rPr>
  </w:style>
  <w:style w:type="paragraph" w:customStyle="1" w:styleId="ZA2">
    <w:name w:val="ZA2"/>
    <w:basedOn w:val="A2"/>
    <w:rsid w:val="001D266E"/>
    <w:pPr>
      <w:keepNext/>
    </w:pPr>
  </w:style>
  <w:style w:type="paragraph" w:customStyle="1" w:styleId="ZA3">
    <w:name w:val="ZA3"/>
    <w:basedOn w:val="A3"/>
    <w:rsid w:val="001D266E"/>
    <w:pPr>
      <w:keepNext/>
    </w:pPr>
  </w:style>
  <w:style w:type="paragraph" w:customStyle="1" w:styleId="ZA4">
    <w:name w:val="ZA4"/>
    <w:basedOn w:val="Normal"/>
    <w:next w:val="A4"/>
    <w:rsid w:val="001D266E"/>
    <w:pPr>
      <w:keepNext/>
      <w:tabs>
        <w:tab w:val="right" w:pos="1247"/>
      </w:tabs>
      <w:spacing w:before="60" w:line="260" w:lineRule="exact"/>
      <w:ind w:left="1531" w:hanging="1531"/>
      <w:jc w:val="both"/>
    </w:pPr>
    <w:rPr>
      <w:lang w:eastAsia="en-AU"/>
    </w:rPr>
  </w:style>
  <w:style w:type="paragraph" w:customStyle="1" w:styleId="ZDD">
    <w:name w:val="ZDD"/>
    <w:aliases w:val="Dict Def"/>
    <w:basedOn w:val="DD"/>
    <w:rsid w:val="001D266E"/>
    <w:pPr>
      <w:keepNext/>
    </w:pPr>
  </w:style>
  <w:style w:type="paragraph" w:customStyle="1" w:styleId="Zdefinition">
    <w:name w:val="Zdefinition"/>
    <w:basedOn w:val="definition"/>
    <w:rsid w:val="001D266E"/>
    <w:pPr>
      <w:keepNext/>
    </w:pPr>
  </w:style>
  <w:style w:type="paragraph" w:customStyle="1" w:styleId="ZDP1">
    <w:name w:val="ZDP1"/>
    <w:basedOn w:val="DP1a"/>
    <w:rsid w:val="001D266E"/>
    <w:pPr>
      <w:keepNext/>
    </w:pPr>
  </w:style>
  <w:style w:type="paragraph" w:customStyle="1" w:styleId="ZExampleBody">
    <w:name w:val="ZExample Body"/>
    <w:basedOn w:val="ExampleBody"/>
    <w:rsid w:val="001D266E"/>
    <w:pPr>
      <w:keepNext/>
    </w:pPr>
  </w:style>
  <w:style w:type="paragraph" w:customStyle="1" w:styleId="ZNote">
    <w:name w:val="ZNote"/>
    <w:basedOn w:val="Note"/>
    <w:rsid w:val="001D266E"/>
    <w:pPr>
      <w:keepNext/>
    </w:pPr>
  </w:style>
  <w:style w:type="paragraph" w:customStyle="1" w:styleId="ZP1">
    <w:name w:val="ZP1"/>
    <w:basedOn w:val="P1"/>
    <w:rsid w:val="001D266E"/>
    <w:pPr>
      <w:keepNext/>
    </w:pPr>
  </w:style>
  <w:style w:type="paragraph" w:customStyle="1" w:styleId="ZP2">
    <w:name w:val="ZP2"/>
    <w:basedOn w:val="P2"/>
    <w:rsid w:val="001D266E"/>
    <w:pPr>
      <w:keepNext/>
    </w:pPr>
  </w:style>
  <w:style w:type="paragraph" w:customStyle="1" w:styleId="ZP3">
    <w:name w:val="ZP3"/>
    <w:basedOn w:val="P3"/>
    <w:rsid w:val="001D266E"/>
    <w:pPr>
      <w:keepNext/>
    </w:pPr>
  </w:style>
  <w:style w:type="paragraph" w:customStyle="1" w:styleId="ZR1">
    <w:name w:val="ZR1"/>
    <w:basedOn w:val="R1"/>
    <w:rsid w:val="001D266E"/>
    <w:pPr>
      <w:keepNext/>
    </w:pPr>
  </w:style>
  <w:style w:type="paragraph" w:customStyle="1" w:styleId="ZR2">
    <w:name w:val="ZR2"/>
    <w:basedOn w:val="R2"/>
    <w:rsid w:val="001D266E"/>
    <w:pPr>
      <w:keepNext/>
    </w:pPr>
  </w:style>
  <w:style w:type="paragraph" w:customStyle="1" w:styleId="ZRcN">
    <w:name w:val="ZRcN"/>
    <w:basedOn w:val="Rc"/>
    <w:rsid w:val="001D266E"/>
    <w:pPr>
      <w:keepNext/>
    </w:pPr>
  </w:style>
  <w:style w:type="paragraph" w:customStyle="1" w:styleId="tablebody">
    <w:name w:val="table body"/>
    <w:basedOn w:val="Normal"/>
    <w:rsid w:val="001D266E"/>
    <w:pPr>
      <w:keepLines/>
      <w:spacing w:after="60"/>
      <w:ind w:left="113" w:hanging="113"/>
    </w:pPr>
    <w:rPr>
      <w:sz w:val="16"/>
      <w:szCs w:val="16"/>
      <w:lang w:eastAsia="en-AU"/>
    </w:rPr>
  </w:style>
  <w:style w:type="table" w:customStyle="1" w:styleId="TableGrid10">
    <w:name w:val="Table Grid1"/>
    <w:rsid w:val="001D266E"/>
    <w:tblPr>
      <w:tblCellMar>
        <w:top w:w="0" w:type="dxa"/>
        <w:left w:w="108" w:type="dxa"/>
        <w:bottom w:w="0" w:type="dxa"/>
        <w:right w:w="108" w:type="dxa"/>
      </w:tblCellMar>
    </w:tblPr>
  </w:style>
  <w:style w:type="paragraph" w:customStyle="1" w:styleId="CharCharCharCharCharChar">
    <w:name w:val="Char Char Char Char Char Char"/>
    <w:basedOn w:val="Normal"/>
    <w:rsid w:val="001D266E"/>
    <w:pPr>
      <w:spacing w:after="160" w:line="240" w:lineRule="exact"/>
    </w:pPr>
    <w:rPr>
      <w:rFonts w:ascii="Verdana" w:hAnsi="Verdana" w:cs="Verdana"/>
      <w:sz w:val="20"/>
      <w:szCs w:val="20"/>
      <w:lang w:val="en-US"/>
    </w:rPr>
  </w:style>
  <w:style w:type="paragraph" w:customStyle="1" w:styleId="tableheader">
    <w:name w:val="table header"/>
    <w:basedOn w:val="Normal"/>
    <w:rsid w:val="001D266E"/>
    <w:pPr>
      <w:keepLines/>
      <w:spacing w:before="60" w:after="60"/>
      <w:jc w:val="both"/>
    </w:pPr>
    <w:rPr>
      <w:rFonts w:ascii="Bookman Old Style" w:hAnsi="Bookman Old Style" w:cs="Bookman Old Style"/>
      <w:i/>
      <w:iCs/>
      <w:sz w:val="16"/>
      <w:szCs w:val="16"/>
      <w:lang w:eastAsia="en-AU"/>
    </w:rPr>
  </w:style>
  <w:style w:type="paragraph" w:customStyle="1" w:styleId="list1">
    <w:name w:val="list1"/>
    <w:basedOn w:val="Normal"/>
    <w:rsid w:val="001D266E"/>
    <w:pPr>
      <w:keepLines/>
      <w:suppressAutoHyphens/>
      <w:spacing w:before="60" w:after="60"/>
      <w:ind w:left="567" w:hanging="567"/>
      <w:jc w:val="both"/>
    </w:pPr>
    <w:rPr>
      <w:sz w:val="20"/>
      <w:szCs w:val="20"/>
      <w:lang w:eastAsia="en-AU"/>
    </w:rPr>
  </w:style>
  <w:style w:type="paragraph" w:customStyle="1" w:styleId="list30">
    <w:name w:val="list3"/>
    <w:basedOn w:val="Normal"/>
    <w:rsid w:val="001D266E"/>
    <w:pPr>
      <w:keepLines/>
      <w:suppressAutoHyphens/>
      <w:spacing w:after="120"/>
      <w:ind w:left="1701" w:hanging="567"/>
      <w:jc w:val="both"/>
    </w:pPr>
    <w:rPr>
      <w:sz w:val="20"/>
      <w:szCs w:val="20"/>
      <w:lang w:eastAsia="en-AU"/>
    </w:rPr>
  </w:style>
  <w:style w:type="paragraph" w:customStyle="1" w:styleId="list20">
    <w:name w:val="list2"/>
    <w:basedOn w:val="Normal"/>
    <w:rsid w:val="001D266E"/>
    <w:pPr>
      <w:keepLines/>
      <w:suppressAutoHyphens/>
      <w:spacing w:after="120"/>
      <w:ind w:left="1134" w:hanging="567"/>
      <w:jc w:val="both"/>
    </w:pPr>
    <w:rPr>
      <w:sz w:val="20"/>
      <w:szCs w:val="20"/>
      <w:lang w:eastAsia="en-AU"/>
    </w:rPr>
  </w:style>
  <w:style w:type="paragraph" w:customStyle="1" w:styleId="list40">
    <w:name w:val="list4"/>
    <w:basedOn w:val="Normal"/>
    <w:rsid w:val="001D266E"/>
    <w:pPr>
      <w:keepLines/>
      <w:suppressAutoHyphens/>
      <w:spacing w:after="120"/>
      <w:ind w:left="2268" w:hanging="567"/>
      <w:jc w:val="both"/>
    </w:pPr>
    <w:rPr>
      <w:sz w:val="20"/>
      <w:szCs w:val="20"/>
      <w:lang w:eastAsia="en-AU"/>
    </w:rPr>
  </w:style>
  <w:style w:type="paragraph" w:customStyle="1" w:styleId="Manufacturer">
    <w:name w:val="Manufacturer"/>
    <w:basedOn w:val="Normal"/>
    <w:rsid w:val="001D266E"/>
    <w:pPr>
      <w:keepLines/>
      <w:suppressAutoHyphens/>
      <w:spacing w:after="120"/>
      <w:jc w:val="both"/>
    </w:pPr>
    <w:rPr>
      <w:sz w:val="16"/>
      <w:szCs w:val="16"/>
      <w:lang w:eastAsia="en-AU"/>
    </w:rPr>
  </w:style>
  <w:style w:type="paragraph" w:customStyle="1" w:styleId="Schedule">
    <w:name w:val="Schedule"/>
    <w:basedOn w:val="Normal"/>
    <w:rsid w:val="001D266E"/>
    <w:pPr>
      <w:keepLines/>
      <w:suppressAutoHyphens/>
      <w:spacing w:after="120"/>
      <w:jc w:val="both"/>
    </w:pPr>
    <w:rPr>
      <w:sz w:val="16"/>
      <w:szCs w:val="16"/>
      <w:lang w:eastAsia="en-AU"/>
    </w:rPr>
  </w:style>
  <w:style w:type="paragraph" w:customStyle="1" w:styleId="list50">
    <w:name w:val="list5"/>
    <w:basedOn w:val="Normal"/>
    <w:rsid w:val="001D266E"/>
    <w:pPr>
      <w:keepLines/>
      <w:suppressAutoHyphens/>
      <w:spacing w:after="120"/>
      <w:ind w:left="2835" w:hanging="567"/>
      <w:jc w:val="both"/>
    </w:pPr>
    <w:rPr>
      <w:sz w:val="20"/>
      <w:szCs w:val="20"/>
      <w:lang w:eastAsia="en-AU"/>
    </w:rPr>
  </w:style>
  <w:style w:type="paragraph" w:customStyle="1" w:styleId="Heading40">
    <w:name w:val="Heading4"/>
    <w:basedOn w:val="Normal"/>
    <w:rsid w:val="001D266E"/>
    <w:pPr>
      <w:keepNext/>
      <w:keepLines/>
      <w:suppressAutoHyphens/>
      <w:spacing w:after="120"/>
      <w:jc w:val="center"/>
    </w:pPr>
    <w:rPr>
      <w:b/>
      <w:bCs/>
      <w:sz w:val="20"/>
      <w:szCs w:val="20"/>
      <w:lang w:eastAsia="en-AU"/>
    </w:rPr>
  </w:style>
  <w:style w:type="paragraph" w:customStyle="1" w:styleId="Heading50">
    <w:name w:val="Heading5"/>
    <w:basedOn w:val="Normal"/>
    <w:rsid w:val="001D266E"/>
    <w:pPr>
      <w:keepNext/>
      <w:keepLines/>
      <w:suppressAutoHyphens/>
      <w:spacing w:after="120"/>
      <w:jc w:val="center"/>
    </w:pPr>
    <w:rPr>
      <w:i/>
      <w:iCs/>
      <w:sz w:val="20"/>
      <w:szCs w:val="20"/>
      <w:lang w:eastAsia="en-AU"/>
    </w:rPr>
  </w:style>
  <w:style w:type="paragraph" w:customStyle="1" w:styleId="Heading60">
    <w:name w:val="Heading6"/>
    <w:basedOn w:val="Normal"/>
    <w:rsid w:val="001D266E"/>
    <w:pPr>
      <w:keepNext/>
      <w:keepLines/>
      <w:suppressAutoHyphens/>
      <w:spacing w:after="120"/>
      <w:jc w:val="both"/>
    </w:pPr>
    <w:rPr>
      <w:b/>
      <w:bCs/>
      <w:sz w:val="20"/>
      <w:szCs w:val="20"/>
      <w:lang w:eastAsia="en-AU"/>
    </w:rPr>
  </w:style>
  <w:style w:type="paragraph" w:customStyle="1" w:styleId="table-list1">
    <w:name w:val="table-list1"/>
    <w:basedOn w:val="list1"/>
    <w:rsid w:val="001D266E"/>
    <w:pPr>
      <w:ind w:left="113" w:hanging="113"/>
    </w:pPr>
    <w:rPr>
      <w:sz w:val="16"/>
      <w:szCs w:val="16"/>
    </w:rPr>
  </w:style>
  <w:style w:type="paragraph" w:customStyle="1" w:styleId="table-list2">
    <w:name w:val="table-list2"/>
    <w:basedOn w:val="list20"/>
    <w:rsid w:val="001D266E"/>
    <w:pPr>
      <w:ind w:left="226" w:hanging="113"/>
    </w:pPr>
    <w:rPr>
      <w:sz w:val="16"/>
      <w:szCs w:val="16"/>
    </w:rPr>
  </w:style>
  <w:style w:type="paragraph" w:customStyle="1" w:styleId="table-list3">
    <w:name w:val="table-list3"/>
    <w:basedOn w:val="list30"/>
    <w:rsid w:val="001D266E"/>
    <w:pPr>
      <w:ind w:left="340" w:hanging="113"/>
    </w:pPr>
    <w:rPr>
      <w:sz w:val="16"/>
      <w:szCs w:val="16"/>
    </w:rPr>
  </w:style>
  <w:style w:type="paragraph" w:customStyle="1" w:styleId="table-list4">
    <w:name w:val="table-list4"/>
    <w:basedOn w:val="list40"/>
    <w:rsid w:val="001D266E"/>
    <w:pPr>
      <w:ind w:left="453" w:hanging="113"/>
    </w:pPr>
    <w:rPr>
      <w:sz w:val="16"/>
      <w:szCs w:val="16"/>
    </w:rPr>
  </w:style>
  <w:style w:type="paragraph" w:customStyle="1" w:styleId="table-list5">
    <w:name w:val="table-list5"/>
    <w:basedOn w:val="list50"/>
    <w:rsid w:val="001D266E"/>
    <w:pPr>
      <w:ind w:left="567" w:hanging="113"/>
    </w:pPr>
    <w:rPr>
      <w:sz w:val="16"/>
      <w:szCs w:val="16"/>
    </w:rPr>
  </w:style>
  <w:style w:type="paragraph" w:customStyle="1" w:styleId="list1-2">
    <w:name w:val="list1-2"/>
    <w:basedOn w:val="Normal"/>
    <w:rsid w:val="001D266E"/>
    <w:pPr>
      <w:keepLines/>
      <w:tabs>
        <w:tab w:val="left" w:pos="567"/>
      </w:tabs>
      <w:suppressAutoHyphens/>
      <w:spacing w:before="60" w:after="60"/>
      <w:ind w:left="1134" w:hanging="1134"/>
      <w:jc w:val="both"/>
    </w:pPr>
    <w:rPr>
      <w:sz w:val="20"/>
      <w:szCs w:val="20"/>
      <w:lang w:eastAsia="en-AU"/>
    </w:rPr>
  </w:style>
  <w:style w:type="paragraph" w:customStyle="1" w:styleId="list1-2-3">
    <w:name w:val="list1-2-3"/>
    <w:basedOn w:val="Normal"/>
    <w:rsid w:val="001D266E"/>
    <w:pPr>
      <w:keepLines/>
      <w:tabs>
        <w:tab w:val="left" w:pos="567"/>
        <w:tab w:val="left" w:pos="1134"/>
      </w:tabs>
      <w:suppressAutoHyphens/>
      <w:spacing w:before="60" w:after="60"/>
      <w:ind w:left="1701" w:hanging="1701"/>
      <w:jc w:val="both"/>
    </w:pPr>
    <w:rPr>
      <w:sz w:val="20"/>
      <w:szCs w:val="20"/>
      <w:lang w:eastAsia="en-AU"/>
    </w:rPr>
  </w:style>
  <w:style w:type="paragraph" w:customStyle="1" w:styleId="list1-2-3-4">
    <w:name w:val="list1-2-3-4"/>
    <w:basedOn w:val="Normal"/>
    <w:rsid w:val="001D266E"/>
    <w:pPr>
      <w:keepLines/>
      <w:tabs>
        <w:tab w:val="left" w:pos="567"/>
        <w:tab w:val="left" w:pos="1134"/>
        <w:tab w:val="left" w:pos="1701"/>
      </w:tabs>
      <w:suppressAutoHyphens/>
      <w:spacing w:before="60" w:after="60"/>
      <w:ind w:left="2268" w:hanging="2268"/>
      <w:jc w:val="both"/>
    </w:pPr>
    <w:rPr>
      <w:sz w:val="20"/>
      <w:szCs w:val="20"/>
      <w:lang w:eastAsia="en-AU"/>
    </w:rPr>
  </w:style>
  <w:style w:type="paragraph" w:customStyle="1" w:styleId="list1-2-3-4-5">
    <w:name w:val="list1-2-3-4-5"/>
    <w:basedOn w:val="Normal"/>
    <w:rsid w:val="001D266E"/>
    <w:pPr>
      <w:keepLines/>
      <w:tabs>
        <w:tab w:val="left" w:pos="567"/>
        <w:tab w:val="left" w:pos="1134"/>
        <w:tab w:val="left" w:pos="1701"/>
        <w:tab w:val="left" w:pos="2268"/>
      </w:tabs>
      <w:suppressAutoHyphens/>
      <w:spacing w:before="60" w:after="60"/>
      <w:ind w:left="2835" w:hanging="2835"/>
      <w:jc w:val="both"/>
    </w:pPr>
    <w:rPr>
      <w:sz w:val="20"/>
      <w:szCs w:val="20"/>
      <w:lang w:eastAsia="en-AU"/>
    </w:rPr>
  </w:style>
  <w:style w:type="paragraph" w:customStyle="1" w:styleId="table-list1-2">
    <w:name w:val="table-list1-2"/>
    <w:basedOn w:val="table-list1"/>
    <w:rsid w:val="001D266E"/>
    <w:pPr>
      <w:tabs>
        <w:tab w:val="left" w:pos="113"/>
      </w:tabs>
      <w:ind w:left="227" w:hanging="227"/>
    </w:pPr>
  </w:style>
  <w:style w:type="paragraph" w:customStyle="1" w:styleId="blockquote1">
    <w:name w:val="blockquote1"/>
    <w:basedOn w:val="Normal"/>
    <w:rsid w:val="001D266E"/>
    <w:pPr>
      <w:keepLines/>
      <w:suppressAutoHyphens/>
      <w:spacing w:after="120"/>
      <w:ind w:left="567"/>
      <w:jc w:val="both"/>
    </w:pPr>
    <w:rPr>
      <w:sz w:val="20"/>
      <w:szCs w:val="20"/>
      <w:lang w:eastAsia="en-AU"/>
    </w:rPr>
  </w:style>
  <w:style w:type="paragraph" w:customStyle="1" w:styleId="blockquote2">
    <w:name w:val="blockquote2"/>
    <w:basedOn w:val="Normal"/>
    <w:rsid w:val="001D266E"/>
    <w:pPr>
      <w:keepLines/>
      <w:suppressAutoHyphens/>
      <w:spacing w:after="120"/>
      <w:ind w:left="1134"/>
      <w:jc w:val="both"/>
    </w:pPr>
    <w:rPr>
      <w:sz w:val="20"/>
      <w:szCs w:val="20"/>
      <w:lang w:eastAsia="en-AU"/>
    </w:rPr>
  </w:style>
  <w:style w:type="paragraph" w:customStyle="1" w:styleId="blockquote3">
    <w:name w:val="blockquote3"/>
    <w:basedOn w:val="Normal"/>
    <w:rsid w:val="001D266E"/>
    <w:pPr>
      <w:keepLines/>
      <w:suppressAutoHyphens/>
      <w:spacing w:after="120"/>
      <w:ind w:left="1701"/>
      <w:jc w:val="both"/>
    </w:pPr>
    <w:rPr>
      <w:sz w:val="20"/>
      <w:szCs w:val="20"/>
      <w:lang w:eastAsia="en-AU"/>
    </w:rPr>
  </w:style>
  <w:style w:type="paragraph" w:customStyle="1" w:styleId="table-blockquote1">
    <w:name w:val="table-blockquote1"/>
    <w:basedOn w:val="tablebody"/>
    <w:rsid w:val="001D266E"/>
    <w:pPr>
      <w:ind w:left="226"/>
    </w:pPr>
  </w:style>
  <w:style w:type="paragraph" w:customStyle="1" w:styleId="table-blockquote2">
    <w:name w:val="table-blockquote2"/>
    <w:basedOn w:val="tablebody"/>
    <w:rsid w:val="001D266E"/>
    <w:pPr>
      <w:ind w:left="340"/>
    </w:pPr>
  </w:style>
  <w:style w:type="paragraph" w:customStyle="1" w:styleId="table-blockquote3">
    <w:name w:val="table-blockquote3"/>
    <w:basedOn w:val="tablebody"/>
    <w:rsid w:val="001D266E"/>
    <w:pPr>
      <w:ind w:left="453"/>
    </w:pPr>
  </w:style>
  <w:style w:type="character" w:customStyle="1" w:styleId="A2SChar">
    <w:name w:val="A2S Char"/>
    <w:aliases w:val="Schedule Inst Amendment Char"/>
    <w:link w:val="A2S"/>
    <w:locked/>
    <w:rsid w:val="001D266E"/>
    <w:rPr>
      <w:i/>
      <w:iCs/>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D266E"/>
    <w:pPr>
      <w:spacing w:after="160" w:line="240" w:lineRule="exact"/>
    </w:pPr>
    <w:rPr>
      <w:rFonts w:ascii="Verdana" w:eastAsia="MS Mincho" w:hAnsi="Verdana" w:cs="Verdana"/>
      <w:sz w:val="20"/>
      <w:szCs w:val="20"/>
      <w:lang w:val="en-US"/>
    </w:rPr>
  </w:style>
  <w:style w:type="numbering" w:styleId="ArticleSection">
    <w:name w:val="Outline List 3"/>
    <w:basedOn w:val="NoList"/>
    <w:rsid w:val="001D266E"/>
    <w:pPr>
      <w:numPr>
        <w:numId w:val="1"/>
      </w:numPr>
    </w:pPr>
  </w:style>
  <w:style w:type="numbering" w:styleId="111111">
    <w:name w:val="Outline List 2"/>
    <w:basedOn w:val="NoList"/>
    <w:rsid w:val="001D266E"/>
    <w:pPr>
      <w:numPr>
        <w:numId w:val="2"/>
      </w:numPr>
    </w:pPr>
  </w:style>
  <w:style w:type="numbering" w:styleId="1ai">
    <w:name w:val="Outline List 1"/>
    <w:basedOn w:val="NoList"/>
    <w:rsid w:val="001D266E"/>
    <w:pPr>
      <w:numPr>
        <w:numId w:val="3"/>
      </w:numPr>
    </w:pPr>
  </w:style>
  <w:style w:type="table" w:customStyle="1" w:styleId="TableGrid20">
    <w:name w:val="Table Grid2"/>
    <w:basedOn w:val="TableNormal"/>
    <w:next w:val="TableGrid"/>
    <w:rsid w:val="001D266E"/>
    <w:tblPr/>
  </w:style>
  <w:style w:type="paragraph" w:customStyle="1" w:styleId="xl22">
    <w:name w:val="xl22"/>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US"/>
    </w:rPr>
  </w:style>
  <w:style w:type="paragraph" w:customStyle="1" w:styleId="xl23">
    <w:name w:val="xl23"/>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4">
    <w:name w:val="xl24"/>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rPr>
  </w:style>
  <w:style w:type="paragraph" w:customStyle="1" w:styleId="xl25">
    <w:name w:val="xl25"/>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rPr>
  </w:style>
  <w:style w:type="paragraph" w:customStyle="1" w:styleId="xl26">
    <w:name w:val="xl26"/>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color w:val="FF0000"/>
      <w:lang w:val="en-US"/>
    </w:rPr>
  </w:style>
  <w:style w:type="paragraph" w:customStyle="1" w:styleId="xl27">
    <w:name w:val="xl27"/>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8">
    <w:name w:val="xl28"/>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rPr>
  </w:style>
  <w:style w:type="paragraph" w:customStyle="1" w:styleId="xl29">
    <w:name w:val="xl29"/>
    <w:basedOn w:val="Normal"/>
    <w:rsid w:val="001D266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color w:val="FF0000"/>
      <w:lang w:val="en-US"/>
    </w:rPr>
  </w:style>
  <w:style w:type="paragraph" w:customStyle="1" w:styleId="xl30">
    <w:name w:val="xl30"/>
    <w:basedOn w:val="Normal"/>
    <w:rsid w:val="001D266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color w:val="FF0000"/>
      <w:lang w:val="en-US"/>
    </w:rPr>
  </w:style>
  <w:style w:type="paragraph" w:customStyle="1" w:styleId="list1para">
    <w:name w:val="list1para"/>
    <w:basedOn w:val="list1"/>
    <w:rsid w:val="001D266E"/>
    <w:pPr>
      <w:suppressAutoHyphens w:val="0"/>
      <w:spacing w:after="120"/>
      <w:ind w:firstLine="0"/>
    </w:pPr>
    <w:rPr>
      <w:sz w:val="24"/>
      <w:szCs w:val="24"/>
    </w:rPr>
  </w:style>
  <w:style w:type="paragraph" w:customStyle="1" w:styleId="a1s0">
    <w:name w:val="a1s"/>
    <w:basedOn w:val="Normal"/>
    <w:rsid w:val="001D266E"/>
    <w:pPr>
      <w:spacing w:before="100" w:beforeAutospacing="1" w:after="100" w:afterAutospacing="1"/>
    </w:pPr>
    <w:rPr>
      <w:lang w:val="en-US"/>
    </w:rPr>
  </w:style>
  <w:style w:type="paragraph" w:customStyle="1" w:styleId="a2s0">
    <w:name w:val="a2s"/>
    <w:basedOn w:val="Normal"/>
    <w:rsid w:val="001D266E"/>
    <w:pPr>
      <w:spacing w:before="100" w:beforeAutospacing="1" w:after="100" w:afterAutospacing="1"/>
    </w:pPr>
    <w:rPr>
      <w:lang w:val="en-US"/>
    </w:rPr>
  </w:style>
  <w:style w:type="paragraph" w:customStyle="1" w:styleId="a3s0">
    <w:name w:val="a3s"/>
    <w:basedOn w:val="Normal"/>
    <w:rsid w:val="001D266E"/>
    <w:pPr>
      <w:spacing w:before="100" w:beforeAutospacing="1" w:after="100" w:afterAutospacing="1"/>
    </w:pPr>
    <w:rPr>
      <w:lang w:val="en-US"/>
    </w:rPr>
  </w:style>
  <w:style w:type="character" w:customStyle="1" w:styleId="CharChar6">
    <w:name w:val="Char Char6"/>
    <w:locked/>
    <w:rsid w:val="001D266E"/>
    <w:rPr>
      <w:rFonts w:ascii="Arial" w:hAnsi="Arial" w:cs="Times New Roman"/>
      <w:b/>
      <w:bCs/>
      <w:color w:val="000000"/>
      <w:sz w:val="28"/>
      <w:szCs w:val="28"/>
      <w:lang w:val="en-AU" w:eastAsia="x-none"/>
    </w:rPr>
  </w:style>
  <w:style w:type="character" w:customStyle="1" w:styleId="CharChar5">
    <w:name w:val="Char Char5"/>
    <w:locked/>
    <w:rsid w:val="001D266E"/>
    <w:rPr>
      <w:rFonts w:ascii="Arial" w:hAnsi="Arial" w:cs="Times New Roman"/>
      <w:bCs/>
      <w:color w:val="000000"/>
      <w:sz w:val="26"/>
      <w:szCs w:val="26"/>
      <w:lang w:val="en-AU" w:eastAsia="x-none"/>
    </w:rPr>
  </w:style>
  <w:style w:type="character" w:customStyle="1" w:styleId="CharChar4">
    <w:name w:val="Char Char4"/>
    <w:locked/>
    <w:rsid w:val="001D266E"/>
    <w:rPr>
      <w:rFonts w:ascii="Cambria" w:eastAsia="SimSun" w:hAnsi="Cambria" w:cs="Times New Roman"/>
      <w:b/>
      <w:bCs/>
      <w:color w:val="000000"/>
      <w:sz w:val="24"/>
    </w:rPr>
  </w:style>
  <w:style w:type="character" w:customStyle="1" w:styleId="CharChar3">
    <w:name w:val="Char Char3"/>
    <w:locked/>
    <w:rsid w:val="001D266E"/>
    <w:rPr>
      <w:rFonts w:ascii="Cambria" w:eastAsia="SimSun" w:hAnsi="Cambria" w:cs="Times New Roman"/>
      <w:b/>
      <w:bCs/>
      <w:i/>
      <w:iCs/>
      <w:color w:val="000000"/>
      <w:sz w:val="20"/>
    </w:rPr>
  </w:style>
  <w:style w:type="character" w:customStyle="1" w:styleId="CharChar2">
    <w:name w:val="Char Char2"/>
    <w:semiHidden/>
    <w:locked/>
    <w:rsid w:val="001D266E"/>
    <w:rPr>
      <w:rFonts w:ascii="Tahoma" w:hAnsi="Tahoma" w:cs="Tahoma"/>
      <w:sz w:val="16"/>
      <w:szCs w:val="16"/>
    </w:rPr>
  </w:style>
  <w:style w:type="character" w:customStyle="1" w:styleId="CharChar1">
    <w:name w:val="Char Char1"/>
    <w:locked/>
    <w:rsid w:val="001D266E"/>
    <w:rPr>
      <w:rFonts w:cs="Times New Roman"/>
    </w:rPr>
  </w:style>
  <w:style w:type="character" w:customStyle="1" w:styleId="CharChar">
    <w:name w:val="Char Char"/>
    <w:locked/>
    <w:rsid w:val="001D266E"/>
    <w:rPr>
      <w:rFonts w:cs="Times New Roman"/>
    </w:rPr>
  </w:style>
  <w:style w:type="table" w:customStyle="1" w:styleId="HeadingTable">
    <w:name w:val="HeadingTable"/>
    <w:basedOn w:val="TableGrid"/>
    <w:rsid w:val="001D266E"/>
    <w:rPr>
      <w:rFonts w:ascii="Calibri" w:eastAsia="SimSun" w:hAnsi="Calibri"/>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Style1">
    <w:name w:val="Style1"/>
    <w:basedOn w:val="TableNormal"/>
    <w:rsid w:val="001D266E"/>
    <w:rPr>
      <w:rFonts w:ascii="Calibri" w:eastAsia="SimSun" w:hAnsi="Calibri"/>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1D266E"/>
    <w:pPr>
      <w:spacing w:after="60"/>
      <w:ind w:left="113" w:hanging="113"/>
    </w:pPr>
    <w:rPr>
      <w:rFonts w:ascii="Arial" w:eastAsia="SimSun" w:hAnsi="Arial"/>
      <w:sz w:val="16"/>
      <w:szCs w:val="22"/>
      <w:lang w:eastAsia="zh-CN"/>
    </w:rPr>
  </w:style>
  <w:style w:type="table" w:customStyle="1" w:styleId="Table-LI-schedule-1">
    <w:name w:val="Table-LI-schedule-1"/>
    <w:basedOn w:val="TableNormal"/>
    <w:rsid w:val="001D266E"/>
    <w:pPr>
      <w:spacing w:before="60" w:after="60"/>
    </w:pPr>
    <w:rPr>
      <w:rFonts w:ascii="Arial" w:hAnsi="Arial" w:cs="Arial"/>
      <w:sz w:val="16"/>
      <w:szCs w:val="16"/>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Default">
    <w:name w:val="Default"/>
    <w:rsid w:val="001D266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1D266E"/>
    <w:rPr>
      <w:sz w:val="24"/>
      <w:szCs w:val="24"/>
    </w:rPr>
  </w:style>
  <w:style w:type="paragraph" w:customStyle="1" w:styleId="Definition0">
    <w:name w:val="Definition"/>
    <w:aliases w:val="dd"/>
    <w:basedOn w:val="Normal"/>
    <w:rsid w:val="001D266E"/>
    <w:pPr>
      <w:spacing w:before="180"/>
      <w:ind w:left="1134"/>
    </w:pPr>
    <w:rPr>
      <w:sz w:val="22"/>
      <w:szCs w:val="20"/>
      <w:lang w:eastAsia="en-AU"/>
    </w:rPr>
  </w:style>
  <w:style w:type="paragraph" w:customStyle="1" w:styleId="notetext">
    <w:name w:val="note(text)"/>
    <w:aliases w:val="n"/>
    <w:basedOn w:val="Normal"/>
    <w:rsid w:val="001D266E"/>
    <w:pPr>
      <w:spacing w:before="122" w:line="198" w:lineRule="exact"/>
      <w:ind w:left="1985" w:hanging="851"/>
    </w:pPr>
    <w:rPr>
      <w:sz w:val="18"/>
      <w:szCs w:val="20"/>
      <w:lang w:eastAsia="en-AU"/>
    </w:rPr>
  </w:style>
  <w:style w:type="table" w:customStyle="1" w:styleId="TableGrid30">
    <w:name w:val="Table Grid3"/>
    <w:basedOn w:val="TableNormal"/>
    <w:next w:val="TableGrid"/>
    <w:uiPriority w:val="59"/>
    <w:rsid w:val="004C3B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
    <w:name w:val="Table-LI-schedule-5"/>
    <w:basedOn w:val="Table-LI-schedule-1"/>
    <w:uiPriority w:val="99"/>
    <w:rsid w:val="009E17E7"/>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
    <w:name w:val="item"/>
    <w:basedOn w:val="DefaultParagraphFont"/>
    <w:uiPriority w:val="1"/>
    <w:qFormat/>
    <w:rsid w:val="009E17E7"/>
    <w:rPr>
      <w:vanish/>
      <w:color w:val="C00000"/>
    </w:rPr>
  </w:style>
  <w:style w:type="table" w:customStyle="1" w:styleId="Table-LI-schedule-4">
    <w:name w:val="Table-LI-schedule-4"/>
    <w:basedOn w:val="Table-LI-schedule-1"/>
    <w:uiPriority w:val="99"/>
    <w:rsid w:val="00930A1D"/>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subsection">
    <w:name w:val="subsection"/>
    <w:aliases w:val="ss"/>
    <w:basedOn w:val="Normal"/>
    <w:rsid w:val="009421DE"/>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9421DE"/>
    <w:pPr>
      <w:tabs>
        <w:tab w:val="right" w:pos="1985"/>
      </w:tabs>
      <w:spacing w:before="40"/>
      <w:ind w:left="2098" w:hanging="2098"/>
    </w:pPr>
    <w:rPr>
      <w:sz w:val="22"/>
      <w:szCs w:val="20"/>
      <w:lang w:eastAsia="en-AU"/>
    </w:rPr>
  </w:style>
  <w:style w:type="paragraph" w:customStyle="1" w:styleId="paragraph">
    <w:name w:val="paragraph"/>
    <w:aliases w:val="a"/>
    <w:basedOn w:val="Normal"/>
    <w:link w:val="paragraphChar"/>
    <w:rsid w:val="009421DE"/>
    <w:pPr>
      <w:tabs>
        <w:tab w:val="right" w:pos="1531"/>
      </w:tabs>
      <w:spacing w:before="40"/>
      <w:ind w:left="1644" w:hanging="1644"/>
    </w:pPr>
    <w:rPr>
      <w:sz w:val="22"/>
      <w:szCs w:val="20"/>
      <w:lang w:eastAsia="en-AU"/>
    </w:rPr>
  </w:style>
  <w:style w:type="paragraph" w:customStyle="1" w:styleId="ActHead2">
    <w:name w:val="ActHead 2"/>
    <w:aliases w:val="p"/>
    <w:basedOn w:val="Normal"/>
    <w:next w:val="Normal"/>
    <w:qFormat/>
    <w:rsid w:val="00EA422F"/>
    <w:pPr>
      <w:keepNext/>
      <w:keepLines/>
      <w:spacing w:before="280"/>
      <w:ind w:left="1134" w:hanging="1134"/>
      <w:outlineLvl w:val="1"/>
    </w:pPr>
    <w:rPr>
      <w:b/>
      <w:kern w:val="28"/>
      <w:sz w:val="32"/>
      <w:szCs w:val="20"/>
      <w:lang w:eastAsia="en-AU"/>
    </w:rPr>
  </w:style>
  <w:style w:type="paragraph" w:customStyle="1" w:styleId="Tabletext0">
    <w:name w:val="Tabletext"/>
    <w:aliases w:val="tt"/>
    <w:basedOn w:val="Normal"/>
    <w:link w:val="TabletextChar"/>
    <w:rsid w:val="009A56EA"/>
    <w:pPr>
      <w:spacing w:before="60" w:after="60"/>
    </w:pPr>
    <w:rPr>
      <w:rFonts w:ascii="Arial" w:hAnsi="Arial"/>
      <w:sz w:val="16"/>
      <w:szCs w:val="20"/>
      <w:lang w:eastAsia="en-AU"/>
    </w:rPr>
  </w:style>
  <w:style w:type="paragraph" w:customStyle="1" w:styleId="TableHeading">
    <w:name w:val="TableHeading"/>
    <w:aliases w:val="th"/>
    <w:basedOn w:val="Normal"/>
    <w:next w:val="Tabletext0"/>
    <w:rsid w:val="00EA422F"/>
    <w:pPr>
      <w:keepNext/>
      <w:spacing w:before="60" w:line="240" w:lineRule="atLeast"/>
    </w:pPr>
    <w:rPr>
      <w:b/>
      <w:sz w:val="20"/>
      <w:szCs w:val="20"/>
      <w:lang w:eastAsia="en-AU"/>
    </w:rPr>
  </w:style>
  <w:style w:type="paragraph" w:customStyle="1" w:styleId="Specials">
    <w:name w:val="Special s"/>
    <w:basedOn w:val="Normal"/>
    <w:link w:val="SpecialsChar"/>
    <w:rsid w:val="00EA422F"/>
    <w:pPr>
      <w:keepNext/>
      <w:keepLines/>
      <w:spacing w:before="280"/>
      <w:ind w:left="1134" w:hanging="1134"/>
    </w:pPr>
    <w:rPr>
      <w:b/>
      <w:kern w:val="28"/>
      <w:szCs w:val="20"/>
      <w:lang w:eastAsia="en-AU"/>
    </w:rPr>
  </w:style>
  <w:style w:type="character" w:customStyle="1" w:styleId="SpecialsChar">
    <w:name w:val="Special s Char"/>
    <w:basedOn w:val="DefaultParagraphFont"/>
    <w:link w:val="Specials"/>
    <w:rsid w:val="00EA422F"/>
    <w:rPr>
      <w:b/>
      <w:kern w:val="28"/>
      <w:sz w:val="24"/>
    </w:rPr>
  </w:style>
  <w:style w:type="paragraph" w:customStyle="1" w:styleId="Amendment1">
    <w:name w:val="Amendment 1"/>
    <w:basedOn w:val="Normal"/>
    <w:link w:val="Amendment1Char"/>
    <w:qFormat/>
    <w:rsid w:val="00522B1E"/>
    <w:pPr>
      <w:widowControl w:val="0"/>
      <w:numPr>
        <w:numId w:val="5"/>
      </w:numPr>
      <w:spacing w:before="120"/>
      <w:outlineLvl w:val="1"/>
    </w:pPr>
    <w:rPr>
      <w:rFonts w:ascii="Arial" w:hAnsi="Arial" w:cs="Arial"/>
      <w:b/>
      <w:bCs/>
      <w:sz w:val="20"/>
      <w:szCs w:val="20"/>
      <w:lang w:eastAsia="en-AU"/>
    </w:rPr>
  </w:style>
  <w:style w:type="paragraph" w:customStyle="1" w:styleId="Amendment2">
    <w:name w:val="Amendment 2"/>
    <w:basedOn w:val="Normal"/>
    <w:link w:val="Amendment2Char"/>
    <w:qFormat/>
    <w:rsid w:val="00ED6DB3"/>
    <w:pPr>
      <w:widowControl w:val="0"/>
      <w:numPr>
        <w:ilvl w:val="1"/>
        <w:numId w:val="5"/>
      </w:numPr>
      <w:spacing w:before="120"/>
      <w:outlineLvl w:val="2"/>
    </w:pPr>
    <w:rPr>
      <w:iCs/>
      <w:sz w:val="20"/>
      <w:szCs w:val="20"/>
      <w:lang w:eastAsia="en-AU"/>
    </w:rPr>
  </w:style>
  <w:style w:type="paragraph" w:customStyle="1" w:styleId="Amendment3">
    <w:name w:val="Amendment 3"/>
    <w:link w:val="Amendment3Char"/>
    <w:qFormat/>
    <w:rsid w:val="00340DB2"/>
    <w:pPr>
      <w:widowControl w:val="0"/>
      <w:numPr>
        <w:ilvl w:val="2"/>
        <w:numId w:val="6"/>
      </w:numPr>
      <w:spacing w:before="60" w:after="60" w:line="260" w:lineRule="exact"/>
      <w:outlineLvl w:val="2"/>
    </w:pPr>
    <w:rPr>
      <w:iCs/>
    </w:rPr>
  </w:style>
  <w:style w:type="character" w:customStyle="1" w:styleId="Amendment1Char">
    <w:name w:val="Amendment 1 Char"/>
    <w:basedOn w:val="DefaultParagraphFont"/>
    <w:link w:val="Amendment1"/>
    <w:rsid w:val="00552250"/>
    <w:rPr>
      <w:rFonts w:ascii="Arial" w:hAnsi="Arial" w:cs="Arial"/>
      <w:b/>
      <w:bCs/>
    </w:rPr>
  </w:style>
  <w:style w:type="character" w:customStyle="1" w:styleId="Amendment2Char">
    <w:name w:val="Amendment 2 Char"/>
    <w:basedOn w:val="DefaultParagraphFont"/>
    <w:link w:val="Amendment2"/>
    <w:rsid w:val="00ED6DB3"/>
    <w:rPr>
      <w:iCs/>
    </w:rPr>
  </w:style>
  <w:style w:type="character" w:customStyle="1" w:styleId="Amendment3Char">
    <w:name w:val="Amendment 3 Char"/>
    <w:basedOn w:val="ListParagraphChar"/>
    <w:link w:val="Amendment3"/>
    <w:rsid w:val="00340DB2"/>
    <w:rPr>
      <w:iCs/>
      <w:sz w:val="24"/>
      <w:szCs w:val="24"/>
      <w:lang w:eastAsia="en-US"/>
    </w:rPr>
  </w:style>
  <w:style w:type="character" w:customStyle="1" w:styleId="ListParagraphChar">
    <w:name w:val="List Paragraph Char"/>
    <w:basedOn w:val="DefaultParagraphFont"/>
    <w:link w:val="ListParagraph"/>
    <w:rsid w:val="00023673"/>
    <w:rPr>
      <w:sz w:val="24"/>
      <w:szCs w:val="24"/>
      <w:lang w:eastAsia="en-US"/>
    </w:rPr>
  </w:style>
  <w:style w:type="table" w:customStyle="1" w:styleId="TableGrid31">
    <w:name w:val="Table Grid31"/>
    <w:basedOn w:val="TableNormal"/>
    <w:next w:val="TableGrid"/>
    <w:uiPriority w:val="59"/>
    <w:rsid w:val="00F900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mendmentInstruction">
    <w:name w:val="Amendment Instruction"/>
    <w:basedOn w:val="NoList"/>
    <w:uiPriority w:val="99"/>
    <w:rsid w:val="00522B1E"/>
    <w:pPr>
      <w:numPr>
        <w:numId w:val="11"/>
      </w:numPr>
    </w:pPr>
  </w:style>
  <w:style w:type="paragraph" w:customStyle="1" w:styleId="LITableText">
    <w:name w:val="LI Table Text"/>
    <w:basedOn w:val="Tabletext0"/>
    <w:link w:val="LITableTextChar"/>
    <w:autoRedefine/>
    <w:qFormat/>
    <w:rsid w:val="004A65B6"/>
  </w:style>
  <w:style w:type="character" w:customStyle="1" w:styleId="TabletextChar">
    <w:name w:val="Tabletext Char"/>
    <w:aliases w:val="tt Char"/>
    <w:basedOn w:val="DefaultParagraphFont"/>
    <w:link w:val="Tabletext0"/>
    <w:rsid w:val="009A56EA"/>
    <w:rPr>
      <w:rFonts w:ascii="Arial" w:hAnsi="Arial"/>
      <w:sz w:val="16"/>
    </w:rPr>
  </w:style>
  <w:style w:type="character" w:customStyle="1" w:styleId="LITableTextChar">
    <w:name w:val="LI Table Text Char"/>
    <w:basedOn w:val="TabletextChar"/>
    <w:link w:val="LITableText"/>
    <w:rsid w:val="004A65B6"/>
    <w:rPr>
      <w:rFonts w:ascii="Arial" w:hAnsi="Arial"/>
      <w:sz w:val="16"/>
    </w:rPr>
  </w:style>
  <w:style w:type="character" w:customStyle="1" w:styleId="AmendmentKeyword">
    <w:name w:val="Amendment Keyword"/>
    <w:basedOn w:val="Amendment3Char"/>
    <w:uiPriority w:val="1"/>
    <w:rsid w:val="00E15E07"/>
    <w:rPr>
      <w:rFonts w:ascii="Arial" w:hAnsi="Arial"/>
      <w:b/>
      <w:i w:val="0"/>
      <w:iCs/>
      <w:sz w:val="20"/>
      <w:szCs w:val="24"/>
      <w:lang w:eastAsia="en-US"/>
    </w:rPr>
  </w:style>
  <w:style w:type="character" w:customStyle="1" w:styleId="psinlw-style-tab">
    <w:name w:val="ps_inl_w-style-tab"/>
    <w:rPr>
      <w:bdr w:val="single" w:sz="4" w:space="0" w:color="D99594" w:themeColor="accent2" w:themeTint="99"/>
    </w:rPr>
  </w:style>
  <w:style w:type="numbering" w:customStyle="1" w:styleId="OPCBodyList">
    <w:name w:val="OPCBodyList"/>
    <w:uiPriority w:val="99"/>
    <w:rsid w:val="0097221D"/>
    <w:pPr>
      <w:numPr>
        <w:numId w:val="7"/>
      </w:numPr>
    </w:pPr>
  </w:style>
  <w:style w:type="paragraph" w:customStyle="1" w:styleId="mps3-data">
    <w:name w:val="mps3-data"/>
    <w:basedOn w:val="Normal"/>
    <w:qFormat/>
    <w:rsid w:val="00BB6121"/>
    <w:pPr>
      <w:spacing w:before="60" w:after="60"/>
    </w:pPr>
    <w:rPr>
      <w:rFonts w:ascii="Arial" w:eastAsia="Arial" w:hAnsi="Arial" w:cs="Arial"/>
      <w:sz w:val="16"/>
      <w:szCs w:val="22"/>
      <w:lang w:eastAsia="zh-CN"/>
    </w:rPr>
  </w:style>
  <w:style w:type="character" w:customStyle="1" w:styleId="Style1Char">
    <w:name w:val="Style1 Char"/>
    <w:basedOn w:val="Amendment3Char"/>
    <w:rsid w:val="005400B7"/>
    <w:rPr>
      <w:i/>
      <w:iCs/>
      <w:sz w:val="24"/>
      <w:szCs w:val="24"/>
      <w:lang w:eastAsia="en-US"/>
    </w:rPr>
  </w:style>
  <w:style w:type="table" w:customStyle="1" w:styleId="Table-LI-schedule-541">
    <w:name w:val="Table-LI-schedule-541"/>
    <w:basedOn w:val="Table-LI-schedule-1"/>
    <w:uiPriority w:val="99"/>
    <w:rsid w:val="006B5CC3"/>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Grid11">
    <w:name w:val="Table Grid11"/>
    <w:basedOn w:val="TableNormal"/>
    <w:next w:val="TableGrid"/>
    <w:rsid w:val="006B5CC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mp">
    <w:name w:val="tmp"/>
    <w:basedOn w:val="DefaultParagraphFont"/>
    <w:rsid w:val="006B5CC3"/>
  </w:style>
  <w:style w:type="paragraph" w:customStyle="1" w:styleId="acthead6">
    <w:name w:val="acthead6"/>
    <w:basedOn w:val="Normal"/>
    <w:rsid w:val="006B5CC3"/>
    <w:pPr>
      <w:spacing w:before="100" w:beforeAutospacing="1" w:after="100" w:afterAutospacing="1"/>
    </w:pPr>
    <w:rPr>
      <w:lang w:eastAsia="en-AU"/>
    </w:rPr>
  </w:style>
  <w:style w:type="character" w:customStyle="1" w:styleId="charamschno0">
    <w:name w:val="charamschno"/>
    <w:basedOn w:val="DefaultParagraphFont"/>
    <w:rsid w:val="006B5CC3"/>
  </w:style>
  <w:style w:type="character" w:customStyle="1" w:styleId="charamschtext0">
    <w:name w:val="charamschtext"/>
    <w:basedOn w:val="DefaultParagraphFont"/>
    <w:rsid w:val="006B5CC3"/>
  </w:style>
  <w:style w:type="paragraph" w:customStyle="1" w:styleId="hr0">
    <w:name w:val="hr"/>
    <w:basedOn w:val="Normal"/>
    <w:rsid w:val="006B5CC3"/>
    <w:pPr>
      <w:spacing w:before="100" w:beforeAutospacing="1" w:after="100" w:afterAutospacing="1"/>
    </w:pPr>
    <w:rPr>
      <w:lang w:eastAsia="en-AU"/>
    </w:rPr>
  </w:style>
  <w:style w:type="paragraph" w:customStyle="1" w:styleId="r10">
    <w:name w:val="r1"/>
    <w:basedOn w:val="Normal"/>
    <w:rsid w:val="006B5CC3"/>
    <w:pPr>
      <w:spacing w:before="100" w:beforeAutospacing="1" w:after="100" w:afterAutospacing="1"/>
    </w:pPr>
    <w:rPr>
      <w:lang w:eastAsia="en-AU"/>
    </w:rPr>
  </w:style>
  <w:style w:type="paragraph" w:customStyle="1" w:styleId="r20">
    <w:name w:val="r2"/>
    <w:basedOn w:val="Normal"/>
    <w:rsid w:val="006B5CC3"/>
    <w:pPr>
      <w:spacing w:before="100" w:beforeAutospacing="1" w:after="100" w:afterAutospacing="1"/>
    </w:pPr>
    <w:rPr>
      <w:lang w:eastAsia="en-AU"/>
    </w:rPr>
  </w:style>
  <w:style w:type="paragraph" w:customStyle="1" w:styleId="amendment10">
    <w:name w:val="amendment1"/>
    <w:basedOn w:val="Normal"/>
    <w:rsid w:val="006B5CC3"/>
    <w:pPr>
      <w:spacing w:before="100" w:beforeAutospacing="1" w:after="100" w:afterAutospacing="1"/>
    </w:pPr>
    <w:rPr>
      <w:lang w:eastAsia="en-AU"/>
    </w:rPr>
  </w:style>
  <w:style w:type="character" w:customStyle="1" w:styleId="charsectno0">
    <w:name w:val="charsectno"/>
    <w:basedOn w:val="DefaultParagraphFont"/>
    <w:rsid w:val="006B5CC3"/>
  </w:style>
  <w:style w:type="character" w:customStyle="1" w:styleId="paragraphChar">
    <w:name w:val="paragraph Char"/>
    <w:aliases w:val="a Char"/>
    <w:link w:val="paragraph"/>
    <w:rsid w:val="00AD68B0"/>
    <w:rPr>
      <w:sz w:val="22"/>
    </w:rPr>
  </w:style>
  <w:style w:type="character" w:customStyle="1" w:styleId="charAmendmentKeyword">
    <w:name w:val="charAmendment Keyword"/>
    <w:basedOn w:val="DefaultParagraphFont"/>
    <w:uiPriority w:val="1"/>
    <w:rsid w:val="00077EC8"/>
    <w:rPr>
      <w:rFonts w:ascii="Arial" w:hAnsi="Arial" w:cs="Arial" w:hint="default"/>
      <w:b/>
      <w:bCs/>
      <w:i w:val="0"/>
      <w:iCs w:val="0"/>
      <w:lang w:eastAsia="en-US"/>
    </w:rPr>
  </w:style>
  <w:style w:type="character" w:customStyle="1" w:styleId="text-widget3">
    <w:name w:val="text-widget3"/>
    <w:basedOn w:val="DefaultParagraphFont"/>
    <w:rsid w:val="00323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7334">
      <w:bodyDiv w:val="1"/>
      <w:marLeft w:val="0"/>
      <w:marRight w:val="0"/>
      <w:marTop w:val="0"/>
      <w:marBottom w:val="0"/>
      <w:divBdr>
        <w:top w:val="none" w:sz="0" w:space="0" w:color="auto"/>
        <w:left w:val="none" w:sz="0" w:space="0" w:color="auto"/>
        <w:bottom w:val="none" w:sz="0" w:space="0" w:color="auto"/>
        <w:right w:val="none" w:sz="0" w:space="0" w:color="auto"/>
      </w:divBdr>
    </w:div>
    <w:div w:id="832914463">
      <w:bodyDiv w:val="1"/>
      <w:marLeft w:val="0"/>
      <w:marRight w:val="0"/>
      <w:marTop w:val="0"/>
      <w:marBottom w:val="0"/>
      <w:divBdr>
        <w:top w:val="none" w:sz="0" w:space="0" w:color="auto"/>
        <w:left w:val="none" w:sz="0" w:space="0" w:color="auto"/>
        <w:bottom w:val="none" w:sz="0" w:space="0" w:color="auto"/>
        <w:right w:val="none" w:sz="0" w:space="0" w:color="auto"/>
      </w:divBdr>
    </w:div>
    <w:div w:id="990063336">
      <w:bodyDiv w:val="1"/>
      <w:marLeft w:val="0"/>
      <w:marRight w:val="0"/>
      <w:marTop w:val="0"/>
      <w:marBottom w:val="0"/>
      <w:divBdr>
        <w:top w:val="none" w:sz="0" w:space="0" w:color="auto"/>
        <w:left w:val="none" w:sz="0" w:space="0" w:color="auto"/>
        <w:bottom w:val="none" w:sz="0" w:space="0" w:color="auto"/>
        <w:right w:val="none" w:sz="0" w:space="0" w:color="auto"/>
      </w:divBdr>
    </w:div>
    <w:div w:id="1302417441">
      <w:bodyDiv w:val="1"/>
      <w:marLeft w:val="0"/>
      <w:marRight w:val="0"/>
      <w:marTop w:val="0"/>
      <w:marBottom w:val="0"/>
      <w:divBdr>
        <w:top w:val="none" w:sz="0" w:space="0" w:color="auto"/>
        <w:left w:val="none" w:sz="0" w:space="0" w:color="auto"/>
        <w:bottom w:val="none" w:sz="0" w:space="0" w:color="auto"/>
        <w:right w:val="none" w:sz="0" w:space="0" w:color="auto"/>
      </w:divBdr>
    </w:div>
    <w:div w:id="1866476752">
      <w:bodyDiv w:val="1"/>
      <w:marLeft w:val="0"/>
      <w:marRight w:val="0"/>
      <w:marTop w:val="0"/>
      <w:marBottom w:val="0"/>
      <w:divBdr>
        <w:top w:val="none" w:sz="0" w:space="0" w:color="auto"/>
        <w:left w:val="none" w:sz="0" w:space="0" w:color="auto"/>
        <w:bottom w:val="none" w:sz="0" w:space="0" w:color="auto"/>
        <w:right w:val="none" w:sz="0" w:space="0" w:color="auto"/>
      </w:divBdr>
    </w:div>
    <w:div w:id="1947734470">
      <w:bodyDiv w:val="1"/>
      <w:marLeft w:val="0"/>
      <w:marRight w:val="0"/>
      <w:marTop w:val="0"/>
      <w:marBottom w:val="0"/>
      <w:divBdr>
        <w:top w:val="none" w:sz="0" w:space="0" w:color="auto"/>
        <w:left w:val="none" w:sz="0" w:space="0" w:color="auto"/>
        <w:bottom w:val="none" w:sz="0" w:space="0" w:color="auto"/>
        <w:right w:val="none" w:sz="0" w:space="0" w:color="auto"/>
      </w:divBdr>
    </w:div>
    <w:div w:id="213282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55673-3F7E-4CFD-BF1A-01EAC90C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27744</Words>
  <Characters>159773</Characters>
  <Application>Microsoft Office Word</Application>
  <DocSecurity>0</DocSecurity>
  <Lines>1331</Lines>
  <Paragraphs>374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Document generated by PageSeeder.</dc:description>
  <cp:lastModifiedBy/>
  <cp:revision>1</cp:revision>
  <dcterms:created xsi:type="dcterms:W3CDTF">2020-10-19T21:46:00Z</dcterms:created>
  <dcterms:modified xsi:type="dcterms:W3CDTF">2021-01-27T04:14:00Z</dcterms:modified>
</cp:coreProperties>
</file>