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ACD24" w14:textId="77777777" w:rsidR="001D483B" w:rsidRPr="00941AD6" w:rsidRDefault="001D483B" w:rsidP="00AE7772">
      <w:pPr>
        <w:pStyle w:val="H3"/>
        <w:spacing w:after="120"/>
        <w:jc w:val="center"/>
      </w:pPr>
      <w:bookmarkStart w:id="0" w:name="tempbm"/>
      <w:bookmarkEnd w:id="0"/>
      <w:r w:rsidRPr="00941AD6">
        <w:t>EXPLANATORY STATEMENT</w:t>
      </w:r>
    </w:p>
    <w:p w14:paraId="079CB526" w14:textId="77777777" w:rsidR="001D483B" w:rsidRPr="00941AD6" w:rsidRDefault="001D483B" w:rsidP="00AE7772">
      <w:pPr>
        <w:spacing w:after="120"/>
        <w:jc w:val="center"/>
        <w:rPr>
          <w:rFonts w:ascii="Times New Roman" w:hAnsi="Times New Roman"/>
          <w:i/>
          <w:iCs/>
          <w:sz w:val="22"/>
          <w:szCs w:val="22"/>
        </w:rPr>
      </w:pPr>
      <w:r w:rsidRPr="00941AD6">
        <w:rPr>
          <w:rFonts w:ascii="Times New Roman" w:hAnsi="Times New Roman"/>
          <w:i/>
          <w:iCs/>
          <w:sz w:val="22"/>
          <w:szCs w:val="22"/>
        </w:rPr>
        <w:t>Private Health Insurance Act 2007</w:t>
      </w:r>
    </w:p>
    <w:p w14:paraId="21DE28D5" w14:textId="77777777" w:rsidR="001D483B" w:rsidRPr="00941AD6" w:rsidRDefault="001D483B" w:rsidP="00AE7772">
      <w:pPr>
        <w:spacing w:after="120"/>
        <w:rPr>
          <w:rFonts w:ascii="Times New Roman" w:hAnsi="Times New Roman"/>
          <w:sz w:val="22"/>
          <w:szCs w:val="22"/>
          <w:u w:val="single"/>
        </w:rPr>
      </w:pPr>
    </w:p>
    <w:p w14:paraId="62D1256E" w14:textId="1AAAD445" w:rsidR="001D483B" w:rsidRPr="00941AD6" w:rsidRDefault="001D483B" w:rsidP="00AE7772">
      <w:pPr>
        <w:spacing w:after="120"/>
        <w:ind w:right="-483"/>
        <w:jc w:val="center"/>
        <w:rPr>
          <w:rFonts w:ascii="Times New Roman" w:hAnsi="Times New Roman"/>
          <w:b/>
          <w:i/>
          <w:szCs w:val="24"/>
        </w:rPr>
      </w:pPr>
      <w:r w:rsidRPr="00941AD6">
        <w:rPr>
          <w:rFonts w:ascii="Times New Roman" w:hAnsi="Times New Roman"/>
          <w:b/>
          <w:i/>
          <w:szCs w:val="24"/>
        </w:rPr>
        <w:t xml:space="preserve">Private Health Insurance (Prostheses) </w:t>
      </w:r>
      <w:r w:rsidR="009E6E3E" w:rsidRPr="00941AD6">
        <w:rPr>
          <w:rFonts w:ascii="Times New Roman" w:hAnsi="Times New Roman"/>
          <w:b/>
          <w:i/>
          <w:szCs w:val="24"/>
        </w:rPr>
        <w:t>Amendment Rules (No. 1) 2021</w:t>
      </w:r>
      <w:r w:rsidRPr="00941AD6">
        <w:rPr>
          <w:rFonts w:ascii="Times New Roman" w:hAnsi="Times New Roman"/>
          <w:b/>
          <w:i/>
          <w:szCs w:val="24"/>
        </w:rPr>
        <w:t xml:space="preserve"> </w:t>
      </w:r>
    </w:p>
    <w:p w14:paraId="0C95D3B1" w14:textId="77777777" w:rsidR="001D483B" w:rsidRPr="00941AD6" w:rsidRDefault="001D483B" w:rsidP="00AE7772">
      <w:pPr>
        <w:tabs>
          <w:tab w:val="left" w:pos="0"/>
          <w:tab w:val="left" w:pos="3178"/>
        </w:tabs>
        <w:spacing w:after="120" w:line="279" w:lineRule="exact"/>
        <w:rPr>
          <w:rFonts w:ascii="Times New Roman" w:hAnsi="Times New Roman"/>
          <w:szCs w:val="24"/>
        </w:rPr>
      </w:pPr>
    </w:p>
    <w:p w14:paraId="6AE6E1E6" w14:textId="77777777" w:rsidR="001D483B" w:rsidRPr="00941AD6" w:rsidRDefault="001D483B" w:rsidP="00AE7772">
      <w:pPr>
        <w:spacing w:after="120"/>
        <w:rPr>
          <w:rFonts w:ascii="Times New Roman" w:hAnsi="Times New Roman"/>
          <w:b/>
          <w:szCs w:val="24"/>
        </w:rPr>
      </w:pPr>
      <w:r w:rsidRPr="00941AD6">
        <w:rPr>
          <w:rFonts w:ascii="Times New Roman" w:hAnsi="Times New Roman"/>
          <w:b/>
          <w:szCs w:val="24"/>
        </w:rPr>
        <w:t>Authority</w:t>
      </w:r>
    </w:p>
    <w:p w14:paraId="46A7288E" w14:textId="77777777" w:rsidR="001D483B" w:rsidRPr="00941AD6" w:rsidRDefault="001D483B" w:rsidP="008E124C">
      <w:pPr>
        <w:spacing w:before="100" w:beforeAutospacing="1" w:after="100" w:afterAutospacing="1"/>
        <w:rPr>
          <w:rFonts w:ascii="Times New Roman" w:hAnsi="Times New Roman"/>
          <w:szCs w:val="24"/>
        </w:rPr>
      </w:pPr>
      <w:r w:rsidRPr="00941AD6">
        <w:rPr>
          <w:rFonts w:ascii="Times New Roman" w:hAnsi="Times New Roman"/>
          <w:szCs w:val="24"/>
        </w:rPr>
        <w:t xml:space="preserve">Section 333-20 of the </w:t>
      </w:r>
      <w:r w:rsidRPr="00941AD6">
        <w:rPr>
          <w:rFonts w:ascii="Times New Roman" w:hAnsi="Times New Roman"/>
          <w:i/>
          <w:szCs w:val="24"/>
        </w:rPr>
        <w:t xml:space="preserve">Private Health Insurance Act 2007 </w:t>
      </w:r>
      <w:r w:rsidRPr="00941AD6">
        <w:rPr>
          <w:rFonts w:ascii="Times New Roman" w:hAnsi="Times New Roman"/>
          <w:szCs w:val="24"/>
        </w:rPr>
        <w:t xml:space="preserve">(the Act) provides that the Minister may make Private Health Insurance (Prostheses) Rules, providing for matters required or permitted by Part 3-3 of the Act, or necessary or convenient in order to carry out or give effect to Part 3-3 of the Act. </w:t>
      </w:r>
    </w:p>
    <w:p w14:paraId="4154EA97" w14:textId="77777777" w:rsidR="001D483B" w:rsidRPr="00941AD6" w:rsidRDefault="001D483B" w:rsidP="008E124C">
      <w:pPr>
        <w:tabs>
          <w:tab w:val="left" w:pos="0"/>
          <w:tab w:val="left" w:pos="1008"/>
          <w:tab w:val="left" w:pos="2160"/>
          <w:tab w:val="left" w:pos="3312"/>
          <w:tab w:val="left" w:pos="4464"/>
          <w:tab w:val="left" w:pos="5616"/>
          <w:tab w:val="left" w:pos="6768"/>
          <w:tab w:val="left" w:pos="7920"/>
          <w:tab w:val="left" w:pos="9072"/>
          <w:tab w:val="right" w:pos="9504"/>
        </w:tabs>
        <w:spacing w:before="100" w:beforeAutospacing="1" w:after="100" w:afterAutospacing="1"/>
        <w:rPr>
          <w:rFonts w:ascii="Times New Roman" w:hAnsi="Times New Roman"/>
          <w:szCs w:val="24"/>
        </w:rPr>
      </w:pPr>
      <w:r w:rsidRPr="00941AD6">
        <w:rPr>
          <w:rFonts w:ascii="Times New Roman" w:hAnsi="Times New Roman"/>
          <w:szCs w:val="24"/>
        </w:rPr>
        <w:t xml:space="preserve">In addition to the power to make this instrument under section 333-20 of the Act, subsection 33(3) of the </w:t>
      </w:r>
      <w:r w:rsidRPr="00941AD6">
        <w:rPr>
          <w:rFonts w:ascii="Times New Roman" w:hAnsi="Times New Roman"/>
          <w:i/>
          <w:szCs w:val="24"/>
        </w:rPr>
        <w:t xml:space="preserve">Acts Interpretation Act 1901 </w:t>
      </w:r>
      <w:r w:rsidRPr="00941AD6">
        <w:rPr>
          <w:rFonts w:ascii="Times New Roman" w:hAnsi="Times New Roman"/>
          <w:szCs w:val="24"/>
        </w:rPr>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B3BC55D" w14:textId="596EC50C" w:rsidR="001D483B" w:rsidRPr="00941AD6" w:rsidRDefault="001D483B" w:rsidP="008E124C">
      <w:pPr>
        <w:tabs>
          <w:tab w:val="left" w:pos="0"/>
          <w:tab w:val="left" w:pos="1008"/>
          <w:tab w:val="left" w:pos="2160"/>
          <w:tab w:val="left" w:pos="3312"/>
          <w:tab w:val="left" w:pos="4464"/>
          <w:tab w:val="left" w:pos="5616"/>
          <w:tab w:val="left" w:pos="6768"/>
          <w:tab w:val="left" w:pos="7920"/>
          <w:tab w:val="left" w:pos="9072"/>
          <w:tab w:val="right" w:pos="9504"/>
        </w:tabs>
        <w:spacing w:before="100" w:beforeAutospacing="1" w:after="100" w:afterAutospacing="1"/>
        <w:rPr>
          <w:rFonts w:ascii="Times New Roman" w:hAnsi="Times New Roman"/>
          <w:szCs w:val="24"/>
        </w:rPr>
      </w:pPr>
      <w:r w:rsidRPr="00941AD6">
        <w:rPr>
          <w:rFonts w:ascii="Times New Roman" w:hAnsi="Times New Roman"/>
          <w:szCs w:val="24"/>
        </w:rPr>
        <w:t>S</w:t>
      </w:r>
      <w:r w:rsidR="000363EF" w:rsidRPr="00941AD6">
        <w:rPr>
          <w:rFonts w:ascii="Times New Roman" w:hAnsi="Times New Roman"/>
          <w:szCs w:val="24"/>
        </w:rPr>
        <w:t>ubs</w:t>
      </w:r>
      <w:r w:rsidRPr="00941AD6">
        <w:rPr>
          <w:rFonts w:ascii="Times New Roman" w:hAnsi="Times New Roman"/>
          <w:szCs w:val="24"/>
        </w:rPr>
        <w:t xml:space="preserve">ection 72-10(6) of the Act provides that the Private Health Insurance (Prostheses) Rules may set out listing criteria that must be satisfied in order for an application for a prosthesis to be listed to be granted. </w:t>
      </w:r>
    </w:p>
    <w:p w14:paraId="1D9E2092" w14:textId="77777777" w:rsidR="001D483B" w:rsidRPr="00941AD6" w:rsidRDefault="001D483B" w:rsidP="00AE7772">
      <w:pPr>
        <w:pStyle w:val="NormalWeb"/>
        <w:rPr>
          <w:b/>
        </w:rPr>
      </w:pPr>
      <w:r w:rsidRPr="00941AD6">
        <w:rPr>
          <w:b/>
        </w:rPr>
        <w:t>Background</w:t>
      </w:r>
    </w:p>
    <w:p w14:paraId="7B85CE8C" w14:textId="5E13EC25" w:rsidR="001D483B" w:rsidRPr="00941AD6" w:rsidRDefault="001D483B" w:rsidP="00AE7772">
      <w:pPr>
        <w:pStyle w:val="NormalWeb"/>
      </w:pPr>
      <w:r w:rsidRPr="00941AD6">
        <w:t xml:space="preserve">The table in subsection 72-1(2) of Part 3-3 of the Act provides for benefit requirements that a complying health insurance policy that covers hospital treatment must meet. Under item 4 of that table there must be a benefit for the provision of a prosthesis, of a kind listed in the Private Health Insurance (Prostheses) Rules (i.e. a listed prosthesis), in specified circumstances and under any specified conditions. The specified circumstances are that the listed prosthesis is provided in circumstances in which a medicare benefit is payable or in other circumstances which may be set out in the Private Health Insurance (Prostheses) Rules. The specified conditions are any that may be set out in the Private Health Insurance (Prostheses) Rules. </w:t>
      </w:r>
    </w:p>
    <w:p w14:paraId="78276C0F" w14:textId="25DB9E94" w:rsidR="001D483B" w:rsidRPr="00941AD6" w:rsidRDefault="001D483B" w:rsidP="00AE7772">
      <w:pPr>
        <w:pStyle w:val="NormalWeb"/>
      </w:pPr>
      <w:r w:rsidRPr="00941AD6">
        <w:t>If the complying health insurance policy also covers hospital-substitute treatment, under item 4 of the table in subsection 72-1(2) of Part 3-3 of the Act the same requirements apply.</w:t>
      </w:r>
    </w:p>
    <w:p w14:paraId="12567CBE" w14:textId="77777777" w:rsidR="00E7073C" w:rsidRPr="00941AD6" w:rsidRDefault="00E7073C" w:rsidP="00AE7772">
      <w:pPr>
        <w:pStyle w:val="NormalWeb"/>
      </w:pPr>
      <w:r w:rsidRPr="00941AD6">
        <w:t>The Private Health Insurance (Prostheses) Rules (No. 3) 2020 (Prostheses Rules) are made for the purposes of section 333-20(1) of the Act. Listed prostheses and their minimum benefits are set out in the Schedule to the Prostheses Rules. The list of prostheses in the Schedule is commonly referred to as the Prostheses List.</w:t>
      </w:r>
    </w:p>
    <w:p w14:paraId="682E21EB" w14:textId="77777777" w:rsidR="00CC30D9" w:rsidRPr="00941AD6" w:rsidRDefault="00CC30D9">
      <w:pPr>
        <w:spacing w:after="160" w:line="259" w:lineRule="auto"/>
        <w:rPr>
          <w:rFonts w:ascii="Times New Roman" w:hAnsi="Times New Roman"/>
          <w:b/>
          <w:szCs w:val="24"/>
        </w:rPr>
      </w:pPr>
      <w:r w:rsidRPr="00941AD6">
        <w:rPr>
          <w:rFonts w:ascii="Times New Roman" w:hAnsi="Times New Roman"/>
          <w:b/>
          <w:szCs w:val="24"/>
        </w:rPr>
        <w:br w:type="page"/>
      </w:r>
    </w:p>
    <w:p w14:paraId="35470F0B" w14:textId="12768738" w:rsidR="001D483B" w:rsidRPr="00941AD6" w:rsidRDefault="001D483B" w:rsidP="00AE7772">
      <w:pPr>
        <w:spacing w:after="120"/>
        <w:rPr>
          <w:rFonts w:ascii="Times New Roman" w:hAnsi="Times New Roman"/>
          <w:b/>
          <w:szCs w:val="24"/>
        </w:rPr>
      </w:pPr>
      <w:r w:rsidRPr="00941AD6">
        <w:rPr>
          <w:rFonts w:ascii="Times New Roman" w:hAnsi="Times New Roman"/>
          <w:b/>
          <w:szCs w:val="24"/>
        </w:rPr>
        <w:lastRenderedPageBreak/>
        <w:t>Purpose</w:t>
      </w:r>
    </w:p>
    <w:p w14:paraId="1CE0D2D1" w14:textId="7CD76C1E" w:rsidR="00AE7772" w:rsidRPr="00941AD6" w:rsidRDefault="00E7073C" w:rsidP="00AE7772">
      <w:pPr>
        <w:pStyle w:val="NormalWeb"/>
      </w:pPr>
      <w:r w:rsidRPr="00941AD6">
        <w:t>The purpose of the Private Health Insurance (Pr</w:t>
      </w:r>
      <w:r w:rsidR="00AE311D" w:rsidRPr="00941AD6">
        <w:t>ostheses) Amendment Rules (No.</w:t>
      </w:r>
      <w:r w:rsidR="00337B2B" w:rsidRPr="00941AD6">
        <w:t xml:space="preserve"> </w:t>
      </w:r>
      <w:r w:rsidR="00AE311D" w:rsidRPr="00941AD6">
        <w:t>1</w:t>
      </w:r>
      <w:r w:rsidRPr="00941AD6">
        <w:t>) 202</w:t>
      </w:r>
      <w:r w:rsidR="00AE311D" w:rsidRPr="00941AD6">
        <w:t>1</w:t>
      </w:r>
      <w:r w:rsidRPr="00941AD6">
        <w:t xml:space="preserve"> (the Amending Rules) is</w:t>
      </w:r>
      <w:r w:rsidR="00F444BC" w:rsidRPr="00941AD6">
        <w:t xml:space="preserve"> t</w:t>
      </w:r>
      <w:r w:rsidR="00C43446" w:rsidRPr="00941AD6">
        <w:t xml:space="preserve">o </w:t>
      </w:r>
      <w:r w:rsidR="00F444BC" w:rsidRPr="00941AD6">
        <w:t>remove</w:t>
      </w:r>
      <w:r w:rsidR="00AE311D" w:rsidRPr="00941AD6">
        <w:t xml:space="preserve"> </w:t>
      </w:r>
      <w:r w:rsidRPr="00941AD6">
        <w:t xml:space="preserve">12 </w:t>
      </w:r>
      <w:r w:rsidR="008E124C" w:rsidRPr="00941AD6">
        <w:t xml:space="preserve">urogynaecological mesh </w:t>
      </w:r>
      <w:r w:rsidRPr="00941AD6">
        <w:t xml:space="preserve">prostheses </w:t>
      </w:r>
      <w:r w:rsidR="00C43446" w:rsidRPr="00941AD6">
        <w:t>from</w:t>
      </w:r>
      <w:r w:rsidRPr="00941AD6">
        <w:t xml:space="preserve"> ‘Part 1 – Prostheses List – Part A’ of </w:t>
      </w:r>
      <w:r w:rsidR="00C43446" w:rsidRPr="00941AD6">
        <w:t xml:space="preserve">the </w:t>
      </w:r>
      <w:r w:rsidRPr="00941AD6">
        <w:t>Schedule</w:t>
      </w:r>
      <w:r w:rsidR="00886AE1" w:rsidRPr="00941AD6">
        <w:t xml:space="preserve">. </w:t>
      </w:r>
    </w:p>
    <w:p w14:paraId="06727B32" w14:textId="28D453DE" w:rsidR="00E7073C" w:rsidRPr="00941AD6" w:rsidRDefault="00E7073C" w:rsidP="00AE7772">
      <w:pPr>
        <w:pStyle w:val="NormalWeb"/>
      </w:pPr>
      <w:r w:rsidRPr="00941AD6">
        <w:t xml:space="preserve">The 12 prostheses in Part A of the Prostheses List </w:t>
      </w:r>
      <w:r w:rsidR="00E37C8F" w:rsidRPr="00941AD6">
        <w:t xml:space="preserve">are being </w:t>
      </w:r>
      <w:r w:rsidRPr="00941AD6">
        <w:t xml:space="preserve">removed as a result of the cancellation of </w:t>
      </w:r>
      <w:r w:rsidR="00E37C8F" w:rsidRPr="00941AD6">
        <w:t xml:space="preserve">their entries </w:t>
      </w:r>
      <w:r w:rsidR="00D71E84" w:rsidRPr="00941AD6">
        <w:t>from</w:t>
      </w:r>
      <w:r w:rsidR="00E37C8F" w:rsidRPr="00941AD6">
        <w:t xml:space="preserve"> the </w:t>
      </w:r>
      <w:r w:rsidRPr="00941AD6">
        <w:t xml:space="preserve">Australian Register of Therapeutic Goods (ARTG). </w:t>
      </w:r>
      <w:r w:rsidR="00E37C8F" w:rsidRPr="00941AD6">
        <w:t>As these prostheses are no longer included in the ARTG they cannot be lawfully supplied in Australia.</w:t>
      </w:r>
    </w:p>
    <w:p w14:paraId="0D56FCCE" w14:textId="77777777" w:rsidR="001D483B" w:rsidRPr="00941AD6" w:rsidRDefault="001D483B" w:rsidP="00AE7772">
      <w:pPr>
        <w:keepNext/>
        <w:spacing w:after="120"/>
        <w:rPr>
          <w:rFonts w:ascii="Times New Roman" w:hAnsi="Times New Roman"/>
          <w:b/>
          <w:szCs w:val="24"/>
        </w:rPr>
      </w:pPr>
      <w:r w:rsidRPr="00941AD6">
        <w:rPr>
          <w:rFonts w:ascii="Times New Roman" w:hAnsi="Times New Roman"/>
          <w:b/>
          <w:szCs w:val="24"/>
        </w:rPr>
        <w:t>Consultation</w:t>
      </w:r>
    </w:p>
    <w:p w14:paraId="26777644" w14:textId="709A40F4" w:rsidR="00C4036A" w:rsidRPr="00941AD6" w:rsidRDefault="00C4036A" w:rsidP="008E124C">
      <w:pPr>
        <w:pStyle w:val="NormalWeb"/>
      </w:pPr>
      <w:r w:rsidRPr="00941AD6">
        <w:t xml:space="preserve">The Amending Rules have been made following consultation with the sponsors of the prostheses affected. </w:t>
      </w:r>
    </w:p>
    <w:p w14:paraId="6CF3B9D4" w14:textId="11D45254" w:rsidR="00074758" w:rsidRPr="00941AD6" w:rsidRDefault="00F444BC" w:rsidP="008E124C">
      <w:pPr>
        <w:pStyle w:val="NormalWeb"/>
        <w:ind w:right="-164"/>
      </w:pPr>
      <w:r w:rsidRPr="00941AD6">
        <w:t>According to the Therapeutic Goods (Medical Devices) Regulations 2002, all surgical mesh devices have been reclassified from Class</w:t>
      </w:r>
      <w:r w:rsidR="00074758" w:rsidRPr="00941AD6">
        <w:t xml:space="preserve"> IIb to Class III (high-risk). </w:t>
      </w:r>
      <w:r w:rsidRPr="00941AD6">
        <w:t xml:space="preserve">In order to meet the transitional arrangements [and be able to continue to legally supply their products], sponsors of the </w:t>
      </w:r>
      <w:r w:rsidR="00074758" w:rsidRPr="00941AD6">
        <w:t>surgical</w:t>
      </w:r>
      <w:r w:rsidRPr="00941AD6">
        <w:t xml:space="preserve"> mesh devices on the ARTG as Class IIb had to submit applications to the </w:t>
      </w:r>
      <w:r w:rsidR="00B467DF" w:rsidRPr="00941AD6">
        <w:t xml:space="preserve">Therapeutic Goods Administration (TGA) </w:t>
      </w:r>
      <w:r w:rsidRPr="00941AD6">
        <w:t>to include their meshes in the ARTG as Class</w:t>
      </w:r>
      <w:r w:rsidR="004903B7" w:rsidRPr="00941AD6">
        <w:t> </w:t>
      </w:r>
      <w:r w:rsidRPr="00941AD6">
        <w:t>III devices. For urogynaecological mesh</w:t>
      </w:r>
      <w:r w:rsidR="00074758" w:rsidRPr="00941AD6">
        <w:t xml:space="preserve"> devices</w:t>
      </w:r>
      <w:r w:rsidRPr="00941AD6">
        <w:t xml:space="preserve">, </w:t>
      </w:r>
      <w:r w:rsidR="00074758" w:rsidRPr="00941AD6">
        <w:t>the deadline for submitting such an application was 1 December 2020.</w:t>
      </w:r>
    </w:p>
    <w:p w14:paraId="720711BA" w14:textId="2648A700" w:rsidR="00074758" w:rsidRPr="00941AD6" w:rsidRDefault="00074758" w:rsidP="008E124C">
      <w:pPr>
        <w:pStyle w:val="NormalWeb"/>
      </w:pPr>
      <w:r w:rsidRPr="00941AD6">
        <w:t xml:space="preserve">Some sponsor did not reclassify their urogynaecological meshes </w:t>
      </w:r>
      <w:r w:rsidR="00B467DF" w:rsidRPr="00941AD6">
        <w:t xml:space="preserve">prior to the specified date, </w:t>
      </w:r>
      <w:r w:rsidRPr="00941AD6">
        <w:t xml:space="preserve">and requested the </w:t>
      </w:r>
      <w:r w:rsidR="00B467DF" w:rsidRPr="00941AD6">
        <w:t>TGA</w:t>
      </w:r>
      <w:r w:rsidRPr="00941AD6">
        <w:t xml:space="preserve"> to cancel their Class IIb ARTG entries.</w:t>
      </w:r>
    </w:p>
    <w:p w14:paraId="581F58B4" w14:textId="378AC455" w:rsidR="00F444BC" w:rsidRPr="00941AD6" w:rsidRDefault="00C4036A" w:rsidP="008E124C">
      <w:pPr>
        <w:pStyle w:val="NormalWeb"/>
      </w:pPr>
      <w:r w:rsidRPr="00941AD6">
        <w:t>The Department of Health contacted sponsors whose entries were no longer on the ARTG</w:t>
      </w:r>
      <w:r w:rsidR="00B467DF" w:rsidRPr="00941AD6">
        <w:t>,</w:t>
      </w:r>
      <w:r w:rsidRPr="00941AD6">
        <w:t xml:space="preserve"> advising </w:t>
      </w:r>
      <w:r w:rsidR="00B467DF" w:rsidRPr="00941AD6">
        <w:t xml:space="preserve">that </w:t>
      </w:r>
      <w:r w:rsidRPr="00941AD6">
        <w:t xml:space="preserve">given their </w:t>
      </w:r>
      <w:r w:rsidR="008E124C" w:rsidRPr="00941AD6">
        <w:t>devices</w:t>
      </w:r>
      <w:r w:rsidRPr="00941AD6">
        <w:t xml:space="preserve"> </w:t>
      </w:r>
      <w:r w:rsidR="00B467DF" w:rsidRPr="00941AD6">
        <w:t>were</w:t>
      </w:r>
      <w:r w:rsidRPr="00941AD6">
        <w:t xml:space="preserve"> no longer on the </w:t>
      </w:r>
      <w:r w:rsidR="003476A1" w:rsidRPr="00941AD6">
        <w:t>ARTG, the Department would</w:t>
      </w:r>
      <w:r w:rsidRPr="00941AD6">
        <w:t xml:space="preserve"> be recommending to the Minister’s delegate to remove the respective billing codes for the urogynaecological mesh devices from the Prostheses List. </w:t>
      </w:r>
    </w:p>
    <w:p w14:paraId="7377D527" w14:textId="6B3C24E8" w:rsidR="00B467DF" w:rsidRPr="00941AD6" w:rsidRDefault="00C4036A" w:rsidP="008E124C">
      <w:pPr>
        <w:pStyle w:val="NormalWeb"/>
      </w:pPr>
      <w:r w:rsidRPr="00941AD6">
        <w:t>The sponsor</w:t>
      </w:r>
      <w:r w:rsidR="00B467DF" w:rsidRPr="00941AD6">
        <w:t>s’ responses had been</w:t>
      </w:r>
      <w:r w:rsidRPr="00941AD6">
        <w:t xml:space="preserve"> </w:t>
      </w:r>
      <w:r w:rsidR="00B467DF" w:rsidRPr="00941AD6">
        <w:t>given due consideration prior to making the decision.</w:t>
      </w:r>
    </w:p>
    <w:p w14:paraId="71514D71" w14:textId="5785F15A" w:rsidR="008F4B1D" w:rsidRPr="00941AD6" w:rsidRDefault="008F4B1D" w:rsidP="008E124C">
      <w:pPr>
        <w:pStyle w:val="NormalWeb"/>
      </w:pPr>
      <w:bookmarkStart w:id="1" w:name="hit40"/>
      <w:bookmarkStart w:id="2" w:name="term0_18"/>
      <w:bookmarkStart w:id="3" w:name="hit41"/>
      <w:bookmarkStart w:id="4" w:name="term1_23"/>
      <w:bookmarkEnd w:id="1"/>
      <w:bookmarkEnd w:id="2"/>
      <w:bookmarkEnd w:id="3"/>
      <w:bookmarkEnd w:id="4"/>
      <w:r w:rsidRPr="00941AD6">
        <w:t xml:space="preserve">Details of the Amending Rules are set out in </w:t>
      </w:r>
      <w:r w:rsidR="00E37C8F" w:rsidRPr="00941AD6">
        <w:t xml:space="preserve">the </w:t>
      </w:r>
      <w:r w:rsidRPr="00941AD6">
        <w:t>Attachment.</w:t>
      </w:r>
    </w:p>
    <w:p w14:paraId="542B04E2" w14:textId="10C8A69C" w:rsidR="008F4B1D" w:rsidRPr="00941AD6" w:rsidRDefault="008F4B1D" w:rsidP="008E124C">
      <w:pPr>
        <w:pStyle w:val="NormalWeb"/>
      </w:pPr>
      <w:r w:rsidRPr="00941AD6">
        <w:t>The Amending Rules commence</w:t>
      </w:r>
      <w:r w:rsidR="00E37C8F" w:rsidRPr="00941AD6">
        <w:t xml:space="preserve"> the day following registration</w:t>
      </w:r>
      <w:r w:rsidR="00C4036A" w:rsidRPr="00941AD6">
        <w:t xml:space="preserve">. </w:t>
      </w:r>
    </w:p>
    <w:p w14:paraId="11672B45" w14:textId="77777777" w:rsidR="008F4B1D" w:rsidRPr="00941AD6" w:rsidRDefault="008F4B1D" w:rsidP="008E124C">
      <w:pPr>
        <w:pStyle w:val="NormalWeb"/>
      </w:pPr>
      <w:r w:rsidRPr="00941AD6">
        <w:t>The Amending Rules is a legislative instrument for the purposes of the Legislation Act 2003.</w:t>
      </w:r>
    </w:p>
    <w:p w14:paraId="6239E221" w14:textId="77777777" w:rsidR="00AE7772" w:rsidRPr="00941AD6" w:rsidRDefault="00AE7772">
      <w:pPr>
        <w:spacing w:after="160" w:line="259" w:lineRule="auto"/>
        <w:rPr>
          <w:rFonts w:ascii="Times New Roman" w:hAnsi="Times New Roman"/>
          <w:b/>
          <w:szCs w:val="24"/>
        </w:rPr>
      </w:pPr>
      <w:r w:rsidRPr="00941AD6">
        <w:rPr>
          <w:szCs w:val="24"/>
        </w:rPr>
        <w:br w:type="page"/>
      </w:r>
    </w:p>
    <w:p w14:paraId="4296ED53" w14:textId="41F15440" w:rsidR="001D483B" w:rsidRPr="00941AD6" w:rsidRDefault="001D483B" w:rsidP="00AE7772">
      <w:pPr>
        <w:pStyle w:val="BodyText"/>
        <w:spacing w:after="120"/>
        <w:jc w:val="right"/>
        <w:rPr>
          <w:szCs w:val="24"/>
        </w:rPr>
      </w:pPr>
      <w:r w:rsidRPr="00941AD6">
        <w:rPr>
          <w:szCs w:val="24"/>
        </w:rPr>
        <w:lastRenderedPageBreak/>
        <w:t>ATTACHMENT</w:t>
      </w:r>
    </w:p>
    <w:p w14:paraId="331B69E3" w14:textId="77777777" w:rsidR="001D483B" w:rsidRPr="00941AD6" w:rsidRDefault="001D483B" w:rsidP="00AE7772">
      <w:pPr>
        <w:pStyle w:val="BodyText"/>
        <w:spacing w:after="120"/>
        <w:rPr>
          <w:szCs w:val="24"/>
          <w:u w:val="single"/>
        </w:rPr>
      </w:pPr>
    </w:p>
    <w:p w14:paraId="3DB9F00C" w14:textId="3C30CE79" w:rsidR="001D483B" w:rsidRPr="00941AD6" w:rsidRDefault="008F4B1D" w:rsidP="00AE7772">
      <w:pPr>
        <w:pStyle w:val="BodyText"/>
        <w:spacing w:after="120"/>
        <w:rPr>
          <w:i/>
          <w:iCs/>
          <w:szCs w:val="24"/>
        </w:rPr>
      </w:pPr>
      <w:r w:rsidRPr="00941AD6">
        <w:rPr>
          <w:szCs w:val="24"/>
        </w:rPr>
        <w:t xml:space="preserve">Details of the </w:t>
      </w:r>
      <w:r w:rsidR="009E6E3E" w:rsidRPr="00941AD6">
        <w:rPr>
          <w:i/>
          <w:szCs w:val="24"/>
        </w:rPr>
        <w:t>Private</w:t>
      </w:r>
      <w:r w:rsidRPr="00941AD6">
        <w:rPr>
          <w:i/>
          <w:szCs w:val="24"/>
        </w:rPr>
        <w:t xml:space="preserve"> Health Insurance (Prostheses) Amendment Rules (No.</w:t>
      </w:r>
      <w:r w:rsidR="00FF2B71" w:rsidRPr="00941AD6">
        <w:rPr>
          <w:i/>
          <w:szCs w:val="24"/>
        </w:rPr>
        <w:t xml:space="preserve"> </w:t>
      </w:r>
      <w:r w:rsidR="009E6E3E" w:rsidRPr="00941AD6">
        <w:rPr>
          <w:i/>
          <w:szCs w:val="24"/>
        </w:rPr>
        <w:t>1) 2021</w:t>
      </w:r>
    </w:p>
    <w:p w14:paraId="213ADA3F" w14:textId="77777777" w:rsidR="001D483B" w:rsidRPr="00941AD6" w:rsidRDefault="001D483B" w:rsidP="00AE7772">
      <w:pPr>
        <w:pStyle w:val="BodyText"/>
        <w:spacing w:after="120"/>
        <w:rPr>
          <w:i/>
          <w:szCs w:val="24"/>
        </w:rPr>
      </w:pPr>
    </w:p>
    <w:p w14:paraId="15CD2D8C" w14:textId="14DCCEC0" w:rsidR="001D483B" w:rsidRPr="00941AD6" w:rsidRDefault="00E37C8F" w:rsidP="00AE7772">
      <w:pPr>
        <w:pStyle w:val="BodyText"/>
        <w:spacing w:after="120"/>
        <w:ind w:left="851" w:hanging="851"/>
        <w:rPr>
          <w:szCs w:val="24"/>
        </w:rPr>
      </w:pPr>
      <w:r w:rsidRPr="00941AD6">
        <w:rPr>
          <w:szCs w:val="24"/>
        </w:rPr>
        <w:t>Rule 1</w:t>
      </w:r>
      <w:r w:rsidRPr="00941AD6">
        <w:rPr>
          <w:szCs w:val="24"/>
        </w:rPr>
        <w:tab/>
      </w:r>
      <w:r w:rsidR="001D483B" w:rsidRPr="00941AD6">
        <w:rPr>
          <w:szCs w:val="24"/>
        </w:rPr>
        <w:t xml:space="preserve">Name </w:t>
      </w:r>
    </w:p>
    <w:p w14:paraId="7B592168" w14:textId="77777777" w:rsidR="001D483B" w:rsidRPr="00941AD6" w:rsidRDefault="001D483B" w:rsidP="00AE7772">
      <w:pPr>
        <w:pStyle w:val="BodyText"/>
        <w:spacing w:after="120"/>
        <w:rPr>
          <w:b w:val="0"/>
          <w:szCs w:val="24"/>
          <w:u w:val="single"/>
        </w:rPr>
      </w:pPr>
    </w:p>
    <w:p w14:paraId="256392E9" w14:textId="7C10675A" w:rsidR="001D483B" w:rsidRPr="00941AD6" w:rsidRDefault="001D483B" w:rsidP="00AE7772">
      <w:pPr>
        <w:pStyle w:val="Heading1"/>
        <w:spacing w:after="120"/>
        <w:jc w:val="left"/>
        <w:rPr>
          <w:b w:val="0"/>
          <w:iCs/>
          <w:szCs w:val="24"/>
          <w:u w:val="none"/>
        </w:rPr>
      </w:pPr>
      <w:r w:rsidRPr="00941AD6">
        <w:rPr>
          <w:b w:val="0"/>
          <w:szCs w:val="24"/>
          <w:u w:val="none"/>
        </w:rPr>
        <w:t>Rule 1 provides that the title of the</w:t>
      </w:r>
      <w:r w:rsidR="008F4B1D" w:rsidRPr="00941AD6">
        <w:rPr>
          <w:b w:val="0"/>
          <w:szCs w:val="24"/>
          <w:u w:val="none"/>
        </w:rPr>
        <w:t xml:space="preserve"> Amending Rules </w:t>
      </w:r>
      <w:r w:rsidR="0087673F" w:rsidRPr="00941AD6">
        <w:rPr>
          <w:b w:val="0"/>
          <w:szCs w:val="24"/>
          <w:u w:val="none"/>
        </w:rPr>
        <w:t xml:space="preserve">is </w:t>
      </w:r>
      <w:r w:rsidR="008F4B1D" w:rsidRPr="00941AD6">
        <w:rPr>
          <w:b w:val="0"/>
          <w:szCs w:val="24"/>
          <w:u w:val="none"/>
        </w:rPr>
        <w:t xml:space="preserve">the </w:t>
      </w:r>
      <w:r w:rsidRPr="00941AD6">
        <w:rPr>
          <w:b w:val="0"/>
          <w:i/>
          <w:szCs w:val="24"/>
          <w:u w:val="none"/>
        </w:rPr>
        <w:t xml:space="preserve">Private Health Insurance (Prostheses) </w:t>
      </w:r>
      <w:r w:rsidR="008F4B1D" w:rsidRPr="00941AD6">
        <w:rPr>
          <w:b w:val="0"/>
          <w:i/>
          <w:szCs w:val="24"/>
          <w:u w:val="none"/>
        </w:rPr>
        <w:t xml:space="preserve">Amendment </w:t>
      </w:r>
      <w:r w:rsidRPr="00941AD6">
        <w:rPr>
          <w:b w:val="0"/>
          <w:i/>
          <w:szCs w:val="24"/>
          <w:u w:val="none"/>
        </w:rPr>
        <w:t>Rules (No.</w:t>
      </w:r>
      <w:r w:rsidR="00FF2B71" w:rsidRPr="00941AD6">
        <w:rPr>
          <w:b w:val="0"/>
          <w:i/>
          <w:szCs w:val="24"/>
          <w:u w:val="none"/>
        </w:rPr>
        <w:t xml:space="preserve"> </w:t>
      </w:r>
      <w:r w:rsidR="009E6E3E" w:rsidRPr="00941AD6">
        <w:rPr>
          <w:b w:val="0"/>
          <w:i/>
          <w:szCs w:val="24"/>
          <w:u w:val="none"/>
        </w:rPr>
        <w:t>1</w:t>
      </w:r>
      <w:r w:rsidR="008F4B1D" w:rsidRPr="00941AD6">
        <w:rPr>
          <w:b w:val="0"/>
          <w:i/>
          <w:szCs w:val="24"/>
          <w:u w:val="none"/>
        </w:rPr>
        <w:t>) 202</w:t>
      </w:r>
      <w:r w:rsidR="009E6E3E" w:rsidRPr="00941AD6">
        <w:rPr>
          <w:b w:val="0"/>
          <w:i/>
          <w:szCs w:val="24"/>
          <w:u w:val="none"/>
        </w:rPr>
        <w:t>1</w:t>
      </w:r>
      <w:r w:rsidR="008F4B1D" w:rsidRPr="00941AD6">
        <w:rPr>
          <w:b w:val="0"/>
          <w:i/>
          <w:szCs w:val="24"/>
          <w:u w:val="none"/>
        </w:rPr>
        <w:t>.</w:t>
      </w:r>
    </w:p>
    <w:p w14:paraId="7807BF7F" w14:textId="77777777" w:rsidR="001D483B" w:rsidRPr="00941AD6" w:rsidRDefault="001D483B" w:rsidP="00AE7772">
      <w:pPr>
        <w:spacing w:after="120"/>
        <w:rPr>
          <w:rFonts w:ascii="Times New Roman" w:hAnsi="Times New Roman"/>
          <w:szCs w:val="24"/>
        </w:rPr>
      </w:pPr>
    </w:p>
    <w:p w14:paraId="5C4A5695" w14:textId="29489E8E" w:rsidR="001D483B" w:rsidRPr="00941AD6" w:rsidRDefault="00E37C8F" w:rsidP="00AE7772">
      <w:pPr>
        <w:pStyle w:val="BodyText"/>
        <w:spacing w:after="120"/>
        <w:ind w:left="851" w:hanging="851"/>
        <w:rPr>
          <w:szCs w:val="24"/>
        </w:rPr>
      </w:pPr>
      <w:r w:rsidRPr="00941AD6">
        <w:rPr>
          <w:szCs w:val="24"/>
        </w:rPr>
        <w:t xml:space="preserve">Rule </w:t>
      </w:r>
      <w:r w:rsidR="001D483B" w:rsidRPr="00941AD6">
        <w:rPr>
          <w:szCs w:val="24"/>
        </w:rPr>
        <w:t>2</w:t>
      </w:r>
      <w:r w:rsidR="001D483B" w:rsidRPr="00941AD6">
        <w:rPr>
          <w:szCs w:val="24"/>
        </w:rPr>
        <w:tab/>
        <w:t xml:space="preserve">Commencement </w:t>
      </w:r>
    </w:p>
    <w:p w14:paraId="2AE87E41" w14:textId="77777777" w:rsidR="001D483B" w:rsidRPr="00941AD6" w:rsidRDefault="001D483B" w:rsidP="00AE7772">
      <w:pPr>
        <w:pStyle w:val="BodyText"/>
        <w:spacing w:after="120"/>
        <w:rPr>
          <w:b w:val="0"/>
          <w:szCs w:val="24"/>
          <w:u w:val="single"/>
        </w:rPr>
      </w:pPr>
    </w:p>
    <w:p w14:paraId="34403B36" w14:textId="0E706960" w:rsidR="001D483B" w:rsidRPr="00941AD6" w:rsidRDefault="001D483B" w:rsidP="00AE7772">
      <w:pPr>
        <w:pStyle w:val="BodyText"/>
        <w:spacing w:after="120"/>
        <w:rPr>
          <w:b w:val="0"/>
          <w:szCs w:val="24"/>
        </w:rPr>
      </w:pPr>
      <w:r w:rsidRPr="00941AD6">
        <w:rPr>
          <w:b w:val="0"/>
          <w:szCs w:val="24"/>
        </w:rPr>
        <w:t xml:space="preserve">Rule 2 provides that the </w:t>
      </w:r>
      <w:r w:rsidR="009E6E3E" w:rsidRPr="00941AD6">
        <w:rPr>
          <w:b w:val="0"/>
          <w:szCs w:val="24"/>
        </w:rPr>
        <w:t>Amending Rules commence</w:t>
      </w:r>
      <w:r w:rsidR="001240E3" w:rsidRPr="00941AD6">
        <w:rPr>
          <w:b w:val="0"/>
          <w:szCs w:val="24"/>
        </w:rPr>
        <w:t xml:space="preserve"> the day after the instrument is registered </w:t>
      </w:r>
      <w:r w:rsidR="0087673F" w:rsidRPr="00941AD6">
        <w:rPr>
          <w:b w:val="0"/>
          <w:szCs w:val="24"/>
        </w:rPr>
        <w:t>o</w:t>
      </w:r>
      <w:r w:rsidR="001240E3" w:rsidRPr="00941AD6">
        <w:rPr>
          <w:b w:val="0"/>
          <w:szCs w:val="24"/>
        </w:rPr>
        <w:t>n the Federal Register of Legislation.</w:t>
      </w:r>
    </w:p>
    <w:p w14:paraId="1F2C57EB" w14:textId="77777777" w:rsidR="001D483B" w:rsidRPr="00941AD6" w:rsidRDefault="001D483B" w:rsidP="00AE7772">
      <w:pPr>
        <w:pStyle w:val="BodyText"/>
        <w:spacing w:after="120"/>
        <w:rPr>
          <w:szCs w:val="24"/>
        </w:rPr>
      </w:pPr>
    </w:p>
    <w:p w14:paraId="033588EC" w14:textId="77777777" w:rsidR="001D483B" w:rsidRPr="00941AD6" w:rsidRDefault="001D483B" w:rsidP="00AE7772">
      <w:pPr>
        <w:pStyle w:val="BodyText"/>
        <w:spacing w:after="120"/>
        <w:ind w:left="851" w:hanging="851"/>
        <w:rPr>
          <w:szCs w:val="24"/>
        </w:rPr>
      </w:pPr>
      <w:r w:rsidRPr="00941AD6">
        <w:rPr>
          <w:szCs w:val="24"/>
        </w:rPr>
        <w:t>Rule 3</w:t>
      </w:r>
      <w:r w:rsidRPr="00941AD6">
        <w:rPr>
          <w:szCs w:val="24"/>
        </w:rPr>
        <w:tab/>
        <w:t>Authority</w:t>
      </w:r>
    </w:p>
    <w:p w14:paraId="37D28234" w14:textId="77777777" w:rsidR="001D483B" w:rsidRPr="00941AD6" w:rsidRDefault="001D483B" w:rsidP="00AE7772">
      <w:pPr>
        <w:pStyle w:val="BodyText"/>
        <w:spacing w:after="120"/>
        <w:rPr>
          <w:b w:val="0"/>
          <w:szCs w:val="24"/>
          <w:u w:val="single"/>
        </w:rPr>
      </w:pPr>
    </w:p>
    <w:p w14:paraId="515C7E44" w14:textId="247222D7" w:rsidR="008F4B1D" w:rsidRPr="00941AD6" w:rsidRDefault="001D483B" w:rsidP="00AE7772">
      <w:pPr>
        <w:pStyle w:val="BodyText"/>
        <w:spacing w:after="120"/>
        <w:rPr>
          <w:b w:val="0"/>
          <w:szCs w:val="24"/>
        </w:rPr>
      </w:pPr>
      <w:r w:rsidRPr="00941AD6">
        <w:rPr>
          <w:b w:val="0"/>
          <w:szCs w:val="24"/>
        </w:rPr>
        <w:t>Rule 3 provides that the</w:t>
      </w:r>
      <w:r w:rsidR="008F4B1D" w:rsidRPr="00941AD6">
        <w:rPr>
          <w:b w:val="0"/>
          <w:szCs w:val="24"/>
        </w:rPr>
        <w:t xml:space="preserve"> Amending </w:t>
      </w:r>
      <w:r w:rsidRPr="00941AD6">
        <w:rPr>
          <w:b w:val="0"/>
          <w:szCs w:val="24"/>
        </w:rPr>
        <w:t>Rules</w:t>
      </w:r>
      <w:r w:rsidR="00AE311D" w:rsidRPr="00941AD6">
        <w:rPr>
          <w:b w:val="0"/>
          <w:szCs w:val="24"/>
        </w:rPr>
        <w:t xml:space="preserve"> is made under item 4 of the table in section 333-20 of the </w:t>
      </w:r>
      <w:r w:rsidR="00AE311D" w:rsidRPr="00941AD6">
        <w:rPr>
          <w:b w:val="0"/>
          <w:i/>
          <w:szCs w:val="24"/>
        </w:rPr>
        <w:t>Private Health Insurance Act 2007</w:t>
      </w:r>
      <w:r w:rsidR="00AE311D" w:rsidRPr="00941AD6">
        <w:rPr>
          <w:b w:val="0"/>
          <w:szCs w:val="24"/>
        </w:rPr>
        <w:t xml:space="preserve">. </w:t>
      </w:r>
    </w:p>
    <w:p w14:paraId="3BDE5028" w14:textId="77777777" w:rsidR="001D483B" w:rsidRPr="00941AD6" w:rsidRDefault="001D483B" w:rsidP="00AE7772">
      <w:pPr>
        <w:pStyle w:val="BodyText"/>
        <w:spacing w:after="120"/>
        <w:rPr>
          <w:b w:val="0"/>
          <w:szCs w:val="24"/>
        </w:rPr>
      </w:pPr>
    </w:p>
    <w:p w14:paraId="5AB5DA48" w14:textId="1B2A96C9" w:rsidR="001D483B" w:rsidRPr="00941AD6" w:rsidRDefault="001D483B" w:rsidP="00AE7772">
      <w:pPr>
        <w:pStyle w:val="BodyText"/>
        <w:spacing w:after="120"/>
        <w:ind w:left="851" w:hanging="851"/>
        <w:rPr>
          <w:szCs w:val="24"/>
        </w:rPr>
      </w:pPr>
      <w:r w:rsidRPr="00941AD6">
        <w:rPr>
          <w:szCs w:val="24"/>
        </w:rPr>
        <w:t xml:space="preserve">Rule </w:t>
      </w:r>
      <w:r w:rsidR="008F4B1D" w:rsidRPr="00941AD6">
        <w:rPr>
          <w:szCs w:val="24"/>
        </w:rPr>
        <w:t>4</w:t>
      </w:r>
      <w:r w:rsidR="008F4B1D" w:rsidRPr="00941AD6">
        <w:rPr>
          <w:szCs w:val="24"/>
        </w:rPr>
        <w:tab/>
        <w:t>Schedules</w:t>
      </w:r>
    </w:p>
    <w:p w14:paraId="0D83EE80" w14:textId="77777777" w:rsidR="001D483B" w:rsidRPr="00941AD6" w:rsidRDefault="001D483B" w:rsidP="00AE7772">
      <w:pPr>
        <w:pStyle w:val="BodyText"/>
        <w:spacing w:after="120"/>
        <w:rPr>
          <w:b w:val="0"/>
          <w:szCs w:val="24"/>
          <w:u w:val="single"/>
        </w:rPr>
      </w:pPr>
    </w:p>
    <w:p w14:paraId="30198464" w14:textId="6DC30E06" w:rsidR="008F4B1D" w:rsidRPr="00941AD6" w:rsidRDefault="001D483B" w:rsidP="00AE7772">
      <w:pPr>
        <w:pStyle w:val="BodyText"/>
        <w:spacing w:after="120"/>
        <w:rPr>
          <w:b w:val="0"/>
          <w:szCs w:val="24"/>
        </w:rPr>
      </w:pPr>
      <w:r w:rsidRPr="00941AD6">
        <w:rPr>
          <w:b w:val="0"/>
          <w:szCs w:val="24"/>
        </w:rPr>
        <w:t xml:space="preserve">Rule 4 provides that </w:t>
      </w:r>
      <w:r w:rsidR="008F4B1D" w:rsidRPr="00941AD6">
        <w:rPr>
          <w:b w:val="0"/>
          <w:szCs w:val="24"/>
        </w:rPr>
        <w:t>each instrument that is specified in Schedule 1 to th</w:t>
      </w:r>
      <w:r w:rsidR="003C3F1A" w:rsidRPr="00941AD6">
        <w:rPr>
          <w:b w:val="0"/>
          <w:szCs w:val="24"/>
        </w:rPr>
        <w:t>e</w:t>
      </w:r>
      <w:r w:rsidR="008F4B1D" w:rsidRPr="00941AD6">
        <w:rPr>
          <w:b w:val="0"/>
          <w:szCs w:val="24"/>
        </w:rPr>
        <w:t xml:space="preserve"> </w:t>
      </w:r>
      <w:r w:rsidR="003C3F1A" w:rsidRPr="00941AD6">
        <w:rPr>
          <w:b w:val="0"/>
          <w:szCs w:val="24"/>
        </w:rPr>
        <w:t>Amending Rules</w:t>
      </w:r>
      <w:r w:rsidR="008F4B1D" w:rsidRPr="00941AD6">
        <w:rPr>
          <w:b w:val="0"/>
          <w:szCs w:val="24"/>
        </w:rPr>
        <w:t xml:space="preserve"> is ame</w:t>
      </w:r>
      <w:r w:rsidR="003231FC" w:rsidRPr="00941AD6">
        <w:rPr>
          <w:b w:val="0"/>
          <w:szCs w:val="24"/>
        </w:rPr>
        <w:t>nded or repealed as set out in</w:t>
      </w:r>
      <w:r w:rsidR="008F4B1D" w:rsidRPr="00941AD6">
        <w:rPr>
          <w:b w:val="0"/>
          <w:szCs w:val="24"/>
        </w:rPr>
        <w:t xml:space="preserve"> the applicable items in the </w:t>
      </w:r>
      <w:r w:rsidR="003231FC" w:rsidRPr="00941AD6">
        <w:rPr>
          <w:b w:val="0"/>
          <w:szCs w:val="24"/>
        </w:rPr>
        <w:t>Schedule</w:t>
      </w:r>
      <w:r w:rsidR="008F4B1D" w:rsidRPr="00941AD6">
        <w:rPr>
          <w:b w:val="0"/>
          <w:szCs w:val="24"/>
        </w:rPr>
        <w:t xml:space="preserve">, and any other item in a Schedule to this </w:t>
      </w:r>
      <w:r w:rsidR="003231FC" w:rsidRPr="00941AD6">
        <w:rPr>
          <w:b w:val="0"/>
          <w:szCs w:val="24"/>
        </w:rPr>
        <w:t>instrument</w:t>
      </w:r>
      <w:r w:rsidR="008F4B1D" w:rsidRPr="00941AD6">
        <w:rPr>
          <w:b w:val="0"/>
          <w:szCs w:val="24"/>
        </w:rPr>
        <w:t xml:space="preserve"> has effect according to its terms. </w:t>
      </w:r>
    </w:p>
    <w:p w14:paraId="75E961F1" w14:textId="77777777" w:rsidR="001D483B" w:rsidRPr="00941AD6" w:rsidRDefault="001D483B" w:rsidP="00AE7772">
      <w:pPr>
        <w:autoSpaceDE w:val="0"/>
        <w:autoSpaceDN w:val="0"/>
        <w:adjustRightInd w:val="0"/>
        <w:spacing w:after="120"/>
        <w:jc w:val="both"/>
        <w:rPr>
          <w:rFonts w:ascii="Times New Roman" w:hAnsi="Times New Roman"/>
          <w:b/>
          <w:bCs/>
          <w:szCs w:val="24"/>
        </w:rPr>
      </w:pPr>
    </w:p>
    <w:p w14:paraId="155F4ADF" w14:textId="52292A90" w:rsidR="001D483B" w:rsidRPr="00941AD6" w:rsidRDefault="001D483B" w:rsidP="00AE7772">
      <w:pPr>
        <w:keepNext/>
        <w:autoSpaceDE w:val="0"/>
        <w:autoSpaceDN w:val="0"/>
        <w:adjustRightInd w:val="0"/>
        <w:spacing w:after="120"/>
        <w:jc w:val="both"/>
        <w:rPr>
          <w:rFonts w:ascii="Times New Roman" w:hAnsi="Times New Roman"/>
          <w:b/>
          <w:bCs/>
          <w:szCs w:val="24"/>
        </w:rPr>
      </w:pPr>
      <w:r w:rsidRPr="00941AD6">
        <w:rPr>
          <w:rFonts w:ascii="Times New Roman" w:hAnsi="Times New Roman"/>
          <w:b/>
          <w:bCs/>
          <w:szCs w:val="24"/>
        </w:rPr>
        <w:t>Schedules</w:t>
      </w:r>
      <w:r w:rsidR="003231FC" w:rsidRPr="00941AD6">
        <w:rPr>
          <w:rFonts w:ascii="Times New Roman" w:hAnsi="Times New Roman"/>
          <w:b/>
          <w:bCs/>
          <w:szCs w:val="24"/>
        </w:rPr>
        <w:t xml:space="preserve"> 1 – Amendments </w:t>
      </w:r>
    </w:p>
    <w:p w14:paraId="03C80B48" w14:textId="1F1DBAD0" w:rsidR="001D483B" w:rsidRPr="00941AD6" w:rsidRDefault="003231FC" w:rsidP="00AE7772">
      <w:pPr>
        <w:keepNext/>
        <w:autoSpaceDE w:val="0"/>
        <w:autoSpaceDN w:val="0"/>
        <w:adjustRightInd w:val="0"/>
        <w:spacing w:after="120"/>
        <w:ind w:left="709" w:hanging="709"/>
        <w:jc w:val="both"/>
        <w:rPr>
          <w:rFonts w:ascii="Times New Roman" w:hAnsi="Times New Roman"/>
          <w:bCs/>
          <w:i/>
          <w:szCs w:val="24"/>
        </w:rPr>
      </w:pPr>
      <w:r w:rsidRPr="00941AD6">
        <w:rPr>
          <w:rFonts w:ascii="Times New Roman" w:hAnsi="Times New Roman"/>
          <w:bCs/>
          <w:i/>
          <w:szCs w:val="24"/>
        </w:rPr>
        <w:t>Private Health Insurance (Prostheses) Rules (No.</w:t>
      </w:r>
      <w:r w:rsidR="000F05EB" w:rsidRPr="00941AD6">
        <w:rPr>
          <w:rFonts w:ascii="Times New Roman" w:hAnsi="Times New Roman"/>
          <w:bCs/>
          <w:i/>
          <w:szCs w:val="24"/>
        </w:rPr>
        <w:t xml:space="preserve"> </w:t>
      </w:r>
      <w:r w:rsidR="001240E3" w:rsidRPr="00941AD6">
        <w:rPr>
          <w:rFonts w:ascii="Times New Roman" w:hAnsi="Times New Roman"/>
          <w:bCs/>
          <w:i/>
          <w:szCs w:val="24"/>
        </w:rPr>
        <w:t>3</w:t>
      </w:r>
      <w:r w:rsidR="00AE311D" w:rsidRPr="00941AD6">
        <w:rPr>
          <w:rFonts w:ascii="Times New Roman" w:hAnsi="Times New Roman"/>
          <w:bCs/>
          <w:i/>
          <w:szCs w:val="24"/>
        </w:rPr>
        <w:t>) 202</w:t>
      </w:r>
      <w:r w:rsidR="001240E3" w:rsidRPr="00941AD6">
        <w:rPr>
          <w:rFonts w:ascii="Times New Roman" w:hAnsi="Times New Roman"/>
          <w:bCs/>
          <w:i/>
          <w:szCs w:val="24"/>
        </w:rPr>
        <w:t>0</w:t>
      </w:r>
      <w:r w:rsidRPr="00941AD6">
        <w:rPr>
          <w:rFonts w:ascii="Times New Roman" w:hAnsi="Times New Roman"/>
          <w:bCs/>
          <w:i/>
          <w:szCs w:val="24"/>
        </w:rPr>
        <w:t xml:space="preserve"> </w:t>
      </w:r>
    </w:p>
    <w:p w14:paraId="4C17C846" w14:textId="16A3D2D9" w:rsidR="001D483B" w:rsidRPr="00941AD6" w:rsidRDefault="001240E3" w:rsidP="00AE7772">
      <w:pPr>
        <w:spacing w:after="120"/>
        <w:jc w:val="both"/>
        <w:rPr>
          <w:rFonts w:ascii="Times New Roman" w:hAnsi="Times New Roman"/>
          <w:szCs w:val="24"/>
        </w:rPr>
      </w:pPr>
      <w:r w:rsidRPr="00941AD6">
        <w:rPr>
          <w:rFonts w:ascii="Times New Roman" w:hAnsi="Times New Roman"/>
          <w:szCs w:val="24"/>
        </w:rPr>
        <w:t>Items 1 to 12 remove 12 billing codes for prostheses that are no longer included in the ARTG and cannot be lawfully supplied in Australia.</w:t>
      </w:r>
    </w:p>
    <w:p w14:paraId="476B033D" w14:textId="77777777" w:rsidR="001D483B" w:rsidRPr="00941AD6" w:rsidRDefault="001D483B" w:rsidP="00AE7772">
      <w:pPr>
        <w:spacing w:after="120" w:line="259" w:lineRule="auto"/>
        <w:rPr>
          <w:sz w:val="22"/>
          <w:szCs w:val="22"/>
        </w:rPr>
      </w:pPr>
      <w:r w:rsidRPr="00941AD6">
        <w:rPr>
          <w:sz w:val="22"/>
          <w:szCs w:val="22"/>
        </w:rPr>
        <w:br w:type="page"/>
      </w:r>
    </w:p>
    <w:p w14:paraId="6F6824E2" w14:textId="77777777" w:rsidR="001D483B" w:rsidRPr="00941AD6" w:rsidRDefault="001D483B" w:rsidP="00AE7772">
      <w:pPr>
        <w:spacing w:before="360" w:after="120"/>
        <w:jc w:val="center"/>
        <w:rPr>
          <w:rFonts w:ascii="Times New Roman" w:hAnsi="Times New Roman"/>
          <w:b/>
          <w:szCs w:val="24"/>
        </w:rPr>
      </w:pPr>
      <w:r w:rsidRPr="00941AD6">
        <w:rPr>
          <w:rFonts w:ascii="Times New Roman" w:hAnsi="Times New Roman"/>
          <w:b/>
          <w:szCs w:val="24"/>
        </w:rPr>
        <w:lastRenderedPageBreak/>
        <w:t>Statement of Compatibility with Human Rights</w:t>
      </w:r>
    </w:p>
    <w:p w14:paraId="095BD742" w14:textId="77777777" w:rsidR="001D483B" w:rsidRPr="00941AD6" w:rsidRDefault="001D483B" w:rsidP="00AE7772">
      <w:pPr>
        <w:spacing w:before="120" w:after="120"/>
        <w:jc w:val="center"/>
        <w:rPr>
          <w:rFonts w:ascii="Times New Roman" w:hAnsi="Times New Roman"/>
          <w:szCs w:val="24"/>
        </w:rPr>
      </w:pPr>
      <w:r w:rsidRPr="00941AD6">
        <w:rPr>
          <w:rFonts w:ascii="Times New Roman" w:hAnsi="Times New Roman"/>
          <w:i/>
          <w:szCs w:val="24"/>
        </w:rPr>
        <w:t>Prepared in accordance with Part 3 of the Human Rights (Parliamentary Scrutiny) Act 2011</w:t>
      </w:r>
    </w:p>
    <w:p w14:paraId="235DBAD9" w14:textId="65F3CC91" w:rsidR="001D483B" w:rsidRPr="00941AD6" w:rsidRDefault="001D483B" w:rsidP="00AE7772">
      <w:pPr>
        <w:spacing w:after="120"/>
        <w:jc w:val="center"/>
        <w:rPr>
          <w:rFonts w:ascii="Times New Roman" w:hAnsi="Times New Roman"/>
          <w:b/>
          <w:i/>
          <w:szCs w:val="24"/>
        </w:rPr>
      </w:pPr>
      <w:r w:rsidRPr="00941AD6">
        <w:rPr>
          <w:rFonts w:ascii="Times New Roman" w:hAnsi="Times New Roman"/>
          <w:b/>
          <w:i/>
          <w:iCs/>
          <w:szCs w:val="24"/>
        </w:rPr>
        <w:t xml:space="preserve">Private Health Insurance (Prostheses) </w:t>
      </w:r>
      <w:r w:rsidR="00F77164" w:rsidRPr="00941AD6">
        <w:rPr>
          <w:rFonts w:ascii="Times New Roman" w:hAnsi="Times New Roman"/>
          <w:b/>
          <w:i/>
          <w:iCs/>
          <w:szCs w:val="24"/>
        </w:rPr>
        <w:t xml:space="preserve">Amendment </w:t>
      </w:r>
      <w:r w:rsidRPr="00941AD6">
        <w:rPr>
          <w:rFonts w:ascii="Times New Roman" w:hAnsi="Times New Roman"/>
          <w:b/>
          <w:i/>
          <w:iCs/>
          <w:szCs w:val="24"/>
        </w:rPr>
        <w:t>Rules (No.</w:t>
      </w:r>
      <w:r w:rsidR="000F05EB" w:rsidRPr="00941AD6">
        <w:rPr>
          <w:rFonts w:ascii="Times New Roman" w:hAnsi="Times New Roman"/>
          <w:b/>
          <w:i/>
          <w:iCs/>
          <w:szCs w:val="24"/>
        </w:rPr>
        <w:t xml:space="preserve"> </w:t>
      </w:r>
      <w:r w:rsidR="00AE311D" w:rsidRPr="00941AD6">
        <w:rPr>
          <w:rFonts w:ascii="Times New Roman" w:hAnsi="Times New Roman"/>
          <w:b/>
          <w:i/>
          <w:iCs/>
          <w:szCs w:val="24"/>
        </w:rPr>
        <w:t>1) 2021</w:t>
      </w:r>
      <w:r w:rsidRPr="00941AD6">
        <w:rPr>
          <w:rFonts w:ascii="Times New Roman" w:hAnsi="Times New Roman"/>
          <w:b/>
          <w:i/>
          <w:szCs w:val="24"/>
        </w:rPr>
        <w:br/>
      </w:r>
    </w:p>
    <w:p w14:paraId="5DD5CF54" w14:textId="77777777" w:rsidR="001D483B" w:rsidRPr="00941AD6" w:rsidRDefault="001D483B" w:rsidP="00AE7772">
      <w:pPr>
        <w:spacing w:after="120"/>
        <w:rPr>
          <w:rFonts w:ascii="Times New Roman" w:hAnsi="Times New Roman"/>
          <w:szCs w:val="24"/>
        </w:rPr>
      </w:pPr>
      <w:r w:rsidRPr="00941AD6">
        <w:rPr>
          <w:rFonts w:ascii="Times New Roman" w:hAnsi="Times New Roman"/>
          <w:szCs w:val="24"/>
        </w:rPr>
        <w:t xml:space="preserve">This instrument is compatible with the human rights and freedoms recognised or declared in the international instruments listed in section 3 of the </w:t>
      </w:r>
      <w:r w:rsidRPr="00941AD6">
        <w:rPr>
          <w:rFonts w:ascii="Times New Roman" w:hAnsi="Times New Roman"/>
          <w:i/>
          <w:szCs w:val="24"/>
        </w:rPr>
        <w:t>Human Rights (Parliamentary Scrutiny) Act 2011</w:t>
      </w:r>
      <w:r w:rsidRPr="00941AD6">
        <w:rPr>
          <w:rFonts w:ascii="Times New Roman" w:hAnsi="Times New Roman"/>
          <w:szCs w:val="24"/>
        </w:rPr>
        <w:t>.</w:t>
      </w:r>
    </w:p>
    <w:p w14:paraId="6E7FA1B4" w14:textId="77777777" w:rsidR="001D483B" w:rsidRPr="00941AD6" w:rsidRDefault="001D483B" w:rsidP="00AE7772">
      <w:pPr>
        <w:spacing w:before="120" w:after="120"/>
        <w:rPr>
          <w:rFonts w:ascii="Times New Roman" w:hAnsi="Times New Roman"/>
          <w:b/>
          <w:szCs w:val="24"/>
        </w:rPr>
      </w:pPr>
      <w:r w:rsidRPr="00941AD6">
        <w:rPr>
          <w:rFonts w:ascii="Times New Roman" w:hAnsi="Times New Roman"/>
          <w:b/>
          <w:szCs w:val="24"/>
        </w:rPr>
        <w:t xml:space="preserve">Overview of the Legislative Instrument </w:t>
      </w:r>
    </w:p>
    <w:p w14:paraId="316B6E94" w14:textId="77777777" w:rsidR="001D483B" w:rsidRPr="00941AD6" w:rsidRDefault="001D483B" w:rsidP="00AE7772">
      <w:pPr>
        <w:spacing w:after="120"/>
        <w:rPr>
          <w:rFonts w:ascii="Times New Roman" w:hAnsi="Times New Roman"/>
          <w:szCs w:val="24"/>
        </w:rPr>
      </w:pPr>
      <w:r w:rsidRPr="00941AD6">
        <w:rPr>
          <w:rFonts w:ascii="Times New Roman" w:hAnsi="Times New Roman"/>
          <w:szCs w:val="24"/>
        </w:rPr>
        <w:t xml:space="preserve">The table in subsection 72-1(2) of Part 3-3 of the </w:t>
      </w:r>
      <w:r w:rsidRPr="00941AD6">
        <w:rPr>
          <w:rFonts w:ascii="Times New Roman" w:hAnsi="Times New Roman"/>
          <w:i/>
          <w:szCs w:val="24"/>
        </w:rPr>
        <w:t>Private Health Insurance Act 2007</w:t>
      </w:r>
      <w:r w:rsidRPr="00941AD6">
        <w:rPr>
          <w:rFonts w:ascii="Times New Roman" w:hAnsi="Times New Roman"/>
          <w:szCs w:val="24"/>
        </w:rPr>
        <w:t xml:space="preserve"> (the Act) provides for benefit requirements that a complying health insurance policy that covers hospital treatment must meet. Under item 4 of that table there must be a benefit for the provision of a prosthesis, of a kind listed in Private Health Insurance (Prostheses) Rules</w:t>
      </w:r>
      <w:r w:rsidRPr="00941AD6">
        <w:rPr>
          <w:rFonts w:ascii="Times New Roman" w:hAnsi="Times New Roman"/>
          <w:i/>
          <w:szCs w:val="24"/>
        </w:rPr>
        <w:t xml:space="preserve"> </w:t>
      </w:r>
      <w:r w:rsidRPr="00941AD6">
        <w:rPr>
          <w:rFonts w:ascii="Times New Roman" w:hAnsi="Times New Roman"/>
          <w:szCs w:val="24"/>
        </w:rPr>
        <w:t>(i.e. a listed prosthesis), in specified circumstances and under any specified conditions.</w:t>
      </w:r>
    </w:p>
    <w:p w14:paraId="6B8F21F9" w14:textId="6C7FF9D7" w:rsidR="003231FC" w:rsidRPr="00941AD6" w:rsidRDefault="003231FC" w:rsidP="00AE7772">
      <w:pPr>
        <w:keepNext/>
        <w:autoSpaceDE w:val="0"/>
        <w:autoSpaceDN w:val="0"/>
        <w:adjustRightInd w:val="0"/>
        <w:spacing w:after="120"/>
        <w:jc w:val="both"/>
        <w:rPr>
          <w:rFonts w:ascii="Times New Roman" w:hAnsi="Times New Roman"/>
          <w:szCs w:val="24"/>
          <w:lang w:val="en-US"/>
        </w:rPr>
      </w:pPr>
      <w:r w:rsidRPr="00941AD6">
        <w:rPr>
          <w:rFonts w:ascii="Times New Roman" w:hAnsi="Times New Roman"/>
          <w:szCs w:val="24"/>
        </w:rPr>
        <w:t>The</w:t>
      </w:r>
      <w:r w:rsidR="003476A1" w:rsidRPr="00941AD6">
        <w:rPr>
          <w:rFonts w:ascii="Times New Roman" w:hAnsi="Times New Roman"/>
          <w:szCs w:val="24"/>
        </w:rPr>
        <w:t xml:space="preserve"> </w:t>
      </w:r>
      <w:r w:rsidR="003908E7" w:rsidRPr="00941AD6">
        <w:rPr>
          <w:rFonts w:ascii="Times New Roman" w:hAnsi="Times New Roman"/>
          <w:bCs/>
          <w:i/>
          <w:szCs w:val="24"/>
        </w:rPr>
        <w:t>Private Health Insurance (Prostheses) Rules (No.</w:t>
      </w:r>
      <w:r w:rsidR="000F05EB" w:rsidRPr="00941AD6">
        <w:rPr>
          <w:rFonts w:ascii="Times New Roman" w:hAnsi="Times New Roman"/>
          <w:bCs/>
          <w:i/>
          <w:szCs w:val="24"/>
        </w:rPr>
        <w:t xml:space="preserve"> </w:t>
      </w:r>
      <w:r w:rsidR="003908E7" w:rsidRPr="00941AD6">
        <w:rPr>
          <w:rFonts w:ascii="Times New Roman" w:hAnsi="Times New Roman"/>
          <w:bCs/>
          <w:i/>
          <w:szCs w:val="24"/>
        </w:rPr>
        <w:t xml:space="preserve">3) 2020 </w:t>
      </w:r>
      <w:r w:rsidRPr="00941AD6">
        <w:rPr>
          <w:rFonts w:ascii="Times New Roman" w:hAnsi="Times New Roman"/>
          <w:szCs w:val="24"/>
        </w:rPr>
        <w:t>(Prostheses Rules) were made for the purposes of section 333-20 of the Act. Listed prostheses and their minimum benefits are set ou</w:t>
      </w:r>
      <w:r w:rsidR="000F05EB" w:rsidRPr="00941AD6">
        <w:rPr>
          <w:rFonts w:ascii="Times New Roman" w:hAnsi="Times New Roman"/>
          <w:szCs w:val="24"/>
        </w:rPr>
        <w:t>t in the Schedule to the Rules.</w:t>
      </w:r>
      <w:r w:rsidRPr="00941AD6">
        <w:rPr>
          <w:rFonts w:ascii="Times New Roman" w:hAnsi="Times New Roman"/>
          <w:szCs w:val="24"/>
        </w:rPr>
        <w:t xml:space="preserve"> The list of prostheses in the Schedule is commonly referred to as the Prostheses List.</w:t>
      </w:r>
    </w:p>
    <w:p w14:paraId="29009680" w14:textId="398987A0" w:rsidR="001240E3" w:rsidRPr="00941AD6" w:rsidRDefault="003231FC" w:rsidP="00AE7772">
      <w:pPr>
        <w:shd w:val="clear" w:color="auto" w:fill="FFFFFF"/>
        <w:spacing w:before="120" w:after="120"/>
        <w:rPr>
          <w:rFonts w:ascii="Times New Roman" w:hAnsi="Times New Roman"/>
          <w:szCs w:val="24"/>
          <w:lang w:val="en-US"/>
        </w:rPr>
      </w:pPr>
      <w:r w:rsidRPr="00941AD6">
        <w:rPr>
          <w:rFonts w:ascii="Times New Roman" w:hAnsi="Times New Roman"/>
          <w:szCs w:val="24"/>
        </w:rPr>
        <w:t xml:space="preserve">The </w:t>
      </w:r>
      <w:r w:rsidR="003908E7" w:rsidRPr="00941AD6">
        <w:rPr>
          <w:rFonts w:ascii="Times New Roman" w:hAnsi="Times New Roman"/>
          <w:i/>
          <w:szCs w:val="24"/>
        </w:rPr>
        <w:t>Private Health Insurance (Prostheses) Amendment Rules (No. 1) 2021</w:t>
      </w:r>
      <w:r w:rsidRPr="00941AD6">
        <w:rPr>
          <w:rFonts w:ascii="Times New Roman" w:hAnsi="Times New Roman"/>
          <w:i/>
          <w:iCs/>
          <w:szCs w:val="24"/>
        </w:rPr>
        <w:t xml:space="preserve"> </w:t>
      </w:r>
      <w:r w:rsidRPr="00941AD6">
        <w:rPr>
          <w:rFonts w:ascii="Times New Roman" w:hAnsi="Times New Roman"/>
          <w:szCs w:val="24"/>
        </w:rPr>
        <w:t xml:space="preserve">amends the </w:t>
      </w:r>
      <w:r w:rsidRPr="00941AD6">
        <w:rPr>
          <w:rFonts w:ascii="Times New Roman" w:hAnsi="Times New Roman"/>
          <w:iCs/>
          <w:szCs w:val="24"/>
        </w:rPr>
        <w:t>Prostheses Rules</w:t>
      </w:r>
      <w:r w:rsidR="00C4036A" w:rsidRPr="00941AD6">
        <w:rPr>
          <w:rFonts w:ascii="Times New Roman" w:hAnsi="Times New Roman"/>
          <w:szCs w:val="24"/>
        </w:rPr>
        <w:t xml:space="preserve"> by removing</w:t>
      </w:r>
      <w:r w:rsidR="001240E3" w:rsidRPr="00941AD6">
        <w:rPr>
          <w:rFonts w:ascii="Times New Roman" w:hAnsi="Times New Roman"/>
          <w:szCs w:val="24"/>
        </w:rPr>
        <w:t xml:space="preserve"> 12 prostheses from ‘Part 1 – Prostheses List – Part A’ of the Schedule</w:t>
      </w:r>
      <w:r w:rsidR="00C4036A" w:rsidRPr="00941AD6">
        <w:rPr>
          <w:rFonts w:ascii="Times New Roman" w:hAnsi="Times New Roman"/>
          <w:szCs w:val="24"/>
        </w:rPr>
        <w:t>.</w:t>
      </w:r>
    </w:p>
    <w:p w14:paraId="25869EA5" w14:textId="77777777" w:rsidR="001D483B" w:rsidRPr="00941AD6" w:rsidRDefault="001D483B" w:rsidP="00AE7772">
      <w:pPr>
        <w:spacing w:before="120" w:after="120"/>
        <w:rPr>
          <w:rFonts w:ascii="Times New Roman" w:hAnsi="Times New Roman"/>
          <w:b/>
          <w:szCs w:val="24"/>
        </w:rPr>
      </w:pPr>
      <w:r w:rsidRPr="00941AD6">
        <w:rPr>
          <w:rFonts w:ascii="Times New Roman" w:hAnsi="Times New Roman"/>
          <w:b/>
          <w:szCs w:val="24"/>
        </w:rPr>
        <w:t>Human rights implications</w:t>
      </w:r>
    </w:p>
    <w:p w14:paraId="3880EF11" w14:textId="77777777" w:rsidR="001D483B" w:rsidRPr="00941AD6" w:rsidRDefault="001D483B" w:rsidP="00AE7772">
      <w:pPr>
        <w:spacing w:before="120" w:after="120"/>
        <w:rPr>
          <w:rFonts w:ascii="Times New Roman" w:hAnsi="Times New Roman"/>
          <w:szCs w:val="24"/>
        </w:rPr>
      </w:pPr>
      <w:r w:rsidRPr="00941AD6">
        <w:rPr>
          <w:rFonts w:ascii="Times New Roman" w:hAnsi="Times New Roman"/>
          <w:szCs w:val="24"/>
        </w:rPr>
        <w:t xml:space="preserve">This instrument engages article 12 of the International Covenant on Economic Social and Cultural Rights (ICESCR), specifically the right to health. </w:t>
      </w:r>
    </w:p>
    <w:p w14:paraId="456031D2" w14:textId="77777777" w:rsidR="001D483B" w:rsidRPr="00941AD6" w:rsidRDefault="001D483B" w:rsidP="00AE7772">
      <w:pPr>
        <w:keepNext/>
        <w:spacing w:before="120" w:after="120"/>
        <w:jc w:val="both"/>
        <w:rPr>
          <w:rFonts w:ascii="Times New Roman" w:hAnsi="Times New Roman"/>
          <w:i/>
          <w:color w:val="262626"/>
          <w:szCs w:val="24"/>
        </w:rPr>
      </w:pPr>
      <w:r w:rsidRPr="00941AD6">
        <w:rPr>
          <w:rFonts w:ascii="Times New Roman" w:hAnsi="Times New Roman"/>
          <w:i/>
          <w:color w:val="262626"/>
          <w:szCs w:val="24"/>
        </w:rPr>
        <w:t>Right to Health</w:t>
      </w:r>
    </w:p>
    <w:p w14:paraId="16642C8B" w14:textId="77777777" w:rsidR="001D483B" w:rsidRPr="00941AD6" w:rsidRDefault="001D483B" w:rsidP="00AE7772">
      <w:pPr>
        <w:autoSpaceDE w:val="0"/>
        <w:autoSpaceDN w:val="0"/>
        <w:adjustRightInd w:val="0"/>
        <w:spacing w:before="120" w:after="120"/>
        <w:rPr>
          <w:rFonts w:ascii="Times New Roman" w:hAnsi="Times New Roman"/>
          <w:color w:val="000000"/>
          <w:szCs w:val="24"/>
          <w:lang w:val="en-US"/>
        </w:rPr>
      </w:pPr>
      <w:r w:rsidRPr="00941AD6">
        <w:rPr>
          <w:rFonts w:ascii="Times New Roman" w:hAnsi="Times New Roman"/>
          <w:color w:val="000000"/>
          <w:szCs w:val="24"/>
          <w:lang w:val="en-US"/>
        </w:rPr>
        <w:t>The right to health – the right to the enjoyment of the highest attainable standard of physical and mental health – is contained in article 12(1) of the ICESCR. Whilst the UN Committee on Economic Social and Cultural Rights has stated that the right to health is not to be understood as a right to be healthy, it does entail a right to a system of health protection which provides equality of opportunity for people to enjoy the highest attainable level of health. In addition, the right to health must meet certain key requirements, including that health care must be scientifically and medically appropriate and of good quality.</w:t>
      </w:r>
    </w:p>
    <w:p w14:paraId="1C0D8F83" w14:textId="77777777" w:rsidR="001D483B" w:rsidRPr="00941AD6" w:rsidRDefault="001D483B" w:rsidP="00AE7772">
      <w:pPr>
        <w:keepNext/>
        <w:spacing w:before="120" w:after="120"/>
        <w:jc w:val="both"/>
        <w:rPr>
          <w:rFonts w:ascii="Times New Roman" w:hAnsi="Times New Roman"/>
          <w:i/>
          <w:szCs w:val="24"/>
        </w:rPr>
      </w:pPr>
      <w:r w:rsidRPr="00941AD6">
        <w:rPr>
          <w:rFonts w:ascii="Times New Roman" w:hAnsi="Times New Roman"/>
          <w:i/>
          <w:szCs w:val="24"/>
        </w:rPr>
        <w:t xml:space="preserve">Analysis </w:t>
      </w:r>
    </w:p>
    <w:p w14:paraId="79AB52C8" w14:textId="2CA850B4" w:rsidR="00D97C9F" w:rsidRPr="00941AD6" w:rsidRDefault="00D97C9F" w:rsidP="00AE7772">
      <w:pPr>
        <w:autoSpaceDE w:val="0"/>
        <w:autoSpaceDN w:val="0"/>
        <w:adjustRightInd w:val="0"/>
        <w:spacing w:after="120"/>
        <w:rPr>
          <w:rFonts w:ascii="Times New Roman" w:hAnsi="Times New Roman"/>
          <w:color w:val="000000"/>
          <w:szCs w:val="24"/>
          <w:lang w:val="en-US"/>
        </w:rPr>
      </w:pPr>
      <w:r w:rsidRPr="00941AD6">
        <w:rPr>
          <w:rFonts w:ascii="Times New Roman" w:hAnsi="Times New Roman"/>
          <w:color w:val="000000"/>
          <w:szCs w:val="24"/>
          <w:lang w:val="en-US"/>
        </w:rPr>
        <w:t>The removal of 12 prostheses reflects that they are no longer included in the Australian Register of Therapeutic Goods (ARTG) and cannot be lawfully supplied in Australia. This impacts positively on the right to health of insured persons by preventing them from being exposed to prostheses that have not been adequately assessed for safety and performance.</w:t>
      </w:r>
    </w:p>
    <w:p w14:paraId="6CEF9F8F" w14:textId="2E37CE2D" w:rsidR="001D483B" w:rsidRPr="00941AD6" w:rsidRDefault="00D97C9F" w:rsidP="00AE7772">
      <w:pPr>
        <w:keepNext/>
        <w:spacing w:before="120" w:after="120"/>
        <w:rPr>
          <w:rFonts w:ascii="Times New Roman" w:hAnsi="Times New Roman"/>
          <w:b/>
          <w:szCs w:val="24"/>
        </w:rPr>
      </w:pPr>
      <w:r w:rsidRPr="00941AD6">
        <w:rPr>
          <w:rFonts w:ascii="Times New Roman" w:hAnsi="Times New Roman"/>
          <w:b/>
          <w:szCs w:val="24"/>
        </w:rPr>
        <w:t>Conclusion</w:t>
      </w:r>
    </w:p>
    <w:p w14:paraId="3FC92743" w14:textId="77777777" w:rsidR="001D483B" w:rsidRPr="00941AD6" w:rsidRDefault="001D483B" w:rsidP="00AE7772">
      <w:pPr>
        <w:spacing w:before="120" w:after="120"/>
        <w:rPr>
          <w:rFonts w:ascii="Times New Roman" w:hAnsi="Times New Roman"/>
          <w:szCs w:val="24"/>
        </w:rPr>
      </w:pPr>
      <w:r w:rsidRPr="00941AD6">
        <w:rPr>
          <w:rFonts w:ascii="Times New Roman" w:hAnsi="Times New Roman"/>
          <w:szCs w:val="24"/>
        </w:rPr>
        <w:t xml:space="preserve">The instrument is compatible with human rights because it enables advances in the protection of human rights, in particular the right to health. </w:t>
      </w:r>
    </w:p>
    <w:p w14:paraId="22F407FD" w14:textId="77777777" w:rsidR="001D483B" w:rsidRPr="00941AD6" w:rsidRDefault="001D483B" w:rsidP="00AE7772">
      <w:pPr>
        <w:tabs>
          <w:tab w:val="left" w:pos="540"/>
          <w:tab w:val="left" w:pos="3240"/>
        </w:tabs>
        <w:autoSpaceDE w:val="0"/>
        <w:autoSpaceDN w:val="0"/>
        <w:spacing w:after="120" w:line="240" w:lineRule="atLeast"/>
        <w:ind w:right="397"/>
        <w:jc w:val="center"/>
        <w:rPr>
          <w:rFonts w:ascii="Times New Roman" w:hAnsi="Times New Roman"/>
          <w:b/>
          <w:szCs w:val="24"/>
          <w:lang w:eastAsia="en-US"/>
        </w:rPr>
      </w:pPr>
    </w:p>
    <w:p w14:paraId="06E335CD" w14:textId="1B804C06" w:rsidR="001D483B" w:rsidRPr="00941AD6" w:rsidRDefault="000F05EB" w:rsidP="00AE7772">
      <w:pPr>
        <w:tabs>
          <w:tab w:val="left" w:pos="540"/>
          <w:tab w:val="left" w:pos="3240"/>
        </w:tabs>
        <w:autoSpaceDE w:val="0"/>
        <w:autoSpaceDN w:val="0"/>
        <w:spacing w:after="120" w:line="240" w:lineRule="atLeast"/>
        <w:ind w:right="397"/>
        <w:jc w:val="center"/>
        <w:rPr>
          <w:rFonts w:ascii="Times New Roman" w:hAnsi="Times New Roman"/>
          <w:b/>
          <w:szCs w:val="24"/>
          <w:lang w:eastAsia="en-US"/>
        </w:rPr>
      </w:pPr>
      <w:r w:rsidRPr="00941AD6">
        <w:rPr>
          <w:rFonts w:ascii="Times New Roman" w:hAnsi="Times New Roman"/>
          <w:b/>
          <w:szCs w:val="24"/>
          <w:lang w:eastAsia="en-US"/>
        </w:rPr>
        <w:t>Natasha Ryan</w:t>
      </w:r>
    </w:p>
    <w:p w14:paraId="5593B87D" w14:textId="0CB05B21" w:rsidR="001D483B" w:rsidRPr="00941AD6" w:rsidRDefault="001D483B" w:rsidP="00AE7772">
      <w:pPr>
        <w:tabs>
          <w:tab w:val="left" w:pos="540"/>
          <w:tab w:val="left" w:pos="3240"/>
        </w:tabs>
        <w:autoSpaceDE w:val="0"/>
        <w:autoSpaceDN w:val="0"/>
        <w:spacing w:after="120" w:line="240" w:lineRule="atLeast"/>
        <w:ind w:right="397"/>
        <w:jc w:val="center"/>
        <w:rPr>
          <w:rFonts w:ascii="Times New Roman" w:hAnsi="Times New Roman"/>
          <w:b/>
          <w:szCs w:val="24"/>
          <w:lang w:eastAsia="en-US"/>
        </w:rPr>
      </w:pPr>
      <w:r w:rsidRPr="00941AD6">
        <w:rPr>
          <w:rFonts w:ascii="Times New Roman" w:hAnsi="Times New Roman"/>
          <w:b/>
          <w:szCs w:val="24"/>
          <w:lang w:eastAsia="en-US"/>
        </w:rPr>
        <w:t>Assistant Secretary</w:t>
      </w:r>
    </w:p>
    <w:p w14:paraId="1F196409" w14:textId="77777777" w:rsidR="001D483B" w:rsidRPr="00941AD6" w:rsidRDefault="001D483B" w:rsidP="00AE7772">
      <w:pPr>
        <w:tabs>
          <w:tab w:val="left" w:pos="540"/>
          <w:tab w:val="left" w:pos="3240"/>
        </w:tabs>
        <w:autoSpaceDE w:val="0"/>
        <w:autoSpaceDN w:val="0"/>
        <w:spacing w:after="120" w:line="240" w:lineRule="atLeast"/>
        <w:ind w:right="397"/>
        <w:jc w:val="center"/>
        <w:rPr>
          <w:rFonts w:ascii="Times New Roman" w:hAnsi="Times New Roman"/>
          <w:b/>
          <w:szCs w:val="24"/>
          <w:lang w:eastAsia="en-US"/>
        </w:rPr>
      </w:pPr>
      <w:r w:rsidRPr="00941AD6">
        <w:rPr>
          <w:rFonts w:ascii="Times New Roman" w:hAnsi="Times New Roman"/>
          <w:b/>
          <w:szCs w:val="24"/>
          <w:lang w:eastAsia="en-US"/>
        </w:rPr>
        <w:lastRenderedPageBreak/>
        <w:t xml:space="preserve">Office of Health Technology Assessment </w:t>
      </w:r>
    </w:p>
    <w:p w14:paraId="2C1F71D5" w14:textId="77777777" w:rsidR="001D483B" w:rsidRPr="00941AD6" w:rsidRDefault="001D483B" w:rsidP="00AE7772">
      <w:pPr>
        <w:tabs>
          <w:tab w:val="left" w:pos="540"/>
          <w:tab w:val="left" w:pos="3240"/>
        </w:tabs>
        <w:autoSpaceDE w:val="0"/>
        <w:autoSpaceDN w:val="0"/>
        <w:spacing w:after="120" w:line="240" w:lineRule="atLeast"/>
        <w:ind w:right="397"/>
        <w:jc w:val="center"/>
        <w:rPr>
          <w:rFonts w:ascii="Times New Roman" w:hAnsi="Times New Roman"/>
          <w:b/>
          <w:szCs w:val="24"/>
          <w:lang w:eastAsia="en-US"/>
        </w:rPr>
      </w:pPr>
      <w:r w:rsidRPr="00941AD6">
        <w:rPr>
          <w:rFonts w:ascii="Times New Roman" w:hAnsi="Times New Roman"/>
          <w:b/>
          <w:szCs w:val="24"/>
          <w:lang w:eastAsia="en-US"/>
        </w:rPr>
        <w:t>Technology Assessment and Access Division</w:t>
      </w:r>
    </w:p>
    <w:p w14:paraId="4D5EB392" w14:textId="77777777" w:rsidR="001D483B" w:rsidRPr="00CC30D9" w:rsidRDefault="001D483B" w:rsidP="00AE7772">
      <w:pPr>
        <w:tabs>
          <w:tab w:val="left" w:pos="540"/>
          <w:tab w:val="left" w:pos="3240"/>
        </w:tabs>
        <w:autoSpaceDE w:val="0"/>
        <w:autoSpaceDN w:val="0"/>
        <w:spacing w:after="120" w:line="240" w:lineRule="atLeast"/>
        <w:ind w:right="397"/>
        <w:jc w:val="center"/>
        <w:rPr>
          <w:rFonts w:ascii="Times New Roman" w:hAnsi="Times New Roman"/>
        </w:rPr>
      </w:pPr>
      <w:r w:rsidRPr="00941AD6">
        <w:rPr>
          <w:rFonts w:ascii="Times New Roman" w:hAnsi="Times New Roman"/>
          <w:b/>
          <w:szCs w:val="24"/>
          <w:lang w:eastAsia="en-US"/>
        </w:rPr>
        <w:t>Department of Health</w:t>
      </w:r>
      <w:bookmarkStart w:id="5" w:name="_GoBack"/>
      <w:bookmarkEnd w:id="5"/>
    </w:p>
    <w:sectPr w:rsidR="001D483B" w:rsidRPr="00CC30D9" w:rsidSect="008E558C">
      <w:footerReference w:type="default" r:id="rId7"/>
      <w:pgSz w:w="11906" w:h="16838"/>
      <w:pgMar w:top="1440" w:right="1416"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CE838" w14:textId="77777777" w:rsidR="00320C79" w:rsidRDefault="00320C79">
      <w:r>
        <w:separator/>
      </w:r>
    </w:p>
  </w:endnote>
  <w:endnote w:type="continuationSeparator" w:id="0">
    <w:p w14:paraId="11B5FCD7" w14:textId="77777777" w:rsidR="00320C79" w:rsidRDefault="0032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841D" w14:textId="7C91E33C" w:rsidR="003272CD" w:rsidRDefault="00AE311D" w:rsidP="003272CD">
    <w:pPr>
      <w:pStyle w:val="Footer"/>
      <w:jc w:val="right"/>
    </w:pPr>
    <w:r>
      <w:fldChar w:fldCharType="begin"/>
    </w:r>
    <w:r>
      <w:instrText xml:space="preserve"> PAGE   \* MERGEFORMAT </w:instrText>
    </w:r>
    <w:r>
      <w:fldChar w:fldCharType="separate"/>
    </w:r>
    <w:r w:rsidR="00941AD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8F717" w14:textId="77777777" w:rsidR="00320C79" w:rsidRDefault="00320C79">
      <w:r>
        <w:separator/>
      </w:r>
    </w:p>
  </w:footnote>
  <w:footnote w:type="continuationSeparator" w:id="0">
    <w:p w14:paraId="686C1E24" w14:textId="77777777" w:rsidR="00320C79" w:rsidRDefault="00320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3DC8"/>
    <w:multiLevelType w:val="hybridMultilevel"/>
    <w:tmpl w:val="E7507BA8"/>
    <w:lvl w:ilvl="0" w:tplc="04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644" w:hanging="360"/>
      </w:pPr>
      <w:rPr>
        <w:rFonts w:ascii="Courier New" w:hAnsi="Courier New" w:cs="Courier New" w:hint="default"/>
      </w:rPr>
    </w:lvl>
    <w:lvl w:ilvl="2" w:tplc="0C090005" w:tentative="1">
      <w:start w:val="1"/>
      <w:numFmt w:val="bullet"/>
      <w:lvlText w:val=""/>
      <w:lvlJc w:val="left"/>
      <w:pPr>
        <w:ind w:left="1364" w:hanging="360"/>
      </w:pPr>
      <w:rPr>
        <w:rFonts w:ascii="Wingdings" w:hAnsi="Wingdings" w:hint="default"/>
      </w:rPr>
    </w:lvl>
    <w:lvl w:ilvl="3" w:tplc="0C090001" w:tentative="1">
      <w:start w:val="1"/>
      <w:numFmt w:val="bullet"/>
      <w:lvlText w:val=""/>
      <w:lvlJc w:val="left"/>
      <w:pPr>
        <w:ind w:left="2084" w:hanging="360"/>
      </w:pPr>
      <w:rPr>
        <w:rFonts w:ascii="Symbol" w:hAnsi="Symbol" w:hint="default"/>
      </w:rPr>
    </w:lvl>
    <w:lvl w:ilvl="4" w:tplc="0C090003" w:tentative="1">
      <w:start w:val="1"/>
      <w:numFmt w:val="bullet"/>
      <w:lvlText w:val="o"/>
      <w:lvlJc w:val="left"/>
      <w:pPr>
        <w:ind w:left="2804" w:hanging="360"/>
      </w:pPr>
      <w:rPr>
        <w:rFonts w:ascii="Courier New" w:hAnsi="Courier New" w:cs="Courier New" w:hint="default"/>
      </w:rPr>
    </w:lvl>
    <w:lvl w:ilvl="5" w:tplc="0C090005" w:tentative="1">
      <w:start w:val="1"/>
      <w:numFmt w:val="bullet"/>
      <w:lvlText w:val=""/>
      <w:lvlJc w:val="left"/>
      <w:pPr>
        <w:ind w:left="3524" w:hanging="360"/>
      </w:pPr>
      <w:rPr>
        <w:rFonts w:ascii="Wingdings" w:hAnsi="Wingdings" w:hint="default"/>
      </w:rPr>
    </w:lvl>
    <w:lvl w:ilvl="6" w:tplc="0C090001" w:tentative="1">
      <w:start w:val="1"/>
      <w:numFmt w:val="bullet"/>
      <w:lvlText w:val=""/>
      <w:lvlJc w:val="left"/>
      <w:pPr>
        <w:ind w:left="4244" w:hanging="360"/>
      </w:pPr>
      <w:rPr>
        <w:rFonts w:ascii="Symbol" w:hAnsi="Symbol" w:hint="default"/>
      </w:rPr>
    </w:lvl>
    <w:lvl w:ilvl="7" w:tplc="0C090003" w:tentative="1">
      <w:start w:val="1"/>
      <w:numFmt w:val="bullet"/>
      <w:lvlText w:val="o"/>
      <w:lvlJc w:val="left"/>
      <w:pPr>
        <w:ind w:left="4964" w:hanging="360"/>
      </w:pPr>
      <w:rPr>
        <w:rFonts w:ascii="Courier New" w:hAnsi="Courier New" w:cs="Courier New" w:hint="default"/>
      </w:rPr>
    </w:lvl>
    <w:lvl w:ilvl="8" w:tplc="0C090005" w:tentative="1">
      <w:start w:val="1"/>
      <w:numFmt w:val="bullet"/>
      <w:lvlText w:val=""/>
      <w:lvlJc w:val="left"/>
      <w:pPr>
        <w:ind w:left="5684" w:hanging="360"/>
      </w:pPr>
      <w:rPr>
        <w:rFonts w:ascii="Wingdings" w:hAnsi="Wingdings" w:hint="default"/>
      </w:rPr>
    </w:lvl>
  </w:abstractNum>
  <w:abstractNum w:abstractNumId="1" w15:restartNumberingAfterBreak="0">
    <w:nsid w:val="31C766FF"/>
    <w:multiLevelType w:val="hybridMultilevel"/>
    <w:tmpl w:val="2A1CE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2D7F92"/>
    <w:multiLevelType w:val="hybridMultilevel"/>
    <w:tmpl w:val="8ECCCEB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4647B45"/>
    <w:multiLevelType w:val="hybridMultilevel"/>
    <w:tmpl w:val="86E8E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DC5675"/>
    <w:multiLevelType w:val="hybridMultilevel"/>
    <w:tmpl w:val="AA6C6BC0"/>
    <w:lvl w:ilvl="0" w:tplc="80802F18">
      <w:start w:val="1"/>
      <w:numFmt w:val="bullet"/>
      <w:lvlText w:val=""/>
      <w:lvlJc w:val="left"/>
      <w:pPr>
        <w:tabs>
          <w:tab w:val="num" w:pos="568"/>
        </w:tabs>
        <w:ind w:left="568" w:hanging="284"/>
      </w:pPr>
      <w:rPr>
        <w:rFonts w:ascii="Symbol" w:hAnsi="Symbol" w:hint="default"/>
        <w:sz w:val="20"/>
      </w:rPr>
    </w:lvl>
    <w:lvl w:ilvl="1" w:tplc="0C090003">
      <w:start w:val="1"/>
      <w:numFmt w:val="bullet"/>
      <w:lvlText w:val="o"/>
      <w:lvlJc w:val="left"/>
      <w:pPr>
        <w:tabs>
          <w:tab w:val="num" w:pos="1724"/>
        </w:tabs>
        <w:ind w:left="1724" w:hanging="360"/>
      </w:pPr>
      <w:rPr>
        <w:rFonts w:ascii="Courier New" w:hAnsi="Courier New" w:hint="default"/>
      </w:rPr>
    </w:lvl>
    <w:lvl w:ilvl="2" w:tplc="A63838BC">
      <w:start w:val="333"/>
      <w:numFmt w:val="bullet"/>
      <w:lvlText w:val="-"/>
      <w:lvlJc w:val="left"/>
      <w:pPr>
        <w:tabs>
          <w:tab w:val="num" w:pos="2444"/>
        </w:tabs>
        <w:ind w:left="2444" w:hanging="360"/>
      </w:pPr>
      <w:rPr>
        <w:rFonts w:ascii="Times New Roman" w:eastAsia="Times New Roman" w:hAnsi="Times New Roman"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4921379B"/>
    <w:multiLevelType w:val="hybridMultilevel"/>
    <w:tmpl w:val="D894619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493986"/>
    <w:multiLevelType w:val="hybridMultilevel"/>
    <w:tmpl w:val="15E69258"/>
    <w:lvl w:ilvl="0" w:tplc="C04EE04A">
      <w:start w:val="1"/>
      <w:numFmt w:val="bullet"/>
      <w:lvlText w:val=""/>
      <w:lvlJc w:val="left"/>
      <w:pPr>
        <w:ind w:left="760" w:hanging="40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503243"/>
    <w:multiLevelType w:val="hybridMultilevel"/>
    <w:tmpl w:val="0F6C1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7C52DC4"/>
    <w:multiLevelType w:val="hybridMultilevel"/>
    <w:tmpl w:val="ECCCEE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C255A31"/>
    <w:multiLevelType w:val="hybridMultilevel"/>
    <w:tmpl w:val="8C6ECC14"/>
    <w:lvl w:ilvl="0" w:tplc="0C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3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9"/>
  </w:num>
  <w:num w:numId="5">
    <w:abstractNumId w:val="2"/>
  </w:num>
  <w:num w:numId="6">
    <w:abstractNumId w:val="3"/>
  </w:num>
  <w:num w:numId="7">
    <w:abstractNumId w:val="0"/>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5627A40-E540-4B37-9550-0FA3A1421B0D}"/>
    <w:docVar w:name="dgnword-eventsink" w:val="357883360"/>
  </w:docVars>
  <w:rsids>
    <w:rsidRoot w:val="001D483B"/>
    <w:rsid w:val="000363EF"/>
    <w:rsid w:val="00050933"/>
    <w:rsid w:val="00074758"/>
    <w:rsid w:val="000F05EB"/>
    <w:rsid w:val="001240E3"/>
    <w:rsid w:val="0013275B"/>
    <w:rsid w:val="001861BB"/>
    <w:rsid w:val="001D483B"/>
    <w:rsid w:val="00242852"/>
    <w:rsid w:val="00280050"/>
    <w:rsid w:val="00320C79"/>
    <w:rsid w:val="003231FC"/>
    <w:rsid w:val="00337B2B"/>
    <w:rsid w:val="003476A1"/>
    <w:rsid w:val="00357AC9"/>
    <w:rsid w:val="003908E7"/>
    <w:rsid w:val="003C3F1A"/>
    <w:rsid w:val="00452EEA"/>
    <w:rsid w:val="00461F7A"/>
    <w:rsid w:val="004903B7"/>
    <w:rsid w:val="004E18EC"/>
    <w:rsid w:val="00562E20"/>
    <w:rsid w:val="0056563D"/>
    <w:rsid w:val="00646406"/>
    <w:rsid w:val="0071518F"/>
    <w:rsid w:val="0087673F"/>
    <w:rsid w:val="00886AE1"/>
    <w:rsid w:val="008B64B0"/>
    <w:rsid w:val="008E124C"/>
    <w:rsid w:val="008F4B1D"/>
    <w:rsid w:val="00941AD6"/>
    <w:rsid w:val="009E6E3E"/>
    <w:rsid w:val="00A46F01"/>
    <w:rsid w:val="00AC3424"/>
    <w:rsid w:val="00AE311D"/>
    <w:rsid w:val="00AE7772"/>
    <w:rsid w:val="00B467DF"/>
    <w:rsid w:val="00C4036A"/>
    <w:rsid w:val="00C43446"/>
    <w:rsid w:val="00CC30D9"/>
    <w:rsid w:val="00D71E84"/>
    <w:rsid w:val="00D97C9F"/>
    <w:rsid w:val="00DE186E"/>
    <w:rsid w:val="00E21DBD"/>
    <w:rsid w:val="00E37C8F"/>
    <w:rsid w:val="00E7073C"/>
    <w:rsid w:val="00EE0B45"/>
    <w:rsid w:val="00F14D6C"/>
    <w:rsid w:val="00F444BC"/>
    <w:rsid w:val="00F77164"/>
    <w:rsid w:val="00FF2B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BEEE"/>
  <w15:chartTrackingRefBased/>
  <w15:docId w15:val="{0B8798A0-1A3E-4E24-9CF2-0502EDC7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3B"/>
    <w:pPr>
      <w:spacing w:after="0" w:line="240" w:lineRule="auto"/>
    </w:pPr>
    <w:rPr>
      <w:rFonts w:ascii="Tms Rmn" w:eastAsia="Times New Roman" w:hAnsi="Tms Rmn"/>
      <w:szCs w:val="20"/>
      <w:lang w:eastAsia="en-AU"/>
    </w:rPr>
  </w:style>
  <w:style w:type="paragraph" w:styleId="Heading1">
    <w:name w:val="heading 1"/>
    <w:basedOn w:val="Normal"/>
    <w:next w:val="Normal"/>
    <w:link w:val="Heading1Char"/>
    <w:qFormat/>
    <w:rsid w:val="001D483B"/>
    <w:pPr>
      <w:keepNext/>
      <w:jc w:val="center"/>
      <w:outlineLvl w:val="0"/>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483B"/>
    <w:rPr>
      <w:rFonts w:eastAsia="Times New Roman"/>
      <w:b/>
      <w:szCs w:val="20"/>
      <w:u w:val="single"/>
      <w:lang w:eastAsia="en-AU"/>
    </w:rPr>
  </w:style>
  <w:style w:type="paragraph" w:styleId="ListParagraph">
    <w:name w:val="List Paragraph"/>
    <w:basedOn w:val="Normal"/>
    <w:uiPriority w:val="34"/>
    <w:qFormat/>
    <w:rsid w:val="001D483B"/>
    <w:pPr>
      <w:ind w:left="720"/>
      <w:contextualSpacing/>
    </w:pPr>
  </w:style>
  <w:style w:type="paragraph" w:styleId="BodyText">
    <w:name w:val="Body Text"/>
    <w:basedOn w:val="Normal"/>
    <w:link w:val="BodyTextChar"/>
    <w:rsid w:val="001D483B"/>
    <w:rPr>
      <w:rFonts w:ascii="Times New Roman" w:hAnsi="Times New Roman"/>
      <w:b/>
    </w:rPr>
  </w:style>
  <w:style w:type="character" w:customStyle="1" w:styleId="BodyTextChar">
    <w:name w:val="Body Text Char"/>
    <w:basedOn w:val="DefaultParagraphFont"/>
    <w:link w:val="BodyText"/>
    <w:rsid w:val="001D483B"/>
    <w:rPr>
      <w:rFonts w:eastAsia="Times New Roman"/>
      <w:b/>
      <w:szCs w:val="20"/>
      <w:lang w:eastAsia="en-AU"/>
    </w:rPr>
  </w:style>
  <w:style w:type="paragraph" w:customStyle="1" w:styleId="H3">
    <w:name w:val="H3"/>
    <w:basedOn w:val="Normal"/>
    <w:next w:val="Normal"/>
    <w:rsid w:val="001D483B"/>
    <w:pPr>
      <w:keepNext/>
      <w:spacing w:before="100" w:after="100"/>
      <w:outlineLvl w:val="3"/>
    </w:pPr>
    <w:rPr>
      <w:rFonts w:ascii="Times New Roman" w:hAnsi="Times New Roman"/>
      <w:b/>
      <w:bCs/>
      <w:sz w:val="28"/>
      <w:szCs w:val="28"/>
      <w:lang w:eastAsia="en-US"/>
    </w:rPr>
  </w:style>
  <w:style w:type="paragraph" w:styleId="Footer">
    <w:name w:val="footer"/>
    <w:basedOn w:val="Normal"/>
    <w:link w:val="FooterChar"/>
    <w:uiPriority w:val="99"/>
    <w:unhideWhenUsed/>
    <w:rsid w:val="001D483B"/>
    <w:pPr>
      <w:tabs>
        <w:tab w:val="center" w:pos="4513"/>
        <w:tab w:val="right" w:pos="9026"/>
      </w:tabs>
    </w:pPr>
  </w:style>
  <w:style w:type="character" w:customStyle="1" w:styleId="FooterChar">
    <w:name w:val="Footer Char"/>
    <w:basedOn w:val="DefaultParagraphFont"/>
    <w:link w:val="Footer"/>
    <w:uiPriority w:val="99"/>
    <w:rsid w:val="001D483B"/>
    <w:rPr>
      <w:rFonts w:ascii="Tms Rmn" w:eastAsia="Times New Roman" w:hAnsi="Tms Rmn"/>
      <w:szCs w:val="20"/>
      <w:lang w:eastAsia="en-AU"/>
    </w:rPr>
  </w:style>
  <w:style w:type="character" w:styleId="CommentReference">
    <w:name w:val="annotation reference"/>
    <w:basedOn w:val="DefaultParagraphFont"/>
    <w:uiPriority w:val="99"/>
    <w:semiHidden/>
    <w:unhideWhenUsed/>
    <w:rsid w:val="001D483B"/>
    <w:rPr>
      <w:sz w:val="16"/>
      <w:szCs w:val="16"/>
    </w:rPr>
  </w:style>
  <w:style w:type="paragraph" w:styleId="CommentText">
    <w:name w:val="annotation text"/>
    <w:basedOn w:val="Normal"/>
    <w:link w:val="CommentTextChar"/>
    <w:uiPriority w:val="99"/>
    <w:semiHidden/>
    <w:unhideWhenUsed/>
    <w:rsid w:val="001D483B"/>
    <w:rPr>
      <w:sz w:val="20"/>
    </w:rPr>
  </w:style>
  <w:style w:type="character" w:customStyle="1" w:styleId="CommentTextChar">
    <w:name w:val="Comment Text Char"/>
    <w:basedOn w:val="DefaultParagraphFont"/>
    <w:link w:val="CommentText"/>
    <w:uiPriority w:val="99"/>
    <w:semiHidden/>
    <w:rsid w:val="001D483B"/>
    <w:rPr>
      <w:rFonts w:ascii="Tms Rmn" w:eastAsia="Times New Roman" w:hAnsi="Tms Rmn"/>
      <w:sz w:val="20"/>
      <w:szCs w:val="20"/>
      <w:lang w:eastAsia="en-AU"/>
    </w:rPr>
  </w:style>
  <w:style w:type="paragraph" w:styleId="BalloonText">
    <w:name w:val="Balloon Text"/>
    <w:basedOn w:val="Normal"/>
    <w:link w:val="BalloonTextChar"/>
    <w:uiPriority w:val="99"/>
    <w:semiHidden/>
    <w:unhideWhenUsed/>
    <w:rsid w:val="001D4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3B"/>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8B64B0"/>
    <w:rPr>
      <w:b/>
      <w:bCs/>
    </w:rPr>
  </w:style>
  <w:style w:type="character" w:customStyle="1" w:styleId="CommentSubjectChar">
    <w:name w:val="Comment Subject Char"/>
    <w:basedOn w:val="CommentTextChar"/>
    <w:link w:val="CommentSubject"/>
    <w:uiPriority w:val="99"/>
    <w:semiHidden/>
    <w:rsid w:val="008B64B0"/>
    <w:rPr>
      <w:rFonts w:ascii="Tms Rmn" w:eastAsia="Times New Roman" w:hAnsi="Tms Rmn"/>
      <w:b/>
      <w:bCs/>
      <w:sz w:val="20"/>
      <w:szCs w:val="20"/>
      <w:lang w:eastAsia="en-AU"/>
    </w:rPr>
  </w:style>
  <w:style w:type="character" w:styleId="Hyperlink">
    <w:name w:val="Hyperlink"/>
    <w:basedOn w:val="DefaultParagraphFont"/>
    <w:uiPriority w:val="99"/>
    <w:unhideWhenUsed/>
    <w:rsid w:val="00EE0B45"/>
    <w:rPr>
      <w:color w:val="0563C1" w:themeColor="hyperlink"/>
      <w:u w:val="single"/>
    </w:rPr>
  </w:style>
  <w:style w:type="paragraph" w:styleId="Revision">
    <w:name w:val="Revision"/>
    <w:hidden/>
    <w:uiPriority w:val="99"/>
    <w:semiHidden/>
    <w:rsid w:val="00886AE1"/>
    <w:pPr>
      <w:spacing w:after="0" w:line="240" w:lineRule="auto"/>
    </w:pPr>
    <w:rPr>
      <w:rFonts w:ascii="Tms Rmn" w:eastAsia="Times New Roman" w:hAnsi="Tms Rmn"/>
      <w:szCs w:val="20"/>
      <w:lang w:eastAsia="en-AU"/>
    </w:rPr>
  </w:style>
  <w:style w:type="character" w:styleId="FollowedHyperlink">
    <w:name w:val="FollowedHyperlink"/>
    <w:basedOn w:val="DefaultParagraphFont"/>
    <w:uiPriority w:val="99"/>
    <w:semiHidden/>
    <w:unhideWhenUsed/>
    <w:rsid w:val="00357AC9"/>
    <w:rPr>
      <w:color w:val="954F72" w:themeColor="followedHyperlink"/>
      <w:u w:val="single"/>
    </w:rPr>
  </w:style>
  <w:style w:type="paragraph" w:styleId="NormalWeb">
    <w:name w:val="Normal (Web)"/>
    <w:basedOn w:val="Normal"/>
    <w:uiPriority w:val="99"/>
    <w:unhideWhenUsed/>
    <w:rsid w:val="00AE7772"/>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939581">
      <w:bodyDiv w:val="1"/>
      <w:marLeft w:val="0"/>
      <w:marRight w:val="0"/>
      <w:marTop w:val="0"/>
      <w:marBottom w:val="0"/>
      <w:divBdr>
        <w:top w:val="none" w:sz="0" w:space="0" w:color="auto"/>
        <w:left w:val="none" w:sz="0" w:space="0" w:color="auto"/>
        <w:bottom w:val="none" w:sz="0" w:space="0" w:color="auto"/>
        <w:right w:val="none" w:sz="0" w:space="0" w:color="auto"/>
      </w:divBdr>
      <w:divsChild>
        <w:div w:id="358363393">
          <w:marLeft w:val="0"/>
          <w:marRight w:val="0"/>
          <w:marTop w:val="0"/>
          <w:marBottom w:val="0"/>
          <w:divBdr>
            <w:top w:val="none" w:sz="0" w:space="0" w:color="auto"/>
            <w:left w:val="none" w:sz="0" w:space="0" w:color="auto"/>
            <w:bottom w:val="none" w:sz="0" w:space="0" w:color="auto"/>
            <w:right w:val="none" w:sz="0" w:space="0" w:color="auto"/>
          </w:divBdr>
          <w:divsChild>
            <w:div w:id="1717241647">
              <w:marLeft w:val="0"/>
              <w:marRight w:val="0"/>
              <w:marTop w:val="0"/>
              <w:marBottom w:val="0"/>
              <w:divBdr>
                <w:top w:val="none" w:sz="0" w:space="0" w:color="auto"/>
                <w:left w:val="none" w:sz="0" w:space="0" w:color="auto"/>
                <w:bottom w:val="none" w:sz="0" w:space="0" w:color="auto"/>
                <w:right w:val="none" w:sz="0" w:space="0" w:color="auto"/>
              </w:divBdr>
              <w:divsChild>
                <w:div w:id="1080714313">
                  <w:marLeft w:val="0"/>
                  <w:marRight w:val="0"/>
                  <w:marTop w:val="0"/>
                  <w:marBottom w:val="0"/>
                  <w:divBdr>
                    <w:top w:val="none" w:sz="0" w:space="0" w:color="auto"/>
                    <w:left w:val="none" w:sz="0" w:space="0" w:color="auto"/>
                    <w:bottom w:val="none" w:sz="0" w:space="0" w:color="auto"/>
                    <w:right w:val="none" w:sz="0" w:space="0" w:color="auto"/>
                  </w:divBdr>
                  <w:divsChild>
                    <w:div w:id="895894855">
                      <w:marLeft w:val="0"/>
                      <w:marRight w:val="0"/>
                      <w:marTop w:val="0"/>
                      <w:marBottom w:val="0"/>
                      <w:divBdr>
                        <w:top w:val="none" w:sz="0" w:space="0" w:color="auto"/>
                        <w:left w:val="none" w:sz="0" w:space="0" w:color="auto"/>
                        <w:bottom w:val="none" w:sz="0" w:space="0" w:color="auto"/>
                        <w:right w:val="none" w:sz="0" w:space="0" w:color="auto"/>
                      </w:divBdr>
                      <w:divsChild>
                        <w:div w:id="269244133">
                          <w:marLeft w:val="0"/>
                          <w:marRight w:val="0"/>
                          <w:marTop w:val="0"/>
                          <w:marBottom w:val="0"/>
                          <w:divBdr>
                            <w:top w:val="none" w:sz="0" w:space="0" w:color="auto"/>
                            <w:left w:val="none" w:sz="0" w:space="0" w:color="auto"/>
                            <w:bottom w:val="none" w:sz="0" w:space="0" w:color="auto"/>
                            <w:right w:val="none" w:sz="0" w:space="0" w:color="auto"/>
                          </w:divBdr>
                          <w:divsChild>
                            <w:div w:id="686249874">
                              <w:marLeft w:val="0"/>
                              <w:marRight w:val="0"/>
                              <w:marTop w:val="0"/>
                              <w:marBottom w:val="0"/>
                              <w:divBdr>
                                <w:top w:val="none" w:sz="0" w:space="0" w:color="auto"/>
                                <w:left w:val="none" w:sz="0" w:space="0" w:color="auto"/>
                                <w:bottom w:val="none" w:sz="0" w:space="0" w:color="auto"/>
                                <w:right w:val="none" w:sz="0" w:space="0" w:color="auto"/>
                              </w:divBdr>
                              <w:divsChild>
                                <w:div w:id="1521430506">
                                  <w:marLeft w:val="0"/>
                                  <w:marRight w:val="0"/>
                                  <w:marTop w:val="0"/>
                                  <w:marBottom w:val="0"/>
                                  <w:divBdr>
                                    <w:top w:val="none" w:sz="0" w:space="0" w:color="auto"/>
                                    <w:left w:val="none" w:sz="0" w:space="0" w:color="auto"/>
                                    <w:bottom w:val="none" w:sz="0" w:space="0" w:color="auto"/>
                                    <w:right w:val="none" w:sz="0" w:space="0" w:color="auto"/>
                                  </w:divBdr>
                                  <w:divsChild>
                                    <w:div w:id="876746836">
                                      <w:marLeft w:val="0"/>
                                      <w:marRight w:val="0"/>
                                      <w:marTop w:val="0"/>
                                      <w:marBottom w:val="0"/>
                                      <w:divBdr>
                                        <w:top w:val="none" w:sz="0" w:space="0" w:color="auto"/>
                                        <w:left w:val="none" w:sz="0" w:space="0" w:color="auto"/>
                                        <w:bottom w:val="none" w:sz="0" w:space="0" w:color="auto"/>
                                        <w:right w:val="none" w:sz="0" w:space="0" w:color="auto"/>
                                      </w:divBdr>
                                      <w:divsChild>
                                        <w:div w:id="614367159">
                                          <w:marLeft w:val="0"/>
                                          <w:marRight w:val="0"/>
                                          <w:marTop w:val="0"/>
                                          <w:marBottom w:val="0"/>
                                          <w:divBdr>
                                            <w:top w:val="none" w:sz="0" w:space="0" w:color="auto"/>
                                            <w:left w:val="none" w:sz="0" w:space="0" w:color="auto"/>
                                            <w:bottom w:val="none" w:sz="0" w:space="0" w:color="auto"/>
                                            <w:right w:val="none" w:sz="0" w:space="0" w:color="auto"/>
                                          </w:divBdr>
                                          <w:divsChild>
                                            <w:div w:id="49230255">
                                              <w:marLeft w:val="0"/>
                                              <w:marRight w:val="0"/>
                                              <w:marTop w:val="0"/>
                                              <w:marBottom w:val="0"/>
                                              <w:divBdr>
                                                <w:top w:val="none" w:sz="0" w:space="0" w:color="auto"/>
                                                <w:left w:val="none" w:sz="0" w:space="0" w:color="auto"/>
                                                <w:bottom w:val="none" w:sz="0" w:space="0" w:color="auto"/>
                                                <w:right w:val="none" w:sz="0" w:space="0" w:color="auto"/>
                                              </w:divBdr>
                                              <w:divsChild>
                                                <w:div w:id="947586632">
                                                  <w:marLeft w:val="0"/>
                                                  <w:marRight w:val="0"/>
                                                  <w:marTop w:val="0"/>
                                                  <w:marBottom w:val="0"/>
                                                  <w:divBdr>
                                                    <w:top w:val="none" w:sz="0" w:space="0" w:color="auto"/>
                                                    <w:left w:val="none" w:sz="0" w:space="0" w:color="auto"/>
                                                    <w:bottom w:val="none" w:sz="0" w:space="0" w:color="auto"/>
                                                    <w:right w:val="none" w:sz="0" w:space="0" w:color="auto"/>
                                                  </w:divBdr>
                                                  <w:divsChild>
                                                    <w:div w:id="109471292">
                                                      <w:marLeft w:val="0"/>
                                                      <w:marRight w:val="0"/>
                                                      <w:marTop w:val="0"/>
                                                      <w:marBottom w:val="0"/>
                                                      <w:divBdr>
                                                        <w:top w:val="none" w:sz="0" w:space="0" w:color="auto"/>
                                                        <w:left w:val="none" w:sz="0" w:space="0" w:color="auto"/>
                                                        <w:bottom w:val="none" w:sz="0" w:space="0" w:color="auto"/>
                                                        <w:right w:val="none" w:sz="0" w:space="0" w:color="auto"/>
                                                      </w:divBdr>
                                                      <w:divsChild>
                                                        <w:div w:id="211269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85745754">
      <w:bodyDiv w:val="1"/>
      <w:marLeft w:val="0"/>
      <w:marRight w:val="0"/>
      <w:marTop w:val="0"/>
      <w:marBottom w:val="0"/>
      <w:divBdr>
        <w:top w:val="none" w:sz="0" w:space="0" w:color="auto"/>
        <w:left w:val="none" w:sz="0" w:space="0" w:color="auto"/>
        <w:bottom w:val="none" w:sz="0" w:space="0" w:color="auto"/>
        <w:right w:val="none" w:sz="0" w:space="0" w:color="auto"/>
      </w:divBdr>
      <w:divsChild>
        <w:div w:id="452671210">
          <w:marLeft w:val="0"/>
          <w:marRight w:val="0"/>
          <w:marTop w:val="0"/>
          <w:marBottom w:val="0"/>
          <w:divBdr>
            <w:top w:val="none" w:sz="0" w:space="0" w:color="auto"/>
            <w:left w:val="none" w:sz="0" w:space="0" w:color="auto"/>
            <w:bottom w:val="none" w:sz="0" w:space="0" w:color="auto"/>
            <w:right w:val="none" w:sz="0" w:space="0" w:color="auto"/>
          </w:divBdr>
          <w:divsChild>
            <w:div w:id="933708568">
              <w:marLeft w:val="0"/>
              <w:marRight w:val="0"/>
              <w:marTop w:val="0"/>
              <w:marBottom w:val="0"/>
              <w:divBdr>
                <w:top w:val="none" w:sz="0" w:space="0" w:color="auto"/>
                <w:left w:val="none" w:sz="0" w:space="0" w:color="auto"/>
                <w:bottom w:val="none" w:sz="0" w:space="0" w:color="auto"/>
                <w:right w:val="none" w:sz="0" w:space="0" w:color="auto"/>
              </w:divBdr>
              <w:divsChild>
                <w:div w:id="303124113">
                  <w:marLeft w:val="0"/>
                  <w:marRight w:val="0"/>
                  <w:marTop w:val="0"/>
                  <w:marBottom w:val="0"/>
                  <w:divBdr>
                    <w:top w:val="none" w:sz="0" w:space="0" w:color="auto"/>
                    <w:left w:val="none" w:sz="0" w:space="0" w:color="auto"/>
                    <w:bottom w:val="none" w:sz="0" w:space="0" w:color="auto"/>
                    <w:right w:val="none" w:sz="0" w:space="0" w:color="auto"/>
                  </w:divBdr>
                  <w:divsChild>
                    <w:div w:id="1300653197">
                      <w:marLeft w:val="0"/>
                      <w:marRight w:val="0"/>
                      <w:marTop w:val="0"/>
                      <w:marBottom w:val="0"/>
                      <w:divBdr>
                        <w:top w:val="none" w:sz="0" w:space="0" w:color="auto"/>
                        <w:left w:val="none" w:sz="0" w:space="0" w:color="auto"/>
                        <w:bottom w:val="none" w:sz="0" w:space="0" w:color="auto"/>
                        <w:right w:val="none" w:sz="0" w:space="0" w:color="auto"/>
                      </w:divBdr>
                      <w:divsChild>
                        <w:div w:id="961419278">
                          <w:marLeft w:val="0"/>
                          <w:marRight w:val="0"/>
                          <w:marTop w:val="0"/>
                          <w:marBottom w:val="0"/>
                          <w:divBdr>
                            <w:top w:val="none" w:sz="0" w:space="0" w:color="auto"/>
                            <w:left w:val="none" w:sz="0" w:space="0" w:color="auto"/>
                            <w:bottom w:val="none" w:sz="0" w:space="0" w:color="auto"/>
                            <w:right w:val="none" w:sz="0" w:space="0" w:color="auto"/>
                          </w:divBdr>
                          <w:divsChild>
                            <w:div w:id="359160963">
                              <w:marLeft w:val="0"/>
                              <w:marRight w:val="0"/>
                              <w:marTop w:val="0"/>
                              <w:marBottom w:val="0"/>
                              <w:divBdr>
                                <w:top w:val="none" w:sz="0" w:space="0" w:color="auto"/>
                                <w:left w:val="none" w:sz="0" w:space="0" w:color="auto"/>
                                <w:bottom w:val="none" w:sz="0" w:space="0" w:color="auto"/>
                                <w:right w:val="none" w:sz="0" w:space="0" w:color="auto"/>
                              </w:divBdr>
                              <w:divsChild>
                                <w:div w:id="279723173">
                                  <w:marLeft w:val="0"/>
                                  <w:marRight w:val="0"/>
                                  <w:marTop w:val="0"/>
                                  <w:marBottom w:val="0"/>
                                  <w:divBdr>
                                    <w:top w:val="none" w:sz="0" w:space="0" w:color="auto"/>
                                    <w:left w:val="none" w:sz="0" w:space="0" w:color="auto"/>
                                    <w:bottom w:val="none" w:sz="0" w:space="0" w:color="auto"/>
                                    <w:right w:val="none" w:sz="0" w:space="0" w:color="auto"/>
                                  </w:divBdr>
                                  <w:divsChild>
                                    <w:div w:id="1737968402">
                                      <w:marLeft w:val="0"/>
                                      <w:marRight w:val="0"/>
                                      <w:marTop w:val="0"/>
                                      <w:marBottom w:val="0"/>
                                      <w:divBdr>
                                        <w:top w:val="none" w:sz="0" w:space="0" w:color="auto"/>
                                        <w:left w:val="none" w:sz="0" w:space="0" w:color="auto"/>
                                        <w:bottom w:val="none" w:sz="0" w:space="0" w:color="auto"/>
                                        <w:right w:val="none" w:sz="0" w:space="0" w:color="auto"/>
                                      </w:divBdr>
                                      <w:divsChild>
                                        <w:div w:id="757942139">
                                          <w:marLeft w:val="0"/>
                                          <w:marRight w:val="0"/>
                                          <w:marTop w:val="0"/>
                                          <w:marBottom w:val="0"/>
                                          <w:divBdr>
                                            <w:top w:val="none" w:sz="0" w:space="0" w:color="auto"/>
                                            <w:left w:val="none" w:sz="0" w:space="0" w:color="auto"/>
                                            <w:bottom w:val="none" w:sz="0" w:space="0" w:color="auto"/>
                                            <w:right w:val="none" w:sz="0" w:space="0" w:color="auto"/>
                                          </w:divBdr>
                                          <w:divsChild>
                                            <w:div w:id="1967547093">
                                              <w:marLeft w:val="0"/>
                                              <w:marRight w:val="0"/>
                                              <w:marTop w:val="0"/>
                                              <w:marBottom w:val="0"/>
                                              <w:divBdr>
                                                <w:top w:val="none" w:sz="0" w:space="0" w:color="auto"/>
                                                <w:left w:val="none" w:sz="0" w:space="0" w:color="auto"/>
                                                <w:bottom w:val="none" w:sz="0" w:space="0" w:color="auto"/>
                                                <w:right w:val="none" w:sz="0" w:space="0" w:color="auto"/>
                                              </w:divBdr>
                                              <w:divsChild>
                                                <w:div w:id="156700529">
                                                  <w:marLeft w:val="0"/>
                                                  <w:marRight w:val="0"/>
                                                  <w:marTop w:val="0"/>
                                                  <w:marBottom w:val="0"/>
                                                  <w:divBdr>
                                                    <w:top w:val="none" w:sz="0" w:space="0" w:color="auto"/>
                                                    <w:left w:val="none" w:sz="0" w:space="0" w:color="auto"/>
                                                    <w:bottom w:val="none" w:sz="0" w:space="0" w:color="auto"/>
                                                    <w:right w:val="none" w:sz="0" w:space="0" w:color="auto"/>
                                                  </w:divBdr>
                                                  <w:divsChild>
                                                    <w:div w:id="361440772">
                                                      <w:marLeft w:val="0"/>
                                                      <w:marRight w:val="0"/>
                                                      <w:marTop w:val="0"/>
                                                      <w:marBottom w:val="0"/>
                                                      <w:divBdr>
                                                        <w:top w:val="none" w:sz="0" w:space="0" w:color="auto"/>
                                                        <w:left w:val="none" w:sz="0" w:space="0" w:color="auto"/>
                                                        <w:bottom w:val="none" w:sz="0" w:space="0" w:color="auto"/>
                                                        <w:right w:val="none" w:sz="0" w:space="0" w:color="auto"/>
                                                      </w:divBdr>
                                                      <w:divsChild>
                                                        <w:div w:id="10031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8993288">
      <w:bodyDiv w:val="1"/>
      <w:marLeft w:val="0"/>
      <w:marRight w:val="0"/>
      <w:marTop w:val="0"/>
      <w:marBottom w:val="0"/>
      <w:divBdr>
        <w:top w:val="none" w:sz="0" w:space="0" w:color="auto"/>
        <w:left w:val="none" w:sz="0" w:space="0" w:color="auto"/>
        <w:bottom w:val="none" w:sz="0" w:space="0" w:color="auto"/>
        <w:right w:val="none" w:sz="0" w:space="0" w:color="auto"/>
      </w:divBdr>
      <w:divsChild>
        <w:div w:id="1061634635">
          <w:marLeft w:val="0"/>
          <w:marRight w:val="0"/>
          <w:marTop w:val="0"/>
          <w:marBottom w:val="0"/>
          <w:divBdr>
            <w:top w:val="none" w:sz="0" w:space="0" w:color="auto"/>
            <w:left w:val="none" w:sz="0" w:space="0" w:color="auto"/>
            <w:bottom w:val="none" w:sz="0" w:space="0" w:color="auto"/>
            <w:right w:val="none" w:sz="0" w:space="0" w:color="auto"/>
          </w:divBdr>
          <w:divsChild>
            <w:div w:id="329256179">
              <w:marLeft w:val="0"/>
              <w:marRight w:val="0"/>
              <w:marTop w:val="0"/>
              <w:marBottom w:val="0"/>
              <w:divBdr>
                <w:top w:val="none" w:sz="0" w:space="0" w:color="auto"/>
                <w:left w:val="none" w:sz="0" w:space="0" w:color="auto"/>
                <w:bottom w:val="none" w:sz="0" w:space="0" w:color="auto"/>
                <w:right w:val="none" w:sz="0" w:space="0" w:color="auto"/>
              </w:divBdr>
              <w:divsChild>
                <w:div w:id="1081492252">
                  <w:marLeft w:val="0"/>
                  <w:marRight w:val="0"/>
                  <w:marTop w:val="0"/>
                  <w:marBottom w:val="0"/>
                  <w:divBdr>
                    <w:top w:val="none" w:sz="0" w:space="0" w:color="auto"/>
                    <w:left w:val="none" w:sz="0" w:space="0" w:color="auto"/>
                    <w:bottom w:val="none" w:sz="0" w:space="0" w:color="auto"/>
                    <w:right w:val="none" w:sz="0" w:space="0" w:color="auto"/>
                  </w:divBdr>
                  <w:divsChild>
                    <w:div w:id="47534588">
                      <w:marLeft w:val="0"/>
                      <w:marRight w:val="0"/>
                      <w:marTop w:val="0"/>
                      <w:marBottom w:val="0"/>
                      <w:divBdr>
                        <w:top w:val="none" w:sz="0" w:space="0" w:color="auto"/>
                        <w:left w:val="none" w:sz="0" w:space="0" w:color="auto"/>
                        <w:bottom w:val="none" w:sz="0" w:space="0" w:color="auto"/>
                        <w:right w:val="none" w:sz="0" w:space="0" w:color="auto"/>
                      </w:divBdr>
                      <w:divsChild>
                        <w:div w:id="1574388047">
                          <w:marLeft w:val="0"/>
                          <w:marRight w:val="0"/>
                          <w:marTop w:val="0"/>
                          <w:marBottom w:val="0"/>
                          <w:divBdr>
                            <w:top w:val="none" w:sz="0" w:space="0" w:color="auto"/>
                            <w:left w:val="none" w:sz="0" w:space="0" w:color="auto"/>
                            <w:bottom w:val="none" w:sz="0" w:space="0" w:color="auto"/>
                            <w:right w:val="none" w:sz="0" w:space="0" w:color="auto"/>
                          </w:divBdr>
                          <w:divsChild>
                            <w:div w:id="1624069932">
                              <w:marLeft w:val="0"/>
                              <w:marRight w:val="0"/>
                              <w:marTop w:val="0"/>
                              <w:marBottom w:val="0"/>
                              <w:divBdr>
                                <w:top w:val="none" w:sz="0" w:space="0" w:color="auto"/>
                                <w:left w:val="none" w:sz="0" w:space="0" w:color="auto"/>
                                <w:bottom w:val="none" w:sz="0" w:space="0" w:color="auto"/>
                                <w:right w:val="none" w:sz="0" w:space="0" w:color="auto"/>
                              </w:divBdr>
                              <w:divsChild>
                                <w:div w:id="146897624">
                                  <w:marLeft w:val="0"/>
                                  <w:marRight w:val="0"/>
                                  <w:marTop w:val="0"/>
                                  <w:marBottom w:val="0"/>
                                  <w:divBdr>
                                    <w:top w:val="none" w:sz="0" w:space="0" w:color="auto"/>
                                    <w:left w:val="none" w:sz="0" w:space="0" w:color="auto"/>
                                    <w:bottom w:val="none" w:sz="0" w:space="0" w:color="auto"/>
                                    <w:right w:val="none" w:sz="0" w:space="0" w:color="auto"/>
                                  </w:divBdr>
                                  <w:divsChild>
                                    <w:div w:id="1561671767">
                                      <w:marLeft w:val="0"/>
                                      <w:marRight w:val="0"/>
                                      <w:marTop w:val="0"/>
                                      <w:marBottom w:val="0"/>
                                      <w:divBdr>
                                        <w:top w:val="none" w:sz="0" w:space="0" w:color="auto"/>
                                        <w:left w:val="none" w:sz="0" w:space="0" w:color="auto"/>
                                        <w:bottom w:val="none" w:sz="0" w:space="0" w:color="auto"/>
                                        <w:right w:val="none" w:sz="0" w:space="0" w:color="auto"/>
                                      </w:divBdr>
                                      <w:divsChild>
                                        <w:div w:id="1583366835">
                                          <w:marLeft w:val="0"/>
                                          <w:marRight w:val="0"/>
                                          <w:marTop w:val="0"/>
                                          <w:marBottom w:val="0"/>
                                          <w:divBdr>
                                            <w:top w:val="none" w:sz="0" w:space="0" w:color="auto"/>
                                            <w:left w:val="none" w:sz="0" w:space="0" w:color="auto"/>
                                            <w:bottom w:val="none" w:sz="0" w:space="0" w:color="auto"/>
                                            <w:right w:val="none" w:sz="0" w:space="0" w:color="auto"/>
                                          </w:divBdr>
                                          <w:divsChild>
                                            <w:div w:id="713195478">
                                              <w:marLeft w:val="0"/>
                                              <w:marRight w:val="0"/>
                                              <w:marTop w:val="0"/>
                                              <w:marBottom w:val="0"/>
                                              <w:divBdr>
                                                <w:top w:val="none" w:sz="0" w:space="0" w:color="auto"/>
                                                <w:left w:val="none" w:sz="0" w:space="0" w:color="auto"/>
                                                <w:bottom w:val="none" w:sz="0" w:space="0" w:color="auto"/>
                                                <w:right w:val="none" w:sz="0" w:space="0" w:color="auto"/>
                                              </w:divBdr>
                                              <w:divsChild>
                                                <w:div w:id="1352613076">
                                                  <w:marLeft w:val="0"/>
                                                  <w:marRight w:val="0"/>
                                                  <w:marTop w:val="0"/>
                                                  <w:marBottom w:val="0"/>
                                                  <w:divBdr>
                                                    <w:top w:val="none" w:sz="0" w:space="0" w:color="auto"/>
                                                    <w:left w:val="none" w:sz="0" w:space="0" w:color="auto"/>
                                                    <w:bottom w:val="none" w:sz="0" w:space="0" w:color="auto"/>
                                                    <w:right w:val="none" w:sz="0" w:space="0" w:color="auto"/>
                                                  </w:divBdr>
                                                  <w:divsChild>
                                                    <w:div w:id="919219172">
                                                      <w:marLeft w:val="0"/>
                                                      <w:marRight w:val="0"/>
                                                      <w:marTop w:val="0"/>
                                                      <w:marBottom w:val="0"/>
                                                      <w:divBdr>
                                                        <w:top w:val="none" w:sz="0" w:space="0" w:color="auto"/>
                                                        <w:left w:val="none" w:sz="0" w:space="0" w:color="auto"/>
                                                        <w:bottom w:val="none" w:sz="0" w:space="0" w:color="auto"/>
                                                        <w:right w:val="none" w:sz="0" w:space="0" w:color="auto"/>
                                                      </w:divBdr>
                                                      <w:divsChild>
                                                        <w:div w:id="4558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 Arti</dc:creator>
  <cp:keywords/>
  <dc:description/>
  <cp:lastModifiedBy>NG, Jason</cp:lastModifiedBy>
  <cp:revision>11</cp:revision>
  <dcterms:created xsi:type="dcterms:W3CDTF">2021-01-21T05:19:00Z</dcterms:created>
  <dcterms:modified xsi:type="dcterms:W3CDTF">2021-01-25T01:39:00Z</dcterms:modified>
</cp:coreProperties>
</file>