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4C96B" w14:textId="77777777" w:rsidR="00317F31" w:rsidRPr="00601DE7" w:rsidRDefault="00317F31" w:rsidP="00601DE7">
      <w:pPr>
        <w:pStyle w:val="Heading1"/>
      </w:pPr>
      <w:r w:rsidRPr="00601DE7">
        <w:t>EXPLANATORY STATEMENT</w:t>
      </w:r>
    </w:p>
    <w:p w14:paraId="0DF0127F" w14:textId="77777777" w:rsidR="00317F31" w:rsidRDefault="00317F31" w:rsidP="00317F31">
      <w:pPr>
        <w:pStyle w:val="Header"/>
        <w:tabs>
          <w:tab w:val="clear" w:pos="4153"/>
          <w:tab w:val="clear" w:pos="8306"/>
        </w:tabs>
      </w:pPr>
    </w:p>
    <w:p w14:paraId="4E025918" w14:textId="77777777" w:rsidR="00317F31" w:rsidRDefault="00317F31" w:rsidP="00317F31">
      <w:pPr>
        <w:pStyle w:val="Header"/>
        <w:tabs>
          <w:tab w:val="clear" w:pos="4153"/>
          <w:tab w:val="clear" w:pos="8306"/>
        </w:tabs>
      </w:pPr>
    </w:p>
    <w:p w14:paraId="4B20C815" w14:textId="13E7A016" w:rsidR="00317F31" w:rsidRPr="00A01F80" w:rsidRDefault="0001616A" w:rsidP="00317F31">
      <w:pPr>
        <w:pStyle w:val="Header"/>
        <w:tabs>
          <w:tab w:val="clear" w:pos="4153"/>
          <w:tab w:val="clear" w:pos="8306"/>
        </w:tabs>
        <w:jc w:val="center"/>
        <w:rPr>
          <w:b/>
          <w:caps/>
        </w:rPr>
      </w:pPr>
      <w:r>
        <w:rPr>
          <w:b/>
          <w:caps/>
        </w:rPr>
        <w:t>TELECOMMUNICATIONS (CARRIER LICENCE CHARGES) (PARAGRAPH 15(1)(</w:t>
      </w:r>
      <w:r w:rsidRPr="0001616A">
        <w:rPr>
          <w:b/>
        </w:rPr>
        <w:t>d</w:t>
      </w:r>
      <w:r>
        <w:rPr>
          <w:b/>
          <w:caps/>
        </w:rPr>
        <w:t xml:space="preserve">)) DETERMINATION </w:t>
      </w:r>
      <w:r w:rsidR="001E7BEE" w:rsidRPr="00F84608">
        <w:rPr>
          <w:b/>
          <w:caps/>
        </w:rPr>
        <w:t>20</w:t>
      </w:r>
      <w:r w:rsidR="008A40D2">
        <w:rPr>
          <w:b/>
          <w:caps/>
        </w:rPr>
        <w:t>2</w:t>
      </w:r>
      <w:r w:rsidR="003008B8">
        <w:rPr>
          <w:b/>
          <w:caps/>
        </w:rPr>
        <w:t>1</w:t>
      </w:r>
      <w:r w:rsidR="001E7BEE" w:rsidRPr="00EF51FD">
        <w:rPr>
          <w:b/>
          <w:caps/>
        </w:rPr>
        <w:t xml:space="preserve"> </w:t>
      </w:r>
      <w:r w:rsidRPr="00EF51FD">
        <w:rPr>
          <w:b/>
          <w:caps/>
        </w:rPr>
        <w:t>(N</w:t>
      </w:r>
      <w:r w:rsidRPr="00EF51FD">
        <w:rPr>
          <w:b/>
        </w:rPr>
        <w:t>o.</w:t>
      </w:r>
      <w:r w:rsidRPr="00EF51FD">
        <w:rPr>
          <w:b/>
          <w:caps/>
        </w:rPr>
        <w:t xml:space="preserve"> </w:t>
      </w:r>
      <w:r w:rsidR="003008B8">
        <w:rPr>
          <w:b/>
          <w:caps/>
        </w:rPr>
        <w:t>1</w:t>
      </w:r>
      <w:r w:rsidRPr="00EF51FD">
        <w:rPr>
          <w:b/>
          <w:caps/>
        </w:rPr>
        <w:t>)</w:t>
      </w:r>
    </w:p>
    <w:p w14:paraId="43A8A9B7" w14:textId="77777777" w:rsidR="00317F31" w:rsidRDefault="00317F31" w:rsidP="00317F31">
      <w:pPr>
        <w:pStyle w:val="Header"/>
        <w:tabs>
          <w:tab w:val="clear" w:pos="4153"/>
          <w:tab w:val="clear" w:pos="8306"/>
        </w:tabs>
      </w:pPr>
    </w:p>
    <w:p w14:paraId="3883B463" w14:textId="0597F898" w:rsidR="00317F31" w:rsidRDefault="00317F31" w:rsidP="00193B2B">
      <w:pPr>
        <w:pStyle w:val="Header"/>
        <w:tabs>
          <w:tab w:val="clear" w:pos="4153"/>
          <w:tab w:val="clear" w:pos="8306"/>
        </w:tabs>
        <w:jc w:val="center"/>
      </w:pPr>
      <w:r w:rsidRPr="00193B2B">
        <w:t xml:space="preserve">Issued by authority of the Minister for </w:t>
      </w:r>
      <w:r w:rsidR="00372FEA">
        <w:t>Communications</w:t>
      </w:r>
      <w:r w:rsidR="00CC7505">
        <w:t xml:space="preserve">, </w:t>
      </w:r>
      <w:r w:rsidR="00D861A4">
        <w:t>Urban Infrastructure, Cities</w:t>
      </w:r>
      <w:r w:rsidR="005375BD">
        <w:t xml:space="preserve"> </w:t>
      </w:r>
      <w:r w:rsidR="0001616A">
        <w:t>and the Arts</w:t>
      </w:r>
    </w:p>
    <w:p w14:paraId="2FAC0AD0" w14:textId="77777777" w:rsidR="00193B2B" w:rsidRDefault="00193B2B" w:rsidP="00193B2B">
      <w:pPr>
        <w:pStyle w:val="Header"/>
        <w:tabs>
          <w:tab w:val="clear" w:pos="4153"/>
          <w:tab w:val="clear" w:pos="8306"/>
        </w:tabs>
        <w:jc w:val="center"/>
      </w:pPr>
    </w:p>
    <w:p w14:paraId="7627A706" w14:textId="77777777" w:rsidR="00317F31" w:rsidRPr="00601DE7" w:rsidRDefault="008F6569" w:rsidP="00601DE7">
      <w:pPr>
        <w:pStyle w:val="Heading2"/>
      </w:pPr>
      <w:r w:rsidRPr="00601DE7">
        <w:t>Authority</w:t>
      </w:r>
    </w:p>
    <w:p w14:paraId="6A3F8CBC" w14:textId="77777777" w:rsidR="00354EB8" w:rsidRDefault="00354EB8" w:rsidP="00317F31">
      <w:pPr>
        <w:pStyle w:val="Header"/>
        <w:tabs>
          <w:tab w:val="clear" w:pos="4153"/>
          <w:tab w:val="clear" w:pos="8306"/>
        </w:tabs>
      </w:pPr>
    </w:p>
    <w:p w14:paraId="2306F65E" w14:textId="77777777" w:rsidR="00221572" w:rsidRDefault="00221572" w:rsidP="00354EB8">
      <w:pPr>
        <w:pStyle w:val="Header"/>
        <w:tabs>
          <w:tab w:val="clear" w:pos="4153"/>
          <w:tab w:val="clear" w:pos="8306"/>
        </w:tabs>
      </w:pPr>
      <w:r>
        <w:t>The Determination is made under paragraph 15(1)(</w:t>
      </w:r>
      <w:r w:rsidR="00A6023D">
        <w:t>d</w:t>
      </w:r>
      <w:r>
        <w:t xml:space="preserve">) of the </w:t>
      </w:r>
      <w:r>
        <w:rPr>
          <w:i/>
        </w:rPr>
        <w:t>Telecommunications (Carrier Licence Charges) Act 1997</w:t>
      </w:r>
      <w:r>
        <w:t xml:space="preserve"> (the Act).</w:t>
      </w:r>
    </w:p>
    <w:p w14:paraId="5D264778" w14:textId="77777777" w:rsidR="00221572" w:rsidRDefault="00221572" w:rsidP="00354EB8">
      <w:pPr>
        <w:pStyle w:val="Header"/>
        <w:tabs>
          <w:tab w:val="clear" w:pos="4153"/>
          <w:tab w:val="clear" w:pos="8306"/>
        </w:tabs>
      </w:pPr>
    </w:p>
    <w:p w14:paraId="20909FD6" w14:textId="77777777" w:rsidR="00354EB8" w:rsidRDefault="007F538D" w:rsidP="00354EB8">
      <w:pPr>
        <w:pStyle w:val="Header"/>
        <w:tabs>
          <w:tab w:val="clear" w:pos="4153"/>
          <w:tab w:val="clear" w:pos="8306"/>
        </w:tabs>
      </w:pPr>
      <w:r>
        <w:t xml:space="preserve">Section 15 of the </w:t>
      </w:r>
      <w:r w:rsidR="00317F31">
        <w:t xml:space="preserve">Act sets out the method of calculating </w:t>
      </w:r>
      <w:r w:rsidR="00A6023D">
        <w:t xml:space="preserve">the maximum </w:t>
      </w:r>
      <w:r w:rsidR="00317F31">
        <w:t>annual charges that apply to the carrier licences held by telecommunications carriers.</w:t>
      </w:r>
      <w:r w:rsidR="000130D9">
        <w:t xml:space="preserve"> Paragraphs 15(1)(a) to (d) set out the amounts to be used in th</w:t>
      </w:r>
      <w:r w:rsidR="007C23D9">
        <w:t>e</w:t>
      </w:r>
      <w:r w:rsidR="00904E35">
        <w:t xml:space="preserve"> </w:t>
      </w:r>
      <w:r w:rsidR="000130D9">
        <w:t>ca</w:t>
      </w:r>
      <w:r w:rsidR="00354EB8">
        <w:t>l</w:t>
      </w:r>
      <w:r w:rsidR="000130D9">
        <w:t>culation.</w:t>
      </w:r>
    </w:p>
    <w:p w14:paraId="67509507" w14:textId="77777777" w:rsidR="00A01F80" w:rsidRDefault="00A01F80" w:rsidP="00354EB8">
      <w:pPr>
        <w:pStyle w:val="Header"/>
        <w:tabs>
          <w:tab w:val="clear" w:pos="4153"/>
          <w:tab w:val="clear" w:pos="8306"/>
        </w:tabs>
      </w:pPr>
    </w:p>
    <w:p w14:paraId="197227E7" w14:textId="77777777" w:rsidR="001E3900" w:rsidRDefault="00A01F80" w:rsidP="00354EB8">
      <w:pPr>
        <w:pStyle w:val="Header"/>
        <w:tabs>
          <w:tab w:val="clear" w:pos="4153"/>
          <w:tab w:val="clear" w:pos="8306"/>
        </w:tabs>
      </w:pPr>
      <w:r w:rsidRPr="00A01F80">
        <w:t xml:space="preserve">Subsection 15(2) of the Act provides that an instrument under subsection </w:t>
      </w:r>
      <w:r w:rsidR="001E3900">
        <w:t>15</w:t>
      </w:r>
      <w:r w:rsidRPr="00A01F80">
        <w:t>(1) is a legislative instrument.</w:t>
      </w:r>
    </w:p>
    <w:p w14:paraId="4B719425" w14:textId="77777777" w:rsidR="001E3900" w:rsidRDefault="001E3900" w:rsidP="00354EB8">
      <w:pPr>
        <w:pStyle w:val="Header"/>
        <w:tabs>
          <w:tab w:val="clear" w:pos="4153"/>
          <w:tab w:val="clear" w:pos="8306"/>
        </w:tabs>
      </w:pPr>
    </w:p>
    <w:p w14:paraId="5F4D375E" w14:textId="77777777" w:rsidR="001E3900" w:rsidRPr="001E3900" w:rsidRDefault="001E3900" w:rsidP="00354EB8">
      <w:pPr>
        <w:pStyle w:val="Header"/>
        <w:tabs>
          <w:tab w:val="clear" w:pos="4153"/>
          <w:tab w:val="clear" w:pos="8306"/>
        </w:tabs>
        <w:rPr>
          <w:b/>
        </w:rPr>
      </w:pPr>
      <w:r>
        <w:rPr>
          <w:b/>
        </w:rPr>
        <w:t>Commencement</w:t>
      </w:r>
    </w:p>
    <w:p w14:paraId="3051E884" w14:textId="77777777" w:rsidR="001E3900" w:rsidRDefault="001E3900" w:rsidP="00354EB8">
      <w:pPr>
        <w:pStyle w:val="Header"/>
        <w:tabs>
          <w:tab w:val="clear" w:pos="4153"/>
          <w:tab w:val="clear" w:pos="8306"/>
        </w:tabs>
      </w:pPr>
    </w:p>
    <w:p w14:paraId="5151E1D9" w14:textId="77777777" w:rsidR="00A01F80" w:rsidRDefault="00A741AB" w:rsidP="00354EB8">
      <w:pPr>
        <w:pStyle w:val="Header"/>
        <w:tabs>
          <w:tab w:val="clear" w:pos="4153"/>
          <w:tab w:val="clear" w:pos="8306"/>
        </w:tabs>
      </w:pPr>
      <w:r>
        <w:lastRenderedPageBreak/>
        <w:t>This Determination commences at the start of the day after it is registered on the Federal Register of Legislation</w:t>
      </w:r>
      <w:r w:rsidR="001E3900">
        <w:t xml:space="preserve">, in accordance with paragraph 12(1)(a) of the </w:t>
      </w:r>
      <w:r w:rsidR="001E3900">
        <w:rPr>
          <w:i/>
        </w:rPr>
        <w:t>Legislation Act 2003</w:t>
      </w:r>
      <w:r>
        <w:t>.</w:t>
      </w:r>
    </w:p>
    <w:p w14:paraId="4D523020" w14:textId="77777777" w:rsidR="00A741AB" w:rsidRDefault="00A741AB" w:rsidP="00354EB8">
      <w:pPr>
        <w:pStyle w:val="Header"/>
        <w:tabs>
          <w:tab w:val="clear" w:pos="4153"/>
          <w:tab w:val="clear" w:pos="8306"/>
        </w:tabs>
      </w:pPr>
    </w:p>
    <w:p w14:paraId="650D23D9" w14:textId="77777777" w:rsidR="00A741AB" w:rsidRPr="00764132" w:rsidRDefault="00A741AB" w:rsidP="00354EB8">
      <w:pPr>
        <w:pStyle w:val="Header"/>
        <w:tabs>
          <w:tab w:val="clear" w:pos="4153"/>
          <w:tab w:val="clear" w:pos="8306"/>
        </w:tabs>
        <w:rPr>
          <w:sz w:val="20"/>
        </w:rPr>
      </w:pPr>
      <w:r w:rsidRPr="00764132">
        <w:rPr>
          <w:sz w:val="20"/>
        </w:rPr>
        <w:t>Note: the Federal Register of Legislation may be access</w:t>
      </w:r>
      <w:r w:rsidR="00C23A93">
        <w:rPr>
          <w:sz w:val="20"/>
        </w:rPr>
        <w:t>ed</w:t>
      </w:r>
      <w:r w:rsidRPr="00764132">
        <w:rPr>
          <w:sz w:val="20"/>
        </w:rPr>
        <w:t xml:space="preserve"> at </w:t>
      </w:r>
      <w:hyperlink r:id="rId10" w:history="1">
        <w:r w:rsidRPr="00764132">
          <w:rPr>
            <w:rStyle w:val="Hyperlink"/>
            <w:sz w:val="20"/>
          </w:rPr>
          <w:t>www.legislation.gov.au</w:t>
        </w:r>
      </w:hyperlink>
      <w:r w:rsidRPr="00764132">
        <w:rPr>
          <w:sz w:val="20"/>
        </w:rPr>
        <w:t xml:space="preserve"> </w:t>
      </w:r>
    </w:p>
    <w:p w14:paraId="44252F12" w14:textId="77777777" w:rsidR="009E556C" w:rsidRDefault="009E556C" w:rsidP="00601DE7">
      <w:pPr>
        <w:pStyle w:val="Heading2"/>
      </w:pPr>
    </w:p>
    <w:p w14:paraId="618BAD50" w14:textId="77777777" w:rsidR="00354EB8" w:rsidRDefault="007F538D" w:rsidP="00601DE7">
      <w:pPr>
        <w:pStyle w:val="Heading2"/>
      </w:pPr>
      <w:r w:rsidRPr="007F538D">
        <w:t>Purpose</w:t>
      </w:r>
      <w:r w:rsidR="00BB0DC0">
        <w:t xml:space="preserve"> and operation</w:t>
      </w:r>
    </w:p>
    <w:p w14:paraId="4684C5DB" w14:textId="77777777" w:rsidR="00601DE7" w:rsidRPr="00601DE7" w:rsidRDefault="00601DE7" w:rsidP="00601DE7">
      <w:pPr>
        <w:rPr>
          <w:lang w:eastAsia="en-AU"/>
        </w:rPr>
      </w:pPr>
    </w:p>
    <w:p w14:paraId="6EA73CB2" w14:textId="77777777" w:rsidR="00A12785" w:rsidRDefault="00A12785" w:rsidP="009E556C">
      <w:pPr>
        <w:pStyle w:val="Header"/>
        <w:tabs>
          <w:tab w:val="left" w:pos="720"/>
        </w:tabs>
      </w:pPr>
      <w:r>
        <w:t>The Determination ha</w:t>
      </w:r>
      <w:r w:rsidR="006A0D26">
        <w:t>s been made for the purposes of </w:t>
      </w:r>
      <w:r w:rsidR="00A01F80">
        <w:t>p</w:t>
      </w:r>
      <w:r>
        <w:t xml:space="preserve">aragraph 15(1)(d) of the Act. </w:t>
      </w:r>
    </w:p>
    <w:p w14:paraId="20D06636" w14:textId="77777777" w:rsidR="00A12785" w:rsidRDefault="00A12785" w:rsidP="00354EB8">
      <w:pPr>
        <w:pStyle w:val="Header"/>
        <w:tabs>
          <w:tab w:val="clear" w:pos="4153"/>
          <w:tab w:val="clear" w:pos="8306"/>
        </w:tabs>
      </w:pPr>
    </w:p>
    <w:p w14:paraId="75EDEEAB" w14:textId="77777777" w:rsidR="00A12785" w:rsidRPr="00D90AFA" w:rsidRDefault="00A12785" w:rsidP="00A12785">
      <w:pPr>
        <w:pStyle w:val="Header"/>
        <w:tabs>
          <w:tab w:val="left" w:pos="720"/>
        </w:tabs>
        <w:rPr>
          <w:u w:val="single"/>
        </w:rPr>
      </w:pPr>
      <w:r w:rsidRPr="00D90AFA">
        <w:rPr>
          <w:u w:val="single"/>
        </w:rPr>
        <w:t xml:space="preserve">Details </w:t>
      </w:r>
    </w:p>
    <w:p w14:paraId="43EA1A25" w14:textId="77777777" w:rsidR="00A12785" w:rsidRDefault="00A12785" w:rsidP="00A12785">
      <w:pPr>
        <w:pStyle w:val="Header"/>
        <w:tabs>
          <w:tab w:val="left" w:pos="720"/>
        </w:tabs>
      </w:pPr>
    </w:p>
    <w:p w14:paraId="06F9D962" w14:textId="77777777" w:rsidR="00EC4EF3" w:rsidRPr="009E556C" w:rsidRDefault="006A0D26" w:rsidP="009E556C">
      <w:pPr>
        <w:pStyle w:val="Header"/>
        <w:tabs>
          <w:tab w:val="left" w:pos="720"/>
        </w:tabs>
      </w:pPr>
      <w:r>
        <w:t>The</w:t>
      </w:r>
      <w:r w:rsidR="00A12785">
        <w:t xml:space="preserve"> Determination provides that $</w:t>
      </w:r>
      <w:r w:rsidR="00F90232">
        <w:t>2,</w:t>
      </w:r>
      <w:r w:rsidR="00CC7505">
        <w:t>3</w:t>
      </w:r>
      <w:r w:rsidR="00B03DCA">
        <w:t>58</w:t>
      </w:r>
      <w:r w:rsidR="00F90232">
        <w:t>,000</w:t>
      </w:r>
      <w:r w:rsidR="00A12785">
        <w:t xml:space="preserve"> is </w:t>
      </w:r>
      <w:r w:rsidR="000130D9">
        <w:t xml:space="preserve">the estimated total amount of grants likely to be made during the </w:t>
      </w:r>
      <w:r w:rsidR="00764132">
        <w:t>20</w:t>
      </w:r>
      <w:r w:rsidR="00B03DCA">
        <w:t>20</w:t>
      </w:r>
      <w:r w:rsidR="00CC7505">
        <w:t>-2</w:t>
      </w:r>
      <w:r w:rsidR="00B03DCA">
        <w:t>1</w:t>
      </w:r>
      <w:r w:rsidR="00CC7505">
        <w:t xml:space="preserve"> </w:t>
      </w:r>
      <w:r w:rsidR="000130D9">
        <w:t xml:space="preserve">financial year under section 593 of the </w:t>
      </w:r>
      <w:r w:rsidR="000130D9" w:rsidRPr="000130D9">
        <w:rPr>
          <w:i/>
        </w:rPr>
        <w:t xml:space="preserve">Telecommunications Act </w:t>
      </w:r>
      <w:r w:rsidR="000130D9" w:rsidRPr="006A0D26">
        <w:rPr>
          <w:i/>
        </w:rPr>
        <w:t>1997</w:t>
      </w:r>
      <w:r w:rsidR="00A01F80">
        <w:rPr>
          <w:i/>
        </w:rPr>
        <w:t xml:space="preserve"> </w:t>
      </w:r>
      <w:r w:rsidR="00A01F80" w:rsidRPr="006A0D26">
        <w:t>(Tel Act</w:t>
      </w:r>
      <w:r w:rsidR="000130D9" w:rsidRPr="00A01F80">
        <w:t>)</w:t>
      </w:r>
      <w:r w:rsidR="00904E35">
        <w:t>.</w:t>
      </w:r>
      <w:r w:rsidR="000130D9">
        <w:t xml:space="preserve"> </w:t>
      </w:r>
    </w:p>
    <w:p w14:paraId="3A153335" w14:textId="77777777" w:rsidR="00A12785" w:rsidRDefault="00A12785" w:rsidP="00317F31">
      <w:pPr>
        <w:pStyle w:val="Header"/>
        <w:tabs>
          <w:tab w:val="clear" w:pos="4153"/>
          <w:tab w:val="clear" w:pos="8306"/>
        </w:tabs>
      </w:pPr>
    </w:p>
    <w:p w14:paraId="5A5A5158" w14:textId="77777777" w:rsidR="000130D9" w:rsidRDefault="009E556C" w:rsidP="00317F31">
      <w:pPr>
        <w:pStyle w:val="Header"/>
        <w:tabs>
          <w:tab w:val="clear" w:pos="4153"/>
          <w:tab w:val="clear" w:pos="8306"/>
        </w:tabs>
      </w:pPr>
      <w:r w:rsidRPr="00730DB8">
        <w:t xml:space="preserve">For the </w:t>
      </w:r>
      <w:r w:rsidR="00CC7505">
        <w:t>20</w:t>
      </w:r>
      <w:r w:rsidR="00B03DCA">
        <w:t>20</w:t>
      </w:r>
      <w:r w:rsidR="00CC7505">
        <w:t>-2</w:t>
      </w:r>
      <w:r w:rsidR="00B03DCA">
        <w:t>1</w:t>
      </w:r>
      <w:r w:rsidR="00764132" w:rsidRPr="00730DB8">
        <w:t xml:space="preserve"> </w:t>
      </w:r>
      <w:r w:rsidR="00A01F80" w:rsidRPr="00730DB8">
        <w:t>financial year, t</w:t>
      </w:r>
      <w:r w:rsidR="000130D9" w:rsidRPr="00730DB8">
        <w:t>he determinati</w:t>
      </w:r>
      <w:r w:rsidR="00084EC7" w:rsidRPr="00730DB8">
        <w:t>ons referenced in paragraphs 15(</w:t>
      </w:r>
      <w:r w:rsidR="000130D9" w:rsidRPr="00730DB8">
        <w:t xml:space="preserve">1)(a), (c) and (ca) </w:t>
      </w:r>
      <w:r w:rsidR="00B13F3F">
        <w:t xml:space="preserve">of the Act </w:t>
      </w:r>
      <w:r w:rsidR="000130D9" w:rsidRPr="00730DB8">
        <w:t>will be made by the Australian Communications and Media Authority and the determination referenced in paragraph 15(1)(b) will be made by the Australian Competition and Consumer Commission.</w:t>
      </w:r>
      <w:r w:rsidR="000130D9">
        <w:t xml:space="preserve"> </w:t>
      </w:r>
    </w:p>
    <w:p w14:paraId="55EF75AF" w14:textId="77777777" w:rsidR="00A01F80" w:rsidRDefault="00A01F80" w:rsidP="00A01F80">
      <w:pPr>
        <w:pStyle w:val="Heading2"/>
      </w:pPr>
    </w:p>
    <w:p w14:paraId="5E8296CF" w14:textId="77777777" w:rsidR="00A01F80" w:rsidRPr="00D90AFA" w:rsidRDefault="00A01F80" w:rsidP="00A01F80">
      <w:pPr>
        <w:pStyle w:val="Heading2"/>
        <w:rPr>
          <w:b w:val="0"/>
          <w:u w:val="single"/>
        </w:rPr>
      </w:pPr>
      <w:r w:rsidRPr="00D90AFA">
        <w:rPr>
          <w:b w:val="0"/>
          <w:u w:val="single"/>
        </w:rPr>
        <w:t xml:space="preserve">Background </w:t>
      </w:r>
    </w:p>
    <w:p w14:paraId="52E0740A" w14:textId="77777777" w:rsidR="00A01F80" w:rsidRDefault="00A01F80" w:rsidP="00317F31">
      <w:pPr>
        <w:pStyle w:val="Header"/>
        <w:tabs>
          <w:tab w:val="clear" w:pos="4153"/>
          <w:tab w:val="clear" w:pos="8306"/>
        </w:tabs>
      </w:pPr>
    </w:p>
    <w:p w14:paraId="07D0929B" w14:textId="77777777" w:rsidR="00317F31" w:rsidRDefault="00317F31" w:rsidP="00317F31">
      <w:pPr>
        <w:pStyle w:val="Header"/>
        <w:tabs>
          <w:tab w:val="clear" w:pos="4153"/>
          <w:tab w:val="clear" w:pos="8306"/>
        </w:tabs>
      </w:pPr>
      <w:r>
        <w:lastRenderedPageBreak/>
        <w:t xml:space="preserve">Section 593 of the </w:t>
      </w:r>
      <w:r w:rsidR="00A12785">
        <w:t xml:space="preserve">Tel Act </w:t>
      </w:r>
      <w:r>
        <w:t>provides that the Minister may, on behalf of the Commonwealth, make a grant of financial assistance to:</w:t>
      </w:r>
    </w:p>
    <w:p w14:paraId="6794F828" w14:textId="77777777" w:rsidR="00904E35" w:rsidRDefault="00904E35" w:rsidP="00317F31">
      <w:pPr>
        <w:pStyle w:val="Header"/>
        <w:tabs>
          <w:tab w:val="clear" w:pos="4153"/>
          <w:tab w:val="clear" w:pos="8306"/>
        </w:tabs>
      </w:pPr>
    </w:p>
    <w:p w14:paraId="59010B0B" w14:textId="77777777" w:rsidR="00317F31" w:rsidRDefault="00317F31" w:rsidP="00317F31">
      <w:pPr>
        <w:pStyle w:val="Header"/>
        <w:numPr>
          <w:ilvl w:val="0"/>
          <w:numId w:val="2"/>
        </w:numPr>
        <w:tabs>
          <w:tab w:val="clear" w:pos="4153"/>
          <w:tab w:val="clear" w:pos="8306"/>
        </w:tabs>
      </w:pPr>
      <w:r>
        <w:t>a consumer body for purposes in connection with the representation of the interests of consumers in relation to telecommunications issues</w:t>
      </w:r>
      <w:r w:rsidR="00C45CB7">
        <w:t xml:space="preserve"> (subsection 593(1))</w:t>
      </w:r>
      <w:r>
        <w:t>; and</w:t>
      </w:r>
      <w:r w:rsidR="000130D9">
        <w:t>/or</w:t>
      </w:r>
      <w:r>
        <w:br/>
      </w:r>
    </w:p>
    <w:p w14:paraId="18119025" w14:textId="77777777" w:rsidR="00317F31" w:rsidRDefault="00317F31" w:rsidP="00317F31">
      <w:pPr>
        <w:pStyle w:val="Header"/>
        <w:numPr>
          <w:ilvl w:val="0"/>
          <w:numId w:val="2"/>
        </w:numPr>
        <w:tabs>
          <w:tab w:val="clear" w:pos="4153"/>
          <w:tab w:val="clear" w:pos="8306"/>
        </w:tabs>
      </w:pPr>
      <w:r>
        <w:t>a person or body for purposes in connection with research into the social, economic, environmental or technological implications of developments relating to telecommunications</w:t>
      </w:r>
      <w:r w:rsidR="00C45CB7">
        <w:t xml:space="preserve"> (subsection 593(2))</w:t>
      </w:r>
      <w:r>
        <w:t>.</w:t>
      </w:r>
    </w:p>
    <w:p w14:paraId="74D3AB89" w14:textId="77777777" w:rsidR="00317F31" w:rsidRDefault="00317F31" w:rsidP="00317F31">
      <w:pPr>
        <w:pStyle w:val="Header"/>
        <w:tabs>
          <w:tab w:val="clear" w:pos="4153"/>
          <w:tab w:val="clear" w:pos="8306"/>
        </w:tabs>
      </w:pPr>
    </w:p>
    <w:p w14:paraId="7768ADA3" w14:textId="77777777" w:rsidR="00DD0C2A" w:rsidRPr="00DD0C2A" w:rsidRDefault="00904E35" w:rsidP="00601DE7">
      <w:pPr>
        <w:pStyle w:val="Header"/>
        <w:tabs>
          <w:tab w:val="clear" w:pos="4153"/>
          <w:tab w:val="clear" w:pos="8306"/>
        </w:tabs>
      </w:pPr>
      <w:r w:rsidRPr="00DD0C2A">
        <w:t xml:space="preserve">Since 2009-10, several grants of financial assistance under section 593 of the Tel Act have been provided to the Australian Communications Consumer Action Network (ACCAN). ACCAN is the peak body representing consumers of telecommunication services. ACCAN is currently provided </w:t>
      </w:r>
      <w:r w:rsidR="0001616A">
        <w:t xml:space="preserve">grant </w:t>
      </w:r>
      <w:r w:rsidR="004A4EDB">
        <w:t xml:space="preserve">funding </w:t>
      </w:r>
      <w:r w:rsidRPr="00DD0C2A">
        <w:t xml:space="preserve">as part of a multi-year </w:t>
      </w:r>
      <w:r w:rsidR="00DD0C2A">
        <w:t>f</w:t>
      </w:r>
      <w:r w:rsidRPr="00DD0C2A">
        <w:t xml:space="preserve">unding </w:t>
      </w:r>
      <w:r w:rsidR="00DD0C2A">
        <w:t>a</w:t>
      </w:r>
      <w:r w:rsidRPr="00DD0C2A">
        <w:t xml:space="preserve">greement </w:t>
      </w:r>
      <w:r w:rsidR="00DD0C2A">
        <w:t xml:space="preserve">that expires on </w:t>
      </w:r>
      <w:r w:rsidRPr="00DD0C2A">
        <w:t>3</w:t>
      </w:r>
      <w:r w:rsidR="00DD0C2A" w:rsidRPr="00DD0C2A">
        <w:t>1</w:t>
      </w:r>
      <w:r w:rsidR="00DD0C2A">
        <w:t> </w:t>
      </w:r>
      <w:r w:rsidRPr="00DD0C2A">
        <w:t>May</w:t>
      </w:r>
      <w:r w:rsidR="00DD0C2A">
        <w:t> </w:t>
      </w:r>
      <w:r w:rsidRPr="00DD0C2A">
        <w:t>20</w:t>
      </w:r>
      <w:r w:rsidR="00DD0C2A" w:rsidRPr="00DD0C2A">
        <w:t>22</w:t>
      </w:r>
      <w:r w:rsidRPr="00DD0C2A">
        <w:t xml:space="preserve">. </w:t>
      </w:r>
    </w:p>
    <w:p w14:paraId="05DA449F" w14:textId="77777777" w:rsidR="00764132" w:rsidRDefault="00764132" w:rsidP="00601DE7">
      <w:pPr>
        <w:pStyle w:val="Header"/>
        <w:tabs>
          <w:tab w:val="clear" w:pos="4153"/>
          <w:tab w:val="clear" w:pos="8306"/>
        </w:tabs>
      </w:pPr>
    </w:p>
    <w:p w14:paraId="21874BB9" w14:textId="77777777" w:rsidR="00904E35" w:rsidRDefault="00904E35" w:rsidP="00601DE7">
      <w:pPr>
        <w:pStyle w:val="Header"/>
        <w:tabs>
          <w:tab w:val="clear" w:pos="4153"/>
          <w:tab w:val="clear" w:pos="8306"/>
        </w:tabs>
      </w:pPr>
      <w:r w:rsidRPr="00DD0C2A">
        <w:t>The grant enables ACCAN to conduct activities necessary for an effective peak communications consumer advocate, including representation, research, consumer education and participation in self-regulatory activities. The grant also a</w:t>
      </w:r>
      <w:r w:rsidR="00DD0C2A">
        <w:t>llows ACCAN to operate a</w:t>
      </w:r>
      <w:r w:rsidRPr="00DD0C2A">
        <w:t xml:space="preserve"> competitive Independent Grants </w:t>
      </w:r>
      <w:r w:rsidR="00D90AFA">
        <w:t>Program</w:t>
      </w:r>
      <w:r w:rsidR="00D90AFA" w:rsidRPr="00DD0C2A">
        <w:t xml:space="preserve"> </w:t>
      </w:r>
      <w:r w:rsidRPr="00DD0C2A">
        <w:t>for individuals and organisations to undertake research or representation projects in the interest of the telecommunication consumer.</w:t>
      </w:r>
    </w:p>
    <w:p w14:paraId="5E70C861" w14:textId="77777777" w:rsidR="00EC4EF3" w:rsidRDefault="00EC4EF3" w:rsidP="00601DE7">
      <w:pPr>
        <w:pStyle w:val="Header"/>
        <w:tabs>
          <w:tab w:val="clear" w:pos="4153"/>
          <w:tab w:val="clear" w:pos="8306"/>
        </w:tabs>
      </w:pPr>
    </w:p>
    <w:p w14:paraId="27C418B7" w14:textId="77777777" w:rsidR="00EC4EF3" w:rsidRPr="00EC4EF3" w:rsidRDefault="00EC4EF3" w:rsidP="00601DE7">
      <w:pPr>
        <w:pStyle w:val="Heading2"/>
      </w:pPr>
      <w:r w:rsidRPr="00EC4EF3">
        <w:t>Consultation</w:t>
      </w:r>
    </w:p>
    <w:p w14:paraId="28F4F867" w14:textId="77777777" w:rsidR="009B56A0" w:rsidRDefault="009B56A0" w:rsidP="00317F31">
      <w:pPr>
        <w:rPr>
          <w:sz w:val="24"/>
        </w:rPr>
      </w:pPr>
    </w:p>
    <w:p w14:paraId="58EA4BAD" w14:textId="77777777" w:rsidR="000A01E9" w:rsidRDefault="00317F31" w:rsidP="00317F31">
      <w:pPr>
        <w:rPr>
          <w:sz w:val="24"/>
        </w:rPr>
      </w:pPr>
      <w:r>
        <w:rPr>
          <w:sz w:val="24"/>
        </w:rPr>
        <w:t xml:space="preserve">Consultation on the </w:t>
      </w:r>
      <w:r w:rsidR="000A01E9">
        <w:rPr>
          <w:sz w:val="24"/>
        </w:rPr>
        <w:t xml:space="preserve">Determination </w:t>
      </w:r>
      <w:r>
        <w:rPr>
          <w:sz w:val="24"/>
        </w:rPr>
        <w:t>was considered unnecessary because the instrument is of a minor or machinery nature and does not substantially alter existing arrangements</w:t>
      </w:r>
      <w:r w:rsidR="000A01E9">
        <w:rPr>
          <w:sz w:val="24"/>
        </w:rPr>
        <w:t>.</w:t>
      </w:r>
    </w:p>
    <w:p w14:paraId="2F6617E5" w14:textId="77777777" w:rsidR="00257C1C" w:rsidRPr="00257C1C" w:rsidRDefault="00257C1C" w:rsidP="00257C1C">
      <w:pPr>
        <w:ind w:right="-573"/>
        <w:rPr>
          <w:sz w:val="24"/>
          <w:szCs w:val="24"/>
          <w:u w:val="single"/>
        </w:rPr>
      </w:pPr>
    </w:p>
    <w:p w14:paraId="7AAF832E" w14:textId="6A8D2170" w:rsidR="00904E35" w:rsidRPr="006D583D" w:rsidRDefault="00CE6EA2" w:rsidP="00CE6EA2">
      <w:pPr>
        <w:rPr>
          <w:rFonts w:cs="Times New Roman"/>
          <w:sz w:val="24"/>
          <w:szCs w:val="24"/>
        </w:rPr>
      </w:pPr>
      <w:r w:rsidRPr="006D583D">
        <w:rPr>
          <w:rFonts w:cs="Times New Roman"/>
          <w:sz w:val="24"/>
          <w:szCs w:val="24"/>
        </w:rPr>
        <w:t xml:space="preserve">The Office of Best Practice Regulation (OBPR) was consulted about the making of </w:t>
      </w:r>
      <w:r w:rsidR="006C0A49">
        <w:rPr>
          <w:rFonts w:cs="Times New Roman"/>
          <w:sz w:val="24"/>
          <w:szCs w:val="24"/>
        </w:rPr>
        <w:t>this</w:t>
      </w:r>
      <w:r w:rsidR="003010A2" w:rsidRPr="006D583D">
        <w:rPr>
          <w:rFonts w:cs="Times New Roman"/>
          <w:sz w:val="24"/>
          <w:szCs w:val="24"/>
        </w:rPr>
        <w:t xml:space="preserve"> </w:t>
      </w:r>
      <w:r w:rsidRPr="006D583D">
        <w:rPr>
          <w:rFonts w:cs="Times New Roman"/>
          <w:sz w:val="24"/>
          <w:szCs w:val="24"/>
        </w:rPr>
        <w:t>Determination</w:t>
      </w:r>
      <w:r w:rsidR="003010A2">
        <w:rPr>
          <w:rFonts w:cs="Times New Roman"/>
          <w:sz w:val="24"/>
          <w:szCs w:val="24"/>
        </w:rPr>
        <w:t xml:space="preserve"> under paragraph 15(1)(d) of the Act</w:t>
      </w:r>
      <w:r w:rsidRPr="006D583D">
        <w:rPr>
          <w:rFonts w:cs="Times New Roman"/>
          <w:sz w:val="24"/>
          <w:szCs w:val="24"/>
        </w:rPr>
        <w:t>. The OBPR considered</w:t>
      </w:r>
      <w:r w:rsidR="006C0A49">
        <w:rPr>
          <w:rFonts w:cs="Times New Roman"/>
          <w:sz w:val="24"/>
          <w:szCs w:val="24"/>
        </w:rPr>
        <w:t xml:space="preserve"> that a carve out would be appropriate for determinations made under paragraph 15(1)(d) of the </w:t>
      </w:r>
      <w:r w:rsidR="006C0A49">
        <w:rPr>
          <w:rFonts w:cs="Times New Roman"/>
          <w:i/>
          <w:sz w:val="24"/>
          <w:szCs w:val="24"/>
        </w:rPr>
        <w:t>Telecommunications (Carrier Licence Charges) Act 1997</w:t>
      </w:r>
      <w:r w:rsidR="006C0A49">
        <w:rPr>
          <w:rFonts w:cs="Times New Roman"/>
          <w:sz w:val="24"/>
          <w:szCs w:val="24"/>
        </w:rPr>
        <w:t>, as these determinations are machinery in nature.</w:t>
      </w:r>
      <w:r w:rsidR="00F32760">
        <w:rPr>
          <w:rFonts w:cs="Times New Roman"/>
          <w:sz w:val="24"/>
          <w:szCs w:val="24"/>
        </w:rPr>
        <w:t xml:space="preserve"> This carve out is a standing agreement between OBPR and the Department to remove the need for a Preliminary Assessment.</w:t>
      </w:r>
      <w:r w:rsidRPr="006D583D">
        <w:rPr>
          <w:rFonts w:cs="Times New Roman"/>
          <w:sz w:val="24"/>
          <w:szCs w:val="24"/>
        </w:rPr>
        <w:t xml:space="preserve"> </w:t>
      </w:r>
      <w:r w:rsidR="00F32760">
        <w:rPr>
          <w:rFonts w:cs="Times New Roman"/>
          <w:sz w:val="24"/>
          <w:szCs w:val="24"/>
        </w:rPr>
        <w:t>The reference number for this carve out is 43366.</w:t>
      </w:r>
    </w:p>
    <w:p w14:paraId="3A48777E" w14:textId="77777777" w:rsidR="00904E35" w:rsidRDefault="00904E35" w:rsidP="00257C1C">
      <w:pPr>
        <w:rPr>
          <w:b/>
          <w:sz w:val="24"/>
          <w:szCs w:val="24"/>
        </w:rPr>
      </w:pPr>
    </w:p>
    <w:p w14:paraId="091CF950" w14:textId="77777777" w:rsidR="006A0D26" w:rsidRPr="00904E35" w:rsidRDefault="006A0D26" w:rsidP="00257C1C">
      <w:pPr>
        <w:rPr>
          <w:b/>
          <w:sz w:val="24"/>
          <w:szCs w:val="24"/>
        </w:rPr>
      </w:pPr>
      <w:r w:rsidRPr="0013365F">
        <w:rPr>
          <w:b/>
          <w:sz w:val="24"/>
          <w:szCs w:val="24"/>
        </w:rPr>
        <w:t>Other details</w:t>
      </w:r>
    </w:p>
    <w:p w14:paraId="3795320D" w14:textId="77777777" w:rsidR="006A0D26" w:rsidRDefault="006A0D26" w:rsidP="00257C1C">
      <w:pPr>
        <w:rPr>
          <w:sz w:val="24"/>
          <w:szCs w:val="24"/>
        </w:rPr>
      </w:pPr>
    </w:p>
    <w:p w14:paraId="71ADFB34" w14:textId="77777777" w:rsidR="00280026" w:rsidRPr="00B65C2E" w:rsidRDefault="00280026" w:rsidP="00280026">
      <w:pPr>
        <w:shd w:val="clear" w:color="auto" w:fill="FFFFFF"/>
        <w:spacing w:before="120" w:after="100" w:afterAutospacing="1"/>
        <w:rPr>
          <w:rFonts w:cs="Times New Roman"/>
          <w:sz w:val="24"/>
          <w:szCs w:val="24"/>
        </w:rPr>
      </w:pPr>
      <w:r w:rsidRPr="00141C2D">
        <w:rPr>
          <w:rFonts w:cs="Times New Roman"/>
          <w:sz w:val="24"/>
          <w:szCs w:val="24"/>
          <w:lang w:val="en-GB" w:eastAsia="en-AU"/>
        </w:rPr>
        <w:t xml:space="preserve">A statement of compatibility with human rights for the purposes of Part 3 of the </w:t>
      </w:r>
      <w:r w:rsidRPr="00141C2D">
        <w:rPr>
          <w:rFonts w:cs="Times New Roman"/>
          <w:i/>
          <w:iCs/>
          <w:sz w:val="24"/>
          <w:szCs w:val="24"/>
          <w:lang w:val="en-GB" w:eastAsia="en-AU"/>
        </w:rPr>
        <w:t>Human Rights (Parliamentary Scrutiny) Act 2011</w:t>
      </w:r>
      <w:r w:rsidRPr="00141C2D">
        <w:rPr>
          <w:rFonts w:cs="Times New Roman"/>
          <w:sz w:val="24"/>
          <w:szCs w:val="24"/>
          <w:lang w:val="en-GB" w:eastAsia="en-AU"/>
        </w:rPr>
        <w:t xml:space="preserve"> is set out in </w:t>
      </w:r>
      <w:r w:rsidRPr="00141C2D">
        <w:rPr>
          <w:rFonts w:cs="Times New Roman"/>
          <w:b/>
          <w:bCs/>
          <w:sz w:val="24"/>
          <w:szCs w:val="24"/>
          <w:u w:val="single"/>
          <w:lang w:val="en-GB" w:eastAsia="en-AU"/>
        </w:rPr>
        <w:t>Attachment 1</w:t>
      </w:r>
      <w:r w:rsidRPr="00141C2D">
        <w:rPr>
          <w:rFonts w:cs="Times New Roman"/>
          <w:sz w:val="24"/>
          <w:szCs w:val="24"/>
          <w:lang w:val="en-GB" w:eastAsia="en-AU"/>
        </w:rPr>
        <w:t>.</w:t>
      </w:r>
    </w:p>
    <w:p w14:paraId="3A8AFBF7" w14:textId="77777777" w:rsidR="00280026" w:rsidRDefault="00280026" w:rsidP="00280026">
      <w:pPr>
        <w:spacing w:before="100" w:beforeAutospacing="1" w:after="100" w:afterAutospacing="1"/>
        <w:jc w:val="right"/>
        <w:rPr>
          <w:lang w:eastAsia="en-AU"/>
        </w:rPr>
      </w:pPr>
    </w:p>
    <w:p w14:paraId="00F11929" w14:textId="77777777" w:rsidR="00280026" w:rsidRDefault="00280026" w:rsidP="00280026">
      <w:pPr>
        <w:spacing w:before="100" w:beforeAutospacing="1" w:after="100" w:afterAutospacing="1"/>
        <w:jc w:val="right"/>
        <w:rPr>
          <w:rFonts w:cs="Times New Roman"/>
          <w:b/>
          <w:sz w:val="24"/>
          <w:szCs w:val="24"/>
        </w:rPr>
      </w:pPr>
      <w:r>
        <w:rPr>
          <w:lang w:eastAsia="en-AU"/>
        </w:rPr>
        <w:br w:type="column"/>
      </w:r>
      <w:r>
        <w:rPr>
          <w:rFonts w:cs="Times New Roman"/>
          <w:b/>
          <w:sz w:val="24"/>
          <w:szCs w:val="24"/>
        </w:rPr>
        <w:lastRenderedPageBreak/>
        <w:t xml:space="preserve">Attachment 1 </w:t>
      </w:r>
    </w:p>
    <w:p w14:paraId="3C5EF8FC" w14:textId="77777777" w:rsidR="00280026" w:rsidRPr="009E556C" w:rsidRDefault="00280026" w:rsidP="006A0D26">
      <w:pPr>
        <w:rPr>
          <w:lang w:eastAsia="en-AU"/>
        </w:rPr>
      </w:pPr>
    </w:p>
    <w:p w14:paraId="2282B324" w14:textId="77777777" w:rsidR="00727AFC" w:rsidRDefault="00C45CB7" w:rsidP="006A0D26">
      <w:pPr>
        <w:pStyle w:val="Heading2"/>
        <w:jc w:val="center"/>
      </w:pPr>
      <w:r>
        <w:t>Statement of compatibility with human rights</w:t>
      </w:r>
    </w:p>
    <w:p w14:paraId="0B1F37FC" w14:textId="77777777" w:rsidR="00A12785" w:rsidRPr="006A0D26" w:rsidRDefault="00A12785" w:rsidP="006A0D26">
      <w:pPr>
        <w:rPr>
          <w:lang w:eastAsia="en-AU"/>
        </w:rPr>
      </w:pPr>
    </w:p>
    <w:p w14:paraId="47B37219" w14:textId="77777777" w:rsidR="00280026" w:rsidRPr="00B65C2E" w:rsidRDefault="00280026" w:rsidP="006A0D26">
      <w:pPr>
        <w:spacing w:before="100" w:beforeAutospacing="1" w:after="100" w:afterAutospacing="1"/>
        <w:jc w:val="center"/>
        <w:rPr>
          <w:rFonts w:cs="Times New Roman"/>
          <w:sz w:val="24"/>
          <w:szCs w:val="24"/>
          <w:lang w:val="en-GB"/>
        </w:rPr>
      </w:pPr>
      <w:r w:rsidRPr="00B65C2E">
        <w:rPr>
          <w:rFonts w:cs="Times New Roman"/>
          <w:sz w:val="24"/>
          <w:szCs w:val="24"/>
          <w:lang w:val="en-GB"/>
        </w:rPr>
        <w:t xml:space="preserve">Prepared in accordance with Part 3 of the  </w:t>
      </w:r>
    </w:p>
    <w:p w14:paraId="4A2D01B9" w14:textId="77777777" w:rsidR="00280026" w:rsidRPr="00B65C2E" w:rsidRDefault="00280026" w:rsidP="00280026">
      <w:pPr>
        <w:jc w:val="center"/>
        <w:rPr>
          <w:rFonts w:cs="Times New Roman"/>
          <w:i/>
          <w:iCs/>
          <w:sz w:val="24"/>
          <w:szCs w:val="24"/>
          <w:lang w:val="en-GB"/>
        </w:rPr>
      </w:pPr>
      <w:r w:rsidRPr="00B65C2E">
        <w:rPr>
          <w:rFonts w:cs="Times New Roman"/>
          <w:i/>
          <w:iCs/>
          <w:sz w:val="24"/>
          <w:szCs w:val="24"/>
          <w:lang w:val="en-GB"/>
        </w:rPr>
        <w:t>Human Rights (Parliamentary Scrutiny) Act 2011</w:t>
      </w:r>
    </w:p>
    <w:p w14:paraId="3BA7EB7A" w14:textId="77777777" w:rsidR="00280026" w:rsidRPr="00B65C2E" w:rsidRDefault="00280026" w:rsidP="00280026">
      <w:pPr>
        <w:jc w:val="center"/>
        <w:rPr>
          <w:rFonts w:cs="Times New Roman"/>
          <w:b/>
          <w:i/>
          <w:sz w:val="24"/>
          <w:szCs w:val="24"/>
        </w:rPr>
      </w:pPr>
    </w:p>
    <w:p w14:paraId="340175EC" w14:textId="418FF458" w:rsidR="00280026" w:rsidRDefault="00273BE1" w:rsidP="00280026">
      <w:pPr>
        <w:jc w:val="center"/>
        <w:rPr>
          <w:b/>
          <w:caps/>
        </w:rPr>
      </w:pPr>
      <w:r>
        <w:rPr>
          <w:b/>
          <w:caps/>
        </w:rPr>
        <w:t>TELECOMMUNICATIONS (CARRIER LICENCE CHARGES) (PARAGRAPH 15(1)(</w:t>
      </w:r>
      <w:r w:rsidRPr="0001616A">
        <w:rPr>
          <w:b/>
        </w:rPr>
        <w:t>d</w:t>
      </w:r>
      <w:r>
        <w:rPr>
          <w:b/>
          <w:caps/>
        </w:rPr>
        <w:t>)) DETERMINATION 20</w:t>
      </w:r>
      <w:r w:rsidR="001E7BEE">
        <w:rPr>
          <w:b/>
          <w:caps/>
        </w:rPr>
        <w:t>2</w:t>
      </w:r>
      <w:r w:rsidR="003008B8">
        <w:rPr>
          <w:b/>
          <w:caps/>
        </w:rPr>
        <w:t>1</w:t>
      </w:r>
      <w:r>
        <w:rPr>
          <w:b/>
          <w:caps/>
        </w:rPr>
        <w:t xml:space="preserve"> (N</w:t>
      </w:r>
      <w:r>
        <w:rPr>
          <w:b/>
        </w:rPr>
        <w:t>o.</w:t>
      </w:r>
      <w:r w:rsidR="008A40D2">
        <w:rPr>
          <w:b/>
          <w:caps/>
        </w:rPr>
        <w:t xml:space="preserve"> </w:t>
      </w:r>
      <w:r w:rsidR="003008B8">
        <w:rPr>
          <w:b/>
          <w:caps/>
        </w:rPr>
        <w:t>1</w:t>
      </w:r>
      <w:r>
        <w:rPr>
          <w:b/>
          <w:caps/>
        </w:rPr>
        <w:t xml:space="preserve">) </w:t>
      </w:r>
    </w:p>
    <w:p w14:paraId="3715A6F7" w14:textId="77777777" w:rsidR="00280026" w:rsidRDefault="00280026" w:rsidP="00280026">
      <w:pPr>
        <w:spacing w:before="120" w:after="100" w:afterAutospacing="1"/>
        <w:rPr>
          <w:rFonts w:cs="Times New Roman"/>
          <w:sz w:val="24"/>
          <w:szCs w:val="24"/>
        </w:rPr>
      </w:pPr>
    </w:p>
    <w:p w14:paraId="54B32F77" w14:textId="77777777" w:rsidR="00727AFC" w:rsidRPr="004A6A9C" w:rsidRDefault="00280026" w:rsidP="004A6A9C">
      <w:pPr>
        <w:spacing w:before="120" w:after="100" w:afterAutospacing="1"/>
        <w:rPr>
          <w:rFonts w:cs="Times New Roman"/>
          <w:i/>
          <w:sz w:val="24"/>
          <w:szCs w:val="24"/>
        </w:rPr>
      </w:pPr>
      <w:r w:rsidRPr="00B65C2E">
        <w:rPr>
          <w:rFonts w:cs="Times New Roman"/>
          <w:sz w:val="24"/>
          <w:szCs w:val="24"/>
        </w:rPr>
        <w:t xml:space="preserve">The </w:t>
      </w:r>
      <w:r>
        <w:rPr>
          <w:rFonts w:cs="Times New Roman"/>
          <w:sz w:val="24"/>
          <w:szCs w:val="24"/>
        </w:rPr>
        <w:t xml:space="preserve">Determination </w:t>
      </w:r>
      <w:r w:rsidRPr="00B65C2E">
        <w:rPr>
          <w:rFonts w:cs="Times New Roman"/>
          <w:sz w:val="24"/>
          <w:szCs w:val="24"/>
          <w:lang w:val="en-GB"/>
        </w:rPr>
        <w:t xml:space="preserve">is compatible with the human rights and freedoms recognised or declared in the international instruments listed in section 3 of the </w:t>
      </w:r>
      <w:r w:rsidRPr="00B65C2E">
        <w:rPr>
          <w:rFonts w:cs="Times New Roman"/>
          <w:i/>
          <w:iCs/>
          <w:sz w:val="24"/>
          <w:szCs w:val="24"/>
          <w:lang w:val="en-GB"/>
        </w:rPr>
        <w:t>Human Rights (Parliamentary Scrutiny) Act 2011</w:t>
      </w:r>
      <w:r w:rsidRPr="00B65C2E">
        <w:rPr>
          <w:rFonts w:cs="Times New Roman"/>
          <w:sz w:val="24"/>
          <w:szCs w:val="24"/>
          <w:lang w:val="en-GB"/>
        </w:rPr>
        <w:t>.</w:t>
      </w:r>
    </w:p>
    <w:p w14:paraId="7930CAFC" w14:textId="1F91D6C3" w:rsidR="00280026" w:rsidRDefault="00C45CB7" w:rsidP="00727AFC">
      <w:pPr>
        <w:rPr>
          <w:color w:val="000000"/>
          <w:sz w:val="24"/>
          <w:szCs w:val="24"/>
        </w:rPr>
      </w:pPr>
      <w:r>
        <w:rPr>
          <w:color w:val="000000"/>
          <w:sz w:val="24"/>
          <w:szCs w:val="24"/>
        </w:rPr>
        <w:t xml:space="preserve">The Determination </w:t>
      </w:r>
      <w:r w:rsidR="00280026">
        <w:rPr>
          <w:color w:val="000000"/>
          <w:sz w:val="24"/>
          <w:szCs w:val="24"/>
        </w:rPr>
        <w:t>is made by the Minister for Communications</w:t>
      </w:r>
      <w:r w:rsidR="001963DD">
        <w:rPr>
          <w:color w:val="000000"/>
          <w:sz w:val="24"/>
          <w:szCs w:val="24"/>
        </w:rPr>
        <w:t xml:space="preserve">, </w:t>
      </w:r>
      <w:r w:rsidR="00D861A4">
        <w:rPr>
          <w:color w:val="000000"/>
          <w:sz w:val="24"/>
          <w:szCs w:val="24"/>
        </w:rPr>
        <w:t>Urban Infr</w:t>
      </w:r>
      <w:bookmarkStart w:id="0" w:name="_GoBack"/>
      <w:bookmarkEnd w:id="0"/>
      <w:r w:rsidR="00D861A4">
        <w:rPr>
          <w:color w:val="000000"/>
          <w:sz w:val="24"/>
          <w:szCs w:val="24"/>
        </w:rPr>
        <w:t>astructure, Cities</w:t>
      </w:r>
      <w:r w:rsidR="00280026">
        <w:rPr>
          <w:color w:val="000000"/>
          <w:sz w:val="24"/>
          <w:szCs w:val="24"/>
        </w:rPr>
        <w:t xml:space="preserve"> </w:t>
      </w:r>
      <w:r w:rsidR="00273BE1">
        <w:rPr>
          <w:color w:val="000000"/>
          <w:sz w:val="24"/>
          <w:szCs w:val="24"/>
        </w:rPr>
        <w:t xml:space="preserve">and the Arts </w:t>
      </w:r>
      <w:r w:rsidR="00280026">
        <w:rPr>
          <w:color w:val="000000"/>
          <w:sz w:val="24"/>
          <w:szCs w:val="24"/>
        </w:rPr>
        <w:t xml:space="preserve">under paragraph 15(1)(d) of the </w:t>
      </w:r>
      <w:r w:rsidR="00280026" w:rsidRPr="00280026">
        <w:rPr>
          <w:i/>
          <w:color w:val="000000"/>
          <w:sz w:val="24"/>
          <w:szCs w:val="24"/>
        </w:rPr>
        <w:t>Telecommunications (Carrier Licence Charges) Act 1997</w:t>
      </w:r>
      <w:r w:rsidR="00280026">
        <w:rPr>
          <w:color w:val="000000"/>
          <w:sz w:val="24"/>
          <w:szCs w:val="24"/>
        </w:rPr>
        <w:t xml:space="preserve">. </w:t>
      </w:r>
    </w:p>
    <w:p w14:paraId="5FE80ED2" w14:textId="77777777" w:rsidR="00280026" w:rsidRDefault="00280026" w:rsidP="00727AFC">
      <w:pPr>
        <w:rPr>
          <w:color w:val="000000"/>
          <w:sz w:val="24"/>
          <w:szCs w:val="24"/>
        </w:rPr>
      </w:pPr>
    </w:p>
    <w:p w14:paraId="648D7012" w14:textId="77777777" w:rsidR="006A0D26" w:rsidRDefault="00280026" w:rsidP="00727AFC">
      <w:pPr>
        <w:rPr>
          <w:color w:val="000000"/>
          <w:sz w:val="24"/>
          <w:szCs w:val="24"/>
        </w:rPr>
      </w:pPr>
      <w:r>
        <w:rPr>
          <w:color w:val="000000"/>
          <w:sz w:val="24"/>
          <w:szCs w:val="24"/>
        </w:rPr>
        <w:lastRenderedPageBreak/>
        <w:t xml:space="preserve">The Determination </w:t>
      </w:r>
      <w:r w:rsidR="00C45CB7">
        <w:rPr>
          <w:color w:val="000000"/>
          <w:sz w:val="24"/>
          <w:szCs w:val="24"/>
        </w:rPr>
        <w:t>sets out the estimated total amount of grants that are l</w:t>
      </w:r>
      <w:r w:rsidR="009A1B25">
        <w:rPr>
          <w:color w:val="000000"/>
          <w:sz w:val="24"/>
          <w:szCs w:val="24"/>
        </w:rPr>
        <w:t xml:space="preserve">ikely to be made during the </w:t>
      </w:r>
      <w:r w:rsidR="00CC7505">
        <w:rPr>
          <w:color w:val="000000"/>
          <w:sz w:val="24"/>
          <w:szCs w:val="24"/>
        </w:rPr>
        <w:t>20</w:t>
      </w:r>
      <w:r w:rsidR="00B03DCA">
        <w:rPr>
          <w:color w:val="000000"/>
          <w:sz w:val="24"/>
          <w:szCs w:val="24"/>
        </w:rPr>
        <w:t>20</w:t>
      </w:r>
      <w:r w:rsidR="00CC7505">
        <w:rPr>
          <w:color w:val="000000"/>
          <w:sz w:val="24"/>
          <w:szCs w:val="24"/>
        </w:rPr>
        <w:t>-2</w:t>
      </w:r>
      <w:r w:rsidR="00B03DCA">
        <w:rPr>
          <w:color w:val="000000"/>
          <w:sz w:val="24"/>
          <w:szCs w:val="24"/>
        </w:rPr>
        <w:t>1</w:t>
      </w:r>
      <w:r w:rsidR="00764132">
        <w:rPr>
          <w:color w:val="000000"/>
          <w:sz w:val="24"/>
          <w:szCs w:val="24"/>
        </w:rPr>
        <w:t xml:space="preserve"> </w:t>
      </w:r>
      <w:r w:rsidR="00C45CB7">
        <w:rPr>
          <w:color w:val="000000"/>
          <w:sz w:val="24"/>
          <w:szCs w:val="24"/>
        </w:rPr>
        <w:t xml:space="preserve">financial year under section 593 of the </w:t>
      </w:r>
      <w:r w:rsidR="00C45CB7">
        <w:rPr>
          <w:i/>
          <w:color w:val="000000"/>
          <w:sz w:val="24"/>
          <w:szCs w:val="24"/>
        </w:rPr>
        <w:t>Telecommunications Act 1997</w:t>
      </w:r>
      <w:r w:rsidR="00C45CB7">
        <w:rPr>
          <w:color w:val="000000"/>
          <w:sz w:val="24"/>
          <w:szCs w:val="24"/>
        </w:rPr>
        <w:t xml:space="preserve">. </w:t>
      </w:r>
      <w:r>
        <w:rPr>
          <w:color w:val="000000"/>
          <w:sz w:val="24"/>
          <w:szCs w:val="24"/>
        </w:rPr>
        <w:t xml:space="preserve"> </w:t>
      </w:r>
    </w:p>
    <w:p w14:paraId="21113DF4" w14:textId="77777777" w:rsidR="006A0D26" w:rsidRDefault="006A0D26" w:rsidP="00727AFC">
      <w:pPr>
        <w:rPr>
          <w:color w:val="000000"/>
          <w:sz w:val="24"/>
          <w:szCs w:val="24"/>
        </w:rPr>
      </w:pPr>
    </w:p>
    <w:p w14:paraId="2D828432" w14:textId="77777777" w:rsidR="00727AFC" w:rsidRDefault="00C45CB7" w:rsidP="00727AFC">
      <w:pPr>
        <w:rPr>
          <w:color w:val="000000"/>
          <w:sz w:val="24"/>
          <w:szCs w:val="24"/>
        </w:rPr>
      </w:pPr>
      <w:r>
        <w:rPr>
          <w:color w:val="000000"/>
          <w:sz w:val="24"/>
          <w:szCs w:val="24"/>
        </w:rPr>
        <w:t>Section 593 provides that the Minister</w:t>
      </w:r>
      <w:r w:rsidRPr="00C45CB7">
        <w:rPr>
          <w:color w:val="000000"/>
          <w:sz w:val="24"/>
          <w:szCs w:val="24"/>
        </w:rPr>
        <w:t xml:space="preserve"> </w:t>
      </w:r>
      <w:r>
        <w:rPr>
          <w:color w:val="000000"/>
          <w:sz w:val="24"/>
          <w:szCs w:val="24"/>
        </w:rPr>
        <w:t>may, on behalf of the Commonwealth, make grant</w:t>
      </w:r>
      <w:r w:rsidR="00F01CAC">
        <w:rPr>
          <w:color w:val="000000"/>
          <w:sz w:val="24"/>
          <w:szCs w:val="24"/>
        </w:rPr>
        <w:t>s</w:t>
      </w:r>
      <w:r>
        <w:rPr>
          <w:color w:val="000000"/>
          <w:sz w:val="24"/>
          <w:szCs w:val="24"/>
        </w:rPr>
        <w:t xml:space="preserve"> of financial assistance to persons or bodies (for purpose</w:t>
      </w:r>
      <w:r w:rsidR="00F01CAC">
        <w:rPr>
          <w:color w:val="000000"/>
          <w:sz w:val="24"/>
          <w:szCs w:val="24"/>
        </w:rPr>
        <w:t>s</w:t>
      </w:r>
      <w:r>
        <w:rPr>
          <w:color w:val="000000"/>
          <w:sz w:val="24"/>
          <w:szCs w:val="24"/>
        </w:rPr>
        <w:t xml:space="preserve"> </w:t>
      </w:r>
      <w:r w:rsidR="00F01CAC">
        <w:rPr>
          <w:color w:val="000000"/>
          <w:sz w:val="24"/>
          <w:szCs w:val="24"/>
        </w:rPr>
        <w:t xml:space="preserve">in connection with </w:t>
      </w:r>
      <w:r>
        <w:rPr>
          <w:color w:val="000000"/>
          <w:sz w:val="24"/>
          <w:szCs w:val="24"/>
        </w:rPr>
        <w:t xml:space="preserve">research into the social, economic, environmental </w:t>
      </w:r>
      <w:r w:rsidR="00EB3A97">
        <w:rPr>
          <w:color w:val="000000"/>
          <w:sz w:val="24"/>
          <w:szCs w:val="24"/>
        </w:rPr>
        <w:t xml:space="preserve">or </w:t>
      </w:r>
      <w:r>
        <w:rPr>
          <w:color w:val="000000"/>
          <w:sz w:val="24"/>
          <w:szCs w:val="24"/>
        </w:rPr>
        <w:t>technological implications of developments relating to telecommunications), and to consumer bodies (for purposes in connection with the representation of consumer interests in relation to telecommunications issues).</w:t>
      </w:r>
    </w:p>
    <w:p w14:paraId="031641BE" w14:textId="77777777" w:rsidR="0020169E" w:rsidRDefault="0020169E" w:rsidP="00727AFC">
      <w:pPr>
        <w:rPr>
          <w:color w:val="000000"/>
          <w:sz w:val="24"/>
          <w:szCs w:val="24"/>
        </w:rPr>
      </w:pPr>
    </w:p>
    <w:p w14:paraId="07E4C5C2" w14:textId="77777777" w:rsidR="00727AFC" w:rsidRDefault="00C45CB7" w:rsidP="00727AFC">
      <w:pPr>
        <w:pStyle w:val="Default"/>
      </w:pPr>
      <w:r w:rsidRPr="00203C68">
        <w:t>The D</w:t>
      </w:r>
      <w:r w:rsidR="0020169E">
        <w:t xml:space="preserve">etermination </w:t>
      </w:r>
      <w:r w:rsidRPr="00203C68">
        <w:t xml:space="preserve">does </w:t>
      </w:r>
      <w:r w:rsidRPr="00E23E9B">
        <w:t>not engage any of the applicable rights or freedoms</w:t>
      </w:r>
      <w:r w:rsidRPr="00203C68">
        <w:t xml:space="preserve">. Accordingly, </w:t>
      </w:r>
      <w:r>
        <w:t>the D</w:t>
      </w:r>
      <w:r w:rsidR="0020169E">
        <w:t xml:space="preserve">etermination </w:t>
      </w:r>
      <w:r w:rsidRPr="00203C68">
        <w:t xml:space="preserve">is compatible with the human rights and freedoms recognised or declared in the international instruments listed in section 3 of the </w:t>
      </w:r>
      <w:r w:rsidRPr="00203C68">
        <w:rPr>
          <w:i/>
          <w:iCs/>
        </w:rPr>
        <w:t>Human Rights (Parliamentary Scrutiny) Act 2011</w:t>
      </w:r>
      <w:r>
        <w:t>,</w:t>
      </w:r>
      <w:r w:rsidRPr="00E23E9B">
        <w:t xml:space="preserve"> as it does not raise any human rights issues</w:t>
      </w:r>
      <w:r w:rsidRPr="00203C68">
        <w:t>.</w:t>
      </w:r>
    </w:p>
    <w:p w14:paraId="6E834BA3" w14:textId="77777777" w:rsidR="00203F73" w:rsidRDefault="00203F73">
      <w:pPr>
        <w:rPr>
          <w:sz w:val="24"/>
          <w:szCs w:val="24"/>
        </w:rPr>
      </w:pPr>
    </w:p>
    <w:p w14:paraId="3DF9AAD6" w14:textId="77777777" w:rsidR="00E2422D" w:rsidRDefault="00E2422D"/>
    <w:sectPr w:rsidR="00E2422D" w:rsidSect="00354EB8">
      <w:pgSz w:w="11906" w:h="16838"/>
      <w:pgMar w:top="1418" w:right="1758" w:bottom="993"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87F7A" w14:textId="77777777" w:rsidR="00BA77A5" w:rsidRDefault="00BA77A5" w:rsidP="009E556C">
      <w:r>
        <w:separator/>
      </w:r>
    </w:p>
  </w:endnote>
  <w:endnote w:type="continuationSeparator" w:id="0">
    <w:p w14:paraId="21BF5BCA" w14:textId="77777777" w:rsidR="00BA77A5" w:rsidRDefault="00BA77A5" w:rsidP="009E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9D66" w14:textId="77777777" w:rsidR="00BA77A5" w:rsidRDefault="00BA77A5" w:rsidP="009E556C">
      <w:r>
        <w:separator/>
      </w:r>
    </w:p>
  </w:footnote>
  <w:footnote w:type="continuationSeparator" w:id="0">
    <w:p w14:paraId="74721ABB" w14:textId="77777777" w:rsidR="00BA77A5" w:rsidRDefault="00BA77A5" w:rsidP="009E5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030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6196B7A"/>
    <w:multiLevelType w:val="singleLevel"/>
    <w:tmpl w:val="070A4BA8"/>
    <w:lvl w:ilvl="0">
      <w:start w:val="1"/>
      <w:numFmt w:val="lowerLetter"/>
      <w:lvlText w:val="(%1)"/>
      <w:lvlJc w:val="left"/>
      <w:pPr>
        <w:tabs>
          <w:tab w:val="num" w:pos="720"/>
        </w:tabs>
        <w:ind w:left="720" w:hanging="720"/>
      </w:pPr>
      <w:rPr>
        <w:rFonts w:hint="default"/>
      </w:r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31"/>
    <w:rsid w:val="00004FAD"/>
    <w:rsid w:val="000130D9"/>
    <w:rsid w:val="0001616A"/>
    <w:rsid w:val="00084EC7"/>
    <w:rsid w:val="00090464"/>
    <w:rsid w:val="00093861"/>
    <w:rsid w:val="000A01E9"/>
    <w:rsid w:val="00112975"/>
    <w:rsid w:val="0013365F"/>
    <w:rsid w:val="00135DF7"/>
    <w:rsid w:val="0014287E"/>
    <w:rsid w:val="0016769A"/>
    <w:rsid w:val="00167F9D"/>
    <w:rsid w:val="00173C12"/>
    <w:rsid w:val="0018760B"/>
    <w:rsid w:val="00193B2B"/>
    <w:rsid w:val="001963DD"/>
    <w:rsid w:val="001C2E12"/>
    <w:rsid w:val="001D4FE5"/>
    <w:rsid w:val="001E3900"/>
    <w:rsid w:val="001E7BEE"/>
    <w:rsid w:val="0020169E"/>
    <w:rsid w:val="00203F73"/>
    <w:rsid w:val="002165B4"/>
    <w:rsid w:val="00221572"/>
    <w:rsid w:val="00242FAE"/>
    <w:rsid w:val="00257C1C"/>
    <w:rsid w:val="002633B6"/>
    <w:rsid w:val="00273BE1"/>
    <w:rsid w:val="0027521F"/>
    <w:rsid w:val="0027710E"/>
    <w:rsid w:val="00280026"/>
    <w:rsid w:val="002B41C2"/>
    <w:rsid w:val="002E0B26"/>
    <w:rsid w:val="003008B8"/>
    <w:rsid w:val="003010A2"/>
    <w:rsid w:val="00304ACD"/>
    <w:rsid w:val="00317F31"/>
    <w:rsid w:val="00344DD5"/>
    <w:rsid w:val="00354EB8"/>
    <w:rsid w:val="00355695"/>
    <w:rsid w:val="003657B8"/>
    <w:rsid w:val="00372FEA"/>
    <w:rsid w:val="0037767E"/>
    <w:rsid w:val="00384FAE"/>
    <w:rsid w:val="003B4B80"/>
    <w:rsid w:val="003E210E"/>
    <w:rsid w:val="003E2375"/>
    <w:rsid w:val="003F182A"/>
    <w:rsid w:val="003F1944"/>
    <w:rsid w:val="003F65EE"/>
    <w:rsid w:val="00444BF6"/>
    <w:rsid w:val="00484DFC"/>
    <w:rsid w:val="004A4EDB"/>
    <w:rsid w:val="004A6A9C"/>
    <w:rsid w:val="004D1C82"/>
    <w:rsid w:val="004E07A7"/>
    <w:rsid w:val="005375BD"/>
    <w:rsid w:val="00580655"/>
    <w:rsid w:val="005D0F35"/>
    <w:rsid w:val="005E3F34"/>
    <w:rsid w:val="00601DE7"/>
    <w:rsid w:val="00633492"/>
    <w:rsid w:val="00647E62"/>
    <w:rsid w:val="00664C94"/>
    <w:rsid w:val="006A0D26"/>
    <w:rsid w:val="006C0A49"/>
    <w:rsid w:val="006D583D"/>
    <w:rsid w:val="006E1EDE"/>
    <w:rsid w:val="007165D0"/>
    <w:rsid w:val="00727AFC"/>
    <w:rsid w:val="00730DB8"/>
    <w:rsid w:val="00731D4F"/>
    <w:rsid w:val="00764132"/>
    <w:rsid w:val="007C23D9"/>
    <w:rsid w:val="007C44DF"/>
    <w:rsid w:val="007D4314"/>
    <w:rsid w:val="007D4FB2"/>
    <w:rsid w:val="007F538D"/>
    <w:rsid w:val="008219D9"/>
    <w:rsid w:val="00835E31"/>
    <w:rsid w:val="008520B2"/>
    <w:rsid w:val="008A2FBE"/>
    <w:rsid w:val="008A40D2"/>
    <w:rsid w:val="008A5CFA"/>
    <w:rsid w:val="008D4820"/>
    <w:rsid w:val="008F6569"/>
    <w:rsid w:val="00904466"/>
    <w:rsid w:val="00904E35"/>
    <w:rsid w:val="00921B0E"/>
    <w:rsid w:val="00944449"/>
    <w:rsid w:val="00966FF4"/>
    <w:rsid w:val="0097129B"/>
    <w:rsid w:val="009A1B25"/>
    <w:rsid w:val="009B0EEC"/>
    <w:rsid w:val="009B56A0"/>
    <w:rsid w:val="009C13C8"/>
    <w:rsid w:val="009E01C2"/>
    <w:rsid w:val="009E556C"/>
    <w:rsid w:val="009F02F1"/>
    <w:rsid w:val="00A01F80"/>
    <w:rsid w:val="00A12785"/>
    <w:rsid w:val="00A25A21"/>
    <w:rsid w:val="00A45E50"/>
    <w:rsid w:val="00A47CB2"/>
    <w:rsid w:val="00A6023D"/>
    <w:rsid w:val="00A741AB"/>
    <w:rsid w:val="00A816E7"/>
    <w:rsid w:val="00AB5206"/>
    <w:rsid w:val="00AC22C6"/>
    <w:rsid w:val="00AE0E10"/>
    <w:rsid w:val="00B03DCA"/>
    <w:rsid w:val="00B13F3F"/>
    <w:rsid w:val="00BA77A5"/>
    <w:rsid w:val="00BB0DC0"/>
    <w:rsid w:val="00BD2067"/>
    <w:rsid w:val="00BE711C"/>
    <w:rsid w:val="00BF78BF"/>
    <w:rsid w:val="00C23A93"/>
    <w:rsid w:val="00C45CB7"/>
    <w:rsid w:val="00CA328C"/>
    <w:rsid w:val="00CA5C7E"/>
    <w:rsid w:val="00CC7505"/>
    <w:rsid w:val="00CC7A96"/>
    <w:rsid w:val="00CE6EA2"/>
    <w:rsid w:val="00D166CE"/>
    <w:rsid w:val="00D861A4"/>
    <w:rsid w:val="00D875A4"/>
    <w:rsid w:val="00D90AFA"/>
    <w:rsid w:val="00DA5AF2"/>
    <w:rsid w:val="00DD0C2A"/>
    <w:rsid w:val="00DE1023"/>
    <w:rsid w:val="00E2422D"/>
    <w:rsid w:val="00E254EE"/>
    <w:rsid w:val="00E255F8"/>
    <w:rsid w:val="00E6127A"/>
    <w:rsid w:val="00EA48AE"/>
    <w:rsid w:val="00EB3A97"/>
    <w:rsid w:val="00EC4EF3"/>
    <w:rsid w:val="00EC6E49"/>
    <w:rsid w:val="00ED5FFA"/>
    <w:rsid w:val="00ED6B0B"/>
    <w:rsid w:val="00EF51FD"/>
    <w:rsid w:val="00F01CAC"/>
    <w:rsid w:val="00F023BE"/>
    <w:rsid w:val="00F04EC6"/>
    <w:rsid w:val="00F23CA7"/>
    <w:rsid w:val="00F32760"/>
    <w:rsid w:val="00F506D2"/>
    <w:rsid w:val="00F84608"/>
    <w:rsid w:val="00F90232"/>
    <w:rsid w:val="00F93366"/>
    <w:rsid w:val="00FA202A"/>
    <w:rsid w:val="00FA52E1"/>
    <w:rsid w:val="00FB3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3A337F"/>
  <w15:docId w15:val="{13540A8C-423B-417E-AFC8-98A15E90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31"/>
    <w:pPr>
      <w:spacing w:after="0" w:line="240" w:lineRule="auto"/>
    </w:pPr>
    <w:rPr>
      <w:rFonts w:ascii="Times New Roman" w:eastAsia="Times New Roman" w:hAnsi="Times New Roman" w:cs="Arial"/>
      <w:sz w:val="28"/>
      <w:szCs w:val="28"/>
    </w:rPr>
  </w:style>
  <w:style w:type="paragraph" w:styleId="Heading1">
    <w:name w:val="heading 1"/>
    <w:basedOn w:val="Header"/>
    <w:next w:val="Normal"/>
    <w:link w:val="Heading1Char"/>
    <w:uiPriority w:val="9"/>
    <w:qFormat/>
    <w:rsid w:val="00601DE7"/>
    <w:pPr>
      <w:tabs>
        <w:tab w:val="clear" w:pos="4153"/>
        <w:tab w:val="clear" w:pos="8306"/>
      </w:tabs>
      <w:jc w:val="center"/>
      <w:outlineLvl w:val="0"/>
    </w:pPr>
    <w:rPr>
      <w:b/>
      <w:u w:val="single"/>
    </w:rPr>
  </w:style>
  <w:style w:type="paragraph" w:styleId="Heading2">
    <w:name w:val="heading 2"/>
    <w:basedOn w:val="Header"/>
    <w:next w:val="Normal"/>
    <w:link w:val="Heading2Char"/>
    <w:uiPriority w:val="9"/>
    <w:unhideWhenUsed/>
    <w:qFormat/>
    <w:rsid w:val="00601DE7"/>
    <w:pPr>
      <w:tabs>
        <w:tab w:val="clear" w:pos="4153"/>
        <w:tab w:val="clear" w:pos="8306"/>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7F31"/>
    <w:pPr>
      <w:tabs>
        <w:tab w:val="center" w:pos="4153"/>
        <w:tab w:val="right" w:pos="8306"/>
      </w:tabs>
    </w:pPr>
    <w:rPr>
      <w:rFonts w:cs="Times New Roman"/>
      <w:sz w:val="24"/>
      <w:szCs w:val="20"/>
      <w:lang w:eastAsia="en-AU"/>
    </w:rPr>
  </w:style>
  <w:style w:type="character" w:customStyle="1" w:styleId="HeaderChar">
    <w:name w:val="Header Char"/>
    <w:basedOn w:val="DefaultParagraphFont"/>
    <w:link w:val="Header"/>
    <w:rsid w:val="00317F31"/>
    <w:rPr>
      <w:rFonts w:ascii="Times New Roman" w:eastAsia="Times New Roman" w:hAnsi="Times New Roman" w:cs="Times New Roman"/>
      <w:sz w:val="24"/>
      <w:szCs w:val="20"/>
      <w:lang w:eastAsia="en-AU"/>
    </w:rPr>
  </w:style>
  <w:style w:type="paragraph" w:customStyle="1" w:styleId="Default">
    <w:name w:val="Default"/>
    <w:rsid w:val="00C45CB7"/>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uiPriority w:val="99"/>
    <w:semiHidden/>
    <w:unhideWhenUsed/>
    <w:rsid w:val="00C45CB7"/>
    <w:rPr>
      <w:rFonts w:ascii="Tahoma" w:hAnsi="Tahoma" w:cs="Tahoma"/>
      <w:sz w:val="16"/>
      <w:szCs w:val="16"/>
    </w:rPr>
  </w:style>
  <w:style w:type="character" w:customStyle="1" w:styleId="BalloonTextChar">
    <w:name w:val="Balloon Text Char"/>
    <w:basedOn w:val="DefaultParagraphFont"/>
    <w:link w:val="BalloonText"/>
    <w:uiPriority w:val="99"/>
    <w:semiHidden/>
    <w:rsid w:val="00C45C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2FBE"/>
    <w:rPr>
      <w:sz w:val="16"/>
      <w:szCs w:val="16"/>
    </w:rPr>
  </w:style>
  <w:style w:type="paragraph" w:styleId="CommentText">
    <w:name w:val="annotation text"/>
    <w:basedOn w:val="Normal"/>
    <w:link w:val="CommentTextChar"/>
    <w:uiPriority w:val="99"/>
    <w:semiHidden/>
    <w:unhideWhenUsed/>
    <w:rsid w:val="008A2FBE"/>
    <w:rPr>
      <w:sz w:val="20"/>
      <w:szCs w:val="20"/>
    </w:rPr>
  </w:style>
  <w:style w:type="character" w:customStyle="1" w:styleId="CommentTextChar">
    <w:name w:val="Comment Text Char"/>
    <w:basedOn w:val="DefaultParagraphFont"/>
    <w:link w:val="CommentText"/>
    <w:uiPriority w:val="99"/>
    <w:semiHidden/>
    <w:rsid w:val="008A2FBE"/>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AE0E10"/>
    <w:rPr>
      <w:b/>
      <w:bCs/>
    </w:rPr>
  </w:style>
  <w:style w:type="character" w:customStyle="1" w:styleId="CommentSubjectChar">
    <w:name w:val="Comment Subject Char"/>
    <w:basedOn w:val="CommentTextChar"/>
    <w:link w:val="CommentSubject"/>
    <w:uiPriority w:val="99"/>
    <w:semiHidden/>
    <w:rsid w:val="00AE0E10"/>
    <w:rPr>
      <w:rFonts w:ascii="Times New Roman" w:eastAsia="Times New Roman" w:hAnsi="Times New Roman" w:cs="Arial"/>
      <w:b/>
      <w:bCs/>
      <w:sz w:val="20"/>
      <w:szCs w:val="20"/>
    </w:rPr>
  </w:style>
  <w:style w:type="character" w:customStyle="1" w:styleId="Heading1Char">
    <w:name w:val="Heading 1 Char"/>
    <w:basedOn w:val="DefaultParagraphFont"/>
    <w:link w:val="Heading1"/>
    <w:uiPriority w:val="9"/>
    <w:rsid w:val="00601DE7"/>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uiPriority w:val="9"/>
    <w:rsid w:val="00601DE7"/>
    <w:rPr>
      <w:rFonts w:ascii="Times New Roman" w:eastAsia="Times New Roman" w:hAnsi="Times New Roman" w:cs="Times New Roman"/>
      <w:b/>
      <w:sz w:val="24"/>
      <w:szCs w:val="20"/>
      <w:lang w:eastAsia="en-AU"/>
    </w:rPr>
  </w:style>
  <w:style w:type="character" w:styleId="Emphasis">
    <w:name w:val="Emphasis"/>
    <w:basedOn w:val="DefaultParagraphFont"/>
    <w:uiPriority w:val="20"/>
    <w:qFormat/>
    <w:rsid w:val="00280026"/>
    <w:rPr>
      <w:b/>
      <w:bCs/>
      <w:i w:val="0"/>
      <w:iCs w:val="0"/>
    </w:rPr>
  </w:style>
  <w:style w:type="character" w:customStyle="1" w:styleId="st1">
    <w:name w:val="st1"/>
    <w:basedOn w:val="DefaultParagraphFont"/>
    <w:rsid w:val="00280026"/>
  </w:style>
  <w:style w:type="paragraph" w:styleId="Footer">
    <w:name w:val="footer"/>
    <w:basedOn w:val="Normal"/>
    <w:link w:val="FooterChar"/>
    <w:uiPriority w:val="99"/>
    <w:unhideWhenUsed/>
    <w:rsid w:val="009E556C"/>
    <w:pPr>
      <w:tabs>
        <w:tab w:val="center" w:pos="4513"/>
        <w:tab w:val="right" w:pos="9026"/>
      </w:tabs>
    </w:pPr>
  </w:style>
  <w:style w:type="character" w:customStyle="1" w:styleId="FooterChar">
    <w:name w:val="Footer Char"/>
    <w:basedOn w:val="DefaultParagraphFont"/>
    <w:link w:val="Footer"/>
    <w:uiPriority w:val="99"/>
    <w:rsid w:val="009E556C"/>
    <w:rPr>
      <w:rFonts w:ascii="Times New Roman" w:eastAsia="Times New Roman" w:hAnsi="Times New Roman" w:cs="Arial"/>
      <w:sz w:val="28"/>
      <w:szCs w:val="28"/>
    </w:rPr>
  </w:style>
  <w:style w:type="character" w:styleId="Hyperlink">
    <w:name w:val="Hyperlink"/>
    <w:basedOn w:val="DefaultParagraphFont"/>
    <w:uiPriority w:val="99"/>
    <w:unhideWhenUsed/>
    <w:rsid w:val="008A5CFA"/>
    <w:rPr>
      <w:color w:val="0000FF" w:themeColor="hyperlink"/>
      <w:u w:val="single"/>
    </w:rPr>
  </w:style>
  <w:style w:type="character" w:styleId="FollowedHyperlink">
    <w:name w:val="FollowedHyperlink"/>
    <w:basedOn w:val="DefaultParagraphFont"/>
    <w:uiPriority w:val="99"/>
    <w:semiHidden/>
    <w:unhideWhenUsed/>
    <w:rsid w:val="008A5C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74098">
      <w:bodyDiv w:val="1"/>
      <w:marLeft w:val="0"/>
      <w:marRight w:val="0"/>
      <w:marTop w:val="0"/>
      <w:marBottom w:val="0"/>
      <w:divBdr>
        <w:top w:val="none" w:sz="0" w:space="0" w:color="auto"/>
        <w:left w:val="none" w:sz="0" w:space="0" w:color="auto"/>
        <w:bottom w:val="none" w:sz="0" w:space="0" w:color="auto"/>
        <w:right w:val="none" w:sz="0" w:space="0" w:color="auto"/>
      </w:divBdr>
    </w:div>
    <w:div w:id="1011182268">
      <w:bodyDiv w:val="1"/>
      <w:marLeft w:val="0"/>
      <w:marRight w:val="0"/>
      <w:marTop w:val="0"/>
      <w:marBottom w:val="0"/>
      <w:divBdr>
        <w:top w:val="none" w:sz="0" w:space="0" w:color="auto"/>
        <w:left w:val="none" w:sz="0" w:space="0" w:color="auto"/>
        <w:bottom w:val="none" w:sz="0" w:space="0" w:color="auto"/>
        <w:right w:val="none" w:sz="0" w:space="0" w:color="auto"/>
      </w:divBdr>
    </w:div>
    <w:div w:id="1340307803">
      <w:bodyDiv w:val="1"/>
      <w:marLeft w:val="0"/>
      <w:marRight w:val="0"/>
      <w:marTop w:val="0"/>
      <w:marBottom w:val="0"/>
      <w:divBdr>
        <w:top w:val="none" w:sz="0" w:space="0" w:color="auto"/>
        <w:left w:val="none" w:sz="0" w:space="0" w:color="auto"/>
        <w:bottom w:val="none" w:sz="0" w:space="0" w:color="auto"/>
        <w:right w:val="none" w:sz="0" w:space="0" w:color="auto"/>
      </w:divBdr>
    </w:div>
    <w:div w:id="1755858558">
      <w:bodyDiv w:val="1"/>
      <w:marLeft w:val="0"/>
      <w:marRight w:val="0"/>
      <w:marTop w:val="0"/>
      <w:marBottom w:val="0"/>
      <w:divBdr>
        <w:top w:val="none" w:sz="0" w:space="0" w:color="auto"/>
        <w:left w:val="none" w:sz="0" w:space="0" w:color="auto"/>
        <w:bottom w:val="none" w:sz="0" w:space="0" w:color="auto"/>
        <w:right w:val="none" w:sz="0" w:space="0" w:color="auto"/>
      </w:divBdr>
    </w:div>
    <w:div w:id="20976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egislation.gov.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ED079C56E5224A4BAE8F537D6CFBA68D" ma:contentTypeVersion="5" ma:contentTypeDescription="This content type is the root content type of all trim record types with behaviour as Document" ma:contentTypeScope="" ma:versionID="d1f4633c53f3e5d36004a48b37723187">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Props1.xml><?xml version="1.0" encoding="utf-8"?>
<ds:datastoreItem xmlns:ds="http://schemas.openxmlformats.org/officeDocument/2006/customXml" ds:itemID="{E93FCF81-E0D2-4827-9A5E-8F590C19393D}">
  <ds:schemaRefs>
    <ds:schemaRef ds:uri="http://schemas.microsoft.com/sharepoint/v3/contenttype/forms"/>
  </ds:schemaRefs>
</ds:datastoreItem>
</file>

<file path=customXml/itemProps2.xml><?xml version="1.0" encoding="utf-8"?>
<ds:datastoreItem xmlns:ds="http://schemas.openxmlformats.org/officeDocument/2006/customXml" ds:itemID="{6D2AB8B3-FF8C-4849-BBD2-81531484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8D8F0-7C5D-42A1-B895-973BF2FD1B1A}">
  <ds:schemaRefs>
    <ds:schemaRef ds:uri="http://purl.org/dc/elements/1.1/"/>
    <ds:schemaRef ds:uri="http://schemas.microsoft.com/office/2006/metadata/properties"/>
    <ds:schemaRef ds:uri="http://schemas.microsoft.com/office/infopath/2007/PartnerControls"/>
    <ds:schemaRef ds:uri="http://purl.org/dc/terms/"/>
    <ds:schemaRef ds:uri="4597da67-68a3-4e9d-8803-ba3e1787ab6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Rlilley</dc:creator>
  <cp:lastModifiedBy>McCarthy, Jacqui</cp:lastModifiedBy>
  <cp:revision>6</cp:revision>
  <cp:lastPrinted>2017-11-10T00:14:00Z</cp:lastPrinted>
  <dcterms:created xsi:type="dcterms:W3CDTF">2020-12-07T23:49:00Z</dcterms:created>
  <dcterms:modified xsi:type="dcterms:W3CDTF">2021-01-04T03:23:00Z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0x010100407620DDFF47524F86BCF55EDD39464300ED079C56E5224A4BAE8F537D6CFBA68D</vt:lpwstr>
  </property>
  <property fmtid="{D5CDD505-2E9C-101B-9397-08002B2CF9AE}" pid="3" name="TrimRevisionNumber">
    <vt:i4>7</vt:i4>
  </property>
  <property fmtid="{D5CDD505-2E9C-101B-9397-08002B2CF9AE}" pid="4" name="trimRootDocClassification">
    <vt:lpwstr/>
  </property>
  <property fmtid="{D5CDD505-2E9C-101B-9397-08002B2CF9AE}" pid="5" name="trimRootDocAssigneeLocation">
    <vt:lpwstr/>
  </property>
  <property fmtid="{D5CDD505-2E9C-101B-9397-08002B2CF9AE}" pid="6" name="trimRootDocOtherContactLocation">
    <vt:lpwstr/>
  </property>
  <property fmtid="{D5CDD505-2E9C-101B-9397-08002B2CF9AE}" pid="7" name="trimRootDocACLCanUpdateMetadata_List">
    <vt:lpwstr/>
  </property>
  <property fmtid="{D5CDD505-2E9C-101B-9397-08002B2CF9AE}" pid="8" name="trimRootDocACLCanModifyAccess_List">
    <vt:lpwstr/>
  </property>
  <property fmtid="{D5CDD505-2E9C-101B-9397-08002B2CF9AE}" pid="9" name="trimRootDocACLCanUpdateDocument_List">
    <vt:lpwstr/>
  </property>
  <property fmtid="{D5CDD505-2E9C-101B-9397-08002B2CF9AE}" pid="10" name="trimRootDocACLCanViewMetadata_List">
    <vt:lpwstr/>
  </property>
  <property fmtid="{D5CDD505-2E9C-101B-9397-08002B2CF9AE}" pid="11" name="trimRootDocACLCanViewDocument_List">
    <vt:lpwstr/>
  </property>
  <property fmtid="{D5CDD505-2E9C-101B-9397-08002B2CF9AE}" pid="12" name="trimRootDocOwnerLocation">
    <vt:lpwstr/>
  </property>
  <property fmtid="{D5CDD505-2E9C-101B-9397-08002B2CF9AE}" pid="13" name="trimRootDocACLCanContributeDocuments_List">
    <vt:lpwstr/>
  </property>
</Properties>
</file>