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3055BA" wp14:editId="0D55A2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8E6F33" w:rsidRDefault="000A6DED" w:rsidP="005E317F">
      <w:pPr>
        <w:pStyle w:val="ShortT"/>
      </w:pPr>
      <w:r>
        <w:t xml:space="preserve">Therapeutic </w:t>
      </w:r>
      <w:r w:rsidRPr="004C7F5F">
        <w:t>Goods</w:t>
      </w:r>
      <w:r w:rsidR="005E317F" w:rsidRPr="004C7F5F">
        <w:t xml:space="preserve"> (</w:t>
      </w:r>
      <w:r w:rsidR="00031CBE" w:rsidRPr="004C7F5F">
        <w:t>Excluded Goods</w:t>
      </w:r>
      <w:r w:rsidR="005E317F" w:rsidRPr="004C7F5F">
        <w:t xml:space="preserve">) </w:t>
      </w:r>
      <w:r w:rsidR="00085DBA" w:rsidRPr="004C7F5F">
        <w:t>Amendment (Software</w:t>
      </w:r>
      <w:r w:rsidR="00FD1D0B">
        <w:t>-based Products</w:t>
      </w:r>
      <w:r w:rsidR="00085DBA" w:rsidRPr="004C7F5F">
        <w:t xml:space="preserve">) </w:t>
      </w:r>
      <w:r w:rsidR="00945DF4" w:rsidRPr="004C7F5F">
        <w:t>Determination</w:t>
      </w:r>
      <w:r w:rsidR="005E317F" w:rsidRPr="004C7F5F">
        <w:t xml:space="preserve"> </w:t>
      </w:r>
      <w:r w:rsidR="00D06B28">
        <w:t>2021</w:t>
      </w:r>
    </w:p>
    <w:p w:rsidR="005E317F" w:rsidRPr="008E6F33" w:rsidRDefault="005E317F" w:rsidP="005E317F">
      <w:pPr>
        <w:pStyle w:val="SignCoverPageStart"/>
        <w:spacing w:before="240"/>
        <w:ind w:right="91"/>
        <w:rPr>
          <w:szCs w:val="22"/>
        </w:rPr>
      </w:pPr>
      <w:r w:rsidRPr="008E6F33">
        <w:rPr>
          <w:szCs w:val="22"/>
        </w:rPr>
        <w:t xml:space="preserve">I, </w:t>
      </w:r>
      <w:r w:rsidR="00592EAD">
        <w:rPr>
          <w:szCs w:val="22"/>
        </w:rPr>
        <w:t>John Skerritt</w:t>
      </w:r>
      <w:r w:rsidRPr="008E6F33">
        <w:rPr>
          <w:szCs w:val="22"/>
        </w:rPr>
        <w:t xml:space="preserve">, </w:t>
      </w:r>
      <w:r w:rsidR="008E6F33" w:rsidRPr="008E6F33">
        <w:rPr>
          <w:szCs w:val="22"/>
        </w:rPr>
        <w:t xml:space="preserve">as delegate of the </w:t>
      </w:r>
      <w:r w:rsidR="00663F99">
        <w:rPr>
          <w:szCs w:val="22"/>
        </w:rPr>
        <w:t>Minister for</w:t>
      </w:r>
      <w:r w:rsidR="008E6F33" w:rsidRPr="008E6F33">
        <w:rPr>
          <w:szCs w:val="22"/>
        </w:rPr>
        <w:t xml:space="preserve"> Health</w:t>
      </w:r>
      <w:r w:rsidRPr="008E6F33">
        <w:rPr>
          <w:szCs w:val="22"/>
        </w:rPr>
        <w:t xml:space="preserve">, make the following </w:t>
      </w:r>
      <w:r w:rsidR="00663F99">
        <w:rPr>
          <w:szCs w:val="22"/>
        </w:rPr>
        <w:t>determination</w:t>
      </w:r>
      <w:r w:rsidRPr="008E6F33">
        <w:rPr>
          <w:szCs w:val="22"/>
        </w:rPr>
        <w:t>.</w:t>
      </w:r>
    </w:p>
    <w:p w:rsidR="005E317F" w:rsidRPr="008E6F3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E6F33">
        <w:rPr>
          <w:szCs w:val="22"/>
        </w:rPr>
        <w:t>Dated</w:t>
      </w:r>
      <w:r w:rsidR="00745154">
        <w:rPr>
          <w:szCs w:val="22"/>
        </w:rPr>
        <w:t xml:space="preserve"> 13 </w:t>
      </w:r>
      <w:bookmarkStart w:id="0" w:name="_GoBack"/>
      <w:bookmarkEnd w:id="0"/>
      <w:r w:rsidR="00D06B28">
        <w:rPr>
          <w:szCs w:val="22"/>
        </w:rPr>
        <w:t>January 2021</w:t>
      </w:r>
    </w:p>
    <w:p w:rsidR="008E6F33" w:rsidRPr="008E6F33" w:rsidRDefault="00592EA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Adjunct Professor John Skerritt</w:t>
      </w:r>
    </w:p>
    <w:p w:rsidR="008E6F33" w:rsidRPr="008E6F33" w:rsidRDefault="00592EAD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Deputy</w:t>
      </w:r>
      <w:r w:rsidR="00C62DA7">
        <w:rPr>
          <w:szCs w:val="22"/>
        </w:rPr>
        <w:t xml:space="preserve"> Secretary</w:t>
      </w:r>
    </w:p>
    <w:p w:rsidR="008E6F33" w:rsidRPr="00945DF4" w:rsidRDefault="008E6F33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45DF4">
        <w:rPr>
          <w:szCs w:val="22"/>
        </w:rPr>
        <w:t>Health Products Regulation Group</w:t>
      </w:r>
    </w:p>
    <w:p w:rsidR="005E317F" w:rsidRPr="000D3FB9" w:rsidRDefault="008E6F33" w:rsidP="005E317F">
      <w:pPr>
        <w:pStyle w:val="SignCoverPageEnd"/>
        <w:ind w:right="91"/>
        <w:rPr>
          <w:sz w:val="22"/>
        </w:rPr>
      </w:pPr>
      <w:r w:rsidRPr="00945DF4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9E549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E5497">
        <w:rPr>
          <w:noProof/>
        </w:rPr>
        <w:t>1  Name</w:t>
      </w:r>
      <w:r w:rsidR="009E5497">
        <w:rPr>
          <w:noProof/>
        </w:rPr>
        <w:tab/>
      </w:r>
      <w:r w:rsidR="009E5497">
        <w:rPr>
          <w:noProof/>
        </w:rPr>
        <w:fldChar w:fldCharType="begin"/>
      </w:r>
      <w:r w:rsidR="009E5497">
        <w:rPr>
          <w:noProof/>
        </w:rPr>
        <w:instrText xml:space="preserve"> PAGEREF _Toc61339397 \h </w:instrText>
      </w:r>
      <w:r w:rsidR="009E5497">
        <w:rPr>
          <w:noProof/>
        </w:rPr>
      </w:r>
      <w:r w:rsidR="009E5497">
        <w:rPr>
          <w:noProof/>
        </w:rPr>
        <w:fldChar w:fldCharType="separate"/>
      </w:r>
      <w:r w:rsidR="009E5497">
        <w:rPr>
          <w:noProof/>
        </w:rPr>
        <w:t>1</w:t>
      </w:r>
      <w:r w:rsidR="009E5497">
        <w:rPr>
          <w:noProof/>
        </w:rPr>
        <w:fldChar w:fldCharType="end"/>
      </w:r>
    </w:p>
    <w:p w:rsidR="009E5497" w:rsidRDefault="009E54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_Toc61339398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E5497" w:rsidRDefault="009E54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_Toc61339399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E5497" w:rsidRDefault="009E54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_Toc61339400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E5497" w:rsidRDefault="009E54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_Toc61339401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E5497" w:rsidRDefault="009E54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_Toc61339402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1B19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6133939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085DBA" w:rsidRPr="00085DBA">
        <w:rPr>
          <w:i/>
        </w:rPr>
        <w:t>Therapeutic Goods (Excluded Goods) Amendment (Software</w:t>
      </w:r>
      <w:r w:rsidR="00FD1D0B">
        <w:rPr>
          <w:i/>
        </w:rPr>
        <w:t>-based Products</w:t>
      </w:r>
      <w:r w:rsidR="00D06B28">
        <w:rPr>
          <w:i/>
        </w:rPr>
        <w:t>) Determination 2021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6133939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06559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0655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0655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06559B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06559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7D199A" w:rsidP="0006559B">
            <w:pPr>
              <w:pStyle w:val="Tabletext"/>
              <w:rPr>
                <w:i/>
              </w:rPr>
            </w:pPr>
            <w:r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53CE4" w:rsidRPr="006C3A6A" w:rsidRDefault="002C0F34" w:rsidP="004C6095">
            <w:pPr>
              <w:pStyle w:val="Tabletext"/>
            </w:pPr>
            <w:r>
              <w:t>25 February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6C3A6A" w:rsidRDefault="002C0F34" w:rsidP="0006559B">
            <w:pPr>
              <w:pStyle w:val="Tabletext"/>
            </w:pPr>
            <w:r>
              <w:t>25 February 2021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6133939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C371C">
        <w:t xml:space="preserve">section </w:t>
      </w:r>
      <w:r w:rsidR="000A6DED">
        <w:t xml:space="preserve">7AA </w:t>
      </w:r>
      <w:r w:rsidR="007D199A">
        <w:t xml:space="preserve">of the </w:t>
      </w:r>
      <w:r w:rsidR="007D199A" w:rsidRPr="007D199A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61339400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95EA3" w:rsidRDefault="00B95EA3" w:rsidP="00B95EA3">
      <w:pPr>
        <w:pStyle w:val="ActHead6"/>
        <w:pageBreakBefore/>
        <w:rPr>
          <w:rStyle w:val="CharAmSchText"/>
        </w:rPr>
      </w:pPr>
      <w:bookmarkStart w:id="7" w:name="_Toc478567691"/>
      <w:bookmarkStart w:id="8" w:name="_Toc11401311"/>
      <w:bookmarkStart w:id="9" w:name="_Toc6133940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  <w:bookmarkEnd w:id="9"/>
    </w:p>
    <w:p w:rsidR="00B95EA3" w:rsidRDefault="00B95EA3" w:rsidP="00B95EA3">
      <w:pPr>
        <w:pStyle w:val="ActHead9"/>
      </w:pPr>
      <w:bookmarkStart w:id="10" w:name="_Toc11401312"/>
      <w:bookmarkStart w:id="11" w:name="_Toc61339402"/>
      <w:r w:rsidRPr="009A7D0C">
        <w:rPr>
          <w:noProof/>
        </w:rPr>
        <w:t>Therapeutic Goods (Excluded Goods) Determination 2018</w:t>
      </w:r>
      <w:bookmarkEnd w:id="10"/>
      <w:bookmarkEnd w:id="11"/>
    </w:p>
    <w:p w:rsidR="00B95EA3" w:rsidRDefault="009645FD" w:rsidP="00B95EA3">
      <w:pPr>
        <w:pStyle w:val="ItemHead"/>
        <w:spacing w:before="360"/>
      </w:pPr>
      <w:r>
        <w:t>1</w:t>
      </w:r>
      <w:r w:rsidR="00B95EA3">
        <w:t xml:space="preserve">  Section 4</w:t>
      </w:r>
    </w:p>
    <w:p w:rsidR="00B95EA3" w:rsidRDefault="00B95EA3" w:rsidP="00B95EA3">
      <w:pPr>
        <w:pStyle w:val="Item"/>
      </w:pPr>
      <w:r>
        <w:t>Insert:</w:t>
      </w:r>
    </w:p>
    <w:p w:rsidR="00822DA0" w:rsidRPr="00C52335" w:rsidRDefault="00822DA0" w:rsidP="000D5D0C">
      <w:pPr>
        <w:pStyle w:val="Definition"/>
        <w:rPr>
          <w:b/>
          <w:i/>
        </w:rPr>
      </w:pPr>
      <w:r w:rsidRPr="00C52335">
        <w:rPr>
          <w:b/>
          <w:i/>
        </w:rPr>
        <w:t xml:space="preserve">health professional </w:t>
      </w:r>
      <w:r w:rsidRPr="00C52335">
        <w:t>has the same meaning as in the Medical Devices Regulations.</w:t>
      </w:r>
    </w:p>
    <w:p w:rsidR="00E1738B" w:rsidRDefault="00B95EA3" w:rsidP="006622D4">
      <w:pPr>
        <w:pStyle w:val="Definition"/>
      </w:pPr>
      <w:r w:rsidRPr="006622D4">
        <w:rPr>
          <w:b/>
          <w:i/>
        </w:rPr>
        <w:t>Medical Devices Regulations</w:t>
      </w:r>
      <w:r w:rsidRPr="006622D4">
        <w:t xml:space="preserve"> means the </w:t>
      </w:r>
      <w:r w:rsidRPr="009645FD">
        <w:rPr>
          <w:i/>
        </w:rPr>
        <w:t>Therapeutic Goods (Medical Devices) Regulations 2002</w:t>
      </w:r>
      <w:r w:rsidRPr="005E1D89">
        <w:t>.</w:t>
      </w:r>
    </w:p>
    <w:p w:rsidR="009645FD" w:rsidRDefault="000D5D0C" w:rsidP="006622D4">
      <w:pPr>
        <w:pStyle w:val="Definition"/>
      </w:pPr>
      <w:r>
        <w:rPr>
          <w:b/>
          <w:i/>
        </w:rPr>
        <w:t>s</w:t>
      </w:r>
      <w:r w:rsidR="009645FD">
        <w:rPr>
          <w:b/>
          <w:i/>
        </w:rPr>
        <w:t>erious</w:t>
      </w:r>
      <w:r>
        <w:t>, for a condition</w:t>
      </w:r>
      <w:r w:rsidRPr="001F190F">
        <w:t xml:space="preserve">, </w:t>
      </w:r>
      <w:r w:rsidRPr="00C52335">
        <w:t>ailment or defect</w:t>
      </w:r>
      <w:r w:rsidRPr="001F190F">
        <w:t xml:space="preserve">, </w:t>
      </w:r>
      <w:r w:rsidR="009645FD" w:rsidRPr="001F190F">
        <w:t>has</w:t>
      </w:r>
      <w:r w:rsidR="009645FD">
        <w:t xml:space="preserve"> the same meaning as in the Medical Devices Regulations.</w:t>
      </w:r>
    </w:p>
    <w:p w:rsidR="000D4367" w:rsidRPr="0075654A" w:rsidRDefault="009645FD" w:rsidP="0075654A">
      <w:pPr>
        <w:pStyle w:val="Definition"/>
        <w:rPr>
          <w:szCs w:val="22"/>
          <w:highlight w:val="yellow"/>
        </w:rPr>
      </w:pPr>
      <w:r>
        <w:rPr>
          <w:b/>
          <w:i/>
        </w:rPr>
        <w:t>serious</w:t>
      </w:r>
      <w:r w:rsidRPr="009645FD">
        <w:t xml:space="preserve"> </w:t>
      </w:r>
      <w:r>
        <w:rPr>
          <w:b/>
          <w:i/>
        </w:rPr>
        <w:t>disease</w:t>
      </w:r>
      <w:r w:rsidRPr="009645FD">
        <w:t xml:space="preserve"> </w:t>
      </w:r>
      <w:r>
        <w:t>has the same meaning as in the Medical Devices Regulations.</w:t>
      </w:r>
    </w:p>
    <w:p w:rsidR="001D0D88" w:rsidRDefault="0012523C" w:rsidP="001D0D88">
      <w:pPr>
        <w:pStyle w:val="ItemHead"/>
        <w:spacing w:after="120"/>
      </w:pPr>
      <w:r>
        <w:t>2</w:t>
      </w:r>
      <w:r w:rsidR="001D0D88">
        <w:t xml:space="preserve">  Schedule 1 (after table item </w:t>
      </w:r>
      <w:r w:rsidR="00C80649">
        <w:t>14</w:t>
      </w:r>
      <w:r w:rsidR="001D0D88">
        <w:t>)</w:t>
      </w:r>
    </w:p>
    <w:p w:rsidR="001D0D88" w:rsidRDefault="001D0D88" w:rsidP="001D0D88">
      <w:pPr>
        <w:pStyle w:val="Item"/>
        <w:spacing w:after="240"/>
      </w:pPr>
      <w:r>
        <w:t>Insert:</w:t>
      </w:r>
    </w:p>
    <w:tbl>
      <w:tblPr>
        <w:tblpPr w:leftFromText="180" w:rightFromText="180" w:vertAnchor="text" w:tblpY="1"/>
        <w:tblOverlap w:val="never"/>
        <w:tblW w:w="84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C80649" w:rsidRPr="002A7D6D" w:rsidTr="00C80649">
        <w:trPr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649" w:rsidRDefault="00C80649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14A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D4" w:rsidRDefault="000D4367" w:rsidP="00F518FE">
            <w:pPr>
              <w:spacing w:before="60" w:line="276" w:lineRule="auto"/>
              <w:rPr>
                <w:sz w:val="20"/>
              </w:rPr>
            </w:pPr>
            <w:r w:rsidRPr="000D4367">
              <w:rPr>
                <w:sz w:val="20"/>
              </w:rPr>
              <w:t xml:space="preserve">software </w:t>
            </w:r>
            <w:r w:rsidR="0026269D">
              <w:rPr>
                <w:sz w:val="20"/>
              </w:rPr>
              <w:t>that is:</w:t>
            </w:r>
          </w:p>
          <w:p w:rsidR="00B73CD4" w:rsidRPr="00C52335" w:rsidRDefault="00643583" w:rsidP="009645FD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(a)</w:t>
            </w:r>
            <w:r w:rsidRPr="00C52335">
              <w:rPr>
                <w:sz w:val="20"/>
              </w:rPr>
              <w:tab/>
            </w:r>
            <w:r w:rsidR="00293D8F" w:rsidRPr="00C52335">
              <w:rPr>
                <w:sz w:val="20"/>
                <w:szCs w:val="20"/>
                <w:lang w:eastAsia="en-US"/>
              </w:rPr>
              <w:t>i</w:t>
            </w:r>
            <w:r w:rsidR="00B73CD4" w:rsidRPr="00C52335">
              <w:rPr>
                <w:sz w:val="20"/>
                <w:szCs w:val="20"/>
                <w:lang w:eastAsia="en-US"/>
              </w:rPr>
              <w:t>ntended</w:t>
            </w:r>
            <w:r w:rsidR="00B73CD4" w:rsidRPr="00C52335">
              <w:rPr>
                <w:sz w:val="20"/>
              </w:rPr>
              <w:t xml:space="preserve"> </w:t>
            </w:r>
            <w:r w:rsidR="00293D8F" w:rsidRPr="00C52335">
              <w:rPr>
                <w:sz w:val="20"/>
              </w:rPr>
              <w:t xml:space="preserve">by </w:t>
            </w:r>
            <w:r w:rsidR="00B73CD4" w:rsidRPr="00C52335">
              <w:rPr>
                <w:sz w:val="20"/>
              </w:rPr>
              <w:t xml:space="preserve">its manufacturer to be </w:t>
            </w:r>
            <w:r w:rsidR="00581050" w:rsidRPr="00C52335">
              <w:rPr>
                <w:sz w:val="20"/>
              </w:rPr>
              <w:t xml:space="preserve">used by a consumer </w:t>
            </w:r>
            <w:r w:rsidR="00B73CD4" w:rsidRPr="00C52335">
              <w:rPr>
                <w:sz w:val="20"/>
              </w:rPr>
              <w:t>for the</w:t>
            </w:r>
            <w:r w:rsidR="000D4367" w:rsidRPr="00C52335">
              <w:rPr>
                <w:sz w:val="20"/>
              </w:rPr>
              <w:t xml:space="preserve"> self-management of a</w:t>
            </w:r>
            <w:r w:rsidR="00863F95">
              <w:rPr>
                <w:sz w:val="20"/>
              </w:rPr>
              <w:t>n existing</w:t>
            </w:r>
            <w:r w:rsidR="004C7D5B" w:rsidRPr="00C52335">
              <w:rPr>
                <w:sz w:val="20"/>
              </w:rPr>
              <w:t xml:space="preserve"> </w:t>
            </w:r>
            <w:r w:rsidR="00B73CD4" w:rsidRPr="00C52335">
              <w:rPr>
                <w:sz w:val="20"/>
              </w:rPr>
              <w:t>disease</w:t>
            </w:r>
            <w:r w:rsidR="00DA567F" w:rsidRPr="00C52335">
              <w:rPr>
                <w:sz w:val="20"/>
              </w:rPr>
              <w:t>,</w:t>
            </w:r>
            <w:r w:rsidR="00B73CD4" w:rsidRPr="00C52335">
              <w:rPr>
                <w:sz w:val="20"/>
              </w:rPr>
              <w:t xml:space="preserve"> </w:t>
            </w:r>
            <w:r w:rsidR="000D4367" w:rsidRPr="00C52335">
              <w:rPr>
                <w:sz w:val="20"/>
              </w:rPr>
              <w:t>condition</w:t>
            </w:r>
            <w:r w:rsidR="00DA567F" w:rsidRPr="00C52335">
              <w:rPr>
                <w:sz w:val="20"/>
              </w:rPr>
              <w:t>, ailment or defect</w:t>
            </w:r>
            <w:r w:rsidR="000D4367" w:rsidRPr="00C52335">
              <w:rPr>
                <w:sz w:val="20"/>
              </w:rPr>
              <w:t xml:space="preserve"> </w:t>
            </w:r>
            <w:r w:rsidR="00B73CD4" w:rsidRPr="00C52335">
              <w:rPr>
                <w:sz w:val="20"/>
              </w:rPr>
              <w:t>that is not a serious disease or serious condition</w:t>
            </w:r>
            <w:r w:rsidR="00DA567F" w:rsidRPr="00C52335">
              <w:rPr>
                <w:sz w:val="20"/>
              </w:rPr>
              <w:t>, ailment or defect</w:t>
            </w:r>
            <w:r w:rsidR="00B73CD4" w:rsidRPr="00C52335">
              <w:rPr>
                <w:sz w:val="20"/>
              </w:rPr>
              <w:t>; and</w:t>
            </w:r>
          </w:p>
          <w:p w:rsidR="00C0388E" w:rsidRPr="00C52335" w:rsidRDefault="00643583" w:rsidP="009645FD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(b)</w:t>
            </w:r>
            <w:r w:rsidRPr="00C52335">
              <w:rPr>
                <w:sz w:val="20"/>
              </w:rPr>
              <w:tab/>
            </w:r>
            <w:r w:rsidR="00B73CD4" w:rsidRPr="00C52335">
              <w:rPr>
                <w:sz w:val="20"/>
                <w:szCs w:val="20"/>
                <w:lang w:eastAsia="en-US"/>
              </w:rPr>
              <w:t>not</w:t>
            </w:r>
            <w:r w:rsidR="00B73CD4" w:rsidRPr="00C52335">
              <w:rPr>
                <w:sz w:val="20"/>
              </w:rPr>
              <w:t xml:space="preserve"> i</w:t>
            </w:r>
            <w:r w:rsidR="00315B4F" w:rsidRPr="00C52335">
              <w:rPr>
                <w:sz w:val="20"/>
              </w:rPr>
              <w:t xml:space="preserve">ntended by </w:t>
            </w:r>
            <w:r w:rsidR="00291A40" w:rsidRPr="00C52335">
              <w:rPr>
                <w:sz w:val="20"/>
              </w:rPr>
              <w:t>its</w:t>
            </w:r>
            <w:r w:rsidR="00315B4F" w:rsidRPr="00C52335">
              <w:rPr>
                <w:sz w:val="20"/>
              </w:rPr>
              <w:t xml:space="preserve"> manufacturer to</w:t>
            </w:r>
            <w:r w:rsidR="00225256">
              <w:rPr>
                <w:sz w:val="20"/>
              </w:rPr>
              <w:t xml:space="preserve"> be used</w:t>
            </w:r>
            <w:r w:rsidR="00C0388E" w:rsidRPr="00C52335">
              <w:rPr>
                <w:sz w:val="20"/>
              </w:rPr>
              <w:t>:</w:t>
            </w:r>
          </w:p>
          <w:p w:rsidR="00C51F0F" w:rsidRPr="00225256" w:rsidRDefault="00225256" w:rsidP="00225256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z w:val="20"/>
              </w:rPr>
              <w:tab/>
            </w:r>
            <w:r w:rsidR="00863F95">
              <w:rPr>
                <w:sz w:val="20"/>
              </w:rPr>
              <w:t>in clinical practice</w:t>
            </w:r>
            <w:r w:rsidRPr="00225256">
              <w:rPr>
                <w:sz w:val="20"/>
              </w:rPr>
              <w:t>; or</w:t>
            </w:r>
          </w:p>
          <w:p w:rsidR="00581AFF" w:rsidRDefault="00225256" w:rsidP="0012523C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(ii</w:t>
            </w:r>
            <w:r w:rsidR="00C0388E">
              <w:rPr>
                <w:sz w:val="20"/>
              </w:rPr>
              <w:t>)</w:t>
            </w:r>
            <w:r w:rsidR="00C0388E">
              <w:rPr>
                <w:sz w:val="20"/>
              </w:rPr>
              <w:tab/>
            </w:r>
            <w:r w:rsidR="00863F95">
              <w:rPr>
                <w:sz w:val="20"/>
              </w:rPr>
              <w:t xml:space="preserve">in relation to </w:t>
            </w:r>
            <w:r w:rsidR="00863F95" w:rsidRPr="000D5D0C">
              <w:rPr>
                <w:sz w:val="20"/>
              </w:rPr>
              <w:t>a</w:t>
            </w:r>
            <w:r w:rsidR="00863F95">
              <w:rPr>
                <w:sz w:val="20"/>
              </w:rPr>
              <w:t xml:space="preserve"> serious disease or serious condition, ailment or defect</w:t>
            </w:r>
            <w:r w:rsidR="004C52C0">
              <w:rPr>
                <w:sz w:val="20"/>
              </w:rPr>
              <w:t>; or</w:t>
            </w:r>
          </w:p>
          <w:p w:rsidR="00C0388E" w:rsidRPr="006622D4" w:rsidRDefault="00225256" w:rsidP="00C52335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(iii</w:t>
            </w:r>
            <w:r w:rsidR="00581AFF">
              <w:rPr>
                <w:sz w:val="20"/>
              </w:rPr>
              <w:t>)</w:t>
            </w:r>
            <w:r w:rsidR="00581AFF">
              <w:rPr>
                <w:sz w:val="20"/>
              </w:rPr>
              <w:tab/>
            </w:r>
            <w:r w:rsidR="00C6749F">
              <w:rPr>
                <w:sz w:val="20"/>
              </w:rPr>
              <w:t>for the purpose of diagnosis</w:t>
            </w:r>
            <w:r w:rsidR="00C6749F" w:rsidRPr="005A05A2">
              <w:rPr>
                <w:sz w:val="20"/>
              </w:rPr>
              <w:t>, treat</w:t>
            </w:r>
            <w:r w:rsidR="00C6749F">
              <w:rPr>
                <w:sz w:val="20"/>
              </w:rPr>
              <w:t>ment, or making</w:t>
            </w:r>
            <w:r w:rsidR="00C6749F" w:rsidRPr="005A05A2">
              <w:rPr>
                <w:sz w:val="20"/>
              </w:rPr>
              <w:t xml:space="preserve"> a specific recommendation or decision about the treatment</w:t>
            </w:r>
            <w:r w:rsidR="00C6749F">
              <w:rPr>
                <w:sz w:val="20"/>
              </w:rPr>
              <w:t>, of</w:t>
            </w:r>
            <w:r w:rsidR="00C6749F" w:rsidRPr="00C0388E">
              <w:rPr>
                <w:sz w:val="20"/>
              </w:rPr>
              <w:t xml:space="preserve"> </w:t>
            </w:r>
            <w:r w:rsidR="00C6749F" w:rsidRPr="004C7D5B">
              <w:rPr>
                <w:sz w:val="20"/>
              </w:rPr>
              <w:t>a disease</w:t>
            </w:r>
            <w:r w:rsidR="00C6749F">
              <w:rPr>
                <w:sz w:val="20"/>
              </w:rPr>
              <w:t>,</w:t>
            </w:r>
            <w:r w:rsidR="00C6749F" w:rsidRPr="004C7D5B">
              <w:rPr>
                <w:sz w:val="20"/>
              </w:rPr>
              <w:t xml:space="preserve"> condition</w:t>
            </w:r>
            <w:r w:rsidR="00C6749F">
              <w:rPr>
                <w:sz w:val="20"/>
              </w:rPr>
              <w:t xml:space="preserve">, ailment or defect </w:t>
            </w:r>
            <w:r w:rsidR="00C6749F" w:rsidRPr="004C7D5B">
              <w:rPr>
                <w:sz w:val="20"/>
              </w:rPr>
              <w:t>that is not a serious disease or serious condition</w:t>
            </w:r>
            <w:r w:rsidR="00C6749F">
              <w:rPr>
                <w:sz w:val="20"/>
              </w:rPr>
              <w:t>, ailment or defect</w:t>
            </w:r>
          </w:p>
        </w:tc>
      </w:tr>
      <w:tr w:rsidR="00BB5FF6" w:rsidRPr="002A7D6D" w:rsidTr="00C80649">
        <w:trPr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FF6" w:rsidRDefault="0009595F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14B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497" w:rsidRPr="00C52335" w:rsidRDefault="00914C82" w:rsidP="004C7F5F">
            <w:pPr>
              <w:spacing w:before="60" w:line="276" w:lineRule="auto"/>
              <w:rPr>
                <w:sz w:val="20"/>
              </w:rPr>
            </w:pPr>
            <w:r w:rsidRPr="00C52335">
              <w:rPr>
                <w:sz w:val="20"/>
              </w:rPr>
              <w:t>software</w:t>
            </w:r>
            <w:r w:rsidR="003069F6" w:rsidRPr="00C52335">
              <w:rPr>
                <w:sz w:val="20"/>
              </w:rPr>
              <w:t>, or a combination of</w:t>
            </w:r>
            <w:r w:rsidRPr="00C52335">
              <w:rPr>
                <w:sz w:val="20"/>
              </w:rPr>
              <w:t xml:space="preserve"> software and non-invasive hardware</w:t>
            </w:r>
            <w:r w:rsidR="008A70CB">
              <w:rPr>
                <w:sz w:val="20"/>
              </w:rPr>
              <w:t>,</w:t>
            </w:r>
            <w:r w:rsidR="008A70CB" w:rsidRPr="00C52335">
              <w:rPr>
                <w:sz w:val="20"/>
              </w:rPr>
              <w:t xml:space="preserve"> </w:t>
            </w:r>
            <w:r w:rsidR="00CD5972" w:rsidRPr="00C52335">
              <w:rPr>
                <w:sz w:val="20"/>
              </w:rPr>
              <w:t xml:space="preserve">that </w:t>
            </w:r>
            <w:r w:rsidR="00880DD7" w:rsidRPr="00C52335">
              <w:rPr>
                <w:sz w:val="20"/>
              </w:rPr>
              <w:t>is</w:t>
            </w:r>
            <w:r w:rsidR="00566497" w:rsidRPr="00C52335">
              <w:rPr>
                <w:sz w:val="20"/>
              </w:rPr>
              <w:t>:</w:t>
            </w:r>
          </w:p>
          <w:p w:rsidR="001D07AC" w:rsidRPr="00C52335" w:rsidRDefault="00566497" w:rsidP="000D5D0C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(a)</w:t>
            </w:r>
            <w:r w:rsidRPr="00C52335">
              <w:rPr>
                <w:sz w:val="20"/>
              </w:rPr>
              <w:tab/>
            </w:r>
            <w:r w:rsidR="00F9049C" w:rsidRPr="00C52335">
              <w:rPr>
                <w:sz w:val="20"/>
              </w:rPr>
              <w:t>intended by its manu</w:t>
            </w:r>
            <w:r w:rsidR="003C1F7B">
              <w:rPr>
                <w:sz w:val="20"/>
              </w:rPr>
              <w:t>facturer to be used by a consumer</w:t>
            </w:r>
            <w:r w:rsidR="00F9049C" w:rsidRPr="00C52335">
              <w:rPr>
                <w:sz w:val="20"/>
              </w:rPr>
              <w:t xml:space="preserve"> to </w:t>
            </w:r>
            <w:r w:rsidR="00793208" w:rsidRPr="00C52335">
              <w:rPr>
                <w:sz w:val="20"/>
              </w:rPr>
              <w:t>promote or facilitate g</w:t>
            </w:r>
            <w:r w:rsidR="00F9049C" w:rsidRPr="00C52335">
              <w:rPr>
                <w:sz w:val="20"/>
              </w:rPr>
              <w:t xml:space="preserve">eneral health </w:t>
            </w:r>
            <w:r w:rsidR="00793208" w:rsidRPr="00C52335">
              <w:rPr>
                <w:sz w:val="20"/>
              </w:rPr>
              <w:t>or</w:t>
            </w:r>
            <w:r w:rsidR="00F9049C" w:rsidRPr="00C52335">
              <w:rPr>
                <w:sz w:val="20"/>
              </w:rPr>
              <w:t xml:space="preserve"> </w:t>
            </w:r>
            <w:r w:rsidR="003801EC">
              <w:rPr>
                <w:sz w:val="20"/>
              </w:rPr>
              <w:t>wellness</w:t>
            </w:r>
            <w:r w:rsidR="008A70CB">
              <w:rPr>
                <w:sz w:val="20"/>
              </w:rPr>
              <w:t xml:space="preserve"> by measuring</w:t>
            </w:r>
            <w:r w:rsidR="008A70CB" w:rsidRPr="00C52335">
              <w:rPr>
                <w:sz w:val="20"/>
              </w:rPr>
              <w:t xml:space="preserve"> or monitor</w:t>
            </w:r>
            <w:r w:rsidR="008A70CB">
              <w:rPr>
                <w:sz w:val="20"/>
              </w:rPr>
              <w:t>ing</w:t>
            </w:r>
            <w:r w:rsidR="00317C2D">
              <w:rPr>
                <w:sz w:val="20"/>
              </w:rPr>
              <w:t xml:space="preserve"> (</w:t>
            </w:r>
            <w:r w:rsidR="005376B2">
              <w:rPr>
                <w:sz w:val="20"/>
              </w:rPr>
              <w:t>through non-invasive means</w:t>
            </w:r>
            <w:r w:rsidR="00317C2D">
              <w:rPr>
                <w:sz w:val="20"/>
              </w:rPr>
              <w:t>)</w:t>
            </w:r>
            <w:r w:rsidR="005376B2">
              <w:rPr>
                <w:sz w:val="20"/>
              </w:rPr>
              <w:t xml:space="preserve"> </w:t>
            </w:r>
            <w:r w:rsidR="008A70CB" w:rsidRPr="00C52335">
              <w:rPr>
                <w:sz w:val="20"/>
              </w:rPr>
              <w:t xml:space="preserve">a </w:t>
            </w:r>
            <w:r w:rsidR="00963CEF">
              <w:rPr>
                <w:sz w:val="20"/>
              </w:rPr>
              <w:t>physical</w:t>
            </w:r>
            <w:r w:rsidR="008A70CB" w:rsidRPr="00C52335">
              <w:rPr>
                <w:sz w:val="20"/>
              </w:rPr>
              <w:t xml:space="preserve"> p</w:t>
            </w:r>
            <w:r w:rsidR="003801EC">
              <w:rPr>
                <w:sz w:val="20"/>
              </w:rPr>
              <w:t>arameter</w:t>
            </w:r>
            <w:r w:rsidR="008A70CB">
              <w:rPr>
                <w:sz w:val="20"/>
              </w:rPr>
              <w:t xml:space="preserve">, such as </w:t>
            </w:r>
            <w:r w:rsidR="00963CEF">
              <w:rPr>
                <w:sz w:val="20"/>
              </w:rPr>
              <w:t xml:space="preserve">movement, </w:t>
            </w:r>
            <w:r w:rsidR="003801EC">
              <w:rPr>
                <w:sz w:val="20"/>
              </w:rPr>
              <w:t xml:space="preserve">sleep, </w:t>
            </w:r>
            <w:r w:rsidR="00926F84">
              <w:rPr>
                <w:sz w:val="20"/>
              </w:rPr>
              <w:t>heart rate, heart rhythm, temperature</w:t>
            </w:r>
            <w:r w:rsidR="005A3B75">
              <w:rPr>
                <w:sz w:val="20"/>
              </w:rPr>
              <w:t>, blood pressure</w:t>
            </w:r>
            <w:r w:rsidR="00926F84">
              <w:rPr>
                <w:sz w:val="20"/>
              </w:rPr>
              <w:t xml:space="preserve"> or </w:t>
            </w:r>
            <w:r w:rsidR="008A70CB">
              <w:rPr>
                <w:sz w:val="20"/>
              </w:rPr>
              <w:t>oxygen satu</w:t>
            </w:r>
            <w:r w:rsidR="00926F84">
              <w:rPr>
                <w:sz w:val="20"/>
              </w:rPr>
              <w:t>ration</w:t>
            </w:r>
            <w:r w:rsidR="001D07AC" w:rsidRPr="00C52335">
              <w:rPr>
                <w:sz w:val="20"/>
              </w:rPr>
              <w:t>;</w:t>
            </w:r>
            <w:r w:rsidR="007370F9" w:rsidRPr="00C52335">
              <w:rPr>
                <w:sz w:val="20"/>
              </w:rPr>
              <w:t xml:space="preserve"> </w:t>
            </w:r>
            <w:r w:rsidR="00BE002F" w:rsidRPr="00C52335">
              <w:rPr>
                <w:sz w:val="20"/>
              </w:rPr>
              <w:t>and</w:t>
            </w:r>
          </w:p>
          <w:p w:rsidR="00793208" w:rsidRPr="00C52335" w:rsidRDefault="001D07AC" w:rsidP="000D5D0C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(b)</w:t>
            </w:r>
            <w:r w:rsidRPr="00C52335">
              <w:rPr>
                <w:sz w:val="20"/>
              </w:rPr>
              <w:tab/>
            </w:r>
            <w:r w:rsidR="007370F9" w:rsidRPr="00C52335">
              <w:rPr>
                <w:sz w:val="20"/>
              </w:rPr>
              <w:t>not intended by its manufacturer to</w:t>
            </w:r>
            <w:r w:rsidR="0029201E" w:rsidRPr="00C52335">
              <w:rPr>
                <w:sz w:val="20"/>
              </w:rPr>
              <w:t xml:space="preserve"> be used</w:t>
            </w:r>
            <w:r w:rsidR="00793208" w:rsidRPr="00C52335">
              <w:rPr>
                <w:sz w:val="20"/>
              </w:rPr>
              <w:t>:</w:t>
            </w:r>
          </w:p>
          <w:p w:rsidR="00793208" w:rsidRPr="00C52335" w:rsidRDefault="00793208" w:rsidP="00FC20C2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 w:rsidRPr="00C52335">
              <w:rPr>
                <w:sz w:val="20"/>
              </w:rPr>
              <w:t>(i)</w:t>
            </w:r>
            <w:r w:rsidRPr="00C52335">
              <w:rPr>
                <w:sz w:val="20"/>
              </w:rPr>
              <w:tab/>
              <w:t>in clinical practice; or</w:t>
            </w:r>
          </w:p>
          <w:p w:rsidR="00BB5FF6" w:rsidRPr="00C52335" w:rsidRDefault="00793208" w:rsidP="004173E6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 w:rsidRPr="00C52335">
              <w:rPr>
                <w:sz w:val="20"/>
              </w:rPr>
              <w:t>(ii)</w:t>
            </w:r>
            <w:r w:rsidRPr="00C52335">
              <w:rPr>
                <w:sz w:val="20"/>
              </w:rPr>
              <w:tab/>
            </w:r>
            <w:r w:rsidR="0012527C" w:rsidRPr="00C52335">
              <w:rPr>
                <w:sz w:val="20"/>
              </w:rPr>
              <w:t xml:space="preserve">for the purpose of </w:t>
            </w:r>
            <w:r w:rsidR="007370F9" w:rsidRPr="00C52335">
              <w:rPr>
                <w:sz w:val="20"/>
              </w:rPr>
              <w:t>diagnos</w:t>
            </w:r>
            <w:r w:rsidR="0012527C" w:rsidRPr="00C52335">
              <w:rPr>
                <w:sz w:val="20"/>
              </w:rPr>
              <w:t>is</w:t>
            </w:r>
            <w:r w:rsidR="007370F9" w:rsidRPr="00C52335">
              <w:rPr>
                <w:sz w:val="20"/>
              </w:rPr>
              <w:t>, screen</w:t>
            </w:r>
            <w:r w:rsidR="0012527C" w:rsidRPr="00C52335">
              <w:rPr>
                <w:sz w:val="20"/>
              </w:rPr>
              <w:t>ing</w:t>
            </w:r>
            <w:r w:rsidR="007370F9" w:rsidRPr="00C52335">
              <w:rPr>
                <w:sz w:val="20"/>
              </w:rPr>
              <w:t xml:space="preserve">, </w:t>
            </w:r>
            <w:r w:rsidR="00831940" w:rsidRPr="00C52335">
              <w:rPr>
                <w:sz w:val="20"/>
              </w:rPr>
              <w:t>prevent</w:t>
            </w:r>
            <w:r w:rsidR="0012527C" w:rsidRPr="00C52335">
              <w:rPr>
                <w:sz w:val="20"/>
              </w:rPr>
              <w:t>ion</w:t>
            </w:r>
            <w:r w:rsidR="00831940" w:rsidRPr="00C52335">
              <w:rPr>
                <w:sz w:val="20"/>
              </w:rPr>
              <w:t xml:space="preserve">, </w:t>
            </w:r>
            <w:r w:rsidR="007370F9" w:rsidRPr="00C52335">
              <w:rPr>
                <w:sz w:val="20"/>
              </w:rPr>
              <w:t>monitor</w:t>
            </w:r>
            <w:r w:rsidR="0012527C" w:rsidRPr="00C52335">
              <w:rPr>
                <w:sz w:val="20"/>
              </w:rPr>
              <w:t>ing</w:t>
            </w:r>
            <w:r w:rsidR="007370F9" w:rsidRPr="00C52335">
              <w:rPr>
                <w:sz w:val="20"/>
              </w:rPr>
              <w:t>,</w:t>
            </w:r>
            <w:r w:rsidR="00CA1074" w:rsidRPr="00C52335">
              <w:rPr>
                <w:sz w:val="20"/>
              </w:rPr>
              <w:t xml:space="preserve"> </w:t>
            </w:r>
            <w:r w:rsidR="00831940" w:rsidRPr="00C52335">
              <w:rPr>
                <w:sz w:val="20"/>
              </w:rPr>
              <w:t>predict</w:t>
            </w:r>
            <w:r w:rsidR="0012527C" w:rsidRPr="00C52335">
              <w:rPr>
                <w:sz w:val="20"/>
              </w:rPr>
              <w:t xml:space="preserve">ion, </w:t>
            </w:r>
            <w:r w:rsidR="00831940" w:rsidRPr="00C52335">
              <w:rPr>
                <w:sz w:val="20"/>
              </w:rPr>
              <w:t xml:space="preserve">prognosis, </w:t>
            </w:r>
            <w:r w:rsidR="0012527C" w:rsidRPr="00C52335">
              <w:rPr>
                <w:sz w:val="20"/>
              </w:rPr>
              <w:t>alleviation</w:t>
            </w:r>
            <w:r w:rsidR="00831940" w:rsidRPr="00C52335">
              <w:rPr>
                <w:sz w:val="20"/>
              </w:rPr>
              <w:t xml:space="preserve">, </w:t>
            </w:r>
            <w:r w:rsidR="00CA1074" w:rsidRPr="00C52335">
              <w:rPr>
                <w:sz w:val="20"/>
              </w:rPr>
              <w:t>treat</w:t>
            </w:r>
            <w:r w:rsidR="0012527C" w:rsidRPr="00C52335">
              <w:rPr>
                <w:sz w:val="20"/>
              </w:rPr>
              <w:t>ment</w:t>
            </w:r>
            <w:r w:rsidR="00CA1074" w:rsidRPr="00C52335">
              <w:rPr>
                <w:sz w:val="20"/>
              </w:rPr>
              <w:t>, or</w:t>
            </w:r>
            <w:r w:rsidR="000D240D" w:rsidRPr="00C52335">
              <w:rPr>
                <w:sz w:val="20"/>
              </w:rPr>
              <w:t xml:space="preserve"> </w:t>
            </w:r>
            <w:r w:rsidR="0012527C" w:rsidRPr="00C52335">
              <w:rPr>
                <w:sz w:val="20"/>
              </w:rPr>
              <w:t>making</w:t>
            </w:r>
            <w:r w:rsidR="00831940" w:rsidRPr="00C52335">
              <w:rPr>
                <w:sz w:val="20"/>
              </w:rPr>
              <w:t xml:space="preserve"> </w:t>
            </w:r>
            <w:r w:rsidR="00A02D8D" w:rsidRPr="00C52335">
              <w:rPr>
                <w:sz w:val="20"/>
              </w:rPr>
              <w:t xml:space="preserve">a recommendation </w:t>
            </w:r>
            <w:r w:rsidR="000D240D" w:rsidRPr="00C52335">
              <w:rPr>
                <w:sz w:val="20"/>
              </w:rPr>
              <w:t>or decision about the treatment</w:t>
            </w:r>
            <w:r w:rsidR="0012527C" w:rsidRPr="00C52335">
              <w:rPr>
                <w:sz w:val="20"/>
              </w:rPr>
              <w:t>,</w:t>
            </w:r>
            <w:r w:rsidR="000D240D" w:rsidRPr="00C52335">
              <w:rPr>
                <w:sz w:val="20"/>
              </w:rPr>
              <w:t xml:space="preserve"> of</w:t>
            </w:r>
            <w:r w:rsidR="007370F9" w:rsidRPr="00C52335">
              <w:rPr>
                <w:sz w:val="20"/>
              </w:rPr>
              <w:t xml:space="preserve"> a </w:t>
            </w:r>
            <w:r w:rsidR="00462AAF" w:rsidRPr="00C52335">
              <w:rPr>
                <w:sz w:val="20"/>
              </w:rPr>
              <w:t xml:space="preserve">serious </w:t>
            </w:r>
            <w:r w:rsidR="007370F9" w:rsidRPr="00C52335">
              <w:rPr>
                <w:sz w:val="20"/>
              </w:rPr>
              <w:t xml:space="preserve">disease or </w:t>
            </w:r>
            <w:r w:rsidR="00F9049C" w:rsidRPr="00C52335">
              <w:rPr>
                <w:sz w:val="20"/>
              </w:rPr>
              <w:t xml:space="preserve">a </w:t>
            </w:r>
            <w:r w:rsidR="00BE002F" w:rsidRPr="00C52335">
              <w:rPr>
                <w:sz w:val="20"/>
              </w:rPr>
              <w:t xml:space="preserve">serious </w:t>
            </w:r>
            <w:r w:rsidR="007370F9" w:rsidRPr="00C52335">
              <w:rPr>
                <w:sz w:val="20"/>
              </w:rPr>
              <w:t>condition</w:t>
            </w:r>
            <w:r w:rsidR="00F9049C" w:rsidRPr="00C52335">
              <w:rPr>
                <w:sz w:val="20"/>
              </w:rPr>
              <w:t>, ailment or defect</w:t>
            </w:r>
          </w:p>
        </w:tc>
      </w:tr>
      <w:tr w:rsidR="00643583" w:rsidRPr="002A7D6D" w:rsidTr="00C80649">
        <w:trPr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583" w:rsidRDefault="00643583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14C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583" w:rsidRPr="00C52335" w:rsidRDefault="00643583" w:rsidP="00643583">
            <w:pPr>
              <w:spacing w:before="60" w:line="276" w:lineRule="auto"/>
              <w:rPr>
                <w:sz w:val="20"/>
              </w:rPr>
            </w:pPr>
            <w:r w:rsidRPr="00C52335">
              <w:rPr>
                <w:sz w:val="20"/>
              </w:rPr>
              <w:t>software that is:</w:t>
            </w:r>
          </w:p>
          <w:p w:rsidR="00643583" w:rsidRPr="00C52335" w:rsidRDefault="00643583" w:rsidP="00214B40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(a)</w:t>
            </w:r>
            <w:r w:rsidRPr="00C52335">
              <w:rPr>
                <w:sz w:val="20"/>
              </w:rPr>
              <w:tab/>
              <w:t>intended by its manufacture</w:t>
            </w:r>
            <w:r w:rsidR="007370F9" w:rsidRPr="00C52335">
              <w:rPr>
                <w:sz w:val="20"/>
              </w:rPr>
              <w:t>r</w:t>
            </w:r>
            <w:r w:rsidRPr="00C52335">
              <w:rPr>
                <w:sz w:val="20"/>
              </w:rPr>
              <w:t xml:space="preserve"> to</w:t>
            </w:r>
            <w:r w:rsidR="00DF2CF6" w:rsidRPr="00C52335">
              <w:rPr>
                <w:sz w:val="20"/>
              </w:rPr>
              <w:t xml:space="preserve"> be used by </w:t>
            </w:r>
            <w:r w:rsidR="003C1F7B">
              <w:rPr>
                <w:sz w:val="20"/>
              </w:rPr>
              <w:t xml:space="preserve">a </w:t>
            </w:r>
            <w:r w:rsidR="00DF2CF6" w:rsidRPr="00C52335">
              <w:rPr>
                <w:sz w:val="20"/>
              </w:rPr>
              <w:t>consumer to improve general health or wellness</w:t>
            </w:r>
            <w:r w:rsidR="00101DFC" w:rsidRPr="00C52335">
              <w:rPr>
                <w:sz w:val="20"/>
              </w:rPr>
              <w:t xml:space="preserve"> by </w:t>
            </w:r>
            <w:r w:rsidR="005376B2">
              <w:rPr>
                <w:sz w:val="20"/>
              </w:rPr>
              <w:t>coaching</w:t>
            </w:r>
            <w:r w:rsidR="00C6749F" w:rsidRPr="00C52335">
              <w:rPr>
                <w:sz w:val="20"/>
              </w:rPr>
              <w:t>,</w:t>
            </w:r>
            <w:r w:rsidR="005376B2">
              <w:rPr>
                <w:sz w:val="20"/>
              </w:rPr>
              <w:t xml:space="preserve"> or encouraging</w:t>
            </w:r>
            <w:r w:rsidR="00DF2CF6" w:rsidRPr="00C52335">
              <w:rPr>
                <w:sz w:val="20"/>
              </w:rPr>
              <w:t xml:space="preserve"> behavioural</w:t>
            </w:r>
            <w:r w:rsidR="00214B40" w:rsidRPr="00C52335">
              <w:rPr>
                <w:sz w:val="20"/>
              </w:rPr>
              <w:t xml:space="preserve"> change</w:t>
            </w:r>
            <w:r w:rsidR="00C6749F" w:rsidRPr="00C52335">
              <w:rPr>
                <w:sz w:val="20"/>
              </w:rPr>
              <w:t>,</w:t>
            </w:r>
            <w:r w:rsidR="00214B40" w:rsidRPr="00C52335">
              <w:rPr>
                <w:sz w:val="20"/>
              </w:rPr>
              <w:t xml:space="preserve"> in relation to </w:t>
            </w:r>
            <w:r w:rsidR="00D812B8">
              <w:rPr>
                <w:sz w:val="20"/>
              </w:rPr>
              <w:t>personal</w:t>
            </w:r>
            <w:r w:rsidR="00214B40" w:rsidRPr="00C52335">
              <w:rPr>
                <w:sz w:val="20"/>
              </w:rPr>
              <w:t xml:space="preserve"> or environmental factors, </w:t>
            </w:r>
            <w:r w:rsidR="005C0C68">
              <w:rPr>
                <w:sz w:val="20"/>
              </w:rPr>
              <w:t>such as</w:t>
            </w:r>
            <w:r w:rsidR="00214B40" w:rsidRPr="00C52335">
              <w:rPr>
                <w:sz w:val="20"/>
              </w:rPr>
              <w:t xml:space="preserve"> weight, exercise, sun exposure </w:t>
            </w:r>
            <w:r w:rsidR="004C52C0" w:rsidRPr="00C52335">
              <w:rPr>
                <w:sz w:val="20"/>
              </w:rPr>
              <w:t>or</w:t>
            </w:r>
            <w:r w:rsidR="00214B40" w:rsidRPr="00C52335">
              <w:rPr>
                <w:sz w:val="20"/>
              </w:rPr>
              <w:t xml:space="preserve"> dietary intake</w:t>
            </w:r>
            <w:r w:rsidR="00B72147" w:rsidRPr="00C52335">
              <w:rPr>
                <w:sz w:val="20"/>
              </w:rPr>
              <w:t xml:space="preserve">; </w:t>
            </w:r>
            <w:r w:rsidR="007370F9" w:rsidRPr="00C52335">
              <w:rPr>
                <w:sz w:val="20"/>
              </w:rPr>
              <w:t>and</w:t>
            </w:r>
          </w:p>
          <w:p w:rsidR="000D240D" w:rsidRPr="00C52335" w:rsidRDefault="00643583" w:rsidP="009645FD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(b)</w:t>
            </w:r>
            <w:r w:rsidRPr="00C52335">
              <w:rPr>
                <w:sz w:val="20"/>
              </w:rPr>
              <w:tab/>
              <w:t xml:space="preserve">not intended by its manufacturer to </w:t>
            </w:r>
            <w:r w:rsidR="0029201E" w:rsidRPr="00C52335">
              <w:rPr>
                <w:sz w:val="20"/>
              </w:rPr>
              <w:t>be used</w:t>
            </w:r>
            <w:r w:rsidR="000D240D" w:rsidRPr="00C52335">
              <w:rPr>
                <w:sz w:val="20"/>
              </w:rPr>
              <w:t>:</w:t>
            </w:r>
          </w:p>
          <w:p w:rsidR="000D240D" w:rsidRPr="00C52335" w:rsidRDefault="000D240D" w:rsidP="0012523C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 w:rsidRPr="00C52335">
              <w:rPr>
                <w:sz w:val="20"/>
              </w:rPr>
              <w:lastRenderedPageBreak/>
              <w:t>(i)</w:t>
            </w:r>
            <w:r w:rsidRPr="00C52335">
              <w:rPr>
                <w:sz w:val="20"/>
              </w:rPr>
              <w:tab/>
              <w:t>in clinical practice</w:t>
            </w:r>
            <w:r w:rsidR="00225256" w:rsidRPr="00225256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  <w:r w:rsidR="00225256" w:rsidRPr="00225256">
              <w:rPr>
                <w:sz w:val="20"/>
              </w:rPr>
              <w:t xml:space="preserve">or to provide information </w:t>
            </w:r>
            <w:r w:rsidR="00D2278C">
              <w:rPr>
                <w:sz w:val="20"/>
              </w:rPr>
              <w:t xml:space="preserve">to the consumer </w:t>
            </w:r>
            <w:r w:rsidR="00225256" w:rsidRPr="00225256">
              <w:rPr>
                <w:sz w:val="20"/>
              </w:rPr>
              <w:t xml:space="preserve">that would </w:t>
            </w:r>
            <w:r w:rsidR="00D812B8">
              <w:rPr>
                <w:sz w:val="20"/>
              </w:rPr>
              <w:t xml:space="preserve">generally be accepted to </w:t>
            </w:r>
            <w:r w:rsidR="00225256" w:rsidRPr="00225256">
              <w:rPr>
                <w:sz w:val="20"/>
              </w:rPr>
              <w:t>require the interpretation of a health professional</w:t>
            </w:r>
            <w:r w:rsidRPr="00C52335">
              <w:rPr>
                <w:sz w:val="20"/>
              </w:rPr>
              <w:t>; or</w:t>
            </w:r>
          </w:p>
          <w:p w:rsidR="000D240D" w:rsidRPr="00C52335" w:rsidRDefault="000D240D" w:rsidP="004173E6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 w:rsidRPr="00C52335">
              <w:rPr>
                <w:sz w:val="20"/>
              </w:rPr>
              <w:t>(ii)</w:t>
            </w:r>
            <w:r w:rsidRPr="00C52335">
              <w:rPr>
                <w:sz w:val="20"/>
              </w:rPr>
              <w:tab/>
            </w:r>
            <w:r w:rsidR="00101DFC" w:rsidRPr="00C52335">
              <w:rPr>
                <w:sz w:val="20"/>
              </w:rPr>
              <w:t xml:space="preserve">for the purpose of </w:t>
            </w:r>
            <w:r w:rsidR="00643583" w:rsidRPr="00C52335">
              <w:rPr>
                <w:sz w:val="20"/>
              </w:rPr>
              <w:t>diagnos</w:t>
            </w:r>
            <w:r w:rsidR="00101DFC" w:rsidRPr="00C52335">
              <w:rPr>
                <w:sz w:val="20"/>
              </w:rPr>
              <w:t>is</w:t>
            </w:r>
            <w:r w:rsidR="00643583" w:rsidRPr="00C52335">
              <w:rPr>
                <w:sz w:val="20"/>
              </w:rPr>
              <w:t xml:space="preserve">, </w:t>
            </w:r>
            <w:r w:rsidR="008B0077" w:rsidRPr="00C52335">
              <w:rPr>
                <w:sz w:val="20"/>
              </w:rPr>
              <w:t xml:space="preserve">prognosis, </w:t>
            </w:r>
            <w:r w:rsidR="00101DFC" w:rsidRPr="00C52335">
              <w:rPr>
                <w:sz w:val="20"/>
              </w:rPr>
              <w:t>or making</w:t>
            </w:r>
            <w:r w:rsidR="008B0077" w:rsidRPr="00C52335">
              <w:rPr>
                <w:sz w:val="20"/>
              </w:rPr>
              <w:t xml:space="preserve"> a decision about the treatment</w:t>
            </w:r>
            <w:r w:rsidR="00101DFC" w:rsidRPr="00C52335">
              <w:rPr>
                <w:sz w:val="20"/>
              </w:rPr>
              <w:t>, of</w:t>
            </w:r>
            <w:r w:rsidR="008B0077" w:rsidRPr="00C52335">
              <w:rPr>
                <w:sz w:val="20"/>
              </w:rPr>
              <w:t xml:space="preserve"> </w:t>
            </w:r>
            <w:r w:rsidR="00643583" w:rsidRPr="00C52335">
              <w:rPr>
                <w:sz w:val="20"/>
              </w:rPr>
              <w:t>a disease</w:t>
            </w:r>
            <w:r w:rsidR="00950E60" w:rsidRPr="00C52335">
              <w:rPr>
                <w:sz w:val="20"/>
              </w:rPr>
              <w:t xml:space="preserve">, </w:t>
            </w:r>
            <w:r w:rsidR="00643583" w:rsidRPr="00C52335">
              <w:rPr>
                <w:sz w:val="20"/>
              </w:rPr>
              <w:t>condition</w:t>
            </w:r>
            <w:r w:rsidR="00214B40" w:rsidRPr="00C52335">
              <w:rPr>
                <w:sz w:val="20"/>
              </w:rPr>
              <w:t>, ailment or defect</w:t>
            </w:r>
          </w:p>
        </w:tc>
      </w:tr>
      <w:tr w:rsidR="00BB5FF6" w:rsidRPr="002A7D6D" w:rsidTr="00C80649">
        <w:trPr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FF6" w:rsidRDefault="000761FD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7370F9">
              <w:rPr>
                <w:sz w:val="20"/>
              </w:rPr>
              <w:t>D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4F" w:rsidRDefault="00315B4F" w:rsidP="006622D4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software that is:</w:t>
            </w:r>
          </w:p>
          <w:p w:rsidR="006A4AE0" w:rsidRDefault="000761FD" w:rsidP="009645FD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="00BB5FF6" w:rsidRPr="006622D4">
              <w:rPr>
                <w:sz w:val="20"/>
              </w:rPr>
              <w:t>int</w:t>
            </w:r>
            <w:r w:rsidRPr="006622D4">
              <w:rPr>
                <w:sz w:val="20"/>
              </w:rPr>
              <w:t xml:space="preserve">ended </w:t>
            </w:r>
            <w:r>
              <w:rPr>
                <w:sz w:val="20"/>
              </w:rPr>
              <w:t xml:space="preserve">by </w:t>
            </w:r>
            <w:r w:rsidRPr="006622D4">
              <w:rPr>
                <w:sz w:val="20"/>
              </w:rPr>
              <w:t xml:space="preserve">its </w:t>
            </w:r>
            <w:r w:rsidR="00BB5FF6" w:rsidRPr="006622D4">
              <w:rPr>
                <w:sz w:val="20"/>
              </w:rPr>
              <w:t>manufacture</w:t>
            </w:r>
            <w:r>
              <w:rPr>
                <w:sz w:val="20"/>
              </w:rPr>
              <w:t>r</w:t>
            </w:r>
            <w:r w:rsidR="00790133" w:rsidRPr="00790133">
              <w:rPr>
                <w:sz w:val="20"/>
              </w:rPr>
              <w:t xml:space="preserve"> to be used as a </w:t>
            </w:r>
            <w:r w:rsidR="00291A40">
              <w:rPr>
                <w:sz w:val="20"/>
              </w:rPr>
              <w:t>patient reported outcome measures (</w:t>
            </w:r>
            <w:r w:rsidR="00BB5FF6" w:rsidRPr="006622D4">
              <w:rPr>
                <w:sz w:val="20"/>
              </w:rPr>
              <w:t>PROM</w:t>
            </w:r>
            <w:r w:rsidR="00291A40">
              <w:rPr>
                <w:sz w:val="20"/>
              </w:rPr>
              <w:t>s)</w:t>
            </w:r>
            <w:r w:rsidR="00BB5FF6" w:rsidRPr="006622D4">
              <w:rPr>
                <w:sz w:val="20"/>
              </w:rPr>
              <w:t xml:space="preserve"> questionnaire or patient survey</w:t>
            </w:r>
            <w:r w:rsidR="006A4AE0">
              <w:rPr>
                <w:sz w:val="20"/>
              </w:rPr>
              <w:t>; and</w:t>
            </w:r>
          </w:p>
          <w:p w:rsidR="00291A40" w:rsidRPr="006622D4" w:rsidRDefault="00291A40" w:rsidP="004173E6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</w:t>
            </w:r>
            <w:r w:rsidR="00FC2C54">
              <w:rPr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 w:rsidRPr="009645FD">
              <w:rPr>
                <w:sz w:val="20"/>
                <w:szCs w:val="20"/>
                <w:lang w:eastAsia="en-US"/>
              </w:rPr>
              <w:t>not</w:t>
            </w:r>
            <w:r w:rsidRPr="002E57DB">
              <w:rPr>
                <w:sz w:val="20"/>
              </w:rPr>
              <w:t xml:space="preserve"> intended by </w:t>
            </w:r>
            <w:r w:rsidRPr="00E856F1">
              <w:rPr>
                <w:sz w:val="20"/>
              </w:rPr>
              <w:t>its manufacturer to</w:t>
            </w:r>
            <w:r w:rsidR="001F190F">
              <w:rPr>
                <w:sz w:val="20"/>
              </w:rPr>
              <w:t xml:space="preserve"> </w:t>
            </w:r>
            <w:r w:rsidRPr="00E856F1">
              <w:rPr>
                <w:sz w:val="20"/>
              </w:rPr>
              <w:t>diagnos</w:t>
            </w:r>
            <w:r w:rsidR="00614318">
              <w:rPr>
                <w:sz w:val="20"/>
              </w:rPr>
              <w:t>e</w:t>
            </w:r>
            <w:r w:rsidRPr="00E856F1">
              <w:rPr>
                <w:sz w:val="20"/>
              </w:rPr>
              <w:t>, screen</w:t>
            </w:r>
            <w:r w:rsidR="00101DFC">
              <w:rPr>
                <w:sz w:val="20"/>
              </w:rPr>
              <w:t xml:space="preserve"> for</w:t>
            </w:r>
            <w:r w:rsidRPr="00E856F1">
              <w:rPr>
                <w:sz w:val="20"/>
              </w:rPr>
              <w:t xml:space="preserve">, monitor, </w:t>
            </w:r>
            <w:r w:rsidR="00FC2C54" w:rsidRPr="00E856F1">
              <w:rPr>
                <w:sz w:val="20"/>
              </w:rPr>
              <w:t>predict</w:t>
            </w:r>
            <w:r w:rsidR="00632E03" w:rsidRPr="00E856F1">
              <w:rPr>
                <w:sz w:val="20"/>
              </w:rPr>
              <w:t xml:space="preserve">, </w:t>
            </w:r>
            <w:r w:rsidR="00614318">
              <w:rPr>
                <w:sz w:val="20"/>
              </w:rPr>
              <w:t>make a prognosis</w:t>
            </w:r>
            <w:r w:rsidR="00E8602F">
              <w:rPr>
                <w:sz w:val="20"/>
              </w:rPr>
              <w:t xml:space="preserve"> of</w:t>
            </w:r>
            <w:r w:rsidR="00632E03" w:rsidRPr="001F190F">
              <w:rPr>
                <w:sz w:val="20"/>
              </w:rPr>
              <w:t xml:space="preserve">, alleviate, </w:t>
            </w:r>
            <w:r w:rsidR="005D54E6" w:rsidRPr="00C52335">
              <w:rPr>
                <w:sz w:val="20"/>
              </w:rPr>
              <w:t>treat, or</w:t>
            </w:r>
            <w:r w:rsidR="00FC2C54" w:rsidRPr="00C52335">
              <w:rPr>
                <w:sz w:val="20"/>
              </w:rPr>
              <w:t xml:space="preserve"> </w:t>
            </w:r>
            <w:r w:rsidR="00632E03" w:rsidRPr="00C52335">
              <w:rPr>
                <w:sz w:val="20"/>
              </w:rPr>
              <w:t>make a</w:t>
            </w:r>
            <w:r w:rsidR="005D54E6" w:rsidRPr="00C52335">
              <w:rPr>
                <w:sz w:val="20"/>
              </w:rPr>
              <w:t xml:space="preserve"> recommendation or</w:t>
            </w:r>
            <w:r w:rsidRPr="00E856F1">
              <w:rPr>
                <w:sz w:val="20"/>
              </w:rPr>
              <w:t xml:space="preserve"> </w:t>
            </w:r>
            <w:r w:rsidRPr="001F190F">
              <w:rPr>
                <w:sz w:val="20"/>
              </w:rPr>
              <w:t>decision</w:t>
            </w:r>
            <w:r w:rsidRPr="006A28FD">
              <w:rPr>
                <w:sz w:val="20"/>
              </w:rPr>
              <w:t xml:space="preserve"> about the treatment of</w:t>
            </w:r>
            <w:r w:rsidR="00101DFC">
              <w:rPr>
                <w:sz w:val="20"/>
              </w:rPr>
              <w:t>,</w:t>
            </w:r>
            <w:r w:rsidRPr="006A28FD">
              <w:rPr>
                <w:sz w:val="20"/>
              </w:rPr>
              <w:t xml:space="preserve"> a disease</w:t>
            </w:r>
            <w:r w:rsidR="00FC20C2">
              <w:rPr>
                <w:sz w:val="20"/>
              </w:rPr>
              <w:t xml:space="preserve">, </w:t>
            </w:r>
            <w:r w:rsidRPr="006A28FD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  <w:tr w:rsidR="000761FD" w:rsidRPr="002A7D6D" w:rsidTr="005D54E6">
        <w:trPr>
          <w:cantSplit/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1FD" w:rsidRDefault="00755B3B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FC2C54">
              <w:rPr>
                <w:sz w:val="20"/>
              </w:rPr>
              <w:t>E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1FD" w:rsidRPr="00C52335" w:rsidRDefault="00755B3B" w:rsidP="00C52335">
            <w:pPr>
              <w:spacing w:before="60" w:line="276" w:lineRule="auto"/>
              <w:rPr>
                <w:sz w:val="20"/>
              </w:rPr>
            </w:pPr>
            <w:r w:rsidRPr="00AE03C9">
              <w:rPr>
                <w:sz w:val="20"/>
              </w:rPr>
              <w:t>software tha</w:t>
            </w:r>
            <w:r w:rsidR="0072415F" w:rsidRPr="00AE03C9">
              <w:rPr>
                <w:sz w:val="20"/>
              </w:rPr>
              <w:t>t is</w:t>
            </w:r>
            <w:r w:rsidR="00AE03C9" w:rsidRPr="00AE03C9">
              <w:rPr>
                <w:sz w:val="20"/>
              </w:rPr>
              <w:t xml:space="preserve"> a digital mental health tool </w:t>
            </w:r>
            <w:r w:rsidR="006C1526">
              <w:rPr>
                <w:sz w:val="20"/>
              </w:rPr>
              <w:t>(including a cognitive behaviour therapy tool)</w:t>
            </w:r>
            <w:r w:rsidR="00AE03C9" w:rsidRPr="00AE03C9">
              <w:rPr>
                <w:sz w:val="20"/>
              </w:rPr>
              <w:t xml:space="preserve"> </w:t>
            </w:r>
            <w:r w:rsidR="00C6749F">
              <w:rPr>
                <w:sz w:val="20"/>
              </w:rPr>
              <w:t>based</w:t>
            </w:r>
            <w:r w:rsidR="00AE03C9" w:rsidRPr="00AE03C9">
              <w:rPr>
                <w:sz w:val="20"/>
              </w:rPr>
              <w:t xml:space="preserve"> </w:t>
            </w:r>
            <w:r w:rsidR="00811AB6" w:rsidRPr="00AE03C9">
              <w:rPr>
                <w:sz w:val="20"/>
              </w:rPr>
              <w:t xml:space="preserve">on </w:t>
            </w:r>
            <w:r w:rsidR="006C1526">
              <w:rPr>
                <w:sz w:val="20"/>
              </w:rPr>
              <w:t xml:space="preserve">established clinical practice guidelines </w:t>
            </w:r>
            <w:r w:rsidR="00AE03C9" w:rsidRPr="00AE03C9">
              <w:rPr>
                <w:sz w:val="20"/>
              </w:rPr>
              <w:t xml:space="preserve">that are </w:t>
            </w:r>
            <w:r w:rsidR="00AE03C9">
              <w:rPr>
                <w:sz w:val="20"/>
              </w:rPr>
              <w:t>referenced</w:t>
            </w:r>
            <w:r w:rsidR="008F38CA" w:rsidRPr="00AE03C9">
              <w:rPr>
                <w:sz w:val="20"/>
              </w:rPr>
              <w:t xml:space="preserve"> </w:t>
            </w:r>
            <w:r w:rsidR="006C1526">
              <w:rPr>
                <w:sz w:val="20"/>
              </w:rPr>
              <w:t xml:space="preserve">and displayed </w:t>
            </w:r>
            <w:r w:rsidR="008F38CA" w:rsidRPr="00AE03C9">
              <w:rPr>
                <w:sz w:val="20"/>
              </w:rPr>
              <w:t>in the software</w:t>
            </w:r>
            <w:r w:rsidR="006C1526" w:rsidRPr="006C1526">
              <w:rPr>
                <w:sz w:val="20"/>
              </w:rPr>
              <w:t xml:space="preserve"> </w:t>
            </w:r>
            <w:r w:rsidR="006C1526">
              <w:rPr>
                <w:sz w:val="20"/>
              </w:rPr>
              <w:t>in a manner that is reviewable by the user</w:t>
            </w:r>
          </w:p>
        </w:tc>
      </w:tr>
      <w:tr w:rsidR="0072415F" w:rsidRPr="002A7D6D" w:rsidTr="005D54E6">
        <w:trPr>
          <w:cantSplit/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5F" w:rsidRDefault="0072415F" w:rsidP="005D54E6">
            <w:pPr>
              <w:keepNext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E856F1">
              <w:rPr>
                <w:sz w:val="20"/>
              </w:rPr>
              <w:t>F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15F" w:rsidRDefault="00AE03C9" w:rsidP="005D54E6">
            <w:pPr>
              <w:keepNext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 xml:space="preserve">software </w:t>
            </w:r>
            <w:r w:rsidR="0072415F">
              <w:rPr>
                <w:sz w:val="20"/>
              </w:rPr>
              <w:t>that is:</w:t>
            </w:r>
          </w:p>
          <w:p w:rsidR="0072415F" w:rsidRDefault="0072415F" w:rsidP="005D54E6">
            <w:pPr>
              <w:pStyle w:val="ListParagraph"/>
              <w:keepNext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  <w:t xml:space="preserve">intended by its manufacturer to </w:t>
            </w:r>
            <w:r w:rsidR="00DE2F66">
              <w:rPr>
                <w:sz w:val="20"/>
              </w:rPr>
              <w:t>enable</w:t>
            </w:r>
            <w:r>
              <w:rPr>
                <w:sz w:val="20"/>
              </w:rPr>
              <w:t xml:space="preserve"> </w:t>
            </w:r>
            <w:r w:rsidR="002B700D">
              <w:rPr>
                <w:sz w:val="20"/>
              </w:rPr>
              <w:t>communication</w:t>
            </w:r>
            <w:r w:rsidR="00DE2F66">
              <w:rPr>
                <w:sz w:val="20"/>
              </w:rPr>
              <w:t>s</w:t>
            </w:r>
            <w:r w:rsidR="002B700D">
              <w:rPr>
                <w:sz w:val="20"/>
              </w:rPr>
              <w:t xml:space="preserve">, including the </w:t>
            </w:r>
            <w:r w:rsidR="00DE2F66">
              <w:rPr>
                <w:sz w:val="20"/>
              </w:rPr>
              <w:t>transmission</w:t>
            </w:r>
            <w:r w:rsidR="002B700D">
              <w:rPr>
                <w:sz w:val="20"/>
              </w:rPr>
              <w:t xml:space="preserve"> of patient information, for the purposes of supporting </w:t>
            </w:r>
            <w:r w:rsidR="000039C4">
              <w:rPr>
                <w:sz w:val="20"/>
              </w:rPr>
              <w:t xml:space="preserve">the delivery of </w:t>
            </w:r>
            <w:r>
              <w:rPr>
                <w:sz w:val="20"/>
              </w:rPr>
              <w:t xml:space="preserve">health </w:t>
            </w:r>
            <w:r w:rsidR="000039C4">
              <w:rPr>
                <w:sz w:val="20"/>
              </w:rPr>
              <w:t>services; and</w:t>
            </w:r>
          </w:p>
          <w:p w:rsidR="000039C4" w:rsidRPr="007949E9" w:rsidRDefault="000039C4" w:rsidP="004173E6">
            <w:pPr>
              <w:pStyle w:val="ListParagraph"/>
              <w:keepNext/>
              <w:spacing w:before="60" w:line="276" w:lineRule="auto"/>
              <w:ind w:right="-108" w:hanging="360"/>
              <w:rPr>
                <w:sz w:val="20"/>
                <w:highlight w:val="yellow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="00DE2F66" w:rsidRPr="00DE2F66">
              <w:rPr>
                <w:sz w:val="20"/>
              </w:rPr>
              <w:t xml:space="preserve">not </w:t>
            </w:r>
            <w:r w:rsidR="001F63A8">
              <w:rPr>
                <w:sz w:val="20"/>
              </w:rPr>
              <w:t xml:space="preserve">intended by its manufacturer </w:t>
            </w:r>
            <w:r w:rsidR="0029201E">
              <w:rPr>
                <w:sz w:val="20"/>
              </w:rPr>
              <w:t xml:space="preserve">to </w:t>
            </w:r>
            <w:r w:rsidR="00DE2F66" w:rsidRPr="000D5D0C">
              <w:rPr>
                <w:sz w:val="20"/>
              </w:rPr>
              <w:t>diagnos</w:t>
            </w:r>
            <w:r w:rsidR="00101DFC">
              <w:rPr>
                <w:sz w:val="20"/>
              </w:rPr>
              <w:t>e</w:t>
            </w:r>
            <w:r w:rsidR="00DE2F66" w:rsidRPr="000D5D0C">
              <w:rPr>
                <w:sz w:val="20"/>
              </w:rPr>
              <w:t>, screen</w:t>
            </w:r>
            <w:r w:rsidR="00101DFC">
              <w:rPr>
                <w:sz w:val="20"/>
              </w:rPr>
              <w:t xml:space="preserve"> for</w:t>
            </w:r>
            <w:r w:rsidR="00DE2F66" w:rsidRPr="000D5D0C">
              <w:rPr>
                <w:sz w:val="20"/>
              </w:rPr>
              <w:t xml:space="preserve">, </w:t>
            </w:r>
            <w:r w:rsidR="00B2619E" w:rsidRPr="000D5D0C">
              <w:rPr>
                <w:sz w:val="20"/>
              </w:rPr>
              <w:t xml:space="preserve">prevent, </w:t>
            </w:r>
            <w:r w:rsidR="00DE2F66" w:rsidRPr="000D5D0C">
              <w:rPr>
                <w:sz w:val="20"/>
              </w:rPr>
              <w:t>monitor,</w:t>
            </w:r>
            <w:r w:rsidR="005D54E6" w:rsidRPr="000D5D0C">
              <w:rPr>
                <w:sz w:val="20"/>
              </w:rPr>
              <w:t xml:space="preserve"> </w:t>
            </w:r>
            <w:r w:rsidR="00B2619E" w:rsidRPr="000D5D0C">
              <w:rPr>
                <w:sz w:val="20"/>
              </w:rPr>
              <w:t>predict,</w:t>
            </w:r>
            <w:r w:rsidR="001F190F">
              <w:rPr>
                <w:sz w:val="20"/>
              </w:rPr>
              <w:t xml:space="preserve"> </w:t>
            </w:r>
            <w:r w:rsidR="00101DFC">
              <w:rPr>
                <w:sz w:val="20"/>
              </w:rPr>
              <w:t xml:space="preserve">make a </w:t>
            </w:r>
            <w:r w:rsidR="00B2619E" w:rsidRPr="000D5D0C">
              <w:rPr>
                <w:sz w:val="20"/>
              </w:rPr>
              <w:t>prognosis</w:t>
            </w:r>
            <w:r w:rsidR="00E8602F">
              <w:rPr>
                <w:sz w:val="20"/>
              </w:rPr>
              <w:t xml:space="preserve"> of</w:t>
            </w:r>
            <w:r w:rsidR="00B2619E" w:rsidRPr="000D5D0C">
              <w:rPr>
                <w:sz w:val="20"/>
              </w:rPr>
              <w:t>, alleviat</w:t>
            </w:r>
            <w:r w:rsidR="00101DFC">
              <w:rPr>
                <w:sz w:val="20"/>
              </w:rPr>
              <w:t>e</w:t>
            </w:r>
            <w:r w:rsidR="00B2619E" w:rsidRPr="000D5D0C">
              <w:rPr>
                <w:sz w:val="20"/>
              </w:rPr>
              <w:t xml:space="preserve">, </w:t>
            </w:r>
            <w:r w:rsidR="005D54E6" w:rsidRPr="00FC20C2">
              <w:rPr>
                <w:sz w:val="20"/>
              </w:rPr>
              <w:t>trea</w:t>
            </w:r>
            <w:r w:rsidR="00101DFC">
              <w:rPr>
                <w:sz w:val="20"/>
              </w:rPr>
              <w:t>t</w:t>
            </w:r>
            <w:r w:rsidR="005D54E6" w:rsidRPr="00FC20C2">
              <w:rPr>
                <w:sz w:val="20"/>
              </w:rPr>
              <w:t>,</w:t>
            </w:r>
            <w:r w:rsidR="00DE0B26" w:rsidRPr="00FC20C2">
              <w:rPr>
                <w:sz w:val="20"/>
              </w:rPr>
              <w:t xml:space="preserve"> or </w:t>
            </w:r>
            <w:r w:rsidR="00B2619E" w:rsidRPr="00FC20C2">
              <w:rPr>
                <w:sz w:val="20"/>
              </w:rPr>
              <w:t>mak</w:t>
            </w:r>
            <w:r w:rsidR="00101DFC">
              <w:rPr>
                <w:sz w:val="20"/>
              </w:rPr>
              <w:t>e</w:t>
            </w:r>
            <w:r w:rsidR="00B2619E" w:rsidRPr="00FC20C2">
              <w:rPr>
                <w:sz w:val="20"/>
              </w:rPr>
              <w:t xml:space="preserve"> a </w:t>
            </w:r>
            <w:r w:rsidR="00DE0B26" w:rsidRPr="00FC20C2">
              <w:rPr>
                <w:sz w:val="20"/>
              </w:rPr>
              <w:t>recommendation</w:t>
            </w:r>
            <w:r w:rsidR="00DE2F66" w:rsidRPr="000D5D0C">
              <w:rPr>
                <w:sz w:val="20"/>
              </w:rPr>
              <w:t xml:space="preserve"> or</w:t>
            </w:r>
            <w:r w:rsidR="00DE2F66" w:rsidRPr="00DE2F66">
              <w:rPr>
                <w:sz w:val="20"/>
              </w:rPr>
              <w:t xml:space="preserve"> decision about the treatment of,</w:t>
            </w:r>
            <w:r w:rsidR="007949E9">
              <w:rPr>
                <w:sz w:val="20"/>
              </w:rPr>
              <w:t xml:space="preserve"> a </w:t>
            </w:r>
            <w:r w:rsidR="00DE2F66" w:rsidRPr="00DE2F66">
              <w:rPr>
                <w:sz w:val="20"/>
              </w:rPr>
              <w:t>disease</w:t>
            </w:r>
            <w:r w:rsidR="00FC20C2">
              <w:rPr>
                <w:sz w:val="20"/>
              </w:rPr>
              <w:t xml:space="preserve">, </w:t>
            </w:r>
            <w:r w:rsidR="00DE2F66" w:rsidRPr="00DE2F66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  <w:tr w:rsidR="007949E9" w:rsidRPr="002A7D6D" w:rsidTr="005D54E6">
        <w:trPr>
          <w:cantSplit/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9E9" w:rsidRDefault="007949E9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E856F1">
              <w:rPr>
                <w:sz w:val="20"/>
              </w:rPr>
              <w:t>G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9E9" w:rsidRDefault="007949E9" w:rsidP="006622D4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software that is:</w:t>
            </w:r>
          </w:p>
          <w:p w:rsidR="007949E9" w:rsidRPr="001F63A8" w:rsidRDefault="007949E9" w:rsidP="009645FD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Pr="001F63A8">
              <w:rPr>
                <w:sz w:val="20"/>
              </w:rPr>
              <w:t xml:space="preserve">intended by its manufacturer to </w:t>
            </w:r>
            <w:r w:rsidR="005E7E90">
              <w:rPr>
                <w:sz w:val="20"/>
              </w:rPr>
              <w:t xml:space="preserve">be used for the </w:t>
            </w:r>
            <w:r w:rsidR="005E7E90" w:rsidRPr="001F63A8">
              <w:rPr>
                <w:sz w:val="20"/>
              </w:rPr>
              <w:t>administra</w:t>
            </w:r>
            <w:r w:rsidR="005E7E90">
              <w:rPr>
                <w:sz w:val="20"/>
              </w:rPr>
              <w:t>tion</w:t>
            </w:r>
            <w:r w:rsidRPr="001F63A8">
              <w:rPr>
                <w:sz w:val="20"/>
              </w:rPr>
              <w:t xml:space="preserve"> or manage</w:t>
            </w:r>
            <w:r w:rsidR="005E7E90">
              <w:rPr>
                <w:sz w:val="20"/>
              </w:rPr>
              <w:t>ment</w:t>
            </w:r>
            <w:r w:rsidRPr="001F63A8">
              <w:rPr>
                <w:sz w:val="20"/>
              </w:rPr>
              <w:t xml:space="preserve"> </w:t>
            </w:r>
            <w:r w:rsidR="005E7E90">
              <w:rPr>
                <w:sz w:val="20"/>
              </w:rPr>
              <w:t xml:space="preserve">of </w:t>
            </w:r>
            <w:r w:rsidRPr="001F63A8">
              <w:rPr>
                <w:sz w:val="20"/>
              </w:rPr>
              <w:t xml:space="preserve">health processes or facilities </w:t>
            </w:r>
            <w:r w:rsidR="0043220E" w:rsidRPr="001F63A8">
              <w:rPr>
                <w:sz w:val="20"/>
              </w:rPr>
              <w:t xml:space="preserve">(including </w:t>
            </w:r>
            <w:r w:rsidRPr="001F63A8">
              <w:rPr>
                <w:sz w:val="20"/>
              </w:rPr>
              <w:t>financial records, claims, billing, appointments,</w:t>
            </w:r>
            <w:r w:rsidR="001F63A8">
              <w:rPr>
                <w:sz w:val="20"/>
              </w:rPr>
              <w:t xml:space="preserve"> operating theatre management, hospital bed management,</w:t>
            </w:r>
            <w:r w:rsidRPr="001F63A8">
              <w:rPr>
                <w:sz w:val="20"/>
              </w:rPr>
              <w:t xml:space="preserve"> schedules, business a</w:t>
            </w:r>
            <w:r w:rsidR="0043220E" w:rsidRPr="001F63A8">
              <w:rPr>
                <w:sz w:val="20"/>
              </w:rPr>
              <w:t>nalytics, admissions, inventory</w:t>
            </w:r>
            <w:r w:rsidRPr="001F63A8">
              <w:rPr>
                <w:sz w:val="20"/>
              </w:rPr>
              <w:t xml:space="preserve"> and workflow</w:t>
            </w:r>
            <w:r w:rsidR="0043220E" w:rsidRPr="001F63A8">
              <w:rPr>
                <w:sz w:val="20"/>
              </w:rPr>
              <w:t>)</w:t>
            </w:r>
            <w:r w:rsidRPr="001F63A8">
              <w:rPr>
                <w:sz w:val="20"/>
              </w:rPr>
              <w:t>;</w:t>
            </w:r>
            <w:r w:rsidR="0043220E" w:rsidRPr="001F63A8">
              <w:rPr>
                <w:sz w:val="20"/>
              </w:rPr>
              <w:t xml:space="preserve"> and</w:t>
            </w:r>
          </w:p>
          <w:p w:rsidR="0043220E" w:rsidRPr="007949E9" w:rsidRDefault="0043220E" w:rsidP="001F190F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1F63A8">
              <w:rPr>
                <w:sz w:val="20"/>
              </w:rPr>
              <w:t>(b)</w:t>
            </w:r>
            <w:r w:rsidRPr="001F63A8">
              <w:rPr>
                <w:sz w:val="20"/>
              </w:rPr>
              <w:tab/>
            </w:r>
            <w:r w:rsidR="001F63A8" w:rsidRPr="00DE2F66">
              <w:rPr>
                <w:sz w:val="20"/>
              </w:rPr>
              <w:t xml:space="preserve">not </w:t>
            </w:r>
            <w:r w:rsidR="001F63A8">
              <w:rPr>
                <w:sz w:val="20"/>
              </w:rPr>
              <w:t xml:space="preserve">intended by its manufacturer to be </w:t>
            </w:r>
            <w:r w:rsidR="001F63A8" w:rsidRPr="00CF5A7C">
              <w:rPr>
                <w:sz w:val="20"/>
              </w:rPr>
              <w:t xml:space="preserve">used </w:t>
            </w:r>
            <w:r w:rsidR="001F190F">
              <w:rPr>
                <w:sz w:val="20"/>
              </w:rPr>
              <w:t xml:space="preserve">for the purpose of </w:t>
            </w:r>
            <w:r w:rsidR="001F63A8" w:rsidRPr="00CF5A7C">
              <w:rPr>
                <w:sz w:val="20"/>
              </w:rPr>
              <w:t>diagnos</w:t>
            </w:r>
            <w:r w:rsidR="001F190F">
              <w:rPr>
                <w:sz w:val="20"/>
              </w:rPr>
              <w:t>is</w:t>
            </w:r>
            <w:r w:rsidR="001F63A8" w:rsidRPr="00CF5A7C">
              <w:rPr>
                <w:sz w:val="20"/>
              </w:rPr>
              <w:t>, screen</w:t>
            </w:r>
            <w:r w:rsidR="001F190F">
              <w:rPr>
                <w:sz w:val="20"/>
              </w:rPr>
              <w:t>ing</w:t>
            </w:r>
            <w:r w:rsidR="001F63A8" w:rsidRPr="00CF5A7C">
              <w:rPr>
                <w:sz w:val="20"/>
              </w:rPr>
              <w:t xml:space="preserve">, </w:t>
            </w:r>
            <w:r w:rsidR="00CF5A7C" w:rsidRPr="00CF5A7C">
              <w:rPr>
                <w:sz w:val="20"/>
              </w:rPr>
              <w:t>prevent</w:t>
            </w:r>
            <w:r w:rsidR="001F190F">
              <w:rPr>
                <w:sz w:val="20"/>
              </w:rPr>
              <w:t>ion</w:t>
            </w:r>
            <w:r w:rsidR="00CF5A7C" w:rsidRPr="00CF5A7C">
              <w:rPr>
                <w:sz w:val="20"/>
              </w:rPr>
              <w:t xml:space="preserve">, </w:t>
            </w:r>
            <w:r w:rsidR="001F63A8" w:rsidRPr="00CF5A7C">
              <w:rPr>
                <w:sz w:val="20"/>
              </w:rPr>
              <w:t>monitor</w:t>
            </w:r>
            <w:r w:rsidR="001F190F">
              <w:rPr>
                <w:sz w:val="20"/>
              </w:rPr>
              <w:t>ing</w:t>
            </w:r>
            <w:r w:rsidR="001F63A8" w:rsidRPr="00CF5A7C">
              <w:rPr>
                <w:sz w:val="20"/>
              </w:rPr>
              <w:t>,</w:t>
            </w:r>
            <w:r w:rsidR="00DE0B26" w:rsidRPr="00CF5A7C">
              <w:rPr>
                <w:sz w:val="20"/>
              </w:rPr>
              <w:t xml:space="preserve"> </w:t>
            </w:r>
            <w:r w:rsidR="00CF5A7C" w:rsidRPr="00CF5A7C">
              <w:rPr>
                <w:sz w:val="20"/>
              </w:rPr>
              <w:t>predict</w:t>
            </w:r>
            <w:r w:rsidR="001F190F">
              <w:rPr>
                <w:sz w:val="20"/>
              </w:rPr>
              <w:t>ion</w:t>
            </w:r>
            <w:r w:rsidR="00CF5A7C" w:rsidRPr="00CF5A7C">
              <w:rPr>
                <w:sz w:val="20"/>
              </w:rPr>
              <w:t>, prognosis, alleviat</w:t>
            </w:r>
            <w:r w:rsidR="001F190F">
              <w:rPr>
                <w:sz w:val="20"/>
              </w:rPr>
              <w:t>ion</w:t>
            </w:r>
            <w:r w:rsidR="00CF5A7C" w:rsidRPr="00CF5A7C">
              <w:rPr>
                <w:sz w:val="20"/>
              </w:rPr>
              <w:t xml:space="preserve">, </w:t>
            </w:r>
            <w:r w:rsidR="00DE0B26" w:rsidRPr="00FC20C2">
              <w:rPr>
                <w:sz w:val="20"/>
              </w:rPr>
              <w:t>treat</w:t>
            </w:r>
            <w:r w:rsidR="001F190F">
              <w:rPr>
                <w:sz w:val="20"/>
              </w:rPr>
              <w:t>ment</w:t>
            </w:r>
            <w:r w:rsidR="00DE0B26" w:rsidRPr="00FC20C2">
              <w:rPr>
                <w:sz w:val="20"/>
              </w:rPr>
              <w:t xml:space="preserve">, or </w:t>
            </w:r>
            <w:r w:rsidR="00CF5A7C" w:rsidRPr="00FC20C2">
              <w:rPr>
                <w:sz w:val="20"/>
              </w:rPr>
              <w:t>mak</w:t>
            </w:r>
            <w:r w:rsidR="001F190F">
              <w:rPr>
                <w:sz w:val="20"/>
              </w:rPr>
              <w:t>ing</w:t>
            </w:r>
            <w:r w:rsidR="00CF5A7C" w:rsidRPr="00FC20C2">
              <w:rPr>
                <w:sz w:val="20"/>
              </w:rPr>
              <w:t xml:space="preserve"> </w:t>
            </w:r>
            <w:r w:rsidR="00DE0B26" w:rsidRPr="00FC20C2">
              <w:rPr>
                <w:sz w:val="20"/>
              </w:rPr>
              <w:t>a recommendation</w:t>
            </w:r>
            <w:r w:rsidR="001F63A8" w:rsidRPr="00CF5A7C">
              <w:rPr>
                <w:sz w:val="20"/>
              </w:rPr>
              <w:t xml:space="preserve"> or decision about the treatment</w:t>
            </w:r>
            <w:r w:rsidR="00101DFC">
              <w:rPr>
                <w:sz w:val="20"/>
              </w:rPr>
              <w:t>,</w:t>
            </w:r>
            <w:r w:rsidR="001F63A8" w:rsidRPr="00CF5A7C">
              <w:rPr>
                <w:sz w:val="20"/>
              </w:rPr>
              <w:t xml:space="preserve"> of a disease</w:t>
            </w:r>
            <w:r w:rsidR="00FC20C2">
              <w:rPr>
                <w:sz w:val="20"/>
              </w:rPr>
              <w:t xml:space="preserve">, </w:t>
            </w:r>
            <w:r w:rsidR="001F63A8" w:rsidRPr="00CF5A7C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  <w:tr w:rsidR="0029201E" w:rsidRPr="002A7D6D" w:rsidTr="00C80649">
        <w:trPr>
          <w:trHeight w:val="322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01E" w:rsidRDefault="0029201E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E856F1">
              <w:rPr>
                <w:sz w:val="20"/>
              </w:rPr>
              <w:t>H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3A8" w:rsidRPr="001F63A8" w:rsidRDefault="0029201E" w:rsidP="00C52335">
            <w:pPr>
              <w:spacing w:before="60" w:line="276" w:lineRule="auto"/>
              <w:rPr>
                <w:rFonts w:cs="Times New Roman"/>
                <w:sz w:val="20"/>
              </w:rPr>
            </w:pPr>
            <w:r w:rsidRPr="004C7F5F">
              <w:rPr>
                <w:rFonts w:cs="Times New Roman"/>
                <w:sz w:val="20"/>
              </w:rPr>
              <w:t>software that is</w:t>
            </w:r>
            <w:r w:rsidR="00472B16">
              <w:rPr>
                <w:rFonts w:cs="Times New Roman"/>
                <w:sz w:val="20"/>
              </w:rPr>
              <w:t xml:space="preserve"> </w:t>
            </w:r>
            <w:r w:rsidRPr="004C7F5F">
              <w:rPr>
                <w:rFonts w:cs="Times New Roman"/>
                <w:sz w:val="20"/>
              </w:rPr>
              <w:t>in</w:t>
            </w:r>
            <w:r w:rsidR="00472B16">
              <w:rPr>
                <w:rFonts w:cs="Times New Roman"/>
                <w:sz w:val="20"/>
              </w:rPr>
              <w:t xml:space="preserve">tended by its manufacturer to be used </w:t>
            </w:r>
            <w:r w:rsidR="00C6749F">
              <w:rPr>
                <w:rFonts w:cs="Times New Roman"/>
                <w:sz w:val="20"/>
              </w:rPr>
              <w:t>for the sole p</w:t>
            </w:r>
            <w:r w:rsidR="001B0397">
              <w:rPr>
                <w:rFonts w:cs="Times New Roman"/>
                <w:sz w:val="20"/>
              </w:rPr>
              <w:t>urpose of</w:t>
            </w:r>
            <w:r w:rsidRPr="004C7F5F">
              <w:rPr>
                <w:rFonts w:cs="Times New Roman"/>
                <w:sz w:val="20"/>
              </w:rPr>
              <w:t xml:space="preserve"> stor</w:t>
            </w:r>
            <w:r w:rsidR="001B0397">
              <w:rPr>
                <w:rFonts w:cs="Times New Roman"/>
                <w:sz w:val="20"/>
              </w:rPr>
              <w:t>ing</w:t>
            </w:r>
            <w:r w:rsidRPr="004C7F5F">
              <w:rPr>
                <w:rFonts w:cs="Times New Roman"/>
                <w:sz w:val="20"/>
              </w:rPr>
              <w:t xml:space="preserve"> or transmit</w:t>
            </w:r>
            <w:r w:rsidR="001B0397">
              <w:rPr>
                <w:rFonts w:cs="Times New Roman"/>
                <w:sz w:val="20"/>
              </w:rPr>
              <w:t>ting</w:t>
            </w:r>
            <w:r w:rsidRPr="004C7F5F">
              <w:rPr>
                <w:rFonts w:cs="Times New Roman"/>
                <w:sz w:val="20"/>
              </w:rPr>
              <w:t xml:space="preserve"> patient images</w:t>
            </w:r>
          </w:p>
        </w:tc>
      </w:tr>
      <w:tr w:rsidR="00C80649" w:rsidRPr="002A7D6D" w:rsidTr="0006559B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649" w:rsidRPr="001E33CF" w:rsidRDefault="00EF67F4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E856F1">
              <w:rPr>
                <w:sz w:val="20"/>
              </w:rPr>
              <w:t>I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5958" w:rsidRPr="004C7F5F" w:rsidRDefault="00925958" w:rsidP="0012523C">
            <w:pPr>
              <w:spacing w:before="60" w:line="276" w:lineRule="auto"/>
              <w:ind w:left="351" w:hanging="351"/>
              <w:rPr>
                <w:sz w:val="20"/>
              </w:rPr>
            </w:pPr>
            <w:r w:rsidRPr="004C7F5F">
              <w:rPr>
                <w:sz w:val="20"/>
              </w:rPr>
              <w:t>software that is:</w:t>
            </w:r>
          </w:p>
          <w:p w:rsidR="002B7BD6" w:rsidRPr="004C7F5F" w:rsidRDefault="004C00EF" w:rsidP="0012523C">
            <w:pPr>
              <w:pStyle w:val="ListParagraph"/>
              <w:spacing w:before="60" w:line="276" w:lineRule="auto"/>
              <w:ind w:right="-108" w:hanging="360"/>
              <w:rPr>
                <w:rFonts w:cstheme="minorBidi"/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="00925958" w:rsidRPr="004C7F5F">
              <w:rPr>
                <w:rFonts w:cstheme="minorBidi"/>
                <w:sz w:val="20"/>
              </w:rPr>
              <w:t xml:space="preserve">intended by its manufacturer to </w:t>
            </w:r>
            <w:r w:rsidR="001B0397">
              <w:rPr>
                <w:rFonts w:cstheme="minorBidi"/>
                <w:sz w:val="20"/>
              </w:rPr>
              <w:t xml:space="preserve">be used for the sole purpose of providing </w:t>
            </w:r>
            <w:r w:rsidR="007922A2" w:rsidRPr="004C7F5F">
              <w:rPr>
                <w:rFonts w:cstheme="minorBidi"/>
                <w:sz w:val="20"/>
              </w:rPr>
              <w:t>alerts</w:t>
            </w:r>
            <w:r w:rsidR="00925958" w:rsidRPr="004C7F5F">
              <w:rPr>
                <w:rFonts w:cstheme="minorBidi"/>
                <w:sz w:val="20"/>
              </w:rPr>
              <w:t xml:space="preserve"> </w:t>
            </w:r>
            <w:r w:rsidR="00822DA0" w:rsidRPr="004C7F5F">
              <w:rPr>
                <w:rFonts w:cstheme="minorBidi"/>
                <w:sz w:val="20"/>
              </w:rPr>
              <w:t xml:space="preserve">to </w:t>
            </w:r>
            <w:r w:rsidR="00822DA0" w:rsidRPr="0012523C">
              <w:rPr>
                <w:rFonts w:cstheme="minorBidi"/>
                <w:sz w:val="20"/>
              </w:rPr>
              <w:t>health professionals</w:t>
            </w:r>
            <w:r w:rsidR="00822DA0" w:rsidRPr="004C7F5F">
              <w:rPr>
                <w:rFonts w:cstheme="minorBidi"/>
                <w:sz w:val="20"/>
              </w:rPr>
              <w:t xml:space="preserve"> </w:t>
            </w:r>
            <w:r w:rsidR="002B7BD6" w:rsidRPr="004C7F5F">
              <w:rPr>
                <w:rFonts w:cstheme="minorBidi"/>
                <w:sz w:val="20"/>
              </w:rPr>
              <w:t>in relation to patient care</w:t>
            </w:r>
            <w:r w:rsidR="002B7BD6" w:rsidRPr="0012523C">
              <w:rPr>
                <w:rFonts w:cstheme="minorBidi"/>
                <w:sz w:val="20"/>
              </w:rPr>
              <w:t xml:space="preserve">; </w:t>
            </w:r>
            <w:r w:rsidR="002B7BD6" w:rsidRPr="004C7F5F">
              <w:rPr>
                <w:rFonts w:cstheme="minorBidi"/>
                <w:sz w:val="20"/>
              </w:rPr>
              <w:t>and</w:t>
            </w:r>
          </w:p>
          <w:p w:rsidR="00CF5A7C" w:rsidRDefault="004C00EF" w:rsidP="0012523C">
            <w:pPr>
              <w:pStyle w:val="ListParagraph"/>
              <w:spacing w:before="60" w:line="276" w:lineRule="auto"/>
              <w:ind w:right="-108" w:hanging="360"/>
              <w:rPr>
                <w:rFonts w:cstheme="minorBidi"/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="002B7BD6" w:rsidRPr="004C7F5F">
              <w:rPr>
                <w:rFonts w:cstheme="minorBidi"/>
                <w:sz w:val="20"/>
              </w:rPr>
              <w:t>not intended by its manufacturer</w:t>
            </w:r>
            <w:r w:rsidR="00C6749F">
              <w:rPr>
                <w:rFonts w:cstheme="minorBidi"/>
                <w:sz w:val="20"/>
              </w:rPr>
              <w:t xml:space="preserve"> to</w:t>
            </w:r>
            <w:r w:rsidR="00CF5A7C">
              <w:rPr>
                <w:rFonts w:cstheme="minorBidi"/>
                <w:sz w:val="20"/>
              </w:rPr>
              <w:t>:</w:t>
            </w:r>
          </w:p>
          <w:p w:rsidR="00C80649" w:rsidRDefault="00CF5A7C" w:rsidP="00FC20C2">
            <w:pPr>
              <w:pStyle w:val="ListParagraph"/>
              <w:spacing w:before="60" w:line="276" w:lineRule="auto"/>
              <w:ind w:left="1134" w:right="-108" w:hanging="414"/>
              <w:rPr>
                <w:rFonts w:cstheme="minorBidi"/>
                <w:sz w:val="20"/>
              </w:rPr>
            </w:pPr>
            <w:r>
              <w:rPr>
                <w:rFonts w:cstheme="minorBidi"/>
                <w:sz w:val="20"/>
              </w:rPr>
              <w:t>(i)</w:t>
            </w:r>
            <w:r>
              <w:rPr>
                <w:rFonts w:cstheme="minorBidi"/>
                <w:sz w:val="20"/>
              </w:rPr>
              <w:tab/>
            </w:r>
            <w:r w:rsidR="002B7BD6" w:rsidRPr="00CF5A7C">
              <w:rPr>
                <w:sz w:val="20"/>
              </w:rPr>
              <w:t>replac</w:t>
            </w:r>
            <w:r w:rsidR="002C5F20">
              <w:rPr>
                <w:sz w:val="20"/>
              </w:rPr>
              <w:t>e</w:t>
            </w:r>
            <w:r w:rsidR="00D3293B" w:rsidRPr="004C7F5F">
              <w:rPr>
                <w:rFonts w:cstheme="minorBidi"/>
                <w:sz w:val="20"/>
              </w:rPr>
              <w:t xml:space="preserve"> the clinical judgement of </w:t>
            </w:r>
            <w:r w:rsidR="00822DA0">
              <w:rPr>
                <w:rFonts w:cstheme="minorBidi"/>
                <w:sz w:val="20"/>
              </w:rPr>
              <w:t>a</w:t>
            </w:r>
            <w:r w:rsidR="00822DA0" w:rsidRPr="004C7F5F">
              <w:rPr>
                <w:rFonts w:cstheme="minorBidi"/>
                <w:sz w:val="20"/>
              </w:rPr>
              <w:t xml:space="preserve"> </w:t>
            </w:r>
            <w:r w:rsidR="00925958" w:rsidRPr="004C7F5F">
              <w:rPr>
                <w:rFonts w:cstheme="minorBidi"/>
                <w:sz w:val="20"/>
              </w:rPr>
              <w:t>health professional</w:t>
            </w:r>
            <w:r>
              <w:rPr>
                <w:rFonts w:cstheme="minorBidi"/>
                <w:sz w:val="20"/>
              </w:rPr>
              <w:t>; or</w:t>
            </w:r>
          </w:p>
          <w:p w:rsidR="00CF5A7C" w:rsidRPr="004C00EF" w:rsidRDefault="00CF5A7C" w:rsidP="004173E6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rFonts w:cstheme="minorBidi"/>
                <w:sz w:val="20"/>
              </w:rPr>
              <w:t>(ii)</w:t>
            </w:r>
            <w:r>
              <w:rPr>
                <w:rFonts w:cstheme="minorBidi"/>
                <w:sz w:val="20"/>
              </w:rPr>
              <w:tab/>
            </w:r>
            <w:r w:rsidRPr="00CF5A7C">
              <w:rPr>
                <w:rFonts w:cstheme="minorBidi"/>
                <w:sz w:val="20"/>
              </w:rPr>
              <w:t>diagnos</w:t>
            </w:r>
            <w:r w:rsidR="00101DFC">
              <w:rPr>
                <w:rFonts w:cstheme="minorBidi"/>
                <w:sz w:val="20"/>
              </w:rPr>
              <w:t>e</w:t>
            </w:r>
            <w:r w:rsidRPr="00CF5A7C">
              <w:rPr>
                <w:rFonts w:cstheme="minorBidi"/>
                <w:sz w:val="20"/>
              </w:rPr>
              <w:t>, screen</w:t>
            </w:r>
            <w:r w:rsidR="00101DFC">
              <w:rPr>
                <w:rFonts w:cstheme="minorBidi"/>
                <w:sz w:val="20"/>
              </w:rPr>
              <w:t xml:space="preserve"> for</w:t>
            </w:r>
            <w:r w:rsidRPr="00CF5A7C">
              <w:rPr>
                <w:rFonts w:cstheme="minorBidi"/>
                <w:sz w:val="20"/>
              </w:rPr>
              <w:t>, prevent, alleviat</w:t>
            </w:r>
            <w:r w:rsidR="00101DFC">
              <w:rPr>
                <w:rFonts w:cstheme="minorBidi"/>
                <w:sz w:val="20"/>
              </w:rPr>
              <w:t>e</w:t>
            </w:r>
            <w:r w:rsidRPr="00CF5A7C">
              <w:rPr>
                <w:rFonts w:cstheme="minorBidi"/>
                <w:sz w:val="20"/>
              </w:rPr>
              <w:t xml:space="preserve">, treat, or </w:t>
            </w:r>
            <w:r>
              <w:rPr>
                <w:rFonts w:cstheme="minorBidi"/>
                <w:sz w:val="20"/>
              </w:rPr>
              <w:t>mak</w:t>
            </w:r>
            <w:r w:rsidR="004173E6">
              <w:rPr>
                <w:rFonts w:cstheme="minorBidi"/>
                <w:sz w:val="20"/>
              </w:rPr>
              <w:t>e</w:t>
            </w:r>
            <w:r>
              <w:rPr>
                <w:rFonts w:cstheme="minorBidi"/>
                <w:sz w:val="20"/>
              </w:rPr>
              <w:t xml:space="preserve"> a </w:t>
            </w:r>
            <w:r w:rsidRPr="00CF5A7C">
              <w:rPr>
                <w:rFonts w:cstheme="minorBidi"/>
                <w:sz w:val="20"/>
              </w:rPr>
              <w:t>decision about the treatment of, a disease</w:t>
            </w:r>
            <w:r w:rsidR="00FC20C2">
              <w:rPr>
                <w:rFonts w:cstheme="minorBidi"/>
                <w:sz w:val="20"/>
              </w:rPr>
              <w:t xml:space="preserve">, </w:t>
            </w:r>
            <w:r w:rsidRPr="00CF5A7C">
              <w:rPr>
                <w:rFonts w:cstheme="minorBidi"/>
                <w:sz w:val="20"/>
              </w:rPr>
              <w:t>condition</w:t>
            </w:r>
            <w:r w:rsidR="00FC20C2">
              <w:rPr>
                <w:rFonts w:cstheme="minorBidi"/>
                <w:sz w:val="20"/>
              </w:rPr>
              <w:t>, ailment or defect</w:t>
            </w:r>
          </w:p>
        </w:tc>
      </w:tr>
      <w:tr w:rsidR="00D3293B" w:rsidRPr="002A7D6D" w:rsidTr="0006559B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3B" w:rsidRDefault="00D3293B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2C5F20">
              <w:rPr>
                <w:sz w:val="20"/>
              </w:rPr>
              <w:t>J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3B" w:rsidRPr="004C7F5F" w:rsidRDefault="00D3293B" w:rsidP="0012523C">
            <w:pPr>
              <w:spacing w:before="60" w:line="276" w:lineRule="auto"/>
              <w:ind w:left="351" w:hanging="351"/>
              <w:rPr>
                <w:sz w:val="20"/>
              </w:rPr>
            </w:pPr>
            <w:r w:rsidRPr="004C7F5F">
              <w:rPr>
                <w:sz w:val="20"/>
              </w:rPr>
              <w:t>software tha</w:t>
            </w:r>
            <w:r w:rsidR="00073A4E">
              <w:rPr>
                <w:sz w:val="20"/>
              </w:rPr>
              <w:t>t is</w:t>
            </w:r>
            <w:r w:rsidRPr="004C7F5F">
              <w:rPr>
                <w:sz w:val="20"/>
              </w:rPr>
              <w:t>:</w:t>
            </w:r>
          </w:p>
          <w:p w:rsidR="00D3293B" w:rsidRPr="0012523C" w:rsidRDefault="004C00EF" w:rsidP="0012523C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="00D3293B">
              <w:rPr>
                <w:sz w:val="20"/>
              </w:rPr>
              <w:t xml:space="preserve">intended by its manufacturer to </w:t>
            </w:r>
            <w:r w:rsidR="00073A4E">
              <w:rPr>
                <w:sz w:val="20"/>
              </w:rPr>
              <w:t>be used for clinical workflow management</w:t>
            </w:r>
            <w:r w:rsidR="00D3293B" w:rsidRPr="0012523C">
              <w:rPr>
                <w:sz w:val="20"/>
              </w:rPr>
              <w:t>; and</w:t>
            </w:r>
          </w:p>
          <w:p w:rsidR="00D3293B" w:rsidRPr="0012523C" w:rsidRDefault="004C00EF" w:rsidP="004173E6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="00D3293B">
              <w:rPr>
                <w:sz w:val="20"/>
              </w:rPr>
              <w:t xml:space="preserve">not intended by its manufacturer </w:t>
            </w:r>
            <w:r w:rsidR="00D3293B" w:rsidRPr="00D3293B">
              <w:rPr>
                <w:sz w:val="20"/>
              </w:rPr>
              <w:t>to</w:t>
            </w:r>
            <w:r w:rsidR="002C5F20">
              <w:rPr>
                <w:sz w:val="20"/>
              </w:rPr>
              <w:t xml:space="preserve"> </w:t>
            </w:r>
            <w:r w:rsidR="00D3293B" w:rsidRPr="00D3293B">
              <w:rPr>
                <w:sz w:val="20"/>
              </w:rPr>
              <w:t>diagno</w:t>
            </w:r>
            <w:r w:rsidR="004173E6">
              <w:rPr>
                <w:sz w:val="20"/>
              </w:rPr>
              <w:t>se</w:t>
            </w:r>
            <w:r w:rsidR="00D3293B" w:rsidRPr="00D3293B">
              <w:rPr>
                <w:sz w:val="20"/>
              </w:rPr>
              <w:t>, screen</w:t>
            </w:r>
            <w:r w:rsidR="004173E6">
              <w:rPr>
                <w:sz w:val="20"/>
              </w:rPr>
              <w:t xml:space="preserve"> for</w:t>
            </w:r>
            <w:r w:rsidR="00D3293B" w:rsidRPr="00D3293B">
              <w:rPr>
                <w:sz w:val="20"/>
              </w:rPr>
              <w:t xml:space="preserve">, </w:t>
            </w:r>
            <w:r w:rsidR="001B0397">
              <w:rPr>
                <w:sz w:val="20"/>
              </w:rPr>
              <w:t xml:space="preserve">prevent, </w:t>
            </w:r>
            <w:r w:rsidR="00D3293B" w:rsidRPr="00D3293B">
              <w:rPr>
                <w:sz w:val="20"/>
              </w:rPr>
              <w:t>monito</w:t>
            </w:r>
            <w:r w:rsidR="004173E6">
              <w:rPr>
                <w:sz w:val="20"/>
              </w:rPr>
              <w:t>r</w:t>
            </w:r>
            <w:r w:rsidR="00D3293B" w:rsidRPr="00D3293B">
              <w:rPr>
                <w:sz w:val="20"/>
              </w:rPr>
              <w:t xml:space="preserve">, predict, </w:t>
            </w:r>
            <w:r w:rsidR="004173E6">
              <w:rPr>
                <w:sz w:val="20"/>
              </w:rPr>
              <w:t xml:space="preserve">make a </w:t>
            </w:r>
            <w:r w:rsidR="001B0397">
              <w:rPr>
                <w:sz w:val="20"/>
              </w:rPr>
              <w:t>prognosis</w:t>
            </w:r>
            <w:r w:rsidR="00E8602F">
              <w:rPr>
                <w:sz w:val="20"/>
              </w:rPr>
              <w:t xml:space="preserve"> of</w:t>
            </w:r>
            <w:r w:rsidR="001B0397">
              <w:rPr>
                <w:sz w:val="20"/>
              </w:rPr>
              <w:t>, alleviat</w:t>
            </w:r>
            <w:r w:rsidR="004173E6">
              <w:rPr>
                <w:sz w:val="20"/>
              </w:rPr>
              <w:t>e</w:t>
            </w:r>
            <w:r w:rsidR="001B0397">
              <w:rPr>
                <w:sz w:val="20"/>
              </w:rPr>
              <w:t xml:space="preserve">, </w:t>
            </w:r>
            <w:r w:rsidR="001D07AC" w:rsidRPr="00FC20C2">
              <w:rPr>
                <w:sz w:val="20"/>
              </w:rPr>
              <w:t xml:space="preserve">treat, or </w:t>
            </w:r>
            <w:r w:rsidR="001B0397" w:rsidRPr="00FC20C2">
              <w:rPr>
                <w:sz w:val="20"/>
              </w:rPr>
              <w:t>mak</w:t>
            </w:r>
            <w:r w:rsidR="004173E6">
              <w:rPr>
                <w:sz w:val="20"/>
              </w:rPr>
              <w:t>e</w:t>
            </w:r>
            <w:r w:rsidR="001B0397" w:rsidRPr="00FC20C2">
              <w:rPr>
                <w:sz w:val="20"/>
              </w:rPr>
              <w:t xml:space="preserve"> </w:t>
            </w:r>
            <w:r w:rsidR="001D07AC" w:rsidRPr="00FC20C2">
              <w:rPr>
                <w:sz w:val="20"/>
              </w:rPr>
              <w:t>a recommendation</w:t>
            </w:r>
            <w:r w:rsidR="001D07AC">
              <w:rPr>
                <w:sz w:val="20"/>
              </w:rPr>
              <w:t xml:space="preserve"> </w:t>
            </w:r>
            <w:r w:rsidR="00D3293B" w:rsidRPr="00D3293B">
              <w:rPr>
                <w:sz w:val="20"/>
              </w:rPr>
              <w:t>or decision about the treatment of, a disease</w:t>
            </w:r>
            <w:r w:rsidR="00FC20C2">
              <w:rPr>
                <w:sz w:val="20"/>
              </w:rPr>
              <w:t xml:space="preserve">, </w:t>
            </w:r>
            <w:r w:rsidR="00D3293B" w:rsidRPr="00D3293B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  <w:tr w:rsidR="00EF67F4" w:rsidRPr="002A7D6D" w:rsidTr="0006559B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7F4" w:rsidRDefault="00EF67F4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2C5F20">
              <w:rPr>
                <w:sz w:val="20"/>
              </w:rPr>
              <w:t>K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1B4" w:rsidRDefault="007922A2" w:rsidP="00D3293B">
            <w:pPr>
              <w:spacing w:before="60" w:line="276" w:lineRule="auto"/>
              <w:ind w:right="-10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software that is middleware and</w:t>
            </w:r>
            <w:r w:rsidR="008E41B4">
              <w:rPr>
                <w:rFonts w:cs="Times New Roman"/>
                <w:sz w:val="20"/>
              </w:rPr>
              <w:t xml:space="preserve"> is:</w:t>
            </w:r>
          </w:p>
          <w:p w:rsidR="008E41B4" w:rsidRPr="009D7353" w:rsidRDefault="008E41B4" w:rsidP="009D735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lastRenderedPageBreak/>
              <w:t>(a)</w:t>
            </w:r>
            <w:r>
              <w:rPr>
                <w:sz w:val="20"/>
              </w:rPr>
              <w:tab/>
              <w:t xml:space="preserve">intended by its manufacturer to </w:t>
            </w:r>
            <w:r w:rsidR="009D7353">
              <w:rPr>
                <w:sz w:val="20"/>
              </w:rPr>
              <w:t>connect or interface applications to an underlying operating system or another application, including by communicating or transmitting information</w:t>
            </w:r>
            <w:r w:rsidRPr="009D7353">
              <w:rPr>
                <w:sz w:val="20"/>
              </w:rPr>
              <w:t>; and</w:t>
            </w:r>
          </w:p>
          <w:p w:rsidR="001F16A3" w:rsidRDefault="008E41B4" w:rsidP="008E41B4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="007922A2">
              <w:rPr>
                <w:sz w:val="20"/>
              </w:rPr>
              <w:t xml:space="preserve">not intended by its manufacturer </w:t>
            </w:r>
            <w:r w:rsidR="007922A2" w:rsidRPr="00652942">
              <w:rPr>
                <w:sz w:val="20"/>
              </w:rPr>
              <w:t>to</w:t>
            </w:r>
            <w:r w:rsidR="001F16A3">
              <w:rPr>
                <w:sz w:val="20"/>
              </w:rPr>
              <w:t>:</w:t>
            </w:r>
          </w:p>
          <w:p w:rsidR="008E41B4" w:rsidRDefault="008E41B4" w:rsidP="008E41B4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</w:t>
            </w:r>
            <w:r w:rsidR="001F16A3">
              <w:rPr>
                <w:sz w:val="20"/>
              </w:rPr>
              <w:t>)</w:t>
            </w:r>
            <w:r w:rsidR="001F16A3">
              <w:rPr>
                <w:sz w:val="20"/>
              </w:rPr>
              <w:tab/>
            </w:r>
            <w:r w:rsidR="001A36DD">
              <w:rPr>
                <w:sz w:val="20"/>
              </w:rPr>
              <w:t>control medical devices; or</w:t>
            </w:r>
          </w:p>
          <w:p w:rsidR="00EF67F4" w:rsidRDefault="008E41B4" w:rsidP="008E41B4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z w:val="20"/>
              </w:rPr>
              <w:tab/>
            </w:r>
            <w:r w:rsidR="001A36DD">
              <w:rPr>
                <w:sz w:val="20"/>
              </w:rPr>
              <w:t xml:space="preserve">perform </w:t>
            </w:r>
            <w:r w:rsidR="009D7353">
              <w:rPr>
                <w:sz w:val="20"/>
              </w:rPr>
              <w:t>analysis, computation</w:t>
            </w:r>
            <w:r w:rsidR="001A36DD">
              <w:rPr>
                <w:sz w:val="20"/>
              </w:rPr>
              <w:t xml:space="preserve"> </w:t>
            </w:r>
            <w:r w:rsidR="009D7353">
              <w:rPr>
                <w:sz w:val="20"/>
              </w:rPr>
              <w:t xml:space="preserve">or </w:t>
            </w:r>
            <w:r w:rsidR="001A36DD">
              <w:rPr>
                <w:sz w:val="20"/>
              </w:rPr>
              <w:t>logic that relates to the intended purpose of a medical device</w:t>
            </w:r>
            <w:r w:rsidR="001F16A3">
              <w:rPr>
                <w:sz w:val="20"/>
              </w:rPr>
              <w:t>; or</w:t>
            </w:r>
          </w:p>
          <w:p w:rsidR="001F16A3" w:rsidRPr="00EF67F4" w:rsidRDefault="008E41B4" w:rsidP="008E41B4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(iii</w:t>
            </w:r>
            <w:r w:rsidR="001F16A3">
              <w:rPr>
                <w:sz w:val="20"/>
              </w:rPr>
              <w:t>)</w:t>
            </w:r>
            <w:r w:rsidR="001F16A3">
              <w:rPr>
                <w:sz w:val="20"/>
              </w:rPr>
              <w:tab/>
            </w:r>
            <w:r w:rsidR="00C52335">
              <w:rPr>
                <w:sz w:val="20"/>
              </w:rPr>
              <w:t xml:space="preserve">be used for the purpose of </w:t>
            </w:r>
            <w:r w:rsidR="002C5F20">
              <w:rPr>
                <w:sz w:val="20"/>
              </w:rPr>
              <w:t>diagnosis, screening</w:t>
            </w:r>
            <w:r w:rsidR="001F16A3" w:rsidRPr="00D3293B">
              <w:rPr>
                <w:sz w:val="20"/>
              </w:rPr>
              <w:t xml:space="preserve">, </w:t>
            </w:r>
            <w:r w:rsidR="001F16A3">
              <w:rPr>
                <w:sz w:val="20"/>
              </w:rPr>
              <w:t>prevent</w:t>
            </w:r>
            <w:r w:rsidR="002C5F20">
              <w:rPr>
                <w:sz w:val="20"/>
              </w:rPr>
              <w:t>ion</w:t>
            </w:r>
            <w:r w:rsidR="001F16A3">
              <w:rPr>
                <w:sz w:val="20"/>
              </w:rPr>
              <w:t xml:space="preserve">, </w:t>
            </w:r>
            <w:r w:rsidR="001F16A3" w:rsidRPr="00D3293B">
              <w:rPr>
                <w:sz w:val="20"/>
              </w:rPr>
              <w:t>monitor</w:t>
            </w:r>
            <w:r w:rsidR="002C5F20">
              <w:rPr>
                <w:sz w:val="20"/>
              </w:rPr>
              <w:t>ing</w:t>
            </w:r>
            <w:r w:rsidR="001F16A3" w:rsidRPr="00D3293B">
              <w:rPr>
                <w:sz w:val="20"/>
              </w:rPr>
              <w:t>, predict</w:t>
            </w:r>
            <w:r w:rsidR="002C5F20">
              <w:rPr>
                <w:sz w:val="20"/>
              </w:rPr>
              <w:t>ion, prognosis, alleviation</w:t>
            </w:r>
            <w:r w:rsidR="001F16A3">
              <w:rPr>
                <w:sz w:val="20"/>
              </w:rPr>
              <w:t xml:space="preserve">, </w:t>
            </w:r>
            <w:r w:rsidR="001F16A3" w:rsidRPr="00FC20C2">
              <w:rPr>
                <w:sz w:val="20"/>
              </w:rPr>
              <w:t>treat</w:t>
            </w:r>
            <w:r w:rsidR="002C5F20">
              <w:rPr>
                <w:sz w:val="20"/>
              </w:rPr>
              <w:t>ment</w:t>
            </w:r>
            <w:r w:rsidR="001F16A3" w:rsidRPr="00FC20C2">
              <w:rPr>
                <w:sz w:val="20"/>
              </w:rPr>
              <w:t xml:space="preserve">, or </w:t>
            </w:r>
            <w:r w:rsidR="002C5F20">
              <w:rPr>
                <w:sz w:val="20"/>
              </w:rPr>
              <w:t>making</w:t>
            </w:r>
            <w:r w:rsidR="001F16A3" w:rsidRPr="00FC20C2">
              <w:rPr>
                <w:sz w:val="20"/>
              </w:rPr>
              <w:t xml:space="preserve"> a recommendation</w:t>
            </w:r>
            <w:r w:rsidR="001F16A3">
              <w:rPr>
                <w:sz w:val="20"/>
              </w:rPr>
              <w:t xml:space="preserve"> </w:t>
            </w:r>
            <w:r w:rsidR="001F16A3" w:rsidRPr="00D3293B">
              <w:rPr>
                <w:sz w:val="20"/>
              </w:rPr>
              <w:t>or decision about the treatment</w:t>
            </w:r>
            <w:r w:rsidR="004173E6">
              <w:rPr>
                <w:sz w:val="20"/>
              </w:rPr>
              <w:t>,</w:t>
            </w:r>
            <w:r w:rsidR="001F16A3" w:rsidRPr="00D3293B">
              <w:rPr>
                <w:sz w:val="20"/>
              </w:rPr>
              <w:t xml:space="preserve"> of a disease</w:t>
            </w:r>
            <w:r w:rsidR="001F16A3">
              <w:rPr>
                <w:sz w:val="20"/>
              </w:rPr>
              <w:t xml:space="preserve">, </w:t>
            </w:r>
            <w:r w:rsidR="001F16A3" w:rsidRPr="00D3293B">
              <w:rPr>
                <w:sz w:val="20"/>
              </w:rPr>
              <w:t>condition</w:t>
            </w:r>
            <w:r w:rsidR="001F16A3">
              <w:rPr>
                <w:sz w:val="20"/>
              </w:rPr>
              <w:t>, ailment or defect</w:t>
            </w:r>
          </w:p>
        </w:tc>
      </w:tr>
      <w:tr w:rsidR="00EF67F4" w:rsidRPr="002A7D6D" w:rsidTr="0006559B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7F4" w:rsidRDefault="004C00EF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2C5F20">
              <w:rPr>
                <w:sz w:val="20"/>
              </w:rPr>
              <w:t>L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7F4" w:rsidRPr="004C7F5F" w:rsidRDefault="00C82986" w:rsidP="0012523C">
            <w:pPr>
              <w:spacing w:before="60" w:line="276" w:lineRule="auto"/>
              <w:ind w:left="351" w:hanging="351"/>
              <w:rPr>
                <w:sz w:val="20"/>
              </w:rPr>
            </w:pPr>
            <w:r w:rsidRPr="004C7F5F">
              <w:rPr>
                <w:sz w:val="20"/>
              </w:rPr>
              <w:t>software that is</w:t>
            </w:r>
            <w:r w:rsidR="00652942">
              <w:rPr>
                <w:sz w:val="20"/>
              </w:rPr>
              <w:t xml:space="preserve"> a ca</w:t>
            </w:r>
            <w:r w:rsidR="00B34448">
              <w:rPr>
                <w:sz w:val="20"/>
              </w:rPr>
              <w:t>lculator and</w:t>
            </w:r>
            <w:r w:rsidRPr="004C7F5F">
              <w:rPr>
                <w:sz w:val="20"/>
              </w:rPr>
              <w:t>:</w:t>
            </w:r>
          </w:p>
          <w:p w:rsidR="00B34448" w:rsidRDefault="00C82986" w:rsidP="0012523C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4C7F5F">
              <w:rPr>
                <w:rFonts w:cstheme="minorBidi"/>
                <w:sz w:val="20"/>
              </w:rPr>
              <w:t>(a)</w:t>
            </w:r>
            <w:r>
              <w:rPr>
                <w:sz w:val="20"/>
              </w:rPr>
              <w:tab/>
            </w:r>
            <w:r w:rsidR="00B34448">
              <w:rPr>
                <w:sz w:val="20"/>
              </w:rPr>
              <w:t>either:</w:t>
            </w:r>
          </w:p>
          <w:p w:rsidR="00B34448" w:rsidRDefault="00B34448" w:rsidP="00B34448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 w:rsidRPr="00B34448">
              <w:rPr>
                <w:sz w:val="20"/>
              </w:rPr>
              <w:t>(i)</w:t>
            </w:r>
            <w:r w:rsidRPr="00B34448">
              <w:rPr>
                <w:sz w:val="20"/>
              </w:rPr>
              <w:tab/>
              <w:t xml:space="preserve">uses </w:t>
            </w:r>
            <w:r w:rsidR="0006559B">
              <w:rPr>
                <w:sz w:val="20"/>
              </w:rPr>
              <w:t xml:space="preserve">relevant </w:t>
            </w:r>
            <w:r w:rsidRPr="00B34448">
              <w:rPr>
                <w:sz w:val="20"/>
              </w:rPr>
              <w:t>p</w:t>
            </w:r>
            <w:r w:rsidR="00631900">
              <w:rPr>
                <w:sz w:val="20"/>
              </w:rPr>
              <w:t xml:space="preserve">ublished </w:t>
            </w:r>
            <w:r w:rsidR="00D2362A">
              <w:rPr>
                <w:sz w:val="20"/>
              </w:rPr>
              <w:t>clinical standards</w:t>
            </w:r>
            <w:r w:rsidR="00652942">
              <w:rPr>
                <w:sz w:val="20"/>
              </w:rPr>
              <w:t xml:space="preserve"> or authoritative sources</w:t>
            </w:r>
            <w:r>
              <w:rPr>
                <w:sz w:val="20"/>
              </w:rPr>
              <w:t xml:space="preserve"> to make calculations</w:t>
            </w:r>
            <w:r w:rsidR="00652942">
              <w:rPr>
                <w:sz w:val="20"/>
              </w:rPr>
              <w:t>;</w:t>
            </w:r>
            <w:r>
              <w:rPr>
                <w:sz w:val="20"/>
              </w:rPr>
              <w:t xml:space="preserve"> or</w:t>
            </w:r>
          </w:p>
          <w:p w:rsidR="00C82986" w:rsidRDefault="00B34448" w:rsidP="00B34448">
            <w:pPr>
              <w:pStyle w:val="ListParagraph"/>
              <w:spacing w:before="60" w:line="276" w:lineRule="auto"/>
              <w:ind w:left="1134" w:right="-108" w:hanging="414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z w:val="20"/>
              </w:rPr>
              <w:tab/>
              <w:t xml:space="preserve">displays </w:t>
            </w:r>
            <w:r w:rsidR="00D2362A">
              <w:rPr>
                <w:sz w:val="20"/>
              </w:rPr>
              <w:t>calculations and outputs</w:t>
            </w:r>
            <w:r w:rsidR="00631900">
              <w:rPr>
                <w:sz w:val="20"/>
              </w:rPr>
              <w:t xml:space="preserve"> </w:t>
            </w:r>
            <w:r w:rsidR="000D5D0C">
              <w:rPr>
                <w:sz w:val="20"/>
              </w:rPr>
              <w:t xml:space="preserve">in a manner that may be </w:t>
            </w:r>
            <w:r w:rsidR="0006559B" w:rsidRPr="00C52335">
              <w:rPr>
                <w:sz w:val="20"/>
              </w:rPr>
              <w:t>validated</w:t>
            </w:r>
            <w:r w:rsidR="00631900">
              <w:rPr>
                <w:sz w:val="20"/>
              </w:rPr>
              <w:t xml:space="preserve"> by</w:t>
            </w:r>
            <w:r>
              <w:rPr>
                <w:sz w:val="20"/>
              </w:rPr>
              <w:t xml:space="preserve"> </w:t>
            </w:r>
            <w:r w:rsidR="00631900">
              <w:rPr>
                <w:sz w:val="20"/>
              </w:rPr>
              <w:t>the user</w:t>
            </w:r>
            <w:r w:rsidR="00D2362A">
              <w:rPr>
                <w:sz w:val="20"/>
              </w:rPr>
              <w:t>; and</w:t>
            </w:r>
          </w:p>
          <w:p w:rsidR="00C82986" w:rsidRPr="004C7F5F" w:rsidRDefault="00D95116" w:rsidP="00FC20C2">
            <w:pPr>
              <w:pStyle w:val="ListParagraph"/>
              <w:spacing w:before="60" w:line="276" w:lineRule="auto"/>
              <w:ind w:right="-108" w:hanging="360"/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="00B34448">
              <w:rPr>
                <w:sz w:val="20"/>
              </w:rPr>
              <w:t xml:space="preserve">is </w:t>
            </w:r>
            <w:r>
              <w:rPr>
                <w:sz w:val="20"/>
              </w:rPr>
              <w:t>not intended by its</w:t>
            </w:r>
            <w:r w:rsidR="00D2362A">
              <w:rPr>
                <w:sz w:val="20"/>
              </w:rPr>
              <w:t xml:space="preserve"> manufacturer to</w:t>
            </w:r>
            <w:r w:rsidR="0016477E">
              <w:rPr>
                <w:sz w:val="20"/>
              </w:rPr>
              <w:t xml:space="preserve"> control the administration of a calculated dosage</w:t>
            </w:r>
          </w:p>
        </w:tc>
      </w:tr>
      <w:tr w:rsidR="00EF67F4" w:rsidRPr="002A7D6D" w:rsidTr="0006559B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7F4" w:rsidRDefault="004C00EF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2C5F20">
              <w:rPr>
                <w:sz w:val="20"/>
              </w:rPr>
              <w:t>M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9CD" w:rsidRDefault="004710A7" w:rsidP="004C7F5F">
            <w:pPr>
              <w:spacing w:before="60" w:line="276" w:lineRule="auto"/>
              <w:ind w:right="-10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software, or a combination of software and hardware,</w:t>
            </w:r>
            <w:r w:rsidR="00C82986">
              <w:rPr>
                <w:rFonts w:cs="Times New Roman"/>
                <w:sz w:val="20"/>
              </w:rPr>
              <w:t xml:space="preserve"> that is</w:t>
            </w:r>
            <w:r w:rsidR="00680600">
              <w:rPr>
                <w:rFonts w:cs="Times New Roman"/>
                <w:sz w:val="20"/>
              </w:rPr>
              <w:t xml:space="preserve"> an electronic health record (however named or described) and is</w:t>
            </w:r>
            <w:r w:rsidR="007D19CD">
              <w:rPr>
                <w:rFonts w:cs="Times New Roman"/>
                <w:sz w:val="20"/>
              </w:rPr>
              <w:t>:</w:t>
            </w:r>
          </w:p>
          <w:p w:rsidR="00E368FF" w:rsidRPr="001B0397" w:rsidRDefault="007D19CD" w:rsidP="00D33B17">
            <w:pPr>
              <w:spacing w:before="60" w:line="276" w:lineRule="auto"/>
              <w:ind w:left="779" w:right="-108" w:hanging="425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(a)</w:t>
            </w:r>
            <w:r>
              <w:rPr>
                <w:rFonts w:cs="Times New Roman"/>
                <w:sz w:val="20"/>
              </w:rPr>
              <w:tab/>
            </w:r>
            <w:r w:rsidR="004710A7" w:rsidRPr="00C52335">
              <w:rPr>
                <w:rFonts w:cs="Times New Roman"/>
                <w:sz w:val="20"/>
              </w:rPr>
              <w:t>intended by its manufacturer to</w:t>
            </w:r>
            <w:r w:rsidR="00680600" w:rsidRPr="00C52335">
              <w:rPr>
                <w:rFonts w:cs="Times New Roman"/>
                <w:sz w:val="20"/>
              </w:rPr>
              <w:t xml:space="preserve"> be used </w:t>
            </w:r>
            <w:r w:rsidR="00581050">
              <w:rPr>
                <w:rFonts w:cs="Times New Roman"/>
                <w:sz w:val="20"/>
              </w:rPr>
              <w:t xml:space="preserve">in clinical practice </w:t>
            </w:r>
            <w:r w:rsidR="00680600" w:rsidRPr="00C52335">
              <w:rPr>
                <w:rFonts w:cs="Times New Roman"/>
                <w:sz w:val="20"/>
              </w:rPr>
              <w:t>by healthcare providers to</w:t>
            </w:r>
            <w:r w:rsidR="004710A7" w:rsidRPr="00C52335">
              <w:rPr>
                <w:rFonts w:cs="Times New Roman"/>
                <w:sz w:val="20"/>
              </w:rPr>
              <w:t xml:space="preserve"> </w:t>
            </w:r>
            <w:r w:rsidR="007D3D95" w:rsidRPr="00C52335">
              <w:rPr>
                <w:rFonts w:cs="Times New Roman"/>
                <w:sz w:val="20"/>
              </w:rPr>
              <w:t>collect</w:t>
            </w:r>
            <w:r w:rsidR="00581050">
              <w:rPr>
                <w:rFonts w:cs="Times New Roman"/>
                <w:sz w:val="20"/>
              </w:rPr>
              <w:t>, use, disclose</w:t>
            </w:r>
            <w:r w:rsidR="00700272">
              <w:rPr>
                <w:rFonts w:cs="Times New Roman"/>
                <w:sz w:val="20"/>
              </w:rPr>
              <w:t xml:space="preserve"> and</w:t>
            </w:r>
            <w:r w:rsidR="001A2C96" w:rsidRPr="00C52335">
              <w:rPr>
                <w:rFonts w:cs="Times New Roman"/>
                <w:sz w:val="20"/>
              </w:rPr>
              <w:t xml:space="preserve"> </w:t>
            </w:r>
            <w:r w:rsidR="00581050">
              <w:rPr>
                <w:rFonts w:cs="Times New Roman"/>
                <w:sz w:val="20"/>
              </w:rPr>
              <w:t xml:space="preserve">otherwise </w:t>
            </w:r>
            <w:r w:rsidR="001A2C96" w:rsidRPr="00C52335">
              <w:rPr>
                <w:rFonts w:cs="Times New Roman"/>
                <w:sz w:val="20"/>
              </w:rPr>
              <w:t>manage</w:t>
            </w:r>
            <w:r w:rsidR="00680600" w:rsidRPr="001876CE">
              <w:rPr>
                <w:rFonts w:cs="Times New Roman"/>
                <w:sz w:val="20"/>
              </w:rPr>
              <w:t xml:space="preserve"> </w:t>
            </w:r>
            <w:r w:rsidR="00581050">
              <w:rPr>
                <w:rFonts w:cs="Times New Roman"/>
                <w:sz w:val="20"/>
              </w:rPr>
              <w:t xml:space="preserve">patient clinical data </w:t>
            </w:r>
            <w:r w:rsidR="00680600" w:rsidRPr="001876CE">
              <w:rPr>
                <w:rFonts w:cs="Times New Roman"/>
                <w:sz w:val="20"/>
              </w:rPr>
              <w:t>within or between healthcare facilities</w:t>
            </w:r>
            <w:r w:rsidR="00D33B17" w:rsidRPr="001B0397">
              <w:rPr>
                <w:rFonts w:cs="Times New Roman"/>
                <w:sz w:val="20"/>
              </w:rPr>
              <w:t>; and</w:t>
            </w:r>
          </w:p>
          <w:p w:rsidR="0016477E" w:rsidRPr="00FC20C2" w:rsidRDefault="007D19CD" w:rsidP="00C52335">
            <w:pPr>
              <w:spacing w:before="60" w:line="276" w:lineRule="auto"/>
              <w:ind w:left="779" w:right="-108" w:hanging="425"/>
              <w:rPr>
                <w:sz w:val="20"/>
              </w:rPr>
            </w:pPr>
            <w:r w:rsidRPr="001B0397">
              <w:rPr>
                <w:rFonts w:cs="Times New Roman"/>
                <w:sz w:val="20"/>
              </w:rPr>
              <w:t>(b)</w:t>
            </w:r>
            <w:r w:rsidR="004710A7" w:rsidRPr="001B0397">
              <w:rPr>
                <w:rFonts w:cs="Times New Roman"/>
                <w:sz w:val="20"/>
              </w:rPr>
              <w:tab/>
            </w:r>
            <w:r w:rsidR="002B10AA" w:rsidRPr="001B0397">
              <w:rPr>
                <w:sz w:val="20"/>
              </w:rPr>
              <w:t>not intended by its manufacturer to</w:t>
            </w:r>
            <w:r w:rsidR="004173E6">
              <w:rPr>
                <w:sz w:val="20"/>
              </w:rPr>
              <w:t xml:space="preserve"> </w:t>
            </w:r>
            <w:r w:rsidR="00D33B17" w:rsidRPr="001B0397">
              <w:rPr>
                <w:sz w:val="20"/>
              </w:rPr>
              <w:t>d</w:t>
            </w:r>
            <w:r w:rsidR="002B10AA" w:rsidRPr="001B0397">
              <w:rPr>
                <w:sz w:val="20"/>
              </w:rPr>
              <w:t>iagnos</w:t>
            </w:r>
            <w:r w:rsidR="004173E6">
              <w:rPr>
                <w:sz w:val="20"/>
              </w:rPr>
              <w:t>e</w:t>
            </w:r>
            <w:r w:rsidR="002B10AA" w:rsidRPr="001B0397">
              <w:rPr>
                <w:sz w:val="20"/>
              </w:rPr>
              <w:t xml:space="preserve">, </w:t>
            </w:r>
            <w:r w:rsidR="004173E6">
              <w:rPr>
                <w:sz w:val="20"/>
              </w:rPr>
              <w:t>screen for</w:t>
            </w:r>
            <w:r w:rsidR="002B10AA" w:rsidRPr="001B0397">
              <w:rPr>
                <w:sz w:val="20"/>
              </w:rPr>
              <w:t xml:space="preserve">, </w:t>
            </w:r>
            <w:r w:rsidR="00317EFB" w:rsidRPr="001B0397">
              <w:rPr>
                <w:sz w:val="20"/>
              </w:rPr>
              <w:t xml:space="preserve">prevent, </w:t>
            </w:r>
            <w:r w:rsidR="002B10AA" w:rsidRPr="001B0397">
              <w:rPr>
                <w:sz w:val="20"/>
              </w:rPr>
              <w:t xml:space="preserve">monitor, </w:t>
            </w:r>
            <w:r w:rsidR="00317EFB" w:rsidRPr="001B0397">
              <w:rPr>
                <w:sz w:val="20"/>
              </w:rPr>
              <w:t xml:space="preserve">predict, </w:t>
            </w:r>
            <w:r w:rsidR="004173E6">
              <w:rPr>
                <w:sz w:val="20"/>
              </w:rPr>
              <w:t xml:space="preserve">make a </w:t>
            </w:r>
            <w:r w:rsidR="00317EFB" w:rsidRPr="001B0397">
              <w:rPr>
                <w:sz w:val="20"/>
              </w:rPr>
              <w:t>prognosis</w:t>
            </w:r>
            <w:r w:rsidR="00E8602F">
              <w:rPr>
                <w:sz w:val="20"/>
              </w:rPr>
              <w:t xml:space="preserve"> of</w:t>
            </w:r>
            <w:r w:rsidR="00317EFB" w:rsidRPr="001B0397">
              <w:rPr>
                <w:sz w:val="20"/>
              </w:rPr>
              <w:t xml:space="preserve">, </w:t>
            </w:r>
            <w:r w:rsidR="001B0397">
              <w:rPr>
                <w:sz w:val="20"/>
              </w:rPr>
              <w:t>alleviat</w:t>
            </w:r>
            <w:r w:rsidR="004173E6">
              <w:rPr>
                <w:sz w:val="20"/>
              </w:rPr>
              <w:t>e</w:t>
            </w:r>
            <w:r w:rsidR="001B0397">
              <w:rPr>
                <w:sz w:val="20"/>
              </w:rPr>
              <w:t xml:space="preserve">, </w:t>
            </w:r>
            <w:r w:rsidR="001D07AC" w:rsidRPr="00FC20C2">
              <w:rPr>
                <w:sz w:val="20"/>
              </w:rPr>
              <w:t xml:space="preserve">treat, or </w:t>
            </w:r>
            <w:r w:rsidR="00317EFB" w:rsidRPr="00FC20C2">
              <w:rPr>
                <w:sz w:val="20"/>
              </w:rPr>
              <w:t>mak</w:t>
            </w:r>
            <w:r w:rsidR="004173E6">
              <w:rPr>
                <w:sz w:val="20"/>
              </w:rPr>
              <w:t>e</w:t>
            </w:r>
            <w:r w:rsidR="00317EFB" w:rsidRPr="00FC20C2">
              <w:rPr>
                <w:sz w:val="20"/>
              </w:rPr>
              <w:t xml:space="preserve"> </w:t>
            </w:r>
            <w:r w:rsidR="001D07AC" w:rsidRPr="00FC20C2">
              <w:rPr>
                <w:sz w:val="20"/>
              </w:rPr>
              <w:t>a recommendation</w:t>
            </w:r>
            <w:r w:rsidR="001D07AC" w:rsidRPr="001B0397">
              <w:rPr>
                <w:sz w:val="20"/>
              </w:rPr>
              <w:t xml:space="preserve"> </w:t>
            </w:r>
            <w:r w:rsidR="002B10AA" w:rsidRPr="001B0397">
              <w:rPr>
                <w:sz w:val="20"/>
              </w:rPr>
              <w:t>or decision</w:t>
            </w:r>
            <w:r w:rsidR="002B10AA" w:rsidRPr="00FC20C2">
              <w:rPr>
                <w:sz w:val="20"/>
              </w:rPr>
              <w:t xml:space="preserve"> about the treatment of, a disease</w:t>
            </w:r>
            <w:r w:rsidR="00FC20C2">
              <w:rPr>
                <w:sz w:val="20"/>
              </w:rPr>
              <w:t xml:space="preserve">, </w:t>
            </w:r>
            <w:r w:rsidR="002B10AA" w:rsidRPr="00FC20C2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  <w:tr w:rsidR="00C80649" w:rsidRPr="002A7D6D" w:rsidTr="0012523C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49" w:rsidRPr="001E33CF" w:rsidRDefault="00C80649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2C5F20">
              <w:rPr>
                <w:sz w:val="20"/>
              </w:rPr>
              <w:t>N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4D5" w:rsidRPr="00F534D5" w:rsidRDefault="00F534D5" w:rsidP="00F534D5">
            <w:pPr>
              <w:spacing w:before="60" w:line="276" w:lineRule="auto"/>
              <w:rPr>
                <w:sz w:val="20"/>
              </w:rPr>
            </w:pPr>
            <w:r w:rsidRPr="00F534D5">
              <w:rPr>
                <w:sz w:val="20"/>
              </w:rPr>
              <w:t xml:space="preserve">software </w:t>
            </w:r>
            <w:r w:rsidR="007A4355">
              <w:rPr>
                <w:sz w:val="20"/>
              </w:rPr>
              <w:t>that is</w:t>
            </w:r>
            <w:r w:rsidR="007A4355" w:rsidRPr="00F534D5">
              <w:rPr>
                <w:sz w:val="20"/>
              </w:rPr>
              <w:t xml:space="preserve"> </w:t>
            </w:r>
            <w:r w:rsidR="007A4355">
              <w:rPr>
                <w:sz w:val="20"/>
              </w:rPr>
              <w:t>data</w:t>
            </w:r>
            <w:r w:rsidRPr="00F534D5">
              <w:rPr>
                <w:sz w:val="20"/>
              </w:rPr>
              <w:t xml:space="preserve"> analytics</w:t>
            </w:r>
            <w:r w:rsidR="007A4355">
              <w:rPr>
                <w:sz w:val="20"/>
              </w:rPr>
              <w:t xml:space="preserve"> and</w:t>
            </w:r>
            <w:r w:rsidR="007A4355" w:rsidRPr="00F534D5">
              <w:rPr>
                <w:sz w:val="20"/>
              </w:rPr>
              <w:t xml:space="preserve"> </w:t>
            </w:r>
            <w:r w:rsidRPr="00F534D5">
              <w:rPr>
                <w:sz w:val="20"/>
              </w:rPr>
              <w:t>is:</w:t>
            </w:r>
          </w:p>
          <w:p w:rsidR="00D2362A" w:rsidRDefault="00C82986" w:rsidP="0012523C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(a)</w:t>
            </w:r>
            <w:r w:rsidR="00D2362A">
              <w:rPr>
                <w:sz w:val="20"/>
              </w:rPr>
              <w:tab/>
            </w:r>
            <w:r>
              <w:rPr>
                <w:sz w:val="20"/>
              </w:rPr>
              <w:t>intended by its</w:t>
            </w:r>
            <w:r w:rsidR="00F534D5" w:rsidRPr="00F534D5">
              <w:rPr>
                <w:sz w:val="20"/>
              </w:rPr>
              <w:t xml:space="preserve"> manufacture</w:t>
            </w:r>
            <w:r>
              <w:rPr>
                <w:sz w:val="20"/>
              </w:rPr>
              <w:t>r</w:t>
            </w:r>
            <w:r w:rsidR="00F534D5" w:rsidRPr="00F534D5">
              <w:rPr>
                <w:sz w:val="20"/>
              </w:rPr>
              <w:t xml:space="preserve"> to be used </w:t>
            </w:r>
            <w:r w:rsidR="00DF0CCF">
              <w:rPr>
                <w:sz w:val="20"/>
              </w:rPr>
              <w:t>for the collection and analysis of</w:t>
            </w:r>
            <w:r w:rsidR="007A4355">
              <w:rPr>
                <w:sz w:val="20"/>
              </w:rPr>
              <w:t xml:space="preserve"> </w:t>
            </w:r>
            <w:r w:rsidR="00D2362A">
              <w:rPr>
                <w:sz w:val="20"/>
              </w:rPr>
              <w:t>class</w:t>
            </w:r>
            <w:r w:rsidR="007A4355">
              <w:rPr>
                <w:sz w:val="20"/>
              </w:rPr>
              <w:t xml:space="preserve">, </w:t>
            </w:r>
            <w:r w:rsidR="00D2362A">
              <w:rPr>
                <w:sz w:val="20"/>
              </w:rPr>
              <w:t>group</w:t>
            </w:r>
            <w:r w:rsidR="007A4355">
              <w:rPr>
                <w:sz w:val="20"/>
              </w:rPr>
              <w:t xml:space="preserve"> or population</w:t>
            </w:r>
            <w:r w:rsidR="00D2362A">
              <w:rPr>
                <w:sz w:val="20"/>
              </w:rPr>
              <w:t xml:space="preserve"> data; </w:t>
            </w:r>
            <w:r w:rsidR="00F534D5" w:rsidRPr="00F534D5">
              <w:rPr>
                <w:sz w:val="20"/>
              </w:rPr>
              <w:t>and</w:t>
            </w:r>
          </w:p>
          <w:p w:rsidR="00C80649" w:rsidRPr="00F534D5" w:rsidRDefault="00132997" w:rsidP="001F190F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52335">
              <w:rPr>
                <w:sz w:val="20"/>
              </w:rPr>
              <w:t>(b)</w:t>
            </w:r>
            <w:r w:rsidRPr="00C52335">
              <w:rPr>
                <w:sz w:val="20"/>
              </w:rPr>
              <w:tab/>
            </w:r>
            <w:r w:rsidR="00F578F6" w:rsidRPr="00C52335">
              <w:rPr>
                <w:sz w:val="20"/>
              </w:rPr>
              <w:t xml:space="preserve">not intended by its manufacturer </w:t>
            </w:r>
            <w:r w:rsidR="00DF0CCF" w:rsidRPr="00C52335">
              <w:rPr>
                <w:sz w:val="20"/>
              </w:rPr>
              <w:t xml:space="preserve">to be used for the purpose of </w:t>
            </w:r>
            <w:r w:rsidR="00F578F6" w:rsidRPr="00C52335">
              <w:rPr>
                <w:sz w:val="20"/>
              </w:rPr>
              <w:t>diagnos</w:t>
            </w:r>
            <w:r w:rsidR="00DF0CCF" w:rsidRPr="00C52335">
              <w:rPr>
                <w:sz w:val="20"/>
              </w:rPr>
              <w:t>is</w:t>
            </w:r>
            <w:r w:rsidR="00F578F6" w:rsidRPr="002C3256">
              <w:rPr>
                <w:sz w:val="20"/>
              </w:rPr>
              <w:t>, prevent</w:t>
            </w:r>
            <w:r w:rsidR="00DF0CCF">
              <w:rPr>
                <w:sz w:val="20"/>
              </w:rPr>
              <w:t>ion</w:t>
            </w:r>
            <w:r w:rsidR="00F578F6" w:rsidRPr="002C3256">
              <w:rPr>
                <w:sz w:val="20"/>
              </w:rPr>
              <w:t>, monito</w:t>
            </w:r>
            <w:r w:rsidR="00705573">
              <w:rPr>
                <w:sz w:val="20"/>
              </w:rPr>
              <w:t>r</w:t>
            </w:r>
            <w:r w:rsidR="00DF0CCF">
              <w:rPr>
                <w:sz w:val="20"/>
              </w:rPr>
              <w:t>ing</w:t>
            </w:r>
            <w:r w:rsidR="00F578F6" w:rsidRPr="002C3256">
              <w:rPr>
                <w:sz w:val="20"/>
              </w:rPr>
              <w:t>, predict</w:t>
            </w:r>
            <w:r w:rsidR="00DF0CCF">
              <w:rPr>
                <w:sz w:val="20"/>
              </w:rPr>
              <w:t>ion</w:t>
            </w:r>
            <w:r w:rsidR="00F578F6" w:rsidRPr="002C3256">
              <w:rPr>
                <w:sz w:val="20"/>
              </w:rPr>
              <w:t>, prognosis, treat</w:t>
            </w:r>
            <w:r w:rsidR="00DF0CCF">
              <w:rPr>
                <w:sz w:val="20"/>
              </w:rPr>
              <w:t>ment</w:t>
            </w:r>
            <w:r w:rsidR="00F578F6" w:rsidRPr="002C3256">
              <w:rPr>
                <w:sz w:val="20"/>
              </w:rPr>
              <w:t xml:space="preserve"> or alleviat</w:t>
            </w:r>
            <w:r w:rsidR="00DF0CCF">
              <w:rPr>
                <w:sz w:val="20"/>
              </w:rPr>
              <w:t>ion</w:t>
            </w:r>
            <w:r w:rsidR="004173E6">
              <w:rPr>
                <w:sz w:val="20"/>
              </w:rPr>
              <w:t>,</w:t>
            </w:r>
            <w:r w:rsidR="00DF0CCF">
              <w:rPr>
                <w:sz w:val="20"/>
              </w:rPr>
              <w:t xml:space="preserve"> of</w:t>
            </w:r>
            <w:r w:rsidR="00F578F6" w:rsidRPr="002C3256">
              <w:rPr>
                <w:sz w:val="20"/>
              </w:rPr>
              <w:t xml:space="preserve"> </w:t>
            </w:r>
            <w:r w:rsidR="00705573">
              <w:rPr>
                <w:sz w:val="20"/>
              </w:rPr>
              <w:t>a</w:t>
            </w:r>
            <w:r w:rsidR="00705573" w:rsidRPr="002C3256">
              <w:rPr>
                <w:sz w:val="20"/>
              </w:rPr>
              <w:t xml:space="preserve"> </w:t>
            </w:r>
            <w:r w:rsidR="00F578F6" w:rsidRPr="002C3256">
              <w:rPr>
                <w:sz w:val="20"/>
              </w:rPr>
              <w:t>disease</w:t>
            </w:r>
            <w:r w:rsidR="00FC20C2">
              <w:rPr>
                <w:sz w:val="20"/>
              </w:rPr>
              <w:t xml:space="preserve">, </w:t>
            </w:r>
            <w:r w:rsidR="00F578F6" w:rsidRPr="002C3256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  <w:r w:rsidR="009C03A1" w:rsidRPr="002C3256">
              <w:rPr>
                <w:sz w:val="20"/>
              </w:rPr>
              <w:t xml:space="preserve"> in relation to individuals</w:t>
            </w:r>
          </w:p>
        </w:tc>
      </w:tr>
      <w:tr w:rsidR="00C80649" w:rsidRPr="000D5D0C" w:rsidTr="0012523C">
        <w:trPr>
          <w:trHeight w:val="322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649" w:rsidRPr="001E33CF" w:rsidRDefault="00C80649" w:rsidP="00C80649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="002C5F20">
              <w:rPr>
                <w:sz w:val="20"/>
              </w:rPr>
              <w:t>O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DC5" w:rsidRPr="00596B52" w:rsidRDefault="00585583" w:rsidP="00F84DC5">
            <w:pPr>
              <w:spacing w:before="60" w:line="276" w:lineRule="auto"/>
              <w:rPr>
                <w:sz w:val="20"/>
              </w:rPr>
            </w:pPr>
            <w:r w:rsidRPr="00596B52">
              <w:rPr>
                <w:sz w:val="20"/>
              </w:rPr>
              <w:t xml:space="preserve">software </w:t>
            </w:r>
            <w:r w:rsidR="00835BA3" w:rsidRPr="00596B52">
              <w:rPr>
                <w:sz w:val="20"/>
              </w:rPr>
              <w:t>that is a</w:t>
            </w:r>
            <w:r w:rsidR="00F534D5" w:rsidRPr="00596B52">
              <w:rPr>
                <w:sz w:val="20"/>
              </w:rPr>
              <w:t xml:space="preserve"> </w:t>
            </w:r>
            <w:r w:rsidR="00835BA3" w:rsidRPr="00596B52">
              <w:rPr>
                <w:sz w:val="20"/>
              </w:rPr>
              <w:t>laboratory information management system (</w:t>
            </w:r>
            <w:r w:rsidR="00D111ED" w:rsidRPr="00596B52">
              <w:rPr>
                <w:sz w:val="20"/>
              </w:rPr>
              <w:t xml:space="preserve">however </w:t>
            </w:r>
            <w:r w:rsidR="00CE2A33">
              <w:rPr>
                <w:sz w:val="20"/>
              </w:rPr>
              <w:t xml:space="preserve">named or </w:t>
            </w:r>
            <w:r w:rsidR="00D111ED" w:rsidRPr="00596B52">
              <w:rPr>
                <w:sz w:val="20"/>
              </w:rPr>
              <w:t>described</w:t>
            </w:r>
            <w:r w:rsidR="00835BA3" w:rsidRPr="00596B52">
              <w:rPr>
                <w:sz w:val="20"/>
              </w:rPr>
              <w:t xml:space="preserve">) </w:t>
            </w:r>
            <w:r w:rsidR="00D111ED" w:rsidRPr="00596B52">
              <w:rPr>
                <w:sz w:val="20"/>
              </w:rPr>
              <w:t>and</w:t>
            </w:r>
            <w:r w:rsidR="00F534D5" w:rsidRPr="00596B52">
              <w:rPr>
                <w:sz w:val="20"/>
              </w:rPr>
              <w:t xml:space="preserve"> is</w:t>
            </w:r>
            <w:r w:rsidR="00D111ED" w:rsidRPr="00596B52">
              <w:rPr>
                <w:sz w:val="20"/>
              </w:rPr>
              <w:t xml:space="preserve"> </w:t>
            </w:r>
            <w:r w:rsidR="00AB5DCD" w:rsidRPr="00596B52">
              <w:rPr>
                <w:sz w:val="20"/>
              </w:rPr>
              <w:t xml:space="preserve">not intended by </w:t>
            </w:r>
            <w:r w:rsidR="00D111ED" w:rsidRPr="00596B52">
              <w:rPr>
                <w:sz w:val="20"/>
              </w:rPr>
              <w:t>its</w:t>
            </w:r>
            <w:r w:rsidR="00AB5DCD" w:rsidRPr="00596B52">
              <w:rPr>
                <w:sz w:val="20"/>
              </w:rPr>
              <w:t xml:space="preserve"> manufacturer </w:t>
            </w:r>
            <w:r w:rsidR="00D111ED" w:rsidRPr="00596B52">
              <w:rPr>
                <w:sz w:val="20"/>
              </w:rPr>
              <w:t>to</w:t>
            </w:r>
            <w:r w:rsidR="00F84DC5" w:rsidRPr="00596B52">
              <w:rPr>
                <w:sz w:val="20"/>
              </w:rPr>
              <w:t>:</w:t>
            </w:r>
          </w:p>
          <w:p w:rsidR="00F84DC5" w:rsidRPr="001B0397" w:rsidRDefault="00F84DC5" w:rsidP="00FC20C2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1B0397">
              <w:rPr>
                <w:sz w:val="20"/>
              </w:rPr>
              <w:t>(a)</w:t>
            </w:r>
            <w:r w:rsidRPr="001B0397">
              <w:rPr>
                <w:sz w:val="20"/>
              </w:rPr>
              <w:tab/>
            </w:r>
            <w:r w:rsidR="00DF0CCF">
              <w:rPr>
                <w:sz w:val="20"/>
              </w:rPr>
              <w:t>manipulat</w:t>
            </w:r>
            <w:r w:rsidR="004173E6">
              <w:rPr>
                <w:sz w:val="20"/>
              </w:rPr>
              <w:t>e</w:t>
            </w:r>
            <w:r w:rsidRPr="001B0397">
              <w:rPr>
                <w:sz w:val="20"/>
              </w:rPr>
              <w:t xml:space="preserve"> information or data to change</w:t>
            </w:r>
            <w:r w:rsidR="00596B52" w:rsidRPr="00FC20C2">
              <w:rPr>
                <w:sz w:val="20"/>
              </w:rPr>
              <w:t>,</w:t>
            </w:r>
            <w:r w:rsidRPr="001B0397">
              <w:rPr>
                <w:sz w:val="20"/>
              </w:rPr>
              <w:t xml:space="preserve"> or generate new</w:t>
            </w:r>
            <w:r w:rsidR="00596B52" w:rsidRPr="00FC20C2">
              <w:rPr>
                <w:sz w:val="20"/>
              </w:rPr>
              <w:t>,</w:t>
            </w:r>
            <w:r w:rsidRPr="001B0397">
              <w:rPr>
                <w:sz w:val="20"/>
              </w:rPr>
              <w:t xml:space="preserve"> diagnostic </w:t>
            </w:r>
            <w:r w:rsidR="00596B52" w:rsidRPr="00FC20C2">
              <w:rPr>
                <w:sz w:val="20"/>
              </w:rPr>
              <w:t>outputs</w:t>
            </w:r>
            <w:r w:rsidR="00596B52" w:rsidRPr="001B0397">
              <w:rPr>
                <w:sz w:val="20"/>
              </w:rPr>
              <w:t xml:space="preserve"> </w:t>
            </w:r>
            <w:r w:rsidR="00CE2A33">
              <w:rPr>
                <w:sz w:val="20"/>
              </w:rPr>
              <w:t>(</w:t>
            </w:r>
            <w:r w:rsidR="00596B52" w:rsidRPr="001B0397">
              <w:rPr>
                <w:sz w:val="20"/>
              </w:rPr>
              <w:t>other than automat</w:t>
            </w:r>
            <w:r w:rsidR="00DF0CCF">
              <w:rPr>
                <w:sz w:val="20"/>
              </w:rPr>
              <w:t>ing</w:t>
            </w:r>
            <w:r w:rsidR="00596B52" w:rsidRPr="001B0397">
              <w:rPr>
                <w:sz w:val="20"/>
              </w:rPr>
              <w:t xml:space="preserve"> </w:t>
            </w:r>
            <w:r w:rsidR="00596B52">
              <w:rPr>
                <w:sz w:val="20"/>
              </w:rPr>
              <w:t>si</w:t>
            </w:r>
            <w:r w:rsidRPr="00FC20C2">
              <w:rPr>
                <w:sz w:val="20"/>
              </w:rPr>
              <w:t>mple calculations</w:t>
            </w:r>
            <w:r w:rsidR="00596B52" w:rsidRPr="00FC20C2">
              <w:rPr>
                <w:sz w:val="20"/>
              </w:rPr>
              <w:t xml:space="preserve"> or </w:t>
            </w:r>
            <w:r w:rsidR="00596B52">
              <w:rPr>
                <w:sz w:val="20"/>
              </w:rPr>
              <w:t>generat</w:t>
            </w:r>
            <w:r w:rsidR="006A1A4D">
              <w:rPr>
                <w:sz w:val="20"/>
              </w:rPr>
              <w:t>ing</w:t>
            </w:r>
            <w:r w:rsidR="00596B52" w:rsidRPr="00FC20C2">
              <w:rPr>
                <w:sz w:val="20"/>
              </w:rPr>
              <w:t xml:space="preserve"> report comments</w:t>
            </w:r>
            <w:r w:rsidR="00CE2A33">
              <w:rPr>
                <w:sz w:val="20"/>
              </w:rPr>
              <w:t>)</w:t>
            </w:r>
            <w:r w:rsidRPr="001B0397">
              <w:rPr>
                <w:sz w:val="20"/>
              </w:rPr>
              <w:t>; or</w:t>
            </w:r>
          </w:p>
          <w:p w:rsidR="00C80649" w:rsidRPr="00CF5A7C" w:rsidRDefault="00F84DC5" w:rsidP="00C52335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F5A7C">
              <w:rPr>
                <w:sz w:val="20"/>
              </w:rPr>
              <w:t>(b)</w:t>
            </w:r>
            <w:r w:rsidRPr="000D5D0C">
              <w:rPr>
                <w:sz w:val="20"/>
              </w:rPr>
              <w:tab/>
            </w:r>
            <w:r w:rsidR="00D111ED" w:rsidRPr="000D5D0C">
              <w:rPr>
                <w:sz w:val="20"/>
              </w:rPr>
              <w:t xml:space="preserve">prevent, monitor, predict, </w:t>
            </w:r>
            <w:r w:rsidR="004173E6">
              <w:rPr>
                <w:sz w:val="20"/>
              </w:rPr>
              <w:t xml:space="preserve">make a </w:t>
            </w:r>
            <w:r w:rsidR="00D111ED" w:rsidRPr="000D5D0C">
              <w:rPr>
                <w:sz w:val="20"/>
              </w:rPr>
              <w:t>prognosis</w:t>
            </w:r>
            <w:r w:rsidR="00E8602F">
              <w:rPr>
                <w:sz w:val="20"/>
              </w:rPr>
              <w:t xml:space="preserve"> of</w:t>
            </w:r>
            <w:r w:rsidR="00D111ED" w:rsidRPr="000D5D0C">
              <w:rPr>
                <w:sz w:val="20"/>
              </w:rPr>
              <w:t xml:space="preserve">, </w:t>
            </w:r>
            <w:r w:rsidR="00DF0CCF" w:rsidRPr="000D5D0C">
              <w:rPr>
                <w:sz w:val="20"/>
              </w:rPr>
              <w:t>treat</w:t>
            </w:r>
            <w:r w:rsidRPr="00FC20C2">
              <w:rPr>
                <w:sz w:val="20"/>
              </w:rPr>
              <w:t xml:space="preserve"> or</w:t>
            </w:r>
            <w:r w:rsidR="00D111ED" w:rsidRPr="001B0397">
              <w:rPr>
                <w:sz w:val="20"/>
              </w:rPr>
              <w:t xml:space="preserve"> allevi</w:t>
            </w:r>
            <w:r w:rsidR="004173E6">
              <w:rPr>
                <w:sz w:val="20"/>
              </w:rPr>
              <w:t>ate</w:t>
            </w:r>
            <w:r w:rsidR="00D111ED" w:rsidRPr="001B0397">
              <w:rPr>
                <w:sz w:val="20"/>
              </w:rPr>
              <w:t xml:space="preserve"> </w:t>
            </w:r>
            <w:r w:rsidRPr="001B0397">
              <w:rPr>
                <w:sz w:val="20"/>
              </w:rPr>
              <w:t xml:space="preserve">a </w:t>
            </w:r>
            <w:r w:rsidR="00D111ED" w:rsidRPr="001B0397">
              <w:rPr>
                <w:sz w:val="20"/>
              </w:rPr>
              <w:t>disease</w:t>
            </w:r>
            <w:r w:rsidR="00FC20C2">
              <w:rPr>
                <w:sz w:val="20"/>
              </w:rPr>
              <w:t xml:space="preserve">, </w:t>
            </w:r>
            <w:r w:rsidR="00D111ED" w:rsidRPr="001B0397">
              <w:rPr>
                <w:sz w:val="20"/>
              </w:rPr>
              <w:t>condition</w:t>
            </w:r>
            <w:r w:rsidR="00FC20C2">
              <w:rPr>
                <w:sz w:val="20"/>
              </w:rPr>
              <w:t>, ailment or defect</w:t>
            </w:r>
          </w:p>
        </w:tc>
      </w:tr>
    </w:tbl>
    <w:p w:rsidR="00D2362A" w:rsidRDefault="00D2362A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sectPr w:rsidR="00D2362A" w:rsidSect="001B19E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522" w:right="1701" w:bottom="567" w:left="1701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02" w:rsidRDefault="00880C02" w:rsidP="0048364F">
      <w:pPr>
        <w:spacing w:line="240" w:lineRule="auto"/>
      </w:pPr>
      <w:r>
        <w:separator/>
      </w:r>
    </w:p>
  </w:endnote>
  <w:endnote w:type="continuationSeparator" w:id="0">
    <w:p w:rsidR="00880C02" w:rsidRDefault="00880C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06559B" w:rsidTr="0006559B">
      <w:tc>
        <w:tcPr>
          <w:tcW w:w="5000" w:type="pct"/>
        </w:tcPr>
        <w:p w:rsidR="0006559B" w:rsidRDefault="0006559B" w:rsidP="0006559B">
          <w:pPr>
            <w:rPr>
              <w:sz w:val="18"/>
            </w:rPr>
          </w:pPr>
        </w:p>
      </w:tc>
    </w:tr>
  </w:tbl>
  <w:p w:rsidR="0006559B" w:rsidRPr="005F1388" w:rsidRDefault="0006559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06559B" w:rsidTr="0006559B">
      <w:tc>
        <w:tcPr>
          <w:tcW w:w="5000" w:type="pct"/>
        </w:tcPr>
        <w:p w:rsidR="0006559B" w:rsidRDefault="0006559B" w:rsidP="0006559B">
          <w:pPr>
            <w:rPr>
              <w:sz w:val="18"/>
            </w:rPr>
          </w:pPr>
        </w:p>
      </w:tc>
    </w:tr>
  </w:tbl>
  <w:p w:rsidR="0006559B" w:rsidRPr="006D3667" w:rsidRDefault="0006559B" w:rsidP="00065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CF0EE1" w:rsidRDefault="0006559B" w:rsidP="00CF0EE1">
    <w:pPr>
      <w:jc w:val="center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33C1C" w:rsidRDefault="0006559B" w:rsidP="000655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0"/>
      <w:gridCol w:w="6273"/>
      <w:gridCol w:w="1611"/>
    </w:tblGrid>
    <w:tr w:rsidR="0006559B" w:rsidTr="0006559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6559B" w:rsidRDefault="0006559B" w:rsidP="000655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6559B" w:rsidRDefault="0006559B" w:rsidP="0006559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41B4">
            <w:rPr>
              <w:i/>
              <w:noProof/>
              <w:sz w:val="18"/>
            </w:rPr>
            <w:t>Therapeutic Goods (Excluded Goods) Amendment (Software-based Products)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6559B" w:rsidRDefault="0006559B" w:rsidP="0006559B">
          <w:pPr>
            <w:spacing w:line="0" w:lineRule="atLeast"/>
            <w:jc w:val="right"/>
            <w:rPr>
              <w:sz w:val="18"/>
            </w:rPr>
          </w:pPr>
        </w:p>
      </w:tc>
    </w:tr>
    <w:tr w:rsidR="0006559B" w:rsidTr="0006559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06559B" w:rsidRDefault="0006559B" w:rsidP="0006559B">
          <w:pPr>
            <w:jc w:val="right"/>
            <w:rPr>
              <w:sz w:val="18"/>
            </w:rPr>
          </w:pPr>
        </w:p>
      </w:tc>
    </w:tr>
  </w:tbl>
  <w:p w:rsidR="0006559B" w:rsidRPr="00ED79B6" w:rsidRDefault="0006559B" w:rsidP="0006559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33C1C" w:rsidRDefault="0006559B" w:rsidP="000655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Look w:val="04A0" w:firstRow="1" w:lastRow="0" w:firstColumn="1" w:lastColumn="0" w:noHBand="0" w:noVBand="1"/>
    </w:tblPr>
    <w:tblGrid>
      <w:gridCol w:w="994"/>
      <w:gridCol w:w="6277"/>
      <w:gridCol w:w="1094"/>
    </w:tblGrid>
    <w:tr w:rsidR="0006559B" w:rsidTr="002267A6">
      <w:tc>
        <w:tcPr>
          <w:tcW w:w="594" w:type="pct"/>
          <w:tcBorders>
            <w:top w:val="nil"/>
            <w:left w:val="nil"/>
            <w:bottom w:val="nil"/>
            <w:right w:val="nil"/>
          </w:tcBorders>
        </w:tcPr>
        <w:p w:rsidR="0006559B" w:rsidRDefault="0006559B" w:rsidP="0006559B">
          <w:pPr>
            <w:spacing w:line="0" w:lineRule="atLeast"/>
            <w:rPr>
              <w:sz w:val="18"/>
            </w:rPr>
          </w:pPr>
        </w:p>
      </w:tc>
      <w:tc>
        <w:tcPr>
          <w:tcW w:w="3752" w:type="pct"/>
          <w:tcBorders>
            <w:top w:val="nil"/>
            <w:left w:val="nil"/>
            <w:bottom w:val="nil"/>
            <w:right w:val="nil"/>
          </w:tcBorders>
        </w:tcPr>
        <w:p w:rsidR="0006559B" w:rsidRPr="00B20990" w:rsidRDefault="0006559B" w:rsidP="0006559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Therapeutic Goods (Excluded Goods) Amendment (Software-based Products)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4" w:type="pct"/>
          <w:tcBorders>
            <w:top w:val="nil"/>
            <w:left w:val="nil"/>
            <w:bottom w:val="nil"/>
            <w:right w:val="nil"/>
          </w:tcBorders>
        </w:tcPr>
        <w:p w:rsidR="0006559B" w:rsidRDefault="0006559B" w:rsidP="000655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6559B" w:rsidRDefault="0006559B" w:rsidP="001B19E0">
    <w:pPr>
      <w:tabs>
        <w:tab w:val="left" w:pos="2184"/>
      </w:tabs>
      <w:jc w:val="center"/>
      <w:rPr>
        <w:sz w:val="18"/>
      </w:rPr>
    </w:pPr>
  </w:p>
  <w:p w:rsidR="0006559B" w:rsidRPr="008C38F7" w:rsidRDefault="0006559B" w:rsidP="001B19E0">
    <w:pPr>
      <w:tabs>
        <w:tab w:val="left" w:pos="2184"/>
      </w:tabs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33C1C" w:rsidRDefault="0006559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47" w:type="dxa"/>
      <w:tblLayout w:type="fixed"/>
      <w:tblLook w:val="04A0" w:firstRow="1" w:lastRow="0" w:firstColumn="1" w:lastColumn="0" w:noHBand="0" w:noVBand="1"/>
    </w:tblPr>
    <w:tblGrid>
      <w:gridCol w:w="1134"/>
      <w:gridCol w:w="6378"/>
      <w:gridCol w:w="1135"/>
    </w:tblGrid>
    <w:tr w:rsidR="0006559B" w:rsidTr="002267A6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Therapeutic Goods (Excluded Goods) Amendment (Software-based Products)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:rsidR="0006559B" w:rsidRDefault="0006559B" w:rsidP="008C38F7">
    <w:pPr>
      <w:jc w:val="center"/>
      <w:rPr>
        <w:sz w:val="18"/>
      </w:rPr>
    </w:pPr>
  </w:p>
  <w:p w:rsidR="0006559B" w:rsidRPr="008C38F7" w:rsidRDefault="0006559B" w:rsidP="008C38F7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33C1C" w:rsidRDefault="0006559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505" w:type="dxa"/>
      <w:tblLayout w:type="fixed"/>
      <w:tblLook w:val="04A0" w:firstRow="1" w:lastRow="0" w:firstColumn="1" w:lastColumn="0" w:noHBand="0" w:noVBand="1"/>
    </w:tblPr>
    <w:tblGrid>
      <w:gridCol w:w="1276"/>
      <w:gridCol w:w="6096"/>
      <w:gridCol w:w="1133"/>
    </w:tblGrid>
    <w:tr w:rsidR="0006559B" w:rsidTr="002267A6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rPr>
              <w:sz w:val="18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Therapeutic Goods (Excluded Goods) Amendment (Software-based Products)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6559B" w:rsidRDefault="0006559B" w:rsidP="00CF0EE1">
    <w:pPr>
      <w:tabs>
        <w:tab w:val="left" w:pos="2658"/>
      </w:tabs>
      <w:jc w:val="center"/>
      <w:rPr>
        <w:sz w:val="18"/>
      </w:rPr>
    </w:pPr>
  </w:p>
  <w:p w:rsidR="0006559B" w:rsidRPr="008C38F7" w:rsidRDefault="0006559B" w:rsidP="00CF0EE1">
    <w:pPr>
      <w:tabs>
        <w:tab w:val="left" w:pos="2658"/>
      </w:tabs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33C1C" w:rsidRDefault="0006559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559B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41B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6559B" w:rsidRDefault="0006559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559B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6559B" w:rsidRDefault="0006559B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E41B4">
            <w:rPr>
              <w:i/>
              <w:noProof/>
              <w:sz w:val="18"/>
            </w:rPr>
            <w:t>\\central.health\dfsuserenv\Users\User_12\PEYROA\Desktop\DRAFT Therapeutic Goods (Excluded Goods) Amendment (Software-based Products) Determination 2020 (11 Dec 20).docx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45154">
            <w:rPr>
              <w:i/>
              <w:noProof/>
              <w:sz w:val="18"/>
            </w:rPr>
            <w:t>14/1/2021 2:39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6559B" w:rsidRPr="00ED79B6" w:rsidRDefault="0006559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02" w:rsidRDefault="00880C02" w:rsidP="0048364F">
      <w:pPr>
        <w:spacing w:line="240" w:lineRule="auto"/>
      </w:pPr>
      <w:r>
        <w:separator/>
      </w:r>
    </w:p>
  </w:footnote>
  <w:footnote w:type="continuationSeparator" w:id="0">
    <w:p w:rsidR="00880C02" w:rsidRDefault="00880C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5F1388" w:rsidRDefault="0006559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5F1388" w:rsidRDefault="0006559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5F1388" w:rsidRDefault="0006559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D79B6" w:rsidRDefault="0006559B" w:rsidP="0006559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D79B6" w:rsidRDefault="0006559B" w:rsidP="0006559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ED79B6" w:rsidRDefault="0006559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A961C4" w:rsidRDefault="0006559B" w:rsidP="0048364F">
    <w:pPr>
      <w:rPr>
        <w:b/>
        <w:sz w:val="20"/>
      </w:rPr>
    </w:pPr>
  </w:p>
  <w:p w:rsidR="0006559B" w:rsidRPr="00A961C4" w:rsidRDefault="0006559B" w:rsidP="0048364F">
    <w:pPr>
      <w:rPr>
        <w:b/>
        <w:sz w:val="20"/>
      </w:rPr>
    </w:pPr>
  </w:p>
  <w:p w:rsidR="0006559B" w:rsidRPr="00A961C4" w:rsidRDefault="0006559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Pr="00A961C4" w:rsidRDefault="0006559B" w:rsidP="0048364F">
    <w:pPr>
      <w:jc w:val="right"/>
      <w:rPr>
        <w:sz w:val="20"/>
      </w:rPr>
    </w:pPr>
  </w:p>
  <w:p w:rsidR="0006559B" w:rsidRPr="00A961C4" w:rsidRDefault="0006559B" w:rsidP="0048364F">
    <w:pPr>
      <w:jc w:val="right"/>
      <w:rPr>
        <w:b/>
        <w:sz w:val="20"/>
      </w:rPr>
    </w:pPr>
  </w:p>
  <w:p w:rsidR="0006559B" w:rsidRPr="00A961C4" w:rsidRDefault="0006559B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0B8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A7AD9"/>
    <w:multiLevelType w:val="hybridMultilevel"/>
    <w:tmpl w:val="FD0651AE"/>
    <w:lvl w:ilvl="0" w:tplc="60AAF0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73DD3"/>
    <w:multiLevelType w:val="hybridMultilevel"/>
    <w:tmpl w:val="B6F8DF12"/>
    <w:lvl w:ilvl="0" w:tplc="9D6A92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AC0071"/>
    <w:multiLevelType w:val="hybridMultilevel"/>
    <w:tmpl w:val="ACB664AC"/>
    <w:lvl w:ilvl="0" w:tplc="F79249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515635"/>
    <w:multiLevelType w:val="hybridMultilevel"/>
    <w:tmpl w:val="92EE33E8"/>
    <w:lvl w:ilvl="0" w:tplc="EF3690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0B3796"/>
    <w:multiLevelType w:val="hybridMultilevel"/>
    <w:tmpl w:val="C8FE3342"/>
    <w:lvl w:ilvl="0" w:tplc="6D20C2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4109EB"/>
    <w:multiLevelType w:val="hybridMultilevel"/>
    <w:tmpl w:val="468859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1F1C"/>
    <w:multiLevelType w:val="hybridMultilevel"/>
    <w:tmpl w:val="184205D0"/>
    <w:lvl w:ilvl="0" w:tplc="473404E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6196"/>
    <w:multiLevelType w:val="hybridMultilevel"/>
    <w:tmpl w:val="AE0C7398"/>
    <w:lvl w:ilvl="0" w:tplc="8E92E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4780B"/>
    <w:multiLevelType w:val="hybridMultilevel"/>
    <w:tmpl w:val="B65C6C70"/>
    <w:lvl w:ilvl="0" w:tplc="ABA6A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03136"/>
    <w:multiLevelType w:val="hybridMultilevel"/>
    <w:tmpl w:val="4E0EBEF0"/>
    <w:lvl w:ilvl="0" w:tplc="90C43944">
      <w:start w:val="1"/>
      <w:numFmt w:val="lowerLetter"/>
      <w:lvlText w:val="(%1)"/>
      <w:lvlJc w:val="left"/>
      <w:pPr>
        <w:ind w:left="7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1" w:hanging="360"/>
      </w:pPr>
    </w:lvl>
    <w:lvl w:ilvl="2" w:tplc="0C09001B" w:tentative="1">
      <w:start w:val="1"/>
      <w:numFmt w:val="lowerRoman"/>
      <w:lvlText w:val="%3."/>
      <w:lvlJc w:val="right"/>
      <w:pPr>
        <w:ind w:left="2151" w:hanging="180"/>
      </w:pPr>
    </w:lvl>
    <w:lvl w:ilvl="3" w:tplc="0C09000F" w:tentative="1">
      <w:start w:val="1"/>
      <w:numFmt w:val="decimal"/>
      <w:lvlText w:val="%4."/>
      <w:lvlJc w:val="left"/>
      <w:pPr>
        <w:ind w:left="2871" w:hanging="360"/>
      </w:pPr>
    </w:lvl>
    <w:lvl w:ilvl="4" w:tplc="0C090019" w:tentative="1">
      <w:start w:val="1"/>
      <w:numFmt w:val="lowerLetter"/>
      <w:lvlText w:val="%5."/>
      <w:lvlJc w:val="left"/>
      <w:pPr>
        <w:ind w:left="3591" w:hanging="360"/>
      </w:pPr>
    </w:lvl>
    <w:lvl w:ilvl="5" w:tplc="0C09001B" w:tentative="1">
      <w:start w:val="1"/>
      <w:numFmt w:val="lowerRoman"/>
      <w:lvlText w:val="%6."/>
      <w:lvlJc w:val="right"/>
      <w:pPr>
        <w:ind w:left="4311" w:hanging="180"/>
      </w:pPr>
    </w:lvl>
    <w:lvl w:ilvl="6" w:tplc="0C09000F" w:tentative="1">
      <w:start w:val="1"/>
      <w:numFmt w:val="decimal"/>
      <w:lvlText w:val="%7."/>
      <w:lvlJc w:val="left"/>
      <w:pPr>
        <w:ind w:left="5031" w:hanging="360"/>
      </w:pPr>
    </w:lvl>
    <w:lvl w:ilvl="7" w:tplc="0C090019" w:tentative="1">
      <w:start w:val="1"/>
      <w:numFmt w:val="lowerLetter"/>
      <w:lvlText w:val="%8."/>
      <w:lvlJc w:val="left"/>
      <w:pPr>
        <w:ind w:left="5751" w:hanging="360"/>
      </w:pPr>
    </w:lvl>
    <w:lvl w:ilvl="8" w:tplc="0C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2" w15:restartNumberingAfterBreak="0">
    <w:nsid w:val="38320679"/>
    <w:multiLevelType w:val="hybridMultilevel"/>
    <w:tmpl w:val="975AE3AE"/>
    <w:lvl w:ilvl="0" w:tplc="EDB86B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F0808"/>
    <w:multiLevelType w:val="hybridMultilevel"/>
    <w:tmpl w:val="BBF400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50FE756C"/>
    <w:multiLevelType w:val="hybridMultilevel"/>
    <w:tmpl w:val="764CBB96"/>
    <w:lvl w:ilvl="0" w:tplc="286656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5C0E2E"/>
    <w:multiLevelType w:val="hybridMultilevel"/>
    <w:tmpl w:val="75C44FBC"/>
    <w:lvl w:ilvl="0" w:tplc="D2B85A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F406AA"/>
    <w:multiLevelType w:val="hybridMultilevel"/>
    <w:tmpl w:val="3BE4ED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D3FAE"/>
    <w:multiLevelType w:val="hybridMultilevel"/>
    <w:tmpl w:val="DEA63A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62892"/>
    <w:multiLevelType w:val="hybridMultilevel"/>
    <w:tmpl w:val="8A4AB0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4687"/>
    <w:multiLevelType w:val="hybridMultilevel"/>
    <w:tmpl w:val="B6CC411E"/>
    <w:lvl w:ilvl="0" w:tplc="298C4D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3761"/>
    <w:multiLevelType w:val="hybridMultilevel"/>
    <w:tmpl w:val="47620A38"/>
    <w:lvl w:ilvl="0" w:tplc="37C86A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0C2CF7"/>
    <w:multiLevelType w:val="hybridMultilevel"/>
    <w:tmpl w:val="FEBAAF6A"/>
    <w:lvl w:ilvl="0" w:tplc="10BAE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E6678"/>
    <w:multiLevelType w:val="hybridMultilevel"/>
    <w:tmpl w:val="9D9273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59B8"/>
    <w:multiLevelType w:val="hybridMultilevel"/>
    <w:tmpl w:val="7A268F0A"/>
    <w:lvl w:ilvl="0" w:tplc="C31EC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0"/>
  </w:num>
  <w:num w:numId="13">
    <w:abstractNumId w:val="15"/>
  </w:num>
  <w:num w:numId="14">
    <w:abstractNumId w:val="18"/>
  </w:num>
  <w:num w:numId="15">
    <w:abstractNumId w:val="33"/>
  </w:num>
  <w:num w:numId="16">
    <w:abstractNumId w:val="32"/>
  </w:num>
  <w:num w:numId="17">
    <w:abstractNumId w:val="34"/>
  </w:num>
  <w:num w:numId="18">
    <w:abstractNumId w:val="26"/>
  </w:num>
  <w:num w:numId="19">
    <w:abstractNumId w:val="31"/>
  </w:num>
  <w:num w:numId="20">
    <w:abstractNumId w:val="13"/>
  </w:num>
  <w:num w:numId="21">
    <w:abstractNumId w:val="17"/>
  </w:num>
  <w:num w:numId="22">
    <w:abstractNumId w:val="20"/>
  </w:num>
  <w:num w:numId="23">
    <w:abstractNumId w:val="19"/>
  </w:num>
  <w:num w:numId="24">
    <w:abstractNumId w:val="29"/>
  </w:num>
  <w:num w:numId="25">
    <w:abstractNumId w:val="14"/>
  </w:num>
  <w:num w:numId="26">
    <w:abstractNumId w:val="11"/>
  </w:num>
  <w:num w:numId="27">
    <w:abstractNumId w:val="25"/>
  </w:num>
  <w:num w:numId="28">
    <w:abstractNumId w:val="30"/>
  </w:num>
  <w:num w:numId="29">
    <w:abstractNumId w:val="27"/>
  </w:num>
  <w:num w:numId="30">
    <w:abstractNumId w:val="22"/>
  </w:num>
  <w:num w:numId="31">
    <w:abstractNumId w:val="28"/>
  </w:num>
  <w:num w:numId="32">
    <w:abstractNumId w:val="23"/>
  </w:num>
  <w:num w:numId="33">
    <w:abstractNumId w:val="16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33"/>
    <w:rsid w:val="00000263"/>
    <w:rsid w:val="00002BCC"/>
    <w:rsid w:val="000039C4"/>
    <w:rsid w:val="000113BC"/>
    <w:rsid w:val="000136AF"/>
    <w:rsid w:val="000148D4"/>
    <w:rsid w:val="00022504"/>
    <w:rsid w:val="00024D50"/>
    <w:rsid w:val="00031CBE"/>
    <w:rsid w:val="0003659C"/>
    <w:rsid w:val="0004044E"/>
    <w:rsid w:val="0005120E"/>
    <w:rsid w:val="0005403A"/>
    <w:rsid w:val="00054577"/>
    <w:rsid w:val="000614BF"/>
    <w:rsid w:val="00061C84"/>
    <w:rsid w:val="0006559B"/>
    <w:rsid w:val="00070CF5"/>
    <w:rsid w:val="0007169C"/>
    <w:rsid w:val="00073A4E"/>
    <w:rsid w:val="000761FD"/>
    <w:rsid w:val="00077593"/>
    <w:rsid w:val="00080B40"/>
    <w:rsid w:val="00083F48"/>
    <w:rsid w:val="00085DBA"/>
    <w:rsid w:val="00093B50"/>
    <w:rsid w:val="0009595F"/>
    <w:rsid w:val="000A479A"/>
    <w:rsid w:val="000A6DED"/>
    <w:rsid w:val="000A7DF9"/>
    <w:rsid w:val="000B16FC"/>
    <w:rsid w:val="000C7AFC"/>
    <w:rsid w:val="000D05EF"/>
    <w:rsid w:val="000D240D"/>
    <w:rsid w:val="000D3FB9"/>
    <w:rsid w:val="000D4367"/>
    <w:rsid w:val="000D5485"/>
    <w:rsid w:val="000D5D0C"/>
    <w:rsid w:val="000E598E"/>
    <w:rsid w:val="000E5A3D"/>
    <w:rsid w:val="000F0ADA"/>
    <w:rsid w:val="000F21C1"/>
    <w:rsid w:val="00101DFC"/>
    <w:rsid w:val="00104F67"/>
    <w:rsid w:val="0010745C"/>
    <w:rsid w:val="00107D7C"/>
    <w:rsid w:val="001122FF"/>
    <w:rsid w:val="0012523C"/>
    <w:rsid w:val="0012527C"/>
    <w:rsid w:val="00125A65"/>
    <w:rsid w:val="00132997"/>
    <w:rsid w:val="0013446B"/>
    <w:rsid w:val="00135224"/>
    <w:rsid w:val="00160BD7"/>
    <w:rsid w:val="001643C9"/>
    <w:rsid w:val="0016477E"/>
    <w:rsid w:val="00165568"/>
    <w:rsid w:val="00166082"/>
    <w:rsid w:val="00166C2F"/>
    <w:rsid w:val="001716C9"/>
    <w:rsid w:val="00172914"/>
    <w:rsid w:val="00184261"/>
    <w:rsid w:val="00184BAE"/>
    <w:rsid w:val="00193461"/>
    <w:rsid w:val="00193487"/>
    <w:rsid w:val="001939E1"/>
    <w:rsid w:val="0019452E"/>
    <w:rsid w:val="00195382"/>
    <w:rsid w:val="001A2C96"/>
    <w:rsid w:val="001A36DD"/>
    <w:rsid w:val="001A3B9F"/>
    <w:rsid w:val="001A4241"/>
    <w:rsid w:val="001A5520"/>
    <w:rsid w:val="001A65C0"/>
    <w:rsid w:val="001B0397"/>
    <w:rsid w:val="001B1498"/>
    <w:rsid w:val="001B19E0"/>
    <w:rsid w:val="001B7A5D"/>
    <w:rsid w:val="001C69C4"/>
    <w:rsid w:val="001D07AC"/>
    <w:rsid w:val="001D0D88"/>
    <w:rsid w:val="001E0A8D"/>
    <w:rsid w:val="001E3590"/>
    <w:rsid w:val="001E7407"/>
    <w:rsid w:val="001F16A3"/>
    <w:rsid w:val="001F190F"/>
    <w:rsid w:val="001F1A46"/>
    <w:rsid w:val="001F63A8"/>
    <w:rsid w:val="001F7EF2"/>
    <w:rsid w:val="00201D27"/>
    <w:rsid w:val="002068E8"/>
    <w:rsid w:val="0021153A"/>
    <w:rsid w:val="00214B40"/>
    <w:rsid w:val="00223A39"/>
    <w:rsid w:val="002245A6"/>
    <w:rsid w:val="00225256"/>
    <w:rsid w:val="002267A6"/>
    <w:rsid w:val="002302EA"/>
    <w:rsid w:val="00237614"/>
    <w:rsid w:val="00240749"/>
    <w:rsid w:val="00240C43"/>
    <w:rsid w:val="00243E2E"/>
    <w:rsid w:val="00245111"/>
    <w:rsid w:val="0024656F"/>
    <w:rsid w:val="002468D7"/>
    <w:rsid w:val="00247E97"/>
    <w:rsid w:val="00256C81"/>
    <w:rsid w:val="0026269D"/>
    <w:rsid w:val="00264BA6"/>
    <w:rsid w:val="0028599D"/>
    <w:rsid w:val="00285CDD"/>
    <w:rsid w:val="00291167"/>
    <w:rsid w:val="00291A40"/>
    <w:rsid w:val="0029201E"/>
    <w:rsid w:val="00293C5F"/>
    <w:rsid w:val="00293D8F"/>
    <w:rsid w:val="0029489E"/>
    <w:rsid w:val="00297ECB"/>
    <w:rsid w:val="002A5873"/>
    <w:rsid w:val="002A6D68"/>
    <w:rsid w:val="002B10AA"/>
    <w:rsid w:val="002B6171"/>
    <w:rsid w:val="002B700D"/>
    <w:rsid w:val="002B7BD6"/>
    <w:rsid w:val="002C0F34"/>
    <w:rsid w:val="002C152A"/>
    <w:rsid w:val="002C3256"/>
    <w:rsid w:val="002C5F20"/>
    <w:rsid w:val="002C6F5D"/>
    <w:rsid w:val="002C7691"/>
    <w:rsid w:val="002D043A"/>
    <w:rsid w:val="002D6661"/>
    <w:rsid w:val="002E46EA"/>
    <w:rsid w:val="002E71C9"/>
    <w:rsid w:val="002F3585"/>
    <w:rsid w:val="003069F6"/>
    <w:rsid w:val="00315B4F"/>
    <w:rsid w:val="0031713F"/>
    <w:rsid w:val="00317C2D"/>
    <w:rsid w:val="00317EFB"/>
    <w:rsid w:val="003222D1"/>
    <w:rsid w:val="0032750F"/>
    <w:rsid w:val="003415D3"/>
    <w:rsid w:val="003442F6"/>
    <w:rsid w:val="00344E85"/>
    <w:rsid w:val="00346335"/>
    <w:rsid w:val="00347A5B"/>
    <w:rsid w:val="00352B0F"/>
    <w:rsid w:val="00355E3B"/>
    <w:rsid w:val="003561B0"/>
    <w:rsid w:val="003801EC"/>
    <w:rsid w:val="0038323B"/>
    <w:rsid w:val="00395B63"/>
    <w:rsid w:val="00397893"/>
    <w:rsid w:val="003A15AC"/>
    <w:rsid w:val="003B0627"/>
    <w:rsid w:val="003B20ED"/>
    <w:rsid w:val="003B3088"/>
    <w:rsid w:val="003C1F7B"/>
    <w:rsid w:val="003C5F2B"/>
    <w:rsid w:val="003C7D35"/>
    <w:rsid w:val="003D0BFE"/>
    <w:rsid w:val="003D5700"/>
    <w:rsid w:val="003F6F52"/>
    <w:rsid w:val="00400C8B"/>
    <w:rsid w:val="004022CA"/>
    <w:rsid w:val="004116CD"/>
    <w:rsid w:val="00413F72"/>
    <w:rsid w:val="00414ADE"/>
    <w:rsid w:val="00415716"/>
    <w:rsid w:val="004173E6"/>
    <w:rsid w:val="00424CA9"/>
    <w:rsid w:val="004257BB"/>
    <w:rsid w:val="00431FCA"/>
    <w:rsid w:val="0043220E"/>
    <w:rsid w:val="0044291A"/>
    <w:rsid w:val="00450E99"/>
    <w:rsid w:val="00452D06"/>
    <w:rsid w:val="004600B0"/>
    <w:rsid w:val="00460499"/>
    <w:rsid w:val="00460FBA"/>
    <w:rsid w:val="004628DF"/>
    <w:rsid w:val="00462AAF"/>
    <w:rsid w:val="004710A7"/>
    <w:rsid w:val="00472B16"/>
    <w:rsid w:val="004731CE"/>
    <w:rsid w:val="00474835"/>
    <w:rsid w:val="004819C7"/>
    <w:rsid w:val="0048364F"/>
    <w:rsid w:val="004877FC"/>
    <w:rsid w:val="00490533"/>
    <w:rsid w:val="00490F2E"/>
    <w:rsid w:val="00496F97"/>
    <w:rsid w:val="004A53EA"/>
    <w:rsid w:val="004A7A81"/>
    <w:rsid w:val="004B35E7"/>
    <w:rsid w:val="004C00EF"/>
    <w:rsid w:val="004C24E2"/>
    <w:rsid w:val="004C52C0"/>
    <w:rsid w:val="004C6095"/>
    <w:rsid w:val="004C7D5B"/>
    <w:rsid w:val="004C7F5F"/>
    <w:rsid w:val="004D7DE2"/>
    <w:rsid w:val="004F1805"/>
    <w:rsid w:val="004F1FAC"/>
    <w:rsid w:val="004F558F"/>
    <w:rsid w:val="004F676E"/>
    <w:rsid w:val="004F71C0"/>
    <w:rsid w:val="004F7CBF"/>
    <w:rsid w:val="00501B19"/>
    <w:rsid w:val="00516B8D"/>
    <w:rsid w:val="005271B3"/>
    <w:rsid w:val="0052756C"/>
    <w:rsid w:val="00530230"/>
    <w:rsid w:val="00530CC9"/>
    <w:rsid w:val="00531B46"/>
    <w:rsid w:val="005376B2"/>
    <w:rsid w:val="00537FBC"/>
    <w:rsid w:val="00541D73"/>
    <w:rsid w:val="00543469"/>
    <w:rsid w:val="00546FA3"/>
    <w:rsid w:val="00557C7A"/>
    <w:rsid w:val="00562A58"/>
    <w:rsid w:val="00562C03"/>
    <w:rsid w:val="00564AA9"/>
    <w:rsid w:val="0056541A"/>
    <w:rsid w:val="00566497"/>
    <w:rsid w:val="00575B18"/>
    <w:rsid w:val="00581050"/>
    <w:rsid w:val="00581211"/>
    <w:rsid w:val="00581AFF"/>
    <w:rsid w:val="0058383E"/>
    <w:rsid w:val="00584811"/>
    <w:rsid w:val="00585583"/>
    <w:rsid w:val="005915AA"/>
    <w:rsid w:val="00592EAD"/>
    <w:rsid w:val="005933F2"/>
    <w:rsid w:val="00593AA6"/>
    <w:rsid w:val="00594161"/>
    <w:rsid w:val="00594749"/>
    <w:rsid w:val="00594956"/>
    <w:rsid w:val="00596B52"/>
    <w:rsid w:val="0059752A"/>
    <w:rsid w:val="005978F4"/>
    <w:rsid w:val="005A0475"/>
    <w:rsid w:val="005A3B75"/>
    <w:rsid w:val="005B1555"/>
    <w:rsid w:val="005B29E2"/>
    <w:rsid w:val="005B4067"/>
    <w:rsid w:val="005C0C68"/>
    <w:rsid w:val="005C1762"/>
    <w:rsid w:val="005C3F41"/>
    <w:rsid w:val="005C4EF0"/>
    <w:rsid w:val="005D54E6"/>
    <w:rsid w:val="005D5EA1"/>
    <w:rsid w:val="005E098C"/>
    <w:rsid w:val="005E1D89"/>
    <w:rsid w:val="005E1F8D"/>
    <w:rsid w:val="005E317F"/>
    <w:rsid w:val="005E61D3"/>
    <w:rsid w:val="005E7E90"/>
    <w:rsid w:val="005F156C"/>
    <w:rsid w:val="00600219"/>
    <w:rsid w:val="006057D1"/>
    <w:rsid w:val="0060584E"/>
    <w:rsid w:val="006065DA"/>
    <w:rsid w:val="00606AA4"/>
    <w:rsid w:val="00614318"/>
    <w:rsid w:val="00620766"/>
    <w:rsid w:val="00631900"/>
    <w:rsid w:val="00632E03"/>
    <w:rsid w:val="00635DD3"/>
    <w:rsid w:val="00640402"/>
    <w:rsid w:val="00640F78"/>
    <w:rsid w:val="00643583"/>
    <w:rsid w:val="006446C9"/>
    <w:rsid w:val="00644FBD"/>
    <w:rsid w:val="00646AAB"/>
    <w:rsid w:val="00647148"/>
    <w:rsid w:val="00647948"/>
    <w:rsid w:val="00650A9F"/>
    <w:rsid w:val="00652942"/>
    <w:rsid w:val="00655D6A"/>
    <w:rsid w:val="00656DE9"/>
    <w:rsid w:val="006622D4"/>
    <w:rsid w:val="00663F99"/>
    <w:rsid w:val="00665F4F"/>
    <w:rsid w:val="00672876"/>
    <w:rsid w:val="00677CC2"/>
    <w:rsid w:val="00680600"/>
    <w:rsid w:val="00685F42"/>
    <w:rsid w:val="0069207B"/>
    <w:rsid w:val="006A1A4D"/>
    <w:rsid w:val="006A28FD"/>
    <w:rsid w:val="006A304E"/>
    <w:rsid w:val="006A4AE0"/>
    <w:rsid w:val="006B7006"/>
    <w:rsid w:val="006C1526"/>
    <w:rsid w:val="006C3A6A"/>
    <w:rsid w:val="006C7F8C"/>
    <w:rsid w:val="006D7AB9"/>
    <w:rsid w:val="006F222C"/>
    <w:rsid w:val="00700272"/>
    <w:rsid w:val="00700B2C"/>
    <w:rsid w:val="00705125"/>
    <w:rsid w:val="00705573"/>
    <w:rsid w:val="00713084"/>
    <w:rsid w:val="00717463"/>
    <w:rsid w:val="007200B4"/>
    <w:rsid w:val="00720FC2"/>
    <w:rsid w:val="00722E89"/>
    <w:rsid w:val="0072415F"/>
    <w:rsid w:val="00725A6C"/>
    <w:rsid w:val="00731E00"/>
    <w:rsid w:val="00732D40"/>
    <w:rsid w:val="007339C7"/>
    <w:rsid w:val="007370F9"/>
    <w:rsid w:val="00740818"/>
    <w:rsid w:val="007440B7"/>
    <w:rsid w:val="00745154"/>
    <w:rsid w:val="00747993"/>
    <w:rsid w:val="00754520"/>
    <w:rsid w:val="00755B3B"/>
    <w:rsid w:val="0075654A"/>
    <w:rsid w:val="007634AD"/>
    <w:rsid w:val="0076440E"/>
    <w:rsid w:val="007644FF"/>
    <w:rsid w:val="007715C9"/>
    <w:rsid w:val="00772A6D"/>
    <w:rsid w:val="00774EDD"/>
    <w:rsid w:val="007757EC"/>
    <w:rsid w:val="007838F3"/>
    <w:rsid w:val="00784066"/>
    <w:rsid w:val="00790133"/>
    <w:rsid w:val="007922A2"/>
    <w:rsid w:val="00793208"/>
    <w:rsid w:val="007949E9"/>
    <w:rsid w:val="007A2408"/>
    <w:rsid w:val="007A4355"/>
    <w:rsid w:val="007A6863"/>
    <w:rsid w:val="007C78B4"/>
    <w:rsid w:val="007D199A"/>
    <w:rsid w:val="007D19CD"/>
    <w:rsid w:val="007D3D95"/>
    <w:rsid w:val="007D6AF4"/>
    <w:rsid w:val="007E32B6"/>
    <w:rsid w:val="007E486B"/>
    <w:rsid w:val="007E5451"/>
    <w:rsid w:val="007E7D4A"/>
    <w:rsid w:val="007F48ED"/>
    <w:rsid w:val="007F5E3F"/>
    <w:rsid w:val="00803B5D"/>
    <w:rsid w:val="00804F93"/>
    <w:rsid w:val="00807B98"/>
    <w:rsid w:val="00811AB6"/>
    <w:rsid w:val="00812F45"/>
    <w:rsid w:val="00822DA0"/>
    <w:rsid w:val="00823354"/>
    <w:rsid w:val="00831940"/>
    <w:rsid w:val="00835BA3"/>
    <w:rsid w:val="00836FE9"/>
    <w:rsid w:val="0084172C"/>
    <w:rsid w:val="0085175E"/>
    <w:rsid w:val="00854D43"/>
    <w:rsid w:val="00856A31"/>
    <w:rsid w:val="00863F95"/>
    <w:rsid w:val="008754D0"/>
    <w:rsid w:val="00877C69"/>
    <w:rsid w:val="00877D48"/>
    <w:rsid w:val="00880C02"/>
    <w:rsid w:val="00880DD7"/>
    <w:rsid w:val="0088345B"/>
    <w:rsid w:val="008A16A5"/>
    <w:rsid w:val="008A27FD"/>
    <w:rsid w:val="008A5C57"/>
    <w:rsid w:val="008A70CB"/>
    <w:rsid w:val="008A7992"/>
    <w:rsid w:val="008B0077"/>
    <w:rsid w:val="008C0629"/>
    <w:rsid w:val="008C38F7"/>
    <w:rsid w:val="008D0EE0"/>
    <w:rsid w:val="008D7A27"/>
    <w:rsid w:val="008E1923"/>
    <w:rsid w:val="008E41B4"/>
    <w:rsid w:val="008E4702"/>
    <w:rsid w:val="008E6663"/>
    <w:rsid w:val="008E69AA"/>
    <w:rsid w:val="008E6F33"/>
    <w:rsid w:val="008E7E62"/>
    <w:rsid w:val="008F38CA"/>
    <w:rsid w:val="008F4F1C"/>
    <w:rsid w:val="008F7D3B"/>
    <w:rsid w:val="009069AD"/>
    <w:rsid w:val="00910E64"/>
    <w:rsid w:val="00914C82"/>
    <w:rsid w:val="00920CCB"/>
    <w:rsid w:val="00922764"/>
    <w:rsid w:val="00925958"/>
    <w:rsid w:val="00926F84"/>
    <w:rsid w:val="009278C1"/>
    <w:rsid w:val="00930632"/>
    <w:rsid w:val="00932377"/>
    <w:rsid w:val="009346E3"/>
    <w:rsid w:val="0094523D"/>
    <w:rsid w:val="00945DF4"/>
    <w:rsid w:val="00950E60"/>
    <w:rsid w:val="009546AC"/>
    <w:rsid w:val="00961F45"/>
    <w:rsid w:val="00963CEF"/>
    <w:rsid w:val="00963FFA"/>
    <w:rsid w:val="009645FD"/>
    <w:rsid w:val="00966C5F"/>
    <w:rsid w:val="00971BB2"/>
    <w:rsid w:val="00976A63"/>
    <w:rsid w:val="00981F73"/>
    <w:rsid w:val="009824F9"/>
    <w:rsid w:val="009B2490"/>
    <w:rsid w:val="009B50E5"/>
    <w:rsid w:val="009C0063"/>
    <w:rsid w:val="009C03A1"/>
    <w:rsid w:val="009C3431"/>
    <w:rsid w:val="009C5989"/>
    <w:rsid w:val="009C6A32"/>
    <w:rsid w:val="009D08DA"/>
    <w:rsid w:val="009D6B06"/>
    <w:rsid w:val="009D7353"/>
    <w:rsid w:val="009E2D2B"/>
    <w:rsid w:val="009E5497"/>
    <w:rsid w:val="009F32C9"/>
    <w:rsid w:val="009F74F3"/>
    <w:rsid w:val="00A02D8D"/>
    <w:rsid w:val="00A06860"/>
    <w:rsid w:val="00A136F5"/>
    <w:rsid w:val="00A20E61"/>
    <w:rsid w:val="00A231E2"/>
    <w:rsid w:val="00A2550D"/>
    <w:rsid w:val="00A2704A"/>
    <w:rsid w:val="00A27400"/>
    <w:rsid w:val="00A379BB"/>
    <w:rsid w:val="00A4169B"/>
    <w:rsid w:val="00A4377D"/>
    <w:rsid w:val="00A50D55"/>
    <w:rsid w:val="00A52FDA"/>
    <w:rsid w:val="00A53CE4"/>
    <w:rsid w:val="00A571DC"/>
    <w:rsid w:val="00A64912"/>
    <w:rsid w:val="00A674A0"/>
    <w:rsid w:val="00A67567"/>
    <w:rsid w:val="00A70A74"/>
    <w:rsid w:val="00A76243"/>
    <w:rsid w:val="00A81F51"/>
    <w:rsid w:val="00A91A99"/>
    <w:rsid w:val="00A9231A"/>
    <w:rsid w:val="00A93686"/>
    <w:rsid w:val="00A95BC7"/>
    <w:rsid w:val="00AA0343"/>
    <w:rsid w:val="00AA78CE"/>
    <w:rsid w:val="00AA7B26"/>
    <w:rsid w:val="00AA7BDE"/>
    <w:rsid w:val="00AA7C16"/>
    <w:rsid w:val="00AB5DCD"/>
    <w:rsid w:val="00AC767C"/>
    <w:rsid w:val="00AD3467"/>
    <w:rsid w:val="00AD3DDD"/>
    <w:rsid w:val="00AD5641"/>
    <w:rsid w:val="00AE03C9"/>
    <w:rsid w:val="00AF33DB"/>
    <w:rsid w:val="00B01735"/>
    <w:rsid w:val="00B032D8"/>
    <w:rsid w:val="00B05D72"/>
    <w:rsid w:val="00B11E67"/>
    <w:rsid w:val="00B1206A"/>
    <w:rsid w:val="00B20990"/>
    <w:rsid w:val="00B23FAF"/>
    <w:rsid w:val="00B2619E"/>
    <w:rsid w:val="00B33B3C"/>
    <w:rsid w:val="00B34448"/>
    <w:rsid w:val="00B36CE8"/>
    <w:rsid w:val="00B40D74"/>
    <w:rsid w:val="00B42649"/>
    <w:rsid w:val="00B46467"/>
    <w:rsid w:val="00B52663"/>
    <w:rsid w:val="00B56DCB"/>
    <w:rsid w:val="00B61728"/>
    <w:rsid w:val="00B619B2"/>
    <w:rsid w:val="00B72147"/>
    <w:rsid w:val="00B73CD4"/>
    <w:rsid w:val="00B770D2"/>
    <w:rsid w:val="00B86F74"/>
    <w:rsid w:val="00B93516"/>
    <w:rsid w:val="00B95EA3"/>
    <w:rsid w:val="00B96776"/>
    <w:rsid w:val="00B973E5"/>
    <w:rsid w:val="00BA47A3"/>
    <w:rsid w:val="00BA5026"/>
    <w:rsid w:val="00BA773F"/>
    <w:rsid w:val="00BA7B5B"/>
    <w:rsid w:val="00BB2E65"/>
    <w:rsid w:val="00BB5FF6"/>
    <w:rsid w:val="00BB6E79"/>
    <w:rsid w:val="00BE002F"/>
    <w:rsid w:val="00BE42C5"/>
    <w:rsid w:val="00BE4875"/>
    <w:rsid w:val="00BE719A"/>
    <w:rsid w:val="00BE720A"/>
    <w:rsid w:val="00BF0723"/>
    <w:rsid w:val="00BF649B"/>
    <w:rsid w:val="00BF6650"/>
    <w:rsid w:val="00C03100"/>
    <w:rsid w:val="00C0388E"/>
    <w:rsid w:val="00C04658"/>
    <w:rsid w:val="00C067E5"/>
    <w:rsid w:val="00C1578E"/>
    <w:rsid w:val="00C164CA"/>
    <w:rsid w:val="00C1655B"/>
    <w:rsid w:val="00C26051"/>
    <w:rsid w:val="00C37F14"/>
    <w:rsid w:val="00C42BF8"/>
    <w:rsid w:val="00C460AE"/>
    <w:rsid w:val="00C50043"/>
    <w:rsid w:val="00C5015F"/>
    <w:rsid w:val="00C50A0F"/>
    <w:rsid w:val="00C50F4A"/>
    <w:rsid w:val="00C51F0F"/>
    <w:rsid w:val="00C52335"/>
    <w:rsid w:val="00C54E90"/>
    <w:rsid w:val="00C62DA7"/>
    <w:rsid w:val="00C6749F"/>
    <w:rsid w:val="00C72D10"/>
    <w:rsid w:val="00C7573B"/>
    <w:rsid w:val="00C76CF3"/>
    <w:rsid w:val="00C80649"/>
    <w:rsid w:val="00C82986"/>
    <w:rsid w:val="00C907E2"/>
    <w:rsid w:val="00C9280E"/>
    <w:rsid w:val="00C93205"/>
    <w:rsid w:val="00C945DC"/>
    <w:rsid w:val="00CA1074"/>
    <w:rsid w:val="00CA59B4"/>
    <w:rsid w:val="00CA7844"/>
    <w:rsid w:val="00CB58EF"/>
    <w:rsid w:val="00CC1CA9"/>
    <w:rsid w:val="00CC371C"/>
    <w:rsid w:val="00CC75DC"/>
    <w:rsid w:val="00CD5972"/>
    <w:rsid w:val="00CE0A93"/>
    <w:rsid w:val="00CE2A33"/>
    <w:rsid w:val="00CF0BB2"/>
    <w:rsid w:val="00CF0EE1"/>
    <w:rsid w:val="00CF5A7C"/>
    <w:rsid w:val="00D06B28"/>
    <w:rsid w:val="00D111ED"/>
    <w:rsid w:val="00D12B0D"/>
    <w:rsid w:val="00D13441"/>
    <w:rsid w:val="00D2278C"/>
    <w:rsid w:val="00D2362A"/>
    <w:rsid w:val="00D243A3"/>
    <w:rsid w:val="00D31206"/>
    <w:rsid w:val="00D3293B"/>
    <w:rsid w:val="00D33440"/>
    <w:rsid w:val="00D33B17"/>
    <w:rsid w:val="00D52EFE"/>
    <w:rsid w:val="00D56A0D"/>
    <w:rsid w:val="00D63EF6"/>
    <w:rsid w:val="00D66518"/>
    <w:rsid w:val="00D70A8F"/>
    <w:rsid w:val="00D70DFB"/>
    <w:rsid w:val="00D71EEA"/>
    <w:rsid w:val="00D735CD"/>
    <w:rsid w:val="00D766DF"/>
    <w:rsid w:val="00D812B8"/>
    <w:rsid w:val="00D860B3"/>
    <w:rsid w:val="00D90841"/>
    <w:rsid w:val="00D95116"/>
    <w:rsid w:val="00D96A28"/>
    <w:rsid w:val="00DA2439"/>
    <w:rsid w:val="00DA567F"/>
    <w:rsid w:val="00DA63D7"/>
    <w:rsid w:val="00DA6F05"/>
    <w:rsid w:val="00DB2DC3"/>
    <w:rsid w:val="00DB3EA8"/>
    <w:rsid w:val="00DB64FC"/>
    <w:rsid w:val="00DE0B26"/>
    <w:rsid w:val="00DE149E"/>
    <w:rsid w:val="00DE23C3"/>
    <w:rsid w:val="00DE2F66"/>
    <w:rsid w:val="00DF0CCF"/>
    <w:rsid w:val="00DF2CF6"/>
    <w:rsid w:val="00E034DB"/>
    <w:rsid w:val="00E05704"/>
    <w:rsid w:val="00E07D89"/>
    <w:rsid w:val="00E10B82"/>
    <w:rsid w:val="00E12F1A"/>
    <w:rsid w:val="00E172BC"/>
    <w:rsid w:val="00E1738B"/>
    <w:rsid w:val="00E22336"/>
    <w:rsid w:val="00E22935"/>
    <w:rsid w:val="00E356F7"/>
    <w:rsid w:val="00E364E0"/>
    <w:rsid w:val="00E368FF"/>
    <w:rsid w:val="00E54292"/>
    <w:rsid w:val="00E60191"/>
    <w:rsid w:val="00E62D63"/>
    <w:rsid w:val="00E72A3D"/>
    <w:rsid w:val="00E74DC7"/>
    <w:rsid w:val="00E856F1"/>
    <w:rsid w:val="00E8602F"/>
    <w:rsid w:val="00E87699"/>
    <w:rsid w:val="00E92E27"/>
    <w:rsid w:val="00E95464"/>
    <w:rsid w:val="00E9555E"/>
    <w:rsid w:val="00E9586B"/>
    <w:rsid w:val="00E97334"/>
    <w:rsid w:val="00E97F46"/>
    <w:rsid w:val="00EB3A99"/>
    <w:rsid w:val="00EB3EDF"/>
    <w:rsid w:val="00EB5745"/>
    <w:rsid w:val="00EB65F8"/>
    <w:rsid w:val="00EC7F90"/>
    <w:rsid w:val="00ED28FC"/>
    <w:rsid w:val="00ED4928"/>
    <w:rsid w:val="00EE3FFE"/>
    <w:rsid w:val="00EE57E8"/>
    <w:rsid w:val="00EE6190"/>
    <w:rsid w:val="00EF1DD7"/>
    <w:rsid w:val="00EF2E3A"/>
    <w:rsid w:val="00EF6402"/>
    <w:rsid w:val="00EF67F4"/>
    <w:rsid w:val="00EF79D4"/>
    <w:rsid w:val="00F047E2"/>
    <w:rsid w:val="00F04D57"/>
    <w:rsid w:val="00F078DC"/>
    <w:rsid w:val="00F11E1C"/>
    <w:rsid w:val="00F12291"/>
    <w:rsid w:val="00F13E86"/>
    <w:rsid w:val="00F20B52"/>
    <w:rsid w:val="00F250B4"/>
    <w:rsid w:val="00F25C73"/>
    <w:rsid w:val="00F30DFE"/>
    <w:rsid w:val="00F32FCB"/>
    <w:rsid w:val="00F33523"/>
    <w:rsid w:val="00F50680"/>
    <w:rsid w:val="00F518FE"/>
    <w:rsid w:val="00F534D5"/>
    <w:rsid w:val="00F56FB4"/>
    <w:rsid w:val="00F578F6"/>
    <w:rsid w:val="00F63EFA"/>
    <w:rsid w:val="00F677A9"/>
    <w:rsid w:val="00F71195"/>
    <w:rsid w:val="00F802FE"/>
    <w:rsid w:val="00F8121C"/>
    <w:rsid w:val="00F84CF5"/>
    <w:rsid w:val="00F84DC5"/>
    <w:rsid w:val="00F8612E"/>
    <w:rsid w:val="00F9049C"/>
    <w:rsid w:val="00F94583"/>
    <w:rsid w:val="00FA420B"/>
    <w:rsid w:val="00FA58F4"/>
    <w:rsid w:val="00FB262E"/>
    <w:rsid w:val="00FB6AEE"/>
    <w:rsid w:val="00FB7DD5"/>
    <w:rsid w:val="00FC20C2"/>
    <w:rsid w:val="00FC2C54"/>
    <w:rsid w:val="00FC3EAC"/>
    <w:rsid w:val="00FC5678"/>
    <w:rsid w:val="00FC57A5"/>
    <w:rsid w:val="00FC685D"/>
    <w:rsid w:val="00FD1D0B"/>
    <w:rsid w:val="00FE1A6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85C7C5"/>
  <w15:docId w15:val="{E249442F-627D-47A6-BB74-ADECBD12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D3"/>
    <w:rPr>
      <w:b/>
      <w:bCs/>
    </w:rPr>
  </w:style>
  <w:style w:type="paragraph" w:customStyle="1" w:styleId="Numberbullet2">
    <w:name w:val="Number bullet 2"/>
    <w:basedOn w:val="ListBullet2"/>
    <w:qFormat/>
    <w:rsid w:val="007D6AF4"/>
    <w:pPr>
      <w:spacing w:after="120" w:line="240" w:lineRule="auto"/>
      <w:ind w:left="927"/>
      <w:contextualSpacing w:val="0"/>
    </w:pPr>
    <w:rPr>
      <w:rFonts w:eastAsia="Cambria" w:cs="Times New Roman"/>
    </w:rPr>
  </w:style>
  <w:style w:type="paragraph" w:styleId="ListBullet2">
    <w:name w:val="List Bullet 2"/>
    <w:basedOn w:val="Normal"/>
    <w:uiPriority w:val="99"/>
    <w:semiHidden/>
    <w:unhideWhenUsed/>
    <w:rsid w:val="007D6AF4"/>
    <w:pPr>
      <w:numPr>
        <w:numId w:val="2"/>
      </w:numPr>
      <w:contextualSpacing/>
    </w:pPr>
  </w:style>
  <w:style w:type="paragraph" w:styleId="Revision">
    <w:name w:val="Revision"/>
    <w:hidden/>
    <w:uiPriority w:val="99"/>
    <w:semiHidden/>
    <w:rsid w:val="00930632"/>
    <w:rPr>
      <w:sz w:val="22"/>
    </w:rPr>
  </w:style>
  <w:style w:type="paragraph" w:styleId="ListParagraph">
    <w:name w:val="List Paragraph"/>
    <w:basedOn w:val="Normal"/>
    <w:uiPriority w:val="34"/>
    <w:qFormat/>
    <w:rsid w:val="003B3088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Freebairn, Will</dc:creator>
  <cp:lastModifiedBy>Peyrovi, Pasha</cp:lastModifiedBy>
  <cp:revision>4</cp:revision>
  <cp:lastPrinted>2020-12-10T22:48:00Z</cp:lastPrinted>
  <dcterms:created xsi:type="dcterms:W3CDTF">2021-01-11T07:17:00Z</dcterms:created>
  <dcterms:modified xsi:type="dcterms:W3CDTF">2021-01-14T03:40:00Z</dcterms:modified>
</cp:coreProperties>
</file>