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26476" w14:textId="77777777" w:rsidR="002C52FA" w:rsidRPr="002C52FA" w:rsidRDefault="002C52FA" w:rsidP="002C52FA">
      <w:pPr>
        <w:spacing w:after="0" w:line="240" w:lineRule="auto"/>
        <w:jc w:val="center"/>
        <w:rPr>
          <w:rFonts w:ascii="Times New Roman" w:eastAsia="Times New Roman" w:hAnsi="Times New Roman" w:cs="Times New Roman"/>
          <w:b/>
          <w:bCs/>
          <w:sz w:val="24"/>
          <w:szCs w:val="24"/>
          <w:u w:val="single"/>
          <w:lang w:eastAsia="en-AU"/>
        </w:rPr>
      </w:pPr>
      <w:r w:rsidRPr="002C52FA">
        <w:rPr>
          <w:rFonts w:ascii="Times New Roman" w:eastAsia="Times New Roman" w:hAnsi="Times New Roman" w:cs="Times New Roman"/>
          <w:b/>
          <w:bCs/>
          <w:sz w:val="24"/>
          <w:szCs w:val="24"/>
          <w:u w:val="single"/>
          <w:lang w:eastAsia="en-AU"/>
        </w:rPr>
        <w:t>EXPLANATORY STATEMENT</w:t>
      </w:r>
    </w:p>
    <w:p w14:paraId="1D4502C6" w14:textId="77777777" w:rsidR="002C52FA" w:rsidRPr="002C52FA" w:rsidRDefault="002C52FA" w:rsidP="002C52FA">
      <w:pPr>
        <w:spacing w:after="0" w:line="240" w:lineRule="auto"/>
        <w:jc w:val="center"/>
        <w:rPr>
          <w:rFonts w:ascii="Tms Rmn" w:eastAsia="Times New Roman" w:hAnsi="Tms Rmn" w:cs="Times New Roman"/>
          <w:b/>
          <w:lang w:eastAsia="en-AU"/>
        </w:rPr>
      </w:pPr>
    </w:p>
    <w:p w14:paraId="7B881BCD" w14:textId="77777777" w:rsidR="002C52FA" w:rsidRPr="002C52FA" w:rsidRDefault="002C52FA" w:rsidP="002C52FA">
      <w:pPr>
        <w:spacing w:after="0" w:line="240" w:lineRule="auto"/>
        <w:jc w:val="center"/>
        <w:rPr>
          <w:rFonts w:ascii="Times New Roman" w:eastAsia="Times New Roman" w:hAnsi="Times New Roman" w:cs="Times New Roman"/>
          <w:bCs/>
          <w:i/>
          <w:iCs/>
          <w:lang w:eastAsia="en-AU"/>
        </w:rPr>
      </w:pPr>
      <w:r w:rsidRPr="002C52FA">
        <w:rPr>
          <w:rFonts w:ascii="Times New Roman" w:eastAsia="Times New Roman" w:hAnsi="Times New Roman" w:cs="Times New Roman"/>
          <w:bCs/>
          <w:i/>
          <w:iCs/>
          <w:lang w:eastAsia="en-AU"/>
        </w:rPr>
        <w:t>Therapeutic Goods Act 1989</w:t>
      </w:r>
    </w:p>
    <w:p w14:paraId="2F9F7851" w14:textId="77777777" w:rsidR="002C52FA" w:rsidRPr="002C52FA" w:rsidRDefault="002C52FA" w:rsidP="002C52FA">
      <w:pPr>
        <w:spacing w:after="0" w:line="240" w:lineRule="auto"/>
        <w:jc w:val="center"/>
        <w:rPr>
          <w:rFonts w:ascii="Tms Rmn" w:eastAsia="Times New Roman" w:hAnsi="Tms Rmn" w:cs="Times New Roman"/>
          <w:u w:val="single"/>
          <w:lang w:eastAsia="en-AU"/>
        </w:rPr>
      </w:pPr>
    </w:p>
    <w:p w14:paraId="13D7842F" w14:textId="11A2536C" w:rsidR="002C52FA" w:rsidRPr="002C52FA" w:rsidRDefault="002C52FA" w:rsidP="002C52FA">
      <w:pPr>
        <w:spacing w:after="0" w:line="240" w:lineRule="auto"/>
        <w:jc w:val="center"/>
        <w:rPr>
          <w:rFonts w:ascii="Times New Roman" w:eastAsia="Times New Roman" w:hAnsi="Times New Roman" w:cs="Times New Roman"/>
          <w:i/>
          <w:lang w:eastAsia="en-AU"/>
        </w:rPr>
      </w:pPr>
      <w:r w:rsidRPr="002C52FA">
        <w:rPr>
          <w:rFonts w:ascii="Times New Roman" w:eastAsia="Times New Roman" w:hAnsi="Times New Roman" w:cs="Times New Roman"/>
          <w:i/>
          <w:lang w:eastAsia="en-AU"/>
        </w:rPr>
        <w:t>Therapeutic Goods (Excluded Goods) Amendment (Software-based Products) Determination 202</w:t>
      </w:r>
      <w:r w:rsidR="002B7E54">
        <w:rPr>
          <w:rFonts w:ascii="Times New Roman" w:eastAsia="Times New Roman" w:hAnsi="Times New Roman" w:cs="Times New Roman"/>
          <w:i/>
          <w:lang w:eastAsia="en-AU"/>
        </w:rPr>
        <w:t>1</w:t>
      </w:r>
    </w:p>
    <w:p w14:paraId="4DF6C0DC" w14:textId="77777777" w:rsidR="002C52FA" w:rsidRPr="002C52FA" w:rsidRDefault="002C52FA" w:rsidP="002C52FA">
      <w:pPr>
        <w:autoSpaceDE w:val="0"/>
        <w:autoSpaceDN w:val="0"/>
        <w:adjustRightInd w:val="0"/>
        <w:spacing w:after="0" w:line="240" w:lineRule="auto"/>
        <w:rPr>
          <w:rFonts w:ascii="Times New Roman" w:eastAsia="Times New Roman" w:hAnsi="Times New Roman" w:cs="Times New Roman"/>
          <w:lang w:eastAsia="en-AU"/>
        </w:rPr>
      </w:pPr>
    </w:p>
    <w:p w14:paraId="0E51A432" w14:textId="77777777" w:rsidR="002C52FA" w:rsidRPr="002C52FA" w:rsidRDefault="002C52FA" w:rsidP="002C52FA">
      <w:pPr>
        <w:autoSpaceDE w:val="0"/>
        <w:autoSpaceDN w:val="0"/>
        <w:adjustRightInd w:val="0"/>
        <w:spacing w:after="0" w:line="240" w:lineRule="auto"/>
        <w:rPr>
          <w:rFonts w:ascii="Times New Roman" w:eastAsia="Times New Roman" w:hAnsi="Times New Roman" w:cs="Times New Roman"/>
          <w:lang w:eastAsia="en-AU"/>
        </w:rPr>
      </w:pPr>
      <w:r w:rsidRPr="002C52FA">
        <w:rPr>
          <w:rFonts w:ascii="Times New Roman" w:eastAsia="Times New Roman" w:hAnsi="Times New Roman" w:cs="Times New Roman"/>
          <w:lang w:eastAsia="en-AU"/>
        </w:rPr>
        <w:t xml:space="preserve">The </w:t>
      </w:r>
      <w:r w:rsidRPr="002C52FA">
        <w:rPr>
          <w:rFonts w:ascii="Times New Roman" w:eastAsia="Times New Roman" w:hAnsi="Times New Roman" w:cs="Times New Roman"/>
          <w:i/>
          <w:lang w:eastAsia="en-AU"/>
        </w:rPr>
        <w:t>Therapeutic Goods Act 1989</w:t>
      </w:r>
      <w:r w:rsidRPr="002C52FA">
        <w:rPr>
          <w:rFonts w:ascii="Times New Roman" w:eastAsia="Times New Roman" w:hAnsi="Times New Roman" w:cs="Times New Roman"/>
          <w:lang w:eastAsia="en-AU"/>
        </w:rPr>
        <w:t xml:space="preserve"> (“the Act”) provides for the establishment and maintenance of a national system of controls for the quality, safety, efficacy and timely availability of therapeutic goods that are used in or exported from Australia.  The Act is administered by the Therapeutic Goods Administration (“the TGA”) within the Department of Health.</w:t>
      </w:r>
    </w:p>
    <w:p w14:paraId="6D14D7B2" w14:textId="77777777" w:rsidR="002C52FA" w:rsidRPr="002C52FA" w:rsidRDefault="002C52FA" w:rsidP="002C52FA">
      <w:pPr>
        <w:shd w:val="clear" w:color="auto" w:fill="FFFFFF"/>
        <w:spacing w:after="0" w:line="240" w:lineRule="auto"/>
        <w:rPr>
          <w:rFonts w:ascii="Tms Rmn" w:eastAsia="Times New Roman" w:hAnsi="Tms Rmn" w:cs="Times New Roman"/>
          <w:lang w:eastAsia="en-AU"/>
        </w:rPr>
      </w:pPr>
    </w:p>
    <w:p w14:paraId="53A3B715" w14:textId="29B3606E" w:rsidR="002C52FA" w:rsidRPr="002C52FA" w:rsidRDefault="002C52FA" w:rsidP="002C52FA">
      <w:pPr>
        <w:autoSpaceDE w:val="0"/>
        <w:autoSpaceDN w:val="0"/>
        <w:adjustRightInd w:val="0"/>
        <w:spacing w:after="0" w:line="240" w:lineRule="auto"/>
        <w:rPr>
          <w:rFonts w:ascii="Times New Roman" w:eastAsia="Times New Roman" w:hAnsi="Times New Roman" w:cs="Times New Roman"/>
          <w:lang w:eastAsia="en-AU"/>
        </w:rPr>
      </w:pPr>
      <w:r w:rsidRPr="002C52FA">
        <w:rPr>
          <w:rFonts w:ascii="Times New Roman" w:eastAsia="Times New Roman" w:hAnsi="Times New Roman" w:cs="Times New Roman"/>
          <w:lang w:eastAsia="en-AU"/>
        </w:rPr>
        <w:t>Section 7AA of the Act provides that the Minister may, by legislative instrument, determine that specified goods (other than goods declared to be therapeutic goods under an order in force under section 7 of the Act) are excluded goods for the purposes of the Act, or are excluded goods for the purposes of the Act when used, advertised or presented for supply in a specified manner.  Before making a determination under section 7AA, the Minister must have regard to certain matters specified in subsection 7AA(3), and any other matter the Minister considers relevant in accordance with subsection 7AA(4) of the Act.</w:t>
      </w:r>
    </w:p>
    <w:p w14:paraId="4AB37E5D" w14:textId="77777777" w:rsidR="002C52FA" w:rsidRPr="002C52FA" w:rsidRDefault="002C52FA" w:rsidP="002C52FA">
      <w:pPr>
        <w:autoSpaceDE w:val="0"/>
        <w:autoSpaceDN w:val="0"/>
        <w:adjustRightInd w:val="0"/>
        <w:spacing w:after="0" w:line="240" w:lineRule="auto"/>
        <w:rPr>
          <w:rFonts w:ascii="Times New Roman" w:eastAsia="Times New Roman" w:hAnsi="Times New Roman" w:cs="Times New Roman"/>
          <w:lang w:val="en-US" w:eastAsia="en-AU"/>
        </w:rPr>
      </w:pPr>
    </w:p>
    <w:p w14:paraId="6303988A" w14:textId="77777777" w:rsidR="002C52FA" w:rsidRPr="002C52FA" w:rsidRDefault="002C52FA" w:rsidP="002C52FA">
      <w:pPr>
        <w:autoSpaceDE w:val="0"/>
        <w:autoSpaceDN w:val="0"/>
        <w:adjustRightInd w:val="0"/>
        <w:spacing w:after="0" w:line="240" w:lineRule="auto"/>
        <w:rPr>
          <w:rFonts w:ascii="Times New Roman" w:eastAsia="Times New Roman" w:hAnsi="Times New Roman" w:cs="Times New Roman"/>
          <w:lang w:val="en-US" w:eastAsia="en-AU"/>
        </w:rPr>
      </w:pPr>
      <w:r w:rsidRPr="002C52FA">
        <w:rPr>
          <w:rFonts w:ascii="Times New Roman" w:eastAsia="Times New Roman" w:hAnsi="Times New Roman" w:cs="Times New Roman"/>
          <w:lang w:val="en-US" w:eastAsia="en-AU"/>
        </w:rPr>
        <w:t>The matters that the Minister must have regard to before making a determination, in accordance with subsection 7AA(3) of the Act, are:</w:t>
      </w:r>
    </w:p>
    <w:p w14:paraId="1BFFCF69" w14:textId="77777777" w:rsidR="002C52FA" w:rsidRPr="002C52FA" w:rsidRDefault="002C52FA" w:rsidP="002C52FA">
      <w:pPr>
        <w:autoSpaceDE w:val="0"/>
        <w:autoSpaceDN w:val="0"/>
        <w:adjustRightInd w:val="0"/>
        <w:spacing w:after="0" w:line="240" w:lineRule="auto"/>
        <w:rPr>
          <w:rFonts w:ascii="Times New Roman" w:eastAsia="Times New Roman" w:hAnsi="Times New Roman" w:cs="Times New Roman"/>
          <w:lang w:val="en-US" w:eastAsia="en-AU"/>
        </w:rPr>
      </w:pPr>
    </w:p>
    <w:p w14:paraId="3FC4AA7D" w14:textId="77777777" w:rsidR="002C52FA" w:rsidRPr="002C52FA" w:rsidRDefault="002C52FA" w:rsidP="002C52FA">
      <w:pPr>
        <w:numPr>
          <w:ilvl w:val="0"/>
          <w:numId w:val="1"/>
        </w:numPr>
        <w:autoSpaceDE w:val="0"/>
        <w:autoSpaceDN w:val="0"/>
        <w:adjustRightInd w:val="0"/>
        <w:spacing w:after="0" w:line="240" w:lineRule="auto"/>
        <w:contextualSpacing/>
        <w:rPr>
          <w:rFonts w:ascii="Times New Roman" w:eastAsia="Times New Roman" w:hAnsi="Times New Roman" w:cs="Times New Roman"/>
          <w:lang w:val="en-US" w:eastAsia="en-AU"/>
        </w:rPr>
      </w:pPr>
      <w:r w:rsidRPr="002C52FA">
        <w:rPr>
          <w:rFonts w:ascii="Times New Roman" w:eastAsia="Times New Roman" w:hAnsi="Times New Roman" w:cs="Times New Roman"/>
          <w:lang w:val="en-US" w:eastAsia="en-AU"/>
        </w:rPr>
        <w:t>whether it is likely that the specified goods might harm the health of members of the public if not regulated under the Act;</w:t>
      </w:r>
    </w:p>
    <w:p w14:paraId="76CD51DA" w14:textId="77777777" w:rsidR="002C52FA" w:rsidRPr="002C52FA" w:rsidRDefault="002C52FA" w:rsidP="002C52FA">
      <w:pPr>
        <w:autoSpaceDE w:val="0"/>
        <w:autoSpaceDN w:val="0"/>
        <w:adjustRightInd w:val="0"/>
        <w:spacing w:after="0" w:line="240" w:lineRule="auto"/>
        <w:rPr>
          <w:rFonts w:ascii="Times New Roman" w:eastAsia="Times New Roman" w:hAnsi="Times New Roman" w:cs="Times New Roman"/>
          <w:lang w:val="en-US" w:eastAsia="en-AU"/>
        </w:rPr>
      </w:pPr>
    </w:p>
    <w:p w14:paraId="3DCA0D3C" w14:textId="77777777" w:rsidR="002C52FA" w:rsidRPr="002C52FA" w:rsidRDefault="002C52FA" w:rsidP="002C52FA">
      <w:pPr>
        <w:numPr>
          <w:ilvl w:val="0"/>
          <w:numId w:val="1"/>
        </w:numPr>
        <w:autoSpaceDE w:val="0"/>
        <w:autoSpaceDN w:val="0"/>
        <w:adjustRightInd w:val="0"/>
        <w:spacing w:after="0" w:line="240" w:lineRule="auto"/>
        <w:contextualSpacing/>
        <w:rPr>
          <w:rFonts w:ascii="Times New Roman" w:eastAsia="Times New Roman" w:hAnsi="Times New Roman" w:cs="Times New Roman"/>
          <w:lang w:val="en-US" w:eastAsia="en-AU"/>
        </w:rPr>
      </w:pPr>
      <w:r w:rsidRPr="002C52FA">
        <w:rPr>
          <w:rFonts w:ascii="Times New Roman" w:eastAsia="Times New Roman" w:hAnsi="Times New Roman" w:cs="Times New Roman"/>
          <w:lang w:val="en-US" w:eastAsia="en-AU"/>
        </w:rPr>
        <w:t>whether it is appropriate in all the circumstances to apply the national system of controls established by the Act to regulate the specified goods; and</w:t>
      </w:r>
    </w:p>
    <w:p w14:paraId="0B6A8626" w14:textId="77777777" w:rsidR="002C52FA" w:rsidRPr="002C52FA" w:rsidRDefault="002C52FA" w:rsidP="002C52FA">
      <w:pPr>
        <w:autoSpaceDE w:val="0"/>
        <w:autoSpaceDN w:val="0"/>
        <w:adjustRightInd w:val="0"/>
        <w:spacing w:after="0" w:line="240" w:lineRule="auto"/>
        <w:rPr>
          <w:rFonts w:ascii="Times New Roman" w:eastAsia="Times New Roman" w:hAnsi="Times New Roman" w:cs="Times New Roman"/>
          <w:lang w:val="en-US" w:eastAsia="en-AU"/>
        </w:rPr>
      </w:pPr>
    </w:p>
    <w:p w14:paraId="10A920FF" w14:textId="77777777" w:rsidR="002C52FA" w:rsidRPr="002C52FA" w:rsidRDefault="002C52FA" w:rsidP="002C52FA">
      <w:pPr>
        <w:numPr>
          <w:ilvl w:val="0"/>
          <w:numId w:val="1"/>
        </w:numPr>
        <w:autoSpaceDE w:val="0"/>
        <w:autoSpaceDN w:val="0"/>
        <w:adjustRightInd w:val="0"/>
        <w:spacing w:after="0" w:line="240" w:lineRule="auto"/>
        <w:contextualSpacing/>
        <w:rPr>
          <w:rFonts w:ascii="Times New Roman" w:eastAsia="Times New Roman" w:hAnsi="Times New Roman" w:cs="Times New Roman"/>
          <w:lang w:val="en-US" w:eastAsia="en-AU"/>
        </w:rPr>
      </w:pPr>
      <w:r w:rsidRPr="002C52FA">
        <w:rPr>
          <w:rFonts w:ascii="Times New Roman" w:eastAsia="Times New Roman" w:hAnsi="Times New Roman" w:cs="Times New Roman"/>
          <w:lang w:val="en-US" w:eastAsia="en-AU"/>
        </w:rPr>
        <w:t>whether the kinds of risks that members of the public might be exposed to from the specified goods could be more appropriately dealt with under another regulatory scheme.</w:t>
      </w:r>
    </w:p>
    <w:p w14:paraId="43638B29" w14:textId="77777777" w:rsidR="002C52FA" w:rsidRPr="002C52FA" w:rsidRDefault="002C52FA" w:rsidP="002C52FA">
      <w:pPr>
        <w:shd w:val="clear" w:color="auto" w:fill="FFFFFF"/>
        <w:spacing w:after="0" w:line="240" w:lineRule="auto"/>
        <w:rPr>
          <w:rFonts w:ascii="Tms Rmn" w:eastAsia="Times New Roman" w:hAnsi="Tms Rmn" w:cs="Times New Roman"/>
          <w:lang w:eastAsia="en-AU"/>
        </w:rPr>
      </w:pPr>
    </w:p>
    <w:p w14:paraId="5CDE8A65" w14:textId="77777777" w:rsidR="002C52FA" w:rsidRPr="002C52FA" w:rsidRDefault="002C52FA" w:rsidP="002C52FA">
      <w:pPr>
        <w:shd w:val="clear" w:color="auto" w:fill="FFFFFF"/>
        <w:spacing w:after="0" w:line="240" w:lineRule="auto"/>
        <w:rPr>
          <w:rFonts w:ascii="Times New Roman" w:eastAsia="Times New Roman" w:hAnsi="Times New Roman" w:cs="Times New Roman"/>
          <w:lang w:eastAsia="en-AU"/>
        </w:rPr>
      </w:pPr>
      <w:r w:rsidRPr="002C52FA">
        <w:rPr>
          <w:rFonts w:ascii="Tms Rmn" w:eastAsia="Times New Roman" w:hAnsi="Tms Rmn" w:cs="Times New Roman"/>
          <w:lang w:eastAsia="en-AU"/>
        </w:rPr>
        <w:t xml:space="preserve">The </w:t>
      </w:r>
      <w:r w:rsidRPr="002C52FA">
        <w:rPr>
          <w:rFonts w:ascii="Times New Roman" w:eastAsia="Times New Roman" w:hAnsi="Times New Roman" w:cs="Times New Roman"/>
          <w:i/>
          <w:iCs/>
          <w:lang w:eastAsia="en-AU"/>
        </w:rPr>
        <w:t>Therapeutic Goods (Excluded Goods) Determination 2018</w:t>
      </w:r>
      <w:r w:rsidRPr="002C52FA">
        <w:rPr>
          <w:rFonts w:ascii="Times New Roman" w:eastAsia="Times New Roman" w:hAnsi="Times New Roman" w:cs="Times New Roman"/>
          <w:lang w:eastAsia="en-AU"/>
        </w:rPr>
        <w:t xml:space="preserve"> (“the Principal Determination”) is made under section 7AA of the Act.  The Principal Determination determines specified goods, including specified goods when used, advertised or presented for supply in a specified manner, to be excluded goods for the purposes of the Act.</w:t>
      </w:r>
    </w:p>
    <w:p w14:paraId="6070311C" w14:textId="77777777" w:rsidR="002C52FA" w:rsidRPr="002C52FA" w:rsidRDefault="002C52FA" w:rsidP="002C52FA">
      <w:pPr>
        <w:shd w:val="clear" w:color="auto" w:fill="FFFFFF"/>
        <w:spacing w:after="0" w:line="240" w:lineRule="auto"/>
        <w:rPr>
          <w:rFonts w:ascii="Times New Roman" w:eastAsia="Times New Roman" w:hAnsi="Times New Roman" w:cs="Times New Roman"/>
          <w:lang w:eastAsia="en-AU"/>
        </w:rPr>
      </w:pPr>
    </w:p>
    <w:p w14:paraId="222A126E" w14:textId="6F2AACB1" w:rsidR="00B76D70" w:rsidRDefault="002C52FA" w:rsidP="002C52FA">
      <w:pPr>
        <w:shd w:val="clear" w:color="auto" w:fill="FFFFFF"/>
        <w:spacing w:after="0" w:line="240" w:lineRule="auto"/>
        <w:rPr>
          <w:rFonts w:ascii="Times New Roman" w:eastAsia="Times New Roman" w:hAnsi="Times New Roman" w:cs="Times New Roman"/>
          <w:lang w:eastAsia="en-AU"/>
        </w:rPr>
      </w:pPr>
      <w:r w:rsidRPr="002C52FA">
        <w:rPr>
          <w:rFonts w:ascii="Times New Roman" w:eastAsia="Times New Roman" w:hAnsi="Times New Roman" w:cs="Times New Roman"/>
          <w:lang w:eastAsia="en-AU"/>
        </w:rPr>
        <w:t xml:space="preserve">The </w:t>
      </w:r>
      <w:r w:rsidRPr="002C52FA">
        <w:rPr>
          <w:rFonts w:ascii="Times New Roman" w:eastAsia="Times New Roman" w:hAnsi="Times New Roman" w:cs="Times New Roman"/>
          <w:i/>
          <w:iCs/>
          <w:lang w:eastAsia="en-AU"/>
        </w:rPr>
        <w:t>Therapeutic Goods (Excluded Goods) Amendment (Software-based Products) Determination 202</w:t>
      </w:r>
      <w:r w:rsidR="002B7E54">
        <w:rPr>
          <w:rFonts w:ascii="Times New Roman" w:eastAsia="Times New Roman" w:hAnsi="Times New Roman" w:cs="Times New Roman"/>
          <w:i/>
          <w:iCs/>
          <w:lang w:eastAsia="en-AU"/>
        </w:rPr>
        <w:t>1</w:t>
      </w:r>
      <w:r w:rsidRPr="002C52FA">
        <w:rPr>
          <w:rFonts w:ascii="Times New Roman" w:eastAsia="Times New Roman" w:hAnsi="Times New Roman" w:cs="Times New Roman"/>
          <w:i/>
          <w:iCs/>
          <w:lang w:eastAsia="en-AU"/>
        </w:rPr>
        <w:t xml:space="preserve"> </w:t>
      </w:r>
      <w:r w:rsidRPr="002C52FA">
        <w:rPr>
          <w:rFonts w:ascii="Times New Roman" w:eastAsia="Times New Roman" w:hAnsi="Times New Roman" w:cs="Times New Roman"/>
          <w:lang w:eastAsia="en-AU"/>
        </w:rPr>
        <w:t xml:space="preserve">(“the Amendment Determination”) is made under section 7AA of the Act, read together with subsection 33(3) of the </w:t>
      </w:r>
      <w:r w:rsidRPr="002C52FA">
        <w:rPr>
          <w:rFonts w:ascii="Times New Roman" w:eastAsia="Times New Roman" w:hAnsi="Times New Roman" w:cs="Times New Roman"/>
          <w:i/>
          <w:iCs/>
          <w:lang w:eastAsia="en-AU"/>
        </w:rPr>
        <w:t xml:space="preserve">Acts </w:t>
      </w:r>
      <w:r w:rsidRPr="0049255C">
        <w:rPr>
          <w:rFonts w:ascii="Times New Roman" w:eastAsia="Times New Roman" w:hAnsi="Times New Roman" w:cs="Times New Roman"/>
          <w:i/>
          <w:iCs/>
          <w:lang w:eastAsia="en-AU"/>
        </w:rPr>
        <w:t>Interpretation Act 1901</w:t>
      </w:r>
      <w:r w:rsidRPr="0049255C">
        <w:rPr>
          <w:rFonts w:ascii="Times New Roman" w:eastAsia="Times New Roman" w:hAnsi="Times New Roman" w:cs="Times New Roman"/>
          <w:lang w:eastAsia="en-AU"/>
        </w:rPr>
        <w:t xml:space="preserve">.  The Amendment Determination amends the Principal Determination by inserting </w:t>
      </w:r>
      <w:r w:rsidR="00124CA7" w:rsidRPr="0049255C">
        <w:rPr>
          <w:rFonts w:ascii="Times New Roman" w:eastAsia="Times New Roman" w:hAnsi="Times New Roman" w:cs="Times New Roman"/>
          <w:lang w:eastAsia="en-AU"/>
        </w:rPr>
        <w:t>15</w:t>
      </w:r>
      <w:r w:rsidRPr="0049255C">
        <w:rPr>
          <w:rFonts w:ascii="Times New Roman" w:eastAsia="Times New Roman" w:hAnsi="Times New Roman" w:cs="Times New Roman"/>
          <w:lang w:eastAsia="en-AU"/>
        </w:rPr>
        <w:t xml:space="preserve"> new</w:t>
      </w:r>
      <w:r w:rsidRPr="002C52FA">
        <w:rPr>
          <w:rFonts w:ascii="Times New Roman" w:eastAsia="Times New Roman" w:hAnsi="Times New Roman" w:cs="Times New Roman"/>
          <w:lang w:eastAsia="en-AU"/>
        </w:rPr>
        <w:t xml:space="preserve"> items (items 14A to 14O) </w:t>
      </w:r>
      <w:r w:rsidR="0050462E">
        <w:rPr>
          <w:rFonts w:ascii="Times New Roman" w:eastAsia="Times New Roman" w:hAnsi="Times New Roman" w:cs="Times New Roman"/>
          <w:lang w:eastAsia="en-AU"/>
        </w:rPr>
        <w:t xml:space="preserve">in Schedule 1.  The new items </w:t>
      </w:r>
      <w:r w:rsidRPr="002C52FA">
        <w:rPr>
          <w:rFonts w:ascii="Times New Roman" w:eastAsia="Times New Roman" w:hAnsi="Times New Roman" w:cs="Times New Roman"/>
          <w:lang w:eastAsia="en-AU"/>
        </w:rPr>
        <w:t>specify certain low risk software</w:t>
      </w:r>
      <w:r w:rsidR="00206469">
        <w:rPr>
          <w:rFonts w:ascii="Times New Roman" w:eastAsia="Times New Roman" w:hAnsi="Times New Roman" w:cs="Times New Roman"/>
          <w:lang w:eastAsia="en-AU"/>
        </w:rPr>
        <w:t>-based products</w:t>
      </w:r>
      <w:r w:rsidRPr="002C52FA">
        <w:rPr>
          <w:rFonts w:ascii="Times New Roman" w:eastAsia="Times New Roman" w:hAnsi="Times New Roman" w:cs="Times New Roman"/>
          <w:lang w:eastAsia="en-AU"/>
        </w:rPr>
        <w:t xml:space="preserve"> </w:t>
      </w:r>
      <w:r w:rsidR="00602D95">
        <w:rPr>
          <w:rFonts w:ascii="Times New Roman" w:eastAsia="Times New Roman" w:hAnsi="Times New Roman" w:cs="Times New Roman"/>
          <w:lang w:eastAsia="en-AU"/>
        </w:rPr>
        <w:t>(“</w:t>
      </w:r>
      <w:r w:rsidR="00156B58">
        <w:rPr>
          <w:rFonts w:ascii="Times New Roman" w:eastAsia="Times New Roman" w:hAnsi="Times New Roman" w:cs="Times New Roman"/>
          <w:lang w:eastAsia="en-AU"/>
        </w:rPr>
        <w:t>relevant</w:t>
      </w:r>
      <w:r w:rsidR="009D4DAF">
        <w:rPr>
          <w:rFonts w:ascii="Times New Roman" w:eastAsia="Times New Roman" w:hAnsi="Times New Roman" w:cs="Times New Roman"/>
          <w:lang w:eastAsia="en-AU"/>
        </w:rPr>
        <w:t xml:space="preserve"> </w:t>
      </w:r>
      <w:r w:rsidR="00602D95">
        <w:rPr>
          <w:rFonts w:ascii="Times New Roman" w:eastAsia="Times New Roman" w:hAnsi="Times New Roman" w:cs="Times New Roman"/>
          <w:lang w:eastAsia="en-AU"/>
        </w:rPr>
        <w:t>software</w:t>
      </w:r>
      <w:r w:rsidR="009D4DAF">
        <w:rPr>
          <w:rFonts w:ascii="Times New Roman" w:eastAsia="Times New Roman" w:hAnsi="Times New Roman" w:cs="Times New Roman"/>
          <w:lang w:eastAsia="en-AU"/>
        </w:rPr>
        <w:t xml:space="preserve"> products</w:t>
      </w:r>
      <w:r w:rsidR="00602D95">
        <w:rPr>
          <w:rFonts w:ascii="Times New Roman" w:eastAsia="Times New Roman" w:hAnsi="Times New Roman" w:cs="Times New Roman"/>
          <w:lang w:eastAsia="en-AU"/>
        </w:rPr>
        <w:t xml:space="preserve">”) </w:t>
      </w:r>
      <w:r w:rsidR="007C60E6">
        <w:rPr>
          <w:rFonts w:ascii="Times New Roman" w:eastAsia="Times New Roman" w:hAnsi="Times New Roman" w:cs="Times New Roman"/>
          <w:lang w:eastAsia="en-AU"/>
        </w:rPr>
        <w:t xml:space="preserve">that </w:t>
      </w:r>
      <w:r w:rsidRPr="002C52FA">
        <w:rPr>
          <w:rFonts w:ascii="Times New Roman" w:eastAsia="Times New Roman" w:hAnsi="Times New Roman" w:cs="Times New Roman"/>
          <w:lang w:eastAsia="en-AU"/>
        </w:rPr>
        <w:t>are excluded goods for the purposes of the Ac</w:t>
      </w:r>
      <w:r w:rsidR="00602D95">
        <w:rPr>
          <w:rFonts w:ascii="Times New Roman" w:eastAsia="Times New Roman" w:hAnsi="Times New Roman" w:cs="Times New Roman"/>
          <w:lang w:eastAsia="en-AU"/>
        </w:rPr>
        <w:t>t</w:t>
      </w:r>
      <w:r w:rsidRPr="002C52FA">
        <w:rPr>
          <w:rFonts w:ascii="Times New Roman" w:eastAsia="Times New Roman" w:hAnsi="Times New Roman" w:cs="Times New Roman"/>
          <w:lang w:eastAsia="en-AU"/>
        </w:rPr>
        <w:t xml:space="preserve">.  The </w:t>
      </w:r>
      <w:r w:rsidR="00156B58">
        <w:rPr>
          <w:rFonts w:ascii="Times New Roman" w:eastAsia="Times New Roman" w:hAnsi="Times New Roman" w:cs="Times New Roman"/>
          <w:lang w:eastAsia="en-AU"/>
        </w:rPr>
        <w:t>relevant</w:t>
      </w:r>
      <w:r w:rsidR="00156B58" w:rsidRPr="002C52FA">
        <w:rPr>
          <w:rFonts w:ascii="Times New Roman" w:eastAsia="Times New Roman" w:hAnsi="Times New Roman" w:cs="Times New Roman"/>
          <w:lang w:eastAsia="en-AU"/>
        </w:rPr>
        <w:t xml:space="preserve"> </w:t>
      </w:r>
      <w:r w:rsidRPr="002C52FA">
        <w:rPr>
          <w:rFonts w:ascii="Times New Roman" w:eastAsia="Times New Roman" w:hAnsi="Times New Roman" w:cs="Times New Roman"/>
          <w:lang w:eastAsia="en-AU"/>
        </w:rPr>
        <w:t xml:space="preserve">software </w:t>
      </w:r>
      <w:r w:rsidR="00156B58">
        <w:rPr>
          <w:rFonts w:ascii="Times New Roman" w:eastAsia="Times New Roman" w:hAnsi="Times New Roman" w:cs="Times New Roman"/>
          <w:lang w:eastAsia="en-AU"/>
        </w:rPr>
        <w:t xml:space="preserve">products </w:t>
      </w:r>
      <w:r w:rsidRPr="002C52FA">
        <w:rPr>
          <w:rFonts w:ascii="Times New Roman" w:eastAsia="Times New Roman" w:hAnsi="Times New Roman" w:cs="Times New Roman"/>
          <w:lang w:eastAsia="en-AU"/>
        </w:rPr>
        <w:t xml:space="preserve">can be </w:t>
      </w:r>
      <w:r w:rsidR="00B76D70">
        <w:rPr>
          <w:rFonts w:ascii="Times New Roman" w:eastAsia="Times New Roman" w:hAnsi="Times New Roman" w:cs="Times New Roman"/>
          <w:lang w:eastAsia="en-AU"/>
        </w:rPr>
        <w:t>broadly described as follows:</w:t>
      </w:r>
    </w:p>
    <w:p w14:paraId="3B2EE0BE" w14:textId="77777777" w:rsidR="00B76D70" w:rsidRDefault="00B76D70" w:rsidP="002C52FA">
      <w:pPr>
        <w:shd w:val="clear" w:color="auto" w:fill="FFFFFF"/>
        <w:spacing w:after="0" w:line="240" w:lineRule="auto"/>
        <w:rPr>
          <w:rFonts w:ascii="Times New Roman" w:eastAsia="Times New Roman" w:hAnsi="Times New Roman" w:cs="Times New Roman"/>
          <w:lang w:eastAsia="en-AU"/>
        </w:rPr>
      </w:pPr>
    </w:p>
    <w:p w14:paraId="2386B2FF" w14:textId="6FC7C3E9" w:rsidR="00B76D70" w:rsidRDefault="00B76D70" w:rsidP="00573C3D">
      <w:pPr>
        <w:pStyle w:val="ListParagraph"/>
        <w:numPr>
          <w:ilvl w:val="0"/>
          <w:numId w:val="2"/>
        </w:numPr>
        <w:shd w:val="clear" w:color="auto" w:fill="FFFFFF"/>
        <w:spacing w:after="0" w:line="240" w:lineRule="auto"/>
        <w:rPr>
          <w:rFonts w:ascii="Times New Roman" w:eastAsia="Times New Roman" w:hAnsi="Times New Roman" w:cs="Times New Roman"/>
          <w:lang w:eastAsia="en-AU"/>
        </w:rPr>
      </w:pPr>
      <w:r w:rsidRPr="00B76D70">
        <w:rPr>
          <w:rFonts w:ascii="Times New Roman" w:eastAsia="Times New Roman" w:hAnsi="Times New Roman" w:cs="Times New Roman"/>
          <w:lang w:eastAsia="en-AU"/>
        </w:rPr>
        <w:t xml:space="preserve">consumer-facing </w:t>
      </w:r>
      <w:r w:rsidR="0050728F">
        <w:rPr>
          <w:rFonts w:ascii="Times New Roman" w:eastAsia="Times New Roman" w:hAnsi="Times New Roman" w:cs="Times New Roman"/>
          <w:lang w:eastAsia="en-AU"/>
        </w:rPr>
        <w:t xml:space="preserve">software </w:t>
      </w:r>
      <w:r w:rsidRPr="00B76D70">
        <w:rPr>
          <w:rFonts w:ascii="Times New Roman" w:eastAsia="Times New Roman" w:hAnsi="Times New Roman" w:cs="Times New Roman"/>
          <w:lang w:eastAsia="en-AU"/>
        </w:rPr>
        <w:t xml:space="preserve">products </w:t>
      </w:r>
      <w:r w:rsidR="0050728F">
        <w:rPr>
          <w:rFonts w:ascii="Times New Roman" w:eastAsia="Times New Roman" w:hAnsi="Times New Roman" w:cs="Times New Roman"/>
          <w:lang w:eastAsia="en-AU"/>
        </w:rPr>
        <w:t xml:space="preserve">that </w:t>
      </w:r>
      <w:r w:rsidR="00602D95">
        <w:rPr>
          <w:rFonts w:ascii="Times New Roman" w:eastAsia="Times New Roman" w:hAnsi="Times New Roman" w:cs="Times New Roman"/>
          <w:lang w:eastAsia="en-AU"/>
        </w:rPr>
        <w:t xml:space="preserve">typically </w:t>
      </w:r>
      <w:r w:rsidR="00573C3D">
        <w:rPr>
          <w:rFonts w:ascii="Times New Roman" w:eastAsia="Times New Roman" w:hAnsi="Times New Roman" w:cs="Times New Roman"/>
          <w:lang w:eastAsia="en-AU"/>
        </w:rPr>
        <w:t xml:space="preserve">perform prevention, management or follow up functions in relation to </w:t>
      </w:r>
      <w:r w:rsidR="0050728F">
        <w:rPr>
          <w:rFonts w:ascii="Times New Roman" w:eastAsia="Times New Roman" w:hAnsi="Times New Roman" w:cs="Times New Roman"/>
          <w:lang w:eastAsia="en-AU"/>
        </w:rPr>
        <w:t>general health or wellness</w:t>
      </w:r>
      <w:r w:rsidR="00573C3D">
        <w:rPr>
          <w:rFonts w:ascii="Times New Roman" w:eastAsia="Times New Roman" w:hAnsi="Times New Roman" w:cs="Times New Roman"/>
          <w:lang w:eastAsia="en-AU"/>
        </w:rPr>
        <w:t xml:space="preserve"> </w:t>
      </w:r>
      <w:r w:rsidRPr="00B76D70">
        <w:rPr>
          <w:rFonts w:ascii="Times New Roman" w:eastAsia="Times New Roman" w:hAnsi="Times New Roman" w:cs="Times New Roman"/>
          <w:lang w:eastAsia="en-AU"/>
        </w:rPr>
        <w:t>(</w:t>
      </w:r>
      <w:r>
        <w:rPr>
          <w:rFonts w:ascii="Times New Roman" w:eastAsia="Times New Roman" w:hAnsi="Times New Roman" w:cs="Times New Roman"/>
          <w:lang w:eastAsia="en-AU"/>
        </w:rPr>
        <w:t>i</w:t>
      </w:r>
      <w:r w:rsidR="002C52FA" w:rsidRPr="00573C3D">
        <w:rPr>
          <w:rFonts w:ascii="Times New Roman" w:eastAsia="Times New Roman" w:hAnsi="Times New Roman" w:cs="Times New Roman"/>
          <w:lang w:eastAsia="en-AU"/>
        </w:rPr>
        <w:t>tems 14A</w:t>
      </w:r>
      <w:r w:rsidR="0050728F">
        <w:rPr>
          <w:rFonts w:ascii="Times New Roman" w:eastAsia="Times New Roman" w:hAnsi="Times New Roman" w:cs="Times New Roman"/>
          <w:lang w:eastAsia="en-AU"/>
        </w:rPr>
        <w:t xml:space="preserve"> to </w:t>
      </w:r>
      <w:r w:rsidR="002C52FA" w:rsidRPr="00573C3D">
        <w:rPr>
          <w:rFonts w:ascii="Times New Roman" w:eastAsia="Times New Roman" w:hAnsi="Times New Roman" w:cs="Times New Roman"/>
          <w:lang w:eastAsia="en-AU"/>
        </w:rPr>
        <w:t>14E</w:t>
      </w:r>
      <w:r w:rsidRPr="00573C3D">
        <w:rPr>
          <w:rFonts w:ascii="Times New Roman" w:eastAsia="Times New Roman" w:hAnsi="Times New Roman" w:cs="Times New Roman"/>
          <w:lang w:eastAsia="en-AU"/>
        </w:rPr>
        <w:t>);</w:t>
      </w:r>
    </w:p>
    <w:p w14:paraId="3A0FBD9E" w14:textId="2E29D6C3" w:rsidR="00573C3D" w:rsidRPr="00573C3D" w:rsidRDefault="00573C3D" w:rsidP="00573C3D">
      <w:pPr>
        <w:pStyle w:val="ListParagraph"/>
        <w:numPr>
          <w:ilvl w:val="0"/>
          <w:numId w:val="2"/>
        </w:numPr>
        <w:shd w:val="clear" w:color="auto" w:fill="FFFFFF"/>
        <w:spacing w:after="0" w:line="240" w:lineRule="auto"/>
        <w:rPr>
          <w:rFonts w:ascii="Times New Roman" w:eastAsia="Times New Roman" w:hAnsi="Times New Roman" w:cs="Times New Roman"/>
          <w:lang w:eastAsia="en-AU"/>
        </w:rPr>
      </w:pPr>
      <w:r w:rsidRPr="00573C3D">
        <w:rPr>
          <w:rFonts w:ascii="Times New Roman" w:eastAsia="Times New Roman" w:hAnsi="Times New Roman" w:cs="Times New Roman"/>
          <w:lang w:eastAsia="en-AU"/>
        </w:rPr>
        <w:t>e</w:t>
      </w:r>
      <w:r w:rsidR="002C52FA" w:rsidRPr="00573C3D">
        <w:rPr>
          <w:rFonts w:ascii="Times New Roman" w:eastAsia="Times New Roman" w:hAnsi="Times New Roman" w:cs="Times New Roman"/>
          <w:lang w:eastAsia="en-AU"/>
        </w:rPr>
        <w:t xml:space="preserve">nabling technologies for the delivery of health services, </w:t>
      </w:r>
      <w:r w:rsidRPr="00573C3D">
        <w:rPr>
          <w:rFonts w:ascii="Times New Roman" w:eastAsia="Times New Roman" w:hAnsi="Times New Roman" w:cs="Times New Roman"/>
          <w:lang w:eastAsia="en-AU"/>
        </w:rPr>
        <w:t>including telehealth, remote diagnosis, dispensing and healthcare facility management (</w:t>
      </w:r>
      <w:r w:rsidR="002C52FA" w:rsidRPr="00573C3D">
        <w:rPr>
          <w:rFonts w:ascii="Times New Roman" w:eastAsia="Times New Roman" w:hAnsi="Times New Roman" w:cs="Times New Roman"/>
          <w:lang w:eastAsia="en-AU"/>
        </w:rPr>
        <w:t>items 14</w:t>
      </w:r>
      <w:r w:rsidRPr="00573C3D">
        <w:rPr>
          <w:rFonts w:ascii="Times New Roman" w:eastAsia="Times New Roman" w:hAnsi="Times New Roman" w:cs="Times New Roman"/>
          <w:lang w:eastAsia="en-AU"/>
        </w:rPr>
        <w:t>F</w:t>
      </w:r>
      <w:r w:rsidR="002C52FA" w:rsidRPr="00573C3D">
        <w:rPr>
          <w:rFonts w:ascii="Times New Roman" w:eastAsia="Times New Roman" w:hAnsi="Times New Roman" w:cs="Times New Roman"/>
          <w:lang w:eastAsia="en-AU"/>
        </w:rPr>
        <w:t xml:space="preserve"> to 14</w:t>
      </w:r>
      <w:r w:rsidRPr="00573C3D">
        <w:rPr>
          <w:rFonts w:ascii="Times New Roman" w:eastAsia="Times New Roman" w:hAnsi="Times New Roman" w:cs="Times New Roman"/>
          <w:lang w:eastAsia="en-AU"/>
        </w:rPr>
        <w:t>K);</w:t>
      </w:r>
    </w:p>
    <w:p w14:paraId="7AC353A5" w14:textId="47CDCAAC" w:rsidR="00573C3D" w:rsidRPr="00573C3D" w:rsidRDefault="002C52FA" w:rsidP="00573C3D">
      <w:pPr>
        <w:pStyle w:val="ListParagraph"/>
        <w:numPr>
          <w:ilvl w:val="0"/>
          <w:numId w:val="2"/>
        </w:numPr>
        <w:shd w:val="clear" w:color="auto" w:fill="FFFFFF"/>
        <w:spacing w:after="0" w:line="240" w:lineRule="auto"/>
        <w:rPr>
          <w:rFonts w:ascii="Times New Roman" w:eastAsia="Times New Roman" w:hAnsi="Times New Roman" w:cs="Times New Roman"/>
          <w:lang w:eastAsia="en-AU"/>
        </w:rPr>
      </w:pPr>
      <w:r w:rsidRPr="00573C3D">
        <w:rPr>
          <w:rFonts w:ascii="Times New Roman" w:eastAsia="Times New Roman" w:hAnsi="Times New Roman" w:cs="Times New Roman"/>
          <w:lang w:eastAsia="en-AU"/>
        </w:rPr>
        <w:t>software that digitises paper</w:t>
      </w:r>
      <w:r w:rsidR="009D4DAF">
        <w:rPr>
          <w:rFonts w:ascii="Times New Roman" w:eastAsia="Times New Roman" w:hAnsi="Times New Roman" w:cs="Times New Roman"/>
          <w:lang w:eastAsia="en-AU"/>
        </w:rPr>
        <w:t>-</w:t>
      </w:r>
      <w:r w:rsidRPr="00573C3D">
        <w:rPr>
          <w:rFonts w:ascii="Times New Roman" w:eastAsia="Times New Roman" w:hAnsi="Times New Roman" w:cs="Times New Roman"/>
          <w:lang w:eastAsia="en-AU"/>
        </w:rPr>
        <w:t>based (or other published) clinical rules or data</w:t>
      </w:r>
      <w:r w:rsidR="00573C3D" w:rsidRPr="00573C3D">
        <w:rPr>
          <w:rFonts w:ascii="Times New Roman" w:eastAsia="Times New Roman" w:hAnsi="Times New Roman" w:cs="Times New Roman"/>
          <w:lang w:eastAsia="en-AU"/>
        </w:rPr>
        <w:t xml:space="preserve"> (</w:t>
      </w:r>
      <w:r w:rsidRPr="00573C3D">
        <w:rPr>
          <w:rFonts w:ascii="Times New Roman" w:eastAsia="Times New Roman" w:hAnsi="Times New Roman" w:cs="Times New Roman"/>
          <w:lang w:eastAsia="en-AU"/>
        </w:rPr>
        <w:t>item</w:t>
      </w:r>
      <w:r w:rsidR="00573C3D" w:rsidRPr="00573C3D">
        <w:rPr>
          <w:rFonts w:ascii="Times New Roman" w:eastAsia="Times New Roman" w:hAnsi="Times New Roman" w:cs="Times New Roman"/>
          <w:lang w:eastAsia="en-AU"/>
        </w:rPr>
        <w:t>s 14L and 14M);</w:t>
      </w:r>
    </w:p>
    <w:p w14:paraId="1CDAFE4A" w14:textId="10AF7DC2" w:rsidR="00573C3D" w:rsidRPr="00573C3D" w:rsidRDefault="002C52FA" w:rsidP="00573C3D">
      <w:pPr>
        <w:pStyle w:val="ListParagraph"/>
        <w:numPr>
          <w:ilvl w:val="0"/>
          <w:numId w:val="2"/>
        </w:numPr>
        <w:shd w:val="clear" w:color="auto" w:fill="FFFFFF"/>
        <w:spacing w:after="0" w:line="240" w:lineRule="auto"/>
        <w:rPr>
          <w:rFonts w:ascii="Times New Roman" w:eastAsia="Times New Roman" w:hAnsi="Times New Roman" w:cs="Times New Roman"/>
          <w:lang w:eastAsia="en-AU"/>
        </w:rPr>
      </w:pPr>
      <w:r w:rsidRPr="00573C3D">
        <w:rPr>
          <w:rFonts w:ascii="Times New Roman" w:eastAsia="Times New Roman" w:hAnsi="Times New Roman" w:cs="Times New Roman"/>
          <w:lang w:eastAsia="en-AU"/>
        </w:rPr>
        <w:t>software that performs population</w:t>
      </w:r>
      <w:r w:rsidR="009D4DAF">
        <w:rPr>
          <w:rFonts w:ascii="Times New Roman" w:eastAsia="Times New Roman" w:hAnsi="Times New Roman" w:cs="Times New Roman"/>
          <w:lang w:eastAsia="en-AU"/>
        </w:rPr>
        <w:t>-</w:t>
      </w:r>
      <w:r w:rsidRPr="00573C3D">
        <w:rPr>
          <w:rFonts w:ascii="Times New Roman" w:eastAsia="Times New Roman" w:hAnsi="Times New Roman" w:cs="Times New Roman"/>
          <w:lang w:eastAsia="en-AU"/>
        </w:rPr>
        <w:t>based analytics</w:t>
      </w:r>
      <w:r w:rsidR="00573C3D" w:rsidRPr="00573C3D">
        <w:rPr>
          <w:rFonts w:ascii="Times New Roman" w:eastAsia="Times New Roman" w:hAnsi="Times New Roman" w:cs="Times New Roman"/>
          <w:lang w:eastAsia="en-AU"/>
        </w:rPr>
        <w:t xml:space="preserve"> (item 14N)</w:t>
      </w:r>
      <w:r w:rsidR="00C71708">
        <w:rPr>
          <w:rFonts w:ascii="Times New Roman" w:eastAsia="Times New Roman" w:hAnsi="Times New Roman" w:cs="Times New Roman"/>
          <w:lang w:eastAsia="en-AU"/>
        </w:rPr>
        <w:t>;</w:t>
      </w:r>
      <w:r w:rsidRPr="00573C3D">
        <w:rPr>
          <w:rFonts w:ascii="Times New Roman" w:eastAsia="Times New Roman" w:hAnsi="Times New Roman" w:cs="Times New Roman"/>
          <w:lang w:eastAsia="en-AU"/>
        </w:rPr>
        <w:t xml:space="preserve"> and</w:t>
      </w:r>
    </w:p>
    <w:p w14:paraId="6812199F" w14:textId="267B18DA" w:rsidR="00573C3D" w:rsidRPr="00573C3D" w:rsidRDefault="002C52FA" w:rsidP="00573C3D">
      <w:pPr>
        <w:pStyle w:val="ListParagraph"/>
        <w:numPr>
          <w:ilvl w:val="0"/>
          <w:numId w:val="2"/>
        </w:numPr>
        <w:shd w:val="clear" w:color="auto" w:fill="FFFFFF"/>
        <w:spacing w:after="0" w:line="240" w:lineRule="auto"/>
        <w:rPr>
          <w:rFonts w:ascii="Times New Roman" w:eastAsia="Times New Roman" w:hAnsi="Times New Roman" w:cs="Times New Roman"/>
          <w:lang w:eastAsia="en-AU"/>
        </w:rPr>
      </w:pPr>
      <w:r w:rsidRPr="00573C3D">
        <w:rPr>
          <w:rFonts w:ascii="Times New Roman" w:eastAsia="Times New Roman" w:hAnsi="Times New Roman" w:cs="Times New Roman"/>
          <w:lang w:eastAsia="en-AU"/>
        </w:rPr>
        <w:t>laboratory information management systems</w:t>
      </w:r>
      <w:r w:rsidR="00573C3D" w:rsidRPr="00573C3D">
        <w:rPr>
          <w:rFonts w:ascii="Times New Roman" w:eastAsia="Times New Roman" w:hAnsi="Times New Roman" w:cs="Times New Roman"/>
          <w:lang w:eastAsia="en-AU"/>
        </w:rPr>
        <w:t xml:space="preserve"> (item 14O)</w:t>
      </w:r>
      <w:r w:rsidRPr="00573C3D">
        <w:rPr>
          <w:rFonts w:ascii="Times New Roman" w:eastAsia="Times New Roman" w:hAnsi="Times New Roman" w:cs="Times New Roman"/>
          <w:lang w:eastAsia="en-AU"/>
        </w:rPr>
        <w:t>.</w:t>
      </w:r>
    </w:p>
    <w:p w14:paraId="617B7648" w14:textId="77777777" w:rsidR="00573C3D" w:rsidRDefault="00573C3D" w:rsidP="00573C3D">
      <w:pPr>
        <w:shd w:val="clear" w:color="auto" w:fill="FFFFFF"/>
        <w:spacing w:after="0" w:line="240" w:lineRule="auto"/>
        <w:rPr>
          <w:rFonts w:ascii="Times New Roman" w:eastAsia="Times New Roman" w:hAnsi="Times New Roman" w:cs="Times New Roman"/>
          <w:lang w:eastAsia="en-AU"/>
        </w:rPr>
      </w:pPr>
    </w:p>
    <w:p w14:paraId="4B18F901" w14:textId="089FEF77" w:rsidR="002C52FA" w:rsidRPr="00573C3D" w:rsidRDefault="002C52FA" w:rsidP="00573C3D">
      <w:pPr>
        <w:shd w:val="clear" w:color="auto" w:fill="FFFFFF"/>
        <w:spacing w:after="0" w:line="240" w:lineRule="auto"/>
        <w:rPr>
          <w:rFonts w:ascii="Times New Roman" w:eastAsia="Times New Roman" w:hAnsi="Times New Roman" w:cs="Times New Roman"/>
          <w:lang w:eastAsia="en-AU"/>
        </w:rPr>
      </w:pPr>
      <w:r w:rsidRPr="00573C3D">
        <w:rPr>
          <w:rFonts w:ascii="Times New Roman" w:eastAsia="Times New Roman" w:hAnsi="Times New Roman" w:cs="Times New Roman"/>
          <w:lang w:eastAsia="en-AU"/>
        </w:rPr>
        <w:t xml:space="preserve">The effect of these items is to exclude the </w:t>
      </w:r>
      <w:r w:rsidR="00156B58">
        <w:rPr>
          <w:rFonts w:ascii="Times New Roman" w:eastAsia="Times New Roman" w:hAnsi="Times New Roman" w:cs="Times New Roman"/>
          <w:lang w:eastAsia="en-AU"/>
        </w:rPr>
        <w:t>relevant</w:t>
      </w:r>
      <w:r w:rsidR="00156B58" w:rsidRPr="00573C3D">
        <w:rPr>
          <w:rFonts w:ascii="Times New Roman" w:eastAsia="Times New Roman" w:hAnsi="Times New Roman" w:cs="Times New Roman"/>
          <w:lang w:eastAsia="en-AU"/>
        </w:rPr>
        <w:t xml:space="preserve"> </w:t>
      </w:r>
      <w:r w:rsidRPr="00573C3D">
        <w:rPr>
          <w:rFonts w:ascii="Times New Roman" w:eastAsia="Times New Roman" w:hAnsi="Times New Roman" w:cs="Times New Roman"/>
          <w:lang w:eastAsia="en-AU"/>
        </w:rPr>
        <w:t>software</w:t>
      </w:r>
      <w:r w:rsidR="00156B58">
        <w:rPr>
          <w:rFonts w:ascii="Times New Roman" w:eastAsia="Times New Roman" w:hAnsi="Times New Roman" w:cs="Times New Roman"/>
          <w:lang w:eastAsia="en-AU"/>
        </w:rPr>
        <w:t xml:space="preserve"> products</w:t>
      </w:r>
      <w:r w:rsidR="00E85887">
        <w:rPr>
          <w:rFonts w:ascii="Times New Roman" w:eastAsia="Times New Roman" w:hAnsi="Times New Roman" w:cs="Times New Roman"/>
          <w:lang w:eastAsia="en-AU"/>
        </w:rPr>
        <w:t xml:space="preserve"> from the operation of the Act.</w:t>
      </w:r>
    </w:p>
    <w:p w14:paraId="0FADAC49" w14:textId="32FBD7BD" w:rsidR="00602D95" w:rsidRDefault="00602D95" w:rsidP="00602D95">
      <w:pPr>
        <w:shd w:val="clear" w:color="auto" w:fill="FFFFFF"/>
        <w:spacing w:after="0" w:line="240" w:lineRule="auto"/>
        <w:rPr>
          <w:rFonts w:ascii="Times New Roman" w:eastAsia="Times New Roman" w:hAnsi="Times New Roman" w:cs="Times New Roman"/>
          <w:lang w:eastAsia="en-AU"/>
        </w:rPr>
      </w:pPr>
    </w:p>
    <w:p w14:paraId="3414E859" w14:textId="71619D43" w:rsidR="008C4E07" w:rsidRDefault="008C6BC1" w:rsidP="00602D95">
      <w:pPr>
        <w:shd w:val="clear" w:color="auto" w:fill="FFFFFF"/>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lastRenderedPageBreak/>
        <w:t>The TGA takes a ri</w:t>
      </w:r>
      <w:r w:rsidR="001370E3">
        <w:rPr>
          <w:rFonts w:ascii="Times New Roman" w:eastAsia="Times New Roman" w:hAnsi="Times New Roman" w:cs="Times New Roman"/>
          <w:lang w:eastAsia="en-AU"/>
        </w:rPr>
        <w:t>sk-based approach to regulation, ensuring</w:t>
      </w:r>
      <w:r w:rsidR="00D35664">
        <w:rPr>
          <w:rFonts w:ascii="Times New Roman" w:eastAsia="Times New Roman" w:hAnsi="Times New Roman" w:cs="Times New Roman"/>
          <w:lang w:eastAsia="en-AU"/>
        </w:rPr>
        <w:t xml:space="preserve"> that</w:t>
      </w:r>
      <w:r w:rsidR="001370E3">
        <w:rPr>
          <w:rFonts w:ascii="Times New Roman" w:eastAsia="Times New Roman" w:hAnsi="Times New Roman" w:cs="Times New Roman"/>
          <w:lang w:eastAsia="en-AU"/>
        </w:rPr>
        <w:t xml:space="preserve"> th</w:t>
      </w:r>
      <w:r>
        <w:rPr>
          <w:rFonts w:ascii="Times New Roman" w:eastAsia="Times New Roman" w:hAnsi="Times New Roman" w:cs="Times New Roman"/>
          <w:lang w:eastAsia="en-AU"/>
        </w:rPr>
        <w:t xml:space="preserve">e degree of regulatory oversight </w:t>
      </w:r>
      <w:r w:rsidR="008E03D9">
        <w:rPr>
          <w:rFonts w:ascii="Times New Roman" w:eastAsia="Times New Roman" w:hAnsi="Times New Roman" w:cs="Times New Roman"/>
          <w:lang w:eastAsia="en-AU"/>
        </w:rPr>
        <w:t>corresponds to the</w:t>
      </w:r>
      <w:r w:rsidR="001370E3">
        <w:rPr>
          <w:rFonts w:ascii="Times New Roman" w:eastAsia="Times New Roman" w:hAnsi="Times New Roman" w:cs="Times New Roman"/>
          <w:lang w:eastAsia="en-AU"/>
        </w:rPr>
        <w:t xml:space="preserve"> level of risk associated with particular therapeutic goods.  </w:t>
      </w:r>
      <w:r w:rsidR="00DA1AF7">
        <w:rPr>
          <w:rFonts w:ascii="Times New Roman" w:eastAsia="Times New Roman" w:hAnsi="Times New Roman" w:cs="Times New Roman"/>
          <w:lang w:eastAsia="en-AU"/>
        </w:rPr>
        <w:t xml:space="preserve">Relevantly, </w:t>
      </w:r>
      <w:r w:rsidR="008C4E07">
        <w:rPr>
          <w:rFonts w:ascii="Times New Roman" w:eastAsia="Times New Roman" w:hAnsi="Times New Roman" w:cs="Times New Roman"/>
          <w:lang w:eastAsia="en-AU"/>
        </w:rPr>
        <w:t xml:space="preserve">in accordance with subsection 7AA(3) of the Act, </w:t>
      </w:r>
      <w:r w:rsidR="00DA1AF7">
        <w:rPr>
          <w:rFonts w:ascii="Times New Roman" w:eastAsia="Times New Roman" w:hAnsi="Times New Roman" w:cs="Times New Roman"/>
          <w:lang w:eastAsia="en-AU"/>
        </w:rPr>
        <w:t xml:space="preserve">a determination to exclude specified goods from the operation of the Act must take into account the risks </w:t>
      </w:r>
      <w:r w:rsidR="008C4E07">
        <w:rPr>
          <w:rFonts w:ascii="Times New Roman" w:eastAsia="Times New Roman" w:hAnsi="Times New Roman" w:cs="Times New Roman"/>
          <w:lang w:eastAsia="en-AU"/>
        </w:rPr>
        <w:t xml:space="preserve">to members of the public </w:t>
      </w:r>
      <w:r w:rsidR="00DA1AF7">
        <w:rPr>
          <w:rFonts w:ascii="Times New Roman" w:eastAsia="Times New Roman" w:hAnsi="Times New Roman" w:cs="Times New Roman"/>
          <w:lang w:eastAsia="en-AU"/>
        </w:rPr>
        <w:t xml:space="preserve">associated with not regulating </w:t>
      </w:r>
      <w:r w:rsidR="008C4E07">
        <w:rPr>
          <w:rFonts w:ascii="Times New Roman" w:eastAsia="Times New Roman" w:hAnsi="Times New Roman" w:cs="Times New Roman"/>
          <w:lang w:eastAsia="en-AU"/>
        </w:rPr>
        <w:t>the specified</w:t>
      </w:r>
      <w:r w:rsidR="00DA1AF7">
        <w:rPr>
          <w:rFonts w:ascii="Times New Roman" w:eastAsia="Times New Roman" w:hAnsi="Times New Roman" w:cs="Times New Roman"/>
          <w:lang w:eastAsia="en-AU"/>
        </w:rPr>
        <w:t xml:space="preserve"> goods </w:t>
      </w:r>
      <w:r w:rsidR="008C4E07">
        <w:rPr>
          <w:rFonts w:ascii="Times New Roman" w:eastAsia="Times New Roman" w:hAnsi="Times New Roman" w:cs="Times New Roman"/>
          <w:lang w:eastAsia="en-AU"/>
        </w:rPr>
        <w:t>as therapeutic goods</w:t>
      </w:r>
      <w:r w:rsidR="00D35664">
        <w:rPr>
          <w:rFonts w:ascii="Times New Roman" w:eastAsia="Times New Roman" w:hAnsi="Times New Roman" w:cs="Times New Roman"/>
          <w:lang w:eastAsia="en-AU"/>
        </w:rPr>
        <w:t>,</w:t>
      </w:r>
      <w:r w:rsidR="008C4E07">
        <w:rPr>
          <w:rFonts w:ascii="Times New Roman" w:eastAsia="Times New Roman" w:hAnsi="Times New Roman" w:cs="Times New Roman"/>
          <w:lang w:eastAsia="en-AU"/>
        </w:rPr>
        <w:t xml:space="preserve"> and whether the specified goods could be more appropriate</w:t>
      </w:r>
      <w:r w:rsidR="00E4718D">
        <w:rPr>
          <w:rFonts w:ascii="Times New Roman" w:eastAsia="Times New Roman" w:hAnsi="Times New Roman" w:cs="Times New Roman"/>
          <w:lang w:eastAsia="en-AU"/>
        </w:rPr>
        <w:t xml:space="preserve">ly dealt with under </w:t>
      </w:r>
      <w:r w:rsidR="008C4E07">
        <w:rPr>
          <w:rFonts w:ascii="Times New Roman" w:eastAsia="Times New Roman" w:hAnsi="Times New Roman" w:cs="Times New Roman"/>
          <w:lang w:eastAsia="en-AU"/>
        </w:rPr>
        <w:t>other regulatory schemes.</w:t>
      </w:r>
    </w:p>
    <w:p w14:paraId="49A990DC" w14:textId="77777777" w:rsidR="008C4E07" w:rsidRDefault="008C4E07" w:rsidP="00602D95">
      <w:pPr>
        <w:shd w:val="clear" w:color="auto" w:fill="FFFFFF"/>
        <w:spacing w:after="0" w:line="240" w:lineRule="auto"/>
        <w:rPr>
          <w:rFonts w:ascii="Times New Roman" w:eastAsia="Times New Roman" w:hAnsi="Times New Roman" w:cs="Times New Roman"/>
          <w:lang w:eastAsia="en-AU"/>
        </w:rPr>
      </w:pPr>
    </w:p>
    <w:p w14:paraId="677335A8" w14:textId="77777777" w:rsidR="00D35664" w:rsidRDefault="008C4E07" w:rsidP="001B1CCB">
      <w:pPr>
        <w:shd w:val="clear" w:color="auto" w:fill="FFFFFF"/>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 Amendment Determination is made on the basis that the </w:t>
      </w:r>
      <w:r w:rsidR="00156B58">
        <w:rPr>
          <w:rFonts w:ascii="Times New Roman" w:eastAsia="Times New Roman" w:hAnsi="Times New Roman" w:cs="Times New Roman"/>
          <w:lang w:eastAsia="en-AU"/>
        </w:rPr>
        <w:t xml:space="preserve">relevant </w:t>
      </w:r>
      <w:r>
        <w:rPr>
          <w:rFonts w:ascii="Times New Roman" w:eastAsia="Times New Roman" w:hAnsi="Times New Roman" w:cs="Times New Roman"/>
          <w:lang w:eastAsia="en-AU"/>
        </w:rPr>
        <w:t>software</w:t>
      </w:r>
      <w:r w:rsidR="00206469">
        <w:rPr>
          <w:rFonts w:ascii="Times New Roman" w:eastAsia="Times New Roman" w:hAnsi="Times New Roman" w:cs="Times New Roman"/>
          <w:lang w:eastAsia="en-AU"/>
        </w:rPr>
        <w:t xml:space="preserve"> </w:t>
      </w:r>
      <w:r w:rsidR="00156B58">
        <w:rPr>
          <w:rFonts w:ascii="Times New Roman" w:eastAsia="Times New Roman" w:hAnsi="Times New Roman" w:cs="Times New Roman"/>
          <w:lang w:eastAsia="en-AU"/>
        </w:rPr>
        <w:t xml:space="preserve">products </w:t>
      </w:r>
      <w:r w:rsidR="00735E63">
        <w:rPr>
          <w:rFonts w:ascii="Times New Roman" w:eastAsia="Times New Roman" w:hAnsi="Times New Roman" w:cs="Times New Roman"/>
          <w:lang w:eastAsia="en-AU"/>
        </w:rPr>
        <w:t xml:space="preserve">are </w:t>
      </w:r>
      <w:r w:rsidR="00297150">
        <w:rPr>
          <w:rFonts w:ascii="Times New Roman" w:eastAsia="Times New Roman" w:hAnsi="Times New Roman" w:cs="Times New Roman"/>
          <w:lang w:eastAsia="en-AU"/>
        </w:rPr>
        <w:t xml:space="preserve">low </w:t>
      </w:r>
      <w:r w:rsidR="00206469">
        <w:rPr>
          <w:rFonts w:ascii="Times New Roman" w:eastAsia="Times New Roman" w:hAnsi="Times New Roman" w:cs="Times New Roman"/>
          <w:lang w:eastAsia="en-AU"/>
        </w:rPr>
        <w:t>risk and un</w:t>
      </w:r>
      <w:r w:rsidR="00735E63">
        <w:rPr>
          <w:rFonts w:ascii="Times New Roman" w:eastAsia="Times New Roman" w:hAnsi="Times New Roman" w:cs="Times New Roman"/>
          <w:lang w:eastAsia="en-AU"/>
        </w:rPr>
        <w:t>likely to harm the health of members of the public</w:t>
      </w:r>
      <w:r w:rsidR="00206469">
        <w:rPr>
          <w:rFonts w:ascii="Times New Roman" w:eastAsia="Times New Roman" w:hAnsi="Times New Roman" w:cs="Times New Roman"/>
          <w:lang w:eastAsia="en-AU"/>
        </w:rPr>
        <w:t xml:space="preserve"> if not regulated as therapeutic goods</w:t>
      </w:r>
      <w:r w:rsidR="0029717D">
        <w:rPr>
          <w:rFonts w:ascii="Times New Roman" w:eastAsia="Times New Roman" w:hAnsi="Times New Roman" w:cs="Times New Roman"/>
          <w:lang w:eastAsia="en-AU"/>
        </w:rPr>
        <w:t>.</w:t>
      </w:r>
      <w:r w:rsidR="00934366">
        <w:rPr>
          <w:rFonts w:ascii="Times New Roman" w:eastAsia="Times New Roman" w:hAnsi="Times New Roman" w:cs="Times New Roman"/>
          <w:lang w:eastAsia="en-AU"/>
        </w:rPr>
        <w:t xml:space="preserve">  </w:t>
      </w:r>
    </w:p>
    <w:p w14:paraId="0C7AEE8B" w14:textId="77777777" w:rsidR="00D35664" w:rsidRDefault="00D35664" w:rsidP="001B1CCB">
      <w:pPr>
        <w:shd w:val="clear" w:color="auto" w:fill="FFFFFF"/>
        <w:spacing w:after="0" w:line="240" w:lineRule="auto"/>
        <w:rPr>
          <w:rFonts w:ascii="Times New Roman" w:eastAsia="Times New Roman" w:hAnsi="Times New Roman" w:cs="Times New Roman"/>
          <w:lang w:eastAsia="en-AU"/>
        </w:rPr>
      </w:pPr>
    </w:p>
    <w:p w14:paraId="77812935" w14:textId="48DB1710" w:rsidR="001B1CCB" w:rsidRPr="002C52FA" w:rsidRDefault="00DD5C1B" w:rsidP="001B1CCB">
      <w:pPr>
        <w:shd w:val="clear" w:color="auto" w:fill="FFFFFF"/>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Accordingly</w:t>
      </w:r>
      <w:r w:rsidR="00934366">
        <w:rPr>
          <w:rFonts w:ascii="Times New Roman" w:eastAsia="Times New Roman" w:hAnsi="Times New Roman" w:cs="Times New Roman"/>
          <w:lang w:eastAsia="en-AU"/>
        </w:rPr>
        <w:t xml:space="preserve">, the </w:t>
      </w:r>
      <w:r w:rsidR="00156B58">
        <w:rPr>
          <w:rFonts w:ascii="Times New Roman" w:eastAsia="Times New Roman" w:hAnsi="Times New Roman" w:cs="Times New Roman"/>
          <w:lang w:eastAsia="en-AU"/>
        </w:rPr>
        <w:t xml:space="preserve">relevant </w:t>
      </w:r>
      <w:r w:rsidR="00934366">
        <w:rPr>
          <w:rFonts w:ascii="Times New Roman" w:eastAsia="Times New Roman" w:hAnsi="Times New Roman" w:cs="Times New Roman"/>
          <w:lang w:eastAsia="en-AU"/>
        </w:rPr>
        <w:t>software</w:t>
      </w:r>
      <w:r w:rsidR="00156B58">
        <w:rPr>
          <w:rFonts w:ascii="Times New Roman" w:eastAsia="Times New Roman" w:hAnsi="Times New Roman" w:cs="Times New Roman"/>
          <w:lang w:eastAsia="en-AU"/>
        </w:rPr>
        <w:t xml:space="preserve"> products</w:t>
      </w:r>
      <w:r w:rsidR="00934366">
        <w:rPr>
          <w:rFonts w:ascii="Times New Roman" w:eastAsia="Times New Roman" w:hAnsi="Times New Roman" w:cs="Times New Roman"/>
          <w:lang w:eastAsia="en-AU"/>
        </w:rPr>
        <w:t xml:space="preserve"> </w:t>
      </w:r>
      <w:r w:rsidR="00C3667D">
        <w:rPr>
          <w:rFonts w:ascii="Times New Roman" w:eastAsia="Times New Roman" w:hAnsi="Times New Roman" w:cs="Times New Roman"/>
          <w:lang w:eastAsia="en-AU"/>
        </w:rPr>
        <w:t>are</w:t>
      </w:r>
      <w:r w:rsidR="00934366">
        <w:rPr>
          <w:rFonts w:ascii="Times New Roman" w:eastAsia="Times New Roman" w:hAnsi="Times New Roman" w:cs="Times New Roman"/>
          <w:lang w:eastAsia="en-AU"/>
        </w:rPr>
        <w:t xml:space="preserve"> described in </w:t>
      </w:r>
      <w:r>
        <w:rPr>
          <w:rFonts w:ascii="Times New Roman" w:eastAsia="Times New Roman" w:hAnsi="Times New Roman" w:cs="Times New Roman"/>
          <w:lang w:eastAsia="en-AU"/>
        </w:rPr>
        <w:t xml:space="preserve">the Amendment Determination in </w:t>
      </w:r>
      <w:r w:rsidR="00934366">
        <w:rPr>
          <w:rFonts w:ascii="Times New Roman" w:eastAsia="Times New Roman" w:hAnsi="Times New Roman" w:cs="Times New Roman"/>
          <w:lang w:eastAsia="en-AU"/>
        </w:rPr>
        <w:t xml:space="preserve">a manner </w:t>
      </w:r>
      <w:r w:rsidR="009D4DAF">
        <w:rPr>
          <w:rFonts w:ascii="Times New Roman" w:eastAsia="Times New Roman" w:hAnsi="Times New Roman" w:cs="Times New Roman"/>
          <w:lang w:eastAsia="en-AU"/>
        </w:rPr>
        <w:t xml:space="preserve">that </w:t>
      </w:r>
      <w:r>
        <w:rPr>
          <w:rFonts w:ascii="Times New Roman" w:eastAsia="Times New Roman" w:hAnsi="Times New Roman" w:cs="Times New Roman"/>
          <w:lang w:eastAsia="en-AU"/>
        </w:rPr>
        <w:t xml:space="preserve">ensures only software </w:t>
      </w:r>
      <w:r w:rsidR="00C3667D">
        <w:rPr>
          <w:rFonts w:ascii="Times New Roman" w:eastAsia="Times New Roman" w:hAnsi="Times New Roman" w:cs="Times New Roman"/>
          <w:lang w:eastAsia="en-AU"/>
        </w:rPr>
        <w:t>that</w:t>
      </w:r>
      <w:r>
        <w:rPr>
          <w:rFonts w:ascii="Times New Roman" w:eastAsia="Times New Roman" w:hAnsi="Times New Roman" w:cs="Times New Roman"/>
          <w:lang w:eastAsia="en-AU"/>
        </w:rPr>
        <w:t xml:space="preserve"> is</w:t>
      </w:r>
      <w:r w:rsidR="007E4A27">
        <w:rPr>
          <w:rFonts w:ascii="Times New Roman" w:eastAsia="Times New Roman" w:hAnsi="Times New Roman" w:cs="Times New Roman"/>
          <w:lang w:eastAsia="en-AU"/>
        </w:rPr>
        <w:t xml:space="preserve"> sufficiently low </w:t>
      </w:r>
      <w:r>
        <w:rPr>
          <w:rFonts w:ascii="Times New Roman" w:eastAsia="Times New Roman" w:hAnsi="Times New Roman" w:cs="Times New Roman"/>
          <w:lang w:eastAsia="en-AU"/>
        </w:rPr>
        <w:t>risk is nec</w:t>
      </w:r>
      <w:r w:rsidR="00297150">
        <w:rPr>
          <w:rFonts w:ascii="Times New Roman" w:eastAsia="Times New Roman" w:hAnsi="Times New Roman" w:cs="Times New Roman"/>
          <w:lang w:eastAsia="en-AU"/>
        </w:rPr>
        <w:t xml:space="preserve">essarily excluded. </w:t>
      </w:r>
      <w:r w:rsidR="006A15CA">
        <w:rPr>
          <w:rFonts w:ascii="Times New Roman" w:eastAsia="Times New Roman" w:hAnsi="Times New Roman" w:cs="Times New Roman"/>
          <w:lang w:eastAsia="en-AU"/>
        </w:rPr>
        <w:t xml:space="preserve"> </w:t>
      </w:r>
      <w:r w:rsidR="001115C9">
        <w:rPr>
          <w:rFonts w:ascii="Times New Roman" w:eastAsia="Times New Roman" w:hAnsi="Times New Roman" w:cs="Times New Roman"/>
          <w:lang w:eastAsia="en-AU"/>
        </w:rPr>
        <w:t xml:space="preserve">For example, some of the </w:t>
      </w:r>
      <w:r w:rsidR="00156B58">
        <w:rPr>
          <w:rFonts w:ascii="Times New Roman" w:eastAsia="Times New Roman" w:hAnsi="Times New Roman" w:cs="Times New Roman"/>
          <w:lang w:eastAsia="en-AU"/>
        </w:rPr>
        <w:t xml:space="preserve">relevant </w:t>
      </w:r>
      <w:r w:rsidR="001115C9">
        <w:rPr>
          <w:rFonts w:ascii="Times New Roman" w:eastAsia="Times New Roman" w:hAnsi="Times New Roman" w:cs="Times New Roman"/>
          <w:lang w:eastAsia="en-AU"/>
        </w:rPr>
        <w:t>software</w:t>
      </w:r>
      <w:r w:rsidR="00156B58">
        <w:rPr>
          <w:rFonts w:ascii="Times New Roman" w:eastAsia="Times New Roman" w:hAnsi="Times New Roman" w:cs="Times New Roman"/>
          <w:lang w:eastAsia="en-AU"/>
        </w:rPr>
        <w:t xml:space="preserve"> products</w:t>
      </w:r>
      <w:r w:rsidR="001115C9">
        <w:rPr>
          <w:rFonts w:ascii="Times New Roman" w:eastAsia="Times New Roman" w:hAnsi="Times New Roman" w:cs="Times New Roman"/>
          <w:lang w:eastAsia="en-AU"/>
        </w:rPr>
        <w:t xml:space="preserve"> (such as new items 14A and 14B) </w:t>
      </w:r>
      <w:r w:rsidR="00E21EE1">
        <w:rPr>
          <w:rFonts w:ascii="Times New Roman" w:eastAsia="Times New Roman" w:hAnsi="Times New Roman" w:cs="Times New Roman"/>
          <w:lang w:eastAsia="en-AU"/>
        </w:rPr>
        <w:t xml:space="preserve">are described </w:t>
      </w:r>
      <w:r w:rsidR="00AD6A6B">
        <w:rPr>
          <w:rFonts w:ascii="Times New Roman" w:eastAsia="Times New Roman" w:hAnsi="Times New Roman" w:cs="Times New Roman"/>
          <w:lang w:eastAsia="en-AU"/>
        </w:rPr>
        <w:t xml:space="preserve">so </w:t>
      </w:r>
      <w:r w:rsidR="001B1CCB">
        <w:rPr>
          <w:rFonts w:ascii="Times New Roman" w:eastAsia="Times New Roman" w:hAnsi="Times New Roman" w:cs="Times New Roman"/>
          <w:lang w:eastAsia="en-AU"/>
        </w:rPr>
        <w:t>as not to exclude</w:t>
      </w:r>
      <w:r w:rsidR="00AD6A6B">
        <w:rPr>
          <w:rFonts w:ascii="Times New Roman" w:eastAsia="Times New Roman" w:hAnsi="Times New Roman" w:cs="Times New Roman"/>
          <w:lang w:eastAsia="en-AU"/>
        </w:rPr>
        <w:t xml:space="preserve"> </w:t>
      </w:r>
      <w:r w:rsidR="001115C9">
        <w:rPr>
          <w:rFonts w:ascii="Times New Roman" w:eastAsia="Times New Roman" w:hAnsi="Times New Roman" w:cs="Times New Roman"/>
          <w:lang w:eastAsia="en-AU"/>
        </w:rPr>
        <w:t xml:space="preserve">software that is </w:t>
      </w:r>
      <w:r w:rsidR="00AD6A6B">
        <w:rPr>
          <w:rFonts w:ascii="Times New Roman" w:eastAsia="Times New Roman" w:hAnsi="Times New Roman" w:cs="Times New Roman"/>
          <w:lang w:eastAsia="en-AU"/>
        </w:rPr>
        <w:t xml:space="preserve">used in relation to serious diseases, conditions, ailments or defects.  Further, some of the </w:t>
      </w:r>
      <w:r w:rsidR="00156B58">
        <w:rPr>
          <w:rFonts w:ascii="Times New Roman" w:eastAsia="Times New Roman" w:hAnsi="Times New Roman" w:cs="Times New Roman"/>
          <w:lang w:eastAsia="en-AU"/>
        </w:rPr>
        <w:t xml:space="preserve">relevant </w:t>
      </w:r>
      <w:r w:rsidR="00AD6A6B">
        <w:rPr>
          <w:rFonts w:ascii="Times New Roman" w:eastAsia="Times New Roman" w:hAnsi="Times New Roman" w:cs="Times New Roman"/>
          <w:lang w:eastAsia="en-AU"/>
        </w:rPr>
        <w:t xml:space="preserve">software </w:t>
      </w:r>
      <w:r w:rsidR="00156B58">
        <w:rPr>
          <w:rFonts w:ascii="Times New Roman" w:eastAsia="Times New Roman" w:hAnsi="Times New Roman" w:cs="Times New Roman"/>
          <w:lang w:eastAsia="en-AU"/>
        </w:rPr>
        <w:t xml:space="preserve">products </w:t>
      </w:r>
      <w:r w:rsidR="00AD6A6B">
        <w:rPr>
          <w:rFonts w:ascii="Times New Roman" w:eastAsia="Times New Roman" w:hAnsi="Times New Roman" w:cs="Times New Roman"/>
          <w:lang w:eastAsia="en-AU"/>
        </w:rPr>
        <w:t xml:space="preserve">(such as new items 14C and 14I) are described so </w:t>
      </w:r>
      <w:r w:rsidR="001B1CCB">
        <w:rPr>
          <w:rFonts w:ascii="Times New Roman" w:eastAsia="Times New Roman" w:hAnsi="Times New Roman" w:cs="Times New Roman"/>
          <w:lang w:eastAsia="en-AU"/>
        </w:rPr>
        <w:t xml:space="preserve">as not to exclude software in circumstances that would require the involvement of </w:t>
      </w:r>
      <w:r w:rsidR="00C0405C">
        <w:rPr>
          <w:rFonts w:ascii="Times New Roman" w:eastAsia="Times New Roman" w:hAnsi="Times New Roman" w:cs="Times New Roman"/>
          <w:lang w:eastAsia="en-AU"/>
        </w:rPr>
        <w:t>a health professional</w:t>
      </w:r>
      <w:r w:rsidR="003B68F4">
        <w:rPr>
          <w:rFonts w:ascii="Times New Roman" w:eastAsia="Times New Roman" w:hAnsi="Times New Roman" w:cs="Times New Roman"/>
          <w:lang w:eastAsia="en-AU"/>
        </w:rPr>
        <w:t>.</w:t>
      </w:r>
    </w:p>
    <w:p w14:paraId="0C6CCCCF" w14:textId="53967678" w:rsidR="00297150" w:rsidRDefault="00297150" w:rsidP="00602D95">
      <w:pPr>
        <w:shd w:val="clear" w:color="auto" w:fill="FFFFFF"/>
        <w:spacing w:after="0" w:line="240" w:lineRule="auto"/>
        <w:rPr>
          <w:rFonts w:ascii="Times New Roman" w:eastAsia="Times New Roman" w:hAnsi="Times New Roman" w:cs="Times New Roman"/>
          <w:lang w:eastAsia="en-AU"/>
        </w:rPr>
      </w:pPr>
    </w:p>
    <w:p w14:paraId="7DB0C842" w14:textId="1264D001" w:rsidR="009B20CF" w:rsidRDefault="003B68F4" w:rsidP="00602D95">
      <w:pPr>
        <w:shd w:val="clear" w:color="auto" w:fill="FFFFFF"/>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Importantly</w:t>
      </w:r>
      <w:r w:rsidR="00C3667D">
        <w:rPr>
          <w:rFonts w:ascii="Times New Roman" w:eastAsia="Times New Roman" w:hAnsi="Times New Roman" w:cs="Times New Roman"/>
          <w:lang w:eastAsia="en-AU"/>
        </w:rPr>
        <w:t xml:space="preserve">, </w:t>
      </w:r>
      <w:r w:rsidR="00012FEA">
        <w:rPr>
          <w:rFonts w:ascii="Times New Roman" w:eastAsia="Times New Roman" w:hAnsi="Times New Roman" w:cs="Times New Roman"/>
          <w:lang w:eastAsia="en-AU"/>
        </w:rPr>
        <w:t xml:space="preserve">the </w:t>
      </w:r>
      <w:r w:rsidR="00156B58">
        <w:rPr>
          <w:rFonts w:ascii="Times New Roman" w:eastAsia="Times New Roman" w:hAnsi="Times New Roman" w:cs="Times New Roman"/>
          <w:lang w:eastAsia="en-AU"/>
        </w:rPr>
        <w:t xml:space="preserve">relevant </w:t>
      </w:r>
      <w:r w:rsidR="00012FEA">
        <w:rPr>
          <w:rFonts w:ascii="Times New Roman" w:eastAsia="Times New Roman" w:hAnsi="Times New Roman" w:cs="Times New Roman"/>
          <w:lang w:eastAsia="en-AU"/>
        </w:rPr>
        <w:t xml:space="preserve">software </w:t>
      </w:r>
      <w:r w:rsidR="00156B58">
        <w:rPr>
          <w:rFonts w:ascii="Times New Roman" w:eastAsia="Times New Roman" w:hAnsi="Times New Roman" w:cs="Times New Roman"/>
          <w:lang w:eastAsia="en-AU"/>
        </w:rPr>
        <w:t xml:space="preserve">products </w:t>
      </w:r>
      <w:r w:rsidR="00E4718D">
        <w:rPr>
          <w:rFonts w:ascii="Times New Roman" w:eastAsia="Times New Roman" w:hAnsi="Times New Roman" w:cs="Times New Roman"/>
          <w:lang w:eastAsia="en-AU"/>
        </w:rPr>
        <w:t xml:space="preserve">would continue to be </w:t>
      </w:r>
      <w:r w:rsidR="00012FEA">
        <w:rPr>
          <w:rFonts w:ascii="Times New Roman" w:eastAsia="Times New Roman" w:hAnsi="Times New Roman" w:cs="Times New Roman"/>
          <w:lang w:eastAsia="en-AU"/>
        </w:rPr>
        <w:t xml:space="preserve">appropriately </w:t>
      </w:r>
      <w:r w:rsidR="00E4718D">
        <w:rPr>
          <w:rFonts w:ascii="Times New Roman" w:eastAsia="Times New Roman" w:hAnsi="Times New Roman" w:cs="Times New Roman"/>
          <w:lang w:eastAsia="en-AU"/>
        </w:rPr>
        <w:t>regulated as consumer good</w:t>
      </w:r>
      <w:r w:rsidR="00012FEA">
        <w:rPr>
          <w:rFonts w:ascii="Times New Roman" w:eastAsia="Times New Roman" w:hAnsi="Times New Roman" w:cs="Times New Roman"/>
          <w:lang w:eastAsia="en-AU"/>
        </w:rPr>
        <w:t xml:space="preserve">s under </w:t>
      </w:r>
      <w:r w:rsidR="00D35664">
        <w:rPr>
          <w:rFonts w:ascii="Times New Roman" w:eastAsia="Times New Roman" w:hAnsi="Times New Roman" w:cs="Times New Roman"/>
          <w:lang w:eastAsia="en-AU"/>
        </w:rPr>
        <w:t xml:space="preserve">the </w:t>
      </w:r>
      <w:r w:rsidR="00012FEA">
        <w:rPr>
          <w:rFonts w:ascii="Times New Roman" w:eastAsia="Times New Roman" w:hAnsi="Times New Roman" w:cs="Times New Roman"/>
          <w:lang w:eastAsia="en-AU"/>
        </w:rPr>
        <w:t xml:space="preserve">Australian Consumer Law.  In </w:t>
      </w:r>
      <w:r w:rsidR="00E4718D">
        <w:rPr>
          <w:rFonts w:ascii="Times New Roman" w:eastAsia="Times New Roman" w:hAnsi="Times New Roman" w:cs="Times New Roman"/>
          <w:lang w:eastAsia="en-AU"/>
        </w:rPr>
        <w:t>the event of any safety issues or false or misleading statements</w:t>
      </w:r>
      <w:r w:rsidR="00012FEA">
        <w:rPr>
          <w:rFonts w:ascii="Times New Roman" w:eastAsia="Times New Roman" w:hAnsi="Times New Roman" w:cs="Times New Roman"/>
          <w:lang w:eastAsia="en-AU"/>
        </w:rPr>
        <w:t xml:space="preserve"> in advertising for th</w:t>
      </w:r>
      <w:r w:rsidR="00C71708">
        <w:rPr>
          <w:rFonts w:ascii="Times New Roman" w:eastAsia="Times New Roman" w:hAnsi="Times New Roman" w:cs="Times New Roman"/>
          <w:lang w:eastAsia="en-AU"/>
        </w:rPr>
        <w:t>os</w:t>
      </w:r>
      <w:r w:rsidR="00012FEA">
        <w:rPr>
          <w:rFonts w:ascii="Times New Roman" w:eastAsia="Times New Roman" w:hAnsi="Times New Roman" w:cs="Times New Roman"/>
          <w:lang w:eastAsia="en-AU"/>
        </w:rPr>
        <w:t xml:space="preserve">e </w:t>
      </w:r>
      <w:r w:rsidR="00156B58">
        <w:rPr>
          <w:rFonts w:ascii="Times New Roman" w:eastAsia="Times New Roman" w:hAnsi="Times New Roman" w:cs="Times New Roman"/>
          <w:lang w:eastAsia="en-AU"/>
        </w:rPr>
        <w:t>products</w:t>
      </w:r>
      <w:r w:rsidR="00E4718D">
        <w:rPr>
          <w:rFonts w:ascii="Times New Roman" w:eastAsia="Times New Roman" w:hAnsi="Times New Roman" w:cs="Times New Roman"/>
          <w:lang w:eastAsia="en-AU"/>
        </w:rPr>
        <w:t>, provisions of the Australian Consumer Law would continue to af</w:t>
      </w:r>
      <w:r w:rsidR="007E6A79">
        <w:rPr>
          <w:rFonts w:ascii="Times New Roman" w:eastAsia="Times New Roman" w:hAnsi="Times New Roman" w:cs="Times New Roman"/>
          <w:lang w:eastAsia="en-AU"/>
        </w:rPr>
        <w:t>ford protection to the public.</w:t>
      </w:r>
      <w:r w:rsidR="00C3667D">
        <w:rPr>
          <w:rFonts w:ascii="Times New Roman" w:eastAsia="Times New Roman" w:hAnsi="Times New Roman" w:cs="Times New Roman"/>
          <w:lang w:eastAsia="en-AU"/>
        </w:rPr>
        <w:t xml:space="preserve">  </w:t>
      </w:r>
      <w:r w:rsidR="009B20CF">
        <w:rPr>
          <w:rFonts w:ascii="Times New Roman" w:eastAsia="Times New Roman" w:hAnsi="Times New Roman" w:cs="Times New Roman"/>
          <w:lang w:eastAsia="en-AU"/>
        </w:rPr>
        <w:t xml:space="preserve">Some of the </w:t>
      </w:r>
      <w:r w:rsidR="00156B58">
        <w:rPr>
          <w:rFonts w:ascii="Times New Roman" w:eastAsia="Times New Roman" w:hAnsi="Times New Roman" w:cs="Times New Roman"/>
          <w:lang w:eastAsia="en-AU"/>
        </w:rPr>
        <w:t xml:space="preserve">relevant </w:t>
      </w:r>
      <w:r w:rsidR="009B20CF">
        <w:rPr>
          <w:rFonts w:ascii="Times New Roman" w:eastAsia="Times New Roman" w:hAnsi="Times New Roman" w:cs="Times New Roman"/>
          <w:lang w:eastAsia="en-AU"/>
        </w:rPr>
        <w:t>software</w:t>
      </w:r>
      <w:r w:rsidR="00156B58">
        <w:rPr>
          <w:rFonts w:ascii="Times New Roman" w:eastAsia="Times New Roman" w:hAnsi="Times New Roman" w:cs="Times New Roman"/>
          <w:lang w:eastAsia="en-AU"/>
        </w:rPr>
        <w:t xml:space="preserve"> products</w:t>
      </w:r>
      <w:r w:rsidR="009B20CF">
        <w:rPr>
          <w:rFonts w:ascii="Times New Roman" w:eastAsia="Times New Roman" w:hAnsi="Times New Roman" w:cs="Times New Roman"/>
          <w:lang w:eastAsia="en-AU"/>
        </w:rPr>
        <w:t xml:space="preserve"> are also sufficiently regulated by other regulatory schemes.  For example, laborator</w:t>
      </w:r>
      <w:bookmarkStart w:id="0" w:name="_GoBack"/>
      <w:bookmarkEnd w:id="0"/>
      <w:r w:rsidR="009B20CF">
        <w:rPr>
          <w:rFonts w:ascii="Times New Roman" w:eastAsia="Times New Roman" w:hAnsi="Times New Roman" w:cs="Times New Roman"/>
          <w:lang w:eastAsia="en-AU"/>
        </w:rPr>
        <w:t xml:space="preserve">y information management systems (new item 14O) are used in laboratories in Australia </w:t>
      </w:r>
      <w:r w:rsidR="00A046E1">
        <w:rPr>
          <w:rFonts w:ascii="Times New Roman" w:eastAsia="Times New Roman" w:hAnsi="Times New Roman" w:cs="Times New Roman"/>
          <w:lang w:eastAsia="en-AU"/>
        </w:rPr>
        <w:t xml:space="preserve">of </w:t>
      </w:r>
      <w:r w:rsidR="00A046E1">
        <w:rPr>
          <w:rFonts w:ascii="Times New Roman" w:eastAsia="Times New Roman" w:hAnsi="Times New Roman" w:cs="Times New Roman"/>
          <w:lang w:eastAsia="en-AU"/>
        </w:rPr>
        <w:t>which many</w:t>
      </w:r>
      <w:r w:rsidR="009B20CF">
        <w:rPr>
          <w:rFonts w:ascii="Times New Roman" w:eastAsia="Times New Roman" w:hAnsi="Times New Roman" w:cs="Times New Roman"/>
          <w:lang w:eastAsia="en-AU"/>
        </w:rPr>
        <w:t xml:space="preserve"> </w:t>
      </w:r>
      <w:r w:rsidR="009B20CF">
        <w:rPr>
          <w:rFonts w:ascii="Times New Roman" w:eastAsia="Times New Roman" w:hAnsi="Times New Roman" w:cs="Times New Roman"/>
          <w:lang w:eastAsia="en-AU"/>
        </w:rPr>
        <w:t>are accredited by the National Association of Testing Authorities (</w:t>
      </w:r>
      <w:r w:rsidR="0050462E">
        <w:rPr>
          <w:rFonts w:ascii="Times New Roman" w:eastAsia="Times New Roman" w:hAnsi="Times New Roman" w:cs="Times New Roman"/>
          <w:lang w:eastAsia="en-AU"/>
        </w:rPr>
        <w:t>“</w:t>
      </w:r>
      <w:r w:rsidR="009B20CF">
        <w:rPr>
          <w:rFonts w:ascii="Times New Roman" w:eastAsia="Times New Roman" w:hAnsi="Times New Roman" w:cs="Times New Roman"/>
          <w:lang w:eastAsia="en-AU"/>
        </w:rPr>
        <w:t>NATA</w:t>
      </w:r>
      <w:r w:rsidR="0050462E">
        <w:rPr>
          <w:rFonts w:ascii="Times New Roman" w:eastAsia="Times New Roman" w:hAnsi="Times New Roman" w:cs="Times New Roman"/>
          <w:lang w:eastAsia="en-AU"/>
        </w:rPr>
        <w:t>”</w:t>
      </w:r>
      <w:r w:rsidR="009B20CF">
        <w:rPr>
          <w:rFonts w:ascii="Times New Roman" w:eastAsia="Times New Roman" w:hAnsi="Times New Roman" w:cs="Times New Roman"/>
          <w:lang w:eastAsia="en-AU"/>
        </w:rPr>
        <w:t>) and the Royal College of Pathologists of Australia (</w:t>
      </w:r>
      <w:r w:rsidR="0050462E">
        <w:rPr>
          <w:rFonts w:ascii="Times New Roman" w:eastAsia="Times New Roman" w:hAnsi="Times New Roman" w:cs="Times New Roman"/>
          <w:lang w:eastAsia="en-AU"/>
        </w:rPr>
        <w:t>“</w:t>
      </w:r>
      <w:r w:rsidR="009B20CF">
        <w:rPr>
          <w:rFonts w:ascii="Times New Roman" w:eastAsia="Times New Roman" w:hAnsi="Times New Roman" w:cs="Times New Roman"/>
          <w:lang w:eastAsia="en-AU"/>
        </w:rPr>
        <w:t>RCPA</w:t>
      </w:r>
      <w:r w:rsidR="0050462E">
        <w:rPr>
          <w:rFonts w:ascii="Times New Roman" w:eastAsia="Times New Roman" w:hAnsi="Times New Roman" w:cs="Times New Roman"/>
          <w:lang w:eastAsia="en-AU"/>
        </w:rPr>
        <w:t>”</w:t>
      </w:r>
      <w:r w:rsidR="009B20CF">
        <w:rPr>
          <w:rFonts w:ascii="Times New Roman" w:eastAsia="Times New Roman" w:hAnsi="Times New Roman" w:cs="Times New Roman"/>
          <w:lang w:eastAsia="en-AU"/>
        </w:rPr>
        <w:t>) for compliance with standards set by the National Pathology Accreditation Advisory Council (</w:t>
      </w:r>
      <w:r w:rsidR="0050462E">
        <w:rPr>
          <w:rFonts w:ascii="Times New Roman" w:eastAsia="Times New Roman" w:hAnsi="Times New Roman" w:cs="Times New Roman"/>
          <w:lang w:eastAsia="en-AU"/>
        </w:rPr>
        <w:t>“</w:t>
      </w:r>
      <w:r w:rsidR="009B20CF">
        <w:rPr>
          <w:rFonts w:ascii="Times New Roman" w:eastAsia="Times New Roman" w:hAnsi="Times New Roman" w:cs="Times New Roman"/>
          <w:lang w:eastAsia="en-AU"/>
        </w:rPr>
        <w:t>NPAAC</w:t>
      </w:r>
      <w:r w:rsidR="0050462E">
        <w:rPr>
          <w:rFonts w:ascii="Times New Roman" w:eastAsia="Times New Roman" w:hAnsi="Times New Roman" w:cs="Times New Roman"/>
          <w:lang w:eastAsia="en-AU"/>
        </w:rPr>
        <w:t>”</w:t>
      </w:r>
      <w:r w:rsidR="009B20CF">
        <w:rPr>
          <w:rFonts w:ascii="Times New Roman" w:eastAsia="Times New Roman" w:hAnsi="Times New Roman" w:cs="Times New Roman"/>
          <w:lang w:eastAsia="en-AU"/>
        </w:rPr>
        <w:t>).</w:t>
      </w:r>
    </w:p>
    <w:p w14:paraId="38A30007" w14:textId="77777777" w:rsidR="009B20CF" w:rsidRDefault="009B20CF" w:rsidP="00602D95">
      <w:pPr>
        <w:shd w:val="clear" w:color="auto" w:fill="FFFFFF"/>
        <w:spacing w:after="0" w:line="240" w:lineRule="auto"/>
        <w:rPr>
          <w:rFonts w:ascii="Times New Roman" w:eastAsia="Times New Roman" w:hAnsi="Times New Roman" w:cs="Times New Roman"/>
          <w:lang w:eastAsia="en-AU"/>
        </w:rPr>
      </w:pPr>
    </w:p>
    <w:p w14:paraId="41829CFC" w14:textId="64921E94" w:rsidR="007E6A79" w:rsidRDefault="00012FEA" w:rsidP="00602D95">
      <w:pPr>
        <w:shd w:val="clear" w:color="auto" w:fill="FFFFFF"/>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Further, </w:t>
      </w:r>
      <w:r w:rsidR="003B68F4">
        <w:rPr>
          <w:rFonts w:ascii="Times New Roman" w:eastAsia="Times New Roman" w:hAnsi="Times New Roman" w:cs="Times New Roman"/>
          <w:lang w:eastAsia="en-AU"/>
        </w:rPr>
        <w:t>while</w:t>
      </w:r>
      <w:r w:rsidR="007E6A79">
        <w:rPr>
          <w:rFonts w:ascii="Times New Roman" w:eastAsia="Times New Roman" w:hAnsi="Times New Roman" w:cs="Times New Roman"/>
          <w:lang w:eastAsia="en-AU"/>
        </w:rPr>
        <w:t xml:space="preserve"> aspects of the </w:t>
      </w:r>
      <w:r w:rsidR="00156B58">
        <w:rPr>
          <w:rFonts w:ascii="Times New Roman" w:eastAsia="Times New Roman" w:hAnsi="Times New Roman" w:cs="Times New Roman"/>
          <w:lang w:eastAsia="en-AU"/>
        </w:rPr>
        <w:t xml:space="preserve">relevant </w:t>
      </w:r>
      <w:r w:rsidR="007E6A79">
        <w:rPr>
          <w:rFonts w:ascii="Times New Roman" w:eastAsia="Times New Roman" w:hAnsi="Times New Roman" w:cs="Times New Roman"/>
          <w:lang w:eastAsia="en-AU"/>
        </w:rPr>
        <w:t xml:space="preserve">software </w:t>
      </w:r>
      <w:r w:rsidR="00156B58">
        <w:rPr>
          <w:rFonts w:ascii="Times New Roman" w:eastAsia="Times New Roman" w:hAnsi="Times New Roman" w:cs="Times New Roman"/>
          <w:lang w:eastAsia="en-AU"/>
        </w:rPr>
        <w:t xml:space="preserve">products </w:t>
      </w:r>
      <w:r w:rsidR="007E6A79">
        <w:rPr>
          <w:rFonts w:ascii="Times New Roman" w:eastAsia="Times New Roman" w:hAnsi="Times New Roman" w:cs="Times New Roman"/>
          <w:lang w:eastAsia="en-AU"/>
        </w:rPr>
        <w:t>involve the collection and handling of personal information, the Amendment Deter</w:t>
      </w:r>
      <w:r w:rsidR="002B679D">
        <w:rPr>
          <w:rFonts w:ascii="Times New Roman" w:eastAsia="Times New Roman" w:hAnsi="Times New Roman" w:cs="Times New Roman"/>
          <w:lang w:eastAsia="en-AU"/>
        </w:rPr>
        <w:t xml:space="preserve">mination does </w:t>
      </w:r>
      <w:r w:rsidR="002B679D" w:rsidRPr="002B679D">
        <w:rPr>
          <w:rFonts w:ascii="Times New Roman" w:eastAsia="Times New Roman" w:hAnsi="Times New Roman" w:cs="Times New Roman"/>
          <w:lang w:eastAsia="en-AU"/>
        </w:rPr>
        <w:t xml:space="preserve">not itself authorise or require the collection of </w:t>
      </w:r>
      <w:r w:rsidR="00156B58">
        <w:rPr>
          <w:rFonts w:ascii="Times New Roman" w:eastAsia="Times New Roman" w:hAnsi="Times New Roman" w:cs="Times New Roman"/>
          <w:lang w:eastAsia="en-AU"/>
        </w:rPr>
        <w:t>such</w:t>
      </w:r>
      <w:r w:rsidR="00156B58" w:rsidRPr="002B679D">
        <w:rPr>
          <w:rFonts w:ascii="Times New Roman" w:eastAsia="Times New Roman" w:hAnsi="Times New Roman" w:cs="Times New Roman"/>
          <w:lang w:eastAsia="en-AU"/>
        </w:rPr>
        <w:t xml:space="preserve"> </w:t>
      </w:r>
      <w:r w:rsidR="002B679D" w:rsidRPr="002B679D">
        <w:rPr>
          <w:rFonts w:ascii="Times New Roman" w:eastAsia="Times New Roman" w:hAnsi="Times New Roman" w:cs="Times New Roman"/>
          <w:lang w:eastAsia="en-AU"/>
        </w:rPr>
        <w:t>information</w:t>
      </w:r>
      <w:r w:rsidR="00D35664">
        <w:rPr>
          <w:rFonts w:ascii="Times New Roman" w:eastAsia="Times New Roman" w:hAnsi="Times New Roman" w:cs="Times New Roman"/>
          <w:lang w:eastAsia="en-AU"/>
        </w:rPr>
        <w:t>,</w:t>
      </w:r>
      <w:r w:rsidR="002B679D">
        <w:rPr>
          <w:rFonts w:ascii="Times New Roman" w:eastAsia="Times New Roman" w:hAnsi="Times New Roman" w:cs="Times New Roman"/>
          <w:lang w:eastAsia="en-AU"/>
        </w:rPr>
        <w:t xml:space="preserve"> or alter the application of </w:t>
      </w:r>
      <w:r>
        <w:rPr>
          <w:rFonts w:ascii="Times New Roman" w:eastAsia="Times New Roman" w:hAnsi="Times New Roman" w:cs="Times New Roman"/>
          <w:lang w:eastAsia="en-AU"/>
        </w:rPr>
        <w:t>Australian</w:t>
      </w:r>
      <w:r w:rsidR="002B679D">
        <w:rPr>
          <w:rFonts w:ascii="Times New Roman" w:eastAsia="Times New Roman" w:hAnsi="Times New Roman" w:cs="Times New Roman"/>
          <w:lang w:eastAsia="en-AU"/>
        </w:rPr>
        <w:t xml:space="preserve"> privacy laws.  The Amendment Determination merely excludes the </w:t>
      </w:r>
      <w:r w:rsidR="00156B58">
        <w:rPr>
          <w:rFonts w:ascii="Times New Roman" w:eastAsia="Times New Roman" w:hAnsi="Times New Roman" w:cs="Times New Roman"/>
          <w:lang w:eastAsia="en-AU"/>
        </w:rPr>
        <w:t xml:space="preserve">relevant </w:t>
      </w:r>
      <w:r w:rsidR="002B679D">
        <w:rPr>
          <w:rFonts w:ascii="Times New Roman" w:eastAsia="Times New Roman" w:hAnsi="Times New Roman" w:cs="Times New Roman"/>
          <w:lang w:eastAsia="en-AU"/>
        </w:rPr>
        <w:t xml:space="preserve">software </w:t>
      </w:r>
      <w:r w:rsidR="00156B58">
        <w:rPr>
          <w:rFonts w:ascii="Times New Roman" w:eastAsia="Times New Roman" w:hAnsi="Times New Roman" w:cs="Times New Roman"/>
          <w:lang w:eastAsia="en-AU"/>
        </w:rPr>
        <w:t xml:space="preserve">products </w:t>
      </w:r>
      <w:r w:rsidR="002B679D">
        <w:rPr>
          <w:rFonts w:ascii="Times New Roman" w:eastAsia="Times New Roman" w:hAnsi="Times New Roman" w:cs="Times New Roman"/>
          <w:lang w:eastAsia="en-AU"/>
        </w:rPr>
        <w:t>from regulation as therapeutic goods</w:t>
      </w:r>
      <w:r>
        <w:rPr>
          <w:rFonts w:ascii="Times New Roman" w:eastAsia="Times New Roman" w:hAnsi="Times New Roman" w:cs="Times New Roman"/>
          <w:lang w:eastAsia="en-AU"/>
        </w:rPr>
        <w:t xml:space="preserve"> under the Act</w:t>
      </w:r>
      <w:r w:rsidR="003B68F4">
        <w:rPr>
          <w:rFonts w:ascii="Times New Roman" w:eastAsia="Times New Roman" w:hAnsi="Times New Roman" w:cs="Times New Roman"/>
          <w:lang w:eastAsia="en-AU"/>
        </w:rPr>
        <w:t>, and</w:t>
      </w:r>
      <w:r w:rsidR="00D35664">
        <w:rPr>
          <w:rFonts w:ascii="Times New Roman" w:eastAsia="Times New Roman" w:hAnsi="Times New Roman" w:cs="Times New Roman"/>
          <w:lang w:eastAsia="en-AU"/>
        </w:rPr>
        <w:t>,</w:t>
      </w:r>
      <w:r w:rsidR="003B68F4">
        <w:rPr>
          <w:rFonts w:ascii="Times New Roman" w:eastAsia="Times New Roman" w:hAnsi="Times New Roman" w:cs="Times New Roman"/>
          <w:lang w:eastAsia="en-AU"/>
        </w:rPr>
        <w:t xml:space="preserve"> </w:t>
      </w:r>
      <w:r w:rsidR="007944C1">
        <w:rPr>
          <w:rFonts w:ascii="Times New Roman" w:eastAsia="Times New Roman" w:hAnsi="Times New Roman" w:cs="Times New Roman"/>
          <w:lang w:eastAsia="en-AU"/>
        </w:rPr>
        <w:t xml:space="preserve">consequently, </w:t>
      </w:r>
      <w:r w:rsidR="003B68F4">
        <w:rPr>
          <w:rFonts w:ascii="Times New Roman" w:eastAsia="Times New Roman" w:hAnsi="Times New Roman" w:cs="Times New Roman"/>
          <w:lang w:eastAsia="en-AU"/>
        </w:rPr>
        <w:t>th</w:t>
      </w:r>
      <w:r w:rsidR="002B679D">
        <w:rPr>
          <w:rFonts w:ascii="Times New Roman" w:eastAsia="Times New Roman" w:hAnsi="Times New Roman" w:cs="Times New Roman"/>
          <w:lang w:eastAsia="en-AU"/>
        </w:rPr>
        <w:t xml:space="preserve">e collection and handling of personal information by the </w:t>
      </w:r>
      <w:r w:rsidR="00156B58">
        <w:rPr>
          <w:rFonts w:ascii="Times New Roman" w:eastAsia="Times New Roman" w:hAnsi="Times New Roman" w:cs="Times New Roman"/>
          <w:lang w:eastAsia="en-AU"/>
        </w:rPr>
        <w:t xml:space="preserve">relevant </w:t>
      </w:r>
      <w:r w:rsidR="002B679D">
        <w:rPr>
          <w:rFonts w:ascii="Times New Roman" w:eastAsia="Times New Roman" w:hAnsi="Times New Roman" w:cs="Times New Roman"/>
          <w:lang w:eastAsia="en-AU"/>
        </w:rPr>
        <w:t>software</w:t>
      </w:r>
      <w:r w:rsidR="00156B58">
        <w:rPr>
          <w:rFonts w:ascii="Times New Roman" w:eastAsia="Times New Roman" w:hAnsi="Times New Roman" w:cs="Times New Roman"/>
          <w:lang w:eastAsia="en-AU"/>
        </w:rPr>
        <w:t xml:space="preserve"> products</w:t>
      </w:r>
      <w:r w:rsidR="002B679D">
        <w:rPr>
          <w:rFonts w:ascii="Times New Roman" w:eastAsia="Times New Roman" w:hAnsi="Times New Roman" w:cs="Times New Roman"/>
          <w:lang w:eastAsia="en-AU"/>
        </w:rPr>
        <w:t xml:space="preserve"> would continue (where applicable) to be regulated by the </w:t>
      </w:r>
      <w:r w:rsidR="002B679D" w:rsidRPr="002B679D">
        <w:rPr>
          <w:rFonts w:ascii="Times New Roman" w:eastAsia="Times New Roman" w:hAnsi="Times New Roman" w:cs="Times New Roman"/>
          <w:i/>
          <w:lang w:eastAsia="en-AU"/>
        </w:rPr>
        <w:t>Privacy Act 1988</w:t>
      </w:r>
      <w:r w:rsidR="002B679D">
        <w:rPr>
          <w:rFonts w:ascii="Times New Roman" w:eastAsia="Times New Roman" w:hAnsi="Times New Roman" w:cs="Times New Roman"/>
          <w:lang w:eastAsia="en-AU"/>
        </w:rPr>
        <w:t xml:space="preserve"> as well as applicable state or territory privacy laws.</w:t>
      </w:r>
    </w:p>
    <w:p w14:paraId="07B82831" w14:textId="3F146DD1" w:rsidR="0029717D" w:rsidRDefault="0029717D" w:rsidP="00602D95">
      <w:pPr>
        <w:shd w:val="clear" w:color="auto" w:fill="FFFFFF"/>
        <w:spacing w:after="0" w:line="240" w:lineRule="auto"/>
        <w:rPr>
          <w:rFonts w:ascii="Times New Roman" w:eastAsia="Times New Roman" w:hAnsi="Times New Roman" w:cs="Times New Roman"/>
          <w:lang w:eastAsia="en-AU"/>
        </w:rPr>
      </w:pPr>
    </w:p>
    <w:p w14:paraId="54C78557" w14:textId="11BBA53D" w:rsidR="008C6BC1" w:rsidRDefault="007944C1" w:rsidP="00602D95">
      <w:pPr>
        <w:shd w:val="clear" w:color="auto" w:fill="FFFFFF"/>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In addition to </w:t>
      </w:r>
      <w:r w:rsidR="00BD5FCA">
        <w:rPr>
          <w:rFonts w:ascii="Times New Roman" w:eastAsia="Times New Roman" w:hAnsi="Times New Roman" w:cs="Times New Roman"/>
          <w:lang w:eastAsia="en-AU"/>
        </w:rPr>
        <w:t xml:space="preserve">easing unnecessary regulatory burden </w:t>
      </w:r>
      <w:r w:rsidR="00DD3B67">
        <w:rPr>
          <w:rFonts w:ascii="Times New Roman" w:eastAsia="Times New Roman" w:hAnsi="Times New Roman" w:cs="Times New Roman"/>
          <w:lang w:eastAsia="en-AU"/>
        </w:rPr>
        <w:t>associated with</w:t>
      </w:r>
      <w:r w:rsidR="00BD5FCA">
        <w:rPr>
          <w:rFonts w:ascii="Times New Roman" w:eastAsia="Times New Roman" w:hAnsi="Times New Roman" w:cs="Times New Roman"/>
          <w:lang w:eastAsia="en-AU"/>
        </w:rPr>
        <w:t xml:space="preserve"> </w:t>
      </w:r>
      <w:r w:rsidR="00D35664">
        <w:rPr>
          <w:rFonts w:ascii="Times New Roman" w:eastAsia="Times New Roman" w:hAnsi="Times New Roman" w:cs="Times New Roman"/>
          <w:lang w:eastAsia="en-AU"/>
        </w:rPr>
        <w:t xml:space="preserve">such </w:t>
      </w:r>
      <w:r w:rsidR="00BD5FCA">
        <w:rPr>
          <w:rFonts w:ascii="Times New Roman" w:eastAsia="Times New Roman" w:hAnsi="Times New Roman" w:cs="Times New Roman"/>
          <w:lang w:eastAsia="en-AU"/>
        </w:rPr>
        <w:t xml:space="preserve">low risk software, the Amendment Determination is also intended to provide clarity in relation to </w:t>
      </w:r>
      <w:r w:rsidR="00DD3B67">
        <w:rPr>
          <w:rFonts w:ascii="Times New Roman" w:eastAsia="Times New Roman" w:hAnsi="Times New Roman" w:cs="Times New Roman"/>
          <w:lang w:eastAsia="en-AU"/>
        </w:rPr>
        <w:t xml:space="preserve">the regulatory status of </w:t>
      </w:r>
      <w:r w:rsidR="006608A1">
        <w:rPr>
          <w:rFonts w:ascii="Times New Roman" w:eastAsia="Times New Roman" w:hAnsi="Times New Roman" w:cs="Times New Roman"/>
          <w:lang w:eastAsia="en-AU"/>
        </w:rPr>
        <w:t xml:space="preserve">certain </w:t>
      </w:r>
      <w:r w:rsidR="00BD5FCA">
        <w:rPr>
          <w:rFonts w:ascii="Times New Roman" w:eastAsia="Times New Roman" w:hAnsi="Times New Roman" w:cs="Times New Roman"/>
          <w:lang w:eastAsia="en-AU"/>
        </w:rPr>
        <w:t xml:space="preserve">software that </w:t>
      </w:r>
      <w:r w:rsidR="006A6C7C">
        <w:rPr>
          <w:rFonts w:ascii="Times New Roman" w:eastAsia="Times New Roman" w:hAnsi="Times New Roman" w:cs="Times New Roman"/>
          <w:lang w:eastAsia="en-AU"/>
        </w:rPr>
        <w:t>does not, or is</w:t>
      </w:r>
      <w:r w:rsidR="00BD5FCA">
        <w:rPr>
          <w:rFonts w:ascii="Times New Roman" w:eastAsia="Times New Roman" w:hAnsi="Times New Roman" w:cs="Times New Roman"/>
          <w:lang w:eastAsia="en-AU"/>
        </w:rPr>
        <w:t xml:space="preserve"> unlikely to</w:t>
      </w:r>
      <w:r w:rsidR="006A6C7C">
        <w:rPr>
          <w:rFonts w:ascii="Times New Roman" w:eastAsia="Times New Roman" w:hAnsi="Times New Roman" w:cs="Times New Roman"/>
          <w:lang w:eastAsia="en-AU"/>
        </w:rPr>
        <w:t>,</w:t>
      </w:r>
      <w:r w:rsidR="00BD5FCA">
        <w:rPr>
          <w:rFonts w:ascii="Times New Roman" w:eastAsia="Times New Roman" w:hAnsi="Times New Roman" w:cs="Times New Roman"/>
          <w:lang w:eastAsia="en-AU"/>
        </w:rPr>
        <w:t xml:space="preserve"> meet the definition of </w:t>
      </w:r>
      <w:r w:rsidR="00156B58">
        <w:rPr>
          <w:rFonts w:ascii="Times New Roman" w:eastAsia="Times New Roman" w:hAnsi="Times New Roman" w:cs="Times New Roman"/>
          <w:lang w:eastAsia="en-AU"/>
        </w:rPr>
        <w:t xml:space="preserve">a </w:t>
      </w:r>
      <w:r w:rsidR="00BD5FCA">
        <w:rPr>
          <w:rFonts w:ascii="Times New Roman" w:eastAsia="Times New Roman" w:hAnsi="Times New Roman" w:cs="Times New Roman"/>
          <w:lang w:eastAsia="en-AU"/>
        </w:rPr>
        <w:t>medical device</w:t>
      </w:r>
      <w:r w:rsidR="00F846BB">
        <w:rPr>
          <w:rFonts w:ascii="Times New Roman" w:eastAsia="Times New Roman" w:hAnsi="Times New Roman" w:cs="Times New Roman"/>
          <w:lang w:eastAsia="en-AU"/>
        </w:rPr>
        <w:t xml:space="preserve"> under the Act</w:t>
      </w:r>
      <w:r w:rsidR="006608A1">
        <w:rPr>
          <w:rFonts w:ascii="Times New Roman" w:eastAsia="Times New Roman" w:hAnsi="Times New Roman" w:cs="Times New Roman"/>
          <w:lang w:eastAsia="en-AU"/>
        </w:rPr>
        <w:t>.  This includes software that simply enabl</w:t>
      </w:r>
      <w:r w:rsidR="00156B58">
        <w:rPr>
          <w:rFonts w:ascii="Times New Roman" w:eastAsia="Times New Roman" w:hAnsi="Times New Roman" w:cs="Times New Roman"/>
          <w:lang w:eastAsia="en-AU"/>
        </w:rPr>
        <w:t>es</w:t>
      </w:r>
      <w:r w:rsidR="006608A1">
        <w:rPr>
          <w:rFonts w:ascii="Times New Roman" w:eastAsia="Times New Roman" w:hAnsi="Times New Roman" w:cs="Times New Roman"/>
          <w:lang w:eastAsia="en-AU"/>
        </w:rPr>
        <w:t xml:space="preserve"> communications (such as new item 14F) or facilitat</w:t>
      </w:r>
      <w:r w:rsidR="00156B58">
        <w:rPr>
          <w:rFonts w:ascii="Times New Roman" w:eastAsia="Times New Roman" w:hAnsi="Times New Roman" w:cs="Times New Roman"/>
          <w:lang w:eastAsia="en-AU"/>
        </w:rPr>
        <w:t>es</w:t>
      </w:r>
      <w:r w:rsidR="006608A1">
        <w:rPr>
          <w:rFonts w:ascii="Times New Roman" w:eastAsia="Times New Roman" w:hAnsi="Times New Roman" w:cs="Times New Roman"/>
          <w:lang w:eastAsia="en-AU"/>
        </w:rPr>
        <w:t xml:space="preserve"> administrative processes (such as new item 14G).</w:t>
      </w:r>
    </w:p>
    <w:p w14:paraId="483D77AD" w14:textId="1E294DB6" w:rsidR="002E196B" w:rsidRDefault="002E196B" w:rsidP="00602D95">
      <w:pPr>
        <w:shd w:val="clear" w:color="auto" w:fill="FFFFFF"/>
        <w:spacing w:after="0" w:line="240" w:lineRule="auto"/>
        <w:rPr>
          <w:rFonts w:ascii="Times New Roman" w:eastAsia="Times New Roman" w:hAnsi="Times New Roman" w:cs="Times New Roman"/>
          <w:lang w:eastAsia="en-AU"/>
        </w:rPr>
      </w:pPr>
    </w:p>
    <w:p w14:paraId="31970A45" w14:textId="77777777" w:rsidR="002E196B" w:rsidRDefault="002E196B" w:rsidP="00602D95">
      <w:pPr>
        <w:shd w:val="clear" w:color="auto" w:fill="FFFFFF"/>
        <w:spacing w:after="0" w:line="240" w:lineRule="auto"/>
        <w:rPr>
          <w:rFonts w:ascii="Times New Roman" w:eastAsia="Times New Roman" w:hAnsi="Times New Roman" w:cs="Times New Roman"/>
          <w:lang w:eastAsia="en-AU"/>
        </w:rPr>
      </w:pPr>
    </w:p>
    <w:p w14:paraId="0C3DC68C" w14:textId="1E613B3B" w:rsidR="002C52FA" w:rsidRPr="002C52FA" w:rsidRDefault="002C52FA" w:rsidP="002C52FA">
      <w:pPr>
        <w:autoSpaceDE w:val="0"/>
        <w:autoSpaceDN w:val="0"/>
        <w:adjustRightInd w:val="0"/>
        <w:spacing w:after="0" w:line="240" w:lineRule="auto"/>
        <w:rPr>
          <w:rFonts w:ascii="Times New Roman" w:eastAsia="Times New Roman" w:hAnsi="Times New Roman" w:cs="Times New Roman"/>
          <w:b/>
          <w:lang w:eastAsia="en-AU"/>
        </w:rPr>
      </w:pPr>
      <w:r w:rsidRPr="002C52FA">
        <w:rPr>
          <w:rFonts w:ascii="Times New Roman" w:eastAsia="Times New Roman" w:hAnsi="Times New Roman" w:cs="Times New Roman"/>
          <w:b/>
          <w:lang w:eastAsia="en-AU"/>
        </w:rPr>
        <w:t>Background</w:t>
      </w:r>
    </w:p>
    <w:p w14:paraId="38F6973E" w14:textId="77777777" w:rsidR="002C52FA" w:rsidRPr="002C52FA" w:rsidRDefault="002C52FA" w:rsidP="002C52FA">
      <w:pPr>
        <w:autoSpaceDE w:val="0"/>
        <w:autoSpaceDN w:val="0"/>
        <w:adjustRightInd w:val="0"/>
        <w:spacing w:after="0" w:line="240" w:lineRule="auto"/>
        <w:rPr>
          <w:rFonts w:ascii="Tms Rmn" w:eastAsia="Times New Roman" w:hAnsi="Tms Rmn" w:cs="Times New Roman"/>
          <w:lang w:eastAsia="en-AU"/>
        </w:rPr>
      </w:pPr>
    </w:p>
    <w:p w14:paraId="6714E9B5" w14:textId="3CBAF452" w:rsidR="002C52FA" w:rsidRPr="002C52FA" w:rsidRDefault="00006608" w:rsidP="002C52FA">
      <w:pPr>
        <w:autoSpaceDE w:val="0"/>
        <w:autoSpaceDN w:val="0"/>
        <w:adjustRightInd w:val="0"/>
        <w:spacing w:after="0" w:line="240" w:lineRule="auto"/>
        <w:rPr>
          <w:rFonts w:ascii="Tms Rmn" w:eastAsia="Times New Roman" w:hAnsi="Tms Rmn" w:cs="Times New Roman"/>
          <w:lang w:eastAsia="en-AU"/>
        </w:rPr>
      </w:pPr>
      <w:r>
        <w:rPr>
          <w:rFonts w:ascii="Tms Rmn" w:eastAsia="Times New Roman" w:hAnsi="Tms Rmn" w:cs="Times New Roman"/>
          <w:lang w:eastAsia="en-AU"/>
        </w:rPr>
        <w:t xml:space="preserve">Medical devices are regulated in Australia </w:t>
      </w:r>
      <w:r w:rsidR="00156B58">
        <w:rPr>
          <w:rFonts w:ascii="Tms Rmn" w:eastAsia="Times New Roman" w:hAnsi="Tms Rmn" w:cs="Times New Roman"/>
          <w:lang w:eastAsia="en-AU"/>
        </w:rPr>
        <w:t>as therapeutic goods by the TGA</w:t>
      </w:r>
      <w:r>
        <w:rPr>
          <w:rFonts w:ascii="Tms Rmn" w:eastAsia="Times New Roman" w:hAnsi="Tms Rmn" w:cs="Times New Roman"/>
          <w:lang w:eastAsia="en-AU"/>
        </w:rPr>
        <w:t xml:space="preserve">.  Section 41BD of the Act provides a definition </w:t>
      </w:r>
      <w:r w:rsidR="00810ED7">
        <w:rPr>
          <w:rFonts w:ascii="Tms Rmn" w:eastAsia="Times New Roman" w:hAnsi="Tms Rmn" w:cs="Times New Roman"/>
          <w:lang w:eastAsia="en-AU"/>
        </w:rPr>
        <w:t>of</w:t>
      </w:r>
      <w:r>
        <w:rPr>
          <w:rFonts w:ascii="Tms Rmn" w:eastAsia="Times New Roman" w:hAnsi="Tms Rmn" w:cs="Times New Roman"/>
          <w:lang w:eastAsia="en-AU"/>
        </w:rPr>
        <w:t xml:space="preserve"> </w:t>
      </w:r>
      <w:r w:rsidR="00156B58">
        <w:rPr>
          <w:rFonts w:ascii="Tms Rmn" w:eastAsia="Times New Roman" w:hAnsi="Tms Rmn" w:cs="Times New Roman"/>
          <w:lang w:eastAsia="en-AU"/>
        </w:rPr>
        <w:t>‘</w:t>
      </w:r>
      <w:r>
        <w:rPr>
          <w:rFonts w:ascii="Tms Rmn" w:eastAsia="Times New Roman" w:hAnsi="Tms Rmn" w:cs="Times New Roman"/>
          <w:lang w:eastAsia="en-AU"/>
        </w:rPr>
        <w:t>medical device</w:t>
      </w:r>
      <w:r w:rsidR="00156B58">
        <w:rPr>
          <w:rFonts w:ascii="Tms Rmn" w:eastAsia="Times New Roman" w:hAnsi="Tms Rmn" w:cs="Times New Roman"/>
          <w:lang w:eastAsia="en-AU"/>
        </w:rPr>
        <w:t>’</w:t>
      </w:r>
      <w:r>
        <w:rPr>
          <w:rFonts w:ascii="Tms Rmn" w:eastAsia="Times New Roman" w:hAnsi="Tms Rmn" w:cs="Times New Roman"/>
          <w:lang w:eastAsia="en-AU"/>
        </w:rPr>
        <w:t xml:space="preserve"> </w:t>
      </w:r>
      <w:r w:rsidR="00810ED7">
        <w:rPr>
          <w:rFonts w:ascii="Tms Rmn" w:eastAsia="Times New Roman" w:hAnsi="Tms Rmn" w:cs="Times New Roman"/>
          <w:lang w:eastAsia="en-AU"/>
        </w:rPr>
        <w:t>which</w:t>
      </w:r>
      <w:r>
        <w:rPr>
          <w:rFonts w:ascii="Tms Rmn" w:eastAsia="Times New Roman" w:hAnsi="Tms Rmn" w:cs="Times New Roman"/>
          <w:lang w:eastAsia="en-AU"/>
        </w:rPr>
        <w:t xml:space="preserve"> includes software that is </w:t>
      </w:r>
      <w:r w:rsidR="00810ED7">
        <w:rPr>
          <w:rFonts w:ascii="Tms Rmn" w:eastAsia="Times New Roman" w:hAnsi="Tms Rmn" w:cs="Times New Roman"/>
          <w:lang w:eastAsia="en-AU"/>
        </w:rPr>
        <w:t xml:space="preserve">intended by the person under whose name the software is supplied to be used for the purpose of diagnosis, prevention, monitoring, prediction, prognosis, treatment or alleviation of disease (among other purposes).  The definition of medical device also extends to software that is necessary for the proper application of medical devices.  </w:t>
      </w:r>
      <w:r w:rsidR="00932AB5">
        <w:rPr>
          <w:rFonts w:ascii="Tms Rmn" w:eastAsia="Times New Roman" w:hAnsi="Tms Rmn" w:cs="Times New Roman"/>
          <w:lang w:eastAsia="en-AU"/>
        </w:rPr>
        <w:t>As such</w:t>
      </w:r>
      <w:r w:rsidR="00810ED7">
        <w:rPr>
          <w:rFonts w:ascii="Tms Rmn" w:eastAsia="Times New Roman" w:hAnsi="Tms Rmn" w:cs="Times New Roman"/>
          <w:lang w:eastAsia="en-AU"/>
        </w:rPr>
        <w:t>, t</w:t>
      </w:r>
      <w:r w:rsidR="002C52FA" w:rsidRPr="002C52FA">
        <w:rPr>
          <w:rFonts w:ascii="Tms Rmn" w:eastAsia="Times New Roman" w:hAnsi="Tms Rmn" w:cs="Times New Roman"/>
          <w:lang w:eastAsia="en-AU"/>
        </w:rPr>
        <w:t>he TGA regulates software-based medical devices</w:t>
      </w:r>
      <w:r w:rsidR="00932AB5">
        <w:rPr>
          <w:rFonts w:ascii="Tms Rmn" w:eastAsia="Times New Roman" w:hAnsi="Tms Rmn" w:cs="Times New Roman"/>
          <w:lang w:eastAsia="en-AU"/>
        </w:rPr>
        <w:t>,</w:t>
      </w:r>
      <w:r w:rsidR="002C52FA" w:rsidRPr="002C52FA">
        <w:rPr>
          <w:rFonts w:ascii="Tms Rmn" w:eastAsia="Times New Roman" w:hAnsi="Tms Rmn" w:cs="Times New Roman"/>
          <w:lang w:eastAsia="en-AU"/>
        </w:rPr>
        <w:t xml:space="preserve"> including software that functions as a medical device in its own right, and software that controls or interacts with a medical device either from within the device or externally.  If a product is a medical device, it must </w:t>
      </w:r>
      <w:r w:rsidR="00810ED7">
        <w:rPr>
          <w:rFonts w:ascii="Tms Rmn" w:eastAsia="Times New Roman" w:hAnsi="Tms Rmn" w:cs="Times New Roman"/>
          <w:lang w:eastAsia="en-AU"/>
        </w:rPr>
        <w:t xml:space="preserve">as a general rule </w:t>
      </w:r>
      <w:r w:rsidR="002C52FA" w:rsidRPr="002C52FA">
        <w:rPr>
          <w:rFonts w:ascii="Tms Rmn" w:eastAsia="Times New Roman" w:hAnsi="Tms Rmn" w:cs="Times New Roman"/>
          <w:lang w:eastAsia="en-AU"/>
        </w:rPr>
        <w:t>be included in the Australian Register of Therapeutic Goods (“</w:t>
      </w:r>
      <w:r w:rsidR="00810ED7">
        <w:rPr>
          <w:rFonts w:ascii="Tms Rmn" w:eastAsia="Times New Roman" w:hAnsi="Tms Rmn" w:cs="Times New Roman"/>
          <w:lang w:eastAsia="en-AU"/>
        </w:rPr>
        <w:t>the Register</w:t>
      </w:r>
      <w:r w:rsidR="002C52FA" w:rsidRPr="002C52FA">
        <w:rPr>
          <w:rFonts w:ascii="Tms Rmn" w:eastAsia="Times New Roman" w:hAnsi="Tms Rmn" w:cs="Times New Roman"/>
          <w:lang w:eastAsia="en-AU"/>
        </w:rPr>
        <w:t>”) before it can be legally supplied in Australia.</w:t>
      </w:r>
    </w:p>
    <w:p w14:paraId="01E37444" w14:textId="77777777" w:rsidR="006013B9" w:rsidRDefault="006013B9" w:rsidP="002C52FA">
      <w:pPr>
        <w:autoSpaceDE w:val="0"/>
        <w:autoSpaceDN w:val="0"/>
        <w:adjustRightInd w:val="0"/>
        <w:spacing w:after="0" w:line="240" w:lineRule="auto"/>
        <w:rPr>
          <w:rFonts w:ascii="Tms Rmn" w:eastAsia="Times New Roman" w:hAnsi="Tms Rmn" w:cs="Times New Roman"/>
          <w:lang w:eastAsia="en-AU"/>
        </w:rPr>
      </w:pPr>
    </w:p>
    <w:p w14:paraId="70C0C1D7" w14:textId="1095C0C9" w:rsidR="00ED31B2" w:rsidRDefault="002C52FA" w:rsidP="002C52FA">
      <w:pPr>
        <w:autoSpaceDE w:val="0"/>
        <w:autoSpaceDN w:val="0"/>
        <w:adjustRightInd w:val="0"/>
        <w:spacing w:after="0" w:line="240" w:lineRule="auto"/>
        <w:rPr>
          <w:rFonts w:ascii="Tms Rmn" w:eastAsia="Times New Roman" w:hAnsi="Tms Rmn" w:cs="Times New Roman"/>
          <w:lang w:eastAsia="en-AU"/>
        </w:rPr>
      </w:pPr>
      <w:r w:rsidRPr="002C52FA">
        <w:rPr>
          <w:rFonts w:ascii="Tms Rmn" w:eastAsia="Times New Roman" w:hAnsi="Tms Rmn" w:cs="Times New Roman"/>
          <w:lang w:eastAsia="en-AU"/>
        </w:rPr>
        <w:lastRenderedPageBreak/>
        <w:t xml:space="preserve">Rapid innovation in technology </w:t>
      </w:r>
      <w:r w:rsidR="00A046E1">
        <w:rPr>
          <w:rFonts w:ascii="Tms Rmn" w:eastAsia="Times New Roman" w:hAnsi="Tms Rmn" w:cs="Times New Roman"/>
          <w:lang w:eastAsia="en-AU"/>
        </w:rPr>
        <w:t xml:space="preserve">in recent years </w:t>
      </w:r>
      <w:r w:rsidRPr="002C52FA">
        <w:rPr>
          <w:rFonts w:ascii="Tms Rmn" w:eastAsia="Times New Roman" w:hAnsi="Tms Rmn" w:cs="Times New Roman"/>
          <w:lang w:eastAsia="en-AU"/>
        </w:rPr>
        <w:t>has</w:t>
      </w:r>
      <w:r w:rsidR="00BA64EB">
        <w:rPr>
          <w:rFonts w:ascii="Tms Rmn" w:eastAsia="Times New Roman" w:hAnsi="Tms Rmn" w:cs="Times New Roman"/>
          <w:lang w:eastAsia="en-AU"/>
        </w:rPr>
        <w:t xml:space="preserve"> lowered costs and </w:t>
      </w:r>
      <w:r w:rsidR="00A046E1">
        <w:rPr>
          <w:rFonts w:ascii="Tms Rmn" w:eastAsia="Times New Roman" w:hAnsi="Tms Rmn" w:cs="Times New Roman"/>
          <w:lang w:eastAsia="en-AU"/>
        </w:rPr>
        <w:t xml:space="preserve">enabled widespread consumer </w:t>
      </w:r>
      <w:r w:rsidR="00BA64EB">
        <w:rPr>
          <w:rFonts w:ascii="Tms Rmn" w:eastAsia="Times New Roman" w:hAnsi="Tms Rmn" w:cs="Times New Roman"/>
          <w:lang w:eastAsia="en-AU"/>
        </w:rPr>
        <w:t xml:space="preserve">access to </w:t>
      </w:r>
      <w:r w:rsidR="00A046E1">
        <w:rPr>
          <w:rFonts w:ascii="Tms Rmn" w:eastAsia="Times New Roman" w:hAnsi="Tms Rmn" w:cs="Times New Roman"/>
          <w:lang w:eastAsia="en-AU"/>
        </w:rPr>
        <w:t xml:space="preserve">the internet and </w:t>
      </w:r>
      <w:r w:rsidR="00BA64EB">
        <w:rPr>
          <w:rFonts w:ascii="Tms Rmn" w:eastAsia="Times New Roman" w:hAnsi="Tms Rmn" w:cs="Times New Roman"/>
          <w:lang w:eastAsia="en-AU"/>
        </w:rPr>
        <w:t>powerful computing platforms</w:t>
      </w:r>
      <w:r w:rsidR="00411FB3">
        <w:rPr>
          <w:rFonts w:ascii="Tms Rmn" w:eastAsia="Times New Roman" w:hAnsi="Tms Rmn" w:cs="Times New Roman"/>
          <w:lang w:eastAsia="en-AU"/>
        </w:rPr>
        <w:t xml:space="preserve">.  These advancements have increased the </w:t>
      </w:r>
      <w:r w:rsidR="00A046E1">
        <w:rPr>
          <w:rFonts w:ascii="Tms Rmn" w:eastAsia="Times New Roman" w:hAnsi="Tms Rmn" w:cs="Times New Roman"/>
          <w:lang w:eastAsia="en-AU"/>
        </w:rPr>
        <w:t xml:space="preserve">number and diversity </w:t>
      </w:r>
      <w:r w:rsidR="00411FB3">
        <w:rPr>
          <w:rFonts w:ascii="Tms Rmn" w:eastAsia="Times New Roman" w:hAnsi="Tms Rmn" w:cs="Times New Roman"/>
          <w:lang w:eastAsia="en-AU"/>
        </w:rPr>
        <w:t xml:space="preserve">of </w:t>
      </w:r>
      <w:r w:rsidR="00BA64EB">
        <w:rPr>
          <w:rFonts w:ascii="Tms Rmn" w:eastAsia="Times New Roman" w:hAnsi="Tms Rmn" w:cs="Times New Roman"/>
          <w:lang w:eastAsia="en-AU"/>
        </w:rPr>
        <w:t xml:space="preserve">software applications </w:t>
      </w:r>
      <w:r w:rsidR="00411FB3">
        <w:rPr>
          <w:rFonts w:ascii="Tms Rmn" w:eastAsia="Times New Roman" w:hAnsi="Tms Rmn" w:cs="Times New Roman"/>
          <w:lang w:eastAsia="en-AU"/>
        </w:rPr>
        <w:t xml:space="preserve">in the health field, including software that is </w:t>
      </w:r>
      <w:r w:rsidRPr="002C52FA">
        <w:rPr>
          <w:rFonts w:ascii="Tms Rmn" w:eastAsia="Times New Roman" w:hAnsi="Tms Rmn" w:cs="Times New Roman"/>
          <w:lang w:eastAsia="en-AU"/>
        </w:rPr>
        <w:t>able to inform, drive or replace clinical decisions, or directly provide therapy to individual</w:t>
      </w:r>
      <w:r w:rsidR="00BA64EB">
        <w:rPr>
          <w:rFonts w:ascii="Tms Rmn" w:eastAsia="Times New Roman" w:hAnsi="Tms Rmn" w:cs="Times New Roman"/>
          <w:lang w:eastAsia="en-AU"/>
        </w:rPr>
        <w:t>s</w:t>
      </w:r>
      <w:r w:rsidRPr="002C52FA">
        <w:rPr>
          <w:rFonts w:ascii="Tms Rmn" w:eastAsia="Times New Roman" w:hAnsi="Tms Rmn" w:cs="Times New Roman"/>
          <w:lang w:eastAsia="en-AU"/>
        </w:rPr>
        <w:t>.</w:t>
      </w:r>
      <w:r w:rsidR="00ED0851" w:rsidRPr="00ED0851">
        <w:rPr>
          <w:rFonts w:ascii="Tms Rmn" w:eastAsia="Times New Roman" w:hAnsi="Tms Rmn" w:cs="Times New Roman"/>
          <w:lang w:eastAsia="en-AU"/>
        </w:rPr>
        <w:t xml:space="preserve"> </w:t>
      </w:r>
      <w:r w:rsidR="00ED0851">
        <w:rPr>
          <w:rFonts w:ascii="Tms Rmn" w:eastAsia="Times New Roman" w:hAnsi="Tms Rmn" w:cs="Times New Roman"/>
          <w:lang w:eastAsia="en-AU"/>
        </w:rPr>
        <w:t xml:space="preserve"> P</w:t>
      </w:r>
      <w:r w:rsidR="00ED0851" w:rsidRPr="002C52FA">
        <w:rPr>
          <w:rFonts w:ascii="Tms Rmn" w:eastAsia="Times New Roman" w:hAnsi="Tms Rmn" w:cs="Times New Roman"/>
          <w:lang w:eastAsia="en-AU"/>
        </w:rPr>
        <w:t xml:space="preserve">ersonal devices </w:t>
      </w:r>
      <w:r w:rsidR="00ED0851">
        <w:rPr>
          <w:rFonts w:ascii="Tms Rmn" w:eastAsia="Times New Roman" w:hAnsi="Tms Rmn" w:cs="Times New Roman"/>
          <w:lang w:eastAsia="en-AU"/>
        </w:rPr>
        <w:t>such as</w:t>
      </w:r>
      <w:r w:rsidR="00ED0851" w:rsidRPr="002C52FA">
        <w:rPr>
          <w:rFonts w:ascii="Tms Rmn" w:eastAsia="Times New Roman" w:hAnsi="Tms Rmn" w:cs="Times New Roman"/>
          <w:lang w:eastAsia="en-AU"/>
        </w:rPr>
        <w:t xml:space="preserve"> smartphones, wearables and tablets </w:t>
      </w:r>
      <w:r w:rsidR="00ED0851">
        <w:rPr>
          <w:rFonts w:ascii="Tms Rmn" w:eastAsia="Times New Roman" w:hAnsi="Tms Rmn" w:cs="Times New Roman"/>
          <w:lang w:eastAsia="en-AU"/>
        </w:rPr>
        <w:t>have become</w:t>
      </w:r>
      <w:r w:rsidR="00ED0851" w:rsidRPr="002C52FA">
        <w:rPr>
          <w:rFonts w:ascii="Tms Rmn" w:eastAsia="Times New Roman" w:hAnsi="Tms Rmn" w:cs="Times New Roman"/>
          <w:lang w:eastAsia="en-AU"/>
        </w:rPr>
        <w:t xml:space="preserve"> ubiquitous, </w:t>
      </w:r>
      <w:r w:rsidR="00A046E1">
        <w:rPr>
          <w:rFonts w:ascii="Tms Rmn" w:eastAsia="Times New Roman" w:hAnsi="Tms Rmn" w:cs="Times New Roman"/>
          <w:lang w:eastAsia="en-AU"/>
        </w:rPr>
        <w:t xml:space="preserve">together with lower cost and enormously increased communications bandwidth, </w:t>
      </w:r>
      <w:r w:rsidR="00773331" w:rsidRPr="00773331">
        <w:rPr>
          <w:rFonts w:ascii="Tms Rmn" w:eastAsia="Times New Roman" w:hAnsi="Tms Rmn" w:cs="Times New Roman"/>
          <w:lang w:eastAsia="en-AU"/>
        </w:rPr>
        <w:t xml:space="preserve">which </w:t>
      </w:r>
      <w:r w:rsidR="00A046E1" w:rsidRPr="00773331">
        <w:rPr>
          <w:rFonts w:ascii="Tms Rmn" w:eastAsia="Times New Roman" w:hAnsi="Tms Rmn" w:cs="Times New Roman"/>
          <w:lang w:eastAsia="en-AU"/>
        </w:rPr>
        <w:t>have established digital technology as an essential part of everyday infrastructure.</w:t>
      </w:r>
    </w:p>
    <w:p w14:paraId="7EE883BE" w14:textId="77777777" w:rsidR="00CE570B" w:rsidRDefault="00CE570B" w:rsidP="00CE570B">
      <w:pPr>
        <w:autoSpaceDE w:val="0"/>
        <w:autoSpaceDN w:val="0"/>
        <w:adjustRightInd w:val="0"/>
        <w:spacing w:after="0" w:line="240" w:lineRule="auto"/>
        <w:rPr>
          <w:rFonts w:ascii="Times New Roman" w:eastAsia="Times New Roman" w:hAnsi="Times New Roman" w:cs="Times New Roman"/>
          <w:lang w:eastAsia="en-AU"/>
        </w:rPr>
      </w:pPr>
    </w:p>
    <w:p w14:paraId="6AB0019B" w14:textId="00D9C2A1" w:rsidR="00CE570B" w:rsidRDefault="00CE570B" w:rsidP="00CE570B">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 </w:t>
      </w:r>
      <w:r w:rsidR="0050462E">
        <w:rPr>
          <w:rFonts w:ascii="Times New Roman" w:eastAsia="Times New Roman" w:hAnsi="Times New Roman" w:cs="Times New Roman"/>
          <w:lang w:eastAsia="en-AU"/>
        </w:rPr>
        <w:t>increasing</w:t>
      </w:r>
      <w:r w:rsidR="0050462E" w:rsidRPr="002C52FA">
        <w:rPr>
          <w:rFonts w:ascii="Times New Roman" w:eastAsia="Times New Roman" w:hAnsi="Times New Roman" w:cs="Times New Roman"/>
          <w:lang w:eastAsia="en-AU"/>
        </w:rPr>
        <w:t xml:space="preserve"> </w:t>
      </w:r>
      <w:r w:rsidRPr="002C52FA">
        <w:rPr>
          <w:rFonts w:ascii="Times New Roman" w:eastAsia="Times New Roman" w:hAnsi="Times New Roman" w:cs="Times New Roman"/>
          <w:lang w:eastAsia="en-AU"/>
        </w:rPr>
        <w:t xml:space="preserve">use of software and </w:t>
      </w:r>
      <w:r w:rsidR="0050462E">
        <w:rPr>
          <w:rFonts w:ascii="Times New Roman" w:eastAsia="Times New Roman" w:hAnsi="Times New Roman" w:cs="Times New Roman"/>
          <w:lang w:eastAsia="en-AU"/>
        </w:rPr>
        <w:t xml:space="preserve">digital </w:t>
      </w:r>
      <w:r w:rsidRPr="002C52FA">
        <w:rPr>
          <w:rFonts w:ascii="Times New Roman" w:eastAsia="Times New Roman" w:hAnsi="Times New Roman" w:cs="Times New Roman"/>
          <w:lang w:eastAsia="en-AU"/>
        </w:rPr>
        <w:t>technology in the health sector</w:t>
      </w:r>
      <w:r>
        <w:rPr>
          <w:rFonts w:ascii="Times New Roman" w:eastAsia="Times New Roman" w:hAnsi="Times New Roman" w:cs="Times New Roman"/>
          <w:lang w:eastAsia="en-AU"/>
        </w:rPr>
        <w:t xml:space="preserve"> has </w:t>
      </w:r>
      <w:r w:rsidR="00A046E1">
        <w:rPr>
          <w:rFonts w:ascii="Times New Roman" w:eastAsia="Times New Roman" w:hAnsi="Times New Roman" w:cs="Times New Roman"/>
          <w:lang w:eastAsia="en-AU"/>
        </w:rPr>
        <w:t>accelerated</w:t>
      </w:r>
      <w:r>
        <w:rPr>
          <w:rFonts w:ascii="Times New Roman" w:eastAsia="Times New Roman" w:hAnsi="Times New Roman" w:cs="Times New Roman"/>
          <w:lang w:eastAsia="en-AU"/>
        </w:rPr>
        <w:t xml:space="preserve"> during the</w:t>
      </w:r>
      <w:r w:rsidRPr="002C52FA">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COVID-19 pandemic</w:t>
      </w:r>
      <w:r w:rsidRPr="002C52FA">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 xml:space="preserve"> </w:t>
      </w:r>
      <w:r w:rsidRPr="002C52FA">
        <w:rPr>
          <w:rFonts w:ascii="Times New Roman" w:eastAsia="Times New Roman" w:hAnsi="Times New Roman" w:cs="Times New Roman"/>
          <w:lang w:eastAsia="en-AU"/>
        </w:rPr>
        <w:t xml:space="preserve">Healthcare professionals and consumers have benefited from the significant investment and development of virtual and connected technologies that have </w:t>
      </w:r>
      <w:r>
        <w:rPr>
          <w:rFonts w:ascii="Times New Roman" w:eastAsia="Times New Roman" w:hAnsi="Times New Roman" w:cs="Times New Roman"/>
          <w:lang w:eastAsia="en-AU"/>
        </w:rPr>
        <w:t>enabled</w:t>
      </w:r>
      <w:r w:rsidRPr="002C52FA">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 xml:space="preserve">the </w:t>
      </w:r>
      <w:r w:rsidRPr="002C52FA">
        <w:rPr>
          <w:rFonts w:ascii="Times New Roman" w:eastAsia="Times New Roman" w:hAnsi="Times New Roman" w:cs="Times New Roman"/>
          <w:lang w:eastAsia="en-AU"/>
        </w:rPr>
        <w:t>deliver</w:t>
      </w:r>
      <w:r>
        <w:rPr>
          <w:rFonts w:ascii="Times New Roman" w:eastAsia="Times New Roman" w:hAnsi="Times New Roman" w:cs="Times New Roman"/>
          <w:lang w:eastAsia="en-AU"/>
        </w:rPr>
        <w:t xml:space="preserve">y of health services </w:t>
      </w:r>
      <w:r w:rsidRPr="00AF33C0">
        <w:rPr>
          <w:rFonts w:ascii="Times New Roman" w:eastAsia="Times New Roman" w:hAnsi="Times New Roman" w:cs="Times New Roman"/>
          <w:lang w:eastAsia="en-AU"/>
        </w:rPr>
        <w:t xml:space="preserve">in a COVID safe way.  A report released </w:t>
      </w:r>
      <w:r>
        <w:rPr>
          <w:rFonts w:ascii="Times New Roman" w:eastAsia="Times New Roman" w:hAnsi="Times New Roman" w:cs="Times New Roman"/>
          <w:lang w:eastAsia="en-AU"/>
        </w:rPr>
        <w:t xml:space="preserve">in 2020 </w:t>
      </w:r>
      <w:r w:rsidRPr="00AF33C0">
        <w:rPr>
          <w:rFonts w:ascii="Times New Roman" w:eastAsia="Times New Roman" w:hAnsi="Times New Roman" w:cs="Times New Roman"/>
          <w:lang w:eastAsia="en-AU"/>
        </w:rPr>
        <w:t xml:space="preserve">by ANDHealth </w:t>
      </w:r>
      <w:r>
        <w:rPr>
          <w:rFonts w:ascii="Times New Roman" w:eastAsia="Times New Roman" w:hAnsi="Times New Roman" w:cs="Times New Roman"/>
          <w:lang w:eastAsia="en-AU"/>
        </w:rPr>
        <w:t>titled ‘</w:t>
      </w:r>
      <w:r w:rsidRPr="00AF33C0">
        <w:rPr>
          <w:rFonts w:ascii="Times New Roman" w:eastAsia="Times New Roman" w:hAnsi="Times New Roman" w:cs="Times New Roman"/>
          <w:i/>
          <w:lang w:eastAsia="en-AU"/>
        </w:rPr>
        <w:t>Digital Health: the sleeping giant of Australia’s health technology industry</w:t>
      </w:r>
      <w:r>
        <w:rPr>
          <w:rFonts w:ascii="Times New Roman" w:eastAsia="Times New Roman" w:hAnsi="Times New Roman" w:cs="Times New Roman"/>
          <w:lang w:eastAsia="en-AU"/>
        </w:rPr>
        <w:t xml:space="preserve">’ </w:t>
      </w:r>
      <w:r w:rsidRPr="00AF33C0">
        <w:rPr>
          <w:rFonts w:ascii="Times New Roman" w:eastAsia="Times New Roman" w:hAnsi="Times New Roman" w:cs="Times New Roman"/>
          <w:lang w:eastAsia="en-AU"/>
        </w:rPr>
        <w:t>confirms that the COVID-19 pandemic has led to greater adoption of digital health, increased acceptance among patients of new technologies</w:t>
      </w:r>
      <w:r>
        <w:rPr>
          <w:rFonts w:ascii="Times New Roman" w:eastAsia="Times New Roman" w:hAnsi="Times New Roman" w:cs="Times New Roman"/>
          <w:lang w:eastAsia="en-AU"/>
        </w:rPr>
        <w:t>,</w:t>
      </w:r>
      <w:r w:rsidRPr="00AF33C0">
        <w:rPr>
          <w:rFonts w:ascii="Times New Roman" w:eastAsia="Times New Roman" w:hAnsi="Times New Roman" w:cs="Times New Roman"/>
          <w:lang w:eastAsia="en-AU"/>
        </w:rPr>
        <w:t xml:space="preserve"> and more favourable regulatory and reimbursement environments.</w:t>
      </w:r>
      <w:r w:rsidRPr="00CE570B">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 xml:space="preserve"> </w:t>
      </w:r>
      <w:r w:rsidRPr="00ED3345">
        <w:rPr>
          <w:rFonts w:ascii="Times New Roman" w:eastAsia="Times New Roman" w:hAnsi="Times New Roman" w:cs="Times New Roman"/>
          <w:lang w:eastAsia="en-AU"/>
        </w:rPr>
        <w:t>ANDHealth’s survey of more than 300 high growth potential companies in the digital health sector indicated that many would need specialised support to navigate and enter the market, including in relation to regulatory approval of software-based medical devices and other 'digital medicines' and 'digital therapeutics'.</w:t>
      </w:r>
    </w:p>
    <w:p w14:paraId="57EA64EA" w14:textId="77777777" w:rsidR="00ED31B2" w:rsidRDefault="00ED31B2" w:rsidP="002C52FA">
      <w:pPr>
        <w:autoSpaceDE w:val="0"/>
        <w:autoSpaceDN w:val="0"/>
        <w:adjustRightInd w:val="0"/>
        <w:spacing w:after="0" w:line="240" w:lineRule="auto"/>
        <w:rPr>
          <w:rFonts w:ascii="Tms Rmn" w:eastAsia="Times New Roman" w:hAnsi="Tms Rmn" w:cs="Times New Roman"/>
          <w:lang w:eastAsia="en-AU"/>
        </w:rPr>
      </w:pPr>
    </w:p>
    <w:p w14:paraId="4E3F7E25" w14:textId="3D0C5AED" w:rsidR="00ED31B2" w:rsidRDefault="003B68F4" w:rsidP="002C52FA">
      <w:pPr>
        <w:autoSpaceDE w:val="0"/>
        <w:autoSpaceDN w:val="0"/>
        <w:adjustRightInd w:val="0"/>
        <w:spacing w:after="0" w:line="240" w:lineRule="auto"/>
        <w:rPr>
          <w:rFonts w:ascii="Tms Rmn" w:eastAsia="Times New Roman" w:hAnsi="Tms Rmn" w:cs="Times New Roman"/>
          <w:lang w:eastAsia="en-AU"/>
        </w:rPr>
      </w:pPr>
      <w:r>
        <w:rPr>
          <w:rFonts w:ascii="Tms Rmn" w:eastAsia="Times New Roman" w:hAnsi="Tms Rmn" w:cs="Times New Roman"/>
          <w:lang w:eastAsia="en-AU"/>
        </w:rPr>
        <w:t>T</w:t>
      </w:r>
      <w:r w:rsidR="00411FB3">
        <w:rPr>
          <w:rFonts w:ascii="Tms Rmn" w:eastAsia="Times New Roman" w:hAnsi="Tms Rmn" w:cs="Times New Roman"/>
          <w:lang w:eastAsia="en-AU"/>
        </w:rPr>
        <w:t>h</w:t>
      </w:r>
      <w:r w:rsidR="00ED0851">
        <w:rPr>
          <w:rFonts w:ascii="Tms Rmn" w:eastAsia="Times New Roman" w:hAnsi="Tms Rmn" w:cs="Times New Roman"/>
          <w:lang w:eastAsia="en-AU"/>
        </w:rPr>
        <w:t>e</w:t>
      </w:r>
      <w:r w:rsidR="00411FB3">
        <w:rPr>
          <w:rFonts w:ascii="Tms Rmn" w:eastAsia="Times New Roman" w:hAnsi="Tms Rmn" w:cs="Times New Roman"/>
          <w:lang w:eastAsia="en-AU"/>
        </w:rPr>
        <w:t xml:space="preserve"> digital health environment </w:t>
      </w:r>
      <w:r w:rsidR="00ED0851">
        <w:rPr>
          <w:rFonts w:ascii="Tms Rmn" w:eastAsia="Times New Roman" w:hAnsi="Tms Rmn" w:cs="Times New Roman"/>
          <w:lang w:eastAsia="en-AU"/>
        </w:rPr>
        <w:t xml:space="preserve">continues to evolve rapidly and the emergence of new software often crosses or blends traditional </w:t>
      </w:r>
      <w:r w:rsidR="00ED31B2">
        <w:rPr>
          <w:rFonts w:ascii="Tms Rmn" w:eastAsia="Times New Roman" w:hAnsi="Tms Rmn" w:cs="Times New Roman"/>
          <w:lang w:eastAsia="en-AU"/>
        </w:rPr>
        <w:t xml:space="preserve">definitions </w:t>
      </w:r>
      <w:r w:rsidR="00AB4548">
        <w:rPr>
          <w:rFonts w:ascii="Tms Rmn" w:eastAsia="Times New Roman" w:hAnsi="Tms Rmn" w:cs="Times New Roman"/>
          <w:lang w:eastAsia="en-AU"/>
        </w:rPr>
        <w:t xml:space="preserve">or </w:t>
      </w:r>
      <w:r w:rsidR="00ED0851">
        <w:rPr>
          <w:rFonts w:ascii="Tms Rmn" w:eastAsia="Times New Roman" w:hAnsi="Tms Rmn" w:cs="Times New Roman"/>
          <w:lang w:eastAsia="en-AU"/>
        </w:rPr>
        <w:t>understandings of medical devices and therapeutic goods.</w:t>
      </w:r>
      <w:r w:rsidR="00ED31B2">
        <w:rPr>
          <w:rFonts w:ascii="Tms Rmn" w:eastAsia="Times New Roman" w:hAnsi="Tms Rmn" w:cs="Times New Roman"/>
          <w:lang w:eastAsia="en-AU"/>
        </w:rPr>
        <w:t xml:space="preserve">  As a consequence, the boundary for regulated software is becoming more difficult to identify, and</w:t>
      </w:r>
      <w:r w:rsidR="00D35664">
        <w:rPr>
          <w:rFonts w:ascii="Tms Rmn" w:eastAsia="Times New Roman" w:hAnsi="Tms Rmn" w:cs="Times New Roman"/>
          <w:lang w:eastAsia="en-AU"/>
        </w:rPr>
        <w:t xml:space="preserve"> there is a need for</w:t>
      </w:r>
      <w:r w:rsidR="00ED31B2">
        <w:rPr>
          <w:rFonts w:ascii="Tms Rmn" w:eastAsia="Times New Roman" w:hAnsi="Tms Rmn" w:cs="Times New Roman"/>
          <w:lang w:eastAsia="en-AU"/>
        </w:rPr>
        <w:t xml:space="preserve"> regulators of therapeutic goods around the w</w:t>
      </w:r>
      <w:r w:rsidR="005658D3">
        <w:rPr>
          <w:rFonts w:ascii="Tms Rmn" w:eastAsia="Times New Roman" w:hAnsi="Tms Rmn" w:cs="Times New Roman"/>
          <w:lang w:eastAsia="en-AU"/>
        </w:rPr>
        <w:t>orld</w:t>
      </w:r>
      <w:r w:rsidR="00AB4548">
        <w:rPr>
          <w:rFonts w:ascii="Tms Rmn" w:eastAsia="Times New Roman" w:hAnsi="Tms Rmn" w:cs="Times New Roman"/>
          <w:lang w:eastAsia="en-AU"/>
        </w:rPr>
        <w:t>, including the TGA,</w:t>
      </w:r>
      <w:r w:rsidR="005658D3">
        <w:rPr>
          <w:rFonts w:ascii="Tms Rmn" w:eastAsia="Times New Roman" w:hAnsi="Tms Rmn" w:cs="Times New Roman"/>
          <w:lang w:eastAsia="en-AU"/>
        </w:rPr>
        <w:t xml:space="preserve"> to be more agile in </w:t>
      </w:r>
      <w:r w:rsidR="00ED31B2">
        <w:rPr>
          <w:rFonts w:ascii="Tms Rmn" w:eastAsia="Times New Roman" w:hAnsi="Tms Rmn" w:cs="Times New Roman"/>
          <w:lang w:eastAsia="en-AU"/>
        </w:rPr>
        <w:t>consider</w:t>
      </w:r>
      <w:r w:rsidR="005658D3">
        <w:rPr>
          <w:rFonts w:ascii="Tms Rmn" w:eastAsia="Times New Roman" w:hAnsi="Tms Rmn" w:cs="Times New Roman"/>
          <w:lang w:eastAsia="en-AU"/>
        </w:rPr>
        <w:t>ing</w:t>
      </w:r>
      <w:r w:rsidR="00ED31B2">
        <w:rPr>
          <w:rFonts w:ascii="Tms Rmn" w:eastAsia="Times New Roman" w:hAnsi="Tms Rmn" w:cs="Times New Roman"/>
          <w:lang w:eastAsia="en-AU"/>
        </w:rPr>
        <w:t xml:space="preserve"> or implement</w:t>
      </w:r>
      <w:r w:rsidR="005658D3">
        <w:rPr>
          <w:rFonts w:ascii="Tms Rmn" w:eastAsia="Times New Roman" w:hAnsi="Tms Rmn" w:cs="Times New Roman"/>
          <w:lang w:eastAsia="en-AU"/>
        </w:rPr>
        <w:t>ing</w:t>
      </w:r>
      <w:r w:rsidR="00ED31B2">
        <w:rPr>
          <w:rFonts w:ascii="Tms Rmn" w:eastAsia="Times New Roman" w:hAnsi="Tms Rmn" w:cs="Times New Roman"/>
          <w:lang w:eastAsia="en-AU"/>
        </w:rPr>
        <w:t xml:space="preserve"> change</w:t>
      </w:r>
      <w:r w:rsidR="005658D3">
        <w:rPr>
          <w:rFonts w:ascii="Tms Rmn" w:eastAsia="Times New Roman" w:hAnsi="Tms Rmn" w:cs="Times New Roman"/>
          <w:lang w:eastAsia="en-AU"/>
        </w:rPr>
        <w:t>s to address this uncertainty.</w:t>
      </w:r>
    </w:p>
    <w:p w14:paraId="3747DF9A" w14:textId="6047F1CA" w:rsidR="009D6F85" w:rsidRDefault="009D6F85" w:rsidP="002C52FA">
      <w:pPr>
        <w:autoSpaceDE w:val="0"/>
        <w:autoSpaceDN w:val="0"/>
        <w:adjustRightInd w:val="0"/>
        <w:spacing w:after="0" w:line="240" w:lineRule="auto"/>
        <w:rPr>
          <w:rFonts w:ascii="Times New Roman" w:eastAsia="Times New Roman" w:hAnsi="Times New Roman" w:cs="Times New Roman"/>
          <w:lang w:eastAsia="en-AU"/>
        </w:rPr>
      </w:pPr>
    </w:p>
    <w:p w14:paraId="5112BF68" w14:textId="5E944BC9" w:rsidR="00ED3345" w:rsidRDefault="00A02D42" w:rsidP="002C52FA">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T</w:t>
      </w:r>
      <w:r w:rsidR="00ED3345">
        <w:rPr>
          <w:rFonts w:ascii="Times New Roman" w:eastAsia="Times New Roman" w:hAnsi="Times New Roman" w:cs="Times New Roman"/>
          <w:lang w:eastAsia="en-AU"/>
        </w:rPr>
        <w:t xml:space="preserve">he Amendment Determination seeks to </w:t>
      </w:r>
      <w:r w:rsidR="00932AB5">
        <w:rPr>
          <w:rFonts w:ascii="Times New Roman" w:eastAsia="Times New Roman" w:hAnsi="Times New Roman" w:cs="Times New Roman"/>
          <w:lang w:eastAsia="en-AU"/>
        </w:rPr>
        <w:t xml:space="preserve">provide </w:t>
      </w:r>
      <w:r>
        <w:rPr>
          <w:rFonts w:ascii="Times New Roman" w:eastAsia="Times New Roman" w:hAnsi="Times New Roman" w:cs="Times New Roman"/>
          <w:lang w:eastAsia="en-AU"/>
        </w:rPr>
        <w:t xml:space="preserve">greater </w:t>
      </w:r>
      <w:r w:rsidR="00932AB5">
        <w:rPr>
          <w:rFonts w:ascii="Times New Roman" w:eastAsia="Times New Roman" w:hAnsi="Times New Roman" w:cs="Times New Roman"/>
          <w:lang w:eastAsia="en-AU"/>
        </w:rPr>
        <w:t xml:space="preserve">clarity </w:t>
      </w:r>
      <w:r>
        <w:rPr>
          <w:rFonts w:ascii="Times New Roman" w:eastAsia="Times New Roman" w:hAnsi="Times New Roman" w:cs="Times New Roman"/>
          <w:lang w:eastAsia="en-AU"/>
        </w:rPr>
        <w:t>around the</w:t>
      </w:r>
      <w:r w:rsidR="00ED3345">
        <w:rPr>
          <w:rFonts w:ascii="Times New Roman" w:eastAsia="Times New Roman" w:hAnsi="Times New Roman" w:cs="Times New Roman"/>
          <w:lang w:eastAsia="en-AU"/>
        </w:rPr>
        <w:t xml:space="preserve"> regulatory boundary for software-based products by clearly demarcating</w:t>
      </w:r>
      <w:r>
        <w:rPr>
          <w:rFonts w:ascii="Times New Roman" w:eastAsia="Times New Roman" w:hAnsi="Times New Roman" w:cs="Times New Roman"/>
          <w:lang w:eastAsia="en-AU"/>
        </w:rPr>
        <w:t xml:space="preserve"> and excluding</w:t>
      </w:r>
      <w:r w:rsidR="00ED3345">
        <w:rPr>
          <w:rFonts w:ascii="Times New Roman" w:eastAsia="Times New Roman" w:hAnsi="Times New Roman" w:cs="Times New Roman"/>
          <w:lang w:eastAsia="en-AU"/>
        </w:rPr>
        <w:t xml:space="preserve"> </w:t>
      </w:r>
      <w:r w:rsidR="00932AB5">
        <w:rPr>
          <w:rFonts w:ascii="Times New Roman" w:eastAsia="Times New Roman" w:hAnsi="Times New Roman" w:cs="Times New Roman"/>
          <w:lang w:eastAsia="en-AU"/>
        </w:rPr>
        <w:t xml:space="preserve">the </w:t>
      </w:r>
      <w:r w:rsidR="00FC1753">
        <w:rPr>
          <w:rFonts w:ascii="Times New Roman" w:eastAsia="Times New Roman" w:hAnsi="Times New Roman" w:cs="Times New Roman"/>
          <w:lang w:eastAsia="en-AU"/>
        </w:rPr>
        <w:t xml:space="preserve">relevant </w:t>
      </w:r>
      <w:r w:rsidR="00ED3345">
        <w:rPr>
          <w:rFonts w:ascii="Times New Roman" w:eastAsia="Times New Roman" w:hAnsi="Times New Roman" w:cs="Times New Roman"/>
          <w:lang w:eastAsia="en-AU"/>
        </w:rPr>
        <w:t>software</w:t>
      </w:r>
      <w:r w:rsidR="00FC1753">
        <w:rPr>
          <w:rFonts w:ascii="Times New Roman" w:eastAsia="Times New Roman" w:hAnsi="Times New Roman" w:cs="Times New Roman"/>
          <w:lang w:eastAsia="en-AU"/>
        </w:rPr>
        <w:t xml:space="preserve"> products</w:t>
      </w:r>
      <w:r w:rsidR="00ED3345">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from the operation of the Act.  However, given the dynamic nature of the digital health environment</w:t>
      </w:r>
      <w:r w:rsidR="00ED3345">
        <w:rPr>
          <w:rFonts w:ascii="Times New Roman" w:eastAsia="Times New Roman" w:hAnsi="Times New Roman" w:cs="Times New Roman"/>
          <w:lang w:eastAsia="en-AU"/>
        </w:rPr>
        <w:t>, the TGA will continue to monitor developments in software</w:t>
      </w:r>
      <w:r>
        <w:rPr>
          <w:rFonts w:ascii="Times New Roman" w:eastAsia="Times New Roman" w:hAnsi="Times New Roman" w:cs="Times New Roman"/>
          <w:lang w:eastAsia="en-AU"/>
        </w:rPr>
        <w:t xml:space="preserve">-based products to ensure </w:t>
      </w:r>
      <w:r w:rsidR="00655594">
        <w:rPr>
          <w:rFonts w:ascii="Times New Roman" w:eastAsia="Times New Roman" w:hAnsi="Times New Roman" w:cs="Times New Roman"/>
          <w:lang w:eastAsia="en-AU"/>
        </w:rPr>
        <w:t xml:space="preserve">Australia’s regulatory settings are appropriate and adapted to </w:t>
      </w:r>
      <w:r>
        <w:rPr>
          <w:rFonts w:ascii="Times New Roman" w:eastAsia="Times New Roman" w:hAnsi="Times New Roman" w:cs="Times New Roman"/>
          <w:lang w:eastAsia="en-AU"/>
        </w:rPr>
        <w:t>managing those developments</w:t>
      </w:r>
      <w:r w:rsidR="00B56E50">
        <w:rPr>
          <w:rFonts w:ascii="Times New Roman" w:eastAsia="Times New Roman" w:hAnsi="Times New Roman" w:cs="Times New Roman"/>
          <w:lang w:eastAsia="en-AU"/>
        </w:rPr>
        <w:t>.</w:t>
      </w:r>
    </w:p>
    <w:p w14:paraId="640FE0D8" w14:textId="77777777" w:rsidR="00B82AE9" w:rsidRDefault="00B82AE9" w:rsidP="002C52FA">
      <w:pPr>
        <w:spacing w:after="0" w:line="240" w:lineRule="auto"/>
        <w:rPr>
          <w:rFonts w:ascii="Times New Roman" w:eastAsia="Times New Roman" w:hAnsi="Times New Roman" w:cs="Times New Roman"/>
          <w:lang w:eastAsia="en-AU"/>
        </w:rPr>
      </w:pPr>
    </w:p>
    <w:p w14:paraId="213C5F71" w14:textId="77777777" w:rsidR="002E196B" w:rsidRPr="002B7E54" w:rsidRDefault="002E196B" w:rsidP="002C52FA">
      <w:pPr>
        <w:spacing w:after="0" w:line="240" w:lineRule="auto"/>
        <w:rPr>
          <w:rFonts w:ascii="Times New Roman" w:eastAsia="Times New Roman" w:hAnsi="Times New Roman" w:cs="Times New Roman"/>
          <w:lang w:eastAsia="en-AU"/>
        </w:rPr>
      </w:pPr>
    </w:p>
    <w:p w14:paraId="2A192225" w14:textId="16D5C03B" w:rsidR="002C52FA" w:rsidRPr="002C52FA" w:rsidRDefault="002C52FA" w:rsidP="002C52FA">
      <w:pPr>
        <w:spacing w:after="0" w:line="240" w:lineRule="auto"/>
        <w:rPr>
          <w:rFonts w:ascii="Times New Roman" w:eastAsia="Times New Roman" w:hAnsi="Times New Roman" w:cs="Times New Roman"/>
          <w:b/>
          <w:lang w:eastAsia="en-AU"/>
        </w:rPr>
      </w:pPr>
      <w:r w:rsidRPr="002C52FA">
        <w:rPr>
          <w:rFonts w:ascii="Times New Roman" w:eastAsia="Times New Roman" w:hAnsi="Times New Roman" w:cs="Times New Roman"/>
          <w:b/>
          <w:lang w:eastAsia="en-AU"/>
        </w:rPr>
        <w:t>Consultation</w:t>
      </w:r>
    </w:p>
    <w:p w14:paraId="213F9BB1" w14:textId="77777777" w:rsidR="002C52FA" w:rsidRPr="002C52FA" w:rsidRDefault="002C52FA" w:rsidP="002C52FA">
      <w:pPr>
        <w:autoSpaceDE w:val="0"/>
        <w:autoSpaceDN w:val="0"/>
        <w:adjustRightInd w:val="0"/>
        <w:spacing w:after="0" w:line="240" w:lineRule="auto"/>
        <w:rPr>
          <w:rFonts w:ascii="Times New Roman" w:eastAsia="Times New Roman" w:hAnsi="Times New Roman" w:cs="Times New Roman"/>
          <w:lang w:eastAsia="en-AU"/>
        </w:rPr>
      </w:pPr>
    </w:p>
    <w:p w14:paraId="31ECE993" w14:textId="1E091808" w:rsidR="00712756" w:rsidRDefault="00057400" w:rsidP="00813477">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 </w:t>
      </w:r>
      <w:r w:rsidR="00813477" w:rsidRPr="00602D95">
        <w:rPr>
          <w:rFonts w:ascii="Times New Roman" w:eastAsia="Times New Roman" w:hAnsi="Times New Roman" w:cs="Times New Roman"/>
          <w:lang w:eastAsia="en-AU"/>
        </w:rPr>
        <w:t xml:space="preserve">TGA conducted extensive consultation </w:t>
      </w:r>
      <w:r>
        <w:rPr>
          <w:rFonts w:ascii="Times New Roman" w:eastAsia="Times New Roman" w:hAnsi="Times New Roman" w:cs="Times New Roman"/>
          <w:lang w:eastAsia="en-AU"/>
        </w:rPr>
        <w:t xml:space="preserve">in relation to the </w:t>
      </w:r>
      <w:r w:rsidR="00766279">
        <w:rPr>
          <w:rFonts w:ascii="Times New Roman" w:eastAsia="Times New Roman" w:hAnsi="Times New Roman" w:cs="Times New Roman"/>
          <w:lang w:eastAsia="en-AU"/>
        </w:rPr>
        <w:t xml:space="preserve">changes </w:t>
      </w:r>
      <w:r w:rsidR="00BD1092">
        <w:rPr>
          <w:rFonts w:ascii="Times New Roman" w:eastAsia="Times New Roman" w:hAnsi="Times New Roman" w:cs="Times New Roman"/>
          <w:lang w:eastAsia="en-AU"/>
        </w:rPr>
        <w:t>proposed by</w:t>
      </w:r>
      <w:r>
        <w:rPr>
          <w:rFonts w:ascii="Times New Roman" w:eastAsia="Times New Roman" w:hAnsi="Times New Roman" w:cs="Times New Roman"/>
          <w:lang w:eastAsia="en-AU"/>
        </w:rPr>
        <w:t xml:space="preserve"> the Amendment Determination</w:t>
      </w:r>
      <w:r w:rsidR="00BD1092">
        <w:rPr>
          <w:rFonts w:ascii="Times New Roman" w:eastAsia="Times New Roman" w:hAnsi="Times New Roman" w:cs="Times New Roman"/>
          <w:lang w:eastAsia="en-AU"/>
        </w:rPr>
        <w:t xml:space="preserve"> over the course of 2019 and 2020.  Consultation was conducted in the form of public consultation papers, targeted meetings and discussions with key stakeholders.  </w:t>
      </w:r>
      <w:r w:rsidR="00712756">
        <w:rPr>
          <w:rFonts w:ascii="Times New Roman" w:eastAsia="Times New Roman" w:hAnsi="Times New Roman" w:cs="Times New Roman"/>
          <w:lang w:eastAsia="en-AU"/>
        </w:rPr>
        <w:t>I</w:t>
      </w:r>
      <w:r w:rsidR="00813477" w:rsidRPr="00602D95">
        <w:rPr>
          <w:rFonts w:ascii="Times New Roman" w:eastAsia="Times New Roman" w:hAnsi="Times New Roman" w:cs="Times New Roman"/>
          <w:lang w:eastAsia="en-AU"/>
        </w:rPr>
        <w:t xml:space="preserve">n March 2020, the </w:t>
      </w:r>
      <w:r w:rsidR="00712756">
        <w:rPr>
          <w:rFonts w:ascii="Times New Roman" w:eastAsia="Times New Roman" w:hAnsi="Times New Roman" w:cs="Times New Roman"/>
          <w:lang w:eastAsia="en-AU"/>
        </w:rPr>
        <w:t xml:space="preserve">most recent </w:t>
      </w:r>
      <w:r w:rsidR="00813477" w:rsidRPr="00602D95">
        <w:rPr>
          <w:rFonts w:ascii="Times New Roman" w:eastAsia="Times New Roman" w:hAnsi="Times New Roman" w:cs="Times New Roman"/>
          <w:lang w:eastAsia="en-AU"/>
        </w:rPr>
        <w:t xml:space="preserve">consultation paper </w:t>
      </w:r>
      <w:r w:rsidR="00BD1092">
        <w:rPr>
          <w:rFonts w:ascii="Times New Roman" w:eastAsia="Times New Roman" w:hAnsi="Times New Roman" w:cs="Times New Roman"/>
          <w:lang w:eastAsia="en-AU"/>
        </w:rPr>
        <w:t>titled ‘</w:t>
      </w:r>
      <w:r w:rsidR="00813477" w:rsidRPr="00766279">
        <w:rPr>
          <w:rFonts w:ascii="Times New Roman" w:eastAsia="Times New Roman" w:hAnsi="Times New Roman" w:cs="Times New Roman"/>
          <w:i/>
          <w:lang w:eastAsia="en-AU"/>
        </w:rPr>
        <w:t xml:space="preserve">Scope of </w:t>
      </w:r>
      <w:r w:rsidR="00BD1092" w:rsidRPr="00766279">
        <w:rPr>
          <w:rFonts w:ascii="Times New Roman" w:eastAsia="Times New Roman" w:hAnsi="Times New Roman" w:cs="Times New Roman"/>
          <w:i/>
          <w:lang w:eastAsia="en-AU"/>
        </w:rPr>
        <w:t>r</w:t>
      </w:r>
      <w:r w:rsidR="00813477" w:rsidRPr="00766279">
        <w:rPr>
          <w:rFonts w:ascii="Times New Roman" w:eastAsia="Times New Roman" w:hAnsi="Times New Roman" w:cs="Times New Roman"/>
          <w:i/>
          <w:lang w:eastAsia="en-AU"/>
        </w:rPr>
        <w:t xml:space="preserve">egulated </w:t>
      </w:r>
      <w:r w:rsidR="00BD1092" w:rsidRPr="00766279">
        <w:rPr>
          <w:rFonts w:ascii="Times New Roman" w:eastAsia="Times New Roman" w:hAnsi="Times New Roman" w:cs="Times New Roman"/>
          <w:i/>
          <w:lang w:eastAsia="en-AU"/>
        </w:rPr>
        <w:t>s</w:t>
      </w:r>
      <w:r w:rsidR="00813477" w:rsidRPr="00766279">
        <w:rPr>
          <w:rFonts w:ascii="Times New Roman" w:eastAsia="Times New Roman" w:hAnsi="Times New Roman" w:cs="Times New Roman"/>
          <w:i/>
          <w:lang w:eastAsia="en-AU"/>
        </w:rPr>
        <w:t>oftware-</w:t>
      </w:r>
      <w:r w:rsidR="00BD1092" w:rsidRPr="00766279">
        <w:rPr>
          <w:rFonts w:ascii="Times New Roman" w:eastAsia="Times New Roman" w:hAnsi="Times New Roman" w:cs="Times New Roman"/>
          <w:i/>
          <w:lang w:eastAsia="en-AU"/>
        </w:rPr>
        <w:t>b</w:t>
      </w:r>
      <w:r w:rsidR="00813477" w:rsidRPr="00766279">
        <w:rPr>
          <w:rFonts w:ascii="Times New Roman" w:eastAsia="Times New Roman" w:hAnsi="Times New Roman" w:cs="Times New Roman"/>
          <w:i/>
          <w:lang w:eastAsia="en-AU"/>
        </w:rPr>
        <w:t xml:space="preserve">ased </w:t>
      </w:r>
      <w:r w:rsidR="00BD1092" w:rsidRPr="00766279">
        <w:rPr>
          <w:rFonts w:ascii="Times New Roman" w:eastAsia="Times New Roman" w:hAnsi="Times New Roman" w:cs="Times New Roman"/>
          <w:i/>
          <w:lang w:eastAsia="en-AU"/>
        </w:rPr>
        <w:t>products</w:t>
      </w:r>
      <w:r w:rsidR="00BD1092" w:rsidRPr="00766279">
        <w:rPr>
          <w:rFonts w:ascii="Times New Roman" w:eastAsia="Times New Roman" w:hAnsi="Times New Roman" w:cs="Times New Roman"/>
          <w:lang w:eastAsia="en-AU"/>
        </w:rPr>
        <w:t>’</w:t>
      </w:r>
      <w:r w:rsidR="00813477" w:rsidRPr="00766279">
        <w:rPr>
          <w:rFonts w:ascii="Times New Roman" w:eastAsia="Times New Roman" w:hAnsi="Times New Roman" w:cs="Times New Roman"/>
          <w:lang w:eastAsia="en-AU"/>
        </w:rPr>
        <w:t xml:space="preserve"> </w:t>
      </w:r>
      <w:r w:rsidR="00813477" w:rsidRPr="00602D95">
        <w:rPr>
          <w:rFonts w:ascii="Times New Roman" w:eastAsia="Times New Roman" w:hAnsi="Times New Roman" w:cs="Times New Roman"/>
          <w:lang w:eastAsia="en-AU"/>
        </w:rPr>
        <w:t xml:space="preserve">was </w:t>
      </w:r>
      <w:r w:rsidR="00BD1092">
        <w:rPr>
          <w:rFonts w:ascii="Times New Roman" w:eastAsia="Times New Roman" w:hAnsi="Times New Roman" w:cs="Times New Roman"/>
          <w:lang w:eastAsia="en-AU"/>
        </w:rPr>
        <w:t xml:space="preserve">released by the TGA for public comment.  The </w:t>
      </w:r>
      <w:r w:rsidR="009533E0">
        <w:rPr>
          <w:rFonts w:ascii="Times New Roman" w:eastAsia="Times New Roman" w:hAnsi="Times New Roman" w:cs="Times New Roman"/>
          <w:lang w:eastAsia="en-AU"/>
        </w:rPr>
        <w:t xml:space="preserve">consultation </w:t>
      </w:r>
      <w:r w:rsidR="00BD1092">
        <w:rPr>
          <w:rFonts w:ascii="Times New Roman" w:eastAsia="Times New Roman" w:hAnsi="Times New Roman" w:cs="Times New Roman"/>
          <w:lang w:eastAsia="en-AU"/>
        </w:rPr>
        <w:t>paper sought</w:t>
      </w:r>
      <w:r w:rsidR="009533E0">
        <w:rPr>
          <w:rFonts w:ascii="Times New Roman" w:eastAsia="Times New Roman" w:hAnsi="Times New Roman" w:cs="Times New Roman"/>
          <w:lang w:eastAsia="en-AU"/>
        </w:rPr>
        <w:t xml:space="preserve"> feedback on the proposal to exclude certain software-based products from regulation </w:t>
      </w:r>
      <w:r w:rsidR="00712756">
        <w:rPr>
          <w:rFonts w:ascii="Times New Roman" w:eastAsia="Times New Roman" w:hAnsi="Times New Roman" w:cs="Times New Roman"/>
          <w:lang w:eastAsia="en-AU"/>
        </w:rPr>
        <w:t>under the Act</w:t>
      </w:r>
      <w:r w:rsidR="009533E0">
        <w:rPr>
          <w:rFonts w:ascii="Times New Roman" w:eastAsia="Times New Roman" w:hAnsi="Times New Roman" w:cs="Times New Roman"/>
          <w:lang w:eastAsia="en-AU"/>
        </w:rPr>
        <w:t>.</w:t>
      </w:r>
    </w:p>
    <w:p w14:paraId="1F87BF39" w14:textId="77777777" w:rsidR="00712756" w:rsidRDefault="00712756" w:rsidP="00813477">
      <w:pPr>
        <w:autoSpaceDE w:val="0"/>
        <w:autoSpaceDN w:val="0"/>
        <w:adjustRightInd w:val="0"/>
        <w:spacing w:after="0" w:line="240" w:lineRule="auto"/>
        <w:rPr>
          <w:rFonts w:ascii="Times New Roman" w:eastAsia="Times New Roman" w:hAnsi="Times New Roman" w:cs="Times New Roman"/>
          <w:lang w:eastAsia="en-AU"/>
        </w:rPr>
      </w:pPr>
    </w:p>
    <w:p w14:paraId="6667F41A" w14:textId="51A51F19" w:rsidR="00057400" w:rsidRPr="00602D95" w:rsidRDefault="009533E0" w:rsidP="002C52FA">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Following release of the consultation paper, the TGA held 12 meetings with key industry mem</w:t>
      </w:r>
      <w:r w:rsidR="00AA0A79">
        <w:rPr>
          <w:rFonts w:ascii="Times New Roman" w:eastAsia="Times New Roman" w:hAnsi="Times New Roman" w:cs="Times New Roman"/>
          <w:lang w:eastAsia="en-AU"/>
        </w:rPr>
        <w:t>bers and representative bodies (</w:t>
      </w:r>
      <w:r>
        <w:rPr>
          <w:rFonts w:ascii="Times New Roman" w:eastAsia="Times New Roman" w:hAnsi="Times New Roman" w:cs="Times New Roman"/>
          <w:lang w:eastAsia="en-AU"/>
        </w:rPr>
        <w:t>including the Medical Software Industry Association and Telstra Health</w:t>
      </w:r>
      <w:r w:rsidR="00AA0A79">
        <w:rPr>
          <w:rFonts w:ascii="Times New Roman" w:eastAsia="Times New Roman" w:hAnsi="Times New Roman" w:cs="Times New Roman"/>
          <w:lang w:eastAsia="en-AU"/>
        </w:rPr>
        <w:t>), four meeting</w:t>
      </w:r>
      <w:r w:rsidR="00184E4D">
        <w:rPr>
          <w:rFonts w:ascii="Times New Roman" w:eastAsia="Times New Roman" w:hAnsi="Times New Roman" w:cs="Times New Roman"/>
          <w:lang w:eastAsia="en-AU"/>
        </w:rPr>
        <w:t>s</w:t>
      </w:r>
      <w:r w:rsidR="00AA0A79">
        <w:rPr>
          <w:rFonts w:ascii="Times New Roman" w:eastAsia="Times New Roman" w:hAnsi="Times New Roman" w:cs="Times New Roman"/>
          <w:lang w:eastAsia="en-AU"/>
        </w:rPr>
        <w:t xml:space="preserve"> with other bodies responsible for regulatory oversight (including the </w:t>
      </w:r>
      <w:r w:rsidR="00AA0A79" w:rsidRPr="00602D95">
        <w:rPr>
          <w:rFonts w:ascii="Times New Roman" w:eastAsia="Times New Roman" w:hAnsi="Times New Roman" w:cs="Times New Roman"/>
          <w:lang w:eastAsia="en-AU"/>
        </w:rPr>
        <w:t>Australian Commission for Safety and Quality in Health Care</w:t>
      </w:r>
      <w:r w:rsidR="00AA0A79">
        <w:rPr>
          <w:rFonts w:ascii="Times New Roman" w:eastAsia="Times New Roman" w:hAnsi="Times New Roman" w:cs="Times New Roman"/>
          <w:lang w:eastAsia="en-AU"/>
        </w:rPr>
        <w:t>), and r</w:t>
      </w:r>
      <w:r>
        <w:rPr>
          <w:rFonts w:ascii="Times New Roman" w:eastAsia="Times New Roman" w:hAnsi="Times New Roman" w:cs="Times New Roman"/>
          <w:lang w:eastAsia="en-AU"/>
        </w:rPr>
        <w:t>e</w:t>
      </w:r>
      <w:r w:rsidR="00AA0A79">
        <w:rPr>
          <w:rFonts w:ascii="Times New Roman" w:eastAsia="Times New Roman" w:hAnsi="Times New Roman" w:cs="Times New Roman"/>
          <w:lang w:eastAsia="en-AU"/>
        </w:rPr>
        <w:t xml:space="preserve">ceived 48 written submissions.  The majority of respondents were supportive of the proposal to exclude the </w:t>
      </w:r>
      <w:r w:rsidR="00FC1753">
        <w:rPr>
          <w:rFonts w:ascii="Times New Roman" w:eastAsia="Times New Roman" w:hAnsi="Times New Roman" w:cs="Times New Roman"/>
          <w:lang w:eastAsia="en-AU"/>
        </w:rPr>
        <w:t xml:space="preserve">relevant </w:t>
      </w:r>
      <w:r w:rsidR="00AA0A79">
        <w:rPr>
          <w:rFonts w:ascii="Times New Roman" w:eastAsia="Times New Roman" w:hAnsi="Times New Roman" w:cs="Times New Roman"/>
          <w:lang w:eastAsia="en-AU"/>
        </w:rPr>
        <w:t>software</w:t>
      </w:r>
      <w:r w:rsidR="00FC1753">
        <w:rPr>
          <w:rFonts w:ascii="Times New Roman" w:eastAsia="Times New Roman" w:hAnsi="Times New Roman" w:cs="Times New Roman"/>
          <w:lang w:eastAsia="en-AU"/>
        </w:rPr>
        <w:t xml:space="preserve"> products</w:t>
      </w:r>
      <w:r w:rsidR="00AA0A79">
        <w:rPr>
          <w:rFonts w:ascii="Times New Roman" w:eastAsia="Times New Roman" w:hAnsi="Times New Roman" w:cs="Times New Roman"/>
          <w:lang w:eastAsia="en-AU"/>
        </w:rPr>
        <w:t xml:space="preserve"> from regulation under the Act</w:t>
      </w:r>
      <w:r w:rsidR="00712756">
        <w:rPr>
          <w:rFonts w:ascii="Times New Roman" w:eastAsia="Times New Roman" w:hAnsi="Times New Roman" w:cs="Times New Roman"/>
          <w:lang w:eastAsia="en-AU"/>
        </w:rPr>
        <w:t xml:space="preserve"> on the basis that th</w:t>
      </w:r>
      <w:r w:rsidR="00FC1753">
        <w:rPr>
          <w:rFonts w:ascii="Times New Roman" w:eastAsia="Times New Roman" w:hAnsi="Times New Roman" w:cs="Times New Roman"/>
          <w:lang w:eastAsia="en-AU"/>
        </w:rPr>
        <w:t>os</w:t>
      </w:r>
      <w:r w:rsidR="00712756">
        <w:rPr>
          <w:rFonts w:ascii="Times New Roman" w:eastAsia="Times New Roman" w:hAnsi="Times New Roman" w:cs="Times New Roman"/>
          <w:lang w:eastAsia="en-AU"/>
        </w:rPr>
        <w:t xml:space="preserve">e </w:t>
      </w:r>
      <w:r w:rsidR="00FC1753">
        <w:rPr>
          <w:rFonts w:ascii="Times New Roman" w:eastAsia="Times New Roman" w:hAnsi="Times New Roman" w:cs="Times New Roman"/>
          <w:lang w:eastAsia="en-AU"/>
        </w:rPr>
        <w:t>products</w:t>
      </w:r>
      <w:r w:rsidR="00712756">
        <w:rPr>
          <w:rFonts w:ascii="Times New Roman" w:eastAsia="Times New Roman" w:hAnsi="Times New Roman" w:cs="Times New Roman"/>
          <w:lang w:eastAsia="en-AU"/>
        </w:rPr>
        <w:t xml:space="preserve"> </w:t>
      </w:r>
      <w:r w:rsidR="00DF1183">
        <w:rPr>
          <w:rFonts w:ascii="Times New Roman" w:eastAsia="Times New Roman" w:hAnsi="Times New Roman" w:cs="Times New Roman"/>
          <w:lang w:eastAsia="en-AU"/>
        </w:rPr>
        <w:t>carried</w:t>
      </w:r>
      <w:r w:rsidR="00712756">
        <w:rPr>
          <w:rFonts w:ascii="Times New Roman" w:eastAsia="Times New Roman" w:hAnsi="Times New Roman" w:cs="Times New Roman"/>
          <w:lang w:eastAsia="en-AU"/>
        </w:rPr>
        <w:t xml:space="preserve"> no significant potential for harm.  Industry members in particular welcomed the proposal </w:t>
      </w:r>
      <w:r w:rsidR="003B68F4">
        <w:rPr>
          <w:rFonts w:ascii="Times New Roman" w:eastAsia="Times New Roman" w:hAnsi="Times New Roman" w:cs="Times New Roman"/>
          <w:lang w:eastAsia="en-AU"/>
        </w:rPr>
        <w:t>to the extent that</w:t>
      </w:r>
      <w:r w:rsidR="00FA5BF6">
        <w:rPr>
          <w:rFonts w:ascii="Times New Roman" w:eastAsia="Times New Roman" w:hAnsi="Times New Roman" w:cs="Times New Roman"/>
          <w:lang w:eastAsia="en-AU"/>
        </w:rPr>
        <w:t xml:space="preserve"> it represented greater</w:t>
      </w:r>
      <w:r w:rsidR="00712756">
        <w:rPr>
          <w:rFonts w:ascii="Times New Roman" w:eastAsia="Times New Roman" w:hAnsi="Times New Roman" w:cs="Times New Roman"/>
          <w:lang w:eastAsia="en-AU"/>
        </w:rPr>
        <w:t xml:space="preserve"> regulatory clarity, </w:t>
      </w:r>
      <w:r w:rsidR="00FA5BF6">
        <w:rPr>
          <w:rFonts w:ascii="Times New Roman" w:eastAsia="Times New Roman" w:hAnsi="Times New Roman" w:cs="Times New Roman"/>
          <w:lang w:eastAsia="en-AU"/>
        </w:rPr>
        <w:t xml:space="preserve">a </w:t>
      </w:r>
      <w:r w:rsidR="00712756">
        <w:rPr>
          <w:rFonts w:ascii="Times New Roman" w:eastAsia="Times New Roman" w:hAnsi="Times New Roman" w:cs="Times New Roman"/>
          <w:lang w:eastAsia="en-AU"/>
        </w:rPr>
        <w:t xml:space="preserve">reduction in </w:t>
      </w:r>
      <w:r w:rsidR="00F85D7D">
        <w:rPr>
          <w:rFonts w:ascii="Times New Roman" w:eastAsia="Times New Roman" w:hAnsi="Times New Roman" w:cs="Times New Roman"/>
          <w:lang w:eastAsia="en-AU"/>
        </w:rPr>
        <w:t xml:space="preserve">unnecessary or duplicative </w:t>
      </w:r>
      <w:r w:rsidR="00712756">
        <w:rPr>
          <w:rFonts w:ascii="Times New Roman" w:eastAsia="Times New Roman" w:hAnsi="Times New Roman" w:cs="Times New Roman"/>
          <w:lang w:eastAsia="en-AU"/>
        </w:rPr>
        <w:t xml:space="preserve">regulatory burden, </w:t>
      </w:r>
      <w:r w:rsidR="00FA5BF6">
        <w:rPr>
          <w:rFonts w:ascii="Times New Roman" w:eastAsia="Times New Roman" w:hAnsi="Times New Roman" w:cs="Times New Roman"/>
          <w:lang w:eastAsia="en-AU"/>
        </w:rPr>
        <w:t xml:space="preserve">and closer alignment with international approaches.  A detailed summary and analysis of </w:t>
      </w:r>
      <w:r w:rsidR="00DF1183">
        <w:rPr>
          <w:rFonts w:ascii="Times New Roman" w:eastAsia="Times New Roman" w:hAnsi="Times New Roman" w:cs="Times New Roman"/>
          <w:lang w:eastAsia="en-AU"/>
        </w:rPr>
        <w:t xml:space="preserve">the </w:t>
      </w:r>
      <w:r w:rsidR="00FA5BF6">
        <w:rPr>
          <w:rFonts w:ascii="Times New Roman" w:eastAsia="Times New Roman" w:hAnsi="Times New Roman" w:cs="Times New Roman"/>
          <w:lang w:eastAsia="en-AU"/>
        </w:rPr>
        <w:t>submissions is published on the TGA website</w:t>
      </w:r>
      <w:r w:rsidR="00FC1753">
        <w:rPr>
          <w:rFonts w:ascii="Times New Roman" w:eastAsia="Times New Roman" w:hAnsi="Times New Roman" w:cs="Times New Roman"/>
          <w:lang w:eastAsia="en-AU"/>
        </w:rPr>
        <w:t xml:space="preserve"> (www.tga.gov.au)</w:t>
      </w:r>
      <w:r w:rsidR="00FA5BF6">
        <w:rPr>
          <w:rFonts w:ascii="Times New Roman" w:eastAsia="Times New Roman" w:hAnsi="Times New Roman" w:cs="Times New Roman"/>
          <w:lang w:eastAsia="en-AU"/>
        </w:rPr>
        <w:t>.</w:t>
      </w:r>
    </w:p>
    <w:p w14:paraId="5D051019" w14:textId="57EB1C39" w:rsidR="002C52FA" w:rsidRDefault="002C52FA" w:rsidP="002C52FA">
      <w:pPr>
        <w:spacing w:after="0" w:line="240" w:lineRule="auto"/>
        <w:rPr>
          <w:rFonts w:ascii="Times New Roman" w:eastAsia="Times New Roman" w:hAnsi="Times New Roman" w:cs="Times New Roman"/>
          <w:lang w:eastAsia="en-AU"/>
        </w:rPr>
      </w:pPr>
    </w:p>
    <w:p w14:paraId="71A690D8" w14:textId="10A3A353" w:rsidR="00006608" w:rsidRDefault="00006608" w:rsidP="002C52FA">
      <w:pPr>
        <w:spacing w:after="0" w:line="240" w:lineRule="auto"/>
        <w:rPr>
          <w:rFonts w:ascii="Times New Roman" w:eastAsia="Times New Roman" w:hAnsi="Times New Roman" w:cs="Times New Roman"/>
          <w:lang w:eastAsia="en-AU"/>
        </w:rPr>
      </w:pPr>
      <w:r w:rsidRPr="00006608">
        <w:rPr>
          <w:rFonts w:ascii="Times New Roman" w:eastAsia="Times New Roman" w:hAnsi="Times New Roman" w:cs="Times New Roman"/>
          <w:lang w:eastAsia="en-AU"/>
        </w:rPr>
        <w:t xml:space="preserve">The </w:t>
      </w:r>
      <w:r w:rsidR="00D247F6">
        <w:rPr>
          <w:rFonts w:ascii="Times New Roman" w:eastAsia="Times New Roman" w:hAnsi="Times New Roman" w:cs="Times New Roman"/>
          <w:lang w:eastAsia="en-AU"/>
        </w:rPr>
        <w:t xml:space="preserve">TGA also consulted the </w:t>
      </w:r>
      <w:r w:rsidRPr="00006608">
        <w:rPr>
          <w:rFonts w:ascii="Times New Roman" w:eastAsia="Times New Roman" w:hAnsi="Times New Roman" w:cs="Times New Roman"/>
          <w:lang w:eastAsia="en-AU"/>
        </w:rPr>
        <w:t>Office of Best Practice Regulation (“OBPR”)</w:t>
      </w:r>
      <w:r w:rsidR="00D247F6">
        <w:rPr>
          <w:rFonts w:ascii="Times New Roman" w:eastAsia="Times New Roman" w:hAnsi="Times New Roman" w:cs="Times New Roman"/>
          <w:lang w:eastAsia="en-AU"/>
        </w:rPr>
        <w:t xml:space="preserve"> in relation to </w:t>
      </w:r>
      <w:r w:rsidR="00DF1183">
        <w:rPr>
          <w:rFonts w:ascii="Times New Roman" w:eastAsia="Times New Roman" w:hAnsi="Times New Roman" w:cs="Times New Roman"/>
          <w:lang w:eastAsia="en-AU"/>
        </w:rPr>
        <w:t xml:space="preserve">the </w:t>
      </w:r>
      <w:r w:rsidR="00D247F6">
        <w:rPr>
          <w:rFonts w:ascii="Times New Roman" w:eastAsia="Times New Roman" w:hAnsi="Times New Roman" w:cs="Times New Roman"/>
          <w:lang w:eastAsia="en-AU"/>
        </w:rPr>
        <w:t xml:space="preserve">regulatory impacts </w:t>
      </w:r>
      <w:r w:rsidR="00DF1183">
        <w:rPr>
          <w:rFonts w:ascii="Times New Roman" w:eastAsia="Times New Roman" w:hAnsi="Times New Roman" w:cs="Times New Roman"/>
          <w:lang w:eastAsia="en-AU"/>
        </w:rPr>
        <w:t xml:space="preserve">of </w:t>
      </w:r>
      <w:r w:rsidR="00DF1183" w:rsidRPr="00006608">
        <w:rPr>
          <w:rFonts w:ascii="Times New Roman" w:eastAsia="Times New Roman" w:hAnsi="Times New Roman" w:cs="Times New Roman"/>
          <w:lang w:eastAsia="en-AU"/>
        </w:rPr>
        <w:t>the changes proposed by the Amendment Determination</w:t>
      </w:r>
      <w:r w:rsidR="00DF1183">
        <w:rPr>
          <w:rFonts w:ascii="Times New Roman" w:eastAsia="Times New Roman" w:hAnsi="Times New Roman" w:cs="Times New Roman"/>
          <w:lang w:eastAsia="en-AU"/>
        </w:rPr>
        <w:t xml:space="preserve"> </w:t>
      </w:r>
      <w:r w:rsidR="00D247F6">
        <w:rPr>
          <w:rFonts w:ascii="Times New Roman" w:eastAsia="Times New Roman" w:hAnsi="Times New Roman" w:cs="Times New Roman"/>
          <w:lang w:eastAsia="en-AU"/>
        </w:rPr>
        <w:t>and whe</w:t>
      </w:r>
      <w:r w:rsidR="00DF1183">
        <w:rPr>
          <w:rFonts w:ascii="Times New Roman" w:eastAsia="Times New Roman" w:hAnsi="Times New Roman" w:cs="Times New Roman"/>
          <w:lang w:eastAsia="en-AU"/>
        </w:rPr>
        <w:t xml:space="preserve">ther the </w:t>
      </w:r>
      <w:r w:rsidR="00DF1183">
        <w:rPr>
          <w:rFonts w:ascii="Times New Roman" w:eastAsia="Times New Roman" w:hAnsi="Times New Roman" w:cs="Times New Roman"/>
          <w:lang w:eastAsia="en-AU"/>
        </w:rPr>
        <w:lastRenderedPageBreak/>
        <w:t xml:space="preserve">preparation of a </w:t>
      </w:r>
      <w:r w:rsidR="00D247F6">
        <w:rPr>
          <w:rFonts w:ascii="Times New Roman" w:eastAsia="Times New Roman" w:hAnsi="Times New Roman" w:cs="Times New Roman"/>
          <w:lang w:eastAsia="en-AU"/>
        </w:rPr>
        <w:t xml:space="preserve">regulation impact statement was required.  OBPR assessed that the impacts of the proposal were minor and that a </w:t>
      </w:r>
      <w:r w:rsidRPr="00006608">
        <w:rPr>
          <w:rFonts w:ascii="Times New Roman" w:eastAsia="Times New Roman" w:hAnsi="Times New Roman" w:cs="Times New Roman"/>
          <w:lang w:eastAsia="en-AU"/>
        </w:rPr>
        <w:t>regulation impact statement was not required (OBPR ID: 42873).</w:t>
      </w:r>
    </w:p>
    <w:p w14:paraId="76782828" w14:textId="77777777" w:rsidR="00006608" w:rsidRPr="002C52FA" w:rsidRDefault="00006608" w:rsidP="002C52FA">
      <w:pPr>
        <w:spacing w:after="0" w:line="240" w:lineRule="auto"/>
        <w:rPr>
          <w:rFonts w:ascii="Times New Roman" w:eastAsia="Times New Roman" w:hAnsi="Times New Roman" w:cs="Times New Roman"/>
          <w:lang w:eastAsia="en-AU"/>
        </w:rPr>
      </w:pPr>
    </w:p>
    <w:p w14:paraId="264788EB" w14:textId="77777777" w:rsidR="002C52FA" w:rsidRPr="002C52FA" w:rsidRDefault="002C52FA" w:rsidP="002C52FA">
      <w:pPr>
        <w:spacing w:after="0" w:line="240" w:lineRule="auto"/>
        <w:rPr>
          <w:rFonts w:ascii="Times New Roman" w:eastAsia="Times New Roman" w:hAnsi="Times New Roman" w:cs="Times New Roman"/>
          <w:lang w:eastAsia="en-AU"/>
        </w:rPr>
      </w:pPr>
      <w:r w:rsidRPr="002C52FA">
        <w:rPr>
          <w:rFonts w:ascii="Times New Roman" w:eastAsia="Times New Roman" w:hAnsi="Times New Roman" w:cs="Times New Roman"/>
          <w:lang w:eastAsia="en-AU"/>
        </w:rPr>
        <w:t xml:space="preserve">Details of the Amendment Determination are set out in </w:t>
      </w:r>
      <w:r w:rsidRPr="002C52FA">
        <w:rPr>
          <w:rFonts w:ascii="Times New Roman" w:eastAsia="Times New Roman" w:hAnsi="Times New Roman" w:cs="Times New Roman"/>
          <w:b/>
          <w:lang w:eastAsia="en-AU"/>
        </w:rPr>
        <w:t>Attachment A</w:t>
      </w:r>
      <w:r w:rsidRPr="002C52FA">
        <w:rPr>
          <w:rFonts w:ascii="Times New Roman" w:eastAsia="Times New Roman" w:hAnsi="Times New Roman" w:cs="Times New Roman"/>
          <w:lang w:eastAsia="en-AU"/>
        </w:rPr>
        <w:t>.</w:t>
      </w:r>
    </w:p>
    <w:p w14:paraId="215C6030" w14:textId="77777777" w:rsidR="002C52FA" w:rsidRPr="002C52FA" w:rsidRDefault="002C52FA" w:rsidP="002C52FA">
      <w:pPr>
        <w:spacing w:after="0" w:line="240" w:lineRule="auto"/>
        <w:rPr>
          <w:rFonts w:ascii="Times New Roman" w:eastAsia="Times New Roman" w:hAnsi="Times New Roman" w:cs="Times New Roman"/>
          <w:lang w:eastAsia="en-AU"/>
        </w:rPr>
      </w:pPr>
    </w:p>
    <w:p w14:paraId="6FE2C97B" w14:textId="77777777" w:rsidR="002C52FA" w:rsidRPr="002C52FA" w:rsidRDefault="002C52FA" w:rsidP="002C52FA">
      <w:pPr>
        <w:spacing w:after="0" w:line="240" w:lineRule="auto"/>
        <w:rPr>
          <w:rFonts w:ascii="Times New Roman" w:eastAsia="Times New Roman" w:hAnsi="Times New Roman" w:cs="Times New Roman"/>
          <w:lang w:eastAsia="en-AU"/>
        </w:rPr>
      </w:pPr>
      <w:r w:rsidRPr="002C52FA">
        <w:rPr>
          <w:rFonts w:ascii="Times New Roman" w:eastAsia="Times New Roman" w:hAnsi="Times New Roman" w:cs="Times New Roman"/>
          <w:lang w:eastAsia="en-AU"/>
        </w:rPr>
        <w:t xml:space="preserve">The Amendment Determination is compatible with human rights and freedoms recognised or declared under section 3 of the </w:t>
      </w:r>
      <w:r w:rsidRPr="002C52FA">
        <w:rPr>
          <w:rFonts w:ascii="Times New Roman" w:eastAsia="Times New Roman" w:hAnsi="Times New Roman" w:cs="Times New Roman"/>
          <w:i/>
          <w:lang w:eastAsia="en-AU"/>
        </w:rPr>
        <w:t>Human Rights (Parliamentary Scrutiny) Act 2011</w:t>
      </w:r>
      <w:r w:rsidRPr="002C52FA">
        <w:rPr>
          <w:rFonts w:ascii="Times New Roman" w:eastAsia="Times New Roman" w:hAnsi="Times New Roman" w:cs="Times New Roman"/>
          <w:lang w:eastAsia="en-AU"/>
        </w:rPr>
        <w:t xml:space="preserve">.  A full statement of compatibility is set out in </w:t>
      </w:r>
      <w:r w:rsidRPr="002C52FA">
        <w:rPr>
          <w:rFonts w:ascii="Times New Roman" w:eastAsia="Times New Roman" w:hAnsi="Times New Roman" w:cs="Times New Roman"/>
          <w:b/>
          <w:lang w:eastAsia="en-AU"/>
        </w:rPr>
        <w:t>Attachment B.</w:t>
      </w:r>
    </w:p>
    <w:p w14:paraId="6A586ECA" w14:textId="77777777" w:rsidR="002C52FA" w:rsidRPr="002C52FA" w:rsidRDefault="002C52FA" w:rsidP="002C52FA">
      <w:pPr>
        <w:spacing w:after="0" w:line="240" w:lineRule="auto"/>
        <w:rPr>
          <w:rFonts w:ascii="Times New Roman" w:eastAsia="Times New Roman" w:hAnsi="Times New Roman" w:cs="Times New Roman"/>
          <w:lang w:eastAsia="en-AU"/>
        </w:rPr>
      </w:pPr>
    </w:p>
    <w:p w14:paraId="5D9F2601" w14:textId="5DEBB95B" w:rsidR="002C52FA" w:rsidRPr="002C52FA" w:rsidRDefault="002C52FA" w:rsidP="002C52FA">
      <w:pPr>
        <w:spacing w:after="0" w:line="240" w:lineRule="auto"/>
        <w:rPr>
          <w:rFonts w:ascii="Times New Roman" w:eastAsia="Times New Roman" w:hAnsi="Times New Roman" w:cs="Times New Roman"/>
          <w:lang w:eastAsia="en-AU"/>
        </w:rPr>
      </w:pPr>
      <w:r w:rsidRPr="002C52FA">
        <w:rPr>
          <w:rFonts w:ascii="Times New Roman" w:eastAsia="Times New Roman" w:hAnsi="Times New Roman" w:cs="Times New Roman"/>
          <w:lang w:eastAsia="en-AU"/>
        </w:rPr>
        <w:t>The Amendment Determination is a disallowable legislative instrument</w:t>
      </w:r>
      <w:r w:rsidRPr="002C52FA">
        <w:rPr>
          <w:rFonts w:ascii="Times New Roman" w:eastAsia="Times New Roman" w:hAnsi="Times New Roman" w:cs="Times New Roman"/>
          <w:i/>
          <w:lang w:eastAsia="en-AU"/>
        </w:rPr>
        <w:t xml:space="preserve"> </w:t>
      </w:r>
      <w:r w:rsidRPr="002C52FA">
        <w:rPr>
          <w:rFonts w:ascii="Times New Roman" w:eastAsia="Times New Roman" w:hAnsi="Times New Roman" w:cs="Times New Roman"/>
          <w:lang w:eastAsia="en-AU"/>
        </w:rPr>
        <w:t xml:space="preserve">for the purposes of the </w:t>
      </w:r>
      <w:r w:rsidRPr="002C52FA">
        <w:rPr>
          <w:rFonts w:ascii="Times New Roman" w:eastAsia="Times New Roman" w:hAnsi="Times New Roman" w:cs="Times New Roman"/>
          <w:i/>
          <w:lang w:eastAsia="en-AU"/>
        </w:rPr>
        <w:t>Legislation Act 2003</w:t>
      </w:r>
      <w:r w:rsidR="00D35664">
        <w:rPr>
          <w:rFonts w:ascii="Times New Roman" w:eastAsia="Times New Roman" w:hAnsi="Times New Roman" w:cs="Times New Roman"/>
          <w:lang w:eastAsia="en-AU"/>
        </w:rPr>
        <w:t>,</w:t>
      </w:r>
      <w:r w:rsidRPr="002C52FA">
        <w:rPr>
          <w:rFonts w:ascii="Times New Roman" w:eastAsia="Times New Roman" w:hAnsi="Times New Roman" w:cs="Times New Roman"/>
          <w:i/>
          <w:lang w:eastAsia="en-AU"/>
        </w:rPr>
        <w:t xml:space="preserve"> </w:t>
      </w:r>
      <w:r w:rsidRPr="002C52FA">
        <w:rPr>
          <w:rFonts w:ascii="Times New Roman" w:eastAsia="Times New Roman" w:hAnsi="Times New Roman" w:cs="Times New Roman"/>
          <w:lang w:eastAsia="en-AU"/>
        </w:rPr>
        <w:t>and commence</w:t>
      </w:r>
      <w:r w:rsidR="00D35664">
        <w:rPr>
          <w:rFonts w:ascii="Times New Roman" w:eastAsia="Times New Roman" w:hAnsi="Times New Roman" w:cs="Times New Roman"/>
          <w:lang w:eastAsia="en-AU"/>
        </w:rPr>
        <w:t>s</w:t>
      </w:r>
      <w:r w:rsidRPr="002C52FA">
        <w:rPr>
          <w:rFonts w:ascii="Times New Roman" w:eastAsia="Times New Roman" w:hAnsi="Times New Roman" w:cs="Times New Roman"/>
          <w:lang w:eastAsia="en-AU"/>
        </w:rPr>
        <w:t xml:space="preserve"> on 25 February 2021.</w:t>
      </w:r>
    </w:p>
    <w:p w14:paraId="3D81E069" w14:textId="77777777" w:rsidR="002C52FA" w:rsidRPr="002C52FA" w:rsidRDefault="002C52FA" w:rsidP="002C52FA">
      <w:pPr>
        <w:spacing w:after="0" w:line="240" w:lineRule="auto"/>
        <w:rPr>
          <w:rFonts w:ascii="Times New Roman" w:eastAsia="Times New Roman" w:hAnsi="Times New Roman" w:cs="Times New Roman"/>
          <w:lang w:eastAsia="en-AU"/>
        </w:rPr>
      </w:pPr>
      <w:r w:rsidRPr="002C52FA">
        <w:rPr>
          <w:rFonts w:ascii="Times New Roman" w:eastAsia="Times New Roman" w:hAnsi="Times New Roman" w:cs="Times New Roman"/>
          <w:b/>
          <w:bCs/>
          <w:lang w:eastAsia="en-AU"/>
        </w:rPr>
        <w:br w:type="page"/>
      </w:r>
    </w:p>
    <w:p w14:paraId="3A8AF323" w14:textId="77777777" w:rsidR="002C52FA" w:rsidRPr="002C52FA" w:rsidRDefault="002C52FA" w:rsidP="002C52FA">
      <w:pPr>
        <w:spacing w:after="0" w:line="240" w:lineRule="auto"/>
        <w:jc w:val="right"/>
        <w:rPr>
          <w:rFonts w:ascii="Times New Roman" w:eastAsia="Times New Roman" w:hAnsi="Times New Roman" w:cs="Times New Roman"/>
          <w:b/>
          <w:bCs/>
          <w:lang w:eastAsia="en-AU"/>
        </w:rPr>
      </w:pPr>
      <w:r w:rsidRPr="002C52FA">
        <w:rPr>
          <w:rFonts w:ascii="Times New Roman" w:eastAsia="Times New Roman" w:hAnsi="Times New Roman" w:cs="Times New Roman"/>
          <w:b/>
          <w:bCs/>
          <w:lang w:eastAsia="en-AU"/>
        </w:rPr>
        <w:lastRenderedPageBreak/>
        <w:t>Attachment A</w:t>
      </w:r>
    </w:p>
    <w:p w14:paraId="7F9E5B21" w14:textId="77777777" w:rsidR="002C52FA" w:rsidRPr="002C52FA" w:rsidRDefault="002C52FA" w:rsidP="002C52FA">
      <w:pPr>
        <w:spacing w:after="0" w:line="240" w:lineRule="auto"/>
        <w:rPr>
          <w:rFonts w:ascii="Times New Roman" w:eastAsia="Times New Roman" w:hAnsi="Times New Roman" w:cs="Times New Roman"/>
          <w:b/>
          <w:bCs/>
          <w:lang w:eastAsia="en-AU"/>
        </w:rPr>
      </w:pPr>
    </w:p>
    <w:p w14:paraId="791B03E3" w14:textId="44817C19" w:rsidR="002C52FA" w:rsidRPr="002C52FA" w:rsidRDefault="002C52FA" w:rsidP="002C52FA">
      <w:pPr>
        <w:spacing w:after="0" w:line="240" w:lineRule="auto"/>
        <w:rPr>
          <w:rFonts w:ascii="Times New Roman" w:eastAsia="Times New Roman" w:hAnsi="Times New Roman" w:cs="Times New Roman"/>
          <w:b/>
          <w:i/>
          <w:lang w:eastAsia="en-AU"/>
        </w:rPr>
      </w:pPr>
      <w:r w:rsidRPr="002C52FA">
        <w:rPr>
          <w:rFonts w:ascii="Times New Roman" w:eastAsia="Times New Roman" w:hAnsi="Times New Roman" w:cs="Times New Roman"/>
          <w:b/>
          <w:bCs/>
          <w:lang w:eastAsia="en-AU"/>
        </w:rPr>
        <w:t xml:space="preserve">Details of the </w:t>
      </w:r>
      <w:r w:rsidRPr="002C52FA">
        <w:rPr>
          <w:rFonts w:ascii="Times New Roman" w:eastAsia="Times New Roman" w:hAnsi="Times New Roman" w:cs="Times New Roman"/>
          <w:b/>
          <w:i/>
          <w:lang w:eastAsia="en-AU"/>
        </w:rPr>
        <w:t xml:space="preserve">Therapeutic Goods (Excluded Goods) Amendment (Software-based Products) Determination </w:t>
      </w:r>
      <w:r w:rsidR="002B7E54">
        <w:rPr>
          <w:rFonts w:ascii="Times New Roman" w:eastAsia="Times New Roman" w:hAnsi="Times New Roman" w:cs="Times New Roman"/>
          <w:b/>
          <w:i/>
          <w:lang w:eastAsia="en-AU"/>
        </w:rPr>
        <w:t>2021</w:t>
      </w:r>
    </w:p>
    <w:p w14:paraId="1C7101E5" w14:textId="77777777" w:rsidR="002C52FA" w:rsidRPr="002C52FA" w:rsidRDefault="002C52FA" w:rsidP="002C52FA">
      <w:pPr>
        <w:spacing w:after="0" w:line="240" w:lineRule="auto"/>
        <w:rPr>
          <w:rFonts w:ascii="Times New Roman" w:eastAsia="Times New Roman" w:hAnsi="Times New Roman" w:cs="Times New Roman"/>
          <w:b/>
          <w:bCs/>
          <w:i/>
          <w:lang w:eastAsia="en-AU"/>
        </w:rPr>
      </w:pPr>
    </w:p>
    <w:p w14:paraId="36626D5B" w14:textId="77777777" w:rsidR="002C52FA" w:rsidRPr="002C52FA" w:rsidRDefault="002C52FA" w:rsidP="002C52FA">
      <w:pPr>
        <w:spacing w:after="0" w:line="240" w:lineRule="auto"/>
        <w:rPr>
          <w:rFonts w:ascii="Times New Roman" w:eastAsia="Times New Roman" w:hAnsi="Times New Roman" w:cs="Times New Roman"/>
          <w:b/>
          <w:bCs/>
          <w:lang w:eastAsia="en-AU"/>
        </w:rPr>
      </w:pPr>
      <w:r w:rsidRPr="002C52FA">
        <w:rPr>
          <w:rFonts w:ascii="Times New Roman" w:eastAsia="Times New Roman" w:hAnsi="Times New Roman" w:cs="Times New Roman"/>
          <w:b/>
          <w:bCs/>
          <w:lang w:eastAsia="en-AU"/>
        </w:rPr>
        <w:t>Section 1 – Name</w:t>
      </w:r>
    </w:p>
    <w:p w14:paraId="790A1A9D" w14:textId="77777777" w:rsidR="002C52FA" w:rsidRPr="002C52FA" w:rsidRDefault="002C52FA" w:rsidP="002C52FA">
      <w:pPr>
        <w:spacing w:after="0" w:line="240" w:lineRule="auto"/>
        <w:rPr>
          <w:rFonts w:ascii="Times New Roman" w:eastAsia="Times New Roman" w:hAnsi="Times New Roman" w:cs="Times New Roman"/>
          <w:b/>
          <w:bCs/>
          <w:lang w:eastAsia="en-AU"/>
        </w:rPr>
      </w:pPr>
    </w:p>
    <w:p w14:paraId="13AC0215" w14:textId="4D977448" w:rsidR="002C52FA" w:rsidRPr="002C52FA" w:rsidRDefault="002C52FA" w:rsidP="002C52FA">
      <w:pPr>
        <w:spacing w:after="0" w:line="240" w:lineRule="auto"/>
        <w:rPr>
          <w:rFonts w:ascii="Times New Roman" w:eastAsia="Times New Roman" w:hAnsi="Times New Roman" w:cs="Times New Roman"/>
          <w:lang w:eastAsia="en-AU"/>
        </w:rPr>
      </w:pPr>
      <w:r w:rsidRPr="002C52FA">
        <w:rPr>
          <w:rFonts w:ascii="Times New Roman" w:eastAsia="Times New Roman" w:hAnsi="Times New Roman" w:cs="Times New Roman"/>
          <w:lang w:eastAsia="en-AU"/>
        </w:rPr>
        <w:t xml:space="preserve">This section provides that the name of the instrument is the </w:t>
      </w:r>
      <w:r w:rsidRPr="002C52FA">
        <w:rPr>
          <w:rFonts w:ascii="Times New Roman" w:eastAsia="Times New Roman" w:hAnsi="Times New Roman" w:cs="Times New Roman"/>
          <w:i/>
          <w:lang w:eastAsia="en-AU"/>
        </w:rPr>
        <w:t>Therapeutic Goods (Excluded Goods) Amendment (Software-ba</w:t>
      </w:r>
      <w:r w:rsidR="002B7E54">
        <w:rPr>
          <w:rFonts w:ascii="Times New Roman" w:eastAsia="Times New Roman" w:hAnsi="Times New Roman" w:cs="Times New Roman"/>
          <w:i/>
          <w:lang w:eastAsia="en-AU"/>
        </w:rPr>
        <w:t>sed Products) Determination 2021</w:t>
      </w:r>
      <w:r w:rsidRPr="002C52FA">
        <w:rPr>
          <w:rFonts w:ascii="Times New Roman" w:eastAsia="Times New Roman" w:hAnsi="Times New Roman" w:cs="Times New Roman"/>
          <w:i/>
          <w:lang w:eastAsia="en-AU"/>
        </w:rPr>
        <w:t xml:space="preserve"> </w:t>
      </w:r>
      <w:r w:rsidRPr="002C52FA">
        <w:rPr>
          <w:rFonts w:ascii="Tms Rmn" w:eastAsia="Times New Roman" w:hAnsi="Tms Rmn" w:cs="Times New Roman"/>
          <w:lang w:eastAsia="en-AU"/>
        </w:rPr>
        <w:t>(“the Amendment Determination”)</w:t>
      </w:r>
      <w:r w:rsidRPr="002C52FA">
        <w:rPr>
          <w:rFonts w:ascii="Times New Roman" w:eastAsia="Times New Roman" w:hAnsi="Times New Roman" w:cs="Times New Roman"/>
          <w:lang w:eastAsia="en-AU"/>
        </w:rPr>
        <w:t>.</w:t>
      </w:r>
    </w:p>
    <w:p w14:paraId="48D89BA5" w14:textId="77777777" w:rsidR="002C52FA" w:rsidRPr="002C52FA" w:rsidRDefault="002C52FA" w:rsidP="002C52FA">
      <w:pPr>
        <w:spacing w:after="0" w:line="240" w:lineRule="auto"/>
        <w:rPr>
          <w:rFonts w:ascii="Times New Roman" w:eastAsia="Times New Roman" w:hAnsi="Times New Roman" w:cs="Times New Roman"/>
          <w:bCs/>
          <w:lang w:eastAsia="en-AU"/>
        </w:rPr>
      </w:pPr>
    </w:p>
    <w:p w14:paraId="38D7F5BD" w14:textId="77777777" w:rsidR="002C52FA" w:rsidRPr="002C52FA" w:rsidRDefault="002C52FA" w:rsidP="002C52FA">
      <w:pPr>
        <w:spacing w:after="0" w:line="240" w:lineRule="auto"/>
        <w:rPr>
          <w:rFonts w:ascii="Times New Roman" w:eastAsia="Times New Roman" w:hAnsi="Times New Roman" w:cs="Times New Roman"/>
          <w:b/>
          <w:bCs/>
          <w:lang w:eastAsia="en-AU"/>
        </w:rPr>
      </w:pPr>
      <w:r w:rsidRPr="002C52FA">
        <w:rPr>
          <w:rFonts w:ascii="Times New Roman" w:eastAsia="Times New Roman" w:hAnsi="Times New Roman" w:cs="Times New Roman"/>
          <w:b/>
          <w:bCs/>
          <w:lang w:eastAsia="en-AU"/>
        </w:rPr>
        <w:t>Section 2 – Commencement</w:t>
      </w:r>
    </w:p>
    <w:p w14:paraId="4FFB239C" w14:textId="77777777" w:rsidR="002C52FA" w:rsidRPr="002C52FA" w:rsidRDefault="002C52FA" w:rsidP="002C52FA">
      <w:pPr>
        <w:spacing w:after="0" w:line="240" w:lineRule="auto"/>
        <w:rPr>
          <w:rFonts w:ascii="Times New Roman" w:eastAsia="Times New Roman" w:hAnsi="Times New Roman" w:cs="Times New Roman"/>
          <w:bCs/>
          <w:lang w:eastAsia="en-AU"/>
        </w:rPr>
      </w:pPr>
    </w:p>
    <w:p w14:paraId="7091EA3D" w14:textId="77777777" w:rsidR="002C52FA" w:rsidRPr="002C52FA" w:rsidRDefault="002C52FA" w:rsidP="002C52FA">
      <w:pPr>
        <w:spacing w:after="0" w:line="240" w:lineRule="auto"/>
        <w:rPr>
          <w:rFonts w:ascii="Times New Roman" w:eastAsia="Times New Roman" w:hAnsi="Times New Roman" w:cs="Times New Roman"/>
          <w:bCs/>
          <w:lang w:eastAsia="en-AU"/>
        </w:rPr>
      </w:pPr>
      <w:r w:rsidRPr="002C52FA">
        <w:rPr>
          <w:rFonts w:ascii="Times New Roman" w:eastAsia="Times New Roman" w:hAnsi="Times New Roman" w:cs="Times New Roman"/>
          <w:bCs/>
          <w:lang w:eastAsia="en-AU"/>
        </w:rPr>
        <w:t>This section provides that the Amendment Determination commences on 25 February 2021.</w:t>
      </w:r>
    </w:p>
    <w:p w14:paraId="28D42CCF" w14:textId="77777777" w:rsidR="002C52FA" w:rsidRPr="002C52FA" w:rsidRDefault="002C52FA" w:rsidP="002C52FA">
      <w:pPr>
        <w:spacing w:after="0" w:line="240" w:lineRule="auto"/>
        <w:rPr>
          <w:rFonts w:ascii="Times New Roman" w:eastAsia="Times New Roman" w:hAnsi="Times New Roman" w:cs="Times New Roman"/>
          <w:bCs/>
          <w:lang w:eastAsia="en-AU"/>
        </w:rPr>
      </w:pPr>
    </w:p>
    <w:p w14:paraId="6EC7C468" w14:textId="77777777" w:rsidR="002C52FA" w:rsidRPr="002C52FA" w:rsidRDefault="002C52FA" w:rsidP="002C52FA">
      <w:pPr>
        <w:spacing w:after="0" w:line="240" w:lineRule="auto"/>
        <w:rPr>
          <w:rFonts w:ascii="Times New Roman" w:eastAsia="Times New Roman" w:hAnsi="Times New Roman" w:cs="Times New Roman"/>
          <w:b/>
          <w:bCs/>
          <w:lang w:eastAsia="en-AU"/>
        </w:rPr>
      </w:pPr>
      <w:r w:rsidRPr="002C52FA">
        <w:rPr>
          <w:rFonts w:ascii="Times New Roman" w:eastAsia="Times New Roman" w:hAnsi="Times New Roman" w:cs="Times New Roman"/>
          <w:b/>
          <w:bCs/>
          <w:lang w:eastAsia="en-AU"/>
        </w:rPr>
        <w:t>Section 3 – Authority</w:t>
      </w:r>
    </w:p>
    <w:p w14:paraId="00C6C75E" w14:textId="77777777" w:rsidR="002C52FA" w:rsidRPr="002C52FA" w:rsidRDefault="002C52FA" w:rsidP="002C52FA">
      <w:pPr>
        <w:spacing w:after="0" w:line="240" w:lineRule="auto"/>
        <w:rPr>
          <w:rFonts w:ascii="Times New Roman" w:eastAsia="Times New Roman" w:hAnsi="Times New Roman" w:cs="Times New Roman"/>
          <w:b/>
          <w:bCs/>
          <w:lang w:eastAsia="en-AU"/>
        </w:rPr>
      </w:pPr>
    </w:p>
    <w:p w14:paraId="64DAFEBE" w14:textId="77777777" w:rsidR="002C52FA" w:rsidRPr="002C52FA" w:rsidRDefault="002C52FA" w:rsidP="002C52FA">
      <w:pPr>
        <w:spacing w:after="0" w:line="240" w:lineRule="auto"/>
        <w:rPr>
          <w:rFonts w:ascii="Times New Roman" w:eastAsia="Times New Roman" w:hAnsi="Times New Roman" w:cs="Times New Roman"/>
          <w:bCs/>
          <w:lang w:eastAsia="en-AU"/>
        </w:rPr>
      </w:pPr>
      <w:r w:rsidRPr="002C52FA">
        <w:rPr>
          <w:rFonts w:ascii="Times New Roman" w:eastAsia="Times New Roman" w:hAnsi="Times New Roman" w:cs="Times New Roman"/>
          <w:bCs/>
          <w:lang w:eastAsia="en-AU"/>
        </w:rPr>
        <w:t xml:space="preserve">This section provides that the legislative authority for making the Amendment Determination is section 7AA of the </w:t>
      </w:r>
      <w:r w:rsidRPr="002C52FA">
        <w:rPr>
          <w:rFonts w:ascii="Times New Roman" w:eastAsia="Times New Roman" w:hAnsi="Times New Roman" w:cs="Times New Roman"/>
          <w:bCs/>
          <w:i/>
          <w:lang w:eastAsia="en-AU"/>
        </w:rPr>
        <w:t xml:space="preserve">Therapeutic Goods Act 1989 </w:t>
      </w:r>
      <w:r w:rsidRPr="002C52FA">
        <w:rPr>
          <w:rFonts w:ascii="Times New Roman" w:eastAsia="Times New Roman" w:hAnsi="Times New Roman" w:cs="Times New Roman"/>
          <w:bCs/>
          <w:lang w:eastAsia="en-AU"/>
        </w:rPr>
        <w:t>(“the Act”).</w:t>
      </w:r>
    </w:p>
    <w:p w14:paraId="406BB590" w14:textId="77777777" w:rsidR="002C52FA" w:rsidRPr="002C52FA" w:rsidRDefault="002C52FA" w:rsidP="002C52FA">
      <w:pPr>
        <w:spacing w:after="0" w:line="240" w:lineRule="auto"/>
        <w:rPr>
          <w:rFonts w:ascii="Times New Roman" w:eastAsia="Times New Roman" w:hAnsi="Times New Roman" w:cs="Times New Roman"/>
          <w:bCs/>
          <w:lang w:eastAsia="en-AU"/>
        </w:rPr>
      </w:pPr>
    </w:p>
    <w:p w14:paraId="7F2121E3" w14:textId="1AD7EFB0" w:rsidR="002C52FA" w:rsidRPr="002C52FA" w:rsidRDefault="002C52FA" w:rsidP="002C52FA">
      <w:pPr>
        <w:spacing w:after="0" w:line="240" w:lineRule="auto"/>
        <w:rPr>
          <w:rFonts w:ascii="Times New Roman" w:eastAsia="Times New Roman" w:hAnsi="Times New Roman" w:cs="Times New Roman"/>
          <w:bCs/>
          <w:lang w:eastAsia="en-AU"/>
        </w:rPr>
      </w:pPr>
      <w:r w:rsidRPr="002C52FA">
        <w:rPr>
          <w:rFonts w:ascii="Times New Roman" w:eastAsia="Times New Roman" w:hAnsi="Times New Roman" w:cs="Times New Roman"/>
          <w:bCs/>
          <w:lang w:eastAsia="en-AU"/>
        </w:rPr>
        <w:t xml:space="preserve">Subsection 33(3) of the </w:t>
      </w:r>
      <w:r w:rsidRPr="002C52FA">
        <w:rPr>
          <w:rFonts w:ascii="Times New Roman" w:eastAsia="Times New Roman" w:hAnsi="Times New Roman" w:cs="Times New Roman"/>
          <w:bCs/>
          <w:i/>
          <w:lang w:eastAsia="en-AU"/>
        </w:rPr>
        <w:t>Acts Interpretation Act 1901</w:t>
      </w:r>
      <w:r w:rsidR="0008592D">
        <w:rPr>
          <w:rFonts w:ascii="Times New Roman" w:eastAsia="Times New Roman" w:hAnsi="Times New Roman" w:cs="Times New Roman"/>
          <w:bCs/>
          <w:lang w:eastAsia="en-AU"/>
        </w:rPr>
        <w:t xml:space="preserve"> provides that, where an </w:t>
      </w:r>
      <w:r w:rsidRPr="002C52FA">
        <w:rPr>
          <w:rFonts w:ascii="Times New Roman" w:eastAsia="Times New Roman" w:hAnsi="Times New Roman" w:cs="Times New Roman"/>
          <w:bCs/>
          <w:lang w:eastAsia="en-AU"/>
        </w:rPr>
        <w:t>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  This instrument is made in accordance with that provision.</w:t>
      </w:r>
    </w:p>
    <w:p w14:paraId="351DF3BB" w14:textId="77777777" w:rsidR="002C52FA" w:rsidRPr="002C52FA" w:rsidRDefault="002C52FA" w:rsidP="002C52FA">
      <w:pPr>
        <w:spacing w:after="0" w:line="240" w:lineRule="auto"/>
        <w:rPr>
          <w:rFonts w:ascii="Times New Roman" w:eastAsia="Times New Roman" w:hAnsi="Times New Roman" w:cs="Times New Roman"/>
          <w:bCs/>
          <w:lang w:eastAsia="en-AU"/>
        </w:rPr>
      </w:pPr>
    </w:p>
    <w:p w14:paraId="591C26EC" w14:textId="77777777" w:rsidR="002C52FA" w:rsidRPr="002C52FA" w:rsidRDefault="002C52FA" w:rsidP="002C52FA">
      <w:pPr>
        <w:spacing w:after="0" w:line="240" w:lineRule="auto"/>
        <w:rPr>
          <w:rFonts w:ascii="Times New Roman" w:eastAsia="Times New Roman" w:hAnsi="Times New Roman" w:cs="Times New Roman"/>
          <w:b/>
          <w:bCs/>
          <w:lang w:eastAsia="en-AU"/>
        </w:rPr>
      </w:pPr>
      <w:r w:rsidRPr="002C52FA">
        <w:rPr>
          <w:rFonts w:ascii="Times New Roman" w:eastAsia="Times New Roman" w:hAnsi="Times New Roman" w:cs="Times New Roman"/>
          <w:b/>
          <w:bCs/>
          <w:lang w:eastAsia="en-AU"/>
        </w:rPr>
        <w:t>Section 4 – Schedules</w:t>
      </w:r>
    </w:p>
    <w:p w14:paraId="280E0B58" w14:textId="77777777" w:rsidR="002C52FA" w:rsidRPr="002C52FA" w:rsidRDefault="002C52FA" w:rsidP="002C52FA">
      <w:pPr>
        <w:spacing w:after="0" w:line="240" w:lineRule="auto"/>
        <w:rPr>
          <w:rFonts w:ascii="Times New Roman" w:eastAsia="Times New Roman" w:hAnsi="Times New Roman" w:cs="Times New Roman"/>
          <w:bCs/>
          <w:lang w:eastAsia="en-AU"/>
        </w:rPr>
      </w:pPr>
    </w:p>
    <w:p w14:paraId="3DD6001E" w14:textId="77777777" w:rsidR="002C52FA" w:rsidRPr="002C52FA" w:rsidRDefault="002C52FA" w:rsidP="002C52FA">
      <w:pPr>
        <w:spacing w:after="0" w:line="240" w:lineRule="auto"/>
        <w:rPr>
          <w:rFonts w:ascii="Times New Roman" w:eastAsia="Times New Roman" w:hAnsi="Times New Roman" w:cs="Times New Roman"/>
          <w:bCs/>
          <w:lang w:eastAsia="en-AU"/>
        </w:rPr>
      </w:pPr>
      <w:r w:rsidRPr="002C52FA">
        <w:rPr>
          <w:rFonts w:ascii="Times New Roman" w:eastAsia="Times New Roman" w:hAnsi="Times New Roman" w:cs="Times New Roman"/>
          <w:bCs/>
          <w:lang w:eastAsia="en-AU"/>
        </w:rPr>
        <w:t>This section provides that each instrument that is specified in a Schedule to the Amendment Determination is amended or repealed as set out in the applicable items in the Schedule concerned, and that any other item in a Schedule to the Amendment Determination has effect according to its terms.</w:t>
      </w:r>
    </w:p>
    <w:p w14:paraId="55CF4DDF" w14:textId="77777777" w:rsidR="002C52FA" w:rsidRPr="002C52FA" w:rsidRDefault="002C52FA" w:rsidP="002C52FA">
      <w:pPr>
        <w:spacing w:after="0" w:line="240" w:lineRule="auto"/>
        <w:rPr>
          <w:rFonts w:ascii="Times New Roman" w:eastAsia="Times New Roman" w:hAnsi="Times New Roman" w:cs="Times New Roman"/>
          <w:bCs/>
          <w:lang w:eastAsia="en-AU"/>
        </w:rPr>
      </w:pPr>
    </w:p>
    <w:p w14:paraId="0CEB4F16" w14:textId="77777777" w:rsidR="002C52FA" w:rsidRPr="002C52FA" w:rsidRDefault="002C52FA" w:rsidP="002C52FA">
      <w:pPr>
        <w:spacing w:after="0" w:line="240" w:lineRule="auto"/>
        <w:rPr>
          <w:rFonts w:ascii="Times New Roman" w:eastAsia="Times New Roman" w:hAnsi="Times New Roman" w:cs="Times New Roman"/>
          <w:b/>
          <w:bCs/>
          <w:lang w:eastAsia="en-AU"/>
        </w:rPr>
      </w:pPr>
      <w:r w:rsidRPr="002C52FA">
        <w:rPr>
          <w:rFonts w:ascii="Times New Roman" w:eastAsia="Times New Roman" w:hAnsi="Times New Roman" w:cs="Times New Roman"/>
          <w:b/>
          <w:bCs/>
          <w:lang w:eastAsia="en-AU"/>
        </w:rPr>
        <w:t>Schedule 1 – Amendments</w:t>
      </w:r>
    </w:p>
    <w:p w14:paraId="3A45C81F" w14:textId="77777777" w:rsidR="002C52FA" w:rsidRPr="002C52FA" w:rsidRDefault="002C52FA" w:rsidP="002C52FA">
      <w:pPr>
        <w:spacing w:after="0" w:line="240" w:lineRule="auto"/>
        <w:rPr>
          <w:rFonts w:ascii="Times New Roman" w:eastAsia="Times New Roman" w:hAnsi="Times New Roman" w:cs="Times New Roman"/>
          <w:bCs/>
          <w:lang w:eastAsia="en-AU"/>
        </w:rPr>
      </w:pPr>
    </w:p>
    <w:p w14:paraId="221B31E4" w14:textId="77777777" w:rsidR="002C52FA" w:rsidRPr="002C52FA" w:rsidRDefault="002C52FA" w:rsidP="002C52FA">
      <w:pPr>
        <w:spacing w:after="0" w:line="240" w:lineRule="auto"/>
        <w:rPr>
          <w:rFonts w:ascii="Times New Roman" w:eastAsia="Times New Roman" w:hAnsi="Times New Roman" w:cs="Times New Roman"/>
          <w:bCs/>
          <w:lang w:eastAsia="en-AU"/>
        </w:rPr>
      </w:pPr>
      <w:r w:rsidRPr="002C52FA">
        <w:rPr>
          <w:rFonts w:ascii="Times New Roman" w:eastAsia="Times New Roman" w:hAnsi="Times New Roman" w:cs="Times New Roman"/>
          <w:bCs/>
          <w:lang w:eastAsia="en-AU"/>
        </w:rPr>
        <w:t xml:space="preserve">This Schedule amends the </w:t>
      </w:r>
      <w:r w:rsidRPr="002C52FA">
        <w:rPr>
          <w:rFonts w:ascii="Times New Roman" w:eastAsia="Times New Roman" w:hAnsi="Times New Roman" w:cs="Times New Roman"/>
          <w:i/>
          <w:iCs/>
          <w:lang w:eastAsia="en-AU"/>
        </w:rPr>
        <w:t>Therapeutic Goods (Excluded Goods) Determination 2018</w:t>
      </w:r>
      <w:r w:rsidRPr="002C52FA">
        <w:rPr>
          <w:rFonts w:ascii="Times New Roman" w:eastAsia="Times New Roman" w:hAnsi="Times New Roman" w:cs="Times New Roman"/>
          <w:i/>
          <w:lang w:eastAsia="en-AU"/>
        </w:rPr>
        <w:t xml:space="preserve"> </w:t>
      </w:r>
      <w:r w:rsidRPr="006C515C">
        <w:rPr>
          <w:rFonts w:ascii="Times New Roman" w:eastAsia="Times New Roman" w:hAnsi="Times New Roman" w:cs="Times New Roman"/>
          <w:lang w:eastAsia="en-AU"/>
        </w:rPr>
        <w:t>(“the Principal Determination”).</w:t>
      </w:r>
    </w:p>
    <w:p w14:paraId="0855CF7F" w14:textId="77777777" w:rsidR="002C52FA" w:rsidRPr="002C52FA" w:rsidRDefault="002C52FA" w:rsidP="002C52FA">
      <w:pPr>
        <w:spacing w:after="0" w:line="240" w:lineRule="auto"/>
        <w:rPr>
          <w:rFonts w:ascii="Times New Roman" w:eastAsia="Times New Roman" w:hAnsi="Times New Roman" w:cs="Times New Roman"/>
          <w:bCs/>
          <w:lang w:eastAsia="en-AU"/>
        </w:rPr>
      </w:pPr>
    </w:p>
    <w:p w14:paraId="5F06028B" w14:textId="3732B8B8" w:rsidR="002C52FA" w:rsidRPr="002C52FA" w:rsidRDefault="002C52FA" w:rsidP="002C52FA">
      <w:pPr>
        <w:spacing w:after="0" w:line="240" w:lineRule="auto"/>
        <w:rPr>
          <w:rFonts w:ascii="Times New Roman" w:eastAsia="Times New Roman" w:hAnsi="Times New Roman" w:cs="Times New Roman"/>
          <w:bCs/>
          <w:lang w:eastAsia="en-AU"/>
        </w:rPr>
      </w:pPr>
      <w:r w:rsidRPr="002C52FA">
        <w:rPr>
          <w:rFonts w:ascii="Times New Roman" w:eastAsia="Times New Roman" w:hAnsi="Times New Roman" w:cs="Times New Roman"/>
          <w:bCs/>
          <w:lang w:eastAsia="en-AU"/>
        </w:rPr>
        <w:t xml:space="preserve">Item 1 of this Schedule </w:t>
      </w:r>
      <w:r w:rsidR="0008592D">
        <w:rPr>
          <w:rFonts w:ascii="Times New Roman" w:eastAsia="Times New Roman" w:hAnsi="Times New Roman" w:cs="Times New Roman"/>
          <w:bCs/>
          <w:lang w:eastAsia="en-AU"/>
        </w:rPr>
        <w:t>inserts a number of definitions in the Principal Determination, including ‘health professional’, ‘serious’ and ‘serious disease’.</w:t>
      </w:r>
    </w:p>
    <w:p w14:paraId="049C6C4F" w14:textId="77777777" w:rsidR="002C52FA" w:rsidRPr="002C52FA" w:rsidRDefault="002C52FA" w:rsidP="002C52FA">
      <w:pPr>
        <w:spacing w:after="0" w:line="240" w:lineRule="auto"/>
        <w:rPr>
          <w:rFonts w:ascii="Times New Roman" w:eastAsia="Times New Roman" w:hAnsi="Times New Roman" w:cs="Times New Roman"/>
          <w:bCs/>
          <w:lang w:eastAsia="en-AU"/>
        </w:rPr>
      </w:pPr>
    </w:p>
    <w:p w14:paraId="2D671D2A" w14:textId="761D35DF" w:rsidR="006C515C" w:rsidRDefault="002C52FA" w:rsidP="002C52FA">
      <w:pPr>
        <w:spacing w:after="0" w:line="240" w:lineRule="auto"/>
        <w:rPr>
          <w:rFonts w:ascii="Times New Roman" w:eastAsia="Times New Roman" w:hAnsi="Times New Roman" w:cs="Times New Roman"/>
          <w:bCs/>
          <w:lang w:eastAsia="en-AU"/>
        </w:rPr>
      </w:pPr>
      <w:r w:rsidRPr="0008592D">
        <w:rPr>
          <w:rFonts w:ascii="Times New Roman" w:eastAsia="Times New Roman" w:hAnsi="Times New Roman" w:cs="Times New Roman"/>
          <w:bCs/>
          <w:lang w:eastAsia="en-AU"/>
        </w:rPr>
        <w:t xml:space="preserve">Item 2 of this Schedule </w:t>
      </w:r>
      <w:r w:rsidR="0008592D">
        <w:rPr>
          <w:rFonts w:ascii="Times New Roman" w:eastAsia="Times New Roman" w:hAnsi="Times New Roman" w:cs="Times New Roman"/>
          <w:bCs/>
          <w:lang w:eastAsia="en-AU"/>
        </w:rPr>
        <w:t xml:space="preserve">inserts fifteen new items </w:t>
      </w:r>
      <w:r w:rsidR="006C515C">
        <w:rPr>
          <w:rFonts w:ascii="Times New Roman" w:eastAsia="Times New Roman" w:hAnsi="Times New Roman" w:cs="Times New Roman"/>
          <w:bCs/>
          <w:lang w:eastAsia="en-AU"/>
        </w:rPr>
        <w:t xml:space="preserve">(items 14A to 14O) </w:t>
      </w:r>
      <w:r w:rsidR="0008592D">
        <w:rPr>
          <w:rFonts w:ascii="Times New Roman" w:eastAsia="Times New Roman" w:hAnsi="Times New Roman" w:cs="Times New Roman"/>
          <w:bCs/>
          <w:lang w:eastAsia="en-AU"/>
        </w:rPr>
        <w:t>in the table in Schedule 1</w:t>
      </w:r>
      <w:r w:rsidR="006C515C">
        <w:rPr>
          <w:rFonts w:ascii="Times New Roman" w:eastAsia="Times New Roman" w:hAnsi="Times New Roman" w:cs="Times New Roman"/>
          <w:bCs/>
          <w:lang w:eastAsia="en-AU"/>
        </w:rPr>
        <w:t xml:space="preserve"> to the Principal Determination.  These new items </w:t>
      </w:r>
      <w:r w:rsidR="006C515C" w:rsidRPr="006C515C">
        <w:rPr>
          <w:rFonts w:ascii="Times New Roman" w:eastAsia="Times New Roman" w:hAnsi="Times New Roman" w:cs="Times New Roman"/>
          <w:bCs/>
          <w:lang w:eastAsia="en-AU"/>
        </w:rPr>
        <w:t>specify</w:t>
      </w:r>
      <w:r w:rsidR="006C515C">
        <w:rPr>
          <w:rFonts w:ascii="Times New Roman" w:eastAsia="Times New Roman" w:hAnsi="Times New Roman" w:cs="Times New Roman"/>
          <w:bCs/>
          <w:lang w:eastAsia="en-AU"/>
        </w:rPr>
        <w:t xml:space="preserve"> </w:t>
      </w:r>
      <w:r w:rsidR="006C515C" w:rsidRPr="006C515C">
        <w:rPr>
          <w:rFonts w:ascii="Times New Roman" w:eastAsia="Times New Roman" w:hAnsi="Times New Roman" w:cs="Times New Roman"/>
          <w:bCs/>
          <w:lang w:eastAsia="en-AU"/>
        </w:rPr>
        <w:t>certain low risk software-based products (“</w:t>
      </w:r>
      <w:r w:rsidR="00FC1753">
        <w:rPr>
          <w:rFonts w:ascii="Times New Roman" w:eastAsia="Times New Roman" w:hAnsi="Times New Roman" w:cs="Times New Roman"/>
          <w:bCs/>
          <w:lang w:eastAsia="en-AU"/>
        </w:rPr>
        <w:t>relevant</w:t>
      </w:r>
      <w:r w:rsidR="00FC1753" w:rsidRPr="006C515C">
        <w:rPr>
          <w:rFonts w:ascii="Times New Roman" w:eastAsia="Times New Roman" w:hAnsi="Times New Roman" w:cs="Times New Roman"/>
          <w:bCs/>
          <w:lang w:eastAsia="en-AU"/>
        </w:rPr>
        <w:t xml:space="preserve"> </w:t>
      </w:r>
      <w:r w:rsidR="006C515C" w:rsidRPr="006C515C">
        <w:rPr>
          <w:rFonts w:ascii="Times New Roman" w:eastAsia="Times New Roman" w:hAnsi="Times New Roman" w:cs="Times New Roman"/>
          <w:bCs/>
          <w:lang w:eastAsia="en-AU"/>
        </w:rPr>
        <w:t>software</w:t>
      </w:r>
      <w:r w:rsidR="00FC1753">
        <w:rPr>
          <w:rFonts w:ascii="Times New Roman" w:eastAsia="Times New Roman" w:hAnsi="Times New Roman" w:cs="Times New Roman"/>
          <w:bCs/>
          <w:lang w:eastAsia="en-AU"/>
        </w:rPr>
        <w:t xml:space="preserve"> products</w:t>
      </w:r>
      <w:r w:rsidR="006C515C" w:rsidRPr="006C515C">
        <w:rPr>
          <w:rFonts w:ascii="Times New Roman" w:eastAsia="Times New Roman" w:hAnsi="Times New Roman" w:cs="Times New Roman"/>
          <w:bCs/>
          <w:lang w:eastAsia="en-AU"/>
        </w:rPr>
        <w:t>”)</w:t>
      </w:r>
      <w:r w:rsidR="006C515C">
        <w:rPr>
          <w:rFonts w:ascii="Times New Roman" w:eastAsia="Times New Roman" w:hAnsi="Times New Roman" w:cs="Times New Roman"/>
          <w:bCs/>
          <w:lang w:eastAsia="en-AU"/>
        </w:rPr>
        <w:t>.</w:t>
      </w:r>
      <w:r w:rsidR="00057F59" w:rsidRPr="00057F59">
        <w:rPr>
          <w:rFonts w:ascii="Times New Roman" w:eastAsia="Times New Roman" w:hAnsi="Times New Roman" w:cs="Times New Roman"/>
          <w:lang w:eastAsia="en-AU"/>
        </w:rPr>
        <w:t xml:space="preserve"> </w:t>
      </w:r>
      <w:r w:rsidR="00057F59">
        <w:rPr>
          <w:rFonts w:ascii="Times New Roman" w:eastAsia="Times New Roman" w:hAnsi="Times New Roman" w:cs="Times New Roman"/>
          <w:lang w:eastAsia="en-AU"/>
        </w:rPr>
        <w:t xml:space="preserve"> </w:t>
      </w:r>
      <w:r w:rsidR="00057F59" w:rsidRPr="00057F59">
        <w:rPr>
          <w:rFonts w:ascii="Times New Roman" w:eastAsia="Times New Roman" w:hAnsi="Times New Roman" w:cs="Times New Roman"/>
          <w:bCs/>
          <w:lang w:eastAsia="en-AU"/>
        </w:rPr>
        <w:t xml:space="preserve">The effect of these </w:t>
      </w:r>
      <w:r w:rsidR="00057F59">
        <w:rPr>
          <w:rFonts w:ascii="Times New Roman" w:eastAsia="Times New Roman" w:hAnsi="Times New Roman" w:cs="Times New Roman"/>
          <w:bCs/>
          <w:lang w:eastAsia="en-AU"/>
        </w:rPr>
        <w:t xml:space="preserve">new </w:t>
      </w:r>
      <w:r w:rsidR="00057F59" w:rsidRPr="00057F59">
        <w:rPr>
          <w:rFonts w:ascii="Times New Roman" w:eastAsia="Times New Roman" w:hAnsi="Times New Roman" w:cs="Times New Roman"/>
          <w:bCs/>
          <w:lang w:eastAsia="en-AU"/>
        </w:rPr>
        <w:t xml:space="preserve">items is to exclude the </w:t>
      </w:r>
      <w:r w:rsidR="00FC1753">
        <w:rPr>
          <w:rFonts w:ascii="Times New Roman" w:eastAsia="Times New Roman" w:hAnsi="Times New Roman" w:cs="Times New Roman"/>
          <w:bCs/>
          <w:lang w:eastAsia="en-AU"/>
        </w:rPr>
        <w:t>relevant</w:t>
      </w:r>
      <w:r w:rsidR="00FC1753" w:rsidRPr="00057F59">
        <w:rPr>
          <w:rFonts w:ascii="Times New Roman" w:eastAsia="Times New Roman" w:hAnsi="Times New Roman" w:cs="Times New Roman"/>
          <w:bCs/>
          <w:lang w:eastAsia="en-AU"/>
        </w:rPr>
        <w:t xml:space="preserve"> </w:t>
      </w:r>
      <w:r w:rsidR="00057F59" w:rsidRPr="00057F59">
        <w:rPr>
          <w:rFonts w:ascii="Times New Roman" w:eastAsia="Times New Roman" w:hAnsi="Times New Roman" w:cs="Times New Roman"/>
          <w:bCs/>
          <w:lang w:eastAsia="en-AU"/>
        </w:rPr>
        <w:t>software</w:t>
      </w:r>
      <w:r w:rsidR="00FC1753">
        <w:rPr>
          <w:rFonts w:ascii="Times New Roman" w:eastAsia="Times New Roman" w:hAnsi="Times New Roman" w:cs="Times New Roman"/>
          <w:bCs/>
          <w:lang w:eastAsia="en-AU"/>
        </w:rPr>
        <w:t xml:space="preserve"> products</w:t>
      </w:r>
      <w:r w:rsidR="00057F59" w:rsidRPr="00057F59">
        <w:rPr>
          <w:rFonts w:ascii="Times New Roman" w:eastAsia="Times New Roman" w:hAnsi="Times New Roman" w:cs="Times New Roman"/>
          <w:bCs/>
          <w:lang w:eastAsia="en-AU"/>
        </w:rPr>
        <w:t xml:space="preserve"> from the operation of the Act.</w:t>
      </w:r>
    </w:p>
    <w:p w14:paraId="4867E29A" w14:textId="0A79579F" w:rsidR="002C52FA" w:rsidRDefault="002C52FA" w:rsidP="002C52FA">
      <w:pPr>
        <w:spacing w:after="0" w:line="240" w:lineRule="auto"/>
        <w:rPr>
          <w:rFonts w:ascii="Times New Roman" w:eastAsia="Times New Roman" w:hAnsi="Times New Roman" w:cs="Times New Roman"/>
          <w:bCs/>
          <w:lang w:eastAsia="en-AU"/>
        </w:rPr>
      </w:pPr>
    </w:p>
    <w:p w14:paraId="7E9B54F2" w14:textId="77777777" w:rsidR="002C52FA" w:rsidRPr="002C52FA" w:rsidRDefault="002C52FA" w:rsidP="002C52FA">
      <w:pPr>
        <w:spacing w:after="0" w:line="240" w:lineRule="auto"/>
        <w:rPr>
          <w:rFonts w:ascii="Times New Roman" w:eastAsia="Times New Roman" w:hAnsi="Times New Roman" w:cs="Times New Roman"/>
          <w:b/>
          <w:bCs/>
          <w:lang w:eastAsia="en-AU"/>
        </w:rPr>
      </w:pPr>
      <w:r w:rsidRPr="002C52FA">
        <w:rPr>
          <w:rFonts w:ascii="Times New Roman" w:eastAsia="Times New Roman" w:hAnsi="Times New Roman" w:cs="Times New Roman"/>
          <w:b/>
          <w:bCs/>
          <w:lang w:eastAsia="en-AU"/>
        </w:rPr>
        <w:br w:type="page"/>
      </w:r>
    </w:p>
    <w:p w14:paraId="2816C738" w14:textId="77777777" w:rsidR="002C52FA" w:rsidRPr="002C52FA" w:rsidRDefault="002C52FA" w:rsidP="002C52FA">
      <w:pPr>
        <w:spacing w:after="0"/>
        <w:jc w:val="right"/>
        <w:rPr>
          <w:rFonts w:ascii="Times New Roman" w:eastAsia="Times New Roman" w:hAnsi="Times New Roman" w:cs="Times New Roman"/>
          <w:b/>
          <w:bCs/>
          <w:lang w:eastAsia="en-AU"/>
        </w:rPr>
      </w:pPr>
      <w:r w:rsidRPr="002C52FA">
        <w:rPr>
          <w:rFonts w:ascii="Times New Roman" w:eastAsia="Times New Roman" w:hAnsi="Times New Roman" w:cs="Times New Roman"/>
          <w:b/>
          <w:bCs/>
          <w:lang w:eastAsia="en-AU"/>
        </w:rPr>
        <w:lastRenderedPageBreak/>
        <w:t>Attachment B</w:t>
      </w:r>
    </w:p>
    <w:p w14:paraId="0CE57A33" w14:textId="77777777" w:rsidR="002C52FA" w:rsidRPr="002C52FA" w:rsidRDefault="002C52FA" w:rsidP="002C52FA">
      <w:pPr>
        <w:shd w:val="clear" w:color="auto" w:fill="FFFFFF"/>
        <w:spacing w:before="100" w:beforeAutospacing="1" w:after="120" w:line="240" w:lineRule="auto"/>
        <w:jc w:val="center"/>
        <w:rPr>
          <w:rFonts w:ascii="Times New Roman" w:eastAsia="Times New Roman" w:hAnsi="Times New Roman" w:cs="Times New Roman"/>
          <w:b/>
          <w:bCs/>
          <w:lang w:eastAsia="en-AU"/>
        </w:rPr>
      </w:pPr>
      <w:r w:rsidRPr="002C52FA">
        <w:rPr>
          <w:rFonts w:ascii="Times New Roman" w:eastAsia="Times New Roman" w:hAnsi="Times New Roman" w:cs="Times New Roman"/>
          <w:b/>
          <w:bCs/>
          <w:lang w:eastAsia="en-AU"/>
        </w:rPr>
        <w:t>Statement of Compatibility with Human Rights</w:t>
      </w:r>
    </w:p>
    <w:p w14:paraId="5A8DBB9C" w14:textId="77777777" w:rsidR="002C52FA" w:rsidRPr="002C52FA" w:rsidRDefault="002C52FA" w:rsidP="002C52FA">
      <w:pPr>
        <w:shd w:val="clear" w:color="auto" w:fill="FFFFFF"/>
        <w:spacing w:before="100" w:beforeAutospacing="1" w:after="0" w:line="240" w:lineRule="auto"/>
        <w:ind w:right="-142"/>
        <w:jc w:val="center"/>
        <w:rPr>
          <w:rFonts w:ascii="Tms Rmn" w:eastAsia="Times New Roman" w:hAnsi="Tms Rmn" w:cs="Times New Roman"/>
          <w:lang w:eastAsia="en-AU"/>
        </w:rPr>
      </w:pPr>
      <w:r w:rsidRPr="002C52FA">
        <w:rPr>
          <w:rFonts w:ascii="Tms Rmn" w:eastAsia="Times New Roman" w:hAnsi="Tms Rmn" w:cs="Times New Roman"/>
          <w:lang w:eastAsia="en-AU"/>
        </w:rPr>
        <w:t>Prepared in accordance with Part 3 of the</w:t>
      </w:r>
      <w:r w:rsidRPr="002C52FA">
        <w:rPr>
          <w:rFonts w:ascii="Tms Rmn" w:eastAsia="Times New Roman" w:hAnsi="Tms Rmn" w:cs="Times New Roman"/>
          <w:iCs/>
          <w:lang w:eastAsia="en-AU"/>
        </w:rPr>
        <w:t xml:space="preserve"> </w:t>
      </w:r>
      <w:r w:rsidRPr="002C52FA">
        <w:rPr>
          <w:rFonts w:ascii="Tms Rmn" w:eastAsia="Times New Roman" w:hAnsi="Tms Rmn" w:cs="Times New Roman"/>
          <w:i/>
          <w:iCs/>
          <w:lang w:eastAsia="en-AU"/>
        </w:rPr>
        <w:t>Human Rights (Parliamentary Scrutiny) Act 2011</w:t>
      </w:r>
      <w:r w:rsidRPr="002C52FA">
        <w:rPr>
          <w:rFonts w:ascii="Tms Rmn" w:eastAsia="Times New Roman" w:hAnsi="Tms Rmn" w:cs="Times New Roman"/>
          <w:lang w:eastAsia="en-AU"/>
        </w:rPr>
        <w:t>.</w:t>
      </w:r>
    </w:p>
    <w:p w14:paraId="0A633BA6" w14:textId="77777777" w:rsidR="002C52FA" w:rsidRPr="002C52FA" w:rsidRDefault="002C52FA" w:rsidP="002C52FA">
      <w:pPr>
        <w:spacing w:before="60" w:after="0" w:line="240" w:lineRule="auto"/>
        <w:jc w:val="center"/>
        <w:rPr>
          <w:rFonts w:ascii="Times New Roman" w:eastAsia="Times New Roman" w:hAnsi="Times New Roman" w:cs="Times New Roman"/>
          <w:b/>
          <w:i/>
          <w:lang w:eastAsia="en-AU"/>
        </w:rPr>
      </w:pPr>
    </w:p>
    <w:p w14:paraId="1BF3F8F8" w14:textId="03DE53DD" w:rsidR="002C52FA" w:rsidRPr="002C52FA" w:rsidRDefault="002C52FA" w:rsidP="002C52FA">
      <w:pPr>
        <w:spacing w:after="0" w:line="240" w:lineRule="auto"/>
        <w:jc w:val="center"/>
        <w:rPr>
          <w:rFonts w:ascii="Times New Roman" w:eastAsia="Times New Roman" w:hAnsi="Times New Roman" w:cs="Times New Roman"/>
          <w:b/>
          <w:i/>
          <w:lang w:eastAsia="en-AU"/>
        </w:rPr>
      </w:pPr>
      <w:r w:rsidRPr="002C52FA">
        <w:rPr>
          <w:rFonts w:ascii="Times New Roman" w:eastAsia="Times New Roman" w:hAnsi="Times New Roman" w:cs="Times New Roman"/>
          <w:b/>
          <w:i/>
          <w:lang w:eastAsia="en-AU"/>
        </w:rPr>
        <w:t>Therapeutic Goods (Excluded Goods) Amendment (Software-ba</w:t>
      </w:r>
      <w:r w:rsidR="002B7E54">
        <w:rPr>
          <w:rFonts w:ascii="Times New Roman" w:eastAsia="Times New Roman" w:hAnsi="Times New Roman" w:cs="Times New Roman"/>
          <w:b/>
          <w:i/>
          <w:lang w:eastAsia="en-AU"/>
        </w:rPr>
        <w:t>sed Products) Determination 2021</w:t>
      </w:r>
    </w:p>
    <w:p w14:paraId="79A2F544" w14:textId="77777777" w:rsidR="002C52FA" w:rsidRPr="002C52FA" w:rsidRDefault="002C52FA" w:rsidP="002C52FA">
      <w:pPr>
        <w:spacing w:after="0" w:line="240" w:lineRule="auto"/>
        <w:rPr>
          <w:rFonts w:ascii="Times New Roman" w:eastAsia="Times New Roman" w:hAnsi="Times New Roman" w:cs="Times New Roman"/>
          <w:lang w:eastAsia="en-AU"/>
        </w:rPr>
      </w:pPr>
    </w:p>
    <w:p w14:paraId="7BA8343A" w14:textId="77777777" w:rsidR="002C52FA" w:rsidRPr="002C52FA" w:rsidRDefault="002C52FA" w:rsidP="002C52FA">
      <w:pPr>
        <w:spacing w:after="0" w:line="240" w:lineRule="auto"/>
        <w:rPr>
          <w:rFonts w:ascii="Times New Roman" w:eastAsia="Times New Roman" w:hAnsi="Times New Roman" w:cs="Times New Roman"/>
          <w:lang w:eastAsia="en-AU"/>
        </w:rPr>
      </w:pPr>
      <w:r w:rsidRPr="002C52FA">
        <w:rPr>
          <w:rFonts w:ascii="Times New Roman" w:eastAsia="Times New Roman" w:hAnsi="Times New Roman" w:cs="Times New Roman"/>
          <w:lang w:eastAsia="en-AU"/>
        </w:rPr>
        <w:t xml:space="preserve">This disallowable legislative instrument is compatible with the human rights and freedoms recognised or declared in the international instruments listed in section 3 of the </w:t>
      </w:r>
      <w:r w:rsidRPr="002C52FA">
        <w:rPr>
          <w:rFonts w:ascii="Times New Roman" w:eastAsia="Times New Roman" w:hAnsi="Times New Roman" w:cs="Times New Roman"/>
          <w:i/>
          <w:lang w:eastAsia="en-AU"/>
        </w:rPr>
        <w:t>Human Rights (Parliamentary Scrutiny) Act 2011</w:t>
      </w:r>
      <w:r w:rsidRPr="002C52FA">
        <w:rPr>
          <w:rFonts w:ascii="Times New Roman" w:eastAsia="Times New Roman" w:hAnsi="Times New Roman" w:cs="Times New Roman"/>
          <w:lang w:eastAsia="en-AU"/>
        </w:rPr>
        <w:t>.</w:t>
      </w:r>
    </w:p>
    <w:p w14:paraId="7EE87F17" w14:textId="77777777" w:rsidR="002C52FA" w:rsidRPr="002C52FA" w:rsidRDefault="002C52FA" w:rsidP="002C52FA">
      <w:pPr>
        <w:spacing w:after="0" w:line="240" w:lineRule="auto"/>
        <w:rPr>
          <w:rFonts w:ascii="Times New Roman" w:eastAsia="Times New Roman" w:hAnsi="Times New Roman" w:cs="Times New Roman"/>
          <w:lang w:eastAsia="en-AU"/>
        </w:rPr>
      </w:pPr>
    </w:p>
    <w:p w14:paraId="38609675" w14:textId="77777777" w:rsidR="002C52FA" w:rsidRPr="002C52FA" w:rsidRDefault="002C52FA" w:rsidP="002C52FA">
      <w:pPr>
        <w:spacing w:after="0" w:line="240" w:lineRule="auto"/>
        <w:rPr>
          <w:rFonts w:ascii="Times New Roman" w:eastAsia="Times New Roman" w:hAnsi="Times New Roman" w:cs="Times New Roman"/>
          <w:b/>
          <w:lang w:eastAsia="en-AU"/>
        </w:rPr>
      </w:pPr>
      <w:r w:rsidRPr="002C52FA">
        <w:rPr>
          <w:rFonts w:ascii="Times New Roman" w:eastAsia="Times New Roman" w:hAnsi="Times New Roman" w:cs="Times New Roman"/>
          <w:b/>
          <w:lang w:eastAsia="en-AU"/>
        </w:rPr>
        <w:t>Overview of legislative instrument</w:t>
      </w:r>
    </w:p>
    <w:p w14:paraId="6C78DF24" w14:textId="77777777" w:rsidR="002C52FA" w:rsidRPr="002C52FA" w:rsidRDefault="002C52FA" w:rsidP="002C52FA">
      <w:pPr>
        <w:spacing w:after="0" w:line="240" w:lineRule="auto"/>
        <w:rPr>
          <w:rFonts w:ascii="Times New Roman" w:eastAsia="Times New Roman" w:hAnsi="Times New Roman" w:cs="Times New Roman"/>
          <w:lang w:eastAsia="en-AU"/>
        </w:rPr>
      </w:pPr>
    </w:p>
    <w:p w14:paraId="7DDCC3D6" w14:textId="059AAC84" w:rsidR="00E2214F" w:rsidRDefault="00E2214F" w:rsidP="00E2214F">
      <w:pPr>
        <w:shd w:val="clear" w:color="auto" w:fill="FFFFFF"/>
        <w:spacing w:after="0" w:line="240" w:lineRule="auto"/>
        <w:rPr>
          <w:rFonts w:ascii="Times New Roman" w:eastAsia="Times New Roman" w:hAnsi="Times New Roman" w:cs="Times New Roman"/>
          <w:lang w:eastAsia="en-AU"/>
        </w:rPr>
      </w:pPr>
      <w:r w:rsidRPr="002C52FA">
        <w:rPr>
          <w:rFonts w:ascii="Times New Roman" w:eastAsia="Times New Roman" w:hAnsi="Times New Roman" w:cs="Times New Roman"/>
          <w:lang w:eastAsia="en-AU"/>
        </w:rPr>
        <w:t xml:space="preserve">The </w:t>
      </w:r>
      <w:r w:rsidRPr="002C52FA">
        <w:rPr>
          <w:rFonts w:ascii="Times New Roman" w:eastAsia="Times New Roman" w:hAnsi="Times New Roman" w:cs="Times New Roman"/>
          <w:i/>
          <w:iCs/>
          <w:lang w:eastAsia="en-AU"/>
        </w:rPr>
        <w:t>Therapeutic Goods (Excluded Goods) Amendment (Software-ba</w:t>
      </w:r>
      <w:r w:rsidR="002B7E54">
        <w:rPr>
          <w:rFonts w:ascii="Times New Roman" w:eastAsia="Times New Roman" w:hAnsi="Times New Roman" w:cs="Times New Roman"/>
          <w:i/>
          <w:iCs/>
          <w:lang w:eastAsia="en-AU"/>
        </w:rPr>
        <w:t>sed Products) Determination 2021</w:t>
      </w:r>
      <w:r w:rsidRPr="002C52FA">
        <w:rPr>
          <w:rFonts w:ascii="Times New Roman" w:eastAsia="Times New Roman" w:hAnsi="Times New Roman" w:cs="Times New Roman"/>
          <w:i/>
          <w:iCs/>
          <w:lang w:eastAsia="en-AU"/>
        </w:rPr>
        <w:t xml:space="preserve"> </w:t>
      </w:r>
      <w:r w:rsidRPr="002C52FA">
        <w:rPr>
          <w:rFonts w:ascii="Times New Roman" w:eastAsia="Times New Roman" w:hAnsi="Times New Roman" w:cs="Times New Roman"/>
          <w:lang w:eastAsia="en-AU"/>
        </w:rPr>
        <w:t xml:space="preserve">(“the </w:t>
      </w:r>
      <w:r>
        <w:rPr>
          <w:rFonts w:ascii="Times New Roman" w:eastAsia="Times New Roman" w:hAnsi="Times New Roman" w:cs="Times New Roman"/>
          <w:lang w:eastAsia="en-AU"/>
        </w:rPr>
        <w:t>amendment instrument</w:t>
      </w:r>
      <w:r w:rsidRPr="002C52FA">
        <w:rPr>
          <w:rFonts w:ascii="Times New Roman" w:eastAsia="Times New Roman" w:hAnsi="Times New Roman" w:cs="Times New Roman"/>
          <w:lang w:eastAsia="en-AU"/>
        </w:rPr>
        <w:t xml:space="preserve">”) is made under section 7AA of the </w:t>
      </w:r>
      <w:r w:rsidRPr="00E2214F">
        <w:rPr>
          <w:rFonts w:ascii="Times New Roman" w:eastAsia="Times New Roman" w:hAnsi="Times New Roman" w:cs="Times New Roman"/>
          <w:i/>
          <w:lang w:eastAsia="en-AU"/>
        </w:rPr>
        <w:t>Therapeutic Goods Act 1989</w:t>
      </w:r>
      <w:r>
        <w:rPr>
          <w:rFonts w:ascii="Times New Roman" w:eastAsia="Times New Roman" w:hAnsi="Times New Roman" w:cs="Times New Roman"/>
          <w:lang w:eastAsia="en-AU"/>
        </w:rPr>
        <w:t xml:space="preserve"> (“the Act”)</w:t>
      </w:r>
      <w:r w:rsidRPr="002C52FA">
        <w:rPr>
          <w:rFonts w:ascii="Times New Roman" w:eastAsia="Times New Roman" w:hAnsi="Times New Roman" w:cs="Times New Roman"/>
          <w:lang w:eastAsia="en-AU"/>
        </w:rPr>
        <w:t xml:space="preserve">, read together with subsection 33(3) of the </w:t>
      </w:r>
      <w:r w:rsidRPr="002C52FA">
        <w:rPr>
          <w:rFonts w:ascii="Times New Roman" w:eastAsia="Times New Roman" w:hAnsi="Times New Roman" w:cs="Times New Roman"/>
          <w:i/>
          <w:iCs/>
          <w:lang w:eastAsia="en-AU"/>
        </w:rPr>
        <w:t xml:space="preserve">Acts </w:t>
      </w:r>
      <w:r w:rsidRPr="0049255C">
        <w:rPr>
          <w:rFonts w:ascii="Times New Roman" w:eastAsia="Times New Roman" w:hAnsi="Times New Roman" w:cs="Times New Roman"/>
          <w:i/>
          <w:iCs/>
          <w:lang w:eastAsia="en-AU"/>
        </w:rPr>
        <w:t>Interpretation Act 1901</w:t>
      </w:r>
      <w:r w:rsidRPr="0049255C">
        <w:rPr>
          <w:rFonts w:ascii="Times New Roman" w:eastAsia="Times New Roman" w:hAnsi="Times New Roman" w:cs="Times New Roman"/>
          <w:lang w:eastAsia="en-AU"/>
        </w:rPr>
        <w:t xml:space="preserve">.  The </w:t>
      </w:r>
      <w:r>
        <w:rPr>
          <w:rFonts w:ascii="Times New Roman" w:eastAsia="Times New Roman" w:hAnsi="Times New Roman" w:cs="Times New Roman"/>
          <w:lang w:eastAsia="en-AU"/>
        </w:rPr>
        <w:t xml:space="preserve">amendment instrument amends the </w:t>
      </w:r>
      <w:r w:rsidRPr="00E2214F">
        <w:rPr>
          <w:rFonts w:ascii="Times New Roman" w:eastAsia="Times New Roman" w:hAnsi="Times New Roman" w:cs="Times New Roman"/>
          <w:i/>
          <w:iCs/>
          <w:lang w:eastAsia="en-AU"/>
        </w:rPr>
        <w:t xml:space="preserve">Therapeutic Goods (Excluded Goods) </w:t>
      </w:r>
      <w:r>
        <w:rPr>
          <w:rFonts w:ascii="Times New Roman" w:eastAsia="Times New Roman" w:hAnsi="Times New Roman" w:cs="Times New Roman"/>
          <w:i/>
          <w:iCs/>
          <w:lang w:eastAsia="en-AU"/>
        </w:rPr>
        <w:t>Determination 2018</w:t>
      </w:r>
      <w:r>
        <w:rPr>
          <w:rFonts w:ascii="Times New Roman" w:eastAsia="Times New Roman" w:hAnsi="Times New Roman" w:cs="Times New Roman"/>
          <w:iCs/>
          <w:lang w:eastAsia="en-AU"/>
        </w:rPr>
        <w:t xml:space="preserve"> (“the principal instrument”)</w:t>
      </w:r>
      <w:r w:rsidRPr="0049255C">
        <w:rPr>
          <w:rFonts w:ascii="Times New Roman" w:eastAsia="Times New Roman" w:hAnsi="Times New Roman" w:cs="Times New Roman"/>
          <w:lang w:eastAsia="en-AU"/>
        </w:rPr>
        <w:t xml:space="preserve"> by inserting 15 new</w:t>
      </w:r>
      <w:r w:rsidRPr="002C52FA">
        <w:rPr>
          <w:rFonts w:ascii="Times New Roman" w:eastAsia="Times New Roman" w:hAnsi="Times New Roman" w:cs="Times New Roman"/>
          <w:lang w:eastAsia="en-AU"/>
        </w:rPr>
        <w:t xml:space="preserve"> items (items 14A to 14O)</w:t>
      </w:r>
      <w:r w:rsidR="007C60E6">
        <w:rPr>
          <w:rFonts w:ascii="Times New Roman" w:eastAsia="Times New Roman" w:hAnsi="Times New Roman" w:cs="Times New Roman"/>
          <w:lang w:eastAsia="en-AU"/>
        </w:rPr>
        <w:t xml:space="preserve"> in Schedule 1.  The new items </w:t>
      </w:r>
      <w:r w:rsidRPr="002C52FA">
        <w:rPr>
          <w:rFonts w:ascii="Times New Roman" w:eastAsia="Times New Roman" w:hAnsi="Times New Roman" w:cs="Times New Roman"/>
          <w:lang w:eastAsia="en-AU"/>
        </w:rPr>
        <w:t>specify certain low risk software</w:t>
      </w:r>
      <w:r>
        <w:rPr>
          <w:rFonts w:ascii="Times New Roman" w:eastAsia="Times New Roman" w:hAnsi="Times New Roman" w:cs="Times New Roman"/>
          <w:lang w:eastAsia="en-AU"/>
        </w:rPr>
        <w:t>-based products</w:t>
      </w:r>
      <w:r w:rsidRPr="002C52FA">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 xml:space="preserve">(“the </w:t>
      </w:r>
      <w:r w:rsidR="00FC1753">
        <w:rPr>
          <w:rFonts w:ascii="Times New Roman" w:eastAsia="Times New Roman" w:hAnsi="Times New Roman" w:cs="Times New Roman"/>
          <w:lang w:eastAsia="en-AU"/>
        </w:rPr>
        <w:t xml:space="preserve">relevant </w:t>
      </w:r>
      <w:r>
        <w:rPr>
          <w:rFonts w:ascii="Times New Roman" w:eastAsia="Times New Roman" w:hAnsi="Times New Roman" w:cs="Times New Roman"/>
          <w:lang w:eastAsia="en-AU"/>
        </w:rPr>
        <w:t>software</w:t>
      </w:r>
      <w:r w:rsidR="00FC1753">
        <w:rPr>
          <w:rFonts w:ascii="Times New Roman" w:eastAsia="Times New Roman" w:hAnsi="Times New Roman" w:cs="Times New Roman"/>
          <w:lang w:eastAsia="en-AU"/>
        </w:rPr>
        <w:t xml:space="preserve"> products</w:t>
      </w:r>
      <w:r>
        <w:rPr>
          <w:rFonts w:ascii="Times New Roman" w:eastAsia="Times New Roman" w:hAnsi="Times New Roman" w:cs="Times New Roman"/>
          <w:lang w:eastAsia="en-AU"/>
        </w:rPr>
        <w:t xml:space="preserve">”) </w:t>
      </w:r>
      <w:r w:rsidR="00281EA0">
        <w:rPr>
          <w:rFonts w:ascii="Times New Roman" w:eastAsia="Times New Roman" w:hAnsi="Times New Roman" w:cs="Times New Roman"/>
          <w:lang w:eastAsia="en-AU"/>
        </w:rPr>
        <w:t xml:space="preserve">that </w:t>
      </w:r>
      <w:r w:rsidRPr="002C52FA">
        <w:rPr>
          <w:rFonts w:ascii="Times New Roman" w:eastAsia="Times New Roman" w:hAnsi="Times New Roman" w:cs="Times New Roman"/>
          <w:lang w:eastAsia="en-AU"/>
        </w:rPr>
        <w:t>are excluded goods for the purposes of the Ac</w:t>
      </w:r>
      <w:r>
        <w:rPr>
          <w:rFonts w:ascii="Times New Roman" w:eastAsia="Times New Roman" w:hAnsi="Times New Roman" w:cs="Times New Roman"/>
          <w:lang w:eastAsia="en-AU"/>
        </w:rPr>
        <w:t>t</w:t>
      </w:r>
      <w:r w:rsidRPr="002C52FA">
        <w:rPr>
          <w:rFonts w:ascii="Times New Roman" w:eastAsia="Times New Roman" w:hAnsi="Times New Roman" w:cs="Times New Roman"/>
          <w:lang w:eastAsia="en-AU"/>
        </w:rPr>
        <w:t xml:space="preserve">.  The </w:t>
      </w:r>
      <w:r w:rsidR="00FC1753">
        <w:rPr>
          <w:rFonts w:ascii="Times New Roman" w:eastAsia="Times New Roman" w:hAnsi="Times New Roman" w:cs="Times New Roman"/>
          <w:lang w:eastAsia="en-AU"/>
        </w:rPr>
        <w:t>relevant</w:t>
      </w:r>
      <w:r w:rsidR="00FC1753" w:rsidRPr="002C52FA">
        <w:rPr>
          <w:rFonts w:ascii="Times New Roman" w:eastAsia="Times New Roman" w:hAnsi="Times New Roman" w:cs="Times New Roman"/>
          <w:lang w:eastAsia="en-AU"/>
        </w:rPr>
        <w:t xml:space="preserve"> </w:t>
      </w:r>
      <w:r w:rsidRPr="002C52FA">
        <w:rPr>
          <w:rFonts w:ascii="Times New Roman" w:eastAsia="Times New Roman" w:hAnsi="Times New Roman" w:cs="Times New Roman"/>
          <w:lang w:eastAsia="en-AU"/>
        </w:rPr>
        <w:t>software</w:t>
      </w:r>
      <w:r w:rsidR="00FC1753">
        <w:rPr>
          <w:rFonts w:ascii="Times New Roman" w:eastAsia="Times New Roman" w:hAnsi="Times New Roman" w:cs="Times New Roman"/>
          <w:lang w:eastAsia="en-AU"/>
        </w:rPr>
        <w:t xml:space="preserve"> products</w:t>
      </w:r>
      <w:r w:rsidRPr="002C52FA">
        <w:rPr>
          <w:rFonts w:ascii="Times New Roman" w:eastAsia="Times New Roman" w:hAnsi="Times New Roman" w:cs="Times New Roman"/>
          <w:lang w:eastAsia="en-AU"/>
        </w:rPr>
        <w:t xml:space="preserve"> can be </w:t>
      </w:r>
      <w:r>
        <w:rPr>
          <w:rFonts w:ascii="Times New Roman" w:eastAsia="Times New Roman" w:hAnsi="Times New Roman" w:cs="Times New Roman"/>
          <w:lang w:eastAsia="en-AU"/>
        </w:rPr>
        <w:t>broadly described as follows:</w:t>
      </w:r>
    </w:p>
    <w:p w14:paraId="1951ED4B" w14:textId="77777777" w:rsidR="00E2214F" w:rsidRDefault="00E2214F" w:rsidP="00E2214F">
      <w:pPr>
        <w:shd w:val="clear" w:color="auto" w:fill="FFFFFF"/>
        <w:spacing w:after="0" w:line="240" w:lineRule="auto"/>
        <w:rPr>
          <w:rFonts w:ascii="Times New Roman" w:eastAsia="Times New Roman" w:hAnsi="Times New Roman" w:cs="Times New Roman"/>
          <w:lang w:eastAsia="en-AU"/>
        </w:rPr>
      </w:pPr>
    </w:p>
    <w:p w14:paraId="77091628" w14:textId="77777777" w:rsidR="00E2214F" w:rsidRDefault="00E2214F" w:rsidP="00E2214F">
      <w:pPr>
        <w:pStyle w:val="ListParagraph"/>
        <w:numPr>
          <w:ilvl w:val="0"/>
          <w:numId w:val="2"/>
        </w:numPr>
        <w:shd w:val="clear" w:color="auto" w:fill="FFFFFF"/>
        <w:spacing w:after="0" w:line="240" w:lineRule="auto"/>
        <w:rPr>
          <w:rFonts w:ascii="Times New Roman" w:eastAsia="Times New Roman" w:hAnsi="Times New Roman" w:cs="Times New Roman"/>
          <w:lang w:eastAsia="en-AU"/>
        </w:rPr>
      </w:pPr>
      <w:r w:rsidRPr="00B76D70">
        <w:rPr>
          <w:rFonts w:ascii="Times New Roman" w:eastAsia="Times New Roman" w:hAnsi="Times New Roman" w:cs="Times New Roman"/>
          <w:lang w:eastAsia="en-AU"/>
        </w:rPr>
        <w:t xml:space="preserve">consumer-facing </w:t>
      </w:r>
      <w:r>
        <w:rPr>
          <w:rFonts w:ascii="Times New Roman" w:eastAsia="Times New Roman" w:hAnsi="Times New Roman" w:cs="Times New Roman"/>
          <w:lang w:eastAsia="en-AU"/>
        </w:rPr>
        <w:t xml:space="preserve">software </w:t>
      </w:r>
      <w:r w:rsidRPr="00B76D70">
        <w:rPr>
          <w:rFonts w:ascii="Times New Roman" w:eastAsia="Times New Roman" w:hAnsi="Times New Roman" w:cs="Times New Roman"/>
          <w:lang w:eastAsia="en-AU"/>
        </w:rPr>
        <w:t xml:space="preserve">products </w:t>
      </w:r>
      <w:r>
        <w:rPr>
          <w:rFonts w:ascii="Times New Roman" w:eastAsia="Times New Roman" w:hAnsi="Times New Roman" w:cs="Times New Roman"/>
          <w:lang w:eastAsia="en-AU"/>
        </w:rPr>
        <w:t xml:space="preserve">that typically perform prevention, management or follow up functions in relation to general health or wellness </w:t>
      </w:r>
      <w:r w:rsidRPr="00B76D70">
        <w:rPr>
          <w:rFonts w:ascii="Times New Roman" w:eastAsia="Times New Roman" w:hAnsi="Times New Roman" w:cs="Times New Roman"/>
          <w:lang w:eastAsia="en-AU"/>
        </w:rPr>
        <w:t>(</w:t>
      </w:r>
      <w:r>
        <w:rPr>
          <w:rFonts w:ascii="Times New Roman" w:eastAsia="Times New Roman" w:hAnsi="Times New Roman" w:cs="Times New Roman"/>
          <w:lang w:eastAsia="en-AU"/>
        </w:rPr>
        <w:t>i</w:t>
      </w:r>
      <w:r w:rsidRPr="00573C3D">
        <w:rPr>
          <w:rFonts w:ascii="Times New Roman" w:eastAsia="Times New Roman" w:hAnsi="Times New Roman" w:cs="Times New Roman"/>
          <w:lang w:eastAsia="en-AU"/>
        </w:rPr>
        <w:t>tems 14A</w:t>
      </w:r>
      <w:r>
        <w:rPr>
          <w:rFonts w:ascii="Times New Roman" w:eastAsia="Times New Roman" w:hAnsi="Times New Roman" w:cs="Times New Roman"/>
          <w:lang w:eastAsia="en-AU"/>
        </w:rPr>
        <w:t xml:space="preserve"> to </w:t>
      </w:r>
      <w:r w:rsidRPr="00573C3D">
        <w:rPr>
          <w:rFonts w:ascii="Times New Roman" w:eastAsia="Times New Roman" w:hAnsi="Times New Roman" w:cs="Times New Roman"/>
          <w:lang w:eastAsia="en-AU"/>
        </w:rPr>
        <w:t>14E);</w:t>
      </w:r>
    </w:p>
    <w:p w14:paraId="32A3FA69" w14:textId="77777777" w:rsidR="00E2214F" w:rsidRPr="00573C3D" w:rsidRDefault="00E2214F" w:rsidP="00E2214F">
      <w:pPr>
        <w:pStyle w:val="ListParagraph"/>
        <w:numPr>
          <w:ilvl w:val="0"/>
          <w:numId w:val="2"/>
        </w:numPr>
        <w:shd w:val="clear" w:color="auto" w:fill="FFFFFF"/>
        <w:spacing w:after="0" w:line="240" w:lineRule="auto"/>
        <w:rPr>
          <w:rFonts w:ascii="Times New Roman" w:eastAsia="Times New Roman" w:hAnsi="Times New Roman" w:cs="Times New Roman"/>
          <w:lang w:eastAsia="en-AU"/>
        </w:rPr>
      </w:pPr>
      <w:r w:rsidRPr="00573C3D">
        <w:rPr>
          <w:rFonts w:ascii="Times New Roman" w:eastAsia="Times New Roman" w:hAnsi="Times New Roman" w:cs="Times New Roman"/>
          <w:lang w:eastAsia="en-AU"/>
        </w:rPr>
        <w:t>enabling technologies for the delivery of health services, including telehealth, remote diagnosis, dispensing and healthcare facility management (items 14F to 14K);</w:t>
      </w:r>
    </w:p>
    <w:p w14:paraId="57CA6DFA" w14:textId="6CBDAE18" w:rsidR="00E2214F" w:rsidRPr="00573C3D" w:rsidRDefault="00E2214F" w:rsidP="00E2214F">
      <w:pPr>
        <w:pStyle w:val="ListParagraph"/>
        <w:numPr>
          <w:ilvl w:val="0"/>
          <w:numId w:val="2"/>
        </w:numPr>
        <w:shd w:val="clear" w:color="auto" w:fill="FFFFFF"/>
        <w:spacing w:after="0" w:line="240" w:lineRule="auto"/>
        <w:rPr>
          <w:rFonts w:ascii="Times New Roman" w:eastAsia="Times New Roman" w:hAnsi="Times New Roman" w:cs="Times New Roman"/>
          <w:lang w:eastAsia="en-AU"/>
        </w:rPr>
      </w:pPr>
      <w:r w:rsidRPr="00573C3D">
        <w:rPr>
          <w:rFonts w:ascii="Times New Roman" w:eastAsia="Times New Roman" w:hAnsi="Times New Roman" w:cs="Times New Roman"/>
          <w:lang w:eastAsia="en-AU"/>
        </w:rPr>
        <w:t>software that digitises paper</w:t>
      </w:r>
      <w:r w:rsidR="00FC1753">
        <w:rPr>
          <w:rFonts w:ascii="Times New Roman" w:eastAsia="Times New Roman" w:hAnsi="Times New Roman" w:cs="Times New Roman"/>
          <w:lang w:eastAsia="en-AU"/>
        </w:rPr>
        <w:t>-</w:t>
      </w:r>
      <w:r w:rsidRPr="00573C3D">
        <w:rPr>
          <w:rFonts w:ascii="Times New Roman" w:eastAsia="Times New Roman" w:hAnsi="Times New Roman" w:cs="Times New Roman"/>
          <w:lang w:eastAsia="en-AU"/>
        </w:rPr>
        <w:t>based (or other published) clinical rules or data (items 14L and 14M);</w:t>
      </w:r>
    </w:p>
    <w:p w14:paraId="0BE9F5E0" w14:textId="6552BF40" w:rsidR="00E2214F" w:rsidRPr="00573C3D" w:rsidRDefault="00E2214F" w:rsidP="00E2214F">
      <w:pPr>
        <w:pStyle w:val="ListParagraph"/>
        <w:numPr>
          <w:ilvl w:val="0"/>
          <w:numId w:val="2"/>
        </w:numPr>
        <w:shd w:val="clear" w:color="auto" w:fill="FFFFFF"/>
        <w:spacing w:after="0" w:line="240" w:lineRule="auto"/>
        <w:rPr>
          <w:rFonts w:ascii="Times New Roman" w:eastAsia="Times New Roman" w:hAnsi="Times New Roman" w:cs="Times New Roman"/>
          <w:lang w:eastAsia="en-AU"/>
        </w:rPr>
      </w:pPr>
      <w:r w:rsidRPr="00573C3D">
        <w:rPr>
          <w:rFonts w:ascii="Times New Roman" w:eastAsia="Times New Roman" w:hAnsi="Times New Roman" w:cs="Times New Roman"/>
          <w:lang w:eastAsia="en-AU"/>
        </w:rPr>
        <w:t>software that performs population</w:t>
      </w:r>
      <w:r w:rsidR="00FC1753">
        <w:rPr>
          <w:rFonts w:ascii="Times New Roman" w:eastAsia="Times New Roman" w:hAnsi="Times New Roman" w:cs="Times New Roman"/>
          <w:lang w:eastAsia="en-AU"/>
        </w:rPr>
        <w:t>-</w:t>
      </w:r>
      <w:r w:rsidRPr="00573C3D">
        <w:rPr>
          <w:rFonts w:ascii="Times New Roman" w:eastAsia="Times New Roman" w:hAnsi="Times New Roman" w:cs="Times New Roman"/>
          <w:lang w:eastAsia="en-AU"/>
        </w:rPr>
        <w:t>based analytics (item 14N)</w:t>
      </w:r>
      <w:r w:rsidR="006A6C7C">
        <w:rPr>
          <w:rFonts w:ascii="Times New Roman" w:eastAsia="Times New Roman" w:hAnsi="Times New Roman" w:cs="Times New Roman"/>
          <w:lang w:eastAsia="en-AU"/>
        </w:rPr>
        <w:t>;</w:t>
      </w:r>
      <w:r w:rsidRPr="00573C3D">
        <w:rPr>
          <w:rFonts w:ascii="Times New Roman" w:eastAsia="Times New Roman" w:hAnsi="Times New Roman" w:cs="Times New Roman"/>
          <w:lang w:eastAsia="en-AU"/>
        </w:rPr>
        <w:t xml:space="preserve"> and</w:t>
      </w:r>
    </w:p>
    <w:p w14:paraId="298A54FD" w14:textId="77777777" w:rsidR="00E2214F" w:rsidRPr="00573C3D" w:rsidRDefault="00E2214F" w:rsidP="00E2214F">
      <w:pPr>
        <w:pStyle w:val="ListParagraph"/>
        <w:numPr>
          <w:ilvl w:val="0"/>
          <w:numId w:val="2"/>
        </w:numPr>
        <w:shd w:val="clear" w:color="auto" w:fill="FFFFFF"/>
        <w:spacing w:after="0" w:line="240" w:lineRule="auto"/>
        <w:rPr>
          <w:rFonts w:ascii="Times New Roman" w:eastAsia="Times New Roman" w:hAnsi="Times New Roman" w:cs="Times New Roman"/>
          <w:lang w:eastAsia="en-AU"/>
        </w:rPr>
      </w:pPr>
      <w:r w:rsidRPr="00573C3D">
        <w:rPr>
          <w:rFonts w:ascii="Times New Roman" w:eastAsia="Times New Roman" w:hAnsi="Times New Roman" w:cs="Times New Roman"/>
          <w:lang w:eastAsia="en-AU"/>
        </w:rPr>
        <w:t>laboratory information management systems (item 14O).</w:t>
      </w:r>
    </w:p>
    <w:p w14:paraId="3AEB33BE" w14:textId="77777777" w:rsidR="00E2214F" w:rsidRDefault="00E2214F" w:rsidP="00E2214F">
      <w:pPr>
        <w:shd w:val="clear" w:color="auto" w:fill="FFFFFF"/>
        <w:spacing w:after="0" w:line="240" w:lineRule="auto"/>
        <w:rPr>
          <w:rFonts w:ascii="Times New Roman" w:eastAsia="Times New Roman" w:hAnsi="Times New Roman" w:cs="Times New Roman"/>
          <w:lang w:eastAsia="en-AU"/>
        </w:rPr>
      </w:pPr>
    </w:p>
    <w:p w14:paraId="6C2CE4F3" w14:textId="1B78C83F" w:rsidR="00E2214F" w:rsidRPr="00573C3D" w:rsidRDefault="00E2214F" w:rsidP="00E2214F">
      <w:pPr>
        <w:shd w:val="clear" w:color="auto" w:fill="FFFFFF"/>
        <w:spacing w:after="0" w:line="240" w:lineRule="auto"/>
        <w:rPr>
          <w:rFonts w:ascii="Times New Roman" w:eastAsia="Times New Roman" w:hAnsi="Times New Roman" w:cs="Times New Roman"/>
          <w:lang w:eastAsia="en-AU"/>
        </w:rPr>
      </w:pPr>
      <w:r w:rsidRPr="00573C3D">
        <w:rPr>
          <w:rFonts w:ascii="Times New Roman" w:eastAsia="Times New Roman" w:hAnsi="Times New Roman" w:cs="Times New Roman"/>
          <w:lang w:eastAsia="en-AU"/>
        </w:rPr>
        <w:t xml:space="preserve">The effect of these items is to exclude the </w:t>
      </w:r>
      <w:r w:rsidR="00FC1753">
        <w:rPr>
          <w:rFonts w:ascii="Times New Roman" w:eastAsia="Times New Roman" w:hAnsi="Times New Roman" w:cs="Times New Roman"/>
          <w:lang w:eastAsia="en-AU"/>
        </w:rPr>
        <w:t>relevant</w:t>
      </w:r>
      <w:r w:rsidR="00FC1753" w:rsidRPr="00573C3D">
        <w:rPr>
          <w:rFonts w:ascii="Times New Roman" w:eastAsia="Times New Roman" w:hAnsi="Times New Roman" w:cs="Times New Roman"/>
          <w:lang w:eastAsia="en-AU"/>
        </w:rPr>
        <w:t xml:space="preserve"> </w:t>
      </w:r>
      <w:r w:rsidRPr="00573C3D">
        <w:rPr>
          <w:rFonts w:ascii="Times New Roman" w:eastAsia="Times New Roman" w:hAnsi="Times New Roman" w:cs="Times New Roman"/>
          <w:lang w:eastAsia="en-AU"/>
        </w:rPr>
        <w:t>software</w:t>
      </w:r>
      <w:r w:rsidR="00FC1753">
        <w:rPr>
          <w:rFonts w:ascii="Times New Roman" w:eastAsia="Times New Roman" w:hAnsi="Times New Roman" w:cs="Times New Roman"/>
          <w:lang w:eastAsia="en-AU"/>
        </w:rPr>
        <w:t xml:space="preserve"> products</w:t>
      </w:r>
      <w:r>
        <w:rPr>
          <w:rFonts w:ascii="Times New Roman" w:eastAsia="Times New Roman" w:hAnsi="Times New Roman" w:cs="Times New Roman"/>
          <w:lang w:eastAsia="en-AU"/>
        </w:rPr>
        <w:t xml:space="preserve"> from the operation of the Act.</w:t>
      </w:r>
    </w:p>
    <w:p w14:paraId="528D42AB" w14:textId="6125B475" w:rsidR="00E2214F" w:rsidRDefault="00E2214F" w:rsidP="00E2214F">
      <w:pPr>
        <w:shd w:val="clear" w:color="auto" w:fill="FFFFFF"/>
        <w:spacing w:after="0" w:line="240" w:lineRule="auto"/>
        <w:rPr>
          <w:rFonts w:ascii="Times New Roman" w:eastAsia="Times New Roman" w:hAnsi="Times New Roman" w:cs="Times New Roman"/>
          <w:lang w:eastAsia="en-AU"/>
        </w:rPr>
      </w:pPr>
    </w:p>
    <w:p w14:paraId="0AD67836" w14:textId="19D8E78C" w:rsidR="00E2214F" w:rsidRDefault="00E2214F" w:rsidP="00E2214F">
      <w:pPr>
        <w:shd w:val="clear" w:color="auto" w:fill="FFFFFF"/>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 amendment instrument is made on the basis that the </w:t>
      </w:r>
      <w:r w:rsidR="00FC1753">
        <w:rPr>
          <w:rFonts w:ascii="Times New Roman" w:eastAsia="Times New Roman" w:hAnsi="Times New Roman" w:cs="Times New Roman"/>
          <w:lang w:eastAsia="en-AU"/>
        </w:rPr>
        <w:t xml:space="preserve">relevant </w:t>
      </w:r>
      <w:r>
        <w:rPr>
          <w:rFonts w:ascii="Times New Roman" w:eastAsia="Times New Roman" w:hAnsi="Times New Roman" w:cs="Times New Roman"/>
          <w:lang w:eastAsia="en-AU"/>
        </w:rPr>
        <w:t>software</w:t>
      </w:r>
      <w:r w:rsidR="00FC1753">
        <w:rPr>
          <w:rFonts w:ascii="Times New Roman" w:eastAsia="Times New Roman" w:hAnsi="Times New Roman" w:cs="Times New Roman"/>
          <w:lang w:eastAsia="en-AU"/>
        </w:rPr>
        <w:t xml:space="preserve"> products</w:t>
      </w:r>
      <w:r>
        <w:rPr>
          <w:rFonts w:ascii="Times New Roman" w:eastAsia="Times New Roman" w:hAnsi="Times New Roman" w:cs="Times New Roman"/>
          <w:lang w:eastAsia="en-AU"/>
        </w:rPr>
        <w:t xml:space="preserve"> are low risk and unlikely to harm the health of members of the public if not regulated as therapeutic goods.  Accordingly, the </w:t>
      </w:r>
      <w:r w:rsidR="00C71708">
        <w:rPr>
          <w:rFonts w:ascii="Times New Roman" w:eastAsia="Times New Roman" w:hAnsi="Times New Roman" w:cs="Times New Roman"/>
          <w:lang w:eastAsia="en-AU"/>
        </w:rPr>
        <w:t xml:space="preserve">relevant </w:t>
      </w:r>
      <w:r>
        <w:rPr>
          <w:rFonts w:ascii="Times New Roman" w:eastAsia="Times New Roman" w:hAnsi="Times New Roman" w:cs="Times New Roman"/>
          <w:lang w:eastAsia="en-AU"/>
        </w:rPr>
        <w:t>software</w:t>
      </w:r>
      <w:r w:rsidR="00C71708">
        <w:rPr>
          <w:rFonts w:ascii="Times New Roman" w:eastAsia="Times New Roman" w:hAnsi="Times New Roman" w:cs="Times New Roman"/>
          <w:lang w:eastAsia="en-AU"/>
        </w:rPr>
        <w:t xml:space="preserve"> products</w:t>
      </w:r>
      <w:r>
        <w:rPr>
          <w:rFonts w:ascii="Times New Roman" w:eastAsia="Times New Roman" w:hAnsi="Times New Roman" w:cs="Times New Roman"/>
          <w:lang w:eastAsia="en-AU"/>
        </w:rPr>
        <w:t xml:space="preserve"> are described in the amendment instrument in a manner </w:t>
      </w:r>
      <w:r w:rsidR="00C71708">
        <w:rPr>
          <w:rFonts w:ascii="Times New Roman" w:eastAsia="Times New Roman" w:hAnsi="Times New Roman" w:cs="Times New Roman"/>
          <w:lang w:eastAsia="en-AU"/>
        </w:rPr>
        <w:t xml:space="preserve">that </w:t>
      </w:r>
      <w:r>
        <w:rPr>
          <w:rFonts w:ascii="Times New Roman" w:eastAsia="Times New Roman" w:hAnsi="Times New Roman" w:cs="Times New Roman"/>
          <w:lang w:eastAsia="en-AU"/>
        </w:rPr>
        <w:t xml:space="preserve">ensures only software that is sufficiently low risk is necessarily excluded.  Importantly, the </w:t>
      </w:r>
      <w:r w:rsidR="00C71708">
        <w:rPr>
          <w:rFonts w:ascii="Times New Roman" w:eastAsia="Times New Roman" w:hAnsi="Times New Roman" w:cs="Times New Roman"/>
          <w:lang w:eastAsia="en-AU"/>
        </w:rPr>
        <w:t xml:space="preserve">relevant </w:t>
      </w:r>
      <w:r>
        <w:rPr>
          <w:rFonts w:ascii="Times New Roman" w:eastAsia="Times New Roman" w:hAnsi="Times New Roman" w:cs="Times New Roman"/>
          <w:lang w:eastAsia="en-AU"/>
        </w:rPr>
        <w:t>software</w:t>
      </w:r>
      <w:r w:rsidR="00C71708">
        <w:rPr>
          <w:rFonts w:ascii="Times New Roman" w:eastAsia="Times New Roman" w:hAnsi="Times New Roman" w:cs="Times New Roman"/>
          <w:lang w:eastAsia="en-AU"/>
        </w:rPr>
        <w:t xml:space="preserve"> products</w:t>
      </w:r>
      <w:r>
        <w:rPr>
          <w:rFonts w:ascii="Times New Roman" w:eastAsia="Times New Roman" w:hAnsi="Times New Roman" w:cs="Times New Roman"/>
          <w:lang w:eastAsia="en-AU"/>
        </w:rPr>
        <w:t xml:space="preserve"> would continue to be appropriately regulated as consumer goods under </w:t>
      </w:r>
      <w:r w:rsidR="00D35664">
        <w:rPr>
          <w:rFonts w:ascii="Times New Roman" w:eastAsia="Times New Roman" w:hAnsi="Times New Roman" w:cs="Times New Roman"/>
          <w:lang w:eastAsia="en-AU"/>
        </w:rPr>
        <w:t xml:space="preserve">the </w:t>
      </w:r>
      <w:r>
        <w:rPr>
          <w:rFonts w:ascii="Times New Roman" w:eastAsia="Times New Roman" w:hAnsi="Times New Roman" w:cs="Times New Roman"/>
          <w:lang w:eastAsia="en-AU"/>
        </w:rPr>
        <w:t>Australian Consumer Law.  In the event of any safety issues or false or misleading statements in advertising for the</w:t>
      </w:r>
      <w:r w:rsidR="00C71708">
        <w:rPr>
          <w:rFonts w:ascii="Times New Roman" w:eastAsia="Times New Roman" w:hAnsi="Times New Roman" w:cs="Times New Roman"/>
          <w:lang w:eastAsia="en-AU"/>
        </w:rPr>
        <w:t>se</w:t>
      </w:r>
      <w:r>
        <w:rPr>
          <w:rFonts w:ascii="Times New Roman" w:eastAsia="Times New Roman" w:hAnsi="Times New Roman" w:cs="Times New Roman"/>
          <w:lang w:eastAsia="en-AU"/>
        </w:rPr>
        <w:t xml:space="preserve"> </w:t>
      </w:r>
      <w:r w:rsidR="00C71708">
        <w:rPr>
          <w:rFonts w:ascii="Times New Roman" w:eastAsia="Times New Roman" w:hAnsi="Times New Roman" w:cs="Times New Roman"/>
          <w:lang w:eastAsia="en-AU"/>
        </w:rPr>
        <w:t>products</w:t>
      </w:r>
      <w:r>
        <w:rPr>
          <w:rFonts w:ascii="Times New Roman" w:eastAsia="Times New Roman" w:hAnsi="Times New Roman" w:cs="Times New Roman"/>
          <w:lang w:eastAsia="en-AU"/>
        </w:rPr>
        <w:t xml:space="preserve">, provisions of the Australian Consumer Law would continue to afford protection to the public.  Some of the </w:t>
      </w:r>
      <w:r w:rsidR="00C71708">
        <w:rPr>
          <w:rFonts w:ascii="Times New Roman" w:eastAsia="Times New Roman" w:hAnsi="Times New Roman" w:cs="Times New Roman"/>
          <w:lang w:eastAsia="en-AU"/>
        </w:rPr>
        <w:t xml:space="preserve">relevant </w:t>
      </w:r>
      <w:r>
        <w:rPr>
          <w:rFonts w:ascii="Times New Roman" w:eastAsia="Times New Roman" w:hAnsi="Times New Roman" w:cs="Times New Roman"/>
          <w:lang w:eastAsia="en-AU"/>
        </w:rPr>
        <w:t>software</w:t>
      </w:r>
      <w:r w:rsidR="00C71708">
        <w:rPr>
          <w:rFonts w:ascii="Times New Roman" w:eastAsia="Times New Roman" w:hAnsi="Times New Roman" w:cs="Times New Roman"/>
          <w:lang w:eastAsia="en-AU"/>
        </w:rPr>
        <w:t xml:space="preserve"> products</w:t>
      </w:r>
      <w:r>
        <w:rPr>
          <w:rFonts w:ascii="Times New Roman" w:eastAsia="Times New Roman" w:hAnsi="Times New Roman" w:cs="Times New Roman"/>
          <w:lang w:eastAsia="en-AU"/>
        </w:rPr>
        <w:t xml:space="preserve"> are also sufficiently regulated by other regulatory schemes, including for example, by the National Association of Testing Authorities (</w:t>
      </w:r>
      <w:r w:rsidR="007C60E6">
        <w:rPr>
          <w:rFonts w:ascii="Times New Roman" w:eastAsia="Times New Roman" w:hAnsi="Times New Roman" w:cs="Times New Roman"/>
          <w:lang w:eastAsia="en-AU"/>
        </w:rPr>
        <w:t>“</w:t>
      </w:r>
      <w:r>
        <w:rPr>
          <w:rFonts w:ascii="Times New Roman" w:eastAsia="Times New Roman" w:hAnsi="Times New Roman" w:cs="Times New Roman"/>
          <w:lang w:eastAsia="en-AU"/>
        </w:rPr>
        <w:t>NATA</w:t>
      </w:r>
      <w:r w:rsidR="007C60E6">
        <w:rPr>
          <w:rFonts w:ascii="Times New Roman" w:eastAsia="Times New Roman" w:hAnsi="Times New Roman" w:cs="Times New Roman"/>
          <w:lang w:eastAsia="en-AU"/>
        </w:rPr>
        <w:t>”</w:t>
      </w:r>
      <w:r>
        <w:rPr>
          <w:rFonts w:ascii="Times New Roman" w:eastAsia="Times New Roman" w:hAnsi="Times New Roman" w:cs="Times New Roman"/>
          <w:lang w:eastAsia="en-AU"/>
        </w:rPr>
        <w:t>) and the Royal College of Pathologists of Australia (</w:t>
      </w:r>
      <w:r w:rsidR="007C60E6">
        <w:rPr>
          <w:rFonts w:ascii="Times New Roman" w:eastAsia="Times New Roman" w:hAnsi="Times New Roman" w:cs="Times New Roman"/>
          <w:lang w:eastAsia="en-AU"/>
        </w:rPr>
        <w:t>“</w:t>
      </w:r>
      <w:r>
        <w:rPr>
          <w:rFonts w:ascii="Times New Roman" w:eastAsia="Times New Roman" w:hAnsi="Times New Roman" w:cs="Times New Roman"/>
          <w:lang w:eastAsia="en-AU"/>
        </w:rPr>
        <w:t>RCPA</w:t>
      </w:r>
      <w:r w:rsidR="007C60E6">
        <w:rPr>
          <w:rFonts w:ascii="Times New Roman" w:eastAsia="Times New Roman" w:hAnsi="Times New Roman" w:cs="Times New Roman"/>
          <w:lang w:eastAsia="en-AU"/>
        </w:rPr>
        <w:t>”</w:t>
      </w:r>
      <w:r>
        <w:rPr>
          <w:rFonts w:ascii="Times New Roman" w:eastAsia="Times New Roman" w:hAnsi="Times New Roman" w:cs="Times New Roman"/>
          <w:lang w:eastAsia="en-AU"/>
        </w:rPr>
        <w:t>).</w:t>
      </w:r>
    </w:p>
    <w:p w14:paraId="60CE5E5F" w14:textId="77777777" w:rsidR="00E2214F" w:rsidRDefault="00E2214F" w:rsidP="00E2214F">
      <w:pPr>
        <w:shd w:val="clear" w:color="auto" w:fill="FFFFFF"/>
        <w:spacing w:after="0" w:line="240" w:lineRule="auto"/>
        <w:rPr>
          <w:rFonts w:ascii="Times New Roman" w:eastAsia="Times New Roman" w:hAnsi="Times New Roman" w:cs="Times New Roman"/>
          <w:lang w:eastAsia="en-AU"/>
        </w:rPr>
      </w:pPr>
    </w:p>
    <w:p w14:paraId="68074989" w14:textId="2A322B0E" w:rsidR="00E2214F" w:rsidRDefault="00E2214F" w:rsidP="00E2214F">
      <w:pPr>
        <w:shd w:val="clear" w:color="auto" w:fill="FFFFFF"/>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Further, while aspects of the </w:t>
      </w:r>
      <w:r w:rsidR="00C71708">
        <w:rPr>
          <w:rFonts w:ascii="Times New Roman" w:eastAsia="Times New Roman" w:hAnsi="Times New Roman" w:cs="Times New Roman"/>
          <w:lang w:eastAsia="en-AU"/>
        </w:rPr>
        <w:t xml:space="preserve">relevant </w:t>
      </w:r>
      <w:r>
        <w:rPr>
          <w:rFonts w:ascii="Times New Roman" w:eastAsia="Times New Roman" w:hAnsi="Times New Roman" w:cs="Times New Roman"/>
          <w:lang w:eastAsia="en-AU"/>
        </w:rPr>
        <w:t>software</w:t>
      </w:r>
      <w:r w:rsidR="00C71708">
        <w:rPr>
          <w:rFonts w:ascii="Times New Roman" w:eastAsia="Times New Roman" w:hAnsi="Times New Roman" w:cs="Times New Roman"/>
          <w:lang w:eastAsia="en-AU"/>
        </w:rPr>
        <w:t xml:space="preserve"> products</w:t>
      </w:r>
      <w:r>
        <w:rPr>
          <w:rFonts w:ascii="Times New Roman" w:eastAsia="Times New Roman" w:hAnsi="Times New Roman" w:cs="Times New Roman"/>
          <w:lang w:eastAsia="en-AU"/>
        </w:rPr>
        <w:t xml:space="preserve"> involve the collection and handling of personal information, the amendment instrument does </w:t>
      </w:r>
      <w:r w:rsidRPr="002B679D">
        <w:rPr>
          <w:rFonts w:ascii="Times New Roman" w:eastAsia="Times New Roman" w:hAnsi="Times New Roman" w:cs="Times New Roman"/>
          <w:lang w:eastAsia="en-AU"/>
        </w:rPr>
        <w:t xml:space="preserve">not itself authorise or require the collection of </w:t>
      </w:r>
      <w:r w:rsidR="00C71708">
        <w:rPr>
          <w:rFonts w:ascii="Times New Roman" w:eastAsia="Times New Roman" w:hAnsi="Times New Roman" w:cs="Times New Roman"/>
          <w:lang w:eastAsia="en-AU"/>
        </w:rPr>
        <w:t>such</w:t>
      </w:r>
      <w:r w:rsidR="00C71708" w:rsidRPr="002B679D">
        <w:rPr>
          <w:rFonts w:ascii="Times New Roman" w:eastAsia="Times New Roman" w:hAnsi="Times New Roman" w:cs="Times New Roman"/>
          <w:lang w:eastAsia="en-AU"/>
        </w:rPr>
        <w:t xml:space="preserve"> </w:t>
      </w:r>
      <w:r w:rsidRPr="002B679D">
        <w:rPr>
          <w:rFonts w:ascii="Times New Roman" w:eastAsia="Times New Roman" w:hAnsi="Times New Roman" w:cs="Times New Roman"/>
          <w:lang w:eastAsia="en-AU"/>
        </w:rPr>
        <w:t>information</w:t>
      </w:r>
      <w:r>
        <w:rPr>
          <w:rFonts w:ascii="Times New Roman" w:eastAsia="Times New Roman" w:hAnsi="Times New Roman" w:cs="Times New Roman"/>
          <w:lang w:eastAsia="en-AU"/>
        </w:rPr>
        <w:t xml:space="preserve"> or alter the application of Australian privacy laws.  The amendment instrument merely excludes the </w:t>
      </w:r>
      <w:r w:rsidR="00C71708">
        <w:rPr>
          <w:rFonts w:ascii="Times New Roman" w:eastAsia="Times New Roman" w:hAnsi="Times New Roman" w:cs="Times New Roman"/>
          <w:lang w:eastAsia="en-AU"/>
        </w:rPr>
        <w:t xml:space="preserve">relevant </w:t>
      </w:r>
      <w:r>
        <w:rPr>
          <w:rFonts w:ascii="Times New Roman" w:eastAsia="Times New Roman" w:hAnsi="Times New Roman" w:cs="Times New Roman"/>
          <w:lang w:eastAsia="en-AU"/>
        </w:rPr>
        <w:t xml:space="preserve">software </w:t>
      </w:r>
      <w:r w:rsidR="00C71708">
        <w:rPr>
          <w:rFonts w:ascii="Times New Roman" w:eastAsia="Times New Roman" w:hAnsi="Times New Roman" w:cs="Times New Roman"/>
          <w:lang w:eastAsia="en-AU"/>
        </w:rPr>
        <w:t xml:space="preserve">products </w:t>
      </w:r>
      <w:r>
        <w:rPr>
          <w:rFonts w:ascii="Times New Roman" w:eastAsia="Times New Roman" w:hAnsi="Times New Roman" w:cs="Times New Roman"/>
          <w:lang w:eastAsia="en-AU"/>
        </w:rPr>
        <w:t xml:space="preserve">from regulation as therapeutic goods under the Act, and consequently, the collection and handling of personal information by the </w:t>
      </w:r>
      <w:r w:rsidR="00C71708">
        <w:rPr>
          <w:rFonts w:ascii="Times New Roman" w:eastAsia="Times New Roman" w:hAnsi="Times New Roman" w:cs="Times New Roman"/>
          <w:lang w:eastAsia="en-AU"/>
        </w:rPr>
        <w:t xml:space="preserve">relevant </w:t>
      </w:r>
      <w:r>
        <w:rPr>
          <w:rFonts w:ascii="Times New Roman" w:eastAsia="Times New Roman" w:hAnsi="Times New Roman" w:cs="Times New Roman"/>
          <w:lang w:eastAsia="en-AU"/>
        </w:rPr>
        <w:t>software</w:t>
      </w:r>
      <w:r w:rsidR="00C71708">
        <w:rPr>
          <w:rFonts w:ascii="Times New Roman" w:eastAsia="Times New Roman" w:hAnsi="Times New Roman" w:cs="Times New Roman"/>
          <w:lang w:eastAsia="en-AU"/>
        </w:rPr>
        <w:t xml:space="preserve"> products</w:t>
      </w:r>
      <w:r>
        <w:rPr>
          <w:rFonts w:ascii="Times New Roman" w:eastAsia="Times New Roman" w:hAnsi="Times New Roman" w:cs="Times New Roman"/>
          <w:lang w:eastAsia="en-AU"/>
        </w:rPr>
        <w:t xml:space="preserve"> would continue (where applicable) to be regulated by the </w:t>
      </w:r>
      <w:r w:rsidRPr="002B679D">
        <w:rPr>
          <w:rFonts w:ascii="Times New Roman" w:eastAsia="Times New Roman" w:hAnsi="Times New Roman" w:cs="Times New Roman"/>
          <w:i/>
          <w:lang w:eastAsia="en-AU"/>
        </w:rPr>
        <w:t>Privacy Act 1988</w:t>
      </w:r>
      <w:r>
        <w:rPr>
          <w:rFonts w:ascii="Times New Roman" w:eastAsia="Times New Roman" w:hAnsi="Times New Roman" w:cs="Times New Roman"/>
          <w:lang w:eastAsia="en-AU"/>
        </w:rPr>
        <w:t xml:space="preserve"> as well as applicable state or territory privacy laws.</w:t>
      </w:r>
    </w:p>
    <w:p w14:paraId="7A9D039A" w14:textId="77777777" w:rsidR="00E2214F" w:rsidRDefault="00E2214F" w:rsidP="00E2214F">
      <w:pPr>
        <w:shd w:val="clear" w:color="auto" w:fill="FFFFFF"/>
        <w:spacing w:after="0" w:line="240" w:lineRule="auto"/>
        <w:rPr>
          <w:rFonts w:ascii="Times New Roman" w:eastAsia="Times New Roman" w:hAnsi="Times New Roman" w:cs="Times New Roman"/>
          <w:lang w:eastAsia="en-AU"/>
        </w:rPr>
      </w:pPr>
    </w:p>
    <w:p w14:paraId="4A3BE1B5" w14:textId="5EA5C5CA" w:rsidR="00E2214F" w:rsidRDefault="00E2214F" w:rsidP="00E2214F">
      <w:pPr>
        <w:shd w:val="clear" w:color="auto" w:fill="FFFFFF"/>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lastRenderedPageBreak/>
        <w:t xml:space="preserve">In addition to easing unnecessary regulatory burden associated with low risk software, the amendment instrument is also intended to provide clarity in relation to the regulatory status of certain software that </w:t>
      </w:r>
      <w:r w:rsidR="006A6C7C">
        <w:rPr>
          <w:rFonts w:ascii="Times New Roman" w:eastAsia="Times New Roman" w:hAnsi="Times New Roman" w:cs="Times New Roman"/>
          <w:lang w:eastAsia="en-AU"/>
        </w:rPr>
        <w:t xml:space="preserve">does not, or is </w:t>
      </w:r>
      <w:r>
        <w:rPr>
          <w:rFonts w:ascii="Times New Roman" w:eastAsia="Times New Roman" w:hAnsi="Times New Roman" w:cs="Times New Roman"/>
          <w:lang w:eastAsia="en-AU"/>
        </w:rPr>
        <w:t>unlikely to</w:t>
      </w:r>
      <w:r w:rsidR="006A6C7C">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meet the definition of medical device</w:t>
      </w:r>
      <w:r w:rsidR="00F846BB">
        <w:rPr>
          <w:rFonts w:ascii="Times New Roman" w:eastAsia="Times New Roman" w:hAnsi="Times New Roman" w:cs="Times New Roman"/>
          <w:lang w:eastAsia="en-AU"/>
        </w:rPr>
        <w:t xml:space="preserve"> under the Act</w:t>
      </w:r>
      <w:r>
        <w:rPr>
          <w:rFonts w:ascii="Times New Roman" w:eastAsia="Times New Roman" w:hAnsi="Times New Roman" w:cs="Times New Roman"/>
          <w:lang w:eastAsia="en-AU"/>
        </w:rPr>
        <w:t>.</w:t>
      </w:r>
    </w:p>
    <w:p w14:paraId="3AC91C5D" w14:textId="72D36C39" w:rsidR="002C52FA" w:rsidRDefault="002C52FA" w:rsidP="002C52FA">
      <w:pPr>
        <w:spacing w:after="0" w:line="240" w:lineRule="auto"/>
        <w:rPr>
          <w:rFonts w:ascii="Times New Roman" w:eastAsia="Times New Roman" w:hAnsi="Times New Roman" w:cs="Times New Roman"/>
          <w:lang w:eastAsia="en-AU"/>
        </w:rPr>
      </w:pPr>
    </w:p>
    <w:p w14:paraId="50520223" w14:textId="77777777" w:rsidR="002C52FA" w:rsidRPr="002C52FA" w:rsidRDefault="002C52FA" w:rsidP="002C52FA">
      <w:pPr>
        <w:shd w:val="clear" w:color="auto" w:fill="FFFFFF"/>
        <w:spacing w:after="0" w:line="240" w:lineRule="auto"/>
        <w:rPr>
          <w:rFonts w:ascii="Times New Roman" w:eastAsia="Times New Roman" w:hAnsi="Times New Roman" w:cs="Times New Roman"/>
          <w:b/>
          <w:bCs/>
          <w:lang w:eastAsia="en-AU"/>
        </w:rPr>
      </w:pPr>
      <w:r w:rsidRPr="002C52FA">
        <w:rPr>
          <w:rFonts w:ascii="Times New Roman" w:eastAsia="Times New Roman" w:hAnsi="Times New Roman" w:cs="Times New Roman"/>
          <w:b/>
          <w:bCs/>
          <w:lang w:eastAsia="en-AU"/>
        </w:rPr>
        <w:t>Human rights implications</w:t>
      </w:r>
    </w:p>
    <w:p w14:paraId="7528D732" w14:textId="77777777" w:rsidR="002C52FA" w:rsidRPr="002C52FA" w:rsidRDefault="002C52FA" w:rsidP="002C52FA">
      <w:pPr>
        <w:shd w:val="clear" w:color="auto" w:fill="FFFFFF"/>
        <w:spacing w:after="0" w:line="240" w:lineRule="auto"/>
        <w:rPr>
          <w:rFonts w:ascii="Times New Roman" w:eastAsia="Times New Roman" w:hAnsi="Times New Roman" w:cs="Times New Roman"/>
          <w:lang w:eastAsia="en-AU"/>
        </w:rPr>
      </w:pPr>
    </w:p>
    <w:p w14:paraId="3AD49B3D" w14:textId="77777777" w:rsidR="002C52FA" w:rsidRPr="002C52FA" w:rsidRDefault="002C52FA" w:rsidP="002C52FA">
      <w:pPr>
        <w:shd w:val="clear" w:color="auto" w:fill="FFFFFF"/>
        <w:spacing w:after="0" w:line="240" w:lineRule="auto"/>
        <w:rPr>
          <w:rFonts w:ascii="Times New Roman" w:eastAsia="Times New Roman" w:hAnsi="Times New Roman" w:cs="Times New Roman"/>
          <w:lang w:eastAsia="en-AU"/>
        </w:rPr>
      </w:pPr>
      <w:r w:rsidRPr="002C52FA">
        <w:rPr>
          <w:rFonts w:ascii="Times New Roman" w:eastAsia="Times New Roman" w:hAnsi="Times New Roman" w:cs="Times New Roman"/>
          <w:lang w:eastAsia="en-AU"/>
        </w:rPr>
        <w:t xml:space="preserve">The amendment instrument engages the right to health in Article 12 of the </w:t>
      </w:r>
      <w:r w:rsidRPr="002C52FA">
        <w:rPr>
          <w:rFonts w:ascii="Times New Roman" w:eastAsia="Times New Roman" w:hAnsi="Times New Roman" w:cs="Times New Roman"/>
          <w:i/>
          <w:iCs/>
          <w:lang w:eastAsia="en-AU"/>
        </w:rPr>
        <w:t>International Covenant on Economic, Social and Cultural Rights</w:t>
      </w:r>
      <w:r w:rsidRPr="002C52FA">
        <w:rPr>
          <w:rFonts w:ascii="Times New Roman" w:eastAsia="Times New Roman" w:hAnsi="Times New Roman" w:cs="Times New Roman"/>
          <w:lang w:eastAsia="en-AU"/>
        </w:rPr>
        <w:t xml:space="preserve"> (“ICESCR”).  Article 12 of the ICESCR promotes the right of all individuals to enjoy the highest attainable standards of physical and mental health.</w:t>
      </w:r>
    </w:p>
    <w:p w14:paraId="09545997" w14:textId="77777777" w:rsidR="002C52FA" w:rsidRPr="002C52FA" w:rsidRDefault="002C52FA" w:rsidP="002C52FA">
      <w:pPr>
        <w:shd w:val="clear" w:color="auto" w:fill="FFFFFF"/>
        <w:spacing w:after="0" w:line="240" w:lineRule="auto"/>
        <w:rPr>
          <w:rFonts w:ascii="Times New Roman" w:eastAsia="Times New Roman" w:hAnsi="Times New Roman" w:cs="Times New Roman"/>
          <w:lang w:eastAsia="en-AU"/>
        </w:rPr>
      </w:pPr>
    </w:p>
    <w:p w14:paraId="03FDB4F3" w14:textId="3137A40D" w:rsidR="002C52FA" w:rsidRPr="002C52FA" w:rsidRDefault="002C52FA" w:rsidP="002C52FA">
      <w:pPr>
        <w:shd w:val="clear" w:color="auto" w:fill="FFFFFF"/>
        <w:spacing w:after="0" w:line="240" w:lineRule="auto"/>
        <w:rPr>
          <w:rFonts w:ascii="Times New Roman" w:eastAsia="Times New Roman" w:hAnsi="Times New Roman" w:cs="Times New Roman"/>
          <w:lang w:val="en-US" w:eastAsia="en-AU"/>
        </w:rPr>
      </w:pPr>
      <w:r w:rsidRPr="002C52FA">
        <w:rPr>
          <w:rFonts w:ascii="Times New Roman" w:eastAsia="Times New Roman" w:hAnsi="Times New Roman" w:cs="Times New Roman"/>
          <w:lang w:eastAsia="en-AU"/>
        </w:rPr>
        <w:t xml:space="preserve">In </w:t>
      </w:r>
      <w:r w:rsidRPr="002C52FA">
        <w:rPr>
          <w:rFonts w:ascii="Times New Roman" w:eastAsia="Times New Roman" w:hAnsi="Times New Roman" w:cs="Times New Roman"/>
          <w:i/>
          <w:iCs/>
          <w:lang w:eastAsia="en-AU"/>
        </w:rPr>
        <w:t xml:space="preserve">General Comment No. 14: The Right to the Highest Attainable Standard of Health (Art. 12) </w:t>
      </w:r>
      <w:r w:rsidRPr="002C52FA">
        <w:rPr>
          <w:rFonts w:ascii="Times New Roman" w:eastAsia="Times New Roman" w:hAnsi="Times New Roman" w:cs="Times New Roman"/>
          <w:lang w:eastAsia="en-AU"/>
        </w:rPr>
        <w:t xml:space="preserve">(2000),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t>
      </w:r>
      <w:r w:rsidR="007C60E6">
        <w:rPr>
          <w:rFonts w:ascii="Times New Roman" w:eastAsia="Times New Roman" w:hAnsi="Times New Roman" w:cs="Times New Roman"/>
          <w:lang w:eastAsia="en-AU"/>
        </w:rPr>
        <w:t>that</w:t>
      </w:r>
      <w:r w:rsidR="007C60E6" w:rsidRPr="002C52FA">
        <w:rPr>
          <w:rFonts w:ascii="Times New Roman" w:eastAsia="Times New Roman" w:hAnsi="Times New Roman" w:cs="Times New Roman"/>
          <w:lang w:eastAsia="en-AU"/>
        </w:rPr>
        <w:t xml:space="preserve"> </w:t>
      </w:r>
      <w:r w:rsidRPr="002C52FA">
        <w:rPr>
          <w:rFonts w:ascii="Times New Roman" w:eastAsia="Times New Roman" w:hAnsi="Times New Roman" w:cs="Times New Roman"/>
          <w:lang w:eastAsia="en-AU"/>
        </w:rPr>
        <w:t>provides equal opportunity for people to enjoy the highest attainable level of health.</w:t>
      </w:r>
    </w:p>
    <w:p w14:paraId="37137F82" w14:textId="77777777" w:rsidR="002C52FA" w:rsidRPr="002C52FA" w:rsidRDefault="002C52FA" w:rsidP="002C52FA">
      <w:pPr>
        <w:shd w:val="clear" w:color="auto" w:fill="FFFFFF"/>
        <w:spacing w:after="0" w:line="240" w:lineRule="auto"/>
        <w:rPr>
          <w:rFonts w:ascii="Times New Roman" w:eastAsia="Times New Roman" w:hAnsi="Times New Roman" w:cs="Times New Roman"/>
          <w:lang w:eastAsia="en-AU"/>
        </w:rPr>
      </w:pPr>
    </w:p>
    <w:p w14:paraId="6D6EFBE4" w14:textId="3E9D576C" w:rsidR="002C52FA" w:rsidRPr="002C52FA" w:rsidRDefault="002C52FA" w:rsidP="002C52FA">
      <w:pPr>
        <w:shd w:val="clear" w:color="auto" w:fill="FFFFFF"/>
        <w:spacing w:after="0" w:line="240" w:lineRule="auto"/>
        <w:rPr>
          <w:rFonts w:ascii="Times New Roman" w:eastAsia="Times New Roman" w:hAnsi="Times New Roman" w:cs="Times New Roman"/>
          <w:lang w:eastAsia="en-AU"/>
        </w:rPr>
      </w:pPr>
      <w:r w:rsidRPr="002C52FA">
        <w:rPr>
          <w:rFonts w:ascii="Times New Roman" w:eastAsia="Times New Roman" w:hAnsi="Times New Roman" w:cs="Times New Roman"/>
          <w:lang w:eastAsia="en-AU"/>
        </w:rPr>
        <w:t xml:space="preserve">The amendment instrument </w:t>
      </w:r>
      <w:r w:rsidR="006A6C7C">
        <w:rPr>
          <w:rFonts w:ascii="Times New Roman" w:eastAsia="Times New Roman" w:hAnsi="Times New Roman" w:cs="Times New Roman"/>
          <w:lang w:eastAsia="en-AU"/>
        </w:rPr>
        <w:t>takes positive steps to promote</w:t>
      </w:r>
      <w:r w:rsidRPr="002C52FA">
        <w:rPr>
          <w:rFonts w:ascii="Times New Roman" w:eastAsia="Times New Roman" w:hAnsi="Times New Roman" w:cs="Times New Roman"/>
          <w:lang w:eastAsia="en-AU"/>
        </w:rPr>
        <w:t xml:space="preserve"> the right to</w:t>
      </w:r>
      <w:r w:rsidR="00DB62EB">
        <w:rPr>
          <w:rFonts w:ascii="Times New Roman" w:eastAsia="Times New Roman" w:hAnsi="Times New Roman" w:cs="Times New Roman"/>
          <w:lang w:eastAsia="en-AU"/>
        </w:rPr>
        <w:t xml:space="preserve"> </w:t>
      </w:r>
      <w:r w:rsidRPr="002C52FA">
        <w:rPr>
          <w:rFonts w:ascii="Times New Roman" w:eastAsia="Times New Roman" w:hAnsi="Times New Roman" w:cs="Times New Roman"/>
          <w:lang w:eastAsia="en-AU"/>
        </w:rPr>
        <w:t>health by</w:t>
      </w:r>
      <w:r w:rsidR="006A6C7C">
        <w:rPr>
          <w:rFonts w:ascii="Times New Roman" w:eastAsia="Times New Roman" w:hAnsi="Times New Roman" w:cs="Times New Roman"/>
          <w:lang w:eastAsia="en-AU"/>
        </w:rPr>
        <w:t xml:space="preserve"> excluding the relevant software products</w:t>
      </w:r>
      <w:r w:rsidRPr="002C52FA">
        <w:rPr>
          <w:rFonts w:ascii="Times New Roman" w:eastAsia="Times New Roman" w:hAnsi="Times New Roman" w:cs="Times New Roman"/>
          <w:lang w:eastAsia="en-AU"/>
        </w:rPr>
        <w:t xml:space="preserve"> </w:t>
      </w:r>
      <w:r w:rsidR="006A6C7C">
        <w:rPr>
          <w:rFonts w:ascii="Times New Roman" w:eastAsia="Times New Roman" w:hAnsi="Times New Roman" w:cs="Times New Roman"/>
          <w:lang w:eastAsia="en-AU"/>
        </w:rPr>
        <w:t xml:space="preserve">from regulation as therapeutic goods in circumstances </w:t>
      </w:r>
      <w:r w:rsidR="00F85D7D">
        <w:rPr>
          <w:rFonts w:ascii="Times New Roman" w:eastAsia="Times New Roman" w:hAnsi="Times New Roman" w:cs="Times New Roman"/>
          <w:lang w:eastAsia="en-AU"/>
        </w:rPr>
        <w:t>where th</w:t>
      </w:r>
      <w:r w:rsidR="00C71708">
        <w:rPr>
          <w:rFonts w:ascii="Times New Roman" w:eastAsia="Times New Roman" w:hAnsi="Times New Roman" w:cs="Times New Roman"/>
          <w:lang w:eastAsia="en-AU"/>
        </w:rPr>
        <w:t>ose products</w:t>
      </w:r>
      <w:r w:rsidR="006A6C7C">
        <w:rPr>
          <w:rFonts w:ascii="Times New Roman" w:eastAsia="Times New Roman" w:hAnsi="Times New Roman" w:cs="Times New Roman"/>
          <w:lang w:eastAsia="en-AU"/>
        </w:rPr>
        <w:t xml:space="preserve"> are low risk and more appropriately regulated by other regulatory schemes</w:t>
      </w:r>
      <w:r w:rsidR="00C71708">
        <w:rPr>
          <w:rFonts w:ascii="Times New Roman" w:eastAsia="Times New Roman" w:hAnsi="Times New Roman" w:cs="Times New Roman"/>
          <w:lang w:eastAsia="en-AU"/>
        </w:rPr>
        <w:t>,</w:t>
      </w:r>
      <w:r w:rsidR="00F85D7D">
        <w:rPr>
          <w:rFonts w:ascii="Times New Roman" w:eastAsia="Times New Roman" w:hAnsi="Times New Roman" w:cs="Times New Roman"/>
          <w:lang w:eastAsia="en-AU"/>
        </w:rPr>
        <w:t xml:space="preserve"> including under </w:t>
      </w:r>
      <w:r w:rsidR="002C7FAD">
        <w:rPr>
          <w:rFonts w:ascii="Times New Roman" w:eastAsia="Times New Roman" w:hAnsi="Times New Roman" w:cs="Times New Roman"/>
          <w:lang w:eastAsia="en-AU"/>
        </w:rPr>
        <w:t xml:space="preserve">the </w:t>
      </w:r>
      <w:r w:rsidR="00F85D7D">
        <w:rPr>
          <w:rFonts w:ascii="Times New Roman" w:eastAsia="Times New Roman" w:hAnsi="Times New Roman" w:cs="Times New Roman"/>
          <w:lang w:eastAsia="en-AU"/>
        </w:rPr>
        <w:t>Australian Consumer Law</w:t>
      </w:r>
      <w:r w:rsidRPr="002C52FA">
        <w:rPr>
          <w:rFonts w:ascii="Times New Roman" w:eastAsia="Times New Roman" w:hAnsi="Times New Roman" w:cs="Times New Roman"/>
          <w:lang w:eastAsia="en-AU"/>
        </w:rPr>
        <w:t>.  As a consequence, the amendment instrument</w:t>
      </w:r>
      <w:r w:rsidR="00C71708">
        <w:rPr>
          <w:rFonts w:ascii="Times New Roman" w:eastAsia="Times New Roman" w:hAnsi="Times New Roman" w:cs="Times New Roman"/>
          <w:lang w:eastAsia="en-AU"/>
        </w:rPr>
        <w:t xml:space="preserve"> provides certainty for industry</w:t>
      </w:r>
      <w:r w:rsidR="006A6C7C">
        <w:rPr>
          <w:rFonts w:ascii="Times New Roman" w:eastAsia="Times New Roman" w:hAnsi="Times New Roman" w:cs="Times New Roman"/>
          <w:lang w:eastAsia="en-AU"/>
        </w:rPr>
        <w:t xml:space="preserve"> and consumers, and</w:t>
      </w:r>
      <w:r w:rsidRPr="002C52FA">
        <w:rPr>
          <w:rFonts w:ascii="Times New Roman" w:eastAsia="Times New Roman" w:hAnsi="Times New Roman" w:cs="Times New Roman"/>
          <w:lang w:eastAsia="en-AU"/>
        </w:rPr>
        <w:t xml:space="preserve"> enables </w:t>
      </w:r>
      <w:r w:rsidR="006A6C7C" w:rsidRPr="002C52FA">
        <w:rPr>
          <w:rFonts w:ascii="Times New Roman" w:eastAsia="Times New Roman" w:hAnsi="Times New Roman" w:cs="Times New Roman"/>
          <w:lang w:eastAsia="en-AU"/>
        </w:rPr>
        <w:t xml:space="preserve">the Department of Health </w:t>
      </w:r>
      <w:r w:rsidR="006A6C7C">
        <w:rPr>
          <w:rFonts w:ascii="Times New Roman" w:eastAsia="Times New Roman" w:hAnsi="Times New Roman" w:cs="Times New Roman"/>
          <w:lang w:eastAsia="en-AU"/>
        </w:rPr>
        <w:t xml:space="preserve">and industry to appropriately focus </w:t>
      </w:r>
      <w:r w:rsidRPr="002C52FA">
        <w:rPr>
          <w:rFonts w:ascii="Times New Roman" w:eastAsia="Times New Roman" w:hAnsi="Times New Roman" w:cs="Times New Roman"/>
          <w:lang w:eastAsia="en-AU"/>
        </w:rPr>
        <w:t xml:space="preserve">valuable resources </w:t>
      </w:r>
      <w:r w:rsidR="00DB62EB">
        <w:rPr>
          <w:rFonts w:ascii="Times New Roman" w:eastAsia="Times New Roman" w:hAnsi="Times New Roman" w:cs="Times New Roman"/>
          <w:lang w:eastAsia="en-AU"/>
        </w:rPr>
        <w:t>on</w:t>
      </w:r>
      <w:r w:rsidRPr="002C52FA">
        <w:rPr>
          <w:rFonts w:ascii="Times New Roman" w:eastAsia="Times New Roman" w:hAnsi="Times New Roman" w:cs="Times New Roman"/>
          <w:lang w:eastAsia="en-AU"/>
        </w:rPr>
        <w:t xml:space="preserve"> regulati</w:t>
      </w:r>
      <w:r w:rsidR="00DB62EB">
        <w:rPr>
          <w:rFonts w:ascii="Times New Roman" w:eastAsia="Times New Roman" w:hAnsi="Times New Roman" w:cs="Times New Roman"/>
          <w:lang w:eastAsia="en-AU"/>
        </w:rPr>
        <w:t>ng</w:t>
      </w:r>
      <w:r w:rsidRPr="002C52FA">
        <w:rPr>
          <w:rFonts w:ascii="Times New Roman" w:eastAsia="Times New Roman" w:hAnsi="Times New Roman" w:cs="Times New Roman"/>
          <w:lang w:eastAsia="en-AU"/>
        </w:rPr>
        <w:t xml:space="preserve"> </w:t>
      </w:r>
      <w:r w:rsidR="00F85D7D">
        <w:rPr>
          <w:rFonts w:ascii="Times New Roman" w:eastAsia="Times New Roman" w:hAnsi="Times New Roman" w:cs="Times New Roman"/>
          <w:lang w:eastAsia="en-AU"/>
        </w:rPr>
        <w:t>higher risk software-based medical devices</w:t>
      </w:r>
      <w:r w:rsidR="002A10C6">
        <w:rPr>
          <w:rFonts w:ascii="Times New Roman" w:eastAsia="Times New Roman" w:hAnsi="Times New Roman" w:cs="Times New Roman"/>
          <w:lang w:eastAsia="en-AU"/>
        </w:rPr>
        <w:t xml:space="preserve">.  The prioritisation of resources in this way </w:t>
      </w:r>
      <w:r w:rsidRPr="002C52FA">
        <w:rPr>
          <w:rFonts w:ascii="Times New Roman" w:eastAsia="Times New Roman" w:hAnsi="Times New Roman" w:cs="Times New Roman"/>
          <w:lang w:eastAsia="en-AU"/>
        </w:rPr>
        <w:t>promote</w:t>
      </w:r>
      <w:r w:rsidR="007C60E6">
        <w:rPr>
          <w:rFonts w:ascii="Times New Roman" w:eastAsia="Times New Roman" w:hAnsi="Times New Roman" w:cs="Times New Roman"/>
          <w:lang w:eastAsia="en-AU"/>
        </w:rPr>
        <w:t>s</w:t>
      </w:r>
      <w:r w:rsidRPr="002C52FA">
        <w:rPr>
          <w:rFonts w:ascii="Times New Roman" w:eastAsia="Times New Roman" w:hAnsi="Times New Roman" w:cs="Times New Roman"/>
          <w:lang w:eastAsia="en-AU"/>
        </w:rPr>
        <w:t xml:space="preserve"> enhanced regulation of the quality, safety and efficacy of higher risk therapeutic goods available to the Australian public.</w:t>
      </w:r>
    </w:p>
    <w:p w14:paraId="19E28F3A" w14:textId="77777777" w:rsidR="002C52FA" w:rsidRPr="002C52FA" w:rsidRDefault="002C52FA" w:rsidP="002C52FA">
      <w:pPr>
        <w:shd w:val="clear" w:color="auto" w:fill="FFFFFF"/>
        <w:spacing w:after="0" w:line="240" w:lineRule="auto"/>
        <w:rPr>
          <w:rFonts w:ascii="Times New Roman" w:eastAsia="Times New Roman" w:hAnsi="Times New Roman" w:cs="Times New Roman"/>
          <w:lang w:eastAsia="en-AU"/>
        </w:rPr>
      </w:pPr>
    </w:p>
    <w:p w14:paraId="239D6DCD" w14:textId="77777777" w:rsidR="002C52FA" w:rsidRPr="002C52FA" w:rsidRDefault="002C52FA" w:rsidP="002C52FA">
      <w:pPr>
        <w:shd w:val="clear" w:color="auto" w:fill="FFFFFF"/>
        <w:spacing w:after="0" w:line="240" w:lineRule="auto"/>
        <w:rPr>
          <w:rFonts w:ascii="Times New Roman" w:eastAsia="Times New Roman" w:hAnsi="Times New Roman" w:cs="Times New Roman"/>
          <w:b/>
          <w:bCs/>
          <w:lang w:eastAsia="en-AU"/>
        </w:rPr>
      </w:pPr>
      <w:r w:rsidRPr="002C52FA">
        <w:rPr>
          <w:rFonts w:ascii="Times New Roman" w:eastAsia="Times New Roman" w:hAnsi="Times New Roman" w:cs="Times New Roman"/>
          <w:b/>
          <w:bCs/>
          <w:lang w:eastAsia="en-AU"/>
        </w:rPr>
        <w:t>Conclusion</w:t>
      </w:r>
    </w:p>
    <w:p w14:paraId="698A211F" w14:textId="77777777" w:rsidR="002C52FA" w:rsidRPr="002C52FA" w:rsidRDefault="002C52FA" w:rsidP="002C52FA">
      <w:pPr>
        <w:shd w:val="clear" w:color="auto" w:fill="FFFFFF"/>
        <w:spacing w:after="0" w:line="240" w:lineRule="auto"/>
        <w:rPr>
          <w:rFonts w:ascii="Times New Roman" w:eastAsia="Times New Roman" w:hAnsi="Times New Roman" w:cs="Times New Roman"/>
          <w:lang w:eastAsia="en-AU"/>
        </w:rPr>
      </w:pPr>
    </w:p>
    <w:p w14:paraId="73257F52" w14:textId="7D9FBDBF" w:rsidR="002C52FA" w:rsidRPr="002C52FA" w:rsidRDefault="002C52FA" w:rsidP="002C52FA">
      <w:pPr>
        <w:shd w:val="clear" w:color="auto" w:fill="FFFFFF"/>
        <w:spacing w:after="0" w:line="240" w:lineRule="auto"/>
        <w:rPr>
          <w:rFonts w:ascii="Times New Roman" w:eastAsia="Times New Roman" w:hAnsi="Times New Roman" w:cs="Times New Roman"/>
          <w:b/>
          <w:lang w:eastAsia="en-AU"/>
        </w:rPr>
      </w:pPr>
      <w:r w:rsidRPr="002C52FA">
        <w:rPr>
          <w:rFonts w:ascii="Times New Roman" w:eastAsia="Times New Roman" w:hAnsi="Times New Roman" w:cs="Times New Roman"/>
          <w:lang w:eastAsia="en-AU"/>
        </w:rPr>
        <w:t>The amendment instrument is compatible with human rights because it promote</w:t>
      </w:r>
      <w:r w:rsidR="002C7FAD">
        <w:rPr>
          <w:rFonts w:ascii="Times New Roman" w:eastAsia="Times New Roman" w:hAnsi="Times New Roman" w:cs="Times New Roman"/>
          <w:lang w:eastAsia="en-AU"/>
        </w:rPr>
        <w:t>s</w:t>
      </w:r>
      <w:r w:rsidRPr="002C52FA">
        <w:rPr>
          <w:rFonts w:ascii="Times New Roman" w:eastAsia="Times New Roman" w:hAnsi="Times New Roman" w:cs="Times New Roman"/>
          <w:lang w:eastAsia="en-AU"/>
        </w:rPr>
        <w:t xml:space="preserve"> the right to health in Article 12 of the ICESCR and otherwise does not raise any other human rights issues.</w:t>
      </w:r>
    </w:p>
    <w:p w14:paraId="00925D8F" w14:textId="77777777" w:rsidR="00E421D6" w:rsidRDefault="00E421D6"/>
    <w:sectPr w:rsidR="00E421D6" w:rsidSect="00810ED7">
      <w:headerReference w:type="even" r:id="rId8"/>
      <w:headerReference w:type="default" r:id="rId9"/>
      <w:footerReference w:type="default" r:id="rId10"/>
      <w:footerReference w:type="first" r:id="rId11"/>
      <w:pgSz w:w="11907" w:h="16840" w:code="9"/>
      <w:pgMar w:top="1134" w:right="1701" w:bottom="1021"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5AFEB" w14:textId="77777777" w:rsidR="00810ED7" w:rsidRDefault="00810ED7">
      <w:pPr>
        <w:spacing w:after="0" w:line="240" w:lineRule="auto"/>
      </w:pPr>
      <w:r>
        <w:separator/>
      </w:r>
    </w:p>
  </w:endnote>
  <w:endnote w:type="continuationSeparator" w:id="0">
    <w:p w14:paraId="081DF0EF" w14:textId="77777777" w:rsidR="00810ED7" w:rsidRDefault="00810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972775"/>
      <w:docPartObj>
        <w:docPartGallery w:val="Page Numbers (Bottom of Page)"/>
        <w:docPartUnique/>
      </w:docPartObj>
    </w:sdtPr>
    <w:sdtEndPr>
      <w:rPr>
        <w:rFonts w:ascii="Times New Roman" w:hAnsi="Times New Roman"/>
        <w:noProof/>
      </w:rPr>
    </w:sdtEndPr>
    <w:sdtContent>
      <w:p w14:paraId="083DBCE2" w14:textId="39249920" w:rsidR="00810ED7" w:rsidRPr="00595448" w:rsidRDefault="00810ED7">
        <w:pPr>
          <w:pStyle w:val="Footer"/>
          <w:jc w:val="right"/>
          <w:rPr>
            <w:rFonts w:ascii="Times New Roman" w:hAnsi="Times New Roman"/>
          </w:rPr>
        </w:pPr>
        <w:r w:rsidRPr="00595448">
          <w:rPr>
            <w:rFonts w:ascii="Times New Roman" w:hAnsi="Times New Roman"/>
          </w:rPr>
          <w:fldChar w:fldCharType="begin"/>
        </w:r>
        <w:r w:rsidRPr="00595448">
          <w:rPr>
            <w:rFonts w:ascii="Times New Roman" w:hAnsi="Times New Roman"/>
          </w:rPr>
          <w:instrText xml:space="preserve"> PAGE   \* MERGEFORMAT </w:instrText>
        </w:r>
        <w:r w:rsidRPr="00595448">
          <w:rPr>
            <w:rFonts w:ascii="Times New Roman" w:hAnsi="Times New Roman"/>
          </w:rPr>
          <w:fldChar w:fldCharType="separate"/>
        </w:r>
        <w:r w:rsidR="00583261">
          <w:rPr>
            <w:rFonts w:ascii="Times New Roman" w:hAnsi="Times New Roman"/>
            <w:noProof/>
          </w:rPr>
          <w:t>3</w:t>
        </w:r>
        <w:r w:rsidRPr="00595448">
          <w:rPr>
            <w:rFonts w:ascii="Times New Roman" w:hAnsi="Times New Roman"/>
            <w:noProof/>
          </w:rPr>
          <w:fldChar w:fldCharType="end"/>
        </w:r>
      </w:p>
    </w:sdtContent>
  </w:sdt>
  <w:p w14:paraId="4383D602" w14:textId="77777777" w:rsidR="00810ED7" w:rsidRPr="00877529" w:rsidRDefault="00810ED7" w:rsidP="00810E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8031E" w14:textId="77777777" w:rsidR="00810ED7" w:rsidRDefault="00810ED7" w:rsidP="00810ED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A4129" w14:textId="77777777" w:rsidR="00810ED7" w:rsidRDefault="00810ED7">
      <w:pPr>
        <w:spacing w:after="0" w:line="240" w:lineRule="auto"/>
      </w:pPr>
      <w:r>
        <w:separator/>
      </w:r>
    </w:p>
  </w:footnote>
  <w:footnote w:type="continuationSeparator" w:id="0">
    <w:p w14:paraId="7B88B274" w14:textId="77777777" w:rsidR="00810ED7" w:rsidRDefault="00810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573EA" w14:textId="77777777" w:rsidR="00810ED7" w:rsidRDefault="00810ED7" w:rsidP="00810ED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BCA81C" w14:textId="77777777" w:rsidR="00810ED7" w:rsidRDefault="00810E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E9F77" w14:textId="77777777" w:rsidR="00810ED7" w:rsidRDefault="00810ED7" w:rsidP="00810ED7">
    <w:pPr>
      <w:pStyle w:val="Header"/>
      <w:tabs>
        <w:tab w:val="left" w:pos="0"/>
      </w:tabs>
    </w:pPr>
  </w:p>
  <w:p w14:paraId="74E8827A" w14:textId="77777777" w:rsidR="00810ED7" w:rsidRDefault="00810ED7" w:rsidP="00810ED7">
    <w:pPr>
      <w:pStyle w:val="Heade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8206C"/>
    <w:multiLevelType w:val="hybridMultilevel"/>
    <w:tmpl w:val="34284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5F2302B"/>
    <w:multiLevelType w:val="hybridMultilevel"/>
    <w:tmpl w:val="D764D36E"/>
    <w:lvl w:ilvl="0" w:tplc="609EE6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47B"/>
    <w:rsid w:val="00006608"/>
    <w:rsid w:val="00012FEA"/>
    <w:rsid w:val="0005053E"/>
    <w:rsid w:val="00057400"/>
    <w:rsid w:val="00057F59"/>
    <w:rsid w:val="0008592D"/>
    <w:rsid w:val="000D2A0A"/>
    <w:rsid w:val="001115C9"/>
    <w:rsid w:val="00117EC9"/>
    <w:rsid w:val="0012211A"/>
    <w:rsid w:val="00124CA7"/>
    <w:rsid w:val="001370E3"/>
    <w:rsid w:val="00141FFC"/>
    <w:rsid w:val="00154CDB"/>
    <w:rsid w:val="00156B58"/>
    <w:rsid w:val="0015747B"/>
    <w:rsid w:val="0015759A"/>
    <w:rsid w:val="00184E4D"/>
    <w:rsid w:val="001B1CCB"/>
    <w:rsid w:val="001D04B8"/>
    <w:rsid w:val="00206469"/>
    <w:rsid w:val="00232EE5"/>
    <w:rsid w:val="00263DD7"/>
    <w:rsid w:val="00281EA0"/>
    <w:rsid w:val="002852E9"/>
    <w:rsid w:val="00297150"/>
    <w:rsid w:val="0029717D"/>
    <w:rsid w:val="002A10C6"/>
    <w:rsid w:val="002B679D"/>
    <w:rsid w:val="002B7E54"/>
    <w:rsid w:val="002C52FA"/>
    <w:rsid w:val="002C7FAD"/>
    <w:rsid w:val="002E196B"/>
    <w:rsid w:val="0035377C"/>
    <w:rsid w:val="00380E40"/>
    <w:rsid w:val="003B33A9"/>
    <w:rsid w:val="003B68F4"/>
    <w:rsid w:val="00411FB3"/>
    <w:rsid w:val="004770FA"/>
    <w:rsid w:val="0049255C"/>
    <w:rsid w:val="004D4DB3"/>
    <w:rsid w:val="004E4CD0"/>
    <w:rsid w:val="004F785B"/>
    <w:rsid w:val="00500CB6"/>
    <w:rsid w:val="0050462E"/>
    <w:rsid w:val="0050728F"/>
    <w:rsid w:val="005116FE"/>
    <w:rsid w:val="00540F14"/>
    <w:rsid w:val="005658D3"/>
    <w:rsid w:val="0057303C"/>
    <w:rsid w:val="00573C3D"/>
    <w:rsid w:val="00583261"/>
    <w:rsid w:val="005B65FC"/>
    <w:rsid w:val="005E732B"/>
    <w:rsid w:val="005F15AC"/>
    <w:rsid w:val="006013B9"/>
    <w:rsid w:val="00602D95"/>
    <w:rsid w:val="0062112E"/>
    <w:rsid w:val="00655594"/>
    <w:rsid w:val="006608A1"/>
    <w:rsid w:val="006A15CA"/>
    <w:rsid w:val="006A6C7C"/>
    <w:rsid w:val="006B5B6A"/>
    <w:rsid w:val="006C515C"/>
    <w:rsid w:val="006C656D"/>
    <w:rsid w:val="006D3F40"/>
    <w:rsid w:val="00712756"/>
    <w:rsid w:val="00735E63"/>
    <w:rsid w:val="007462E9"/>
    <w:rsid w:val="00766279"/>
    <w:rsid w:val="00773331"/>
    <w:rsid w:val="007944C1"/>
    <w:rsid w:val="007A5B05"/>
    <w:rsid w:val="007C60E6"/>
    <w:rsid w:val="007E4A27"/>
    <w:rsid w:val="007E6A79"/>
    <w:rsid w:val="00810ED7"/>
    <w:rsid w:val="00813477"/>
    <w:rsid w:val="00837B2B"/>
    <w:rsid w:val="00842AD2"/>
    <w:rsid w:val="00852C27"/>
    <w:rsid w:val="0089355B"/>
    <w:rsid w:val="008C4E07"/>
    <w:rsid w:val="008C6BC1"/>
    <w:rsid w:val="008D1314"/>
    <w:rsid w:val="008E03D9"/>
    <w:rsid w:val="00932AB5"/>
    <w:rsid w:val="00934366"/>
    <w:rsid w:val="00937729"/>
    <w:rsid w:val="00947E4D"/>
    <w:rsid w:val="00951BB0"/>
    <w:rsid w:val="009533E0"/>
    <w:rsid w:val="009B20CF"/>
    <w:rsid w:val="009D4DAF"/>
    <w:rsid w:val="009D634C"/>
    <w:rsid w:val="009D6F85"/>
    <w:rsid w:val="009F0EE4"/>
    <w:rsid w:val="00A02D42"/>
    <w:rsid w:val="00A046E1"/>
    <w:rsid w:val="00A1390F"/>
    <w:rsid w:val="00A652CE"/>
    <w:rsid w:val="00AA0A79"/>
    <w:rsid w:val="00AA716A"/>
    <w:rsid w:val="00AB4548"/>
    <w:rsid w:val="00AD6A6B"/>
    <w:rsid w:val="00AF33C0"/>
    <w:rsid w:val="00B27F7C"/>
    <w:rsid w:val="00B56E50"/>
    <w:rsid w:val="00B76D70"/>
    <w:rsid w:val="00B82AE9"/>
    <w:rsid w:val="00BA01D8"/>
    <w:rsid w:val="00BA64EB"/>
    <w:rsid w:val="00BC7811"/>
    <w:rsid w:val="00BD1092"/>
    <w:rsid w:val="00BD5FCA"/>
    <w:rsid w:val="00C0405C"/>
    <w:rsid w:val="00C35717"/>
    <w:rsid w:val="00C3667D"/>
    <w:rsid w:val="00C7144C"/>
    <w:rsid w:val="00C71708"/>
    <w:rsid w:val="00C92170"/>
    <w:rsid w:val="00C939E0"/>
    <w:rsid w:val="00C976D2"/>
    <w:rsid w:val="00CA7E55"/>
    <w:rsid w:val="00CE570B"/>
    <w:rsid w:val="00D247F6"/>
    <w:rsid w:val="00D35664"/>
    <w:rsid w:val="00D7026F"/>
    <w:rsid w:val="00DA1AF7"/>
    <w:rsid w:val="00DB62EB"/>
    <w:rsid w:val="00DD3B67"/>
    <w:rsid w:val="00DD5C1B"/>
    <w:rsid w:val="00DF1183"/>
    <w:rsid w:val="00E21EE1"/>
    <w:rsid w:val="00E2214F"/>
    <w:rsid w:val="00E40449"/>
    <w:rsid w:val="00E421D6"/>
    <w:rsid w:val="00E4718D"/>
    <w:rsid w:val="00E57872"/>
    <w:rsid w:val="00E85065"/>
    <w:rsid w:val="00E85887"/>
    <w:rsid w:val="00ED0851"/>
    <w:rsid w:val="00ED31B2"/>
    <w:rsid w:val="00ED3345"/>
    <w:rsid w:val="00ED4941"/>
    <w:rsid w:val="00EF1360"/>
    <w:rsid w:val="00F169E2"/>
    <w:rsid w:val="00F82AA3"/>
    <w:rsid w:val="00F846BB"/>
    <w:rsid w:val="00F85D7D"/>
    <w:rsid w:val="00FA5BF6"/>
    <w:rsid w:val="00FC17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710BC"/>
  <w15:chartTrackingRefBased/>
  <w15:docId w15:val="{51B0F897-B886-4AE5-A430-34EE994E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C52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2FA"/>
  </w:style>
  <w:style w:type="paragraph" w:styleId="Header">
    <w:name w:val="header"/>
    <w:basedOn w:val="Normal"/>
    <w:link w:val="HeaderChar"/>
    <w:uiPriority w:val="99"/>
    <w:unhideWhenUsed/>
    <w:rsid w:val="002C52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2FA"/>
  </w:style>
  <w:style w:type="character" w:styleId="PageNumber">
    <w:name w:val="page number"/>
    <w:basedOn w:val="DefaultParagraphFont"/>
    <w:rsid w:val="002C52FA"/>
  </w:style>
  <w:style w:type="character" w:styleId="CommentReference">
    <w:name w:val="annotation reference"/>
    <w:basedOn w:val="DefaultParagraphFont"/>
    <w:uiPriority w:val="99"/>
    <w:semiHidden/>
    <w:unhideWhenUsed/>
    <w:rsid w:val="002C52FA"/>
    <w:rPr>
      <w:sz w:val="16"/>
      <w:szCs w:val="16"/>
    </w:rPr>
  </w:style>
  <w:style w:type="paragraph" w:styleId="CommentText">
    <w:name w:val="annotation text"/>
    <w:basedOn w:val="Normal"/>
    <w:link w:val="CommentTextChar"/>
    <w:uiPriority w:val="99"/>
    <w:semiHidden/>
    <w:unhideWhenUsed/>
    <w:rsid w:val="002C52FA"/>
    <w:pPr>
      <w:spacing w:after="0" w:line="240" w:lineRule="auto"/>
    </w:pPr>
    <w:rPr>
      <w:rFonts w:ascii="Tms Rmn" w:eastAsia="Times New Roman" w:hAnsi="Tms Rmn" w:cs="Times New Roman"/>
      <w:sz w:val="20"/>
      <w:szCs w:val="20"/>
      <w:lang w:eastAsia="en-AU"/>
    </w:rPr>
  </w:style>
  <w:style w:type="character" w:customStyle="1" w:styleId="CommentTextChar">
    <w:name w:val="Comment Text Char"/>
    <w:basedOn w:val="DefaultParagraphFont"/>
    <w:link w:val="CommentText"/>
    <w:uiPriority w:val="99"/>
    <w:semiHidden/>
    <w:rsid w:val="002C52FA"/>
    <w:rPr>
      <w:rFonts w:ascii="Tms Rmn" w:eastAsia="Times New Roman" w:hAnsi="Tms Rmn" w:cs="Times New Roman"/>
      <w:sz w:val="20"/>
      <w:szCs w:val="20"/>
      <w:lang w:eastAsia="en-AU"/>
    </w:rPr>
  </w:style>
  <w:style w:type="paragraph" w:styleId="BalloonText">
    <w:name w:val="Balloon Text"/>
    <w:basedOn w:val="Normal"/>
    <w:link w:val="BalloonTextChar"/>
    <w:uiPriority w:val="99"/>
    <w:semiHidden/>
    <w:unhideWhenUsed/>
    <w:rsid w:val="002C52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2F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2AA3"/>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F82AA3"/>
    <w:rPr>
      <w:rFonts w:ascii="Tms Rmn" w:eastAsia="Times New Roman" w:hAnsi="Tms Rmn" w:cs="Times New Roman"/>
      <w:b/>
      <w:bCs/>
      <w:sz w:val="20"/>
      <w:szCs w:val="20"/>
      <w:lang w:eastAsia="en-AU"/>
    </w:rPr>
  </w:style>
  <w:style w:type="paragraph" w:styleId="ListParagraph">
    <w:name w:val="List Paragraph"/>
    <w:basedOn w:val="Normal"/>
    <w:uiPriority w:val="34"/>
    <w:qFormat/>
    <w:rsid w:val="00B76D70"/>
    <w:pPr>
      <w:ind w:left="720"/>
      <w:contextualSpacing/>
    </w:pPr>
  </w:style>
  <w:style w:type="paragraph" w:styleId="Revision">
    <w:name w:val="Revision"/>
    <w:hidden/>
    <w:uiPriority w:val="99"/>
    <w:semiHidden/>
    <w:rsid w:val="00B76D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674312">
      <w:bodyDiv w:val="1"/>
      <w:marLeft w:val="0"/>
      <w:marRight w:val="0"/>
      <w:marTop w:val="0"/>
      <w:marBottom w:val="0"/>
      <w:divBdr>
        <w:top w:val="none" w:sz="0" w:space="0" w:color="auto"/>
        <w:left w:val="none" w:sz="0" w:space="0" w:color="auto"/>
        <w:bottom w:val="none" w:sz="0" w:space="0" w:color="auto"/>
        <w:right w:val="none" w:sz="0" w:space="0" w:color="auto"/>
      </w:divBdr>
    </w:div>
    <w:div w:id="2044010959">
      <w:bodyDiv w:val="1"/>
      <w:marLeft w:val="0"/>
      <w:marRight w:val="0"/>
      <w:marTop w:val="0"/>
      <w:marBottom w:val="0"/>
      <w:divBdr>
        <w:top w:val="none" w:sz="0" w:space="0" w:color="auto"/>
        <w:left w:val="none" w:sz="0" w:space="0" w:color="auto"/>
        <w:bottom w:val="none" w:sz="0" w:space="0" w:color="auto"/>
        <w:right w:val="none" w:sz="0" w:space="0" w:color="auto"/>
      </w:divBdr>
      <w:divsChild>
        <w:div w:id="1307278067">
          <w:marLeft w:val="0"/>
          <w:marRight w:val="0"/>
          <w:marTop w:val="0"/>
          <w:marBottom w:val="0"/>
          <w:divBdr>
            <w:top w:val="none" w:sz="0" w:space="0" w:color="auto"/>
            <w:left w:val="none" w:sz="0" w:space="0" w:color="auto"/>
            <w:bottom w:val="none" w:sz="0" w:space="0" w:color="auto"/>
            <w:right w:val="none" w:sz="0" w:space="0" w:color="auto"/>
          </w:divBdr>
          <w:divsChild>
            <w:div w:id="1229926422">
              <w:marLeft w:val="0"/>
              <w:marRight w:val="0"/>
              <w:marTop w:val="0"/>
              <w:marBottom w:val="0"/>
              <w:divBdr>
                <w:top w:val="none" w:sz="0" w:space="0" w:color="auto"/>
                <w:left w:val="none" w:sz="0" w:space="0" w:color="auto"/>
                <w:bottom w:val="none" w:sz="0" w:space="0" w:color="auto"/>
                <w:right w:val="none" w:sz="0" w:space="0" w:color="auto"/>
              </w:divBdr>
              <w:divsChild>
                <w:div w:id="1196381645">
                  <w:marLeft w:val="0"/>
                  <w:marRight w:val="0"/>
                  <w:marTop w:val="0"/>
                  <w:marBottom w:val="0"/>
                  <w:divBdr>
                    <w:top w:val="none" w:sz="0" w:space="0" w:color="auto"/>
                    <w:left w:val="none" w:sz="0" w:space="0" w:color="auto"/>
                    <w:bottom w:val="none" w:sz="0" w:space="0" w:color="auto"/>
                    <w:right w:val="none" w:sz="0" w:space="0" w:color="auto"/>
                  </w:divBdr>
                  <w:divsChild>
                    <w:div w:id="1709574170">
                      <w:marLeft w:val="0"/>
                      <w:marRight w:val="0"/>
                      <w:marTop w:val="0"/>
                      <w:marBottom w:val="0"/>
                      <w:divBdr>
                        <w:top w:val="none" w:sz="0" w:space="0" w:color="auto"/>
                        <w:left w:val="none" w:sz="0" w:space="0" w:color="auto"/>
                        <w:bottom w:val="none" w:sz="0" w:space="0" w:color="auto"/>
                        <w:right w:val="none" w:sz="0" w:space="0" w:color="auto"/>
                      </w:divBdr>
                      <w:divsChild>
                        <w:div w:id="751393140">
                          <w:marLeft w:val="0"/>
                          <w:marRight w:val="0"/>
                          <w:marTop w:val="0"/>
                          <w:marBottom w:val="0"/>
                          <w:divBdr>
                            <w:top w:val="none" w:sz="0" w:space="0" w:color="auto"/>
                            <w:left w:val="none" w:sz="0" w:space="0" w:color="auto"/>
                            <w:bottom w:val="none" w:sz="0" w:space="0" w:color="auto"/>
                            <w:right w:val="none" w:sz="0" w:space="0" w:color="auto"/>
                          </w:divBdr>
                          <w:divsChild>
                            <w:div w:id="1467967563">
                              <w:marLeft w:val="0"/>
                              <w:marRight w:val="0"/>
                              <w:marTop w:val="0"/>
                              <w:marBottom w:val="0"/>
                              <w:divBdr>
                                <w:top w:val="none" w:sz="0" w:space="0" w:color="auto"/>
                                <w:left w:val="none" w:sz="0" w:space="0" w:color="auto"/>
                                <w:bottom w:val="none" w:sz="0" w:space="0" w:color="auto"/>
                                <w:right w:val="none" w:sz="0" w:space="0" w:color="auto"/>
                              </w:divBdr>
                              <w:divsChild>
                                <w:div w:id="2092046787">
                                  <w:marLeft w:val="0"/>
                                  <w:marRight w:val="0"/>
                                  <w:marTop w:val="0"/>
                                  <w:marBottom w:val="0"/>
                                  <w:divBdr>
                                    <w:top w:val="none" w:sz="0" w:space="0" w:color="auto"/>
                                    <w:left w:val="none" w:sz="0" w:space="0" w:color="auto"/>
                                    <w:bottom w:val="none" w:sz="0" w:space="0" w:color="auto"/>
                                    <w:right w:val="none" w:sz="0" w:space="0" w:color="auto"/>
                                  </w:divBdr>
                                  <w:divsChild>
                                    <w:div w:id="194971932">
                                      <w:marLeft w:val="0"/>
                                      <w:marRight w:val="0"/>
                                      <w:marTop w:val="0"/>
                                      <w:marBottom w:val="0"/>
                                      <w:divBdr>
                                        <w:top w:val="none" w:sz="0" w:space="0" w:color="auto"/>
                                        <w:left w:val="none" w:sz="0" w:space="0" w:color="auto"/>
                                        <w:bottom w:val="none" w:sz="0" w:space="0" w:color="auto"/>
                                        <w:right w:val="none" w:sz="0" w:space="0" w:color="auto"/>
                                      </w:divBdr>
                                      <w:divsChild>
                                        <w:div w:id="129776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683DC-A3DD-4DAB-86ED-6217ED741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2949</Words>
  <Characters>16813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DOWLING, Jack</dc:creator>
  <cp:keywords/>
  <dc:description/>
  <cp:lastModifiedBy>Peyrovi, Pasha</cp:lastModifiedBy>
  <cp:revision>4</cp:revision>
  <cp:lastPrinted>2021-01-11T06:22:00Z</cp:lastPrinted>
  <dcterms:created xsi:type="dcterms:W3CDTF">2021-01-11T23:18:00Z</dcterms:created>
  <dcterms:modified xsi:type="dcterms:W3CDTF">2021-01-12T00:10:00Z</dcterms:modified>
</cp:coreProperties>
</file>