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37"/>
        <w:rPr>
          <w:sz w:val="20"/>
        </w:rPr>
      </w:pPr>
      <w:r>
        <w:rPr>
          <w:sz w:val="20"/>
        </w:rPr>
        <w:drawing>
          <wp:inline distT="0" distB="0" distL="0" distR="0">
            <wp:extent cx="1499116" cy="1101852"/>
            <wp:effectExtent l="0" t="0" r="0" b="0"/>
            <wp:docPr id="1" name="image1.jpeg" descr="Commonwealth Coat of Arms of Austral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116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bookmarkStart w:name="_TOC_250000" w:id="1"/>
      <w:bookmarkEnd w:id="1"/>
      <w:r>
        <w:rPr/>
        <w:t>Family Law (Risk Screening Tool) Determination 2020</w:t>
      </w:r>
    </w:p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88.463997pt;margin-top:12.159634pt;width:414.1pt;height:.1pt;mso-position-horizontal-relative:page;mso-position-vertical-relative:paragraph;z-index:-251658240;mso-wrap-distance-left:0;mso-wrap-distance-right:0" coordorigin="1769,243" coordsize="8282,0" path="m1769,243l10051,243e" filled="false" stroked="true" strokeweight=".48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auto"/>
        <w:ind w:left="138"/>
      </w:pPr>
      <w:r>
        <w:rPr/>
        <w:t>I, David Pringle, Chief Executive Officer and Principal Registrar of the Family Court of Australia make this determination under subsection 10T(3) of the </w:t>
      </w:r>
      <w:r>
        <w:rPr>
          <w:i/>
        </w:rPr>
        <w:t>Family Law Act 1975</w:t>
      </w:r>
      <w:r>
        <w:rPr/>
        <w:t>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38"/>
      </w:pPr>
      <w:r>
        <w:rPr/>
        <w:t>Dated: 12 November 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1141094</wp:posOffset>
            </wp:positionH>
            <wp:positionV relativeFrom="paragraph">
              <wp:posOffset>123081</wp:posOffset>
            </wp:positionV>
            <wp:extent cx="1143677" cy="609600"/>
            <wp:effectExtent l="0" t="0" r="0" b="0"/>
            <wp:wrapTopAndBottom/>
            <wp:docPr id="3" name="image2.jpeg" descr="cid:image001.jpg@01D6123E.4E5F02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7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38"/>
      </w:pPr>
      <w:r>
        <w:rPr/>
        <w:t>David Pringle</w:t>
      </w:r>
    </w:p>
    <w:p>
      <w:pPr>
        <w:pStyle w:val="BodyText"/>
        <w:spacing w:before="49"/>
        <w:ind w:left="138"/>
      </w:pPr>
      <w:r>
        <w:rPr/>
        <w:t>Chief Executive Officer and Principal Registrar of the Family Court of Australia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88.463997pt;margin-top:12.521684pt;width:414.1pt;height:.1pt;mso-position-horizontal-relative:page;mso-position-vertical-relative:paragraph;z-index:-251656192;mso-wrap-distance-left:0;mso-wrap-distance-right:0" coordorigin="1769,250" coordsize="8282,0" path="m1769,250l10051,250e" filled="false" stroked="true" strokeweight=".47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79" w:val="left" w:leader="none"/>
        </w:tabs>
        <w:spacing w:line="240" w:lineRule="auto" w:before="90" w:after="0"/>
        <w:ind w:left="378" w:right="0" w:hanging="241"/>
        <w:jc w:val="left"/>
      </w:pPr>
      <w:r>
        <w:rPr/>
        <w:t>Name</w:t>
      </w:r>
    </w:p>
    <w:p>
      <w:pPr>
        <w:spacing w:before="174"/>
        <w:ind w:left="1270" w:right="0" w:firstLine="0"/>
        <w:jc w:val="left"/>
        <w:rPr>
          <w:sz w:val="22"/>
        </w:rPr>
      </w:pPr>
      <w:r>
        <w:rPr>
          <w:sz w:val="22"/>
        </w:rPr>
        <w:t>This instrument is the </w:t>
      </w:r>
      <w:r>
        <w:rPr>
          <w:i/>
          <w:sz w:val="22"/>
        </w:rPr>
        <w:t>Family Law (Risk Screening Tool) Determination 2020</w:t>
      </w:r>
      <w:r>
        <w:rPr>
          <w:sz w:val="22"/>
        </w:rPr>
        <w:t>.</w:t>
      </w:r>
    </w:p>
    <w:p>
      <w:pPr>
        <w:pStyle w:val="BodyText"/>
        <w:rPr>
          <w:sz w:val="17"/>
        </w:rPr>
      </w:pPr>
    </w:p>
    <w:p>
      <w:pPr>
        <w:pStyle w:val="Heading2"/>
        <w:numPr>
          <w:ilvl w:val="0"/>
          <w:numId w:val="1"/>
        </w:numPr>
        <w:tabs>
          <w:tab w:pos="379" w:val="left" w:leader="none"/>
        </w:tabs>
        <w:spacing w:line="240" w:lineRule="auto" w:before="90" w:after="0"/>
        <w:ind w:left="378" w:right="0" w:hanging="241"/>
        <w:jc w:val="left"/>
      </w:pPr>
      <w:r>
        <w:rPr/>
        <w:t>Commencement</w:t>
      </w:r>
    </w:p>
    <w:p>
      <w:pPr>
        <w:spacing w:before="175"/>
        <w:ind w:left="1270" w:right="358" w:firstLine="0"/>
        <w:jc w:val="left"/>
        <w:rPr>
          <w:sz w:val="22"/>
        </w:rPr>
      </w:pPr>
      <w:r>
        <w:rPr>
          <w:sz w:val="22"/>
        </w:rPr>
        <w:t>This instrument commences immediately after the commencement of Schedule 1, Part 1 of the </w:t>
      </w:r>
      <w:r>
        <w:rPr>
          <w:i/>
          <w:sz w:val="22"/>
        </w:rPr>
        <w:t>Family Law Amendment (Risk Screening Protections) </w:t>
      </w:r>
      <w:r>
        <w:rPr>
          <w:i/>
          <w:sz w:val="22"/>
        </w:rPr>
        <w:t>Act 2020</w:t>
      </w:r>
      <w:r>
        <w:rPr>
          <w:sz w:val="22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41"/>
        <w:jc w:val="left"/>
      </w:pPr>
      <w:r>
        <w:rPr/>
        <w:t>Authority</w:t>
      </w:r>
    </w:p>
    <w:p>
      <w:pPr>
        <w:spacing w:before="175"/>
        <w:ind w:left="1270" w:right="0" w:firstLine="0"/>
        <w:jc w:val="left"/>
        <w:rPr>
          <w:sz w:val="22"/>
        </w:rPr>
      </w:pPr>
      <w:r>
        <w:rPr>
          <w:sz w:val="22"/>
        </w:rPr>
        <w:t>This instrument is made under subsection 10T(3) of the </w:t>
      </w:r>
      <w:r>
        <w:rPr>
          <w:i/>
          <w:sz w:val="22"/>
        </w:rPr>
        <w:t>Family Law Act 1975</w:t>
      </w:r>
      <w:r>
        <w:rPr>
          <w:sz w:val="22"/>
        </w:rPr>
        <w:t>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41"/>
        <w:jc w:val="left"/>
      </w:pPr>
      <w:r>
        <w:rPr/>
        <w:t>Risk screening</w:t>
      </w:r>
      <w:r>
        <w:rPr>
          <w:spacing w:val="-1"/>
        </w:rPr>
        <w:t> </w:t>
      </w:r>
      <w:r>
        <w:rPr/>
        <w:t>tool</w:t>
      </w:r>
    </w:p>
    <w:p>
      <w:pPr>
        <w:pStyle w:val="BodyText"/>
        <w:spacing w:before="175"/>
        <w:ind w:left="1270" w:right="664"/>
      </w:pPr>
      <w:r>
        <w:rPr/>
        <w:t>For the purposes of subsection 10T(2) of the </w:t>
      </w:r>
      <w:r>
        <w:rPr>
          <w:i/>
        </w:rPr>
        <w:t>Family Law Act 1975</w:t>
      </w:r>
      <w:r>
        <w:rPr/>
        <w:t>, the risk screening tool is Family Doors Triage.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88.463997pt;margin-top:18.246189pt;width:418.65pt;height:.1pt;mso-position-horizontal-relative:page;mso-position-vertical-relative:paragraph;z-index:-251655168;mso-wrap-distance-left:0;mso-wrap-distance-right:0" coordorigin="1769,365" coordsize="8373,0" path="m1769,365l10142,365e" filled="false" stroked="true" strokeweight=".7200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343" w:val="right" w:leader="none"/>
            </w:tabs>
            <w:rPr>
              <w:i/>
            </w:rPr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0">
            <w:r>
              <w:rPr>
                <w:i/>
              </w:rPr>
              <w:t>Family Law (Risk Screening Tool)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Determination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2020</w:t>
              <w:tab/>
              <w:t>1</w:t>
            </w:r>
          </w:hyperlink>
        </w:p>
        <w:p>
          <w:pPr/>
          <w:r>
            <w:fldChar w:fldCharType="end"/>
          </w:r>
        </w:p>
      </w:sdtContent>
    </w:sdt>
    <w:sectPr>
      <w:type w:val="continuous"/>
      <w:pgSz w:w="11910" w:h="16840"/>
      <w:pgMar w:top="158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78" w:hanging="24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4"/>
        <w:szCs w:val="24"/>
        <w:lang w:val="en-au" w:eastAsia="en-au" w:bidi="en-au"/>
      </w:rPr>
    </w:lvl>
    <w:lvl w:ilvl="1">
      <w:start w:val="0"/>
      <w:numFmt w:val="bullet"/>
      <w:lvlText w:val="•"/>
      <w:lvlJc w:val="left"/>
      <w:pPr>
        <w:ind w:left="1200" w:hanging="240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021" w:hanging="24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2841" w:hanging="24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3662" w:hanging="24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4483" w:hanging="24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5303" w:hanging="24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6124" w:hanging="24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6945" w:hanging="24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au" w:eastAsia="en-au" w:bidi="en-au"/>
    </w:rPr>
  </w:style>
  <w:style w:styleId="TOC1" w:type="paragraph">
    <w:name w:val="TOC 1"/>
    <w:basedOn w:val="Normal"/>
    <w:uiPriority w:val="1"/>
    <w:qFormat/>
    <w:pPr>
      <w:spacing w:before="92"/>
      <w:ind w:left="2788"/>
    </w:pPr>
    <w:rPr>
      <w:rFonts w:ascii="Times New Roman" w:hAnsi="Times New Roman" w:eastAsia="Times New Roman" w:cs="Times New Roman"/>
      <w:i/>
      <w:sz w:val="18"/>
      <w:szCs w:val="18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au" w:eastAsia="en-au" w:bidi="en-au"/>
    </w:rPr>
  </w:style>
  <w:style w:styleId="Heading1" w:type="paragraph">
    <w:name w:val="Heading 1"/>
    <w:basedOn w:val="Normal"/>
    <w:uiPriority w:val="1"/>
    <w:qFormat/>
    <w:pPr>
      <w:spacing w:before="84"/>
      <w:ind w:left="138" w:right="2565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n-au" w:eastAsia="en-au" w:bidi="en-au"/>
    </w:rPr>
  </w:style>
  <w:style w:styleId="Heading2" w:type="paragraph">
    <w:name w:val="Heading 2"/>
    <w:basedOn w:val="Normal"/>
    <w:uiPriority w:val="1"/>
    <w:qFormat/>
    <w:pPr>
      <w:ind w:left="378" w:hanging="24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au" w:eastAsia="en-au" w:bidi="en-au"/>
    </w:rPr>
  </w:style>
  <w:style w:styleId="ListParagraph" w:type="paragraph">
    <w:name w:val="List Paragraph"/>
    <w:basedOn w:val="Normal"/>
    <w:uiPriority w:val="1"/>
    <w:qFormat/>
    <w:pPr>
      <w:ind w:left="378" w:hanging="241"/>
    </w:pPr>
    <w:rPr>
      <w:rFonts w:ascii="Times New Roman" w:hAnsi="Times New Roman" w:eastAsia="Times New Roman" w:cs="Times New Roman"/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Hogan, Cat</dc:creator>
  <dcterms:created xsi:type="dcterms:W3CDTF">2020-11-12T06:03:32Z</dcterms:created>
  <dcterms:modified xsi:type="dcterms:W3CDTF">2020-11-12T06:03:32Z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2020-11-12T00:00:00Z</vt:filetime>
  </property>
</Properties>
</file>