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8D07" w14:textId="77777777" w:rsidR="00715914" w:rsidRPr="008B3C31" w:rsidRDefault="00DA186E" w:rsidP="00B05CF4">
      <w:pPr>
        <w:rPr>
          <w:sz w:val="28"/>
        </w:rPr>
      </w:pPr>
      <w:r w:rsidRPr="008B3C31">
        <w:rPr>
          <w:noProof/>
          <w:lang w:eastAsia="en-AU"/>
        </w:rPr>
        <w:drawing>
          <wp:inline distT="0" distB="0" distL="0" distR="0" wp14:anchorId="2F94DD64" wp14:editId="7CFE01F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CB01EEE" w14:textId="77777777" w:rsidR="00715914" w:rsidRPr="008B3C31" w:rsidRDefault="00715914" w:rsidP="00715914">
      <w:pPr>
        <w:rPr>
          <w:sz w:val="19"/>
        </w:rPr>
      </w:pPr>
    </w:p>
    <w:p w14:paraId="3B9F850D" w14:textId="7A0E7607" w:rsidR="00715914" w:rsidRPr="008B3C31" w:rsidRDefault="008B3C31" w:rsidP="00715914">
      <w:pPr>
        <w:pStyle w:val="ShortT"/>
      </w:pPr>
      <w:r w:rsidRPr="008B3C31">
        <w:t>Ministerial Powers (APRA)</w:t>
      </w:r>
      <w:r>
        <w:t xml:space="preserve"> Instrument</w:t>
      </w:r>
      <w:r w:rsidR="00D54A90" w:rsidRPr="008B3C31">
        <w:t xml:space="preserve"> </w:t>
      </w:r>
      <w:r w:rsidR="00B45D2B">
        <w:t>2020</w:t>
      </w:r>
    </w:p>
    <w:p w14:paraId="71C00F79" w14:textId="77777777" w:rsidR="00D54A90" w:rsidRPr="008B3C31" w:rsidRDefault="00D54A90" w:rsidP="00D54A90">
      <w:pPr>
        <w:pStyle w:val="SignCoverPageStart"/>
        <w:spacing w:before="240"/>
        <w:rPr>
          <w:szCs w:val="22"/>
        </w:rPr>
      </w:pPr>
      <w:r w:rsidRPr="008B3C31">
        <w:rPr>
          <w:szCs w:val="22"/>
        </w:rPr>
        <w:t xml:space="preserve">I, </w:t>
      </w:r>
      <w:r w:rsidR="008B3C31">
        <w:rPr>
          <w:szCs w:val="22"/>
        </w:rPr>
        <w:t>Jane Hume</w:t>
      </w:r>
      <w:r w:rsidRPr="008B3C31">
        <w:rPr>
          <w:szCs w:val="22"/>
        </w:rPr>
        <w:t xml:space="preserve">, </w:t>
      </w:r>
      <w:r w:rsidR="008B3C31" w:rsidRPr="008B3C31">
        <w:rPr>
          <w:szCs w:val="22"/>
        </w:rPr>
        <w:t>Assistant Minister for Superannuation, Financial Services and Financial Technology</w:t>
      </w:r>
      <w:r w:rsidRPr="008B3C31">
        <w:rPr>
          <w:szCs w:val="22"/>
        </w:rPr>
        <w:t xml:space="preserve">, make the following </w:t>
      </w:r>
      <w:r w:rsidR="008B3C31">
        <w:rPr>
          <w:szCs w:val="22"/>
        </w:rPr>
        <w:t>instrument</w:t>
      </w:r>
      <w:r w:rsidRPr="008B3C31">
        <w:rPr>
          <w:szCs w:val="22"/>
        </w:rPr>
        <w:t>.</w:t>
      </w:r>
    </w:p>
    <w:p w14:paraId="701E874C" w14:textId="070181D3" w:rsidR="00D54A90" w:rsidRPr="008B3C31" w:rsidRDefault="00EA5FC6" w:rsidP="00D54A90">
      <w:pPr>
        <w:keepNext/>
        <w:spacing w:before="720" w:line="240" w:lineRule="atLeast"/>
        <w:ind w:right="397"/>
        <w:jc w:val="both"/>
        <w:rPr>
          <w:szCs w:val="22"/>
        </w:rPr>
      </w:pPr>
      <w:r>
        <w:rPr>
          <w:szCs w:val="22"/>
        </w:rPr>
        <w:t xml:space="preserve">Dated </w:t>
      </w:r>
      <w:r>
        <w:rPr>
          <w:szCs w:val="22"/>
        </w:rPr>
        <w:tab/>
        <w:t xml:space="preserve">15 January </w:t>
      </w:r>
      <w:r w:rsidR="00B45D2B">
        <w:rPr>
          <w:szCs w:val="22"/>
        </w:rPr>
        <w:t>2020</w:t>
      </w:r>
    </w:p>
    <w:p w14:paraId="5E394FA4" w14:textId="77777777" w:rsidR="00D54A90" w:rsidRPr="008B3C31" w:rsidRDefault="00D54A90" w:rsidP="00D54A90">
      <w:pPr>
        <w:keepNext/>
        <w:tabs>
          <w:tab w:val="left" w:pos="3402"/>
        </w:tabs>
        <w:spacing w:before="840" w:after="1080" w:line="300" w:lineRule="atLeast"/>
        <w:ind w:right="397"/>
        <w:rPr>
          <w:szCs w:val="22"/>
        </w:rPr>
      </w:pPr>
    </w:p>
    <w:p w14:paraId="57B1291C" w14:textId="0499B527" w:rsidR="00D54A90" w:rsidRPr="008B3C31" w:rsidRDefault="008B3C31" w:rsidP="00D54A90">
      <w:pPr>
        <w:keepNext/>
        <w:tabs>
          <w:tab w:val="left" w:pos="3402"/>
        </w:tabs>
        <w:spacing w:before="480" w:line="300" w:lineRule="atLeast"/>
        <w:ind w:right="397"/>
        <w:rPr>
          <w:szCs w:val="22"/>
        </w:rPr>
      </w:pPr>
      <w:r>
        <w:rPr>
          <w:szCs w:val="22"/>
        </w:rPr>
        <w:t>Jane Hume</w:t>
      </w:r>
      <w:r w:rsidR="00D54A90" w:rsidRPr="008B3C31">
        <w:t xml:space="preserve"> </w:t>
      </w:r>
    </w:p>
    <w:p w14:paraId="4282EB8B" w14:textId="77777777" w:rsidR="00D54A90" w:rsidRPr="008B3C31" w:rsidRDefault="008B3C31" w:rsidP="00D54A90">
      <w:pPr>
        <w:pStyle w:val="SignCoverPageEnd"/>
        <w:rPr>
          <w:szCs w:val="22"/>
        </w:rPr>
      </w:pPr>
      <w:r w:rsidRPr="008B3C31">
        <w:rPr>
          <w:szCs w:val="22"/>
        </w:rPr>
        <w:t>Assistant Minister for Superannuation, Financial Services and Financial Technology</w:t>
      </w:r>
    </w:p>
    <w:p w14:paraId="3392FB34" w14:textId="77777777" w:rsidR="00D54A90" w:rsidRPr="008B3C31" w:rsidRDefault="00D54A90" w:rsidP="00D54A90"/>
    <w:p w14:paraId="28BBCD36" w14:textId="77777777" w:rsidR="00715914" w:rsidRPr="008B3C31" w:rsidRDefault="00715914" w:rsidP="00715914">
      <w:pPr>
        <w:pStyle w:val="Header"/>
        <w:tabs>
          <w:tab w:val="clear" w:pos="4150"/>
          <w:tab w:val="clear" w:pos="8307"/>
        </w:tabs>
      </w:pPr>
      <w:r w:rsidRPr="008B3C31">
        <w:rPr>
          <w:rStyle w:val="CharChapNo"/>
        </w:rPr>
        <w:t xml:space="preserve"> </w:t>
      </w:r>
      <w:r w:rsidRPr="008B3C31">
        <w:rPr>
          <w:rStyle w:val="CharChapText"/>
        </w:rPr>
        <w:t xml:space="preserve"> </w:t>
      </w:r>
    </w:p>
    <w:p w14:paraId="47BC69DB" w14:textId="77777777" w:rsidR="00715914" w:rsidRPr="008B3C31" w:rsidRDefault="00715914" w:rsidP="00715914">
      <w:pPr>
        <w:pStyle w:val="Header"/>
        <w:tabs>
          <w:tab w:val="clear" w:pos="4150"/>
          <w:tab w:val="clear" w:pos="8307"/>
        </w:tabs>
      </w:pPr>
      <w:r w:rsidRPr="008B3C31">
        <w:rPr>
          <w:rStyle w:val="CharPartNo"/>
        </w:rPr>
        <w:t xml:space="preserve"> </w:t>
      </w:r>
      <w:r w:rsidRPr="008B3C31">
        <w:rPr>
          <w:rStyle w:val="CharPartText"/>
        </w:rPr>
        <w:t xml:space="preserve"> </w:t>
      </w:r>
    </w:p>
    <w:p w14:paraId="2235DD36" w14:textId="77777777" w:rsidR="00715914" w:rsidRPr="008B3C31" w:rsidRDefault="00715914" w:rsidP="00715914">
      <w:pPr>
        <w:pStyle w:val="Header"/>
        <w:tabs>
          <w:tab w:val="clear" w:pos="4150"/>
          <w:tab w:val="clear" w:pos="8307"/>
        </w:tabs>
      </w:pPr>
      <w:r w:rsidRPr="008B3C31">
        <w:rPr>
          <w:rStyle w:val="CharDivNo"/>
        </w:rPr>
        <w:t xml:space="preserve"> </w:t>
      </w:r>
      <w:r w:rsidRPr="008B3C31">
        <w:rPr>
          <w:rStyle w:val="CharDivText"/>
        </w:rPr>
        <w:t xml:space="preserve"> </w:t>
      </w:r>
    </w:p>
    <w:p w14:paraId="0774349E" w14:textId="77777777" w:rsidR="00715914" w:rsidRPr="008B3C31" w:rsidRDefault="00715914" w:rsidP="00715914">
      <w:pPr>
        <w:sectPr w:rsidR="00715914" w:rsidRPr="008B3C31" w:rsidSect="008B3C31">
          <w:headerReference w:type="even" r:id="rId14"/>
          <w:headerReference w:type="default"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10133644" w14:textId="77777777" w:rsidR="00F67BCA" w:rsidRPr="008B3C31" w:rsidRDefault="00715914" w:rsidP="008B3C31">
      <w:pPr>
        <w:rPr>
          <w:sz w:val="36"/>
        </w:rPr>
      </w:pPr>
      <w:r w:rsidRPr="008B3C31">
        <w:rPr>
          <w:sz w:val="36"/>
        </w:rPr>
        <w:lastRenderedPageBreak/>
        <w:t>Contents</w:t>
      </w:r>
    </w:p>
    <w:p w14:paraId="312EB791" w14:textId="5FDD2D3B" w:rsidR="0074384E" w:rsidRDefault="00EC38CB">
      <w:pPr>
        <w:pStyle w:val="TOC2"/>
        <w:rPr>
          <w:rFonts w:asciiTheme="minorHAnsi" w:eastAsiaTheme="minorEastAsia" w:hAnsiTheme="minorHAnsi" w:cstheme="minorBidi"/>
          <w:b w:val="0"/>
          <w:noProof/>
          <w:kern w:val="0"/>
          <w:sz w:val="22"/>
          <w:szCs w:val="22"/>
        </w:rPr>
      </w:pPr>
      <w:r w:rsidRPr="008B3C31">
        <w:fldChar w:fldCharType="begin"/>
      </w:r>
      <w:r w:rsidRPr="008B3C31">
        <w:instrText xml:space="preserve"> TOC \o "1-9" </w:instrText>
      </w:r>
      <w:r w:rsidRPr="008B3C31">
        <w:fldChar w:fldCharType="separate"/>
      </w:r>
      <w:r w:rsidR="0074384E">
        <w:rPr>
          <w:noProof/>
        </w:rPr>
        <w:t>Part 1—Preliminary</w:t>
      </w:r>
      <w:r w:rsidR="0074384E">
        <w:rPr>
          <w:noProof/>
        </w:rPr>
        <w:tab/>
      </w:r>
      <w:r w:rsidR="0074384E" w:rsidRPr="0074384E">
        <w:rPr>
          <w:b w:val="0"/>
          <w:noProof/>
          <w:sz w:val="18"/>
        </w:rPr>
        <w:fldChar w:fldCharType="begin"/>
      </w:r>
      <w:r w:rsidR="0074384E" w:rsidRPr="0074384E">
        <w:rPr>
          <w:b w:val="0"/>
          <w:noProof/>
          <w:sz w:val="18"/>
        </w:rPr>
        <w:instrText xml:space="preserve"> PAGEREF _Toc27123911 \h </w:instrText>
      </w:r>
      <w:r w:rsidR="0074384E" w:rsidRPr="0074384E">
        <w:rPr>
          <w:b w:val="0"/>
          <w:noProof/>
          <w:sz w:val="18"/>
        </w:rPr>
      </w:r>
      <w:r w:rsidR="0074384E" w:rsidRPr="0074384E">
        <w:rPr>
          <w:b w:val="0"/>
          <w:noProof/>
          <w:sz w:val="18"/>
        </w:rPr>
        <w:fldChar w:fldCharType="separate"/>
      </w:r>
      <w:r w:rsidR="006D77C1">
        <w:rPr>
          <w:b w:val="0"/>
          <w:noProof/>
          <w:sz w:val="18"/>
        </w:rPr>
        <w:t>1</w:t>
      </w:r>
      <w:r w:rsidR="0074384E" w:rsidRPr="0074384E">
        <w:rPr>
          <w:b w:val="0"/>
          <w:noProof/>
          <w:sz w:val="18"/>
        </w:rPr>
        <w:fldChar w:fldCharType="end"/>
      </w:r>
    </w:p>
    <w:p w14:paraId="6844FF7A" w14:textId="4CF4A788" w:rsidR="0074384E" w:rsidRDefault="0074384E">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_Toc27123912 \h </w:instrText>
      </w:r>
      <w:r>
        <w:rPr>
          <w:noProof/>
        </w:rPr>
      </w:r>
      <w:r>
        <w:rPr>
          <w:noProof/>
        </w:rPr>
        <w:fldChar w:fldCharType="separate"/>
      </w:r>
      <w:r w:rsidR="006D77C1">
        <w:rPr>
          <w:noProof/>
        </w:rPr>
        <w:t>1</w:t>
      </w:r>
      <w:r>
        <w:rPr>
          <w:noProof/>
        </w:rPr>
        <w:fldChar w:fldCharType="end"/>
      </w:r>
    </w:p>
    <w:p w14:paraId="3A09E84D" w14:textId="09864DFA" w:rsidR="0074384E" w:rsidRDefault="0074384E">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_Toc27123913 \h </w:instrText>
      </w:r>
      <w:r>
        <w:rPr>
          <w:noProof/>
        </w:rPr>
      </w:r>
      <w:r>
        <w:rPr>
          <w:noProof/>
        </w:rPr>
        <w:fldChar w:fldCharType="separate"/>
      </w:r>
      <w:r w:rsidR="006D77C1">
        <w:rPr>
          <w:noProof/>
        </w:rPr>
        <w:t>1</w:t>
      </w:r>
      <w:r>
        <w:rPr>
          <w:noProof/>
        </w:rPr>
        <w:fldChar w:fldCharType="end"/>
      </w:r>
    </w:p>
    <w:p w14:paraId="2921AAEA" w14:textId="01ED36E4" w:rsidR="0074384E" w:rsidRDefault="0074384E">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_Toc27123914 \h </w:instrText>
      </w:r>
      <w:r>
        <w:rPr>
          <w:noProof/>
        </w:rPr>
      </w:r>
      <w:r>
        <w:rPr>
          <w:noProof/>
        </w:rPr>
        <w:fldChar w:fldCharType="separate"/>
      </w:r>
      <w:r w:rsidR="006D77C1">
        <w:rPr>
          <w:noProof/>
        </w:rPr>
        <w:t>1</w:t>
      </w:r>
      <w:r>
        <w:rPr>
          <w:noProof/>
        </w:rPr>
        <w:fldChar w:fldCharType="end"/>
      </w:r>
    </w:p>
    <w:p w14:paraId="0BA69DCA" w14:textId="5D05A6F5" w:rsidR="0074384E" w:rsidRDefault="0074384E">
      <w:pPr>
        <w:pStyle w:val="TOC5"/>
        <w:rPr>
          <w:rFonts w:asciiTheme="minorHAnsi" w:eastAsiaTheme="minorEastAsia" w:hAnsiTheme="minorHAnsi" w:cstheme="minorBidi"/>
          <w:noProof/>
          <w:kern w:val="0"/>
          <w:sz w:val="22"/>
          <w:szCs w:val="22"/>
        </w:rPr>
      </w:pPr>
      <w:r>
        <w:rPr>
          <w:noProof/>
        </w:rPr>
        <w:t>4  Interpretation</w:t>
      </w:r>
      <w:r>
        <w:rPr>
          <w:noProof/>
        </w:rPr>
        <w:tab/>
      </w:r>
      <w:r>
        <w:rPr>
          <w:noProof/>
        </w:rPr>
        <w:fldChar w:fldCharType="begin"/>
      </w:r>
      <w:r>
        <w:rPr>
          <w:noProof/>
        </w:rPr>
        <w:instrText xml:space="preserve"> PAGEREF _Toc27123915 \h </w:instrText>
      </w:r>
      <w:r>
        <w:rPr>
          <w:noProof/>
        </w:rPr>
      </w:r>
      <w:r>
        <w:rPr>
          <w:noProof/>
        </w:rPr>
        <w:fldChar w:fldCharType="separate"/>
      </w:r>
      <w:r w:rsidR="006D77C1">
        <w:rPr>
          <w:noProof/>
        </w:rPr>
        <w:t>1</w:t>
      </w:r>
      <w:r>
        <w:rPr>
          <w:noProof/>
        </w:rPr>
        <w:fldChar w:fldCharType="end"/>
      </w:r>
    </w:p>
    <w:p w14:paraId="12000C80" w14:textId="663765EE" w:rsidR="0074384E" w:rsidRDefault="0074384E">
      <w:pPr>
        <w:pStyle w:val="TOC5"/>
        <w:rPr>
          <w:rFonts w:asciiTheme="minorHAnsi" w:eastAsiaTheme="minorEastAsia" w:hAnsiTheme="minorHAnsi" w:cstheme="minorBidi"/>
          <w:noProof/>
          <w:kern w:val="0"/>
          <w:sz w:val="22"/>
          <w:szCs w:val="22"/>
        </w:rPr>
      </w:pPr>
      <w:r>
        <w:rPr>
          <w:noProof/>
        </w:rPr>
        <w:t>5  Working out value of total assets at a given time</w:t>
      </w:r>
      <w:r>
        <w:rPr>
          <w:noProof/>
        </w:rPr>
        <w:tab/>
      </w:r>
      <w:r>
        <w:rPr>
          <w:noProof/>
        </w:rPr>
        <w:fldChar w:fldCharType="begin"/>
      </w:r>
      <w:r>
        <w:rPr>
          <w:noProof/>
        </w:rPr>
        <w:instrText xml:space="preserve"> PAGEREF _Toc27123916 \h </w:instrText>
      </w:r>
      <w:r>
        <w:rPr>
          <w:noProof/>
        </w:rPr>
      </w:r>
      <w:r>
        <w:rPr>
          <w:noProof/>
        </w:rPr>
        <w:fldChar w:fldCharType="separate"/>
      </w:r>
      <w:r w:rsidR="006D77C1">
        <w:rPr>
          <w:noProof/>
        </w:rPr>
        <w:t>2</w:t>
      </w:r>
      <w:r>
        <w:rPr>
          <w:noProof/>
        </w:rPr>
        <w:fldChar w:fldCharType="end"/>
      </w:r>
    </w:p>
    <w:p w14:paraId="26EC543B" w14:textId="3211D4A1" w:rsidR="0074384E" w:rsidRDefault="0074384E">
      <w:pPr>
        <w:pStyle w:val="TOC2"/>
        <w:rPr>
          <w:rFonts w:asciiTheme="minorHAnsi" w:eastAsiaTheme="minorEastAsia" w:hAnsiTheme="minorHAnsi" w:cstheme="minorBidi"/>
          <w:b w:val="0"/>
          <w:noProof/>
          <w:kern w:val="0"/>
          <w:sz w:val="22"/>
          <w:szCs w:val="22"/>
        </w:rPr>
      </w:pPr>
      <w:r>
        <w:rPr>
          <w:noProof/>
        </w:rPr>
        <w:t xml:space="preserve">Part 2— Delegations under the </w:t>
      </w:r>
      <w:r w:rsidRPr="00985C6C">
        <w:rPr>
          <w:i/>
          <w:noProof/>
        </w:rPr>
        <w:t>Banking Act 1959</w:t>
      </w:r>
      <w:r>
        <w:rPr>
          <w:noProof/>
        </w:rPr>
        <w:tab/>
      </w:r>
      <w:r w:rsidRPr="0074384E">
        <w:rPr>
          <w:b w:val="0"/>
          <w:noProof/>
          <w:sz w:val="18"/>
        </w:rPr>
        <w:fldChar w:fldCharType="begin"/>
      </w:r>
      <w:r w:rsidRPr="0074384E">
        <w:rPr>
          <w:b w:val="0"/>
          <w:noProof/>
          <w:sz w:val="18"/>
        </w:rPr>
        <w:instrText xml:space="preserve"> PAGEREF _Toc27123917 \h </w:instrText>
      </w:r>
      <w:r w:rsidRPr="0074384E">
        <w:rPr>
          <w:b w:val="0"/>
          <w:noProof/>
          <w:sz w:val="18"/>
        </w:rPr>
      </w:r>
      <w:r w:rsidRPr="0074384E">
        <w:rPr>
          <w:b w:val="0"/>
          <w:noProof/>
          <w:sz w:val="18"/>
        </w:rPr>
        <w:fldChar w:fldCharType="separate"/>
      </w:r>
      <w:r w:rsidR="006D77C1">
        <w:rPr>
          <w:b w:val="0"/>
          <w:noProof/>
          <w:sz w:val="18"/>
        </w:rPr>
        <w:t>3</w:t>
      </w:r>
      <w:r w:rsidRPr="0074384E">
        <w:rPr>
          <w:b w:val="0"/>
          <w:noProof/>
          <w:sz w:val="18"/>
        </w:rPr>
        <w:fldChar w:fldCharType="end"/>
      </w:r>
    </w:p>
    <w:p w14:paraId="53682B15" w14:textId="164ADAAE" w:rsidR="0074384E" w:rsidRDefault="0074384E">
      <w:pPr>
        <w:pStyle w:val="TOC5"/>
        <w:rPr>
          <w:rFonts w:asciiTheme="minorHAnsi" w:eastAsiaTheme="minorEastAsia" w:hAnsiTheme="minorHAnsi" w:cstheme="minorBidi"/>
          <w:noProof/>
          <w:kern w:val="0"/>
          <w:sz w:val="22"/>
          <w:szCs w:val="22"/>
        </w:rPr>
      </w:pPr>
      <w:r>
        <w:rPr>
          <w:noProof/>
        </w:rPr>
        <w:t>6  Delegation of the Treasurer’s powers</w:t>
      </w:r>
      <w:r>
        <w:rPr>
          <w:noProof/>
        </w:rPr>
        <w:tab/>
      </w:r>
      <w:r>
        <w:rPr>
          <w:noProof/>
        </w:rPr>
        <w:fldChar w:fldCharType="begin"/>
      </w:r>
      <w:r>
        <w:rPr>
          <w:noProof/>
        </w:rPr>
        <w:instrText xml:space="preserve"> PAGEREF _Toc27123918 \h </w:instrText>
      </w:r>
      <w:r>
        <w:rPr>
          <w:noProof/>
        </w:rPr>
      </w:r>
      <w:r>
        <w:rPr>
          <w:noProof/>
        </w:rPr>
        <w:fldChar w:fldCharType="separate"/>
      </w:r>
      <w:r w:rsidR="006D77C1">
        <w:rPr>
          <w:noProof/>
        </w:rPr>
        <w:t>3</w:t>
      </w:r>
      <w:r>
        <w:rPr>
          <w:noProof/>
        </w:rPr>
        <w:fldChar w:fldCharType="end"/>
      </w:r>
    </w:p>
    <w:p w14:paraId="5E49A1B0" w14:textId="2307CD3C" w:rsidR="0074384E" w:rsidRDefault="0074384E">
      <w:pPr>
        <w:pStyle w:val="TOC2"/>
        <w:rPr>
          <w:rFonts w:asciiTheme="minorHAnsi" w:eastAsiaTheme="minorEastAsia" w:hAnsiTheme="minorHAnsi" w:cstheme="minorBidi"/>
          <w:b w:val="0"/>
          <w:noProof/>
          <w:kern w:val="0"/>
          <w:sz w:val="22"/>
          <w:szCs w:val="22"/>
        </w:rPr>
      </w:pPr>
      <w:r>
        <w:rPr>
          <w:noProof/>
        </w:rPr>
        <w:t xml:space="preserve">Part 3— Delegations under the </w:t>
      </w:r>
      <w:r w:rsidRPr="00985C6C">
        <w:rPr>
          <w:i/>
          <w:noProof/>
        </w:rPr>
        <w:t>Financial Sector (Shareholdings) Act 1998</w:t>
      </w:r>
      <w:r>
        <w:rPr>
          <w:noProof/>
        </w:rPr>
        <w:tab/>
      </w:r>
      <w:r w:rsidRPr="0074384E">
        <w:rPr>
          <w:b w:val="0"/>
          <w:noProof/>
          <w:sz w:val="18"/>
        </w:rPr>
        <w:fldChar w:fldCharType="begin"/>
      </w:r>
      <w:r w:rsidRPr="0074384E">
        <w:rPr>
          <w:b w:val="0"/>
          <w:noProof/>
          <w:sz w:val="18"/>
        </w:rPr>
        <w:instrText xml:space="preserve"> PAGEREF _Toc27123919 \h </w:instrText>
      </w:r>
      <w:r w:rsidRPr="0074384E">
        <w:rPr>
          <w:b w:val="0"/>
          <w:noProof/>
          <w:sz w:val="18"/>
        </w:rPr>
      </w:r>
      <w:r w:rsidRPr="0074384E">
        <w:rPr>
          <w:b w:val="0"/>
          <w:noProof/>
          <w:sz w:val="18"/>
        </w:rPr>
        <w:fldChar w:fldCharType="separate"/>
      </w:r>
      <w:r w:rsidR="006D77C1">
        <w:rPr>
          <w:b w:val="0"/>
          <w:noProof/>
          <w:sz w:val="18"/>
        </w:rPr>
        <w:t>4</w:t>
      </w:r>
      <w:r w:rsidRPr="0074384E">
        <w:rPr>
          <w:b w:val="0"/>
          <w:noProof/>
          <w:sz w:val="18"/>
        </w:rPr>
        <w:fldChar w:fldCharType="end"/>
      </w:r>
    </w:p>
    <w:p w14:paraId="49CCCDB4" w14:textId="60B1D15C" w:rsidR="0074384E" w:rsidRDefault="0074384E">
      <w:pPr>
        <w:pStyle w:val="TOC5"/>
        <w:rPr>
          <w:rFonts w:asciiTheme="minorHAnsi" w:eastAsiaTheme="minorEastAsia" w:hAnsiTheme="minorHAnsi" w:cstheme="minorBidi"/>
          <w:noProof/>
          <w:kern w:val="0"/>
          <w:sz w:val="22"/>
          <w:szCs w:val="22"/>
        </w:rPr>
      </w:pPr>
      <w:r>
        <w:rPr>
          <w:noProof/>
        </w:rPr>
        <w:t>7  Delegation of the Minister’s powers</w:t>
      </w:r>
      <w:r>
        <w:rPr>
          <w:noProof/>
        </w:rPr>
        <w:tab/>
      </w:r>
      <w:r>
        <w:rPr>
          <w:noProof/>
        </w:rPr>
        <w:fldChar w:fldCharType="begin"/>
      </w:r>
      <w:r>
        <w:rPr>
          <w:noProof/>
        </w:rPr>
        <w:instrText xml:space="preserve"> PAGEREF _Toc27123920 \h </w:instrText>
      </w:r>
      <w:r>
        <w:rPr>
          <w:noProof/>
        </w:rPr>
      </w:r>
      <w:r>
        <w:rPr>
          <w:noProof/>
        </w:rPr>
        <w:fldChar w:fldCharType="separate"/>
      </w:r>
      <w:r w:rsidR="006D77C1">
        <w:rPr>
          <w:noProof/>
        </w:rPr>
        <w:t>4</w:t>
      </w:r>
      <w:r>
        <w:rPr>
          <w:noProof/>
        </w:rPr>
        <w:fldChar w:fldCharType="end"/>
      </w:r>
    </w:p>
    <w:p w14:paraId="50FC5A64" w14:textId="0B0B1E91" w:rsidR="0074384E" w:rsidRDefault="0074384E">
      <w:pPr>
        <w:pStyle w:val="TOC5"/>
        <w:rPr>
          <w:rFonts w:asciiTheme="minorHAnsi" w:eastAsiaTheme="minorEastAsia" w:hAnsiTheme="minorHAnsi" w:cstheme="minorBidi"/>
          <w:noProof/>
          <w:kern w:val="0"/>
          <w:sz w:val="22"/>
          <w:szCs w:val="22"/>
        </w:rPr>
      </w:pPr>
      <w:r>
        <w:rPr>
          <w:noProof/>
        </w:rPr>
        <w:t>8  Direction about exercise of some powers</w:t>
      </w:r>
      <w:r>
        <w:rPr>
          <w:noProof/>
        </w:rPr>
        <w:tab/>
      </w:r>
      <w:r>
        <w:rPr>
          <w:noProof/>
        </w:rPr>
        <w:fldChar w:fldCharType="begin"/>
      </w:r>
      <w:r>
        <w:rPr>
          <w:noProof/>
        </w:rPr>
        <w:instrText xml:space="preserve"> PAGEREF _Toc27123921 \h </w:instrText>
      </w:r>
      <w:r>
        <w:rPr>
          <w:noProof/>
        </w:rPr>
      </w:r>
      <w:r>
        <w:rPr>
          <w:noProof/>
        </w:rPr>
        <w:fldChar w:fldCharType="separate"/>
      </w:r>
      <w:r w:rsidR="006D77C1">
        <w:rPr>
          <w:noProof/>
        </w:rPr>
        <w:t>4</w:t>
      </w:r>
      <w:r>
        <w:rPr>
          <w:noProof/>
        </w:rPr>
        <w:fldChar w:fldCharType="end"/>
      </w:r>
    </w:p>
    <w:p w14:paraId="7C248CA9" w14:textId="54BAF9FF" w:rsidR="0074384E" w:rsidRDefault="0074384E">
      <w:pPr>
        <w:pStyle w:val="TOC2"/>
        <w:rPr>
          <w:rFonts w:asciiTheme="minorHAnsi" w:eastAsiaTheme="minorEastAsia" w:hAnsiTheme="minorHAnsi" w:cstheme="minorBidi"/>
          <w:b w:val="0"/>
          <w:noProof/>
          <w:kern w:val="0"/>
          <w:sz w:val="22"/>
          <w:szCs w:val="22"/>
        </w:rPr>
      </w:pPr>
      <w:r>
        <w:rPr>
          <w:noProof/>
        </w:rPr>
        <w:t xml:space="preserve">Part 4— Determination under the </w:t>
      </w:r>
      <w:r w:rsidRPr="00985C6C">
        <w:rPr>
          <w:i/>
          <w:noProof/>
        </w:rPr>
        <w:t>Financial Sector (Transfer and Restructure) Act 1999</w:t>
      </w:r>
      <w:r>
        <w:rPr>
          <w:noProof/>
        </w:rPr>
        <w:tab/>
      </w:r>
      <w:r w:rsidRPr="0074384E">
        <w:rPr>
          <w:b w:val="0"/>
          <w:noProof/>
          <w:sz w:val="18"/>
        </w:rPr>
        <w:fldChar w:fldCharType="begin"/>
      </w:r>
      <w:r w:rsidRPr="0074384E">
        <w:rPr>
          <w:b w:val="0"/>
          <w:noProof/>
          <w:sz w:val="18"/>
        </w:rPr>
        <w:instrText xml:space="preserve"> PAGEREF _Toc27123922 \h </w:instrText>
      </w:r>
      <w:r w:rsidRPr="0074384E">
        <w:rPr>
          <w:b w:val="0"/>
          <w:noProof/>
          <w:sz w:val="18"/>
        </w:rPr>
      </w:r>
      <w:r w:rsidRPr="0074384E">
        <w:rPr>
          <w:b w:val="0"/>
          <w:noProof/>
          <w:sz w:val="18"/>
        </w:rPr>
        <w:fldChar w:fldCharType="separate"/>
      </w:r>
      <w:r w:rsidR="006D77C1">
        <w:rPr>
          <w:b w:val="0"/>
          <w:noProof/>
          <w:sz w:val="18"/>
        </w:rPr>
        <w:t>5</w:t>
      </w:r>
      <w:r w:rsidRPr="0074384E">
        <w:rPr>
          <w:b w:val="0"/>
          <w:noProof/>
          <w:sz w:val="18"/>
        </w:rPr>
        <w:fldChar w:fldCharType="end"/>
      </w:r>
    </w:p>
    <w:p w14:paraId="21352389" w14:textId="692CE54D" w:rsidR="0074384E" w:rsidRDefault="0074384E">
      <w:pPr>
        <w:pStyle w:val="TOC5"/>
        <w:rPr>
          <w:rFonts w:asciiTheme="minorHAnsi" w:eastAsiaTheme="minorEastAsia" w:hAnsiTheme="minorHAnsi" w:cstheme="minorBidi"/>
          <w:noProof/>
          <w:kern w:val="0"/>
          <w:sz w:val="22"/>
          <w:szCs w:val="22"/>
        </w:rPr>
      </w:pPr>
      <w:r>
        <w:rPr>
          <w:noProof/>
        </w:rPr>
        <w:t>9  When Minister’s consent not required</w:t>
      </w:r>
      <w:r>
        <w:rPr>
          <w:noProof/>
        </w:rPr>
        <w:tab/>
      </w:r>
      <w:r>
        <w:rPr>
          <w:noProof/>
        </w:rPr>
        <w:fldChar w:fldCharType="begin"/>
      </w:r>
      <w:r>
        <w:rPr>
          <w:noProof/>
        </w:rPr>
        <w:instrText xml:space="preserve"> PAGEREF _Toc27123923 \h </w:instrText>
      </w:r>
      <w:r>
        <w:rPr>
          <w:noProof/>
        </w:rPr>
      </w:r>
      <w:r>
        <w:rPr>
          <w:noProof/>
        </w:rPr>
        <w:fldChar w:fldCharType="separate"/>
      </w:r>
      <w:r w:rsidR="006D77C1">
        <w:rPr>
          <w:noProof/>
        </w:rPr>
        <w:t>5</w:t>
      </w:r>
      <w:r>
        <w:rPr>
          <w:noProof/>
        </w:rPr>
        <w:fldChar w:fldCharType="end"/>
      </w:r>
    </w:p>
    <w:p w14:paraId="0EA1073B" w14:textId="278BEFE8" w:rsidR="0074384E" w:rsidRDefault="0074384E">
      <w:pPr>
        <w:pStyle w:val="TOC2"/>
        <w:rPr>
          <w:rFonts w:asciiTheme="minorHAnsi" w:eastAsiaTheme="minorEastAsia" w:hAnsiTheme="minorHAnsi" w:cstheme="minorBidi"/>
          <w:b w:val="0"/>
          <w:noProof/>
          <w:kern w:val="0"/>
          <w:sz w:val="22"/>
          <w:szCs w:val="22"/>
        </w:rPr>
      </w:pPr>
      <w:r>
        <w:rPr>
          <w:noProof/>
        </w:rPr>
        <w:t xml:space="preserve">Part 5— Delegations under the </w:t>
      </w:r>
      <w:r w:rsidRPr="00985C6C">
        <w:rPr>
          <w:i/>
          <w:noProof/>
        </w:rPr>
        <w:t>Insurance Acquisitions and Takeovers Act 1991</w:t>
      </w:r>
      <w:r>
        <w:rPr>
          <w:noProof/>
        </w:rPr>
        <w:tab/>
      </w:r>
      <w:r w:rsidRPr="0074384E">
        <w:rPr>
          <w:b w:val="0"/>
          <w:noProof/>
          <w:sz w:val="18"/>
        </w:rPr>
        <w:fldChar w:fldCharType="begin"/>
      </w:r>
      <w:r w:rsidRPr="0074384E">
        <w:rPr>
          <w:b w:val="0"/>
          <w:noProof/>
          <w:sz w:val="18"/>
        </w:rPr>
        <w:instrText xml:space="preserve"> PAGEREF _Toc27123924 \h </w:instrText>
      </w:r>
      <w:r w:rsidRPr="0074384E">
        <w:rPr>
          <w:b w:val="0"/>
          <w:noProof/>
          <w:sz w:val="18"/>
        </w:rPr>
      </w:r>
      <w:r w:rsidRPr="0074384E">
        <w:rPr>
          <w:b w:val="0"/>
          <w:noProof/>
          <w:sz w:val="18"/>
        </w:rPr>
        <w:fldChar w:fldCharType="separate"/>
      </w:r>
      <w:r w:rsidR="006D77C1">
        <w:rPr>
          <w:b w:val="0"/>
          <w:noProof/>
          <w:sz w:val="18"/>
        </w:rPr>
        <w:t>6</w:t>
      </w:r>
      <w:r w:rsidRPr="0074384E">
        <w:rPr>
          <w:b w:val="0"/>
          <w:noProof/>
          <w:sz w:val="18"/>
        </w:rPr>
        <w:fldChar w:fldCharType="end"/>
      </w:r>
    </w:p>
    <w:p w14:paraId="529F0859" w14:textId="37CD9ED6" w:rsidR="0074384E" w:rsidRDefault="0074384E">
      <w:pPr>
        <w:pStyle w:val="TOC5"/>
        <w:rPr>
          <w:rFonts w:asciiTheme="minorHAnsi" w:eastAsiaTheme="minorEastAsia" w:hAnsiTheme="minorHAnsi" w:cstheme="minorBidi"/>
          <w:noProof/>
          <w:kern w:val="0"/>
          <w:sz w:val="22"/>
          <w:szCs w:val="22"/>
        </w:rPr>
      </w:pPr>
      <w:r>
        <w:rPr>
          <w:noProof/>
        </w:rPr>
        <w:t>10  Delegation of the Minister’s powers</w:t>
      </w:r>
      <w:r>
        <w:rPr>
          <w:noProof/>
        </w:rPr>
        <w:tab/>
      </w:r>
      <w:r>
        <w:rPr>
          <w:noProof/>
        </w:rPr>
        <w:fldChar w:fldCharType="begin"/>
      </w:r>
      <w:r>
        <w:rPr>
          <w:noProof/>
        </w:rPr>
        <w:instrText xml:space="preserve"> PAGEREF _Toc27123925 \h </w:instrText>
      </w:r>
      <w:r>
        <w:rPr>
          <w:noProof/>
        </w:rPr>
      </w:r>
      <w:r>
        <w:rPr>
          <w:noProof/>
        </w:rPr>
        <w:fldChar w:fldCharType="separate"/>
      </w:r>
      <w:r w:rsidR="006D77C1">
        <w:rPr>
          <w:noProof/>
        </w:rPr>
        <w:t>6</w:t>
      </w:r>
      <w:r>
        <w:rPr>
          <w:noProof/>
        </w:rPr>
        <w:fldChar w:fldCharType="end"/>
      </w:r>
    </w:p>
    <w:p w14:paraId="3A1014BA" w14:textId="21967F08" w:rsidR="0074384E" w:rsidRDefault="0074384E">
      <w:pPr>
        <w:pStyle w:val="TOC5"/>
        <w:rPr>
          <w:rFonts w:asciiTheme="minorHAnsi" w:eastAsiaTheme="minorEastAsia" w:hAnsiTheme="minorHAnsi" w:cstheme="minorBidi"/>
          <w:noProof/>
          <w:kern w:val="0"/>
          <w:sz w:val="22"/>
          <w:szCs w:val="22"/>
        </w:rPr>
      </w:pPr>
      <w:r>
        <w:rPr>
          <w:noProof/>
        </w:rPr>
        <w:t>11  Direction about exercise of some powers</w:t>
      </w:r>
      <w:r>
        <w:rPr>
          <w:noProof/>
        </w:rPr>
        <w:tab/>
      </w:r>
      <w:r>
        <w:rPr>
          <w:noProof/>
        </w:rPr>
        <w:fldChar w:fldCharType="begin"/>
      </w:r>
      <w:r>
        <w:rPr>
          <w:noProof/>
        </w:rPr>
        <w:instrText xml:space="preserve"> PAGEREF _Toc27123926 \h </w:instrText>
      </w:r>
      <w:r>
        <w:rPr>
          <w:noProof/>
        </w:rPr>
      </w:r>
      <w:r>
        <w:rPr>
          <w:noProof/>
        </w:rPr>
        <w:fldChar w:fldCharType="separate"/>
      </w:r>
      <w:r w:rsidR="006D77C1">
        <w:rPr>
          <w:noProof/>
        </w:rPr>
        <w:t>7</w:t>
      </w:r>
      <w:r>
        <w:rPr>
          <w:noProof/>
        </w:rPr>
        <w:fldChar w:fldCharType="end"/>
      </w:r>
    </w:p>
    <w:p w14:paraId="5B85ADC3" w14:textId="2D18F2FE" w:rsidR="00AE1A82" w:rsidRPr="008B3C31" w:rsidRDefault="00EC38CB" w:rsidP="00715914">
      <w:r w:rsidRPr="008B3C31">
        <w:fldChar w:fldCharType="end"/>
      </w:r>
    </w:p>
    <w:p w14:paraId="32680442" w14:textId="77777777" w:rsidR="00670EA1" w:rsidRPr="008B3C31" w:rsidRDefault="00670EA1" w:rsidP="00715914">
      <w:pPr>
        <w:sectPr w:rsidR="00670EA1" w:rsidRPr="008B3C31" w:rsidSect="008B3C31">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5B781976" w14:textId="77777777" w:rsidR="00715914" w:rsidRPr="008B3C31" w:rsidRDefault="00715914" w:rsidP="00715914">
      <w:pPr>
        <w:pStyle w:val="ActHead2"/>
      </w:pPr>
      <w:bookmarkStart w:id="0" w:name="_Toc27123911"/>
      <w:r w:rsidRPr="008B3C31">
        <w:rPr>
          <w:rStyle w:val="CharPartNo"/>
        </w:rPr>
        <w:lastRenderedPageBreak/>
        <w:t>Part</w:t>
      </w:r>
      <w:r w:rsidR="008B3C31" w:rsidRPr="008B3C31">
        <w:rPr>
          <w:rStyle w:val="CharPartNo"/>
        </w:rPr>
        <w:t> </w:t>
      </w:r>
      <w:r w:rsidRPr="008B3C31">
        <w:rPr>
          <w:rStyle w:val="CharPartNo"/>
        </w:rPr>
        <w:t>1</w:t>
      </w:r>
      <w:r w:rsidRPr="008B3C31">
        <w:t>—</w:t>
      </w:r>
      <w:r w:rsidRPr="008B3C31">
        <w:rPr>
          <w:rStyle w:val="CharPartText"/>
        </w:rPr>
        <w:t>Preliminary</w:t>
      </w:r>
      <w:bookmarkEnd w:id="0"/>
    </w:p>
    <w:p w14:paraId="2975BAA1" w14:textId="77777777" w:rsidR="00715914" w:rsidRPr="008B3C31" w:rsidRDefault="00715914" w:rsidP="00715914">
      <w:pPr>
        <w:pStyle w:val="Header"/>
      </w:pPr>
      <w:r w:rsidRPr="008B3C31">
        <w:rPr>
          <w:rStyle w:val="CharDivNo"/>
        </w:rPr>
        <w:t xml:space="preserve"> </w:t>
      </w:r>
      <w:r w:rsidRPr="008B3C31">
        <w:rPr>
          <w:rStyle w:val="CharDivText"/>
        </w:rPr>
        <w:t xml:space="preserve"> </w:t>
      </w:r>
    </w:p>
    <w:p w14:paraId="24858882" w14:textId="77777777" w:rsidR="00715914" w:rsidRPr="008B3C31" w:rsidRDefault="00715914" w:rsidP="00715914">
      <w:pPr>
        <w:pStyle w:val="ActHead5"/>
      </w:pPr>
      <w:bookmarkStart w:id="1" w:name="_Toc27123912"/>
      <w:r w:rsidRPr="008B3C31">
        <w:rPr>
          <w:rStyle w:val="CharSectno"/>
        </w:rPr>
        <w:t>1</w:t>
      </w:r>
      <w:r w:rsidRPr="008B3C31">
        <w:t xml:space="preserve">  </w:t>
      </w:r>
      <w:r w:rsidR="00CE493D" w:rsidRPr="008B3C31">
        <w:t>Name</w:t>
      </w:r>
      <w:bookmarkEnd w:id="1"/>
    </w:p>
    <w:p w14:paraId="31D2AAC9" w14:textId="31064771" w:rsidR="00715914" w:rsidRPr="008B3C31" w:rsidRDefault="00715914" w:rsidP="00715914">
      <w:pPr>
        <w:pStyle w:val="subsection"/>
      </w:pPr>
      <w:r w:rsidRPr="008B3C31">
        <w:tab/>
      </w:r>
      <w:r w:rsidRPr="008B3C31">
        <w:tab/>
      </w:r>
      <w:r w:rsidR="00D54A90" w:rsidRPr="008B3C31">
        <w:t xml:space="preserve">This </w:t>
      </w:r>
      <w:r w:rsidR="005D0E7B" w:rsidRPr="008B3C31">
        <w:t xml:space="preserve">instrument </w:t>
      </w:r>
      <w:r w:rsidR="00D54A90" w:rsidRPr="008B3C31">
        <w:t>is</w:t>
      </w:r>
      <w:r w:rsidR="00CE493D" w:rsidRPr="008B3C31">
        <w:t xml:space="preserve"> the </w:t>
      </w:r>
      <w:r w:rsidR="008B3C31" w:rsidRPr="008B3C31">
        <w:rPr>
          <w:i/>
          <w:noProof/>
        </w:rPr>
        <w:t xml:space="preserve">Ministerial Powers (APRA) Instrument </w:t>
      </w:r>
      <w:r w:rsidR="00B45D2B">
        <w:rPr>
          <w:i/>
          <w:noProof/>
        </w:rPr>
        <w:t>2020</w:t>
      </w:r>
      <w:r w:rsidRPr="008B3C31">
        <w:t>.</w:t>
      </w:r>
    </w:p>
    <w:p w14:paraId="79EEA666" w14:textId="77777777" w:rsidR="00715914" w:rsidRPr="008B3C31" w:rsidRDefault="00715914" w:rsidP="00715914">
      <w:pPr>
        <w:pStyle w:val="ActHead5"/>
      </w:pPr>
      <w:bookmarkStart w:id="2" w:name="_Toc27123913"/>
      <w:r w:rsidRPr="008B3C31">
        <w:rPr>
          <w:rStyle w:val="CharSectno"/>
        </w:rPr>
        <w:t>2</w:t>
      </w:r>
      <w:r w:rsidRPr="008B3C31">
        <w:t xml:space="preserve">  Commencement</w:t>
      </w:r>
      <w:bookmarkEnd w:id="2"/>
    </w:p>
    <w:p w14:paraId="53729EE6" w14:textId="77777777" w:rsidR="00BA0C87" w:rsidRPr="008B3C31" w:rsidRDefault="00BA0C87" w:rsidP="00593449">
      <w:pPr>
        <w:pStyle w:val="subsection"/>
      </w:pPr>
      <w:r w:rsidRPr="008B3C31">
        <w:tab/>
        <w:t>(1)</w:t>
      </w:r>
      <w:r w:rsidRPr="008B3C31">
        <w:tab/>
        <w:t xml:space="preserve">Each provision of </w:t>
      </w:r>
      <w:r w:rsidR="008B3C31">
        <w:t xml:space="preserve">this </w:t>
      </w:r>
      <w:r w:rsidR="00D54A90" w:rsidRPr="008B3C31">
        <w:t>instrument</w:t>
      </w:r>
      <w:r w:rsidRPr="008B3C31">
        <w:t xml:space="preserve"> specified in column 1 of the table commences, or is taken to have commenced, in accordance with column 2 of the table. Any other statement in column 2 has effect according to its terms.</w:t>
      </w:r>
    </w:p>
    <w:p w14:paraId="6F46C388" w14:textId="77777777" w:rsidR="00BA0C87" w:rsidRPr="008B3C31" w:rsidRDefault="00BA0C87" w:rsidP="00593449">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BA0C87" w:rsidRPr="008B3C31" w14:paraId="7FAA1E75" w14:textId="77777777" w:rsidTr="00CA7CDF">
        <w:trPr>
          <w:cantSplit/>
          <w:tblHeader/>
        </w:trPr>
        <w:tc>
          <w:tcPr>
            <w:tcW w:w="8364" w:type="dxa"/>
            <w:gridSpan w:val="3"/>
            <w:tcBorders>
              <w:top w:val="single" w:sz="12" w:space="0" w:color="auto"/>
              <w:left w:val="nil"/>
              <w:bottom w:val="single" w:sz="6" w:space="0" w:color="auto"/>
              <w:right w:val="nil"/>
            </w:tcBorders>
            <w:hideMark/>
          </w:tcPr>
          <w:p w14:paraId="08C81A6B" w14:textId="77777777" w:rsidR="00BA0C87" w:rsidRPr="008B3C31" w:rsidRDefault="00BA0C87" w:rsidP="00612709">
            <w:pPr>
              <w:pStyle w:val="TableHeading"/>
            </w:pPr>
            <w:r w:rsidRPr="008B3C31">
              <w:t>Commencement information</w:t>
            </w:r>
          </w:p>
        </w:tc>
      </w:tr>
      <w:tr w:rsidR="00BA0C87" w:rsidRPr="008B3C31" w14:paraId="01E46DEB" w14:textId="77777777" w:rsidTr="00CA7CDF">
        <w:trPr>
          <w:cantSplit/>
          <w:tblHeader/>
        </w:trPr>
        <w:tc>
          <w:tcPr>
            <w:tcW w:w="2127" w:type="dxa"/>
            <w:tcBorders>
              <w:top w:val="single" w:sz="6" w:space="0" w:color="auto"/>
              <w:left w:val="nil"/>
              <w:bottom w:val="single" w:sz="6" w:space="0" w:color="auto"/>
              <w:right w:val="nil"/>
            </w:tcBorders>
            <w:hideMark/>
          </w:tcPr>
          <w:p w14:paraId="3C5F796C" w14:textId="77777777" w:rsidR="00BA0C87" w:rsidRPr="008B3C31" w:rsidRDefault="00BA0C87" w:rsidP="00612709">
            <w:pPr>
              <w:pStyle w:val="TableHeading"/>
            </w:pPr>
            <w:r w:rsidRPr="008B3C31">
              <w:t>Column 1</w:t>
            </w:r>
          </w:p>
        </w:tc>
        <w:tc>
          <w:tcPr>
            <w:tcW w:w="4394" w:type="dxa"/>
            <w:tcBorders>
              <w:top w:val="single" w:sz="6" w:space="0" w:color="auto"/>
              <w:left w:val="nil"/>
              <w:bottom w:val="single" w:sz="6" w:space="0" w:color="auto"/>
              <w:right w:val="nil"/>
            </w:tcBorders>
            <w:hideMark/>
          </w:tcPr>
          <w:p w14:paraId="35C1F515" w14:textId="77777777" w:rsidR="00BA0C87" w:rsidRPr="008B3C31" w:rsidRDefault="00BA0C87" w:rsidP="00612709">
            <w:pPr>
              <w:pStyle w:val="TableHeading"/>
            </w:pPr>
            <w:r w:rsidRPr="008B3C31">
              <w:t>Column 2</w:t>
            </w:r>
          </w:p>
        </w:tc>
        <w:tc>
          <w:tcPr>
            <w:tcW w:w="1843" w:type="dxa"/>
            <w:tcBorders>
              <w:top w:val="single" w:sz="6" w:space="0" w:color="auto"/>
              <w:left w:val="nil"/>
              <w:bottom w:val="single" w:sz="6" w:space="0" w:color="auto"/>
              <w:right w:val="nil"/>
            </w:tcBorders>
            <w:hideMark/>
          </w:tcPr>
          <w:p w14:paraId="6CE40017" w14:textId="77777777" w:rsidR="00BA0C87" w:rsidRPr="008B3C31" w:rsidRDefault="00BA0C87" w:rsidP="00612709">
            <w:pPr>
              <w:pStyle w:val="TableHeading"/>
            </w:pPr>
            <w:r w:rsidRPr="008B3C31">
              <w:t>Column 3</w:t>
            </w:r>
          </w:p>
        </w:tc>
      </w:tr>
      <w:tr w:rsidR="00BA0C87" w:rsidRPr="008B3C31" w14:paraId="0317FE12" w14:textId="77777777" w:rsidTr="00CA7CDF">
        <w:trPr>
          <w:cantSplit/>
          <w:tblHeader/>
        </w:trPr>
        <w:tc>
          <w:tcPr>
            <w:tcW w:w="2127" w:type="dxa"/>
            <w:tcBorders>
              <w:top w:val="single" w:sz="6" w:space="0" w:color="auto"/>
              <w:left w:val="nil"/>
              <w:bottom w:val="single" w:sz="12" w:space="0" w:color="auto"/>
              <w:right w:val="nil"/>
            </w:tcBorders>
            <w:hideMark/>
          </w:tcPr>
          <w:p w14:paraId="335971B7" w14:textId="77777777" w:rsidR="00BA0C87" w:rsidRPr="008B3C31" w:rsidRDefault="00BA0C87" w:rsidP="00612709">
            <w:pPr>
              <w:pStyle w:val="TableHeading"/>
            </w:pPr>
            <w:r w:rsidRPr="008B3C31">
              <w:t>Provisions</w:t>
            </w:r>
          </w:p>
        </w:tc>
        <w:tc>
          <w:tcPr>
            <w:tcW w:w="4394" w:type="dxa"/>
            <w:tcBorders>
              <w:top w:val="single" w:sz="6" w:space="0" w:color="auto"/>
              <w:left w:val="nil"/>
              <w:bottom w:val="single" w:sz="12" w:space="0" w:color="auto"/>
              <w:right w:val="nil"/>
            </w:tcBorders>
            <w:hideMark/>
          </w:tcPr>
          <w:p w14:paraId="096C4CCF" w14:textId="77777777" w:rsidR="00BA0C87" w:rsidRPr="008B3C31" w:rsidRDefault="00BA0C87" w:rsidP="00612709">
            <w:pPr>
              <w:pStyle w:val="TableHeading"/>
            </w:pPr>
            <w:r w:rsidRPr="008B3C31">
              <w:t>Commencement</w:t>
            </w:r>
          </w:p>
        </w:tc>
        <w:tc>
          <w:tcPr>
            <w:tcW w:w="1843" w:type="dxa"/>
            <w:tcBorders>
              <w:top w:val="single" w:sz="6" w:space="0" w:color="auto"/>
              <w:left w:val="nil"/>
              <w:bottom w:val="single" w:sz="12" w:space="0" w:color="auto"/>
              <w:right w:val="nil"/>
            </w:tcBorders>
            <w:hideMark/>
          </w:tcPr>
          <w:p w14:paraId="1ACB44B8" w14:textId="77777777" w:rsidR="00BA0C87" w:rsidRPr="008B3C31" w:rsidRDefault="00BA0C87" w:rsidP="00612709">
            <w:pPr>
              <w:pStyle w:val="TableHeading"/>
            </w:pPr>
            <w:r w:rsidRPr="008B3C31">
              <w:t>Date/Details</w:t>
            </w:r>
          </w:p>
        </w:tc>
      </w:tr>
      <w:tr w:rsidR="00BA0C87" w:rsidRPr="008B3C31" w14:paraId="3EBB3264" w14:textId="77777777" w:rsidTr="00CA7CDF">
        <w:trPr>
          <w:cantSplit/>
        </w:trPr>
        <w:tc>
          <w:tcPr>
            <w:tcW w:w="2127" w:type="dxa"/>
            <w:tcBorders>
              <w:top w:val="single" w:sz="2" w:space="0" w:color="auto"/>
              <w:left w:val="nil"/>
              <w:bottom w:val="single" w:sz="12" w:space="0" w:color="auto"/>
              <w:right w:val="nil"/>
            </w:tcBorders>
            <w:hideMark/>
          </w:tcPr>
          <w:p w14:paraId="4A7AA6FF" w14:textId="77777777" w:rsidR="00BA0C87" w:rsidRPr="008B3C31" w:rsidRDefault="008B3C31">
            <w:pPr>
              <w:pStyle w:val="Tabletext"/>
            </w:pPr>
            <w:r>
              <w:t>1</w:t>
            </w:r>
            <w:r w:rsidR="00BA0C87" w:rsidRPr="008B3C31">
              <w:t xml:space="preserve">.  </w:t>
            </w:r>
            <w:r>
              <w:t>The whole of this instrument</w:t>
            </w:r>
          </w:p>
        </w:tc>
        <w:tc>
          <w:tcPr>
            <w:tcW w:w="4394" w:type="dxa"/>
            <w:tcBorders>
              <w:top w:val="single" w:sz="2" w:space="0" w:color="auto"/>
              <w:left w:val="nil"/>
              <w:bottom w:val="single" w:sz="12" w:space="0" w:color="auto"/>
              <w:right w:val="nil"/>
            </w:tcBorders>
          </w:tcPr>
          <w:p w14:paraId="5E654FCA" w14:textId="77777777" w:rsidR="00BA0C87" w:rsidRPr="008B3C31" w:rsidRDefault="008B3C31">
            <w:pPr>
              <w:pStyle w:val="Tabletext"/>
            </w:pPr>
            <w:r w:rsidRPr="008B3C31">
              <w:t>The day after this instrument is registered.</w:t>
            </w:r>
          </w:p>
        </w:tc>
        <w:tc>
          <w:tcPr>
            <w:tcW w:w="1843" w:type="dxa"/>
            <w:tcBorders>
              <w:top w:val="single" w:sz="2" w:space="0" w:color="auto"/>
              <w:left w:val="nil"/>
              <w:bottom w:val="single" w:sz="12" w:space="0" w:color="auto"/>
              <w:right w:val="nil"/>
            </w:tcBorders>
          </w:tcPr>
          <w:p w14:paraId="6FB2F057" w14:textId="77777777" w:rsidR="00BA0C87" w:rsidRPr="008B3C31" w:rsidRDefault="00BA0C87">
            <w:pPr>
              <w:pStyle w:val="Tabletext"/>
            </w:pPr>
          </w:p>
        </w:tc>
      </w:tr>
    </w:tbl>
    <w:p w14:paraId="2E88F8AD" w14:textId="77777777" w:rsidR="00BA0C87" w:rsidRPr="008B3C31" w:rsidRDefault="00BA0C87" w:rsidP="00D21F74">
      <w:pPr>
        <w:pStyle w:val="notetext"/>
      </w:pPr>
      <w:r w:rsidRPr="008B3C31">
        <w:rPr>
          <w:snapToGrid w:val="0"/>
          <w:lang w:eastAsia="en-US"/>
        </w:rPr>
        <w:t>Note:</w:t>
      </w:r>
      <w:r w:rsidRPr="008B3C31">
        <w:rPr>
          <w:snapToGrid w:val="0"/>
          <w:lang w:eastAsia="en-US"/>
        </w:rPr>
        <w:tab/>
        <w:t xml:space="preserve">This table relates only to the provisions of this </w:t>
      </w:r>
      <w:r w:rsidR="00D54A90" w:rsidRPr="008B3C31">
        <w:t>instrument</w:t>
      </w:r>
      <w:r w:rsidRPr="008B3C31">
        <w:t xml:space="preserve"> </w:t>
      </w:r>
      <w:r w:rsidRPr="008B3C31">
        <w:rPr>
          <w:snapToGrid w:val="0"/>
          <w:lang w:eastAsia="en-US"/>
        </w:rPr>
        <w:t xml:space="preserve">as originally made. It will not be amended to deal with any later amendments of this </w:t>
      </w:r>
      <w:r w:rsidR="00D54A90" w:rsidRPr="008B3C31">
        <w:rPr>
          <w:snapToGrid w:val="0"/>
          <w:lang w:eastAsia="en-US"/>
        </w:rPr>
        <w:t>instrument</w:t>
      </w:r>
      <w:r w:rsidRPr="008B3C31">
        <w:rPr>
          <w:snapToGrid w:val="0"/>
          <w:lang w:eastAsia="en-US"/>
        </w:rPr>
        <w:t>.</w:t>
      </w:r>
    </w:p>
    <w:p w14:paraId="57B8D039" w14:textId="77777777" w:rsidR="00BA0C87" w:rsidRPr="008B3C31" w:rsidRDefault="00BA0C87" w:rsidP="00D455E3">
      <w:pPr>
        <w:pStyle w:val="subsection"/>
      </w:pPr>
      <w:r w:rsidRPr="008B3C31">
        <w:tab/>
        <w:t>(2)</w:t>
      </w:r>
      <w:r w:rsidRPr="008B3C31">
        <w:tab/>
        <w:t xml:space="preserve">Any information in column 3 of the table is not part of this </w:t>
      </w:r>
      <w:r w:rsidR="00D54A90" w:rsidRPr="008B3C31">
        <w:t>instrument</w:t>
      </w:r>
      <w:r w:rsidRPr="008B3C31">
        <w:t xml:space="preserve">. Information may be inserted in this column, or information in it may be edited, in any published version of this </w:t>
      </w:r>
      <w:r w:rsidR="00D54A90" w:rsidRPr="008B3C31">
        <w:t>instrument</w:t>
      </w:r>
      <w:r w:rsidRPr="008B3C31">
        <w:t>.</w:t>
      </w:r>
    </w:p>
    <w:p w14:paraId="68191091" w14:textId="77777777" w:rsidR="007500C8" w:rsidRPr="008B3C31" w:rsidRDefault="007500C8" w:rsidP="007500C8">
      <w:pPr>
        <w:pStyle w:val="ActHead5"/>
      </w:pPr>
      <w:bookmarkStart w:id="3" w:name="_Toc27123914"/>
      <w:r w:rsidRPr="008B3C31">
        <w:rPr>
          <w:rStyle w:val="CharSectno"/>
        </w:rPr>
        <w:t>3</w:t>
      </w:r>
      <w:r w:rsidRPr="008B3C31">
        <w:t xml:space="preserve">  Authority</w:t>
      </w:r>
      <w:bookmarkEnd w:id="3"/>
    </w:p>
    <w:p w14:paraId="249D802A" w14:textId="77777777" w:rsidR="00B80D79" w:rsidRDefault="007500C8" w:rsidP="007E667A">
      <w:pPr>
        <w:pStyle w:val="subsection"/>
      </w:pPr>
      <w:r w:rsidRPr="008B3C31">
        <w:tab/>
      </w:r>
      <w:r w:rsidRPr="008B3C31">
        <w:tab/>
        <w:t xml:space="preserve">This </w:t>
      </w:r>
      <w:r w:rsidR="00D54A90" w:rsidRPr="008B3C31">
        <w:t>instrument</w:t>
      </w:r>
      <w:r w:rsidRPr="008B3C31">
        <w:t xml:space="preserve"> is made under the </w:t>
      </w:r>
      <w:r w:rsidR="00B80D79">
        <w:t>following:</w:t>
      </w:r>
    </w:p>
    <w:p w14:paraId="494A9DE7" w14:textId="77777777" w:rsidR="00157B8B" w:rsidRDefault="00B80D79" w:rsidP="00B80D79">
      <w:pPr>
        <w:pStyle w:val="paragraph"/>
      </w:pPr>
      <w:r>
        <w:tab/>
        <w:t>(a)</w:t>
      </w:r>
      <w:r>
        <w:tab/>
      </w:r>
      <w:r w:rsidRPr="00B80D79">
        <w:t xml:space="preserve">the </w:t>
      </w:r>
      <w:r w:rsidRPr="00B80D79">
        <w:rPr>
          <w:i/>
        </w:rPr>
        <w:t>Banking Act 1959</w:t>
      </w:r>
      <w:r>
        <w:t>;</w:t>
      </w:r>
    </w:p>
    <w:p w14:paraId="4E988E2B" w14:textId="77777777" w:rsidR="00B80D79" w:rsidRDefault="00B80D79" w:rsidP="00B80D79">
      <w:pPr>
        <w:pStyle w:val="paragraph"/>
      </w:pPr>
      <w:r>
        <w:tab/>
        <w:t>(b)</w:t>
      </w:r>
      <w:r>
        <w:tab/>
      </w:r>
      <w:r w:rsidRPr="00B80D79">
        <w:t xml:space="preserve">the </w:t>
      </w:r>
      <w:r w:rsidRPr="00B80D79">
        <w:rPr>
          <w:i/>
        </w:rPr>
        <w:t>Financial Sector (Shareholdings) Act 1998</w:t>
      </w:r>
      <w:r>
        <w:t>;</w:t>
      </w:r>
    </w:p>
    <w:p w14:paraId="4D92ED00" w14:textId="77777777" w:rsidR="00B80D79" w:rsidRDefault="00B80D79" w:rsidP="00B80D79">
      <w:pPr>
        <w:pStyle w:val="paragraph"/>
      </w:pPr>
      <w:r>
        <w:tab/>
        <w:t>(c)</w:t>
      </w:r>
      <w:r>
        <w:tab/>
      </w:r>
      <w:r w:rsidRPr="00B80D79">
        <w:t xml:space="preserve">the </w:t>
      </w:r>
      <w:r w:rsidRPr="00B80D79">
        <w:rPr>
          <w:i/>
        </w:rPr>
        <w:t>Financial Sector (Transfer and Restructure) Act 1999</w:t>
      </w:r>
      <w:r>
        <w:t>;</w:t>
      </w:r>
    </w:p>
    <w:p w14:paraId="189AE9A0" w14:textId="77777777" w:rsidR="00B80D79" w:rsidRPr="00B80D79" w:rsidRDefault="00B80D79" w:rsidP="00B80D79">
      <w:pPr>
        <w:pStyle w:val="paragraph"/>
      </w:pPr>
      <w:r>
        <w:tab/>
        <w:t>(d)</w:t>
      </w:r>
      <w:r>
        <w:tab/>
      </w:r>
      <w:r w:rsidRPr="00B80D79">
        <w:t xml:space="preserve">the </w:t>
      </w:r>
      <w:r w:rsidRPr="00B80D79">
        <w:rPr>
          <w:i/>
        </w:rPr>
        <w:t>Insurance Acquisitions and Takeovers Act 1991</w:t>
      </w:r>
      <w:r>
        <w:t>.</w:t>
      </w:r>
    </w:p>
    <w:p w14:paraId="0A0163B0" w14:textId="77777777" w:rsidR="00AE1A82" w:rsidRPr="008B3C31" w:rsidRDefault="00AE1A82" w:rsidP="00AE1A82">
      <w:pPr>
        <w:pStyle w:val="ActHead5"/>
      </w:pPr>
      <w:bookmarkStart w:id="4" w:name="_Toc27123915"/>
      <w:r w:rsidRPr="008B3C31">
        <w:rPr>
          <w:rStyle w:val="CharSectno"/>
        </w:rPr>
        <w:t>4</w:t>
      </w:r>
      <w:r w:rsidRPr="008B3C31">
        <w:t xml:space="preserve">  </w:t>
      </w:r>
      <w:r w:rsidR="00B80D79">
        <w:t>Interpretation</w:t>
      </w:r>
      <w:bookmarkEnd w:id="4"/>
    </w:p>
    <w:p w14:paraId="725A1221" w14:textId="77777777" w:rsidR="00AE1A82" w:rsidRDefault="00AE1A82" w:rsidP="00AE1A82">
      <w:pPr>
        <w:pStyle w:val="subsection"/>
      </w:pPr>
      <w:r w:rsidRPr="008B3C31">
        <w:tab/>
      </w:r>
      <w:r w:rsidR="00B80D79">
        <w:t>(1)</w:t>
      </w:r>
      <w:r w:rsidRPr="008B3C31">
        <w:tab/>
      </w:r>
      <w:r w:rsidR="00B80D79" w:rsidRPr="00B80D79">
        <w:t>An expression has the same meaning in a provision of this instrument as it has in the Act referred to in the heading to the Part in which that provision occurs.</w:t>
      </w:r>
    </w:p>
    <w:p w14:paraId="047668DD" w14:textId="77777777" w:rsidR="00B80D79" w:rsidRDefault="00B80D79" w:rsidP="00AE1A82">
      <w:pPr>
        <w:pStyle w:val="subsection"/>
      </w:pPr>
      <w:r>
        <w:tab/>
        <w:t>(2)</w:t>
      </w:r>
      <w:r>
        <w:tab/>
        <w:t>In this instrument:</w:t>
      </w:r>
    </w:p>
    <w:p w14:paraId="4DA196EA" w14:textId="77777777" w:rsidR="00B80D79" w:rsidRPr="00FC07DE" w:rsidRDefault="00B80D79" w:rsidP="00FC07DE">
      <w:pPr>
        <w:pStyle w:val="Definition"/>
      </w:pPr>
      <w:r w:rsidRPr="00FC07DE">
        <w:rPr>
          <w:b/>
          <w:i/>
        </w:rPr>
        <w:t>ADI</w:t>
      </w:r>
      <w:r w:rsidRPr="00FC07DE">
        <w:t xml:space="preserve"> means an authorised deposit-taking institution within the m</w:t>
      </w:r>
      <w:r w:rsidR="00FC07DE" w:rsidRPr="00FC07DE">
        <w:t>eaning of the Banking Act 1959.</w:t>
      </w:r>
    </w:p>
    <w:p w14:paraId="4B27646D" w14:textId="77777777" w:rsidR="00B80D79" w:rsidRPr="00FC07DE" w:rsidRDefault="00B80D79" w:rsidP="00FC07DE">
      <w:pPr>
        <w:pStyle w:val="Definition"/>
      </w:pPr>
      <w:r w:rsidRPr="00FC07DE">
        <w:rPr>
          <w:b/>
          <w:i/>
        </w:rPr>
        <w:t>APRA</w:t>
      </w:r>
      <w:r w:rsidRPr="00FC07DE">
        <w:t xml:space="preserve"> means the Australian P</w:t>
      </w:r>
      <w:r w:rsidR="00FC07DE" w:rsidRPr="00FC07DE">
        <w:t>rudential Regulat</w:t>
      </w:r>
      <w:r w:rsidR="00FC07DE">
        <w:t>ion</w:t>
      </w:r>
      <w:r w:rsidR="00FC07DE" w:rsidRPr="00FC07DE">
        <w:t xml:space="preserve"> Authority.</w:t>
      </w:r>
    </w:p>
    <w:p w14:paraId="41448622" w14:textId="77777777" w:rsidR="00B80D79" w:rsidRPr="00FC07DE" w:rsidRDefault="00B80D79" w:rsidP="00FC07DE">
      <w:pPr>
        <w:pStyle w:val="Definition"/>
      </w:pPr>
      <w:r w:rsidRPr="00FC07DE">
        <w:rPr>
          <w:b/>
          <w:i/>
        </w:rPr>
        <w:t>APRA member</w:t>
      </w:r>
      <w:r w:rsidRPr="00FC07DE">
        <w:t xml:space="preserve"> has the same meaning as in section 3 of the </w:t>
      </w:r>
      <w:r w:rsidRPr="00FC07DE">
        <w:rPr>
          <w:i/>
        </w:rPr>
        <w:t>Australian Prudential Regulation Authority Act 1998</w:t>
      </w:r>
      <w:r w:rsidRPr="00FC07DE">
        <w:t>.</w:t>
      </w:r>
    </w:p>
    <w:p w14:paraId="7CDAACB3" w14:textId="77777777" w:rsidR="00B80D79" w:rsidRPr="00FC07DE" w:rsidRDefault="00B80D79" w:rsidP="00FC07DE">
      <w:pPr>
        <w:pStyle w:val="Definition"/>
      </w:pPr>
      <w:r w:rsidRPr="00FC07DE">
        <w:rPr>
          <w:b/>
          <w:i/>
        </w:rPr>
        <w:t>value of total assets</w:t>
      </w:r>
      <w:r w:rsidRPr="00FC07DE">
        <w:t xml:space="preserve"> has the meaning given by section 5.</w:t>
      </w:r>
    </w:p>
    <w:p w14:paraId="6C2053DF" w14:textId="77777777" w:rsidR="00951956" w:rsidRPr="00FC07DE" w:rsidRDefault="00951956" w:rsidP="00951956">
      <w:pPr>
        <w:pStyle w:val="ActHead5"/>
      </w:pPr>
      <w:bookmarkStart w:id="5" w:name="_Toc27123916"/>
      <w:r w:rsidRPr="00FC07DE">
        <w:rPr>
          <w:rStyle w:val="CharSectno"/>
        </w:rPr>
        <w:lastRenderedPageBreak/>
        <w:t>5</w:t>
      </w:r>
      <w:r w:rsidRPr="00FC07DE">
        <w:t xml:space="preserve">  Working out value of total assets at a given time</w:t>
      </w:r>
      <w:bookmarkEnd w:id="5"/>
    </w:p>
    <w:p w14:paraId="2F3E942A" w14:textId="77777777" w:rsidR="00FC07DE" w:rsidRPr="00FC07DE" w:rsidRDefault="00FC07DE" w:rsidP="00FC07DE">
      <w:pPr>
        <w:pStyle w:val="SubsectionHead"/>
      </w:pPr>
      <w:r>
        <w:t>For an ADI</w:t>
      </w:r>
    </w:p>
    <w:p w14:paraId="0EC6D65E" w14:textId="77777777" w:rsidR="00951956" w:rsidRDefault="00951956" w:rsidP="00951956">
      <w:pPr>
        <w:pStyle w:val="subsection"/>
      </w:pPr>
      <w:r w:rsidRPr="00FC07DE">
        <w:tab/>
      </w:r>
      <w:r w:rsidR="00FC07DE">
        <w:t>(1)</w:t>
      </w:r>
      <w:r w:rsidRPr="00FC07DE">
        <w:tab/>
      </w:r>
      <w:r w:rsidR="00FC07DE" w:rsidRPr="00FC07DE">
        <w:t xml:space="preserve">For the purposes of this instrument, the </w:t>
      </w:r>
      <w:r w:rsidR="00FC07DE" w:rsidRPr="00EC209C">
        <w:rPr>
          <w:b/>
          <w:i/>
        </w:rPr>
        <w:t>value of total assets</w:t>
      </w:r>
      <w:r w:rsidR="00FC07DE" w:rsidRPr="00FC07DE">
        <w:t xml:space="preserve"> of an ADI at a particular time (the </w:t>
      </w:r>
      <w:r w:rsidR="00FC07DE" w:rsidRPr="00FC07DE">
        <w:rPr>
          <w:b/>
          <w:i/>
        </w:rPr>
        <w:t>test time</w:t>
      </w:r>
      <w:r w:rsidR="00FC07DE" w:rsidRPr="00FC07DE">
        <w:t xml:space="preserve">) is the total assets of the ADI as last reported to APRA, for a reporting period ending before the test time, under whichever of these reporting standards under the </w:t>
      </w:r>
      <w:r w:rsidR="00FC07DE" w:rsidRPr="00FC07DE">
        <w:rPr>
          <w:i/>
        </w:rPr>
        <w:t>Financial Sector (Collection of Data) Act 2001</w:t>
      </w:r>
      <w:r w:rsidR="00FC07DE" w:rsidRPr="00FC07DE">
        <w:t xml:space="preserve"> applied to the ADI for that reporting period:</w:t>
      </w:r>
    </w:p>
    <w:p w14:paraId="7D1A9615" w14:textId="77777777" w:rsidR="00FC07DE" w:rsidRPr="00FC07DE" w:rsidRDefault="00FC07DE" w:rsidP="00FC07DE">
      <w:pPr>
        <w:pStyle w:val="paragraph"/>
      </w:pPr>
      <w:r w:rsidRPr="00FC07DE">
        <w:tab/>
        <w:t>(a)</w:t>
      </w:r>
      <w:r w:rsidRPr="00FC07DE">
        <w:tab/>
      </w:r>
      <w:r w:rsidRPr="00FC07DE">
        <w:rPr>
          <w:i/>
        </w:rPr>
        <w:t>Reporting Standard ARS 720.0 ABS/RBA Statement of Financial Position</w:t>
      </w:r>
      <w:r w:rsidRPr="00FC07DE">
        <w:t>;</w:t>
      </w:r>
    </w:p>
    <w:p w14:paraId="7FFC9DD5" w14:textId="77777777" w:rsidR="00FC07DE" w:rsidRDefault="00FC07DE" w:rsidP="00FC07DE">
      <w:pPr>
        <w:pStyle w:val="paragraph"/>
      </w:pPr>
      <w:r w:rsidRPr="00FC07DE">
        <w:tab/>
        <w:t>(b)</w:t>
      </w:r>
      <w:r w:rsidRPr="00FC07DE">
        <w:tab/>
      </w:r>
      <w:r w:rsidRPr="00FC07DE">
        <w:rPr>
          <w:i/>
        </w:rPr>
        <w:t>Reporting Standard ARS 323.0 Statement of Financial Position (Licensed ADI)</w:t>
      </w:r>
      <w:r w:rsidRPr="00FC07DE">
        <w:t>.</w:t>
      </w:r>
    </w:p>
    <w:p w14:paraId="193FFE79" w14:textId="77777777" w:rsidR="00FC07DE" w:rsidRPr="00FC07DE" w:rsidRDefault="00FC07DE" w:rsidP="00FC07DE">
      <w:pPr>
        <w:pStyle w:val="subsection"/>
      </w:pPr>
      <w:r>
        <w:tab/>
      </w:r>
      <w:r w:rsidRPr="00FC07DE">
        <w:t>(2)</w:t>
      </w:r>
      <w:r w:rsidRPr="00FC07DE">
        <w:tab/>
        <w:t xml:space="preserve">However, if the ADI has not reported as mentioned in subsection (1), the </w:t>
      </w:r>
      <w:r w:rsidRPr="00EC209C">
        <w:rPr>
          <w:b/>
          <w:i/>
        </w:rPr>
        <w:t>value of total assets</w:t>
      </w:r>
      <w:r w:rsidRPr="00FC07DE">
        <w:t xml:space="preserve"> of the ADI at the test time is its total assets at the end of the last reporting period before the test time, as those total assets would have been worked out in order to comply with whichever of those reporting standards applied to the ADI at the test time.</w:t>
      </w:r>
    </w:p>
    <w:p w14:paraId="471238CE" w14:textId="77777777" w:rsidR="00FC07DE" w:rsidRPr="00EC209C" w:rsidRDefault="00FC07DE" w:rsidP="00EC209C">
      <w:pPr>
        <w:pStyle w:val="SubsectionHead"/>
      </w:pPr>
      <w:r w:rsidRPr="00EC209C">
        <w:t>For a general insurer</w:t>
      </w:r>
    </w:p>
    <w:p w14:paraId="211A104D" w14:textId="77777777" w:rsidR="00FC07DE" w:rsidRDefault="00FC07DE" w:rsidP="00FC07DE">
      <w:pPr>
        <w:pStyle w:val="subsection"/>
      </w:pPr>
      <w:r>
        <w:tab/>
        <w:t>(3)</w:t>
      </w:r>
      <w:r>
        <w:tab/>
        <w:t xml:space="preserve">For the purposes of this instrument, the </w:t>
      </w:r>
      <w:r w:rsidRPr="00EC209C">
        <w:rPr>
          <w:b/>
          <w:i/>
        </w:rPr>
        <w:t>value of total assets</w:t>
      </w:r>
      <w:r>
        <w:t xml:space="preserve"> at a particular time of a company authorised under the </w:t>
      </w:r>
      <w:r w:rsidRPr="00EC209C">
        <w:rPr>
          <w:i/>
        </w:rPr>
        <w:t>Insurance Act 1973</w:t>
      </w:r>
      <w:r>
        <w:t xml:space="preserve"> to carry on insurance business is the value at that time, for the purposes of paragraph</w:t>
      </w:r>
      <w:r w:rsidR="00EC209C">
        <w:t> </w:t>
      </w:r>
      <w:r>
        <w:t>28(a) of that Act, of the company’s assets in Australia that are taken into account in determining whether the company complied at that time with section 28 of that Act.</w:t>
      </w:r>
    </w:p>
    <w:p w14:paraId="7FF02F2A" w14:textId="77777777" w:rsidR="00FC07DE" w:rsidRPr="00EC209C" w:rsidRDefault="00FC07DE" w:rsidP="00EC209C">
      <w:pPr>
        <w:pStyle w:val="SubsectionHead"/>
      </w:pPr>
      <w:r w:rsidRPr="00EC209C">
        <w:t>For a life insurer</w:t>
      </w:r>
    </w:p>
    <w:p w14:paraId="3C4E4C41" w14:textId="77777777" w:rsidR="00FC07DE" w:rsidRDefault="00FC07DE" w:rsidP="00FC07DE">
      <w:pPr>
        <w:pStyle w:val="subsection"/>
      </w:pPr>
      <w:r>
        <w:tab/>
        <w:t>(4)</w:t>
      </w:r>
      <w:r>
        <w:tab/>
        <w:t xml:space="preserve">For the purposes of this instrument, the </w:t>
      </w:r>
      <w:r w:rsidRPr="00EC209C">
        <w:rPr>
          <w:b/>
          <w:i/>
        </w:rPr>
        <w:t>value of total assets</w:t>
      </w:r>
      <w:r>
        <w:t xml:space="preserve"> at a particular time of a company registered under section 21 of the </w:t>
      </w:r>
      <w:r w:rsidRPr="00EC209C">
        <w:rPr>
          <w:i/>
        </w:rPr>
        <w:t>Life Insurance Act 1995</w:t>
      </w:r>
      <w:r>
        <w:t xml:space="preserve"> is the total of the book values at that time of:</w:t>
      </w:r>
    </w:p>
    <w:p w14:paraId="22D025F8" w14:textId="77777777" w:rsidR="00FC07DE" w:rsidRPr="00EC209C" w:rsidRDefault="00FC07DE" w:rsidP="00EC209C">
      <w:pPr>
        <w:pStyle w:val="paragraph"/>
      </w:pPr>
      <w:r w:rsidRPr="00EC209C">
        <w:tab/>
        <w:t>(a)</w:t>
      </w:r>
      <w:r w:rsidRPr="00EC209C">
        <w:tab/>
        <w:t>unless paragraph (b) of this subsection applies—all assets then held by the company (including assets of its statutory funds within the meaning of that Act); or</w:t>
      </w:r>
    </w:p>
    <w:p w14:paraId="264D5218" w14:textId="77777777" w:rsidR="00FC07DE" w:rsidRPr="00EC209C" w:rsidRDefault="00FC07DE" w:rsidP="00EC209C">
      <w:pPr>
        <w:pStyle w:val="paragraph"/>
      </w:pPr>
      <w:r w:rsidRPr="00EC209C">
        <w:tab/>
        <w:t>(b)</w:t>
      </w:r>
      <w:r w:rsidRPr="00EC209C">
        <w:tab/>
        <w:t>if the company is an eligible foreign life insurance company as defined by section 16ZD of that Act—the assets at that time of the statutory funds (within the meaning of that Act) of the company that relate to life insurance business that the company carries on in Australia, as determined under section 34 of that Act.</w:t>
      </w:r>
    </w:p>
    <w:p w14:paraId="7F5322A1" w14:textId="77777777" w:rsidR="00951956" w:rsidRPr="00FC07DE" w:rsidRDefault="00951956" w:rsidP="00951956">
      <w:pPr>
        <w:pStyle w:val="ActHead2"/>
        <w:pageBreakBefore/>
      </w:pPr>
      <w:bookmarkStart w:id="6" w:name="_Toc27123917"/>
      <w:r w:rsidRPr="00FC07DE">
        <w:rPr>
          <w:rStyle w:val="CharPartNo"/>
        </w:rPr>
        <w:lastRenderedPageBreak/>
        <w:t>Part</w:t>
      </w:r>
      <w:r w:rsidR="008B3C31" w:rsidRPr="00FC07DE">
        <w:rPr>
          <w:rStyle w:val="CharPartNo"/>
        </w:rPr>
        <w:t> </w:t>
      </w:r>
      <w:r w:rsidRPr="00FC07DE">
        <w:rPr>
          <w:rStyle w:val="CharPartNo"/>
        </w:rPr>
        <w:t>2</w:t>
      </w:r>
      <w:r w:rsidRPr="00FC07DE">
        <w:t>—</w:t>
      </w:r>
      <w:r w:rsidRPr="00FC07DE">
        <w:rPr>
          <w:rStyle w:val="CharPartText"/>
        </w:rPr>
        <w:t xml:space="preserve"> Delegations under the </w:t>
      </w:r>
      <w:r w:rsidRPr="0074384E">
        <w:rPr>
          <w:rStyle w:val="CharPartText"/>
          <w:i/>
        </w:rPr>
        <w:t>Banking Act 1959</w:t>
      </w:r>
      <w:bookmarkEnd w:id="6"/>
    </w:p>
    <w:p w14:paraId="3364785E" w14:textId="77777777" w:rsidR="00951956" w:rsidRPr="00FC07DE" w:rsidRDefault="00951956" w:rsidP="00951956">
      <w:pPr>
        <w:pStyle w:val="Header"/>
      </w:pPr>
      <w:r w:rsidRPr="00FC07DE">
        <w:rPr>
          <w:rStyle w:val="CharDivNo"/>
        </w:rPr>
        <w:t xml:space="preserve"> </w:t>
      </w:r>
      <w:r w:rsidRPr="00FC07DE">
        <w:rPr>
          <w:rStyle w:val="CharDivText"/>
        </w:rPr>
        <w:t xml:space="preserve"> </w:t>
      </w:r>
    </w:p>
    <w:p w14:paraId="306A8DFC" w14:textId="77777777" w:rsidR="00951956" w:rsidRPr="00FC07DE" w:rsidRDefault="00951956" w:rsidP="00951956">
      <w:pPr>
        <w:pStyle w:val="ActHead5"/>
      </w:pPr>
      <w:bookmarkStart w:id="7" w:name="_Toc27123918"/>
      <w:r w:rsidRPr="00FC07DE">
        <w:rPr>
          <w:rStyle w:val="CharSectno"/>
        </w:rPr>
        <w:t>6</w:t>
      </w:r>
      <w:r w:rsidRPr="00FC07DE">
        <w:t xml:space="preserve">  Delegation of the Treasurer’s powers</w:t>
      </w:r>
      <w:bookmarkEnd w:id="7"/>
    </w:p>
    <w:p w14:paraId="28723DAF" w14:textId="26F7CAB4" w:rsidR="00C11BE7" w:rsidRDefault="00C11BE7" w:rsidP="00C11BE7">
      <w:pPr>
        <w:pStyle w:val="subsection"/>
      </w:pPr>
      <w:r>
        <w:tab/>
        <w:t>(1)</w:t>
      </w:r>
      <w:r>
        <w:tab/>
        <w:t xml:space="preserve">All previous delegations made under subsection 63(5) of the </w:t>
      </w:r>
      <w:r w:rsidRPr="00C11BE7">
        <w:rPr>
          <w:i/>
        </w:rPr>
        <w:t>Banking Act 1959</w:t>
      </w:r>
      <w:r>
        <w:t xml:space="preserve"> are revoked. </w:t>
      </w:r>
    </w:p>
    <w:p w14:paraId="41B53B11" w14:textId="77777777" w:rsidR="00C11BE7" w:rsidRDefault="00C11BE7" w:rsidP="00C11BE7">
      <w:pPr>
        <w:pStyle w:val="subsection"/>
      </w:pPr>
      <w:r>
        <w:tab/>
        <w:t>(2)</w:t>
      </w:r>
      <w:r>
        <w:tab/>
        <w:t xml:space="preserve">All of the Treasurer’s functions and powers under section 63 (other than subsection 63(8)) of the </w:t>
      </w:r>
      <w:r w:rsidRPr="00C11BE7">
        <w:rPr>
          <w:i/>
        </w:rPr>
        <w:t>Banking Act 1959</w:t>
      </w:r>
      <w:r>
        <w:t xml:space="preserve"> are delegated to each person holding, occupying, or performing the duties of, any of these offices:</w:t>
      </w:r>
    </w:p>
    <w:p w14:paraId="60A7C281" w14:textId="77777777" w:rsidR="00C11BE7" w:rsidRPr="00C11BE7" w:rsidRDefault="00C11BE7" w:rsidP="00C11BE7">
      <w:pPr>
        <w:pStyle w:val="paragraph"/>
      </w:pPr>
      <w:r w:rsidRPr="00C11BE7">
        <w:tab/>
        <w:t>(a)</w:t>
      </w:r>
      <w:r w:rsidRPr="00C11BE7">
        <w:tab/>
        <w:t>APRA member;</w:t>
      </w:r>
    </w:p>
    <w:p w14:paraId="1EDDCC12" w14:textId="77777777" w:rsidR="00C11BE7" w:rsidRPr="00C11BE7" w:rsidRDefault="00C11BE7" w:rsidP="00C11BE7">
      <w:pPr>
        <w:pStyle w:val="paragraph"/>
      </w:pPr>
      <w:r w:rsidRPr="00C11BE7">
        <w:tab/>
        <w:t>(b)</w:t>
      </w:r>
      <w:r w:rsidRPr="00C11BE7">
        <w:tab/>
        <w:t>Executive Director of APRA;</w:t>
      </w:r>
    </w:p>
    <w:p w14:paraId="3DEA9605" w14:textId="77777777" w:rsidR="00C11BE7" w:rsidRPr="00C11BE7" w:rsidRDefault="00C11BE7" w:rsidP="00C11BE7">
      <w:pPr>
        <w:pStyle w:val="paragraph"/>
      </w:pPr>
      <w:r w:rsidRPr="00C11BE7">
        <w:tab/>
        <w:t xml:space="preserve">(c) </w:t>
      </w:r>
      <w:r w:rsidRPr="00C11BE7">
        <w:tab/>
        <w:t>General Manager of APRA.</w:t>
      </w:r>
    </w:p>
    <w:p w14:paraId="02D5BC3D" w14:textId="5692861B" w:rsidR="00951956" w:rsidRPr="00FC07DE" w:rsidRDefault="00C11BE7" w:rsidP="00C11BE7">
      <w:pPr>
        <w:pStyle w:val="subsection"/>
      </w:pPr>
      <w:r>
        <w:tab/>
        <w:t>(3)</w:t>
      </w:r>
      <w:r>
        <w:tab/>
        <w:t xml:space="preserve">However, the Treasurer’s functions and powers under subsection 63(1) of the </w:t>
      </w:r>
      <w:r w:rsidRPr="00C11BE7">
        <w:rPr>
          <w:i/>
        </w:rPr>
        <w:t>Banking Act 1959</w:t>
      </w:r>
      <w:r>
        <w:t xml:space="preserve"> are delegated only so far as, when the function or power is performed or exercised, the value of total assets of the ADI concerned, as worked out under subsection 5(1) or (2) of this instrument, does not exceed $5 billion.</w:t>
      </w:r>
    </w:p>
    <w:p w14:paraId="5CA332C5" w14:textId="77777777" w:rsidR="00951956" w:rsidRPr="00FC07DE" w:rsidRDefault="00951956" w:rsidP="00951956">
      <w:pPr>
        <w:pStyle w:val="ActHead2"/>
        <w:pageBreakBefore/>
      </w:pPr>
      <w:bookmarkStart w:id="8" w:name="_Toc27123919"/>
      <w:r w:rsidRPr="00FC07DE">
        <w:rPr>
          <w:rStyle w:val="CharPartNo"/>
        </w:rPr>
        <w:lastRenderedPageBreak/>
        <w:t>Part</w:t>
      </w:r>
      <w:r w:rsidR="008B3C31" w:rsidRPr="00FC07DE">
        <w:rPr>
          <w:rStyle w:val="CharPartNo"/>
        </w:rPr>
        <w:t> </w:t>
      </w:r>
      <w:r w:rsidRPr="00FC07DE">
        <w:rPr>
          <w:rStyle w:val="CharPartNo"/>
        </w:rPr>
        <w:t>3</w:t>
      </w:r>
      <w:r w:rsidRPr="00FC07DE">
        <w:t>—</w:t>
      </w:r>
      <w:r w:rsidRPr="00FC07DE">
        <w:rPr>
          <w:rStyle w:val="CharPartText"/>
        </w:rPr>
        <w:t xml:space="preserve"> Delegations under the </w:t>
      </w:r>
      <w:r w:rsidRPr="0074384E">
        <w:rPr>
          <w:rStyle w:val="CharPartText"/>
          <w:i/>
        </w:rPr>
        <w:t>Financial Sector (Shareholdings) Act 1998</w:t>
      </w:r>
      <w:bookmarkEnd w:id="8"/>
    </w:p>
    <w:p w14:paraId="7BDF9BC3" w14:textId="77777777" w:rsidR="00951956" w:rsidRPr="00FC07DE" w:rsidRDefault="00951956" w:rsidP="00951956">
      <w:pPr>
        <w:pStyle w:val="Header"/>
      </w:pPr>
      <w:r w:rsidRPr="00FC07DE">
        <w:rPr>
          <w:rStyle w:val="CharDivNo"/>
        </w:rPr>
        <w:t xml:space="preserve"> </w:t>
      </w:r>
      <w:r w:rsidRPr="00FC07DE">
        <w:rPr>
          <w:rStyle w:val="CharDivText"/>
        </w:rPr>
        <w:t xml:space="preserve"> </w:t>
      </w:r>
    </w:p>
    <w:p w14:paraId="4C6783C5" w14:textId="77777777" w:rsidR="00951956" w:rsidRPr="00FC07DE" w:rsidRDefault="00951956" w:rsidP="00951956">
      <w:pPr>
        <w:pStyle w:val="ActHead5"/>
      </w:pPr>
      <w:bookmarkStart w:id="9" w:name="_Toc27123920"/>
      <w:r w:rsidRPr="00FC07DE">
        <w:rPr>
          <w:rStyle w:val="CharSectno"/>
        </w:rPr>
        <w:t>7</w:t>
      </w:r>
      <w:r w:rsidRPr="00FC07DE">
        <w:t xml:space="preserve">  Delegation of the Minister’s powers</w:t>
      </w:r>
      <w:bookmarkEnd w:id="9"/>
    </w:p>
    <w:p w14:paraId="036E2724" w14:textId="117F6501" w:rsidR="00697D28" w:rsidRDefault="00697D28" w:rsidP="00697D28">
      <w:pPr>
        <w:pStyle w:val="subsection"/>
      </w:pPr>
      <w:r>
        <w:tab/>
        <w:t>(1)</w:t>
      </w:r>
      <w:r>
        <w:tab/>
        <w:t xml:space="preserve">All previous delegations made under section 44 of the </w:t>
      </w:r>
      <w:r w:rsidRPr="00697D28">
        <w:rPr>
          <w:i/>
        </w:rPr>
        <w:t>Financial Sector (Shareholdings) Act 1998</w:t>
      </w:r>
      <w:r>
        <w:t xml:space="preserve"> are revoked.</w:t>
      </w:r>
    </w:p>
    <w:p w14:paraId="33E0425B" w14:textId="43BF08FF" w:rsidR="00697D28" w:rsidRDefault="00697D28" w:rsidP="00697D28">
      <w:pPr>
        <w:pStyle w:val="subsection"/>
      </w:pPr>
      <w:r>
        <w:tab/>
        <w:t>(2)</w:t>
      </w:r>
      <w:r>
        <w:tab/>
        <w:t>The functions and powers of the Treasurer listed in subsection (3) are delegated, subject to the limitations in that subsection, to each person holding, occupying, or performing the duties of, any of these offices:</w:t>
      </w:r>
    </w:p>
    <w:p w14:paraId="3D5E7254" w14:textId="5D068FC9" w:rsidR="00697D28" w:rsidRPr="00697D28" w:rsidRDefault="00D21350" w:rsidP="00697D28">
      <w:pPr>
        <w:pStyle w:val="paragraph"/>
      </w:pPr>
      <w:r>
        <w:tab/>
        <w:t>(a)</w:t>
      </w:r>
      <w:r>
        <w:tab/>
        <w:t>APRA member;</w:t>
      </w:r>
    </w:p>
    <w:p w14:paraId="6B54CF1D" w14:textId="50E42B16" w:rsidR="00697D28" w:rsidRPr="00697D28" w:rsidRDefault="00697D28" w:rsidP="00697D28">
      <w:pPr>
        <w:pStyle w:val="paragraph"/>
      </w:pPr>
      <w:r w:rsidRPr="00697D28">
        <w:tab/>
      </w:r>
      <w:r>
        <w:t>(b)</w:t>
      </w:r>
      <w:r>
        <w:tab/>
        <w:t>Executive Director of APRA;</w:t>
      </w:r>
    </w:p>
    <w:p w14:paraId="2F9A7A21" w14:textId="77777777" w:rsidR="00697D28" w:rsidRPr="00697D28" w:rsidRDefault="00697D28" w:rsidP="00697D28">
      <w:pPr>
        <w:pStyle w:val="paragraph"/>
      </w:pPr>
      <w:r w:rsidRPr="00697D28">
        <w:tab/>
        <w:t>(c)</w:t>
      </w:r>
      <w:r w:rsidRPr="00697D28">
        <w:tab/>
        <w:t>General Manager of APRA.</w:t>
      </w:r>
    </w:p>
    <w:p w14:paraId="544C21B9" w14:textId="77777777" w:rsidR="00697D28" w:rsidRDefault="00697D28" w:rsidP="00697D28">
      <w:pPr>
        <w:pStyle w:val="subsection"/>
      </w:pPr>
      <w:r>
        <w:tab/>
        <w:t>(3)</w:t>
      </w:r>
      <w:r>
        <w:tab/>
        <w:t>The delegated functions and powers of the Treasurer are:</w:t>
      </w:r>
    </w:p>
    <w:p w14:paraId="07B698F7" w14:textId="77777777" w:rsidR="00697D28" w:rsidRPr="00D21350" w:rsidRDefault="00697D28" w:rsidP="00D21350">
      <w:pPr>
        <w:pStyle w:val="paragraph"/>
      </w:pPr>
      <w:r w:rsidRPr="00D21350">
        <w:tab/>
        <w:t>(a)</w:t>
      </w:r>
      <w:r w:rsidRPr="00D21350">
        <w:tab/>
        <w:t xml:space="preserve">all functions and powers under sections 12, 20, 21, 25 and 32 of, and clause 8 of Schedule 1 to, the </w:t>
      </w:r>
      <w:r w:rsidRPr="00D21350">
        <w:rPr>
          <w:i/>
        </w:rPr>
        <w:t>Financial Sector (Shareholdings) Act 1998</w:t>
      </w:r>
      <w:r w:rsidRPr="00D21350">
        <w:t>; and</w:t>
      </w:r>
    </w:p>
    <w:p w14:paraId="0316FEA5" w14:textId="04F45B22" w:rsidR="00697D28" w:rsidRPr="00D21350" w:rsidRDefault="00697D28" w:rsidP="00D21350">
      <w:pPr>
        <w:pStyle w:val="paragraph"/>
      </w:pPr>
      <w:r w:rsidRPr="00D21350">
        <w:tab/>
        <w:t>(b)</w:t>
      </w:r>
      <w:r w:rsidRPr="00D21350">
        <w:tab/>
        <w:t>all functions and powers under sections 14, 15, 16, 17, 18, 23, 24 and 31 of that Act, but only so far as, when the function or power is performed or exercised, the financial sector company concerned is covered by subsection (4) of this section.</w:t>
      </w:r>
    </w:p>
    <w:p w14:paraId="2433BB49" w14:textId="0F66933F" w:rsidR="00697D28" w:rsidRDefault="00697D28" w:rsidP="00697D28">
      <w:pPr>
        <w:pStyle w:val="subsection"/>
      </w:pPr>
      <w:r>
        <w:tab/>
        <w:t>(4)</w:t>
      </w:r>
      <w:r>
        <w:tab/>
        <w:t xml:space="preserve">This subsection covers a financial sector company </w:t>
      </w:r>
      <w:r w:rsidR="00A81852">
        <w:t>at a particular time if</w:t>
      </w:r>
      <w:r>
        <w:t>, at that time:</w:t>
      </w:r>
    </w:p>
    <w:p w14:paraId="6FA4B3F7" w14:textId="77777777" w:rsidR="00697D28" w:rsidRPr="00D21350" w:rsidRDefault="00697D28" w:rsidP="00D21350">
      <w:pPr>
        <w:pStyle w:val="paragraph"/>
      </w:pPr>
      <w:r w:rsidRPr="00D21350">
        <w:tab/>
        <w:t>(a)</w:t>
      </w:r>
      <w:r w:rsidRPr="00D21350">
        <w:tab/>
        <w:t>the company is an authorised deposit-taking institution and the value of total assets of the company, as worked out under subsection 5(1) or (2), does not exceed $5 billion; or</w:t>
      </w:r>
    </w:p>
    <w:p w14:paraId="1C98F069" w14:textId="77777777" w:rsidR="00697D28" w:rsidRPr="00D21350" w:rsidRDefault="00697D28" w:rsidP="00D21350">
      <w:pPr>
        <w:pStyle w:val="paragraph"/>
      </w:pPr>
      <w:r w:rsidRPr="00D21350">
        <w:tab/>
        <w:t>(b)</w:t>
      </w:r>
      <w:r w:rsidRPr="00D21350">
        <w:tab/>
        <w:t>the company is an authorised insurance company and the value of total assets of the company, as worked out under subsection 5(3) or (4), does not exceed $5 billion; or</w:t>
      </w:r>
    </w:p>
    <w:p w14:paraId="3A370731" w14:textId="1166064B" w:rsidR="00951956" w:rsidRPr="00D21350" w:rsidRDefault="00697D28" w:rsidP="00D21350">
      <w:pPr>
        <w:pStyle w:val="paragraph"/>
      </w:pPr>
      <w:r w:rsidRPr="00D21350">
        <w:tab/>
        <w:t>(c)</w:t>
      </w:r>
      <w:r w:rsidRPr="00D21350">
        <w:tab/>
        <w:t>the company is a holding company of one or more other financial sector companies, and this subsection covers every financial sector company of which the first-mentioned</w:t>
      </w:r>
      <w:r w:rsidR="00D21350">
        <w:t xml:space="preserve"> company is a holding company.</w:t>
      </w:r>
    </w:p>
    <w:p w14:paraId="6C1BA87B" w14:textId="77777777" w:rsidR="00951956" w:rsidRPr="00FC07DE" w:rsidRDefault="00951956" w:rsidP="00951956">
      <w:pPr>
        <w:pStyle w:val="ActHead5"/>
      </w:pPr>
      <w:bookmarkStart w:id="10" w:name="_Toc27123921"/>
      <w:r w:rsidRPr="00FC07DE">
        <w:rPr>
          <w:rStyle w:val="CharSectno"/>
        </w:rPr>
        <w:t>8</w:t>
      </w:r>
      <w:r w:rsidRPr="00FC07DE">
        <w:t xml:space="preserve">  Direction about exercise of some powers</w:t>
      </w:r>
      <w:bookmarkEnd w:id="10"/>
    </w:p>
    <w:p w14:paraId="4250D1D9" w14:textId="2786EDC0" w:rsidR="00D21350" w:rsidRDefault="00D21350" w:rsidP="00D21350">
      <w:pPr>
        <w:pStyle w:val="subsection"/>
      </w:pPr>
      <w:r>
        <w:tab/>
        <w:t>(1)</w:t>
      </w:r>
      <w:r>
        <w:tab/>
        <w:t xml:space="preserve">Before exercising a power under section 12, 25 or 32 of the </w:t>
      </w:r>
      <w:r w:rsidRPr="00D21350">
        <w:rPr>
          <w:i/>
        </w:rPr>
        <w:t>Financial Sector (Shareholdings) Act 1998</w:t>
      </w:r>
      <w:r>
        <w:t>, a delegate must inform the Minister of the proposed exercise of the power. However, if circumstances of urgency require that the power be exercised immediately, the delegate must inform the Minister of the exercise of the power at the earliest opportunity.</w:t>
      </w:r>
    </w:p>
    <w:p w14:paraId="7C1B7409" w14:textId="318F417B" w:rsidR="00951956" w:rsidRPr="00FC07DE" w:rsidRDefault="00D21350" w:rsidP="00D21350">
      <w:pPr>
        <w:pStyle w:val="subsection"/>
      </w:pPr>
      <w:r>
        <w:tab/>
        <w:t>(2)</w:t>
      </w:r>
      <w:r>
        <w:tab/>
        <w:t>The validity of an exercise of a delegated power is not affected by failure to comply with the direction in subsection (1).</w:t>
      </w:r>
    </w:p>
    <w:p w14:paraId="443F7920" w14:textId="77777777" w:rsidR="00951956" w:rsidRPr="00FC07DE" w:rsidRDefault="00951956" w:rsidP="00951956">
      <w:pPr>
        <w:pStyle w:val="ActHead2"/>
        <w:pageBreakBefore/>
      </w:pPr>
      <w:bookmarkStart w:id="11" w:name="_Toc27123922"/>
      <w:r w:rsidRPr="00FC07DE">
        <w:rPr>
          <w:rStyle w:val="CharPartNo"/>
        </w:rPr>
        <w:lastRenderedPageBreak/>
        <w:t>Part</w:t>
      </w:r>
      <w:r w:rsidR="008B3C31" w:rsidRPr="00FC07DE">
        <w:rPr>
          <w:rStyle w:val="CharPartNo"/>
        </w:rPr>
        <w:t> </w:t>
      </w:r>
      <w:r w:rsidRPr="00FC07DE">
        <w:rPr>
          <w:rStyle w:val="CharPartNo"/>
        </w:rPr>
        <w:t>4</w:t>
      </w:r>
      <w:r w:rsidRPr="00FC07DE">
        <w:t>—</w:t>
      </w:r>
      <w:r w:rsidRPr="00FC07DE">
        <w:rPr>
          <w:rStyle w:val="CharPartText"/>
        </w:rPr>
        <w:t xml:space="preserve"> Determination under the </w:t>
      </w:r>
      <w:r w:rsidRPr="0074384E">
        <w:rPr>
          <w:rStyle w:val="CharPartText"/>
          <w:i/>
        </w:rPr>
        <w:t>Financial Sector (Transfer and Restructure) Act 1999</w:t>
      </w:r>
      <w:bookmarkEnd w:id="11"/>
    </w:p>
    <w:p w14:paraId="5216A434" w14:textId="77777777" w:rsidR="00951956" w:rsidRPr="00FC07DE" w:rsidRDefault="00951956" w:rsidP="00951956">
      <w:pPr>
        <w:pStyle w:val="Header"/>
      </w:pPr>
      <w:r w:rsidRPr="00FC07DE">
        <w:rPr>
          <w:rStyle w:val="CharDivNo"/>
        </w:rPr>
        <w:t xml:space="preserve"> </w:t>
      </w:r>
      <w:r w:rsidRPr="00FC07DE">
        <w:rPr>
          <w:rStyle w:val="CharDivText"/>
        </w:rPr>
        <w:t xml:space="preserve"> </w:t>
      </w:r>
    </w:p>
    <w:p w14:paraId="49A64817" w14:textId="77777777" w:rsidR="00951956" w:rsidRPr="00FC07DE" w:rsidRDefault="00951956" w:rsidP="00951956">
      <w:pPr>
        <w:pStyle w:val="ActHead5"/>
      </w:pPr>
      <w:bookmarkStart w:id="12" w:name="_Toc24551123"/>
      <w:bookmarkStart w:id="13" w:name="_Toc24553957"/>
      <w:bookmarkStart w:id="14" w:name="_Toc27118960"/>
      <w:bookmarkStart w:id="15" w:name="_Toc27123923"/>
      <w:r w:rsidRPr="00FC07DE">
        <w:rPr>
          <w:rStyle w:val="CharSectno"/>
        </w:rPr>
        <w:t>9</w:t>
      </w:r>
      <w:r w:rsidRPr="00FC07DE">
        <w:t xml:space="preserve">  </w:t>
      </w:r>
      <w:bookmarkEnd w:id="12"/>
      <w:bookmarkEnd w:id="13"/>
      <w:r w:rsidRPr="00FC07DE">
        <w:t>When Minister’s consent not required</w:t>
      </w:r>
      <w:bookmarkEnd w:id="14"/>
      <w:bookmarkEnd w:id="15"/>
    </w:p>
    <w:p w14:paraId="29219270" w14:textId="2D9367F9" w:rsidR="00D21350" w:rsidRDefault="00D21350" w:rsidP="00D21350">
      <w:pPr>
        <w:pStyle w:val="subsection"/>
      </w:pPr>
      <w:r>
        <w:tab/>
        <w:t>(1)</w:t>
      </w:r>
      <w:r>
        <w:tab/>
        <w:t xml:space="preserve">All previous determinations made under section 15 of the </w:t>
      </w:r>
      <w:r w:rsidRPr="00D21350">
        <w:rPr>
          <w:i/>
        </w:rPr>
        <w:t>Financial Sector (Transfer and Restructure) Act 1999</w:t>
      </w:r>
      <w:r>
        <w:t xml:space="preserve"> are revoked. </w:t>
      </w:r>
    </w:p>
    <w:p w14:paraId="07FB8C50" w14:textId="77777777" w:rsidR="00D21350" w:rsidRDefault="00D21350" w:rsidP="00D21350">
      <w:pPr>
        <w:pStyle w:val="subsection"/>
      </w:pPr>
      <w:r>
        <w:tab/>
        <w:t>(2)</w:t>
      </w:r>
      <w:r>
        <w:tab/>
        <w:t>The Minister’s consent is not required in relation to the class of transfers that meet these conditions:</w:t>
      </w:r>
    </w:p>
    <w:p w14:paraId="58428053" w14:textId="77777777" w:rsidR="00D21350" w:rsidRPr="00D21350" w:rsidRDefault="00D21350" w:rsidP="00D21350">
      <w:pPr>
        <w:pStyle w:val="paragraph"/>
      </w:pPr>
      <w:r w:rsidRPr="00D21350">
        <w:tab/>
        <w:t>(a)</w:t>
      </w:r>
      <w:r w:rsidRPr="00D21350">
        <w:tab/>
        <w:t>the transfer is a voluntary transfer of business under Part 3 of the Financial Sector (Transfer and Restructure) Act 1999; and</w:t>
      </w:r>
    </w:p>
    <w:p w14:paraId="0A41D0E3" w14:textId="77777777" w:rsidR="00D21350" w:rsidRPr="00D21350" w:rsidRDefault="00D21350" w:rsidP="00D21350">
      <w:pPr>
        <w:pStyle w:val="paragraph"/>
      </w:pPr>
      <w:r w:rsidRPr="00D21350">
        <w:tab/>
        <w:t>(b)</w:t>
      </w:r>
      <w:r w:rsidRPr="00D21350">
        <w:tab/>
        <w:t>when the application for approval of the transfer is made in accordance with section 10 of that Act:</w:t>
      </w:r>
    </w:p>
    <w:p w14:paraId="19F75B0D" w14:textId="3B8D454E" w:rsidR="00D21350" w:rsidRPr="00D21350" w:rsidRDefault="00D21350" w:rsidP="00D21350">
      <w:pPr>
        <w:pStyle w:val="paragraphsub"/>
      </w:pPr>
      <w:r w:rsidRPr="00D21350">
        <w:tab/>
        <w:t>(i)</w:t>
      </w:r>
      <w:r w:rsidRPr="00D21350">
        <w:tab/>
        <w:t>the body is an ADI and the value of total assets of the ADI, as</w:t>
      </w:r>
      <w:r w:rsidR="00B310B4">
        <w:t xml:space="preserve"> worked out under subsection 5(1) or (2</w:t>
      </w:r>
      <w:r w:rsidRPr="00D21350">
        <w:t>) of thi</w:t>
      </w:r>
      <w:r>
        <w:t>s instrument, does not exceed $</w:t>
      </w:r>
      <w:r w:rsidRPr="00D21350">
        <w:t>5 billion; or</w:t>
      </w:r>
    </w:p>
    <w:p w14:paraId="0B287519" w14:textId="416CB93F" w:rsidR="00951956" w:rsidRPr="00D21350" w:rsidRDefault="00D21350" w:rsidP="00D21350">
      <w:pPr>
        <w:pStyle w:val="paragraphsub"/>
      </w:pPr>
      <w:r w:rsidRPr="00D21350">
        <w:tab/>
        <w:t>(ii)</w:t>
      </w:r>
      <w:r w:rsidRPr="00D21350">
        <w:tab/>
        <w:t>the body is a life insurance company, and the value of total assets of the company, as worked out under subsection 5(4) of this instrument, does not exceed $5 billion.</w:t>
      </w:r>
    </w:p>
    <w:p w14:paraId="2A20F249" w14:textId="77777777" w:rsidR="00951956" w:rsidRPr="00FC07DE" w:rsidRDefault="00951956" w:rsidP="00951956">
      <w:pPr>
        <w:pStyle w:val="ActHead2"/>
        <w:pageBreakBefore/>
      </w:pPr>
      <w:bookmarkStart w:id="16" w:name="_Toc27123924"/>
      <w:r w:rsidRPr="00FC07DE">
        <w:rPr>
          <w:rStyle w:val="CharPartNo"/>
        </w:rPr>
        <w:lastRenderedPageBreak/>
        <w:t>Part</w:t>
      </w:r>
      <w:r w:rsidR="008B3C31" w:rsidRPr="00FC07DE">
        <w:rPr>
          <w:rStyle w:val="CharPartNo"/>
        </w:rPr>
        <w:t> </w:t>
      </w:r>
      <w:r w:rsidRPr="00FC07DE">
        <w:rPr>
          <w:rStyle w:val="CharPartNo"/>
        </w:rPr>
        <w:t>5</w:t>
      </w:r>
      <w:r w:rsidRPr="00FC07DE">
        <w:t>—</w:t>
      </w:r>
      <w:r w:rsidRPr="00FC07DE">
        <w:rPr>
          <w:rStyle w:val="CharPartText"/>
        </w:rPr>
        <w:t xml:space="preserve"> Delegations under the </w:t>
      </w:r>
      <w:r w:rsidRPr="0074384E">
        <w:rPr>
          <w:rStyle w:val="CharPartText"/>
          <w:i/>
        </w:rPr>
        <w:t>Insurance Acquisitions and Takeovers Act 1991</w:t>
      </w:r>
      <w:bookmarkEnd w:id="16"/>
    </w:p>
    <w:p w14:paraId="4CFBA8D2" w14:textId="77777777" w:rsidR="00951956" w:rsidRPr="00FC07DE" w:rsidRDefault="00951956" w:rsidP="00951956">
      <w:pPr>
        <w:pStyle w:val="Header"/>
      </w:pPr>
      <w:r w:rsidRPr="00FC07DE">
        <w:rPr>
          <w:rStyle w:val="CharDivNo"/>
        </w:rPr>
        <w:t xml:space="preserve"> </w:t>
      </w:r>
      <w:r w:rsidRPr="00FC07DE">
        <w:rPr>
          <w:rStyle w:val="CharDivText"/>
        </w:rPr>
        <w:t xml:space="preserve"> </w:t>
      </w:r>
    </w:p>
    <w:p w14:paraId="6D885302" w14:textId="77777777" w:rsidR="00951956" w:rsidRPr="00FC07DE" w:rsidRDefault="00951956" w:rsidP="00951956">
      <w:pPr>
        <w:pStyle w:val="ActHead5"/>
      </w:pPr>
      <w:bookmarkStart w:id="17" w:name="_Toc27123925"/>
      <w:r w:rsidRPr="00FC07DE">
        <w:rPr>
          <w:rStyle w:val="CharSectno"/>
        </w:rPr>
        <w:t>10</w:t>
      </w:r>
      <w:r w:rsidRPr="00FC07DE">
        <w:t xml:space="preserve">  Delegation of the Minister’s powers</w:t>
      </w:r>
      <w:bookmarkEnd w:id="17"/>
    </w:p>
    <w:p w14:paraId="1A93D736" w14:textId="77777777" w:rsidR="00D21350" w:rsidRDefault="00D21350" w:rsidP="00D21350">
      <w:pPr>
        <w:pStyle w:val="subsection"/>
      </w:pPr>
      <w:r>
        <w:tab/>
        <w:t>(1)</w:t>
      </w:r>
      <w:r>
        <w:tab/>
        <w:t xml:space="preserve">All previous delegations made under section 69 of the </w:t>
      </w:r>
      <w:r w:rsidRPr="00D21350">
        <w:rPr>
          <w:i/>
        </w:rPr>
        <w:t>Insurance Acquisitions and Takeovers Act 1991</w:t>
      </w:r>
      <w:r>
        <w:t xml:space="preserve"> are revoked.</w:t>
      </w:r>
    </w:p>
    <w:p w14:paraId="34B403FE" w14:textId="55413800" w:rsidR="00D21350" w:rsidRDefault="00D21350" w:rsidP="00D21350">
      <w:pPr>
        <w:pStyle w:val="subsection"/>
      </w:pPr>
      <w:r>
        <w:tab/>
        <w:t>(2)</w:t>
      </w:r>
      <w:r>
        <w:tab/>
        <w:t>The powers of the Minister listed in subsection (3) are delegated, subject to the limitations in that subsection, to each person holding, occupying, or performing the duties of, any of these offices:</w:t>
      </w:r>
    </w:p>
    <w:p w14:paraId="7909E4C9" w14:textId="77777777" w:rsidR="00D21350" w:rsidRPr="00D21350" w:rsidRDefault="00D21350" w:rsidP="00D21350">
      <w:pPr>
        <w:pStyle w:val="paragraph"/>
      </w:pPr>
      <w:r w:rsidRPr="00D21350">
        <w:tab/>
        <w:t>(a)</w:t>
      </w:r>
      <w:r w:rsidRPr="00D21350">
        <w:tab/>
        <w:t xml:space="preserve">APRA member; </w:t>
      </w:r>
    </w:p>
    <w:p w14:paraId="0B9AF818" w14:textId="77777777" w:rsidR="00D21350" w:rsidRPr="00D21350" w:rsidRDefault="00D21350" w:rsidP="00D21350">
      <w:pPr>
        <w:pStyle w:val="paragraph"/>
      </w:pPr>
      <w:r w:rsidRPr="00D21350">
        <w:tab/>
        <w:t>(b)</w:t>
      </w:r>
      <w:r w:rsidRPr="00D21350">
        <w:tab/>
        <w:t xml:space="preserve">Executive Director of APRA; </w:t>
      </w:r>
    </w:p>
    <w:p w14:paraId="532C7AF9" w14:textId="77777777" w:rsidR="00D21350" w:rsidRPr="00D21350" w:rsidRDefault="00D21350" w:rsidP="00D21350">
      <w:pPr>
        <w:pStyle w:val="paragraph"/>
      </w:pPr>
      <w:r w:rsidRPr="00D21350">
        <w:tab/>
        <w:t>(c)</w:t>
      </w:r>
      <w:r w:rsidRPr="00D21350">
        <w:tab/>
        <w:t>General Manager of APRA.</w:t>
      </w:r>
    </w:p>
    <w:p w14:paraId="6C767C85" w14:textId="77777777" w:rsidR="00D21350" w:rsidRDefault="00D21350" w:rsidP="00D21350">
      <w:pPr>
        <w:pStyle w:val="subsection"/>
      </w:pPr>
      <w:r>
        <w:tab/>
        <w:t>(3)</w:t>
      </w:r>
      <w:r>
        <w:tab/>
        <w:t>The delegated powers of the Minister are:</w:t>
      </w:r>
    </w:p>
    <w:p w14:paraId="1893E0E5" w14:textId="77777777" w:rsidR="00D21350" w:rsidRPr="00D21350" w:rsidRDefault="00D21350" w:rsidP="00D21350">
      <w:pPr>
        <w:pStyle w:val="paragraph"/>
      </w:pPr>
      <w:r w:rsidRPr="00D21350">
        <w:tab/>
        <w:t>(a)</w:t>
      </w:r>
      <w:r w:rsidRPr="00D21350">
        <w:tab/>
        <w:t xml:space="preserve">all powers under sections 41, 43, 44, 46, 55, 57, 58 and 60 of the </w:t>
      </w:r>
      <w:r w:rsidRPr="00D21350">
        <w:rPr>
          <w:i/>
        </w:rPr>
        <w:t>Insurance Acquisitions and Takeovers Act 1991</w:t>
      </w:r>
      <w:r w:rsidRPr="00D21350">
        <w:t>, but only so far as, when:</w:t>
      </w:r>
    </w:p>
    <w:p w14:paraId="7C277E4A" w14:textId="77777777" w:rsidR="00D21350" w:rsidRPr="00D21350" w:rsidRDefault="00D21350" w:rsidP="00D21350">
      <w:pPr>
        <w:pStyle w:val="paragraphsub"/>
      </w:pPr>
      <w:r w:rsidRPr="00D21350">
        <w:tab/>
        <w:t>(i)</w:t>
      </w:r>
      <w:r w:rsidRPr="00D21350">
        <w:tab/>
        <w:t>notice of the trigger proposal is given in accordance with section 38 or 52, as the case requires, of that Act; or</w:t>
      </w:r>
    </w:p>
    <w:p w14:paraId="1224D991" w14:textId="0FCFBBD6" w:rsidR="00D21350" w:rsidRPr="00D21350" w:rsidRDefault="00D21350" w:rsidP="00D21350">
      <w:pPr>
        <w:pStyle w:val="paragraphsub"/>
      </w:pPr>
      <w:r w:rsidRPr="00D21350">
        <w:tab/>
        <w:t>(ii)</w:t>
      </w:r>
      <w:r w:rsidRPr="00D21350">
        <w:tab/>
        <w:t>if notice is not s</w:t>
      </w:r>
      <w:r>
        <w:t>o given—the power is exercised;</w:t>
      </w:r>
    </w:p>
    <w:p w14:paraId="2ABB4CBE" w14:textId="5072AAA9" w:rsidR="00D21350" w:rsidRPr="00D21350" w:rsidRDefault="00B47A40" w:rsidP="00B47A40">
      <w:pPr>
        <w:pStyle w:val="paragraph"/>
      </w:pPr>
      <w:r>
        <w:tab/>
      </w:r>
      <w:r>
        <w:tab/>
      </w:r>
      <w:r w:rsidR="00D21350" w:rsidRPr="00D21350">
        <w:t>the value of total assets of the Australian-registered insurance company concerned, as worked out under subsection 5(3) or (4) of this instrument, does not exceed $5 billion; and</w:t>
      </w:r>
    </w:p>
    <w:p w14:paraId="6E7BF049" w14:textId="77777777" w:rsidR="00D21350" w:rsidRPr="00D21350" w:rsidRDefault="00D21350" w:rsidP="00D21350">
      <w:pPr>
        <w:pStyle w:val="paragraph"/>
      </w:pPr>
      <w:r w:rsidRPr="00D21350">
        <w:tab/>
        <w:t>(b)</w:t>
      </w:r>
      <w:r w:rsidRPr="00D21350">
        <w:tab/>
        <w:t>all powers under sections 48 and 62 of that Act, but only so far as ,when the power is exercised, the value of total assets of the Australian-registered insurance company concerned, as worked out under subsection 5(3) or (4) of this instrument, does not exceed $5 billion; and</w:t>
      </w:r>
    </w:p>
    <w:p w14:paraId="23BE0380" w14:textId="77777777" w:rsidR="00D21350" w:rsidRPr="00D21350" w:rsidRDefault="00D21350" w:rsidP="00D21350">
      <w:pPr>
        <w:pStyle w:val="paragraph"/>
      </w:pPr>
      <w:r w:rsidRPr="00D21350">
        <w:tab/>
        <w:t>(c)</w:t>
      </w:r>
      <w:r w:rsidRPr="00D21350">
        <w:tab/>
        <w:t>all powers under section 63, paragraph 66(1)(b) and section 73 of that Act; and</w:t>
      </w:r>
    </w:p>
    <w:p w14:paraId="4B991D64" w14:textId="77777777" w:rsidR="00D21350" w:rsidRPr="00D21350" w:rsidRDefault="00D21350" w:rsidP="00D21350">
      <w:pPr>
        <w:pStyle w:val="paragraph"/>
      </w:pPr>
      <w:r w:rsidRPr="00D21350">
        <w:tab/>
        <w:t>(d)</w:t>
      </w:r>
      <w:r w:rsidRPr="00D21350">
        <w:tab/>
        <w:t xml:space="preserve">all powers to make an order under a provision (the </w:t>
      </w:r>
      <w:r w:rsidRPr="006D77C1">
        <w:rPr>
          <w:b/>
        </w:rPr>
        <w:t>primary provision</w:t>
      </w:r>
      <w:r w:rsidRPr="00D21350">
        <w:t>) because of section 64 of that Act, but only so far as a delegate could have made that order under the primary provision if the scheme or the part of the scheme had not achieved the purpose mentioned in paragraph 64(1)(b) of that Act; and</w:t>
      </w:r>
    </w:p>
    <w:p w14:paraId="4C0961A4" w14:textId="77777777" w:rsidR="00D21350" w:rsidRPr="00D21350" w:rsidRDefault="00D21350" w:rsidP="00D21350">
      <w:pPr>
        <w:pStyle w:val="paragraph"/>
      </w:pPr>
      <w:r w:rsidRPr="00D21350">
        <w:tab/>
        <w:t>(e)</w:t>
      </w:r>
      <w:r w:rsidRPr="00D21350">
        <w:tab/>
        <w:t>all powers under subsections 66(3) and (5) of that Act to review a decision under section 41, 43, 44, 46, 55, 57, 58 or 60 of that Act, but only so far as, when:</w:t>
      </w:r>
    </w:p>
    <w:p w14:paraId="1EF3A207" w14:textId="77777777" w:rsidR="00D21350" w:rsidRPr="00D21350" w:rsidRDefault="00D21350" w:rsidP="00D21350">
      <w:pPr>
        <w:pStyle w:val="paragraphsub"/>
      </w:pPr>
      <w:r w:rsidRPr="00D21350">
        <w:tab/>
        <w:t>(i)</w:t>
      </w:r>
      <w:r w:rsidRPr="00D21350">
        <w:tab/>
        <w:t>notice of the trigger proposal was given in accordance with section 38 or 52, as the case requires, of that Act; or</w:t>
      </w:r>
    </w:p>
    <w:p w14:paraId="039BAB08" w14:textId="1BE53D1B" w:rsidR="00D21350" w:rsidRPr="00D21350" w:rsidRDefault="00D21350" w:rsidP="00D21350">
      <w:pPr>
        <w:pStyle w:val="paragraphsub"/>
      </w:pPr>
      <w:r w:rsidRPr="00D21350">
        <w:tab/>
        <w:t>(ii)</w:t>
      </w:r>
      <w:r w:rsidRPr="00D21350">
        <w:tab/>
        <w:t xml:space="preserve">if notice is not </w:t>
      </w:r>
      <w:r w:rsidR="00B47A40">
        <w:t>so given—the decision was made;</w:t>
      </w:r>
    </w:p>
    <w:p w14:paraId="05FD0623" w14:textId="77777777" w:rsidR="00D21350" w:rsidRPr="00B47A40" w:rsidRDefault="00D21350" w:rsidP="00B47A40">
      <w:pPr>
        <w:pStyle w:val="paragraph"/>
      </w:pPr>
      <w:r w:rsidRPr="00B47A40">
        <w:tab/>
      </w:r>
      <w:r w:rsidRPr="00B47A40">
        <w:tab/>
        <w:t>the value of total assets of the Australian-registered insurance company concerned, as worked out under subsection 5(3) or (4) of this instrument, did not exceed $5 billion; and</w:t>
      </w:r>
    </w:p>
    <w:p w14:paraId="56E110FB" w14:textId="3AD76168" w:rsidR="00D21350" w:rsidRPr="00B47A40" w:rsidRDefault="00D21350" w:rsidP="00B47A40">
      <w:pPr>
        <w:pStyle w:val="paragraph"/>
      </w:pPr>
      <w:r w:rsidRPr="00B47A40">
        <w:tab/>
        <w:t>(f)</w:t>
      </w:r>
      <w:r w:rsidRPr="00B47A40">
        <w:tab/>
        <w:t>all powers under subsections 66(3) and (5) of that Act to review a decision under section 48 or 62 of that Act, but only so far as, when the decision was made, the value of total assets of the Australian</w:t>
      </w:r>
      <w:r w:rsidR="00B47A40">
        <w:noBreakHyphen/>
      </w:r>
      <w:r w:rsidRPr="00B47A40">
        <w:t xml:space="preserve">registered insurance </w:t>
      </w:r>
      <w:r w:rsidRPr="00B47A40">
        <w:lastRenderedPageBreak/>
        <w:t>company concerned, as worked out under subsection 5(3) or (4) of this instrument, did not exceed $5</w:t>
      </w:r>
      <w:r w:rsidR="00B47A40">
        <w:t> </w:t>
      </w:r>
      <w:r w:rsidRPr="00B47A40">
        <w:t>billion; and</w:t>
      </w:r>
    </w:p>
    <w:p w14:paraId="21E561F3" w14:textId="135543BB" w:rsidR="00951956" w:rsidRPr="00B47A40" w:rsidRDefault="00D21350" w:rsidP="00B47A40">
      <w:pPr>
        <w:pStyle w:val="paragraph"/>
      </w:pPr>
      <w:r w:rsidRPr="00B47A40">
        <w:tab/>
        <w:t>(g)</w:t>
      </w:r>
      <w:r w:rsidRPr="00B47A40">
        <w:tab/>
        <w:t>all powers under subsections 66(3) and (5) of that Act to review a decision under paragraph 66(1)(b) of that Act.</w:t>
      </w:r>
    </w:p>
    <w:p w14:paraId="77EB623E" w14:textId="77777777" w:rsidR="00951956" w:rsidRPr="00FC07DE" w:rsidRDefault="00951956" w:rsidP="00951956">
      <w:pPr>
        <w:pStyle w:val="ActHead5"/>
      </w:pPr>
      <w:bookmarkStart w:id="18" w:name="_Toc27123926"/>
      <w:r w:rsidRPr="00FC07DE">
        <w:rPr>
          <w:rStyle w:val="CharSectno"/>
        </w:rPr>
        <w:t>11</w:t>
      </w:r>
      <w:r w:rsidRPr="00FC07DE">
        <w:t xml:space="preserve">  Direction about exercise of some powers</w:t>
      </w:r>
      <w:bookmarkEnd w:id="18"/>
    </w:p>
    <w:p w14:paraId="20C1ECE1" w14:textId="77777777" w:rsidR="00D21350" w:rsidRDefault="00D21350" w:rsidP="00D21350">
      <w:pPr>
        <w:pStyle w:val="subsection"/>
      </w:pPr>
      <w:r>
        <w:tab/>
        <w:t>(1)</w:t>
      </w:r>
      <w:r>
        <w:tab/>
        <w:t xml:space="preserve">Before exercising a power under section 44, 58, 63 or 64 of the </w:t>
      </w:r>
      <w:r w:rsidRPr="00B47A40">
        <w:rPr>
          <w:i/>
        </w:rPr>
        <w:t>Insurance Acquisitions and Takeovers Act 1991</w:t>
      </w:r>
      <w:r>
        <w:t>, a delegate must inform the Minister of the proposed exercise of the power. However, if circumstances of urgency require that the power be exercised immediately, the delegate must inform the Minister of the exercise of the power at the earliest opportunity.</w:t>
      </w:r>
    </w:p>
    <w:p w14:paraId="4E1FA8A0" w14:textId="710CC599" w:rsidR="00951956" w:rsidRPr="00FC07DE" w:rsidRDefault="00D21350" w:rsidP="00951956">
      <w:pPr>
        <w:pStyle w:val="subsection"/>
      </w:pPr>
      <w:r>
        <w:tab/>
        <w:t>(2)</w:t>
      </w:r>
      <w:r>
        <w:tab/>
        <w:t>The validity of an exercise of a delegated power is not affected by failure to comply with the direction in subsection (1).</w:t>
      </w:r>
      <w:bookmarkStart w:id="19" w:name="_GoBack"/>
      <w:bookmarkEnd w:id="19"/>
    </w:p>
    <w:sectPr w:rsidR="00951956" w:rsidRPr="00FC07DE" w:rsidSect="008B3C31">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A32E9" w14:textId="77777777" w:rsidR="00951956" w:rsidRDefault="00951956" w:rsidP="00715914">
      <w:pPr>
        <w:spacing w:line="240" w:lineRule="auto"/>
      </w:pPr>
      <w:r>
        <w:separator/>
      </w:r>
    </w:p>
  </w:endnote>
  <w:endnote w:type="continuationSeparator" w:id="0">
    <w:p w14:paraId="07322016" w14:textId="77777777" w:rsidR="00951956" w:rsidRDefault="0095195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AFD07" w14:textId="07E18728" w:rsidR="00715914" w:rsidRDefault="00715914" w:rsidP="007500C8">
    <w:pPr>
      <w:pStyle w:val="Footer"/>
    </w:pPr>
  </w:p>
  <w:p w14:paraId="1F7164D5" w14:textId="77777777" w:rsidR="00756272" w:rsidRPr="007500C8" w:rsidRDefault="00756272" w:rsidP="0075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1C83" w14:textId="77777777" w:rsidR="00715914" w:rsidRPr="00ED79B6" w:rsidRDefault="00715914" w:rsidP="00BA220B">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85C2C" w14:textId="77777777" w:rsidR="007500C8" w:rsidRPr="00E33C1C" w:rsidRDefault="00284719"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6BA26D1B" wp14:editId="5140A2FD">
              <wp:simplePos x="0" y="0"/>
              <wp:positionH relativeFrom="column">
                <wp:align>center</wp:align>
              </wp:positionH>
              <wp:positionV relativeFrom="page">
                <wp:posOffset>10079990</wp:posOffset>
              </wp:positionV>
              <wp:extent cx="4410075" cy="40005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EE52112" w14:textId="54B6F5DF"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D77C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26D1B" id="_x0000_t202" coordsize="21600,21600" o:spt="202" path="m,l,21600r21600,l21600,xe">
              <v:stroke joinstyle="miter"/>
              <v:path gradientshapeok="t" o:connecttype="rect"/>
            </v:shapetype>
            <v:shape id="Text Box 23" o:spid="_x0000_s1028" type="#_x0000_t202" style="position:absolute;margin-left:0;margin-top:793.7pt;width:347.25pt;height:3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J/TAMAAM0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LV2En9MAwAAzQcAAA4AAAAAAAAAAAAAAAAALgIA&#10;AGRycy9lMm9Eb2MueG1sUEsBAi0AFAAGAAgAAAAhADwCUpLfAAAACgEAAA8AAAAAAAAAAAAAAAAA&#10;pgUAAGRycy9kb3ducmV2LnhtbFBLBQYAAAAABAAEAPMAAACyBgAAAAA=&#10;" stroked="f">
              <v:stroke joinstyle="round"/>
              <v:path arrowok="t"/>
              <v:textbox>
                <w:txbxContent>
                  <w:p w14:paraId="3EE52112" w14:textId="54B6F5DF"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D77C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7500C8" w14:paraId="3C85FDA9" w14:textId="77777777" w:rsidTr="00DD04BC">
      <w:tc>
        <w:tcPr>
          <w:tcW w:w="709" w:type="dxa"/>
          <w:tcBorders>
            <w:top w:val="nil"/>
            <w:left w:val="nil"/>
            <w:bottom w:val="nil"/>
            <w:right w:val="nil"/>
          </w:tcBorders>
        </w:tcPr>
        <w:p w14:paraId="22B4B643"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E1A82">
            <w:rPr>
              <w:i/>
              <w:noProof/>
              <w:sz w:val="18"/>
            </w:rPr>
            <w:t>ii</w:t>
          </w:r>
          <w:r w:rsidRPr="00ED79B6">
            <w:rPr>
              <w:i/>
              <w:sz w:val="18"/>
            </w:rPr>
            <w:fldChar w:fldCharType="end"/>
          </w:r>
        </w:p>
      </w:tc>
      <w:tc>
        <w:tcPr>
          <w:tcW w:w="6379" w:type="dxa"/>
          <w:tcBorders>
            <w:top w:val="nil"/>
            <w:left w:val="nil"/>
            <w:bottom w:val="nil"/>
            <w:right w:val="nil"/>
          </w:tcBorders>
        </w:tcPr>
        <w:p w14:paraId="09C0FD9D" w14:textId="0A422EB2"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D77C1">
            <w:rPr>
              <w:i/>
              <w:noProof/>
              <w:sz w:val="18"/>
            </w:rPr>
            <w:t>Ministerial Powers (APRA) Instrument 2019</w:t>
          </w:r>
          <w:r>
            <w:rPr>
              <w:i/>
              <w:sz w:val="18"/>
            </w:rPr>
            <w:fldChar w:fldCharType="end"/>
          </w:r>
        </w:p>
      </w:tc>
      <w:tc>
        <w:tcPr>
          <w:tcW w:w="1384" w:type="dxa"/>
          <w:tcBorders>
            <w:top w:val="nil"/>
            <w:left w:val="nil"/>
            <w:bottom w:val="nil"/>
            <w:right w:val="nil"/>
          </w:tcBorders>
        </w:tcPr>
        <w:p w14:paraId="4BCE1845" w14:textId="77777777" w:rsidR="007500C8" w:rsidRDefault="007500C8" w:rsidP="00830B62">
          <w:pPr>
            <w:spacing w:line="0" w:lineRule="atLeast"/>
            <w:jc w:val="right"/>
            <w:rPr>
              <w:sz w:val="18"/>
            </w:rPr>
          </w:pPr>
        </w:p>
      </w:tc>
    </w:tr>
  </w:tbl>
  <w:p w14:paraId="0B8AD073" w14:textId="77777777" w:rsidR="007500C8" w:rsidRPr="00ED79B6" w:rsidRDefault="007500C8"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2CA7" w14:textId="35C7E27F"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58C36DD3" w14:textId="77777777" w:rsidTr="00B33709">
      <w:tc>
        <w:tcPr>
          <w:tcW w:w="1383" w:type="dxa"/>
          <w:tcBorders>
            <w:top w:val="nil"/>
            <w:left w:val="nil"/>
            <w:bottom w:val="nil"/>
            <w:right w:val="nil"/>
          </w:tcBorders>
        </w:tcPr>
        <w:p w14:paraId="76B7D217" w14:textId="77777777" w:rsidR="007500C8" w:rsidRDefault="007500C8" w:rsidP="00830B62">
          <w:pPr>
            <w:spacing w:line="0" w:lineRule="atLeast"/>
            <w:rPr>
              <w:sz w:val="18"/>
            </w:rPr>
          </w:pPr>
        </w:p>
      </w:tc>
      <w:tc>
        <w:tcPr>
          <w:tcW w:w="6380" w:type="dxa"/>
          <w:tcBorders>
            <w:top w:val="nil"/>
            <w:left w:val="nil"/>
            <w:bottom w:val="nil"/>
            <w:right w:val="nil"/>
          </w:tcBorders>
        </w:tcPr>
        <w:p w14:paraId="0503AAE1" w14:textId="53B8ABB8"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A5FC6">
            <w:rPr>
              <w:i/>
              <w:noProof/>
              <w:sz w:val="18"/>
            </w:rPr>
            <w:t>Ministerial Powers (APRA) Instrument 2020</w:t>
          </w:r>
          <w:r>
            <w:rPr>
              <w:i/>
              <w:sz w:val="18"/>
            </w:rPr>
            <w:fldChar w:fldCharType="end"/>
          </w:r>
        </w:p>
      </w:tc>
      <w:tc>
        <w:tcPr>
          <w:tcW w:w="709" w:type="dxa"/>
          <w:tcBorders>
            <w:top w:val="nil"/>
            <w:left w:val="nil"/>
            <w:bottom w:val="nil"/>
            <w:right w:val="nil"/>
          </w:tcBorders>
        </w:tcPr>
        <w:p w14:paraId="78BF2A37" w14:textId="23828310"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5FC6">
            <w:rPr>
              <w:i/>
              <w:noProof/>
              <w:sz w:val="18"/>
            </w:rPr>
            <w:t>i</w:t>
          </w:r>
          <w:r w:rsidRPr="00ED79B6">
            <w:rPr>
              <w:i/>
              <w:sz w:val="18"/>
            </w:rPr>
            <w:fldChar w:fldCharType="end"/>
          </w:r>
        </w:p>
      </w:tc>
    </w:tr>
  </w:tbl>
  <w:p w14:paraId="5D64869F" w14:textId="77777777" w:rsidR="007500C8" w:rsidRPr="00ED79B6" w:rsidRDefault="007500C8"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7E9BA" w14:textId="159E442C"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32F58959" w14:textId="77777777" w:rsidTr="00DD04BC">
      <w:tc>
        <w:tcPr>
          <w:tcW w:w="709" w:type="dxa"/>
          <w:tcBorders>
            <w:top w:val="nil"/>
            <w:left w:val="nil"/>
            <w:bottom w:val="nil"/>
            <w:right w:val="nil"/>
          </w:tcBorders>
        </w:tcPr>
        <w:p w14:paraId="025E4935" w14:textId="651193BF"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5FC6">
            <w:rPr>
              <w:i/>
              <w:noProof/>
              <w:sz w:val="18"/>
            </w:rPr>
            <w:t>6</w:t>
          </w:r>
          <w:r w:rsidRPr="00ED79B6">
            <w:rPr>
              <w:i/>
              <w:sz w:val="18"/>
            </w:rPr>
            <w:fldChar w:fldCharType="end"/>
          </w:r>
        </w:p>
      </w:tc>
      <w:tc>
        <w:tcPr>
          <w:tcW w:w="6379" w:type="dxa"/>
          <w:tcBorders>
            <w:top w:val="nil"/>
            <w:left w:val="nil"/>
            <w:bottom w:val="nil"/>
            <w:right w:val="nil"/>
          </w:tcBorders>
        </w:tcPr>
        <w:p w14:paraId="762B386A" w14:textId="23F3F149"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A5FC6">
            <w:rPr>
              <w:i/>
              <w:noProof/>
              <w:sz w:val="18"/>
            </w:rPr>
            <w:t>Ministerial Powers (APRA) Instrument 2020</w:t>
          </w:r>
          <w:r>
            <w:rPr>
              <w:i/>
              <w:sz w:val="18"/>
            </w:rPr>
            <w:fldChar w:fldCharType="end"/>
          </w:r>
        </w:p>
      </w:tc>
      <w:tc>
        <w:tcPr>
          <w:tcW w:w="1384" w:type="dxa"/>
          <w:tcBorders>
            <w:top w:val="nil"/>
            <w:left w:val="nil"/>
            <w:bottom w:val="nil"/>
            <w:right w:val="nil"/>
          </w:tcBorders>
        </w:tcPr>
        <w:p w14:paraId="73202342" w14:textId="77777777" w:rsidR="007500C8" w:rsidRDefault="007500C8" w:rsidP="00830B62">
          <w:pPr>
            <w:spacing w:line="0" w:lineRule="atLeast"/>
            <w:jc w:val="right"/>
            <w:rPr>
              <w:sz w:val="18"/>
            </w:rPr>
          </w:pPr>
        </w:p>
      </w:tc>
    </w:tr>
  </w:tbl>
  <w:p w14:paraId="22730D22" w14:textId="77777777" w:rsidR="007500C8" w:rsidRPr="00ED79B6" w:rsidRDefault="007500C8"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50A3A" w14:textId="3E5BE4A2"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472DBE" w14:paraId="71AD36EF" w14:textId="77777777" w:rsidTr="00DD04BC">
      <w:tc>
        <w:tcPr>
          <w:tcW w:w="1357" w:type="dxa"/>
          <w:tcBorders>
            <w:top w:val="nil"/>
            <w:left w:val="nil"/>
            <w:bottom w:val="nil"/>
            <w:right w:val="nil"/>
          </w:tcBorders>
        </w:tcPr>
        <w:p w14:paraId="55E62DE2" w14:textId="77777777" w:rsidR="00472DBE" w:rsidRDefault="00472DBE" w:rsidP="008067B4">
          <w:pPr>
            <w:spacing w:line="0" w:lineRule="atLeast"/>
            <w:rPr>
              <w:sz w:val="18"/>
            </w:rPr>
          </w:pPr>
        </w:p>
      </w:tc>
      <w:tc>
        <w:tcPr>
          <w:tcW w:w="6256" w:type="dxa"/>
          <w:tcBorders>
            <w:top w:val="nil"/>
            <w:left w:val="nil"/>
            <w:bottom w:val="nil"/>
            <w:right w:val="nil"/>
          </w:tcBorders>
        </w:tcPr>
        <w:p w14:paraId="7A7B16A2" w14:textId="0814BFD0" w:rsidR="00472DBE" w:rsidRDefault="00AE1A82"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EA5FC6">
            <w:rPr>
              <w:i/>
              <w:noProof/>
              <w:sz w:val="18"/>
            </w:rPr>
            <w:t>Ministerial Powers (APRA) Instrument 2020</w:t>
          </w:r>
          <w:r>
            <w:rPr>
              <w:i/>
              <w:sz w:val="18"/>
            </w:rPr>
            <w:fldChar w:fldCharType="end"/>
          </w:r>
        </w:p>
      </w:tc>
      <w:tc>
        <w:tcPr>
          <w:tcW w:w="700" w:type="dxa"/>
          <w:tcBorders>
            <w:top w:val="nil"/>
            <w:left w:val="nil"/>
            <w:bottom w:val="nil"/>
            <w:right w:val="nil"/>
          </w:tcBorders>
        </w:tcPr>
        <w:p w14:paraId="5F203564" w14:textId="29B290CB"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5FC6">
            <w:rPr>
              <w:i/>
              <w:noProof/>
              <w:sz w:val="18"/>
            </w:rPr>
            <w:t>7</w:t>
          </w:r>
          <w:r w:rsidRPr="00ED79B6">
            <w:rPr>
              <w:i/>
              <w:sz w:val="18"/>
            </w:rPr>
            <w:fldChar w:fldCharType="end"/>
          </w:r>
        </w:p>
      </w:tc>
    </w:tr>
  </w:tbl>
  <w:p w14:paraId="5B83DD27" w14:textId="77777777" w:rsidR="00472DBE" w:rsidRPr="00ED79B6" w:rsidRDefault="00472DBE"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C4624" w14:textId="77777777" w:rsidR="007500C8" w:rsidRPr="00E33C1C" w:rsidRDefault="007500C8" w:rsidP="007500C8">
    <w:pPr>
      <w:pBdr>
        <w:top w:val="single" w:sz="6" w:space="1" w:color="auto"/>
      </w:pBdr>
      <w:spacing w:line="0" w:lineRule="atLeast"/>
      <w:rPr>
        <w:sz w:val="16"/>
        <w:szCs w:val="16"/>
      </w:rPr>
    </w:pPr>
  </w:p>
  <w:tbl>
    <w:tblPr>
      <w:tblStyle w:val="TableGrid"/>
      <w:tblW w:w="8472" w:type="dxa"/>
      <w:tblInd w:w="-108" w:type="dxa"/>
      <w:tblLook w:val="04A0" w:firstRow="1" w:lastRow="0" w:firstColumn="1" w:lastColumn="0" w:noHBand="0" w:noVBand="1"/>
    </w:tblPr>
    <w:tblGrid>
      <w:gridCol w:w="1384"/>
      <w:gridCol w:w="6379"/>
      <w:gridCol w:w="709"/>
    </w:tblGrid>
    <w:tr w:rsidR="007500C8" w14:paraId="37A15EEE" w14:textId="77777777" w:rsidTr="00DD04BC">
      <w:tc>
        <w:tcPr>
          <w:tcW w:w="1384" w:type="dxa"/>
          <w:tcBorders>
            <w:top w:val="nil"/>
            <w:left w:val="nil"/>
            <w:bottom w:val="nil"/>
            <w:right w:val="nil"/>
          </w:tcBorders>
        </w:tcPr>
        <w:p w14:paraId="0A6BB90F" w14:textId="77777777" w:rsidR="007500C8" w:rsidRDefault="007500C8" w:rsidP="00830B62">
          <w:pPr>
            <w:spacing w:line="0" w:lineRule="atLeast"/>
            <w:rPr>
              <w:sz w:val="18"/>
            </w:rPr>
          </w:pPr>
        </w:p>
      </w:tc>
      <w:tc>
        <w:tcPr>
          <w:tcW w:w="6379" w:type="dxa"/>
          <w:tcBorders>
            <w:top w:val="nil"/>
            <w:left w:val="nil"/>
            <w:bottom w:val="nil"/>
            <w:right w:val="nil"/>
          </w:tcBorders>
        </w:tcPr>
        <w:p w14:paraId="61A7302A" w14:textId="299C7949"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D77C1">
            <w:rPr>
              <w:i/>
              <w:sz w:val="18"/>
            </w:rPr>
            <w:t>Instrument name Regulations Year</w:t>
          </w:r>
          <w:r w:rsidRPr="007A1328">
            <w:rPr>
              <w:i/>
              <w:sz w:val="18"/>
            </w:rPr>
            <w:fldChar w:fldCharType="end"/>
          </w:r>
        </w:p>
      </w:tc>
      <w:tc>
        <w:tcPr>
          <w:tcW w:w="709" w:type="dxa"/>
          <w:tcBorders>
            <w:top w:val="nil"/>
            <w:left w:val="nil"/>
            <w:bottom w:val="nil"/>
            <w:right w:val="nil"/>
          </w:tcBorders>
        </w:tcPr>
        <w:p w14:paraId="65EFB28B"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7274B71F" w14:textId="77777777" w:rsidR="007500C8" w:rsidRPr="00ED79B6" w:rsidRDefault="007500C8"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7CA65" w14:textId="77777777" w:rsidR="00951956" w:rsidRDefault="00951956" w:rsidP="00715914">
      <w:pPr>
        <w:spacing w:line="240" w:lineRule="auto"/>
      </w:pPr>
      <w:r>
        <w:separator/>
      </w:r>
    </w:p>
  </w:footnote>
  <w:footnote w:type="continuationSeparator" w:id="0">
    <w:p w14:paraId="0E1C8160" w14:textId="77777777" w:rsidR="00951956" w:rsidRDefault="0095195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9EC0" w14:textId="77777777" w:rsidR="00715914" w:rsidRPr="005F1388" w:rsidRDefault="00284719" w:rsidP="00715914">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6E2D761B" wp14:editId="6118E896">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2279625F" w14:textId="72F39DB4"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D77C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D761B" id="_x0000_t202" coordsize="21600,21600" o:spt="202" path="m,l,21600r21600,l21600,xe">
              <v:stroke joinstyle="miter"/>
              <v:path gradientshapeok="t" o:connecttype="rect"/>
            </v:shapetype>
            <v:shape id="Text Box 15" o:spid="_x0000_s1026" type="#_x0000_t202" style="position:absolute;margin-left:0;margin-top:11.3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14:paraId="2279625F" w14:textId="72F39DB4"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D77C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4023C" w14:textId="0509888C"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736D"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7114" w14:textId="77777777" w:rsidR="00715914" w:rsidRPr="00ED79B6" w:rsidRDefault="00284719"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2336" behindDoc="1" locked="0" layoutInCell="1" allowOverlap="1" wp14:anchorId="5D1E1127" wp14:editId="6584DB7C">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1E0C442" w14:textId="470C64FF"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D77C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E1127" id="_x0000_t202" coordsize="21600,21600" o:spt="202" path="m,l,21600r21600,l21600,xe">
              <v:stroke joinstyle="miter"/>
              <v:path gradientshapeok="t" o:connecttype="rect"/>
            </v:shapetype>
            <v:shape id="Text Box 17" o:spid="_x0000_s1027" type="#_x0000_t202" style="position:absolute;margin-left:0;margin-top:11.3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vgdgvUsDAADNBwAADgAAAAAAAAAAAAAAAAAuAgAAZHJz&#10;L2Uyb0RvYy54bWxQSwECLQAUAAYACAAAACEA5grfutwAAAAGAQAADwAAAAAAAAAAAAAAAAClBQAA&#10;ZHJzL2Rvd25yZXYueG1sUEsFBgAAAAAEAAQA8wAAAK4GAAAAAA==&#10;" stroked="f">
              <v:stroke joinstyle="round"/>
              <v:path arrowok="t"/>
              <v:textbox>
                <w:txbxContent>
                  <w:p w14:paraId="31E0C442" w14:textId="470C64FF" w:rsidR="00284719" w:rsidRPr="00284719" w:rsidRDefault="00284719"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6D77C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7E51" w14:textId="6208CFF0"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1CB2D"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145B" w14:textId="0962A292"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29FDC120" w14:textId="67E139A2"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EA5FC6">
      <w:rPr>
        <w:b/>
        <w:noProof/>
        <w:sz w:val="20"/>
      </w:rPr>
      <w:t>Part 5</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EA5FC6">
      <w:rPr>
        <w:noProof/>
        <w:sz w:val="20"/>
      </w:rPr>
      <w:t>Delegations under the Insurance Acquisitions and Takeovers Act 1991</w:t>
    </w:r>
    <w:r>
      <w:rPr>
        <w:sz w:val="20"/>
      </w:rPr>
      <w:fldChar w:fldCharType="end"/>
    </w:r>
  </w:p>
  <w:p w14:paraId="06E6B458" w14:textId="5823DA3B"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5BA14947" w14:textId="77777777" w:rsidR="00715914" w:rsidRPr="007A1328" w:rsidRDefault="00715914" w:rsidP="00715914">
    <w:pPr>
      <w:rPr>
        <w:b/>
        <w:sz w:val="24"/>
      </w:rPr>
    </w:pPr>
  </w:p>
  <w:p w14:paraId="55851EEB" w14:textId="7F702267"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6D77C1">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EA5FC6">
      <w:rPr>
        <w:noProof/>
        <w:sz w:val="24"/>
      </w:rPr>
      <w:t>10</w:t>
    </w:r>
    <w:r w:rsidR="00F83989"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9CDBA" w14:textId="6F82DA2D"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03865255" w14:textId="6E481510"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00EA5FC6">
      <w:rPr>
        <w:sz w:val="20"/>
      </w:rPr>
      <w:fldChar w:fldCharType="separate"/>
    </w:r>
    <w:r w:rsidR="00EA5FC6">
      <w:rPr>
        <w:noProof/>
        <w:sz w:val="20"/>
      </w:rPr>
      <w:t>Delegations under the Insurance Acquisitions and Takeovers Act 1991</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sidR="00EA5FC6">
      <w:rPr>
        <w:b/>
        <w:sz w:val="20"/>
      </w:rPr>
      <w:fldChar w:fldCharType="separate"/>
    </w:r>
    <w:r w:rsidR="00EA5FC6">
      <w:rPr>
        <w:b/>
        <w:noProof/>
        <w:sz w:val="20"/>
      </w:rPr>
      <w:t>Part 5</w:t>
    </w:r>
    <w:r>
      <w:rPr>
        <w:b/>
        <w:sz w:val="20"/>
      </w:rPr>
      <w:fldChar w:fldCharType="end"/>
    </w:r>
  </w:p>
  <w:p w14:paraId="531140CC" w14:textId="7AB90933"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57EFBB9B" w14:textId="77777777" w:rsidR="00715914" w:rsidRPr="007A1328" w:rsidRDefault="00715914" w:rsidP="00715914">
    <w:pPr>
      <w:jc w:val="right"/>
      <w:rPr>
        <w:b/>
        <w:sz w:val="24"/>
      </w:rPr>
    </w:pPr>
  </w:p>
  <w:p w14:paraId="22FD1FEC" w14:textId="3091553C"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6D77C1">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EA5FC6">
      <w:rPr>
        <w:noProof/>
        <w:sz w:val="24"/>
      </w:rPr>
      <w:t>11</w:t>
    </w:r>
    <w:r w:rsidR="00F83989"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F6C8D" w14:textId="77777777" w:rsidR="00715914" w:rsidRPr="007A1328" w:rsidRDefault="00715914"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56"/>
    <w:rsid w:val="00004470"/>
    <w:rsid w:val="000136AF"/>
    <w:rsid w:val="000437C1"/>
    <w:rsid w:val="0005365D"/>
    <w:rsid w:val="000614BF"/>
    <w:rsid w:val="000B58FA"/>
    <w:rsid w:val="000D05EF"/>
    <w:rsid w:val="000E2261"/>
    <w:rsid w:val="000F21C1"/>
    <w:rsid w:val="0010745C"/>
    <w:rsid w:val="00132CEB"/>
    <w:rsid w:val="00142B62"/>
    <w:rsid w:val="0014539C"/>
    <w:rsid w:val="00157B8B"/>
    <w:rsid w:val="00166C2F"/>
    <w:rsid w:val="001809D7"/>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321E8"/>
    <w:rsid w:val="00236EEC"/>
    <w:rsid w:val="0024010F"/>
    <w:rsid w:val="00240749"/>
    <w:rsid w:val="00243018"/>
    <w:rsid w:val="002564A4"/>
    <w:rsid w:val="0026736C"/>
    <w:rsid w:val="0027102E"/>
    <w:rsid w:val="00281308"/>
    <w:rsid w:val="00284719"/>
    <w:rsid w:val="00297ECB"/>
    <w:rsid w:val="002A7BCF"/>
    <w:rsid w:val="002D043A"/>
    <w:rsid w:val="002D6224"/>
    <w:rsid w:val="002E3F4B"/>
    <w:rsid w:val="00304F8B"/>
    <w:rsid w:val="003354D2"/>
    <w:rsid w:val="00335BC6"/>
    <w:rsid w:val="003415D3"/>
    <w:rsid w:val="00344701"/>
    <w:rsid w:val="00352B0F"/>
    <w:rsid w:val="00356690"/>
    <w:rsid w:val="00360459"/>
    <w:rsid w:val="003C6231"/>
    <w:rsid w:val="003D0BFE"/>
    <w:rsid w:val="003D5700"/>
    <w:rsid w:val="003E341B"/>
    <w:rsid w:val="004116CD"/>
    <w:rsid w:val="004144EC"/>
    <w:rsid w:val="00417EB9"/>
    <w:rsid w:val="00424CA9"/>
    <w:rsid w:val="00431E9B"/>
    <w:rsid w:val="004379E3"/>
    <w:rsid w:val="0044015E"/>
    <w:rsid w:val="0044291A"/>
    <w:rsid w:val="00444ABD"/>
    <w:rsid w:val="00461C81"/>
    <w:rsid w:val="00467661"/>
    <w:rsid w:val="004705B7"/>
    <w:rsid w:val="00472DBE"/>
    <w:rsid w:val="00474A19"/>
    <w:rsid w:val="00496F97"/>
    <w:rsid w:val="004C6AE8"/>
    <w:rsid w:val="004E063A"/>
    <w:rsid w:val="004E7BEC"/>
    <w:rsid w:val="00505D3D"/>
    <w:rsid w:val="00506AF6"/>
    <w:rsid w:val="00516B8D"/>
    <w:rsid w:val="00537FBC"/>
    <w:rsid w:val="005574D1"/>
    <w:rsid w:val="00584811"/>
    <w:rsid w:val="00585784"/>
    <w:rsid w:val="00593AA6"/>
    <w:rsid w:val="00594161"/>
    <w:rsid w:val="00594749"/>
    <w:rsid w:val="005B4067"/>
    <w:rsid w:val="005C3F41"/>
    <w:rsid w:val="005D0E7B"/>
    <w:rsid w:val="005D2D09"/>
    <w:rsid w:val="00600219"/>
    <w:rsid w:val="00603DC4"/>
    <w:rsid w:val="00620076"/>
    <w:rsid w:val="00670EA1"/>
    <w:rsid w:val="00677CC2"/>
    <w:rsid w:val="006905DE"/>
    <w:rsid w:val="0069207B"/>
    <w:rsid w:val="00697D28"/>
    <w:rsid w:val="006B5789"/>
    <w:rsid w:val="006C30C5"/>
    <w:rsid w:val="006C7F8C"/>
    <w:rsid w:val="006D77C1"/>
    <w:rsid w:val="006E6246"/>
    <w:rsid w:val="006F318F"/>
    <w:rsid w:val="006F4226"/>
    <w:rsid w:val="0070017E"/>
    <w:rsid w:val="00700B2C"/>
    <w:rsid w:val="007050A2"/>
    <w:rsid w:val="00713084"/>
    <w:rsid w:val="00714F20"/>
    <w:rsid w:val="0071590F"/>
    <w:rsid w:val="00715914"/>
    <w:rsid w:val="00731E00"/>
    <w:rsid w:val="0074384E"/>
    <w:rsid w:val="007440B7"/>
    <w:rsid w:val="007500C8"/>
    <w:rsid w:val="00756272"/>
    <w:rsid w:val="0076681A"/>
    <w:rsid w:val="007715C9"/>
    <w:rsid w:val="00771613"/>
    <w:rsid w:val="00774EDD"/>
    <w:rsid w:val="007757EC"/>
    <w:rsid w:val="00783E89"/>
    <w:rsid w:val="00793915"/>
    <w:rsid w:val="007C2253"/>
    <w:rsid w:val="007D5A63"/>
    <w:rsid w:val="007D7B81"/>
    <w:rsid w:val="007E163D"/>
    <w:rsid w:val="007E667A"/>
    <w:rsid w:val="007F28C9"/>
    <w:rsid w:val="00803587"/>
    <w:rsid w:val="008117E9"/>
    <w:rsid w:val="00824498"/>
    <w:rsid w:val="00856A31"/>
    <w:rsid w:val="00864B24"/>
    <w:rsid w:val="00867B37"/>
    <w:rsid w:val="008754D0"/>
    <w:rsid w:val="008855C9"/>
    <w:rsid w:val="00886456"/>
    <w:rsid w:val="008A46E1"/>
    <w:rsid w:val="008A4F43"/>
    <w:rsid w:val="008B2706"/>
    <w:rsid w:val="008B3C31"/>
    <w:rsid w:val="008D0EE0"/>
    <w:rsid w:val="008E6067"/>
    <w:rsid w:val="008F54E7"/>
    <w:rsid w:val="00903422"/>
    <w:rsid w:val="00915DF9"/>
    <w:rsid w:val="009254C3"/>
    <w:rsid w:val="00932377"/>
    <w:rsid w:val="00947D5A"/>
    <w:rsid w:val="00951956"/>
    <w:rsid w:val="009532A5"/>
    <w:rsid w:val="00982242"/>
    <w:rsid w:val="009868E9"/>
    <w:rsid w:val="009E5CFC"/>
    <w:rsid w:val="00A079CB"/>
    <w:rsid w:val="00A12128"/>
    <w:rsid w:val="00A22C98"/>
    <w:rsid w:val="00A231E2"/>
    <w:rsid w:val="00A64912"/>
    <w:rsid w:val="00A70A74"/>
    <w:rsid w:val="00A81852"/>
    <w:rsid w:val="00AD5641"/>
    <w:rsid w:val="00AD7889"/>
    <w:rsid w:val="00AE1A82"/>
    <w:rsid w:val="00AF021B"/>
    <w:rsid w:val="00AF06CF"/>
    <w:rsid w:val="00B02AC3"/>
    <w:rsid w:val="00B05CF4"/>
    <w:rsid w:val="00B07CDB"/>
    <w:rsid w:val="00B16A31"/>
    <w:rsid w:val="00B17DFD"/>
    <w:rsid w:val="00B308FE"/>
    <w:rsid w:val="00B310B4"/>
    <w:rsid w:val="00B33709"/>
    <w:rsid w:val="00B33B3C"/>
    <w:rsid w:val="00B45D2B"/>
    <w:rsid w:val="00B47A40"/>
    <w:rsid w:val="00B50ADC"/>
    <w:rsid w:val="00B566B1"/>
    <w:rsid w:val="00B63834"/>
    <w:rsid w:val="00B65F8A"/>
    <w:rsid w:val="00B72734"/>
    <w:rsid w:val="00B80199"/>
    <w:rsid w:val="00B80D79"/>
    <w:rsid w:val="00B83204"/>
    <w:rsid w:val="00BA0C87"/>
    <w:rsid w:val="00BA220B"/>
    <w:rsid w:val="00BA3A57"/>
    <w:rsid w:val="00BA691F"/>
    <w:rsid w:val="00BB4E1A"/>
    <w:rsid w:val="00BC015E"/>
    <w:rsid w:val="00BC76AC"/>
    <w:rsid w:val="00BD0ECB"/>
    <w:rsid w:val="00BE2155"/>
    <w:rsid w:val="00BE2213"/>
    <w:rsid w:val="00BE719A"/>
    <w:rsid w:val="00BE720A"/>
    <w:rsid w:val="00BF0D73"/>
    <w:rsid w:val="00BF2465"/>
    <w:rsid w:val="00C11BE7"/>
    <w:rsid w:val="00C25E7F"/>
    <w:rsid w:val="00C2746F"/>
    <w:rsid w:val="00C324A0"/>
    <w:rsid w:val="00C3300F"/>
    <w:rsid w:val="00C42BF8"/>
    <w:rsid w:val="00C50043"/>
    <w:rsid w:val="00C7573B"/>
    <w:rsid w:val="00C93C03"/>
    <w:rsid w:val="00CB2C8E"/>
    <w:rsid w:val="00CB602E"/>
    <w:rsid w:val="00CE051D"/>
    <w:rsid w:val="00CE1335"/>
    <w:rsid w:val="00CE493D"/>
    <w:rsid w:val="00CF07FA"/>
    <w:rsid w:val="00CF0BB2"/>
    <w:rsid w:val="00CF3EE8"/>
    <w:rsid w:val="00D050E6"/>
    <w:rsid w:val="00D13441"/>
    <w:rsid w:val="00D150E7"/>
    <w:rsid w:val="00D21350"/>
    <w:rsid w:val="00D32F65"/>
    <w:rsid w:val="00D52DC2"/>
    <w:rsid w:val="00D53BCC"/>
    <w:rsid w:val="00D54A90"/>
    <w:rsid w:val="00D70DFB"/>
    <w:rsid w:val="00D766DF"/>
    <w:rsid w:val="00DA186E"/>
    <w:rsid w:val="00DA4116"/>
    <w:rsid w:val="00DB251C"/>
    <w:rsid w:val="00DB4630"/>
    <w:rsid w:val="00DC4F88"/>
    <w:rsid w:val="00DD04BC"/>
    <w:rsid w:val="00DD4734"/>
    <w:rsid w:val="00E05704"/>
    <w:rsid w:val="00E11E44"/>
    <w:rsid w:val="00E3270E"/>
    <w:rsid w:val="00E338EF"/>
    <w:rsid w:val="00E544BB"/>
    <w:rsid w:val="00E662CB"/>
    <w:rsid w:val="00E74DC7"/>
    <w:rsid w:val="00E8075A"/>
    <w:rsid w:val="00E94D5E"/>
    <w:rsid w:val="00EA5FC6"/>
    <w:rsid w:val="00EA7100"/>
    <w:rsid w:val="00EA7F9F"/>
    <w:rsid w:val="00EB1274"/>
    <w:rsid w:val="00EB6AD0"/>
    <w:rsid w:val="00EC209C"/>
    <w:rsid w:val="00EC38CB"/>
    <w:rsid w:val="00ED2BB6"/>
    <w:rsid w:val="00ED34E1"/>
    <w:rsid w:val="00ED3B8D"/>
    <w:rsid w:val="00ED659C"/>
    <w:rsid w:val="00EE1A4E"/>
    <w:rsid w:val="00EF2E3A"/>
    <w:rsid w:val="00F072A7"/>
    <w:rsid w:val="00F078DC"/>
    <w:rsid w:val="00F32BA8"/>
    <w:rsid w:val="00F349F1"/>
    <w:rsid w:val="00F4350D"/>
    <w:rsid w:val="00F567F7"/>
    <w:rsid w:val="00F62036"/>
    <w:rsid w:val="00F65B52"/>
    <w:rsid w:val="00F67BCA"/>
    <w:rsid w:val="00F73BD6"/>
    <w:rsid w:val="00F83989"/>
    <w:rsid w:val="00F85099"/>
    <w:rsid w:val="00F9379C"/>
    <w:rsid w:val="00F9632C"/>
    <w:rsid w:val="00FA1E52"/>
    <w:rsid w:val="00FC07DE"/>
    <w:rsid w:val="00FD30C3"/>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4EE8C2"/>
  <w15:docId w15:val="{359C0D1D-1D9D-4FD7-918A-5E168CB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B3C31"/>
    <w:pPr>
      <w:spacing w:line="260" w:lineRule="atLeast"/>
    </w:pPr>
    <w:rPr>
      <w:sz w:val="22"/>
    </w:rPr>
  </w:style>
  <w:style w:type="paragraph" w:styleId="Heading1">
    <w:name w:val="heading 1"/>
    <w:basedOn w:val="Normal"/>
    <w:next w:val="Normal"/>
    <w:link w:val="Heading1Char"/>
    <w:uiPriority w:val="9"/>
    <w:qFormat/>
    <w:rsid w:val="008B3C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3C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3C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3C3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3C3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B3C3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3C3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3C3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B3C3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B3C31"/>
  </w:style>
  <w:style w:type="paragraph" w:customStyle="1" w:styleId="OPCParaBase">
    <w:name w:val="OPCParaBase"/>
    <w:qFormat/>
    <w:rsid w:val="008B3C31"/>
    <w:pPr>
      <w:spacing w:line="260" w:lineRule="atLeast"/>
    </w:pPr>
    <w:rPr>
      <w:rFonts w:eastAsia="Times New Roman" w:cs="Times New Roman"/>
      <w:sz w:val="22"/>
      <w:lang w:eastAsia="en-AU"/>
    </w:rPr>
  </w:style>
  <w:style w:type="paragraph" w:customStyle="1" w:styleId="ShortT">
    <w:name w:val="ShortT"/>
    <w:basedOn w:val="OPCParaBase"/>
    <w:next w:val="Normal"/>
    <w:qFormat/>
    <w:rsid w:val="008B3C31"/>
    <w:pPr>
      <w:spacing w:line="240" w:lineRule="auto"/>
    </w:pPr>
    <w:rPr>
      <w:b/>
      <w:sz w:val="40"/>
    </w:rPr>
  </w:style>
  <w:style w:type="paragraph" w:customStyle="1" w:styleId="ActHead1">
    <w:name w:val="ActHead 1"/>
    <w:aliases w:val="c"/>
    <w:basedOn w:val="OPCParaBase"/>
    <w:next w:val="Normal"/>
    <w:qFormat/>
    <w:rsid w:val="008B3C3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3C3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B3C3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B3C3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B3C3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B3C3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B3C3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3C3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3C3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B3C31"/>
  </w:style>
  <w:style w:type="paragraph" w:customStyle="1" w:styleId="Blocks">
    <w:name w:val="Blocks"/>
    <w:aliases w:val="bb"/>
    <w:basedOn w:val="OPCParaBase"/>
    <w:qFormat/>
    <w:rsid w:val="008B3C31"/>
    <w:pPr>
      <w:spacing w:line="240" w:lineRule="auto"/>
    </w:pPr>
    <w:rPr>
      <w:sz w:val="24"/>
    </w:rPr>
  </w:style>
  <w:style w:type="paragraph" w:customStyle="1" w:styleId="BoxText">
    <w:name w:val="BoxText"/>
    <w:aliases w:val="bt"/>
    <w:basedOn w:val="OPCParaBase"/>
    <w:qFormat/>
    <w:rsid w:val="008B3C3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3C31"/>
    <w:rPr>
      <w:b/>
    </w:rPr>
  </w:style>
  <w:style w:type="paragraph" w:customStyle="1" w:styleId="BoxHeadItalic">
    <w:name w:val="BoxHeadItalic"/>
    <w:aliases w:val="bhi"/>
    <w:basedOn w:val="BoxText"/>
    <w:next w:val="BoxStep"/>
    <w:qFormat/>
    <w:rsid w:val="008B3C31"/>
    <w:rPr>
      <w:i/>
    </w:rPr>
  </w:style>
  <w:style w:type="paragraph" w:customStyle="1" w:styleId="BoxList">
    <w:name w:val="BoxList"/>
    <w:aliases w:val="bl"/>
    <w:basedOn w:val="BoxText"/>
    <w:qFormat/>
    <w:rsid w:val="008B3C31"/>
    <w:pPr>
      <w:ind w:left="1559" w:hanging="425"/>
    </w:pPr>
  </w:style>
  <w:style w:type="paragraph" w:customStyle="1" w:styleId="BoxNote">
    <w:name w:val="BoxNote"/>
    <w:aliases w:val="bn"/>
    <w:basedOn w:val="BoxText"/>
    <w:qFormat/>
    <w:rsid w:val="008B3C31"/>
    <w:pPr>
      <w:tabs>
        <w:tab w:val="left" w:pos="1985"/>
      </w:tabs>
      <w:spacing w:before="122" w:line="198" w:lineRule="exact"/>
      <w:ind w:left="2948" w:hanging="1814"/>
    </w:pPr>
    <w:rPr>
      <w:sz w:val="18"/>
    </w:rPr>
  </w:style>
  <w:style w:type="paragraph" w:customStyle="1" w:styleId="BoxPara">
    <w:name w:val="BoxPara"/>
    <w:aliases w:val="bp"/>
    <w:basedOn w:val="BoxText"/>
    <w:qFormat/>
    <w:rsid w:val="008B3C31"/>
    <w:pPr>
      <w:tabs>
        <w:tab w:val="right" w:pos="2268"/>
      </w:tabs>
      <w:ind w:left="2552" w:hanging="1418"/>
    </w:pPr>
  </w:style>
  <w:style w:type="paragraph" w:customStyle="1" w:styleId="BoxStep">
    <w:name w:val="BoxStep"/>
    <w:aliases w:val="bs"/>
    <w:basedOn w:val="BoxText"/>
    <w:qFormat/>
    <w:rsid w:val="008B3C31"/>
    <w:pPr>
      <w:ind w:left="1985" w:hanging="851"/>
    </w:pPr>
  </w:style>
  <w:style w:type="character" w:customStyle="1" w:styleId="CharAmPartNo">
    <w:name w:val="CharAmPartNo"/>
    <w:basedOn w:val="OPCCharBase"/>
    <w:uiPriority w:val="1"/>
    <w:qFormat/>
    <w:rsid w:val="008B3C31"/>
  </w:style>
  <w:style w:type="character" w:customStyle="1" w:styleId="CharAmPartText">
    <w:name w:val="CharAmPartText"/>
    <w:basedOn w:val="OPCCharBase"/>
    <w:uiPriority w:val="1"/>
    <w:qFormat/>
    <w:rsid w:val="008B3C31"/>
  </w:style>
  <w:style w:type="character" w:customStyle="1" w:styleId="CharAmSchNo">
    <w:name w:val="CharAmSchNo"/>
    <w:basedOn w:val="OPCCharBase"/>
    <w:uiPriority w:val="1"/>
    <w:qFormat/>
    <w:rsid w:val="008B3C31"/>
  </w:style>
  <w:style w:type="character" w:customStyle="1" w:styleId="CharAmSchText">
    <w:name w:val="CharAmSchText"/>
    <w:basedOn w:val="OPCCharBase"/>
    <w:uiPriority w:val="1"/>
    <w:qFormat/>
    <w:rsid w:val="008B3C31"/>
  </w:style>
  <w:style w:type="character" w:customStyle="1" w:styleId="CharBoldItalic">
    <w:name w:val="CharBoldItalic"/>
    <w:basedOn w:val="OPCCharBase"/>
    <w:uiPriority w:val="1"/>
    <w:qFormat/>
    <w:rsid w:val="008B3C31"/>
    <w:rPr>
      <w:b/>
      <w:i/>
    </w:rPr>
  </w:style>
  <w:style w:type="character" w:customStyle="1" w:styleId="CharChapNo">
    <w:name w:val="CharChapNo"/>
    <w:basedOn w:val="OPCCharBase"/>
    <w:qFormat/>
    <w:rsid w:val="008B3C31"/>
  </w:style>
  <w:style w:type="character" w:customStyle="1" w:styleId="CharChapText">
    <w:name w:val="CharChapText"/>
    <w:basedOn w:val="OPCCharBase"/>
    <w:qFormat/>
    <w:rsid w:val="008B3C31"/>
  </w:style>
  <w:style w:type="character" w:customStyle="1" w:styleId="CharDivNo">
    <w:name w:val="CharDivNo"/>
    <w:basedOn w:val="OPCCharBase"/>
    <w:qFormat/>
    <w:rsid w:val="008B3C31"/>
  </w:style>
  <w:style w:type="character" w:customStyle="1" w:styleId="CharDivText">
    <w:name w:val="CharDivText"/>
    <w:basedOn w:val="OPCCharBase"/>
    <w:qFormat/>
    <w:rsid w:val="008B3C31"/>
  </w:style>
  <w:style w:type="character" w:customStyle="1" w:styleId="CharItalic">
    <w:name w:val="CharItalic"/>
    <w:basedOn w:val="OPCCharBase"/>
    <w:uiPriority w:val="1"/>
    <w:qFormat/>
    <w:rsid w:val="008B3C31"/>
    <w:rPr>
      <w:i/>
    </w:rPr>
  </w:style>
  <w:style w:type="character" w:customStyle="1" w:styleId="CharPartNo">
    <w:name w:val="CharPartNo"/>
    <w:basedOn w:val="OPCCharBase"/>
    <w:qFormat/>
    <w:rsid w:val="008B3C31"/>
  </w:style>
  <w:style w:type="character" w:customStyle="1" w:styleId="CharPartText">
    <w:name w:val="CharPartText"/>
    <w:basedOn w:val="OPCCharBase"/>
    <w:qFormat/>
    <w:rsid w:val="008B3C31"/>
  </w:style>
  <w:style w:type="character" w:customStyle="1" w:styleId="CharSectno">
    <w:name w:val="CharSectno"/>
    <w:basedOn w:val="OPCCharBase"/>
    <w:qFormat/>
    <w:rsid w:val="008B3C31"/>
  </w:style>
  <w:style w:type="character" w:customStyle="1" w:styleId="CharSubdNo">
    <w:name w:val="CharSubdNo"/>
    <w:basedOn w:val="OPCCharBase"/>
    <w:uiPriority w:val="1"/>
    <w:qFormat/>
    <w:rsid w:val="008B3C31"/>
  </w:style>
  <w:style w:type="character" w:customStyle="1" w:styleId="CharSubdText">
    <w:name w:val="CharSubdText"/>
    <w:basedOn w:val="OPCCharBase"/>
    <w:uiPriority w:val="1"/>
    <w:qFormat/>
    <w:rsid w:val="008B3C31"/>
  </w:style>
  <w:style w:type="paragraph" w:customStyle="1" w:styleId="CTA--">
    <w:name w:val="CTA --"/>
    <w:basedOn w:val="OPCParaBase"/>
    <w:next w:val="Normal"/>
    <w:rsid w:val="008B3C31"/>
    <w:pPr>
      <w:spacing w:before="60" w:line="240" w:lineRule="atLeast"/>
      <w:ind w:left="142" w:hanging="142"/>
    </w:pPr>
    <w:rPr>
      <w:sz w:val="20"/>
    </w:rPr>
  </w:style>
  <w:style w:type="paragraph" w:customStyle="1" w:styleId="CTA-">
    <w:name w:val="CTA -"/>
    <w:basedOn w:val="OPCParaBase"/>
    <w:rsid w:val="008B3C31"/>
    <w:pPr>
      <w:spacing w:before="60" w:line="240" w:lineRule="atLeast"/>
      <w:ind w:left="85" w:hanging="85"/>
    </w:pPr>
    <w:rPr>
      <w:sz w:val="20"/>
    </w:rPr>
  </w:style>
  <w:style w:type="paragraph" w:customStyle="1" w:styleId="CTA---">
    <w:name w:val="CTA ---"/>
    <w:basedOn w:val="OPCParaBase"/>
    <w:next w:val="Normal"/>
    <w:rsid w:val="008B3C31"/>
    <w:pPr>
      <w:spacing w:before="60" w:line="240" w:lineRule="atLeast"/>
      <w:ind w:left="198" w:hanging="198"/>
    </w:pPr>
    <w:rPr>
      <w:sz w:val="20"/>
    </w:rPr>
  </w:style>
  <w:style w:type="paragraph" w:customStyle="1" w:styleId="CTA----">
    <w:name w:val="CTA ----"/>
    <w:basedOn w:val="OPCParaBase"/>
    <w:next w:val="Normal"/>
    <w:rsid w:val="008B3C31"/>
    <w:pPr>
      <w:spacing w:before="60" w:line="240" w:lineRule="atLeast"/>
      <w:ind w:left="255" w:hanging="255"/>
    </w:pPr>
    <w:rPr>
      <w:sz w:val="20"/>
    </w:rPr>
  </w:style>
  <w:style w:type="paragraph" w:customStyle="1" w:styleId="CTA1a">
    <w:name w:val="CTA 1(a)"/>
    <w:basedOn w:val="OPCParaBase"/>
    <w:rsid w:val="008B3C31"/>
    <w:pPr>
      <w:tabs>
        <w:tab w:val="right" w:pos="414"/>
      </w:tabs>
      <w:spacing w:before="40" w:line="240" w:lineRule="atLeast"/>
      <w:ind w:left="675" w:hanging="675"/>
    </w:pPr>
    <w:rPr>
      <w:sz w:val="20"/>
    </w:rPr>
  </w:style>
  <w:style w:type="paragraph" w:customStyle="1" w:styleId="CTA1ai">
    <w:name w:val="CTA 1(a)(i)"/>
    <w:basedOn w:val="OPCParaBase"/>
    <w:rsid w:val="008B3C31"/>
    <w:pPr>
      <w:tabs>
        <w:tab w:val="right" w:pos="1004"/>
      </w:tabs>
      <w:spacing w:before="40" w:line="240" w:lineRule="atLeast"/>
      <w:ind w:left="1253" w:hanging="1253"/>
    </w:pPr>
    <w:rPr>
      <w:sz w:val="20"/>
    </w:rPr>
  </w:style>
  <w:style w:type="paragraph" w:customStyle="1" w:styleId="CTA2a">
    <w:name w:val="CTA 2(a)"/>
    <w:basedOn w:val="OPCParaBase"/>
    <w:rsid w:val="008B3C31"/>
    <w:pPr>
      <w:tabs>
        <w:tab w:val="right" w:pos="482"/>
      </w:tabs>
      <w:spacing w:before="40" w:line="240" w:lineRule="atLeast"/>
      <w:ind w:left="748" w:hanging="748"/>
    </w:pPr>
    <w:rPr>
      <w:sz w:val="20"/>
    </w:rPr>
  </w:style>
  <w:style w:type="paragraph" w:customStyle="1" w:styleId="CTA2ai">
    <w:name w:val="CTA 2(a)(i)"/>
    <w:basedOn w:val="OPCParaBase"/>
    <w:rsid w:val="008B3C31"/>
    <w:pPr>
      <w:tabs>
        <w:tab w:val="right" w:pos="1089"/>
      </w:tabs>
      <w:spacing w:before="40" w:line="240" w:lineRule="atLeast"/>
      <w:ind w:left="1327" w:hanging="1327"/>
    </w:pPr>
    <w:rPr>
      <w:sz w:val="20"/>
    </w:rPr>
  </w:style>
  <w:style w:type="paragraph" w:customStyle="1" w:styleId="CTA3a">
    <w:name w:val="CTA 3(a)"/>
    <w:basedOn w:val="OPCParaBase"/>
    <w:rsid w:val="008B3C31"/>
    <w:pPr>
      <w:tabs>
        <w:tab w:val="right" w:pos="556"/>
      </w:tabs>
      <w:spacing w:before="40" w:line="240" w:lineRule="atLeast"/>
      <w:ind w:left="805" w:hanging="805"/>
    </w:pPr>
    <w:rPr>
      <w:sz w:val="20"/>
    </w:rPr>
  </w:style>
  <w:style w:type="paragraph" w:customStyle="1" w:styleId="CTA3ai">
    <w:name w:val="CTA 3(a)(i)"/>
    <w:basedOn w:val="OPCParaBase"/>
    <w:rsid w:val="008B3C31"/>
    <w:pPr>
      <w:tabs>
        <w:tab w:val="right" w:pos="1140"/>
      </w:tabs>
      <w:spacing w:before="40" w:line="240" w:lineRule="atLeast"/>
      <w:ind w:left="1361" w:hanging="1361"/>
    </w:pPr>
    <w:rPr>
      <w:sz w:val="20"/>
    </w:rPr>
  </w:style>
  <w:style w:type="paragraph" w:customStyle="1" w:styleId="CTA4a">
    <w:name w:val="CTA 4(a)"/>
    <w:basedOn w:val="OPCParaBase"/>
    <w:rsid w:val="008B3C31"/>
    <w:pPr>
      <w:tabs>
        <w:tab w:val="right" w:pos="624"/>
      </w:tabs>
      <w:spacing w:before="40" w:line="240" w:lineRule="atLeast"/>
      <w:ind w:left="873" w:hanging="873"/>
    </w:pPr>
    <w:rPr>
      <w:sz w:val="20"/>
    </w:rPr>
  </w:style>
  <w:style w:type="paragraph" w:customStyle="1" w:styleId="CTA4ai">
    <w:name w:val="CTA 4(a)(i)"/>
    <w:basedOn w:val="OPCParaBase"/>
    <w:rsid w:val="008B3C31"/>
    <w:pPr>
      <w:tabs>
        <w:tab w:val="right" w:pos="1213"/>
      </w:tabs>
      <w:spacing w:before="40" w:line="240" w:lineRule="atLeast"/>
      <w:ind w:left="1452" w:hanging="1452"/>
    </w:pPr>
    <w:rPr>
      <w:sz w:val="20"/>
    </w:rPr>
  </w:style>
  <w:style w:type="paragraph" w:customStyle="1" w:styleId="CTACAPS">
    <w:name w:val="CTA CAPS"/>
    <w:basedOn w:val="OPCParaBase"/>
    <w:rsid w:val="008B3C31"/>
    <w:pPr>
      <w:spacing w:before="60" w:line="240" w:lineRule="atLeast"/>
    </w:pPr>
    <w:rPr>
      <w:sz w:val="20"/>
    </w:rPr>
  </w:style>
  <w:style w:type="paragraph" w:customStyle="1" w:styleId="CTAright">
    <w:name w:val="CTA right"/>
    <w:basedOn w:val="OPCParaBase"/>
    <w:rsid w:val="008B3C31"/>
    <w:pPr>
      <w:spacing w:before="60" w:line="240" w:lineRule="auto"/>
      <w:jc w:val="right"/>
    </w:pPr>
    <w:rPr>
      <w:sz w:val="20"/>
    </w:rPr>
  </w:style>
  <w:style w:type="paragraph" w:customStyle="1" w:styleId="subsection">
    <w:name w:val="subsection"/>
    <w:aliases w:val="ss"/>
    <w:basedOn w:val="OPCParaBase"/>
    <w:link w:val="subsectionChar"/>
    <w:rsid w:val="008B3C31"/>
    <w:pPr>
      <w:tabs>
        <w:tab w:val="right" w:pos="1021"/>
      </w:tabs>
      <w:spacing w:before="180" w:line="240" w:lineRule="auto"/>
      <w:ind w:left="1134" w:hanging="1134"/>
    </w:pPr>
  </w:style>
  <w:style w:type="paragraph" w:customStyle="1" w:styleId="Definition">
    <w:name w:val="Definition"/>
    <w:aliases w:val="dd"/>
    <w:basedOn w:val="OPCParaBase"/>
    <w:rsid w:val="008B3C31"/>
    <w:pPr>
      <w:spacing w:before="180" w:line="240" w:lineRule="auto"/>
      <w:ind w:left="1134"/>
    </w:pPr>
  </w:style>
  <w:style w:type="paragraph" w:customStyle="1" w:styleId="EndNotespara">
    <w:name w:val="EndNotes(para)"/>
    <w:aliases w:val="eta"/>
    <w:basedOn w:val="OPCParaBase"/>
    <w:next w:val="EndNotessubpara"/>
    <w:rsid w:val="008B3C3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3C3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B3C3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3C31"/>
    <w:pPr>
      <w:tabs>
        <w:tab w:val="right" w:pos="1412"/>
      </w:tabs>
      <w:spacing w:before="60" w:line="240" w:lineRule="auto"/>
      <w:ind w:left="1525" w:hanging="1525"/>
    </w:pPr>
    <w:rPr>
      <w:sz w:val="20"/>
    </w:rPr>
  </w:style>
  <w:style w:type="paragraph" w:customStyle="1" w:styleId="Formula">
    <w:name w:val="Formula"/>
    <w:basedOn w:val="OPCParaBase"/>
    <w:rsid w:val="008B3C31"/>
    <w:pPr>
      <w:spacing w:line="240" w:lineRule="auto"/>
      <w:ind w:left="1134"/>
    </w:pPr>
    <w:rPr>
      <w:sz w:val="20"/>
    </w:rPr>
  </w:style>
  <w:style w:type="paragraph" w:styleId="Header">
    <w:name w:val="header"/>
    <w:basedOn w:val="OPCParaBase"/>
    <w:link w:val="HeaderChar"/>
    <w:unhideWhenUsed/>
    <w:rsid w:val="008B3C3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B3C31"/>
    <w:rPr>
      <w:rFonts w:eastAsia="Times New Roman" w:cs="Times New Roman"/>
      <w:sz w:val="16"/>
      <w:lang w:eastAsia="en-AU"/>
    </w:rPr>
  </w:style>
  <w:style w:type="paragraph" w:customStyle="1" w:styleId="House">
    <w:name w:val="House"/>
    <w:basedOn w:val="OPCParaBase"/>
    <w:rsid w:val="008B3C31"/>
    <w:pPr>
      <w:spacing w:line="240" w:lineRule="auto"/>
    </w:pPr>
    <w:rPr>
      <w:sz w:val="28"/>
    </w:rPr>
  </w:style>
  <w:style w:type="paragraph" w:customStyle="1" w:styleId="Item">
    <w:name w:val="Item"/>
    <w:aliases w:val="i"/>
    <w:basedOn w:val="OPCParaBase"/>
    <w:next w:val="ItemHead"/>
    <w:rsid w:val="008B3C31"/>
    <w:pPr>
      <w:keepLines/>
      <w:spacing w:before="80" w:line="240" w:lineRule="auto"/>
      <w:ind w:left="709"/>
    </w:pPr>
  </w:style>
  <w:style w:type="paragraph" w:customStyle="1" w:styleId="ItemHead">
    <w:name w:val="ItemHead"/>
    <w:aliases w:val="ih"/>
    <w:basedOn w:val="OPCParaBase"/>
    <w:next w:val="Item"/>
    <w:rsid w:val="008B3C3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B3C31"/>
    <w:pPr>
      <w:spacing w:line="240" w:lineRule="auto"/>
    </w:pPr>
    <w:rPr>
      <w:b/>
      <w:sz w:val="32"/>
    </w:rPr>
  </w:style>
  <w:style w:type="paragraph" w:customStyle="1" w:styleId="notedraft">
    <w:name w:val="note(draft)"/>
    <w:aliases w:val="nd"/>
    <w:basedOn w:val="OPCParaBase"/>
    <w:rsid w:val="008B3C31"/>
    <w:pPr>
      <w:spacing w:before="240" w:line="240" w:lineRule="auto"/>
      <w:ind w:left="284" w:hanging="284"/>
    </w:pPr>
    <w:rPr>
      <w:i/>
      <w:sz w:val="24"/>
    </w:rPr>
  </w:style>
  <w:style w:type="paragraph" w:customStyle="1" w:styleId="notemargin">
    <w:name w:val="note(margin)"/>
    <w:aliases w:val="nm"/>
    <w:basedOn w:val="OPCParaBase"/>
    <w:rsid w:val="008B3C31"/>
    <w:pPr>
      <w:tabs>
        <w:tab w:val="left" w:pos="709"/>
      </w:tabs>
      <w:spacing w:before="122" w:line="198" w:lineRule="exact"/>
      <w:ind w:left="709" w:hanging="709"/>
    </w:pPr>
    <w:rPr>
      <w:sz w:val="18"/>
    </w:rPr>
  </w:style>
  <w:style w:type="paragraph" w:customStyle="1" w:styleId="noteToPara">
    <w:name w:val="noteToPara"/>
    <w:aliases w:val="ntp"/>
    <w:basedOn w:val="OPCParaBase"/>
    <w:rsid w:val="008B3C31"/>
    <w:pPr>
      <w:spacing w:before="122" w:line="198" w:lineRule="exact"/>
      <w:ind w:left="2353" w:hanging="709"/>
    </w:pPr>
    <w:rPr>
      <w:sz w:val="18"/>
    </w:rPr>
  </w:style>
  <w:style w:type="paragraph" w:customStyle="1" w:styleId="noteParlAmend">
    <w:name w:val="note(ParlAmend)"/>
    <w:aliases w:val="npp"/>
    <w:basedOn w:val="OPCParaBase"/>
    <w:next w:val="ParlAmend"/>
    <w:rsid w:val="008B3C31"/>
    <w:pPr>
      <w:spacing w:line="240" w:lineRule="auto"/>
      <w:jc w:val="right"/>
    </w:pPr>
    <w:rPr>
      <w:rFonts w:ascii="Arial" w:hAnsi="Arial"/>
      <w:b/>
      <w:i/>
    </w:rPr>
  </w:style>
  <w:style w:type="paragraph" w:customStyle="1" w:styleId="Page1">
    <w:name w:val="Page1"/>
    <w:basedOn w:val="OPCParaBase"/>
    <w:rsid w:val="008B3C31"/>
    <w:pPr>
      <w:spacing w:before="5600" w:line="240" w:lineRule="auto"/>
    </w:pPr>
    <w:rPr>
      <w:b/>
      <w:sz w:val="32"/>
    </w:rPr>
  </w:style>
  <w:style w:type="paragraph" w:customStyle="1" w:styleId="PageBreak">
    <w:name w:val="PageBreak"/>
    <w:aliases w:val="pb"/>
    <w:basedOn w:val="OPCParaBase"/>
    <w:rsid w:val="008B3C31"/>
    <w:pPr>
      <w:spacing w:line="240" w:lineRule="auto"/>
    </w:pPr>
    <w:rPr>
      <w:sz w:val="20"/>
    </w:rPr>
  </w:style>
  <w:style w:type="paragraph" w:customStyle="1" w:styleId="paragraphsub">
    <w:name w:val="paragraph(sub)"/>
    <w:aliases w:val="aa"/>
    <w:basedOn w:val="OPCParaBase"/>
    <w:rsid w:val="008B3C31"/>
    <w:pPr>
      <w:tabs>
        <w:tab w:val="right" w:pos="1985"/>
      </w:tabs>
      <w:spacing w:before="40" w:line="240" w:lineRule="auto"/>
      <w:ind w:left="2098" w:hanging="2098"/>
    </w:pPr>
  </w:style>
  <w:style w:type="paragraph" w:customStyle="1" w:styleId="paragraphsub-sub">
    <w:name w:val="paragraph(sub-sub)"/>
    <w:aliases w:val="aaa"/>
    <w:basedOn w:val="OPCParaBase"/>
    <w:rsid w:val="008B3C31"/>
    <w:pPr>
      <w:tabs>
        <w:tab w:val="right" w:pos="2722"/>
      </w:tabs>
      <w:spacing w:before="40" w:line="240" w:lineRule="auto"/>
      <w:ind w:left="2835" w:hanging="2835"/>
    </w:pPr>
  </w:style>
  <w:style w:type="paragraph" w:customStyle="1" w:styleId="paragraph">
    <w:name w:val="paragraph"/>
    <w:aliases w:val="a"/>
    <w:basedOn w:val="OPCParaBase"/>
    <w:rsid w:val="008B3C31"/>
    <w:pPr>
      <w:tabs>
        <w:tab w:val="right" w:pos="1531"/>
      </w:tabs>
      <w:spacing w:before="40" w:line="240" w:lineRule="auto"/>
      <w:ind w:left="1644" w:hanging="1644"/>
    </w:pPr>
  </w:style>
  <w:style w:type="paragraph" w:customStyle="1" w:styleId="ParlAmend">
    <w:name w:val="ParlAmend"/>
    <w:aliases w:val="pp"/>
    <w:basedOn w:val="OPCParaBase"/>
    <w:rsid w:val="008B3C31"/>
    <w:pPr>
      <w:spacing w:before="240" w:line="240" w:lineRule="atLeast"/>
      <w:ind w:hanging="567"/>
    </w:pPr>
    <w:rPr>
      <w:sz w:val="24"/>
    </w:rPr>
  </w:style>
  <w:style w:type="paragraph" w:customStyle="1" w:styleId="Penalty">
    <w:name w:val="Penalty"/>
    <w:basedOn w:val="OPCParaBase"/>
    <w:rsid w:val="008B3C31"/>
    <w:pPr>
      <w:tabs>
        <w:tab w:val="left" w:pos="2977"/>
      </w:tabs>
      <w:spacing w:before="180" w:line="240" w:lineRule="auto"/>
      <w:ind w:left="1985" w:hanging="851"/>
    </w:pPr>
  </w:style>
  <w:style w:type="paragraph" w:customStyle="1" w:styleId="Portfolio">
    <w:name w:val="Portfolio"/>
    <w:basedOn w:val="OPCParaBase"/>
    <w:rsid w:val="008B3C31"/>
    <w:pPr>
      <w:spacing w:line="240" w:lineRule="auto"/>
    </w:pPr>
    <w:rPr>
      <w:i/>
      <w:sz w:val="20"/>
    </w:rPr>
  </w:style>
  <w:style w:type="paragraph" w:customStyle="1" w:styleId="Preamble">
    <w:name w:val="Preamble"/>
    <w:basedOn w:val="OPCParaBase"/>
    <w:next w:val="Normal"/>
    <w:rsid w:val="008B3C3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3C31"/>
    <w:pPr>
      <w:spacing w:line="240" w:lineRule="auto"/>
    </w:pPr>
    <w:rPr>
      <w:i/>
      <w:sz w:val="20"/>
    </w:rPr>
  </w:style>
  <w:style w:type="paragraph" w:customStyle="1" w:styleId="Session">
    <w:name w:val="Session"/>
    <w:basedOn w:val="OPCParaBase"/>
    <w:rsid w:val="008B3C31"/>
    <w:pPr>
      <w:spacing w:line="240" w:lineRule="auto"/>
    </w:pPr>
    <w:rPr>
      <w:sz w:val="28"/>
    </w:rPr>
  </w:style>
  <w:style w:type="paragraph" w:customStyle="1" w:styleId="Sponsor">
    <w:name w:val="Sponsor"/>
    <w:basedOn w:val="OPCParaBase"/>
    <w:rsid w:val="008B3C31"/>
    <w:pPr>
      <w:spacing w:line="240" w:lineRule="auto"/>
    </w:pPr>
    <w:rPr>
      <w:i/>
    </w:rPr>
  </w:style>
  <w:style w:type="paragraph" w:customStyle="1" w:styleId="Subitem">
    <w:name w:val="Subitem"/>
    <w:aliases w:val="iss"/>
    <w:basedOn w:val="OPCParaBase"/>
    <w:rsid w:val="008B3C31"/>
    <w:pPr>
      <w:spacing w:before="180" w:line="240" w:lineRule="auto"/>
      <w:ind w:left="709" w:hanging="709"/>
    </w:pPr>
  </w:style>
  <w:style w:type="paragraph" w:customStyle="1" w:styleId="SubitemHead">
    <w:name w:val="SubitemHead"/>
    <w:aliases w:val="issh"/>
    <w:basedOn w:val="OPCParaBase"/>
    <w:rsid w:val="008B3C3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B3C31"/>
    <w:pPr>
      <w:spacing w:before="40" w:line="240" w:lineRule="auto"/>
      <w:ind w:left="1134"/>
    </w:pPr>
  </w:style>
  <w:style w:type="paragraph" w:customStyle="1" w:styleId="SubsectionHead">
    <w:name w:val="SubsectionHead"/>
    <w:aliases w:val="ssh"/>
    <w:basedOn w:val="OPCParaBase"/>
    <w:next w:val="subsection"/>
    <w:rsid w:val="008B3C31"/>
    <w:pPr>
      <w:keepNext/>
      <w:keepLines/>
      <w:spacing w:before="240" w:line="240" w:lineRule="auto"/>
      <w:ind w:left="1134"/>
    </w:pPr>
    <w:rPr>
      <w:i/>
    </w:rPr>
  </w:style>
  <w:style w:type="paragraph" w:customStyle="1" w:styleId="Tablea">
    <w:name w:val="Table(a)"/>
    <w:aliases w:val="ta"/>
    <w:basedOn w:val="OPCParaBase"/>
    <w:rsid w:val="008B3C31"/>
    <w:pPr>
      <w:spacing w:before="60" w:line="240" w:lineRule="auto"/>
      <w:ind w:left="284" w:hanging="284"/>
    </w:pPr>
    <w:rPr>
      <w:sz w:val="20"/>
    </w:rPr>
  </w:style>
  <w:style w:type="paragraph" w:customStyle="1" w:styleId="TableAA">
    <w:name w:val="Table(AA)"/>
    <w:aliases w:val="taaa"/>
    <w:basedOn w:val="OPCParaBase"/>
    <w:rsid w:val="008B3C3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B3C3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B3C31"/>
    <w:pPr>
      <w:spacing w:before="60" w:line="240" w:lineRule="atLeast"/>
    </w:pPr>
    <w:rPr>
      <w:sz w:val="20"/>
    </w:rPr>
  </w:style>
  <w:style w:type="paragraph" w:customStyle="1" w:styleId="TLPBoxTextnote">
    <w:name w:val="TLPBoxText(note"/>
    <w:aliases w:val="right)"/>
    <w:basedOn w:val="OPCParaBase"/>
    <w:rsid w:val="008B3C3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3C3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3C31"/>
    <w:pPr>
      <w:spacing w:before="122" w:line="198" w:lineRule="exact"/>
      <w:ind w:left="1985" w:hanging="851"/>
      <w:jc w:val="right"/>
    </w:pPr>
    <w:rPr>
      <w:sz w:val="18"/>
    </w:rPr>
  </w:style>
  <w:style w:type="paragraph" w:customStyle="1" w:styleId="TLPTableBullet">
    <w:name w:val="TLPTableBullet"/>
    <w:aliases w:val="ttb"/>
    <w:basedOn w:val="OPCParaBase"/>
    <w:rsid w:val="008B3C31"/>
    <w:pPr>
      <w:spacing w:line="240" w:lineRule="exact"/>
      <w:ind w:left="284" w:hanging="284"/>
    </w:pPr>
    <w:rPr>
      <w:sz w:val="20"/>
    </w:rPr>
  </w:style>
  <w:style w:type="paragraph" w:styleId="TOC1">
    <w:name w:val="toc 1"/>
    <w:basedOn w:val="OPCParaBase"/>
    <w:next w:val="Normal"/>
    <w:uiPriority w:val="39"/>
    <w:semiHidden/>
    <w:unhideWhenUsed/>
    <w:rsid w:val="008B3C3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B3C3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B3C3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8B3C3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8B3C3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8B3C3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B3C3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B3C3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8B3C3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B3C31"/>
    <w:pPr>
      <w:keepLines/>
      <w:spacing w:before="240" w:after="120" w:line="240" w:lineRule="auto"/>
      <w:ind w:left="794"/>
    </w:pPr>
    <w:rPr>
      <w:b/>
      <w:kern w:val="28"/>
      <w:sz w:val="20"/>
    </w:rPr>
  </w:style>
  <w:style w:type="paragraph" w:customStyle="1" w:styleId="TofSectsHeading">
    <w:name w:val="TofSects(Heading)"/>
    <w:basedOn w:val="OPCParaBase"/>
    <w:rsid w:val="008B3C31"/>
    <w:pPr>
      <w:spacing w:before="240" w:after="120" w:line="240" w:lineRule="auto"/>
    </w:pPr>
    <w:rPr>
      <w:b/>
      <w:sz w:val="24"/>
    </w:rPr>
  </w:style>
  <w:style w:type="paragraph" w:customStyle="1" w:styleId="TofSectsSection">
    <w:name w:val="TofSects(Section)"/>
    <w:basedOn w:val="OPCParaBase"/>
    <w:rsid w:val="008B3C31"/>
    <w:pPr>
      <w:keepLines/>
      <w:spacing w:before="40" w:line="240" w:lineRule="auto"/>
      <w:ind w:left="1588" w:hanging="794"/>
    </w:pPr>
    <w:rPr>
      <w:kern w:val="28"/>
      <w:sz w:val="18"/>
    </w:rPr>
  </w:style>
  <w:style w:type="paragraph" w:customStyle="1" w:styleId="TofSectsSubdiv">
    <w:name w:val="TofSects(Subdiv)"/>
    <w:basedOn w:val="OPCParaBase"/>
    <w:rsid w:val="008B3C31"/>
    <w:pPr>
      <w:keepLines/>
      <w:spacing w:before="80" w:line="240" w:lineRule="auto"/>
      <w:ind w:left="1588" w:hanging="794"/>
    </w:pPr>
    <w:rPr>
      <w:kern w:val="28"/>
    </w:rPr>
  </w:style>
  <w:style w:type="paragraph" w:customStyle="1" w:styleId="WRStyle">
    <w:name w:val="WR Style"/>
    <w:aliases w:val="WR"/>
    <w:basedOn w:val="OPCParaBase"/>
    <w:rsid w:val="008B3C31"/>
    <w:pPr>
      <w:spacing w:before="240" w:line="240" w:lineRule="auto"/>
      <w:ind w:left="284" w:hanging="284"/>
    </w:pPr>
    <w:rPr>
      <w:b/>
      <w:i/>
      <w:kern w:val="28"/>
      <w:sz w:val="24"/>
    </w:rPr>
  </w:style>
  <w:style w:type="paragraph" w:customStyle="1" w:styleId="notepara">
    <w:name w:val="note(para)"/>
    <w:aliases w:val="na"/>
    <w:basedOn w:val="OPCParaBase"/>
    <w:rsid w:val="008B3C31"/>
    <w:pPr>
      <w:spacing w:before="40" w:line="198" w:lineRule="exact"/>
      <w:ind w:left="2354" w:hanging="369"/>
    </w:pPr>
    <w:rPr>
      <w:sz w:val="18"/>
    </w:rPr>
  </w:style>
  <w:style w:type="paragraph" w:styleId="Footer">
    <w:name w:val="footer"/>
    <w:link w:val="FooterChar"/>
    <w:rsid w:val="008B3C3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B3C31"/>
    <w:rPr>
      <w:rFonts w:eastAsia="Times New Roman" w:cs="Times New Roman"/>
      <w:sz w:val="22"/>
      <w:szCs w:val="24"/>
      <w:lang w:eastAsia="en-AU"/>
    </w:rPr>
  </w:style>
  <w:style w:type="character" w:styleId="LineNumber">
    <w:name w:val="line number"/>
    <w:basedOn w:val="OPCCharBase"/>
    <w:uiPriority w:val="99"/>
    <w:semiHidden/>
    <w:unhideWhenUsed/>
    <w:rsid w:val="008B3C31"/>
    <w:rPr>
      <w:sz w:val="16"/>
    </w:rPr>
  </w:style>
  <w:style w:type="table" w:customStyle="1" w:styleId="CFlag">
    <w:name w:val="CFlag"/>
    <w:basedOn w:val="TableNormal"/>
    <w:uiPriority w:val="99"/>
    <w:rsid w:val="008B3C31"/>
    <w:rPr>
      <w:rFonts w:eastAsia="Times New Roman" w:cs="Times New Roman"/>
      <w:lang w:eastAsia="en-AU"/>
    </w:rPr>
    <w:tblPr/>
  </w:style>
  <w:style w:type="paragraph" w:styleId="BalloonText">
    <w:name w:val="Balloon Text"/>
    <w:basedOn w:val="Normal"/>
    <w:link w:val="BalloonTextChar"/>
    <w:uiPriority w:val="99"/>
    <w:semiHidden/>
    <w:unhideWhenUsed/>
    <w:rsid w:val="008B3C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C31"/>
    <w:rPr>
      <w:rFonts w:ascii="Tahoma" w:hAnsi="Tahoma" w:cs="Tahoma"/>
      <w:sz w:val="16"/>
      <w:szCs w:val="16"/>
    </w:rPr>
  </w:style>
  <w:style w:type="table" w:styleId="TableGrid">
    <w:name w:val="Table Grid"/>
    <w:basedOn w:val="TableNormal"/>
    <w:uiPriority w:val="59"/>
    <w:rsid w:val="008B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B3C31"/>
    <w:rPr>
      <w:b/>
      <w:sz w:val="28"/>
      <w:szCs w:val="32"/>
    </w:rPr>
  </w:style>
  <w:style w:type="paragraph" w:customStyle="1" w:styleId="LegislationMadeUnder">
    <w:name w:val="LegislationMadeUnder"/>
    <w:basedOn w:val="OPCParaBase"/>
    <w:next w:val="Normal"/>
    <w:rsid w:val="008B3C31"/>
    <w:rPr>
      <w:i/>
      <w:sz w:val="32"/>
      <w:szCs w:val="32"/>
    </w:rPr>
  </w:style>
  <w:style w:type="paragraph" w:customStyle="1" w:styleId="SignCoverPageEnd">
    <w:name w:val="SignCoverPageEnd"/>
    <w:basedOn w:val="OPCParaBase"/>
    <w:next w:val="Normal"/>
    <w:rsid w:val="008B3C3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8B3C31"/>
    <w:pPr>
      <w:pBdr>
        <w:top w:val="single" w:sz="4" w:space="1" w:color="auto"/>
      </w:pBdr>
      <w:spacing w:before="360"/>
      <w:ind w:right="397"/>
      <w:jc w:val="both"/>
    </w:pPr>
  </w:style>
  <w:style w:type="paragraph" w:customStyle="1" w:styleId="NotesHeading1">
    <w:name w:val="NotesHeading 1"/>
    <w:basedOn w:val="OPCParaBase"/>
    <w:next w:val="Normal"/>
    <w:rsid w:val="008B3C31"/>
    <w:pPr>
      <w:outlineLvl w:val="0"/>
    </w:pPr>
    <w:rPr>
      <w:b/>
      <w:sz w:val="28"/>
      <w:szCs w:val="28"/>
    </w:rPr>
  </w:style>
  <w:style w:type="paragraph" w:customStyle="1" w:styleId="NotesHeading2">
    <w:name w:val="NotesHeading 2"/>
    <w:basedOn w:val="OPCParaBase"/>
    <w:next w:val="Normal"/>
    <w:rsid w:val="008B3C31"/>
    <w:rPr>
      <w:b/>
      <w:sz w:val="28"/>
      <w:szCs w:val="28"/>
    </w:rPr>
  </w:style>
  <w:style w:type="paragraph" w:customStyle="1" w:styleId="CompiledActNo">
    <w:name w:val="CompiledActNo"/>
    <w:basedOn w:val="OPCParaBase"/>
    <w:next w:val="Normal"/>
    <w:rsid w:val="008B3C31"/>
    <w:rPr>
      <w:b/>
      <w:sz w:val="24"/>
      <w:szCs w:val="24"/>
    </w:rPr>
  </w:style>
  <w:style w:type="paragraph" w:customStyle="1" w:styleId="ENotesText">
    <w:name w:val="ENotesText"/>
    <w:aliases w:val="Ent"/>
    <w:basedOn w:val="OPCParaBase"/>
    <w:next w:val="Normal"/>
    <w:rsid w:val="008B3C31"/>
    <w:pPr>
      <w:spacing w:before="120"/>
    </w:pPr>
  </w:style>
  <w:style w:type="paragraph" w:customStyle="1" w:styleId="CompiledMadeUnder">
    <w:name w:val="CompiledMadeUnder"/>
    <w:basedOn w:val="OPCParaBase"/>
    <w:next w:val="Normal"/>
    <w:rsid w:val="008B3C31"/>
    <w:rPr>
      <w:i/>
      <w:sz w:val="24"/>
      <w:szCs w:val="24"/>
    </w:rPr>
  </w:style>
  <w:style w:type="paragraph" w:customStyle="1" w:styleId="Paragraphsub-sub-sub">
    <w:name w:val="Paragraph(sub-sub-sub)"/>
    <w:aliases w:val="aaaa"/>
    <w:basedOn w:val="OPCParaBase"/>
    <w:rsid w:val="008B3C31"/>
    <w:pPr>
      <w:tabs>
        <w:tab w:val="right" w:pos="3402"/>
      </w:tabs>
      <w:spacing w:before="40" w:line="240" w:lineRule="auto"/>
      <w:ind w:left="3402" w:hanging="3402"/>
    </w:pPr>
  </w:style>
  <w:style w:type="paragraph" w:customStyle="1" w:styleId="TableTextEndNotes">
    <w:name w:val="TableTextEndNotes"/>
    <w:aliases w:val="Tten"/>
    <w:basedOn w:val="Normal"/>
    <w:rsid w:val="008B3C31"/>
    <w:pPr>
      <w:spacing w:before="60" w:line="240" w:lineRule="auto"/>
    </w:pPr>
    <w:rPr>
      <w:rFonts w:cs="Arial"/>
      <w:sz w:val="20"/>
      <w:szCs w:val="22"/>
    </w:rPr>
  </w:style>
  <w:style w:type="paragraph" w:customStyle="1" w:styleId="NoteToSubpara">
    <w:name w:val="NoteToSubpara"/>
    <w:aliases w:val="nts"/>
    <w:basedOn w:val="OPCParaBase"/>
    <w:rsid w:val="008B3C31"/>
    <w:pPr>
      <w:spacing w:before="40" w:line="198" w:lineRule="exact"/>
      <w:ind w:left="2835" w:hanging="709"/>
    </w:pPr>
    <w:rPr>
      <w:sz w:val="18"/>
    </w:rPr>
  </w:style>
  <w:style w:type="paragraph" w:customStyle="1" w:styleId="ENoteTableHeading">
    <w:name w:val="ENoteTableHeading"/>
    <w:aliases w:val="enth"/>
    <w:basedOn w:val="OPCParaBase"/>
    <w:rsid w:val="008B3C31"/>
    <w:pPr>
      <w:keepNext/>
      <w:spacing w:before="60" w:line="240" w:lineRule="atLeast"/>
    </w:pPr>
    <w:rPr>
      <w:rFonts w:ascii="Arial" w:hAnsi="Arial"/>
      <w:b/>
      <w:sz w:val="16"/>
    </w:rPr>
  </w:style>
  <w:style w:type="paragraph" w:customStyle="1" w:styleId="ENoteTTi">
    <w:name w:val="ENoteTTi"/>
    <w:aliases w:val="entti"/>
    <w:basedOn w:val="OPCParaBase"/>
    <w:rsid w:val="008B3C31"/>
    <w:pPr>
      <w:keepNext/>
      <w:spacing w:before="60" w:line="240" w:lineRule="atLeast"/>
      <w:ind w:left="170"/>
    </w:pPr>
    <w:rPr>
      <w:sz w:val="16"/>
    </w:rPr>
  </w:style>
  <w:style w:type="paragraph" w:customStyle="1" w:styleId="ENotesHeading1">
    <w:name w:val="ENotesHeading 1"/>
    <w:aliases w:val="Enh1"/>
    <w:basedOn w:val="OPCParaBase"/>
    <w:next w:val="Normal"/>
    <w:rsid w:val="008B3C31"/>
    <w:pPr>
      <w:spacing w:before="120"/>
      <w:outlineLvl w:val="1"/>
    </w:pPr>
    <w:rPr>
      <w:b/>
      <w:sz w:val="28"/>
      <w:szCs w:val="28"/>
    </w:rPr>
  </w:style>
  <w:style w:type="paragraph" w:customStyle="1" w:styleId="ENotesHeading2">
    <w:name w:val="ENotesHeading 2"/>
    <w:aliases w:val="Enh2"/>
    <w:basedOn w:val="OPCParaBase"/>
    <w:next w:val="Normal"/>
    <w:rsid w:val="008B3C31"/>
    <w:pPr>
      <w:spacing w:before="120" w:after="120"/>
      <w:outlineLvl w:val="2"/>
    </w:pPr>
    <w:rPr>
      <w:b/>
      <w:sz w:val="24"/>
      <w:szCs w:val="28"/>
    </w:rPr>
  </w:style>
  <w:style w:type="paragraph" w:customStyle="1" w:styleId="ENoteTTIndentHeading">
    <w:name w:val="ENoteTTIndentHeading"/>
    <w:aliases w:val="enTTHi"/>
    <w:basedOn w:val="OPCParaBase"/>
    <w:rsid w:val="008B3C3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B3C31"/>
    <w:pPr>
      <w:spacing w:before="60" w:line="240" w:lineRule="atLeast"/>
    </w:pPr>
    <w:rPr>
      <w:sz w:val="16"/>
    </w:rPr>
  </w:style>
  <w:style w:type="paragraph" w:customStyle="1" w:styleId="MadeunderText">
    <w:name w:val="MadeunderText"/>
    <w:basedOn w:val="OPCParaBase"/>
    <w:next w:val="CompiledMadeUnder"/>
    <w:rsid w:val="008B3C31"/>
    <w:pPr>
      <w:spacing w:before="240"/>
    </w:pPr>
    <w:rPr>
      <w:sz w:val="24"/>
      <w:szCs w:val="24"/>
    </w:rPr>
  </w:style>
  <w:style w:type="paragraph" w:customStyle="1" w:styleId="ENotesHeading3">
    <w:name w:val="ENotesHeading 3"/>
    <w:aliases w:val="Enh3"/>
    <w:basedOn w:val="OPCParaBase"/>
    <w:next w:val="Normal"/>
    <w:rsid w:val="008B3C31"/>
    <w:pPr>
      <w:keepNext/>
      <w:spacing w:before="120" w:line="240" w:lineRule="auto"/>
      <w:outlineLvl w:val="4"/>
    </w:pPr>
    <w:rPr>
      <w:b/>
      <w:szCs w:val="24"/>
    </w:rPr>
  </w:style>
  <w:style w:type="character" w:customStyle="1" w:styleId="CharSubPartTextCASA">
    <w:name w:val="CharSubPartText(CASA)"/>
    <w:basedOn w:val="OPCCharBase"/>
    <w:uiPriority w:val="1"/>
    <w:rsid w:val="008B3C31"/>
  </w:style>
  <w:style w:type="character" w:customStyle="1" w:styleId="CharSubPartNoCASA">
    <w:name w:val="CharSubPartNo(CASA)"/>
    <w:basedOn w:val="OPCCharBase"/>
    <w:uiPriority w:val="1"/>
    <w:rsid w:val="008B3C31"/>
  </w:style>
  <w:style w:type="paragraph" w:customStyle="1" w:styleId="ENoteTTIndentHeadingSub">
    <w:name w:val="ENoteTTIndentHeadingSub"/>
    <w:aliases w:val="enTTHis"/>
    <w:basedOn w:val="OPCParaBase"/>
    <w:rsid w:val="008B3C31"/>
    <w:pPr>
      <w:keepNext/>
      <w:spacing w:before="60" w:line="240" w:lineRule="atLeast"/>
      <w:ind w:left="340"/>
    </w:pPr>
    <w:rPr>
      <w:b/>
      <w:sz w:val="16"/>
    </w:rPr>
  </w:style>
  <w:style w:type="paragraph" w:customStyle="1" w:styleId="ENoteTTiSub">
    <w:name w:val="ENoteTTiSub"/>
    <w:aliases w:val="enttis"/>
    <w:basedOn w:val="OPCParaBase"/>
    <w:rsid w:val="008B3C31"/>
    <w:pPr>
      <w:keepNext/>
      <w:spacing w:before="60" w:line="240" w:lineRule="atLeast"/>
      <w:ind w:left="340"/>
    </w:pPr>
    <w:rPr>
      <w:sz w:val="16"/>
    </w:rPr>
  </w:style>
  <w:style w:type="paragraph" w:customStyle="1" w:styleId="SubDivisionMigration">
    <w:name w:val="SubDivisionMigration"/>
    <w:aliases w:val="sdm"/>
    <w:basedOn w:val="OPCParaBase"/>
    <w:rsid w:val="008B3C3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B3C3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B3C3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8B3C3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B3C31"/>
    <w:rPr>
      <w:sz w:val="22"/>
    </w:rPr>
  </w:style>
  <w:style w:type="paragraph" w:customStyle="1" w:styleId="SOTextNote">
    <w:name w:val="SO TextNote"/>
    <w:aliases w:val="sont"/>
    <w:basedOn w:val="SOText"/>
    <w:qFormat/>
    <w:rsid w:val="008B3C31"/>
    <w:pPr>
      <w:spacing w:before="122" w:line="198" w:lineRule="exact"/>
      <w:ind w:left="1843" w:hanging="709"/>
    </w:pPr>
    <w:rPr>
      <w:sz w:val="18"/>
    </w:rPr>
  </w:style>
  <w:style w:type="paragraph" w:customStyle="1" w:styleId="SOPara">
    <w:name w:val="SO Para"/>
    <w:aliases w:val="soa"/>
    <w:basedOn w:val="SOText"/>
    <w:link w:val="SOParaChar"/>
    <w:qFormat/>
    <w:rsid w:val="008B3C31"/>
    <w:pPr>
      <w:tabs>
        <w:tab w:val="right" w:pos="1786"/>
      </w:tabs>
      <w:spacing w:before="40"/>
      <w:ind w:left="2070" w:hanging="936"/>
    </w:pPr>
  </w:style>
  <w:style w:type="character" w:customStyle="1" w:styleId="SOParaChar">
    <w:name w:val="SO Para Char"/>
    <w:aliases w:val="soa Char"/>
    <w:basedOn w:val="DefaultParagraphFont"/>
    <w:link w:val="SOPara"/>
    <w:rsid w:val="008B3C31"/>
    <w:rPr>
      <w:sz w:val="22"/>
    </w:rPr>
  </w:style>
  <w:style w:type="paragraph" w:customStyle="1" w:styleId="FileName">
    <w:name w:val="FileName"/>
    <w:basedOn w:val="Normal"/>
    <w:rsid w:val="008B3C31"/>
  </w:style>
  <w:style w:type="paragraph" w:customStyle="1" w:styleId="TableHeading">
    <w:name w:val="TableHeading"/>
    <w:aliases w:val="th"/>
    <w:basedOn w:val="OPCParaBase"/>
    <w:next w:val="Tabletext"/>
    <w:rsid w:val="008B3C31"/>
    <w:pPr>
      <w:keepNext/>
      <w:spacing w:before="60" w:line="240" w:lineRule="atLeast"/>
    </w:pPr>
    <w:rPr>
      <w:b/>
      <w:sz w:val="20"/>
    </w:rPr>
  </w:style>
  <w:style w:type="paragraph" w:customStyle="1" w:styleId="SOHeadBold">
    <w:name w:val="SO HeadBold"/>
    <w:aliases w:val="sohb"/>
    <w:basedOn w:val="SOText"/>
    <w:next w:val="SOText"/>
    <w:link w:val="SOHeadBoldChar"/>
    <w:qFormat/>
    <w:rsid w:val="008B3C31"/>
    <w:rPr>
      <w:b/>
    </w:rPr>
  </w:style>
  <w:style w:type="character" w:customStyle="1" w:styleId="SOHeadBoldChar">
    <w:name w:val="SO HeadBold Char"/>
    <w:aliases w:val="sohb Char"/>
    <w:basedOn w:val="DefaultParagraphFont"/>
    <w:link w:val="SOHeadBold"/>
    <w:rsid w:val="008B3C31"/>
    <w:rPr>
      <w:b/>
      <w:sz w:val="22"/>
    </w:rPr>
  </w:style>
  <w:style w:type="paragraph" w:customStyle="1" w:styleId="SOHeadItalic">
    <w:name w:val="SO HeadItalic"/>
    <w:aliases w:val="sohi"/>
    <w:basedOn w:val="SOText"/>
    <w:next w:val="SOText"/>
    <w:link w:val="SOHeadItalicChar"/>
    <w:qFormat/>
    <w:rsid w:val="008B3C31"/>
    <w:rPr>
      <w:i/>
    </w:rPr>
  </w:style>
  <w:style w:type="character" w:customStyle="1" w:styleId="SOHeadItalicChar">
    <w:name w:val="SO HeadItalic Char"/>
    <w:aliases w:val="sohi Char"/>
    <w:basedOn w:val="DefaultParagraphFont"/>
    <w:link w:val="SOHeadItalic"/>
    <w:rsid w:val="008B3C31"/>
    <w:rPr>
      <w:i/>
      <w:sz w:val="22"/>
    </w:rPr>
  </w:style>
  <w:style w:type="paragraph" w:customStyle="1" w:styleId="SOBullet">
    <w:name w:val="SO Bullet"/>
    <w:aliases w:val="sotb"/>
    <w:basedOn w:val="SOText"/>
    <w:link w:val="SOBulletChar"/>
    <w:qFormat/>
    <w:rsid w:val="008B3C31"/>
    <w:pPr>
      <w:ind w:left="1559" w:hanging="425"/>
    </w:pPr>
  </w:style>
  <w:style w:type="character" w:customStyle="1" w:styleId="SOBulletChar">
    <w:name w:val="SO Bullet Char"/>
    <w:aliases w:val="sotb Char"/>
    <w:basedOn w:val="DefaultParagraphFont"/>
    <w:link w:val="SOBullet"/>
    <w:rsid w:val="008B3C31"/>
    <w:rPr>
      <w:sz w:val="22"/>
    </w:rPr>
  </w:style>
  <w:style w:type="paragraph" w:customStyle="1" w:styleId="SOBulletNote">
    <w:name w:val="SO BulletNote"/>
    <w:aliases w:val="sonb"/>
    <w:basedOn w:val="SOTextNote"/>
    <w:link w:val="SOBulletNoteChar"/>
    <w:qFormat/>
    <w:rsid w:val="008B3C31"/>
    <w:pPr>
      <w:tabs>
        <w:tab w:val="left" w:pos="1560"/>
      </w:tabs>
      <w:ind w:left="2268" w:hanging="1134"/>
    </w:pPr>
  </w:style>
  <w:style w:type="character" w:customStyle="1" w:styleId="SOBulletNoteChar">
    <w:name w:val="SO BulletNote Char"/>
    <w:aliases w:val="sonb Char"/>
    <w:basedOn w:val="DefaultParagraphFont"/>
    <w:link w:val="SOBulletNote"/>
    <w:rsid w:val="008B3C31"/>
    <w:rPr>
      <w:sz w:val="18"/>
    </w:rPr>
  </w:style>
  <w:style w:type="paragraph" w:customStyle="1" w:styleId="SOText2">
    <w:name w:val="SO Text2"/>
    <w:aliases w:val="sot2"/>
    <w:basedOn w:val="Normal"/>
    <w:next w:val="SOText"/>
    <w:link w:val="SOText2Char"/>
    <w:rsid w:val="008B3C3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B3C31"/>
    <w:rPr>
      <w:sz w:val="22"/>
    </w:rPr>
  </w:style>
  <w:style w:type="paragraph" w:customStyle="1" w:styleId="SubPartCASA">
    <w:name w:val="SubPart(CASA)"/>
    <w:aliases w:val="csp"/>
    <w:basedOn w:val="OPCParaBase"/>
    <w:next w:val="ActHead3"/>
    <w:rsid w:val="008B3C3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B3C31"/>
    <w:rPr>
      <w:rFonts w:eastAsia="Times New Roman" w:cs="Times New Roman"/>
      <w:sz w:val="22"/>
      <w:lang w:eastAsia="en-AU"/>
    </w:rPr>
  </w:style>
  <w:style w:type="character" w:customStyle="1" w:styleId="notetextChar">
    <w:name w:val="note(text) Char"/>
    <w:aliases w:val="n Char"/>
    <w:basedOn w:val="DefaultParagraphFont"/>
    <w:link w:val="notetext"/>
    <w:rsid w:val="008B3C31"/>
    <w:rPr>
      <w:rFonts w:eastAsia="Times New Roman" w:cs="Times New Roman"/>
      <w:sz w:val="18"/>
      <w:lang w:eastAsia="en-AU"/>
    </w:rPr>
  </w:style>
  <w:style w:type="character" w:customStyle="1" w:styleId="Heading1Char">
    <w:name w:val="Heading 1 Char"/>
    <w:basedOn w:val="DefaultParagraphFont"/>
    <w:link w:val="Heading1"/>
    <w:uiPriority w:val="9"/>
    <w:rsid w:val="008B3C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B3C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B3C3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B3C3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B3C3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B3C3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B3C3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B3C3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B3C31"/>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6D77C1"/>
    <w:rPr>
      <w:sz w:val="16"/>
      <w:szCs w:val="16"/>
    </w:rPr>
  </w:style>
  <w:style w:type="paragraph" w:styleId="CommentText">
    <w:name w:val="annotation text"/>
    <w:basedOn w:val="Normal"/>
    <w:link w:val="CommentTextChar"/>
    <w:uiPriority w:val="99"/>
    <w:semiHidden/>
    <w:unhideWhenUsed/>
    <w:rsid w:val="006D77C1"/>
    <w:pPr>
      <w:spacing w:line="240" w:lineRule="auto"/>
    </w:pPr>
    <w:rPr>
      <w:sz w:val="20"/>
    </w:rPr>
  </w:style>
  <w:style w:type="character" w:customStyle="1" w:styleId="CommentTextChar">
    <w:name w:val="Comment Text Char"/>
    <w:basedOn w:val="DefaultParagraphFont"/>
    <w:link w:val="CommentText"/>
    <w:uiPriority w:val="99"/>
    <w:semiHidden/>
    <w:rsid w:val="006D77C1"/>
  </w:style>
  <w:style w:type="paragraph" w:styleId="CommentSubject">
    <w:name w:val="annotation subject"/>
    <w:basedOn w:val="CommentText"/>
    <w:next w:val="CommentText"/>
    <w:link w:val="CommentSubjectChar"/>
    <w:uiPriority w:val="99"/>
    <w:semiHidden/>
    <w:unhideWhenUsed/>
    <w:rsid w:val="006D77C1"/>
    <w:rPr>
      <w:b/>
      <w:bCs/>
    </w:rPr>
  </w:style>
  <w:style w:type="character" w:customStyle="1" w:styleId="CommentSubjectChar">
    <w:name w:val="Comment Subject Char"/>
    <w:basedOn w:val="CommentTextChar"/>
    <w:link w:val="CommentSubject"/>
    <w:uiPriority w:val="99"/>
    <w:semiHidden/>
    <w:rsid w:val="006D7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0f563589-9cf9-4143-b1eb-fb0534803d38">2020RG-111-13214</_dlc_DocId>
    <TaxCatchAll xmlns="0f563589-9cf9-4143-b1eb-fb0534803d38">
      <Value>7</Value>
    </TaxCatchAll>
    <_dlc_DocIdUrl xmlns="0f563589-9cf9-4143-b1eb-fb0534803d38">
      <Url>http://tweb/sites/rg/ldp/lmu/_layouts/15/DocIdRedir.aspx?ID=2020RG-111-13214</Url>
      <Description>2020RG-111-13214</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5797" ma:contentTypeDescription=" " ma:contentTypeScope="" ma:versionID="57294198cccd15b2ec0215fef563dc3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72F1D-24A7-46E5-AA2C-19AD2A1DCD53}">
  <ds:schemaRefs>
    <ds:schemaRef ds:uri="http://schemas.microsoft.com/sharepoint/events"/>
  </ds:schemaRefs>
</ds:datastoreItem>
</file>

<file path=customXml/itemProps2.xml><?xml version="1.0" encoding="utf-8"?>
<ds:datastoreItem xmlns:ds="http://schemas.openxmlformats.org/officeDocument/2006/customXml" ds:itemID="{F80A8887-B7F5-4940-8A26-F489D1DC28A3}">
  <ds:schemaRefs>
    <ds:schemaRef ds:uri="http://purl.org/dc/terms/"/>
    <ds:schemaRef ds:uri="9f7bc583-7cbe-45b9-a2bd-8bbb6543b37e"/>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schemas.microsoft.com/sharepoint/v4"/>
    <ds:schemaRef ds:uri="http://schemas.microsoft.com/office/2006/metadata/properties"/>
    <ds:schemaRef ds:uri="0f563589-9cf9-4143-b1eb-fb0534803d38"/>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D9C5B73-C15B-4246-B69F-A43C90DF6AA4}">
  <ds:schemaRefs>
    <ds:schemaRef ds:uri="http://schemas.microsoft.com/sharepoint/v3/contenttype/forms"/>
  </ds:schemaRefs>
</ds:datastoreItem>
</file>

<file path=customXml/itemProps4.xml><?xml version="1.0" encoding="utf-8"?>
<ds:datastoreItem xmlns:ds="http://schemas.openxmlformats.org/officeDocument/2006/customXml" ds:itemID="{302A8E22-CDD4-4FA6-988D-168E072A7D62}">
  <ds:schemaRefs>
    <ds:schemaRef ds:uri="office.server.policy"/>
  </ds:schemaRefs>
</ds:datastoreItem>
</file>

<file path=customXml/itemProps5.xml><?xml version="1.0" encoding="utf-8"?>
<ds:datastoreItem xmlns:ds="http://schemas.openxmlformats.org/officeDocument/2006/customXml" ds:itemID="{38184A5F-4772-4938-B3DF-65E3F069E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BFF99B-FAF8-45BF-B729-5D3E6E92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6</TotalTime>
  <Pages>11</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Leggett, Chris</dc:creator>
  <cp:lastModifiedBy>Osborne, Lea</cp:lastModifiedBy>
  <cp:revision>4</cp:revision>
  <cp:lastPrinted>2019-12-12T23:24:00Z</cp:lastPrinted>
  <dcterms:created xsi:type="dcterms:W3CDTF">2020-01-08T22:05:00Z</dcterms:created>
  <dcterms:modified xsi:type="dcterms:W3CDTF">2020-01-15T22:43:00Z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Instrument name Regulations Year</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ContentTypeId">
    <vt:lpwstr>0x01010036BB8DE7EC542E42A8B2E98CC20CB69700D5C18F41BA18FB44827A222ACD6776F5</vt:lpwstr>
  </property>
  <property fmtid="{D5CDD505-2E9C-101B-9397-08002B2CF9AE}" pid="15" name="TSYRecordClass">
    <vt:lpwstr>11</vt:lpwstr>
  </property>
  <property fmtid="{D5CDD505-2E9C-101B-9397-08002B2CF9AE}" pid="16" name="_dlc_DocIdItemGuid">
    <vt:lpwstr>0de00633-2ba1-4fab-9298-50bdad787107</vt:lpwstr>
  </property>
  <property fmtid="{D5CDD505-2E9C-101B-9397-08002B2CF9AE}" pid="17" name="RecordPoint_WorkflowType">
    <vt:lpwstr>ActiveSubmitStub</vt:lpwstr>
  </property>
  <property fmtid="{D5CDD505-2E9C-101B-9397-08002B2CF9AE}" pid="18" name="RecordPoint_ActiveItemUniqueId">
    <vt:lpwstr>{0de00633-2ba1-4fab-9298-50bdad787107}</vt:lpwstr>
  </property>
  <property fmtid="{D5CDD505-2E9C-101B-9397-08002B2CF9AE}" pid="19" name="RecordPoint_ActiveItemWebId">
    <vt:lpwstr>{2602612e-a30f-4de0-b9eb-e01e73dc8005}</vt:lpwstr>
  </property>
  <property fmtid="{D5CDD505-2E9C-101B-9397-08002B2CF9AE}" pid="20" name="RecordPoint_ActiveItemSiteId">
    <vt:lpwstr>{5b52b9a5-e5b2-4521-8814-a1e24ca2869d}</vt:lpwstr>
  </property>
  <property fmtid="{D5CDD505-2E9C-101B-9397-08002B2CF9AE}" pid="21" name="RecordPoint_ActiveItemListId">
    <vt:lpwstr>{1a010be9-83b3-4740-abb7-452f2d1120fe}</vt:lpwstr>
  </property>
  <property fmtid="{D5CDD505-2E9C-101B-9397-08002B2CF9AE}" pid="22" name="_AdHocReviewCycleID">
    <vt:i4>460619590</vt:i4>
  </property>
  <property fmtid="{D5CDD505-2E9C-101B-9397-08002B2CF9AE}" pid="23" name="_NewReviewCycle">
    <vt:lpwstr/>
  </property>
  <property fmtid="{D5CDD505-2E9C-101B-9397-08002B2CF9AE}" pid="24" name="_EmailSubject">
    <vt:lpwstr>Ministerial Powers (APRA) Instrument 2019 [SEC=PROTECTED, DLM=Sensitive:Legal]</vt:lpwstr>
  </property>
  <property fmtid="{D5CDD505-2E9C-101B-9397-08002B2CF9AE}" pid="25" name="_AuthorEmail">
    <vt:lpwstr>Suna.Rizalar@TREASURY.GOV.AU</vt:lpwstr>
  </property>
  <property fmtid="{D5CDD505-2E9C-101B-9397-08002B2CF9AE}" pid="26" name="_AuthorEmailDisplayName">
    <vt:lpwstr>Rizalar, Suna</vt:lpwstr>
  </property>
  <property fmtid="{D5CDD505-2E9C-101B-9397-08002B2CF9AE}" pid="27" name="_ReviewingToolsShownOnce">
    <vt:lpwstr/>
  </property>
  <property fmtid="{D5CDD505-2E9C-101B-9397-08002B2CF9AE}" pid="28" name="RecordPoint_SubmissionDate">
    <vt:lpwstr/>
  </property>
  <property fmtid="{D5CDD505-2E9C-101B-9397-08002B2CF9AE}" pid="29" name="RecordPoint_RecordNumberSubmitted">
    <vt:lpwstr/>
  </property>
  <property fmtid="{D5CDD505-2E9C-101B-9397-08002B2CF9AE}" pid="30" name="RecordPoint_SubmissionCompleted">
    <vt:lpwstr/>
  </property>
  <property fmtid="{D5CDD505-2E9C-101B-9397-08002B2CF9AE}" pid="31" name="RecordPoint_ActiveItemMoved">
    <vt:lpwstr/>
  </property>
  <property fmtid="{D5CDD505-2E9C-101B-9397-08002B2CF9AE}" pid="32" name="RecordPoint_RecordFormat">
    <vt:lpwstr/>
  </property>
</Properties>
</file>