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7E295EA" w14:textId="77777777" w:rsidR="00AB570C" w:rsidRPr="00E3156D" w:rsidRDefault="00AB570C" w:rsidP="00AB570C">
      <w:pPr>
        <w:spacing w:before="100" w:beforeAutospacing="1" w:after="100" w:afterAutospacing="1"/>
        <w:ind w:right="3"/>
        <w:jc w:val="center"/>
        <w:outlineLvl w:val="0"/>
        <w:rPr>
          <w:rFonts w:eastAsia="Times New Roman" w:cs="Arial"/>
          <w:b/>
          <w:bCs/>
          <w:kern w:val="36"/>
          <w:lang w:eastAsia="en-AU"/>
        </w:rPr>
      </w:pPr>
      <w:bookmarkStart w:id="0" w:name="_GoBack"/>
      <w:bookmarkEnd w:id="0"/>
      <w:r w:rsidRPr="00E3156D">
        <w:rPr>
          <w:rFonts w:eastAsia="Times New Roman" w:cs="Arial"/>
          <w:b/>
          <w:bCs/>
          <w:kern w:val="36"/>
          <w:lang w:val="en-GB" w:eastAsia="en-AU"/>
        </w:rPr>
        <w:t>EXPLANATORY STATEMENT</w:t>
      </w:r>
    </w:p>
    <w:p w14:paraId="6A9DEE53" w14:textId="7A2AEEC7" w:rsidR="00AB570C" w:rsidRPr="00E3156D" w:rsidRDefault="00AB570C" w:rsidP="00AB570C">
      <w:pPr>
        <w:spacing w:before="240"/>
        <w:jc w:val="center"/>
        <w:rPr>
          <w:rFonts w:cs="Arial"/>
          <w:i/>
        </w:rPr>
      </w:pPr>
      <w:r>
        <w:rPr>
          <w:rFonts w:cs="Arial"/>
          <w:i/>
        </w:rPr>
        <w:t>Consumer Goods (Button</w:t>
      </w:r>
      <w:r w:rsidR="00084090">
        <w:rPr>
          <w:rFonts w:cs="Arial"/>
          <w:i/>
        </w:rPr>
        <w:t>/Coin</w:t>
      </w:r>
      <w:r>
        <w:rPr>
          <w:rFonts w:cs="Arial"/>
          <w:i/>
        </w:rPr>
        <w:t xml:space="preserve"> Batteries</w:t>
      </w:r>
      <w:r w:rsidR="00CF179C">
        <w:rPr>
          <w:rFonts w:cs="Arial"/>
          <w:i/>
        </w:rPr>
        <w:t>) Safety Standard 2020</w:t>
      </w:r>
    </w:p>
    <w:p w14:paraId="47CCC875" w14:textId="77777777" w:rsidR="00AC3E35" w:rsidRPr="00150F61" w:rsidRDefault="00F67084">
      <w:pPr>
        <w:rPr>
          <w:b/>
        </w:rPr>
      </w:pPr>
      <w:r w:rsidRPr="00150F61">
        <w:rPr>
          <w:b/>
        </w:rPr>
        <w:t>Overview</w:t>
      </w:r>
    </w:p>
    <w:p w14:paraId="69930942" w14:textId="0319468F" w:rsidR="00512743" w:rsidRPr="0020324F" w:rsidRDefault="00DD17BC" w:rsidP="00512743">
      <w:pPr>
        <w:pStyle w:val="Default"/>
        <w:keepNext/>
        <w:spacing w:before="200"/>
        <w:rPr>
          <w:rFonts w:asciiTheme="minorHAnsi" w:hAnsiTheme="minorHAnsi" w:cstheme="minorHAnsi"/>
          <w:sz w:val="22"/>
          <w:szCs w:val="22"/>
        </w:rPr>
      </w:pPr>
      <w:r>
        <w:rPr>
          <w:rFonts w:asciiTheme="minorHAnsi" w:hAnsiTheme="minorHAnsi" w:cstheme="minorHAnsi"/>
          <w:sz w:val="22"/>
          <w:szCs w:val="22"/>
        </w:rPr>
        <w:t xml:space="preserve">In </w:t>
      </w:r>
      <w:r w:rsidRPr="0020324F">
        <w:rPr>
          <w:rFonts w:asciiTheme="minorHAnsi" w:hAnsiTheme="minorHAnsi" w:cstheme="minorHAnsi"/>
          <w:sz w:val="22"/>
          <w:szCs w:val="22"/>
        </w:rPr>
        <w:t xml:space="preserve">March 2019, </w:t>
      </w:r>
      <w:r>
        <w:rPr>
          <w:rFonts w:asciiTheme="minorHAnsi" w:hAnsiTheme="minorHAnsi" w:cstheme="minorHAnsi"/>
          <w:sz w:val="22"/>
          <w:szCs w:val="22"/>
        </w:rPr>
        <w:t xml:space="preserve">the Commonwealth Assistant Treasurer issued </w:t>
      </w:r>
      <w:r w:rsidRPr="0020324F">
        <w:rPr>
          <w:rFonts w:asciiTheme="minorHAnsi" w:hAnsiTheme="minorHAnsi" w:cstheme="minorHAnsi"/>
          <w:sz w:val="22"/>
          <w:szCs w:val="22"/>
        </w:rPr>
        <w:t xml:space="preserve">a </w:t>
      </w:r>
      <w:r w:rsidRPr="006509EC">
        <w:rPr>
          <w:rFonts w:asciiTheme="minorHAnsi" w:hAnsiTheme="minorHAnsi" w:cstheme="minorHAnsi"/>
          <w:bCs/>
          <w:sz w:val="22"/>
          <w:szCs w:val="22"/>
        </w:rPr>
        <w:t>Safety Warning Notice</w:t>
      </w:r>
      <w:r w:rsidRPr="0020324F">
        <w:rPr>
          <w:rFonts w:asciiTheme="minorHAnsi" w:hAnsiTheme="minorHAnsi" w:cstheme="minorHAnsi"/>
          <w:sz w:val="22"/>
          <w:szCs w:val="22"/>
        </w:rPr>
        <w:t xml:space="preserve"> about the dangers of button</w:t>
      </w:r>
      <w:r w:rsidR="000E12E1">
        <w:rPr>
          <w:rFonts w:asciiTheme="minorHAnsi" w:hAnsiTheme="minorHAnsi" w:cstheme="minorHAnsi"/>
          <w:sz w:val="22"/>
          <w:szCs w:val="22"/>
        </w:rPr>
        <w:t>/coin</w:t>
      </w:r>
      <w:r w:rsidRPr="0020324F">
        <w:rPr>
          <w:rFonts w:asciiTheme="minorHAnsi" w:hAnsiTheme="minorHAnsi" w:cstheme="minorHAnsi"/>
          <w:sz w:val="22"/>
          <w:szCs w:val="22"/>
        </w:rPr>
        <w:t xml:space="preserve"> batteries</w:t>
      </w:r>
      <w:r>
        <w:rPr>
          <w:rFonts w:asciiTheme="minorHAnsi" w:hAnsiTheme="minorHAnsi" w:cstheme="minorHAnsi"/>
          <w:sz w:val="22"/>
          <w:szCs w:val="22"/>
        </w:rPr>
        <w:t xml:space="preserve"> and in April 2019, requested that the Australian Competition and Consumer Commission (ACCC) expedite a </w:t>
      </w:r>
      <w:r w:rsidRPr="0020324F">
        <w:rPr>
          <w:rFonts w:asciiTheme="minorHAnsi" w:hAnsiTheme="minorHAnsi" w:cstheme="minorHAnsi"/>
          <w:sz w:val="22"/>
          <w:szCs w:val="22"/>
        </w:rPr>
        <w:t>regulatory impact assessment process for developing regulation t</w:t>
      </w:r>
      <w:r>
        <w:rPr>
          <w:rFonts w:asciiTheme="minorHAnsi" w:hAnsiTheme="minorHAnsi" w:cstheme="minorHAnsi"/>
          <w:sz w:val="22"/>
          <w:szCs w:val="22"/>
        </w:rPr>
        <w:t>o address button</w:t>
      </w:r>
      <w:r w:rsidR="000E12E1">
        <w:rPr>
          <w:rFonts w:asciiTheme="minorHAnsi" w:hAnsiTheme="minorHAnsi" w:cstheme="minorHAnsi"/>
          <w:sz w:val="22"/>
          <w:szCs w:val="22"/>
        </w:rPr>
        <w:t>/coin</w:t>
      </w:r>
      <w:r>
        <w:rPr>
          <w:rFonts w:asciiTheme="minorHAnsi" w:hAnsiTheme="minorHAnsi" w:cstheme="minorHAnsi"/>
          <w:sz w:val="22"/>
          <w:szCs w:val="22"/>
        </w:rPr>
        <w:t xml:space="preserve"> battery safety</w:t>
      </w:r>
      <w:r w:rsidR="00512743" w:rsidRPr="0020324F">
        <w:rPr>
          <w:rFonts w:asciiTheme="minorHAnsi" w:hAnsiTheme="minorHAnsi" w:cstheme="minorHAnsi"/>
          <w:sz w:val="22"/>
          <w:szCs w:val="22"/>
        </w:rPr>
        <w:t>.</w:t>
      </w:r>
    </w:p>
    <w:p w14:paraId="40EC8EF3" w14:textId="2FF8A4C4" w:rsidR="0020324F" w:rsidRDefault="0020324F" w:rsidP="0020324F">
      <w:pPr>
        <w:shd w:val="clear" w:color="auto" w:fill="FFFFFF"/>
        <w:rPr>
          <w:rFonts w:cs="Arial"/>
          <w:color w:val="000000"/>
        </w:rPr>
      </w:pPr>
      <w:r>
        <w:rPr>
          <w:rFonts w:cs="Arial"/>
          <w:color w:val="000000"/>
          <w:lang w:val="en-GB"/>
        </w:rPr>
        <w:t>The Commonwealth Assistant Treasurer (the Minister), has made a safety standard for button</w:t>
      </w:r>
      <w:r w:rsidR="000E12E1">
        <w:rPr>
          <w:rFonts w:cs="Arial"/>
          <w:color w:val="000000"/>
          <w:lang w:val="en-GB"/>
        </w:rPr>
        <w:t>/coin</w:t>
      </w:r>
      <w:r>
        <w:rPr>
          <w:rFonts w:cs="Arial"/>
          <w:color w:val="000000"/>
          <w:lang w:val="en-GB"/>
        </w:rPr>
        <w:t xml:space="preserve"> batteries pursuant to section 104 of the Australian Consumer Law (ACL), which is Schedule 2 of the </w:t>
      </w:r>
      <w:r>
        <w:rPr>
          <w:rFonts w:cs="Arial"/>
          <w:i/>
          <w:iCs/>
          <w:color w:val="000000"/>
          <w:lang w:val="en-GB"/>
        </w:rPr>
        <w:t>Competition and Consumer Act 2010 </w:t>
      </w:r>
      <w:r>
        <w:rPr>
          <w:rFonts w:cs="Arial"/>
          <w:color w:val="000000"/>
          <w:lang w:val="en-GB"/>
        </w:rPr>
        <w:t>(</w:t>
      </w:r>
      <w:proofErr w:type="spellStart"/>
      <w:r>
        <w:rPr>
          <w:rFonts w:cs="Arial"/>
          <w:color w:val="000000"/>
          <w:lang w:val="en-GB"/>
        </w:rPr>
        <w:t>Cth</w:t>
      </w:r>
      <w:proofErr w:type="spellEnd"/>
      <w:r>
        <w:rPr>
          <w:rFonts w:cs="Arial"/>
          <w:color w:val="000000"/>
          <w:lang w:val="en-GB"/>
        </w:rPr>
        <w:t>) (CCA).</w:t>
      </w:r>
    </w:p>
    <w:p w14:paraId="4E34D279" w14:textId="67BADFFF" w:rsidR="0018427C" w:rsidRDefault="0020324F" w:rsidP="0020324F">
      <w:pPr>
        <w:rPr>
          <w:rFonts w:eastAsia="Calibri" w:cs="Arial"/>
        </w:rPr>
      </w:pPr>
      <w:r>
        <w:rPr>
          <w:rFonts w:cs="Arial"/>
        </w:rPr>
        <w:t>Th</w:t>
      </w:r>
      <w:r w:rsidR="004125B3">
        <w:rPr>
          <w:rFonts w:cs="Arial"/>
        </w:rPr>
        <w:t>is</w:t>
      </w:r>
      <w:r>
        <w:rPr>
          <w:rFonts w:cs="Arial"/>
        </w:rPr>
        <w:t xml:space="preserve"> safety standard has been introduced to reduce the risk of fatality and injury associated with the use of button</w:t>
      </w:r>
      <w:r w:rsidR="000E12E1">
        <w:rPr>
          <w:rFonts w:cs="Arial"/>
        </w:rPr>
        <w:t>/coin</w:t>
      </w:r>
      <w:r>
        <w:rPr>
          <w:rFonts w:cs="Arial"/>
        </w:rPr>
        <w:t xml:space="preserve"> batteries. </w:t>
      </w:r>
      <w:r w:rsidRPr="009E1C9A">
        <w:rPr>
          <w:rFonts w:cs="Arial"/>
        </w:rPr>
        <w:t>Button</w:t>
      </w:r>
      <w:r w:rsidR="000E12E1">
        <w:rPr>
          <w:rFonts w:cs="Arial"/>
        </w:rPr>
        <w:t>/coin</w:t>
      </w:r>
      <w:r w:rsidRPr="009E1C9A">
        <w:rPr>
          <w:rFonts w:eastAsia="Calibri" w:cs="Arial"/>
        </w:rPr>
        <w:t xml:space="preserve"> batteries </w:t>
      </w:r>
      <w:r>
        <w:rPr>
          <w:rFonts w:eastAsia="Calibri" w:cs="Arial"/>
        </w:rPr>
        <w:t xml:space="preserve">can cause </w:t>
      </w:r>
      <w:r w:rsidRPr="009E1C9A">
        <w:rPr>
          <w:rFonts w:eastAsia="Calibri" w:cs="Arial"/>
        </w:rPr>
        <w:t xml:space="preserve">severe injury </w:t>
      </w:r>
      <w:r>
        <w:rPr>
          <w:rFonts w:eastAsia="Calibri" w:cs="Arial"/>
        </w:rPr>
        <w:t>and even death if swallowed, particularly</w:t>
      </w:r>
      <w:r w:rsidRPr="009E1C9A">
        <w:rPr>
          <w:rFonts w:eastAsia="Calibri" w:cs="Arial"/>
        </w:rPr>
        <w:t xml:space="preserve"> for young children</w:t>
      </w:r>
      <w:r>
        <w:rPr>
          <w:rFonts w:eastAsia="Calibri" w:cs="Arial"/>
        </w:rPr>
        <w:t xml:space="preserve"> aged 0-</w:t>
      </w:r>
      <w:r w:rsidR="00736472">
        <w:rPr>
          <w:rFonts w:eastAsia="Calibri" w:cs="Arial"/>
        </w:rPr>
        <w:t>5</w:t>
      </w:r>
      <w:r>
        <w:rPr>
          <w:rFonts w:eastAsia="Calibri" w:cs="Arial"/>
        </w:rPr>
        <w:t xml:space="preserve"> years</w:t>
      </w:r>
      <w:r w:rsidRPr="009E1C9A">
        <w:rPr>
          <w:rFonts w:eastAsia="Calibri" w:cs="Arial"/>
        </w:rPr>
        <w:t>.</w:t>
      </w:r>
    </w:p>
    <w:p w14:paraId="5B7B4FC3" w14:textId="463888C0" w:rsidR="0020324F" w:rsidRDefault="0020324F" w:rsidP="0020324F">
      <w:r>
        <w:t>In Australia</w:t>
      </w:r>
      <w:r w:rsidR="00CD0ACF">
        <w:t xml:space="preserve"> and globally, there is a growing record of serious injuries and deaths of children from button</w:t>
      </w:r>
      <w:r w:rsidR="000E12E1">
        <w:t>/coin</w:t>
      </w:r>
      <w:r w:rsidR="00CD0ACF">
        <w:t xml:space="preserve"> batteries. In Australia</w:t>
      </w:r>
      <w:r>
        <w:t xml:space="preserve">, three children have tragically died as a result of swallowing a </w:t>
      </w:r>
      <w:r w:rsidR="000E12E1">
        <w:t xml:space="preserve">coin </w:t>
      </w:r>
      <w:r>
        <w:t>battery</w:t>
      </w:r>
      <w:r w:rsidR="00150F61">
        <w:t xml:space="preserve"> and there </w:t>
      </w:r>
      <w:r w:rsidR="00231553">
        <w:t xml:space="preserve">are an increasing number </w:t>
      </w:r>
      <w:r w:rsidR="00150F61">
        <w:t xml:space="preserve">of young children suffering </w:t>
      </w:r>
      <w:r>
        <w:t>severe injuries following the ingestion or insertion of button</w:t>
      </w:r>
      <w:r w:rsidR="000E12E1">
        <w:t>/coin</w:t>
      </w:r>
      <w:r>
        <w:t xml:space="preserve"> batteries. Globally, </w:t>
      </w:r>
      <w:r w:rsidR="00CD0ACF">
        <w:t xml:space="preserve">since 1977, there </w:t>
      </w:r>
      <w:r w:rsidR="00231553">
        <w:t xml:space="preserve">has </w:t>
      </w:r>
      <w:r w:rsidR="00CD0ACF">
        <w:t xml:space="preserve">been </w:t>
      </w:r>
      <w:r>
        <w:t xml:space="preserve">at least 66 </w:t>
      </w:r>
      <w:r w:rsidR="005C0B24">
        <w:t>deaths</w:t>
      </w:r>
      <w:r>
        <w:t xml:space="preserve"> and thousands </w:t>
      </w:r>
      <w:r w:rsidR="00A338CE">
        <w:t xml:space="preserve">of exposures and injuries </w:t>
      </w:r>
      <w:r>
        <w:t>with some children sustaining lifelong injuries requiring ongoing treatments.</w:t>
      </w:r>
    </w:p>
    <w:p w14:paraId="05EEF982" w14:textId="13224693" w:rsidR="0018427C" w:rsidRPr="00C04340" w:rsidRDefault="0018427C" w:rsidP="0018427C">
      <w:pPr>
        <w:pStyle w:val="Default"/>
        <w:widowControl w:val="0"/>
        <w:spacing w:before="200"/>
        <w:rPr>
          <w:rFonts w:asciiTheme="minorHAnsi" w:hAnsiTheme="minorHAnsi" w:cstheme="minorHAnsi"/>
          <w:sz w:val="22"/>
          <w:szCs w:val="22"/>
        </w:rPr>
      </w:pPr>
      <w:r w:rsidRPr="00C04340">
        <w:rPr>
          <w:rFonts w:asciiTheme="minorHAnsi" w:hAnsiTheme="minorHAnsi" w:cstheme="minorHAnsi"/>
          <w:sz w:val="22"/>
          <w:szCs w:val="22"/>
        </w:rPr>
        <w:t xml:space="preserve">This instrument forms part of a package </w:t>
      </w:r>
      <w:r w:rsidR="00A338CE">
        <w:rPr>
          <w:rFonts w:asciiTheme="minorHAnsi" w:hAnsiTheme="minorHAnsi" w:cstheme="minorHAnsi"/>
          <w:sz w:val="22"/>
          <w:szCs w:val="22"/>
        </w:rPr>
        <w:t>of safety and information standards to improve the product safety of consumer goods containing button</w:t>
      </w:r>
      <w:r w:rsidR="000E12E1">
        <w:rPr>
          <w:rFonts w:asciiTheme="minorHAnsi" w:hAnsiTheme="minorHAnsi" w:cstheme="minorHAnsi"/>
          <w:sz w:val="22"/>
          <w:szCs w:val="22"/>
        </w:rPr>
        <w:t>/coin</w:t>
      </w:r>
      <w:r w:rsidR="00A338CE">
        <w:rPr>
          <w:rFonts w:asciiTheme="minorHAnsi" w:hAnsiTheme="minorHAnsi" w:cstheme="minorHAnsi"/>
          <w:sz w:val="22"/>
          <w:szCs w:val="22"/>
        </w:rPr>
        <w:t xml:space="preserve"> batteries, as well as button</w:t>
      </w:r>
      <w:r w:rsidR="000E12E1">
        <w:rPr>
          <w:rFonts w:asciiTheme="minorHAnsi" w:hAnsiTheme="minorHAnsi" w:cstheme="minorHAnsi"/>
          <w:sz w:val="22"/>
          <w:szCs w:val="22"/>
        </w:rPr>
        <w:t>/coin</w:t>
      </w:r>
      <w:r w:rsidR="00A338CE">
        <w:rPr>
          <w:rFonts w:asciiTheme="minorHAnsi" w:hAnsiTheme="minorHAnsi" w:cstheme="minorHAnsi"/>
          <w:sz w:val="22"/>
          <w:szCs w:val="22"/>
        </w:rPr>
        <w:t xml:space="preserve"> batteries themselves. This safety standard for button</w:t>
      </w:r>
      <w:r w:rsidR="000E12E1">
        <w:rPr>
          <w:rFonts w:asciiTheme="minorHAnsi" w:hAnsiTheme="minorHAnsi" w:cstheme="minorHAnsi"/>
          <w:sz w:val="22"/>
          <w:szCs w:val="22"/>
        </w:rPr>
        <w:t>/coin</w:t>
      </w:r>
      <w:r w:rsidR="00A338CE">
        <w:rPr>
          <w:rFonts w:asciiTheme="minorHAnsi" w:hAnsiTheme="minorHAnsi" w:cstheme="minorHAnsi"/>
          <w:sz w:val="22"/>
          <w:szCs w:val="22"/>
        </w:rPr>
        <w:t xml:space="preserve"> batteries </w:t>
      </w:r>
      <w:r>
        <w:rPr>
          <w:rFonts w:asciiTheme="minorHAnsi" w:hAnsiTheme="minorHAnsi" w:cstheme="minorHAnsi"/>
          <w:sz w:val="22"/>
          <w:szCs w:val="22"/>
        </w:rPr>
        <w:t xml:space="preserve">has been </w:t>
      </w:r>
      <w:r w:rsidRPr="00C04340">
        <w:rPr>
          <w:rFonts w:asciiTheme="minorHAnsi" w:hAnsiTheme="minorHAnsi" w:cstheme="minorHAnsi"/>
          <w:sz w:val="22"/>
          <w:szCs w:val="22"/>
        </w:rPr>
        <w:t xml:space="preserve">developed in conjunction with the following instruments: </w:t>
      </w:r>
    </w:p>
    <w:p w14:paraId="3BE6A38E" w14:textId="4ECBEB9F" w:rsidR="0018427C" w:rsidRPr="00C04340" w:rsidRDefault="00084090" w:rsidP="0018427C">
      <w:pPr>
        <w:pStyle w:val="Default"/>
        <w:widowControl w:val="0"/>
        <w:numPr>
          <w:ilvl w:val="0"/>
          <w:numId w:val="29"/>
        </w:numPr>
        <w:spacing w:before="200"/>
        <w:ind w:left="938" w:hanging="350"/>
        <w:rPr>
          <w:rFonts w:asciiTheme="minorHAnsi" w:hAnsiTheme="minorHAnsi" w:cstheme="minorHAnsi"/>
          <w:sz w:val="22"/>
          <w:szCs w:val="22"/>
        </w:rPr>
      </w:pPr>
      <w:r>
        <w:rPr>
          <w:rFonts w:asciiTheme="minorHAnsi" w:hAnsiTheme="minorHAnsi" w:cstheme="minorHAnsi"/>
          <w:sz w:val="22"/>
          <w:szCs w:val="22"/>
        </w:rPr>
        <w:t>Consumer Goods (Products Containing Button/Coin Batteries) Safety Standard 2020</w:t>
      </w:r>
    </w:p>
    <w:p w14:paraId="1A1D4253" w14:textId="1D9005A2" w:rsidR="0018427C" w:rsidRPr="00C04340" w:rsidRDefault="00084090" w:rsidP="0018427C">
      <w:pPr>
        <w:pStyle w:val="Default"/>
        <w:widowControl w:val="0"/>
        <w:numPr>
          <w:ilvl w:val="0"/>
          <w:numId w:val="29"/>
        </w:numPr>
        <w:spacing w:before="200"/>
        <w:ind w:left="938" w:hanging="350"/>
        <w:rPr>
          <w:rFonts w:asciiTheme="minorHAnsi" w:hAnsiTheme="minorHAnsi" w:cstheme="minorHAnsi"/>
          <w:sz w:val="22"/>
          <w:szCs w:val="22"/>
        </w:rPr>
      </w:pPr>
      <w:r>
        <w:rPr>
          <w:rFonts w:asciiTheme="minorHAnsi" w:hAnsiTheme="minorHAnsi" w:cstheme="minorHAnsi"/>
          <w:sz w:val="22"/>
          <w:szCs w:val="22"/>
        </w:rPr>
        <w:t>Consumer Goods (Products Containing Button/Coin Batteries) Information Standard 2020</w:t>
      </w:r>
    </w:p>
    <w:p w14:paraId="6F86256B" w14:textId="3934D452" w:rsidR="0018427C" w:rsidRPr="00C04340" w:rsidRDefault="00084090" w:rsidP="0018427C">
      <w:pPr>
        <w:pStyle w:val="Default"/>
        <w:widowControl w:val="0"/>
        <w:numPr>
          <w:ilvl w:val="0"/>
          <w:numId w:val="29"/>
        </w:numPr>
        <w:spacing w:before="200"/>
        <w:ind w:left="938" w:hanging="350"/>
        <w:rPr>
          <w:rFonts w:asciiTheme="minorHAnsi" w:hAnsiTheme="minorHAnsi" w:cstheme="minorHAnsi"/>
          <w:sz w:val="22"/>
          <w:szCs w:val="22"/>
        </w:rPr>
      </w:pPr>
      <w:r>
        <w:rPr>
          <w:rFonts w:asciiTheme="minorHAnsi" w:hAnsiTheme="minorHAnsi" w:cstheme="minorHAnsi"/>
          <w:sz w:val="22"/>
          <w:szCs w:val="22"/>
        </w:rPr>
        <w:t>Consumer Goods (Button/Coin Batteries) Information Standard 2020.</w:t>
      </w:r>
    </w:p>
    <w:p w14:paraId="08566DB7" w14:textId="2D727008" w:rsidR="0020324F" w:rsidRDefault="0016335C" w:rsidP="0016335C">
      <w:pPr>
        <w:spacing w:before="240"/>
      </w:pPr>
      <w:r w:rsidRPr="00E3156D">
        <w:rPr>
          <w:rFonts w:cs="Arial"/>
        </w:rPr>
        <w:t xml:space="preserve">The estimated </w:t>
      </w:r>
      <w:r w:rsidR="005C0B24">
        <w:rPr>
          <w:rFonts w:cs="Arial"/>
        </w:rPr>
        <w:t xml:space="preserve">cost </w:t>
      </w:r>
      <w:r w:rsidRPr="00E3156D">
        <w:rPr>
          <w:rFonts w:cs="Arial"/>
        </w:rPr>
        <w:t xml:space="preserve">to the Australian economy of </w:t>
      </w:r>
      <w:r>
        <w:rPr>
          <w:rFonts w:cs="Arial"/>
        </w:rPr>
        <w:t>button</w:t>
      </w:r>
      <w:r w:rsidR="000E12E1">
        <w:rPr>
          <w:rFonts w:cs="Arial"/>
        </w:rPr>
        <w:t>/coin</w:t>
      </w:r>
      <w:r>
        <w:rPr>
          <w:rFonts w:cs="Arial"/>
        </w:rPr>
        <w:t xml:space="preserve"> battery related</w:t>
      </w:r>
      <w:r w:rsidRPr="00E3156D">
        <w:rPr>
          <w:rFonts w:cs="Arial"/>
        </w:rPr>
        <w:t xml:space="preserve"> fatalit</w:t>
      </w:r>
      <w:r>
        <w:rPr>
          <w:rFonts w:cs="Arial"/>
        </w:rPr>
        <w:t xml:space="preserve">ies, injuries and </w:t>
      </w:r>
      <w:r w:rsidR="00A338CE">
        <w:rPr>
          <w:rFonts w:cs="Arial"/>
        </w:rPr>
        <w:t>exposures</w:t>
      </w:r>
      <w:r>
        <w:rPr>
          <w:rFonts w:cs="Arial"/>
        </w:rPr>
        <w:t xml:space="preserve"> is at least $4</w:t>
      </w:r>
      <w:r w:rsidR="00A338CE">
        <w:rPr>
          <w:rFonts w:cs="Arial"/>
        </w:rPr>
        <w:t>7</w:t>
      </w:r>
      <w:r w:rsidR="00231553">
        <w:rPr>
          <w:rFonts w:cs="Arial"/>
        </w:rPr>
        <w:t>.</w:t>
      </w:r>
      <w:r w:rsidR="00A338CE">
        <w:rPr>
          <w:rFonts w:cs="Arial"/>
        </w:rPr>
        <w:t>5</w:t>
      </w:r>
      <w:r w:rsidRPr="00E3156D">
        <w:rPr>
          <w:rFonts w:cs="Arial"/>
        </w:rPr>
        <w:t xml:space="preserve"> million </w:t>
      </w:r>
      <w:r w:rsidR="00AE40BB">
        <w:rPr>
          <w:rFonts w:cs="Arial"/>
        </w:rPr>
        <w:t>during a 10-year forecast period of 2022-2031</w:t>
      </w:r>
      <w:r>
        <w:rPr>
          <w:rFonts w:cs="Arial"/>
          <w:lang w:val="en"/>
        </w:rPr>
        <w:t xml:space="preserve">. </w:t>
      </w:r>
    </w:p>
    <w:p w14:paraId="76BBB20F" w14:textId="235CD612" w:rsidR="001A43F4" w:rsidRPr="001A43F4" w:rsidRDefault="004125B3" w:rsidP="001A43F4">
      <w:pPr>
        <w:spacing w:before="240"/>
        <w:rPr>
          <w:rFonts w:cs="Arial"/>
        </w:rPr>
      </w:pPr>
      <w:r>
        <w:rPr>
          <w:rFonts w:cs="Arial"/>
        </w:rPr>
        <w:t>Button</w:t>
      </w:r>
      <w:r w:rsidR="000E12E1">
        <w:rPr>
          <w:rFonts w:cs="Arial"/>
        </w:rPr>
        <w:t>/coin</w:t>
      </w:r>
      <w:r>
        <w:rPr>
          <w:rFonts w:cs="Arial"/>
        </w:rPr>
        <w:t xml:space="preserve"> batteries are flat, round single cell batteries with a diameter of up to 32 mm which range in height from 1-11 mm. These batteries are referred to as button or coin cell batteries. In this </w:t>
      </w:r>
      <w:r w:rsidR="00F92876">
        <w:rPr>
          <w:rFonts w:cs="Arial"/>
        </w:rPr>
        <w:t>safety standard</w:t>
      </w:r>
      <w:r>
        <w:rPr>
          <w:rFonts w:cs="Arial"/>
        </w:rPr>
        <w:t xml:space="preserve">, </w:t>
      </w:r>
      <w:r w:rsidR="000E12E1">
        <w:rPr>
          <w:rFonts w:cs="Arial"/>
        </w:rPr>
        <w:t>they are collectively</w:t>
      </w:r>
      <w:r w:rsidR="00B75F04">
        <w:rPr>
          <w:rFonts w:cs="Arial"/>
        </w:rPr>
        <w:t xml:space="preserve"> referred to as ‘button</w:t>
      </w:r>
      <w:r w:rsidR="000E12E1">
        <w:rPr>
          <w:rFonts w:cs="Arial"/>
        </w:rPr>
        <w:t>/coin</w:t>
      </w:r>
      <w:r w:rsidR="00B75F04">
        <w:rPr>
          <w:rFonts w:cs="Arial"/>
        </w:rPr>
        <w:t xml:space="preserve"> batteries’. </w:t>
      </w:r>
      <w:r w:rsidR="001A43F4" w:rsidRPr="001A43F4">
        <w:rPr>
          <w:rFonts w:cs="Arial"/>
        </w:rPr>
        <w:t>Button</w:t>
      </w:r>
      <w:r w:rsidR="000E12E1">
        <w:rPr>
          <w:rFonts w:cs="Arial"/>
        </w:rPr>
        <w:t>/coin</w:t>
      </w:r>
      <w:r w:rsidR="001A43F4" w:rsidRPr="001A43F4">
        <w:rPr>
          <w:rFonts w:cs="Arial"/>
        </w:rPr>
        <w:t xml:space="preserve"> batteries generally operate using one of four chemistries: lithium, alkaline, silver oxide and zinc</w:t>
      </w:r>
      <w:r>
        <w:rPr>
          <w:rFonts w:cs="Arial"/>
        </w:rPr>
        <w:t>-</w:t>
      </w:r>
      <w:r w:rsidR="001A43F4" w:rsidRPr="001A43F4">
        <w:rPr>
          <w:rFonts w:cs="Arial"/>
        </w:rPr>
        <w:t>air. Lithium button</w:t>
      </w:r>
      <w:r w:rsidR="006907EB">
        <w:rPr>
          <w:rFonts w:cs="Arial"/>
        </w:rPr>
        <w:t>/</w:t>
      </w:r>
      <w:r w:rsidR="000E12E1">
        <w:rPr>
          <w:rFonts w:cs="Arial"/>
        </w:rPr>
        <w:t>coin</w:t>
      </w:r>
      <w:r w:rsidR="000E12E1" w:rsidRPr="001A43F4">
        <w:rPr>
          <w:rFonts w:cs="Arial"/>
        </w:rPr>
        <w:t xml:space="preserve"> </w:t>
      </w:r>
      <w:r w:rsidR="001A43F4" w:rsidRPr="001A43F4">
        <w:rPr>
          <w:rFonts w:cs="Arial"/>
        </w:rPr>
        <w:t>batteries pose the highest risk. Their typically larger diameter means they are more likely to become stuck in a child’s oesophagus if ingested and their higher voltage means they can cause tissue damage more quickly.</w:t>
      </w:r>
    </w:p>
    <w:p w14:paraId="19AAEC94" w14:textId="3B8D3BFE" w:rsidR="001A43F4" w:rsidRPr="001A43F4" w:rsidRDefault="001A43F4" w:rsidP="001A43F4">
      <w:pPr>
        <w:rPr>
          <w:rFonts w:cs="Arial"/>
        </w:rPr>
      </w:pPr>
      <w:r w:rsidRPr="001A43F4">
        <w:rPr>
          <w:rFonts w:cs="Arial"/>
        </w:rPr>
        <w:t>Available data indicates that lithium button</w:t>
      </w:r>
      <w:r w:rsidR="006907EB">
        <w:rPr>
          <w:rFonts w:cs="Arial"/>
        </w:rPr>
        <w:t>/</w:t>
      </w:r>
      <w:r w:rsidR="000E12E1">
        <w:rPr>
          <w:rFonts w:cs="Arial"/>
        </w:rPr>
        <w:t>coin</w:t>
      </w:r>
      <w:r w:rsidR="000E12E1" w:rsidRPr="001A43F4">
        <w:rPr>
          <w:rFonts w:cs="Arial"/>
        </w:rPr>
        <w:t xml:space="preserve"> </w:t>
      </w:r>
      <w:r w:rsidRPr="001A43F4">
        <w:rPr>
          <w:rFonts w:cs="Arial"/>
        </w:rPr>
        <w:t xml:space="preserve">batteries and </w:t>
      </w:r>
      <w:r w:rsidR="00D42C4D">
        <w:rPr>
          <w:rFonts w:cs="Arial"/>
        </w:rPr>
        <w:t>other types of button</w:t>
      </w:r>
      <w:r w:rsidR="000E12E1">
        <w:rPr>
          <w:rFonts w:cs="Arial"/>
        </w:rPr>
        <w:t>/coin</w:t>
      </w:r>
      <w:r w:rsidR="00D42C4D">
        <w:rPr>
          <w:rFonts w:cs="Arial"/>
        </w:rPr>
        <w:t xml:space="preserve"> batteries with a diameter of 16 mm and above </w:t>
      </w:r>
      <w:r w:rsidRPr="001A43F4">
        <w:rPr>
          <w:rFonts w:cs="Arial"/>
        </w:rPr>
        <w:t>pose the greatest risk and have been responsible for most severe injuries and fatalities.</w:t>
      </w:r>
    </w:p>
    <w:p w14:paraId="23D27788" w14:textId="77777777" w:rsidR="0084615E" w:rsidRDefault="0084615E" w:rsidP="00F67084">
      <w:pPr>
        <w:spacing w:before="240"/>
        <w:rPr>
          <w:rFonts w:cs="Arial"/>
          <w:b/>
        </w:rPr>
      </w:pPr>
      <w:r>
        <w:rPr>
          <w:rFonts w:cs="Arial"/>
          <w:b/>
        </w:rPr>
        <w:br w:type="page"/>
      </w:r>
    </w:p>
    <w:p w14:paraId="4D429872" w14:textId="1A755F37" w:rsidR="00F67084" w:rsidRDefault="001A43F4" w:rsidP="00F67084">
      <w:pPr>
        <w:spacing w:before="240"/>
        <w:rPr>
          <w:rFonts w:eastAsia="Times New Roman" w:cs="Arial"/>
          <w:color w:val="000000"/>
          <w:lang w:eastAsia="ja-JP"/>
        </w:rPr>
      </w:pPr>
      <w:r>
        <w:rPr>
          <w:rFonts w:cs="Arial"/>
          <w:b/>
        </w:rPr>
        <w:lastRenderedPageBreak/>
        <w:t>Purpose</w:t>
      </w:r>
    </w:p>
    <w:p w14:paraId="31938351" w14:textId="163D2508" w:rsidR="006509EC" w:rsidRDefault="001A43F4" w:rsidP="001A43F4">
      <w:pPr>
        <w:spacing w:before="240"/>
        <w:rPr>
          <w:rFonts w:cs="Arial"/>
        </w:rPr>
      </w:pPr>
      <w:r w:rsidRPr="00E3156D">
        <w:rPr>
          <w:rFonts w:cs="Arial"/>
        </w:rPr>
        <w:t>The purpose of th</w:t>
      </w:r>
      <w:r w:rsidR="00D42C4D">
        <w:rPr>
          <w:rFonts w:cs="Arial"/>
        </w:rPr>
        <w:t>is</w:t>
      </w:r>
      <w:r w:rsidRPr="00E3156D">
        <w:rPr>
          <w:rFonts w:cs="Arial"/>
        </w:rPr>
        <w:t xml:space="preserve"> </w:t>
      </w:r>
      <w:r>
        <w:rPr>
          <w:rFonts w:cs="Arial"/>
        </w:rPr>
        <w:t>s</w:t>
      </w:r>
      <w:r w:rsidRPr="00E3156D">
        <w:rPr>
          <w:rFonts w:cs="Arial"/>
        </w:rPr>
        <w:t xml:space="preserve">afety </w:t>
      </w:r>
      <w:r>
        <w:rPr>
          <w:rFonts w:cs="Arial"/>
        </w:rPr>
        <w:t>s</w:t>
      </w:r>
      <w:r w:rsidRPr="00E3156D">
        <w:rPr>
          <w:rFonts w:cs="Arial"/>
        </w:rPr>
        <w:t xml:space="preserve">tandard is to </w:t>
      </w:r>
      <w:r w:rsidR="00C21374">
        <w:rPr>
          <w:rFonts w:cs="Arial"/>
        </w:rPr>
        <w:t>require child-resistant packaging when supplying button</w:t>
      </w:r>
      <w:r w:rsidR="003A0FC3">
        <w:rPr>
          <w:rFonts w:cs="Arial"/>
        </w:rPr>
        <w:t>/coin</w:t>
      </w:r>
      <w:r w:rsidR="00C21374">
        <w:rPr>
          <w:rFonts w:cs="Arial"/>
        </w:rPr>
        <w:t xml:space="preserve"> batteries</w:t>
      </w:r>
      <w:r w:rsidR="003457CF">
        <w:rPr>
          <w:rFonts w:cs="Arial"/>
        </w:rPr>
        <w:t>,</w:t>
      </w:r>
      <w:r w:rsidR="00C21374">
        <w:rPr>
          <w:rFonts w:cs="Arial"/>
        </w:rPr>
        <w:t xml:space="preserve"> based on their risk profile</w:t>
      </w:r>
      <w:r w:rsidR="003457CF">
        <w:rPr>
          <w:rFonts w:cs="Arial"/>
        </w:rPr>
        <w:t>,</w:t>
      </w:r>
      <w:r w:rsidR="00C21374">
        <w:rPr>
          <w:rFonts w:cs="Arial"/>
        </w:rPr>
        <w:t xml:space="preserve"> to </w:t>
      </w:r>
      <w:r w:rsidRPr="00E3156D">
        <w:rPr>
          <w:rFonts w:cs="Arial"/>
        </w:rPr>
        <w:t xml:space="preserve">reduce the risk of </w:t>
      </w:r>
      <w:r>
        <w:rPr>
          <w:rFonts w:cs="Arial"/>
        </w:rPr>
        <w:t xml:space="preserve">death or serious injury </w:t>
      </w:r>
      <w:r w:rsidRPr="00E3156D">
        <w:rPr>
          <w:rFonts w:cs="Arial"/>
        </w:rPr>
        <w:t xml:space="preserve">to </w:t>
      </w:r>
      <w:r>
        <w:rPr>
          <w:rFonts w:cs="Arial"/>
        </w:rPr>
        <w:t xml:space="preserve">children as a result of accessing </w:t>
      </w:r>
      <w:r w:rsidR="003A0FC3">
        <w:rPr>
          <w:rFonts w:cs="Arial"/>
        </w:rPr>
        <w:t>these</w:t>
      </w:r>
      <w:r>
        <w:rPr>
          <w:rFonts w:cs="Arial"/>
        </w:rPr>
        <w:t xml:space="preserve"> batteries directly from packaging. </w:t>
      </w:r>
    </w:p>
    <w:p w14:paraId="34BD1629" w14:textId="58472A59" w:rsidR="006509EC" w:rsidRDefault="006509EC" w:rsidP="006509EC">
      <w:pPr>
        <w:rPr>
          <w:rFonts w:cs="Arial"/>
        </w:rPr>
      </w:pPr>
      <w:r w:rsidRPr="00511E9F">
        <w:rPr>
          <w:rFonts w:cs="Arial"/>
        </w:rPr>
        <w:t>Child-resistant packaging is used to create a physical barrier between a child and a potentially</w:t>
      </w:r>
      <w:r>
        <w:rPr>
          <w:rFonts w:cs="Arial"/>
        </w:rPr>
        <w:t xml:space="preserve"> </w:t>
      </w:r>
      <w:r w:rsidRPr="00511E9F">
        <w:rPr>
          <w:rFonts w:cs="Arial"/>
        </w:rPr>
        <w:t>hazardous product. It is designed in a way that limits the ability for a child to access the hazardous good. It is not necessarily child-proof, and a determined child may be able to break through this packaging given enough time or with certain tools (for example, scissors).</w:t>
      </w:r>
    </w:p>
    <w:p w14:paraId="22E04F8E" w14:textId="026A475C" w:rsidR="001A43F4" w:rsidRDefault="001A43F4" w:rsidP="001A43F4">
      <w:pPr>
        <w:spacing w:before="240"/>
        <w:rPr>
          <w:rFonts w:cs="Arial"/>
          <w:b/>
        </w:rPr>
      </w:pPr>
      <w:r w:rsidRPr="001A43F4">
        <w:rPr>
          <w:rFonts w:cs="Arial"/>
          <w:b/>
        </w:rPr>
        <w:t xml:space="preserve">Requirements </w:t>
      </w:r>
    </w:p>
    <w:p w14:paraId="634065AC" w14:textId="3F979EB1" w:rsidR="002A7A98" w:rsidRDefault="00295E30" w:rsidP="00295E30">
      <w:pPr>
        <w:spacing w:before="240"/>
        <w:rPr>
          <w:rFonts w:cs="Arial"/>
        </w:rPr>
      </w:pPr>
      <w:r>
        <w:rPr>
          <w:rFonts w:cs="Arial"/>
        </w:rPr>
        <w:t>Th</w:t>
      </w:r>
      <w:r w:rsidR="00D42C4D">
        <w:rPr>
          <w:rFonts w:cs="Arial"/>
        </w:rPr>
        <w:t>is</w:t>
      </w:r>
      <w:r>
        <w:rPr>
          <w:rFonts w:cs="Arial"/>
        </w:rPr>
        <w:t xml:space="preserve"> safety standard includes </w:t>
      </w:r>
      <w:r w:rsidR="005F7630">
        <w:rPr>
          <w:rFonts w:cs="Arial"/>
        </w:rPr>
        <w:t xml:space="preserve">child-resistant packaging </w:t>
      </w:r>
      <w:r>
        <w:rPr>
          <w:rFonts w:cs="Arial"/>
        </w:rPr>
        <w:t>requirements for lithium button</w:t>
      </w:r>
      <w:r w:rsidR="006907EB">
        <w:rPr>
          <w:rFonts w:cs="Arial"/>
        </w:rPr>
        <w:t>/</w:t>
      </w:r>
      <w:r w:rsidR="003A0FC3">
        <w:rPr>
          <w:rFonts w:cs="Arial"/>
        </w:rPr>
        <w:t>coin</w:t>
      </w:r>
      <w:r>
        <w:rPr>
          <w:rFonts w:cs="Arial"/>
        </w:rPr>
        <w:t xml:space="preserve"> batteries (of all sizes) and </w:t>
      </w:r>
      <w:r w:rsidR="002D302F">
        <w:rPr>
          <w:rFonts w:cs="Arial"/>
        </w:rPr>
        <w:t>other types of</w:t>
      </w:r>
      <w:r>
        <w:rPr>
          <w:rFonts w:cs="Arial"/>
        </w:rPr>
        <w:t xml:space="preserve"> button</w:t>
      </w:r>
      <w:r w:rsidR="003A0FC3">
        <w:rPr>
          <w:rFonts w:cs="Arial"/>
        </w:rPr>
        <w:t>/coin</w:t>
      </w:r>
      <w:r>
        <w:rPr>
          <w:rFonts w:cs="Arial"/>
        </w:rPr>
        <w:t xml:space="preserve"> batteries </w:t>
      </w:r>
      <w:r w:rsidR="00D42C4D">
        <w:rPr>
          <w:rFonts w:cs="Arial"/>
        </w:rPr>
        <w:t xml:space="preserve">with a diameter of </w:t>
      </w:r>
      <w:r>
        <w:rPr>
          <w:rFonts w:cs="Arial"/>
        </w:rPr>
        <w:t xml:space="preserve">16mm and above. </w:t>
      </w:r>
      <w:r w:rsidR="00155A74">
        <w:rPr>
          <w:rFonts w:cs="Arial"/>
        </w:rPr>
        <w:t>Button</w:t>
      </w:r>
      <w:r w:rsidR="003A0FC3">
        <w:rPr>
          <w:rFonts w:cs="Arial"/>
        </w:rPr>
        <w:t>/coin</w:t>
      </w:r>
      <w:r w:rsidR="00155A74">
        <w:rPr>
          <w:rFonts w:cs="Arial"/>
        </w:rPr>
        <w:t xml:space="preserve"> battery packaging refers to all types of packaging or containers used when supplying applicable button</w:t>
      </w:r>
      <w:r w:rsidR="003A0FC3">
        <w:rPr>
          <w:rFonts w:cs="Arial"/>
        </w:rPr>
        <w:t>/coin</w:t>
      </w:r>
      <w:r w:rsidR="00155A74">
        <w:rPr>
          <w:rFonts w:cs="Arial"/>
        </w:rPr>
        <w:t xml:space="preserve"> batteries. </w:t>
      </w:r>
      <w:r w:rsidR="002A7A98">
        <w:rPr>
          <w:rFonts w:cs="Arial"/>
        </w:rPr>
        <w:t>The packaging of an applicable button</w:t>
      </w:r>
      <w:r w:rsidR="003A0FC3">
        <w:rPr>
          <w:rFonts w:cs="Arial"/>
        </w:rPr>
        <w:t>/coin</w:t>
      </w:r>
      <w:r w:rsidR="002A7A98">
        <w:rPr>
          <w:rFonts w:cs="Arial"/>
        </w:rPr>
        <w:t xml:space="preserve"> battery must be designed to be resistant to being opened by young children.</w:t>
      </w:r>
    </w:p>
    <w:p w14:paraId="566C6A05" w14:textId="5A0515A4" w:rsidR="003457CF" w:rsidRDefault="00DC5AB6" w:rsidP="001A43F4">
      <w:pPr>
        <w:spacing w:before="240"/>
        <w:rPr>
          <w:rFonts w:cs="Arial"/>
        </w:rPr>
      </w:pPr>
      <w:r>
        <w:rPr>
          <w:rFonts w:cs="Arial"/>
        </w:rPr>
        <w:t>Bliste</w:t>
      </w:r>
      <w:r w:rsidR="003457CF">
        <w:rPr>
          <w:rFonts w:cs="Arial"/>
        </w:rPr>
        <w:t xml:space="preserve">r packaging </w:t>
      </w:r>
      <w:r>
        <w:rPr>
          <w:rFonts w:cs="Arial"/>
        </w:rPr>
        <w:t xml:space="preserve">is the standard form of packaging </w:t>
      </w:r>
      <w:r w:rsidR="003457CF">
        <w:rPr>
          <w:rFonts w:cs="Arial"/>
        </w:rPr>
        <w:t>for button</w:t>
      </w:r>
      <w:r w:rsidR="003A0FC3">
        <w:rPr>
          <w:rFonts w:cs="Arial"/>
        </w:rPr>
        <w:t>/coin</w:t>
      </w:r>
      <w:r w:rsidR="003457CF">
        <w:rPr>
          <w:rFonts w:cs="Arial"/>
        </w:rPr>
        <w:t xml:space="preserve"> batteries </w:t>
      </w:r>
      <w:r>
        <w:rPr>
          <w:rFonts w:cs="Arial"/>
        </w:rPr>
        <w:t xml:space="preserve">at present. </w:t>
      </w:r>
      <w:r w:rsidR="003457CF">
        <w:rPr>
          <w:rFonts w:cs="Arial"/>
        </w:rPr>
        <w:t xml:space="preserve">This safety standard does not specify any particular form of packaging </w:t>
      </w:r>
      <w:r w:rsidR="005F7630">
        <w:rPr>
          <w:rFonts w:cs="Arial"/>
        </w:rPr>
        <w:t xml:space="preserve">or container </w:t>
      </w:r>
      <w:r w:rsidR="003457CF">
        <w:rPr>
          <w:rFonts w:cs="Arial"/>
        </w:rPr>
        <w:t>that must be used when supplying button</w:t>
      </w:r>
      <w:r w:rsidR="003A0FC3">
        <w:rPr>
          <w:rFonts w:cs="Arial"/>
        </w:rPr>
        <w:t>/coin</w:t>
      </w:r>
      <w:r w:rsidR="003457CF">
        <w:rPr>
          <w:rFonts w:cs="Arial"/>
        </w:rPr>
        <w:t xml:space="preserve"> batteries</w:t>
      </w:r>
      <w:r w:rsidR="005F7630">
        <w:rPr>
          <w:rFonts w:cs="Arial"/>
        </w:rPr>
        <w:t xml:space="preserve">, </w:t>
      </w:r>
      <w:r w:rsidR="003457CF">
        <w:rPr>
          <w:rFonts w:cs="Arial"/>
        </w:rPr>
        <w:t>only that the packaging or container must be child-resistant</w:t>
      </w:r>
      <w:r w:rsidR="002A7A98">
        <w:rPr>
          <w:rFonts w:cs="Arial"/>
        </w:rPr>
        <w:t xml:space="preserve"> in accordance with specified compliance tests</w:t>
      </w:r>
      <w:r w:rsidR="003457CF">
        <w:rPr>
          <w:rFonts w:cs="Arial"/>
        </w:rPr>
        <w:t>.</w:t>
      </w:r>
    </w:p>
    <w:p w14:paraId="63FAE498" w14:textId="42C25090" w:rsidR="005F7630" w:rsidRDefault="003457CF" w:rsidP="005F7630">
      <w:pPr>
        <w:pStyle w:val="Default"/>
        <w:widowControl w:val="0"/>
        <w:spacing w:before="200"/>
        <w:rPr>
          <w:rFonts w:asciiTheme="minorHAnsi" w:hAnsiTheme="minorHAnsi" w:cstheme="minorHAnsi"/>
          <w:sz w:val="22"/>
          <w:szCs w:val="22"/>
        </w:rPr>
      </w:pPr>
      <w:r w:rsidRPr="006509EC">
        <w:rPr>
          <w:rFonts w:ascii="Arial" w:hAnsi="Arial" w:cs="Arial"/>
          <w:sz w:val="22"/>
          <w:szCs w:val="22"/>
        </w:rPr>
        <w:t>Button</w:t>
      </w:r>
      <w:r w:rsidR="003A0FC3">
        <w:rPr>
          <w:rFonts w:ascii="Arial" w:hAnsi="Arial" w:cs="Arial"/>
          <w:sz w:val="22"/>
          <w:szCs w:val="22"/>
        </w:rPr>
        <w:t>/coin</w:t>
      </w:r>
      <w:r w:rsidRPr="006509EC">
        <w:rPr>
          <w:rFonts w:ascii="Arial" w:hAnsi="Arial" w:cs="Arial"/>
          <w:sz w:val="22"/>
          <w:szCs w:val="22"/>
        </w:rPr>
        <w:t xml:space="preserve"> batteries </w:t>
      </w:r>
      <w:r w:rsidR="005F7630">
        <w:rPr>
          <w:rFonts w:ascii="Arial" w:hAnsi="Arial" w:cs="Arial"/>
          <w:sz w:val="22"/>
          <w:szCs w:val="22"/>
        </w:rPr>
        <w:t xml:space="preserve">can be </w:t>
      </w:r>
      <w:r w:rsidRPr="006509EC">
        <w:rPr>
          <w:rFonts w:ascii="Arial" w:hAnsi="Arial" w:cs="Arial"/>
          <w:sz w:val="22"/>
          <w:szCs w:val="22"/>
        </w:rPr>
        <w:t xml:space="preserve">sold individually and in multipacks. </w:t>
      </w:r>
      <w:r w:rsidR="005F7630" w:rsidRPr="006509EC">
        <w:rPr>
          <w:rFonts w:ascii="Arial" w:hAnsi="Arial" w:cs="Arial"/>
          <w:sz w:val="22"/>
          <w:szCs w:val="22"/>
        </w:rPr>
        <w:t>Where multiple button</w:t>
      </w:r>
      <w:r w:rsidR="003A0FC3">
        <w:rPr>
          <w:rFonts w:ascii="Arial" w:hAnsi="Arial" w:cs="Arial"/>
          <w:sz w:val="22"/>
          <w:szCs w:val="22"/>
        </w:rPr>
        <w:t>/coin</w:t>
      </w:r>
      <w:r w:rsidR="005F7630" w:rsidRPr="006509EC">
        <w:rPr>
          <w:rFonts w:ascii="Arial" w:hAnsi="Arial" w:cs="Arial"/>
          <w:sz w:val="22"/>
          <w:szCs w:val="22"/>
        </w:rPr>
        <w:t xml:space="preserve"> batteries are supplied that include any of the applicable button</w:t>
      </w:r>
      <w:r w:rsidR="003A0FC3">
        <w:rPr>
          <w:rFonts w:ascii="Arial" w:hAnsi="Arial" w:cs="Arial"/>
          <w:sz w:val="22"/>
          <w:szCs w:val="22"/>
        </w:rPr>
        <w:t>/coin</w:t>
      </w:r>
      <w:r w:rsidR="005F7630" w:rsidRPr="006509EC">
        <w:rPr>
          <w:rFonts w:ascii="Arial" w:hAnsi="Arial" w:cs="Arial"/>
          <w:sz w:val="22"/>
          <w:szCs w:val="22"/>
        </w:rPr>
        <w:t xml:space="preserve"> batteries</w:t>
      </w:r>
      <w:r w:rsidR="005F7630" w:rsidRPr="00AB570C">
        <w:rPr>
          <w:rFonts w:asciiTheme="minorHAnsi" w:hAnsiTheme="minorHAnsi" w:cstheme="minorHAnsi"/>
          <w:sz w:val="22"/>
          <w:szCs w:val="22"/>
        </w:rPr>
        <w:t xml:space="preserve"> in scope of the child-resistant packaging requirements, blister packaging must be designed to release only one battery at a time.</w:t>
      </w:r>
    </w:p>
    <w:p w14:paraId="13D5A89A" w14:textId="3EB7E5B2" w:rsidR="005F7630" w:rsidRPr="00AB570C" w:rsidRDefault="005F7630" w:rsidP="005F7630">
      <w:pPr>
        <w:pStyle w:val="Default"/>
        <w:widowControl w:val="0"/>
        <w:spacing w:before="200"/>
        <w:rPr>
          <w:rFonts w:asciiTheme="minorHAnsi" w:hAnsiTheme="minorHAnsi" w:cstheme="minorHAnsi"/>
          <w:sz w:val="22"/>
          <w:szCs w:val="22"/>
        </w:rPr>
      </w:pPr>
      <w:r>
        <w:rPr>
          <w:rFonts w:asciiTheme="minorHAnsi" w:hAnsiTheme="minorHAnsi" w:cstheme="minorHAnsi"/>
          <w:sz w:val="22"/>
          <w:szCs w:val="22"/>
        </w:rPr>
        <w:t>Button</w:t>
      </w:r>
      <w:r w:rsidR="003A0FC3">
        <w:rPr>
          <w:rFonts w:asciiTheme="minorHAnsi" w:hAnsiTheme="minorHAnsi" w:cstheme="minorHAnsi"/>
          <w:sz w:val="22"/>
          <w:szCs w:val="22"/>
        </w:rPr>
        <w:t>/coin</w:t>
      </w:r>
      <w:r>
        <w:rPr>
          <w:rFonts w:asciiTheme="minorHAnsi" w:hAnsiTheme="minorHAnsi" w:cstheme="minorHAnsi"/>
          <w:sz w:val="22"/>
          <w:szCs w:val="22"/>
        </w:rPr>
        <w:t xml:space="preserve"> batteries can also be supplied as spare batteries inside the packaging of a consumer good that is powered by a button</w:t>
      </w:r>
      <w:r w:rsidR="003A0FC3">
        <w:rPr>
          <w:rFonts w:asciiTheme="minorHAnsi" w:hAnsiTheme="minorHAnsi" w:cstheme="minorHAnsi"/>
          <w:sz w:val="22"/>
          <w:szCs w:val="22"/>
        </w:rPr>
        <w:t>/coin</w:t>
      </w:r>
      <w:r>
        <w:rPr>
          <w:rFonts w:asciiTheme="minorHAnsi" w:hAnsiTheme="minorHAnsi" w:cstheme="minorHAnsi"/>
          <w:sz w:val="22"/>
          <w:szCs w:val="22"/>
        </w:rPr>
        <w:t xml:space="preserve"> battery for installation by the consumer. In accordance with the scope of the child-resistant packaging requirements, a</w:t>
      </w:r>
      <w:r w:rsidRPr="00AB570C">
        <w:rPr>
          <w:rFonts w:asciiTheme="minorHAnsi" w:hAnsiTheme="minorHAnsi" w:cstheme="minorHAnsi"/>
          <w:sz w:val="22"/>
          <w:szCs w:val="22"/>
        </w:rPr>
        <w:t>ny spare button</w:t>
      </w:r>
      <w:r w:rsidR="003A0FC3">
        <w:rPr>
          <w:rFonts w:asciiTheme="minorHAnsi" w:hAnsiTheme="minorHAnsi" w:cstheme="minorHAnsi"/>
          <w:sz w:val="22"/>
          <w:szCs w:val="22"/>
        </w:rPr>
        <w:t>/coin</w:t>
      </w:r>
      <w:r w:rsidRPr="00AB570C">
        <w:rPr>
          <w:rFonts w:asciiTheme="minorHAnsi" w:hAnsiTheme="minorHAnsi" w:cstheme="minorHAnsi"/>
          <w:sz w:val="22"/>
          <w:szCs w:val="22"/>
        </w:rPr>
        <w:t xml:space="preserve"> batteries that are supplied with a consumer good, where the battery is not pre-installed in a secure battery compartment, must be enclosed in child-resistant packaging.</w:t>
      </w:r>
    </w:p>
    <w:p w14:paraId="0807BA29" w14:textId="716C0BBB" w:rsidR="00AB570C" w:rsidRPr="00AB570C" w:rsidRDefault="00074E1E" w:rsidP="006509EC">
      <w:pPr>
        <w:pStyle w:val="Default"/>
        <w:widowControl w:val="0"/>
        <w:spacing w:before="200"/>
        <w:rPr>
          <w:rFonts w:asciiTheme="minorHAnsi" w:hAnsiTheme="minorHAnsi" w:cstheme="minorHAnsi"/>
          <w:color w:val="auto"/>
          <w:sz w:val="22"/>
          <w:szCs w:val="22"/>
        </w:rPr>
      </w:pPr>
      <w:r>
        <w:rPr>
          <w:rFonts w:asciiTheme="minorHAnsi" w:hAnsiTheme="minorHAnsi" w:cstheme="minorHAnsi"/>
          <w:color w:val="auto"/>
          <w:sz w:val="22"/>
          <w:szCs w:val="22"/>
        </w:rPr>
        <w:t>Th</w:t>
      </w:r>
      <w:r w:rsidR="005F7630">
        <w:rPr>
          <w:rFonts w:asciiTheme="minorHAnsi" w:hAnsiTheme="minorHAnsi" w:cstheme="minorHAnsi"/>
          <w:color w:val="auto"/>
          <w:sz w:val="22"/>
          <w:szCs w:val="22"/>
        </w:rPr>
        <w:t>is safety standard</w:t>
      </w:r>
      <w:r w:rsidR="00AB570C" w:rsidRPr="00AB570C">
        <w:rPr>
          <w:rFonts w:asciiTheme="minorHAnsi" w:hAnsiTheme="minorHAnsi" w:cstheme="minorHAnsi"/>
          <w:color w:val="auto"/>
          <w:sz w:val="22"/>
          <w:szCs w:val="22"/>
        </w:rPr>
        <w:t xml:space="preserve"> include</w:t>
      </w:r>
      <w:r>
        <w:rPr>
          <w:rFonts w:asciiTheme="minorHAnsi" w:hAnsiTheme="minorHAnsi" w:cstheme="minorHAnsi"/>
          <w:color w:val="auto"/>
          <w:sz w:val="22"/>
          <w:szCs w:val="22"/>
        </w:rPr>
        <w:t>s</w:t>
      </w:r>
      <w:r w:rsidR="00AB570C" w:rsidRPr="00AB570C">
        <w:rPr>
          <w:rFonts w:asciiTheme="minorHAnsi" w:hAnsiTheme="minorHAnsi" w:cstheme="minorHAnsi"/>
          <w:color w:val="auto"/>
          <w:sz w:val="22"/>
          <w:szCs w:val="22"/>
        </w:rPr>
        <w:t xml:space="preserve"> reference to compliance tests in </w:t>
      </w:r>
      <w:r w:rsidR="00AB570C" w:rsidRPr="00AB570C">
        <w:rPr>
          <w:rFonts w:asciiTheme="minorHAnsi" w:hAnsiTheme="minorHAnsi" w:cstheme="minorHAnsi"/>
          <w:sz w:val="22"/>
          <w:szCs w:val="22"/>
        </w:rPr>
        <w:t>industry</w:t>
      </w:r>
      <w:r w:rsidR="00AB570C" w:rsidRPr="00AB570C">
        <w:rPr>
          <w:rFonts w:asciiTheme="minorHAnsi" w:hAnsiTheme="minorHAnsi" w:cstheme="minorHAnsi"/>
          <w:color w:val="auto"/>
          <w:sz w:val="22"/>
          <w:szCs w:val="22"/>
        </w:rPr>
        <w:t xml:space="preserve"> standards and overseas regulations that </w:t>
      </w:r>
      <w:r w:rsidR="005F7630">
        <w:rPr>
          <w:rFonts w:asciiTheme="minorHAnsi" w:hAnsiTheme="minorHAnsi" w:cstheme="minorHAnsi"/>
          <w:color w:val="auto"/>
          <w:sz w:val="22"/>
          <w:szCs w:val="22"/>
        </w:rPr>
        <w:t>must</w:t>
      </w:r>
      <w:r w:rsidR="005F7630" w:rsidRPr="00AB570C">
        <w:rPr>
          <w:rFonts w:asciiTheme="minorHAnsi" w:hAnsiTheme="minorHAnsi" w:cstheme="minorHAnsi"/>
          <w:color w:val="auto"/>
          <w:sz w:val="22"/>
          <w:szCs w:val="22"/>
        </w:rPr>
        <w:t xml:space="preserve"> </w:t>
      </w:r>
      <w:r w:rsidR="00AB570C" w:rsidRPr="00AB570C">
        <w:rPr>
          <w:rFonts w:asciiTheme="minorHAnsi" w:hAnsiTheme="minorHAnsi" w:cstheme="minorHAnsi"/>
          <w:color w:val="auto"/>
          <w:sz w:val="22"/>
          <w:szCs w:val="22"/>
        </w:rPr>
        <w:t>be performed on packaging</w:t>
      </w:r>
      <w:r w:rsidR="005F7630">
        <w:rPr>
          <w:rFonts w:asciiTheme="minorHAnsi" w:hAnsiTheme="minorHAnsi" w:cstheme="minorHAnsi"/>
          <w:color w:val="auto"/>
          <w:sz w:val="22"/>
          <w:szCs w:val="22"/>
        </w:rPr>
        <w:t xml:space="preserve"> or </w:t>
      </w:r>
      <w:r w:rsidR="00AB570C" w:rsidRPr="00AB570C">
        <w:rPr>
          <w:rFonts w:asciiTheme="minorHAnsi" w:hAnsiTheme="minorHAnsi" w:cstheme="minorHAnsi"/>
          <w:color w:val="auto"/>
          <w:sz w:val="22"/>
          <w:szCs w:val="22"/>
        </w:rPr>
        <w:t>containers to demonstrate</w:t>
      </w:r>
      <w:r w:rsidR="005F7630">
        <w:rPr>
          <w:rFonts w:asciiTheme="minorHAnsi" w:hAnsiTheme="minorHAnsi" w:cstheme="minorHAnsi"/>
          <w:color w:val="auto"/>
          <w:sz w:val="22"/>
          <w:szCs w:val="22"/>
        </w:rPr>
        <w:t xml:space="preserve"> </w:t>
      </w:r>
      <w:r w:rsidR="00F90464">
        <w:rPr>
          <w:rFonts w:asciiTheme="minorHAnsi" w:hAnsiTheme="minorHAnsi" w:cstheme="minorHAnsi"/>
          <w:color w:val="auto"/>
          <w:sz w:val="22"/>
          <w:szCs w:val="22"/>
        </w:rPr>
        <w:t xml:space="preserve">the </w:t>
      </w:r>
      <w:r w:rsidR="005F7630">
        <w:rPr>
          <w:rFonts w:asciiTheme="minorHAnsi" w:hAnsiTheme="minorHAnsi" w:cstheme="minorHAnsi"/>
          <w:color w:val="auto"/>
          <w:sz w:val="22"/>
          <w:szCs w:val="22"/>
        </w:rPr>
        <w:t xml:space="preserve">child-resistant packaging requirement </w:t>
      </w:r>
      <w:r w:rsidR="00F90464">
        <w:rPr>
          <w:rFonts w:asciiTheme="minorHAnsi" w:hAnsiTheme="minorHAnsi" w:cstheme="minorHAnsi"/>
          <w:color w:val="auto"/>
          <w:sz w:val="22"/>
          <w:szCs w:val="22"/>
        </w:rPr>
        <w:t>has</w:t>
      </w:r>
      <w:r w:rsidR="00AB570C" w:rsidRPr="00AB570C">
        <w:rPr>
          <w:rFonts w:asciiTheme="minorHAnsi" w:hAnsiTheme="minorHAnsi" w:cstheme="minorHAnsi"/>
          <w:color w:val="auto"/>
          <w:sz w:val="22"/>
          <w:szCs w:val="22"/>
        </w:rPr>
        <w:t xml:space="preserve"> been met. </w:t>
      </w:r>
    </w:p>
    <w:p w14:paraId="547778D2" w14:textId="77777777" w:rsidR="00AB570C" w:rsidRPr="00AB570C" w:rsidRDefault="00AB570C" w:rsidP="006509EC">
      <w:pPr>
        <w:pStyle w:val="Default"/>
        <w:spacing w:before="200" w:line="240" w:lineRule="exact"/>
        <w:rPr>
          <w:rFonts w:asciiTheme="minorHAnsi" w:hAnsiTheme="minorHAnsi" w:cstheme="minorHAnsi"/>
          <w:color w:val="auto"/>
          <w:sz w:val="22"/>
          <w:szCs w:val="22"/>
        </w:rPr>
      </w:pPr>
      <w:r w:rsidRPr="00AB570C">
        <w:rPr>
          <w:rFonts w:asciiTheme="minorHAnsi" w:hAnsiTheme="minorHAnsi" w:cstheme="minorHAnsi"/>
          <w:color w:val="auto"/>
          <w:sz w:val="22"/>
          <w:szCs w:val="22"/>
        </w:rPr>
        <w:t>Tests may be performed using suitable in-house expertise/facilities or by external testing bodies/laboratories.</w:t>
      </w:r>
    </w:p>
    <w:p w14:paraId="1D8DD8B8" w14:textId="4CAC14FB" w:rsidR="00010774" w:rsidRPr="006509EC" w:rsidRDefault="00010774" w:rsidP="00010774">
      <w:pPr>
        <w:spacing w:before="240"/>
        <w:rPr>
          <w:rFonts w:cs="Arial"/>
          <w:b/>
        </w:rPr>
      </w:pPr>
      <w:r w:rsidRPr="006509EC">
        <w:rPr>
          <w:rFonts w:cs="Arial"/>
          <w:b/>
        </w:rPr>
        <w:t>Exemptions</w:t>
      </w:r>
    </w:p>
    <w:p w14:paraId="67BCE3B9" w14:textId="237368F2" w:rsidR="00010774" w:rsidRDefault="00010774" w:rsidP="00010774">
      <w:pPr>
        <w:spacing w:before="240"/>
        <w:rPr>
          <w:rFonts w:cs="Arial"/>
        </w:rPr>
      </w:pPr>
      <w:r>
        <w:rPr>
          <w:rFonts w:cs="Arial"/>
        </w:rPr>
        <w:t xml:space="preserve">This safety standard does not apply to zinc-air button batteries intended for hearing aids, </w:t>
      </w:r>
      <w:proofErr w:type="gramStart"/>
      <w:r>
        <w:rPr>
          <w:rFonts w:cs="Arial"/>
        </w:rPr>
        <w:t>such</w:t>
      </w:r>
      <w:proofErr w:type="gramEnd"/>
      <w:r>
        <w:rPr>
          <w:rFonts w:cs="Arial"/>
        </w:rPr>
        <w:t xml:space="preserve"> as zinc-air button batteries packaged in a dial mechanism. Zinc-air button batteries are predominantly used in hearing aids and elderly users of hearing aids with poor eyesight or limited dexterity may have difficulties accessing zinc-air button batteries from child-resistant packaging.</w:t>
      </w:r>
    </w:p>
    <w:p w14:paraId="547918CE" w14:textId="3399880B" w:rsidR="00010774" w:rsidRDefault="00010774" w:rsidP="00010774">
      <w:pPr>
        <w:spacing w:before="240"/>
        <w:rPr>
          <w:rFonts w:cs="Arial"/>
        </w:rPr>
      </w:pPr>
      <w:r>
        <w:rPr>
          <w:rFonts w:cs="Arial"/>
        </w:rPr>
        <w:t>This safety standard does not apply to button</w:t>
      </w:r>
      <w:r w:rsidR="009530B0">
        <w:rPr>
          <w:rFonts w:cs="Arial"/>
        </w:rPr>
        <w:t>/coin</w:t>
      </w:r>
      <w:r>
        <w:rPr>
          <w:rFonts w:cs="Arial"/>
        </w:rPr>
        <w:t xml:space="preserve"> batteries supplied in bulk intended to be used in trades, professions or industries and which are not intended for sale to the general public. Button</w:t>
      </w:r>
      <w:r w:rsidR="009530B0">
        <w:rPr>
          <w:rFonts w:cs="Arial"/>
        </w:rPr>
        <w:t>/coin</w:t>
      </w:r>
      <w:r>
        <w:rPr>
          <w:rFonts w:cs="Arial"/>
        </w:rPr>
        <w:t xml:space="preserve"> batteries supplied in bulk are typically packed in trays and are used by professionals such as jewellers, watchmakers or service</w:t>
      </w:r>
      <w:r w:rsidR="00F96DF5">
        <w:rPr>
          <w:rFonts w:cs="Arial"/>
        </w:rPr>
        <w:t>s</w:t>
      </w:r>
      <w:r>
        <w:rPr>
          <w:rFonts w:cs="Arial"/>
        </w:rPr>
        <w:t xml:space="preserve"> persons that install and replace batteries on behalf of consumers. </w:t>
      </w:r>
    </w:p>
    <w:p w14:paraId="0662F765" w14:textId="77777777" w:rsidR="00B92632" w:rsidRPr="00B92632" w:rsidRDefault="00B92632" w:rsidP="00B92632">
      <w:pPr>
        <w:spacing w:before="240"/>
        <w:rPr>
          <w:rFonts w:cs="Arial"/>
          <w:b/>
        </w:rPr>
      </w:pPr>
      <w:r w:rsidRPr="00B92632">
        <w:rPr>
          <w:rFonts w:cs="Arial"/>
          <w:b/>
        </w:rPr>
        <w:lastRenderedPageBreak/>
        <w:t xml:space="preserve">Definitions </w:t>
      </w:r>
    </w:p>
    <w:p w14:paraId="1DB98EC6" w14:textId="0E026777" w:rsidR="00B92632" w:rsidRPr="00E34425" w:rsidRDefault="00B92632" w:rsidP="00B92632">
      <w:pPr>
        <w:pStyle w:val="Definition"/>
        <w:ind w:left="0"/>
        <w:rPr>
          <w:rFonts w:ascii="Arial" w:hAnsi="Arial" w:cs="Arial"/>
        </w:rPr>
      </w:pPr>
      <w:r>
        <w:rPr>
          <w:rFonts w:ascii="Arial" w:hAnsi="Arial" w:cs="Arial"/>
        </w:rPr>
        <w:t>The definitions used in th</w:t>
      </w:r>
      <w:r w:rsidR="00010774">
        <w:rPr>
          <w:rFonts w:ascii="Arial" w:hAnsi="Arial" w:cs="Arial"/>
        </w:rPr>
        <w:t>is</w:t>
      </w:r>
      <w:r>
        <w:rPr>
          <w:rFonts w:ascii="Arial" w:hAnsi="Arial" w:cs="Arial"/>
        </w:rPr>
        <w:t xml:space="preserve"> safety standard are set out in section 4</w:t>
      </w:r>
      <w:r w:rsidR="002B23B8">
        <w:rPr>
          <w:rFonts w:ascii="Arial" w:hAnsi="Arial" w:cs="Arial"/>
        </w:rPr>
        <w:t xml:space="preserve"> </w:t>
      </w:r>
      <w:r>
        <w:rPr>
          <w:rFonts w:ascii="Arial" w:hAnsi="Arial" w:cs="Arial"/>
        </w:rPr>
        <w:t>and include the following definitions</w:t>
      </w:r>
      <w:r w:rsidRPr="00E34425">
        <w:rPr>
          <w:rFonts w:ascii="Arial" w:hAnsi="Arial" w:cs="Arial"/>
        </w:rPr>
        <w:t>:</w:t>
      </w:r>
    </w:p>
    <w:p w14:paraId="72A6F46E" w14:textId="5C0BC7A9" w:rsidR="002B23B8" w:rsidRPr="002B23B8" w:rsidRDefault="002B23B8" w:rsidP="002B23B8">
      <w:pPr>
        <w:pStyle w:val="Definition"/>
        <w:numPr>
          <w:ilvl w:val="0"/>
          <w:numId w:val="32"/>
        </w:numPr>
        <w:ind w:left="426"/>
        <w:rPr>
          <w:rFonts w:asciiTheme="minorHAnsi" w:hAnsiTheme="minorHAnsi" w:cstheme="minorHAnsi"/>
          <w:szCs w:val="22"/>
        </w:rPr>
      </w:pPr>
      <w:r w:rsidRPr="002B23B8">
        <w:rPr>
          <w:rFonts w:asciiTheme="minorHAnsi" w:hAnsiTheme="minorHAnsi" w:cstheme="minorHAnsi"/>
          <w:b/>
          <w:i/>
          <w:szCs w:val="22"/>
        </w:rPr>
        <w:t>applicable button</w:t>
      </w:r>
      <w:r w:rsidR="007555C6">
        <w:rPr>
          <w:rFonts w:asciiTheme="minorHAnsi" w:hAnsiTheme="minorHAnsi" w:cstheme="minorHAnsi"/>
          <w:b/>
          <w:i/>
          <w:szCs w:val="22"/>
        </w:rPr>
        <w:t>/coin</w:t>
      </w:r>
      <w:r w:rsidRPr="002B23B8">
        <w:rPr>
          <w:rFonts w:asciiTheme="minorHAnsi" w:hAnsiTheme="minorHAnsi" w:cstheme="minorHAnsi"/>
          <w:b/>
          <w:i/>
          <w:szCs w:val="22"/>
        </w:rPr>
        <w:t xml:space="preserve"> battery</w:t>
      </w:r>
      <w:r w:rsidRPr="002B23B8">
        <w:rPr>
          <w:rFonts w:asciiTheme="minorHAnsi" w:hAnsiTheme="minorHAnsi" w:cstheme="minorHAnsi"/>
          <w:szCs w:val="22"/>
        </w:rPr>
        <w:t xml:space="preserve"> means:</w:t>
      </w:r>
    </w:p>
    <w:p w14:paraId="09FC0A23" w14:textId="43184F1D" w:rsidR="002B23B8" w:rsidRDefault="002B23B8" w:rsidP="006509EC">
      <w:pPr>
        <w:pStyle w:val="paragraph"/>
        <w:numPr>
          <w:ilvl w:val="0"/>
          <w:numId w:val="36"/>
        </w:numPr>
        <w:ind w:left="851" w:hanging="425"/>
        <w:rPr>
          <w:rFonts w:asciiTheme="minorHAnsi" w:hAnsiTheme="minorHAnsi" w:cstheme="minorHAnsi"/>
          <w:szCs w:val="22"/>
        </w:rPr>
      </w:pPr>
      <w:r w:rsidRPr="002B23B8">
        <w:rPr>
          <w:rFonts w:asciiTheme="minorHAnsi" w:hAnsiTheme="minorHAnsi" w:cstheme="minorHAnsi"/>
          <w:szCs w:val="22"/>
        </w:rPr>
        <w:t>a small, single cell battery of lithium chemistry with a diameter greater than the battery’s height; or</w:t>
      </w:r>
    </w:p>
    <w:p w14:paraId="251DA307" w14:textId="117CAB0A" w:rsidR="002B23B8" w:rsidRPr="00010774" w:rsidRDefault="002B23B8" w:rsidP="006509EC">
      <w:pPr>
        <w:pStyle w:val="paragraph"/>
        <w:numPr>
          <w:ilvl w:val="0"/>
          <w:numId w:val="36"/>
        </w:numPr>
        <w:ind w:left="851" w:hanging="425"/>
        <w:rPr>
          <w:rFonts w:asciiTheme="minorHAnsi" w:hAnsiTheme="minorHAnsi" w:cstheme="minorHAnsi"/>
          <w:szCs w:val="22"/>
        </w:rPr>
      </w:pPr>
      <w:r w:rsidRPr="00010774">
        <w:rPr>
          <w:rFonts w:asciiTheme="minorHAnsi" w:hAnsiTheme="minorHAnsi" w:cstheme="minorHAnsi"/>
          <w:szCs w:val="22"/>
        </w:rPr>
        <w:tab/>
      </w:r>
      <w:proofErr w:type="gramStart"/>
      <w:r w:rsidRPr="00010774">
        <w:rPr>
          <w:rFonts w:asciiTheme="minorHAnsi" w:hAnsiTheme="minorHAnsi" w:cstheme="minorHAnsi"/>
          <w:szCs w:val="22"/>
        </w:rPr>
        <w:t>a</w:t>
      </w:r>
      <w:proofErr w:type="gramEnd"/>
      <w:r w:rsidRPr="00010774">
        <w:rPr>
          <w:rFonts w:asciiTheme="minorHAnsi" w:hAnsiTheme="minorHAnsi" w:cstheme="minorHAnsi"/>
          <w:szCs w:val="22"/>
        </w:rPr>
        <w:t xml:space="preserve"> small, single cell battery of a chemistry other than lithium with a diameter of 16 mm or greater.</w:t>
      </w:r>
    </w:p>
    <w:p w14:paraId="207AFAB3" w14:textId="77777777" w:rsidR="002B23B8" w:rsidRPr="002B23B8" w:rsidRDefault="002B23B8" w:rsidP="002B23B8">
      <w:pPr>
        <w:pStyle w:val="Definition"/>
        <w:numPr>
          <w:ilvl w:val="0"/>
          <w:numId w:val="32"/>
        </w:numPr>
        <w:ind w:left="426"/>
        <w:rPr>
          <w:rFonts w:asciiTheme="minorHAnsi" w:hAnsiTheme="minorHAnsi" w:cstheme="minorHAnsi"/>
          <w:szCs w:val="22"/>
        </w:rPr>
      </w:pPr>
      <w:r w:rsidRPr="002B23B8">
        <w:rPr>
          <w:rFonts w:asciiTheme="minorHAnsi" w:hAnsiTheme="minorHAnsi" w:cstheme="minorHAnsi"/>
          <w:b/>
          <w:i/>
          <w:szCs w:val="22"/>
        </w:rPr>
        <w:t>Australian (Non</w:t>
      </w:r>
      <w:r w:rsidRPr="002B23B8">
        <w:rPr>
          <w:rFonts w:asciiTheme="minorHAnsi" w:hAnsiTheme="minorHAnsi" w:cstheme="minorHAnsi"/>
          <w:b/>
          <w:i/>
          <w:szCs w:val="22"/>
        </w:rPr>
        <w:noBreakHyphen/>
      </w:r>
      <w:proofErr w:type="spellStart"/>
      <w:r w:rsidRPr="002B23B8">
        <w:rPr>
          <w:rFonts w:asciiTheme="minorHAnsi" w:hAnsiTheme="minorHAnsi" w:cstheme="minorHAnsi"/>
          <w:b/>
          <w:i/>
          <w:szCs w:val="22"/>
        </w:rPr>
        <w:t>reclosable</w:t>
      </w:r>
      <w:proofErr w:type="spellEnd"/>
      <w:r w:rsidRPr="002B23B8">
        <w:rPr>
          <w:rFonts w:asciiTheme="minorHAnsi" w:hAnsiTheme="minorHAnsi" w:cstheme="minorHAnsi"/>
          <w:b/>
          <w:i/>
          <w:szCs w:val="22"/>
        </w:rPr>
        <w:t xml:space="preserve"> Packaging) Standard </w:t>
      </w:r>
      <w:r w:rsidRPr="002B23B8">
        <w:rPr>
          <w:rFonts w:asciiTheme="minorHAnsi" w:hAnsiTheme="minorHAnsi" w:cstheme="minorHAnsi"/>
          <w:szCs w:val="22"/>
        </w:rPr>
        <w:t xml:space="preserve">means the Australian Standard </w:t>
      </w:r>
      <w:r w:rsidRPr="002B23B8">
        <w:rPr>
          <w:rFonts w:asciiTheme="minorHAnsi" w:hAnsiTheme="minorHAnsi" w:cstheme="minorHAnsi"/>
          <w:i/>
          <w:szCs w:val="22"/>
        </w:rPr>
        <w:t>AS 5808</w:t>
      </w:r>
      <w:r w:rsidRPr="002B23B8">
        <w:rPr>
          <w:rFonts w:asciiTheme="minorHAnsi" w:hAnsiTheme="minorHAnsi" w:cstheme="minorHAnsi"/>
          <w:i/>
          <w:szCs w:val="22"/>
        </w:rPr>
        <w:noBreakHyphen/>
        <w:t>2009 Child</w:t>
      </w:r>
      <w:r w:rsidRPr="002B23B8">
        <w:rPr>
          <w:rFonts w:asciiTheme="minorHAnsi" w:hAnsiTheme="minorHAnsi" w:cstheme="minorHAnsi"/>
          <w:i/>
          <w:szCs w:val="22"/>
        </w:rPr>
        <w:noBreakHyphen/>
        <w:t>resistant packaging Requirement and testing procedures for non</w:t>
      </w:r>
      <w:r w:rsidRPr="002B23B8">
        <w:rPr>
          <w:rFonts w:asciiTheme="minorHAnsi" w:hAnsiTheme="minorHAnsi" w:cstheme="minorHAnsi"/>
          <w:i/>
          <w:szCs w:val="22"/>
        </w:rPr>
        <w:noBreakHyphen/>
      </w:r>
      <w:proofErr w:type="spellStart"/>
      <w:r w:rsidRPr="002B23B8">
        <w:rPr>
          <w:rFonts w:asciiTheme="minorHAnsi" w:hAnsiTheme="minorHAnsi" w:cstheme="minorHAnsi"/>
          <w:i/>
          <w:szCs w:val="22"/>
        </w:rPr>
        <w:t>reclosable</w:t>
      </w:r>
      <w:proofErr w:type="spellEnd"/>
      <w:r w:rsidRPr="002B23B8">
        <w:rPr>
          <w:rFonts w:asciiTheme="minorHAnsi" w:hAnsiTheme="minorHAnsi" w:cstheme="minorHAnsi"/>
          <w:i/>
          <w:szCs w:val="22"/>
        </w:rPr>
        <w:t xml:space="preserve"> packages for non</w:t>
      </w:r>
      <w:r w:rsidRPr="002B23B8">
        <w:rPr>
          <w:rFonts w:asciiTheme="minorHAnsi" w:hAnsiTheme="minorHAnsi" w:cstheme="minorHAnsi"/>
          <w:i/>
          <w:szCs w:val="22"/>
        </w:rPr>
        <w:noBreakHyphen/>
        <w:t>pharmaceutical products</w:t>
      </w:r>
      <w:r w:rsidRPr="002B23B8">
        <w:rPr>
          <w:rFonts w:asciiTheme="minorHAnsi" w:hAnsiTheme="minorHAnsi" w:cstheme="minorHAnsi"/>
          <w:szCs w:val="22"/>
        </w:rPr>
        <w:t>, published by Standards Australia, as in force or existing at the time when this instrument commences.</w:t>
      </w:r>
    </w:p>
    <w:p w14:paraId="28F070C8" w14:textId="77777777" w:rsidR="002B23B8" w:rsidRPr="002B23B8" w:rsidRDefault="002B23B8" w:rsidP="002B23B8">
      <w:pPr>
        <w:pStyle w:val="Definition"/>
        <w:numPr>
          <w:ilvl w:val="0"/>
          <w:numId w:val="32"/>
        </w:numPr>
        <w:ind w:left="426"/>
        <w:rPr>
          <w:rFonts w:asciiTheme="minorHAnsi" w:hAnsiTheme="minorHAnsi" w:cstheme="minorHAnsi"/>
          <w:szCs w:val="22"/>
        </w:rPr>
      </w:pPr>
      <w:r w:rsidRPr="002B23B8">
        <w:rPr>
          <w:rFonts w:asciiTheme="minorHAnsi" w:hAnsiTheme="minorHAnsi" w:cstheme="minorHAnsi"/>
          <w:b/>
          <w:i/>
          <w:szCs w:val="22"/>
        </w:rPr>
        <w:t>Australian (</w:t>
      </w:r>
      <w:proofErr w:type="spellStart"/>
      <w:r w:rsidRPr="002B23B8">
        <w:rPr>
          <w:rFonts w:asciiTheme="minorHAnsi" w:hAnsiTheme="minorHAnsi" w:cstheme="minorHAnsi"/>
          <w:b/>
          <w:i/>
          <w:szCs w:val="22"/>
        </w:rPr>
        <w:t>Reclosable</w:t>
      </w:r>
      <w:proofErr w:type="spellEnd"/>
      <w:r w:rsidRPr="002B23B8">
        <w:rPr>
          <w:rFonts w:asciiTheme="minorHAnsi" w:hAnsiTheme="minorHAnsi" w:cstheme="minorHAnsi"/>
          <w:b/>
          <w:i/>
          <w:szCs w:val="22"/>
        </w:rPr>
        <w:t xml:space="preserve"> Packaging) Standard</w:t>
      </w:r>
      <w:r w:rsidRPr="002B23B8">
        <w:rPr>
          <w:rFonts w:asciiTheme="minorHAnsi" w:hAnsiTheme="minorHAnsi" w:cstheme="minorHAnsi"/>
          <w:szCs w:val="22"/>
        </w:rPr>
        <w:t xml:space="preserve"> means the Australian Standard </w:t>
      </w:r>
      <w:r w:rsidRPr="002B23B8">
        <w:rPr>
          <w:rFonts w:asciiTheme="minorHAnsi" w:hAnsiTheme="minorHAnsi" w:cstheme="minorHAnsi"/>
          <w:i/>
          <w:szCs w:val="22"/>
        </w:rPr>
        <w:t>AS 1928</w:t>
      </w:r>
      <w:r w:rsidRPr="002B23B8">
        <w:rPr>
          <w:rFonts w:asciiTheme="minorHAnsi" w:hAnsiTheme="minorHAnsi" w:cstheme="minorHAnsi"/>
          <w:i/>
          <w:szCs w:val="22"/>
        </w:rPr>
        <w:noBreakHyphen/>
        <w:t>2007 Child</w:t>
      </w:r>
      <w:r w:rsidRPr="002B23B8">
        <w:rPr>
          <w:rFonts w:asciiTheme="minorHAnsi" w:hAnsiTheme="minorHAnsi" w:cstheme="minorHAnsi"/>
          <w:i/>
          <w:szCs w:val="22"/>
        </w:rPr>
        <w:noBreakHyphen/>
        <w:t>resistant packaging</w:t>
      </w:r>
      <w:r w:rsidRPr="002B23B8">
        <w:rPr>
          <w:rFonts w:asciiTheme="minorHAnsi" w:hAnsiTheme="minorHAnsi" w:cstheme="minorHAnsi"/>
          <w:i/>
          <w:szCs w:val="22"/>
        </w:rPr>
        <w:noBreakHyphen/>
        <w:t xml:space="preserve">Requirements and testing procedures for </w:t>
      </w:r>
      <w:proofErr w:type="spellStart"/>
      <w:r w:rsidRPr="002B23B8">
        <w:rPr>
          <w:rFonts w:asciiTheme="minorHAnsi" w:hAnsiTheme="minorHAnsi" w:cstheme="minorHAnsi"/>
          <w:i/>
          <w:szCs w:val="22"/>
        </w:rPr>
        <w:t>reclosable</w:t>
      </w:r>
      <w:proofErr w:type="spellEnd"/>
      <w:r w:rsidRPr="002B23B8">
        <w:rPr>
          <w:rFonts w:asciiTheme="minorHAnsi" w:hAnsiTheme="minorHAnsi" w:cstheme="minorHAnsi"/>
          <w:i/>
          <w:szCs w:val="22"/>
        </w:rPr>
        <w:t xml:space="preserve"> packages, </w:t>
      </w:r>
      <w:r w:rsidRPr="002B23B8">
        <w:rPr>
          <w:rFonts w:asciiTheme="minorHAnsi" w:hAnsiTheme="minorHAnsi" w:cstheme="minorHAnsi"/>
          <w:szCs w:val="22"/>
        </w:rPr>
        <w:t>published by Standards Australia, as in force or existing at the time when this instrument commences.</w:t>
      </w:r>
    </w:p>
    <w:p w14:paraId="2B2374A3" w14:textId="77777777" w:rsidR="002B23B8" w:rsidRPr="002B23B8" w:rsidRDefault="002B23B8" w:rsidP="002B23B8">
      <w:pPr>
        <w:pStyle w:val="Definition"/>
        <w:numPr>
          <w:ilvl w:val="0"/>
          <w:numId w:val="32"/>
        </w:numPr>
        <w:ind w:left="426"/>
        <w:rPr>
          <w:rFonts w:asciiTheme="minorHAnsi" w:hAnsiTheme="minorHAnsi" w:cstheme="minorHAnsi"/>
          <w:szCs w:val="22"/>
        </w:rPr>
      </w:pPr>
      <w:r w:rsidRPr="002B23B8">
        <w:rPr>
          <w:rFonts w:asciiTheme="minorHAnsi" w:hAnsiTheme="minorHAnsi" w:cstheme="minorHAnsi"/>
          <w:b/>
          <w:i/>
          <w:szCs w:val="22"/>
        </w:rPr>
        <w:t>European (Non</w:t>
      </w:r>
      <w:r w:rsidRPr="002B23B8">
        <w:rPr>
          <w:rFonts w:asciiTheme="minorHAnsi" w:hAnsiTheme="minorHAnsi" w:cstheme="minorHAnsi"/>
          <w:b/>
          <w:i/>
          <w:szCs w:val="22"/>
        </w:rPr>
        <w:noBreakHyphen/>
      </w:r>
      <w:proofErr w:type="spellStart"/>
      <w:r w:rsidRPr="002B23B8">
        <w:rPr>
          <w:rFonts w:asciiTheme="minorHAnsi" w:hAnsiTheme="minorHAnsi" w:cstheme="minorHAnsi"/>
          <w:b/>
          <w:i/>
          <w:szCs w:val="22"/>
        </w:rPr>
        <w:t>reclosable</w:t>
      </w:r>
      <w:proofErr w:type="spellEnd"/>
      <w:r w:rsidRPr="002B23B8">
        <w:rPr>
          <w:rFonts w:asciiTheme="minorHAnsi" w:hAnsiTheme="minorHAnsi" w:cstheme="minorHAnsi"/>
          <w:b/>
          <w:i/>
          <w:szCs w:val="22"/>
        </w:rPr>
        <w:t xml:space="preserve"> Packaging) Standard </w:t>
      </w:r>
      <w:r w:rsidRPr="002B23B8">
        <w:rPr>
          <w:rFonts w:asciiTheme="minorHAnsi" w:hAnsiTheme="minorHAnsi" w:cstheme="minorHAnsi"/>
          <w:szCs w:val="22"/>
        </w:rPr>
        <w:t xml:space="preserve">means the European Standard </w:t>
      </w:r>
      <w:r w:rsidRPr="002B23B8">
        <w:rPr>
          <w:rFonts w:asciiTheme="minorHAnsi" w:hAnsiTheme="minorHAnsi" w:cstheme="minorHAnsi"/>
          <w:i/>
          <w:szCs w:val="22"/>
        </w:rPr>
        <w:t>EN 862: 2016 Packaging</w:t>
      </w:r>
      <w:r w:rsidRPr="002B23B8">
        <w:rPr>
          <w:rFonts w:asciiTheme="minorHAnsi" w:hAnsiTheme="minorHAnsi" w:cstheme="minorHAnsi"/>
          <w:i/>
          <w:szCs w:val="22"/>
        </w:rPr>
        <w:noBreakHyphen/>
        <w:t>Child resistant packing</w:t>
      </w:r>
      <w:r w:rsidRPr="002B23B8">
        <w:rPr>
          <w:rFonts w:asciiTheme="minorHAnsi" w:hAnsiTheme="minorHAnsi" w:cstheme="minorHAnsi"/>
          <w:i/>
          <w:szCs w:val="22"/>
        </w:rPr>
        <w:noBreakHyphen/>
        <w:t>Requirements and testing procedures for non</w:t>
      </w:r>
      <w:r w:rsidRPr="002B23B8">
        <w:rPr>
          <w:rFonts w:asciiTheme="minorHAnsi" w:hAnsiTheme="minorHAnsi" w:cstheme="minorHAnsi"/>
          <w:i/>
          <w:szCs w:val="22"/>
        </w:rPr>
        <w:noBreakHyphen/>
      </w:r>
      <w:proofErr w:type="spellStart"/>
      <w:r w:rsidRPr="002B23B8">
        <w:rPr>
          <w:rFonts w:asciiTheme="minorHAnsi" w:hAnsiTheme="minorHAnsi" w:cstheme="minorHAnsi"/>
          <w:i/>
          <w:szCs w:val="22"/>
        </w:rPr>
        <w:t>reclosable</w:t>
      </w:r>
      <w:proofErr w:type="spellEnd"/>
      <w:r w:rsidRPr="002B23B8">
        <w:rPr>
          <w:rFonts w:asciiTheme="minorHAnsi" w:hAnsiTheme="minorHAnsi" w:cstheme="minorHAnsi"/>
          <w:i/>
          <w:szCs w:val="22"/>
        </w:rPr>
        <w:t xml:space="preserve"> packages for non</w:t>
      </w:r>
      <w:r w:rsidRPr="002B23B8">
        <w:rPr>
          <w:rFonts w:asciiTheme="minorHAnsi" w:hAnsiTheme="minorHAnsi" w:cstheme="minorHAnsi"/>
          <w:i/>
          <w:szCs w:val="22"/>
        </w:rPr>
        <w:noBreakHyphen/>
        <w:t>pharmaceutical products</w:t>
      </w:r>
      <w:r w:rsidRPr="002B23B8">
        <w:rPr>
          <w:rFonts w:asciiTheme="minorHAnsi" w:hAnsiTheme="minorHAnsi" w:cstheme="minorHAnsi"/>
          <w:szCs w:val="22"/>
        </w:rPr>
        <w:t>, published by the European Committee for Standardization</w:t>
      </w:r>
      <w:bookmarkStart w:id="1" w:name="BK_S3P2L19C66"/>
      <w:bookmarkEnd w:id="1"/>
      <w:r w:rsidRPr="002B23B8">
        <w:rPr>
          <w:rFonts w:asciiTheme="minorHAnsi" w:hAnsiTheme="minorHAnsi" w:cstheme="minorHAnsi"/>
          <w:szCs w:val="22"/>
        </w:rPr>
        <w:t>, as in force or existing at the time when this instrument commences.</w:t>
      </w:r>
    </w:p>
    <w:p w14:paraId="12EC3FD2" w14:textId="77777777" w:rsidR="002B23B8" w:rsidRPr="002B23B8" w:rsidRDefault="002B23B8" w:rsidP="002B23B8">
      <w:pPr>
        <w:pStyle w:val="Definition"/>
        <w:numPr>
          <w:ilvl w:val="0"/>
          <w:numId w:val="32"/>
        </w:numPr>
        <w:ind w:left="426"/>
        <w:rPr>
          <w:rFonts w:asciiTheme="minorHAnsi" w:hAnsiTheme="minorHAnsi" w:cstheme="minorHAnsi"/>
          <w:szCs w:val="22"/>
        </w:rPr>
      </w:pPr>
      <w:r w:rsidRPr="002B23B8">
        <w:rPr>
          <w:rFonts w:asciiTheme="minorHAnsi" w:hAnsiTheme="minorHAnsi" w:cstheme="minorHAnsi"/>
          <w:b/>
          <w:i/>
          <w:szCs w:val="22"/>
        </w:rPr>
        <w:t>International (Non</w:t>
      </w:r>
      <w:r w:rsidRPr="002B23B8">
        <w:rPr>
          <w:rFonts w:asciiTheme="minorHAnsi" w:hAnsiTheme="minorHAnsi" w:cstheme="minorHAnsi"/>
          <w:b/>
          <w:i/>
          <w:szCs w:val="22"/>
        </w:rPr>
        <w:noBreakHyphen/>
      </w:r>
      <w:proofErr w:type="spellStart"/>
      <w:r w:rsidRPr="002B23B8">
        <w:rPr>
          <w:rFonts w:asciiTheme="minorHAnsi" w:hAnsiTheme="minorHAnsi" w:cstheme="minorHAnsi"/>
          <w:b/>
          <w:i/>
          <w:szCs w:val="22"/>
        </w:rPr>
        <w:t>reclosable</w:t>
      </w:r>
      <w:proofErr w:type="spellEnd"/>
      <w:r w:rsidRPr="002B23B8">
        <w:rPr>
          <w:rFonts w:asciiTheme="minorHAnsi" w:hAnsiTheme="minorHAnsi" w:cstheme="minorHAnsi"/>
          <w:b/>
          <w:i/>
          <w:szCs w:val="22"/>
        </w:rPr>
        <w:t xml:space="preserve"> Packaging)</w:t>
      </w:r>
      <w:r w:rsidRPr="002B23B8">
        <w:rPr>
          <w:rFonts w:asciiTheme="minorHAnsi" w:hAnsiTheme="minorHAnsi" w:cstheme="minorHAnsi"/>
          <w:b/>
          <w:szCs w:val="22"/>
        </w:rPr>
        <w:t xml:space="preserve"> </w:t>
      </w:r>
      <w:r w:rsidRPr="002B23B8">
        <w:rPr>
          <w:rFonts w:asciiTheme="minorHAnsi" w:hAnsiTheme="minorHAnsi" w:cstheme="minorHAnsi"/>
          <w:b/>
          <w:i/>
          <w:szCs w:val="22"/>
        </w:rPr>
        <w:t xml:space="preserve">Standard </w:t>
      </w:r>
      <w:r w:rsidRPr="002B23B8">
        <w:rPr>
          <w:rFonts w:asciiTheme="minorHAnsi" w:hAnsiTheme="minorHAnsi" w:cstheme="minorHAnsi"/>
          <w:szCs w:val="22"/>
        </w:rPr>
        <w:t xml:space="preserve">means the International Standard </w:t>
      </w:r>
      <w:r w:rsidRPr="002B23B8">
        <w:rPr>
          <w:rFonts w:asciiTheme="minorHAnsi" w:hAnsiTheme="minorHAnsi" w:cstheme="minorHAnsi"/>
          <w:i/>
          <w:szCs w:val="22"/>
        </w:rPr>
        <w:t>ISO 28862: 2018 Packaging</w:t>
      </w:r>
      <w:r w:rsidRPr="002B23B8">
        <w:rPr>
          <w:rFonts w:asciiTheme="minorHAnsi" w:hAnsiTheme="minorHAnsi" w:cstheme="minorHAnsi"/>
          <w:i/>
          <w:szCs w:val="22"/>
        </w:rPr>
        <w:noBreakHyphen/>
        <w:t>Child</w:t>
      </w:r>
      <w:r w:rsidRPr="002B23B8">
        <w:rPr>
          <w:rFonts w:asciiTheme="minorHAnsi" w:hAnsiTheme="minorHAnsi" w:cstheme="minorHAnsi"/>
          <w:i/>
          <w:szCs w:val="22"/>
        </w:rPr>
        <w:noBreakHyphen/>
        <w:t>resistant packaging</w:t>
      </w:r>
      <w:r w:rsidRPr="002B23B8">
        <w:rPr>
          <w:rFonts w:asciiTheme="minorHAnsi" w:hAnsiTheme="minorHAnsi" w:cstheme="minorHAnsi"/>
          <w:i/>
          <w:szCs w:val="22"/>
        </w:rPr>
        <w:noBreakHyphen/>
        <w:t>Requirements and testing procedures for non</w:t>
      </w:r>
      <w:r w:rsidRPr="002B23B8">
        <w:rPr>
          <w:rFonts w:asciiTheme="minorHAnsi" w:hAnsiTheme="minorHAnsi" w:cstheme="minorHAnsi"/>
          <w:i/>
          <w:szCs w:val="22"/>
        </w:rPr>
        <w:noBreakHyphen/>
      </w:r>
      <w:proofErr w:type="spellStart"/>
      <w:r w:rsidRPr="002B23B8">
        <w:rPr>
          <w:rFonts w:asciiTheme="minorHAnsi" w:hAnsiTheme="minorHAnsi" w:cstheme="minorHAnsi"/>
          <w:i/>
          <w:szCs w:val="22"/>
        </w:rPr>
        <w:t>reclosable</w:t>
      </w:r>
      <w:proofErr w:type="spellEnd"/>
      <w:r w:rsidRPr="002B23B8">
        <w:rPr>
          <w:rFonts w:asciiTheme="minorHAnsi" w:hAnsiTheme="minorHAnsi" w:cstheme="minorHAnsi"/>
          <w:i/>
          <w:szCs w:val="22"/>
        </w:rPr>
        <w:t xml:space="preserve"> packages for non</w:t>
      </w:r>
      <w:r w:rsidRPr="002B23B8">
        <w:rPr>
          <w:rFonts w:asciiTheme="minorHAnsi" w:hAnsiTheme="minorHAnsi" w:cstheme="minorHAnsi"/>
          <w:i/>
          <w:szCs w:val="22"/>
        </w:rPr>
        <w:noBreakHyphen/>
        <w:t>pharmaceutical products</w:t>
      </w:r>
      <w:r w:rsidRPr="002B23B8">
        <w:rPr>
          <w:rFonts w:asciiTheme="minorHAnsi" w:hAnsiTheme="minorHAnsi" w:cstheme="minorHAnsi"/>
          <w:szCs w:val="22"/>
        </w:rPr>
        <w:t>, published by the International Organization</w:t>
      </w:r>
      <w:bookmarkStart w:id="2" w:name="BK_S3P2L30C13"/>
      <w:bookmarkEnd w:id="2"/>
      <w:r w:rsidRPr="002B23B8">
        <w:rPr>
          <w:rFonts w:asciiTheme="minorHAnsi" w:hAnsiTheme="minorHAnsi" w:cstheme="minorHAnsi"/>
          <w:szCs w:val="22"/>
        </w:rPr>
        <w:t xml:space="preserve"> for Standardization</w:t>
      </w:r>
      <w:bookmarkStart w:id="3" w:name="BK_S3P2L30C33"/>
      <w:bookmarkEnd w:id="3"/>
      <w:r w:rsidRPr="002B23B8">
        <w:rPr>
          <w:rFonts w:asciiTheme="minorHAnsi" w:hAnsiTheme="minorHAnsi" w:cstheme="minorHAnsi"/>
          <w:szCs w:val="22"/>
        </w:rPr>
        <w:t>, as in force or existing at the time when this instrument commences.</w:t>
      </w:r>
    </w:p>
    <w:p w14:paraId="0C590A93" w14:textId="77777777" w:rsidR="002B23B8" w:rsidRPr="002B23B8" w:rsidRDefault="002B23B8" w:rsidP="002B23B8">
      <w:pPr>
        <w:pStyle w:val="Definition"/>
        <w:numPr>
          <w:ilvl w:val="0"/>
          <w:numId w:val="32"/>
        </w:numPr>
        <w:ind w:left="426"/>
        <w:rPr>
          <w:rFonts w:asciiTheme="minorHAnsi" w:hAnsiTheme="minorHAnsi" w:cstheme="minorHAnsi"/>
          <w:szCs w:val="22"/>
        </w:rPr>
      </w:pPr>
      <w:r w:rsidRPr="002B23B8">
        <w:rPr>
          <w:rFonts w:asciiTheme="minorHAnsi" w:hAnsiTheme="minorHAnsi" w:cstheme="minorHAnsi"/>
          <w:b/>
          <w:i/>
          <w:szCs w:val="22"/>
        </w:rPr>
        <w:t>International (</w:t>
      </w:r>
      <w:proofErr w:type="spellStart"/>
      <w:r w:rsidRPr="002B23B8">
        <w:rPr>
          <w:rFonts w:asciiTheme="minorHAnsi" w:hAnsiTheme="minorHAnsi" w:cstheme="minorHAnsi"/>
          <w:b/>
          <w:i/>
          <w:szCs w:val="22"/>
        </w:rPr>
        <w:t>Reclosable</w:t>
      </w:r>
      <w:proofErr w:type="spellEnd"/>
      <w:r w:rsidRPr="002B23B8">
        <w:rPr>
          <w:rFonts w:asciiTheme="minorHAnsi" w:hAnsiTheme="minorHAnsi" w:cstheme="minorHAnsi"/>
          <w:b/>
          <w:i/>
          <w:szCs w:val="22"/>
        </w:rPr>
        <w:t xml:space="preserve"> Packaging)</w:t>
      </w:r>
      <w:r w:rsidRPr="002B23B8">
        <w:rPr>
          <w:rFonts w:asciiTheme="minorHAnsi" w:hAnsiTheme="minorHAnsi" w:cstheme="minorHAnsi"/>
          <w:b/>
          <w:szCs w:val="22"/>
        </w:rPr>
        <w:t xml:space="preserve"> </w:t>
      </w:r>
      <w:r w:rsidRPr="002B23B8">
        <w:rPr>
          <w:rFonts w:asciiTheme="minorHAnsi" w:hAnsiTheme="minorHAnsi" w:cstheme="minorHAnsi"/>
          <w:b/>
          <w:i/>
          <w:szCs w:val="22"/>
        </w:rPr>
        <w:t xml:space="preserve">Standard </w:t>
      </w:r>
      <w:r w:rsidRPr="002B23B8">
        <w:rPr>
          <w:rFonts w:asciiTheme="minorHAnsi" w:hAnsiTheme="minorHAnsi" w:cstheme="minorHAnsi"/>
          <w:szCs w:val="22"/>
        </w:rPr>
        <w:t xml:space="preserve">means the International Standard </w:t>
      </w:r>
      <w:r w:rsidRPr="002B23B8">
        <w:rPr>
          <w:rFonts w:asciiTheme="minorHAnsi" w:hAnsiTheme="minorHAnsi" w:cstheme="minorHAnsi"/>
          <w:i/>
          <w:szCs w:val="22"/>
        </w:rPr>
        <w:t>ISO 8317: 2015 Child</w:t>
      </w:r>
      <w:r w:rsidRPr="002B23B8">
        <w:rPr>
          <w:rFonts w:asciiTheme="minorHAnsi" w:hAnsiTheme="minorHAnsi" w:cstheme="minorHAnsi"/>
          <w:i/>
          <w:szCs w:val="22"/>
        </w:rPr>
        <w:noBreakHyphen/>
        <w:t>resistant packaging</w:t>
      </w:r>
      <w:r w:rsidRPr="002B23B8">
        <w:rPr>
          <w:rFonts w:asciiTheme="minorHAnsi" w:hAnsiTheme="minorHAnsi" w:cstheme="minorHAnsi"/>
          <w:i/>
          <w:szCs w:val="22"/>
        </w:rPr>
        <w:noBreakHyphen/>
        <w:t xml:space="preserve">Requirements and testing procedures for </w:t>
      </w:r>
      <w:proofErr w:type="spellStart"/>
      <w:r w:rsidRPr="002B23B8">
        <w:rPr>
          <w:rFonts w:asciiTheme="minorHAnsi" w:hAnsiTheme="minorHAnsi" w:cstheme="minorHAnsi"/>
          <w:i/>
          <w:szCs w:val="22"/>
        </w:rPr>
        <w:t>reclosable</w:t>
      </w:r>
      <w:proofErr w:type="spellEnd"/>
      <w:r w:rsidRPr="002B23B8">
        <w:rPr>
          <w:rFonts w:asciiTheme="minorHAnsi" w:hAnsiTheme="minorHAnsi" w:cstheme="minorHAnsi"/>
          <w:i/>
          <w:szCs w:val="22"/>
        </w:rPr>
        <w:t xml:space="preserve"> packages</w:t>
      </w:r>
      <w:r w:rsidRPr="002B23B8">
        <w:rPr>
          <w:rFonts w:asciiTheme="minorHAnsi" w:hAnsiTheme="minorHAnsi" w:cstheme="minorHAnsi"/>
          <w:szCs w:val="22"/>
        </w:rPr>
        <w:t>, published by the International Organization</w:t>
      </w:r>
      <w:bookmarkStart w:id="4" w:name="BK_S3P2L39C13"/>
      <w:bookmarkEnd w:id="4"/>
      <w:r w:rsidRPr="002B23B8">
        <w:rPr>
          <w:rFonts w:asciiTheme="minorHAnsi" w:hAnsiTheme="minorHAnsi" w:cstheme="minorHAnsi"/>
          <w:szCs w:val="22"/>
        </w:rPr>
        <w:t xml:space="preserve"> for Standardization</w:t>
      </w:r>
      <w:bookmarkStart w:id="5" w:name="BK_S3P2L40C33"/>
      <w:bookmarkEnd w:id="5"/>
      <w:r w:rsidRPr="002B23B8">
        <w:rPr>
          <w:rFonts w:asciiTheme="minorHAnsi" w:hAnsiTheme="minorHAnsi" w:cstheme="minorHAnsi"/>
          <w:szCs w:val="22"/>
        </w:rPr>
        <w:t>, as in force or existing at the time when this instrument commences.</w:t>
      </w:r>
    </w:p>
    <w:p w14:paraId="4EF74E1E" w14:textId="77777777" w:rsidR="002B23B8" w:rsidRPr="002B23B8" w:rsidRDefault="002B23B8" w:rsidP="002B23B8">
      <w:pPr>
        <w:pStyle w:val="Definition"/>
        <w:numPr>
          <w:ilvl w:val="0"/>
          <w:numId w:val="32"/>
        </w:numPr>
        <w:ind w:left="426"/>
        <w:rPr>
          <w:rFonts w:asciiTheme="minorHAnsi" w:hAnsiTheme="minorHAnsi" w:cstheme="minorHAnsi"/>
          <w:szCs w:val="22"/>
        </w:rPr>
      </w:pPr>
      <w:r w:rsidRPr="002B23B8">
        <w:rPr>
          <w:rFonts w:asciiTheme="minorHAnsi" w:hAnsiTheme="minorHAnsi" w:cstheme="minorHAnsi"/>
          <w:b/>
          <w:i/>
          <w:szCs w:val="22"/>
        </w:rPr>
        <w:t>Primary Batteries Standard</w:t>
      </w:r>
      <w:r w:rsidRPr="002B23B8">
        <w:rPr>
          <w:rFonts w:asciiTheme="minorHAnsi" w:hAnsiTheme="minorHAnsi" w:cstheme="minorHAnsi"/>
          <w:szCs w:val="22"/>
        </w:rPr>
        <w:t xml:space="preserve"> means the International Standard </w:t>
      </w:r>
      <w:r w:rsidRPr="002B23B8">
        <w:rPr>
          <w:rFonts w:asciiTheme="minorHAnsi" w:hAnsiTheme="minorHAnsi" w:cstheme="minorHAnsi"/>
          <w:i/>
          <w:szCs w:val="22"/>
        </w:rPr>
        <w:t>IEC 60086</w:t>
      </w:r>
      <w:r w:rsidRPr="002B23B8">
        <w:rPr>
          <w:rFonts w:asciiTheme="minorHAnsi" w:hAnsiTheme="minorHAnsi" w:cstheme="minorHAnsi"/>
          <w:i/>
          <w:szCs w:val="22"/>
        </w:rPr>
        <w:noBreakHyphen/>
        <w:t>4: 2019 Primary Batteries Part 4: Safety of lithium batteries</w:t>
      </w:r>
      <w:r w:rsidRPr="002B23B8">
        <w:rPr>
          <w:rFonts w:asciiTheme="minorHAnsi" w:hAnsiTheme="minorHAnsi" w:cstheme="minorHAnsi"/>
          <w:szCs w:val="22"/>
        </w:rPr>
        <w:t xml:space="preserve">, published by the International </w:t>
      </w:r>
      <w:proofErr w:type="spellStart"/>
      <w:r w:rsidRPr="002B23B8">
        <w:rPr>
          <w:rFonts w:asciiTheme="minorHAnsi" w:hAnsiTheme="minorHAnsi" w:cstheme="minorHAnsi"/>
          <w:szCs w:val="22"/>
        </w:rPr>
        <w:t>Electrotechnical</w:t>
      </w:r>
      <w:proofErr w:type="spellEnd"/>
      <w:r w:rsidRPr="002B23B8">
        <w:rPr>
          <w:rFonts w:asciiTheme="minorHAnsi" w:hAnsiTheme="minorHAnsi" w:cstheme="minorHAnsi"/>
          <w:szCs w:val="22"/>
        </w:rPr>
        <w:t xml:space="preserve"> Commission, as in force or existing at the time when this instrument commences.</w:t>
      </w:r>
    </w:p>
    <w:p w14:paraId="007CAEE4" w14:textId="77777777" w:rsidR="002B23B8" w:rsidRPr="002B23B8" w:rsidRDefault="002B23B8" w:rsidP="002B23B8">
      <w:pPr>
        <w:pStyle w:val="Definition"/>
        <w:numPr>
          <w:ilvl w:val="0"/>
          <w:numId w:val="32"/>
        </w:numPr>
        <w:ind w:left="426"/>
        <w:rPr>
          <w:rFonts w:asciiTheme="minorHAnsi" w:hAnsiTheme="minorHAnsi" w:cstheme="minorHAnsi"/>
          <w:szCs w:val="22"/>
        </w:rPr>
      </w:pPr>
      <w:r w:rsidRPr="002B23B8">
        <w:rPr>
          <w:rFonts w:asciiTheme="minorHAnsi" w:hAnsiTheme="minorHAnsi" w:cstheme="minorHAnsi"/>
          <w:b/>
          <w:i/>
          <w:szCs w:val="22"/>
        </w:rPr>
        <w:t xml:space="preserve">US Poison Prevention Packaging Standard </w:t>
      </w:r>
      <w:r w:rsidRPr="002B23B8">
        <w:rPr>
          <w:rFonts w:asciiTheme="minorHAnsi" w:hAnsiTheme="minorHAnsi" w:cstheme="minorHAnsi"/>
          <w:szCs w:val="22"/>
        </w:rPr>
        <w:t>means Subchapter E (Poison Prevention Packaging Act of 1970 Regulations) of Chapter 2 (Consumer Product Safety Commission) of Title 16 of the Code of Federal Regulations, published by the Office of the Federal Register National Archives and Records Administration of the United States of America, as in force or existing at the time when this instrument commences.</w:t>
      </w:r>
    </w:p>
    <w:p w14:paraId="4A4E1A13" w14:textId="77777777" w:rsidR="00B92632" w:rsidRPr="002B23B8" w:rsidRDefault="00B92632" w:rsidP="002B23B8">
      <w:pPr>
        <w:rPr>
          <w:rFonts w:cs="Arial"/>
          <w:b/>
          <w:bCs/>
        </w:rPr>
      </w:pPr>
      <w:r w:rsidRPr="002B23B8">
        <w:rPr>
          <w:rFonts w:cs="Arial"/>
          <w:b/>
          <w:bCs/>
        </w:rPr>
        <w:t>Access to Australian and international standards</w:t>
      </w:r>
    </w:p>
    <w:p w14:paraId="314B1C0D" w14:textId="77777777" w:rsidR="00B92632" w:rsidRDefault="00B92632" w:rsidP="002B23B8">
      <w:pPr>
        <w:pStyle w:val="Definition"/>
        <w:ind w:left="0"/>
        <w:rPr>
          <w:rFonts w:ascii="Arial" w:hAnsi="Arial" w:cs="Arial"/>
          <w:szCs w:val="22"/>
        </w:rPr>
      </w:pPr>
      <w:r w:rsidRPr="009127E7">
        <w:rPr>
          <w:rFonts w:ascii="Arial" w:hAnsi="Arial" w:cs="Arial"/>
          <w:szCs w:val="22"/>
        </w:rPr>
        <w:t xml:space="preserve">Where practical, product safety </w:t>
      </w:r>
      <w:r>
        <w:rPr>
          <w:rFonts w:ascii="Arial" w:hAnsi="Arial" w:cs="Arial"/>
          <w:szCs w:val="22"/>
        </w:rPr>
        <w:t xml:space="preserve">legislative </w:t>
      </w:r>
      <w:r w:rsidRPr="009127E7">
        <w:rPr>
          <w:rFonts w:ascii="Arial" w:hAnsi="Arial" w:cs="Arial"/>
          <w:szCs w:val="22"/>
        </w:rPr>
        <w:t xml:space="preserve">instruments only reference extrinsic material that is readily accessible for free </w:t>
      </w:r>
      <w:r>
        <w:rPr>
          <w:rFonts w:ascii="Arial" w:hAnsi="Arial" w:cs="Arial"/>
          <w:szCs w:val="22"/>
        </w:rPr>
        <w:t>by</w:t>
      </w:r>
      <w:r w:rsidRPr="009127E7">
        <w:rPr>
          <w:rFonts w:ascii="Arial" w:hAnsi="Arial" w:cs="Arial"/>
          <w:szCs w:val="22"/>
        </w:rPr>
        <w:t xml:space="preserve"> the public. However, as in the current case, </w:t>
      </w:r>
      <w:r>
        <w:rPr>
          <w:rFonts w:ascii="Arial" w:hAnsi="Arial" w:cs="Arial"/>
          <w:szCs w:val="22"/>
        </w:rPr>
        <w:t xml:space="preserve">many </w:t>
      </w:r>
      <w:r w:rsidRPr="009127E7">
        <w:rPr>
          <w:rFonts w:ascii="Arial" w:hAnsi="Arial" w:cs="Arial"/>
          <w:szCs w:val="22"/>
        </w:rPr>
        <w:t>product safety legislative instruments need to incorporate extrinsic technical standards over which certain bodies have copyright</w:t>
      </w:r>
      <w:r>
        <w:rPr>
          <w:rFonts w:ascii="Arial" w:hAnsi="Arial" w:cs="Arial"/>
          <w:szCs w:val="22"/>
        </w:rPr>
        <w:t>, which means the standards must be purchased</w:t>
      </w:r>
      <w:r w:rsidRPr="009127E7">
        <w:rPr>
          <w:rFonts w:ascii="Arial" w:hAnsi="Arial" w:cs="Arial"/>
          <w:szCs w:val="22"/>
        </w:rPr>
        <w:t xml:space="preserve">. </w:t>
      </w:r>
    </w:p>
    <w:p w14:paraId="73ECC232" w14:textId="77777777" w:rsidR="0084615E" w:rsidRDefault="0084615E" w:rsidP="006509EC">
      <w:pPr>
        <w:pStyle w:val="Definition"/>
        <w:ind w:left="0"/>
        <w:rPr>
          <w:rFonts w:asciiTheme="minorHAnsi" w:hAnsiTheme="minorHAnsi" w:cstheme="minorHAnsi"/>
          <w:szCs w:val="22"/>
        </w:rPr>
      </w:pPr>
      <w:r>
        <w:rPr>
          <w:rFonts w:asciiTheme="minorHAnsi" w:hAnsiTheme="minorHAnsi" w:cstheme="minorHAnsi"/>
          <w:szCs w:val="22"/>
        </w:rPr>
        <w:br w:type="page"/>
      </w:r>
    </w:p>
    <w:p w14:paraId="1B745510" w14:textId="2B9E5342" w:rsidR="002B23B8" w:rsidRPr="003E0EFC" w:rsidRDefault="002B23B8" w:rsidP="006509EC">
      <w:pPr>
        <w:pStyle w:val="Definition"/>
        <w:ind w:left="0"/>
        <w:rPr>
          <w:rFonts w:asciiTheme="minorHAnsi" w:hAnsiTheme="minorHAnsi" w:cstheme="minorHAnsi"/>
          <w:szCs w:val="22"/>
        </w:rPr>
      </w:pPr>
      <w:r w:rsidRPr="003E0EFC">
        <w:rPr>
          <w:rFonts w:asciiTheme="minorHAnsi" w:hAnsiTheme="minorHAnsi" w:cstheme="minorHAnsi"/>
          <w:szCs w:val="22"/>
        </w:rPr>
        <w:lastRenderedPageBreak/>
        <w:t>The Australian (Non</w:t>
      </w:r>
      <w:r w:rsidRPr="003E0EFC">
        <w:rPr>
          <w:rFonts w:asciiTheme="minorHAnsi" w:hAnsiTheme="minorHAnsi" w:cstheme="minorHAnsi"/>
          <w:szCs w:val="22"/>
        </w:rPr>
        <w:noBreakHyphen/>
      </w:r>
      <w:proofErr w:type="spellStart"/>
      <w:r w:rsidRPr="003E0EFC">
        <w:rPr>
          <w:rFonts w:asciiTheme="minorHAnsi" w:hAnsiTheme="minorHAnsi" w:cstheme="minorHAnsi"/>
          <w:szCs w:val="22"/>
        </w:rPr>
        <w:t>reclosable</w:t>
      </w:r>
      <w:proofErr w:type="spellEnd"/>
      <w:r w:rsidRPr="003E0EFC">
        <w:rPr>
          <w:rFonts w:asciiTheme="minorHAnsi" w:hAnsiTheme="minorHAnsi" w:cstheme="minorHAnsi"/>
          <w:szCs w:val="22"/>
        </w:rPr>
        <w:t xml:space="preserve"> Packaging) Standard</w:t>
      </w:r>
      <w:r w:rsidR="00010774">
        <w:rPr>
          <w:rFonts w:asciiTheme="minorHAnsi" w:hAnsiTheme="minorHAnsi" w:cstheme="minorHAnsi"/>
          <w:szCs w:val="22"/>
        </w:rPr>
        <w:t>, t</w:t>
      </w:r>
      <w:r w:rsidRPr="003E0EFC">
        <w:rPr>
          <w:rFonts w:asciiTheme="minorHAnsi" w:hAnsiTheme="minorHAnsi" w:cstheme="minorHAnsi"/>
          <w:szCs w:val="22"/>
        </w:rPr>
        <w:t>he Australian (</w:t>
      </w:r>
      <w:proofErr w:type="spellStart"/>
      <w:r w:rsidRPr="003E0EFC">
        <w:rPr>
          <w:rFonts w:asciiTheme="minorHAnsi" w:hAnsiTheme="minorHAnsi" w:cstheme="minorHAnsi"/>
          <w:szCs w:val="22"/>
        </w:rPr>
        <w:t>Reclosable</w:t>
      </w:r>
      <w:proofErr w:type="spellEnd"/>
      <w:r w:rsidRPr="003E0EFC">
        <w:rPr>
          <w:rFonts w:asciiTheme="minorHAnsi" w:hAnsiTheme="minorHAnsi" w:cstheme="minorHAnsi"/>
          <w:szCs w:val="22"/>
        </w:rPr>
        <w:t xml:space="preserve"> Packaging) Standard</w:t>
      </w:r>
      <w:r w:rsidR="00010774">
        <w:rPr>
          <w:rFonts w:asciiTheme="minorHAnsi" w:hAnsiTheme="minorHAnsi" w:cstheme="minorHAnsi"/>
          <w:szCs w:val="22"/>
        </w:rPr>
        <w:t>, t</w:t>
      </w:r>
      <w:r w:rsidRPr="003E0EFC">
        <w:rPr>
          <w:rFonts w:asciiTheme="minorHAnsi" w:hAnsiTheme="minorHAnsi" w:cstheme="minorHAnsi"/>
          <w:szCs w:val="22"/>
        </w:rPr>
        <w:t>he European (Non</w:t>
      </w:r>
      <w:r w:rsidRPr="003E0EFC">
        <w:rPr>
          <w:rFonts w:asciiTheme="minorHAnsi" w:hAnsiTheme="minorHAnsi" w:cstheme="minorHAnsi"/>
          <w:szCs w:val="22"/>
        </w:rPr>
        <w:noBreakHyphen/>
      </w:r>
      <w:proofErr w:type="spellStart"/>
      <w:r w:rsidRPr="003E0EFC">
        <w:rPr>
          <w:rFonts w:asciiTheme="minorHAnsi" w:hAnsiTheme="minorHAnsi" w:cstheme="minorHAnsi"/>
          <w:szCs w:val="22"/>
        </w:rPr>
        <w:t>reclosable</w:t>
      </w:r>
      <w:proofErr w:type="spellEnd"/>
      <w:r w:rsidRPr="003E0EFC">
        <w:rPr>
          <w:rFonts w:asciiTheme="minorHAnsi" w:hAnsiTheme="minorHAnsi" w:cstheme="minorHAnsi"/>
          <w:szCs w:val="22"/>
        </w:rPr>
        <w:t xml:space="preserve"> Packaging) Standard </w:t>
      </w:r>
      <w:r w:rsidR="00010774">
        <w:rPr>
          <w:rFonts w:asciiTheme="minorHAnsi" w:hAnsiTheme="minorHAnsi" w:cstheme="minorHAnsi"/>
          <w:szCs w:val="22"/>
        </w:rPr>
        <w:t xml:space="preserve">and the Primary Batteries Standard </w:t>
      </w:r>
      <w:r w:rsidRPr="003E0EFC">
        <w:rPr>
          <w:rFonts w:asciiTheme="minorHAnsi" w:hAnsiTheme="minorHAnsi" w:cstheme="minorHAnsi"/>
          <w:szCs w:val="22"/>
        </w:rPr>
        <w:t xml:space="preserve">could in 2020 be purchased from SAI </w:t>
      </w:r>
      <w:proofErr w:type="spellStart"/>
      <w:r w:rsidRPr="003E0EFC">
        <w:rPr>
          <w:rFonts w:asciiTheme="minorHAnsi" w:hAnsiTheme="minorHAnsi" w:cstheme="minorHAnsi"/>
          <w:szCs w:val="22"/>
        </w:rPr>
        <w:t>Global’s</w:t>
      </w:r>
      <w:proofErr w:type="spellEnd"/>
      <w:r w:rsidRPr="003E0EFC">
        <w:rPr>
          <w:rFonts w:asciiTheme="minorHAnsi" w:hAnsiTheme="minorHAnsi" w:cstheme="minorHAnsi"/>
          <w:szCs w:val="22"/>
        </w:rPr>
        <w:t xml:space="preserve"> website (https://www.saiglobal.com). </w:t>
      </w:r>
    </w:p>
    <w:p w14:paraId="44E63613" w14:textId="09A92B5C" w:rsidR="00010774" w:rsidRDefault="002B23B8" w:rsidP="006509EC">
      <w:pPr>
        <w:pStyle w:val="Definition"/>
        <w:ind w:left="0"/>
        <w:rPr>
          <w:rFonts w:asciiTheme="minorHAnsi" w:hAnsiTheme="minorHAnsi" w:cstheme="minorHAnsi"/>
          <w:szCs w:val="22"/>
        </w:rPr>
      </w:pPr>
      <w:r w:rsidRPr="003E0EFC">
        <w:rPr>
          <w:rFonts w:asciiTheme="minorHAnsi" w:hAnsiTheme="minorHAnsi" w:cstheme="minorHAnsi"/>
          <w:szCs w:val="22"/>
        </w:rPr>
        <w:t>The International (Non</w:t>
      </w:r>
      <w:r w:rsidRPr="003E0EFC">
        <w:rPr>
          <w:rFonts w:asciiTheme="minorHAnsi" w:hAnsiTheme="minorHAnsi" w:cstheme="minorHAnsi"/>
          <w:szCs w:val="22"/>
        </w:rPr>
        <w:noBreakHyphen/>
      </w:r>
      <w:proofErr w:type="spellStart"/>
      <w:r w:rsidRPr="003E0EFC">
        <w:rPr>
          <w:rFonts w:asciiTheme="minorHAnsi" w:hAnsiTheme="minorHAnsi" w:cstheme="minorHAnsi"/>
          <w:szCs w:val="22"/>
        </w:rPr>
        <w:t>reclosable</w:t>
      </w:r>
      <w:proofErr w:type="spellEnd"/>
      <w:r w:rsidRPr="003E0EFC">
        <w:rPr>
          <w:rFonts w:asciiTheme="minorHAnsi" w:hAnsiTheme="minorHAnsi" w:cstheme="minorHAnsi"/>
          <w:szCs w:val="22"/>
        </w:rPr>
        <w:t xml:space="preserve"> Packaging) Standard </w:t>
      </w:r>
      <w:r w:rsidR="00010774">
        <w:rPr>
          <w:rFonts w:asciiTheme="minorHAnsi" w:hAnsiTheme="minorHAnsi" w:cstheme="minorHAnsi"/>
          <w:szCs w:val="22"/>
        </w:rPr>
        <w:t>and t</w:t>
      </w:r>
      <w:r w:rsidRPr="003E0EFC">
        <w:rPr>
          <w:rFonts w:asciiTheme="minorHAnsi" w:hAnsiTheme="minorHAnsi" w:cstheme="minorHAnsi"/>
          <w:szCs w:val="22"/>
        </w:rPr>
        <w:t>he International (</w:t>
      </w:r>
      <w:proofErr w:type="spellStart"/>
      <w:r w:rsidRPr="003E0EFC">
        <w:rPr>
          <w:rFonts w:asciiTheme="minorHAnsi" w:hAnsiTheme="minorHAnsi" w:cstheme="minorHAnsi"/>
          <w:szCs w:val="22"/>
        </w:rPr>
        <w:t>Reclosable</w:t>
      </w:r>
      <w:proofErr w:type="spellEnd"/>
      <w:r w:rsidRPr="003E0EFC">
        <w:rPr>
          <w:rFonts w:asciiTheme="minorHAnsi" w:hAnsiTheme="minorHAnsi" w:cstheme="minorHAnsi"/>
          <w:szCs w:val="22"/>
        </w:rPr>
        <w:t xml:space="preserve"> Packaging) Standard could in 2020 be purchased from the International Organization</w:t>
      </w:r>
      <w:bookmarkStart w:id="6" w:name="BK_S3P2L43C27"/>
      <w:bookmarkEnd w:id="6"/>
      <w:r w:rsidRPr="003E0EFC">
        <w:rPr>
          <w:rFonts w:asciiTheme="minorHAnsi" w:hAnsiTheme="minorHAnsi" w:cstheme="minorHAnsi"/>
          <w:szCs w:val="22"/>
        </w:rPr>
        <w:t xml:space="preserve"> for Standardization</w:t>
      </w:r>
      <w:bookmarkStart w:id="7" w:name="BK_S3P2L43C47"/>
      <w:bookmarkEnd w:id="7"/>
      <w:r w:rsidRPr="003E0EFC">
        <w:rPr>
          <w:rFonts w:asciiTheme="minorHAnsi" w:hAnsiTheme="minorHAnsi" w:cstheme="minorHAnsi"/>
          <w:szCs w:val="22"/>
        </w:rPr>
        <w:t xml:space="preserve">’s website (https://www.iso.org). </w:t>
      </w:r>
    </w:p>
    <w:p w14:paraId="6EBD4F8B" w14:textId="73B62849" w:rsidR="00B92632" w:rsidRDefault="00B92632" w:rsidP="006509EC">
      <w:pPr>
        <w:pStyle w:val="Definition"/>
        <w:ind w:left="0"/>
        <w:rPr>
          <w:rFonts w:asciiTheme="minorHAnsi" w:hAnsiTheme="minorHAnsi" w:cstheme="minorHAnsi"/>
          <w:szCs w:val="22"/>
        </w:rPr>
      </w:pPr>
      <w:r w:rsidRPr="003E0EFC">
        <w:rPr>
          <w:rFonts w:asciiTheme="minorHAnsi" w:hAnsiTheme="minorHAnsi" w:cstheme="minorHAnsi"/>
          <w:szCs w:val="22"/>
        </w:rPr>
        <w:t xml:space="preserve">The </w:t>
      </w:r>
      <w:r w:rsidR="00512743">
        <w:rPr>
          <w:rFonts w:asciiTheme="minorHAnsi" w:hAnsiTheme="minorHAnsi" w:cstheme="minorHAnsi"/>
          <w:szCs w:val="22"/>
        </w:rPr>
        <w:t>ACCC</w:t>
      </w:r>
      <w:r w:rsidRPr="003E0EFC">
        <w:rPr>
          <w:rFonts w:asciiTheme="minorHAnsi" w:hAnsiTheme="minorHAnsi" w:cstheme="minorHAnsi"/>
          <w:szCs w:val="22"/>
        </w:rPr>
        <w:t xml:space="preserve"> can also make a copy of these </w:t>
      </w:r>
      <w:r w:rsidRPr="003E0EFC">
        <w:rPr>
          <w:rFonts w:asciiTheme="minorHAnsi" w:hAnsiTheme="minorHAnsi" w:cstheme="minorHAnsi"/>
          <w:szCs w:val="22"/>
          <w:lang w:val="en-GB"/>
        </w:rPr>
        <w:t>standards</w:t>
      </w:r>
      <w:r w:rsidRPr="003E0EFC">
        <w:rPr>
          <w:rFonts w:asciiTheme="minorHAnsi" w:hAnsiTheme="minorHAnsi" w:cstheme="minorHAnsi"/>
          <w:szCs w:val="22"/>
        </w:rPr>
        <w:t xml:space="preserve"> available for viewing at one of its offices, subject to licensing conditions.</w:t>
      </w:r>
    </w:p>
    <w:p w14:paraId="6FA1689A" w14:textId="77777777" w:rsidR="00B92632" w:rsidRPr="003E0EFC" w:rsidRDefault="00B92632" w:rsidP="003E0EFC">
      <w:pPr>
        <w:rPr>
          <w:rFonts w:cs="Arial"/>
          <w:b/>
          <w:bCs/>
        </w:rPr>
      </w:pPr>
      <w:r w:rsidRPr="003E0EFC">
        <w:rPr>
          <w:rFonts w:cs="Arial"/>
          <w:b/>
          <w:bCs/>
        </w:rPr>
        <w:t>Consultation</w:t>
      </w:r>
    </w:p>
    <w:p w14:paraId="1E36C55F" w14:textId="77777777" w:rsidR="00B92632" w:rsidRDefault="00B92632" w:rsidP="003E0EFC">
      <w:pPr>
        <w:pStyle w:val="Definition"/>
        <w:ind w:left="0"/>
        <w:rPr>
          <w:rFonts w:asciiTheme="minorHAnsi" w:hAnsiTheme="minorHAnsi" w:cstheme="minorHAnsi"/>
        </w:rPr>
      </w:pPr>
      <w:r w:rsidRPr="003E0EFC">
        <w:rPr>
          <w:rFonts w:asciiTheme="minorHAnsi" w:hAnsiTheme="minorHAnsi" w:cstheme="minorHAnsi"/>
        </w:rPr>
        <w:t xml:space="preserve">Section 131E of the CCA provides that a safety standard made under section 104 of the ACL is a legislative instrument for the purposes of the </w:t>
      </w:r>
      <w:r w:rsidRPr="003E0EFC">
        <w:rPr>
          <w:rFonts w:asciiTheme="minorHAnsi" w:hAnsiTheme="minorHAnsi" w:cstheme="minorHAnsi"/>
          <w:i/>
        </w:rPr>
        <w:t xml:space="preserve">Legislation Act 2003. </w:t>
      </w:r>
      <w:r w:rsidRPr="003E0EFC">
        <w:rPr>
          <w:rFonts w:asciiTheme="minorHAnsi" w:hAnsiTheme="minorHAnsi" w:cstheme="minorHAnsi"/>
        </w:rPr>
        <w:t xml:space="preserve">Section 17 of the </w:t>
      </w:r>
      <w:r w:rsidRPr="003E0EFC">
        <w:rPr>
          <w:rFonts w:asciiTheme="minorHAnsi" w:hAnsiTheme="minorHAnsi" w:cstheme="minorHAnsi"/>
          <w:i/>
        </w:rPr>
        <w:t xml:space="preserve">Legislation Act </w:t>
      </w:r>
      <w:r w:rsidRPr="003E0EFC">
        <w:rPr>
          <w:rFonts w:asciiTheme="minorHAnsi" w:hAnsiTheme="minorHAnsi" w:cstheme="minorHAnsi"/>
        </w:rPr>
        <w:t>requires that the rule maker should consult prior to making a legislative instrument.</w:t>
      </w:r>
    </w:p>
    <w:p w14:paraId="363E96DE" w14:textId="46A19259" w:rsidR="001B10BA" w:rsidRPr="000C3E81" w:rsidRDefault="001B10BA" w:rsidP="006509EC">
      <w:pPr>
        <w:pStyle w:val="Definition"/>
        <w:ind w:left="0"/>
        <w:rPr>
          <w:rFonts w:asciiTheme="minorHAnsi" w:hAnsiTheme="minorHAnsi" w:cstheme="minorHAnsi"/>
          <w:szCs w:val="22"/>
        </w:rPr>
      </w:pPr>
      <w:r w:rsidRPr="000C3E81">
        <w:rPr>
          <w:rFonts w:asciiTheme="minorHAnsi" w:hAnsiTheme="minorHAnsi" w:cstheme="minorHAnsi"/>
        </w:rPr>
        <w:t>The ACCC released a</w:t>
      </w:r>
      <w:r w:rsidR="00B41058">
        <w:rPr>
          <w:rFonts w:asciiTheme="minorHAnsi" w:hAnsiTheme="minorHAnsi" w:cstheme="minorHAnsi"/>
        </w:rPr>
        <w:t>n</w:t>
      </w:r>
      <w:r w:rsidRPr="000C3E81">
        <w:rPr>
          <w:rFonts w:asciiTheme="minorHAnsi" w:hAnsiTheme="minorHAnsi" w:cstheme="minorHAnsi"/>
        </w:rPr>
        <w:t xml:space="preserve"> </w:t>
      </w:r>
      <w:r w:rsidR="00B41058">
        <w:rPr>
          <w:rFonts w:asciiTheme="minorHAnsi" w:hAnsiTheme="minorHAnsi" w:cstheme="minorHAnsi"/>
        </w:rPr>
        <w:t>i</w:t>
      </w:r>
      <w:r w:rsidRPr="000C3E81">
        <w:rPr>
          <w:rFonts w:asciiTheme="minorHAnsi" w:hAnsiTheme="minorHAnsi" w:cstheme="minorHAnsi"/>
        </w:rPr>
        <w:t xml:space="preserve">ssues </w:t>
      </w:r>
      <w:r w:rsidR="00B41058">
        <w:rPr>
          <w:rFonts w:asciiTheme="minorHAnsi" w:hAnsiTheme="minorHAnsi" w:cstheme="minorHAnsi"/>
        </w:rPr>
        <w:t>p</w:t>
      </w:r>
      <w:r w:rsidRPr="000C3E81">
        <w:rPr>
          <w:rFonts w:asciiTheme="minorHAnsi" w:hAnsiTheme="minorHAnsi" w:cstheme="minorHAnsi"/>
        </w:rPr>
        <w:t xml:space="preserve">aper in </w:t>
      </w:r>
      <w:r w:rsidRPr="000C3E81">
        <w:rPr>
          <w:rFonts w:asciiTheme="minorHAnsi" w:hAnsiTheme="minorHAnsi" w:cstheme="minorHAnsi"/>
          <w:szCs w:val="22"/>
        </w:rPr>
        <w:t>August 2019</w:t>
      </w:r>
      <w:r w:rsidR="000C3E81" w:rsidRPr="000C3E81">
        <w:rPr>
          <w:rFonts w:asciiTheme="minorHAnsi" w:hAnsiTheme="minorHAnsi" w:cstheme="minorHAnsi"/>
          <w:szCs w:val="22"/>
        </w:rPr>
        <w:t xml:space="preserve"> and received 3</w:t>
      </w:r>
      <w:r w:rsidR="00E53E3A">
        <w:rPr>
          <w:rFonts w:asciiTheme="minorHAnsi" w:hAnsiTheme="minorHAnsi" w:cstheme="minorHAnsi"/>
          <w:szCs w:val="22"/>
        </w:rPr>
        <w:t>2</w:t>
      </w:r>
      <w:r w:rsidR="000C3E81" w:rsidRPr="000C3E81">
        <w:rPr>
          <w:rFonts w:asciiTheme="minorHAnsi" w:hAnsiTheme="minorHAnsi" w:cstheme="minorHAnsi"/>
          <w:szCs w:val="22"/>
        </w:rPr>
        <w:t xml:space="preserve"> submissions from stakeholders in response to questions in relation to the </w:t>
      </w:r>
      <w:r w:rsidRPr="000C3E81">
        <w:rPr>
          <w:rFonts w:asciiTheme="minorHAnsi" w:hAnsiTheme="minorHAnsi" w:cstheme="minorHAnsi"/>
          <w:szCs w:val="22"/>
        </w:rPr>
        <w:t>issue of button</w:t>
      </w:r>
      <w:r w:rsidR="007555C6">
        <w:rPr>
          <w:rFonts w:asciiTheme="minorHAnsi" w:hAnsiTheme="minorHAnsi" w:cstheme="minorHAnsi"/>
          <w:szCs w:val="22"/>
        </w:rPr>
        <w:t>/coin</w:t>
      </w:r>
      <w:r w:rsidRPr="000C3E81">
        <w:rPr>
          <w:rFonts w:asciiTheme="minorHAnsi" w:hAnsiTheme="minorHAnsi" w:cstheme="minorHAnsi"/>
          <w:szCs w:val="22"/>
        </w:rPr>
        <w:t xml:space="preserve"> battery safety and how the safety hazards posed by button</w:t>
      </w:r>
      <w:r w:rsidR="007555C6">
        <w:rPr>
          <w:rFonts w:asciiTheme="minorHAnsi" w:hAnsiTheme="minorHAnsi" w:cstheme="minorHAnsi"/>
          <w:szCs w:val="22"/>
        </w:rPr>
        <w:t>/coin</w:t>
      </w:r>
      <w:r w:rsidRPr="000C3E81">
        <w:rPr>
          <w:rFonts w:asciiTheme="minorHAnsi" w:hAnsiTheme="minorHAnsi" w:cstheme="minorHAnsi"/>
          <w:szCs w:val="22"/>
        </w:rPr>
        <w:t xml:space="preserve"> batteries should be addressed. The issues paper was a necessary first step in the regulatory assessment process due to the wide range of products likely to be affected by any mandatory standard.</w:t>
      </w:r>
    </w:p>
    <w:p w14:paraId="1A2E95D2" w14:textId="085AC946" w:rsidR="000C3E81" w:rsidRPr="000C3E81" w:rsidRDefault="000C3E81" w:rsidP="006509EC">
      <w:pPr>
        <w:pStyle w:val="Definition"/>
        <w:ind w:left="0"/>
        <w:rPr>
          <w:rFonts w:asciiTheme="minorHAnsi" w:hAnsiTheme="minorHAnsi" w:cstheme="minorHAnsi"/>
          <w:szCs w:val="22"/>
        </w:rPr>
      </w:pPr>
      <w:r>
        <w:rPr>
          <w:rFonts w:asciiTheme="minorHAnsi" w:hAnsiTheme="minorHAnsi" w:cstheme="minorHAnsi"/>
        </w:rPr>
        <w:t>The ACCC released a</w:t>
      </w:r>
      <w:r w:rsidR="00B41058">
        <w:rPr>
          <w:rFonts w:asciiTheme="minorHAnsi" w:hAnsiTheme="minorHAnsi" w:cstheme="minorHAnsi"/>
        </w:rPr>
        <w:t xml:space="preserve"> </w:t>
      </w:r>
      <w:r w:rsidR="00B41058" w:rsidRPr="006509EC">
        <w:rPr>
          <w:rFonts w:ascii="Arial" w:hAnsi="Arial"/>
          <w:i/>
          <w:szCs w:val="22"/>
        </w:rPr>
        <w:t>Button Battery Safety - Asse</w:t>
      </w:r>
      <w:r w:rsidR="00B41058" w:rsidRPr="00B41058">
        <w:rPr>
          <w:rFonts w:ascii="Arial" w:hAnsi="Arial"/>
          <w:i/>
          <w:szCs w:val="22"/>
        </w:rPr>
        <w:t xml:space="preserve">ssment of regulatory options - </w:t>
      </w:r>
      <w:r w:rsidR="00B41058">
        <w:rPr>
          <w:rFonts w:ascii="Arial" w:hAnsi="Arial"/>
          <w:i/>
          <w:szCs w:val="22"/>
        </w:rPr>
        <w:t>c</w:t>
      </w:r>
      <w:r w:rsidR="00B41058" w:rsidRPr="006509EC">
        <w:rPr>
          <w:rFonts w:ascii="Arial" w:hAnsi="Arial"/>
          <w:i/>
          <w:szCs w:val="22"/>
        </w:rPr>
        <w:t>onsultation paper</w:t>
      </w:r>
      <w:r w:rsidR="00B41058">
        <w:rPr>
          <w:rFonts w:ascii="Arial" w:hAnsi="Arial"/>
          <w:i/>
          <w:szCs w:val="22"/>
        </w:rPr>
        <w:t xml:space="preserve"> </w:t>
      </w:r>
      <w:r>
        <w:rPr>
          <w:rStyle w:val="Hyperlink"/>
          <w:color w:val="000000" w:themeColor="text1"/>
          <w:szCs w:val="22"/>
          <w:u w:val="none"/>
        </w:rPr>
        <w:t xml:space="preserve">in </w:t>
      </w:r>
      <w:r w:rsidRPr="000C3E81">
        <w:rPr>
          <w:rStyle w:val="Hyperlink"/>
          <w:rFonts w:cs="Arial"/>
          <w:color w:val="000000" w:themeColor="text1"/>
          <w:szCs w:val="22"/>
          <w:u w:val="none"/>
        </w:rPr>
        <w:t xml:space="preserve">March 2020. The </w:t>
      </w:r>
      <w:r w:rsidR="00B41058">
        <w:rPr>
          <w:rStyle w:val="Hyperlink"/>
          <w:rFonts w:cs="Arial"/>
          <w:color w:val="000000" w:themeColor="text1"/>
          <w:szCs w:val="22"/>
          <w:u w:val="none"/>
        </w:rPr>
        <w:t>c</w:t>
      </w:r>
      <w:r w:rsidRPr="000C3E81">
        <w:rPr>
          <w:rStyle w:val="Hyperlink"/>
          <w:rFonts w:cs="Arial"/>
          <w:color w:val="000000" w:themeColor="text1"/>
          <w:szCs w:val="22"/>
          <w:u w:val="none"/>
        </w:rPr>
        <w:t xml:space="preserve">onsultation paper sought </w:t>
      </w:r>
      <w:r w:rsidRPr="000C3E81">
        <w:rPr>
          <w:rFonts w:ascii="Arial" w:hAnsi="Arial" w:cs="Arial"/>
          <w:szCs w:val="22"/>
        </w:rPr>
        <w:t xml:space="preserve">stakeholder </w:t>
      </w:r>
      <w:r w:rsidRPr="000C3E81">
        <w:rPr>
          <w:rFonts w:asciiTheme="minorHAnsi" w:hAnsiTheme="minorHAnsi" w:cstheme="minorHAnsi"/>
          <w:szCs w:val="22"/>
        </w:rPr>
        <w:t>feedback on proposed regulatory options to reduce the likelihood of serious injuries resulting from child exposure to button</w:t>
      </w:r>
      <w:r w:rsidR="007555C6">
        <w:rPr>
          <w:rFonts w:asciiTheme="minorHAnsi" w:hAnsiTheme="minorHAnsi" w:cstheme="minorHAnsi"/>
          <w:szCs w:val="22"/>
        </w:rPr>
        <w:t>/coin</w:t>
      </w:r>
      <w:r w:rsidRPr="000C3E81">
        <w:rPr>
          <w:rFonts w:asciiTheme="minorHAnsi" w:hAnsiTheme="minorHAnsi" w:cstheme="minorHAnsi"/>
          <w:szCs w:val="22"/>
        </w:rPr>
        <w:t xml:space="preserve"> batteries.</w:t>
      </w:r>
      <w:r w:rsidRPr="000C3E81">
        <w:rPr>
          <w:rFonts w:asciiTheme="minorHAnsi" w:hAnsiTheme="minorHAnsi" w:cstheme="minorHAnsi"/>
        </w:rPr>
        <w:t xml:space="preserve"> </w:t>
      </w:r>
      <w:r w:rsidRPr="000C3E81">
        <w:rPr>
          <w:rFonts w:asciiTheme="minorHAnsi" w:hAnsiTheme="minorHAnsi" w:cstheme="minorHAnsi"/>
          <w:szCs w:val="22"/>
        </w:rPr>
        <w:t xml:space="preserve">The ACCC received </w:t>
      </w:r>
      <w:r w:rsidRPr="000C3E81">
        <w:rPr>
          <w:rFonts w:asciiTheme="minorHAnsi" w:hAnsiTheme="minorHAnsi" w:cstheme="minorHAnsi"/>
        </w:rPr>
        <w:t>67 submissions in response to the consultation paper from a broad range of stakeholders, including national and international representative bodies, medical experts, relevant government agencies, international product safety regulators and advocacy organisations.</w:t>
      </w:r>
    </w:p>
    <w:p w14:paraId="798D7BE8" w14:textId="39C6AB2B" w:rsidR="000C3E81" w:rsidRPr="005074EB" w:rsidRDefault="000C3E81" w:rsidP="006509EC">
      <w:r w:rsidRPr="005074EB">
        <w:t>In addition to the two formal consultation periods, th</w:t>
      </w:r>
      <w:r w:rsidR="005074EB">
        <w:t xml:space="preserve">e ACCC met individually with 43 </w:t>
      </w:r>
      <w:r w:rsidRPr="005074EB">
        <w:t>key stakeholders</w:t>
      </w:r>
      <w:r w:rsidR="00B41058">
        <w:t xml:space="preserve"> and also distributed surveys to industry and health professionals.</w:t>
      </w:r>
    </w:p>
    <w:p w14:paraId="3845D286" w14:textId="39E5347A" w:rsidR="005476CF" w:rsidRDefault="005476CF" w:rsidP="006509EC">
      <w:r w:rsidRPr="00885CF6">
        <w:rPr>
          <w:rFonts w:cs="Arial"/>
          <w:lang w:val="en-GB"/>
        </w:rPr>
        <w:t xml:space="preserve">The ACCC also notified the World Trade Organization (WTO) of </w:t>
      </w:r>
      <w:r w:rsidR="00B41058" w:rsidRPr="00885CF6">
        <w:rPr>
          <w:rFonts w:cs="Arial"/>
          <w:lang w:val="en-GB"/>
        </w:rPr>
        <w:t>proposed requirements for the button</w:t>
      </w:r>
      <w:r w:rsidR="007555C6">
        <w:rPr>
          <w:rFonts w:cs="Arial"/>
          <w:lang w:val="en-GB"/>
        </w:rPr>
        <w:t>/coin</w:t>
      </w:r>
      <w:r w:rsidR="00B41058" w:rsidRPr="00885CF6">
        <w:rPr>
          <w:rFonts w:cs="Arial"/>
          <w:lang w:val="en-GB"/>
        </w:rPr>
        <w:t xml:space="preserve"> battery related </w:t>
      </w:r>
      <w:r w:rsidRPr="00885CF6">
        <w:rPr>
          <w:rFonts w:cs="Arial"/>
          <w:lang w:val="en-GB"/>
        </w:rPr>
        <w:t xml:space="preserve">safety and information standards on 29 September 2020 </w:t>
      </w:r>
      <w:r w:rsidRPr="00885CF6">
        <w:t xml:space="preserve">under the WTO Agreement on Technical Barriers to Trade. </w:t>
      </w:r>
    </w:p>
    <w:p w14:paraId="69AA2C27" w14:textId="77777777" w:rsidR="00B92632" w:rsidRPr="00783E9F" w:rsidRDefault="00B92632" w:rsidP="00783E9F">
      <w:pPr>
        <w:rPr>
          <w:rFonts w:cs="Arial"/>
          <w:b/>
        </w:rPr>
      </w:pPr>
      <w:r w:rsidRPr="00783E9F">
        <w:rPr>
          <w:rFonts w:cs="Arial"/>
          <w:b/>
        </w:rPr>
        <w:t>Disallowance</w:t>
      </w:r>
    </w:p>
    <w:p w14:paraId="406CCD54" w14:textId="77777777" w:rsidR="00B92632" w:rsidRPr="00783E9F" w:rsidRDefault="00B92632" w:rsidP="00783E9F">
      <w:pPr>
        <w:rPr>
          <w:rFonts w:cs="Arial"/>
          <w:i/>
        </w:rPr>
      </w:pPr>
      <w:r w:rsidRPr="00783E9F">
        <w:rPr>
          <w:rFonts w:cs="Arial"/>
        </w:rPr>
        <w:t xml:space="preserve">This legislative instrument is not subject to disallowance due to section 44 of the </w:t>
      </w:r>
      <w:r w:rsidR="00783E9F">
        <w:rPr>
          <w:rFonts w:cs="Arial"/>
          <w:i/>
        </w:rPr>
        <w:t xml:space="preserve">Legislation </w:t>
      </w:r>
      <w:r w:rsidRPr="00783E9F">
        <w:rPr>
          <w:rFonts w:cs="Arial"/>
          <w:i/>
        </w:rPr>
        <w:t>Act 2003.</w:t>
      </w:r>
    </w:p>
    <w:p w14:paraId="290DDE58" w14:textId="77777777" w:rsidR="00B92632" w:rsidRPr="00783E9F" w:rsidRDefault="00B92632" w:rsidP="00783E9F">
      <w:pPr>
        <w:spacing w:before="240"/>
        <w:ind w:left="340" w:hanging="340"/>
        <w:rPr>
          <w:rFonts w:cs="Arial"/>
          <w:b/>
        </w:rPr>
      </w:pPr>
      <w:r w:rsidRPr="00783E9F">
        <w:rPr>
          <w:rFonts w:cs="Arial"/>
          <w:b/>
        </w:rPr>
        <w:t>Commencement</w:t>
      </w:r>
    </w:p>
    <w:p w14:paraId="14178CBF" w14:textId="77777777" w:rsidR="00B92632" w:rsidRDefault="00B92632" w:rsidP="00783E9F">
      <w:pPr>
        <w:rPr>
          <w:rFonts w:cs="Arial"/>
          <w:color w:val="000000"/>
          <w:shd w:val="clear" w:color="auto" w:fill="FFFFFF"/>
        </w:rPr>
      </w:pPr>
      <w:r w:rsidRPr="00783E9F">
        <w:rPr>
          <w:rFonts w:cs="Arial"/>
          <w:color w:val="000000"/>
          <w:shd w:val="clear" w:color="auto" w:fill="FFFFFF"/>
        </w:rPr>
        <w:t>This legislative instrument commences on the day after it is registered on the Federal Register of Legislation.</w:t>
      </w:r>
    </w:p>
    <w:p w14:paraId="667F2665" w14:textId="77777777" w:rsidR="00B92632" w:rsidRPr="00783E9F" w:rsidRDefault="00B92632" w:rsidP="00783E9F">
      <w:pPr>
        <w:rPr>
          <w:rFonts w:cs="Arial"/>
          <w:b/>
        </w:rPr>
      </w:pPr>
      <w:r w:rsidRPr="00783E9F">
        <w:rPr>
          <w:rFonts w:cs="Arial"/>
          <w:b/>
        </w:rPr>
        <w:t>Transitional arrangements</w:t>
      </w:r>
    </w:p>
    <w:p w14:paraId="36F0D492" w14:textId="77777777" w:rsidR="00B92632" w:rsidRPr="00183C55" w:rsidRDefault="00B92632" w:rsidP="00183C55">
      <w:pPr>
        <w:rPr>
          <w:rFonts w:cs="Arial"/>
          <w:color w:val="000000"/>
          <w:shd w:val="clear" w:color="auto" w:fill="FFFFFF"/>
        </w:rPr>
      </w:pPr>
      <w:r w:rsidRPr="00183C55">
        <w:rPr>
          <w:rFonts w:cs="Arial"/>
          <w:color w:val="000000"/>
          <w:shd w:val="clear" w:color="auto" w:fill="FFFFFF"/>
        </w:rPr>
        <w:t>This instrument prov</w:t>
      </w:r>
      <w:r w:rsidR="00783E9F" w:rsidRPr="00183C55">
        <w:rPr>
          <w:rFonts w:cs="Arial"/>
          <w:color w:val="000000"/>
          <w:shd w:val="clear" w:color="auto" w:fill="FFFFFF"/>
        </w:rPr>
        <w:t>ides a transitional period of 18</w:t>
      </w:r>
      <w:r w:rsidRPr="00183C55">
        <w:rPr>
          <w:rFonts w:cs="Arial"/>
          <w:color w:val="000000"/>
          <w:shd w:val="clear" w:color="auto" w:fill="FFFFFF"/>
        </w:rPr>
        <w:t xml:space="preserve"> months, beginning on the day this instrument commences.</w:t>
      </w:r>
    </w:p>
    <w:p w14:paraId="5017C3BF" w14:textId="77777777" w:rsidR="00B92632" w:rsidRPr="00183C55" w:rsidRDefault="00B92632" w:rsidP="005B5FA2">
      <w:pPr>
        <w:keepNext/>
        <w:ind w:left="340" w:hanging="340"/>
        <w:rPr>
          <w:rFonts w:cs="Arial"/>
          <w:b/>
        </w:rPr>
      </w:pPr>
      <w:proofErr w:type="spellStart"/>
      <w:r w:rsidRPr="00183C55">
        <w:rPr>
          <w:rFonts w:cs="Arial"/>
          <w:b/>
        </w:rPr>
        <w:lastRenderedPageBreak/>
        <w:t>Sunsetting</w:t>
      </w:r>
      <w:proofErr w:type="spellEnd"/>
    </w:p>
    <w:p w14:paraId="3ABD6701" w14:textId="77777777" w:rsidR="00B92632" w:rsidRPr="00183C55" w:rsidRDefault="00B92632" w:rsidP="005B5FA2">
      <w:pPr>
        <w:keepNext/>
        <w:rPr>
          <w:rFonts w:cs="Arial"/>
          <w:color w:val="000000"/>
          <w:shd w:val="clear" w:color="auto" w:fill="FFFFFF"/>
        </w:rPr>
      </w:pPr>
      <w:r w:rsidRPr="00183C55">
        <w:rPr>
          <w:rFonts w:cs="Arial"/>
          <w:color w:val="000000"/>
          <w:shd w:val="clear" w:color="auto" w:fill="FFFFFF"/>
        </w:rPr>
        <w:t xml:space="preserve">This legislative instrument is not subject to </w:t>
      </w:r>
      <w:proofErr w:type="spellStart"/>
      <w:r w:rsidRPr="00183C55">
        <w:rPr>
          <w:rFonts w:cs="Arial"/>
          <w:color w:val="000000"/>
          <w:shd w:val="clear" w:color="auto" w:fill="FFFFFF"/>
        </w:rPr>
        <w:t>sunsetting</w:t>
      </w:r>
      <w:proofErr w:type="spellEnd"/>
      <w:r w:rsidRPr="00183C55">
        <w:rPr>
          <w:rFonts w:cs="Arial"/>
          <w:color w:val="000000"/>
          <w:shd w:val="clear" w:color="auto" w:fill="FFFFFF"/>
        </w:rPr>
        <w:t xml:space="preserve"> due to section 54 of the Legislation Act 2003.</w:t>
      </w:r>
    </w:p>
    <w:p w14:paraId="0F256B6E" w14:textId="77777777" w:rsidR="00B92632" w:rsidRPr="00183C55" w:rsidRDefault="00B92632" w:rsidP="00183C55">
      <w:pPr>
        <w:shd w:val="clear" w:color="auto" w:fill="FFFFFF"/>
        <w:ind w:left="340" w:hanging="340"/>
        <w:rPr>
          <w:rFonts w:eastAsia="Times New Roman" w:cs="Arial"/>
          <w:color w:val="000000"/>
          <w:lang w:eastAsia="en-AU"/>
        </w:rPr>
      </w:pPr>
      <w:r w:rsidRPr="00183C55">
        <w:rPr>
          <w:rFonts w:eastAsia="Times New Roman" w:cs="Arial"/>
          <w:b/>
          <w:bCs/>
          <w:color w:val="000000"/>
          <w:lang w:eastAsia="en-AU"/>
        </w:rPr>
        <w:t>Regulation impact assessment</w:t>
      </w:r>
    </w:p>
    <w:p w14:paraId="29971B2D" w14:textId="77777777" w:rsidR="00B92632" w:rsidRPr="00183C55" w:rsidRDefault="00B92632" w:rsidP="00183C55">
      <w:pPr>
        <w:rPr>
          <w:rFonts w:cs="Arial"/>
          <w:color w:val="000000"/>
          <w:shd w:val="clear" w:color="auto" w:fill="FFFFFF"/>
        </w:rPr>
      </w:pPr>
      <w:r w:rsidRPr="00183C55">
        <w:rPr>
          <w:rFonts w:cs="Arial"/>
          <w:color w:val="000000"/>
          <w:shd w:val="clear" w:color="auto" w:fill="FFFFFF"/>
        </w:rPr>
        <w:t xml:space="preserve">The ACCC has self-certified that a process equivalent to that of a Regulation Impact Assessment has been undertaken. Office of Best Practice Regulation Ref. </w:t>
      </w:r>
      <w:r w:rsidR="00C31FD4">
        <w:rPr>
          <w:rFonts w:cs="Arial"/>
          <w:color w:val="000000"/>
          <w:shd w:val="clear" w:color="auto" w:fill="FFFFFF"/>
        </w:rPr>
        <w:t>25774</w:t>
      </w:r>
    </w:p>
    <w:p w14:paraId="24FA5A60" w14:textId="5556E2C2" w:rsidR="005B1534" w:rsidRPr="00E3156D" w:rsidRDefault="005B1534" w:rsidP="005B1534">
      <w:pPr>
        <w:rPr>
          <w:rFonts w:cs="Arial"/>
          <w:b/>
        </w:rPr>
      </w:pPr>
      <w:r w:rsidRPr="00E3156D">
        <w:rPr>
          <w:rFonts w:cs="Arial"/>
          <w:b/>
        </w:rPr>
        <w:t xml:space="preserve">Details of the </w:t>
      </w:r>
      <w:r>
        <w:rPr>
          <w:rFonts w:cs="Arial"/>
          <w:b/>
          <w:i/>
        </w:rPr>
        <w:t>Consumer Goods (Button</w:t>
      </w:r>
      <w:r w:rsidR="00084090">
        <w:rPr>
          <w:rFonts w:cs="Arial"/>
          <w:b/>
          <w:i/>
        </w:rPr>
        <w:t>/Coin</w:t>
      </w:r>
      <w:r>
        <w:rPr>
          <w:rFonts w:cs="Arial"/>
          <w:b/>
          <w:i/>
        </w:rPr>
        <w:t xml:space="preserve"> Batter</w:t>
      </w:r>
      <w:r w:rsidR="00084090">
        <w:rPr>
          <w:rFonts w:cs="Arial"/>
          <w:b/>
          <w:i/>
        </w:rPr>
        <w:t>ies</w:t>
      </w:r>
      <w:r>
        <w:rPr>
          <w:rFonts w:cs="Arial"/>
          <w:b/>
          <w:i/>
        </w:rPr>
        <w:t>) Safety Standard 2020</w:t>
      </w:r>
    </w:p>
    <w:p w14:paraId="3369E43A" w14:textId="77777777" w:rsidR="005B1534" w:rsidRPr="00BB2B13" w:rsidRDefault="005B1534" w:rsidP="005B1534">
      <w:pPr>
        <w:rPr>
          <w:rFonts w:cs="Arial"/>
          <w:b/>
          <w:u w:val="single"/>
        </w:rPr>
      </w:pPr>
      <w:r w:rsidRPr="00BB2B13">
        <w:rPr>
          <w:rFonts w:cs="Arial"/>
          <w:b/>
          <w:u w:val="single"/>
        </w:rPr>
        <w:t>Part 1</w:t>
      </w:r>
      <w:r>
        <w:rPr>
          <w:rFonts w:cs="Arial"/>
          <w:b/>
          <w:u w:val="single"/>
        </w:rPr>
        <w:t xml:space="preserve"> </w:t>
      </w:r>
      <w:r w:rsidRPr="00BB2B13">
        <w:rPr>
          <w:rFonts w:cs="Arial"/>
          <w:b/>
          <w:u w:val="single"/>
        </w:rPr>
        <w:t>-</w:t>
      </w:r>
      <w:r>
        <w:rPr>
          <w:rFonts w:cs="Arial"/>
          <w:b/>
          <w:u w:val="single"/>
        </w:rPr>
        <w:t xml:space="preserve"> </w:t>
      </w:r>
      <w:r w:rsidRPr="00BB2B13">
        <w:rPr>
          <w:rFonts w:cs="Arial"/>
          <w:b/>
          <w:u w:val="single"/>
        </w:rPr>
        <w:t>Preliminary</w:t>
      </w:r>
    </w:p>
    <w:p w14:paraId="00654643" w14:textId="77777777" w:rsidR="005B1534" w:rsidRPr="00CD386A" w:rsidRDefault="005B1534" w:rsidP="005B1534">
      <w:pPr>
        <w:ind w:left="284"/>
        <w:rPr>
          <w:rFonts w:cs="Arial"/>
          <w:u w:val="single"/>
        </w:rPr>
      </w:pPr>
      <w:r>
        <w:rPr>
          <w:rFonts w:cs="Arial"/>
          <w:u w:val="single"/>
        </w:rPr>
        <w:t xml:space="preserve">Section 1 </w:t>
      </w:r>
      <w:r w:rsidRPr="00E3156D">
        <w:rPr>
          <w:rFonts w:cs="Arial"/>
          <w:u w:val="single"/>
        </w:rPr>
        <w:t xml:space="preserve">– </w:t>
      </w:r>
      <w:r>
        <w:rPr>
          <w:rFonts w:cs="Arial"/>
          <w:u w:val="single"/>
        </w:rPr>
        <w:t>Name</w:t>
      </w:r>
    </w:p>
    <w:p w14:paraId="48452CDD" w14:textId="352A14EC" w:rsidR="005B1534" w:rsidRPr="00CD386A" w:rsidRDefault="005B1534" w:rsidP="005B1534">
      <w:pPr>
        <w:ind w:left="284"/>
        <w:rPr>
          <w:rFonts w:cs="Arial"/>
        </w:rPr>
      </w:pPr>
      <w:r>
        <w:rPr>
          <w:rFonts w:cs="Arial"/>
        </w:rPr>
        <w:t xml:space="preserve">This section provides the title of the legislative instrument is </w:t>
      </w:r>
      <w:r w:rsidRPr="00E3156D">
        <w:rPr>
          <w:rFonts w:cs="Arial"/>
        </w:rPr>
        <w:t xml:space="preserve">the </w:t>
      </w:r>
      <w:r>
        <w:rPr>
          <w:rFonts w:cs="Arial"/>
          <w:i/>
        </w:rPr>
        <w:t>Consumer Goods (Button</w:t>
      </w:r>
      <w:r w:rsidR="00084090">
        <w:rPr>
          <w:rFonts w:cs="Arial"/>
          <w:i/>
        </w:rPr>
        <w:t>/Coin</w:t>
      </w:r>
      <w:r>
        <w:rPr>
          <w:rFonts w:cs="Arial"/>
          <w:i/>
        </w:rPr>
        <w:t xml:space="preserve"> Batteries</w:t>
      </w:r>
      <w:r w:rsidRPr="00E3156D">
        <w:rPr>
          <w:rFonts w:cs="Arial"/>
          <w:i/>
        </w:rPr>
        <w:t>) Safety Standard 20</w:t>
      </w:r>
      <w:r>
        <w:rPr>
          <w:rFonts w:cs="Arial"/>
          <w:i/>
        </w:rPr>
        <w:t>20</w:t>
      </w:r>
      <w:r>
        <w:rPr>
          <w:rFonts w:cs="Arial"/>
        </w:rPr>
        <w:t>.</w:t>
      </w:r>
    </w:p>
    <w:p w14:paraId="20D700CA" w14:textId="77777777" w:rsidR="005B1534" w:rsidRPr="00E3156D" w:rsidRDefault="005B1534" w:rsidP="005B1534">
      <w:pPr>
        <w:ind w:left="284"/>
        <w:rPr>
          <w:rFonts w:cs="Arial"/>
          <w:u w:val="single"/>
        </w:rPr>
      </w:pPr>
      <w:r>
        <w:rPr>
          <w:rFonts w:cs="Arial"/>
          <w:u w:val="single"/>
        </w:rPr>
        <w:t xml:space="preserve">Section 2 </w:t>
      </w:r>
      <w:r w:rsidRPr="00E3156D">
        <w:rPr>
          <w:rFonts w:cs="Arial"/>
          <w:u w:val="single"/>
        </w:rPr>
        <w:t>– Commencement</w:t>
      </w:r>
    </w:p>
    <w:p w14:paraId="734619D3" w14:textId="77777777" w:rsidR="005B1534" w:rsidRDefault="005B1534" w:rsidP="005B1534">
      <w:pPr>
        <w:spacing w:before="240"/>
        <w:ind w:left="284"/>
        <w:rPr>
          <w:rFonts w:cs="Arial"/>
        </w:rPr>
      </w:pPr>
      <w:r>
        <w:rPr>
          <w:rFonts w:cs="Arial"/>
        </w:rPr>
        <w:t>T</w:t>
      </w:r>
      <w:r w:rsidRPr="00E3156D">
        <w:rPr>
          <w:rFonts w:cs="Arial"/>
        </w:rPr>
        <w:t>h</w:t>
      </w:r>
      <w:r>
        <w:rPr>
          <w:rFonts w:cs="Arial"/>
        </w:rPr>
        <w:t>is section provides that the instrument commences on the day after it is registered.</w:t>
      </w:r>
    </w:p>
    <w:p w14:paraId="6359A8B0" w14:textId="77777777" w:rsidR="005B1534" w:rsidRPr="00E3156D" w:rsidRDefault="005B1534" w:rsidP="005B1534">
      <w:pPr>
        <w:ind w:left="284"/>
        <w:rPr>
          <w:rFonts w:cs="Arial"/>
          <w:u w:val="single"/>
        </w:rPr>
      </w:pPr>
      <w:r>
        <w:rPr>
          <w:rFonts w:cs="Arial"/>
          <w:u w:val="single"/>
        </w:rPr>
        <w:t xml:space="preserve">Section </w:t>
      </w:r>
      <w:r w:rsidRPr="00E3156D">
        <w:rPr>
          <w:rFonts w:cs="Arial"/>
          <w:u w:val="single"/>
        </w:rPr>
        <w:t>3 – Authority</w:t>
      </w:r>
    </w:p>
    <w:p w14:paraId="01A95DA7" w14:textId="77777777" w:rsidR="005B1534" w:rsidRPr="00E3156D" w:rsidRDefault="005B1534" w:rsidP="005B1534">
      <w:pPr>
        <w:ind w:left="284"/>
        <w:rPr>
          <w:rFonts w:cs="Arial"/>
        </w:rPr>
      </w:pPr>
      <w:r w:rsidRPr="00E3156D">
        <w:rPr>
          <w:rFonts w:cs="Arial"/>
        </w:rPr>
        <w:t xml:space="preserve">This </w:t>
      </w:r>
      <w:r>
        <w:rPr>
          <w:rFonts w:cs="Arial"/>
        </w:rPr>
        <w:t xml:space="preserve">section </w:t>
      </w:r>
      <w:r w:rsidRPr="00E3156D">
        <w:rPr>
          <w:rFonts w:cs="Arial"/>
        </w:rPr>
        <w:t xml:space="preserve">provides that the </w:t>
      </w:r>
      <w:r>
        <w:rPr>
          <w:rFonts w:cs="Arial"/>
        </w:rPr>
        <w:t>safety standard</w:t>
      </w:r>
      <w:r w:rsidRPr="00E3156D">
        <w:rPr>
          <w:rFonts w:cs="Arial"/>
        </w:rPr>
        <w:t xml:space="preserve"> is made under section 10</w:t>
      </w:r>
      <w:r>
        <w:rPr>
          <w:rFonts w:cs="Arial"/>
        </w:rPr>
        <w:t xml:space="preserve">4 </w:t>
      </w:r>
      <w:r w:rsidRPr="00E3156D">
        <w:rPr>
          <w:rFonts w:cs="Arial"/>
        </w:rPr>
        <w:t>of the ACL.</w:t>
      </w:r>
    </w:p>
    <w:p w14:paraId="597A90DB" w14:textId="77777777" w:rsidR="005B1534" w:rsidRDefault="005B1534" w:rsidP="005B1534">
      <w:pPr>
        <w:ind w:left="284"/>
        <w:rPr>
          <w:rFonts w:cs="Arial"/>
          <w:u w:val="single"/>
        </w:rPr>
      </w:pPr>
      <w:r>
        <w:rPr>
          <w:rFonts w:cs="Arial"/>
          <w:u w:val="single"/>
        </w:rPr>
        <w:t>Section</w:t>
      </w:r>
      <w:r w:rsidRPr="00E3156D">
        <w:rPr>
          <w:rFonts w:cs="Arial"/>
          <w:u w:val="single"/>
        </w:rPr>
        <w:t xml:space="preserve"> 4 </w:t>
      </w:r>
      <w:r>
        <w:rPr>
          <w:rFonts w:cs="Arial"/>
          <w:u w:val="single"/>
        </w:rPr>
        <w:t>– Definitions</w:t>
      </w:r>
    </w:p>
    <w:p w14:paraId="4E13FC72" w14:textId="77777777" w:rsidR="005B1534" w:rsidRDefault="005B1534" w:rsidP="005B1534">
      <w:pPr>
        <w:ind w:left="284"/>
        <w:rPr>
          <w:rFonts w:cs="Arial"/>
        </w:rPr>
      </w:pPr>
      <w:r w:rsidRPr="00E3156D">
        <w:rPr>
          <w:rFonts w:cs="Arial"/>
        </w:rPr>
        <w:t xml:space="preserve">This </w:t>
      </w:r>
      <w:r>
        <w:rPr>
          <w:rFonts w:cs="Arial"/>
        </w:rPr>
        <w:t xml:space="preserve">section </w:t>
      </w:r>
      <w:r w:rsidRPr="00E3156D">
        <w:rPr>
          <w:rFonts w:cs="Arial"/>
        </w:rPr>
        <w:t xml:space="preserve">provides the definitions of terms used in the </w:t>
      </w:r>
      <w:r>
        <w:rPr>
          <w:rFonts w:cs="Arial"/>
        </w:rPr>
        <w:t>safety standard</w:t>
      </w:r>
      <w:r w:rsidR="00187669">
        <w:rPr>
          <w:rFonts w:cs="Arial"/>
        </w:rPr>
        <w:t>.</w:t>
      </w:r>
    </w:p>
    <w:p w14:paraId="6FC89361" w14:textId="77777777" w:rsidR="00187669" w:rsidRPr="00E3156D" w:rsidRDefault="00303A53" w:rsidP="005B1534">
      <w:pPr>
        <w:ind w:left="284"/>
        <w:rPr>
          <w:rFonts w:cs="Arial"/>
        </w:rPr>
      </w:pPr>
      <w:r>
        <w:rPr>
          <w:rFonts w:cs="Arial"/>
        </w:rPr>
        <w:t xml:space="preserve">The </w:t>
      </w:r>
      <w:r w:rsidR="00187669">
        <w:rPr>
          <w:rFonts w:cs="Arial"/>
        </w:rPr>
        <w:t xml:space="preserve">Australian and European </w:t>
      </w:r>
      <w:proofErr w:type="spellStart"/>
      <w:r w:rsidR="00187669">
        <w:rPr>
          <w:rFonts w:cs="Arial"/>
        </w:rPr>
        <w:t>Reclosable</w:t>
      </w:r>
      <w:proofErr w:type="spellEnd"/>
      <w:r w:rsidR="00187669">
        <w:rPr>
          <w:rFonts w:cs="Arial"/>
        </w:rPr>
        <w:t xml:space="preserve"> and Non-</w:t>
      </w:r>
      <w:proofErr w:type="spellStart"/>
      <w:r w:rsidR="00187669">
        <w:rPr>
          <w:rFonts w:cs="Arial"/>
        </w:rPr>
        <w:t>reclosable</w:t>
      </w:r>
      <w:proofErr w:type="spellEnd"/>
      <w:r w:rsidR="00187669">
        <w:rPr>
          <w:rFonts w:cs="Arial"/>
        </w:rPr>
        <w:t xml:space="preserve"> Packaging Standards are based on the r</w:t>
      </w:r>
      <w:r>
        <w:rPr>
          <w:rFonts w:cs="Arial"/>
        </w:rPr>
        <w:t>espective ISO standards</w:t>
      </w:r>
      <w:r w:rsidR="00187669">
        <w:rPr>
          <w:rFonts w:cs="Arial"/>
        </w:rPr>
        <w:t xml:space="preserve">. All three versions are provided because </w:t>
      </w:r>
      <w:r>
        <w:rPr>
          <w:rFonts w:cs="Arial"/>
        </w:rPr>
        <w:t>the Australian and European versions contain</w:t>
      </w:r>
      <w:r w:rsidR="00187669">
        <w:rPr>
          <w:rFonts w:cs="Arial"/>
        </w:rPr>
        <w:t xml:space="preserve"> </w:t>
      </w:r>
      <w:r>
        <w:rPr>
          <w:rFonts w:cs="Arial"/>
        </w:rPr>
        <w:t>region-specific</w:t>
      </w:r>
      <w:r w:rsidR="00187669">
        <w:rPr>
          <w:rFonts w:cs="Arial"/>
        </w:rPr>
        <w:t xml:space="preserve"> </w:t>
      </w:r>
      <w:r>
        <w:rPr>
          <w:rFonts w:cs="Arial"/>
        </w:rPr>
        <w:t>modifications</w:t>
      </w:r>
      <w:r w:rsidR="00187669">
        <w:rPr>
          <w:rFonts w:cs="Arial"/>
        </w:rPr>
        <w:t>.</w:t>
      </w:r>
    </w:p>
    <w:p w14:paraId="7CCAD4A4" w14:textId="77777777" w:rsidR="005B1534" w:rsidRPr="00E3156D" w:rsidRDefault="005B1534" w:rsidP="005B1534">
      <w:pPr>
        <w:ind w:left="284"/>
        <w:rPr>
          <w:rFonts w:cs="Arial"/>
          <w:u w:val="single"/>
        </w:rPr>
      </w:pPr>
      <w:r>
        <w:rPr>
          <w:rFonts w:cs="Arial"/>
          <w:u w:val="single"/>
        </w:rPr>
        <w:t>Section 5 – Application</w:t>
      </w:r>
    </w:p>
    <w:p w14:paraId="0C4C80B5" w14:textId="2AEDB687" w:rsidR="005B1534" w:rsidRDefault="005B1534" w:rsidP="005B1534">
      <w:pPr>
        <w:ind w:left="284"/>
        <w:rPr>
          <w:rFonts w:cs="Arial"/>
        </w:rPr>
      </w:pPr>
      <w:r w:rsidRPr="00E3156D">
        <w:rPr>
          <w:rFonts w:cs="Arial"/>
        </w:rPr>
        <w:t xml:space="preserve">This </w:t>
      </w:r>
      <w:r>
        <w:rPr>
          <w:rFonts w:cs="Arial"/>
        </w:rPr>
        <w:t>section</w:t>
      </w:r>
      <w:r w:rsidRPr="00E3156D">
        <w:rPr>
          <w:rFonts w:cs="Arial"/>
        </w:rPr>
        <w:t xml:space="preserve"> </w:t>
      </w:r>
      <w:r>
        <w:rPr>
          <w:rFonts w:cs="Arial"/>
        </w:rPr>
        <w:t>provides th</w:t>
      </w:r>
      <w:r w:rsidR="00B41058">
        <w:rPr>
          <w:rFonts w:cs="Arial"/>
        </w:rPr>
        <w:t>at th</w:t>
      </w:r>
      <w:r>
        <w:rPr>
          <w:rFonts w:cs="Arial"/>
        </w:rPr>
        <w:t>e safety standard</w:t>
      </w:r>
      <w:r w:rsidRPr="00E3156D">
        <w:rPr>
          <w:rFonts w:cs="Arial"/>
        </w:rPr>
        <w:t xml:space="preserve"> </w:t>
      </w:r>
      <w:r>
        <w:rPr>
          <w:rFonts w:cs="Arial"/>
        </w:rPr>
        <w:t>applies to button</w:t>
      </w:r>
      <w:r w:rsidR="007636F1">
        <w:rPr>
          <w:rFonts w:cs="Arial"/>
        </w:rPr>
        <w:t>/coin</w:t>
      </w:r>
      <w:r>
        <w:rPr>
          <w:rFonts w:cs="Arial"/>
        </w:rPr>
        <w:t xml:space="preserve"> batteries as well as button</w:t>
      </w:r>
      <w:r w:rsidR="007636F1">
        <w:rPr>
          <w:rFonts w:cs="Arial"/>
        </w:rPr>
        <w:t>/coin</w:t>
      </w:r>
      <w:r>
        <w:rPr>
          <w:rFonts w:cs="Arial"/>
        </w:rPr>
        <w:t xml:space="preserve"> batteries supplied </w:t>
      </w:r>
      <w:r w:rsidR="00F96DF5">
        <w:rPr>
          <w:rFonts w:cs="Arial"/>
        </w:rPr>
        <w:t xml:space="preserve">together </w:t>
      </w:r>
      <w:r>
        <w:rPr>
          <w:rFonts w:cs="Arial"/>
        </w:rPr>
        <w:t xml:space="preserve">with </w:t>
      </w:r>
      <w:r w:rsidR="00F96DF5">
        <w:rPr>
          <w:rFonts w:cs="Arial"/>
        </w:rPr>
        <w:t xml:space="preserve">other </w:t>
      </w:r>
      <w:r>
        <w:rPr>
          <w:rFonts w:cs="Arial"/>
        </w:rPr>
        <w:t xml:space="preserve">consumer </w:t>
      </w:r>
      <w:r w:rsidR="00F96DF5">
        <w:rPr>
          <w:rFonts w:cs="Arial"/>
        </w:rPr>
        <w:t>goods</w:t>
      </w:r>
      <w:r>
        <w:rPr>
          <w:rFonts w:cs="Arial"/>
        </w:rPr>
        <w:t xml:space="preserve">. </w:t>
      </w:r>
    </w:p>
    <w:p w14:paraId="3CEBD0F8" w14:textId="77777777" w:rsidR="00F96DF5" w:rsidRDefault="005B1534" w:rsidP="005B1534">
      <w:pPr>
        <w:ind w:left="284"/>
        <w:rPr>
          <w:rFonts w:cs="Arial"/>
        </w:rPr>
      </w:pPr>
      <w:r>
        <w:rPr>
          <w:rFonts w:cs="Arial"/>
        </w:rPr>
        <w:t>The section also provides that the safety standard do</w:t>
      </w:r>
      <w:r w:rsidR="00AE6C5C">
        <w:rPr>
          <w:rFonts w:cs="Arial"/>
        </w:rPr>
        <w:t>e</w:t>
      </w:r>
      <w:r>
        <w:rPr>
          <w:rFonts w:cs="Arial"/>
        </w:rPr>
        <w:t>s not apply to</w:t>
      </w:r>
      <w:r w:rsidR="00F96DF5">
        <w:rPr>
          <w:rFonts w:cs="Arial"/>
        </w:rPr>
        <w:t>:</w:t>
      </w:r>
    </w:p>
    <w:p w14:paraId="44FD3DDE" w14:textId="53D3BAC4" w:rsidR="00F96DF5" w:rsidRDefault="005B1534" w:rsidP="006509EC">
      <w:pPr>
        <w:pStyle w:val="ListParagraph"/>
        <w:numPr>
          <w:ilvl w:val="0"/>
          <w:numId w:val="37"/>
        </w:numPr>
        <w:rPr>
          <w:rFonts w:cs="Arial"/>
        </w:rPr>
      </w:pPr>
      <w:r w:rsidRPr="00F96DF5">
        <w:rPr>
          <w:rFonts w:cs="Arial"/>
        </w:rPr>
        <w:t>button batteries of zinc</w:t>
      </w:r>
      <w:r w:rsidR="00B41058" w:rsidRPr="00F96DF5">
        <w:rPr>
          <w:rFonts w:cs="Arial"/>
        </w:rPr>
        <w:t>-</w:t>
      </w:r>
      <w:r w:rsidRPr="00F96DF5">
        <w:rPr>
          <w:rFonts w:cs="Arial"/>
        </w:rPr>
        <w:t>air chemistry intended for use in hearing aids</w:t>
      </w:r>
    </w:p>
    <w:p w14:paraId="4623EA08" w14:textId="6954CE1A" w:rsidR="00F96DF5" w:rsidRDefault="00F96DF5" w:rsidP="006509EC">
      <w:pPr>
        <w:pStyle w:val="ListParagraph"/>
        <w:numPr>
          <w:ilvl w:val="0"/>
          <w:numId w:val="37"/>
        </w:numPr>
        <w:rPr>
          <w:rFonts w:cs="Arial"/>
        </w:rPr>
      </w:pPr>
      <w:r>
        <w:rPr>
          <w:rFonts w:cs="Arial"/>
        </w:rPr>
        <w:t>button</w:t>
      </w:r>
      <w:r w:rsidR="007636F1">
        <w:rPr>
          <w:rFonts w:cs="Arial"/>
        </w:rPr>
        <w:t>/coin</w:t>
      </w:r>
      <w:r w:rsidR="005B1534" w:rsidRPr="00F96DF5">
        <w:rPr>
          <w:rFonts w:cs="Arial"/>
        </w:rPr>
        <w:t xml:space="preserve"> </w:t>
      </w:r>
      <w:r w:rsidR="000552E6" w:rsidRPr="00F96DF5">
        <w:rPr>
          <w:rFonts w:cs="Arial"/>
        </w:rPr>
        <w:t>batteries supplied in bulk</w:t>
      </w:r>
      <w:r>
        <w:rPr>
          <w:rFonts w:cs="Arial"/>
        </w:rPr>
        <w:t xml:space="preserve"> intended to be used in trades, professions or industries and which are not intended for sale to the general public</w:t>
      </w:r>
    </w:p>
    <w:p w14:paraId="6DF24D3C" w14:textId="3027813D" w:rsidR="000552E6" w:rsidRPr="00F96DF5" w:rsidRDefault="00F96DF5" w:rsidP="006509EC">
      <w:pPr>
        <w:pStyle w:val="ListParagraph"/>
        <w:numPr>
          <w:ilvl w:val="0"/>
          <w:numId w:val="37"/>
        </w:numPr>
        <w:rPr>
          <w:rFonts w:cs="Arial"/>
        </w:rPr>
      </w:pPr>
      <w:proofErr w:type="gramStart"/>
      <w:r>
        <w:rPr>
          <w:rFonts w:cs="Arial"/>
        </w:rPr>
        <w:t>button</w:t>
      </w:r>
      <w:r w:rsidR="007636F1">
        <w:rPr>
          <w:rFonts w:cs="Arial"/>
        </w:rPr>
        <w:t>/coin</w:t>
      </w:r>
      <w:proofErr w:type="gramEnd"/>
      <w:r w:rsidR="000552E6" w:rsidRPr="00F96DF5">
        <w:rPr>
          <w:rFonts w:cs="Arial"/>
        </w:rPr>
        <w:t xml:space="preserve"> batteries that are pre-installed in consumer goods</w:t>
      </w:r>
      <w:r>
        <w:rPr>
          <w:rFonts w:cs="Arial"/>
        </w:rPr>
        <w:t xml:space="preserve"> before the consumer goods are supplied</w:t>
      </w:r>
      <w:r w:rsidR="000552E6" w:rsidRPr="00F96DF5">
        <w:rPr>
          <w:rFonts w:cs="Arial"/>
        </w:rPr>
        <w:t xml:space="preserve">. </w:t>
      </w:r>
    </w:p>
    <w:p w14:paraId="6CBB1DE6" w14:textId="01461E99" w:rsidR="00F96DF5" w:rsidRDefault="00323D87" w:rsidP="00F96DF5">
      <w:pPr>
        <w:ind w:left="284"/>
        <w:rPr>
          <w:rFonts w:cs="Arial"/>
        </w:rPr>
      </w:pPr>
      <w:r>
        <w:rPr>
          <w:rFonts w:cs="Arial"/>
        </w:rPr>
        <w:t>S</w:t>
      </w:r>
      <w:r w:rsidR="00BF5FB1">
        <w:rPr>
          <w:rFonts w:cs="Arial"/>
        </w:rPr>
        <w:t xml:space="preserve">uppliers must provide </w:t>
      </w:r>
      <w:r>
        <w:rPr>
          <w:rFonts w:cs="Arial"/>
        </w:rPr>
        <w:t xml:space="preserve">applicable </w:t>
      </w:r>
      <w:r w:rsidR="00BF5FB1">
        <w:rPr>
          <w:rFonts w:cs="Arial"/>
        </w:rPr>
        <w:t>button</w:t>
      </w:r>
      <w:r w:rsidR="007636F1">
        <w:rPr>
          <w:rFonts w:cs="Arial"/>
        </w:rPr>
        <w:t>/coin</w:t>
      </w:r>
      <w:r w:rsidR="00BF5FB1">
        <w:rPr>
          <w:rFonts w:cs="Arial"/>
        </w:rPr>
        <w:t xml:space="preserve"> batteries in </w:t>
      </w:r>
      <w:r>
        <w:rPr>
          <w:rFonts w:cs="Arial"/>
        </w:rPr>
        <w:t>ch</w:t>
      </w:r>
      <w:r w:rsidR="00BF5FB1">
        <w:rPr>
          <w:rFonts w:cs="Arial"/>
        </w:rPr>
        <w:t>ild-resistant packaging</w:t>
      </w:r>
      <w:r>
        <w:rPr>
          <w:rFonts w:cs="Arial"/>
        </w:rPr>
        <w:t xml:space="preserve"> </w:t>
      </w:r>
      <w:r w:rsidR="00BF5FB1">
        <w:rPr>
          <w:rFonts w:cs="Arial"/>
        </w:rPr>
        <w:t>if supplying to consumers, regardless of whether the batteries are deemed to be supplied in bulk.</w:t>
      </w:r>
    </w:p>
    <w:p w14:paraId="5A8E5E18" w14:textId="77777777" w:rsidR="001A43F4" w:rsidRDefault="000552E6" w:rsidP="001A43F4">
      <w:pPr>
        <w:spacing w:before="240"/>
        <w:rPr>
          <w:rFonts w:cs="Arial"/>
          <w:b/>
          <w:u w:val="single"/>
        </w:rPr>
      </w:pPr>
      <w:r w:rsidRPr="00BB2B13">
        <w:rPr>
          <w:rFonts w:cs="Arial"/>
          <w:b/>
          <w:u w:val="single"/>
        </w:rPr>
        <w:t>Part 2</w:t>
      </w:r>
      <w:r>
        <w:rPr>
          <w:rFonts w:cs="Arial"/>
          <w:b/>
          <w:u w:val="single"/>
        </w:rPr>
        <w:t xml:space="preserve"> – </w:t>
      </w:r>
      <w:r w:rsidRPr="00BB2B13">
        <w:rPr>
          <w:rFonts w:cs="Arial"/>
          <w:b/>
          <w:u w:val="single"/>
        </w:rPr>
        <w:t>Requirements</w:t>
      </w:r>
    </w:p>
    <w:p w14:paraId="22BCA346" w14:textId="77777777" w:rsidR="000552E6" w:rsidRPr="00E3156D" w:rsidRDefault="000552E6" w:rsidP="000552E6">
      <w:pPr>
        <w:ind w:left="284"/>
        <w:rPr>
          <w:rFonts w:cs="Arial"/>
          <w:u w:val="single"/>
        </w:rPr>
      </w:pPr>
      <w:r>
        <w:rPr>
          <w:rFonts w:cs="Arial"/>
          <w:u w:val="single"/>
        </w:rPr>
        <w:t>Section 6 – Requirements</w:t>
      </w:r>
    </w:p>
    <w:p w14:paraId="3F9AA725" w14:textId="07069088" w:rsidR="00F96DF5" w:rsidRPr="006509EC" w:rsidRDefault="00F96DF5" w:rsidP="000552E6">
      <w:pPr>
        <w:ind w:left="284"/>
        <w:rPr>
          <w:rFonts w:cs="Arial"/>
        </w:rPr>
      </w:pPr>
      <w:r w:rsidRPr="006509EC">
        <w:rPr>
          <w:rFonts w:cs="Arial"/>
        </w:rPr>
        <w:t>This section provides that an applicable button</w:t>
      </w:r>
      <w:r w:rsidR="007636F1">
        <w:rPr>
          <w:rFonts w:cs="Arial"/>
        </w:rPr>
        <w:t>/coin</w:t>
      </w:r>
      <w:r w:rsidRPr="006509EC">
        <w:rPr>
          <w:rFonts w:cs="Arial"/>
        </w:rPr>
        <w:t xml:space="preserve"> battery’s packaging must comply with the requirements </w:t>
      </w:r>
      <w:r w:rsidR="00E62E7B">
        <w:rPr>
          <w:rFonts w:cs="Arial"/>
        </w:rPr>
        <w:t>from</w:t>
      </w:r>
      <w:r w:rsidRPr="006509EC">
        <w:rPr>
          <w:rFonts w:cs="Arial"/>
        </w:rPr>
        <w:t xml:space="preserve"> the application day.</w:t>
      </w:r>
    </w:p>
    <w:p w14:paraId="39D08521" w14:textId="0C6FFF1D" w:rsidR="000552E6" w:rsidRDefault="000552E6" w:rsidP="000552E6">
      <w:pPr>
        <w:ind w:left="284"/>
        <w:rPr>
          <w:rFonts w:cs="Arial"/>
          <w:u w:val="single"/>
        </w:rPr>
      </w:pPr>
      <w:r>
        <w:rPr>
          <w:rFonts w:cs="Arial"/>
          <w:u w:val="single"/>
        </w:rPr>
        <w:lastRenderedPageBreak/>
        <w:t xml:space="preserve">Section 7 – </w:t>
      </w:r>
      <w:r w:rsidRPr="000552E6">
        <w:rPr>
          <w:rFonts w:cs="Arial"/>
          <w:u w:val="single"/>
        </w:rPr>
        <w:t>Child accessibility requirements—general</w:t>
      </w:r>
    </w:p>
    <w:p w14:paraId="2489BB64" w14:textId="1CECC4A7" w:rsidR="00FC5D8D" w:rsidRDefault="00FC5D8D" w:rsidP="000552E6">
      <w:pPr>
        <w:ind w:left="284"/>
      </w:pPr>
      <w:r>
        <w:rPr>
          <w:rFonts w:asciiTheme="minorHAnsi" w:hAnsiTheme="minorHAnsi" w:cstheme="minorHAnsi"/>
        </w:rPr>
        <w:t>Th</w:t>
      </w:r>
      <w:r w:rsidR="00F96DF5">
        <w:rPr>
          <w:rFonts w:asciiTheme="minorHAnsi" w:hAnsiTheme="minorHAnsi" w:cstheme="minorHAnsi"/>
        </w:rPr>
        <w:t xml:space="preserve">is section provides the general </w:t>
      </w:r>
      <w:r>
        <w:rPr>
          <w:rFonts w:asciiTheme="minorHAnsi" w:hAnsiTheme="minorHAnsi" w:cstheme="minorHAnsi"/>
        </w:rPr>
        <w:t xml:space="preserve">requirement that </w:t>
      </w:r>
      <w:r>
        <w:t xml:space="preserve">packaging of </w:t>
      </w:r>
      <w:r w:rsidR="00F96DF5">
        <w:t xml:space="preserve">an applicable </w:t>
      </w:r>
      <w:r>
        <w:t>button</w:t>
      </w:r>
      <w:r w:rsidR="007636F1">
        <w:t>/coin</w:t>
      </w:r>
      <w:r>
        <w:t xml:space="preserve"> batter</w:t>
      </w:r>
      <w:r w:rsidR="00F96DF5">
        <w:t>y must be</w:t>
      </w:r>
      <w:r>
        <w:t xml:space="preserve"> designed to be resistant to being opened by young children.</w:t>
      </w:r>
    </w:p>
    <w:p w14:paraId="4B748307" w14:textId="7A6289B6" w:rsidR="0026680B" w:rsidRPr="0061279B" w:rsidRDefault="0026680B" w:rsidP="0026680B">
      <w:pPr>
        <w:ind w:left="284"/>
        <w:rPr>
          <w:rFonts w:asciiTheme="minorHAnsi" w:hAnsiTheme="minorHAnsi" w:cstheme="minorHAnsi"/>
        </w:rPr>
      </w:pPr>
      <w:bookmarkStart w:id="8" w:name="5.3_Option_3:_Make_mandatory_safety_stan"/>
      <w:bookmarkStart w:id="9" w:name="_bookmark0"/>
      <w:bookmarkEnd w:id="8"/>
      <w:bookmarkEnd w:id="9"/>
      <w:r>
        <w:rPr>
          <w:rFonts w:cs="Gotham Light"/>
          <w:color w:val="000000"/>
        </w:rPr>
        <w:t xml:space="preserve">This section applies to both </w:t>
      </w:r>
      <w:proofErr w:type="spellStart"/>
      <w:r>
        <w:rPr>
          <w:rFonts w:cs="Gotham Light"/>
          <w:color w:val="000000"/>
        </w:rPr>
        <w:t>reclosable</w:t>
      </w:r>
      <w:proofErr w:type="spellEnd"/>
      <w:r>
        <w:rPr>
          <w:rFonts w:cs="Gotham Light"/>
          <w:color w:val="000000"/>
        </w:rPr>
        <w:t xml:space="preserve"> and non-</w:t>
      </w:r>
      <w:proofErr w:type="spellStart"/>
      <w:r>
        <w:rPr>
          <w:rFonts w:cs="Gotham Light"/>
          <w:color w:val="000000"/>
        </w:rPr>
        <w:t>reclosable</w:t>
      </w:r>
      <w:proofErr w:type="spellEnd"/>
      <w:r>
        <w:rPr>
          <w:rFonts w:cs="Gotham Light"/>
          <w:color w:val="000000"/>
        </w:rPr>
        <w:t xml:space="preserve"> packaging.</w:t>
      </w:r>
      <w:r w:rsidRPr="00D909CD">
        <w:rPr>
          <w:rFonts w:cs="Gotham Light"/>
          <w:color w:val="000000"/>
        </w:rPr>
        <w:t xml:space="preserve"> An</w:t>
      </w:r>
      <w:r>
        <w:rPr>
          <w:rFonts w:cs="Gotham Light"/>
          <w:color w:val="000000"/>
        </w:rPr>
        <w:t xml:space="preserve"> </w:t>
      </w:r>
      <w:r w:rsidRPr="00D909CD">
        <w:rPr>
          <w:rFonts w:cs="Gotham Light"/>
          <w:color w:val="000000"/>
        </w:rPr>
        <w:t xml:space="preserve">outcomes-based requirement </w:t>
      </w:r>
      <w:r>
        <w:rPr>
          <w:rFonts w:cs="Gotham Light"/>
          <w:color w:val="000000"/>
        </w:rPr>
        <w:t xml:space="preserve">for child-resistant packaging </w:t>
      </w:r>
      <w:r w:rsidRPr="00D909CD">
        <w:rPr>
          <w:rFonts w:cs="Gotham Light"/>
          <w:color w:val="000000"/>
        </w:rPr>
        <w:t>allows button</w:t>
      </w:r>
      <w:r w:rsidR="007636F1">
        <w:rPr>
          <w:rFonts w:cs="Gotham Light"/>
          <w:color w:val="000000"/>
        </w:rPr>
        <w:t>/coin</w:t>
      </w:r>
      <w:r w:rsidRPr="00D909CD">
        <w:rPr>
          <w:rFonts w:cs="Gotham Light"/>
          <w:color w:val="000000"/>
        </w:rPr>
        <w:t xml:space="preserve"> batteries to be supplied in packaging or in storage</w:t>
      </w:r>
      <w:r>
        <w:rPr>
          <w:rFonts w:cs="Gotham Light"/>
          <w:color w:val="000000"/>
        </w:rPr>
        <w:t xml:space="preserve"> </w:t>
      </w:r>
      <w:r w:rsidRPr="00D909CD">
        <w:rPr>
          <w:rFonts w:cs="Gotham Light"/>
          <w:color w:val="000000"/>
        </w:rPr>
        <w:t>containers that are demonstrated to be child-resistant.</w:t>
      </w:r>
    </w:p>
    <w:p w14:paraId="31211002" w14:textId="5483B9BA" w:rsidR="00F96DF5" w:rsidRPr="0061279B" w:rsidRDefault="00F96DF5" w:rsidP="00F96DF5">
      <w:pPr>
        <w:ind w:left="284"/>
        <w:rPr>
          <w:rFonts w:asciiTheme="minorHAnsi" w:hAnsiTheme="minorHAnsi" w:cstheme="minorHAnsi"/>
        </w:rPr>
      </w:pPr>
      <w:r w:rsidRPr="00E3156D">
        <w:rPr>
          <w:rFonts w:cs="Arial"/>
        </w:rPr>
        <w:t xml:space="preserve">This </w:t>
      </w:r>
      <w:r>
        <w:rPr>
          <w:rFonts w:cs="Arial"/>
        </w:rPr>
        <w:t>section</w:t>
      </w:r>
      <w:r w:rsidRPr="00E3156D">
        <w:rPr>
          <w:rFonts w:cs="Arial"/>
        </w:rPr>
        <w:t xml:space="preserve"> </w:t>
      </w:r>
      <w:r>
        <w:rPr>
          <w:rFonts w:cs="Arial"/>
        </w:rPr>
        <w:t>identifies the requirements that packaging of button</w:t>
      </w:r>
      <w:r w:rsidR="007636F1">
        <w:rPr>
          <w:rFonts w:cs="Arial"/>
        </w:rPr>
        <w:t>/coin</w:t>
      </w:r>
      <w:r>
        <w:rPr>
          <w:rFonts w:cs="Arial"/>
        </w:rPr>
        <w:t xml:space="preserve"> batteries must comply with</w:t>
      </w:r>
      <w:r w:rsidR="007636F1">
        <w:rPr>
          <w:rFonts w:cs="Arial"/>
        </w:rPr>
        <w:t>,</w:t>
      </w:r>
      <w:r>
        <w:rPr>
          <w:rFonts w:cs="Arial"/>
        </w:rPr>
        <w:t xml:space="preserve"> including specific compliance tests in relevant industry standards and overseas regulations </w:t>
      </w:r>
      <w:r w:rsidR="006509EC">
        <w:rPr>
          <w:rFonts w:cs="Arial"/>
        </w:rPr>
        <w:t xml:space="preserve">to </w:t>
      </w:r>
      <w:r w:rsidRPr="00AB570C">
        <w:rPr>
          <w:rFonts w:asciiTheme="minorHAnsi" w:hAnsiTheme="minorHAnsi" w:cstheme="minorHAnsi"/>
        </w:rPr>
        <w:t>be performed on packaging</w:t>
      </w:r>
      <w:r w:rsidR="006509EC">
        <w:rPr>
          <w:rFonts w:asciiTheme="minorHAnsi" w:hAnsiTheme="minorHAnsi" w:cstheme="minorHAnsi"/>
        </w:rPr>
        <w:t xml:space="preserve"> or </w:t>
      </w:r>
      <w:r w:rsidRPr="00AB570C">
        <w:rPr>
          <w:rFonts w:asciiTheme="minorHAnsi" w:hAnsiTheme="minorHAnsi" w:cstheme="minorHAnsi"/>
        </w:rPr>
        <w:t xml:space="preserve">containers to </w:t>
      </w:r>
      <w:r w:rsidRPr="0061279B">
        <w:rPr>
          <w:rFonts w:asciiTheme="minorHAnsi" w:hAnsiTheme="minorHAnsi" w:cstheme="minorHAnsi"/>
        </w:rPr>
        <w:t xml:space="preserve">demonstrate compliance. </w:t>
      </w:r>
    </w:p>
    <w:p w14:paraId="437600EF" w14:textId="09EB058B" w:rsidR="00726557" w:rsidRDefault="0061279B" w:rsidP="000552E6">
      <w:pPr>
        <w:ind w:left="284"/>
        <w:rPr>
          <w:rFonts w:cs="Gotham Light"/>
          <w:color w:val="000000"/>
        </w:rPr>
      </w:pPr>
      <w:r>
        <w:rPr>
          <w:rFonts w:cs="Gotham Light"/>
          <w:color w:val="000000"/>
        </w:rPr>
        <w:t>Suppliers of button</w:t>
      </w:r>
      <w:r w:rsidR="007636F1">
        <w:rPr>
          <w:rFonts w:cs="Gotham Light"/>
          <w:color w:val="000000"/>
        </w:rPr>
        <w:t>/coin</w:t>
      </w:r>
      <w:r>
        <w:rPr>
          <w:rFonts w:cs="Gotham Light"/>
          <w:color w:val="000000"/>
        </w:rPr>
        <w:t xml:space="preserve"> batteries must select one of the compliance test options identified in this section and </w:t>
      </w:r>
      <w:r w:rsidRPr="0061279B">
        <w:rPr>
          <w:rFonts w:cs="Gotham Light"/>
          <w:color w:val="000000"/>
        </w:rPr>
        <w:t xml:space="preserve">nominate the applicable </w:t>
      </w:r>
      <w:r>
        <w:rPr>
          <w:rFonts w:cs="Gotham Light"/>
          <w:color w:val="000000"/>
        </w:rPr>
        <w:t xml:space="preserve">requirements </w:t>
      </w:r>
      <w:r w:rsidRPr="0061279B">
        <w:rPr>
          <w:rFonts w:cs="Gotham Light"/>
          <w:color w:val="000000"/>
        </w:rPr>
        <w:t>on request by a regulator</w:t>
      </w:r>
      <w:r>
        <w:rPr>
          <w:rFonts w:cs="Gotham Light"/>
          <w:color w:val="000000"/>
        </w:rPr>
        <w:t>.</w:t>
      </w:r>
    </w:p>
    <w:p w14:paraId="52E6B236" w14:textId="102701A0" w:rsidR="000552E6" w:rsidRPr="00E3156D" w:rsidRDefault="000552E6" w:rsidP="000552E6">
      <w:pPr>
        <w:ind w:left="284"/>
        <w:rPr>
          <w:rFonts w:cs="Arial"/>
          <w:u w:val="single"/>
        </w:rPr>
      </w:pPr>
      <w:r>
        <w:rPr>
          <w:rFonts w:cs="Arial"/>
          <w:u w:val="single"/>
        </w:rPr>
        <w:t>Section 8</w:t>
      </w:r>
      <w:r w:rsidR="00511E9F">
        <w:rPr>
          <w:rFonts w:cs="Arial"/>
          <w:u w:val="single"/>
        </w:rPr>
        <w:t xml:space="preserve"> </w:t>
      </w:r>
      <w:r>
        <w:rPr>
          <w:rFonts w:cs="Arial"/>
          <w:u w:val="single"/>
        </w:rPr>
        <w:t xml:space="preserve">– </w:t>
      </w:r>
      <w:r w:rsidRPr="000552E6">
        <w:rPr>
          <w:rFonts w:cs="Arial"/>
          <w:u w:val="single"/>
        </w:rPr>
        <w:t>Child accessibility requirements—blister packaging</w:t>
      </w:r>
    </w:p>
    <w:p w14:paraId="4314744C" w14:textId="5770E52D" w:rsidR="00FC5D8D" w:rsidRPr="001A43F4" w:rsidRDefault="00FC5D8D" w:rsidP="00FC5D8D">
      <w:pPr>
        <w:ind w:left="284"/>
        <w:rPr>
          <w:rFonts w:cs="Arial"/>
          <w:b/>
        </w:rPr>
      </w:pPr>
      <w:r>
        <w:rPr>
          <w:rFonts w:cs="Arial"/>
        </w:rPr>
        <w:t xml:space="preserve">The </w:t>
      </w:r>
      <w:r w:rsidR="00F96DF5">
        <w:rPr>
          <w:rFonts w:cs="Arial"/>
        </w:rPr>
        <w:t xml:space="preserve">section provides the specific </w:t>
      </w:r>
      <w:r>
        <w:rPr>
          <w:rFonts w:cs="Arial"/>
        </w:rPr>
        <w:t xml:space="preserve">requirement </w:t>
      </w:r>
      <w:r w:rsidR="00F96DF5">
        <w:rPr>
          <w:rFonts w:cs="Arial"/>
        </w:rPr>
        <w:t xml:space="preserve">that </w:t>
      </w:r>
      <w:r w:rsidR="006509EC">
        <w:rPr>
          <w:rFonts w:cs="Arial"/>
        </w:rPr>
        <w:t>where one or more applicable button</w:t>
      </w:r>
      <w:r w:rsidR="007636F1">
        <w:rPr>
          <w:rFonts w:cs="Arial"/>
        </w:rPr>
        <w:t>/coin</w:t>
      </w:r>
      <w:r w:rsidR="006509EC">
        <w:rPr>
          <w:rFonts w:cs="Arial"/>
        </w:rPr>
        <w:t xml:space="preserve"> batteries are packaged in </w:t>
      </w:r>
      <w:r w:rsidR="00F96DF5">
        <w:rPr>
          <w:rFonts w:cs="Arial"/>
        </w:rPr>
        <w:t>blister packaging</w:t>
      </w:r>
      <w:r w:rsidR="006509EC">
        <w:rPr>
          <w:rFonts w:cs="Arial"/>
        </w:rPr>
        <w:t>, the packaging must be</w:t>
      </w:r>
      <w:r w:rsidR="00B87A3C">
        <w:rPr>
          <w:rFonts w:cs="Arial"/>
        </w:rPr>
        <w:t xml:space="preserve"> designed to be child resistant and </w:t>
      </w:r>
      <w:r>
        <w:rPr>
          <w:rFonts w:cs="Arial"/>
        </w:rPr>
        <w:t xml:space="preserve">only release one battery at a time to </w:t>
      </w:r>
      <w:r w:rsidR="006509EC">
        <w:rPr>
          <w:rFonts w:cs="Arial"/>
        </w:rPr>
        <w:t xml:space="preserve">prevent </w:t>
      </w:r>
      <w:r>
        <w:rPr>
          <w:rFonts w:cs="Arial"/>
        </w:rPr>
        <w:t xml:space="preserve">children </w:t>
      </w:r>
      <w:r w:rsidR="006509EC">
        <w:rPr>
          <w:rFonts w:cs="Arial"/>
        </w:rPr>
        <w:t xml:space="preserve">from accessing </w:t>
      </w:r>
      <w:r>
        <w:rPr>
          <w:rFonts w:cs="Arial"/>
        </w:rPr>
        <w:t xml:space="preserve">multiple batteries. </w:t>
      </w:r>
    </w:p>
    <w:p w14:paraId="6BA9686B" w14:textId="282DEB98" w:rsidR="00F96DF5" w:rsidRDefault="00F96DF5" w:rsidP="00F96DF5">
      <w:pPr>
        <w:ind w:left="284"/>
        <w:rPr>
          <w:rFonts w:cs="Arial"/>
        </w:rPr>
      </w:pPr>
      <w:r w:rsidRPr="00E3156D">
        <w:rPr>
          <w:rFonts w:cs="Arial"/>
        </w:rPr>
        <w:t xml:space="preserve">This </w:t>
      </w:r>
      <w:r>
        <w:rPr>
          <w:rFonts w:cs="Arial"/>
        </w:rPr>
        <w:t>section</w:t>
      </w:r>
      <w:r w:rsidRPr="00E3156D">
        <w:rPr>
          <w:rFonts w:cs="Arial"/>
        </w:rPr>
        <w:t xml:space="preserve"> </w:t>
      </w:r>
      <w:r>
        <w:rPr>
          <w:rFonts w:cs="Arial"/>
        </w:rPr>
        <w:t>identifies the requirements that packaging of button</w:t>
      </w:r>
      <w:r w:rsidR="007636F1">
        <w:rPr>
          <w:rFonts w:cs="Arial"/>
        </w:rPr>
        <w:t>/coin</w:t>
      </w:r>
      <w:r>
        <w:rPr>
          <w:rFonts w:cs="Arial"/>
        </w:rPr>
        <w:t xml:space="preserve"> batteries must comply with when blister packaging is used including </w:t>
      </w:r>
      <w:r w:rsidR="006509EC">
        <w:rPr>
          <w:rFonts w:cs="Arial"/>
        </w:rPr>
        <w:t xml:space="preserve">specific </w:t>
      </w:r>
      <w:r>
        <w:rPr>
          <w:rFonts w:cs="Arial"/>
        </w:rPr>
        <w:t xml:space="preserve">compliance tests </w:t>
      </w:r>
      <w:r w:rsidR="006509EC">
        <w:rPr>
          <w:rFonts w:cs="Arial"/>
        </w:rPr>
        <w:t xml:space="preserve">in a relevant industry standard to be </w:t>
      </w:r>
      <w:r>
        <w:rPr>
          <w:rFonts w:cs="Arial"/>
        </w:rPr>
        <w:t xml:space="preserve">performed to demonstrate compliance. </w:t>
      </w:r>
    </w:p>
    <w:p w14:paraId="021E283C" w14:textId="77777777" w:rsidR="00F96DF5" w:rsidRPr="00511E9F" w:rsidRDefault="00F96DF5" w:rsidP="006509EC">
      <w:pPr>
        <w:ind w:left="284"/>
        <w:rPr>
          <w:rFonts w:cs="Arial"/>
        </w:rPr>
      </w:pPr>
    </w:p>
    <w:sectPr w:rsidR="00F96DF5" w:rsidRPr="00511E9F" w:rsidSect="00B62438">
      <w:headerReference w:type="even" r:id="rId9"/>
      <w:headerReference w:type="default" r:id="rId10"/>
      <w:footerReference w:type="even" r:id="rId11"/>
      <w:footerReference w:type="default" r:id="rId12"/>
      <w:headerReference w:type="first" r:id="rId13"/>
      <w:footerReference w:type="first" r:id="rId14"/>
      <w:pgSz w:w="11906" w:h="16838"/>
      <w:pgMar w:top="1276"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064CA08" w14:textId="77777777" w:rsidR="000C5747" w:rsidRDefault="000C5747" w:rsidP="004B4412">
      <w:pPr>
        <w:spacing w:before="0"/>
      </w:pPr>
      <w:r>
        <w:separator/>
      </w:r>
    </w:p>
  </w:endnote>
  <w:endnote w:type="continuationSeparator" w:id="0">
    <w:p w14:paraId="6BE73C6A" w14:textId="77777777" w:rsidR="000C5747" w:rsidRDefault="000C5747" w:rsidP="004B4412">
      <w:pPr>
        <w:spacing w:before="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Tahoma">
    <w:panose1 w:val="020B0604030504040204"/>
    <w:charset w:val="00"/>
    <w:family w:val="swiss"/>
    <w:pitch w:val="variable"/>
    <w:sig w:usb0="E1002EFF" w:usb1="C000605B" w:usb2="00000029" w:usb3="00000000" w:csb0="000101FF" w:csb1="00000000"/>
  </w:font>
  <w:font w:name="Lucida Fax">
    <w:panose1 w:val="02060602050505020204"/>
    <w:charset w:val="00"/>
    <w:family w:val="roman"/>
    <w:pitch w:val="variable"/>
    <w:sig w:usb0="00000003" w:usb1="00000000" w:usb2="00000000" w:usb3="00000000" w:csb0="00000001" w:csb1="00000000"/>
  </w:font>
  <w:font w:name="Calibri">
    <w:panose1 w:val="020F0502020204030204"/>
    <w:charset w:val="00"/>
    <w:family w:val="swiss"/>
    <w:pitch w:val="variable"/>
    <w:sig w:usb0="E1002AFF" w:usb1="4000ACFF" w:usb2="00000009" w:usb3="00000000" w:csb0="000001FF" w:csb1="00000000"/>
  </w:font>
  <w:font w:name="Gotham Light">
    <w:altName w:val="Gotham Light"/>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76E80C2" w14:textId="77777777" w:rsidR="0025729B" w:rsidRDefault="0025729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98D7467" w14:textId="77777777" w:rsidR="0025729B" w:rsidRDefault="0025729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37FAA3D" w14:textId="77777777" w:rsidR="00691616" w:rsidRDefault="00691616">
    <w:pPr>
      <w:pStyle w:val="Footer"/>
    </w:pPr>
  </w:p>
  <w:p w14:paraId="33B2CFCF" w14:textId="77777777" w:rsidR="00691616" w:rsidRDefault="0069161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EBBEC73" w14:textId="77777777" w:rsidR="000C5747" w:rsidRDefault="000C5747" w:rsidP="004B4412">
      <w:pPr>
        <w:spacing w:before="0"/>
      </w:pPr>
      <w:r>
        <w:separator/>
      </w:r>
    </w:p>
  </w:footnote>
  <w:footnote w:type="continuationSeparator" w:id="0">
    <w:p w14:paraId="483BB9AA" w14:textId="77777777" w:rsidR="000C5747" w:rsidRDefault="000C5747" w:rsidP="004B4412">
      <w:pPr>
        <w:spacing w:before="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D0303E4" w14:textId="6DFB3934" w:rsidR="0025729B" w:rsidRDefault="0025729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3A96952" w14:textId="59CE71A1" w:rsidR="0025729B" w:rsidRDefault="0025729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3B619D3" w14:textId="68505C8B" w:rsidR="0025729B" w:rsidRDefault="0025729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34BEAAD6"/>
    <w:lvl w:ilvl="0">
      <w:start w:val="1"/>
      <w:numFmt w:val="decimal"/>
      <w:pStyle w:val="ListNumber5"/>
      <w:lvlText w:val="%1."/>
      <w:lvlJc w:val="left"/>
      <w:pPr>
        <w:ind w:left="1701" w:hanging="340"/>
      </w:pPr>
      <w:rPr>
        <w:rFonts w:hint="default"/>
      </w:rPr>
    </w:lvl>
  </w:abstractNum>
  <w:abstractNum w:abstractNumId="1" w15:restartNumberingAfterBreak="0">
    <w:nsid w:val="FFFFFF7D"/>
    <w:multiLevelType w:val="singleLevel"/>
    <w:tmpl w:val="33EA20A0"/>
    <w:lvl w:ilvl="0">
      <w:start w:val="1"/>
      <w:numFmt w:val="decimal"/>
      <w:pStyle w:val="ListNumber4"/>
      <w:lvlText w:val="%1."/>
      <w:lvlJc w:val="left"/>
      <w:pPr>
        <w:ind w:left="1361" w:hanging="340"/>
      </w:pPr>
      <w:rPr>
        <w:rFonts w:hint="default"/>
      </w:rPr>
    </w:lvl>
  </w:abstractNum>
  <w:abstractNum w:abstractNumId="2" w15:restartNumberingAfterBreak="0">
    <w:nsid w:val="FFFFFF7E"/>
    <w:multiLevelType w:val="singleLevel"/>
    <w:tmpl w:val="91FCDF1E"/>
    <w:lvl w:ilvl="0">
      <w:start w:val="1"/>
      <w:numFmt w:val="decimal"/>
      <w:pStyle w:val="ListNumber3"/>
      <w:lvlText w:val="%1."/>
      <w:lvlJc w:val="left"/>
      <w:pPr>
        <w:ind w:left="1021" w:hanging="341"/>
      </w:pPr>
      <w:rPr>
        <w:rFonts w:hint="default"/>
      </w:rPr>
    </w:lvl>
  </w:abstractNum>
  <w:abstractNum w:abstractNumId="3" w15:restartNumberingAfterBreak="0">
    <w:nsid w:val="FFFFFF7F"/>
    <w:multiLevelType w:val="singleLevel"/>
    <w:tmpl w:val="C1DEEDE0"/>
    <w:lvl w:ilvl="0">
      <w:start w:val="1"/>
      <w:numFmt w:val="decimal"/>
      <w:pStyle w:val="ListNumber2"/>
      <w:lvlText w:val="%1."/>
      <w:lvlJc w:val="left"/>
      <w:pPr>
        <w:ind w:left="680" w:hanging="340"/>
      </w:pPr>
      <w:rPr>
        <w:rFonts w:hint="default"/>
      </w:rPr>
    </w:lvl>
  </w:abstractNum>
  <w:abstractNum w:abstractNumId="4" w15:restartNumberingAfterBreak="0">
    <w:nsid w:val="FFFFFF80"/>
    <w:multiLevelType w:val="singleLevel"/>
    <w:tmpl w:val="E38619F2"/>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93BE8B62"/>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46A7DC6"/>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262730C"/>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42BC9528"/>
    <w:lvl w:ilvl="0">
      <w:start w:val="1"/>
      <w:numFmt w:val="decimal"/>
      <w:pStyle w:val="ListNumber"/>
      <w:lvlText w:val="%1."/>
      <w:lvlJc w:val="left"/>
      <w:pPr>
        <w:tabs>
          <w:tab w:val="num" w:pos="340"/>
        </w:tabs>
        <w:ind w:left="340" w:hanging="340"/>
      </w:pPr>
      <w:rPr>
        <w:rFonts w:hint="default"/>
      </w:rPr>
    </w:lvl>
  </w:abstractNum>
  <w:abstractNum w:abstractNumId="9" w15:restartNumberingAfterBreak="0">
    <w:nsid w:val="02B17FE1"/>
    <w:multiLevelType w:val="hybridMultilevel"/>
    <w:tmpl w:val="2326E22E"/>
    <w:lvl w:ilvl="0" w:tplc="6734D4F4">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0" w15:restartNumberingAfterBreak="0">
    <w:nsid w:val="09E4230C"/>
    <w:multiLevelType w:val="multilevel"/>
    <w:tmpl w:val="4B20696A"/>
    <w:lvl w:ilvl="0">
      <w:start w:val="1"/>
      <w:numFmt w:val="decimal"/>
      <w:lvlText w:val="%1."/>
      <w:lvlJc w:val="left"/>
      <w:pPr>
        <w:ind w:left="360" w:hanging="360"/>
      </w:pPr>
      <w:rPr>
        <w:rFonts w:hint="default"/>
        <w:b/>
      </w:rPr>
    </w:lvl>
    <w:lvl w:ilvl="1">
      <w:start w:val="1"/>
      <w:numFmt w:val="decimal"/>
      <w:lvlText w:val="%1.%2."/>
      <w:lvlJc w:val="left"/>
      <w:pPr>
        <w:ind w:left="792" w:hanging="432"/>
      </w:pPr>
      <w:rPr>
        <w:rFonts w:hint="default"/>
        <w:color w:val="auto"/>
      </w:rPr>
    </w:lvl>
    <w:lvl w:ilvl="2">
      <w:start w:val="1"/>
      <w:numFmt w:val="bullet"/>
      <w:lvlText w:val=""/>
      <w:lvlJc w:val="left"/>
      <w:pPr>
        <w:ind w:left="1224" w:hanging="504"/>
      </w:pPr>
      <w:rPr>
        <w:rFonts w:ascii="Symbol" w:hAnsi="Symbol"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0DD2542B"/>
    <w:multiLevelType w:val="hybridMultilevel"/>
    <w:tmpl w:val="7C60E1FC"/>
    <w:lvl w:ilvl="0" w:tplc="021E8868">
      <w:start w:val="1"/>
      <w:numFmt w:val="decimal"/>
      <w:pStyle w:val="ListParagraph"/>
      <w:lvlText w:val="%1."/>
      <w:lvlJc w:val="left"/>
      <w:pPr>
        <w:ind w:left="340" w:hanging="34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2" w15:restartNumberingAfterBreak="0">
    <w:nsid w:val="133E73B6"/>
    <w:multiLevelType w:val="hybridMultilevel"/>
    <w:tmpl w:val="80220B84"/>
    <w:lvl w:ilvl="0" w:tplc="F5987420">
      <w:start w:val="1"/>
      <w:numFmt w:val="decimal"/>
      <w:pStyle w:val="Numberedparagraph"/>
      <w:lvlText w:val="%1."/>
      <w:lvlJc w:val="left"/>
      <w:pPr>
        <w:ind w:left="360" w:hanging="360"/>
      </w:pPr>
      <w:rPr>
        <w:rFonts w:hint="default"/>
      </w:rPr>
    </w:lvl>
    <w:lvl w:ilvl="1" w:tplc="A5728FDE" w:tentative="1">
      <w:start w:val="1"/>
      <w:numFmt w:val="bullet"/>
      <w:lvlText w:val="o"/>
      <w:lvlJc w:val="left"/>
      <w:pPr>
        <w:ind w:left="2520" w:hanging="360"/>
      </w:pPr>
      <w:rPr>
        <w:rFonts w:ascii="Courier New" w:hAnsi="Courier New" w:cs="Courier New" w:hint="default"/>
      </w:rPr>
    </w:lvl>
    <w:lvl w:ilvl="2" w:tplc="B6B8266A" w:tentative="1">
      <w:start w:val="1"/>
      <w:numFmt w:val="bullet"/>
      <w:lvlText w:val=""/>
      <w:lvlJc w:val="left"/>
      <w:pPr>
        <w:ind w:left="3240" w:hanging="360"/>
      </w:pPr>
      <w:rPr>
        <w:rFonts w:ascii="Wingdings" w:hAnsi="Wingdings" w:hint="default"/>
      </w:rPr>
    </w:lvl>
    <w:lvl w:ilvl="3" w:tplc="0E067E3E" w:tentative="1">
      <w:start w:val="1"/>
      <w:numFmt w:val="bullet"/>
      <w:lvlText w:val=""/>
      <w:lvlJc w:val="left"/>
      <w:pPr>
        <w:ind w:left="3960" w:hanging="360"/>
      </w:pPr>
      <w:rPr>
        <w:rFonts w:ascii="Symbol" w:hAnsi="Symbol" w:hint="default"/>
      </w:rPr>
    </w:lvl>
    <w:lvl w:ilvl="4" w:tplc="9D8444DE" w:tentative="1">
      <w:start w:val="1"/>
      <w:numFmt w:val="bullet"/>
      <w:lvlText w:val="o"/>
      <w:lvlJc w:val="left"/>
      <w:pPr>
        <w:ind w:left="4680" w:hanging="360"/>
      </w:pPr>
      <w:rPr>
        <w:rFonts w:ascii="Courier New" w:hAnsi="Courier New" w:cs="Courier New" w:hint="default"/>
      </w:rPr>
    </w:lvl>
    <w:lvl w:ilvl="5" w:tplc="47DE7D34" w:tentative="1">
      <w:start w:val="1"/>
      <w:numFmt w:val="bullet"/>
      <w:lvlText w:val=""/>
      <w:lvlJc w:val="left"/>
      <w:pPr>
        <w:ind w:left="5400" w:hanging="360"/>
      </w:pPr>
      <w:rPr>
        <w:rFonts w:ascii="Wingdings" w:hAnsi="Wingdings" w:hint="default"/>
      </w:rPr>
    </w:lvl>
    <w:lvl w:ilvl="6" w:tplc="9D0AFFEA" w:tentative="1">
      <w:start w:val="1"/>
      <w:numFmt w:val="bullet"/>
      <w:lvlText w:val=""/>
      <w:lvlJc w:val="left"/>
      <w:pPr>
        <w:ind w:left="6120" w:hanging="360"/>
      </w:pPr>
      <w:rPr>
        <w:rFonts w:ascii="Symbol" w:hAnsi="Symbol" w:hint="default"/>
      </w:rPr>
    </w:lvl>
    <w:lvl w:ilvl="7" w:tplc="663EE25A" w:tentative="1">
      <w:start w:val="1"/>
      <w:numFmt w:val="bullet"/>
      <w:lvlText w:val="o"/>
      <w:lvlJc w:val="left"/>
      <w:pPr>
        <w:ind w:left="6840" w:hanging="360"/>
      </w:pPr>
      <w:rPr>
        <w:rFonts w:ascii="Courier New" w:hAnsi="Courier New" w:cs="Courier New" w:hint="default"/>
      </w:rPr>
    </w:lvl>
    <w:lvl w:ilvl="8" w:tplc="2DD24F62" w:tentative="1">
      <w:start w:val="1"/>
      <w:numFmt w:val="bullet"/>
      <w:lvlText w:val=""/>
      <w:lvlJc w:val="left"/>
      <w:pPr>
        <w:ind w:left="7560" w:hanging="360"/>
      </w:pPr>
      <w:rPr>
        <w:rFonts w:ascii="Wingdings" w:hAnsi="Wingdings" w:hint="default"/>
      </w:rPr>
    </w:lvl>
  </w:abstractNum>
  <w:abstractNum w:abstractNumId="13" w15:restartNumberingAfterBreak="0">
    <w:nsid w:val="16C66F44"/>
    <w:multiLevelType w:val="hybridMultilevel"/>
    <w:tmpl w:val="4ED4762C"/>
    <w:lvl w:ilvl="0" w:tplc="78E8CC60">
      <w:start w:val="1"/>
      <w:numFmt w:val="lowerRoman"/>
      <w:pStyle w:val="ListLegal5"/>
      <w:lvlText w:val="%1."/>
      <w:lvlJc w:val="right"/>
      <w:pPr>
        <w:ind w:left="2041" w:hanging="340"/>
      </w:pPr>
      <w:rPr>
        <w:rFonts w:hint="default"/>
      </w:rPr>
    </w:lvl>
    <w:lvl w:ilvl="1" w:tplc="0C090019" w:tentative="1">
      <w:start w:val="1"/>
      <w:numFmt w:val="lowerLetter"/>
      <w:lvlText w:val="%2."/>
      <w:lvlJc w:val="left"/>
      <w:pPr>
        <w:ind w:left="2781" w:hanging="360"/>
      </w:pPr>
    </w:lvl>
    <w:lvl w:ilvl="2" w:tplc="0C09001B" w:tentative="1">
      <w:start w:val="1"/>
      <w:numFmt w:val="lowerRoman"/>
      <w:lvlText w:val="%3."/>
      <w:lvlJc w:val="right"/>
      <w:pPr>
        <w:ind w:left="3501" w:hanging="180"/>
      </w:pPr>
    </w:lvl>
    <w:lvl w:ilvl="3" w:tplc="0C09000F" w:tentative="1">
      <w:start w:val="1"/>
      <w:numFmt w:val="decimal"/>
      <w:lvlText w:val="%4."/>
      <w:lvlJc w:val="left"/>
      <w:pPr>
        <w:ind w:left="4221" w:hanging="360"/>
      </w:pPr>
    </w:lvl>
    <w:lvl w:ilvl="4" w:tplc="0C090019" w:tentative="1">
      <w:start w:val="1"/>
      <w:numFmt w:val="lowerLetter"/>
      <w:lvlText w:val="%5."/>
      <w:lvlJc w:val="left"/>
      <w:pPr>
        <w:ind w:left="4941" w:hanging="360"/>
      </w:pPr>
    </w:lvl>
    <w:lvl w:ilvl="5" w:tplc="0C09001B" w:tentative="1">
      <w:start w:val="1"/>
      <w:numFmt w:val="lowerRoman"/>
      <w:lvlText w:val="%6."/>
      <w:lvlJc w:val="right"/>
      <w:pPr>
        <w:ind w:left="5661" w:hanging="180"/>
      </w:pPr>
    </w:lvl>
    <w:lvl w:ilvl="6" w:tplc="0C09000F" w:tentative="1">
      <w:start w:val="1"/>
      <w:numFmt w:val="decimal"/>
      <w:lvlText w:val="%7."/>
      <w:lvlJc w:val="left"/>
      <w:pPr>
        <w:ind w:left="6381" w:hanging="360"/>
      </w:pPr>
    </w:lvl>
    <w:lvl w:ilvl="7" w:tplc="0C090019" w:tentative="1">
      <w:start w:val="1"/>
      <w:numFmt w:val="lowerLetter"/>
      <w:lvlText w:val="%8."/>
      <w:lvlJc w:val="left"/>
      <w:pPr>
        <w:ind w:left="7101" w:hanging="360"/>
      </w:pPr>
    </w:lvl>
    <w:lvl w:ilvl="8" w:tplc="0C09001B" w:tentative="1">
      <w:start w:val="1"/>
      <w:numFmt w:val="lowerRoman"/>
      <w:lvlText w:val="%9."/>
      <w:lvlJc w:val="right"/>
      <w:pPr>
        <w:ind w:left="7821" w:hanging="180"/>
      </w:pPr>
    </w:lvl>
  </w:abstractNum>
  <w:abstractNum w:abstractNumId="14" w15:restartNumberingAfterBreak="0">
    <w:nsid w:val="1CF519CE"/>
    <w:multiLevelType w:val="multilevel"/>
    <w:tmpl w:val="3AD8CB48"/>
    <w:lvl w:ilvl="0">
      <w:start w:val="1"/>
      <w:numFmt w:val="decimal"/>
      <w:pStyle w:val="Numbered1"/>
      <w:lvlText w:val="%1."/>
      <w:lvlJc w:val="left"/>
      <w:pPr>
        <w:ind w:left="360" w:hanging="360"/>
      </w:pPr>
    </w:lvl>
    <w:lvl w:ilvl="1">
      <w:start w:val="1"/>
      <w:numFmt w:val="decimal"/>
      <w:pStyle w:val="Numbered11"/>
      <w:lvlText w:val="%1.%2."/>
      <w:lvlJc w:val="left"/>
      <w:pPr>
        <w:ind w:left="792" w:hanging="432"/>
      </w:pPr>
    </w:lvl>
    <w:lvl w:ilvl="2">
      <w:start w:val="1"/>
      <w:numFmt w:val="decimal"/>
      <w:pStyle w:val="Numbered111"/>
      <w:lvlText w:val="%1.%2.%3."/>
      <w:lvlJc w:val="left"/>
      <w:pPr>
        <w:ind w:left="1224" w:hanging="504"/>
      </w:pPr>
    </w:lvl>
    <w:lvl w:ilvl="3">
      <w:start w:val="1"/>
      <w:numFmt w:val="decimal"/>
      <w:pStyle w:val="Numbered1111"/>
      <w:lvlText w:val="%1.%2.%3.%4."/>
      <w:lvlJc w:val="left"/>
      <w:pPr>
        <w:ind w:left="1728" w:hanging="648"/>
      </w:pPr>
    </w:lvl>
    <w:lvl w:ilvl="4">
      <w:start w:val="1"/>
      <w:numFmt w:val="decimal"/>
      <w:pStyle w:val="Numbered11111"/>
      <w:lvlText w:val="%1.%2.%3.%4.%5."/>
      <w:lvlJc w:val="left"/>
      <w:pPr>
        <w:ind w:left="2232" w:hanging="792"/>
      </w:pPr>
    </w:lvl>
    <w:lvl w:ilvl="5">
      <w:start w:val="1"/>
      <w:numFmt w:val="decimal"/>
      <w:pStyle w:val="Numbered111111"/>
      <w:lvlText w:val="%1.%2.%3.%4.%5.%6."/>
      <w:lvlJc w:val="left"/>
      <w:pPr>
        <w:ind w:left="2736" w:hanging="936"/>
      </w:pPr>
    </w:lvl>
    <w:lvl w:ilvl="6">
      <w:start w:val="1"/>
      <w:numFmt w:val="decimal"/>
      <w:pStyle w:val="Numbered1111111"/>
      <w:lvlText w:val="%1.%2.%3.%4.%5.%6.%7."/>
      <w:lvlJc w:val="left"/>
      <w:pPr>
        <w:ind w:left="3240" w:hanging="1080"/>
      </w:pPr>
    </w:lvl>
    <w:lvl w:ilvl="7">
      <w:start w:val="1"/>
      <w:numFmt w:val="decimal"/>
      <w:pStyle w:val="Numbered11111111"/>
      <w:lvlText w:val="%1.%2.%3.%4.%5.%6.%7.%8."/>
      <w:lvlJc w:val="left"/>
      <w:pPr>
        <w:ind w:left="3744" w:hanging="1224"/>
      </w:pPr>
    </w:lvl>
    <w:lvl w:ilvl="8">
      <w:start w:val="1"/>
      <w:numFmt w:val="decimal"/>
      <w:pStyle w:val="Numbered111111111"/>
      <w:lvlText w:val="%1.%2.%3.%4.%5.%6.%7.%8.%9."/>
      <w:lvlJc w:val="left"/>
      <w:pPr>
        <w:ind w:left="4320" w:hanging="1440"/>
      </w:pPr>
    </w:lvl>
  </w:abstractNum>
  <w:abstractNum w:abstractNumId="15" w15:restartNumberingAfterBreak="0">
    <w:nsid w:val="2E8A12A7"/>
    <w:multiLevelType w:val="hybridMultilevel"/>
    <w:tmpl w:val="8C8E8E06"/>
    <w:lvl w:ilvl="0" w:tplc="B914B67C">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6" w15:restartNumberingAfterBreak="0">
    <w:nsid w:val="34B82394"/>
    <w:multiLevelType w:val="hybridMultilevel"/>
    <w:tmpl w:val="546ADF06"/>
    <w:lvl w:ilvl="0" w:tplc="403EE442">
      <w:start w:val="1"/>
      <w:numFmt w:val="lowerLetter"/>
      <w:pStyle w:val="Listalphabet3"/>
      <w:lvlText w:val="(%1)"/>
      <w:lvlJc w:val="left"/>
      <w:pPr>
        <w:ind w:left="1021" w:hanging="341"/>
      </w:pPr>
      <w:rPr>
        <w:rFonts w:hint="default"/>
      </w:rPr>
    </w:lvl>
    <w:lvl w:ilvl="1" w:tplc="0C090019" w:tentative="1">
      <w:start w:val="1"/>
      <w:numFmt w:val="lowerLetter"/>
      <w:lvlText w:val="%2."/>
      <w:lvlJc w:val="left"/>
      <w:pPr>
        <w:ind w:left="1760" w:hanging="360"/>
      </w:pPr>
    </w:lvl>
    <w:lvl w:ilvl="2" w:tplc="0C09001B" w:tentative="1">
      <w:start w:val="1"/>
      <w:numFmt w:val="lowerRoman"/>
      <w:lvlText w:val="%3."/>
      <w:lvlJc w:val="right"/>
      <w:pPr>
        <w:ind w:left="2480" w:hanging="180"/>
      </w:pPr>
    </w:lvl>
    <w:lvl w:ilvl="3" w:tplc="0C09000F" w:tentative="1">
      <w:start w:val="1"/>
      <w:numFmt w:val="decimal"/>
      <w:lvlText w:val="%4."/>
      <w:lvlJc w:val="left"/>
      <w:pPr>
        <w:ind w:left="3200" w:hanging="360"/>
      </w:pPr>
    </w:lvl>
    <w:lvl w:ilvl="4" w:tplc="0C090019" w:tentative="1">
      <w:start w:val="1"/>
      <w:numFmt w:val="lowerLetter"/>
      <w:lvlText w:val="%5."/>
      <w:lvlJc w:val="left"/>
      <w:pPr>
        <w:ind w:left="3920" w:hanging="360"/>
      </w:pPr>
    </w:lvl>
    <w:lvl w:ilvl="5" w:tplc="0C09001B" w:tentative="1">
      <w:start w:val="1"/>
      <w:numFmt w:val="lowerRoman"/>
      <w:lvlText w:val="%6."/>
      <w:lvlJc w:val="right"/>
      <w:pPr>
        <w:ind w:left="4640" w:hanging="180"/>
      </w:pPr>
    </w:lvl>
    <w:lvl w:ilvl="6" w:tplc="0C09000F" w:tentative="1">
      <w:start w:val="1"/>
      <w:numFmt w:val="decimal"/>
      <w:lvlText w:val="%7."/>
      <w:lvlJc w:val="left"/>
      <w:pPr>
        <w:ind w:left="5360" w:hanging="360"/>
      </w:pPr>
    </w:lvl>
    <w:lvl w:ilvl="7" w:tplc="0C090019" w:tentative="1">
      <w:start w:val="1"/>
      <w:numFmt w:val="lowerLetter"/>
      <w:lvlText w:val="%8."/>
      <w:lvlJc w:val="left"/>
      <w:pPr>
        <w:ind w:left="6080" w:hanging="360"/>
      </w:pPr>
    </w:lvl>
    <w:lvl w:ilvl="8" w:tplc="0C09001B" w:tentative="1">
      <w:start w:val="1"/>
      <w:numFmt w:val="lowerRoman"/>
      <w:lvlText w:val="%9."/>
      <w:lvlJc w:val="right"/>
      <w:pPr>
        <w:ind w:left="6800" w:hanging="180"/>
      </w:pPr>
    </w:lvl>
  </w:abstractNum>
  <w:abstractNum w:abstractNumId="17" w15:restartNumberingAfterBreak="0">
    <w:nsid w:val="36AB0989"/>
    <w:multiLevelType w:val="hybridMultilevel"/>
    <w:tmpl w:val="4DF62DEA"/>
    <w:lvl w:ilvl="0" w:tplc="83689BEE">
      <w:start w:val="1"/>
      <w:numFmt w:val="lowerLetter"/>
      <w:pStyle w:val="Listalphabet2"/>
      <w:lvlText w:val="(%1)"/>
      <w:lvlJc w:val="left"/>
      <w:pPr>
        <w:ind w:left="680" w:hanging="340"/>
      </w:pPr>
      <w:rPr>
        <w:rFonts w:hint="default"/>
      </w:rPr>
    </w:lvl>
    <w:lvl w:ilvl="1" w:tplc="0C090019" w:tentative="1">
      <w:start w:val="1"/>
      <w:numFmt w:val="lowerLetter"/>
      <w:lvlText w:val="%2."/>
      <w:lvlJc w:val="left"/>
      <w:pPr>
        <w:ind w:left="1420" w:hanging="360"/>
      </w:pPr>
    </w:lvl>
    <w:lvl w:ilvl="2" w:tplc="0C09001B" w:tentative="1">
      <w:start w:val="1"/>
      <w:numFmt w:val="lowerRoman"/>
      <w:lvlText w:val="%3."/>
      <w:lvlJc w:val="right"/>
      <w:pPr>
        <w:ind w:left="2140" w:hanging="180"/>
      </w:pPr>
    </w:lvl>
    <w:lvl w:ilvl="3" w:tplc="0C09000F" w:tentative="1">
      <w:start w:val="1"/>
      <w:numFmt w:val="decimal"/>
      <w:lvlText w:val="%4."/>
      <w:lvlJc w:val="left"/>
      <w:pPr>
        <w:ind w:left="2860" w:hanging="360"/>
      </w:pPr>
    </w:lvl>
    <w:lvl w:ilvl="4" w:tplc="0C090019" w:tentative="1">
      <w:start w:val="1"/>
      <w:numFmt w:val="lowerLetter"/>
      <w:lvlText w:val="%5."/>
      <w:lvlJc w:val="left"/>
      <w:pPr>
        <w:ind w:left="3580" w:hanging="360"/>
      </w:pPr>
    </w:lvl>
    <w:lvl w:ilvl="5" w:tplc="0C09001B" w:tentative="1">
      <w:start w:val="1"/>
      <w:numFmt w:val="lowerRoman"/>
      <w:lvlText w:val="%6."/>
      <w:lvlJc w:val="right"/>
      <w:pPr>
        <w:ind w:left="4300" w:hanging="180"/>
      </w:pPr>
    </w:lvl>
    <w:lvl w:ilvl="6" w:tplc="0C09000F" w:tentative="1">
      <w:start w:val="1"/>
      <w:numFmt w:val="decimal"/>
      <w:lvlText w:val="%7."/>
      <w:lvlJc w:val="left"/>
      <w:pPr>
        <w:ind w:left="5020" w:hanging="360"/>
      </w:pPr>
    </w:lvl>
    <w:lvl w:ilvl="7" w:tplc="0C090019" w:tentative="1">
      <w:start w:val="1"/>
      <w:numFmt w:val="lowerLetter"/>
      <w:lvlText w:val="%8."/>
      <w:lvlJc w:val="left"/>
      <w:pPr>
        <w:ind w:left="5740" w:hanging="360"/>
      </w:pPr>
    </w:lvl>
    <w:lvl w:ilvl="8" w:tplc="0C09001B" w:tentative="1">
      <w:start w:val="1"/>
      <w:numFmt w:val="lowerRoman"/>
      <w:lvlText w:val="%9."/>
      <w:lvlJc w:val="right"/>
      <w:pPr>
        <w:ind w:left="6460" w:hanging="180"/>
      </w:pPr>
    </w:lvl>
  </w:abstractNum>
  <w:abstractNum w:abstractNumId="18" w15:restartNumberingAfterBreak="0">
    <w:nsid w:val="3923347D"/>
    <w:multiLevelType w:val="hybridMultilevel"/>
    <w:tmpl w:val="D45C48E2"/>
    <w:lvl w:ilvl="0" w:tplc="D66A534E">
      <w:start w:val="1"/>
      <w:numFmt w:val="bullet"/>
      <w:pStyle w:val="ListBullet"/>
      <w:lvlText w:val=""/>
      <w:lvlJc w:val="left"/>
      <w:pPr>
        <w:ind w:left="720" w:hanging="360"/>
      </w:pPr>
      <w:rPr>
        <w:rFonts w:ascii="Symbol" w:hAnsi="Symbol" w:hint="default"/>
        <w:sz w:val="20"/>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3B881E0E"/>
    <w:multiLevelType w:val="hybridMultilevel"/>
    <w:tmpl w:val="7B0C0C7A"/>
    <w:lvl w:ilvl="0" w:tplc="0C090001">
      <w:start w:val="1"/>
      <w:numFmt w:val="bullet"/>
      <w:lvlText w:val=""/>
      <w:lvlJc w:val="left"/>
      <w:pPr>
        <w:ind w:left="1040" w:hanging="360"/>
      </w:pPr>
      <w:rPr>
        <w:rFonts w:ascii="Symbol" w:hAnsi="Symbol" w:hint="default"/>
      </w:rPr>
    </w:lvl>
    <w:lvl w:ilvl="1" w:tplc="0C090003">
      <w:start w:val="1"/>
      <w:numFmt w:val="bullet"/>
      <w:lvlText w:val="o"/>
      <w:lvlJc w:val="left"/>
      <w:pPr>
        <w:ind w:left="1760" w:hanging="360"/>
      </w:pPr>
      <w:rPr>
        <w:rFonts w:ascii="Courier New" w:hAnsi="Courier New" w:cs="Courier New" w:hint="default"/>
      </w:rPr>
    </w:lvl>
    <w:lvl w:ilvl="2" w:tplc="0C090005">
      <w:start w:val="1"/>
      <w:numFmt w:val="bullet"/>
      <w:lvlText w:val=""/>
      <w:lvlJc w:val="left"/>
      <w:pPr>
        <w:ind w:left="2480" w:hanging="360"/>
      </w:pPr>
      <w:rPr>
        <w:rFonts w:ascii="Wingdings" w:hAnsi="Wingdings" w:hint="default"/>
      </w:rPr>
    </w:lvl>
    <w:lvl w:ilvl="3" w:tplc="0C090001">
      <w:start w:val="1"/>
      <w:numFmt w:val="bullet"/>
      <w:lvlText w:val=""/>
      <w:lvlJc w:val="left"/>
      <w:pPr>
        <w:ind w:left="3200" w:hanging="360"/>
      </w:pPr>
      <w:rPr>
        <w:rFonts w:ascii="Symbol" w:hAnsi="Symbol" w:hint="default"/>
      </w:rPr>
    </w:lvl>
    <w:lvl w:ilvl="4" w:tplc="0C090003" w:tentative="1">
      <w:start w:val="1"/>
      <w:numFmt w:val="bullet"/>
      <w:lvlText w:val="o"/>
      <w:lvlJc w:val="left"/>
      <w:pPr>
        <w:ind w:left="3920" w:hanging="360"/>
      </w:pPr>
      <w:rPr>
        <w:rFonts w:ascii="Courier New" w:hAnsi="Courier New" w:cs="Courier New" w:hint="default"/>
      </w:rPr>
    </w:lvl>
    <w:lvl w:ilvl="5" w:tplc="0C090005" w:tentative="1">
      <w:start w:val="1"/>
      <w:numFmt w:val="bullet"/>
      <w:lvlText w:val=""/>
      <w:lvlJc w:val="left"/>
      <w:pPr>
        <w:ind w:left="4640" w:hanging="360"/>
      </w:pPr>
      <w:rPr>
        <w:rFonts w:ascii="Wingdings" w:hAnsi="Wingdings" w:hint="default"/>
      </w:rPr>
    </w:lvl>
    <w:lvl w:ilvl="6" w:tplc="0C090001" w:tentative="1">
      <w:start w:val="1"/>
      <w:numFmt w:val="bullet"/>
      <w:lvlText w:val=""/>
      <w:lvlJc w:val="left"/>
      <w:pPr>
        <w:ind w:left="5360" w:hanging="360"/>
      </w:pPr>
      <w:rPr>
        <w:rFonts w:ascii="Symbol" w:hAnsi="Symbol" w:hint="default"/>
      </w:rPr>
    </w:lvl>
    <w:lvl w:ilvl="7" w:tplc="0C090003" w:tentative="1">
      <w:start w:val="1"/>
      <w:numFmt w:val="bullet"/>
      <w:lvlText w:val="o"/>
      <w:lvlJc w:val="left"/>
      <w:pPr>
        <w:ind w:left="6080" w:hanging="360"/>
      </w:pPr>
      <w:rPr>
        <w:rFonts w:ascii="Courier New" w:hAnsi="Courier New" w:cs="Courier New" w:hint="default"/>
      </w:rPr>
    </w:lvl>
    <w:lvl w:ilvl="8" w:tplc="0C090005" w:tentative="1">
      <w:start w:val="1"/>
      <w:numFmt w:val="bullet"/>
      <w:lvlText w:val=""/>
      <w:lvlJc w:val="left"/>
      <w:pPr>
        <w:ind w:left="6800" w:hanging="360"/>
      </w:pPr>
      <w:rPr>
        <w:rFonts w:ascii="Wingdings" w:hAnsi="Wingdings" w:hint="default"/>
      </w:rPr>
    </w:lvl>
  </w:abstractNum>
  <w:abstractNum w:abstractNumId="20" w15:restartNumberingAfterBreak="0">
    <w:nsid w:val="3CF07D5F"/>
    <w:multiLevelType w:val="hybridMultilevel"/>
    <w:tmpl w:val="D6DC675A"/>
    <w:lvl w:ilvl="0" w:tplc="6C6CF7F2">
      <w:start w:val="1"/>
      <w:numFmt w:val="lowerLetter"/>
      <w:pStyle w:val="Listalphabet4"/>
      <w:lvlText w:val="(%1)"/>
      <w:lvlJc w:val="left"/>
      <w:pPr>
        <w:ind w:left="1361" w:hanging="340"/>
      </w:pPr>
      <w:rPr>
        <w:rFonts w:hint="default"/>
      </w:rPr>
    </w:lvl>
    <w:lvl w:ilvl="1" w:tplc="0C090019" w:tentative="1">
      <w:start w:val="1"/>
      <w:numFmt w:val="lowerLetter"/>
      <w:lvlText w:val="%2."/>
      <w:lvlJc w:val="left"/>
      <w:pPr>
        <w:ind w:left="2101" w:hanging="360"/>
      </w:pPr>
    </w:lvl>
    <w:lvl w:ilvl="2" w:tplc="0C09001B" w:tentative="1">
      <w:start w:val="1"/>
      <w:numFmt w:val="lowerRoman"/>
      <w:lvlText w:val="%3."/>
      <w:lvlJc w:val="right"/>
      <w:pPr>
        <w:ind w:left="2821" w:hanging="180"/>
      </w:pPr>
    </w:lvl>
    <w:lvl w:ilvl="3" w:tplc="0C09000F" w:tentative="1">
      <w:start w:val="1"/>
      <w:numFmt w:val="decimal"/>
      <w:lvlText w:val="%4."/>
      <w:lvlJc w:val="left"/>
      <w:pPr>
        <w:ind w:left="3541" w:hanging="360"/>
      </w:pPr>
    </w:lvl>
    <w:lvl w:ilvl="4" w:tplc="0C090019" w:tentative="1">
      <w:start w:val="1"/>
      <w:numFmt w:val="lowerLetter"/>
      <w:lvlText w:val="%5."/>
      <w:lvlJc w:val="left"/>
      <w:pPr>
        <w:ind w:left="4261" w:hanging="360"/>
      </w:pPr>
    </w:lvl>
    <w:lvl w:ilvl="5" w:tplc="0C09001B" w:tentative="1">
      <w:start w:val="1"/>
      <w:numFmt w:val="lowerRoman"/>
      <w:lvlText w:val="%6."/>
      <w:lvlJc w:val="right"/>
      <w:pPr>
        <w:ind w:left="4981" w:hanging="180"/>
      </w:pPr>
    </w:lvl>
    <w:lvl w:ilvl="6" w:tplc="0C09000F" w:tentative="1">
      <w:start w:val="1"/>
      <w:numFmt w:val="decimal"/>
      <w:lvlText w:val="%7."/>
      <w:lvlJc w:val="left"/>
      <w:pPr>
        <w:ind w:left="5701" w:hanging="360"/>
      </w:pPr>
    </w:lvl>
    <w:lvl w:ilvl="7" w:tplc="0C090019" w:tentative="1">
      <w:start w:val="1"/>
      <w:numFmt w:val="lowerLetter"/>
      <w:lvlText w:val="%8."/>
      <w:lvlJc w:val="left"/>
      <w:pPr>
        <w:ind w:left="6421" w:hanging="360"/>
      </w:pPr>
    </w:lvl>
    <w:lvl w:ilvl="8" w:tplc="0C09001B" w:tentative="1">
      <w:start w:val="1"/>
      <w:numFmt w:val="lowerRoman"/>
      <w:lvlText w:val="%9."/>
      <w:lvlJc w:val="right"/>
      <w:pPr>
        <w:ind w:left="7141" w:hanging="180"/>
      </w:pPr>
    </w:lvl>
  </w:abstractNum>
  <w:abstractNum w:abstractNumId="21" w15:restartNumberingAfterBreak="0">
    <w:nsid w:val="3FBD056F"/>
    <w:multiLevelType w:val="hybridMultilevel"/>
    <w:tmpl w:val="7E9831D6"/>
    <w:lvl w:ilvl="0" w:tplc="725A850C">
      <w:start w:val="1"/>
      <w:numFmt w:val="bullet"/>
      <w:lvlText w:val=""/>
      <w:lvlJc w:val="left"/>
      <w:pPr>
        <w:ind w:left="1440" w:hanging="360"/>
      </w:pPr>
      <w:rPr>
        <w:rFonts w:ascii="Symbol" w:hAnsi="Symbol" w:hint="default"/>
        <w:color w:val="auto"/>
      </w:rPr>
    </w:lvl>
    <w:lvl w:ilvl="1" w:tplc="0C090003">
      <w:start w:val="1"/>
      <w:numFmt w:val="bullet"/>
      <w:lvlText w:val="o"/>
      <w:lvlJc w:val="left"/>
      <w:pPr>
        <w:ind w:left="2160" w:hanging="360"/>
      </w:pPr>
      <w:rPr>
        <w:rFonts w:ascii="Courier New" w:hAnsi="Courier New" w:cs="Courier New" w:hint="default"/>
      </w:rPr>
    </w:lvl>
    <w:lvl w:ilvl="2" w:tplc="0C090005">
      <w:start w:val="1"/>
      <w:numFmt w:val="bullet"/>
      <w:lvlText w:val=""/>
      <w:lvlJc w:val="left"/>
      <w:pPr>
        <w:ind w:left="2880" w:hanging="360"/>
      </w:pPr>
      <w:rPr>
        <w:rFonts w:ascii="Wingdings" w:hAnsi="Wingdings" w:hint="default"/>
      </w:rPr>
    </w:lvl>
    <w:lvl w:ilvl="3" w:tplc="0C09000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22" w15:restartNumberingAfterBreak="0">
    <w:nsid w:val="46A739A2"/>
    <w:multiLevelType w:val="hybridMultilevel"/>
    <w:tmpl w:val="8C806B04"/>
    <w:lvl w:ilvl="0" w:tplc="0C090001">
      <w:start w:val="1"/>
      <w:numFmt w:val="bullet"/>
      <w:lvlText w:val=""/>
      <w:lvlJc w:val="left"/>
      <w:pPr>
        <w:ind w:left="1287" w:hanging="360"/>
      </w:pPr>
      <w:rPr>
        <w:rFonts w:ascii="Symbol" w:hAnsi="Symbol" w:hint="default"/>
      </w:rPr>
    </w:lvl>
    <w:lvl w:ilvl="1" w:tplc="0C090003">
      <w:start w:val="1"/>
      <w:numFmt w:val="bullet"/>
      <w:lvlText w:val="o"/>
      <w:lvlJc w:val="left"/>
      <w:pPr>
        <w:ind w:left="2007" w:hanging="360"/>
      </w:pPr>
      <w:rPr>
        <w:rFonts w:ascii="Courier New" w:hAnsi="Courier New" w:cs="Courier New" w:hint="default"/>
      </w:rPr>
    </w:lvl>
    <w:lvl w:ilvl="2" w:tplc="0C090005" w:tentative="1">
      <w:start w:val="1"/>
      <w:numFmt w:val="bullet"/>
      <w:lvlText w:val=""/>
      <w:lvlJc w:val="left"/>
      <w:pPr>
        <w:ind w:left="2727" w:hanging="360"/>
      </w:pPr>
      <w:rPr>
        <w:rFonts w:ascii="Wingdings" w:hAnsi="Wingdings" w:hint="default"/>
      </w:rPr>
    </w:lvl>
    <w:lvl w:ilvl="3" w:tplc="0C090001" w:tentative="1">
      <w:start w:val="1"/>
      <w:numFmt w:val="bullet"/>
      <w:lvlText w:val=""/>
      <w:lvlJc w:val="left"/>
      <w:pPr>
        <w:ind w:left="3447" w:hanging="360"/>
      </w:pPr>
      <w:rPr>
        <w:rFonts w:ascii="Symbol" w:hAnsi="Symbol" w:hint="default"/>
      </w:rPr>
    </w:lvl>
    <w:lvl w:ilvl="4" w:tplc="0C090003" w:tentative="1">
      <w:start w:val="1"/>
      <w:numFmt w:val="bullet"/>
      <w:lvlText w:val="o"/>
      <w:lvlJc w:val="left"/>
      <w:pPr>
        <w:ind w:left="4167" w:hanging="360"/>
      </w:pPr>
      <w:rPr>
        <w:rFonts w:ascii="Courier New" w:hAnsi="Courier New" w:cs="Courier New" w:hint="default"/>
      </w:rPr>
    </w:lvl>
    <w:lvl w:ilvl="5" w:tplc="0C090005" w:tentative="1">
      <w:start w:val="1"/>
      <w:numFmt w:val="bullet"/>
      <w:lvlText w:val=""/>
      <w:lvlJc w:val="left"/>
      <w:pPr>
        <w:ind w:left="4887" w:hanging="360"/>
      </w:pPr>
      <w:rPr>
        <w:rFonts w:ascii="Wingdings" w:hAnsi="Wingdings" w:hint="default"/>
      </w:rPr>
    </w:lvl>
    <w:lvl w:ilvl="6" w:tplc="0C090001" w:tentative="1">
      <w:start w:val="1"/>
      <w:numFmt w:val="bullet"/>
      <w:lvlText w:val=""/>
      <w:lvlJc w:val="left"/>
      <w:pPr>
        <w:ind w:left="5607" w:hanging="360"/>
      </w:pPr>
      <w:rPr>
        <w:rFonts w:ascii="Symbol" w:hAnsi="Symbol" w:hint="default"/>
      </w:rPr>
    </w:lvl>
    <w:lvl w:ilvl="7" w:tplc="0C090003" w:tentative="1">
      <w:start w:val="1"/>
      <w:numFmt w:val="bullet"/>
      <w:lvlText w:val="o"/>
      <w:lvlJc w:val="left"/>
      <w:pPr>
        <w:ind w:left="6327" w:hanging="360"/>
      </w:pPr>
      <w:rPr>
        <w:rFonts w:ascii="Courier New" w:hAnsi="Courier New" w:cs="Courier New" w:hint="default"/>
      </w:rPr>
    </w:lvl>
    <w:lvl w:ilvl="8" w:tplc="0C090005" w:tentative="1">
      <w:start w:val="1"/>
      <w:numFmt w:val="bullet"/>
      <w:lvlText w:val=""/>
      <w:lvlJc w:val="left"/>
      <w:pPr>
        <w:ind w:left="7047" w:hanging="360"/>
      </w:pPr>
      <w:rPr>
        <w:rFonts w:ascii="Wingdings" w:hAnsi="Wingdings" w:hint="default"/>
      </w:rPr>
    </w:lvl>
  </w:abstractNum>
  <w:abstractNum w:abstractNumId="23" w15:restartNumberingAfterBreak="0">
    <w:nsid w:val="49E52C90"/>
    <w:multiLevelType w:val="hybridMultilevel"/>
    <w:tmpl w:val="CBAC43EA"/>
    <w:lvl w:ilvl="0" w:tplc="F8C681F8">
      <w:start w:val="1"/>
      <w:numFmt w:val="lowerRoman"/>
      <w:pStyle w:val="ListLegal"/>
      <w:lvlText w:val="%1."/>
      <w:lvlJc w:val="right"/>
      <w:pPr>
        <w:ind w:left="680" w:hanging="34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4" w15:restartNumberingAfterBreak="0">
    <w:nsid w:val="59474DF1"/>
    <w:multiLevelType w:val="multilevel"/>
    <w:tmpl w:val="5BC065FC"/>
    <w:lvl w:ilvl="0">
      <w:start w:val="1"/>
      <w:numFmt w:val="decimal"/>
      <w:pStyle w:val="LegalNumbering"/>
      <w:isLgl/>
      <w:lvlText w:val="%1)"/>
      <w:lvlJc w:val="left"/>
      <w:pPr>
        <w:ind w:left="340" w:hanging="340"/>
      </w:pPr>
      <w:rPr>
        <w:rFonts w:hint="default"/>
      </w:rPr>
    </w:lvl>
    <w:lvl w:ilvl="1">
      <w:start w:val="1"/>
      <w:numFmt w:val="lowerLetter"/>
      <w:lvlText w:val="%2) "/>
      <w:lvlJc w:val="left"/>
      <w:pPr>
        <w:ind w:left="680" w:hanging="340"/>
      </w:pPr>
      <w:rPr>
        <w:rFonts w:hint="default"/>
      </w:rPr>
    </w:lvl>
    <w:lvl w:ilvl="2">
      <w:start w:val="1"/>
      <w:numFmt w:val="lowerRoman"/>
      <w:lvlText w:val="%3)"/>
      <w:lvlJc w:val="left"/>
      <w:pPr>
        <w:tabs>
          <w:tab w:val="num" w:pos="1701"/>
        </w:tabs>
        <w:ind w:left="1021" w:hanging="341"/>
      </w:pPr>
      <w:rPr>
        <w:rFonts w:hint="default"/>
      </w:rPr>
    </w:lvl>
    <w:lvl w:ilvl="3">
      <w:start w:val="1"/>
      <w:numFmt w:val="decimal"/>
      <w:lvlText w:val="(%4) "/>
      <w:lvlJc w:val="left"/>
      <w:pPr>
        <w:tabs>
          <w:tab w:val="num" w:pos="1758"/>
        </w:tabs>
        <w:ind w:left="1361" w:hanging="340"/>
      </w:pPr>
      <w:rPr>
        <w:rFonts w:hint="default"/>
      </w:rPr>
    </w:lvl>
    <w:lvl w:ilvl="4">
      <w:start w:val="1"/>
      <w:numFmt w:val="lowerLetter"/>
      <w:lvlText w:val="(%5)"/>
      <w:lvlJc w:val="left"/>
      <w:pPr>
        <w:ind w:left="1701" w:hanging="340"/>
      </w:pPr>
      <w:rPr>
        <w:rFonts w:hint="default"/>
      </w:rPr>
    </w:lvl>
    <w:lvl w:ilvl="5">
      <w:start w:val="1"/>
      <w:numFmt w:val="lowerRoman"/>
      <w:lvlText w:val="(%6)"/>
      <w:lvlJc w:val="left"/>
      <w:pPr>
        <w:tabs>
          <w:tab w:val="num" w:pos="2608"/>
        </w:tabs>
        <w:ind w:left="2041" w:hanging="340"/>
      </w:pPr>
      <w:rPr>
        <w:rFonts w:hint="default"/>
      </w:rPr>
    </w:lvl>
    <w:lvl w:ilvl="6">
      <w:start w:val="1"/>
      <w:numFmt w:val="decimal"/>
      <w:lvlText w:val="%7."/>
      <w:lvlJc w:val="left"/>
      <w:pPr>
        <w:tabs>
          <w:tab w:val="num" w:pos="3175"/>
        </w:tabs>
        <w:ind w:left="2381" w:hanging="340"/>
      </w:pPr>
      <w:rPr>
        <w:rFonts w:hint="default"/>
      </w:rPr>
    </w:lvl>
    <w:lvl w:ilvl="7">
      <w:start w:val="1"/>
      <w:numFmt w:val="lowerLetter"/>
      <w:lvlText w:val="%8."/>
      <w:lvlJc w:val="left"/>
      <w:pPr>
        <w:tabs>
          <w:tab w:val="num" w:pos="3799"/>
        </w:tabs>
        <w:ind w:left="2722" w:hanging="341"/>
      </w:pPr>
      <w:rPr>
        <w:rFonts w:hint="default"/>
      </w:rPr>
    </w:lvl>
    <w:lvl w:ilvl="8">
      <w:start w:val="1"/>
      <w:numFmt w:val="lowerRoman"/>
      <w:lvlText w:val="%9."/>
      <w:lvlJc w:val="left"/>
      <w:pPr>
        <w:ind w:left="3062" w:hanging="340"/>
      </w:pPr>
      <w:rPr>
        <w:rFonts w:hint="default"/>
      </w:rPr>
    </w:lvl>
  </w:abstractNum>
  <w:abstractNum w:abstractNumId="25" w15:restartNumberingAfterBreak="0">
    <w:nsid w:val="5AD60E65"/>
    <w:multiLevelType w:val="hybridMultilevel"/>
    <w:tmpl w:val="BEEABEC8"/>
    <w:lvl w:ilvl="0" w:tplc="725A850C">
      <w:start w:val="1"/>
      <w:numFmt w:val="bullet"/>
      <w:lvlText w:val=""/>
      <w:lvlJc w:val="left"/>
      <w:pPr>
        <w:ind w:left="2123" w:hanging="360"/>
      </w:pPr>
      <w:rPr>
        <w:rFonts w:ascii="Symbol" w:hAnsi="Symbol" w:hint="default"/>
        <w:color w:val="auto"/>
      </w:rPr>
    </w:lvl>
    <w:lvl w:ilvl="1" w:tplc="0C090001">
      <w:start w:val="1"/>
      <w:numFmt w:val="bullet"/>
      <w:lvlText w:val=""/>
      <w:lvlJc w:val="left"/>
      <w:pPr>
        <w:ind w:left="2123" w:hanging="360"/>
      </w:pPr>
      <w:rPr>
        <w:rFonts w:ascii="Symbol" w:hAnsi="Symbol" w:hint="default"/>
      </w:rPr>
    </w:lvl>
    <w:lvl w:ilvl="2" w:tplc="0C090005" w:tentative="1">
      <w:start w:val="1"/>
      <w:numFmt w:val="bullet"/>
      <w:lvlText w:val=""/>
      <w:lvlJc w:val="left"/>
      <w:pPr>
        <w:ind w:left="2843" w:hanging="360"/>
      </w:pPr>
      <w:rPr>
        <w:rFonts w:ascii="Wingdings" w:hAnsi="Wingdings" w:hint="default"/>
      </w:rPr>
    </w:lvl>
    <w:lvl w:ilvl="3" w:tplc="0C090001" w:tentative="1">
      <w:start w:val="1"/>
      <w:numFmt w:val="bullet"/>
      <w:lvlText w:val=""/>
      <w:lvlJc w:val="left"/>
      <w:pPr>
        <w:ind w:left="3563" w:hanging="360"/>
      </w:pPr>
      <w:rPr>
        <w:rFonts w:ascii="Symbol" w:hAnsi="Symbol" w:hint="default"/>
      </w:rPr>
    </w:lvl>
    <w:lvl w:ilvl="4" w:tplc="0C090003" w:tentative="1">
      <w:start w:val="1"/>
      <w:numFmt w:val="bullet"/>
      <w:lvlText w:val="o"/>
      <w:lvlJc w:val="left"/>
      <w:pPr>
        <w:ind w:left="4283" w:hanging="360"/>
      </w:pPr>
      <w:rPr>
        <w:rFonts w:ascii="Courier New" w:hAnsi="Courier New" w:cs="Courier New" w:hint="default"/>
      </w:rPr>
    </w:lvl>
    <w:lvl w:ilvl="5" w:tplc="0C090005" w:tentative="1">
      <w:start w:val="1"/>
      <w:numFmt w:val="bullet"/>
      <w:lvlText w:val=""/>
      <w:lvlJc w:val="left"/>
      <w:pPr>
        <w:ind w:left="5003" w:hanging="360"/>
      </w:pPr>
      <w:rPr>
        <w:rFonts w:ascii="Wingdings" w:hAnsi="Wingdings" w:hint="default"/>
      </w:rPr>
    </w:lvl>
    <w:lvl w:ilvl="6" w:tplc="0C090001" w:tentative="1">
      <w:start w:val="1"/>
      <w:numFmt w:val="bullet"/>
      <w:lvlText w:val=""/>
      <w:lvlJc w:val="left"/>
      <w:pPr>
        <w:ind w:left="5723" w:hanging="360"/>
      </w:pPr>
      <w:rPr>
        <w:rFonts w:ascii="Symbol" w:hAnsi="Symbol" w:hint="default"/>
      </w:rPr>
    </w:lvl>
    <w:lvl w:ilvl="7" w:tplc="0C090003" w:tentative="1">
      <w:start w:val="1"/>
      <w:numFmt w:val="bullet"/>
      <w:lvlText w:val="o"/>
      <w:lvlJc w:val="left"/>
      <w:pPr>
        <w:ind w:left="6443" w:hanging="360"/>
      </w:pPr>
      <w:rPr>
        <w:rFonts w:ascii="Courier New" w:hAnsi="Courier New" w:cs="Courier New" w:hint="default"/>
      </w:rPr>
    </w:lvl>
    <w:lvl w:ilvl="8" w:tplc="0C090005" w:tentative="1">
      <w:start w:val="1"/>
      <w:numFmt w:val="bullet"/>
      <w:lvlText w:val=""/>
      <w:lvlJc w:val="left"/>
      <w:pPr>
        <w:ind w:left="7163" w:hanging="360"/>
      </w:pPr>
      <w:rPr>
        <w:rFonts w:ascii="Wingdings" w:hAnsi="Wingdings" w:hint="default"/>
      </w:rPr>
    </w:lvl>
  </w:abstractNum>
  <w:abstractNum w:abstractNumId="26" w15:restartNumberingAfterBreak="0">
    <w:nsid w:val="5ECC15B0"/>
    <w:multiLevelType w:val="hybridMultilevel"/>
    <w:tmpl w:val="7DC4672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7" w15:restartNumberingAfterBreak="0">
    <w:nsid w:val="61124A8F"/>
    <w:multiLevelType w:val="hybridMultilevel"/>
    <w:tmpl w:val="65447B5C"/>
    <w:lvl w:ilvl="0" w:tplc="F77037F0">
      <w:start w:val="1"/>
      <w:numFmt w:val="lowerLetter"/>
      <w:pStyle w:val="Listalphabet"/>
      <w:lvlText w:val="(%1)"/>
      <w:lvlJc w:val="left"/>
      <w:pPr>
        <w:ind w:left="340" w:hanging="34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8" w15:restartNumberingAfterBreak="0">
    <w:nsid w:val="66DC52CE"/>
    <w:multiLevelType w:val="hybridMultilevel"/>
    <w:tmpl w:val="05ACFE50"/>
    <w:lvl w:ilvl="0" w:tplc="5CD829E8">
      <w:start w:val="1"/>
      <w:numFmt w:val="decimal"/>
      <w:pStyle w:val="Heading9"/>
      <w:lvlText w:val="Table %1"/>
      <w:lvlJc w:val="left"/>
      <w:pPr>
        <w:ind w:left="36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9" w15:restartNumberingAfterBreak="0">
    <w:nsid w:val="6726588A"/>
    <w:multiLevelType w:val="hybridMultilevel"/>
    <w:tmpl w:val="CC927964"/>
    <w:lvl w:ilvl="0" w:tplc="0C09000F">
      <w:start w:val="1"/>
      <w:numFmt w:val="bullet"/>
      <w:pStyle w:val="Bulletpoint2"/>
      <w:lvlText w:val="o"/>
      <w:lvlJc w:val="left"/>
      <w:pPr>
        <w:ind w:left="1003" w:hanging="360"/>
      </w:pPr>
      <w:rPr>
        <w:rFonts w:ascii="Courier New" w:hAnsi="Courier New" w:cs="Courier New" w:hint="default"/>
      </w:rPr>
    </w:lvl>
    <w:lvl w:ilvl="1" w:tplc="0C090019" w:tentative="1">
      <w:start w:val="1"/>
      <w:numFmt w:val="bullet"/>
      <w:lvlText w:val="o"/>
      <w:lvlJc w:val="left"/>
      <w:pPr>
        <w:ind w:left="1723" w:hanging="360"/>
      </w:pPr>
      <w:rPr>
        <w:rFonts w:ascii="Courier New" w:hAnsi="Courier New" w:cs="Courier New" w:hint="default"/>
      </w:rPr>
    </w:lvl>
    <w:lvl w:ilvl="2" w:tplc="0C09001B" w:tentative="1">
      <w:start w:val="1"/>
      <w:numFmt w:val="bullet"/>
      <w:lvlText w:val=""/>
      <w:lvlJc w:val="left"/>
      <w:pPr>
        <w:ind w:left="2443" w:hanging="360"/>
      </w:pPr>
      <w:rPr>
        <w:rFonts w:ascii="Wingdings" w:hAnsi="Wingdings" w:hint="default"/>
      </w:rPr>
    </w:lvl>
    <w:lvl w:ilvl="3" w:tplc="0C09000F" w:tentative="1">
      <w:start w:val="1"/>
      <w:numFmt w:val="bullet"/>
      <w:lvlText w:val=""/>
      <w:lvlJc w:val="left"/>
      <w:pPr>
        <w:ind w:left="3163" w:hanging="360"/>
      </w:pPr>
      <w:rPr>
        <w:rFonts w:ascii="Symbol" w:hAnsi="Symbol" w:hint="default"/>
      </w:rPr>
    </w:lvl>
    <w:lvl w:ilvl="4" w:tplc="0C090019" w:tentative="1">
      <w:start w:val="1"/>
      <w:numFmt w:val="bullet"/>
      <w:lvlText w:val="o"/>
      <w:lvlJc w:val="left"/>
      <w:pPr>
        <w:ind w:left="3883" w:hanging="360"/>
      </w:pPr>
      <w:rPr>
        <w:rFonts w:ascii="Courier New" w:hAnsi="Courier New" w:cs="Courier New" w:hint="default"/>
      </w:rPr>
    </w:lvl>
    <w:lvl w:ilvl="5" w:tplc="0C09001B" w:tentative="1">
      <w:start w:val="1"/>
      <w:numFmt w:val="bullet"/>
      <w:lvlText w:val=""/>
      <w:lvlJc w:val="left"/>
      <w:pPr>
        <w:ind w:left="4603" w:hanging="360"/>
      </w:pPr>
      <w:rPr>
        <w:rFonts w:ascii="Wingdings" w:hAnsi="Wingdings" w:hint="default"/>
      </w:rPr>
    </w:lvl>
    <w:lvl w:ilvl="6" w:tplc="0C09000F" w:tentative="1">
      <w:start w:val="1"/>
      <w:numFmt w:val="bullet"/>
      <w:lvlText w:val=""/>
      <w:lvlJc w:val="left"/>
      <w:pPr>
        <w:ind w:left="5323" w:hanging="360"/>
      </w:pPr>
      <w:rPr>
        <w:rFonts w:ascii="Symbol" w:hAnsi="Symbol" w:hint="default"/>
      </w:rPr>
    </w:lvl>
    <w:lvl w:ilvl="7" w:tplc="0C090019" w:tentative="1">
      <w:start w:val="1"/>
      <w:numFmt w:val="bullet"/>
      <w:lvlText w:val="o"/>
      <w:lvlJc w:val="left"/>
      <w:pPr>
        <w:ind w:left="6043" w:hanging="360"/>
      </w:pPr>
      <w:rPr>
        <w:rFonts w:ascii="Courier New" w:hAnsi="Courier New" w:cs="Courier New" w:hint="default"/>
      </w:rPr>
    </w:lvl>
    <w:lvl w:ilvl="8" w:tplc="0C09001B" w:tentative="1">
      <w:start w:val="1"/>
      <w:numFmt w:val="bullet"/>
      <w:lvlText w:val=""/>
      <w:lvlJc w:val="left"/>
      <w:pPr>
        <w:ind w:left="6763" w:hanging="360"/>
      </w:pPr>
      <w:rPr>
        <w:rFonts w:ascii="Wingdings" w:hAnsi="Wingdings" w:hint="default"/>
      </w:rPr>
    </w:lvl>
  </w:abstractNum>
  <w:abstractNum w:abstractNumId="30" w15:restartNumberingAfterBreak="0">
    <w:nsid w:val="6A21485F"/>
    <w:multiLevelType w:val="hybridMultilevel"/>
    <w:tmpl w:val="430A3526"/>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1" w15:restartNumberingAfterBreak="0">
    <w:nsid w:val="71052EFE"/>
    <w:multiLevelType w:val="hybridMultilevel"/>
    <w:tmpl w:val="638C8810"/>
    <w:lvl w:ilvl="0" w:tplc="E1922DFC">
      <w:start w:val="1"/>
      <w:numFmt w:val="lowerRoman"/>
      <w:pStyle w:val="ListLegal3"/>
      <w:lvlText w:val="%1."/>
      <w:lvlJc w:val="right"/>
      <w:pPr>
        <w:ind w:left="1361" w:hanging="341"/>
      </w:pPr>
      <w:rPr>
        <w:rFonts w:hint="default"/>
      </w:rPr>
    </w:lvl>
    <w:lvl w:ilvl="1" w:tplc="0C090019">
      <w:start w:val="1"/>
      <w:numFmt w:val="lowerLetter"/>
      <w:lvlText w:val="%2."/>
      <w:lvlJc w:val="left"/>
      <w:pPr>
        <w:ind w:left="2100" w:hanging="360"/>
      </w:pPr>
    </w:lvl>
    <w:lvl w:ilvl="2" w:tplc="0C09001B" w:tentative="1">
      <w:start w:val="1"/>
      <w:numFmt w:val="lowerRoman"/>
      <w:lvlText w:val="%3."/>
      <w:lvlJc w:val="right"/>
      <w:pPr>
        <w:ind w:left="2820" w:hanging="180"/>
      </w:pPr>
    </w:lvl>
    <w:lvl w:ilvl="3" w:tplc="0C09000F" w:tentative="1">
      <w:start w:val="1"/>
      <w:numFmt w:val="decimal"/>
      <w:lvlText w:val="%4."/>
      <w:lvlJc w:val="left"/>
      <w:pPr>
        <w:ind w:left="3540" w:hanging="360"/>
      </w:pPr>
    </w:lvl>
    <w:lvl w:ilvl="4" w:tplc="0C090019" w:tentative="1">
      <w:start w:val="1"/>
      <w:numFmt w:val="lowerLetter"/>
      <w:lvlText w:val="%5."/>
      <w:lvlJc w:val="left"/>
      <w:pPr>
        <w:ind w:left="4260" w:hanging="360"/>
      </w:pPr>
    </w:lvl>
    <w:lvl w:ilvl="5" w:tplc="0C09001B" w:tentative="1">
      <w:start w:val="1"/>
      <w:numFmt w:val="lowerRoman"/>
      <w:lvlText w:val="%6."/>
      <w:lvlJc w:val="right"/>
      <w:pPr>
        <w:ind w:left="4980" w:hanging="180"/>
      </w:pPr>
    </w:lvl>
    <w:lvl w:ilvl="6" w:tplc="0C09000F" w:tentative="1">
      <w:start w:val="1"/>
      <w:numFmt w:val="decimal"/>
      <w:lvlText w:val="%7."/>
      <w:lvlJc w:val="left"/>
      <w:pPr>
        <w:ind w:left="5700" w:hanging="360"/>
      </w:pPr>
    </w:lvl>
    <w:lvl w:ilvl="7" w:tplc="0C090019" w:tentative="1">
      <w:start w:val="1"/>
      <w:numFmt w:val="lowerLetter"/>
      <w:lvlText w:val="%8."/>
      <w:lvlJc w:val="left"/>
      <w:pPr>
        <w:ind w:left="6420" w:hanging="360"/>
      </w:pPr>
    </w:lvl>
    <w:lvl w:ilvl="8" w:tplc="0C09001B" w:tentative="1">
      <w:start w:val="1"/>
      <w:numFmt w:val="lowerRoman"/>
      <w:lvlText w:val="%9."/>
      <w:lvlJc w:val="right"/>
      <w:pPr>
        <w:ind w:left="7140" w:hanging="180"/>
      </w:pPr>
    </w:lvl>
  </w:abstractNum>
  <w:abstractNum w:abstractNumId="32" w15:restartNumberingAfterBreak="0">
    <w:nsid w:val="73F84B72"/>
    <w:multiLevelType w:val="hybridMultilevel"/>
    <w:tmpl w:val="CDC0D9C4"/>
    <w:lvl w:ilvl="0" w:tplc="6C5C8C5A">
      <w:start w:val="1"/>
      <w:numFmt w:val="lowerLetter"/>
      <w:pStyle w:val="Listalphabet5"/>
      <w:lvlText w:val="(%1)"/>
      <w:lvlJc w:val="left"/>
      <w:pPr>
        <w:ind w:left="1701" w:hanging="341"/>
      </w:pPr>
      <w:rPr>
        <w:rFonts w:hint="default"/>
      </w:rPr>
    </w:lvl>
    <w:lvl w:ilvl="1" w:tplc="0C090019" w:tentative="1">
      <w:start w:val="1"/>
      <w:numFmt w:val="lowerLetter"/>
      <w:lvlText w:val="%2."/>
      <w:lvlJc w:val="left"/>
      <w:pPr>
        <w:ind w:left="2440" w:hanging="360"/>
      </w:pPr>
    </w:lvl>
    <w:lvl w:ilvl="2" w:tplc="0C09001B" w:tentative="1">
      <w:start w:val="1"/>
      <w:numFmt w:val="lowerRoman"/>
      <w:lvlText w:val="%3."/>
      <w:lvlJc w:val="right"/>
      <w:pPr>
        <w:ind w:left="3160" w:hanging="180"/>
      </w:pPr>
    </w:lvl>
    <w:lvl w:ilvl="3" w:tplc="0C09000F" w:tentative="1">
      <w:start w:val="1"/>
      <w:numFmt w:val="decimal"/>
      <w:lvlText w:val="%4."/>
      <w:lvlJc w:val="left"/>
      <w:pPr>
        <w:ind w:left="3880" w:hanging="360"/>
      </w:pPr>
    </w:lvl>
    <w:lvl w:ilvl="4" w:tplc="0C090019" w:tentative="1">
      <w:start w:val="1"/>
      <w:numFmt w:val="lowerLetter"/>
      <w:lvlText w:val="%5."/>
      <w:lvlJc w:val="left"/>
      <w:pPr>
        <w:ind w:left="4600" w:hanging="360"/>
      </w:pPr>
    </w:lvl>
    <w:lvl w:ilvl="5" w:tplc="0C09001B" w:tentative="1">
      <w:start w:val="1"/>
      <w:numFmt w:val="lowerRoman"/>
      <w:lvlText w:val="%6."/>
      <w:lvlJc w:val="right"/>
      <w:pPr>
        <w:ind w:left="5320" w:hanging="180"/>
      </w:pPr>
    </w:lvl>
    <w:lvl w:ilvl="6" w:tplc="0C09000F" w:tentative="1">
      <w:start w:val="1"/>
      <w:numFmt w:val="decimal"/>
      <w:lvlText w:val="%7."/>
      <w:lvlJc w:val="left"/>
      <w:pPr>
        <w:ind w:left="6040" w:hanging="360"/>
      </w:pPr>
    </w:lvl>
    <w:lvl w:ilvl="7" w:tplc="0C090019" w:tentative="1">
      <w:start w:val="1"/>
      <w:numFmt w:val="lowerLetter"/>
      <w:lvlText w:val="%8."/>
      <w:lvlJc w:val="left"/>
      <w:pPr>
        <w:ind w:left="6760" w:hanging="360"/>
      </w:pPr>
    </w:lvl>
    <w:lvl w:ilvl="8" w:tplc="0C09001B" w:tentative="1">
      <w:start w:val="1"/>
      <w:numFmt w:val="lowerRoman"/>
      <w:lvlText w:val="%9."/>
      <w:lvlJc w:val="right"/>
      <w:pPr>
        <w:ind w:left="7480" w:hanging="180"/>
      </w:pPr>
    </w:lvl>
  </w:abstractNum>
  <w:abstractNum w:abstractNumId="33" w15:restartNumberingAfterBreak="0">
    <w:nsid w:val="760C7082"/>
    <w:multiLevelType w:val="hybridMultilevel"/>
    <w:tmpl w:val="C9D6B284"/>
    <w:lvl w:ilvl="0" w:tplc="A9080AEA">
      <w:start w:val="1"/>
      <w:numFmt w:val="lowerRoman"/>
      <w:pStyle w:val="ListLegal4"/>
      <w:lvlText w:val="%1."/>
      <w:lvlJc w:val="right"/>
      <w:pPr>
        <w:ind w:left="1701" w:hanging="340"/>
      </w:pPr>
      <w:rPr>
        <w:rFonts w:hint="default"/>
      </w:rPr>
    </w:lvl>
    <w:lvl w:ilvl="1" w:tplc="0C090019" w:tentative="1">
      <w:start w:val="1"/>
      <w:numFmt w:val="lowerLetter"/>
      <w:lvlText w:val="%2."/>
      <w:lvlJc w:val="left"/>
      <w:pPr>
        <w:ind w:left="2441" w:hanging="360"/>
      </w:pPr>
    </w:lvl>
    <w:lvl w:ilvl="2" w:tplc="0C09001B" w:tentative="1">
      <w:start w:val="1"/>
      <w:numFmt w:val="lowerRoman"/>
      <w:lvlText w:val="%3."/>
      <w:lvlJc w:val="right"/>
      <w:pPr>
        <w:ind w:left="3161" w:hanging="180"/>
      </w:pPr>
    </w:lvl>
    <w:lvl w:ilvl="3" w:tplc="0C09000F" w:tentative="1">
      <w:start w:val="1"/>
      <w:numFmt w:val="decimal"/>
      <w:lvlText w:val="%4."/>
      <w:lvlJc w:val="left"/>
      <w:pPr>
        <w:ind w:left="3881" w:hanging="360"/>
      </w:pPr>
    </w:lvl>
    <w:lvl w:ilvl="4" w:tplc="0C090019" w:tentative="1">
      <w:start w:val="1"/>
      <w:numFmt w:val="lowerLetter"/>
      <w:lvlText w:val="%5."/>
      <w:lvlJc w:val="left"/>
      <w:pPr>
        <w:ind w:left="4601" w:hanging="360"/>
      </w:pPr>
    </w:lvl>
    <w:lvl w:ilvl="5" w:tplc="0C09001B" w:tentative="1">
      <w:start w:val="1"/>
      <w:numFmt w:val="lowerRoman"/>
      <w:lvlText w:val="%6."/>
      <w:lvlJc w:val="right"/>
      <w:pPr>
        <w:ind w:left="5321" w:hanging="180"/>
      </w:pPr>
    </w:lvl>
    <w:lvl w:ilvl="6" w:tplc="0C09000F" w:tentative="1">
      <w:start w:val="1"/>
      <w:numFmt w:val="decimal"/>
      <w:lvlText w:val="%7."/>
      <w:lvlJc w:val="left"/>
      <w:pPr>
        <w:ind w:left="6041" w:hanging="360"/>
      </w:pPr>
    </w:lvl>
    <w:lvl w:ilvl="7" w:tplc="0C090019" w:tentative="1">
      <w:start w:val="1"/>
      <w:numFmt w:val="lowerLetter"/>
      <w:lvlText w:val="%8."/>
      <w:lvlJc w:val="left"/>
      <w:pPr>
        <w:ind w:left="6761" w:hanging="360"/>
      </w:pPr>
    </w:lvl>
    <w:lvl w:ilvl="8" w:tplc="0C09001B" w:tentative="1">
      <w:start w:val="1"/>
      <w:numFmt w:val="lowerRoman"/>
      <w:lvlText w:val="%9."/>
      <w:lvlJc w:val="right"/>
      <w:pPr>
        <w:ind w:left="7481" w:hanging="180"/>
      </w:pPr>
    </w:lvl>
  </w:abstractNum>
  <w:abstractNum w:abstractNumId="34" w15:restartNumberingAfterBreak="0">
    <w:nsid w:val="78105DD3"/>
    <w:multiLevelType w:val="hybridMultilevel"/>
    <w:tmpl w:val="809AF13E"/>
    <w:lvl w:ilvl="0" w:tplc="0C090001">
      <w:start w:val="1"/>
      <w:numFmt w:val="bullet"/>
      <w:lvlText w:val=""/>
      <w:lvlJc w:val="left"/>
      <w:pPr>
        <w:ind w:left="1065" w:hanging="360"/>
      </w:pPr>
      <w:rPr>
        <w:rFonts w:ascii="Symbol" w:hAnsi="Symbol" w:hint="default"/>
      </w:rPr>
    </w:lvl>
    <w:lvl w:ilvl="1" w:tplc="0C090003" w:tentative="1">
      <w:start w:val="1"/>
      <w:numFmt w:val="bullet"/>
      <w:lvlText w:val="o"/>
      <w:lvlJc w:val="left"/>
      <w:pPr>
        <w:ind w:left="1785" w:hanging="360"/>
      </w:pPr>
      <w:rPr>
        <w:rFonts w:ascii="Courier New" w:hAnsi="Courier New" w:cs="Courier New" w:hint="default"/>
      </w:rPr>
    </w:lvl>
    <w:lvl w:ilvl="2" w:tplc="0C090005" w:tentative="1">
      <w:start w:val="1"/>
      <w:numFmt w:val="bullet"/>
      <w:lvlText w:val=""/>
      <w:lvlJc w:val="left"/>
      <w:pPr>
        <w:ind w:left="2505" w:hanging="360"/>
      </w:pPr>
      <w:rPr>
        <w:rFonts w:ascii="Wingdings" w:hAnsi="Wingdings" w:hint="default"/>
      </w:rPr>
    </w:lvl>
    <w:lvl w:ilvl="3" w:tplc="0C090001" w:tentative="1">
      <w:start w:val="1"/>
      <w:numFmt w:val="bullet"/>
      <w:lvlText w:val=""/>
      <w:lvlJc w:val="left"/>
      <w:pPr>
        <w:ind w:left="3225" w:hanging="360"/>
      </w:pPr>
      <w:rPr>
        <w:rFonts w:ascii="Symbol" w:hAnsi="Symbol" w:hint="default"/>
      </w:rPr>
    </w:lvl>
    <w:lvl w:ilvl="4" w:tplc="0C090003" w:tentative="1">
      <w:start w:val="1"/>
      <w:numFmt w:val="bullet"/>
      <w:lvlText w:val="o"/>
      <w:lvlJc w:val="left"/>
      <w:pPr>
        <w:ind w:left="3945" w:hanging="360"/>
      </w:pPr>
      <w:rPr>
        <w:rFonts w:ascii="Courier New" w:hAnsi="Courier New" w:cs="Courier New" w:hint="default"/>
      </w:rPr>
    </w:lvl>
    <w:lvl w:ilvl="5" w:tplc="0C090005" w:tentative="1">
      <w:start w:val="1"/>
      <w:numFmt w:val="bullet"/>
      <w:lvlText w:val=""/>
      <w:lvlJc w:val="left"/>
      <w:pPr>
        <w:ind w:left="4665" w:hanging="360"/>
      </w:pPr>
      <w:rPr>
        <w:rFonts w:ascii="Wingdings" w:hAnsi="Wingdings" w:hint="default"/>
      </w:rPr>
    </w:lvl>
    <w:lvl w:ilvl="6" w:tplc="0C090001" w:tentative="1">
      <w:start w:val="1"/>
      <w:numFmt w:val="bullet"/>
      <w:lvlText w:val=""/>
      <w:lvlJc w:val="left"/>
      <w:pPr>
        <w:ind w:left="5385" w:hanging="360"/>
      </w:pPr>
      <w:rPr>
        <w:rFonts w:ascii="Symbol" w:hAnsi="Symbol" w:hint="default"/>
      </w:rPr>
    </w:lvl>
    <w:lvl w:ilvl="7" w:tplc="0C090003" w:tentative="1">
      <w:start w:val="1"/>
      <w:numFmt w:val="bullet"/>
      <w:lvlText w:val="o"/>
      <w:lvlJc w:val="left"/>
      <w:pPr>
        <w:ind w:left="6105" w:hanging="360"/>
      </w:pPr>
      <w:rPr>
        <w:rFonts w:ascii="Courier New" w:hAnsi="Courier New" w:cs="Courier New" w:hint="default"/>
      </w:rPr>
    </w:lvl>
    <w:lvl w:ilvl="8" w:tplc="0C090005" w:tentative="1">
      <w:start w:val="1"/>
      <w:numFmt w:val="bullet"/>
      <w:lvlText w:val=""/>
      <w:lvlJc w:val="left"/>
      <w:pPr>
        <w:ind w:left="6825" w:hanging="360"/>
      </w:pPr>
      <w:rPr>
        <w:rFonts w:ascii="Wingdings" w:hAnsi="Wingdings" w:hint="default"/>
      </w:rPr>
    </w:lvl>
  </w:abstractNum>
  <w:abstractNum w:abstractNumId="35" w15:restartNumberingAfterBreak="0">
    <w:nsid w:val="7ACB7F6B"/>
    <w:multiLevelType w:val="hybridMultilevel"/>
    <w:tmpl w:val="0F2A3F9A"/>
    <w:lvl w:ilvl="0" w:tplc="1038B32C">
      <w:start w:val="1"/>
      <w:numFmt w:val="lowerRoman"/>
      <w:pStyle w:val="ListLegal2"/>
      <w:lvlText w:val="%1."/>
      <w:lvlJc w:val="right"/>
      <w:pPr>
        <w:ind w:left="1021" w:hanging="341"/>
      </w:pPr>
      <w:rPr>
        <w:rFonts w:hint="default"/>
      </w:rPr>
    </w:lvl>
    <w:lvl w:ilvl="1" w:tplc="0C090019" w:tentative="1">
      <w:start w:val="1"/>
      <w:numFmt w:val="lowerLetter"/>
      <w:lvlText w:val="%2."/>
      <w:lvlJc w:val="left"/>
      <w:pPr>
        <w:ind w:left="1760" w:hanging="360"/>
      </w:pPr>
    </w:lvl>
    <w:lvl w:ilvl="2" w:tplc="0C09001B" w:tentative="1">
      <w:start w:val="1"/>
      <w:numFmt w:val="lowerRoman"/>
      <w:lvlText w:val="%3."/>
      <w:lvlJc w:val="right"/>
      <w:pPr>
        <w:ind w:left="2480" w:hanging="180"/>
      </w:pPr>
    </w:lvl>
    <w:lvl w:ilvl="3" w:tplc="0C09000F" w:tentative="1">
      <w:start w:val="1"/>
      <w:numFmt w:val="decimal"/>
      <w:lvlText w:val="%4."/>
      <w:lvlJc w:val="left"/>
      <w:pPr>
        <w:ind w:left="3200" w:hanging="360"/>
      </w:pPr>
    </w:lvl>
    <w:lvl w:ilvl="4" w:tplc="0C090019" w:tentative="1">
      <w:start w:val="1"/>
      <w:numFmt w:val="lowerLetter"/>
      <w:lvlText w:val="%5."/>
      <w:lvlJc w:val="left"/>
      <w:pPr>
        <w:ind w:left="3920" w:hanging="360"/>
      </w:pPr>
    </w:lvl>
    <w:lvl w:ilvl="5" w:tplc="0C09001B" w:tentative="1">
      <w:start w:val="1"/>
      <w:numFmt w:val="lowerRoman"/>
      <w:lvlText w:val="%6."/>
      <w:lvlJc w:val="right"/>
      <w:pPr>
        <w:ind w:left="4640" w:hanging="180"/>
      </w:pPr>
    </w:lvl>
    <w:lvl w:ilvl="6" w:tplc="0C09000F" w:tentative="1">
      <w:start w:val="1"/>
      <w:numFmt w:val="decimal"/>
      <w:lvlText w:val="%7."/>
      <w:lvlJc w:val="left"/>
      <w:pPr>
        <w:ind w:left="5360" w:hanging="360"/>
      </w:pPr>
    </w:lvl>
    <w:lvl w:ilvl="7" w:tplc="0C090019" w:tentative="1">
      <w:start w:val="1"/>
      <w:numFmt w:val="lowerLetter"/>
      <w:lvlText w:val="%8."/>
      <w:lvlJc w:val="left"/>
      <w:pPr>
        <w:ind w:left="6080" w:hanging="360"/>
      </w:pPr>
    </w:lvl>
    <w:lvl w:ilvl="8" w:tplc="0C09001B" w:tentative="1">
      <w:start w:val="1"/>
      <w:numFmt w:val="lowerRoman"/>
      <w:lvlText w:val="%9."/>
      <w:lvlJc w:val="right"/>
      <w:pPr>
        <w:ind w:left="6800" w:hanging="180"/>
      </w:pPr>
    </w:lvl>
  </w:abstractNum>
  <w:abstractNum w:abstractNumId="36" w15:restartNumberingAfterBreak="0">
    <w:nsid w:val="7E2819EC"/>
    <w:multiLevelType w:val="multilevel"/>
    <w:tmpl w:val="1250F310"/>
    <w:lvl w:ilvl="0">
      <w:start w:val="1"/>
      <w:numFmt w:val="bullet"/>
      <w:pStyle w:val="Bulletpoint"/>
      <w:lvlText w:val=""/>
      <w:lvlJc w:val="left"/>
      <w:pPr>
        <w:ind w:left="360" w:hanging="360"/>
      </w:pPr>
      <w:rPr>
        <w:rFonts w:ascii="Symbol" w:hAnsi="Symbol"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abstractNumId w:val="12"/>
  </w:num>
  <w:num w:numId="2">
    <w:abstractNumId w:val="36"/>
  </w:num>
  <w:num w:numId="3">
    <w:abstractNumId w:val="7"/>
  </w:num>
  <w:num w:numId="4">
    <w:abstractNumId w:val="6"/>
  </w:num>
  <w:num w:numId="5">
    <w:abstractNumId w:val="5"/>
  </w:num>
  <w:num w:numId="6">
    <w:abstractNumId w:val="4"/>
  </w:num>
  <w:num w:numId="7">
    <w:abstractNumId w:val="1"/>
  </w:num>
  <w:num w:numId="8">
    <w:abstractNumId w:val="0"/>
  </w:num>
  <w:num w:numId="9">
    <w:abstractNumId w:val="29"/>
  </w:num>
  <w:num w:numId="10">
    <w:abstractNumId w:val="18"/>
  </w:num>
  <w:num w:numId="11">
    <w:abstractNumId w:val="11"/>
  </w:num>
  <w:num w:numId="12">
    <w:abstractNumId w:val="14"/>
  </w:num>
  <w:num w:numId="13">
    <w:abstractNumId w:val="17"/>
  </w:num>
  <w:num w:numId="14">
    <w:abstractNumId w:val="2"/>
  </w:num>
  <w:num w:numId="15">
    <w:abstractNumId w:val="31"/>
  </w:num>
  <w:num w:numId="16">
    <w:abstractNumId w:val="35"/>
  </w:num>
  <w:num w:numId="17">
    <w:abstractNumId w:val="33"/>
  </w:num>
  <w:num w:numId="18">
    <w:abstractNumId w:val="24"/>
  </w:num>
  <w:num w:numId="19">
    <w:abstractNumId w:val="16"/>
  </w:num>
  <w:num w:numId="20">
    <w:abstractNumId w:val="20"/>
  </w:num>
  <w:num w:numId="21">
    <w:abstractNumId w:val="32"/>
  </w:num>
  <w:num w:numId="22">
    <w:abstractNumId w:val="27"/>
  </w:num>
  <w:num w:numId="23">
    <w:abstractNumId w:val="8"/>
  </w:num>
  <w:num w:numId="24">
    <w:abstractNumId w:val="3"/>
  </w:num>
  <w:num w:numId="25">
    <w:abstractNumId w:val="23"/>
  </w:num>
  <w:num w:numId="26">
    <w:abstractNumId w:val="13"/>
  </w:num>
  <w:num w:numId="27">
    <w:abstractNumId w:val="28"/>
  </w:num>
  <w:num w:numId="28">
    <w:abstractNumId w:val="25"/>
  </w:num>
  <w:num w:numId="29">
    <w:abstractNumId w:val="21"/>
  </w:num>
  <w:num w:numId="30">
    <w:abstractNumId w:val="10"/>
  </w:num>
  <w:num w:numId="31">
    <w:abstractNumId w:val="9"/>
  </w:num>
  <w:num w:numId="32">
    <w:abstractNumId w:val="19"/>
  </w:num>
  <w:num w:numId="33">
    <w:abstractNumId w:val="26"/>
  </w:num>
  <w:num w:numId="34">
    <w:abstractNumId w:val="30"/>
  </w:num>
  <w:num w:numId="35">
    <w:abstractNumId w:val="22"/>
  </w:num>
  <w:num w:numId="36">
    <w:abstractNumId w:val="15"/>
  </w:num>
  <w:num w:numId="37">
    <w:abstractNumId w:val="34"/>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9721" w:allStyles="1" w:customStyles="0" w:latentStyles="0" w:stylesInUse="0" w:headingStyles="1" w:numberingStyles="0" w:tableStyles="0" w:directFormattingOnRuns="1" w:directFormattingOnParagraphs="1" w:directFormattingOnNumbering="1" w:directFormattingOnTables="0" w:clearFormatting="1" w:top3HeadingStyles="0" w:visibleStyles="0" w:alternateStyleNames="1"/>
  <w:stylePaneSortMethod w:val="0000"/>
  <w:trackRevisions/>
  <w:defaultTabStop w:val="34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urrentname" w:val="\\homesharecl\HomeDrives\dsmit\Desktop\Normal.dotm"/>
  </w:docVars>
  <w:rsids>
    <w:rsidRoot w:val="00F67084"/>
    <w:rsid w:val="00010774"/>
    <w:rsid w:val="0002115F"/>
    <w:rsid w:val="00021202"/>
    <w:rsid w:val="000225C4"/>
    <w:rsid w:val="0002508C"/>
    <w:rsid w:val="0003578C"/>
    <w:rsid w:val="000552E6"/>
    <w:rsid w:val="00063247"/>
    <w:rsid w:val="00070F9F"/>
    <w:rsid w:val="0007137B"/>
    <w:rsid w:val="00074E1E"/>
    <w:rsid w:val="00084090"/>
    <w:rsid w:val="00085663"/>
    <w:rsid w:val="00085EBF"/>
    <w:rsid w:val="000C3E81"/>
    <w:rsid w:val="000C5747"/>
    <w:rsid w:val="000D122C"/>
    <w:rsid w:val="000E12E1"/>
    <w:rsid w:val="000E1819"/>
    <w:rsid w:val="000E6C72"/>
    <w:rsid w:val="000F2368"/>
    <w:rsid w:val="000F6505"/>
    <w:rsid w:val="00105105"/>
    <w:rsid w:val="00116EB2"/>
    <w:rsid w:val="00124609"/>
    <w:rsid w:val="00143A2A"/>
    <w:rsid w:val="00150F61"/>
    <w:rsid w:val="00155A74"/>
    <w:rsid w:val="001573E4"/>
    <w:rsid w:val="00157DAC"/>
    <w:rsid w:val="00160756"/>
    <w:rsid w:val="0016335C"/>
    <w:rsid w:val="0017232E"/>
    <w:rsid w:val="00174102"/>
    <w:rsid w:val="00175DB7"/>
    <w:rsid w:val="00180157"/>
    <w:rsid w:val="00181223"/>
    <w:rsid w:val="00183C55"/>
    <w:rsid w:val="0018427C"/>
    <w:rsid w:val="00186F77"/>
    <w:rsid w:val="00187669"/>
    <w:rsid w:val="001926A4"/>
    <w:rsid w:val="001A3A19"/>
    <w:rsid w:val="001A43F4"/>
    <w:rsid w:val="001B10BA"/>
    <w:rsid w:val="001B246B"/>
    <w:rsid w:val="001B45A0"/>
    <w:rsid w:val="001C18EE"/>
    <w:rsid w:val="001D055E"/>
    <w:rsid w:val="001F492E"/>
    <w:rsid w:val="001F6DA3"/>
    <w:rsid w:val="0020324F"/>
    <w:rsid w:val="00212737"/>
    <w:rsid w:val="00224DB9"/>
    <w:rsid w:val="00231553"/>
    <w:rsid w:val="00251745"/>
    <w:rsid w:val="0025729B"/>
    <w:rsid w:val="00263AC0"/>
    <w:rsid w:val="0026680B"/>
    <w:rsid w:val="0026772D"/>
    <w:rsid w:val="00286874"/>
    <w:rsid w:val="00295E30"/>
    <w:rsid w:val="00296B65"/>
    <w:rsid w:val="002A7A98"/>
    <w:rsid w:val="002A7DEF"/>
    <w:rsid w:val="002B23B8"/>
    <w:rsid w:val="002D05EC"/>
    <w:rsid w:val="002D302F"/>
    <w:rsid w:val="002F7986"/>
    <w:rsid w:val="00303A53"/>
    <w:rsid w:val="00303C4A"/>
    <w:rsid w:val="00307F6D"/>
    <w:rsid w:val="003177A2"/>
    <w:rsid w:val="00323D87"/>
    <w:rsid w:val="003271B5"/>
    <w:rsid w:val="003301BA"/>
    <w:rsid w:val="00330CA0"/>
    <w:rsid w:val="00331264"/>
    <w:rsid w:val="00334C8D"/>
    <w:rsid w:val="00340655"/>
    <w:rsid w:val="003457CF"/>
    <w:rsid w:val="003459E6"/>
    <w:rsid w:val="003518B3"/>
    <w:rsid w:val="00371641"/>
    <w:rsid w:val="003846F1"/>
    <w:rsid w:val="00391C4A"/>
    <w:rsid w:val="003A0FC3"/>
    <w:rsid w:val="003A673F"/>
    <w:rsid w:val="003B5A70"/>
    <w:rsid w:val="003C77FD"/>
    <w:rsid w:val="003E0EFC"/>
    <w:rsid w:val="0040251B"/>
    <w:rsid w:val="004125B3"/>
    <w:rsid w:val="0041638D"/>
    <w:rsid w:val="00475DDE"/>
    <w:rsid w:val="00480B4B"/>
    <w:rsid w:val="00485DC4"/>
    <w:rsid w:val="004B4412"/>
    <w:rsid w:val="004C348C"/>
    <w:rsid w:val="004D1733"/>
    <w:rsid w:val="004D55BA"/>
    <w:rsid w:val="004E468D"/>
    <w:rsid w:val="005038DB"/>
    <w:rsid w:val="005074EB"/>
    <w:rsid w:val="00511E9F"/>
    <w:rsid w:val="00512743"/>
    <w:rsid w:val="0052379B"/>
    <w:rsid w:val="00530128"/>
    <w:rsid w:val="00532467"/>
    <w:rsid w:val="005476CF"/>
    <w:rsid w:val="00547BA2"/>
    <w:rsid w:val="00547CCF"/>
    <w:rsid w:val="00564A4D"/>
    <w:rsid w:val="00571B35"/>
    <w:rsid w:val="00571C9F"/>
    <w:rsid w:val="00577A09"/>
    <w:rsid w:val="00580B78"/>
    <w:rsid w:val="00584D8F"/>
    <w:rsid w:val="00596D42"/>
    <w:rsid w:val="005A404D"/>
    <w:rsid w:val="005B1534"/>
    <w:rsid w:val="005B1E3C"/>
    <w:rsid w:val="005B5FA2"/>
    <w:rsid w:val="005C0B24"/>
    <w:rsid w:val="005C24AC"/>
    <w:rsid w:val="005C26CC"/>
    <w:rsid w:val="005E6C0E"/>
    <w:rsid w:val="005F3202"/>
    <w:rsid w:val="005F7630"/>
    <w:rsid w:val="0061279B"/>
    <w:rsid w:val="00615C6B"/>
    <w:rsid w:val="00632D6D"/>
    <w:rsid w:val="00642C3E"/>
    <w:rsid w:val="00646025"/>
    <w:rsid w:val="006509EC"/>
    <w:rsid w:val="00663DAD"/>
    <w:rsid w:val="00676679"/>
    <w:rsid w:val="006813CE"/>
    <w:rsid w:val="006907EB"/>
    <w:rsid w:val="00691616"/>
    <w:rsid w:val="006B4CF9"/>
    <w:rsid w:val="006B7AC8"/>
    <w:rsid w:val="006D550F"/>
    <w:rsid w:val="006D77F3"/>
    <w:rsid w:val="00701CAB"/>
    <w:rsid w:val="00707563"/>
    <w:rsid w:val="007138BA"/>
    <w:rsid w:val="0072348C"/>
    <w:rsid w:val="00724A37"/>
    <w:rsid w:val="00726557"/>
    <w:rsid w:val="007303C3"/>
    <w:rsid w:val="00736472"/>
    <w:rsid w:val="00743223"/>
    <w:rsid w:val="00746E01"/>
    <w:rsid w:val="007555C6"/>
    <w:rsid w:val="007636F1"/>
    <w:rsid w:val="00763E5D"/>
    <w:rsid w:val="00767740"/>
    <w:rsid w:val="00775671"/>
    <w:rsid w:val="00777EE6"/>
    <w:rsid w:val="00782EEA"/>
    <w:rsid w:val="00783E9F"/>
    <w:rsid w:val="007B2C72"/>
    <w:rsid w:val="007C1C53"/>
    <w:rsid w:val="007E26A9"/>
    <w:rsid w:val="007E4904"/>
    <w:rsid w:val="007E4CB5"/>
    <w:rsid w:val="007F066B"/>
    <w:rsid w:val="008033C4"/>
    <w:rsid w:val="00806C88"/>
    <w:rsid w:val="0081034E"/>
    <w:rsid w:val="008344F6"/>
    <w:rsid w:val="0083510F"/>
    <w:rsid w:val="0084615E"/>
    <w:rsid w:val="00851209"/>
    <w:rsid w:val="0088007E"/>
    <w:rsid w:val="008837AC"/>
    <w:rsid w:val="00885CF6"/>
    <w:rsid w:val="008945B4"/>
    <w:rsid w:val="008A587D"/>
    <w:rsid w:val="008C5486"/>
    <w:rsid w:val="008E7031"/>
    <w:rsid w:val="00922C95"/>
    <w:rsid w:val="009233EE"/>
    <w:rsid w:val="0093685A"/>
    <w:rsid w:val="009530B0"/>
    <w:rsid w:val="00960540"/>
    <w:rsid w:val="009661DE"/>
    <w:rsid w:val="009856B7"/>
    <w:rsid w:val="0098602B"/>
    <w:rsid w:val="00991B3B"/>
    <w:rsid w:val="009962BA"/>
    <w:rsid w:val="009B3065"/>
    <w:rsid w:val="009B74B0"/>
    <w:rsid w:val="009D4414"/>
    <w:rsid w:val="009D4BCB"/>
    <w:rsid w:val="009D6B46"/>
    <w:rsid w:val="009E49BB"/>
    <w:rsid w:val="009F4940"/>
    <w:rsid w:val="00A0248C"/>
    <w:rsid w:val="00A1665B"/>
    <w:rsid w:val="00A323D9"/>
    <w:rsid w:val="00A338CE"/>
    <w:rsid w:val="00A4478A"/>
    <w:rsid w:val="00A44852"/>
    <w:rsid w:val="00A57D04"/>
    <w:rsid w:val="00A60A26"/>
    <w:rsid w:val="00A61598"/>
    <w:rsid w:val="00A84F46"/>
    <w:rsid w:val="00A871F4"/>
    <w:rsid w:val="00AB570C"/>
    <w:rsid w:val="00AC1B2C"/>
    <w:rsid w:val="00AC3264"/>
    <w:rsid w:val="00AC3E35"/>
    <w:rsid w:val="00AC6F01"/>
    <w:rsid w:val="00AE0FE2"/>
    <w:rsid w:val="00AE1BF1"/>
    <w:rsid w:val="00AE40BB"/>
    <w:rsid w:val="00AE6C5C"/>
    <w:rsid w:val="00AF0DD2"/>
    <w:rsid w:val="00B10314"/>
    <w:rsid w:val="00B13048"/>
    <w:rsid w:val="00B15998"/>
    <w:rsid w:val="00B1716D"/>
    <w:rsid w:val="00B17A1D"/>
    <w:rsid w:val="00B207A0"/>
    <w:rsid w:val="00B26EDC"/>
    <w:rsid w:val="00B41058"/>
    <w:rsid w:val="00B56E03"/>
    <w:rsid w:val="00B60F5D"/>
    <w:rsid w:val="00B62438"/>
    <w:rsid w:val="00B64FB0"/>
    <w:rsid w:val="00B67E91"/>
    <w:rsid w:val="00B75F04"/>
    <w:rsid w:val="00B8080B"/>
    <w:rsid w:val="00B87A3C"/>
    <w:rsid w:val="00B87C39"/>
    <w:rsid w:val="00B92632"/>
    <w:rsid w:val="00BA4665"/>
    <w:rsid w:val="00BB2FB2"/>
    <w:rsid w:val="00BB3304"/>
    <w:rsid w:val="00BD3446"/>
    <w:rsid w:val="00BE0328"/>
    <w:rsid w:val="00BE0A0D"/>
    <w:rsid w:val="00BE1F1B"/>
    <w:rsid w:val="00BE47B5"/>
    <w:rsid w:val="00BE4C99"/>
    <w:rsid w:val="00BF5FB1"/>
    <w:rsid w:val="00C058AB"/>
    <w:rsid w:val="00C06739"/>
    <w:rsid w:val="00C21374"/>
    <w:rsid w:val="00C248A1"/>
    <w:rsid w:val="00C31FD4"/>
    <w:rsid w:val="00C4603F"/>
    <w:rsid w:val="00C538A9"/>
    <w:rsid w:val="00C53B5A"/>
    <w:rsid w:val="00C54F5A"/>
    <w:rsid w:val="00C755AD"/>
    <w:rsid w:val="00C86679"/>
    <w:rsid w:val="00CA5E46"/>
    <w:rsid w:val="00CB666B"/>
    <w:rsid w:val="00CB7D1E"/>
    <w:rsid w:val="00CD0ACF"/>
    <w:rsid w:val="00CE6A7B"/>
    <w:rsid w:val="00CF179C"/>
    <w:rsid w:val="00CF799E"/>
    <w:rsid w:val="00D01CF0"/>
    <w:rsid w:val="00D0442A"/>
    <w:rsid w:val="00D203E1"/>
    <w:rsid w:val="00D23723"/>
    <w:rsid w:val="00D42C4D"/>
    <w:rsid w:val="00D521D5"/>
    <w:rsid w:val="00D544B8"/>
    <w:rsid w:val="00D61388"/>
    <w:rsid w:val="00D61A54"/>
    <w:rsid w:val="00D64DEA"/>
    <w:rsid w:val="00D713F5"/>
    <w:rsid w:val="00D80893"/>
    <w:rsid w:val="00D909CD"/>
    <w:rsid w:val="00D92CF1"/>
    <w:rsid w:val="00D92D38"/>
    <w:rsid w:val="00D950F5"/>
    <w:rsid w:val="00DB0F93"/>
    <w:rsid w:val="00DC542F"/>
    <w:rsid w:val="00DC5AB6"/>
    <w:rsid w:val="00DC7981"/>
    <w:rsid w:val="00DD17BC"/>
    <w:rsid w:val="00DE4EFA"/>
    <w:rsid w:val="00DE5520"/>
    <w:rsid w:val="00E013C1"/>
    <w:rsid w:val="00E04818"/>
    <w:rsid w:val="00E06442"/>
    <w:rsid w:val="00E14901"/>
    <w:rsid w:val="00E23993"/>
    <w:rsid w:val="00E25B8C"/>
    <w:rsid w:val="00E27642"/>
    <w:rsid w:val="00E4674F"/>
    <w:rsid w:val="00E53E3A"/>
    <w:rsid w:val="00E62E7B"/>
    <w:rsid w:val="00E65C85"/>
    <w:rsid w:val="00E66199"/>
    <w:rsid w:val="00E72324"/>
    <w:rsid w:val="00E755EC"/>
    <w:rsid w:val="00E7624D"/>
    <w:rsid w:val="00EA3D42"/>
    <w:rsid w:val="00EA6B1B"/>
    <w:rsid w:val="00EE28F3"/>
    <w:rsid w:val="00EF5110"/>
    <w:rsid w:val="00F15882"/>
    <w:rsid w:val="00F20BD3"/>
    <w:rsid w:val="00F373A5"/>
    <w:rsid w:val="00F47559"/>
    <w:rsid w:val="00F60BE4"/>
    <w:rsid w:val="00F61B84"/>
    <w:rsid w:val="00F64C7B"/>
    <w:rsid w:val="00F67084"/>
    <w:rsid w:val="00F676DD"/>
    <w:rsid w:val="00F75A26"/>
    <w:rsid w:val="00F83FAD"/>
    <w:rsid w:val="00F90464"/>
    <w:rsid w:val="00F91DC6"/>
    <w:rsid w:val="00F92876"/>
    <w:rsid w:val="00F952A0"/>
    <w:rsid w:val="00F96DF5"/>
    <w:rsid w:val="00FA3C7F"/>
    <w:rsid w:val="00FA4E09"/>
    <w:rsid w:val="00FB52D7"/>
    <w:rsid w:val="00FB74E2"/>
    <w:rsid w:val="00FC5D8D"/>
    <w:rsid w:val="00FD5614"/>
    <w:rsid w:val="00FE0BE1"/>
    <w:rsid w:val="00FE1DE9"/>
    <w:rsid w:val="00FE39C2"/>
    <w:rsid w:val="00FE64AE"/>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3714918F"/>
  <w15:chartTrackingRefBased/>
  <w15:docId w15:val="{8DEF14C5-06A3-48E4-AD1D-7C15E5CC38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AU" w:eastAsia="en-US" w:bidi="ar-SA"/>
      </w:rPr>
    </w:rPrDefault>
    <w:pPrDefault>
      <w:pPr>
        <w:spacing w:before="200"/>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2"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Normal Indent" w:uiPriority="1"/>
    <w:lsdException w:name="footnote text" w:semiHidden="1" w:uiPriority="2" w:unhideWhenUsed="1"/>
    <w:lsdException w:name="annotation text" w:semiHidden="1" w:uiPriority="0" w:unhideWhenUsed="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B5A70"/>
    <w:rPr>
      <w:rFonts w:ascii="Arial" w:hAnsi="Arial"/>
    </w:rPr>
  </w:style>
  <w:style w:type="paragraph" w:styleId="Heading1">
    <w:name w:val="heading 1"/>
    <w:basedOn w:val="Normal"/>
    <w:next w:val="Normal"/>
    <w:link w:val="Heading1Char"/>
    <w:qFormat/>
    <w:rsid w:val="00E27642"/>
    <w:pPr>
      <w:spacing w:before="240"/>
      <w:outlineLvl w:val="0"/>
    </w:pPr>
    <w:rPr>
      <w:rFonts w:ascii="Palatino Linotype" w:eastAsiaTheme="majorEastAsia" w:hAnsi="Palatino Linotype" w:cstheme="majorBidi"/>
      <w:bCs/>
      <w:color w:val="410099" w:themeColor="accent1"/>
      <w:sz w:val="36"/>
      <w:szCs w:val="28"/>
    </w:rPr>
  </w:style>
  <w:style w:type="paragraph" w:styleId="Heading2">
    <w:name w:val="heading 2"/>
    <w:next w:val="Normal"/>
    <w:link w:val="Heading2Char"/>
    <w:qFormat/>
    <w:rsid w:val="00E27642"/>
    <w:pPr>
      <w:spacing w:line="240" w:lineRule="atLeast"/>
      <w:outlineLvl w:val="1"/>
    </w:pPr>
    <w:rPr>
      <w:rFonts w:ascii="Arial" w:eastAsiaTheme="majorEastAsia" w:hAnsi="Arial" w:cstheme="majorBidi"/>
      <w:bCs/>
      <w:color w:val="410099" w:themeColor="accent1"/>
      <w:sz w:val="28"/>
      <w:szCs w:val="26"/>
    </w:rPr>
  </w:style>
  <w:style w:type="paragraph" w:styleId="Heading3">
    <w:name w:val="heading 3"/>
    <w:basedOn w:val="Normal"/>
    <w:next w:val="Normal"/>
    <w:link w:val="Heading3Char"/>
    <w:qFormat/>
    <w:rsid w:val="009D6B46"/>
    <w:pPr>
      <w:spacing w:before="240"/>
      <w:outlineLvl w:val="2"/>
    </w:pPr>
    <w:rPr>
      <w:rFonts w:eastAsiaTheme="majorEastAsia" w:cstheme="majorBidi"/>
      <w:b/>
      <w:bCs/>
      <w:color w:val="000000" w:themeColor="text1" w:themeShade="BF"/>
      <w:sz w:val="24"/>
    </w:rPr>
  </w:style>
  <w:style w:type="paragraph" w:styleId="Heading4">
    <w:name w:val="heading 4"/>
    <w:basedOn w:val="Normal"/>
    <w:next w:val="Normal"/>
    <w:link w:val="Heading4Char"/>
    <w:qFormat/>
    <w:rsid w:val="00E27642"/>
    <w:pPr>
      <w:spacing w:before="240"/>
      <w:outlineLvl w:val="3"/>
    </w:pPr>
    <w:rPr>
      <w:rFonts w:eastAsiaTheme="majorEastAsia" w:cstheme="majorBidi"/>
      <w:b/>
      <w:bCs/>
      <w:i/>
      <w:iCs/>
      <w:color w:val="410099" w:themeColor="accent1"/>
      <w:sz w:val="24"/>
    </w:rPr>
  </w:style>
  <w:style w:type="paragraph" w:styleId="Heading5">
    <w:name w:val="heading 5"/>
    <w:next w:val="Normal"/>
    <w:link w:val="Heading5Char"/>
    <w:uiPriority w:val="2"/>
    <w:qFormat/>
    <w:rsid w:val="009D6B46"/>
    <w:pPr>
      <w:spacing w:line="240" w:lineRule="atLeast"/>
      <w:outlineLvl w:val="4"/>
    </w:pPr>
    <w:rPr>
      <w:rFonts w:ascii="Arial" w:eastAsiaTheme="majorEastAsia" w:hAnsi="Arial" w:cstheme="majorBidi"/>
      <w:b/>
      <w:color w:val="20004C" w:themeColor="accent1" w:themeShade="7F"/>
    </w:rPr>
  </w:style>
  <w:style w:type="paragraph" w:styleId="Heading6">
    <w:name w:val="heading 6"/>
    <w:basedOn w:val="Normal"/>
    <w:next w:val="Normal"/>
    <w:link w:val="Heading6Char"/>
    <w:uiPriority w:val="2"/>
    <w:qFormat/>
    <w:rsid w:val="009D6B46"/>
    <w:pPr>
      <w:spacing w:before="240"/>
      <w:outlineLvl w:val="5"/>
    </w:pPr>
    <w:rPr>
      <w:rFonts w:eastAsiaTheme="majorEastAsia" w:cstheme="majorBidi"/>
      <w:b/>
      <w:i/>
      <w:iCs/>
    </w:rPr>
  </w:style>
  <w:style w:type="paragraph" w:styleId="Heading7">
    <w:name w:val="heading 7"/>
    <w:basedOn w:val="Normal"/>
    <w:next w:val="Normal"/>
    <w:link w:val="Heading7Char"/>
    <w:uiPriority w:val="2"/>
    <w:qFormat/>
    <w:rsid w:val="009D6B46"/>
    <w:pPr>
      <w:spacing w:before="240"/>
      <w:outlineLvl w:val="6"/>
    </w:pPr>
    <w:rPr>
      <w:rFonts w:eastAsiaTheme="majorEastAsia" w:cstheme="majorBidi"/>
      <w:i/>
      <w:iCs/>
      <w:color w:val="404040" w:themeColor="text1" w:themeTint="BF"/>
    </w:rPr>
  </w:style>
  <w:style w:type="paragraph" w:styleId="Heading8">
    <w:name w:val="heading 8"/>
    <w:basedOn w:val="Normal"/>
    <w:next w:val="Normal"/>
    <w:link w:val="Heading8Char"/>
    <w:uiPriority w:val="2"/>
    <w:qFormat/>
    <w:rsid w:val="009D6B46"/>
    <w:pPr>
      <w:spacing w:before="240"/>
      <w:outlineLvl w:val="7"/>
    </w:pPr>
    <w:rPr>
      <w:rFonts w:eastAsiaTheme="majorEastAsia" w:cstheme="majorBidi"/>
      <w:color w:val="410099" w:themeColor="accent1"/>
      <w:szCs w:val="20"/>
    </w:rPr>
  </w:style>
  <w:style w:type="paragraph" w:styleId="Heading9">
    <w:name w:val="heading 9"/>
    <w:aliases w:val="Numbered Table"/>
    <w:basedOn w:val="Normal"/>
    <w:next w:val="Normal"/>
    <w:link w:val="Heading9Char"/>
    <w:uiPriority w:val="2"/>
    <w:qFormat/>
    <w:rsid w:val="00646025"/>
    <w:pPr>
      <w:numPr>
        <w:numId w:val="27"/>
      </w:numPr>
      <w:tabs>
        <w:tab w:val="left" w:pos="340"/>
      </w:tabs>
      <w:spacing w:before="240" w:after="120"/>
      <w:outlineLvl w:val="8"/>
    </w:pPr>
    <w:rPr>
      <w:rFonts w:eastAsiaTheme="majorEastAsia" w:cstheme="majorBidi"/>
      <w:b/>
      <w:iCs/>
      <w:color w:val="000000" w:themeColor="text1"/>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E27642"/>
    <w:rPr>
      <w:rFonts w:ascii="Palatino Linotype" w:eastAsiaTheme="majorEastAsia" w:hAnsi="Palatino Linotype" w:cstheme="majorBidi"/>
      <w:bCs/>
      <w:color w:val="410099" w:themeColor="accent1"/>
      <w:sz w:val="36"/>
      <w:szCs w:val="28"/>
    </w:rPr>
  </w:style>
  <w:style w:type="character" w:customStyle="1" w:styleId="Heading2Char">
    <w:name w:val="Heading 2 Char"/>
    <w:basedOn w:val="DefaultParagraphFont"/>
    <w:link w:val="Heading2"/>
    <w:rsid w:val="00E27642"/>
    <w:rPr>
      <w:rFonts w:ascii="Arial" w:eastAsiaTheme="majorEastAsia" w:hAnsi="Arial" w:cstheme="majorBidi"/>
      <w:bCs/>
      <w:color w:val="410099" w:themeColor="accent1"/>
      <w:sz w:val="28"/>
      <w:szCs w:val="26"/>
    </w:rPr>
  </w:style>
  <w:style w:type="character" w:customStyle="1" w:styleId="Heading3Char">
    <w:name w:val="Heading 3 Char"/>
    <w:basedOn w:val="DefaultParagraphFont"/>
    <w:link w:val="Heading3"/>
    <w:rsid w:val="009D6B46"/>
    <w:rPr>
      <w:rFonts w:ascii="Arial" w:eastAsiaTheme="majorEastAsia" w:hAnsi="Arial" w:cstheme="majorBidi"/>
      <w:b/>
      <w:bCs/>
      <w:color w:val="000000" w:themeColor="text1" w:themeShade="BF"/>
      <w:sz w:val="24"/>
    </w:rPr>
  </w:style>
  <w:style w:type="character" w:customStyle="1" w:styleId="Heading4Char">
    <w:name w:val="Heading 4 Char"/>
    <w:basedOn w:val="DefaultParagraphFont"/>
    <w:link w:val="Heading4"/>
    <w:rsid w:val="00E27642"/>
    <w:rPr>
      <w:rFonts w:ascii="Arial" w:eastAsiaTheme="majorEastAsia" w:hAnsi="Arial" w:cstheme="majorBidi"/>
      <w:b/>
      <w:bCs/>
      <w:i/>
      <w:iCs/>
      <w:color w:val="410099" w:themeColor="accent1"/>
      <w:sz w:val="24"/>
    </w:rPr>
  </w:style>
  <w:style w:type="character" w:customStyle="1" w:styleId="Heading5Char">
    <w:name w:val="Heading 5 Char"/>
    <w:basedOn w:val="DefaultParagraphFont"/>
    <w:link w:val="Heading5"/>
    <w:uiPriority w:val="2"/>
    <w:rsid w:val="009D6B46"/>
    <w:rPr>
      <w:rFonts w:ascii="Arial" w:eastAsiaTheme="majorEastAsia" w:hAnsi="Arial" w:cstheme="majorBidi"/>
      <w:b/>
      <w:color w:val="20004C" w:themeColor="accent1" w:themeShade="7F"/>
    </w:rPr>
  </w:style>
  <w:style w:type="character" w:customStyle="1" w:styleId="Heading6Char">
    <w:name w:val="Heading 6 Char"/>
    <w:basedOn w:val="DefaultParagraphFont"/>
    <w:link w:val="Heading6"/>
    <w:uiPriority w:val="2"/>
    <w:rsid w:val="009D6B46"/>
    <w:rPr>
      <w:rFonts w:ascii="Arial" w:eastAsiaTheme="majorEastAsia" w:hAnsi="Arial" w:cstheme="majorBidi"/>
      <w:b/>
      <w:i/>
      <w:iCs/>
    </w:rPr>
  </w:style>
  <w:style w:type="paragraph" w:customStyle="1" w:styleId="Chaptertitle">
    <w:name w:val="Chapter title"/>
    <w:basedOn w:val="Normal"/>
    <w:link w:val="ChaptertitleChar"/>
    <w:rsid w:val="00E27642"/>
    <w:pPr>
      <w:spacing w:before="520" w:after="120"/>
    </w:pPr>
    <w:rPr>
      <w:rFonts w:ascii="Palatino Linotype" w:hAnsi="Palatino Linotype"/>
      <w:color w:val="410099" w:themeColor="accent1"/>
      <w:sz w:val="52"/>
      <w:szCs w:val="52"/>
    </w:rPr>
  </w:style>
  <w:style w:type="character" w:customStyle="1" w:styleId="ChaptertitleChar">
    <w:name w:val="Chapter title Char"/>
    <w:basedOn w:val="DefaultParagraphFont"/>
    <w:link w:val="Chaptertitle"/>
    <w:rsid w:val="00E27642"/>
    <w:rPr>
      <w:rFonts w:ascii="Palatino Linotype" w:hAnsi="Palatino Linotype"/>
      <w:color w:val="410099" w:themeColor="accent1"/>
      <w:sz w:val="52"/>
      <w:szCs w:val="52"/>
    </w:rPr>
  </w:style>
  <w:style w:type="paragraph" w:customStyle="1" w:styleId="Tabletext">
    <w:name w:val="Table text"/>
    <w:basedOn w:val="Normal"/>
    <w:link w:val="TabletextChar"/>
    <w:uiPriority w:val="1"/>
    <w:qFormat/>
    <w:rsid w:val="00584D8F"/>
    <w:pPr>
      <w:spacing w:before="120" w:after="60"/>
    </w:pPr>
    <w:rPr>
      <w:sz w:val="20"/>
    </w:rPr>
  </w:style>
  <w:style w:type="paragraph" w:customStyle="1" w:styleId="Copyrighttext">
    <w:name w:val="Copyright text"/>
    <w:basedOn w:val="Normal"/>
    <w:link w:val="CopyrighttextChar"/>
    <w:uiPriority w:val="2"/>
    <w:qFormat/>
    <w:rsid w:val="00E27642"/>
    <w:pPr>
      <w:spacing w:line="360" w:lineRule="auto"/>
      <w:contextualSpacing/>
    </w:pPr>
    <w:rPr>
      <w:sz w:val="16"/>
      <w:szCs w:val="16"/>
    </w:rPr>
  </w:style>
  <w:style w:type="character" w:customStyle="1" w:styleId="CopyrighttextChar">
    <w:name w:val="Copyright text Char"/>
    <w:basedOn w:val="DefaultParagraphFont"/>
    <w:link w:val="Copyrighttext"/>
    <w:uiPriority w:val="2"/>
    <w:rsid w:val="00E27642"/>
    <w:rPr>
      <w:rFonts w:ascii="Arial" w:hAnsi="Arial"/>
      <w:sz w:val="16"/>
      <w:szCs w:val="16"/>
    </w:rPr>
  </w:style>
  <w:style w:type="paragraph" w:styleId="TOC8">
    <w:name w:val="toc 8"/>
    <w:basedOn w:val="Normal"/>
    <w:next w:val="Normal"/>
    <w:uiPriority w:val="39"/>
    <w:rsid w:val="009F4940"/>
    <w:pPr>
      <w:tabs>
        <w:tab w:val="right" w:leader="dot" w:pos="9016"/>
      </w:tabs>
      <w:spacing w:after="100"/>
      <w:ind w:left="2977"/>
    </w:pPr>
    <w:rPr>
      <w:noProof/>
    </w:rPr>
  </w:style>
  <w:style w:type="paragraph" w:styleId="TOC9">
    <w:name w:val="toc 9"/>
    <w:basedOn w:val="Normal"/>
    <w:next w:val="Normal"/>
    <w:uiPriority w:val="39"/>
    <w:rsid w:val="009F4940"/>
    <w:pPr>
      <w:tabs>
        <w:tab w:val="right" w:leader="dot" w:pos="9016"/>
      </w:tabs>
      <w:spacing w:after="100"/>
      <w:ind w:left="3402"/>
    </w:pPr>
    <w:rPr>
      <w:noProof/>
    </w:rPr>
  </w:style>
  <w:style w:type="paragraph" w:customStyle="1" w:styleId="Numbered1">
    <w:name w:val="Numbered 1"/>
    <w:basedOn w:val="Heading1"/>
    <w:next w:val="Normal"/>
    <w:link w:val="Numbered1Char"/>
    <w:qFormat/>
    <w:rsid w:val="00F61B84"/>
    <w:pPr>
      <w:numPr>
        <w:numId w:val="12"/>
      </w:numPr>
      <w:tabs>
        <w:tab w:val="left" w:pos="680"/>
      </w:tabs>
      <w:ind w:left="680" w:hanging="680"/>
    </w:pPr>
  </w:style>
  <w:style w:type="paragraph" w:customStyle="1" w:styleId="Numbered11">
    <w:name w:val="Numbered 1.1"/>
    <w:basedOn w:val="Heading2"/>
    <w:next w:val="Normal"/>
    <w:qFormat/>
    <w:rsid w:val="00A323D9"/>
    <w:pPr>
      <w:numPr>
        <w:ilvl w:val="1"/>
        <w:numId w:val="12"/>
      </w:numPr>
      <w:tabs>
        <w:tab w:val="left" w:pos="1021"/>
      </w:tabs>
      <w:ind w:left="1021" w:hanging="1021"/>
    </w:pPr>
    <w:rPr>
      <w:rFonts w:cs="Arial"/>
    </w:rPr>
  </w:style>
  <w:style w:type="paragraph" w:customStyle="1" w:styleId="Numbered111">
    <w:name w:val="Numbered 1.1.1"/>
    <w:basedOn w:val="Heading3"/>
    <w:next w:val="Normal"/>
    <w:qFormat/>
    <w:rsid w:val="00F61B84"/>
    <w:pPr>
      <w:numPr>
        <w:ilvl w:val="2"/>
        <w:numId w:val="12"/>
      </w:numPr>
      <w:tabs>
        <w:tab w:val="left" w:pos="1361"/>
      </w:tabs>
      <w:ind w:left="1361" w:hanging="1361"/>
      <w:contextualSpacing/>
    </w:pPr>
  </w:style>
  <w:style w:type="paragraph" w:customStyle="1" w:styleId="Numbered1111">
    <w:name w:val="Numbered 1.1.1.1"/>
    <w:basedOn w:val="Heading4"/>
    <w:next w:val="Normal"/>
    <w:rsid w:val="00F61B84"/>
    <w:pPr>
      <w:numPr>
        <w:ilvl w:val="3"/>
        <w:numId w:val="12"/>
      </w:numPr>
      <w:tabs>
        <w:tab w:val="left" w:pos="1361"/>
      </w:tabs>
      <w:ind w:left="1361" w:hanging="1361"/>
    </w:pPr>
  </w:style>
  <w:style w:type="paragraph" w:customStyle="1" w:styleId="Numbered11111">
    <w:name w:val="Numbered 1.1.1.1.1"/>
    <w:basedOn w:val="Heading5"/>
    <w:next w:val="Normal"/>
    <w:uiPriority w:val="2"/>
    <w:rsid w:val="00F61B84"/>
    <w:pPr>
      <w:numPr>
        <w:ilvl w:val="4"/>
        <w:numId w:val="12"/>
      </w:numPr>
      <w:tabs>
        <w:tab w:val="left" w:pos="1701"/>
      </w:tabs>
      <w:ind w:left="1701" w:hanging="1701"/>
    </w:pPr>
  </w:style>
  <w:style w:type="paragraph" w:customStyle="1" w:styleId="Numbered111111">
    <w:name w:val="Numbered 1.1.1.1.1.1"/>
    <w:basedOn w:val="Heading6"/>
    <w:next w:val="Normal"/>
    <w:uiPriority w:val="2"/>
    <w:rsid w:val="00F61B84"/>
    <w:pPr>
      <w:numPr>
        <w:ilvl w:val="5"/>
        <w:numId w:val="12"/>
      </w:numPr>
      <w:tabs>
        <w:tab w:val="left" w:pos="1701"/>
      </w:tabs>
      <w:ind w:left="1701" w:hanging="1701"/>
    </w:pPr>
  </w:style>
  <w:style w:type="paragraph" w:styleId="Header">
    <w:name w:val="header"/>
    <w:basedOn w:val="Normal"/>
    <w:link w:val="HeaderChar"/>
    <w:uiPriority w:val="99"/>
    <w:unhideWhenUsed/>
    <w:qFormat/>
    <w:rsid w:val="00E27642"/>
    <w:pPr>
      <w:tabs>
        <w:tab w:val="center" w:pos="4513"/>
        <w:tab w:val="right" w:pos="9026"/>
      </w:tabs>
      <w:spacing w:after="120"/>
    </w:pPr>
    <w:rPr>
      <w:sz w:val="18"/>
    </w:rPr>
  </w:style>
  <w:style w:type="character" w:customStyle="1" w:styleId="HeaderChar">
    <w:name w:val="Header Char"/>
    <w:basedOn w:val="DefaultParagraphFont"/>
    <w:link w:val="Header"/>
    <w:uiPriority w:val="99"/>
    <w:rsid w:val="00E27642"/>
    <w:rPr>
      <w:rFonts w:ascii="Arial" w:hAnsi="Arial"/>
      <w:sz w:val="18"/>
    </w:rPr>
  </w:style>
  <w:style w:type="paragraph" w:styleId="NoSpacing">
    <w:name w:val="No Spacing"/>
    <w:uiPriority w:val="1"/>
    <w:qFormat/>
    <w:rsid w:val="00724A37"/>
    <w:pPr>
      <w:spacing w:before="0"/>
    </w:pPr>
    <w:rPr>
      <w:rFonts w:ascii="Arial" w:hAnsi="Arial"/>
    </w:rPr>
  </w:style>
  <w:style w:type="paragraph" w:customStyle="1" w:styleId="Tabletitle">
    <w:name w:val="Table title"/>
    <w:basedOn w:val="Normal"/>
    <w:link w:val="TabletitleChar"/>
    <w:qFormat/>
    <w:rsid w:val="00584D8F"/>
    <w:pPr>
      <w:spacing w:before="240" w:after="120"/>
    </w:pPr>
    <w:rPr>
      <w:b/>
      <w:szCs w:val="20"/>
    </w:rPr>
  </w:style>
  <w:style w:type="character" w:customStyle="1" w:styleId="TabletitleChar">
    <w:name w:val="Table title Char"/>
    <w:basedOn w:val="DefaultParagraphFont"/>
    <w:link w:val="Tabletitle"/>
    <w:rsid w:val="00584D8F"/>
    <w:rPr>
      <w:rFonts w:ascii="Arial" w:hAnsi="Arial"/>
      <w:b/>
      <w:szCs w:val="20"/>
    </w:rPr>
  </w:style>
  <w:style w:type="paragraph" w:customStyle="1" w:styleId="Charttitle">
    <w:name w:val="Chart title"/>
    <w:basedOn w:val="Tabletitle"/>
    <w:rsid w:val="005C26CC"/>
    <w:rPr>
      <w:sz w:val="24"/>
    </w:rPr>
  </w:style>
  <w:style w:type="paragraph" w:styleId="EndnoteText">
    <w:name w:val="endnote text"/>
    <w:basedOn w:val="Normal"/>
    <w:link w:val="EndnoteTextChar"/>
    <w:uiPriority w:val="99"/>
    <w:rsid w:val="00263AC0"/>
    <w:pPr>
      <w:spacing w:before="0"/>
    </w:pPr>
    <w:rPr>
      <w:sz w:val="20"/>
      <w:szCs w:val="20"/>
    </w:rPr>
  </w:style>
  <w:style w:type="paragraph" w:customStyle="1" w:styleId="Boxedtext">
    <w:name w:val="Boxed text"/>
    <w:basedOn w:val="Normal"/>
    <w:link w:val="BoxedtextChar"/>
    <w:uiPriority w:val="1"/>
    <w:rsid w:val="00180157"/>
    <w:pPr>
      <w:pBdr>
        <w:top w:val="single" w:sz="4" w:space="1" w:color="FFFFFF" w:themeColor="background1"/>
        <w:left w:val="single" w:sz="4" w:space="4" w:color="FFFFFF" w:themeColor="background1"/>
        <w:bottom w:val="single" w:sz="4" w:space="1" w:color="FFFFFF" w:themeColor="background1"/>
        <w:right w:val="single" w:sz="4" w:space="4" w:color="FFFFFF" w:themeColor="background1"/>
      </w:pBdr>
      <w:shd w:val="clear" w:color="auto" w:fill="F2F2F2" w:themeFill="background1" w:themeFillShade="F2"/>
      <w:spacing w:after="240"/>
    </w:pPr>
    <w:rPr>
      <w:szCs w:val="20"/>
    </w:rPr>
  </w:style>
  <w:style w:type="character" w:customStyle="1" w:styleId="BoxedtextChar">
    <w:name w:val="Boxed text Char"/>
    <w:basedOn w:val="DefaultParagraphFont"/>
    <w:link w:val="Boxedtext"/>
    <w:uiPriority w:val="1"/>
    <w:rsid w:val="00AE1BF1"/>
    <w:rPr>
      <w:rFonts w:ascii="Arial" w:hAnsi="Arial"/>
      <w:szCs w:val="20"/>
      <w:shd w:val="clear" w:color="auto" w:fill="F2F2F2" w:themeFill="background1" w:themeFillShade="F2"/>
    </w:rPr>
  </w:style>
  <w:style w:type="paragraph" w:customStyle="1" w:styleId="Pullquoteheading">
    <w:name w:val="Pull quote heading"/>
    <w:basedOn w:val="Normal"/>
    <w:link w:val="PullquoteheadingChar"/>
    <w:uiPriority w:val="1"/>
    <w:rsid w:val="00E27642"/>
    <w:pPr>
      <w:spacing w:after="120"/>
      <w:contextualSpacing/>
    </w:pPr>
    <w:rPr>
      <w:rFonts w:ascii="Palatino Linotype" w:hAnsi="Palatino Linotype"/>
      <w:b/>
      <w:color w:val="362F52" w:themeColor="accent3"/>
      <w:sz w:val="24"/>
      <w:szCs w:val="24"/>
    </w:rPr>
  </w:style>
  <w:style w:type="character" w:customStyle="1" w:styleId="PullquoteheadingChar">
    <w:name w:val="Pull quote heading Char"/>
    <w:basedOn w:val="DefaultParagraphFont"/>
    <w:link w:val="Pullquoteheading"/>
    <w:uiPriority w:val="1"/>
    <w:rsid w:val="00E27642"/>
    <w:rPr>
      <w:rFonts w:ascii="Palatino Linotype" w:hAnsi="Palatino Linotype"/>
      <w:b/>
      <w:color w:val="362F52" w:themeColor="accent3"/>
      <w:sz w:val="24"/>
      <w:szCs w:val="24"/>
    </w:rPr>
  </w:style>
  <w:style w:type="paragraph" w:customStyle="1" w:styleId="Pullquotetext">
    <w:name w:val="Pull quote text"/>
    <w:link w:val="PullquotetextChar"/>
    <w:uiPriority w:val="1"/>
    <w:rsid w:val="00E27642"/>
    <w:pPr>
      <w:spacing w:before="120"/>
    </w:pPr>
    <w:rPr>
      <w:rFonts w:ascii="Palatino Linotype" w:hAnsi="Palatino Linotype"/>
      <w:color w:val="362F52" w:themeColor="accent3"/>
      <w:szCs w:val="24"/>
    </w:rPr>
  </w:style>
  <w:style w:type="character" w:customStyle="1" w:styleId="PullquotetextChar">
    <w:name w:val="Pull quote text Char"/>
    <w:basedOn w:val="PullquoteheadingChar"/>
    <w:link w:val="Pullquotetext"/>
    <w:uiPriority w:val="1"/>
    <w:rsid w:val="00E27642"/>
    <w:rPr>
      <w:rFonts w:ascii="Palatino Linotype" w:hAnsi="Palatino Linotype"/>
      <w:b w:val="0"/>
      <w:color w:val="362F52" w:themeColor="accent3"/>
      <w:sz w:val="24"/>
      <w:szCs w:val="24"/>
    </w:rPr>
  </w:style>
  <w:style w:type="paragraph" w:customStyle="1" w:styleId="Note">
    <w:name w:val="Note"/>
    <w:basedOn w:val="Normal"/>
    <w:link w:val="NoteChar"/>
    <w:rsid w:val="00085663"/>
    <w:pPr>
      <w:spacing w:after="120"/>
    </w:pPr>
    <w:rPr>
      <w:i/>
      <w:sz w:val="16"/>
      <w:szCs w:val="16"/>
    </w:rPr>
  </w:style>
  <w:style w:type="character" w:customStyle="1" w:styleId="NoteChar">
    <w:name w:val="Note Char"/>
    <w:basedOn w:val="DefaultParagraphFont"/>
    <w:link w:val="Note"/>
    <w:rsid w:val="00085663"/>
    <w:rPr>
      <w:rFonts w:ascii="Arial" w:hAnsi="Arial"/>
      <w:i/>
      <w:sz w:val="16"/>
      <w:szCs w:val="16"/>
    </w:rPr>
  </w:style>
  <w:style w:type="paragraph" w:customStyle="1" w:styleId="Source">
    <w:name w:val="Source"/>
    <w:basedOn w:val="Normal"/>
    <w:link w:val="SourceChar"/>
    <w:rsid w:val="00085663"/>
    <w:pPr>
      <w:spacing w:after="60"/>
    </w:pPr>
    <w:rPr>
      <w:sz w:val="16"/>
      <w:szCs w:val="16"/>
    </w:rPr>
  </w:style>
  <w:style w:type="character" w:customStyle="1" w:styleId="SourceChar">
    <w:name w:val="Source Char"/>
    <w:basedOn w:val="DefaultParagraphFont"/>
    <w:link w:val="Source"/>
    <w:rsid w:val="00085663"/>
    <w:rPr>
      <w:rFonts w:ascii="Arial" w:hAnsi="Arial"/>
      <w:sz w:val="16"/>
      <w:szCs w:val="16"/>
    </w:rPr>
  </w:style>
  <w:style w:type="paragraph" w:customStyle="1" w:styleId="Footnotes">
    <w:name w:val="Footnotes"/>
    <w:basedOn w:val="FootnoteText"/>
    <w:link w:val="FootnotesChar"/>
    <w:uiPriority w:val="4"/>
    <w:semiHidden/>
    <w:qFormat/>
    <w:rsid w:val="00B8080B"/>
  </w:style>
  <w:style w:type="character" w:customStyle="1" w:styleId="FootnotesChar">
    <w:name w:val="Footnotes Char"/>
    <w:basedOn w:val="DefaultParagraphFont"/>
    <w:link w:val="Footnotes"/>
    <w:uiPriority w:val="4"/>
    <w:semiHidden/>
    <w:rsid w:val="00FE39C2"/>
    <w:rPr>
      <w:rFonts w:ascii="Arial" w:hAnsi="Arial"/>
      <w:sz w:val="20"/>
      <w:szCs w:val="20"/>
    </w:rPr>
  </w:style>
  <w:style w:type="paragraph" w:styleId="Quote">
    <w:name w:val="Quote"/>
    <w:basedOn w:val="Normal"/>
    <w:next w:val="Normal"/>
    <w:link w:val="QuoteChar"/>
    <w:uiPriority w:val="29"/>
    <w:rsid w:val="001D055E"/>
    <w:pPr>
      <w:ind w:left="737"/>
    </w:pPr>
    <w:rPr>
      <w:i/>
      <w:iCs/>
      <w:color w:val="000000" w:themeColor="text1"/>
    </w:rPr>
  </w:style>
  <w:style w:type="character" w:customStyle="1" w:styleId="QuoteChar">
    <w:name w:val="Quote Char"/>
    <w:basedOn w:val="DefaultParagraphFont"/>
    <w:link w:val="Quote"/>
    <w:uiPriority w:val="29"/>
    <w:rsid w:val="001D055E"/>
    <w:rPr>
      <w:rFonts w:ascii="Arial" w:hAnsi="Arial"/>
      <w:i/>
      <w:iCs/>
      <w:color w:val="000000" w:themeColor="text1"/>
    </w:rPr>
  </w:style>
  <w:style w:type="paragraph" w:customStyle="1" w:styleId="Bulletpoint">
    <w:name w:val="Bullet point"/>
    <w:basedOn w:val="ListBullet"/>
    <w:qFormat/>
    <w:rsid w:val="00E4674F"/>
    <w:pPr>
      <w:numPr>
        <w:numId w:val="2"/>
      </w:numPr>
      <w:ind w:left="340" w:hanging="340"/>
    </w:pPr>
    <w:rPr>
      <w:rFonts w:cs="Times New Roman"/>
    </w:rPr>
  </w:style>
  <w:style w:type="paragraph" w:styleId="ListBullet">
    <w:name w:val="List Bullet"/>
    <w:basedOn w:val="Normal"/>
    <w:uiPriority w:val="99"/>
    <w:rsid w:val="00DC542F"/>
    <w:pPr>
      <w:numPr>
        <w:numId w:val="10"/>
      </w:numPr>
      <w:tabs>
        <w:tab w:val="left" w:pos="340"/>
      </w:tabs>
      <w:spacing w:before="120"/>
      <w:ind w:left="340" w:hanging="340"/>
    </w:pPr>
  </w:style>
  <w:style w:type="paragraph" w:customStyle="1" w:styleId="Bulletpoint2">
    <w:name w:val="Bullet point 2"/>
    <w:basedOn w:val="ListBullet2"/>
    <w:uiPriority w:val="1"/>
    <w:qFormat/>
    <w:rsid w:val="00E4674F"/>
    <w:pPr>
      <w:numPr>
        <w:numId w:val="9"/>
      </w:numPr>
      <w:tabs>
        <w:tab w:val="left" w:pos="680"/>
      </w:tabs>
      <w:ind w:left="680" w:hanging="340"/>
    </w:pPr>
  </w:style>
  <w:style w:type="paragraph" w:styleId="ListNumber">
    <w:name w:val="List Number"/>
    <w:basedOn w:val="Normal"/>
    <w:uiPriority w:val="99"/>
    <w:rsid w:val="000F2368"/>
    <w:pPr>
      <w:numPr>
        <w:numId w:val="23"/>
      </w:numPr>
      <w:spacing w:before="120"/>
    </w:pPr>
    <w:rPr>
      <w:color w:val="000000" w:themeColor="text1" w:themeShade="BF"/>
    </w:rPr>
  </w:style>
  <w:style w:type="paragraph" w:styleId="ListBullet2">
    <w:name w:val="List Bullet 2"/>
    <w:basedOn w:val="Normal"/>
    <w:uiPriority w:val="99"/>
    <w:rsid w:val="00DC542F"/>
    <w:pPr>
      <w:numPr>
        <w:numId w:val="3"/>
      </w:numPr>
      <w:tabs>
        <w:tab w:val="clear" w:pos="643"/>
        <w:tab w:val="num" w:pos="680"/>
      </w:tabs>
      <w:spacing w:before="120"/>
      <w:ind w:left="680" w:hanging="340"/>
    </w:pPr>
  </w:style>
  <w:style w:type="paragraph" w:styleId="TOCHeading">
    <w:name w:val="TOC Heading"/>
    <w:basedOn w:val="Normal"/>
    <w:next w:val="Normal"/>
    <w:uiPriority w:val="39"/>
    <w:qFormat/>
    <w:rsid w:val="0093685A"/>
    <w:pPr>
      <w:spacing w:before="480" w:after="120" w:line="276" w:lineRule="auto"/>
    </w:pPr>
    <w:rPr>
      <w:rFonts w:ascii="Palatino Linotype" w:eastAsiaTheme="majorEastAsia" w:hAnsi="Palatino Linotype" w:cstheme="majorBidi"/>
      <w:bCs/>
      <w:color w:val="410099" w:themeColor="accent1"/>
      <w:sz w:val="32"/>
      <w:szCs w:val="28"/>
      <w:lang w:val="en-US" w:eastAsia="ja-JP"/>
    </w:rPr>
  </w:style>
  <w:style w:type="paragraph" w:styleId="ListNumber2">
    <w:name w:val="List Number 2"/>
    <w:next w:val="Normal"/>
    <w:uiPriority w:val="99"/>
    <w:rsid w:val="00BE4C99"/>
    <w:pPr>
      <w:numPr>
        <w:numId w:val="24"/>
      </w:numPr>
      <w:tabs>
        <w:tab w:val="left" w:pos="680"/>
      </w:tabs>
      <w:spacing w:before="120"/>
    </w:pPr>
    <w:rPr>
      <w:rFonts w:ascii="Arial" w:hAnsi="Arial"/>
    </w:rPr>
  </w:style>
  <w:style w:type="character" w:styleId="Hyperlink">
    <w:name w:val="Hyperlink"/>
    <w:basedOn w:val="DefaultParagraphFont"/>
    <w:uiPriority w:val="99"/>
    <w:qFormat/>
    <w:rsid w:val="00BE1F1B"/>
    <w:rPr>
      <w:rFonts w:ascii="Arial" w:hAnsi="Arial"/>
      <w:color w:val="0000FF"/>
      <w:sz w:val="22"/>
      <w:u w:val="single"/>
    </w:rPr>
  </w:style>
  <w:style w:type="paragraph" w:styleId="BalloonText">
    <w:name w:val="Balloon Text"/>
    <w:basedOn w:val="Normal"/>
    <w:link w:val="BalloonTextChar"/>
    <w:uiPriority w:val="99"/>
    <w:semiHidden/>
    <w:unhideWhenUsed/>
    <w:rsid w:val="003518B3"/>
    <w:pPr>
      <w:spacing w:before="0"/>
    </w:pPr>
    <w:rPr>
      <w:rFonts w:ascii="Tahoma" w:hAnsi="Tahoma" w:cs="Tahoma"/>
      <w:sz w:val="16"/>
      <w:szCs w:val="16"/>
    </w:rPr>
  </w:style>
  <w:style w:type="character" w:customStyle="1" w:styleId="BalloonTextChar">
    <w:name w:val="Balloon Text Char"/>
    <w:basedOn w:val="DefaultParagraphFont"/>
    <w:link w:val="BalloonText"/>
    <w:uiPriority w:val="99"/>
    <w:semiHidden/>
    <w:rsid w:val="003518B3"/>
    <w:rPr>
      <w:rFonts w:ascii="Tahoma" w:hAnsi="Tahoma" w:cs="Tahoma"/>
      <w:sz w:val="16"/>
      <w:szCs w:val="16"/>
    </w:rPr>
  </w:style>
  <w:style w:type="paragraph" w:styleId="Footer">
    <w:name w:val="footer"/>
    <w:basedOn w:val="Normal"/>
    <w:link w:val="FooterChar"/>
    <w:uiPriority w:val="99"/>
    <w:unhideWhenUsed/>
    <w:qFormat/>
    <w:rsid w:val="00E27642"/>
    <w:pPr>
      <w:tabs>
        <w:tab w:val="center" w:pos="4513"/>
        <w:tab w:val="right" w:pos="9026"/>
      </w:tabs>
      <w:spacing w:after="120"/>
    </w:pPr>
    <w:rPr>
      <w:sz w:val="18"/>
    </w:rPr>
  </w:style>
  <w:style w:type="character" w:customStyle="1" w:styleId="FooterChar">
    <w:name w:val="Footer Char"/>
    <w:basedOn w:val="DefaultParagraphFont"/>
    <w:link w:val="Footer"/>
    <w:uiPriority w:val="99"/>
    <w:rsid w:val="00E27642"/>
    <w:rPr>
      <w:rFonts w:ascii="Arial" w:hAnsi="Arial"/>
      <w:sz w:val="18"/>
    </w:rPr>
  </w:style>
  <w:style w:type="paragraph" w:styleId="ListParagraph">
    <w:name w:val="List Paragraph"/>
    <w:aliases w:val="Bullet Point,L,List Bullet Cab,List Paragraph - bullets,List Paragraph1,List Paragraph11,NFP GP Bulleted List,Recommendation,Use Case List Paragraph,Content descriptions,CV text,F5 List Paragraph,Dot point list,List Paragraph2,FooterText"/>
    <w:basedOn w:val="Normal"/>
    <w:link w:val="ListParagraphChar"/>
    <w:uiPriority w:val="34"/>
    <w:qFormat/>
    <w:rsid w:val="00F61B84"/>
    <w:pPr>
      <w:numPr>
        <w:numId w:val="11"/>
      </w:numPr>
      <w:tabs>
        <w:tab w:val="left" w:pos="340"/>
      </w:tabs>
      <w:spacing w:before="120"/>
    </w:pPr>
  </w:style>
  <w:style w:type="character" w:customStyle="1" w:styleId="Heading7Char">
    <w:name w:val="Heading 7 Char"/>
    <w:basedOn w:val="DefaultParagraphFont"/>
    <w:link w:val="Heading7"/>
    <w:uiPriority w:val="2"/>
    <w:rsid w:val="009D6B46"/>
    <w:rPr>
      <w:rFonts w:ascii="Arial" w:eastAsiaTheme="majorEastAsia" w:hAnsi="Arial" w:cstheme="majorBidi"/>
      <w:i/>
      <w:iCs/>
      <w:color w:val="404040" w:themeColor="text1" w:themeTint="BF"/>
    </w:rPr>
  </w:style>
  <w:style w:type="character" w:customStyle="1" w:styleId="Heading8Char">
    <w:name w:val="Heading 8 Char"/>
    <w:basedOn w:val="DefaultParagraphFont"/>
    <w:link w:val="Heading8"/>
    <w:uiPriority w:val="2"/>
    <w:rsid w:val="009D6B46"/>
    <w:rPr>
      <w:rFonts w:ascii="Arial" w:eastAsiaTheme="majorEastAsia" w:hAnsi="Arial" w:cstheme="majorBidi"/>
      <w:color w:val="410099" w:themeColor="accent1"/>
      <w:szCs w:val="20"/>
    </w:rPr>
  </w:style>
  <w:style w:type="character" w:customStyle="1" w:styleId="Heading9Char">
    <w:name w:val="Heading 9 Char"/>
    <w:aliases w:val="Numbered Table Char"/>
    <w:basedOn w:val="DefaultParagraphFont"/>
    <w:link w:val="Heading9"/>
    <w:uiPriority w:val="2"/>
    <w:rsid w:val="00646025"/>
    <w:rPr>
      <w:rFonts w:ascii="Arial" w:eastAsiaTheme="majorEastAsia" w:hAnsi="Arial" w:cstheme="majorBidi"/>
      <w:b/>
      <w:iCs/>
      <w:color w:val="000000" w:themeColor="text1"/>
      <w:sz w:val="24"/>
      <w:szCs w:val="20"/>
    </w:rPr>
  </w:style>
  <w:style w:type="paragraph" w:customStyle="1" w:styleId="Numbered1111111">
    <w:name w:val="Numbered 1.1.1.1.1.1.1"/>
    <w:basedOn w:val="Heading7"/>
    <w:next w:val="Normal"/>
    <w:uiPriority w:val="2"/>
    <w:rsid w:val="00F61B84"/>
    <w:pPr>
      <w:numPr>
        <w:ilvl w:val="6"/>
        <w:numId w:val="12"/>
      </w:numPr>
      <w:tabs>
        <w:tab w:val="left" w:pos="2041"/>
      </w:tabs>
      <w:ind w:left="2041" w:hanging="2041"/>
    </w:pPr>
  </w:style>
  <w:style w:type="paragraph" w:customStyle="1" w:styleId="Numbered11111111">
    <w:name w:val="Numbered 1.1.1.1.1.1.1.1"/>
    <w:basedOn w:val="Heading8"/>
    <w:next w:val="Normal"/>
    <w:uiPriority w:val="2"/>
    <w:rsid w:val="00F61B84"/>
    <w:pPr>
      <w:numPr>
        <w:ilvl w:val="7"/>
        <w:numId w:val="12"/>
      </w:numPr>
      <w:tabs>
        <w:tab w:val="left" w:pos="2041"/>
      </w:tabs>
      <w:ind w:left="2041" w:hanging="2041"/>
    </w:pPr>
  </w:style>
  <w:style w:type="table" w:styleId="TableGrid">
    <w:name w:val="Table Grid"/>
    <w:aliases w:val="ACCC Table"/>
    <w:basedOn w:val="TableNormal"/>
    <w:uiPriority w:val="59"/>
    <w:rsid w:val="00C53B5A"/>
    <w:pPr>
      <w:spacing w:before="60" w:after="60"/>
    </w:pPr>
    <w:rPr>
      <w:rFonts w:ascii="Arial" w:hAnsi="Arial"/>
      <w:sz w:val="20"/>
    </w:rPr>
    <w:tblPr>
      <w:tblBorders>
        <w:top w:val="single" w:sz="4" w:space="0" w:color="BFBFBF" w:themeColor="background1" w:themeShade="BF"/>
        <w:bottom w:val="single" w:sz="4" w:space="0" w:color="BFBFBF" w:themeColor="background1" w:themeShade="BF"/>
      </w:tblBorders>
    </w:tblPr>
    <w:tcPr>
      <w:shd w:val="clear" w:color="auto" w:fill="auto"/>
    </w:tcPr>
    <w:tblStylePr w:type="firstRow">
      <w:pPr>
        <w:wordWrap/>
        <w:spacing w:beforeLines="0" w:before="120" w:beforeAutospacing="0" w:afterLines="0" w:after="120" w:afterAutospacing="0"/>
      </w:pPr>
      <w:rPr>
        <w:rFonts w:ascii="Arial" w:hAnsi="Arial"/>
        <w:b/>
        <w:sz w:val="20"/>
      </w:rPr>
      <w:tblPr/>
      <w:tcPr>
        <w:tcBorders>
          <w:top w:val="single" w:sz="4" w:space="0" w:color="BFBFBF" w:themeColor="background1" w:themeShade="BF"/>
          <w:left w:val="nil"/>
          <w:bottom w:val="single" w:sz="4" w:space="0" w:color="BFBFBF" w:themeColor="background1" w:themeShade="BF"/>
          <w:right w:val="nil"/>
          <w:insideH w:val="nil"/>
          <w:insideV w:val="nil"/>
          <w:tl2br w:val="nil"/>
          <w:tr2bl w:val="nil"/>
        </w:tcBorders>
        <w:shd w:val="clear" w:color="auto" w:fill="auto"/>
      </w:tcPr>
    </w:tblStylePr>
    <w:tblStylePr w:type="lastRow">
      <w:pPr>
        <w:wordWrap/>
        <w:spacing w:beforeLines="0" w:before="120" w:beforeAutospacing="0" w:afterLines="0" w:after="120" w:afterAutospacing="0" w:line="240" w:lineRule="auto"/>
      </w:pPr>
      <w:rPr>
        <w:rFonts w:ascii="Arial" w:hAnsi="Arial"/>
        <w:b/>
        <w:sz w:val="20"/>
      </w:rPr>
    </w:tblStylePr>
    <w:tblStylePr w:type="firstCol">
      <w:rPr>
        <w:rFonts w:ascii="Arial" w:hAnsi="Arial"/>
        <w:b/>
        <w:sz w:val="20"/>
      </w:rPr>
    </w:tblStylePr>
  </w:style>
  <w:style w:type="table" w:styleId="LightShading">
    <w:name w:val="Light Shading"/>
    <w:basedOn w:val="TableNormal"/>
    <w:uiPriority w:val="60"/>
    <w:rsid w:val="00C53B5A"/>
    <w:pPr>
      <w:spacing w:before="120" w:after="120"/>
    </w:pPr>
    <w:rPr>
      <w:sz w:val="20"/>
    </w:rPr>
    <w:tblPr>
      <w:tblBorders>
        <w:top w:val="single" w:sz="4" w:space="0" w:color="D5D6D2" w:themeColor="background2"/>
        <w:left w:val="single" w:sz="4" w:space="0" w:color="D5D6D2" w:themeColor="background2"/>
        <w:bottom w:val="single" w:sz="4" w:space="0" w:color="D5D6D2" w:themeColor="background2"/>
        <w:right w:val="single" w:sz="4" w:space="0" w:color="D5D6D2" w:themeColor="background2"/>
        <w:insideH w:val="single" w:sz="4" w:space="0" w:color="D5D6D2" w:themeColor="background2"/>
        <w:insideV w:val="single" w:sz="4" w:space="0" w:color="D5D6D2" w:themeColor="background2"/>
      </w:tblBorders>
    </w:tblPr>
    <w:tcPr>
      <w:shd w:val="clear" w:color="auto" w:fill="auto"/>
      <w:vAlign w:val="center"/>
    </w:tcPr>
    <w:tblStylePr w:type="firstRow">
      <w:pPr>
        <w:wordWrap/>
        <w:spacing w:beforeLines="0" w:before="120" w:beforeAutospacing="0" w:afterLines="0" w:after="120" w:afterAutospacing="0" w:line="240" w:lineRule="auto"/>
      </w:pPr>
      <w:rPr>
        <w:rFonts w:asciiTheme="minorHAnsi" w:hAnsiTheme="minorHAnsi"/>
        <w:b/>
        <w:bCs/>
        <w:sz w:val="20"/>
      </w:rPr>
      <w:tblPr/>
      <w:tcPr>
        <w:tcBorders>
          <w:top w:val="single" w:sz="4" w:space="0" w:color="D5D6D2" w:themeColor="background2"/>
          <w:left w:val="single" w:sz="4" w:space="0" w:color="D5D6D2" w:themeColor="background2"/>
          <w:bottom w:val="single" w:sz="4" w:space="0" w:color="D5D6D2" w:themeColor="background2"/>
          <w:right w:val="single" w:sz="4" w:space="0" w:color="D5D6D2" w:themeColor="background2"/>
          <w:insideH w:val="single" w:sz="4" w:space="0" w:color="D5D6D2" w:themeColor="background2"/>
          <w:insideV w:val="single" w:sz="4" w:space="0" w:color="D5D6D2" w:themeColor="background2"/>
        </w:tcBorders>
        <w:shd w:val="clear" w:color="auto" w:fill="auto"/>
      </w:tcPr>
    </w:tblStylePr>
    <w:tblStylePr w:type="lastRow">
      <w:pPr>
        <w:wordWrap/>
        <w:spacing w:beforeLines="0" w:before="120" w:beforeAutospacing="0" w:afterLines="0" w:after="120" w:afterAutospacing="0" w:line="240" w:lineRule="auto"/>
      </w:pPr>
      <w:rPr>
        <w:b/>
        <w:bCs/>
        <w:sz w:val="20"/>
      </w:rPr>
      <w:tblPr/>
      <w:tcPr>
        <w:tcBorders>
          <w:top w:val="single" w:sz="4" w:space="0" w:color="D5D6D2" w:themeColor="background2"/>
          <w:left w:val="single" w:sz="4" w:space="0" w:color="D5D6D2" w:themeColor="background2"/>
          <w:bottom w:val="single" w:sz="4" w:space="0" w:color="D5D6D2" w:themeColor="background2"/>
          <w:right w:val="single" w:sz="4" w:space="0" w:color="D5D6D2" w:themeColor="background2"/>
          <w:insideH w:val="single" w:sz="4" w:space="0" w:color="D5D6D2" w:themeColor="background2"/>
          <w:insideV w:val="single" w:sz="4" w:space="0" w:color="D5D6D2" w:themeColor="background2"/>
        </w:tcBorders>
      </w:tcPr>
    </w:tblStylePr>
    <w:tblStylePr w:type="firstCol">
      <w:rPr>
        <w:b/>
        <w:bCs/>
        <w:sz w:val="20"/>
      </w:rPr>
    </w:tblStylePr>
    <w:tblStylePr w:type="lastCol">
      <w:rPr>
        <w:b/>
        <w:bCs/>
      </w:rPr>
    </w:tblStylePr>
  </w:style>
  <w:style w:type="table" w:styleId="LightShading-Accent1">
    <w:name w:val="Light Shading Accent 1"/>
    <w:basedOn w:val="TableNormal"/>
    <w:uiPriority w:val="60"/>
    <w:rsid w:val="00A871F4"/>
    <w:pPr>
      <w:spacing w:before="0"/>
    </w:pPr>
    <w:rPr>
      <w:color w:val="300072" w:themeColor="accent1" w:themeShade="BF"/>
    </w:rPr>
    <w:tblPr>
      <w:tblStyleRowBandSize w:val="1"/>
      <w:tblStyleColBandSize w:val="1"/>
      <w:tblBorders>
        <w:top w:val="single" w:sz="8" w:space="0" w:color="410099" w:themeColor="accent1"/>
        <w:bottom w:val="single" w:sz="8" w:space="0" w:color="410099" w:themeColor="accent1"/>
      </w:tblBorders>
    </w:tblPr>
    <w:tblStylePr w:type="firstRow">
      <w:pPr>
        <w:spacing w:before="0" w:after="0" w:line="240" w:lineRule="auto"/>
      </w:pPr>
      <w:rPr>
        <w:b/>
        <w:bCs/>
      </w:rPr>
      <w:tblPr/>
      <w:tcPr>
        <w:tcBorders>
          <w:top w:val="single" w:sz="8" w:space="0" w:color="410099" w:themeColor="accent1"/>
          <w:left w:val="nil"/>
          <w:bottom w:val="single" w:sz="8" w:space="0" w:color="410099" w:themeColor="accent1"/>
          <w:right w:val="nil"/>
          <w:insideH w:val="nil"/>
          <w:insideV w:val="nil"/>
        </w:tcBorders>
      </w:tcPr>
    </w:tblStylePr>
    <w:tblStylePr w:type="lastRow">
      <w:pPr>
        <w:spacing w:before="0" w:after="0" w:line="240" w:lineRule="auto"/>
      </w:pPr>
      <w:rPr>
        <w:b/>
        <w:bCs/>
      </w:rPr>
      <w:tblPr/>
      <w:tcPr>
        <w:tcBorders>
          <w:top w:val="single" w:sz="8" w:space="0" w:color="410099" w:themeColor="accent1"/>
          <w:left w:val="nil"/>
          <w:bottom w:val="single" w:sz="8" w:space="0" w:color="410099"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CA6FF" w:themeFill="accent1" w:themeFillTint="3F"/>
      </w:tcPr>
    </w:tblStylePr>
    <w:tblStylePr w:type="band1Horz">
      <w:tblPr/>
      <w:tcPr>
        <w:tcBorders>
          <w:left w:val="nil"/>
          <w:right w:val="nil"/>
          <w:insideH w:val="nil"/>
          <w:insideV w:val="nil"/>
        </w:tcBorders>
        <w:shd w:val="clear" w:color="auto" w:fill="CCA6FF" w:themeFill="accent1" w:themeFillTint="3F"/>
      </w:tcPr>
    </w:tblStylePr>
  </w:style>
  <w:style w:type="table" w:styleId="LightShading-Accent2">
    <w:name w:val="Light Shading Accent 2"/>
    <w:basedOn w:val="TableNormal"/>
    <w:uiPriority w:val="60"/>
    <w:rsid w:val="00746E01"/>
    <w:pPr>
      <w:spacing w:before="0"/>
    </w:pPr>
    <w:rPr>
      <w:rFonts w:ascii="Arial" w:hAnsi="Arial"/>
      <w:color w:val="000000"/>
      <w14:textFill>
        <w14:solidFill>
          <w14:srgbClr w14:val="000000">
            <w14:lumMod w14:val="75000"/>
            <w14:lumOff w14:val="0"/>
          </w14:srgbClr>
        </w14:solidFill>
      </w14:textFill>
    </w:rPr>
    <w:tblPr>
      <w:tblBorders>
        <w:top w:val="single" w:sz="4" w:space="0" w:color="FFC502" w:themeColor="accent5"/>
        <w:left w:val="single" w:sz="4" w:space="0" w:color="FFC502" w:themeColor="accent5"/>
        <w:bottom w:val="single" w:sz="4" w:space="0" w:color="FFC502" w:themeColor="accent5"/>
        <w:right w:val="single" w:sz="4" w:space="0" w:color="FFC502" w:themeColor="accent5"/>
        <w:insideH w:val="single" w:sz="4" w:space="0" w:color="FFC502" w:themeColor="accent5"/>
        <w:insideV w:val="single" w:sz="4" w:space="0" w:color="FFC502" w:themeColor="accent5"/>
      </w:tblBorders>
    </w:tblPr>
    <w:tcPr>
      <w:vAlign w:val="center"/>
    </w:tcPr>
    <w:tblStylePr w:type="firstRow">
      <w:pPr>
        <w:spacing w:before="0" w:after="0" w:line="240" w:lineRule="auto"/>
      </w:pPr>
      <w:rPr>
        <w:b w:val="0"/>
        <w:bCs/>
      </w:rPr>
      <w:tblPr/>
      <w:tcPr>
        <w:tcBorders>
          <w:top w:val="single" w:sz="4" w:space="0" w:color="FFC502" w:themeColor="accent5"/>
          <w:left w:val="single" w:sz="4" w:space="0" w:color="FFC502" w:themeColor="accent5"/>
          <w:bottom w:val="single" w:sz="4" w:space="0" w:color="FFC502" w:themeColor="accent5"/>
          <w:right w:val="single" w:sz="4" w:space="0" w:color="FFC502" w:themeColor="accent5"/>
          <w:insideH w:val="single" w:sz="4" w:space="0" w:color="FFC502" w:themeColor="accent5"/>
          <w:insideV w:val="single" w:sz="4" w:space="0" w:color="FFC502" w:themeColor="accent5"/>
          <w:tl2br w:val="nil"/>
          <w:tr2bl w:val="nil"/>
        </w:tcBorders>
      </w:tcPr>
    </w:tblStylePr>
    <w:tblStylePr w:type="lastRow">
      <w:pPr>
        <w:spacing w:before="0" w:after="0" w:line="240" w:lineRule="auto"/>
      </w:pPr>
      <w:rPr>
        <w:b w:val="0"/>
        <w:bCs/>
      </w:rPr>
      <w:tblPr/>
      <w:tcPr>
        <w:tcBorders>
          <w:top w:val="single" w:sz="4" w:space="0" w:color="FFC502" w:themeColor="accent5"/>
          <w:left w:val="single" w:sz="4" w:space="0" w:color="FFC502" w:themeColor="accent5"/>
          <w:bottom w:val="single" w:sz="4" w:space="0" w:color="FFC502" w:themeColor="accent5"/>
          <w:right w:val="single" w:sz="4" w:space="0" w:color="FFC502" w:themeColor="accent5"/>
          <w:insideH w:val="single" w:sz="4" w:space="0" w:color="FFC502" w:themeColor="accent5"/>
          <w:insideV w:val="single" w:sz="4" w:space="0" w:color="FFC502" w:themeColor="accent5"/>
        </w:tcBorders>
      </w:tcPr>
    </w:tblStylePr>
    <w:tblStylePr w:type="firstCol">
      <w:rPr>
        <w:b w:val="0"/>
        <w:bCs/>
      </w:rPr>
    </w:tblStylePr>
    <w:tblStylePr w:type="lastCol">
      <w:rPr>
        <w:b w:val="0"/>
        <w:bCs/>
      </w:rPr>
    </w:tblStylePr>
  </w:style>
  <w:style w:type="table" w:styleId="LightShading-Accent3">
    <w:name w:val="Light Shading Accent 3"/>
    <w:basedOn w:val="TableNormal"/>
    <w:uiPriority w:val="60"/>
    <w:rsid w:val="00A871F4"/>
    <w:pPr>
      <w:spacing w:before="0"/>
    </w:pPr>
    <w:rPr>
      <w:color w:val="28233D" w:themeColor="accent3" w:themeShade="BF"/>
    </w:rPr>
    <w:tblPr>
      <w:tblStyleRowBandSize w:val="1"/>
      <w:tblStyleColBandSize w:val="1"/>
      <w:tblBorders>
        <w:top w:val="single" w:sz="8" w:space="0" w:color="362F52" w:themeColor="accent3"/>
        <w:bottom w:val="single" w:sz="8" w:space="0" w:color="362F52" w:themeColor="accent3"/>
      </w:tblBorders>
    </w:tblPr>
    <w:tblStylePr w:type="firstRow">
      <w:pPr>
        <w:spacing w:before="0" w:after="0" w:line="240" w:lineRule="auto"/>
      </w:pPr>
      <w:rPr>
        <w:b/>
        <w:bCs/>
      </w:rPr>
      <w:tblPr/>
      <w:tcPr>
        <w:tcBorders>
          <w:top w:val="single" w:sz="8" w:space="0" w:color="362F52" w:themeColor="accent3"/>
          <w:left w:val="nil"/>
          <w:bottom w:val="single" w:sz="8" w:space="0" w:color="362F52" w:themeColor="accent3"/>
          <w:right w:val="nil"/>
          <w:insideH w:val="nil"/>
          <w:insideV w:val="nil"/>
        </w:tcBorders>
      </w:tcPr>
    </w:tblStylePr>
    <w:tblStylePr w:type="lastRow">
      <w:pPr>
        <w:spacing w:before="0" w:after="0" w:line="240" w:lineRule="auto"/>
      </w:pPr>
      <w:rPr>
        <w:b/>
        <w:bCs/>
      </w:rPr>
      <w:tblPr/>
      <w:tcPr>
        <w:tcBorders>
          <w:top w:val="single" w:sz="8" w:space="0" w:color="362F52" w:themeColor="accent3"/>
          <w:left w:val="nil"/>
          <w:bottom w:val="single" w:sz="8" w:space="0" w:color="362F52"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8C3DC" w:themeFill="accent3" w:themeFillTint="3F"/>
      </w:tcPr>
    </w:tblStylePr>
    <w:tblStylePr w:type="band1Horz">
      <w:tblPr/>
      <w:tcPr>
        <w:tcBorders>
          <w:left w:val="nil"/>
          <w:right w:val="nil"/>
          <w:insideH w:val="nil"/>
          <w:insideV w:val="nil"/>
        </w:tcBorders>
        <w:shd w:val="clear" w:color="auto" w:fill="C8C3DC" w:themeFill="accent3" w:themeFillTint="3F"/>
      </w:tcPr>
    </w:tblStylePr>
  </w:style>
  <w:style w:type="table" w:styleId="LightGrid-Accent6">
    <w:name w:val="Light Grid Accent 6"/>
    <w:basedOn w:val="TableNormal"/>
    <w:uiPriority w:val="62"/>
    <w:rsid w:val="00A871F4"/>
    <w:pPr>
      <w:spacing w:before="0"/>
    </w:pPr>
    <w:tblPr>
      <w:tblStyleRowBandSize w:val="1"/>
      <w:tblStyleColBandSize w:val="1"/>
      <w:tblBorders>
        <w:top w:val="single" w:sz="8" w:space="0" w:color="FF7600" w:themeColor="accent6"/>
        <w:left w:val="single" w:sz="8" w:space="0" w:color="FF7600" w:themeColor="accent6"/>
        <w:bottom w:val="single" w:sz="8" w:space="0" w:color="FF7600" w:themeColor="accent6"/>
        <w:right w:val="single" w:sz="8" w:space="0" w:color="FF7600" w:themeColor="accent6"/>
        <w:insideH w:val="single" w:sz="8" w:space="0" w:color="FF7600" w:themeColor="accent6"/>
        <w:insideV w:val="single" w:sz="8" w:space="0" w:color="FF7600"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F7600" w:themeColor="accent6"/>
          <w:left w:val="single" w:sz="8" w:space="0" w:color="FF7600" w:themeColor="accent6"/>
          <w:bottom w:val="single" w:sz="18" w:space="0" w:color="FF7600" w:themeColor="accent6"/>
          <w:right w:val="single" w:sz="8" w:space="0" w:color="FF7600" w:themeColor="accent6"/>
          <w:insideH w:val="nil"/>
          <w:insideV w:val="single" w:sz="8" w:space="0" w:color="FF7600"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F7600" w:themeColor="accent6"/>
          <w:left w:val="single" w:sz="8" w:space="0" w:color="FF7600" w:themeColor="accent6"/>
          <w:bottom w:val="single" w:sz="8" w:space="0" w:color="FF7600" w:themeColor="accent6"/>
          <w:right w:val="single" w:sz="8" w:space="0" w:color="FF7600" w:themeColor="accent6"/>
          <w:insideH w:val="nil"/>
          <w:insideV w:val="single" w:sz="8" w:space="0" w:color="FF7600"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F7600" w:themeColor="accent6"/>
          <w:left w:val="single" w:sz="8" w:space="0" w:color="FF7600" w:themeColor="accent6"/>
          <w:bottom w:val="single" w:sz="8" w:space="0" w:color="FF7600" w:themeColor="accent6"/>
          <w:right w:val="single" w:sz="8" w:space="0" w:color="FF7600" w:themeColor="accent6"/>
        </w:tcBorders>
      </w:tcPr>
    </w:tblStylePr>
    <w:tblStylePr w:type="band1Vert">
      <w:tblPr/>
      <w:tcPr>
        <w:tcBorders>
          <w:top w:val="single" w:sz="8" w:space="0" w:color="FF7600" w:themeColor="accent6"/>
          <w:left w:val="single" w:sz="8" w:space="0" w:color="FF7600" w:themeColor="accent6"/>
          <w:bottom w:val="single" w:sz="8" w:space="0" w:color="FF7600" w:themeColor="accent6"/>
          <w:right w:val="single" w:sz="8" w:space="0" w:color="FF7600" w:themeColor="accent6"/>
        </w:tcBorders>
        <w:shd w:val="clear" w:color="auto" w:fill="FFDDC0" w:themeFill="accent6" w:themeFillTint="3F"/>
      </w:tcPr>
    </w:tblStylePr>
    <w:tblStylePr w:type="band1Horz">
      <w:tblPr/>
      <w:tcPr>
        <w:tcBorders>
          <w:top w:val="single" w:sz="8" w:space="0" w:color="FF7600" w:themeColor="accent6"/>
          <w:left w:val="single" w:sz="8" w:space="0" w:color="FF7600" w:themeColor="accent6"/>
          <w:bottom w:val="single" w:sz="8" w:space="0" w:color="FF7600" w:themeColor="accent6"/>
          <w:right w:val="single" w:sz="8" w:space="0" w:color="FF7600" w:themeColor="accent6"/>
          <w:insideV w:val="single" w:sz="8" w:space="0" w:color="FF7600" w:themeColor="accent6"/>
        </w:tcBorders>
        <w:shd w:val="clear" w:color="auto" w:fill="FFDDC0" w:themeFill="accent6" w:themeFillTint="3F"/>
      </w:tcPr>
    </w:tblStylePr>
    <w:tblStylePr w:type="band2Horz">
      <w:tblPr/>
      <w:tcPr>
        <w:tcBorders>
          <w:top w:val="single" w:sz="8" w:space="0" w:color="FF7600" w:themeColor="accent6"/>
          <w:left w:val="single" w:sz="8" w:space="0" w:color="FF7600" w:themeColor="accent6"/>
          <w:bottom w:val="single" w:sz="8" w:space="0" w:color="FF7600" w:themeColor="accent6"/>
          <w:right w:val="single" w:sz="8" w:space="0" w:color="FF7600" w:themeColor="accent6"/>
          <w:insideV w:val="single" w:sz="8" w:space="0" w:color="FF7600" w:themeColor="accent6"/>
        </w:tcBorders>
      </w:tcPr>
    </w:tblStylePr>
  </w:style>
  <w:style w:type="table" w:styleId="MediumShading1">
    <w:name w:val="Medium Shading 1"/>
    <w:basedOn w:val="TableNormal"/>
    <w:uiPriority w:val="63"/>
    <w:rsid w:val="00A871F4"/>
    <w:pPr>
      <w:spacing w:before="0"/>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A871F4"/>
    <w:pPr>
      <w:spacing w:before="0"/>
    </w:pPr>
    <w:tblPr>
      <w:tblStyleRowBandSize w:val="1"/>
      <w:tblStyleColBandSize w:val="1"/>
      <w:tblBorders>
        <w:top w:val="single" w:sz="8" w:space="0" w:color="6600F2" w:themeColor="accent1" w:themeTint="BF"/>
        <w:left w:val="single" w:sz="8" w:space="0" w:color="6600F2" w:themeColor="accent1" w:themeTint="BF"/>
        <w:bottom w:val="single" w:sz="8" w:space="0" w:color="6600F2" w:themeColor="accent1" w:themeTint="BF"/>
        <w:right w:val="single" w:sz="8" w:space="0" w:color="6600F2" w:themeColor="accent1" w:themeTint="BF"/>
        <w:insideH w:val="single" w:sz="8" w:space="0" w:color="6600F2" w:themeColor="accent1" w:themeTint="BF"/>
      </w:tblBorders>
    </w:tblPr>
    <w:tblStylePr w:type="firstRow">
      <w:pPr>
        <w:spacing w:before="0" w:after="0" w:line="240" w:lineRule="auto"/>
      </w:pPr>
      <w:rPr>
        <w:b/>
        <w:bCs/>
        <w:color w:val="FFFFFF" w:themeColor="background1"/>
      </w:rPr>
      <w:tblPr/>
      <w:tcPr>
        <w:tcBorders>
          <w:top w:val="single" w:sz="8" w:space="0" w:color="6600F2" w:themeColor="accent1" w:themeTint="BF"/>
          <w:left w:val="single" w:sz="8" w:space="0" w:color="6600F2" w:themeColor="accent1" w:themeTint="BF"/>
          <w:bottom w:val="single" w:sz="8" w:space="0" w:color="6600F2" w:themeColor="accent1" w:themeTint="BF"/>
          <w:right w:val="single" w:sz="8" w:space="0" w:color="6600F2" w:themeColor="accent1" w:themeTint="BF"/>
          <w:insideH w:val="nil"/>
          <w:insideV w:val="nil"/>
        </w:tcBorders>
        <w:shd w:val="clear" w:color="auto" w:fill="410099" w:themeFill="accent1"/>
      </w:tcPr>
    </w:tblStylePr>
    <w:tblStylePr w:type="lastRow">
      <w:pPr>
        <w:spacing w:before="0" w:after="0" w:line="240" w:lineRule="auto"/>
      </w:pPr>
      <w:rPr>
        <w:b/>
        <w:bCs/>
      </w:rPr>
      <w:tblPr/>
      <w:tcPr>
        <w:tcBorders>
          <w:top w:val="double" w:sz="6" w:space="0" w:color="6600F2" w:themeColor="accent1" w:themeTint="BF"/>
          <w:left w:val="single" w:sz="8" w:space="0" w:color="6600F2" w:themeColor="accent1" w:themeTint="BF"/>
          <w:bottom w:val="single" w:sz="8" w:space="0" w:color="6600F2" w:themeColor="accent1" w:themeTint="BF"/>
          <w:right w:val="single" w:sz="8" w:space="0" w:color="6600F2" w:themeColor="accent1" w:themeTint="BF"/>
          <w:insideH w:val="nil"/>
          <w:insideV w:val="nil"/>
        </w:tcBorders>
      </w:tcPr>
    </w:tblStylePr>
    <w:tblStylePr w:type="firstCol">
      <w:rPr>
        <w:b/>
        <w:bCs/>
      </w:rPr>
    </w:tblStylePr>
    <w:tblStylePr w:type="lastCol">
      <w:rPr>
        <w:b/>
        <w:bCs/>
      </w:rPr>
    </w:tblStylePr>
    <w:tblStylePr w:type="band1Vert">
      <w:tblPr/>
      <w:tcPr>
        <w:shd w:val="clear" w:color="auto" w:fill="CCA6FF" w:themeFill="accent1" w:themeFillTint="3F"/>
      </w:tcPr>
    </w:tblStylePr>
    <w:tblStylePr w:type="band1Horz">
      <w:tblPr/>
      <w:tcPr>
        <w:tcBorders>
          <w:insideH w:val="nil"/>
          <w:insideV w:val="nil"/>
        </w:tcBorders>
        <w:shd w:val="clear" w:color="auto" w:fill="CCA6FF"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A871F4"/>
    <w:pPr>
      <w:spacing w:before="0"/>
    </w:pPr>
    <w:tblPr>
      <w:tblStyleRowBandSize w:val="1"/>
      <w:tblStyleColBandSize w:val="1"/>
      <w:tblBorders>
        <w:top w:val="single" w:sz="8" w:space="0" w:color="49E6E0" w:themeColor="accent2" w:themeTint="BF"/>
        <w:left w:val="single" w:sz="8" w:space="0" w:color="49E6E0" w:themeColor="accent2" w:themeTint="BF"/>
        <w:bottom w:val="single" w:sz="8" w:space="0" w:color="49E6E0" w:themeColor="accent2" w:themeTint="BF"/>
        <w:right w:val="single" w:sz="8" w:space="0" w:color="49E6E0" w:themeColor="accent2" w:themeTint="BF"/>
        <w:insideH w:val="single" w:sz="8" w:space="0" w:color="49E6E0" w:themeColor="accent2" w:themeTint="BF"/>
      </w:tblBorders>
    </w:tblPr>
    <w:tblStylePr w:type="firstRow">
      <w:pPr>
        <w:spacing w:before="0" w:after="0" w:line="240" w:lineRule="auto"/>
      </w:pPr>
      <w:rPr>
        <w:b/>
        <w:bCs/>
        <w:color w:val="FFFFFF" w:themeColor="background1"/>
      </w:rPr>
      <w:tblPr/>
      <w:tcPr>
        <w:tcBorders>
          <w:top w:val="single" w:sz="8" w:space="0" w:color="49E6E0" w:themeColor="accent2" w:themeTint="BF"/>
          <w:left w:val="single" w:sz="8" w:space="0" w:color="49E6E0" w:themeColor="accent2" w:themeTint="BF"/>
          <w:bottom w:val="single" w:sz="8" w:space="0" w:color="49E6E0" w:themeColor="accent2" w:themeTint="BF"/>
          <w:right w:val="single" w:sz="8" w:space="0" w:color="49E6E0" w:themeColor="accent2" w:themeTint="BF"/>
          <w:insideH w:val="nil"/>
          <w:insideV w:val="nil"/>
        </w:tcBorders>
        <w:shd w:val="clear" w:color="auto" w:fill="1CCFC9" w:themeFill="accent2"/>
      </w:tcPr>
    </w:tblStylePr>
    <w:tblStylePr w:type="lastRow">
      <w:pPr>
        <w:spacing w:before="0" w:after="0" w:line="240" w:lineRule="auto"/>
      </w:pPr>
      <w:rPr>
        <w:b/>
        <w:bCs/>
      </w:rPr>
      <w:tblPr/>
      <w:tcPr>
        <w:tcBorders>
          <w:top w:val="double" w:sz="6" w:space="0" w:color="49E6E0" w:themeColor="accent2" w:themeTint="BF"/>
          <w:left w:val="single" w:sz="8" w:space="0" w:color="49E6E0" w:themeColor="accent2" w:themeTint="BF"/>
          <w:bottom w:val="single" w:sz="8" w:space="0" w:color="49E6E0" w:themeColor="accent2" w:themeTint="BF"/>
          <w:right w:val="single" w:sz="8" w:space="0" w:color="49E6E0" w:themeColor="accent2" w:themeTint="BF"/>
          <w:insideH w:val="nil"/>
          <w:insideV w:val="nil"/>
        </w:tcBorders>
      </w:tcPr>
    </w:tblStylePr>
    <w:tblStylePr w:type="firstCol">
      <w:rPr>
        <w:b/>
        <w:bCs/>
      </w:rPr>
    </w:tblStylePr>
    <w:tblStylePr w:type="lastCol">
      <w:rPr>
        <w:b/>
        <w:bCs/>
      </w:rPr>
    </w:tblStylePr>
    <w:tblStylePr w:type="band1Vert">
      <w:tblPr/>
      <w:tcPr>
        <w:shd w:val="clear" w:color="auto" w:fill="C3F7F5" w:themeFill="accent2" w:themeFillTint="3F"/>
      </w:tcPr>
    </w:tblStylePr>
    <w:tblStylePr w:type="band1Horz">
      <w:tblPr/>
      <w:tcPr>
        <w:tcBorders>
          <w:insideH w:val="nil"/>
          <w:insideV w:val="nil"/>
        </w:tcBorders>
        <w:shd w:val="clear" w:color="auto" w:fill="C3F7F5"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A871F4"/>
    <w:pPr>
      <w:spacing w:before="0"/>
    </w:pPr>
    <w:tblPr>
      <w:tblStyleRowBandSize w:val="1"/>
      <w:tblStyleColBandSize w:val="1"/>
      <w:tblBorders>
        <w:top w:val="single" w:sz="8" w:space="0" w:color="5D518E" w:themeColor="accent3" w:themeTint="BF"/>
        <w:left w:val="single" w:sz="8" w:space="0" w:color="5D518E" w:themeColor="accent3" w:themeTint="BF"/>
        <w:bottom w:val="single" w:sz="8" w:space="0" w:color="5D518E" w:themeColor="accent3" w:themeTint="BF"/>
        <w:right w:val="single" w:sz="8" w:space="0" w:color="5D518E" w:themeColor="accent3" w:themeTint="BF"/>
        <w:insideH w:val="single" w:sz="8" w:space="0" w:color="5D518E" w:themeColor="accent3" w:themeTint="BF"/>
      </w:tblBorders>
    </w:tblPr>
    <w:tblStylePr w:type="firstRow">
      <w:pPr>
        <w:spacing w:before="0" w:after="0" w:line="240" w:lineRule="auto"/>
      </w:pPr>
      <w:rPr>
        <w:b/>
        <w:bCs/>
        <w:color w:val="FFFFFF" w:themeColor="background1"/>
      </w:rPr>
      <w:tblPr/>
      <w:tcPr>
        <w:tcBorders>
          <w:top w:val="single" w:sz="8" w:space="0" w:color="5D518E" w:themeColor="accent3" w:themeTint="BF"/>
          <w:left w:val="single" w:sz="8" w:space="0" w:color="5D518E" w:themeColor="accent3" w:themeTint="BF"/>
          <w:bottom w:val="single" w:sz="8" w:space="0" w:color="5D518E" w:themeColor="accent3" w:themeTint="BF"/>
          <w:right w:val="single" w:sz="8" w:space="0" w:color="5D518E" w:themeColor="accent3" w:themeTint="BF"/>
          <w:insideH w:val="nil"/>
          <w:insideV w:val="nil"/>
        </w:tcBorders>
        <w:shd w:val="clear" w:color="auto" w:fill="362F52" w:themeFill="accent3"/>
      </w:tcPr>
    </w:tblStylePr>
    <w:tblStylePr w:type="lastRow">
      <w:pPr>
        <w:spacing w:before="0" w:after="0" w:line="240" w:lineRule="auto"/>
      </w:pPr>
      <w:rPr>
        <w:b/>
        <w:bCs/>
      </w:rPr>
      <w:tblPr/>
      <w:tcPr>
        <w:tcBorders>
          <w:top w:val="double" w:sz="6" w:space="0" w:color="5D518E" w:themeColor="accent3" w:themeTint="BF"/>
          <w:left w:val="single" w:sz="8" w:space="0" w:color="5D518E" w:themeColor="accent3" w:themeTint="BF"/>
          <w:bottom w:val="single" w:sz="8" w:space="0" w:color="5D518E" w:themeColor="accent3" w:themeTint="BF"/>
          <w:right w:val="single" w:sz="8" w:space="0" w:color="5D518E" w:themeColor="accent3" w:themeTint="BF"/>
          <w:insideH w:val="nil"/>
          <w:insideV w:val="nil"/>
        </w:tcBorders>
      </w:tcPr>
    </w:tblStylePr>
    <w:tblStylePr w:type="firstCol">
      <w:rPr>
        <w:b/>
        <w:bCs/>
      </w:rPr>
    </w:tblStylePr>
    <w:tblStylePr w:type="lastCol">
      <w:rPr>
        <w:b/>
        <w:bCs/>
      </w:rPr>
    </w:tblStylePr>
    <w:tblStylePr w:type="band1Vert">
      <w:tblPr/>
      <w:tcPr>
        <w:shd w:val="clear" w:color="auto" w:fill="C8C3DC" w:themeFill="accent3" w:themeFillTint="3F"/>
      </w:tcPr>
    </w:tblStylePr>
    <w:tblStylePr w:type="band1Horz">
      <w:tblPr/>
      <w:tcPr>
        <w:tcBorders>
          <w:insideH w:val="nil"/>
          <w:insideV w:val="nil"/>
        </w:tcBorders>
        <w:shd w:val="clear" w:color="auto" w:fill="C8C3DC"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A871F4"/>
    <w:pPr>
      <w:spacing w:before="0"/>
    </w:pPr>
    <w:tblPr>
      <w:tblStyleRowBandSize w:val="1"/>
      <w:tblStyleColBandSize w:val="1"/>
      <w:tblBorders>
        <w:top w:val="single" w:sz="8" w:space="0" w:color="A8B5FF" w:themeColor="accent4" w:themeTint="BF"/>
        <w:left w:val="single" w:sz="8" w:space="0" w:color="A8B5FF" w:themeColor="accent4" w:themeTint="BF"/>
        <w:bottom w:val="single" w:sz="8" w:space="0" w:color="A8B5FF" w:themeColor="accent4" w:themeTint="BF"/>
        <w:right w:val="single" w:sz="8" w:space="0" w:color="A8B5FF" w:themeColor="accent4" w:themeTint="BF"/>
        <w:insideH w:val="single" w:sz="8" w:space="0" w:color="A8B5FF" w:themeColor="accent4" w:themeTint="BF"/>
      </w:tblBorders>
    </w:tblPr>
    <w:tblStylePr w:type="firstRow">
      <w:pPr>
        <w:spacing w:before="0" w:after="0" w:line="240" w:lineRule="auto"/>
      </w:pPr>
      <w:rPr>
        <w:b/>
        <w:bCs/>
        <w:color w:val="FFFFFF" w:themeColor="background1"/>
      </w:rPr>
      <w:tblPr/>
      <w:tcPr>
        <w:tcBorders>
          <w:top w:val="single" w:sz="8" w:space="0" w:color="A8B5FF" w:themeColor="accent4" w:themeTint="BF"/>
          <w:left w:val="single" w:sz="8" w:space="0" w:color="A8B5FF" w:themeColor="accent4" w:themeTint="BF"/>
          <w:bottom w:val="single" w:sz="8" w:space="0" w:color="A8B5FF" w:themeColor="accent4" w:themeTint="BF"/>
          <w:right w:val="single" w:sz="8" w:space="0" w:color="A8B5FF" w:themeColor="accent4" w:themeTint="BF"/>
          <w:insideH w:val="nil"/>
          <w:insideV w:val="nil"/>
        </w:tcBorders>
        <w:shd w:val="clear" w:color="auto" w:fill="8B9EFF" w:themeFill="accent4"/>
      </w:tcPr>
    </w:tblStylePr>
    <w:tblStylePr w:type="lastRow">
      <w:pPr>
        <w:spacing w:before="0" w:after="0" w:line="240" w:lineRule="auto"/>
      </w:pPr>
      <w:rPr>
        <w:b/>
        <w:bCs/>
      </w:rPr>
      <w:tblPr/>
      <w:tcPr>
        <w:tcBorders>
          <w:top w:val="double" w:sz="6" w:space="0" w:color="A8B5FF" w:themeColor="accent4" w:themeTint="BF"/>
          <w:left w:val="single" w:sz="8" w:space="0" w:color="A8B5FF" w:themeColor="accent4" w:themeTint="BF"/>
          <w:bottom w:val="single" w:sz="8" w:space="0" w:color="A8B5FF" w:themeColor="accent4" w:themeTint="BF"/>
          <w:right w:val="single" w:sz="8" w:space="0" w:color="A8B5FF" w:themeColor="accent4" w:themeTint="BF"/>
          <w:insideH w:val="nil"/>
          <w:insideV w:val="nil"/>
        </w:tcBorders>
      </w:tcPr>
    </w:tblStylePr>
    <w:tblStylePr w:type="firstCol">
      <w:rPr>
        <w:b/>
        <w:bCs/>
      </w:rPr>
    </w:tblStylePr>
    <w:tblStylePr w:type="lastCol">
      <w:rPr>
        <w:b/>
        <w:bCs/>
      </w:rPr>
    </w:tblStylePr>
    <w:tblStylePr w:type="band1Vert">
      <w:tblPr/>
      <w:tcPr>
        <w:shd w:val="clear" w:color="auto" w:fill="E2E6FF" w:themeFill="accent4" w:themeFillTint="3F"/>
      </w:tcPr>
    </w:tblStylePr>
    <w:tblStylePr w:type="band1Horz">
      <w:tblPr/>
      <w:tcPr>
        <w:tcBorders>
          <w:insideH w:val="nil"/>
          <w:insideV w:val="nil"/>
        </w:tcBorders>
        <w:shd w:val="clear" w:color="auto" w:fill="E2E6FF"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A871F4"/>
    <w:pPr>
      <w:spacing w:before="0"/>
    </w:pPr>
    <w:tblPr>
      <w:tblStyleRowBandSize w:val="1"/>
      <w:tblStyleColBandSize w:val="1"/>
      <w:tblBorders>
        <w:top w:val="single" w:sz="8" w:space="0" w:color="FFD341" w:themeColor="accent5" w:themeTint="BF"/>
        <w:left w:val="single" w:sz="8" w:space="0" w:color="FFD341" w:themeColor="accent5" w:themeTint="BF"/>
        <w:bottom w:val="single" w:sz="8" w:space="0" w:color="FFD341" w:themeColor="accent5" w:themeTint="BF"/>
        <w:right w:val="single" w:sz="8" w:space="0" w:color="FFD341" w:themeColor="accent5" w:themeTint="BF"/>
        <w:insideH w:val="single" w:sz="8" w:space="0" w:color="FFD341" w:themeColor="accent5" w:themeTint="BF"/>
      </w:tblBorders>
    </w:tblPr>
    <w:tblStylePr w:type="firstRow">
      <w:pPr>
        <w:spacing w:before="0" w:after="0" w:line="240" w:lineRule="auto"/>
      </w:pPr>
      <w:rPr>
        <w:b/>
        <w:bCs/>
        <w:color w:val="FFFFFF" w:themeColor="background1"/>
      </w:rPr>
      <w:tblPr/>
      <w:tcPr>
        <w:tcBorders>
          <w:top w:val="single" w:sz="8" w:space="0" w:color="FFD341" w:themeColor="accent5" w:themeTint="BF"/>
          <w:left w:val="single" w:sz="8" w:space="0" w:color="FFD341" w:themeColor="accent5" w:themeTint="BF"/>
          <w:bottom w:val="single" w:sz="8" w:space="0" w:color="FFD341" w:themeColor="accent5" w:themeTint="BF"/>
          <w:right w:val="single" w:sz="8" w:space="0" w:color="FFD341" w:themeColor="accent5" w:themeTint="BF"/>
          <w:insideH w:val="nil"/>
          <w:insideV w:val="nil"/>
        </w:tcBorders>
        <w:shd w:val="clear" w:color="auto" w:fill="FFC502" w:themeFill="accent5"/>
      </w:tcPr>
    </w:tblStylePr>
    <w:tblStylePr w:type="lastRow">
      <w:pPr>
        <w:spacing w:before="0" w:after="0" w:line="240" w:lineRule="auto"/>
      </w:pPr>
      <w:rPr>
        <w:b/>
        <w:bCs/>
      </w:rPr>
      <w:tblPr/>
      <w:tcPr>
        <w:tcBorders>
          <w:top w:val="double" w:sz="6" w:space="0" w:color="FFD341" w:themeColor="accent5" w:themeTint="BF"/>
          <w:left w:val="single" w:sz="8" w:space="0" w:color="FFD341" w:themeColor="accent5" w:themeTint="BF"/>
          <w:bottom w:val="single" w:sz="8" w:space="0" w:color="FFD341" w:themeColor="accent5" w:themeTint="BF"/>
          <w:right w:val="single" w:sz="8" w:space="0" w:color="FFD341" w:themeColor="accent5" w:themeTint="BF"/>
          <w:insideH w:val="nil"/>
          <w:insideV w:val="nil"/>
        </w:tcBorders>
      </w:tcPr>
    </w:tblStylePr>
    <w:tblStylePr w:type="firstCol">
      <w:rPr>
        <w:b/>
        <w:bCs/>
      </w:rPr>
    </w:tblStylePr>
    <w:tblStylePr w:type="lastCol">
      <w:rPr>
        <w:b/>
        <w:bCs/>
      </w:rPr>
    </w:tblStylePr>
    <w:tblStylePr w:type="band1Vert">
      <w:tblPr/>
      <w:tcPr>
        <w:shd w:val="clear" w:color="auto" w:fill="FFF0C0" w:themeFill="accent5" w:themeFillTint="3F"/>
      </w:tcPr>
    </w:tblStylePr>
    <w:tblStylePr w:type="band1Horz">
      <w:tblPr/>
      <w:tcPr>
        <w:tcBorders>
          <w:insideH w:val="nil"/>
          <w:insideV w:val="nil"/>
        </w:tcBorders>
        <w:shd w:val="clear" w:color="auto" w:fill="FFF0C0" w:themeFill="accent5" w:themeFillTint="3F"/>
      </w:tcPr>
    </w:tblStylePr>
    <w:tblStylePr w:type="band2Horz">
      <w:tblPr/>
      <w:tcPr>
        <w:tcBorders>
          <w:insideH w:val="nil"/>
          <w:insideV w:val="nil"/>
        </w:tcBorders>
      </w:tcPr>
    </w:tblStylePr>
  </w:style>
  <w:style w:type="table" w:styleId="LightList">
    <w:name w:val="Light List"/>
    <w:basedOn w:val="TableNormal"/>
    <w:uiPriority w:val="61"/>
    <w:rsid w:val="00A871F4"/>
    <w:pPr>
      <w:spacing w:before="0"/>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Shading-Accent5">
    <w:name w:val="Light Shading Accent 5"/>
    <w:basedOn w:val="TableNormal"/>
    <w:uiPriority w:val="60"/>
    <w:rsid w:val="00A871F4"/>
    <w:pPr>
      <w:spacing w:before="0"/>
    </w:pPr>
    <w:rPr>
      <w:color w:val="C09300" w:themeColor="accent5" w:themeShade="BF"/>
    </w:rPr>
    <w:tblPr>
      <w:tblStyleRowBandSize w:val="1"/>
      <w:tblStyleColBandSize w:val="1"/>
      <w:tblBorders>
        <w:top w:val="single" w:sz="8" w:space="0" w:color="FFC502" w:themeColor="accent5"/>
        <w:bottom w:val="single" w:sz="8" w:space="0" w:color="FFC502" w:themeColor="accent5"/>
      </w:tblBorders>
    </w:tblPr>
    <w:tblStylePr w:type="firstRow">
      <w:pPr>
        <w:spacing w:before="0" w:after="0" w:line="240" w:lineRule="auto"/>
      </w:pPr>
      <w:rPr>
        <w:b/>
        <w:bCs/>
      </w:rPr>
      <w:tblPr/>
      <w:tcPr>
        <w:tcBorders>
          <w:top w:val="single" w:sz="8" w:space="0" w:color="FFC502" w:themeColor="accent5"/>
          <w:left w:val="nil"/>
          <w:bottom w:val="single" w:sz="8" w:space="0" w:color="FFC502" w:themeColor="accent5"/>
          <w:right w:val="nil"/>
          <w:insideH w:val="nil"/>
          <w:insideV w:val="nil"/>
        </w:tcBorders>
      </w:tcPr>
    </w:tblStylePr>
    <w:tblStylePr w:type="lastRow">
      <w:pPr>
        <w:spacing w:before="0" w:after="0" w:line="240" w:lineRule="auto"/>
      </w:pPr>
      <w:rPr>
        <w:b/>
        <w:bCs/>
      </w:rPr>
      <w:tblPr/>
      <w:tcPr>
        <w:tcBorders>
          <w:top w:val="single" w:sz="8" w:space="0" w:color="FFC502" w:themeColor="accent5"/>
          <w:left w:val="nil"/>
          <w:bottom w:val="single" w:sz="8" w:space="0" w:color="FFC502"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F0C0" w:themeFill="accent5" w:themeFillTint="3F"/>
      </w:tcPr>
    </w:tblStylePr>
    <w:tblStylePr w:type="band1Horz">
      <w:tblPr/>
      <w:tcPr>
        <w:tcBorders>
          <w:left w:val="nil"/>
          <w:right w:val="nil"/>
          <w:insideH w:val="nil"/>
          <w:insideV w:val="nil"/>
        </w:tcBorders>
        <w:shd w:val="clear" w:color="auto" w:fill="FFF0C0" w:themeFill="accent5" w:themeFillTint="3F"/>
      </w:tcPr>
    </w:tblStylePr>
  </w:style>
  <w:style w:type="table" w:styleId="LightGrid-Accent3">
    <w:name w:val="Light Grid Accent 3"/>
    <w:basedOn w:val="TableNormal"/>
    <w:uiPriority w:val="62"/>
    <w:rsid w:val="00A871F4"/>
    <w:pPr>
      <w:spacing w:before="0"/>
    </w:pPr>
    <w:tblPr>
      <w:tblStyleRowBandSize w:val="1"/>
      <w:tblStyleColBandSize w:val="1"/>
      <w:tblBorders>
        <w:top w:val="single" w:sz="8" w:space="0" w:color="362F52" w:themeColor="accent3"/>
        <w:left w:val="single" w:sz="8" w:space="0" w:color="362F52" w:themeColor="accent3"/>
        <w:bottom w:val="single" w:sz="8" w:space="0" w:color="362F52" w:themeColor="accent3"/>
        <w:right w:val="single" w:sz="8" w:space="0" w:color="362F52" w:themeColor="accent3"/>
        <w:insideH w:val="single" w:sz="8" w:space="0" w:color="362F52" w:themeColor="accent3"/>
        <w:insideV w:val="single" w:sz="8" w:space="0" w:color="362F52"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362F52" w:themeColor="accent3"/>
          <w:left w:val="single" w:sz="8" w:space="0" w:color="362F52" w:themeColor="accent3"/>
          <w:bottom w:val="single" w:sz="18" w:space="0" w:color="362F52" w:themeColor="accent3"/>
          <w:right w:val="single" w:sz="8" w:space="0" w:color="362F52" w:themeColor="accent3"/>
          <w:insideH w:val="nil"/>
          <w:insideV w:val="single" w:sz="8" w:space="0" w:color="362F52"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362F52" w:themeColor="accent3"/>
          <w:left w:val="single" w:sz="8" w:space="0" w:color="362F52" w:themeColor="accent3"/>
          <w:bottom w:val="single" w:sz="8" w:space="0" w:color="362F52" w:themeColor="accent3"/>
          <w:right w:val="single" w:sz="8" w:space="0" w:color="362F52" w:themeColor="accent3"/>
          <w:insideH w:val="nil"/>
          <w:insideV w:val="single" w:sz="8" w:space="0" w:color="362F52"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362F52" w:themeColor="accent3"/>
          <w:left w:val="single" w:sz="8" w:space="0" w:color="362F52" w:themeColor="accent3"/>
          <w:bottom w:val="single" w:sz="8" w:space="0" w:color="362F52" w:themeColor="accent3"/>
          <w:right w:val="single" w:sz="8" w:space="0" w:color="362F52" w:themeColor="accent3"/>
        </w:tcBorders>
      </w:tcPr>
    </w:tblStylePr>
    <w:tblStylePr w:type="band1Vert">
      <w:tblPr/>
      <w:tcPr>
        <w:tcBorders>
          <w:top w:val="single" w:sz="8" w:space="0" w:color="362F52" w:themeColor="accent3"/>
          <w:left w:val="single" w:sz="8" w:space="0" w:color="362F52" w:themeColor="accent3"/>
          <w:bottom w:val="single" w:sz="8" w:space="0" w:color="362F52" w:themeColor="accent3"/>
          <w:right w:val="single" w:sz="8" w:space="0" w:color="362F52" w:themeColor="accent3"/>
        </w:tcBorders>
        <w:shd w:val="clear" w:color="auto" w:fill="C8C3DC" w:themeFill="accent3" w:themeFillTint="3F"/>
      </w:tcPr>
    </w:tblStylePr>
    <w:tblStylePr w:type="band1Horz">
      <w:tblPr/>
      <w:tcPr>
        <w:tcBorders>
          <w:top w:val="single" w:sz="8" w:space="0" w:color="362F52" w:themeColor="accent3"/>
          <w:left w:val="single" w:sz="8" w:space="0" w:color="362F52" w:themeColor="accent3"/>
          <w:bottom w:val="single" w:sz="8" w:space="0" w:color="362F52" w:themeColor="accent3"/>
          <w:right w:val="single" w:sz="8" w:space="0" w:color="362F52" w:themeColor="accent3"/>
          <w:insideV w:val="single" w:sz="8" w:space="0" w:color="362F52" w:themeColor="accent3"/>
        </w:tcBorders>
        <w:shd w:val="clear" w:color="auto" w:fill="C8C3DC" w:themeFill="accent3" w:themeFillTint="3F"/>
      </w:tcPr>
    </w:tblStylePr>
    <w:tblStylePr w:type="band2Horz">
      <w:tblPr/>
      <w:tcPr>
        <w:tcBorders>
          <w:top w:val="single" w:sz="8" w:space="0" w:color="362F52" w:themeColor="accent3"/>
          <w:left w:val="single" w:sz="8" w:space="0" w:color="362F52" w:themeColor="accent3"/>
          <w:bottom w:val="single" w:sz="8" w:space="0" w:color="362F52" w:themeColor="accent3"/>
          <w:right w:val="single" w:sz="8" w:space="0" w:color="362F52" w:themeColor="accent3"/>
          <w:insideV w:val="single" w:sz="8" w:space="0" w:color="362F52" w:themeColor="accent3"/>
        </w:tcBorders>
      </w:tcPr>
    </w:tblStylePr>
  </w:style>
  <w:style w:type="paragraph" w:styleId="Bibliography">
    <w:name w:val="Bibliography"/>
    <w:basedOn w:val="Normal"/>
    <w:next w:val="Normal"/>
    <w:uiPriority w:val="37"/>
    <w:semiHidden/>
    <w:rsid w:val="00EE28F3"/>
  </w:style>
  <w:style w:type="paragraph" w:styleId="BodyText3">
    <w:name w:val="Body Text 3"/>
    <w:basedOn w:val="Normal"/>
    <w:link w:val="BodyText3Char"/>
    <w:uiPriority w:val="99"/>
    <w:semiHidden/>
    <w:unhideWhenUsed/>
    <w:rsid w:val="005C26CC"/>
    <w:pPr>
      <w:spacing w:after="120"/>
    </w:pPr>
    <w:rPr>
      <w:szCs w:val="16"/>
    </w:rPr>
  </w:style>
  <w:style w:type="character" w:customStyle="1" w:styleId="BodyText3Char">
    <w:name w:val="Body Text 3 Char"/>
    <w:basedOn w:val="DefaultParagraphFont"/>
    <w:link w:val="BodyText3"/>
    <w:uiPriority w:val="99"/>
    <w:semiHidden/>
    <w:rsid w:val="005C26CC"/>
    <w:rPr>
      <w:rFonts w:ascii="Arial" w:hAnsi="Arial"/>
      <w:szCs w:val="16"/>
    </w:rPr>
  </w:style>
  <w:style w:type="paragraph" w:styleId="TOC1">
    <w:name w:val="toc 1"/>
    <w:basedOn w:val="Normal"/>
    <w:next w:val="Normal"/>
    <w:autoRedefine/>
    <w:uiPriority w:val="39"/>
    <w:qFormat/>
    <w:rsid w:val="009F4940"/>
    <w:pPr>
      <w:tabs>
        <w:tab w:val="left" w:pos="426"/>
        <w:tab w:val="right" w:leader="dot" w:pos="9016"/>
      </w:tabs>
      <w:spacing w:after="100"/>
    </w:pPr>
    <w:rPr>
      <w:noProof/>
      <w:lang w:val="en-US" w:eastAsia="ja-JP"/>
    </w:rPr>
  </w:style>
  <w:style w:type="paragraph" w:styleId="TOC2">
    <w:name w:val="toc 2"/>
    <w:basedOn w:val="Normal"/>
    <w:next w:val="Normal"/>
    <w:uiPriority w:val="39"/>
    <w:qFormat/>
    <w:rsid w:val="009F4940"/>
    <w:pPr>
      <w:tabs>
        <w:tab w:val="left" w:pos="880"/>
        <w:tab w:val="right" w:leader="dot" w:pos="9016"/>
      </w:tabs>
      <w:spacing w:after="100"/>
      <w:ind w:left="425"/>
    </w:pPr>
    <w:rPr>
      <w:noProof/>
    </w:rPr>
  </w:style>
  <w:style w:type="paragraph" w:styleId="TOC3">
    <w:name w:val="toc 3"/>
    <w:basedOn w:val="Normal"/>
    <w:next w:val="Normal"/>
    <w:uiPriority w:val="39"/>
    <w:qFormat/>
    <w:rsid w:val="009F4940"/>
    <w:pPr>
      <w:tabs>
        <w:tab w:val="left" w:pos="1760"/>
        <w:tab w:val="right" w:leader="dot" w:pos="9016"/>
      </w:tabs>
      <w:spacing w:after="100"/>
      <w:ind w:left="851"/>
    </w:pPr>
    <w:rPr>
      <w:noProof/>
    </w:rPr>
  </w:style>
  <w:style w:type="paragraph" w:styleId="Title">
    <w:name w:val="Title"/>
    <w:basedOn w:val="Normal"/>
    <w:next w:val="Normal"/>
    <w:link w:val="TitleChar"/>
    <w:uiPriority w:val="10"/>
    <w:qFormat/>
    <w:rsid w:val="00A323D9"/>
    <w:pPr>
      <w:spacing w:before="720" w:after="120"/>
      <w:contextualSpacing/>
    </w:pPr>
    <w:rPr>
      <w:rFonts w:ascii="Palatino Linotype" w:eastAsiaTheme="majorEastAsia" w:hAnsi="Palatino Linotype" w:cstheme="majorBidi"/>
      <w:color w:val="410099" w:themeColor="accent1"/>
      <w:spacing w:val="5"/>
      <w:kern w:val="28"/>
      <w:sz w:val="72"/>
      <w:szCs w:val="52"/>
    </w:rPr>
  </w:style>
  <w:style w:type="character" w:customStyle="1" w:styleId="TitleChar">
    <w:name w:val="Title Char"/>
    <w:basedOn w:val="DefaultParagraphFont"/>
    <w:link w:val="Title"/>
    <w:uiPriority w:val="10"/>
    <w:rsid w:val="00A323D9"/>
    <w:rPr>
      <w:rFonts w:ascii="Palatino Linotype" w:eastAsiaTheme="majorEastAsia" w:hAnsi="Palatino Linotype" w:cstheme="majorBidi"/>
      <w:color w:val="410099" w:themeColor="accent1"/>
      <w:spacing w:val="5"/>
      <w:kern w:val="28"/>
      <w:sz w:val="72"/>
      <w:szCs w:val="52"/>
    </w:rPr>
  </w:style>
  <w:style w:type="paragraph" w:customStyle="1" w:styleId="CoverDate">
    <w:name w:val="Cover Date"/>
    <w:rsid w:val="00E27642"/>
    <w:rPr>
      <w:rFonts w:ascii="Palatino Linotype" w:hAnsi="Palatino Linotype"/>
      <w:color w:val="362F52" w:themeColor="accent3"/>
      <w:sz w:val="24"/>
      <w:szCs w:val="24"/>
    </w:rPr>
  </w:style>
  <w:style w:type="character" w:styleId="BookTitle">
    <w:name w:val="Book Title"/>
    <w:uiPriority w:val="33"/>
    <w:rsid w:val="0081034E"/>
    <w:rPr>
      <w:rFonts w:ascii="Arial" w:hAnsi="Arial"/>
      <w:bCs/>
      <w:i/>
      <w:caps w:val="0"/>
      <w:smallCaps w:val="0"/>
      <w:spacing w:val="0"/>
      <w:sz w:val="22"/>
    </w:rPr>
  </w:style>
  <w:style w:type="table" w:styleId="LightList-Accent1">
    <w:name w:val="Light List Accent 1"/>
    <w:basedOn w:val="TableNormal"/>
    <w:uiPriority w:val="61"/>
    <w:rsid w:val="0081034E"/>
    <w:pPr>
      <w:spacing w:before="0"/>
    </w:pPr>
    <w:tblPr>
      <w:tblStyleRowBandSize w:val="1"/>
      <w:tblStyleColBandSize w:val="1"/>
      <w:tblBorders>
        <w:top w:val="single" w:sz="8" w:space="0" w:color="410099" w:themeColor="accent1"/>
        <w:left w:val="single" w:sz="8" w:space="0" w:color="410099" w:themeColor="accent1"/>
        <w:bottom w:val="single" w:sz="8" w:space="0" w:color="410099" w:themeColor="accent1"/>
        <w:right w:val="single" w:sz="8" w:space="0" w:color="410099" w:themeColor="accent1"/>
      </w:tblBorders>
    </w:tblPr>
    <w:tblStylePr w:type="firstRow">
      <w:pPr>
        <w:spacing w:before="0" w:after="0" w:line="240" w:lineRule="auto"/>
      </w:pPr>
      <w:rPr>
        <w:b/>
        <w:bCs/>
        <w:color w:val="FFFFFF" w:themeColor="background1"/>
      </w:rPr>
      <w:tblPr/>
      <w:tcPr>
        <w:shd w:val="clear" w:color="auto" w:fill="410099" w:themeFill="accent1"/>
      </w:tcPr>
    </w:tblStylePr>
    <w:tblStylePr w:type="lastRow">
      <w:pPr>
        <w:spacing w:before="0" w:after="0" w:line="240" w:lineRule="auto"/>
      </w:pPr>
      <w:rPr>
        <w:b/>
        <w:bCs/>
      </w:rPr>
      <w:tblPr/>
      <w:tcPr>
        <w:tcBorders>
          <w:top w:val="double" w:sz="6" w:space="0" w:color="410099" w:themeColor="accent1"/>
          <w:left w:val="single" w:sz="8" w:space="0" w:color="410099" w:themeColor="accent1"/>
          <w:bottom w:val="single" w:sz="8" w:space="0" w:color="410099" w:themeColor="accent1"/>
          <w:right w:val="single" w:sz="8" w:space="0" w:color="410099" w:themeColor="accent1"/>
        </w:tcBorders>
      </w:tcPr>
    </w:tblStylePr>
    <w:tblStylePr w:type="firstCol">
      <w:rPr>
        <w:b/>
        <w:bCs/>
      </w:rPr>
    </w:tblStylePr>
    <w:tblStylePr w:type="lastCol">
      <w:rPr>
        <w:b/>
        <w:bCs/>
      </w:rPr>
    </w:tblStylePr>
    <w:tblStylePr w:type="band1Vert">
      <w:tblPr/>
      <w:tcPr>
        <w:tcBorders>
          <w:top w:val="single" w:sz="8" w:space="0" w:color="410099" w:themeColor="accent1"/>
          <w:left w:val="single" w:sz="8" w:space="0" w:color="410099" w:themeColor="accent1"/>
          <w:bottom w:val="single" w:sz="8" w:space="0" w:color="410099" w:themeColor="accent1"/>
          <w:right w:val="single" w:sz="8" w:space="0" w:color="410099" w:themeColor="accent1"/>
        </w:tcBorders>
      </w:tcPr>
    </w:tblStylePr>
    <w:tblStylePr w:type="band1Horz">
      <w:tblPr/>
      <w:tcPr>
        <w:tcBorders>
          <w:top w:val="single" w:sz="8" w:space="0" w:color="410099" w:themeColor="accent1"/>
          <w:left w:val="single" w:sz="8" w:space="0" w:color="410099" w:themeColor="accent1"/>
          <w:bottom w:val="single" w:sz="8" w:space="0" w:color="410099" w:themeColor="accent1"/>
          <w:right w:val="single" w:sz="8" w:space="0" w:color="410099" w:themeColor="accent1"/>
        </w:tcBorders>
      </w:tcPr>
    </w:tblStylePr>
  </w:style>
  <w:style w:type="table" w:styleId="LightList-Accent3">
    <w:name w:val="Light List Accent 3"/>
    <w:basedOn w:val="TableNormal"/>
    <w:uiPriority w:val="61"/>
    <w:rsid w:val="0081034E"/>
    <w:pPr>
      <w:spacing w:before="0"/>
    </w:pPr>
    <w:tblPr>
      <w:tblStyleRowBandSize w:val="1"/>
      <w:tblStyleColBandSize w:val="1"/>
      <w:tblBorders>
        <w:top w:val="single" w:sz="8" w:space="0" w:color="362F52" w:themeColor="accent3"/>
        <w:left w:val="single" w:sz="8" w:space="0" w:color="362F52" w:themeColor="accent3"/>
        <w:bottom w:val="single" w:sz="8" w:space="0" w:color="362F52" w:themeColor="accent3"/>
        <w:right w:val="single" w:sz="8" w:space="0" w:color="362F52" w:themeColor="accent3"/>
      </w:tblBorders>
    </w:tblPr>
    <w:tblStylePr w:type="firstRow">
      <w:pPr>
        <w:spacing w:before="0" w:after="0" w:line="240" w:lineRule="auto"/>
      </w:pPr>
      <w:rPr>
        <w:b/>
        <w:bCs/>
        <w:color w:val="FFFFFF" w:themeColor="background1"/>
      </w:rPr>
      <w:tblPr/>
      <w:tcPr>
        <w:shd w:val="clear" w:color="auto" w:fill="362F52" w:themeFill="accent3"/>
      </w:tcPr>
    </w:tblStylePr>
    <w:tblStylePr w:type="lastRow">
      <w:pPr>
        <w:spacing w:before="0" w:after="0" w:line="240" w:lineRule="auto"/>
      </w:pPr>
      <w:rPr>
        <w:b/>
        <w:bCs/>
      </w:rPr>
      <w:tblPr/>
      <w:tcPr>
        <w:tcBorders>
          <w:top w:val="double" w:sz="6" w:space="0" w:color="362F52" w:themeColor="accent3"/>
          <w:left w:val="single" w:sz="8" w:space="0" w:color="362F52" w:themeColor="accent3"/>
          <w:bottom w:val="single" w:sz="8" w:space="0" w:color="362F52" w:themeColor="accent3"/>
          <w:right w:val="single" w:sz="8" w:space="0" w:color="362F52" w:themeColor="accent3"/>
        </w:tcBorders>
      </w:tcPr>
    </w:tblStylePr>
    <w:tblStylePr w:type="firstCol">
      <w:rPr>
        <w:b/>
        <w:bCs/>
      </w:rPr>
    </w:tblStylePr>
    <w:tblStylePr w:type="lastCol">
      <w:rPr>
        <w:b/>
        <w:bCs/>
      </w:rPr>
    </w:tblStylePr>
    <w:tblStylePr w:type="band1Vert">
      <w:tblPr/>
      <w:tcPr>
        <w:tcBorders>
          <w:top w:val="single" w:sz="8" w:space="0" w:color="362F52" w:themeColor="accent3"/>
          <w:left w:val="single" w:sz="8" w:space="0" w:color="362F52" w:themeColor="accent3"/>
          <w:bottom w:val="single" w:sz="8" w:space="0" w:color="362F52" w:themeColor="accent3"/>
          <w:right w:val="single" w:sz="8" w:space="0" w:color="362F52" w:themeColor="accent3"/>
        </w:tcBorders>
      </w:tcPr>
    </w:tblStylePr>
    <w:tblStylePr w:type="band1Horz">
      <w:tblPr/>
      <w:tcPr>
        <w:tcBorders>
          <w:top w:val="single" w:sz="8" w:space="0" w:color="362F52" w:themeColor="accent3"/>
          <w:left w:val="single" w:sz="8" w:space="0" w:color="362F52" w:themeColor="accent3"/>
          <w:bottom w:val="single" w:sz="8" w:space="0" w:color="362F52" w:themeColor="accent3"/>
          <w:right w:val="single" w:sz="8" w:space="0" w:color="362F52" w:themeColor="accent3"/>
        </w:tcBorders>
      </w:tcPr>
    </w:tblStylePr>
  </w:style>
  <w:style w:type="table" w:styleId="LightList-Accent5">
    <w:name w:val="Light List Accent 5"/>
    <w:basedOn w:val="TableNormal"/>
    <w:uiPriority w:val="61"/>
    <w:rsid w:val="005B1E3C"/>
    <w:pPr>
      <w:spacing w:before="0"/>
    </w:pPr>
    <w:tblPr>
      <w:tblStyleRowBandSize w:val="1"/>
      <w:tblStyleColBandSize w:val="1"/>
      <w:tblBorders>
        <w:top w:val="single" w:sz="8" w:space="0" w:color="FFC502" w:themeColor="accent5"/>
        <w:left w:val="single" w:sz="8" w:space="0" w:color="FFC502" w:themeColor="accent5"/>
        <w:bottom w:val="single" w:sz="8" w:space="0" w:color="FFC502" w:themeColor="accent5"/>
        <w:right w:val="single" w:sz="8" w:space="0" w:color="FFC502" w:themeColor="accent5"/>
      </w:tblBorders>
    </w:tblPr>
    <w:tblStylePr w:type="firstRow">
      <w:pPr>
        <w:spacing w:before="0" w:after="0" w:line="240" w:lineRule="auto"/>
      </w:pPr>
      <w:rPr>
        <w:b/>
        <w:bCs/>
        <w:color w:val="auto"/>
      </w:rPr>
      <w:tblPr/>
      <w:tcPr>
        <w:shd w:val="clear" w:color="auto" w:fill="FFC502" w:themeFill="accent5"/>
      </w:tcPr>
    </w:tblStylePr>
    <w:tblStylePr w:type="lastRow">
      <w:pPr>
        <w:spacing w:before="0" w:after="0" w:line="240" w:lineRule="auto"/>
      </w:pPr>
      <w:rPr>
        <w:b/>
        <w:bCs/>
      </w:rPr>
      <w:tblPr/>
      <w:tcPr>
        <w:tcBorders>
          <w:top w:val="double" w:sz="6" w:space="0" w:color="FFC502" w:themeColor="accent5"/>
          <w:left w:val="single" w:sz="8" w:space="0" w:color="FFC502" w:themeColor="accent5"/>
          <w:bottom w:val="single" w:sz="8" w:space="0" w:color="FFC502" w:themeColor="accent5"/>
          <w:right w:val="single" w:sz="8" w:space="0" w:color="FFC502" w:themeColor="accent5"/>
        </w:tcBorders>
      </w:tcPr>
    </w:tblStylePr>
    <w:tblStylePr w:type="firstCol">
      <w:rPr>
        <w:b/>
        <w:bCs/>
      </w:rPr>
    </w:tblStylePr>
    <w:tblStylePr w:type="lastCol">
      <w:rPr>
        <w:b/>
        <w:bCs/>
      </w:rPr>
    </w:tblStylePr>
    <w:tblStylePr w:type="band1Vert">
      <w:tblPr/>
      <w:tcPr>
        <w:tcBorders>
          <w:top w:val="single" w:sz="8" w:space="0" w:color="FFC502" w:themeColor="accent5"/>
          <w:left w:val="single" w:sz="8" w:space="0" w:color="FFC502" w:themeColor="accent5"/>
          <w:bottom w:val="single" w:sz="8" w:space="0" w:color="FFC502" w:themeColor="accent5"/>
          <w:right w:val="single" w:sz="8" w:space="0" w:color="FFC502" w:themeColor="accent5"/>
        </w:tcBorders>
      </w:tcPr>
    </w:tblStylePr>
    <w:tblStylePr w:type="band1Horz">
      <w:tblPr/>
      <w:tcPr>
        <w:tcBorders>
          <w:top w:val="single" w:sz="8" w:space="0" w:color="FFC502" w:themeColor="accent5"/>
          <w:left w:val="single" w:sz="8" w:space="0" w:color="FFC502" w:themeColor="accent5"/>
          <w:bottom w:val="single" w:sz="8" w:space="0" w:color="FFC502" w:themeColor="accent5"/>
          <w:right w:val="single" w:sz="8" w:space="0" w:color="FFC502" w:themeColor="accent5"/>
        </w:tcBorders>
      </w:tcPr>
    </w:tblStylePr>
  </w:style>
  <w:style w:type="character" w:styleId="Emphasis">
    <w:name w:val="Emphasis"/>
    <w:basedOn w:val="DefaultParagraphFont"/>
    <w:uiPriority w:val="20"/>
    <w:qFormat/>
    <w:rsid w:val="00701CAB"/>
    <w:rPr>
      <w:i/>
      <w:iCs/>
    </w:rPr>
  </w:style>
  <w:style w:type="paragraph" w:styleId="NormalIndent">
    <w:name w:val="Normal Indent"/>
    <w:basedOn w:val="Normal"/>
    <w:uiPriority w:val="1"/>
    <w:rsid w:val="00085663"/>
    <w:pPr>
      <w:ind w:left="720"/>
    </w:pPr>
  </w:style>
  <w:style w:type="paragraph" w:styleId="FootnoteText">
    <w:name w:val="footnote text"/>
    <w:basedOn w:val="Normal"/>
    <w:link w:val="FootnoteTextChar"/>
    <w:uiPriority w:val="2"/>
    <w:rsid w:val="003A673F"/>
    <w:pPr>
      <w:tabs>
        <w:tab w:val="left" w:pos="340"/>
      </w:tabs>
      <w:spacing w:before="60"/>
      <w:ind w:left="340" w:hanging="340"/>
    </w:pPr>
    <w:rPr>
      <w:sz w:val="16"/>
      <w:szCs w:val="20"/>
    </w:rPr>
  </w:style>
  <w:style w:type="character" w:customStyle="1" w:styleId="FootnoteTextChar">
    <w:name w:val="Footnote Text Char"/>
    <w:basedOn w:val="DefaultParagraphFont"/>
    <w:link w:val="FootnoteText"/>
    <w:uiPriority w:val="2"/>
    <w:rsid w:val="003A673F"/>
    <w:rPr>
      <w:rFonts w:ascii="Arial" w:hAnsi="Arial"/>
      <w:sz w:val="16"/>
      <w:szCs w:val="20"/>
    </w:rPr>
  </w:style>
  <w:style w:type="character" w:styleId="FootnoteReference">
    <w:name w:val="footnote reference"/>
    <w:basedOn w:val="DefaultParagraphFont"/>
    <w:uiPriority w:val="99"/>
    <w:unhideWhenUsed/>
    <w:rsid w:val="00701CAB"/>
    <w:rPr>
      <w:vertAlign w:val="superscript"/>
    </w:rPr>
  </w:style>
  <w:style w:type="character" w:styleId="Strong">
    <w:name w:val="Strong"/>
    <w:basedOn w:val="DefaultParagraphFont"/>
    <w:uiPriority w:val="22"/>
    <w:qFormat/>
    <w:rsid w:val="00EF5110"/>
    <w:rPr>
      <w:b/>
      <w:bCs/>
    </w:rPr>
  </w:style>
  <w:style w:type="paragraph" w:styleId="Subtitle">
    <w:name w:val="Subtitle"/>
    <w:next w:val="Normal"/>
    <w:link w:val="SubtitleChar"/>
    <w:uiPriority w:val="11"/>
    <w:qFormat/>
    <w:rsid w:val="00E27642"/>
    <w:pPr>
      <w:spacing w:before="360" w:after="120"/>
    </w:pPr>
    <w:rPr>
      <w:rFonts w:ascii="Palatino Linotype" w:hAnsi="Palatino Linotype"/>
      <w:color w:val="410099" w:themeColor="accent1"/>
      <w:sz w:val="52"/>
      <w:szCs w:val="52"/>
    </w:rPr>
  </w:style>
  <w:style w:type="character" w:customStyle="1" w:styleId="SubtitleChar">
    <w:name w:val="Subtitle Char"/>
    <w:basedOn w:val="DefaultParagraphFont"/>
    <w:link w:val="Subtitle"/>
    <w:uiPriority w:val="11"/>
    <w:rsid w:val="00E27642"/>
    <w:rPr>
      <w:rFonts w:ascii="Palatino Linotype" w:hAnsi="Palatino Linotype"/>
      <w:color w:val="410099" w:themeColor="accent1"/>
      <w:sz w:val="52"/>
      <w:szCs w:val="52"/>
    </w:rPr>
  </w:style>
  <w:style w:type="table" w:styleId="LightShading-Accent4">
    <w:name w:val="Light Shading Accent 4"/>
    <w:basedOn w:val="TableNormal"/>
    <w:uiPriority w:val="60"/>
    <w:rsid w:val="00746E01"/>
    <w:pPr>
      <w:spacing w:before="0"/>
    </w:pPr>
    <w:rPr>
      <w:color w:val="284AFF" w:themeColor="accent4" w:themeShade="BF"/>
    </w:rPr>
    <w:tblPr>
      <w:tblStyleRowBandSize w:val="1"/>
      <w:tblStyleColBandSize w:val="1"/>
      <w:tblBorders>
        <w:top w:val="single" w:sz="8" w:space="0" w:color="8B9EFF" w:themeColor="accent4"/>
        <w:bottom w:val="single" w:sz="8" w:space="0" w:color="8B9EFF" w:themeColor="accent4"/>
      </w:tblBorders>
    </w:tblPr>
    <w:tblStylePr w:type="firstRow">
      <w:pPr>
        <w:spacing w:before="0" w:after="0" w:line="240" w:lineRule="auto"/>
      </w:pPr>
      <w:rPr>
        <w:b/>
        <w:bCs/>
      </w:rPr>
      <w:tblPr/>
      <w:tcPr>
        <w:tcBorders>
          <w:top w:val="single" w:sz="8" w:space="0" w:color="8B9EFF" w:themeColor="accent4"/>
          <w:left w:val="nil"/>
          <w:bottom w:val="single" w:sz="8" w:space="0" w:color="8B9EFF" w:themeColor="accent4"/>
          <w:right w:val="nil"/>
          <w:insideH w:val="nil"/>
          <w:insideV w:val="nil"/>
        </w:tcBorders>
      </w:tcPr>
    </w:tblStylePr>
    <w:tblStylePr w:type="lastRow">
      <w:pPr>
        <w:spacing w:before="0" w:after="0" w:line="240" w:lineRule="auto"/>
      </w:pPr>
      <w:rPr>
        <w:b/>
        <w:bCs/>
      </w:rPr>
      <w:tblPr/>
      <w:tcPr>
        <w:tcBorders>
          <w:top w:val="single" w:sz="8" w:space="0" w:color="8B9EFF" w:themeColor="accent4"/>
          <w:left w:val="nil"/>
          <w:bottom w:val="single" w:sz="8" w:space="0" w:color="8B9EFF"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2E6FF" w:themeFill="accent4" w:themeFillTint="3F"/>
      </w:tcPr>
    </w:tblStylePr>
    <w:tblStylePr w:type="band1Horz">
      <w:tblPr/>
      <w:tcPr>
        <w:tcBorders>
          <w:left w:val="nil"/>
          <w:right w:val="nil"/>
          <w:insideH w:val="nil"/>
          <w:insideV w:val="nil"/>
        </w:tcBorders>
        <w:shd w:val="clear" w:color="auto" w:fill="E2E6FF" w:themeFill="accent4" w:themeFillTint="3F"/>
      </w:tcPr>
    </w:tblStylePr>
  </w:style>
  <w:style w:type="table" w:styleId="LightShading-Accent6">
    <w:name w:val="Light Shading Accent 6"/>
    <w:basedOn w:val="TableNormal"/>
    <w:uiPriority w:val="60"/>
    <w:rsid w:val="00746E01"/>
    <w:pPr>
      <w:spacing w:before="0"/>
    </w:pPr>
    <w:rPr>
      <w:color w:val="BF5800" w:themeColor="accent6" w:themeShade="BF"/>
    </w:rPr>
    <w:tblPr>
      <w:tblStyleRowBandSize w:val="1"/>
      <w:tblStyleColBandSize w:val="1"/>
      <w:tblBorders>
        <w:top w:val="single" w:sz="8" w:space="0" w:color="FF7600" w:themeColor="accent6"/>
        <w:bottom w:val="single" w:sz="8" w:space="0" w:color="FF7600" w:themeColor="accent6"/>
      </w:tblBorders>
    </w:tblPr>
    <w:tblStylePr w:type="firstRow">
      <w:pPr>
        <w:spacing w:before="0" w:after="0" w:line="240" w:lineRule="auto"/>
      </w:pPr>
      <w:rPr>
        <w:b/>
        <w:bCs/>
      </w:rPr>
      <w:tblPr/>
      <w:tcPr>
        <w:tcBorders>
          <w:top w:val="single" w:sz="8" w:space="0" w:color="FF7600" w:themeColor="accent6"/>
          <w:left w:val="nil"/>
          <w:bottom w:val="single" w:sz="8" w:space="0" w:color="FF7600" w:themeColor="accent6"/>
          <w:right w:val="nil"/>
          <w:insideH w:val="nil"/>
          <w:insideV w:val="nil"/>
        </w:tcBorders>
      </w:tcPr>
    </w:tblStylePr>
    <w:tblStylePr w:type="lastRow">
      <w:pPr>
        <w:spacing w:before="0" w:after="0" w:line="240" w:lineRule="auto"/>
      </w:pPr>
      <w:rPr>
        <w:b/>
        <w:bCs/>
      </w:rPr>
      <w:tblPr/>
      <w:tcPr>
        <w:tcBorders>
          <w:top w:val="single" w:sz="8" w:space="0" w:color="FF7600" w:themeColor="accent6"/>
          <w:left w:val="nil"/>
          <w:bottom w:val="single" w:sz="8" w:space="0" w:color="FF7600"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DDC0" w:themeFill="accent6" w:themeFillTint="3F"/>
      </w:tcPr>
    </w:tblStylePr>
    <w:tblStylePr w:type="band1Horz">
      <w:tblPr/>
      <w:tcPr>
        <w:tcBorders>
          <w:left w:val="nil"/>
          <w:right w:val="nil"/>
          <w:insideH w:val="nil"/>
          <w:insideV w:val="nil"/>
        </w:tcBorders>
        <w:shd w:val="clear" w:color="auto" w:fill="FFDDC0" w:themeFill="accent6" w:themeFillTint="3F"/>
      </w:tcPr>
    </w:tblStylePr>
  </w:style>
  <w:style w:type="paragraph" w:styleId="TOC4">
    <w:name w:val="toc 4"/>
    <w:basedOn w:val="Normal"/>
    <w:next w:val="Normal"/>
    <w:uiPriority w:val="39"/>
    <w:rsid w:val="009F4940"/>
    <w:pPr>
      <w:tabs>
        <w:tab w:val="right" w:leader="dot" w:pos="9016"/>
      </w:tabs>
      <w:spacing w:after="100"/>
      <w:ind w:left="1276"/>
    </w:pPr>
    <w:rPr>
      <w:noProof/>
    </w:rPr>
  </w:style>
  <w:style w:type="paragraph" w:styleId="TOC5">
    <w:name w:val="toc 5"/>
    <w:basedOn w:val="Normal"/>
    <w:next w:val="Normal"/>
    <w:uiPriority w:val="39"/>
    <w:rsid w:val="009F4940"/>
    <w:pPr>
      <w:tabs>
        <w:tab w:val="right" w:leader="dot" w:pos="9016"/>
      </w:tabs>
      <w:spacing w:after="100"/>
      <w:ind w:left="1701"/>
    </w:pPr>
    <w:rPr>
      <w:noProof/>
    </w:rPr>
  </w:style>
  <w:style w:type="paragraph" w:styleId="TOC6">
    <w:name w:val="toc 6"/>
    <w:basedOn w:val="Normal"/>
    <w:next w:val="Normal"/>
    <w:uiPriority w:val="39"/>
    <w:rsid w:val="009F4940"/>
    <w:pPr>
      <w:tabs>
        <w:tab w:val="right" w:leader="dot" w:pos="9016"/>
      </w:tabs>
      <w:spacing w:after="100"/>
      <w:ind w:left="2127"/>
    </w:pPr>
    <w:rPr>
      <w:noProof/>
    </w:rPr>
  </w:style>
  <w:style w:type="paragraph" w:styleId="TOC7">
    <w:name w:val="toc 7"/>
    <w:basedOn w:val="Normal"/>
    <w:next w:val="Normal"/>
    <w:uiPriority w:val="39"/>
    <w:rsid w:val="009F4940"/>
    <w:pPr>
      <w:tabs>
        <w:tab w:val="right" w:leader="dot" w:pos="9016"/>
      </w:tabs>
      <w:spacing w:after="100"/>
      <w:ind w:left="2552"/>
    </w:pPr>
    <w:rPr>
      <w:noProof/>
    </w:rPr>
  </w:style>
  <w:style w:type="paragraph" w:styleId="TableofAuthorities">
    <w:name w:val="table of authorities"/>
    <w:basedOn w:val="Normal"/>
    <w:next w:val="Normal"/>
    <w:uiPriority w:val="99"/>
    <w:unhideWhenUsed/>
    <w:rsid w:val="00B60F5D"/>
    <w:pPr>
      <w:ind w:left="220" w:hanging="220"/>
    </w:pPr>
  </w:style>
  <w:style w:type="table" w:customStyle="1" w:styleId="LightShading1">
    <w:name w:val="Light Shading1"/>
    <w:basedOn w:val="TableNormal"/>
    <w:next w:val="LightShading"/>
    <w:uiPriority w:val="60"/>
    <w:rsid w:val="00C53B5A"/>
    <w:pPr>
      <w:spacing w:before="120" w:after="120"/>
    </w:pPr>
    <w:rPr>
      <w:color w:val="000000" w:themeColor="text1" w:themeShade="BF"/>
      <w:sz w:val="20"/>
    </w:rPr>
    <w:tblPr>
      <w:tblBorders>
        <w:top w:val="single" w:sz="4" w:space="0" w:color="D5D6D2" w:themeColor="background2"/>
        <w:bottom w:val="single" w:sz="4" w:space="0" w:color="D5D6D2" w:themeColor="background2"/>
        <w:insideH w:val="single" w:sz="4" w:space="0" w:color="D5D6D2" w:themeColor="background2"/>
      </w:tblBorders>
    </w:tblPr>
    <w:tcPr>
      <w:shd w:val="clear" w:color="auto" w:fill="auto"/>
    </w:tcPr>
    <w:tblStylePr w:type="firstRow">
      <w:pPr>
        <w:wordWrap/>
        <w:spacing w:beforeLines="0" w:before="120" w:beforeAutospacing="0" w:afterLines="0" w:after="120" w:afterAutospacing="0" w:line="240" w:lineRule="auto"/>
      </w:pPr>
      <w:rPr>
        <w:rFonts w:ascii="Arial" w:hAnsi="Arial"/>
        <w:b/>
        <w:bCs/>
        <w:sz w:val="20"/>
      </w:rPr>
      <w:tblPr/>
      <w:tcPr>
        <w:tcBorders>
          <w:top w:val="single" w:sz="8" w:space="0" w:color="000000" w:themeColor="text1"/>
          <w:left w:val="nil"/>
          <w:bottom w:val="single" w:sz="8" w:space="0" w:color="000000" w:themeColor="text1"/>
          <w:right w:val="nil"/>
          <w:insideH w:val="nil"/>
          <w:insideV w:val="nil"/>
        </w:tcBorders>
        <w:shd w:val="clear" w:color="auto" w:fill="auto"/>
      </w:tcPr>
    </w:tblStylePr>
    <w:tblStylePr w:type="lastRow">
      <w:pPr>
        <w:wordWrap/>
        <w:spacing w:beforeLines="0" w:before="120" w:beforeAutospacing="0" w:afterLines="0" w:after="120" w:afterAutospacing="0" w:line="240" w:lineRule="auto"/>
      </w:pPr>
      <w:rPr>
        <w:rFonts w:ascii="Arial" w:hAnsi="Arial"/>
        <w:b/>
        <w:bCs/>
        <w:sz w:val="20"/>
      </w:rPr>
      <w:tblPr/>
      <w:tcPr>
        <w:tcBorders>
          <w:top w:val="single" w:sz="8" w:space="0" w:color="000000" w:themeColor="text1"/>
          <w:left w:val="nil"/>
          <w:bottom w:val="single" w:sz="8" w:space="0" w:color="000000" w:themeColor="text1"/>
          <w:right w:val="nil"/>
          <w:insideH w:val="nil"/>
          <w:insideV w:val="nil"/>
        </w:tcBorders>
        <w:vAlign w:val="center"/>
      </w:tcPr>
    </w:tblStylePr>
    <w:tblStylePr w:type="firstCol">
      <w:rPr>
        <w:b/>
        <w:bCs/>
        <w:sz w:val="20"/>
      </w:rPr>
    </w:tblStylePr>
    <w:tblStylePr w:type="lastCol">
      <w:rPr>
        <w:b/>
        <w:bCs/>
      </w:rPr>
    </w:tblStylePr>
  </w:style>
  <w:style w:type="table" w:styleId="LightList-Accent2">
    <w:name w:val="Light List Accent 2"/>
    <w:basedOn w:val="TableNormal"/>
    <w:uiPriority w:val="61"/>
    <w:rsid w:val="009661DE"/>
    <w:pPr>
      <w:spacing w:before="0"/>
    </w:pPr>
    <w:tblPr>
      <w:tblStyleRowBandSize w:val="1"/>
      <w:tblStyleColBandSize w:val="1"/>
      <w:tblBorders>
        <w:top w:val="single" w:sz="8" w:space="0" w:color="1CCFC9" w:themeColor="accent2"/>
        <w:left w:val="single" w:sz="8" w:space="0" w:color="1CCFC9" w:themeColor="accent2"/>
        <w:bottom w:val="single" w:sz="8" w:space="0" w:color="1CCFC9" w:themeColor="accent2"/>
        <w:right w:val="single" w:sz="8" w:space="0" w:color="1CCFC9" w:themeColor="accent2"/>
      </w:tblBorders>
    </w:tblPr>
    <w:tblStylePr w:type="firstRow">
      <w:pPr>
        <w:spacing w:before="0" w:after="0" w:line="240" w:lineRule="auto"/>
      </w:pPr>
      <w:rPr>
        <w:b/>
        <w:bCs/>
        <w:color w:val="FFFFFF" w:themeColor="background1"/>
      </w:rPr>
      <w:tblPr/>
      <w:tcPr>
        <w:shd w:val="clear" w:color="auto" w:fill="1CCFC9" w:themeFill="accent2"/>
      </w:tcPr>
    </w:tblStylePr>
    <w:tblStylePr w:type="lastRow">
      <w:pPr>
        <w:spacing w:before="0" w:after="0" w:line="240" w:lineRule="auto"/>
      </w:pPr>
      <w:rPr>
        <w:b/>
        <w:bCs/>
      </w:rPr>
      <w:tblPr/>
      <w:tcPr>
        <w:tcBorders>
          <w:top w:val="double" w:sz="6" w:space="0" w:color="1CCFC9" w:themeColor="accent2"/>
          <w:left w:val="single" w:sz="8" w:space="0" w:color="1CCFC9" w:themeColor="accent2"/>
          <w:bottom w:val="single" w:sz="8" w:space="0" w:color="1CCFC9" w:themeColor="accent2"/>
          <w:right w:val="single" w:sz="8" w:space="0" w:color="1CCFC9" w:themeColor="accent2"/>
        </w:tcBorders>
      </w:tcPr>
    </w:tblStylePr>
    <w:tblStylePr w:type="firstCol">
      <w:rPr>
        <w:b/>
        <w:bCs/>
      </w:rPr>
    </w:tblStylePr>
    <w:tblStylePr w:type="lastCol">
      <w:rPr>
        <w:b/>
        <w:bCs/>
      </w:rPr>
    </w:tblStylePr>
    <w:tblStylePr w:type="band1Vert">
      <w:tblPr/>
      <w:tcPr>
        <w:tcBorders>
          <w:top w:val="single" w:sz="8" w:space="0" w:color="1CCFC9" w:themeColor="accent2"/>
          <w:left w:val="single" w:sz="8" w:space="0" w:color="1CCFC9" w:themeColor="accent2"/>
          <w:bottom w:val="single" w:sz="8" w:space="0" w:color="1CCFC9" w:themeColor="accent2"/>
          <w:right w:val="single" w:sz="8" w:space="0" w:color="1CCFC9" w:themeColor="accent2"/>
        </w:tcBorders>
      </w:tcPr>
    </w:tblStylePr>
    <w:tblStylePr w:type="band1Horz">
      <w:tblPr/>
      <w:tcPr>
        <w:tcBorders>
          <w:top w:val="single" w:sz="8" w:space="0" w:color="1CCFC9" w:themeColor="accent2"/>
          <w:left w:val="single" w:sz="8" w:space="0" w:color="1CCFC9" w:themeColor="accent2"/>
          <w:bottom w:val="single" w:sz="8" w:space="0" w:color="1CCFC9" w:themeColor="accent2"/>
          <w:right w:val="single" w:sz="8" w:space="0" w:color="1CCFC9" w:themeColor="accent2"/>
        </w:tcBorders>
      </w:tcPr>
    </w:tblStylePr>
  </w:style>
  <w:style w:type="table" w:styleId="LightList-Accent4">
    <w:name w:val="Light List Accent 4"/>
    <w:basedOn w:val="TableNormal"/>
    <w:uiPriority w:val="61"/>
    <w:rsid w:val="009661DE"/>
    <w:pPr>
      <w:spacing w:before="0"/>
    </w:pPr>
    <w:tblPr>
      <w:tblStyleRowBandSize w:val="1"/>
      <w:tblStyleColBandSize w:val="1"/>
      <w:tblBorders>
        <w:top w:val="single" w:sz="8" w:space="0" w:color="8B9EFF" w:themeColor="accent4"/>
        <w:left w:val="single" w:sz="8" w:space="0" w:color="8B9EFF" w:themeColor="accent4"/>
        <w:bottom w:val="single" w:sz="8" w:space="0" w:color="8B9EFF" w:themeColor="accent4"/>
        <w:right w:val="single" w:sz="8" w:space="0" w:color="8B9EFF" w:themeColor="accent4"/>
      </w:tblBorders>
    </w:tblPr>
    <w:tblStylePr w:type="firstRow">
      <w:pPr>
        <w:spacing w:before="0" w:after="0" w:line="240" w:lineRule="auto"/>
      </w:pPr>
      <w:rPr>
        <w:b/>
        <w:bCs/>
        <w:color w:val="FFFFFF" w:themeColor="background1"/>
      </w:rPr>
      <w:tblPr/>
      <w:tcPr>
        <w:shd w:val="clear" w:color="auto" w:fill="8B9EFF" w:themeFill="accent4"/>
      </w:tcPr>
    </w:tblStylePr>
    <w:tblStylePr w:type="lastRow">
      <w:pPr>
        <w:spacing w:before="0" w:after="0" w:line="240" w:lineRule="auto"/>
      </w:pPr>
      <w:rPr>
        <w:b/>
        <w:bCs/>
      </w:rPr>
      <w:tblPr/>
      <w:tcPr>
        <w:tcBorders>
          <w:top w:val="double" w:sz="6" w:space="0" w:color="8B9EFF" w:themeColor="accent4"/>
          <w:left w:val="single" w:sz="8" w:space="0" w:color="8B9EFF" w:themeColor="accent4"/>
          <w:bottom w:val="single" w:sz="8" w:space="0" w:color="8B9EFF" w:themeColor="accent4"/>
          <w:right w:val="single" w:sz="8" w:space="0" w:color="8B9EFF" w:themeColor="accent4"/>
        </w:tcBorders>
      </w:tcPr>
    </w:tblStylePr>
    <w:tblStylePr w:type="firstCol">
      <w:rPr>
        <w:b/>
        <w:bCs/>
      </w:rPr>
    </w:tblStylePr>
    <w:tblStylePr w:type="lastCol">
      <w:rPr>
        <w:b/>
        <w:bCs/>
      </w:rPr>
    </w:tblStylePr>
    <w:tblStylePr w:type="band1Vert">
      <w:tblPr/>
      <w:tcPr>
        <w:tcBorders>
          <w:top w:val="single" w:sz="8" w:space="0" w:color="8B9EFF" w:themeColor="accent4"/>
          <w:left w:val="single" w:sz="8" w:space="0" w:color="8B9EFF" w:themeColor="accent4"/>
          <w:bottom w:val="single" w:sz="8" w:space="0" w:color="8B9EFF" w:themeColor="accent4"/>
          <w:right w:val="single" w:sz="8" w:space="0" w:color="8B9EFF" w:themeColor="accent4"/>
        </w:tcBorders>
      </w:tcPr>
    </w:tblStylePr>
    <w:tblStylePr w:type="band1Horz">
      <w:tblPr/>
      <w:tcPr>
        <w:tcBorders>
          <w:top w:val="single" w:sz="8" w:space="0" w:color="8B9EFF" w:themeColor="accent4"/>
          <w:left w:val="single" w:sz="8" w:space="0" w:color="8B9EFF" w:themeColor="accent4"/>
          <w:bottom w:val="single" w:sz="8" w:space="0" w:color="8B9EFF" w:themeColor="accent4"/>
          <w:right w:val="single" w:sz="8" w:space="0" w:color="8B9EFF" w:themeColor="accent4"/>
        </w:tcBorders>
      </w:tcPr>
    </w:tblStylePr>
  </w:style>
  <w:style w:type="table" w:styleId="LightList-Accent6">
    <w:name w:val="Light List Accent 6"/>
    <w:basedOn w:val="TableNormal"/>
    <w:uiPriority w:val="61"/>
    <w:rsid w:val="009661DE"/>
    <w:pPr>
      <w:spacing w:before="0"/>
    </w:pPr>
    <w:tblPr>
      <w:tblStyleRowBandSize w:val="1"/>
      <w:tblStyleColBandSize w:val="1"/>
      <w:tblBorders>
        <w:top w:val="single" w:sz="8" w:space="0" w:color="FF7600" w:themeColor="accent6"/>
        <w:left w:val="single" w:sz="8" w:space="0" w:color="FF7600" w:themeColor="accent6"/>
        <w:bottom w:val="single" w:sz="8" w:space="0" w:color="FF7600" w:themeColor="accent6"/>
        <w:right w:val="single" w:sz="8" w:space="0" w:color="FF7600" w:themeColor="accent6"/>
      </w:tblBorders>
    </w:tblPr>
    <w:tblStylePr w:type="firstRow">
      <w:pPr>
        <w:spacing w:before="0" w:after="0" w:line="240" w:lineRule="auto"/>
      </w:pPr>
      <w:rPr>
        <w:b/>
        <w:bCs/>
        <w:color w:val="FFFFFF" w:themeColor="background1"/>
      </w:rPr>
      <w:tblPr/>
      <w:tcPr>
        <w:shd w:val="clear" w:color="auto" w:fill="FF7600" w:themeFill="accent6"/>
      </w:tcPr>
    </w:tblStylePr>
    <w:tblStylePr w:type="lastRow">
      <w:pPr>
        <w:spacing w:before="0" w:after="0" w:line="240" w:lineRule="auto"/>
      </w:pPr>
      <w:rPr>
        <w:b/>
        <w:bCs/>
      </w:rPr>
      <w:tblPr/>
      <w:tcPr>
        <w:tcBorders>
          <w:top w:val="double" w:sz="6" w:space="0" w:color="FF7600" w:themeColor="accent6"/>
          <w:left w:val="single" w:sz="8" w:space="0" w:color="FF7600" w:themeColor="accent6"/>
          <w:bottom w:val="single" w:sz="8" w:space="0" w:color="FF7600" w:themeColor="accent6"/>
          <w:right w:val="single" w:sz="8" w:space="0" w:color="FF7600" w:themeColor="accent6"/>
        </w:tcBorders>
      </w:tcPr>
    </w:tblStylePr>
    <w:tblStylePr w:type="firstCol">
      <w:rPr>
        <w:b/>
        <w:bCs/>
      </w:rPr>
    </w:tblStylePr>
    <w:tblStylePr w:type="lastCol">
      <w:rPr>
        <w:b/>
        <w:bCs/>
      </w:rPr>
    </w:tblStylePr>
    <w:tblStylePr w:type="band1Vert">
      <w:tblPr/>
      <w:tcPr>
        <w:tcBorders>
          <w:top w:val="single" w:sz="8" w:space="0" w:color="FF7600" w:themeColor="accent6"/>
          <w:left w:val="single" w:sz="8" w:space="0" w:color="FF7600" w:themeColor="accent6"/>
          <w:bottom w:val="single" w:sz="8" w:space="0" w:color="FF7600" w:themeColor="accent6"/>
          <w:right w:val="single" w:sz="8" w:space="0" w:color="FF7600" w:themeColor="accent6"/>
        </w:tcBorders>
      </w:tcPr>
    </w:tblStylePr>
    <w:tblStylePr w:type="band1Horz">
      <w:tblPr/>
      <w:tcPr>
        <w:tcBorders>
          <w:top w:val="single" w:sz="8" w:space="0" w:color="FF7600" w:themeColor="accent6"/>
          <w:left w:val="single" w:sz="8" w:space="0" w:color="FF7600" w:themeColor="accent6"/>
          <w:bottom w:val="single" w:sz="8" w:space="0" w:color="FF7600" w:themeColor="accent6"/>
          <w:right w:val="single" w:sz="8" w:space="0" w:color="FF7600" w:themeColor="accent6"/>
        </w:tcBorders>
      </w:tcPr>
    </w:tblStylePr>
  </w:style>
  <w:style w:type="table" w:styleId="LightGrid">
    <w:name w:val="Light Grid"/>
    <w:basedOn w:val="TableNormal"/>
    <w:uiPriority w:val="62"/>
    <w:rsid w:val="009661DE"/>
    <w:pPr>
      <w:spacing w:before="0"/>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9661DE"/>
    <w:pPr>
      <w:spacing w:before="0"/>
    </w:pPr>
    <w:tblPr>
      <w:tblStyleRowBandSize w:val="1"/>
      <w:tblStyleColBandSize w:val="1"/>
      <w:tblBorders>
        <w:top w:val="single" w:sz="8" w:space="0" w:color="410099" w:themeColor="accent1"/>
        <w:left w:val="single" w:sz="8" w:space="0" w:color="410099" w:themeColor="accent1"/>
        <w:bottom w:val="single" w:sz="8" w:space="0" w:color="410099" w:themeColor="accent1"/>
        <w:right w:val="single" w:sz="8" w:space="0" w:color="410099" w:themeColor="accent1"/>
        <w:insideH w:val="single" w:sz="8" w:space="0" w:color="410099" w:themeColor="accent1"/>
        <w:insideV w:val="single" w:sz="8" w:space="0" w:color="410099"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10099" w:themeColor="accent1"/>
          <w:left w:val="single" w:sz="8" w:space="0" w:color="410099" w:themeColor="accent1"/>
          <w:bottom w:val="single" w:sz="18" w:space="0" w:color="410099" w:themeColor="accent1"/>
          <w:right w:val="single" w:sz="8" w:space="0" w:color="410099" w:themeColor="accent1"/>
          <w:insideH w:val="nil"/>
          <w:insideV w:val="single" w:sz="8" w:space="0" w:color="410099"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10099" w:themeColor="accent1"/>
          <w:left w:val="single" w:sz="8" w:space="0" w:color="410099" w:themeColor="accent1"/>
          <w:bottom w:val="single" w:sz="8" w:space="0" w:color="410099" w:themeColor="accent1"/>
          <w:right w:val="single" w:sz="8" w:space="0" w:color="410099" w:themeColor="accent1"/>
          <w:insideH w:val="nil"/>
          <w:insideV w:val="single" w:sz="8" w:space="0" w:color="410099"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10099" w:themeColor="accent1"/>
          <w:left w:val="single" w:sz="8" w:space="0" w:color="410099" w:themeColor="accent1"/>
          <w:bottom w:val="single" w:sz="8" w:space="0" w:color="410099" w:themeColor="accent1"/>
          <w:right w:val="single" w:sz="8" w:space="0" w:color="410099" w:themeColor="accent1"/>
        </w:tcBorders>
      </w:tcPr>
    </w:tblStylePr>
    <w:tblStylePr w:type="band1Vert">
      <w:tblPr/>
      <w:tcPr>
        <w:tcBorders>
          <w:top w:val="single" w:sz="8" w:space="0" w:color="410099" w:themeColor="accent1"/>
          <w:left w:val="single" w:sz="8" w:space="0" w:color="410099" w:themeColor="accent1"/>
          <w:bottom w:val="single" w:sz="8" w:space="0" w:color="410099" w:themeColor="accent1"/>
          <w:right w:val="single" w:sz="8" w:space="0" w:color="410099" w:themeColor="accent1"/>
        </w:tcBorders>
        <w:shd w:val="clear" w:color="auto" w:fill="CCA6FF" w:themeFill="accent1" w:themeFillTint="3F"/>
      </w:tcPr>
    </w:tblStylePr>
    <w:tblStylePr w:type="band1Horz">
      <w:tblPr/>
      <w:tcPr>
        <w:tcBorders>
          <w:top w:val="single" w:sz="8" w:space="0" w:color="410099" w:themeColor="accent1"/>
          <w:left w:val="single" w:sz="8" w:space="0" w:color="410099" w:themeColor="accent1"/>
          <w:bottom w:val="single" w:sz="8" w:space="0" w:color="410099" w:themeColor="accent1"/>
          <w:right w:val="single" w:sz="8" w:space="0" w:color="410099" w:themeColor="accent1"/>
          <w:insideV w:val="single" w:sz="8" w:space="0" w:color="410099" w:themeColor="accent1"/>
        </w:tcBorders>
        <w:shd w:val="clear" w:color="auto" w:fill="CCA6FF" w:themeFill="accent1" w:themeFillTint="3F"/>
      </w:tcPr>
    </w:tblStylePr>
    <w:tblStylePr w:type="band2Horz">
      <w:tblPr/>
      <w:tcPr>
        <w:tcBorders>
          <w:top w:val="single" w:sz="8" w:space="0" w:color="410099" w:themeColor="accent1"/>
          <w:left w:val="single" w:sz="8" w:space="0" w:color="410099" w:themeColor="accent1"/>
          <w:bottom w:val="single" w:sz="8" w:space="0" w:color="410099" w:themeColor="accent1"/>
          <w:right w:val="single" w:sz="8" w:space="0" w:color="410099" w:themeColor="accent1"/>
          <w:insideV w:val="single" w:sz="8" w:space="0" w:color="410099" w:themeColor="accent1"/>
        </w:tcBorders>
      </w:tcPr>
    </w:tblStylePr>
  </w:style>
  <w:style w:type="table" w:styleId="LightGrid-Accent2">
    <w:name w:val="Light Grid Accent 2"/>
    <w:basedOn w:val="TableNormal"/>
    <w:uiPriority w:val="62"/>
    <w:rsid w:val="009661DE"/>
    <w:pPr>
      <w:spacing w:before="0"/>
    </w:pPr>
    <w:tblPr>
      <w:tblStyleRowBandSize w:val="1"/>
      <w:tblStyleColBandSize w:val="1"/>
      <w:tblBorders>
        <w:top w:val="single" w:sz="8" w:space="0" w:color="1CCFC9" w:themeColor="accent2"/>
        <w:left w:val="single" w:sz="8" w:space="0" w:color="1CCFC9" w:themeColor="accent2"/>
        <w:bottom w:val="single" w:sz="8" w:space="0" w:color="1CCFC9" w:themeColor="accent2"/>
        <w:right w:val="single" w:sz="8" w:space="0" w:color="1CCFC9" w:themeColor="accent2"/>
        <w:insideH w:val="single" w:sz="8" w:space="0" w:color="1CCFC9" w:themeColor="accent2"/>
        <w:insideV w:val="single" w:sz="8" w:space="0" w:color="1CCFC9"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CCFC9" w:themeColor="accent2"/>
          <w:left w:val="single" w:sz="8" w:space="0" w:color="1CCFC9" w:themeColor="accent2"/>
          <w:bottom w:val="single" w:sz="18" w:space="0" w:color="1CCFC9" w:themeColor="accent2"/>
          <w:right w:val="single" w:sz="8" w:space="0" w:color="1CCFC9" w:themeColor="accent2"/>
          <w:insideH w:val="nil"/>
          <w:insideV w:val="single" w:sz="8" w:space="0" w:color="1CCFC9"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CCFC9" w:themeColor="accent2"/>
          <w:left w:val="single" w:sz="8" w:space="0" w:color="1CCFC9" w:themeColor="accent2"/>
          <w:bottom w:val="single" w:sz="8" w:space="0" w:color="1CCFC9" w:themeColor="accent2"/>
          <w:right w:val="single" w:sz="8" w:space="0" w:color="1CCFC9" w:themeColor="accent2"/>
          <w:insideH w:val="nil"/>
          <w:insideV w:val="single" w:sz="8" w:space="0" w:color="1CCFC9"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CCFC9" w:themeColor="accent2"/>
          <w:left w:val="single" w:sz="8" w:space="0" w:color="1CCFC9" w:themeColor="accent2"/>
          <w:bottom w:val="single" w:sz="8" w:space="0" w:color="1CCFC9" w:themeColor="accent2"/>
          <w:right w:val="single" w:sz="8" w:space="0" w:color="1CCFC9" w:themeColor="accent2"/>
        </w:tcBorders>
      </w:tcPr>
    </w:tblStylePr>
    <w:tblStylePr w:type="band1Vert">
      <w:tblPr/>
      <w:tcPr>
        <w:tcBorders>
          <w:top w:val="single" w:sz="8" w:space="0" w:color="1CCFC9" w:themeColor="accent2"/>
          <w:left w:val="single" w:sz="8" w:space="0" w:color="1CCFC9" w:themeColor="accent2"/>
          <w:bottom w:val="single" w:sz="8" w:space="0" w:color="1CCFC9" w:themeColor="accent2"/>
          <w:right w:val="single" w:sz="8" w:space="0" w:color="1CCFC9" w:themeColor="accent2"/>
        </w:tcBorders>
        <w:shd w:val="clear" w:color="auto" w:fill="C3F7F5" w:themeFill="accent2" w:themeFillTint="3F"/>
      </w:tcPr>
    </w:tblStylePr>
    <w:tblStylePr w:type="band1Horz">
      <w:tblPr/>
      <w:tcPr>
        <w:tcBorders>
          <w:top w:val="single" w:sz="8" w:space="0" w:color="1CCFC9" w:themeColor="accent2"/>
          <w:left w:val="single" w:sz="8" w:space="0" w:color="1CCFC9" w:themeColor="accent2"/>
          <w:bottom w:val="single" w:sz="8" w:space="0" w:color="1CCFC9" w:themeColor="accent2"/>
          <w:right w:val="single" w:sz="8" w:space="0" w:color="1CCFC9" w:themeColor="accent2"/>
          <w:insideV w:val="single" w:sz="8" w:space="0" w:color="1CCFC9" w:themeColor="accent2"/>
        </w:tcBorders>
        <w:shd w:val="clear" w:color="auto" w:fill="C3F7F5" w:themeFill="accent2" w:themeFillTint="3F"/>
      </w:tcPr>
    </w:tblStylePr>
    <w:tblStylePr w:type="band2Horz">
      <w:tblPr/>
      <w:tcPr>
        <w:tcBorders>
          <w:top w:val="single" w:sz="8" w:space="0" w:color="1CCFC9" w:themeColor="accent2"/>
          <w:left w:val="single" w:sz="8" w:space="0" w:color="1CCFC9" w:themeColor="accent2"/>
          <w:bottom w:val="single" w:sz="8" w:space="0" w:color="1CCFC9" w:themeColor="accent2"/>
          <w:right w:val="single" w:sz="8" w:space="0" w:color="1CCFC9" w:themeColor="accent2"/>
          <w:insideV w:val="single" w:sz="8" w:space="0" w:color="1CCFC9" w:themeColor="accent2"/>
        </w:tcBorders>
      </w:tcPr>
    </w:tblStylePr>
  </w:style>
  <w:style w:type="table" w:styleId="LightGrid-Accent4">
    <w:name w:val="Light Grid Accent 4"/>
    <w:basedOn w:val="TableNormal"/>
    <w:uiPriority w:val="62"/>
    <w:rsid w:val="009661DE"/>
    <w:pPr>
      <w:spacing w:before="0"/>
    </w:pPr>
    <w:tblPr>
      <w:tblStyleRowBandSize w:val="1"/>
      <w:tblStyleColBandSize w:val="1"/>
      <w:tblBorders>
        <w:top w:val="single" w:sz="8" w:space="0" w:color="8B9EFF" w:themeColor="accent4"/>
        <w:left w:val="single" w:sz="8" w:space="0" w:color="8B9EFF" w:themeColor="accent4"/>
        <w:bottom w:val="single" w:sz="8" w:space="0" w:color="8B9EFF" w:themeColor="accent4"/>
        <w:right w:val="single" w:sz="8" w:space="0" w:color="8B9EFF" w:themeColor="accent4"/>
        <w:insideH w:val="single" w:sz="8" w:space="0" w:color="8B9EFF" w:themeColor="accent4"/>
        <w:insideV w:val="single" w:sz="8" w:space="0" w:color="8B9EFF"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B9EFF" w:themeColor="accent4"/>
          <w:left w:val="single" w:sz="8" w:space="0" w:color="8B9EFF" w:themeColor="accent4"/>
          <w:bottom w:val="single" w:sz="18" w:space="0" w:color="8B9EFF" w:themeColor="accent4"/>
          <w:right w:val="single" w:sz="8" w:space="0" w:color="8B9EFF" w:themeColor="accent4"/>
          <w:insideH w:val="nil"/>
          <w:insideV w:val="single" w:sz="8" w:space="0" w:color="8B9EFF"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B9EFF" w:themeColor="accent4"/>
          <w:left w:val="single" w:sz="8" w:space="0" w:color="8B9EFF" w:themeColor="accent4"/>
          <w:bottom w:val="single" w:sz="8" w:space="0" w:color="8B9EFF" w:themeColor="accent4"/>
          <w:right w:val="single" w:sz="8" w:space="0" w:color="8B9EFF" w:themeColor="accent4"/>
          <w:insideH w:val="nil"/>
          <w:insideV w:val="single" w:sz="8" w:space="0" w:color="8B9EFF"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B9EFF" w:themeColor="accent4"/>
          <w:left w:val="single" w:sz="8" w:space="0" w:color="8B9EFF" w:themeColor="accent4"/>
          <w:bottom w:val="single" w:sz="8" w:space="0" w:color="8B9EFF" w:themeColor="accent4"/>
          <w:right w:val="single" w:sz="8" w:space="0" w:color="8B9EFF" w:themeColor="accent4"/>
        </w:tcBorders>
      </w:tcPr>
    </w:tblStylePr>
    <w:tblStylePr w:type="band1Vert">
      <w:tblPr/>
      <w:tcPr>
        <w:tcBorders>
          <w:top w:val="single" w:sz="8" w:space="0" w:color="8B9EFF" w:themeColor="accent4"/>
          <w:left w:val="single" w:sz="8" w:space="0" w:color="8B9EFF" w:themeColor="accent4"/>
          <w:bottom w:val="single" w:sz="8" w:space="0" w:color="8B9EFF" w:themeColor="accent4"/>
          <w:right w:val="single" w:sz="8" w:space="0" w:color="8B9EFF" w:themeColor="accent4"/>
        </w:tcBorders>
        <w:shd w:val="clear" w:color="auto" w:fill="E2E6FF" w:themeFill="accent4" w:themeFillTint="3F"/>
      </w:tcPr>
    </w:tblStylePr>
    <w:tblStylePr w:type="band1Horz">
      <w:tblPr/>
      <w:tcPr>
        <w:tcBorders>
          <w:top w:val="single" w:sz="8" w:space="0" w:color="8B9EFF" w:themeColor="accent4"/>
          <w:left w:val="single" w:sz="8" w:space="0" w:color="8B9EFF" w:themeColor="accent4"/>
          <w:bottom w:val="single" w:sz="8" w:space="0" w:color="8B9EFF" w:themeColor="accent4"/>
          <w:right w:val="single" w:sz="8" w:space="0" w:color="8B9EFF" w:themeColor="accent4"/>
          <w:insideV w:val="single" w:sz="8" w:space="0" w:color="8B9EFF" w:themeColor="accent4"/>
        </w:tcBorders>
        <w:shd w:val="clear" w:color="auto" w:fill="E2E6FF" w:themeFill="accent4" w:themeFillTint="3F"/>
      </w:tcPr>
    </w:tblStylePr>
    <w:tblStylePr w:type="band2Horz">
      <w:tblPr/>
      <w:tcPr>
        <w:tcBorders>
          <w:top w:val="single" w:sz="8" w:space="0" w:color="8B9EFF" w:themeColor="accent4"/>
          <w:left w:val="single" w:sz="8" w:space="0" w:color="8B9EFF" w:themeColor="accent4"/>
          <w:bottom w:val="single" w:sz="8" w:space="0" w:color="8B9EFF" w:themeColor="accent4"/>
          <w:right w:val="single" w:sz="8" w:space="0" w:color="8B9EFF" w:themeColor="accent4"/>
          <w:insideV w:val="single" w:sz="8" w:space="0" w:color="8B9EFF" w:themeColor="accent4"/>
        </w:tcBorders>
      </w:tcPr>
    </w:tblStylePr>
  </w:style>
  <w:style w:type="table" w:styleId="LightGrid-Accent5">
    <w:name w:val="Light Grid Accent 5"/>
    <w:basedOn w:val="TableNormal"/>
    <w:uiPriority w:val="62"/>
    <w:rsid w:val="009661DE"/>
    <w:pPr>
      <w:spacing w:before="0"/>
    </w:pPr>
    <w:tblPr>
      <w:tblStyleRowBandSize w:val="1"/>
      <w:tblStyleColBandSize w:val="1"/>
      <w:tblBorders>
        <w:top w:val="single" w:sz="8" w:space="0" w:color="FFC502" w:themeColor="accent5"/>
        <w:left w:val="single" w:sz="8" w:space="0" w:color="FFC502" w:themeColor="accent5"/>
        <w:bottom w:val="single" w:sz="8" w:space="0" w:color="FFC502" w:themeColor="accent5"/>
        <w:right w:val="single" w:sz="8" w:space="0" w:color="FFC502" w:themeColor="accent5"/>
        <w:insideH w:val="single" w:sz="8" w:space="0" w:color="FFC502" w:themeColor="accent5"/>
        <w:insideV w:val="single" w:sz="8" w:space="0" w:color="FFC502"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FC502" w:themeColor="accent5"/>
          <w:left w:val="single" w:sz="8" w:space="0" w:color="FFC502" w:themeColor="accent5"/>
          <w:bottom w:val="single" w:sz="18" w:space="0" w:color="FFC502" w:themeColor="accent5"/>
          <w:right w:val="single" w:sz="8" w:space="0" w:color="FFC502" w:themeColor="accent5"/>
          <w:insideH w:val="nil"/>
          <w:insideV w:val="single" w:sz="8" w:space="0" w:color="FFC502"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FC502" w:themeColor="accent5"/>
          <w:left w:val="single" w:sz="8" w:space="0" w:color="FFC502" w:themeColor="accent5"/>
          <w:bottom w:val="single" w:sz="8" w:space="0" w:color="FFC502" w:themeColor="accent5"/>
          <w:right w:val="single" w:sz="8" w:space="0" w:color="FFC502" w:themeColor="accent5"/>
          <w:insideH w:val="nil"/>
          <w:insideV w:val="single" w:sz="8" w:space="0" w:color="FFC502"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FC502" w:themeColor="accent5"/>
          <w:left w:val="single" w:sz="8" w:space="0" w:color="FFC502" w:themeColor="accent5"/>
          <w:bottom w:val="single" w:sz="8" w:space="0" w:color="FFC502" w:themeColor="accent5"/>
          <w:right w:val="single" w:sz="8" w:space="0" w:color="FFC502" w:themeColor="accent5"/>
        </w:tcBorders>
      </w:tcPr>
    </w:tblStylePr>
    <w:tblStylePr w:type="band1Vert">
      <w:tblPr/>
      <w:tcPr>
        <w:tcBorders>
          <w:top w:val="single" w:sz="8" w:space="0" w:color="FFC502" w:themeColor="accent5"/>
          <w:left w:val="single" w:sz="8" w:space="0" w:color="FFC502" w:themeColor="accent5"/>
          <w:bottom w:val="single" w:sz="8" w:space="0" w:color="FFC502" w:themeColor="accent5"/>
          <w:right w:val="single" w:sz="8" w:space="0" w:color="FFC502" w:themeColor="accent5"/>
        </w:tcBorders>
        <w:shd w:val="clear" w:color="auto" w:fill="FFF0C0" w:themeFill="accent5" w:themeFillTint="3F"/>
      </w:tcPr>
    </w:tblStylePr>
    <w:tblStylePr w:type="band1Horz">
      <w:tblPr/>
      <w:tcPr>
        <w:tcBorders>
          <w:top w:val="single" w:sz="8" w:space="0" w:color="FFC502" w:themeColor="accent5"/>
          <w:left w:val="single" w:sz="8" w:space="0" w:color="FFC502" w:themeColor="accent5"/>
          <w:bottom w:val="single" w:sz="8" w:space="0" w:color="FFC502" w:themeColor="accent5"/>
          <w:right w:val="single" w:sz="8" w:space="0" w:color="FFC502" w:themeColor="accent5"/>
          <w:insideV w:val="single" w:sz="8" w:space="0" w:color="FFC502" w:themeColor="accent5"/>
        </w:tcBorders>
        <w:shd w:val="clear" w:color="auto" w:fill="FFF0C0" w:themeFill="accent5" w:themeFillTint="3F"/>
      </w:tcPr>
    </w:tblStylePr>
    <w:tblStylePr w:type="band2Horz">
      <w:tblPr/>
      <w:tcPr>
        <w:tcBorders>
          <w:top w:val="single" w:sz="8" w:space="0" w:color="FFC502" w:themeColor="accent5"/>
          <w:left w:val="single" w:sz="8" w:space="0" w:color="FFC502" w:themeColor="accent5"/>
          <w:bottom w:val="single" w:sz="8" w:space="0" w:color="FFC502" w:themeColor="accent5"/>
          <w:right w:val="single" w:sz="8" w:space="0" w:color="FFC502" w:themeColor="accent5"/>
          <w:insideV w:val="single" w:sz="8" w:space="0" w:color="FFC502" w:themeColor="accent5"/>
        </w:tcBorders>
      </w:tcPr>
    </w:tblStylePr>
  </w:style>
  <w:style w:type="paragraph" w:customStyle="1" w:styleId="HeaderRight">
    <w:name w:val="Header Right"/>
    <w:basedOn w:val="Header"/>
    <w:uiPriority w:val="35"/>
    <w:qFormat/>
    <w:rsid w:val="00A84F46"/>
    <w:pPr>
      <w:tabs>
        <w:tab w:val="clear" w:pos="4513"/>
        <w:tab w:val="clear" w:pos="9026"/>
        <w:tab w:val="center" w:pos="4320"/>
        <w:tab w:val="right" w:pos="8640"/>
      </w:tabs>
      <w:spacing w:before="0" w:after="200"/>
      <w:jc w:val="right"/>
    </w:pPr>
    <w:rPr>
      <w:rFonts w:asciiTheme="minorHAnsi" w:hAnsiTheme="minorHAnsi" w:cs="Times New Roman"/>
      <w:szCs w:val="20"/>
      <w:lang w:val="en-US" w:eastAsia="ja-JP"/>
    </w:rPr>
  </w:style>
  <w:style w:type="paragraph" w:customStyle="1" w:styleId="Numbered111111111">
    <w:name w:val="Numbered 1.1.1.1.1.1.1.1.1"/>
    <w:basedOn w:val="Heading9"/>
    <w:next w:val="Normal"/>
    <w:uiPriority w:val="2"/>
    <w:rsid w:val="00B60F5D"/>
    <w:pPr>
      <w:numPr>
        <w:ilvl w:val="8"/>
        <w:numId w:val="12"/>
      </w:numPr>
      <w:tabs>
        <w:tab w:val="left" w:pos="2381"/>
      </w:tabs>
      <w:ind w:left="2381" w:hanging="2381"/>
    </w:pPr>
  </w:style>
  <w:style w:type="paragraph" w:styleId="Caption">
    <w:name w:val="caption"/>
    <w:basedOn w:val="Normal"/>
    <w:next w:val="Normal"/>
    <w:uiPriority w:val="35"/>
    <w:unhideWhenUsed/>
    <w:qFormat/>
    <w:rsid w:val="00B1716D"/>
    <w:pPr>
      <w:spacing w:before="240" w:after="120"/>
    </w:pPr>
    <w:rPr>
      <w:b/>
      <w:bCs/>
      <w:sz w:val="24"/>
      <w:szCs w:val="18"/>
    </w:rPr>
  </w:style>
  <w:style w:type="paragraph" w:styleId="List">
    <w:name w:val="List"/>
    <w:basedOn w:val="Normal"/>
    <w:uiPriority w:val="99"/>
    <w:rsid w:val="00E4674F"/>
    <w:pPr>
      <w:tabs>
        <w:tab w:val="left" w:pos="340"/>
      </w:tabs>
      <w:spacing w:before="120"/>
      <w:ind w:left="340" w:hanging="340"/>
    </w:pPr>
  </w:style>
  <w:style w:type="paragraph" w:styleId="List2">
    <w:name w:val="List 2"/>
    <w:basedOn w:val="Normal"/>
    <w:uiPriority w:val="99"/>
    <w:rsid w:val="00E4674F"/>
    <w:pPr>
      <w:tabs>
        <w:tab w:val="left" w:pos="680"/>
      </w:tabs>
      <w:spacing w:before="120"/>
      <w:ind w:left="680" w:hanging="340"/>
    </w:pPr>
  </w:style>
  <w:style w:type="paragraph" w:styleId="List3">
    <w:name w:val="List 3"/>
    <w:basedOn w:val="Normal"/>
    <w:uiPriority w:val="99"/>
    <w:rsid w:val="00E4674F"/>
    <w:pPr>
      <w:tabs>
        <w:tab w:val="left" w:pos="1021"/>
      </w:tabs>
      <w:spacing w:before="120"/>
      <w:ind w:left="1020" w:hanging="340"/>
    </w:pPr>
  </w:style>
  <w:style w:type="paragraph" w:styleId="List4">
    <w:name w:val="List 4"/>
    <w:basedOn w:val="Normal"/>
    <w:uiPriority w:val="99"/>
    <w:rsid w:val="00E4674F"/>
    <w:pPr>
      <w:tabs>
        <w:tab w:val="left" w:pos="1361"/>
      </w:tabs>
      <w:spacing w:before="120"/>
      <w:ind w:left="1361" w:hanging="340"/>
    </w:pPr>
  </w:style>
  <w:style w:type="paragraph" w:styleId="List5">
    <w:name w:val="List 5"/>
    <w:basedOn w:val="Normal"/>
    <w:uiPriority w:val="99"/>
    <w:rsid w:val="00547CCF"/>
    <w:pPr>
      <w:tabs>
        <w:tab w:val="left" w:pos="1701"/>
      </w:tabs>
      <w:spacing w:before="120"/>
      <w:ind w:left="1701" w:hanging="340"/>
    </w:pPr>
  </w:style>
  <w:style w:type="paragraph" w:styleId="ListBullet3">
    <w:name w:val="List Bullet 3"/>
    <w:basedOn w:val="Normal"/>
    <w:uiPriority w:val="99"/>
    <w:rsid w:val="00181223"/>
    <w:pPr>
      <w:numPr>
        <w:numId w:val="4"/>
      </w:numPr>
      <w:tabs>
        <w:tab w:val="clear" w:pos="926"/>
        <w:tab w:val="num" w:pos="1021"/>
      </w:tabs>
      <w:spacing w:before="120"/>
      <w:ind w:left="1020" w:hanging="340"/>
    </w:pPr>
  </w:style>
  <w:style w:type="paragraph" w:styleId="ListBullet4">
    <w:name w:val="List Bullet 4"/>
    <w:basedOn w:val="Normal"/>
    <w:uiPriority w:val="99"/>
    <w:rsid w:val="00547CCF"/>
    <w:pPr>
      <w:numPr>
        <w:numId w:val="5"/>
      </w:numPr>
      <w:tabs>
        <w:tab w:val="clear" w:pos="1209"/>
        <w:tab w:val="num" w:pos="1361"/>
      </w:tabs>
      <w:spacing w:before="120"/>
      <w:ind w:left="1361" w:hanging="340"/>
    </w:pPr>
  </w:style>
  <w:style w:type="paragraph" w:styleId="ListBullet5">
    <w:name w:val="List Bullet 5"/>
    <w:basedOn w:val="Normal"/>
    <w:uiPriority w:val="99"/>
    <w:rsid w:val="00547CCF"/>
    <w:pPr>
      <w:numPr>
        <w:numId w:val="6"/>
      </w:numPr>
      <w:tabs>
        <w:tab w:val="clear" w:pos="1492"/>
        <w:tab w:val="num" w:pos="1701"/>
      </w:tabs>
      <w:spacing w:before="120"/>
      <w:ind w:left="1701" w:hanging="340"/>
    </w:pPr>
  </w:style>
  <w:style w:type="paragraph" w:styleId="ListContinue">
    <w:name w:val="List Continue"/>
    <w:basedOn w:val="Normal"/>
    <w:uiPriority w:val="99"/>
    <w:rsid w:val="00547CCF"/>
    <w:pPr>
      <w:tabs>
        <w:tab w:val="left" w:pos="340"/>
      </w:tabs>
      <w:spacing w:before="120"/>
      <w:ind w:left="340"/>
    </w:pPr>
  </w:style>
  <w:style w:type="paragraph" w:styleId="ListContinue2">
    <w:name w:val="List Continue 2"/>
    <w:basedOn w:val="Normal"/>
    <w:uiPriority w:val="99"/>
    <w:rsid w:val="00547CCF"/>
    <w:pPr>
      <w:tabs>
        <w:tab w:val="left" w:pos="680"/>
      </w:tabs>
      <w:spacing w:before="120"/>
      <w:ind w:left="680"/>
    </w:pPr>
  </w:style>
  <w:style w:type="paragraph" w:styleId="ListContinue3">
    <w:name w:val="List Continue 3"/>
    <w:basedOn w:val="Normal"/>
    <w:uiPriority w:val="99"/>
    <w:rsid w:val="00547CCF"/>
    <w:pPr>
      <w:tabs>
        <w:tab w:val="left" w:pos="1021"/>
      </w:tabs>
      <w:spacing w:before="120"/>
      <w:ind w:left="1021"/>
    </w:pPr>
  </w:style>
  <w:style w:type="paragraph" w:styleId="ListContinue4">
    <w:name w:val="List Continue 4"/>
    <w:basedOn w:val="Normal"/>
    <w:uiPriority w:val="99"/>
    <w:rsid w:val="00DC542F"/>
    <w:pPr>
      <w:tabs>
        <w:tab w:val="left" w:pos="1361"/>
      </w:tabs>
      <w:spacing w:before="120"/>
      <w:ind w:left="1361"/>
    </w:pPr>
  </w:style>
  <w:style w:type="paragraph" w:styleId="ListNumber3">
    <w:name w:val="List Number 3"/>
    <w:basedOn w:val="Normal"/>
    <w:uiPriority w:val="99"/>
    <w:rsid w:val="00BE4C99"/>
    <w:pPr>
      <w:numPr>
        <w:numId w:val="14"/>
      </w:numPr>
      <w:tabs>
        <w:tab w:val="left" w:pos="1021"/>
      </w:tabs>
      <w:spacing w:before="120"/>
    </w:pPr>
  </w:style>
  <w:style w:type="paragraph" w:styleId="ListNumber4">
    <w:name w:val="List Number 4"/>
    <w:basedOn w:val="Normal"/>
    <w:uiPriority w:val="99"/>
    <w:rsid w:val="00BE4C99"/>
    <w:pPr>
      <w:numPr>
        <w:numId w:val="7"/>
      </w:numPr>
      <w:tabs>
        <w:tab w:val="left" w:pos="1701"/>
      </w:tabs>
      <w:spacing w:before="120"/>
    </w:pPr>
  </w:style>
  <w:style w:type="paragraph" w:styleId="ListNumber5">
    <w:name w:val="List Number 5"/>
    <w:basedOn w:val="Normal"/>
    <w:uiPriority w:val="99"/>
    <w:rsid w:val="00BE4C99"/>
    <w:pPr>
      <w:numPr>
        <w:numId w:val="8"/>
      </w:numPr>
      <w:spacing w:before="120"/>
    </w:pPr>
  </w:style>
  <w:style w:type="paragraph" w:customStyle="1" w:styleId="TableHeading">
    <w:name w:val="Table Heading"/>
    <w:basedOn w:val="Tabletext"/>
    <w:link w:val="TableHeadingChar"/>
    <w:qFormat/>
    <w:rsid w:val="00584D8F"/>
    <w:pPr>
      <w:spacing w:before="60"/>
    </w:pPr>
    <w:rPr>
      <w:b/>
      <w:sz w:val="22"/>
    </w:rPr>
  </w:style>
  <w:style w:type="paragraph" w:customStyle="1" w:styleId="Tabletext-right">
    <w:name w:val="Table text - right"/>
    <w:basedOn w:val="Tabletext"/>
    <w:link w:val="Tabletext-rightChar"/>
    <w:rsid w:val="00063247"/>
    <w:pPr>
      <w:jc w:val="right"/>
    </w:pPr>
    <w:rPr>
      <w:rFonts w:eastAsia="Times New Roman" w:cs="Times New Roman"/>
      <w:szCs w:val="20"/>
    </w:rPr>
  </w:style>
  <w:style w:type="paragraph" w:customStyle="1" w:styleId="Tabletext-centred">
    <w:name w:val="Table text - centred"/>
    <w:basedOn w:val="Tabletext-right"/>
    <w:link w:val="Tabletext-centredChar"/>
    <w:rsid w:val="00063247"/>
    <w:pPr>
      <w:jc w:val="center"/>
    </w:pPr>
  </w:style>
  <w:style w:type="paragraph" w:customStyle="1" w:styleId="TableHeading-right">
    <w:name w:val="Table Heading - right"/>
    <w:basedOn w:val="TableHeading"/>
    <w:link w:val="TableHeading-rightChar"/>
    <w:rsid w:val="00584D8F"/>
    <w:pPr>
      <w:jc w:val="right"/>
    </w:pPr>
    <w:rPr>
      <w:rFonts w:eastAsia="Times New Roman" w:cs="Times New Roman"/>
      <w:bCs/>
      <w:szCs w:val="20"/>
    </w:rPr>
  </w:style>
  <w:style w:type="character" w:customStyle="1" w:styleId="Tabletext-rightChar">
    <w:name w:val="Table text - right Char"/>
    <w:basedOn w:val="TabletextChar"/>
    <w:link w:val="Tabletext-right"/>
    <w:rsid w:val="00063247"/>
    <w:rPr>
      <w:rFonts w:ascii="Arial" w:eastAsia="Times New Roman" w:hAnsi="Arial" w:cs="Times New Roman"/>
      <w:sz w:val="20"/>
      <w:szCs w:val="20"/>
    </w:rPr>
  </w:style>
  <w:style w:type="character" w:customStyle="1" w:styleId="TabletextChar">
    <w:name w:val="Table text Char"/>
    <w:basedOn w:val="DefaultParagraphFont"/>
    <w:link w:val="Tabletext"/>
    <w:uiPriority w:val="1"/>
    <w:rsid w:val="00584D8F"/>
    <w:rPr>
      <w:rFonts w:ascii="Arial" w:hAnsi="Arial"/>
      <w:sz w:val="20"/>
    </w:rPr>
  </w:style>
  <w:style w:type="character" w:customStyle="1" w:styleId="TableHeadingChar">
    <w:name w:val="Table Heading Char"/>
    <w:basedOn w:val="TabletextChar"/>
    <w:link w:val="TableHeading"/>
    <w:rsid w:val="00584D8F"/>
    <w:rPr>
      <w:rFonts w:ascii="Arial" w:hAnsi="Arial"/>
      <w:b/>
      <w:sz w:val="20"/>
    </w:rPr>
  </w:style>
  <w:style w:type="character" w:customStyle="1" w:styleId="TableHeading-rightChar">
    <w:name w:val="Table Heading - right Char"/>
    <w:basedOn w:val="TableHeadingChar"/>
    <w:link w:val="TableHeading-right"/>
    <w:rsid w:val="00584D8F"/>
    <w:rPr>
      <w:rFonts w:ascii="Arial" w:eastAsia="Times New Roman" w:hAnsi="Arial" w:cs="Times New Roman"/>
      <w:b/>
      <w:bCs/>
      <w:sz w:val="20"/>
      <w:szCs w:val="20"/>
    </w:rPr>
  </w:style>
  <w:style w:type="character" w:customStyle="1" w:styleId="Tabletext-centredChar">
    <w:name w:val="Table text - centred Char"/>
    <w:basedOn w:val="Tabletext-rightChar"/>
    <w:link w:val="Tabletext-centred"/>
    <w:rsid w:val="00063247"/>
    <w:rPr>
      <w:rFonts w:ascii="Arial" w:eastAsia="Times New Roman" w:hAnsi="Arial" w:cs="Times New Roman"/>
      <w:sz w:val="20"/>
      <w:szCs w:val="20"/>
    </w:rPr>
  </w:style>
  <w:style w:type="paragraph" w:customStyle="1" w:styleId="TableHeading-centred">
    <w:name w:val="Table Heading - centred"/>
    <w:basedOn w:val="TableHeading"/>
    <w:rsid w:val="00584D8F"/>
    <w:pPr>
      <w:jc w:val="center"/>
    </w:pPr>
    <w:rPr>
      <w:rFonts w:eastAsia="Times New Roman" w:cs="Times New Roman"/>
      <w:bCs/>
      <w:szCs w:val="20"/>
    </w:rPr>
  </w:style>
  <w:style w:type="character" w:customStyle="1" w:styleId="EndnoteTextChar">
    <w:name w:val="Endnote Text Char"/>
    <w:basedOn w:val="DefaultParagraphFont"/>
    <w:link w:val="EndnoteText"/>
    <w:uiPriority w:val="99"/>
    <w:rsid w:val="00334C8D"/>
    <w:rPr>
      <w:rFonts w:ascii="Arial" w:hAnsi="Arial"/>
      <w:sz w:val="20"/>
      <w:szCs w:val="20"/>
    </w:rPr>
  </w:style>
  <w:style w:type="paragraph" w:styleId="TableofFigures">
    <w:name w:val="table of figures"/>
    <w:basedOn w:val="Normal"/>
    <w:next w:val="Normal"/>
    <w:uiPriority w:val="99"/>
    <w:unhideWhenUsed/>
    <w:rsid w:val="00676679"/>
    <w:pPr>
      <w:spacing w:before="240" w:after="120"/>
    </w:pPr>
  </w:style>
  <w:style w:type="table" w:customStyle="1" w:styleId="ACCCTable3">
    <w:name w:val="ACCC Table 3"/>
    <w:basedOn w:val="TableNormal"/>
    <w:uiPriority w:val="99"/>
    <w:rsid w:val="00C53B5A"/>
    <w:pPr>
      <w:spacing w:before="0"/>
    </w:pPr>
    <w:rPr>
      <w:sz w:val="20"/>
    </w:rPr>
    <w:tblPr>
      <w:tblBorders>
        <w:insideV w:val="single" w:sz="4" w:space="0" w:color="D5D6D2" w:themeColor="background2"/>
      </w:tblBorders>
    </w:tblPr>
    <w:tblStylePr w:type="firstRow">
      <w:rPr>
        <w:rFonts w:asciiTheme="minorHAnsi" w:hAnsiTheme="minorHAnsi"/>
        <w:b/>
        <w:sz w:val="20"/>
      </w:rPr>
    </w:tblStylePr>
    <w:tblStylePr w:type="lastRow">
      <w:rPr>
        <w:rFonts w:ascii="Arial" w:hAnsi="Arial"/>
        <w:b/>
        <w:sz w:val="20"/>
      </w:rPr>
    </w:tblStylePr>
    <w:tblStylePr w:type="firstCol">
      <w:rPr>
        <w:rFonts w:ascii="Arial" w:hAnsi="Arial"/>
        <w:b/>
        <w:sz w:val="20"/>
      </w:rPr>
    </w:tblStylePr>
  </w:style>
  <w:style w:type="character" w:styleId="EndnoteReference">
    <w:name w:val="endnote reference"/>
    <w:basedOn w:val="DefaultParagraphFont"/>
    <w:uiPriority w:val="99"/>
    <w:rsid w:val="00E4674F"/>
    <w:rPr>
      <w:rFonts w:ascii="Arial" w:hAnsi="Arial"/>
      <w:sz w:val="16"/>
      <w:vertAlign w:val="superscript"/>
    </w:rPr>
  </w:style>
  <w:style w:type="paragraph" w:customStyle="1" w:styleId="Numberedparagraph11">
    <w:name w:val="Numbered paragraph 1.1"/>
    <w:basedOn w:val="Numbered11"/>
    <w:qFormat/>
    <w:rsid w:val="00340655"/>
    <w:pPr>
      <w:ind w:left="680" w:hanging="680"/>
      <w:outlineLvl w:val="9"/>
    </w:pPr>
    <w:rPr>
      <w:bCs w:val="0"/>
      <w:color w:val="auto"/>
      <w:sz w:val="22"/>
    </w:rPr>
  </w:style>
  <w:style w:type="character" w:customStyle="1" w:styleId="Numbered1Char">
    <w:name w:val="Numbered 1 Char"/>
    <w:basedOn w:val="Heading1Char"/>
    <w:link w:val="Numbered1"/>
    <w:rsid w:val="00F61B84"/>
    <w:rPr>
      <w:rFonts w:ascii="Lucida Fax" w:eastAsiaTheme="majorEastAsia" w:hAnsi="Lucida Fax" w:cstheme="majorBidi"/>
      <w:bCs/>
      <w:color w:val="51626F"/>
      <w:sz w:val="32"/>
      <w:szCs w:val="28"/>
    </w:rPr>
  </w:style>
  <w:style w:type="paragraph" w:customStyle="1" w:styleId="Numberedparagraph">
    <w:name w:val="Numbered paragraph"/>
    <w:basedOn w:val="Normal"/>
    <w:rsid w:val="00B60F5D"/>
    <w:pPr>
      <w:numPr>
        <w:numId w:val="1"/>
      </w:numPr>
      <w:ind w:left="680" w:hanging="680"/>
    </w:pPr>
    <w:rPr>
      <w:rFonts w:eastAsia="Times New Roman" w:cs="Times New Roman"/>
      <w:color w:val="000000" w:themeColor="text1" w:themeShade="BF"/>
      <w:szCs w:val="20"/>
    </w:rPr>
  </w:style>
  <w:style w:type="paragraph" w:customStyle="1" w:styleId="Listalphabet2">
    <w:name w:val="List alphabet 2"/>
    <w:rsid w:val="00CF799E"/>
    <w:pPr>
      <w:numPr>
        <w:numId w:val="13"/>
      </w:numPr>
      <w:tabs>
        <w:tab w:val="left" w:pos="680"/>
      </w:tabs>
      <w:spacing w:before="120"/>
    </w:pPr>
    <w:rPr>
      <w:rFonts w:ascii="Arial" w:hAnsi="Arial"/>
    </w:rPr>
  </w:style>
  <w:style w:type="paragraph" w:customStyle="1" w:styleId="Listalphabet3">
    <w:name w:val="List alphabet 3"/>
    <w:rsid w:val="00CF799E"/>
    <w:pPr>
      <w:numPr>
        <w:numId w:val="19"/>
      </w:numPr>
      <w:tabs>
        <w:tab w:val="left" w:pos="1021"/>
      </w:tabs>
      <w:spacing w:before="120"/>
    </w:pPr>
    <w:rPr>
      <w:rFonts w:ascii="Arial" w:hAnsi="Arial"/>
    </w:rPr>
  </w:style>
  <w:style w:type="paragraph" w:customStyle="1" w:styleId="Listalphabet4">
    <w:name w:val="List alphabet 4"/>
    <w:rsid w:val="00CF799E"/>
    <w:pPr>
      <w:numPr>
        <w:numId w:val="20"/>
      </w:numPr>
      <w:tabs>
        <w:tab w:val="left" w:pos="1361"/>
      </w:tabs>
      <w:spacing w:before="120"/>
    </w:pPr>
    <w:rPr>
      <w:rFonts w:ascii="Arial" w:hAnsi="Arial"/>
    </w:rPr>
  </w:style>
  <w:style w:type="paragraph" w:customStyle="1" w:styleId="Listalphabet5">
    <w:name w:val="List alphabet 5"/>
    <w:rsid w:val="00CF799E"/>
    <w:pPr>
      <w:numPr>
        <w:numId w:val="21"/>
      </w:numPr>
      <w:tabs>
        <w:tab w:val="left" w:pos="1701"/>
      </w:tabs>
      <w:spacing w:before="120"/>
    </w:pPr>
    <w:rPr>
      <w:rFonts w:ascii="Arial" w:hAnsi="Arial"/>
    </w:rPr>
  </w:style>
  <w:style w:type="paragraph" w:styleId="ListContinue5">
    <w:name w:val="List Continue 5"/>
    <w:basedOn w:val="Normal"/>
    <w:uiPriority w:val="99"/>
    <w:rsid w:val="00DC542F"/>
    <w:pPr>
      <w:tabs>
        <w:tab w:val="left" w:pos="1701"/>
      </w:tabs>
      <w:spacing w:before="120"/>
      <w:ind w:left="1701"/>
    </w:pPr>
  </w:style>
  <w:style w:type="paragraph" w:customStyle="1" w:styleId="Listalphabet">
    <w:name w:val="List alphabet"/>
    <w:qFormat/>
    <w:rsid w:val="003459E6"/>
    <w:pPr>
      <w:numPr>
        <w:numId w:val="22"/>
      </w:numPr>
      <w:tabs>
        <w:tab w:val="left" w:pos="340"/>
      </w:tabs>
      <w:spacing w:before="120"/>
    </w:pPr>
    <w:rPr>
      <w:rFonts w:ascii="Arial" w:hAnsi="Arial"/>
    </w:rPr>
  </w:style>
  <w:style w:type="paragraph" w:styleId="NoteHeading">
    <w:name w:val="Note Heading"/>
    <w:basedOn w:val="Normal"/>
    <w:next w:val="Normal"/>
    <w:link w:val="NoteHeadingChar"/>
    <w:uiPriority w:val="99"/>
    <w:semiHidden/>
    <w:unhideWhenUsed/>
    <w:rsid w:val="00F61B84"/>
    <w:pPr>
      <w:spacing w:before="0"/>
    </w:pPr>
  </w:style>
  <w:style w:type="character" w:customStyle="1" w:styleId="NoteHeadingChar">
    <w:name w:val="Note Heading Char"/>
    <w:basedOn w:val="DefaultParagraphFont"/>
    <w:link w:val="NoteHeading"/>
    <w:uiPriority w:val="99"/>
    <w:semiHidden/>
    <w:rsid w:val="00F61B84"/>
    <w:rPr>
      <w:rFonts w:ascii="Arial" w:hAnsi="Arial"/>
    </w:rPr>
  </w:style>
  <w:style w:type="character" w:styleId="SubtleReference">
    <w:name w:val="Subtle Reference"/>
    <w:basedOn w:val="DefaultParagraphFont"/>
    <w:uiPriority w:val="31"/>
    <w:unhideWhenUsed/>
    <w:rsid w:val="00E27642"/>
    <w:rPr>
      <w:smallCaps/>
      <w:color w:val="410099" w:themeColor="accent1"/>
      <w:u w:val="single"/>
    </w:rPr>
  </w:style>
  <w:style w:type="paragraph" w:customStyle="1" w:styleId="ListLegal">
    <w:name w:val="List Legal"/>
    <w:basedOn w:val="ListParagraph"/>
    <w:rsid w:val="00CF799E"/>
    <w:pPr>
      <w:numPr>
        <w:numId w:val="25"/>
      </w:numPr>
      <w:tabs>
        <w:tab w:val="clear" w:pos="340"/>
        <w:tab w:val="left" w:pos="680"/>
      </w:tabs>
    </w:pPr>
  </w:style>
  <w:style w:type="paragraph" w:customStyle="1" w:styleId="ListLegal2">
    <w:name w:val="List Legal 2"/>
    <w:basedOn w:val="ListLegal"/>
    <w:rsid w:val="00C06739"/>
    <w:pPr>
      <w:numPr>
        <w:numId w:val="16"/>
      </w:numPr>
      <w:tabs>
        <w:tab w:val="clear" w:pos="680"/>
        <w:tab w:val="left" w:pos="1021"/>
      </w:tabs>
    </w:pPr>
  </w:style>
  <w:style w:type="paragraph" w:customStyle="1" w:styleId="ListLegal3">
    <w:name w:val="List Legal 3"/>
    <w:basedOn w:val="ListNumber3"/>
    <w:rsid w:val="00CF799E"/>
    <w:pPr>
      <w:numPr>
        <w:numId w:val="15"/>
      </w:numPr>
      <w:tabs>
        <w:tab w:val="clear" w:pos="1021"/>
        <w:tab w:val="left" w:pos="1361"/>
      </w:tabs>
    </w:pPr>
  </w:style>
  <w:style w:type="paragraph" w:customStyle="1" w:styleId="ListLegal4">
    <w:name w:val="List Legal 4"/>
    <w:basedOn w:val="ListLegal3"/>
    <w:rsid w:val="00CF799E"/>
    <w:pPr>
      <w:numPr>
        <w:numId w:val="17"/>
      </w:numPr>
      <w:tabs>
        <w:tab w:val="clear" w:pos="1361"/>
        <w:tab w:val="left" w:pos="1701"/>
      </w:tabs>
    </w:pPr>
  </w:style>
  <w:style w:type="paragraph" w:customStyle="1" w:styleId="ListLegal5">
    <w:name w:val="List Legal 5"/>
    <w:basedOn w:val="ListLegal4"/>
    <w:rsid w:val="000F2368"/>
    <w:pPr>
      <w:numPr>
        <w:numId w:val="26"/>
      </w:numPr>
      <w:tabs>
        <w:tab w:val="clear" w:pos="1701"/>
        <w:tab w:val="left" w:pos="2041"/>
      </w:tabs>
    </w:pPr>
  </w:style>
  <w:style w:type="paragraph" w:customStyle="1" w:styleId="LegalNumbering">
    <w:name w:val="Legal Numbering"/>
    <w:basedOn w:val="Normal"/>
    <w:qFormat/>
    <w:rsid w:val="0002115F"/>
    <w:pPr>
      <w:numPr>
        <w:numId w:val="18"/>
      </w:numPr>
      <w:tabs>
        <w:tab w:val="left" w:pos="340"/>
        <w:tab w:val="left" w:pos="680"/>
        <w:tab w:val="left" w:pos="1021"/>
        <w:tab w:val="left" w:pos="1361"/>
      </w:tabs>
    </w:pPr>
  </w:style>
  <w:style w:type="paragraph" w:customStyle="1" w:styleId="Default">
    <w:name w:val="Default"/>
    <w:uiPriority w:val="99"/>
    <w:rsid w:val="00F67084"/>
    <w:pPr>
      <w:autoSpaceDE w:val="0"/>
      <w:autoSpaceDN w:val="0"/>
      <w:adjustRightInd w:val="0"/>
      <w:spacing w:before="0"/>
    </w:pPr>
    <w:rPr>
      <w:rFonts w:ascii="Lucida Fax" w:hAnsi="Lucida Fax" w:cs="Lucida Fax"/>
      <w:color w:val="000000"/>
      <w:sz w:val="24"/>
      <w:szCs w:val="24"/>
    </w:rPr>
  </w:style>
  <w:style w:type="character" w:customStyle="1" w:styleId="ListParagraphChar">
    <w:name w:val="List Paragraph Char"/>
    <w:aliases w:val="Bullet Point Char,L Char,List Bullet Cab Char,List Paragraph - bullets Char,List Paragraph1 Char,List Paragraph11 Char,NFP GP Bulleted List Char,Recommendation Char,Use Case List Paragraph Char,Content descriptions Char,CV text Char"/>
    <w:basedOn w:val="DefaultParagraphFont"/>
    <w:link w:val="ListParagraph"/>
    <w:uiPriority w:val="34"/>
    <w:qFormat/>
    <w:locked/>
    <w:rsid w:val="00295E30"/>
    <w:rPr>
      <w:rFonts w:ascii="Arial" w:hAnsi="Arial"/>
    </w:rPr>
  </w:style>
  <w:style w:type="paragraph" w:customStyle="1" w:styleId="Definition">
    <w:name w:val="Definition"/>
    <w:aliases w:val="dd"/>
    <w:basedOn w:val="Normal"/>
    <w:rsid w:val="00B92632"/>
    <w:pPr>
      <w:spacing w:before="180"/>
      <w:ind w:left="1134"/>
    </w:pPr>
    <w:rPr>
      <w:rFonts w:ascii="Times New Roman" w:eastAsia="Times New Roman" w:hAnsi="Times New Roman" w:cs="Times New Roman"/>
      <w:szCs w:val="20"/>
      <w:lang w:eastAsia="en-AU"/>
    </w:rPr>
  </w:style>
  <w:style w:type="paragraph" w:customStyle="1" w:styleId="paragraph">
    <w:name w:val="paragraph"/>
    <w:aliases w:val="a"/>
    <w:basedOn w:val="Normal"/>
    <w:rsid w:val="002B23B8"/>
    <w:pPr>
      <w:tabs>
        <w:tab w:val="right" w:pos="1531"/>
      </w:tabs>
      <w:spacing w:before="40"/>
      <w:ind w:left="1644" w:hanging="1644"/>
    </w:pPr>
    <w:rPr>
      <w:rFonts w:ascii="Times New Roman" w:eastAsia="Times New Roman" w:hAnsi="Times New Roman" w:cs="Times New Roman"/>
      <w:szCs w:val="20"/>
      <w:lang w:eastAsia="en-AU"/>
    </w:rPr>
  </w:style>
  <w:style w:type="paragraph" w:customStyle="1" w:styleId="notetext">
    <w:name w:val="note(text)"/>
    <w:aliases w:val="n"/>
    <w:basedOn w:val="Normal"/>
    <w:link w:val="notetextChar"/>
    <w:rsid w:val="002B23B8"/>
    <w:pPr>
      <w:spacing w:before="122"/>
      <w:ind w:left="1985" w:hanging="851"/>
    </w:pPr>
    <w:rPr>
      <w:rFonts w:ascii="Times New Roman" w:eastAsia="Times New Roman" w:hAnsi="Times New Roman" w:cs="Times New Roman"/>
      <w:sz w:val="18"/>
      <w:szCs w:val="20"/>
      <w:lang w:eastAsia="en-AU"/>
    </w:rPr>
  </w:style>
  <w:style w:type="character" w:customStyle="1" w:styleId="notetextChar">
    <w:name w:val="note(text) Char"/>
    <w:aliases w:val="n Char"/>
    <w:basedOn w:val="DefaultParagraphFont"/>
    <w:link w:val="notetext"/>
    <w:rsid w:val="002B23B8"/>
    <w:rPr>
      <w:rFonts w:ascii="Times New Roman" w:eastAsia="Times New Roman" w:hAnsi="Times New Roman" w:cs="Times New Roman"/>
      <w:sz w:val="18"/>
      <w:szCs w:val="20"/>
      <w:lang w:eastAsia="en-AU"/>
    </w:rPr>
  </w:style>
  <w:style w:type="paragraph" w:styleId="CommentText">
    <w:name w:val="annotation text"/>
    <w:basedOn w:val="Normal"/>
    <w:link w:val="CommentTextChar"/>
    <w:rsid w:val="002B23B8"/>
    <w:pPr>
      <w:spacing w:before="0" w:line="260" w:lineRule="atLeast"/>
    </w:pPr>
    <w:rPr>
      <w:rFonts w:ascii="Times New Roman" w:hAnsi="Times New Roman"/>
      <w:sz w:val="20"/>
      <w:szCs w:val="20"/>
    </w:rPr>
  </w:style>
  <w:style w:type="character" w:customStyle="1" w:styleId="CommentTextChar">
    <w:name w:val="Comment Text Char"/>
    <w:basedOn w:val="DefaultParagraphFont"/>
    <w:link w:val="CommentText"/>
    <w:rsid w:val="002B23B8"/>
    <w:rPr>
      <w:rFonts w:ascii="Times New Roman" w:hAnsi="Times New Roman"/>
      <w:sz w:val="20"/>
      <w:szCs w:val="20"/>
    </w:rPr>
  </w:style>
  <w:style w:type="character" w:styleId="CommentReference">
    <w:name w:val="annotation reference"/>
    <w:basedOn w:val="DefaultParagraphFont"/>
    <w:rsid w:val="002B23B8"/>
    <w:rPr>
      <w:sz w:val="16"/>
      <w:szCs w:val="16"/>
    </w:rPr>
  </w:style>
  <w:style w:type="paragraph" w:styleId="CommentSubject">
    <w:name w:val="annotation subject"/>
    <w:basedOn w:val="CommentText"/>
    <w:next w:val="CommentText"/>
    <w:link w:val="CommentSubjectChar"/>
    <w:uiPriority w:val="99"/>
    <w:semiHidden/>
    <w:unhideWhenUsed/>
    <w:rsid w:val="00BF5FB1"/>
    <w:pPr>
      <w:spacing w:before="200" w:line="240" w:lineRule="auto"/>
    </w:pPr>
    <w:rPr>
      <w:rFonts w:ascii="Arial" w:hAnsi="Arial"/>
      <w:b/>
      <w:bCs/>
    </w:rPr>
  </w:style>
  <w:style w:type="character" w:customStyle="1" w:styleId="CommentSubjectChar">
    <w:name w:val="Comment Subject Char"/>
    <w:basedOn w:val="CommentTextChar"/>
    <w:link w:val="CommentSubject"/>
    <w:uiPriority w:val="99"/>
    <w:semiHidden/>
    <w:rsid w:val="00BF5FB1"/>
    <w:rPr>
      <w:rFonts w:ascii="Arial" w:hAnsi="Arial"/>
      <w:b/>
      <w:bCs/>
      <w:sz w:val="20"/>
      <w:szCs w:val="20"/>
    </w:rPr>
  </w:style>
  <w:style w:type="paragraph" w:styleId="Revision">
    <w:name w:val="Revision"/>
    <w:hidden/>
    <w:uiPriority w:val="99"/>
    <w:semiHidden/>
    <w:rsid w:val="00C21374"/>
    <w:pPr>
      <w:spacing w:before="0"/>
    </w:pPr>
    <w:rPr>
      <w:rFonts w:ascii="Arial" w:hAnsi="Arial"/>
    </w:rPr>
  </w:style>
  <w:style w:type="paragraph" w:styleId="BodyText">
    <w:name w:val="Body Text"/>
    <w:basedOn w:val="Normal"/>
    <w:link w:val="BodyTextChar"/>
    <w:uiPriority w:val="99"/>
    <w:semiHidden/>
    <w:unhideWhenUsed/>
    <w:rsid w:val="00D909CD"/>
    <w:pPr>
      <w:spacing w:after="120"/>
    </w:pPr>
  </w:style>
  <w:style w:type="character" w:customStyle="1" w:styleId="BodyTextChar">
    <w:name w:val="Body Text Char"/>
    <w:basedOn w:val="DefaultParagraphFont"/>
    <w:link w:val="BodyText"/>
    <w:uiPriority w:val="99"/>
    <w:semiHidden/>
    <w:rsid w:val="00D909CD"/>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41346098">
      <w:bodyDiv w:val="1"/>
      <w:marLeft w:val="0"/>
      <w:marRight w:val="0"/>
      <w:marTop w:val="0"/>
      <w:marBottom w:val="0"/>
      <w:divBdr>
        <w:top w:val="none" w:sz="0" w:space="0" w:color="auto"/>
        <w:left w:val="none" w:sz="0" w:space="0" w:color="auto"/>
        <w:bottom w:val="none" w:sz="0" w:space="0" w:color="auto"/>
        <w:right w:val="none" w:sz="0" w:space="0" w:color="auto"/>
      </w:divBdr>
    </w:div>
    <w:div w:id="1045834519">
      <w:bodyDiv w:val="1"/>
      <w:marLeft w:val="0"/>
      <w:marRight w:val="0"/>
      <w:marTop w:val="0"/>
      <w:marBottom w:val="0"/>
      <w:divBdr>
        <w:top w:val="none" w:sz="0" w:space="0" w:color="auto"/>
        <w:left w:val="none" w:sz="0" w:space="0" w:color="auto"/>
        <w:bottom w:val="none" w:sz="0" w:space="0" w:color="auto"/>
        <w:right w:val="none" w:sz="0" w:space="0" w:color="auto"/>
      </w:divBdr>
    </w:div>
    <w:div w:id="18768431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Theme1">
  <a:themeElements>
    <a:clrScheme name="ACCC">
      <a:dk1>
        <a:sysClr val="windowText" lastClr="000000"/>
      </a:dk1>
      <a:lt1>
        <a:sysClr val="window" lastClr="FFFFFF"/>
      </a:lt1>
      <a:dk2>
        <a:srgbClr val="003591"/>
      </a:dk2>
      <a:lt2>
        <a:srgbClr val="D5D6D2"/>
      </a:lt2>
      <a:accent1>
        <a:srgbClr val="410099"/>
      </a:accent1>
      <a:accent2>
        <a:srgbClr val="1CCFC9"/>
      </a:accent2>
      <a:accent3>
        <a:srgbClr val="362F52"/>
      </a:accent3>
      <a:accent4>
        <a:srgbClr val="8B9EFF"/>
      </a:accent4>
      <a:accent5>
        <a:srgbClr val="FFC502"/>
      </a:accent5>
      <a:accent6>
        <a:srgbClr val="FF7600"/>
      </a:accent6>
      <a:hlink>
        <a:srgbClr val="0000FF"/>
      </a:hlink>
      <a:folHlink>
        <a:srgbClr val="800080"/>
      </a:folHlink>
    </a:clrScheme>
    <a:fontScheme name="ACCC">
      <a:majorFont>
        <a:latin typeface="Palatino Linotype"/>
        <a:ea typeface=""/>
        <a:cs typeface=""/>
      </a:majorFont>
      <a:minorFont>
        <a:latin typeface="Arial"/>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[pick the date]</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5934E559-756D-46EF-8BE1-082FC5445C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2308</Words>
  <Characters>13368</Characters>
  <Application>Microsoft Office Word</Application>
  <DocSecurity>0</DocSecurity>
  <Lines>219</Lines>
  <Paragraphs>89</Paragraphs>
  <ScaleCrop>false</ScaleCrop>
  <HeadingPairs>
    <vt:vector size="2" baseType="variant">
      <vt:variant>
        <vt:lpstr>Title</vt:lpstr>
      </vt:variant>
      <vt:variant>
        <vt:i4>1</vt:i4>
      </vt:variant>
    </vt:vector>
  </HeadingPairs>
  <TitlesOfParts>
    <vt:vector size="1" baseType="lpstr">
      <vt:lpstr>[Document title]</vt:lpstr>
    </vt:vector>
  </TitlesOfParts>
  <Company>ACCC</Company>
  <LinksUpToDate>false</LinksUpToDate>
  <CharactersWithSpaces>15587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[Document title]</dc:title>
  <dc:subject>[subtitle]</dc:subject>
  <dc:creator>Meadley, Cindy</dc:creator>
  <cp:keywords/>
  <dc:description/>
  <cp:lastModifiedBy>Zwankhuizen, Maurits</cp:lastModifiedBy>
  <cp:revision>2</cp:revision>
  <dcterms:created xsi:type="dcterms:W3CDTF">2020-12-11T05:20:00Z</dcterms:created>
  <dcterms:modified xsi:type="dcterms:W3CDTF">2020-12-11T05:20:00Z</dcterms:modified>
</cp:coreProperties>
</file>