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BAC60" w14:textId="77777777" w:rsidR="00436860" w:rsidRPr="00436860" w:rsidRDefault="00436860" w:rsidP="00436860">
      <w:pPr>
        <w:spacing w:before="240" w:after="240" w:line="276" w:lineRule="auto"/>
        <w:ind w:right="-1"/>
        <w:jc w:val="right"/>
        <w:rPr>
          <w:b/>
          <w:sz w:val="22"/>
          <w:szCs w:val="22"/>
          <w:lang w:eastAsia="en-AU"/>
        </w:rPr>
      </w:pPr>
    </w:p>
    <w:p w14:paraId="2DD0A9A8" w14:textId="77777777" w:rsidR="00961E62" w:rsidRPr="0044223D" w:rsidRDefault="001E5CEC" w:rsidP="009F1D5B">
      <w:pPr>
        <w:spacing w:before="240" w:after="240" w:line="276" w:lineRule="auto"/>
        <w:ind w:right="-1"/>
        <w:jc w:val="center"/>
        <w:rPr>
          <w:sz w:val="22"/>
          <w:szCs w:val="22"/>
          <w:u w:val="single"/>
          <w:lang w:eastAsia="en-AU"/>
        </w:rPr>
      </w:pPr>
      <w:r w:rsidRPr="0044223D">
        <w:rPr>
          <w:sz w:val="22"/>
          <w:szCs w:val="22"/>
          <w:u w:val="single"/>
          <w:lang w:eastAsia="en-AU"/>
        </w:rPr>
        <w:t>EXPLANATORY STATEMENT</w:t>
      </w:r>
    </w:p>
    <w:p w14:paraId="39095026" w14:textId="786B9CFA" w:rsidR="006F0BFB" w:rsidRPr="0044223D" w:rsidRDefault="001E5CEC" w:rsidP="00B20064">
      <w:pPr>
        <w:spacing w:before="240" w:after="240" w:line="276" w:lineRule="auto"/>
        <w:ind w:right="-1"/>
        <w:jc w:val="center"/>
        <w:rPr>
          <w:sz w:val="22"/>
          <w:szCs w:val="22"/>
        </w:rPr>
      </w:pPr>
      <w:r w:rsidRPr="0044223D">
        <w:rPr>
          <w:sz w:val="22"/>
          <w:szCs w:val="22"/>
        </w:rPr>
        <w:t xml:space="preserve">Issued by authority </w:t>
      </w:r>
      <w:r w:rsidR="00533EC7" w:rsidRPr="0044223D">
        <w:rPr>
          <w:sz w:val="22"/>
          <w:szCs w:val="22"/>
        </w:rPr>
        <w:t xml:space="preserve">of the </w:t>
      </w:r>
      <w:r w:rsidR="0074591F" w:rsidRPr="0044223D">
        <w:rPr>
          <w:sz w:val="22"/>
          <w:szCs w:val="22"/>
        </w:rPr>
        <w:t xml:space="preserve">Protected Zone Joint Authority </w:t>
      </w:r>
      <w:r w:rsidR="00533EC7" w:rsidRPr="0044223D">
        <w:rPr>
          <w:sz w:val="22"/>
          <w:szCs w:val="22"/>
        </w:rPr>
        <w:t xml:space="preserve"> </w:t>
      </w:r>
      <w:r w:rsidR="009F1D5B" w:rsidRPr="0044223D">
        <w:rPr>
          <w:sz w:val="22"/>
          <w:szCs w:val="22"/>
        </w:rPr>
        <w:t xml:space="preserve"> </w:t>
      </w:r>
    </w:p>
    <w:p w14:paraId="35548B89" w14:textId="77777777" w:rsidR="00961E62" w:rsidRPr="0044223D" w:rsidRDefault="001E5CEC" w:rsidP="00AD0163">
      <w:pPr>
        <w:autoSpaceDE w:val="0"/>
        <w:autoSpaceDN w:val="0"/>
        <w:adjustRightInd w:val="0"/>
        <w:spacing w:before="240" w:after="240" w:line="276" w:lineRule="auto"/>
        <w:jc w:val="center"/>
        <w:rPr>
          <w:i/>
          <w:iCs/>
          <w:sz w:val="22"/>
          <w:szCs w:val="22"/>
        </w:rPr>
      </w:pPr>
      <w:r w:rsidRPr="0044223D">
        <w:rPr>
          <w:i/>
          <w:iCs/>
          <w:sz w:val="22"/>
          <w:szCs w:val="22"/>
        </w:rPr>
        <w:t>Torres Strait Fisheries Act 1984</w:t>
      </w:r>
    </w:p>
    <w:p w14:paraId="0779D66C" w14:textId="77777777" w:rsidR="00FF3B33" w:rsidRPr="0044223D" w:rsidRDefault="00FF3B33" w:rsidP="00EC28E7">
      <w:pPr>
        <w:autoSpaceDE w:val="0"/>
        <w:autoSpaceDN w:val="0"/>
        <w:adjustRightInd w:val="0"/>
        <w:spacing w:before="240" w:after="240" w:line="276" w:lineRule="auto"/>
        <w:jc w:val="center"/>
        <w:rPr>
          <w:i/>
          <w:iCs/>
          <w:sz w:val="22"/>
          <w:szCs w:val="22"/>
        </w:rPr>
      </w:pPr>
      <w:r w:rsidRPr="0044223D">
        <w:rPr>
          <w:i/>
          <w:iCs/>
          <w:sz w:val="22"/>
          <w:szCs w:val="22"/>
        </w:rPr>
        <w:t>Torres Strait Prawn Fishery Management Plan 2009</w:t>
      </w:r>
    </w:p>
    <w:p w14:paraId="6823A3EE" w14:textId="77777777" w:rsidR="00FF3B33" w:rsidRPr="0044223D" w:rsidRDefault="00FF3B33" w:rsidP="009F1D5B">
      <w:pPr>
        <w:autoSpaceDE w:val="0"/>
        <w:autoSpaceDN w:val="0"/>
        <w:adjustRightInd w:val="0"/>
        <w:spacing w:before="240" w:after="240" w:line="276" w:lineRule="auto"/>
        <w:jc w:val="both"/>
        <w:rPr>
          <w:b/>
          <w:i/>
          <w:snapToGrid w:val="0"/>
          <w:kern w:val="20"/>
          <w:sz w:val="22"/>
          <w:szCs w:val="22"/>
        </w:rPr>
      </w:pPr>
      <w:r w:rsidRPr="0044223D">
        <w:rPr>
          <w:b/>
          <w:i/>
          <w:snapToGrid w:val="0"/>
          <w:kern w:val="20"/>
          <w:sz w:val="22"/>
          <w:szCs w:val="22"/>
        </w:rPr>
        <w:t>Torres Strait Fisheries (Torres Strait Prawn Fishery Total Allowable Effort) Determination 2020</w:t>
      </w:r>
    </w:p>
    <w:p w14:paraId="3A54D23B" w14:textId="77777777" w:rsidR="009F1D5B" w:rsidRPr="0044223D" w:rsidRDefault="001E5CEC" w:rsidP="009F1D5B">
      <w:pPr>
        <w:autoSpaceDE w:val="0"/>
        <w:autoSpaceDN w:val="0"/>
        <w:adjustRightInd w:val="0"/>
        <w:spacing w:before="240" w:after="240" w:line="276" w:lineRule="auto"/>
        <w:jc w:val="both"/>
        <w:rPr>
          <w:b/>
          <w:sz w:val="22"/>
          <w:szCs w:val="22"/>
        </w:rPr>
      </w:pPr>
      <w:r w:rsidRPr="0044223D">
        <w:rPr>
          <w:b/>
          <w:sz w:val="22"/>
          <w:szCs w:val="22"/>
        </w:rPr>
        <w:t>Legislative authority</w:t>
      </w:r>
    </w:p>
    <w:p w14:paraId="6311E312" w14:textId="77777777" w:rsidR="006F0BFB" w:rsidRPr="0044223D" w:rsidRDefault="001E5CEC" w:rsidP="007F00FD">
      <w:pPr>
        <w:pStyle w:val="AFMANormal"/>
        <w:spacing w:after="240" w:line="276" w:lineRule="auto"/>
        <w:rPr>
          <w:sz w:val="22"/>
          <w:szCs w:val="22"/>
        </w:rPr>
      </w:pPr>
      <w:r w:rsidRPr="0044223D">
        <w:rPr>
          <w:sz w:val="22"/>
          <w:szCs w:val="22"/>
        </w:rPr>
        <w:t xml:space="preserve">Section 15A of the </w:t>
      </w:r>
      <w:r w:rsidRPr="0044223D">
        <w:rPr>
          <w:i/>
          <w:sz w:val="22"/>
          <w:szCs w:val="22"/>
        </w:rPr>
        <w:t>Torres Strait Fisheries Act 1984</w:t>
      </w:r>
      <w:r w:rsidRPr="0044223D">
        <w:rPr>
          <w:sz w:val="22"/>
          <w:szCs w:val="22"/>
        </w:rPr>
        <w:t xml:space="preserve"> (the Act) provides that the Minister may, by legislative instrument, determine a plan of management for a fishery in an area of Australian jurisdiction.  A management plan made under the Act is to set out, amongst other things, the objectives of the plan of management and measures by which the objectives are to be attained.</w:t>
      </w:r>
    </w:p>
    <w:p w14:paraId="404107E0" w14:textId="77777777" w:rsidR="00AC2CE4" w:rsidRPr="0044223D" w:rsidRDefault="001E5CEC" w:rsidP="007F00FD">
      <w:pPr>
        <w:pStyle w:val="AFMANormal"/>
        <w:spacing w:after="240" w:line="276" w:lineRule="auto"/>
        <w:rPr>
          <w:sz w:val="22"/>
          <w:szCs w:val="22"/>
        </w:rPr>
      </w:pPr>
      <w:r w:rsidRPr="0044223D">
        <w:rPr>
          <w:sz w:val="22"/>
          <w:szCs w:val="22"/>
        </w:rPr>
        <w:t xml:space="preserve">Subsection 15A(4) of the Act provides that the Minister may in a plan of management for a fishery, determine </w:t>
      </w:r>
      <w:proofErr w:type="gramStart"/>
      <w:r w:rsidRPr="0044223D">
        <w:rPr>
          <w:sz w:val="22"/>
          <w:szCs w:val="22"/>
        </w:rPr>
        <w:t>the</w:t>
      </w:r>
      <w:proofErr w:type="gramEnd"/>
      <w:r w:rsidRPr="0044223D">
        <w:rPr>
          <w:sz w:val="22"/>
          <w:szCs w:val="22"/>
        </w:rPr>
        <w:t xml:space="preserve"> manner in which the fishing capacity of the fishery is to be measured; and provide for the periodic determination of the fishing capacity, measured in that manner, permitted for the fishery.</w:t>
      </w:r>
    </w:p>
    <w:p w14:paraId="19D7EA27" w14:textId="77777777" w:rsidR="0071207C" w:rsidRPr="0044223D" w:rsidRDefault="0071207C" w:rsidP="0071207C">
      <w:pPr>
        <w:spacing w:before="240" w:after="240" w:line="276" w:lineRule="auto"/>
        <w:jc w:val="both"/>
        <w:rPr>
          <w:sz w:val="22"/>
          <w:szCs w:val="22"/>
          <w:lang w:val="en-US"/>
        </w:rPr>
      </w:pPr>
      <w:r w:rsidRPr="0044223D">
        <w:rPr>
          <w:sz w:val="22"/>
          <w:szCs w:val="22"/>
          <w:lang w:val="en-US"/>
        </w:rPr>
        <w:t xml:space="preserve">Subsection 35(1) of the Act provides for the Protected Zone Joint Authority (PZJA) to exercise the powers of the Minister under subsection 15A of the Act in respect of a ‘Protected Zone Joint Authority fishery’. </w:t>
      </w:r>
    </w:p>
    <w:p w14:paraId="0B3EA27A" w14:textId="77777777" w:rsidR="0071207C" w:rsidRPr="0044223D" w:rsidRDefault="0071207C" w:rsidP="0071207C">
      <w:pPr>
        <w:pStyle w:val="AFMANormal"/>
        <w:spacing w:after="240" w:line="276" w:lineRule="auto"/>
        <w:rPr>
          <w:sz w:val="22"/>
          <w:szCs w:val="22"/>
        </w:rPr>
      </w:pPr>
      <w:r w:rsidRPr="0044223D">
        <w:rPr>
          <w:sz w:val="22"/>
          <w:szCs w:val="22"/>
          <w:lang w:val="en-US"/>
        </w:rPr>
        <w:t xml:space="preserve">Subsection 28(1) of the Act provides that a ‘Protected Zone Joint Authority fishery’ is a fishery in respect of which an arrangement under Part V of the Act is in place.  The </w:t>
      </w:r>
      <w:r w:rsidRPr="0044223D">
        <w:rPr>
          <w:i/>
          <w:sz w:val="22"/>
          <w:szCs w:val="22"/>
          <w:lang w:val="en-US"/>
        </w:rPr>
        <w:t>Arrangement between the Commonwealth and the State of Queensland under section 31 of the Torres Strait Fisheries Act 1984</w:t>
      </w:r>
      <w:r w:rsidRPr="0044223D">
        <w:rPr>
          <w:sz w:val="22"/>
          <w:szCs w:val="22"/>
          <w:lang w:val="en-US"/>
        </w:rPr>
        <w:t xml:space="preserve"> (the PZJA Arrangement</w:t>
      </w:r>
      <w:r w:rsidRPr="0044223D">
        <w:rPr>
          <w:rStyle w:val="FootnoteReference"/>
          <w:sz w:val="22"/>
          <w:szCs w:val="22"/>
          <w:lang w:val="en-US"/>
        </w:rPr>
        <w:footnoteReference w:id="1"/>
      </w:r>
      <w:r w:rsidRPr="0044223D">
        <w:rPr>
          <w:sz w:val="22"/>
          <w:szCs w:val="22"/>
          <w:lang w:val="en-US"/>
        </w:rPr>
        <w:t>), made under Part V of the Act, provides that the PZJA is to have management of commercial fishing of any kind other than certain exceptions, in the areas described in subsection 4(2) of the PZJA Arrangement</w:t>
      </w:r>
      <w:r w:rsidRPr="0044223D">
        <w:rPr>
          <w:sz w:val="22"/>
          <w:szCs w:val="22"/>
        </w:rPr>
        <w:t>.</w:t>
      </w:r>
    </w:p>
    <w:p w14:paraId="7CEBE0A8" w14:textId="77777777" w:rsidR="006F0BFB" w:rsidRPr="0044223D" w:rsidRDefault="00FF3B33" w:rsidP="007F00FD">
      <w:pPr>
        <w:pStyle w:val="AFMANormal"/>
        <w:spacing w:after="240" w:line="276" w:lineRule="auto"/>
        <w:rPr>
          <w:sz w:val="22"/>
          <w:szCs w:val="22"/>
        </w:rPr>
      </w:pPr>
      <w:r w:rsidRPr="0044223D">
        <w:rPr>
          <w:sz w:val="22"/>
          <w:szCs w:val="22"/>
        </w:rPr>
        <w:t>Subsection 2.5</w:t>
      </w:r>
      <w:r w:rsidR="001E5CEC" w:rsidRPr="0044223D">
        <w:rPr>
          <w:sz w:val="22"/>
          <w:szCs w:val="22"/>
        </w:rPr>
        <w:t xml:space="preserve">(1) of the </w:t>
      </w:r>
      <w:r w:rsidRPr="0044223D">
        <w:rPr>
          <w:i/>
          <w:sz w:val="22"/>
          <w:szCs w:val="22"/>
        </w:rPr>
        <w:t xml:space="preserve">Torres Strait Prawn Fishery Management Plan 2009 </w:t>
      </w:r>
      <w:r w:rsidR="005B01C8" w:rsidRPr="0044223D">
        <w:rPr>
          <w:sz w:val="22"/>
          <w:szCs w:val="22"/>
        </w:rPr>
        <w:t>(</w:t>
      </w:r>
      <w:r w:rsidR="00AC2CE4" w:rsidRPr="0044223D">
        <w:rPr>
          <w:sz w:val="22"/>
          <w:szCs w:val="22"/>
        </w:rPr>
        <w:t xml:space="preserve">the </w:t>
      </w:r>
      <w:r w:rsidR="005B01C8" w:rsidRPr="0044223D">
        <w:rPr>
          <w:sz w:val="22"/>
          <w:szCs w:val="22"/>
        </w:rPr>
        <w:t xml:space="preserve">Management </w:t>
      </w:r>
      <w:r w:rsidR="001E5CEC" w:rsidRPr="0044223D">
        <w:rPr>
          <w:sz w:val="22"/>
          <w:szCs w:val="22"/>
        </w:rPr>
        <w:t xml:space="preserve">Plan) stipulates </w:t>
      </w:r>
      <w:r w:rsidRPr="0044223D">
        <w:rPr>
          <w:sz w:val="22"/>
          <w:szCs w:val="22"/>
        </w:rPr>
        <w:t>that at least every 3 years the PZJA will determine the TAE for the fishery, based on the reference points determined under section 2.4, or other management strategy.</w:t>
      </w:r>
    </w:p>
    <w:p w14:paraId="00169208" w14:textId="4EB76E68" w:rsidR="00FF3B33" w:rsidRPr="0044223D" w:rsidRDefault="001E5CEC" w:rsidP="007F00FD">
      <w:pPr>
        <w:pStyle w:val="AFMANormal"/>
        <w:spacing w:after="240" w:line="276" w:lineRule="auto"/>
        <w:rPr>
          <w:sz w:val="22"/>
          <w:szCs w:val="22"/>
        </w:rPr>
      </w:pPr>
      <w:r w:rsidRPr="0044223D">
        <w:rPr>
          <w:sz w:val="22"/>
          <w:szCs w:val="22"/>
        </w:rPr>
        <w:t xml:space="preserve">The </w:t>
      </w:r>
      <w:r w:rsidR="00FF3B33" w:rsidRPr="0044223D">
        <w:rPr>
          <w:i/>
          <w:sz w:val="22"/>
          <w:szCs w:val="22"/>
        </w:rPr>
        <w:t xml:space="preserve">Torres Strait Fisheries (Torres Strait Prawn Fishery Total Allowable Effort) Determination 2020 </w:t>
      </w:r>
      <w:r w:rsidRPr="0044223D">
        <w:rPr>
          <w:sz w:val="22"/>
          <w:szCs w:val="22"/>
        </w:rPr>
        <w:t>(the</w:t>
      </w:r>
      <w:r w:rsidR="00EC28E7" w:rsidRPr="0044223D">
        <w:rPr>
          <w:sz w:val="22"/>
          <w:szCs w:val="22"/>
        </w:rPr>
        <w:t xml:space="preserve"> </w:t>
      </w:r>
      <w:r w:rsidRPr="0044223D">
        <w:rPr>
          <w:sz w:val="22"/>
          <w:szCs w:val="22"/>
        </w:rPr>
        <w:t xml:space="preserve">Determination) is a legislative instrument for the purposes of the </w:t>
      </w:r>
      <w:r w:rsidRPr="0044223D">
        <w:rPr>
          <w:i/>
          <w:sz w:val="22"/>
          <w:szCs w:val="22"/>
        </w:rPr>
        <w:t>Legislation Act 2003</w:t>
      </w:r>
      <w:r w:rsidR="00AC2CE4" w:rsidRPr="0044223D">
        <w:rPr>
          <w:sz w:val="22"/>
          <w:szCs w:val="22"/>
        </w:rPr>
        <w:t xml:space="preserve"> (the Legislation Act)</w:t>
      </w:r>
      <w:r w:rsidRPr="0044223D">
        <w:rPr>
          <w:sz w:val="22"/>
          <w:szCs w:val="22"/>
        </w:rPr>
        <w:t xml:space="preserve">. </w:t>
      </w:r>
      <w:r w:rsidR="003C5AD8" w:rsidRPr="0044223D">
        <w:rPr>
          <w:sz w:val="22"/>
          <w:szCs w:val="22"/>
        </w:rPr>
        <w:t xml:space="preserve"> </w:t>
      </w:r>
    </w:p>
    <w:p w14:paraId="7CED0043" w14:textId="77777777" w:rsidR="006C11D9" w:rsidRPr="0044223D" w:rsidRDefault="00B8137E" w:rsidP="007F00FD">
      <w:pPr>
        <w:pStyle w:val="AFMANormal"/>
        <w:spacing w:after="240" w:line="276" w:lineRule="auto"/>
        <w:rPr>
          <w:i/>
          <w:sz w:val="22"/>
          <w:szCs w:val="22"/>
        </w:rPr>
      </w:pPr>
      <w:r w:rsidRPr="0044223D">
        <w:rPr>
          <w:sz w:val="22"/>
          <w:szCs w:val="22"/>
        </w:rPr>
        <w:t xml:space="preserve">Due to application of subsection 44(1) of the Legislation Act, the </w:t>
      </w:r>
      <w:r w:rsidR="001E5CEC" w:rsidRPr="0044223D">
        <w:rPr>
          <w:sz w:val="22"/>
          <w:szCs w:val="22"/>
        </w:rPr>
        <w:t xml:space="preserve">Determination is </w:t>
      </w:r>
      <w:r w:rsidRPr="0044223D">
        <w:rPr>
          <w:sz w:val="22"/>
          <w:szCs w:val="22"/>
        </w:rPr>
        <w:t xml:space="preserve">exempt from </w:t>
      </w:r>
      <w:r w:rsidR="001E5CEC" w:rsidRPr="0044223D">
        <w:rPr>
          <w:sz w:val="22"/>
          <w:szCs w:val="22"/>
        </w:rPr>
        <w:t>parliamentary scrutiny</w:t>
      </w:r>
      <w:r w:rsidR="00FF3B33" w:rsidRPr="0044223D">
        <w:rPr>
          <w:sz w:val="22"/>
          <w:szCs w:val="22"/>
        </w:rPr>
        <w:t xml:space="preserve"> and is not subject to </w:t>
      </w:r>
      <w:proofErr w:type="spellStart"/>
      <w:r w:rsidR="00FF3B33" w:rsidRPr="0044223D">
        <w:rPr>
          <w:sz w:val="22"/>
          <w:szCs w:val="22"/>
        </w:rPr>
        <w:t>sunsetting</w:t>
      </w:r>
      <w:proofErr w:type="spellEnd"/>
      <w:r w:rsidR="00FF3B33" w:rsidRPr="0044223D">
        <w:rPr>
          <w:sz w:val="22"/>
          <w:szCs w:val="22"/>
        </w:rPr>
        <w:t xml:space="preserve"> by application of subsection</w:t>
      </w:r>
      <w:r w:rsidR="00493263" w:rsidRPr="0044223D">
        <w:rPr>
          <w:sz w:val="22"/>
          <w:szCs w:val="22"/>
        </w:rPr>
        <w:t xml:space="preserve"> 54(1) and</w:t>
      </w:r>
      <w:r w:rsidR="00FF3B33" w:rsidRPr="0044223D">
        <w:rPr>
          <w:sz w:val="22"/>
          <w:szCs w:val="22"/>
        </w:rPr>
        <w:t xml:space="preserve"> paragraph 54(2)(b) of the </w:t>
      </w:r>
      <w:r w:rsidR="00FF3B33" w:rsidRPr="0044223D">
        <w:rPr>
          <w:i/>
          <w:sz w:val="22"/>
          <w:szCs w:val="22"/>
        </w:rPr>
        <w:lastRenderedPageBreak/>
        <w:t>Legislation Act,</w:t>
      </w:r>
      <w:r w:rsidR="00FF3B33" w:rsidRPr="0044223D">
        <w:rPr>
          <w:sz w:val="22"/>
          <w:szCs w:val="22"/>
        </w:rPr>
        <w:t xml:space="preserve"> read together with item 63AB of the table in section 12 of the </w:t>
      </w:r>
      <w:r w:rsidR="00FF3B33" w:rsidRPr="0044223D">
        <w:rPr>
          <w:i/>
          <w:sz w:val="22"/>
          <w:szCs w:val="22"/>
        </w:rPr>
        <w:t>Legislation (Exemptions and Other Matters) Regulation 2015.</w:t>
      </w:r>
    </w:p>
    <w:p w14:paraId="2B3015DC" w14:textId="77777777" w:rsidR="009F1D5B" w:rsidRPr="0044223D" w:rsidRDefault="001E5CEC" w:rsidP="009F1D5B">
      <w:pPr>
        <w:pStyle w:val="AFMANormal"/>
        <w:spacing w:after="240" w:line="276" w:lineRule="auto"/>
        <w:rPr>
          <w:b/>
          <w:sz w:val="22"/>
          <w:szCs w:val="22"/>
        </w:rPr>
      </w:pPr>
      <w:r w:rsidRPr="0044223D">
        <w:rPr>
          <w:b/>
          <w:sz w:val="22"/>
          <w:szCs w:val="22"/>
        </w:rPr>
        <w:t>Purpose</w:t>
      </w:r>
    </w:p>
    <w:p w14:paraId="6EC3626D" w14:textId="29016575" w:rsidR="003A7B8C" w:rsidRPr="0044223D" w:rsidRDefault="001E5CEC" w:rsidP="007F00FD">
      <w:pPr>
        <w:pStyle w:val="AFMANormal"/>
        <w:spacing w:after="240" w:line="276" w:lineRule="auto"/>
        <w:rPr>
          <w:sz w:val="22"/>
          <w:szCs w:val="22"/>
        </w:rPr>
      </w:pPr>
      <w:r w:rsidRPr="0044223D">
        <w:rPr>
          <w:sz w:val="22"/>
          <w:szCs w:val="22"/>
        </w:rPr>
        <w:t>The</w:t>
      </w:r>
      <w:r w:rsidR="009F1D5B" w:rsidRPr="0044223D">
        <w:rPr>
          <w:sz w:val="22"/>
          <w:szCs w:val="22"/>
        </w:rPr>
        <w:t xml:space="preserve"> purpose of the </w:t>
      </w:r>
      <w:r w:rsidR="00A00F9A" w:rsidRPr="0044223D">
        <w:rPr>
          <w:sz w:val="22"/>
          <w:szCs w:val="22"/>
        </w:rPr>
        <w:t xml:space="preserve">instrument </w:t>
      </w:r>
      <w:r w:rsidRPr="0044223D">
        <w:rPr>
          <w:sz w:val="22"/>
          <w:szCs w:val="22"/>
        </w:rPr>
        <w:t xml:space="preserve">is to </w:t>
      </w:r>
      <w:r w:rsidR="00FF3B33" w:rsidRPr="0044223D">
        <w:rPr>
          <w:sz w:val="22"/>
          <w:szCs w:val="22"/>
        </w:rPr>
        <w:t>determine the TAE</w:t>
      </w:r>
      <w:r w:rsidRPr="0044223D">
        <w:rPr>
          <w:sz w:val="22"/>
          <w:szCs w:val="22"/>
        </w:rPr>
        <w:t xml:space="preserve"> </w:t>
      </w:r>
      <w:r w:rsidR="00FF3B33" w:rsidRPr="0044223D">
        <w:rPr>
          <w:sz w:val="22"/>
          <w:szCs w:val="22"/>
        </w:rPr>
        <w:t>for the Torres Strait Prawn</w:t>
      </w:r>
      <w:r w:rsidRPr="0044223D">
        <w:rPr>
          <w:sz w:val="22"/>
          <w:szCs w:val="22"/>
        </w:rPr>
        <w:t xml:space="preserve"> fishery</w:t>
      </w:r>
      <w:r w:rsidR="003C5AD8" w:rsidRPr="0044223D">
        <w:rPr>
          <w:sz w:val="22"/>
          <w:szCs w:val="22"/>
        </w:rPr>
        <w:t xml:space="preserve"> for the</w:t>
      </w:r>
      <w:r w:rsidR="0074591F" w:rsidRPr="0044223D">
        <w:rPr>
          <w:sz w:val="22"/>
          <w:szCs w:val="22"/>
        </w:rPr>
        <w:t xml:space="preserve"> 2021, 2022 and 2023</w:t>
      </w:r>
      <w:r w:rsidR="003C5AD8" w:rsidRPr="0044223D">
        <w:rPr>
          <w:sz w:val="22"/>
          <w:szCs w:val="22"/>
        </w:rPr>
        <w:t xml:space="preserve"> fishing season</w:t>
      </w:r>
      <w:r w:rsidR="00FF3B33" w:rsidRPr="0044223D">
        <w:rPr>
          <w:sz w:val="22"/>
          <w:szCs w:val="22"/>
        </w:rPr>
        <w:t>s</w:t>
      </w:r>
      <w:r w:rsidR="0074591F" w:rsidRPr="0044223D">
        <w:rPr>
          <w:sz w:val="22"/>
          <w:szCs w:val="22"/>
        </w:rPr>
        <w:t xml:space="preserve">. The fishing season is determined under subsection 2.3(2) of the Management Plan. </w:t>
      </w:r>
      <w:r w:rsidR="00FF3B33" w:rsidRPr="0044223D">
        <w:rPr>
          <w:sz w:val="22"/>
          <w:szCs w:val="22"/>
        </w:rPr>
        <w:t>Pursuant to subsection 2.5(1)</w:t>
      </w:r>
      <w:r w:rsidR="003C5AD8" w:rsidRPr="0044223D">
        <w:rPr>
          <w:sz w:val="22"/>
          <w:szCs w:val="22"/>
        </w:rPr>
        <w:t xml:space="preserve"> of the Management Plan, t</w:t>
      </w:r>
      <w:r w:rsidRPr="0044223D">
        <w:rPr>
          <w:sz w:val="22"/>
          <w:szCs w:val="22"/>
        </w:rPr>
        <w:t>he</w:t>
      </w:r>
      <w:r w:rsidR="003C5AD8" w:rsidRPr="0044223D">
        <w:rPr>
          <w:sz w:val="22"/>
          <w:szCs w:val="22"/>
        </w:rPr>
        <w:t xml:space="preserve"> </w:t>
      </w:r>
      <w:r w:rsidR="00A00F9A" w:rsidRPr="0044223D">
        <w:rPr>
          <w:sz w:val="22"/>
          <w:szCs w:val="22"/>
        </w:rPr>
        <w:t>PZJA</w:t>
      </w:r>
      <w:r w:rsidR="00A60498" w:rsidRPr="0044223D">
        <w:rPr>
          <w:sz w:val="22"/>
          <w:szCs w:val="22"/>
        </w:rPr>
        <w:t xml:space="preserve"> </w:t>
      </w:r>
      <w:r w:rsidR="003C5AD8" w:rsidRPr="0044223D">
        <w:rPr>
          <w:sz w:val="22"/>
          <w:szCs w:val="22"/>
        </w:rPr>
        <w:t>determines the</w:t>
      </w:r>
      <w:r w:rsidR="00FF3B33" w:rsidRPr="0044223D">
        <w:rPr>
          <w:sz w:val="22"/>
          <w:szCs w:val="22"/>
        </w:rPr>
        <w:t xml:space="preserve"> TAE</w:t>
      </w:r>
      <w:r w:rsidRPr="0044223D">
        <w:rPr>
          <w:sz w:val="22"/>
          <w:szCs w:val="22"/>
        </w:rPr>
        <w:t xml:space="preserve"> for </w:t>
      </w:r>
      <w:r w:rsidR="0074591F" w:rsidRPr="0044223D">
        <w:rPr>
          <w:sz w:val="22"/>
          <w:szCs w:val="22"/>
        </w:rPr>
        <w:t xml:space="preserve">the 2021, 2022 and 2023 fishing seasons in </w:t>
      </w:r>
      <w:r w:rsidRPr="0044223D">
        <w:rPr>
          <w:sz w:val="22"/>
          <w:szCs w:val="22"/>
        </w:rPr>
        <w:t xml:space="preserve">the </w:t>
      </w:r>
      <w:r w:rsidR="00FF3B33" w:rsidRPr="0044223D">
        <w:rPr>
          <w:sz w:val="22"/>
          <w:szCs w:val="22"/>
        </w:rPr>
        <w:t>Torres Strait Prawn Fishery</w:t>
      </w:r>
      <w:r w:rsidR="003C5AD8" w:rsidRPr="0044223D">
        <w:rPr>
          <w:sz w:val="22"/>
          <w:szCs w:val="22"/>
        </w:rPr>
        <w:t xml:space="preserve"> </w:t>
      </w:r>
      <w:r w:rsidR="00FF3B33" w:rsidRPr="0044223D">
        <w:rPr>
          <w:sz w:val="22"/>
          <w:szCs w:val="22"/>
        </w:rPr>
        <w:t>to be 9,200 fishing days</w:t>
      </w:r>
      <w:r w:rsidR="00C33619" w:rsidRPr="0044223D">
        <w:rPr>
          <w:sz w:val="22"/>
          <w:szCs w:val="22"/>
        </w:rPr>
        <w:t xml:space="preserve"> </w:t>
      </w:r>
      <w:r w:rsidR="00A00F9A" w:rsidRPr="0044223D">
        <w:rPr>
          <w:sz w:val="22"/>
          <w:szCs w:val="22"/>
        </w:rPr>
        <w:t xml:space="preserve">for </w:t>
      </w:r>
      <w:r w:rsidR="00C33619" w:rsidRPr="0044223D">
        <w:rPr>
          <w:sz w:val="22"/>
          <w:szCs w:val="22"/>
        </w:rPr>
        <w:t>each fishing season</w:t>
      </w:r>
      <w:r w:rsidR="00FF3B33" w:rsidRPr="0044223D">
        <w:rPr>
          <w:sz w:val="22"/>
          <w:szCs w:val="22"/>
        </w:rPr>
        <w:t xml:space="preserve">. </w:t>
      </w:r>
    </w:p>
    <w:p w14:paraId="58A3D0B4" w14:textId="77777777" w:rsidR="00961E62" w:rsidRPr="0044223D" w:rsidRDefault="001E5CEC" w:rsidP="00B20064">
      <w:pPr>
        <w:pStyle w:val="AFMANormal"/>
        <w:spacing w:after="240" w:line="276" w:lineRule="auto"/>
        <w:rPr>
          <w:b/>
          <w:sz w:val="22"/>
          <w:szCs w:val="22"/>
        </w:rPr>
      </w:pPr>
      <w:r w:rsidRPr="0044223D">
        <w:rPr>
          <w:b/>
          <w:sz w:val="22"/>
          <w:szCs w:val="22"/>
        </w:rPr>
        <w:t>Consultation</w:t>
      </w:r>
    </w:p>
    <w:p w14:paraId="1F8A72D1" w14:textId="77777777" w:rsidR="00493263" w:rsidRPr="0044223D" w:rsidRDefault="001E5CEC" w:rsidP="00FF3B33">
      <w:pPr>
        <w:pStyle w:val="AFMANormal"/>
        <w:spacing w:after="240" w:line="276" w:lineRule="auto"/>
        <w:rPr>
          <w:sz w:val="22"/>
          <w:szCs w:val="22"/>
        </w:rPr>
      </w:pPr>
      <w:r w:rsidRPr="0044223D">
        <w:rPr>
          <w:sz w:val="22"/>
          <w:szCs w:val="22"/>
        </w:rPr>
        <w:t>S</w:t>
      </w:r>
      <w:r w:rsidR="0038620F" w:rsidRPr="0044223D">
        <w:rPr>
          <w:sz w:val="22"/>
          <w:szCs w:val="22"/>
        </w:rPr>
        <w:t>ubs</w:t>
      </w:r>
      <w:r w:rsidR="00FF3B33" w:rsidRPr="0044223D">
        <w:rPr>
          <w:sz w:val="22"/>
          <w:szCs w:val="22"/>
        </w:rPr>
        <w:t>ection 2.5(2)</w:t>
      </w:r>
      <w:r w:rsidRPr="0044223D">
        <w:rPr>
          <w:sz w:val="22"/>
          <w:szCs w:val="22"/>
        </w:rPr>
        <w:t xml:space="preserve"> of the Management Plan stipulates that </w:t>
      </w:r>
      <w:r w:rsidR="00493263" w:rsidRPr="0044223D">
        <w:rPr>
          <w:sz w:val="22"/>
          <w:szCs w:val="22"/>
        </w:rPr>
        <w:t>b</w:t>
      </w:r>
      <w:r w:rsidR="00FF3B33" w:rsidRPr="0044223D">
        <w:rPr>
          <w:sz w:val="22"/>
          <w:szCs w:val="22"/>
        </w:rPr>
        <w:t>efore</w:t>
      </w:r>
      <w:r w:rsidR="00493263" w:rsidRPr="0044223D">
        <w:rPr>
          <w:sz w:val="22"/>
          <w:szCs w:val="22"/>
        </w:rPr>
        <w:t xml:space="preserve"> determining the TAE, the PZJA </w:t>
      </w:r>
      <w:r w:rsidR="00FF3B33" w:rsidRPr="0044223D">
        <w:rPr>
          <w:sz w:val="22"/>
          <w:szCs w:val="22"/>
        </w:rPr>
        <w:t>will consult the TSPMAC and consider the TSPMAC’s views; and</w:t>
      </w:r>
      <w:r w:rsidR="00493263" w:rsidRPr="0044223D">
        <w:rPr>
          <w:sz w:val="22"/>
          <w:szCs w:val="22"/>
        </w:rPr>
        <w:t xml:space="preserve"> </w:t>
      </w:r>
      <w:r w:rsidR="00FF3B33" w:rsidRPr="0044223D">
        <w:rPr>
          <w:sz w:val="22"/>
          <w:szCs w:val="22"/>
        </w:rPr>
        <w:t>may consult and consider the views of interested persons</w:t>
      </w:r>
      <w:r w:rsidR="00B517FB" w:rsidRPr="0044223D">
        <w:rPr>
          <w:sz w:val="22"/>
          <w:szCs w:val="22"/>
        </w:rPr>
        <w:t xml:space="preserve">. </w:t>
      </w:r>
    </w:p>
    <w:p w14:paraId="1D638535" w14:textId="48659E70" w:rsidR="00CF5C12" w:rsidRPr="0044223D" w:rsidRDefault="00CF5C12" w:rsidP="00EC28E7">
      <w:pPr>
        <w:pStyle w:val="AFMANormal"/>
        <w:spacing w:after="240" w:line="276" w:lineRule="auto"/>
        <w:rPr>
          <w:sz w:val="22"/>
          <w:szCs w:val="22"/>
        </w:rPr>
      </w:pPr>
      <w:r w:rsidRPr="0044223D">
        <w:rPr>
          <w:sz w:val="22"/>
          <w:szCs w:val="22"/>
        </w:rPr>
        <w:t xml:space="preserve">The Authority, on behalf of </w:t>
      </w:r>
      <w:proofErr w:type="spellStart"/>
      <w:r w:rsidRPr="0044223D">
        <w:rPr>
          <w:sz w:val="22"/>
          <w:szCs w:val="22"/>
        </w:rPr>
        <w:t>the</w:t>
      </w:r>
      <w:r w:rsidR="00A00F9A" w:rsidRPr="0044223D">
        <w:rPr>
          <w:sz w:val="22"/>
          <w:szCs w:val="22"/>
        </w:rPr>
        <w:t>PZJA</w:t>
      </w:r>
      <w:proofErr w:type="spellEnd"/>
      <w:r w:rsidRPr="0044223D">
        <w:rPr>
          <w:sz w:val="22"/>
          <w:szCs w:val="22"/>
        </w:rPr>
        <w:t>, consulted the TSPMAC at its January 2020 meeting. In making a recommendation about the TAE, the committee considered the TSPF Harvest Strategy 2011 (the harvest strategy), along with catch and effort data from the fishery, and recommended the TAE be set for the next three years (2021, 2022 and 2023) at 9,200 days. These advisory committees were established unde</w:t>
      </w:r>
      <w:r w:rsidR="00EC28E7" w:rsidRPr="0044223D">
        <w:rPr>
          <w:sz w:val="22"/>
          <w:szCs w:val="22"/>
        </w:rPr>
        <w:t xml:space="preserve">r subsection 40(7) of the Act. </w:t>
      </w:r>
      <w:r w:rsidRPr="0044223D">
        <w:rPr>
          <w:sz w:val="22"/>
          <w:szCs w:val="22"/>
        </w:rPr>
        <w:t>Memberships of these advisory committees comprise of an independent Chair, Authority agencies (Australian Fisheries Management Authority, Torres Strait Regional Authority, and Queensland Department of Agriculture and Fisheries), a scientist, and industry (from both the traditional inhabitant and non-traditional inhabitant sectors). </w:t>
      </w:r>
    </w:p>
    <w:p w14:paraId="7DCB0B9D" w14:textId="7BBCBCAB" w:rsidR="00F9524B" w:rsidRPr="0044223D" w:rsidRDefault="00493263" w:rsidP="000F67E4">
      <w:pPr>
        <w:pStyle w:val="AFMANormal"/>
        <w:spacing w:after="240" w:line="276" w:lineRule="auto"/>
        <w:rPr>
          <w:sz w:val="22"/>
          <w:szCs w:val="22"/>
        </w:rPr>
      </w:pPr>
      <w:r w:rsidRPr="0044223D">
        <w:rPr>
          <w:sz w:val="22"/>
          <w:szCs w:val="22"/>
        </w:rPr>
        <w:t>Further, a determination under this section must be published on the PZJA website and, if practicable, notified to all holders of TSPF boat licences and TSPF Treaty endorsements.</w:t>
      </w:r>
    </w:p>
    <w:p w14:paraId="7189832A" w14:textId="77777777" w:rsidR="00B20064" w:rsidRPr="0044223D" w:rsidRDefault="001E5CEC" w:rsidP="00B20064">
      <w:pPr>
        <w:pStyle w:val="AFMANormal"/>
        <w:spacing w:after="240" w:line="276" w:lineRule="auto"/>
        <w:rPr>
          <w:i/>
          <w:sz w:val="22"/>
          <w:szCs w:val="22"/>
          <w:u w:val="single"/>
        </w:rPr>
      </w:pPr>
      <w:r w:rsidRPr="0044223D">
        <w:rPr>
          <w:i/>
          <w:sz w:val="22"/>
          <w:szCs w:val="22"/>
          <w:u w:val="single"/>
        </w:rPr>
        <w:t>Native Title</w:t>
      </w:r>
    </w:p>
    <w:p w14:paraId="4379C949" w14:textId="5AA7F2E9" w:rsidR="00293E44" w:rsidRPr="0044223D" w:rsidRDefault="001E5CEC" w:rsidP="007F00FD">
      <w:pPr>
        <w:pStyle w:val="AFMANormal"/>
        <w:spacing w:after="240" w:line="276" w:lineRule="auto"/>
        <w:rPr>
          <w:sz w:val="22"/>
          <w:szCs w:val="22"/>
        </w:rPr>
      </w:pPr>
      <w:r w:rsidRPr="0044223D">
        <w:rPr>
          <w:sz w:val="22"/>
          <w:szCs w:val="22"/>
        </w:rPr>
        <w:t>The</w:t>
      </w:r>
      <w:r w:rsidR="00B20064" w:rsidRPr="0044223D">
        <w:rPr>
          <w:sz w:val="22"/>
          <w:szCs w:val="22"/>
        </w:rPr>
        <w:t xml:space="preserve"> </w:t>
      </w:r>
      <w:r w:rsidR="00F9524B" w:rsidRPr="0044223D">
        <w:rPr>
          <w:sz w:val="22"/>
          <w:szCs w:val="22"/>
        </w:rPr>
        <w:t>determination of the TAE by the PZJA</w:t>
      </w:r>
      <w:r w:rsidRPr="0044223D">
        <w:rPr>
          <w:sz w:val="22"/>
          <w:szCs w:val="22"/>
        </w:rPr>
        <w:t xml:space="preserve"> is a future act for the purposes of the Native Title Act. Section 24HA of the Native Title Act relevantly provides that the making of legislation in relation to the management or regulation of living aquatic resources is a valid future act, insofar as the </w:t>
      </w:r>
      <w:r w:rsidR="00A00F9A" w:rsidRPr="0044223D">
        <w:rPr>
          <w:sz w:val="22"/>
          <w:szCs w:val="22"/>
        </w:rPr>
        <w:t xml:space="preserve">instrument </w:t>
      </w:r>
      <w:r w:rsidRPr="0044223D">
        <w:rPr>
          <w:sz w:val="22"/>
          <w:szCs w:val="22"/>
        </w:rPr>
        <w:t>is validly made.</w:t>
      </w:r>
    </w:p>
    <w:p w14:paraId="500900A0" w14:textId="781EAC15" w:rsidR="00A60498" w:rsidRPr="0044223D" w:rsidRDefault="001F44D0" w:rsidP="00A60498">
      <w:pPr>
        <w:spacing w:before="120"/>
        <w:rPr>
          <w:snapToGrid w:val="0"/>
          <w:kern w:val="20"/>
          <w:sz w:val="22"/>
          <w:szCs w:val="22"/>
        </w:rPr>
      </w:pPr>
      <w:r w:rsidRPr="0044223D">
        <w:rPr>
          <w:sz w:val="22"/>
          <w:szCs w:val="22"/>
          <w:shd w:val="clear" w:color="auto" w:fill="FFFFFF"/>
        </w:rPr>
        <w:t xml:space="preserve">As the </w:t>
      </w:r>
      <w:r w:rsidR="00A00F9A" w:rsidRPr="0044223D">
        <w:rPr>
          <w:sz w:val="22"/>
          <w:szCs w:val="22"/>
          <w:shd w:val="clear" w:color="auto" w:fill="FFFFFF"/>
        </w:rPr>
        <w:t>instrument</w:t>
      </w:r>
      <w:r w:rsidRPr="0044223D">
        <w:rPr>
          <w:sz w:val="22"/>
          <w:szCs w:val="22"/>
          <w:shd w:val="clear" w:color="auto" w:fill="FFFFFF"/>
        </w:rPr>
        <w:t xml:space="preserve"> is not a future act consisting of “the grant of a lease, licence, permit or authority under legislation”, subsection </w:t>
      </w:r>
      <w:proofErr w:type="gramStart"/>
      <w:r w:rsidRPr="0044223D">
        <w:rPr>
          <w:sz w:val="22"/>
          <w:szCs w:val="22"/>
          <w:shd w:val="clear" w:color="auto" w:fill="FFFFFF"/>
        </w:rPr>
        <w:t>24HA(</w:t>
      </w:r>
      <w:proofErr w:type="gramEnd"/>
      <w:r w:rsidRPr="0044223D">
        <w:rPr>
          <w:sz w:val="22"/>
          <w:szCs w:val="22"/>
          <w:shd w:val="clear" w:color="auto" w:fill="FFFFFF"/>
        </w:rPr>
        <w:t xml:space="preserve">2) of the Native Title Act does not apply, and native title notification is not required under subsection 24HA(7). </w:t>
      </w:r>
      <w:r w:rsidR="00A60498" w:rsidRPr="0044223D">
        <w:rPr>
          <w:snapToGrid w:val="0"/>
          <w:kern w:val="20"/>
          <w:sz w:val="22"/>
          <w:szCs w:val="22"/>
        </w:rPr>
        <w:t xml:space="preserve"> For this reason, Native Title notification</w:t>
      </w:r>
      <w:r w:rsidR="00A60498" w:rsidRPr="0044223D" w:rsidDel="00E22E86">
        <w:rPr>
          <w:snapToGrid w:val="0"/>
          <w:kern w:val="20"/>
          <w:sz w:val="22"/>
          <w:szCs w:val="22"/>
        </w:rPr>
        <w:t xml:space="preserve"> </w:t>
      </w:r>
      <w:r w:rsidR="00A60498" w:rsidRPr="0044223D">
        <w:rPr>
          <w:snapToGrid w:val="0"/>
          <w:kern w:val="20"/>
          <w:sz w:val="22"/>
          <w:szCs w:val="22"/>
        </w:rPr>
        <w:t xml:space="preserve">under section 24HA of the </w:t>
      </w:r>
      <w:r w:rsidR="00A60498" w:rsidRPr="0044223D">
        <w:rPr>
          <w:i/>
          <w:snapToGrid w:val="0"/>
          <w:kern w:val="20"/>
          <w:sz w:val="22"/>
          <w:szCs w:val="22"/>
        </w:rPr>
        <w:t>Native Title Act 1993</w:t>
      </w:r>
      <w:r w:rsidR="00A60498" w:rsidRPr="0044223D">
        <w:rPr>
          <w:snapToGrid w:val="0"/>
          <w:kern w:val="20"/>
          <w:sz w:val="22"/>
          <w:szCs w:val="22"/>
        </w:rPr>
        <w:t xml:space="preserve"> (Native Title Act) has not been undertaken. </w:t>
      </w:r>
    </w:p>
    <w:p w14:paraId="29D9FDAB" w14:textId="77777777" w:rsidR="007F61EB" w:rsidRPr="0044223D" w:rsidRDefault="00CF6108" w:rsidP="00B20064">
      <w:pPr>
        <w:pStyle w:val="AFMANormal"/>
        <w:spacing w:after="240" w:line="276" w:lineRule="auto"/>
        <w:rPr>
          <w:b/>
          <w:sz w:val="22"/>
          <w:szCs w:val="22"/>
        </w:rPr>
      </w:pPr>
      <w:r w:rsidRPr="0044223D">
        <w:rPr>
          <w:b/>
          <w:sz w:val="22"/>
          <w:szCs w:val="22"/>
        </w:rPr>
        <w:t xml:space="preserve">Part 3 of the </w:t>
      </w:r>
      <w:r w:rsidRPr="0044223D">
        <w:rPr>
          <w:b/>
          <w:i/>
          <w:sz w:val="22"/>
          <w:szCs w:val="22"/>
        </w:rPr>
        <w:t>Human Rights (Parliamentary Scrutiny) Act 2011</w:t>
      </w:r>
    </w:p>
    <w:p w14:paraId="2AE54F41" w14:textId="4BBCA0DB" w:rsidR="00B20064" w:rsidRPr="0044223D" w:rsidRDefault="00CF6108" w:rsidP="00B20064">
      <w:pPr>
        <w:pStyle w:val="AFMANormal"/>
        <w:spacing w:after="240" w:line="276" w:lineRule="auto"/>
        <w:rPr>
          <w:sz w:val="22"/>
          <w:szCs w:val="22"/>
        </w:rPr>
      </w:pPr>
      <w:r w:rsidRPr="0044223D">
        <w:rPr>
          <w:sz w:val="22"/>
          <w:szCs w:val="22"/>
        </w:rPr>
        <w:t xml:space="preserve">As the </w:t>
      </w:r>
      <w:r w:rsidR="00A00F9A" w:rsidRPr="0044223D">
        <w:rPr>
          <w:sz w:val="22"/>
          <w:szCs w:val="22"/>
        </w:rPr>
        <w:t xml:space="preserve">instrument </w:t>
      </w:r>
      <w:r w:rsidRPr="0044223D">
        <w:rPr>
          <w:sz w:val="22"/>
          <w:szCs w:val="22"/>
        </w:rPr>
        <w:t xml:space="preserve">is exempt from disallowance through the process of parliamentary scrutiny, by application of subsection 44(1) of the Legislation Act, a statement of compatibility with human rights does not have to be prepared for the purpose of Part 3 of the </w:t>
      </w:r>
      <w:r w:rsidRPr="0044223D">
        <w:rPr>
          <w:i/>
          <w:sz w:val="22"/>
          <w:szCs w:val="22"/>
        </w:rPr>
        <w:t>Human Rights (Parliamentary Scrutiny) Act 2011</w:t>
      </w:r>
      <w:r w:rsidRPr="0044223D">
        <w:rPr>
          <w:sz w:val="22"/>
          <w:szCs w:val="22"/>
        </w:rPr>
        <w:t>.</w:t>
      </w:r>
    </w:p>
    <w:p w14:paraId="3A1E4B0D" w14:textId="77777777" w:rsidR="00961E62" w:rsidRPr="0044223D" w:rsidRDefault="001E5CEC" w:rsidP="00B20064">
      <w:pPr>
        <w:pStyle w:val="AFMANormal"/>
        <w:spacing w:after="240" w:line="276" w:lineRule="auto"/>
        <w:rPr>
          <w:b/>
          <w:sz w:val="22"/>
          <w:szCs w:val="22"/>
        </w:rPr>
      </w:pPr>
      <w:r w:rsidRPr="0044223D">
        <w:rPr>
          <w:b/>
          <w:sz w:val="22"/>
          <w:szCs w:val="22"/>
        </w:rPr>
        <w:t xml:space="preserve">Regulation </w:t>
      </w:r>
      <w:r w:rsidR="009F1D5B" w:rsidRPr="0044223D">
        <w:rPr>
          <w:b/>
          <w:sz w:val="22"/>
          <w:szCs w:val="22"/>
        </w:rPr>
        <w:t>impact statement</w:t>
      </w:r>
    </w:p>
    <w:p w14:paraId="373214C7" w14:textId="27FED134" w:rsidR="00881B62" w:rsidRPr="0044223D" w:rsidRDefault="001E5CEC" w:rsidP="00B20064">
      <w:pPr>
        <w:pStyle w:val="AFMANormal"/>
        <w:spacing w:after="240" w:line="276" w:lineRule="auto"/>
        <w:rPr>
          <w:sz w:val="22"/>
          <w:szCs w:val="22"/>
        </w:rPr>
      </w:pPr>
      <w:r w:rsidRPr="0044223D">
        <w:rPr>
          <w:sz w:val="22"/>
          <w:szCs w:val="22"/>
        </w:rPr>
        <w:t>The Office of Best Practice Regulation advised that a Regulation Impact Statement was not required for t</w:t>
      </w:r>
      <w:r w:rsidR="00D54760" w:rsidRPr="0044223D">
        <w:rPr>
          <w:sz w:val="22"/>
          <w:szCs w:val="22"/>
        </w:rPr>
        <w:t xml:space="preserve">his </w:t>
      </w:r>
      <w:r w:rsidR="00A00F9A" w:rsidRPr="0044223D">
        <w:rPr>
          <w:sz w:val="22"/>
          <w:szCs w:val="22"/>
        </w:rPr>
        <w:t xml:space="preserve">instrument </w:t>
      </w:r>
      <w:r w:rsidR="00D54760" w:rsidRPr="0044223D">
        <w:rPr>
          <w:sz w:val="22"/>
          <w:szCs w:val="22"/>
        </w:rPr>
        <w:t>consistent with agreed carve out arrangements (OBPR reference number</w:t>
      </w:r>
      <w:r w:rsidR="0074591F" w:rsidRPr="0044223D">
        <w:rPr>
          <w:sz w:val="22"/>
          <w:szCs w:val="22"/>
        </w:rPr>
        <w:t>14421)</w:t>
      </w:r>
      <w:r w:rsidRPr="0044223D">
        <w:rPr>
          <w:sz w:val="22"/>
          <w:szCs w:val="22"/>
        </w:rPr>
        <w:t>.</w:t>
      </w:r>
    </w:p>
    <w:p w14:paraId="0AEDD17E" w14:textId="7523A9D9" w:rsidR="00F02693" w:rsidRPr="0044223D" w:rsidRDefault="001E5CEC" w:rsidP="00A60498">
      <w:pPr>
        <w:pStyle w:val="AFMANormal"/>
        <w:spacing w:after="240" w:line="276" w:lineRule="auto"/>
        <w:rPr>
          <w:sz w:val="22"/>
          <w:szCs w:val="22"/>
        </w:rPr>
      </w:pPr>
      <w:r w:rsidRPr="0044223D">
        <w:rPr>
          <w:sz w:val="22"/>
          <w:szCs w:val="22"/>
        </w:rPr>
        <w:t xml:space="preserve">Details of the </w:t>
      </w:r>
      <w:r w:rsidR="00A00F9A" w:rsidRPr="0044223D">
        <w:rPr>
          <w:sz w:val="22"/>
          <w:szCs w:val="22"/>
        </w:rPr>
        <w:t xml:space="preserve">instrument </w:t>
      </w:r>
      <w:r w:rsidRPr="0044223D">
        <w:rPr>
          <w:sz w:val="22"/>
          <w:szCs w:val="22"/>
        </w:rPr>
        <w:t>are set out</w:t>
      </w:r>
      <w:r w:rsidR="00F02693" w:rsidRPr="0044223D">
        <w:rPr>
          <w:sz w:val="22"/>
          <w:szCs w:val="22"/>
        </w:rPr>
        <w:t xml:space="preserve"> in </w:t>
      </w:r>
      <w:r w:rsidR="00F02693" w:rsidRPr="0044223D">
        <w:rPr>
          <w:b/>
          <w:sz w:val="22"/>
          <w:szCs w:val="22"/>
        </w:rPr>
        <w:t>Attachment A</w:t>
      </w:r>
      <w:r w:rsidR="00F02693" w:rsidRPr="0044223D">
        <w:rPr>
          <w:sz w:val="22"/>
          <w:szCs w:val="22"/>
        </w:rPr>
        <w:t>.</w:t>
      </w:r>
      <w:r w:rsidR="0074591F" w:rsidRPr="0044223D">
        <w:rPr>
          <w:sz w:val="22"/>
          <w:szCs w:val="22"/>
        </w:rPr>
        <w:t xml:space="preserve"> </w:t>
      </w:r>
      <w:r w:rsidR="00F02693" w:rsidRPr="0044223D">
        <w:rPr>
          <w:sz w:val="22"/>
          <w:szCs w:val="22"/>
        </w:rPr>
        <w:br w:type="page"/>
      </w:r>
    </w:p>
    <w:p w14:paraId="608A7E5A" w14:textId="77777777" w:rsidR="00961E62" w:rsidRPr="0044223D" w:rsidRDefault="00747E9B" w:rsidP="00B20064">
      <w:pPr>
        <w:pStyle w:val="AFMANormal"/>
        <w:spacing w:after="240" w:line="276" w:lineRule="auto"/>
        <w:jc w:val="center"/>
        <w:rPr>
          <w:b/>
          <w:sz w:val="22"/>
          <w:szCs w:val="22"/>
        </w:rPr>
      </w:pPr>
      <w:r w:rsidRPr="0044223D">
        <w:rPr>
          <w:b/>
          <w:sz w:val="22"/>
          <w:szCs w:val="22"/>
        </w:rPr>
        <w:lastRenderedPageBreak/>
        <w:t>ATTACHMENT A</w:t>
      </w:r>
    </w:p>
    <w:p w14:paraId="3C1E29A6" w14:textId="77777777" w:rsidR="00747E9B" w:rsidRPr="0044223D" w:rsidRDefault="00747E9B" w:rsidP="00B20064">
      <w:pPr>
        <w:pStyle w:val="AFMANormal"/>
        <w:spacing w:after="240" w:line="276" w:lineRule="auto"/>
        <w:jc w:val="center"/>
        <w:rPr>
          <w:sz w:val="22"/>
          <w:szCs w:val="22"/>
        </w:rPr>
      </w:pPr>
      <w:r w:rsidRPr="0044223D">
        <w:rPr>
          <w:sz w:val="22"/>
          <w:szCs w:val="22"/>
        </w:rPr>
        <w:t>Details on provisions</w:t>
      </w:r>
    </w:p>
    <w:p w14:paraId="6C308ECF" w14:textId="77777777" w:rsidR="00747E9B" w:rsidRPr="0044223D" w:rsidRDefault="0071207C" w:rsidP="00B20064">
      <w:pPr>
        <w:pStyle w:val="AFMANormal"/>
        <w:spacing w:after="240" w:line="276" w:lineRule="auto"/>
        <w:rPr>
          <w:b/>
          <w:i/>
          <w:sz w:val="22"/>
          <w:szCs w:val="22"/>
        </w:rPr>
      </w:pPr>
      <w:r w:rsidRPr="0044223D">
        <w:rPr>
          <w:b/>
          <w:i/>
          <w:sz w:val="22"/>
          <w:szCs w:val="22"/>
        </w:rPr>
        <w:t>Torres Strait Fisheries (Torres Strait Prawn Fishery Total Allowable Effort) Determination 2020</w:t>
      </w:r>
    </w:p>
    <w:tbl>
      <w:tblPr>
        <w:tblW w:w="0" w:type="auto"/>
        <w:tblLook w:val="01E0" w:firstRow="1" w:lastRow="1" w:firstColumn="1" w:lastColumn="1" w:noHBand="0" w:noVBand="0"/>
      </w:tblPr>
      <w:tblGrid>
        <w:gridCol w:w="1350"/>
        <w:gridCol w:w="7506"/>
      </w:tblGrid>
      <w:tr w:rsidR="006734D0" w:rsidRPr="0044223D" w14:paraId="07F7F320" w14:textId="77777777" w:rsidTr="00826E01">
        <w:tc>
          <w:tcPr>
            <w:tcW w:w="1350" w:type="dxa"/>
            <w:shd w:val="clear" w:color="auto" w:fill="auto"/>
          </w:tcPr>
          <w:p w14:paraId="1DE37C4F" w14:textId="77777777" w:rsidR="00961E62" w:rsidRPr="0044223D" w:rsidRDefault="001E5CEC" w:rsidP="00B20064">
            <w:pPr>
              <w:pStyle w:val="AFMANormal"/>
              <w:spacing w:before="120" w:after="120" w:line="276" w:lineRule="auto"/>
              <w:rPr>
                <w:b/>
                <w:i/>
                <w:sz w:val="22"/>
                <w:szCs w:val="22"/>
              </w:rPr>
            </w:pPr>
            <w:r w:rsidRPr="0044223D">
              <w:rPr>
                <w:b/>
                <w:i/>
                <w:sz w:val="22"/>
                <w:szCs w:val="22"/>
              </w:rPr>
              <w:t>Section 1</w:t>
            </w:r>
          </w:p>
        </w:tc>
        <w:tc>
          <w:tcPr>
            <w:tcW w:w="7506" w:type="dxa"/>
            <w:shd w:val="clear" w:color="auto" w:fill="auto"/>
          </w:tcPr>
          <w:p w14:paraId="3B24A5C3" w14:textId="7437E756" w:rsidR="00961E62" w:rsidRPr="0044223D" w:rsidRDefault="001E5CEC" w:rsidP="00A00F9A">
            <w:pPr>
              <w:pStyle w:val="AFMANormal"/>
              <w:keepNext/>
              <w:spacing w:before="120" w:after="120" w:line="276" w:lineRule="auto"/>
              <w:rPr>
                <w:sz w:val="22"/>
                <w:szCs w:val="22"/>
              </w:rPr>
            </w:pPr>
            <w:r w:rsidRPr="0044223D">
              <w:rPr>
                <w:sz w:val="22"/>
                <w:szCs w:val="22"/>
              </w:rPr>
              <w:t xml:space="preserve">Provides </w:t>
            </w:r>
            <w:r w:rsidR="0055589F" w:rsidRPr="0044223D">
              <w:rPr>
                <w:sz w:val="22"/>
                <w:szCs w:val="22"/>
              </w:rPr>
              <w:t xml:space="preserve">that the name of the </w:t>
            </w:r>
            <w:r w:rsidR="00A00F9A" w:rsidRPr="0044223D">
              <w:rPr>
                <w:sz w:val="22"/>
                <w:szCs w:val="22"/>
              </w:rPr>
              <w:t xml:space="preserve">instrument </w:t>
            </w:r>
            <w:r w:rsidR="0055589F" w:rsidRPr="0044223D">
              <w:rPr>
                <w:sz w:val="22"/>
                <w:szCs w:val="22"/>
              </w:rPr>
              <w:t>is the</w:t>
            </w:r>
            <w:r w:rsidRPr="0044223D">
              <w:rPr>
                <w:sz w:val="22"/>
                <w:szCs w:val="22"/>
              </w:rPr>
              <w:t xml:space="preserve"> </w:t>
            </w:r>
            <w:r w:rsidR="0071207C" w:rsidRPr="0044223D">
              <w:rPr>
                <w:i/>
                <w:sz w:val="22"/>
                <w:szCs w:val="22"/>
              </w:rPr>
              <w:t>Torres Strait Fisheries (Torres Strait Prawn Fishery Total Allowable Effort) Determination 2020.</w:t>
            </w:r>
          </w:p>
        </w:tc>
      </w:tr>
      <w:tr w:rsidR="006734D0" w:rsidRPr="0044223D" w14:paraId="186E0131" w14:textId="77777777" w:rsidTr="0055589F">
        <w:tc>
          <w:tcPr>
            <w:tcW w:w="1350" w:type="dxa"/>
            <w:shd w:val="clear" w:color="auto" w:fill="auto"/>
          </w:tcPr>
          <w:p w14:paraId="4E36B877" w14:textId="77777777" w:rsidR="00961E62" w:rsidRPr="0044223D" w:rsidRDefault="001E5CEC" w:rsidP="009F1D5B">
            <w:pPr>
              <w:pStyle w:val="AFMANormal"/>
              <w:spacing w:before="120" w:after="120" w:line="276" w:lineRule="auto"/>
              <w:rPr>
                <w:b/>
                <w:i/>
                <w:sz w:val="22"/>
                <w:szCs w:val="22"/>
              </w:rPr>
            </w:pPr>
            <w:r w:rsidRPr="0044223D">
              <w:rPr>
                <w:b/>
                <w:i/>
                <w:sz w:val="22"/>
                <w:szCs w:val="22"/>
              </w:rPr>
              <w:t>Section 2</w:t>
            </w:r>
          </w:p>
        </w:tc>
        <w:tc>
          <w:tcPr>
            <w:tcW w:w="7506" w:type="dxa"/>
            <w:shd w:val="clear" w:color="auto" w:fill="auto"/>
          </w:tcPr>
          <w:p w14:paraId="244F7CA8" w14:textId="1FB2B1AD" w:rsidR="00961E62" w:rsidRPr="0044223D" w:rsidRDefault="001E5CEC" w:rsidP="00A00F9A">
            <w:pPr>
              <w:pStyle w:val="AFMANormal"/>
              <w:spacing w:before="120" w:after="120" w:line="276" w:lineRule="auto"/>
              <w:rPr>
                <w:sz w:val="22"/>
                <w:szCs w:val="22"/>
              </w:rPr>
            </w:pPr>
            <w:r w:rsidRPr="0044223D">
              <w:rPr>
                <w:sz w:val="22"/>
                <w:szCs w:val="22"/>
              </w:rPr>
              <w:t xml:space="preserve">Provides that the </w:t>
            </w:r>
            <w:r w:rsidR="00A00F9A" w:rsidRPr="0044223D">
              <w:rPr>
                <w:sz w:val="22"/>
                <w:szCs w:val="22"/>
              </w:rPr>
              <w:t xml:space="preserve">instrument </w:t>
            </w:r>
            <w:r w:rsidRPr="0044223D">
              <w:rPr>
                <w:sz w:val="22"/>
                <w:szCs w:val="22"/>
              </w:rPr>
              <w:t xml:space="preserve">commences on the day after registration on the Federal Register of </w:t>
            </w:r>
            <w:r w:rsidR="00B13D58" w:rsidRPr="0044223D">
              <w:rPr>
                <w:sz w:val="22"/>
                <w:szCs w:val="22"/>
              </w:rPr>
              <w:t>Legislation</w:t>
            </w:r>
            <w:r w:rsidRPr="0044223D">
              <w:rPr>
                <w:sz w:val="22"/>
                <w:szCs w:val="22"/>
              </w:rPr>
              <w:t>.</w:t>
            </w:r>
          </w:p>
        </w:tc>
      </w:tr>
      <w:tr w:rsidR="006734D0" w:rsidRPr="0044223D" w14:paraId="4684E21A" w14:textId="77777777" w:rsidTr="0055589F">
        <w:trPr>
          <w:trHeight w:val="554"/>
        </w:trPr>
        <w:tc>
          <w:tcPr>
            <w:tcW w:w="1350" w:type="dxa"/>
            <w:shd w:val="clear" w:color="auto" w:fill="auto"/>
          </w:tcPr>
          <w:p w14:paraId="4F306534" w14:textId="77777777" w:rsidR="00E93EEA" w:rsidRPr="0044223D" w:rsidRDefault="001E5CEC" w:rsidP="0055589F">
            <w:pPr>
              <w:pStyle w:val="AFMANormal"/>
              <w:spacing w:before="120" w:after="120" w:line="276" w:lineRule="auto"/>
              <w:rPr>
                <w:b/>
                <w:i/>
                <w:sz w:val="22"/>
                <w:szCs w:val="22"/>
              </w:rPr>
            </w:pPr>
            <w:r w:rsidRPr="0044223D">
              <w:rPr>
                <w:b/>
                <w:i/>
                <w:sz w:val="22"/>
                <w:szCs w:val="22"/>
              </w:rPr>
              <w:t>Section 3</w:t>
            </w:r>
          </w:p>
        </w:tc>
        <w:tc>
          <w:tcPr>
            <w:tcW w:w="7506" w:type="dxa"/>
            <w:shd w:val="clear" w:color="auto" w:fill="auto"/>
          </w:tcPr>
          <w:p w14:paraId="0EA762C5" w14:textId="77777777" w:rsidR="00E93EEA" w:rsidRPr="0044223D" w:rsidRDefault="00A70239" w:rsidP="004D749D">
            <w:pPr>
              <w:pStyle w:val="AFMANormal"/>
              <w:spacing w:before="120" w:after="120" w:line="276" w:lineRule="auto"/>
              <w:rPr>
                <w:color w:val="000000"/>
                <w:sz w:val="22"/>
                <w:szCs w:val="22"/>
              </w:rPr>
            </w:pPr>
            <w:r w:rsidRPr="0044223D">
              <w:rPr>
                <w:color w:val="000000"/>
                <w:sz w:val="22"/>
                <w:szCs w:val="22"/>
              </w:rPr>
              <w:t xml:space="preserve">Provides that the instrument is made under section 15A of the </w:t>
            </w:r>
            <w:r w:rsidRPr="0044223D">
              <w:rPr>
                <w:i/>
                <w:color w:val="000000"/>
                <w:sz w:val="22"/>
                <w:szCs w:val="22"/>
              </w:rPr>
              <w:t>Torres Strait Fisheries Act 1984</w:t>
            </w:r>
            <w:r w:rsidRPr="0044223D">
              <w:rPr>
                <w:color w:val="000000"/>
                <w:sz w:val="22"/>
                <w:szCs w:val="22"/>
              </w:rPr>
              <w:t xml:space="preserve"> and section 2.5 of the </w:t>
            </w:r>
            <w:r w:rsidRPr="0044223D">
              <w:rPr>
                <w:i/>
                <w:color w:val="000000"/>
                <w:sz w:val="22"/>
                <w:szCs w:val="22"/>
              </w:rPr>
              <w:t>Torres Strait Prawn Fishery Management Plan 2009</w:t>
            </w:r>
            <w:r w:rsidRPr="0044223D">
              <w:rPr>
                <w:color w:val="000000"/>
                <w:sz w:val="22"/>
                <w:szCs w:val="22"/>
              </w:rPr>
              <w:t>.</w:t>
            </w:r>
          </w:p>
        </w:tc>
      </w:tr>
      <w:tr w:rsidR="006734D0" w:rsidRPr="0044223D" w14:paraId="08A1EBB9" w14:textId="77777777" w:rsidTr="0055589F">
        <w:trPr>
          <w:trHeight w:val="83"/>
        </w:trPr>
        <w:tc>
          <w:tcPr>
            <w:tcW w:w="1350" w:type="dxa"/>
            <w:shd w:val="clear" w:color="auto" w:fill="auto"/>
          </w:tcPr>
          <w:p w14:paraId="72E2E4AC" w14:textId="77777777" w:rsidR="0055589F" w:rsidRPr="0044223D" w:rsidRDefault="001E5CEC" w:rsidP="0055589F">
            <w:pPr>
              <w:pStyle w:val="AFMANormal"/>
              <w:spacing w:before="120" w:after="120" w:line="276" w:lineRule="auto"/>
              <w:rPr>
                <w:b/>
                <w:i/>
                <w:sz w:val="22"/>
                <w:szCs w:val="22"/>
              </w:rPr>
            </w:pPr>
            <w:r w:rsidRPr="0044223D">
              <w:rPr>
                <w:b/>
                <w:i/>
                <w:sz w:val="22"/>
                <w:szCs w:val="22"/>
              </w:rPr>
              <w:t>Section 4</w:t>
            </w:r>
          </w:p>
        </w:tc>
        <w:tc>
          <w:tcPr>
            <w:tcW w:w="7506" w:type="dxa"/>
            <w:shd w:val="clear" w:color="auto" w:fill="auto"/>
          </w:tcPr>
          <w:p w14:paraId="056B838A" w14:textId="2556EED3" w:rsidR="0055589F" w:rsidRPr="0044223D" w:rsidRDefault="00A70239" w:rsidP="00A00F9A">
            <w:pPr>
              <w:pStyle w:val="AFMANormal"/>
              <w:spacing w:before="120" w:after="120" w:line="276" w:lineRule="auto"/>
              <w:rPr>
                <w:color w:val="000000"/>
                <w:sz w:val="22"/>
                <w:szCs w:val="22"/>
              </w:rPr>
            </w:pPr>
            <w:r w:rsidRPr="0044223D">
              <w:rPr>
                <w:sz w:val="22"/>
                <w:szCs w:val="22"/>
              </w:rPr>
              <w:t xml:space="preserve">Provides for the definitions used in the </w:t>
            </w:r>
            <w:r w:rsidR="00A00F9A" w:rsidRPr="0044223D">
              <w:rPr>
                <w:sz w:val="22"/>
                <w:szCs w:val="22"/>
              </w:rPr>
              <w:t>Instrument</w:t>
            </w:r>
            <w:r w:rsidRPr="0044223D">
              <w:rPr>
                <w:sz w:val="22"/>
                <w:szCs w:val="22"/>
              </w:rPr>
              <w:t>.</w:t>
            </w:r>
          </w:p>
        </w:tc>
      </w:tr>
      <w:tr w:rsidR="006734D0" w14:paraId="0CDF13C6" w14:textId="77777777" w:rsidTr="0055589F">
        <w:tc>
          <w:tcPr>
            <w:tcW w:w="1350" w:type="dxa"/>
            <w:shd w:val="clear" w:color="auto" w:fill="auto"/>
          </w:tcPr>
          <w:p w14:paraId="46DCE096" w14:textId="77777777" w:rsidR="00961E62" w:rsidRPr="0044223D" w:rsidRDefault="001E5CEC" w:rsidP="009F1D5B">
            <w:pPr>
              <w:pStyle w:val="AFMANormal"/>
              <w:spacing w:before="120" w:after="120" w:line="276" w:lineRule="auto"/>
              <w:rPr>
                <w:b/>
                <w:i/>
                <w:sz w:val="22"/>
                <w:szCs w:val="22"/>
              </w:rPr>
            </w:pPr>
            <w:r w:rsidRPr="0044223D">
              <w:rPr>
                <w:b/>
                <w:i/>
                <w:sz w:val="22"/>
                <w:szCs w:val="22"/>
              </w:rPr>
              <w:t xml:space="preserve">Section </w:t>
            </w:r>
            <w:r w:rsidR="00E93EEA" w:rsidRPr="0044223D">
              <w:rPr>
                <w:b/>
                <w:i/>
                <w:sz w:val="22"/>
                <w:szCs w:val="22"/>
              </w:rPr>
              <w:t>5</w:t>
            </w:r>
          </w:p>
        </w:tc>
        <w:tc>
          <w:tcPr>
            <w:tcW w:w="7506" w:type="dxa"/>
            <w:shd w:val="clear" w:color="auto" w:fill="auto"/>
          </w:tcPr>
          <w:p w14:paraId="22A0C62B" w14:textId="3BA7FA47" w:rsidR="0055589F" w:rsidRPr="00031C5D" w:rsidRDefault="00A70239" w:rsidP="00A70239">
            <w:pPr>
              <w:pStyle w:val="AFMANormal"/>
              <w:spacing w:before="120" w:after="120" w:line="276" w:lineRule="auto"/>
              <w:rPr>
                <w:snapToGrid/>
                <w:sz w:val="22"/>
                <w:szCs w:val="22"/>
              </w:rPr>
            </w:pPr>
            <w:r w:rsidRPr="0044223D">
              <w:rPr>
                <w:snapToGrid/>
                <w:sz w:val="22"/>
                <w:szCs w:val="22"/>
              </w:rPr>
              <w:t xml:space="preserve">Provides that the total allowable effort for the Torres Strait Prawn Fishery for the </w:t>
            </w:r>
            <w:r w:rsidR="0074591F" w:rsidRPr="0044223D">
              <w:rPr>
                <w:snapToGrid/>
                <w:sz w:val="22"/>
                <w:szCs w:val="22"/>
              </w:rPr>
              <w:t xml:space="preserve">2021, 2022 and 2023 </w:t>
            </w:r>
            <w:r w:rsidRPr="0044223D">
              <w:rPr>
                <w:snapToGrid/>
                <w:sz w:val="22"/>
                <w:szCs w:val="22"/>
              </w:rPr>
              <w:t>fishing seasons is a total of 9,200 fishing days.</w:t>
            </w:r>
            <w:bookmarkStart w:id="0" w:name="_GoBack"/>
            <w:bookmarkEnd w:id="0"/>
          </w:p>
        </w:tc>
      </w:tr>
      <w:tr w:rsidR="006734D0" w14:paraId="64BDF4E9" w14:textId="77777777" w:rsidTr="00826E01">
        <w:tc>
          <w:tcPr>
            <w:tcW w:w="1350" w:type="dxa"/>
            <w:shd w:val="clear" w:color="auto" w:fill="auto"/>
          </w:tcPr>
          <w:p w14:paraId="65065697" w14:textId="77777777" w:rsidR="00961E62" w:rsidRPr="009F1D5B" w:rsidRDefault="00961E62" w:rsidP="009F1D5B">
            <w:pPr>
              <w:pStyle w:val="AFMANormal"/>
              <w:spacing w:before="120" w:after="120" w:line="276" w:lineRule="auto"/>
              <w:rPr>
                <w:b/>
                <w:i/>
                <w:sz w:val="22"/>
                <w:szCs w:val="22"/>
              </w:rPr>
            </w:pPr>
          </w:p>
        </w:tc>
        <w:tc>
          <w:tcPr>
            <w:tcW w:w="7506" w:type="dxa"/>
            <w:shd w:val="clear" w:color="auto" w:fill="auto"/>
          </w:tcPr>
          <w:p w14:paraId="3F34B985" w14:textId="77777777" w:rsidR="00A06CA3" w:rsidRPr="008376C0" w:rsidRDefault="00A06CA3" w:rsidP="004D749D">
            <w:pPr>
              <w:pStyle w:val="AFMANormal"/>
              <w:spacing w:before="120" w:after="120" w:line="276" w:lineRule="auto"/>
              <w:rPr>
                <w:snapToGrid/>
                <w:sz w:val="22"/>
                <w:szCs w:val="22"/>
              </w:rPr>
            </w:pPr>
          </w:p>
        </w:tc>
      </w:tr>
      <w:tr w:rsidR="006734D0" w14:paraId="58D7F713" w14:textId="77777777" w:rsidTr="00826E01">
        <w:tc>
          <w:tcPr>
            <w:tcW w:w="1350" w:type="dxa"/>
            <w:shd w:val="clear" w:color="auto" w:fill="auto"/>
          </w:tcPr>
          <w:p w14:paraId="6669876D" w14:textId="77777777" w:rsidR="00961E62" w:rsidRPr="009F1D5B" w:rsidRDefault="001E5CEC" w:rsidP="009F1D5B">
            <w:pPr>
              <w:pStyle w:val="AFMANormal"/>
              <w:spacing w:after="240" w:line="276" w:lineRule="auto"/>
              <w:rPr>
                <w:b/>
                <w:i/>
                <w:sz w:val="22"/>
                <w:szCs w:val="22"/>
              </w:rPr>
            </w:pPr>
            <w:r w:rsidRPr="009F1D5B">
              <w:rPr>
                <w:sz w:val="22"/>
                <w:szCs w:val="22"/>
              </w:rPr>
              <w:br w:type="page"/>
            </w:r>
          </w:p>
        </w:tc>
        <w:tc>
          <w:tcPr>
            <w:tcW w:w="7506" w:type="dxa"/>
            <w:shd w:val="clear" w:color="auto" w:fill="auto"/>
          </w:tcPr>
          <w:p w14:paraId="797D594E" w14:textId="77777777" w:rsidR="00961E62" w:rsidRPr="009F1D5B" w:rsidRDefault="00961E62" w:rsidP="009F1D5B">
            <w:pPr>
              <w:pStyle w:val="AFMANormal"/>
              <w:spacing w:after="240" w:line="276" w:lineRule="auto"/>
              <w:rPr>
                <w:snapToGrid/>
                <w:sz w:val="22"/>
                <w:szCs w:val="22"/>
              </w:rPr>
            </w:pPr>
          </w:p>
        </w:tc>
      </w:tr>
    </w:tbl>
    <w:p w14:paraId="702E89E9" w14:textId="77777777" w:rsidR="00961E62" w:rsidRPr="009F1D5B" w:rsidRDefault="00961E62" w:rsidP="009F1D5B">
      <w:pPr>
        <w:pStyle w:val="AFMANormal"/>
        <w:spacing w:after="240" w:line="276" w:lineRule="auto"/>
        <w:rPr>
          <w:sz w:val="22"/>
          <w:szCs w:val="22"/>
        </w:rPr>
      </w:pPr>
    </w:p>
    <w:sectPr w:rsidR="00961E62" w:rsidRPr="009F1D5B" w:rsidSect="009F1D5B">
      <w:footerReference w:type="even" r:id="rId11"/>
      <w:footerReference w:type="default" r:id="rId12"/>
      <w:pgSz w:w="11907" w:h="16840" w:code="9"/>
      <w:pgMar w:top="1440" w:right="1080" w:bottom="1440" w:left="108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D6C4B" w14:textId="77777777" w:rsidR="000D3E69" w:rsidRDefault="000D3E69">
      <w:r>
        <w:separator/>
      </w:r>
    </w:p>
  </w:endnote>
  <w:endnote w:type="continuationSeparator" w:id="0">
    <w:p w14:paraId="6224DBE2" w14:textId="77777777" w:rsidR="000D3E69" w:rsidRDefault="000D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04474" w14:textId="77777777" w:rsidR="008A1A86" w:rsidRDefault="001E5CEC" w:rsidP="00065D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AEC318" w14:textId="77777777" w:rsidR="008A1A86" w:rsidRDefault="008A1A86" w:rsidP="00065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E8384" w14:textId="48AF9B0D" w:rsidR="008A1A86" w:rsidRPr="00640640" w:rsidRDefault="001E5CEC" w:rsidP="00065DA8">
    <w:pPr>
      <w:pStyle w:val="Footer"/>
      <w:framePr w:wrap="around" w:vAnchor="text" w:hAnchor="margin" w:xAlign="center" w:y="1"/>
      <w:rPr>
        <w:rStyle w:val="PageNumber"/>
        <w:sz w:val="24"/>
        <w:szCs w:val="24"/>
      </w:rPr>
    </w:pPr>
    <w:r w:rsidRPr="00640640">
      <w:rPr>
        <w:rStyle w:val="PageNumber"/>
        <w:sz w:val="24"/>
        <w:szCs w:val="24"/>
      </w:rPr>
      <w:fldChar w:fldCharType="begin"/>
    </w:r>
    <w:r w:rsidRPr="00640640">
      <w:rPr>
        <w:rStyle w:val="PageNumber"/>
        <w:sz w:val="24"/>
        <w:szCs w:val="24"/>
      </w:rPr>
      <w:instrText xml:space="preserve">PAGE  </w:instrText>
    </w:r>
    <w:r w:rsidRPr="00640640">
      <w:rPr>
        <w:rStyle w:val="PageNumber"/>
        <w:sz w:val="24"/>
        <w:szCs w:val="24"/>
      </w:rPr>
      <w:fldChar w:fldCharType="separate"/>
    </w:r>
    <w:r w:rsidR="0044223D">
      <w:rPr>
        <w:rStyle w:val="PageNumber"/>
        <w:noProof/>
        <w:sz w:val="24"/>
        <w:szCs w:val="24"/>
      </w:rPr>
      <w:t>3</w:t>
    </w:r>
    <w:r w:rsidRPr="00640640">
      <w:rPr>
        <w:rStyle w:val="PageNumber"/>
        <w:sz w:val="24"/>
        <w:szCs w:val="24"/>
      </w:rPr>
      <w:fldChar w:fldCharType="end"/>
    </w:r>
  </w:p>
  <w:p w14:paraId="036839EC" w14:textId="77777777" w:rsidR="008A1A86" w:rsidRDefault="008A1A86" w:rsidP="00065D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47D7B" w14:textId="77777777" w:rsidR="000D3E69" w:rsidRDefault="000D3E69">
      <w:r>
        <w:separator/>
      </w:r>
    </w:p>
  </w:footnote>
  <w:footnote w:type="continuationSeparator" w:id="0">
    <w:p w14:paraId="655FEFF2" w14:textId="77777777" w:rsidR="000D3E69" w:rsidRDefault="000D3E69">
      <w:r>
        <w:continuationSeparator/>
      </w:r>
    </w:p>
  </w:footnote>
  <w:footnote w:id="1">
    <w:p w14:paraId="585EA29B" w14:textId="77777777" w:rsidR="0071207C" w:rsidRPr="00487CA2" w:rsidRDefault="0071207C" w:rsidP="0071207C">
      <w:pPr>
        <w:pStyle w:val="Definition"/>
        <w:ind w:left="0"/>
        <w:rPr>
          <w:color w:val="000000"/>
          <w:sz w:val="20"/>
          <w:shd w:val="clear" w:color="auto" w:fill="FFFFFF"/>
        </w:rPr>
      </w:pPr>
      <w:r>
        <w:rPr>
          <w:rStyle w:val="FootnoteReference"/>
        </w:rPr>
        <w:footnoteRef/>
      </w:r>
      <w:r>
        <w:t xml:space="preserve"> </w:t>
      </w:r>
      <w:r w:rsidRPr="00487CA2">
        <w:rPr>
          <w:bCs/>
          <w:iCs/>
          <w:color w:val="000000"/>
          <w:sz w:val="20"/>
          <w:shd w:val="clear" w:color="auto" w:fill="FFFFFF"/>
        </w:rPr>
        <w:t>PZJA Arrangement</w:t>
      </w:r>
      <w:r w:rsidRPr="00487CA2">
        <w:rPr>
          <w:color w:val="000000"/>
          <w:sz w:val="20"/>
          <w:shd w:val="clear" w:color="auto" w:fill="FFFFFF"/>
        </w:rPr>
        <w:t> means the document titled “</w:t>
      </w:r>
      <w:r w:rsidRPr="00487CA2">
        <w:rPr>
          <w:i/>
          <w:iCs/>
          <w:color w:val="000000"/>
          <w:sz w:val="20"/>
          <w:shd w:val="clear" w:color="auto" w:fill="FFFFFF"/>
        </w:rPr>
        <w:t xml:space="preserve">Arrangement between the Commonwealth and the State of Queensland under section 31 of the Torres Strait Fisheries Act 1984” </w:t>
      </w:r>
      <w:r w:rsidRPr="00E3241A">
        <w:rPr>
          <w:iCs/>
          <w:color w:val="000000"/>
          <w:sz w:val="20"/>
          <w:shd w:val="clear" w:color="auto" w:fill="FFFFFF"/>
        </w:rPr>
        <w:t>dated 17 March 1999</w:t>
      </w:r>
      <w:r w:rsidRPr="00487CA2">
        <w:rPr>
          <w:i/>
          <w:iCs/>
          <w:color w:val="000000"/>
          <w:sz w:val="20"/>
          <w:shd w:val="clear" w:color="auto" w:fill="FFFFFF"/>
        </w:rPr>
        <w:t xml:space="preserve"> </w:t>
      </w:r>
      <w:r w:rsidRPr="00487CA2">
        <w:rPr>
          <w:color w:val="000000"/>
          <w:sz w:val="20"/>
          <w:shd w:val="clear" w:color="auto" w:fill="FFFFFF"/>
        </w:rPr>
        <w:t>and</w:t>
      </w:r>
      <w:r w:rsidRPr="00487CA2">
        <w:rPr>
          <w:i/>
          <w:iCs/>
          <w:color w:val="000000"/>
          <w:sz w:val="20"/>
          <w:shd w:val="clear" w:color="auto" w:fill="FFFFFF"/>
        </w:rPr>
        <w:t xml:space="preserve"> </w:t>
      </w:r>
      <w:r w:rsidRPr="00487CA2">
        <w:rPr>
          <w:color w:val="000000"/>
          <w:sz w:val="20"/>
          <w:shd w:val="clear" w:color="auto" w:fill="FFFFFF"/>
        </w:rPr>
        <w:t>published on the Federal Register of Legislation, as that document exis</w:t>
      </w:r>
      <w:r>
        <w:rPr>
          <w:color w:val="000000"/>
          <w:sz w:val="20"/>
          <w:shd w:val="clear" w:color="auto" w:fill="FFFFFF"/>
        </w:rPr>
        <w:t>ts at the commencement of this I</w:t>
      </w:r>
      <w:r w:rsidRPr="00487CA2">
        <w:rPr>
          <w:color w:val="000000"/>
          <w:sz w:val="20"/>
          <w:shd w:val="clear" w:color="auto" w:fill="FFFFFF"/>
        </w:rPr>
        <w:t xml:space="preserve">nstrument. </w:t>
      </w:r>
    </w:p>
    <w:p w14:paraId="4190F7F7" w14:textId="77777777" w:rsidR="0071207C" w:rsidRPr="00E3241A" w:rsidRDefault="0071207C" w:rsidP="0071207C">
      <w:pPr>
        <w:pStyle w:val="notetext"/>
        <w:shd w:val="clear" w:color="auto" w:fill="FFFFFF"/>
        <w:spacing w:before="122" w:beforeAutospacing="0" w:after="0" w:afterAutospacing="0"/>
        <w:rPr>
          <w:color w:val="000000"/>
          <w:sz w:val="18"/>
          <w:szCs w:val="18"/>
        </w:rPr>
      </w:pPr>
      <w:r>
        <w:rPr>
          <w:color w:val="000000"/>
          <w:sz w:val="18"/>
          <w:szCs w:val="18"/>
        </w:rPr>
        <w:t>Note: The PZJA Arrangement could in 2020 be viewed on the website of the Federal Register of Legislation (</w:t>
      </w:r>
      <w:hyperlink r:id="rId1" w:history="1">
        <w:r>
          <w:rPr>
            <w:rStyle w:val="Hyperlink"/>
            <w:color w:val="000000"/>
            <w:sz w:val="18"/>
            <w:szCs w:val="18"/>
          </w:rPr>
          <w:t>https://www.legislation.gov.au/Details/F2008B00750</w:t>
        </w:r>
      </w:hyperlink>
      <w:r>
        <w:rPr>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21333"/>
    <w:multiLevelType w:val="hybridMultilevel"/>
    <w:tmpl w:val="2816554C"/>
    <w:lvl w:ilvl="0" w:tplc="32DA52E0">
      <w:start w:val="1"/>
      <w:numFmt w:val="decimal"/>
      <w:lvlText w:val="%1."/>
      <w:lvlJc w:val="left"/>
      <w:pPr>
        <w:ind w:left="360" w:hanging="360"/>
      </w:pPr>
      <w:rPr>
        <w:rFonts w:ascii="Times New Roman" w:hAnsi="Times New Roman" w:cs="Times New Roman" w:hint="default"/>
        <w:b w:val="0"/>
        <w:sz w:val="22"/>
        <w:szCs w:val="22"/>
      </w:rPr>
    </w:lvl>
    <w:lvl w:ilvl="1" w:tplc="0C09001B">
      <w:start w:val="1"/>
      <w:numFmt w:val="lowerRoman"/>
      <w:lvlText w:val="%2."/>
      <w:lvlJc w:val="righ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E62"/>
    <w:rsid w:val="00031C5D"/>
    <w:rsid w:val="00046C37"/>
    <w:rsid w:val="00065DA8"/>
    <w:rsid w:val="00072EB4"/>
    <w:rsid w:val="000954B9"/>
    <w:rsid w:val="000C4608"/>
    <w:rsid w:val="000C616C"/>
    <w:rsid w:val="000D3E69"/>
    <w:rsid w:val="000E5515"/>
    <w:rsid w:val="000F67E4"/>
    <w:rsid w:val="000F786A"/>
    <w:rsid w:val="00141963"/>
    <w:rsid w:val="001D0414"/>
    <w:rsid w:val="001E5CEC"/>
    <w:rsid w:val="001F41D2"/>
    <w:rsid w:val="001F44D0"/>
    <w:rsid w:val="002064AD"/>
    <w:rsid w:val="0023732F"/>
    <w:rsid w:val="002404C3"/>
    <w:rsid w:val="00286A23"/>
    <w:rsid w:val="002875D8"/>
    <w:rsid w:val="00293E44"/>
    <w:rsid w:val="002B0581"/>
    <w:rsid w:val="002B1E52"/>
    <w:rsid w:val="002B4D13"/>
    <w:rsid w:val="002C7F21"/>
    <w:rsid w:val="00313013"/>
    <w:rsid w:val="003241F0"/>
    <w:rsid w:val="00337976"/>
    <w:rsid w:val="00362147"/>
    <w:rsid w:val="00370B4A"/>
    <w:rsid w:val="0038620F"/>
    <w:rsid w:val="003A7B8C"/>
    <w:rsid w:val="003C1744"/>
    <w:rsid w:val="003C59B8"/>
    <w:rsid w:val="003C5AD8"/>
    <w:rsid w:val="00401746"/>
    <w:rsid w:val="004025CD"/>
    <w:rsid w:val="00407D0D"/>
    <w:rsid w:val="00422C5B"/>
    <w:rsid w:val="00436860"/>
    <w:rsid w:val="0044223D"/>
    <w:rsid w:val="00446791"/>
    <w:rsid w:val="00493263"/>
    <w:rsid w:val="004A004C"/>
    <w:rsid w:val="004A6ABA"/>
    <w:rsid w:val="004B07C3"/>
    <w:rsid w:val="004D0430"/>
    <w:rsid w:val="004D6ED2"/>
    <w:rsid w:val="004D749D"/>
    <w:rsid w:val="00510F92"/>
    <w:rsid w:val="00531001"/>
    <w:rsid w:val="00533EC7"/>
    <w:rsid w:val="00534A68"/>
    <w:rsid w:val="0055589F"/>
    <w:rsid w:val="00582FE2"/>
    <w:rsid w:val="005A7814"/>
    <w:rsid w:val="005B01C8"/>
    <w:rsid w:val="005C04D7"/>
    <w:rsid w:val="005C5BC3"/>
    <w:rsid w:val="00602F4F"/>
    <w:rsid w:val="00607C08"/>
    <w:rsid w:val="00625929"/>
    <w:rsid w:val="00640640"/>
    <w:rsid w:val="006408F9"/>
    <w:rsid w:val="006734D0"/>
    <w:rsid w:val="00682800"/>
    <w:rsid w:val="006A6EEE"/>
    <w:rsid w:val="006C11D9"/>
    <w:rsid w:val="006D6191"/>
    <w:rsid w:val="006F0BFB"/>
    <w:rsid w:val="006F28AC"/>
    <w:rsid w:val="006F753C"/>
    <w:rsid w:val="0071207C"/>
    <w:rsid w:val="00730907"/>
    <w:rsid w:val="00730A14"/>
    <w:rsid w:val="00730D18"/>
    <w:rsid w:val="00734637"/>
    <w:rsid w:val="0074401C"/>
    <w:rsid w:val="0074591F"/>
    <w:rsid w:val="00747E9B"/>
    <w:rsid w:val="00752854"/>
    <w:rsid w:val="007654D0"/>
    <w:rsid w:val="00767723"/>
    <w:rsid w:val="007855CE"/>
    <w:rsid w:val="007934AA"/>
    <w:rsid w:val="007B0733"/>
    <w:rsid w:val="007F00FD"/>
    <w:rsid w:val="007F61EB"/>
    <w:rsid w:val="008167F4"/>
    <w:rsid w:val="00820E1F"/>
    <w:rsid w:val="008376C0"/>
    <w:rsid w:val="00840F2A"/>
    <w:rsid w:val="00843F40"/>
    <w:rsid w:val="0084704A"/>
    <w:rsid w:val="00852DCF"/>
    <w:rsid w:val="0087791D"/>
    <w:rsid w:val="00881B62"/>
    <w:rsid w:val="00881C2F"/>
    <w:rsid w:val="00884DA9"/>
    <w:rsid w:val="008A1A86"/>
    <w:rsid w:val="008B1E2A"/>
    <w:rsid w:val="008B7E8B"/>
    <w:rsid w:val="008F0925"/>
    <w:rsid w:val="00944697"/>
    <w:rsid w:val="0094770B"/>
    <w:rsid w:val="00961E62"/>
    <w:rsid w:val="00976F05"/>
    <w:rsid w:val="009D6412"/>
    <w:rsid w:val="009E0977"/>
    <w:rsid w:val="009E1CCA"/>
    <w:rsid w:val="009F15A6"/>
    <w:rsid w:val="009F1D5B"/>
    <w:rsid w:val="009F1E82"/>
    <w:rsid w:val="00A00F9A"/>
    <w:rsid w:val="00A05BE2"/>
    <w:rsid w:val="00A06CA3"/>
    <w:rsid w:val="00A511CA"/>
    <w:rsid w:val="00A60498"/>
    <w:rsid w:val="00A70239"/>
    <w:rsid w:val="00A7197D"/>
    <w:rsid w:val="00A967E0"/>
    <w:rsid w:val="00AC2CE4"/>
    <w:rsid w:val="00AD0163"/>
    <w:rsid w:val="00AD1BEF"/>
    <w:rsid w:val="00B13D58"/>
    <w:rsid w:val="00B20064"/>
    <w:rsid w:val="00B26EDA"/>
    <w:rsid w:val="00B517FB"/>
    <w:rsid w:val="00B56399"/>
    <w:rsid w:val="00B75C64"/>
    <w:rsid w:val="00B8137E"/>
    <w:rsid w:val="00BC4ABF"/>
    <w:rsid w:val="00BC6DA4"/>
    <w:rsid w:val="00BE7F82"/>
    <w:rsid w:val="00C00EE6"/>
    <w:rsid w:val="00C33619"/>
    <w:rsid w:val="00C523AE"/>
    <w:rsid w:val="00C52C38"/>
    <w:rsid w:val="00C748BD"/>
    <w:rsid w:val="00C75215"/>
    <w:rsid w:val="00C91C92"/>
    <w:rsid w:val="00CC140D"/>
    <w:rsid w:val="00CF5C12"/>
    <w:rsid w:val="00CF6108"/>
    <w:rsid w:val="00D31456"/>
    <w:rsid w:val="00D4059E"/>
    <w:rsid w:val="00D41E77"/>
    <w:rsid w:val="00D54760"/>
    <w:rsid w:val="00D558FA"/>
    <w:rsid w:val="00DE6F71"/>
    <w:rsid w:val="00E05653"/>
    <w:rsid w:val="00E551E9"/>
    <w:rsid w:val="00E7778B"/>
    <w:rsid w:val="00E93EEA"/>
    <w:rsid w:val="00EB5423"/>
    <w:rsid w:val="00EC28E7"/>
    <w:rsid w:val="00F02693"/>
    <w:rsid w:val="00F24AB3"/>
    <w:rsid w:val="00F75863"/>
    <w:rsid w:val="00F9524B"/>
    <w:rsid w:val="00F96C0D"/>
    <w:rsid w:val="00FB73A3"/>
    <w:rsid w:val="00FC1DDD"/>
    <w:rsid w:val="00FC6E02"/>
    <w:rsid w:val="00FF3B33"/>
    <w:rsid w:val="00FF3C79"/>
    <w:rsid w:val="00FF6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6E9CE8"/>
  <w15:docId w15:val="{C4BEAA84-251D-4ED8-BB4A-B394AEB2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E6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1E62"/>
    <w:pPr>
      <w:tabs>
        <w:tab w:val="center" w:pos="4819"/>
        <w:tab w:val="right" w:pos="9071"/>
      </w:tabs>
    </w:pPr>
    <w:rPr>
      <w:sz w:val="24"/>
      <w:lang w:val="en-GB"/>
    </w:rPr>
  </w:style>
  <w:style w:type="character" w:customStyle="1" w:styleId="HeaderChar">
    <w:name w:val="Header Char"/>
    <w:basedOn w:val="DefaultParagraphFont"/>
    <w:link w:val="Header"/>
    <w:rsid w:val="00961E62"/>
    <w:rPr>
      <w:rFonts w:ascii="Times New Roman" w:eastAsia="Times New Roman" w:hAnsi="Times New Roman" w:cs="Times New Roman"/>
      <w:sz w:val="24"/>
      <w:szCs w:val="20"/>
      <w:lang w:val="en-GB"/>
    </w:rPr>
  </w:style>
  <w:style w:type="paragraph" w:styleId="Footer">
    <w:name w:val="footer"/>
    <w:basedOn w:val="Normal"/>
    <w:link w:val="FooterChar"/>
    <w:rsid w:val="00961E62"/>
    <w:pPr>
      <w:tabs>
        <w:tab w:val="center" w:pos="4153"/>
        <w:tab w:val="right" w:pos="8306"/>
      </w:tabs>
    </w:pPr>
  </w:style>
  <w:style w:type="character" w:customStyle="1" w:styleId="FooterChar">
    <w:name w:val="Footer Char"/>
    <w:basedOn w:val="DefaultParagraphFont"/>
    <w:link w:val="Footer"/>
    <w:rsid w:val="00961E62"/>
    <w:rPr>
      <w:rFonts w:ascii="Times New Roman" w:eastAsia="Times New Roman" w:hAnsi="Times New Roman" w:cs="Times New Roman"/>
      <w:sz w:val="20"/>
      <w:szCs w:val="20"/>
    </w:rPr>
  </w:style>
  <w:style w:type="character" w:styleId="PageNumber">
    <w:name w:val="page number"/>
    <w:basedOn w:val="DefaultParagraphFont"/>
    <w:rsid w:val="00961E62"/>
  </w:style>
  <w:style w:type="paragraph" w:styleId="BodyText">
    <w:name w:val="Body Text"/>
    <w:basedOn w:val="Normal"/>
    <w:link w:val="BodyTextChar"/>
    <w:rsid w:val="00961E62"/>
    <w:pPr>
      <w:spacing w:before="120"/>
      <w:jc w:val="both"/>
    </w:pPr>
    <w:rPr>
      <w:sz w:val="24"/>
    </w:rPr>
  </w:style>
  <w:style w:type="character" w:customStyle="1" w:styleId="BodyTextChar">
    <w:name w:val="Body Text Char"/>
    <w:basedOn w:val="DefaultParagraphFont"/>
    <w:link w:val="BodyText"/>
    <w:rsid w:val="00961E62"/>
    <w:rPr>
      <w:rFonts w:ascii="Times New Roman" w:eastAsia="Times New Roman" w:hAnsi="Times New Roman" w:cs="Times New Roman"/>
      <w:sz w:val="24"/>
      <w:szCs w:val="20"/>
    </w:rPr>
  </w:style>
  <w:style w:type="paragraph" w:customStyle="1" w:styleId="AFMANormal">
    <w:name w:val="AFMA Normal"/>
    <w:rsid w:val="00961E62"/>
    <w:pPr>
      <w:spacing w:before="240" w:after="0" w:line="240" w:lineRule="auto"/>
      <w:jc w:val="both"/>
    </w:pPr>
    <w:rPr>
      <w:rFonts w:ascii="Times New Roman" w:eastAsia="Times New Roman" w:hAnsi="Times New Roman" w:cs="Times New Roman"/>
      <w:snapToGrid w:val="0"/>
      <w:kern w:val="20"/>
      <w:sz w:val="24"/>
      <w:szCs w:val="20"/>
    </w:rPr>
  </w:style>
  <w:style w:type="paragraph" w:customStyle="1" w:styleId="heading0">
    <w:name w:val="heading0"/>
    <w:basedOn w:val="Normal"/>
    <w:rsid w:val="00961E62"/>
    <w:pPr>
      <w:spacing w:before="100" w:beforeAutospacing="1" w:after="100" w:afterAutospacing="1"/>
    </w:pPr>
    <w:rPr>
      <w:sz w:val="24"/>
      <w:szCs w:val="24"/>
      <w:lang w:eastAsia="en-AU"/>
    </w:rPr>
  </w:style>
  <w:style w:type="paragraph" w:styleId="NormalWeb">
    <w:name w:val="Normal (Web)"/>
    <w:basedOn w:val="Normal"/>
    <w:rsid w:val="00961E62"/>
    <w:pPr>
      <w:spacing w:before="100" w:beforeAutospacing="1" w:after="100" w:afterAutospacing="1"/>
    </w:pPr>
    <w:rPr>
      <w:sz w:val="24"/>
      <w:szCs w:val="24"/>
      <w:lang w:eastAsia="en-AU"/>
    </w:rPr>
  </w:style>
  <w:style w:type="paragraph" w:styleId="BalloonText">
    <w:name w:val="Balloon Text"/>
    <w:basedOn w:val="Normal"/>
    <w:link w:val="BalloonTextChar"/>
    <w:uiPriority w:val="99"/>
    <w:semiHidden/>
    <w:unhideWhenUsed/>
    <w:rsid w:val="00B56399"/>
    <w:rPr>
      <w:rFonts w:ascii="Tahoma" w:hAnsi="Tahoma" w:cs="Tahoma"/>
      <w:sz w:val="16"/>
      <w:szCs w:val="16"/>
    </w:rPr>
  </w:style>
  <w:style w:type="character" w:customStyle="1" w:styleId="BalloonTextChar">
    <w:name w:val="Balloon Text Char"/>
    <w:basedOn w:val="DefaultParagraphFont"/>
    <w:link w:val="BalloonText"/>
    <w:uiPriority w:val="99"/>
    <w:semiHidden/>
    <w:rsid w:val="00B5639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B0581"/>
    <w:rPr>
      <w:sz w:val="16"/>
      <w:szCs w:val="16"/>
    </w:rPr>
  </w:style>
  <w:style w:type="paragraph" w:styleId="CommentText">
    <w:name w:val="annotation text"/>
    <w:basedOn w:val="Normal"/>
    <w:link w:val="CommentTextChar"/>
    <w:uiPriority w:val="99"/>
    <w:semiHidden/>
    <w:unhideWhenUsed/>
    <w:rsid w:val="002B0581"/>
  </w:style>
  <w:style w:type="character" w:customStyle="1" w:styleId="CommentTextChar">
    <w:name w:val="Comment Text Char"/>
    <w:basedOn w:val="DefaultParagraphFont"/>
    <w:link w:val="CommentText"/>
    <w:uiPriority w:val="99"/>
    <w:semiHidden/>
    <w:rsid w:val="002B05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81"/>
    <w:rPr>
      <w:b/>
      <w:bCs/>
    </w:rPr>
  </w:style>
  <w:style w:type="character" w:customStyle="1" w:styleId="CommentSubjectChar">
    <w:name w:val="Comment Subject Char"/>
    <w:basedOn w:val="CommentTextChar"/>
    <w:link w:val="CommentSubject"/>
    <w:uiPriority w:val="99"/>
    <w:semiHidden/>
    <w:rsid w:val="002B058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A06CA3"/>
  </w:style>
  <w:style w:type="character" w:customStyle="1" w:styleId="FootnoteTextChar">
    <w:name w:val="Footnote Text Char"/>
    <w:basedOn w:val="DefaultParagraphFont"/>
    <w:link w:val="FootnoteText"/>
    <w:uiPriority w:val="99"/>
    <w:semiHidden/>
    <w:rsid w:val="00A06CA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6CA3"/>
    <w:rPr>
      <w:vertAlign w:val="superscript"/>
    </w:rPr>
  </w:style>
  <w:style w:type="character" w:styleId="Hyperlink">
    <w:name w:val="Hyperlink"/>
    <w:basedOn w:val="DefaultParagraphFont"/>
    <w:uiPriority w:val="99"/>
    <w:unhideWhenUsed/>
    <w:rsid w:val="00A06CA3"/>
    <w:rPr>
      <w:color w:val="0000FF" w:themeColor="hyperlink"/>
      <w:u w:val="single"/>
    </w:rPr>
  </w:style>
  <w:style w:type="paragraph" w:styleId="ListParagraph">
    <w:name w:val="List Paragraph"/>
    <w:basedOn w:val="Normal"/>
    <w:link w:val="ListParagraphChar"/>
    <w:uiPriority w:val="34"/>
    <w:qFormat/>
    <w:rsid w:val="006C11D9"/>
    <w:pPr>
      <w:spacing w:before="100" w:beforeAutospacing="1" w:after="100" w:afterAutospacing="1"/>
    </w:pPr>
    <w:rPr>
      <w:sz w:val="24"/>
      <w:szCs w:val="24"/>
      <w:lang w:eastAsia="en-AU"/>
    </w:rPr>
  </w:style>
  <w:style w:type="paragraph" w:customStyle="1" w:styleId="notetext">
    <w:name w:val="notetext"/>
    <w:basedOn w:val="Normal"/>
    <w:rsid w:val="0071207C"/>
    <w:pPr>
      <w:spacing w:before="100" w:beforeAutospacing="1" w:after="100" w:afterAutospacing="1"/>
    </w:pPr>
    <w:rPr>
      <w:rFonts w:eastAsiaTheme="minorHAnsi"/>
      <w:sz w:val="24"/>
      <w:szCs w:val="24"/>
      <w:lang w:eastAsia="en-AU"/>
    </w:rPr>
  </w:style>
  <w:style w:type="paragraph" w:customStyle="1" w:styleId="Definition">
    <w:name w:val="Definition"/>
    <w:aliases w:val="dd"/>
    <w:basedOn w:val="Normal"/>
    <w:rsid w:val="0071207C"/>
    <w:pPr>
      <w:spacing w:before="180"/>
      <w:ind w:left="1134"/>
    </w:pPr>
    <w:rPr>
      <w:rFonts w:eastAsiaTheme="minorHAnsi"/>
      <w:sz w:val="22"/>
      <w:szCs w:val="22"/>
      <w:lang w:eastAsia="en-AU"/>
    </w:rPr>
  </w:style>
  <w:style w:type="character" w:customStyle="1" w:styleId="ListParagraphChar">
    <w:name w:val="List Paragraph Char"/>
    <w:basedOn w:val="DefaultParagraphFont"/>
    <w:link w:val="ListParagraph"/>
    <w:uiPriority w:val="34"/>
    <w:rsid w:val="00CF5C12"/>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34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08B00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A4121-27D0-4591-95BD-0C4F6FEEAF16}">
  <ds:schemaRefs>
    <ds:schemaRef ds:uri="http://schemas.microsoft.com/sharepoint/v3/contenttype/forms"/>
  </ds:schemaRefs>
</ds:datastoreItem>
</file>

<file path=customXml/itemProps2.xml><?xml version="1.0" encoding="utf-8"?>
<ds:datastoreItem xmlns:ds="http://schemas.openxmlformats.org/officeDocument/2006/customXml" ds:itemID="{94407D7F-B2A7-4634-BA60-7ECC2F0F4BA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59AF3E7-64EA-49A8-BE1B-467D5257A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59F43E4-C62D-4084-AE6C-BE0FBFF24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Matthew</dc:creator>
  <cp:lastModifiedBy>DAL PIVA, Daniel</cp:lastModifiedBy>
  <cp:revision>5</cp:revision>
  <cp:lastPrinted>1899-12-31T14:00:00Z</cp:lastPrinted>
  <dcterms:created xsi:type="dcterms:W3CDTF">2020-11-18T01:21:00Z</dcterms:created>
  <dcterms:modified xsi:type="dcterms:W3CDTF">2020-12-10T22:51:00Z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4cc58bc6-6db8-4088-971e-7febdabb9dcd</vt:lpwstr>
  </property>
  <property fmtid="{D5CDD505-2E9C-101B-9397-08002B2CF9AE}" pid="3" name="SEC">
    <vt:lpwstr>OFFICIAL</vt:lpwstr>
  </property>
  <property fmtid="{D5CDD505-2E9C-101B-9397-08002B2CF9AE}" pid="4" name="DLM">
    <vt:lpwstr>Sensitive (Legal Privilege)</vt:lpwstr>
  </property>
  <property fmtid="{D5CDD505-2E9C-101B-9397-08002B2CF9AE}" pid="5" name="ApplyMark">
    <vt:lpwstr>false</vt:lpwstr>
  </property>
</Properties>
</file>