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E30E2" w14:textId="77777777" w:rsidR="000600A4" w:rsidRPr="004C4305" w:rsidRDefault="000600A4" w:rsidP="000600A4">
      <w:pPr>
        <w:shd w:val="clear" w:color="auto" w:fill="FFFFFF"/>
        <w:spacing w:before="100" w:beforeAutospacing="1" w:after="100" w:afterAutospacing="1"/>
        <w:jc w:val="center"/>
        <w:rPr>
          <w:lang w:val="en-US"/>
        </w:rPr>
      </w:pPr>
      <w:r w:rsidRPr="004C4305">
        <w:rPr>
          <w:b/>
          <w:bCs/>
        </w:rPr>
        <w:t>EXPLANATORY STATEMENT</w:t>
      </w:r>
      <w:r w:rsidRPr="004C4305">
        <w:rPr>
          <w:rFonts w:hint="eastAsia"/>
          <w:b/>
          <w:bCs/>
          <w:i/>
          <w:iCs/>
        </w:rPr>
        <w:t> </w:t>
      </w:r>
    </w:p>
    <w:p w14:paraId="59362491" w14:textId="77777777" w:rsidR="000600A4" w:rsidRPr="004C4305" w:rsidRDefault="000600A4" w:rsidP="000600A4">
      <w:pPr>
        <w:shd w:val="clear" w:color="auto" w:fill="FFFFFF"/>
        <w:spacing w:before="100" w:beforeAutospacing="1" w:after="100" w:afterAutospacing="1"/>
        <w:jc w:val="center"/>
        <w:rPr>
          <w:lang w:val="en-US"/>
        </w:rPr>
      </w:pPr>
      <w:r w:rsidRPr="004C4305">
        <w:rPr>
          <w:b/>
          <w:bCs/>
          <w:i/>
          <w:iCs/>
        </w:rPr>
        <w:t>National Health Act 1953</w:t>
      </w:r>
    </w:p>
    <w:p w14:paraId="0D25C00C" w14:textId="77777777" w:rsidR="000600A4" w:rsidRPr="004C4305" w:rsidRDefault="000600A4" w:rsidP="000600A4">
      <w:pPr>
        <w:jc w:val="center"/>
        <w:rPr>
          <w:bCs/>
          <w:i/>
        </w:rPr>
      </w:pPr>
      <w:r w:rsidRPr="004C4305">
        <w:rPr>
          <w:bCs/>
          <w:i/>
        </w:rPr>
        <w:t xml:space="preserve">National Health (Immunisation Program – Designated Vaccines) Amendment Determination (No. 4) 2020 </w:t>
      </w:r>
    </w:p>
    <w:p w14:paraId="7C453903" w14:textId="77777777" w:rsidR="000600A4" w:rsidRPr="004C4305" w:rsidRDefault="000600A4" w:rsidP="000600A4">
      <w:pPr>
        <w:jc w:val="center"/>
        <w:rPr>
          <w:sz w:val="28"/>
          <w:szCs w:val="28"/>
        </w:rPr>
      </w:pPr>
    </w:p>
    <w:p w14:paraId="06A93230" w14:textId="77777777" w:rsidR="000600A4" w:rsidRPr="004C4305" w:rsidRDefault="000600A4" w:rsidP="000600A4">
      <w:pPr>
        <w:pStyle w:val="Header"/>
        <w:tabs>
          <w:tab w:val="left" w:pos="720"/>
        </w:tabs>
      </w:pPr>
      <w:r w:rsidRPr="004C4305">
        <w:rPr>
          <w:b/>
          <w:bCs/>
        </w:rPr>
        <w:t>Authority</w:t>
      </w:r>
    </w:p>
    <w:p w14:paraId="23F705ED" w14:textId="77777777" w:rsidR="000600A4" w:rsidRPr="004C4305" w:rsidRDefault="000600A4" w:rsidP="000600A4">
      <w:pPr>
        <w:spacing w:after="240"/>
        <w:rPr>
          <w:color w:val="000000"/>
          <w:szCs w:val="22"/>
        </w:rPr>
      </w:pPr>
      <w:r w:rsidRPr="004C4305">
        <w:rPr>
          <w:color w:val="000000"/>
          <w:szCs w:val="22"/>
        </w:rPr>
        <w:t xml:space="preserve">Subsection 9B(1) of the </w:t>
      </w:r>
      <w:r w:rsidRPr="004C4305">
        <w:rPr>
          <w:i/>
          <w:color w:val="000000"/>
          <w:szCs w:val="22"/>
        </w:rPr>
        <w:t>National Health Act 1953</w:t>
      </w:r>
      <w:r w:rsidRPr="004C4305">
        <w:rPr>
          <w:color w:val="000000"/>
          <w:szCs w:val="22"/>
        </w:rPr>
        <w:t xml:space="preserve"> (the Act) provides that the Minister may provide, or arrange for the provision of, designated vaccines and goods or services that are associated with, or incidental to, the provision or administration of designated vaccines. Subsection 9B(2) provides that the Minister may, by legislative instrument, determine that a specified vaccine is a designated vaccine for the purposes of the Act. Subsection 9B(5) provides that in addition to specifying a vaccine, a determination may specify the circumstances in which the vaccine may be provided.</w:t>
      </w:r>
    </w:p>
    <w:p w14:paraId="56AB0833" w14:textId="77777777" w:rsidR="000600A4" w:rsidRPr="004C4305" w:rsidRDefault="000600A4" w:rsidP="000600A4">
      <w:pPr>
        <w:spacing w:after="240"/>
        <w:rPr>
          <w:color w:val="000000"/>
          <w:szCs w:val="22"/>
        </w:rPr>
      </w:pPr>
      <w:r w:rsidRPr="004C4305">
        <w:rPr>
          <w:color w:val="000000"/>
          <w:szCs w:val="22"/>
        </w:rPr>
        <w:t xml:space="preserve">In addition to the power to make this instrument under section 9B of the Act, subsection 33(3) of the </w:t>
      </w:r>
      <w:r w:rsidRPr="004C4305">
        <w:rPr>
          <w:i/>
          <w:iCs/>
          <w:color w:val="000000"/>
          <w:szCs w:val="22"/>
        </w:rPr>
        <w:t>Acts Interpretation Act 1901</w:t>
      </w:r>
      <w:r w:rsidRPr="004C4305">
        <w:rPr>
          <w:color w:val="000000"/>
          <w:szCs w:val="22"/>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A6661B8" w14:textId="77777777" w:rsidR="000600A4" w:rsidRPr="004C4305" w:rsidRDefault="000600A4" w:rsidP="000600A4">
      <w:pPr>
        <w:pStyle w:val="Header"/>
        <w:tabs>
          <w:tab w:val="clear" w:pos="4153"/>
          <w:tab w:val="clear" w:pos="8306"/>
          <w:tab w:val="left" w:pos="720"/>
          <w:tab w:val="left" w:pos="8115"/>
        </w:tabs>
      </w:pPr>
      <w:r w:rsidRPr="004C4305">
        <w:rPr>
          <w:b/>
          <w:bCs/>
        </w:rPr>
        <w:t>Purpose</w:t>
      </w:r>
      <w:r w:rsidRPr="004C4305">
        <w:rPr>
          <w:b/>
          <w:bCs/>
        </w:rPr>
        <w:tab/>
      </w:r>
    </w:p>
    <w:p w14:paraId="44BFBDD7" w14:textId="77777777" w:rsidR="000600A4" w:rsidRPr="004C4305" w:rsidRDefault="000600A4" w:rsidP="000600A4">
      <w:r w:rsidRPr="004C4305">
        <w:rPr>
          <w:bCs/>
        </w:rPr>
        <w:t>The</w:t>
      </w:r>
      <w:r w:rsidRPr="004C4305">
        <w:rPr>
          <w:bCs/>
          <w:i/>
        </w:rPr>
        <w:t xml:space="preserve"> National Health (Immunisation Program – Designated Vaccines) Amendment Determination (No.4) 2020 </w:t>
      </w:r>
      <w:r w:rsidRPr="004C4305">
        <w:rPr>
          <w:bCs/>
        </w:rPr>
        <w:t xml:space="preserve">(the Amendment Determination) amends the </w:t>
      </w:r>
      <w:r w:rsidRPr="004C4305">
        <w:rPr>
          <w:bCs/>
          <w:i/>
        </w:rPr>
        <w:t>National Health (Immunisation Program – Designated Vaccines) Determination 2014 (No. 1)</w:t>
      </w:r>
      <w:r w:rsidRPr="004C4305">
        <w:rPr>
          <w:bCs/>
        </w:rPr>
        <w:t xml:space="preserve"> (the Determination) to </w:t>
      </w:r>
      <w:r w:rsidRPr="004C4305">
        <w:t>extend the current temporary listing of Hepatitis B surface antigen recombinant vaccine, Engerix-B (adult formulation), for use in adolescents and adults until 30 June 2022, due to an ongoing shortage of the National Immunisation Program (NIP) listed adult formulation of H-B-Vax ll for the same indication and population.</w:t>
      </w:r>
    </w:p>
    <w:p w14:paraId="0AE2AD76" w14:textId="77777777" w:rsidR="000600A4" w:rsidRPr="004C4305" w:rsidRDefault="000600A4" w:rsidP="000600A4"/>
    <w:p w14:paraId="35253EDE" w14:textId="77777777" w:rsidR="000600A4" w:rsidRPr="004C4305" w:rsidRDefault="000600A4" w:rsidP="000600A4">
      <w:pPr>
        <w:rPr>
          <w:rStyle w:val="normalchar"/>
          <w:b/>
        </w:rPr>
      </w:pPr>
      <w:r w:rsidRPr="004C4305">
        <w:rPr>
          <w:color w:val="000000"/>
          <w:szCs w:val="22"/>
        </w:rPr>
        <w:t>This amendment implements recommendations from the Pharmaceutical Benefits Advisory Committee (PBAC).</w:t>
      </w:r>
    </w:p>
    <w:p w14:paraId="70E98A8F" w14:textId="77777777" w:rsidR="000600A4" w:rsidRPr="004C4305" w:rsidRDefault="000600A4" w:rsidP="000600A4">
      <w:pPr>
        <w:autoSpaceDE w:val="0"/>
        <w:autoSpaceDN w:val="0"/>
        <w:adjustRightInd w:val="0"/>
        <w:rPr>
          <w:rStyle w:val="normalchar"/>
          <w:b/>
        </w:rPr>
      </w:pPr>
    </w:p>
    <w:p w14:paraId="4A758DD4" w14:textId="77777777" w:rsidR="000600A4" w:rsidRPr="004C4305" w:rsidRDefault="000600A4" w:rsidP="000600A4">
      <w:pPr>
        <w:autoSpaceDE w:val="0"/>
        <w:autoSpaceDN w:val="0"/>
        <w:adjustRightInd w:val="0"/>
        <w:rPr>
          <w:rStyle w:val="normalchar"/>
          <w:b/>
        </w:rPr>
      </w:pPr>
      <w:r w:rsidRPr="004C4305">
        <w:rPr>
          <w:rStyle w:val="normalchar"/>
          <w:b/>
        </w:rPr>
        <w:t>Background</w:t>
      </w:r>
    </w:p>
    <w:p w14:paraId="1ACEDDDA" w14:textId="77777777" w:rsidR="000600A4" w:rsidRPr="004C4305" w:rsidRDefault="000600A4" w:rsidP="000600A4">
      <w:pPr>
        <w:autoSpaceDE w:val="0"/>
        <w:autoSpaceDN w:val="0"/>
        <w:adjustRightInd w:val="0"/>
        <w:rPr>
          <w:rStyle w:val="normalchar"/>
          <w:b/>
        </w:rPr>
      </w:pPr>
      <w:r w:rsidRPr="004C4305">
        <w:rPr>
          <w:i/>
          <w:u w:val="single"/>
        </w:rPr>
        <w:t xml:space="preserve">The National Immunisation Program (NIP) </w:t>
      </w:r>
    </w:p>
    <w:p w14:paraId="0D21B3E3" w14:textId="77777777" w:rsidR="000600A4" w:rsidRPr="004C4305" w:rsidRDefault="000600A4" w:rsidP="000600A4">
      <w:pPr>
        <w:autoSpaceDE w:val="0"/>
        <w:autoSpaceDN w:val="0"/>
        <w:adjustRightInd w:val="0"/>
        <w:rPr>
          <w:color w:val="000000"/>
          <w:szCs w:val="22"/>
        </w:rPr>
      </w:pPr>
      <w:r w:rsidRPr="004C4305">
        <w:rPr>
          <w:color w:val="000000"/>
          <w:szCs w:val="22"/>
        </w:rPr>
        <w:t>The NIP is a joint initiative of the Commonwealth and state and territory governments and is funded through a National Partnership on Essential Vaccines. The NIP provides free vaccines to eligible people to protect against 18 disease groups, including children, adolescents, the elderly, pregnant women and Aboriginal and Torres Strait Islander people.</w:t>
      </w:r>
    </w:p>
    <w:p w14:paraId="60FECE13" w14:textId="77777777" w:rsidR="000600A4" w:rsidRPr="004C4305" w:rsidRDefault="000600A4" w:rsidP="000600A4">
      <w:pPr>
        <w:autoSpaceDE w:val="0"/>
        <w:autoSpaceDN w:val="0"/>
        <w:adjustRightInd w:val="0"/>
        <w:rPr>
          <w:b/>
        </w:rPr>
      </w:pPr>
    </w:p>
    <w:p w14:paraId="2A349B1A" w14:textId="77777777" w:rsidR="000600A4" w:rsidRPr="004C4305" w:rsidRDefault="000600A4" w:rsidP="000600A4">
      <w:pPr>
        <w:rPr>
          <w:i/>
          <w:u w:val="single"/>
        </w:rPr>
      </w:pPr>
      <w:r w:rsidRPr="004C4305">
        <w:rPr>
          <w:i/>
          <w:u w:val="single"/>
        </w:rPr>
        <w:t>Pharmaceutical Benefits Advisory Committee (PBAC) recommendations</w:t>
      </w:r>
    </w:p>
    <w:p w14:paraId="3F2EF303" w14:textId="77777777" w:rsidR="000600A4" w:rsidRPr="004C4305" w:rsidRDefault="000600A4" w:rsidP="000600A4">
      <w:pPr>
        <w:spacing w:after="240"/>
      </w:pPr>
      <w:r w:rsidRPr="004C4305">
        <w:t>Subsection 9B(7) of the Act relevantly provides that a vaccine must not be specified in a determination under subsection 9B(2) unless the PBAC has recommended to the Minister that the vaccine be a designated vaccine.</w:t>
      </w:r>
    </w:p>
    <w:p w14:paraId="072D8745" w14:textId="77777777" w:rsidR="000600A4" w:rsidRPr="004C4305" w:rsidRDefault="000600A4" w:rsidP="000600A4">
      <w:pPr>
        <w:rPr>
          <w:i/>
        </w:rPr>
      </w:pPr>
      <w:r w:rsidRPr="004C4305">
        <w:rPr>
          <w:rFonts w:cstheme="minorHAnsi"/>
          <w:i/>
        </w:rPr>
        <w:t>Engerix-B</w:t>
      </w:r>
    </w:p>
    <w:p w14:paraId="78AB18FC" w14:textId="77777777" w:rsidR="000600A4" w:rsidRPr="004C4305" w:rsidRDefault="000600A4" w:rsidP="000600A4">
      <w:r w:rsidRPr="004C4305">
        <w:t xml:space="preserve">Merck Sharp and Dohme (Merck) has been experiencing global manufacturing and supply shortages of their Hepatitis B vaccines for a number of years.  Merck manufactured vaccines are sponsored by Seqirus for supply in Australia. Merck have advised that the current shortage may not be resolved until August 2021.    </w:t>
      </w:r>
    </w:p>
    <w:p w14:paraId="56EA8138" w14:textId="77777777" w:rsidR="000600A4" w:rsidRPr="004C4305" w:rsidRDefault="000600A4" w:rsidP="000600A4"/>
    <w:p w14:paraId="7D6C1CFA" w14:textId="77777777" w:rsidR="000600A4" w:rsidRPr="004C4305" w:rsidRDefault="000600A4" w:rsidP="000600A4">
      <w:r w:rsidRPr="004C4305">
        <w:t>Hepatitis B vaccines are currently listed on the NIP under the Determination for the following cohorts:</w:t>
      </w:r>
    </w:p>
    <w:p w14:paraId="37A0A8A5" w14:textId="77777777" w:rsidR="000600A4" w:rsidRPr="004C4305" w:rsidRDefault="000600A4" w:rsidP="000600A4">
      <w:pPr>
        <w:pStyle w:val="ListParagraph"/>
        <w:numPr>
          <w:ilvl w:val="0"/>
          <w:numId w:val="31"/>
        </w:numPr>
      </w:pPr>
      <w:r w:rsidRPr="004C4305">
        <w:lastRenderedPageBreak/>
        <w:t>Individuals up to the age of 14 years can receive either Seqirus’ H-B-Vax II (paediatric formulation) or GlaxoSmithKline’s (GSK) Engerix-B (paediatric formulation); and</w:t>
      </w:r>
    </w:p>
    <w:p w14:paraId="2972854E" w14:textId="77777777" w:rsidR="000600A4" w:rsidRPr="004C4305" w:rsidRDefault="000600A4" w:rsidP="000600A4">
      <w:pPr>
        <w:pStyle w:val="ListParagraph"/>
        <w:numPr>
          <w:ilvl w:val="0"/>
          <w:numId w:val="31"/>
        </w:numPr>
      </w:pPr>
      <w:r w:rsidRPr="004C4305">
        <w:t>Catch up cohorts, including all 10-19 year olds, and refugees and humanitarian entrants of all ages, can receive Seqirus’ H-B-Vax II (adult formulation).</w:t>
      </w:r>
    </w:p>
    <w:p w14:paraId="2970C021" w14:textId="77777777" w:rsidR="000600A4" w:rsidRPr="004C4305" w:rsidRDefault="000600A4" w:rsidP="000600A4">
      <w:pPr>
        <w:pStyle w:val="ListParagraph"/>
        <w:ind w:left="360"/>
      </w:pPr>
    </w:p>
    <w:p w14:paraId="65876DB4" w14:textId="77777777" w:rsidR="000600A4" w:rsidRPr="004C4305" w:rsidRDefault="000600A4" w:rsidP="000600A4">
      <w:r w:rsidRPr="004C4305">
        <w:t xml:space="preserve">In July 2018, the PBAC recommended the temporary listing of Engerix-B (adult formulation) for use in adolescents and adults on the NIP until either the shortage of H-B-Vax II (adult formulation) has been resolved, or 31 December 2019, whichever were to occur first.  The PBAC considered: </w:t>
      </w:r>
    </w:p>
    <w:p w14:paraId="178889AE" w14:textId="77777777" w:rsidR="000600A4" w:rsidRPr="004C4305" w:rsidRDefault="000600A4" w:rsidP="000600A4">
      <w:pPr>
        <w:pStyle w:val="ListParagraph"/>
        <w:numPr>
          <w:ilvl w:val="0"/>
          <w:numId w:val="32"/>
        </w:numPr>
      </w:pPr>
      <w:r w:rsidRPr="004C4305">
        <w:t xml:space="preserve">Engerix-B (adult formulation) is registered with the Therapeutic Goods Administration for active immunisation against Hepatitis B virus infection; </w:t>
      </w:r>
    </w:p>
    <w:p w14:paraId="6C169247" w14:textId="77777777" w:rsidR="000600A4" w:rsidRPr="004C4305" w:rsidRDefault="000600A4" w:rsidP="000600A4">
      <w:pPr>
        <w:pStyle w:val="ListParagraph"/>
        <w:numPr>
          <w:ilvl w:val="0"/>
          <w:numId w:val="32"/>
        </w:numPr>
        <w:rPr>
          <w:b/>
        </w:rPr>
      </w:pPr>
      <w:r w:rsidRPr="004C4305">
        <w:t>Engerix-B (adult formulation) is sufficiently interchangeable with H-B-VAX II (adult formulation) as per the advice of the Australian Technical Advisory Group on Immunisation (</w:t>
      </w:r>
      <w:r w:rsidRPr="004C4305">
        <w:rPr>
          <w:color w:val="000000"/>
          <w:szCs w:val="22"/>
        </w:rPr>
        <w:t>ATAGI)</w:t>
      </w:r>
      <w:r w:rsidRPr="004C4305">
        <w:t>; and</w:t>
      </w:r>
    </w:p>
    <w:p w14:paraId="38F6A53B" w14:textId="77777777" w:rsidR="000600A4" w:rsidRPr="004C4305" w:rsidRDefault="000600A4" w:rsidP="000600A4">
      <w:pPr>
        <w:pStyle w:val="ListParagraph"/>
        <w:numPr>
          <w:ilvl w:val="0"/>
          <w:numId w:val="32"/>
        </w:numPr>
        <w:rPr>
          <w:b/>
        </w:rPr>
      </w:pPr>
      <w:r w:rsidRPr="004C4305">
        <w:t>that the temporary listing would ensure ongoing coverage for the catch up populations that are eligible for the vaccine under the NIP.</w:t>
      </w:r>
      <w:r w:rsidRPr="004C4305">
        <w:rPr>
          <w:b/>
        </w:rPr>
        <w:t xml:space="preserve">  </w:t>
      </w:r>
    </w:p>
    <w:p w14:paraId="692D9096" w14:textId="77777777" w:rsidR="000600A4" w:rsidRPr="004C4305" w:rsidRDefault="000600A4" w:rsidP="000600A4"/>
    <w:p w14:paraId="1410C7A0" w14:textId="5BA65DA8" w:rsidR="000600A4" w:rsidRPr="004C4305" w:rsidRDefault="000600A4" w:rsidP="000600A4">
      <w:r w:rsidRPr="004C4305">
        <w:t>In August 2019, PBAC recommended an extension to the temporary listing for Engerix-B (adult formulation)</w:t>
      </w:r>
      <w:r w:rsidR="00AF6E30" w:rsidRPr="004C4305">
        <w:t xml:space="preserve"> and was subsequently extended</w:t>
      </w:r>
      <w:r w:rsidRPr="004C4305">
        <w:t xml:space="preserve"> until 31 </w:t>
      </w:r>
      <w:r w:rsidR="00AF6E30" w:rsidRPr="004C4305">
        <w:t xml:space="preserve">December </w:t>
      </w:r>
      <w:r w:rsidRPr="004C4305">
        <w:t>2020, given the ongoing shortage. In the most recent out-of-session consideration of August 2020</w:t>
      </w:r>
      <w:r w:rsidR="00E02E31" w:rsidRPr="004C4305">
        <w:t xml:space="preserve"> (tabled at the September PBAC meeting)</w:t>
      </w:r>
      <w:r w:rsidRPr="004C4305">
        <w:t xml:space="preserve">, PBAC recommended a further extension of the temporary listing until 30 June 2022 to enable continued management of the shortage.  </w:t>
      </w:r>
    </w:p>
    <w:p w14:paraId="62C705A3" w14:textId="77777777" w:rsidR="000600A4" w:rsidRPr="004C4305" w:rsidRDefault="000600A4" w:rsidP="000600A4">
      <w:pPr>
        <w:rPr>
          <w:b/>
          <w:bCs/>
        </w:rPr>
      </w:pPr>
    </w:p>
    <w:p w14:paraId="0830271E" w14:textId="77777777" w:rsidR="000600A4" w:rsidRPr="004C4305" w:rsidRDefault="000600A4" w:rsidP="000600A4">
      <w:pPr>
        <w:rPr>
          <w:i/>
          <w:u w:val="single"/>
        </w:rPr>
      </w:pPr>
    </w:p>
    <w:p w14:paraId="3A5968C4" w14:textId="77777777" w:rsidR="000600A4" w:rsidRPr="004C4305" w:rsidRDefault="000600A4" w:rsidP="000600A4">
      <w:pPr>
        <w:rPr>
          <w:rStyle w:val="normalchar"/>
          <w:b/>
        </w:rPr>
      </w:pPr>
      <w:r w:rsidRPr="004C4305">
        <w:t>Once a vaccine is listed in the Determination, the supplier of that vaccine is eligible to participate in any procurement processes undertaken by the Department of Health for the supply of vaccines on the NIP.</w:t>
      </w:r>
    </w:p>
    <w:p w14:paraId="1314E9E4" w14:textId="77777777" w:rsidR="000600A4" w:rsidRPr="004C4305" w:rsidRDefault="000600A4" w:rsidP="000600A4">
      <w:pPr>
        <w:autoSpaceDE w:val="0"/>
        <w:autoSpaceDN w:val="0"/>
        <w:adjustRightInd w:val="0"/>
        <w:rPr>
          <w:rStyle w:val="normalchar"/>
          <w:b/>
        </w:rPr>
      </w:pPr>
    </w:p>
    <w:p w14:paraId="245D9CA2" w14:textId="77777777" w:rsidR="000600A4" w:rsidRPr="004C4305" w:rsidRDefault="000600A4" w:rsidP="000600A4">
      <w:pPr>
        <w:autoSpaceDE w:val="0"/>
        <w:autoSpaceDN w:val="0"/>
        <w:adjustRightInd w:val="0"/>
        <w:rPr>
          <w:b/>
        </w:rPr>
      </w:pPr>
      <w:r w:rsidRPr="004C4305">
        <w:rPr>
          <w:rStyle w:val="normalchar"/>
          <w:b/>
        </w:rPr>
        <w:t>Consultation</w:t>
      </w:r>
    </w:p>
    <w:p w14:paraId="364EAD4C" w14:textId="77777777" w:rsidR="000600A4" w:rsidRPr="004C4305" w:rsidRDefault="000600A4" w:rsidP="000600A4">
      <w:pPr>
        <w:spacing w:after="240"/>
        <w:rPr>
          <w:color w:val="000000"/>
          <w:szCs w:val="22"/>
        </w:rPr>
      </w:pPr>
      <w:r w:rsidRPr="004C4305">
        <w:rPr>
          <w:color w:val="000000"/>
          <w:szCs w:val="22"/>
        </w:rPr>
        <w:t>The involvement of interested parties through the membership of the PBAC constitutes a formal and ongoing process of consultation. The PBAC is an independent expert body established by section 100A of the Act, which makes recommendations to, and advises the Minister about, the determination of specified vaccines as designated vaccines under section 9B, for the NIP. The PBAC members are appointed from nominations by organisations and associations representing industry,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or experience in a field relevant to the functions of the PBAC that would enable them to contribute meaningfully to the deliberations of the PBAC.</w:t>
      </w:r>
    </w:p>
    <w:p w14:paraId="035B0A2A" w14:textId="77777777" w:rsidR="000600A4" w:rsidRPr="004C4305" w:rsidRDefault="000600A4" w:rsidP="000600A4">
      <w:pPr>
        <w:spacing w:after="240"/>
        <w:rPr>
          <w:color w:val="000000"/>
          <w:szCs w:val="22"/>
        </w:rPr>
      </w:pPr>
      <w:r w:rsidRPr="004C4305">
        <w:rPr>
          <w:color w:val="000000"/>
          <w:szCs w:val="22"/>
        </w:rPr>
        <w:t>When recommending the listing of a vaccine on the NIP and the circumstances in which a designated vaccine should be provided, PBAC takes into account the target population for which the vaccine has been approved for use in Australia and its clinical effectiveness, safety and cost-effectiveness. The PBAC also received advice from the ATAGI regarding the clinical aspects of the disease and the vaccine.</w:t>
      </w:r>
    </w:p>
    <w:p w14:paraId="56A1A0A8" w14:textId="77777777" w:rsidR="000600A4" w:rsidRPr="004C4305" w:rsidRDefault="000600A4" w:rsidP="000600A4">
      <w:pPr>
        <w:spacing w:after="240"/>
        <w:rPr>
          <w:color w:val="000000"/>
          <w:szCs w:val="22"/>
        </w:rPr>
      </w:pPr>
      <w:r w:rsidRPr="004C4305">
        <w:rPr>
          <w:color w:val="000000"/>
          <w:szCs w:val="22"/>
        </w:rPr>
        <w:t>Pharmaceutical companies are consulted throughout the process of the listing of their vaccine on the NIP and in relation to changes to those listings. This includes the company submission to the PBAC and involvement throughout the PBAC process.</w:t>
      </w:r>
    </w:p>
    <w:p w14:paraId="119D3E1A" w14:textId="77777777" w:rsidR="000600A4" w:rsidRPr="004C4305" w:rsidRDefault="000600A4" w:rsidP="000600A4">
      <w:pPr>
        <w:spacing w:after="240"/>
        <w:rPr>
          <w:color w:val="000000"/>
          <w:szCs w:val="22"/>
        </w:rPr>
      </w:pPr>
      <w:r w:rsidRPr="004C4305">
        <w:rPr>
          <w:color w:val="000000"/>
          <w:szCs w:val="22"/>
        </w:rPr>
        <w:t xml:space="preserve">As part of the PBAC process, patients, carers, members of the public, health professionals or members of consumer interest groups may provide comments and feedback on vaccines being considered by the PBAC via a web interface or in writing over a period of six weeks </w:t>
      </w:r>
      <w:r w:rsidRPr="004C4305">
        <w:rPr>
          <w:color w:val="000000"/>
          <w:szCs w:val="22"/>
        </w:rPr>
        <w:lastRenderedPageBreak/>
        <w:t>prior to PBAC meetings. These are provided to the PBAC in a de-identified form for consideration alongside the company submission.</w:t>
      </w:r>
    </w:p>
    <w:p w14:paraId="58642297" w14:textId="77777777" w:rsidR="000600A4" w:rsidRPr="004C4305" w:rsidRDefault="000600A4" w:rsidP="000600A4">
      <w:pPr>
        <w:spacing w:after="240"/>
        <w:rPr>
          <w:color w:val="000000"/>
          <w:szCs w:val="22"/>
        </w:rPr>
      </w:pPr>
      <w:r w:rsidRPr="004C4305">
        <w:rPr>
          <w:color w:val="000000"/>
          <w:szCs w:val="22"/>
        </w:rPr>
        <w:t>It was considered that further consultation for this Amendment Determination was unnecessary due to the nature of the consultation that had already taken place.</w:t>
      </w:r>
    </w:p>
    <w:p w14:paraId="148FEF12" w14:textId="77777777" w:rsidR="000600A4" w:rsidRPr="004C4305" w:rsidRDefault="000600A4" w:rsidP="000600A4">
      <w:pPr>
        <w:spacing w:after="240"/>
        <w:rPr>
          <w:color w:val="000000"/>
          <w:szCs w:val="22"/>
        </w:rPr>
      </w:pPr>
      <w:r w:rsidRPr="004C4305">
        <w:rPr>
          <w:color w:val="000000"/>
          <w:szCs w:val="22"/>
        </w:rPr>
        <w:t>Details of the Amendment Determination are set out in Attachment 1.</w:t>
      </w:r>
    </w:p>
    <w:p w14:paraId="70D354CF" w14:textId="77777777" w:rsidR="000600A4" w:rsidRPr="004C4305" w:rsidRDefault="000600A4" w:rsidP="000600A4">
      <w:pPr>
        <w:spacing w:after="240"/>
        <w:rPr>
          <w:color w:val="000000"/>
          <w:szCs w:val="22"/>
        </w:rPr>
      </w:pPr>
      <w:r w:rsidRPr="004C4305">
        <w:rPr>
          <w:color w:val="000000"/>
          <w:szCs w:val="22"/>
        </w:rPr>
        <w:t>The Amendment Determination commences on the day after registration.</w:t>
      </w:r>
    </w:p>
    <w:p w14:paraId="76699024" w14:textId="77777777" w:rsidR="000600A4" w:rsidRPr="004C4305" w:rsidRDefault="000600A4" w:rsidP="000600A4">
      <w:pPr>
        <w:spacing w:after="240"/>
        <w:rPr>
          <w:color w:val="000000"/>
          <w:szCs w:val="22"/>
        </w:rPr>
      </w:pPr>
      <w:r w:rsidRPr="004C4305">
        <w:rPr>
          <w:color w:val="000000"/>
          <w:szCs w:val="22"/>
        </w:rPr>
        <w:t xml:space="preserve">The Amendment Determination is a legislative instrument for the purposes of the </w:t>
      </w:r>
      <w:r w:rsidRPr="004C4305">
        <w:rPr>
          <w:i/>
          <w:color w:val="000000"/>
          <w:szCs w:val="22"/>
        </w:rPr>
        <w:t>Legislation Act 2003</w:t>
      </w:r>
      <w:r w:rsidRPr="004C4305">
        <w:rPr>
          <w:color w:val="000000"/>
          <w:szCs w:val="22"/>
        </w:rPr>
        <w:t>.</w:t>
      </w:r>
    </w:p>
    <w:p w14:paraId="4ACBBA86" w14:textId="77777777" w:rsidR="000600A4" w:rsidRPr="004C4305" w:rsidRDefault="000600A4" w:rsidP="000600A4">
      <w:pPr>
        <w:spacing w:after="200" w:line="276" w:lineRule="auto"/>
        <w:rPr>
          <w:b/>
        </w:rPr>
      </w:pPr>
    </w:p>
    <w:p w14:paraId="04BF93DB" w14:textId="77777777" w:rsidR="000600A4" w:rsidRPr="004C4305" w:rsidRDefault="000600A4" w:rsidP="000600A4">
      <w:pPr>
        <w:spacing w:after="200" w:line="276" w:lineRule="auto"/>
        <w:rPr>
          <w:b/>
        </w:rPr>
      </w:pPr>
    </w:p>
    <w:p w14:paraId="4497DE9F" w14:textId="77777777" w:rsidR="000600A4" w:rsidRPr="004C4305" w:rsidRDefault="000600A4" w:rsidP="000600A4">
      <w:pPr>
        <w:spacing w:after="200" w:line="276" w:lineRule="auto"/>
        <w:rPr>
          <w:b/>
        </w:rPr>
      </w:pPr>
      <w:r w:rsidRPr="004C4305">
        <w:rPr>
          <w:b/>
        </w:rPr>
        <w:br w:type="page"/>
      </w:r>
    </w:p>
    <w:p w14:paraId="11445E18" w14:textId="77777777" w:rsidR="000600A4" w:rsidRPr="004C4305" w:rsidRDefault="000600A4" w:rsidP="000600A4">
      <w:pPr>
        <w:spacing w:after="200" w:line="276" w:lineRule="auto"/>
        <w:rPr>
          <w:b/>
          <w:i/>
        </w:rPr>
      </w:pPr>
      <w:r w:rsidRPr="004C4305">
        <w:rPr>
          <w:b/>
        </w:rPr>
        <w:lastRenderedPageBreak/>
        <w:t>ATTACHMENT 1</w:t>
      </w:r>
    </w:p>
    <w:p w14:paraId="06DA7A84" w14:textId="77777777" w:rsidR="000600A4" w:rsidRPr="004C4305" w:rsidRDefault="000600A4" w:rsidP="000600A4">
      <w:pPr>
        <w:jc w:val="both"/>
        <w:rPr>
          <w:b/>
        </w:rPr>
      </w:pPr>
    </w:p>
    <w:p w14:paraId="069ACB7C" w14:textId="77777777" w:rsidR="000600A4" w:rsidRPr="004C4305" w:rsidRDefault="000600A4" w:rsidP="000600A4">
      <w:pPr>
        <w:rPr>
          <w:b/>
          <w:i/>
        </w:rPr>
      </w:pPr>
      <w:r w:rsidRPr="004C4305">
        <w:rPr>
          <w:b/>
        </w:rPr>
        <w:t xml:space="preserve">Details of the </w:t>
      </w:r>
      <w:r w:rsidRPr="004C4305">
        <w:rPr>
          <w:b/>
          <w:i/>
        </w:rPr>
        <w:t xml:space="preserve">National Health (Immunisation Program – Designated Vaccines) Amendment Determination (No. 4) 2020 </w:t>
      </w:r>
    </w:p>
    <w:p w14:paraId="7B7D09FE" w14:textId="77777777" w:rsidR="000600A4" w:rsidRPr="004C4305" w:rsidRDefault="000600A4" w:rsidP="000600A4">
      <w:pPr>
        <w:jc w:val="both"/>
        <w:rPr>
          <w:b/>
        </w:rPr>
      </w:pPr>
    </w:p>
    <w:p w14:paraId="06F54D16" w14:textId="77777777" w:rsidR="000600A4" w:rsidRPr="004C4305" w:rsidRDefault="000600A4" w:rsidP="000600A4">
      <w:pPr>
        <w:jc w:val="both"/>
        <w:rPr>
          <w:u w:val="single"/>
        </w:rPr>
      </w:pPr>
      <w:r w:rsidRPr="004C4305">
        <w:rPr>
          <w:u w:val="single"/>
        </w:rPr>
        <w:t>Section 1 – Name</w:t>
      </w:r>
    </w:p>
    <w:p w14:paraId="0B9B098E" w14:textId="77777777" w:rsidR="000600A4" w:rsidRPr="004C4305" w:rsidRDefault="000600A4" w:rsidP="000600A4">
      <w:pPr>
        <w:jc w:val="both"/>
        <w:rPr>
          <w:u w:val="single"/>
        </w:rPr>
      </w:pPr>
    </w:p>
    <w:p w14:paraId="55CA47C7" w14:textId="77777777" w:rsidR="000600A4" w:rsidRPr="004C4305" w:rsidRDefault="000600A4" w:rsidP="000600A4">
      <w:pPr>
        <w:rPr>
          <w:i/>
        </w:rPr>
      </w:pPr>
      <w:r w:rsidRPr="004C4305">
        <w:t xml:space="preserve">Section 1 provides that the name of the instrument is the </w:t>
      </w:r>
      <w:r w:rsidRPr="004C4305">
        <w:rPr>
          <w:i/>
        </w:rPr>
        <w:t>National Health (Immunisation Program – Designated Vaccines) Amendment Determination (No.4) 2020.</w:t>
      </w:r>
    </w:p>
    <w:p w14:paraId="4C308A2A" w14:textId="77777777" w:rsidR="000600A4" w:rsidRPr="004C4305" w:rsidRDefault="000600A4" w:rsidP="000600A4"/>
    <w:p w14:paraId="7D31442C" w14:textId="77777777" w:rsidR="000600A4" w:rsidRPr="004C4305" w:rsidRDefault="000600A4" w:rsidP="000600A4">
      <w:pPr>
        <w:rPr>
          <w:u w:val="single"/>
        </w:rPr>
      </w:pPr>
      <w:r w:rsidRPr="004C4305">
        <w:rPr>
          <w:u w:val="single"/>
        </w:rPr>
        <w:t>Section 2 - Commencement</w:t>
      </w:r>
    </w:p>
    <w:p w14:paraId="661140CC" w14:textId="77777777" w:rsidR="000600A4" w:rsidRPr="004C4305" w:rsidRDefault="000600A4" w:rsidP="000600A4">
      <w:pPr>
        <w:rPr>
          <w:b/>
        </w:rPr>
      </w:pPr>
    </w:p>
    <w:p w14:paraId="3EEFB2D8" w14:textId="77777777" w:rsidR="000600A4" w:rsidRPr="004C4305" w:rsidRDefault="000600A4" w:rsidP="000600A4">
      <w:r w:rsidRPr="004C4305">
        <w:t>Section 2 provides that the Amendment Determination commences on the day after its registration.</w:t>
      </w:r>
    </w:p>
    <w:p w14:paraId="0CACCF0E" w14:textId="77777777" w:rsidR="000600A4" w:rsidRPr="004C4305" w:rsidRDefault="000600A4" w:rsidP="000600A4"/>
    <w:p w14:paraId="5C90039B" w14:textId="77777777" w:rsidR="000600A4" w:rsidRPr="004C4305" w:rsidRDefault="000600A4" w:rsidP="000600A4">
      <w:pPr>
        <w:rPr>
          <w:u w:val="single"/>
        </w:rPr>
      </w:pPr>
      <w:r w:rsidRPr="004C4305">
        <w:rPr>
          <w:u w:val="single"/>
        </w:rPr>
        <w:t>Section 3 - Authority</w:t>
      </w:r>
    </w:p>
    <w:p w14:paraId="1BE74201" w14:textId="77777777" w:rsidR="000600A4" w:rsidRPr="004C4305" w:rsidRDefault="000600A4" w:rsidP="000600A4">
      <w:pPr>
        <w:rPr>
          <w:b/>
        </w:rPr>
      </w:pPr>
    </w:p>
    <w:p w14:paraId="11DBDB09" w14:textId="77777777" w:rsidR="000600A4" w:rsidRPr="004C4305" w:rsidRDefault="000600A4" w:rsidP="000600A4">
      <w:pPr>
        <w:rPr>
          <w:b/>
        </w:rPr>
      </w:pPr>
      <w:r w:rsidRPr="004C4305">
        <w:rPr>
          <w:sz w:val="23"/>
          <w:szCs w:val="23"/>
        </w:rPr>
        <w:t xml:space="preserve">Section 3 provides that the Amendment Determination is made under subsections 9B(2) and (5) of the </w:t>
      </w:r>
      <w:r w:rsidRPr="004C4305">
        <w:rPr>
          <w:i/>
          <w:iCs/>
          <w:sz w:val="23"/>
          <w:szCs w:val="23"/>
        </w:rPr>
        <w:t>National Health Act 1953</w:t>
      </w:r>
      <w:r w:rsidRPr="004C4305">
        <w:rPr>
          <w:sz w:val="23"/>
          <w:szCs w:val="23"/>
        </w:rPr>
        <w:t>.</w:t>
      </w:r>
    </w:p>
    <w:p w14:paraId="3A6EA45D" w14:textId="77777777" w:rsidR="000600A4" w:rsidRPr="004C4305" w:rsidRDefault="000600A4" w:rsidP="000600A4">
      <w:pPr>
        <w:rPr>
          <w:b/>
        </w:rPr>
      </w:pPr>
    </w:p>
    <w:p w14:paraId="41A45130" w14:textId="77777777" w:rsidR="000600A4" w:rsidRPr="004C4305" w:rsidRDefault="000600A4" w:rsidP="000600A4">
      <w:pPr>
        <w:rPr>
          <w:u w:val="single"/>
        </w:rPr>
      </w:pPr>
      <w:r w:rsidRPr="004C4305">
        <w:rPr>
          <w:u w:val="single"/>
        </w:rPr>
        <w:t>Section 4 - Schedules</w:t>
      </w:r>
    </w:p>
    <w:p w14:paraId="57CB6A44" w14:textId="77777777" w:rsidR="000600A4" w:rsidRPr="004C4305" w:rsidRDefault="000600A4" w:rsidP="000600A4">
      <w:pPr>
        <w:rPr>
          <w:b/>
        </w:rPr>
      </w:pPr>
    </w:p>
    <w:p w14:paraId="31B885A6" w14:textId="77777777" w:rsidR="000600A4" w:rsidRPr="004C4305" w:rsidRDefault="000600A4" w:rsidP="000600A4">
      <w:r w:rsidRPr="004C4305">
        <w:t>Section 4 provides that the Amendment Determination amends the instrument specified in a schedule to the Amendment Determination, and any other item in a Schedule to the instrument has effect according to its terms.</w:t>
      </w:r>
    </w:p>
    <w:p w14:paraId="0EEC0E12" w14:textId="77777777" w:rsidR="000600A4" w:rsidRPr="004C4305" w:rsidRDefault="000600A4" w:rsidP="000600A4"/>
    <w:p w14:paraId="10E47713" w14:textId="77777777" w:rsidR="000600A4" w:rsidRPr="004C4305" w:rsidRDefault="000600A4" w:rsidP="000600A4">
      <w:pPr>
        <w:rPr>
          <w:u w:val="single"/>
        </w:rPr>
      </w:pPr>
      <w:r w:rsidRPr="004C4305">
        <w:rPr>
          <w:u w:val="single"/>
        </w:rPr>
        <w:t>Schedule 1 - Amendments</w:t>
      </w:r>
    </w:p>
    <w:p w14:paraId="27B8BFAA" w14:textId="77777777" w:rsidR="000600A4" w:rsidRPr="004C4305" w:rsidRDefault="000600A4" w:rsidP="000600A4">
      <w:pPr>
        <w:rPr>
          <w:u w:val="single"/>
        </w:rPr>
      </w:pPr>
    </w:p>
    <w:p w14:paraId="759D933A" w14:textId="77777777" w:rsidR="000600A4" w:rsidRPr="004C4305" w:rsidRDefault="000600A4" w:rsidP="000600A4">
      <w:r w:rsidRPr="004C4305">
        <w:t xml:space="preserve">Schedule 1 varies the </w:t>
      </w:r>
      <w:r w:rsidRPr="004C4305">
        <w:rPr>
          <w:i/>
        </w:rPr>
        <w:t xml:space="preserve">National Health (Immunisation Program – Designated Vaccines) Determination 2014 (No. 1) </w:t>
      </w:r>
      <w:r w:rsidRPr="004C4305">
        <w:t>(the Determination).</w:t>
      </w:r>
    </w:p>
    <w:p w14:paraId="39261A4C" w14:textId="77777777" w:rsidR="000600A4" w:rsidRPr="004C4305" w:rsidRDefault="000600A4" w:rsidP="000600A4">
      <w:pPr>
        <w:rPr>
          <w:b/>
          <w:i/>
        </w:rPr>
      </w:pPr>
    </w:p>
    <w:p w14:paraId="05CBA3C3" w14:textId="77777777" w:rsidR="000600A4" w:rsidRPr="004C4305" w:rsidRDefault="000600A4" w:rsidP="000600A4">
      <w:pPr>
        <w:spacing w:after="200" w:line="276" w:lineRule="auto"/>
        <w:rPr>
          <w:b/>
          <w:color w:val="000000"/>
          <w:szCs w:val="22"/>
        </w:rPr>
      </w:pPr>
      <w:r w:rsidRPr="004C4305">
        <w:rPr>
          <w:b/>
          <w:color w:val="000000" w:themeColor="text1"/>
        </w:rPr>
        <w:t xml:space="preserve">Item 1 – </w:t>
      </w:r>
      <w:r w:rsidRPr="004C4305">
        <w:rPr>
          <w:rFonts w:cs="Arial"/>
          <w:b/>
        </w:rPr>
        <w:t>Part 2 of Schedule 1 (table item 202A, column headed “</w:t>
      </w:r>
      <w:r w:rsidRPr="004C4305">
        <w:rPr>
          <w:b/>
        </w:rPr>
        <w:t>Vaccine and the circumstances in which vaccine may be provided”)</w:t>
      </w:r>
    </w:p>
    <w:p w14:paraId="7056349F" w14:textId="77777777" w:rsidR="000600A4" w:rsidRPr="004C4305" w:rsidRDefault="000600A4" w:rsidP="000600A4">
      <w:pPr>
        <w:rPr>
          <w:color w:val="000000"/>
          <w:szCs w:val="22"/>
        </w:rPr>
      </w:pPr>
      <w:r w:rsidRPr="004C4305">
        <w:rPr>
          <w:color w:val="000000"/>
          <w:szCs w:val="22"/>
        </w:rPr>
        <w:t xml:space="preserve">Item 1 repeals the circumstances in Part 2 of Schedule 1 (table item 202A, column headed “Vaccine and the circumstances in which vaccine may be provided”) and substitutes it with revised circumstances in which </w:t>
      </w:r>
      <w:r w:rsidRPr="004C4305">
        <w:rPr>
          <w:rFonts w:cstheme="minorHAnsi"/>
        </w:rPr>
        <w:t>Engerix-B</w:t>
      </w:r>
      <w:r w:rsidRPr="004C4305">
        <w:rPr>
          <w:color w:val="000000"/>
          <w:szCs w:val="22"/>
        </w:rPr>
        <w:t xml:space="preserve"> may be provided under the NIP.</w:t>
      </w:r>
    </w:p>
    <w:p w14:paraId="362DAE39" w14:textId="77777777" w:rsidR="000600A4" w:rsidRPr="004C4305" w:rsidRDefault="000600A4" w:rsidP="000600A4">
      <w:pPr>
        <w:rPr>
          <w:color w:val="000000" w:themeColor="text1"/>
        </w:rPr>
      </w:pPr>
    </w:p>
    <w:p w14:paraId="1181A14B" w14:textId="77777777" w:rsidR="000600A4" w:rsidRPr="004C4305" w:rsidRDefault="000600A4" w:rsidP="000600A4">
      <w:pPr>
        <w:spacing w:after="200" w:line="276" w:lineRule="auto"/>
        <w:jc w:val="center"/>
        <w:rPr>
          <w:b/>
          <w:sz w:val="28"/>
          <w:szCs w:val="28"/>
        </w:rPr>
      </w:pPr>
    </w:p>
    <w:p w14:paraId="351572E5" w14:textId="77777777" w:rsidR="000600A4" w:rsidRPr="004C4305" w:rsidRDefault="000600A4" w:rsidP="000600A4">
      <w:pPr>
        <w:spacing w:after="200" w:line="276" w:lineRule="auto"/>
        <w:jc w:val="center"/>
        <w:rPr>
          <w:b/>
          <w:sz w:val="28"/>
          <w:szCs w:val="28"/>
        </w:rPr>
      </w:pPr>
    </w:p>
    <w:p w14:paraId="12E57AF5" w14:textId="77777777" w:rsidR="000600A4" w:rsidRPr="004C4305" w:rsidRDefault="000600A4" w:rsidP="000600A4">
      <w:pPr>
        <w:spacing w:after="200" w:line="276" w:lineRule="auto"/>
        <w:jc w:val="center"/>
        <w:rPr>
          <w:b/>
          <w:sz w:val="28"/>
          <w:szCs w:val="28"/>
        </w:rPr>
      </w:pPr>
    </w:p>
    <w:p w14:paraId="08AAD296" w14:textId="77777777" w:rsidR="000600A4" w:rsidRPr="004C4305" w:rsidRDefault="000600A4" w:rsidP="000600A4">
      <w:pPr>
        <w:spacing w:after="200" w:line="276" w:lineRule="auto"/>
        <w:jc w:val="center"/>
        <w:rPr>
          <w:b/>
          <w:sz w:val="28"/>
          <w:szCs w:val="28"/>
        </w:rPr>
      </w:pPr>
    </w:p>
    <w:p w14:paraId="1C5D8635" w14:textId="77777777" w:rsidR="000600A4" w:rsidRPr="004C4305" w:rsidRDefault="000600A4" w:rsidP="000600A4">
      <w:pPr>
        <w:spacing w:after="200" w:line="276" w:lineRule="auto"/>
        <w:jc w:val="center"/>
        <w:rPr>
          <w:b/>
          <w:sz w:val="28"/>
          <w:szCs w:val="28"/>
        </w:rPr>
      </w:pPr>
    </w:p>
    <w:p w14:paraId="4AF25E31" w14:textId="77777777" w:rsidR="000600A4" w:rsidRPr="004C4305" w:rsidRDefault="000600A4" w:rsidP="000600A4">
      <w:pPr>
        <w:spacing w:after="200" w:line="276" w:lineRule="auto"/>
        <w:jc w:val="center"/>
        <w:rPr>
          <w:b/>
          <w:sz w:val="28"/>
          <w:szCs w:val="28"/>
        </w:rPr>
      </w:pPr>
    </w:p>
    <w:p w14:paraId="4F146DD1" w14:textId="77777777" w:rsidR="000600A4" w:rsidRPr="004C4305" w:rsidRDefault="000600A4" w:rsidP="000600A4">
      <w:pPr>
        <w:spacing w:after="200" w:line="276" w:lineRule="auto"/>
        <w:jc w:val="center"/>
        <w:rPr>
          <w:b/>
          <w:sz w:val="28"/>
          <w:szCs w:val="28"/>
        </w:rPr>
      </w:pPr>
    </w:p>
    <w:p w14:paraId="5DC5D9F8" w14:textId="77777777" w:rsidR="000600A4" w:rsidRPr="004C4305" w:rsidRDefault="000600A4" w:rsidP="000600A4">
      <w:pPr>
        <w:spacing w:after="200" w:line="276" w:lineRule="auto"/>
        <w:jc w:val="center"/>
        <w:rPr>
          <w:b/>
          <w:sz w:val="28"/>
          <w:szCs w:val="28"/>
        </w:rPr>
      </w:pPr>
    </w:p>
    <w:p w14:paraId="0A47E048" w14:textId="77777777" w:rsidR="000600A4" w:rsidRPr="004C4305" w:rsidRDefault="000600A4" w:rsidP="000600A4">
      <w:pPr>
        <w:spacing w:after="200" w:line="276" w:lineRule="auto"/>
        <w:jc w:val="center"/>
        <w:rPr>
          <w:b/>
          <w:sz w:val="28"/>
          <w:szCs w:val="28"/>
        </w:rPr>
      </w:pPr>
      <w:r w:rsidRPr="004C4305">
        <w:rPr>
          <w:b/>
          <w:sz w:val="28"/>
          <w:szCs w:val="28"/>
        </w:rPr>
        <w:lastRenderedPageBreak/>
        <w:t>Statement of Compatibility with Human Rights</w:t>
      </w:r>
    </w:p>
    <w:p w14:paraId="0273CDD4" w14:textId="77777777" w:rsidR="000600A4" w:rsidRPr="004C4305" w:rsidRDefault="000600A4" w:rsidP="000600A4">
      <w:pPr>
        <w:keepNext/>
        <w:keepLines/>
        <w:jc w:val="center"/>
        <w:rPr>
          <w:i/>
        </w:rPr>
      </w:pPr>
      <w:r w:rsidRPr="004C4305">
        <w:rPr>
          <w:i/>
        </w:rPr>
        <w:t>Prepared in accordance with Part 3 of the Human Rights (Parliamentary Scrutiny) Act 2011</w:t>
      </w:r>
    </w:p>
    <w:p w14:paraId="2FABDCD0" w14:textId="77777777" w:rsidR="000600A4" w:rsidRPr="004C4305" w:rsidRDefault="000600A4" w:rsidP="000600A4">
      <w:pPr>
        <w:keepNext/>
        <w:keepLines/>
        <w:ind w:right="45"/>
        <w:jc w:val="center"/>
        <w:rPr>
          <w:b/>
          <w:iCs/>
        </w:rPr>
      </w:pPr>
    </w:p>
    <w:p w14:paraId="6F42E424" w14:textId="77777777" w:rsidR="000600A4" w:rsidRPr="004C4305" w:rsidRDefault="000600A4" w:rsidP="000600A4">
      <w:pPr>
        <w:jc w:val="center"/>
        <w:rPr>
          <w:b/>
          <w:bCs/>
          <w:i/>
        </w:rPr>
      </w:pPr>
      <w:r w:rsidRPr="004C4305">
        <w:rPr>
          <w:b/>
          <w:bCs/>
          <w:i/>
        </w:rPr>
        <w:t>National Health (Immunisation Program – Designated Vaccines) Amendment</w:t>
      </w:r>
      <w:r w:rsidRPr="004C4305">
        <w:rPr>
          <w:b/>
          <w:bCs/>
          <w:i/>
        </w:rPr>
        <w:br/>
        <w:t xml:space="preserve">Determination (No.4) 2020 </w:t>
      </w:r>
    </w:p>
    <w:p w14:paraId="74371BFB" w14:textId="77777777" w:rsidR="000600A4" w:rsidRPr="004C4305" w:rsidRDefault="000600A4" w:rsidP="000600A4">
      <w:pPr>
        <w:keepNext/>
        <w:keepLines/>
        <w:ind w:right="45"/>
        <w:jc w:val="center"/>
        <w:rPr>
          <w:b/>
          <w:iCs/>
        </w:rPr>
      </w:pPr>
    </w:p>
    <w:p w14:paraId="01396366" w14:textId="77777777" w:rsidR="000600A4" w:rsidRPr="004C4305" w:rsidRDefault="000600A4" w:rsidP="000600A4">
      <w:pPr>
        <w:spacing w:after="240"/>
        <w:ind w:right="-136"/>
      </w:pPr>
      <w:r w:rsidRPr="004C4305">
        <w:t xml:space="preserve">This Legislative Instrument is compatible with the human rights and freedoms recognised or declared in the international instruments listed in section 3 of the </w:t>
      </w:r>
      <w:r w:rsidRPr="004C4305">
        <w:rPr>
          <w:i/>
        </w:rPr>
        <w:t>Human Rights (Parliamentary Scrutiny) Act 2011</w:t>
      </w:r>
      <w:r w:rsidRPr="004C4305">
        <w:t>.</w:t>
      </w:r>
    </w:p>
    <w:p w14:paraId="11A6F33C" w14:textId="77777777" w:rsidR="000600A4" w:rsidRPr="004C4305" w:rsidRDefault="000600A4" w:rsidP="000600A4">
      <w:pPr>
        <w:keepNext/>
        <w:keepLines/>
        <w:spacing w:after="120"/>
        <w:ind w:right="91"/>
      </w:pPr>
      <w:r w:rsidRPr="004C4305">
        <w:rPr>
          <w:b/>
        </w:rPr>
        <w:t>Overview of the Legislative Instrument</w:t>
      </w:r>
    </w:p>
    <w:p w14:paraId="4CCDFA99" w14:textId="77777777" w:rsidR="000600A4" w:rsidRPr="004C4305" w:rsidRDefault="000600A4" w:rsidP="000600A4">
      <w:pPr>
        <w:keepNext/>
        <w:keepLines/>
        <w:spacing w:after="120"/>
        <w:ind w:right="-136"/>
      </w:pPr>
      <w:r w:rsidRPr="004C4305">
        <w:t xml:space="preserve">The </w:t>
      </w:r>
      <w:r w:rsidRPr="004C4305">
        <w:rPr>
          <w:i/>
        </w:rPr>
        <w:t xml:space="preserve">National Health (Immunisation Program – Designated Vaccines) Amendment Determination (No. 4) 2020 </w:t>
      </w:r>
      <w:r w:rsidRPr="004C4305">
        <w:t xml:space="preserve">(the Amendment Determination) varies the </w:t>
      </w:r>
      <w:r w:rsidRPr="004C4305">
        <w:rPr>
          <w:bCs/>
          <w:i/>
        </w:rPr>
        <w:t>National Health (Immunisation Program – Designated Vaccines) Determination 2014 (No.1</w:t>
      </w:r>
      <w:r w:rsidRPr="004C4305">
        <w:t>) (the Determination), which determines, under subsection 9B(2) of the</w:t>
      </w:r>
      <w:r w:rsidRPr="004C4305">
        <w:rPr>
          <w:i/>
        </w:rPr>
        <w:t xml:space="preserve"> National Health Act 1953</w:t>
      </w:r>
      <w:r w:rsidRPr="004C4305">
        <w:t xml:space="preserve"> (the Act), that a specified vaccine in the instrument is a designated vaccine for the purposes of the Act. Additionally the Amendment Determination specifies under subsection 9B(5) of the Act, the circumstances in which the vaccine can be provided.</w:t>
      </w:r>
    </w:p>
    <w:p w14:paraId="15138E99" w14:textId="77777777" w:rsidR="000600A4" w:rsidRPr="004C4305" w:rsidRDefault="000600A4" w:rsidP="000600A4">
      <w:r w:rsidRPr="004C4305">
        <w:t>The Amendment Determination extends the current temporary listing of Hepatitis B surface antigen recombinant vaccine, Engerix B (adult formulation), for use in adolescents and adults until 30 June 2022 due to an ongoing shortage of the National Immunisation Program (NIP) listed adult formulation of H-B-Vax ll for the same indication and population.</w:t>
      </w:r>
    </w:p>
    <w:p w14:paraId="2A5238A2" w14:textId="77777777" w:rsidR="000600A4" w:rsidRPr="004C4305" w:rsidRDefault="000600A4" w:rsidP="000600A4">
      <w:pPr>
        <w:rPr>
          <w:lang w:eastAsia="en-US"/>
        </w:rPr>
      </w:pPr>
    </w:p>
    <w:p w14:paraId="2F536968" w14:textId="77777777" w:rsidR="000600A4" w:rsidRPr="004C4305" w:rsidRDefault="000600A4" w:rsidP="000600A4">
      <w:pPr>
        <w:keepNext/>
        <w:keepLines/>
        <w:spacing w:after="120"/>
        <w:jc w:val="both"/>
        <w:rPr>
          <w:b/>
        </w:rPr>
      </w:pPr>
      <w:r w:rsidRPr="004C4305">
        <w:rPr>
          <w:b/>
        </w:rPr>
        <w:t>Human Rights Implications</w:t>
      </w:r>
    </w:p>
    <w:p w14:paraId="2DFF8A5B" w14:textId="77777777" w:rsidR="000600A4" w:rsidRPr="004C4305" w:rsidRDefault="000600A4" w:rsidP="000600A4">
      <w:pPr>
        <w:spacing w:before="120" w:after="120"/>
      </w:pPr>
      <w:r w:rsidRPr="004C4305">
        <w:t>This Amendment Determination engages the right to health as set out in Article 12 of the International Covenant on Economic, Social and Cultural Rights by assisting with the progressive realisation by all appropriate means of the right of everyone to the enjoyment of the highest attainable standard of physical and mental health. The Amendment Determination supports the right to the attainment of the highest standard of health, by providing free access for eligible people to a designated vaccine, and protecting individuals and the community against vaccine preventable disease.</w:t>
      </w:r>
    </w:p>
    <w:p w14:paraId="3F6B9B27" w14:textId="77777777" w:rsidR="000600A4" w:rsidRPr="004C4305" w:rsidRDefault="000600A4" w:rsidP="000600A4">
      <w:pPr>
        <w:spacing w:after="240"/>
        <w:ind w:right="-136"/>
        <w:rPr>
          <w:b/>
        </w:rPr>
      </w:pPr>
      <w:r w:rsidRPr="004C4305">
        <w:rPr>
          <w:b/>
        </w:rPr>
        <w:t>Conclusion</w:t>
      </w:r>
    </w:p>
    <w:p w14:paraId="1E2BF5B2" w14:textId="77777777" w:rsidR="000600A4" w:rsidRPr="004C4305" w:rsidRDefault="000600A4" w:rsidP="000600A4">
      <w:pPr>
        <w:spacing w:after="240"/>
        <w:ind w:right="-136"/>
      </w:pPr>
      <w:r w:rsidRPr="004C4305">
        <w:t>The Amendment Determination is compatible with human rights as it promotes the right to health.</w:t>
      </w:r>
    </w:p>
    <w:p w14:paraId="177D6EEE" w14:textId="3A78CAA2" w:rsidR="000600A4" w:rsidRPr="004C4305" w:rsidRDefault="000600A4" w:rsidP="000600A4">
      <w:pPr>
        <w:ind w:right="-136"/>
        <w:jc w:val="center"/>
        <w:rPr>
          <w:b/>
        </w:rPr>
      </w:pPr>
      <w:r w:rsidRPr="004C4305">
        <w:rPr>
          <w:b/>
        </w:rPr>
        <w:t>Darius Everett</w:t>
      </w:r>
    </w:p>
    <w:p w14:paraId="42155BF4" w14:textId="389198E4" w:rsidR="000600A4" w:rsidRPr="004C4305" w:rsidRDefault="000600A4" w:rsidP="000600A4">
      <w:pPr>
        <w:keepNext/>
        <w:keepLines/>
        <w:jc w:val="center"/>
        <w:rPr>
          <w:b/>
        </w:rPr>
      </w:pPr>
      <w:r w:rsidRPr="004C4305">
        <w:rPr>
          <w:b/>
        </w:rPr>
        <w:t>Acting Assistant Secretary</w:t>
      </w:r>
    </w:p>
    <w:p w14:paraId="48758205" w14:textId="098935C9" w:rsidR="000600A4" w:rsidRPr="004C4305" w:rsidRDefault="000600A4" w:rsidP="000600A4">
      <w:pPr>
        <w:keepNext/>
        <w:keepLines/>
        <w:jc w:val="center"/>
        <w:rPr>
          <w:b/>
        </w:rPr>
      </w:pPr>
      <w:r w:rsidRPr="004C4305">
        <w:rPr>
          <w:b/>
        </w:rPr>
        <w:t xml:space="preserve">Immunisation and Communicable Diseases Branch </w:t>
      </w:r>
    </w:p>
    <w:p w14:paraId="5F09E69C" w14:textId="77777777" w:rsidR="000600A4" w:rsidRPr="000A2EFF" w:rsidRDefault="000600A4" w:rsidP="000600A4">
      <w:pPr>
        <w:keepNext/>
        <w:keepLines/>
        <w:jc w:val="center"/>
        <w:rPr>
          <w:u w:val="single"/>
        </w:rPr>
      </w:pPr>
      <w:r w:rsidRPr="004C4305">
        <w:rPr>
          <w:b/>
        </w:rPr>
        <w:t>Department of Health</w:t>
      </w:r>
      <w:bookmarkStart w:id="0" w:name="_GoBack"/>
      <w:bookmarkEnd w:id="0"/>
    </w:p>
    <w:p w14:paraId="15883426" w14:textId="1E2D011D" w:rsidR="002D225E" w:rsidRPr="000600A4" w:rsidRDefault="002D225E" w:rsidP="000600A4"/>
    <w:sectPr w:rsidR="002D225E" w:rsidRPr="000600A4" w:rsidSect="00A67478">
      <w:headerReference w:type="default" r:id="rId8"/>
      <w:pgSz w:w="11906" w:h="16838"/>
      <w:pgMar w:top="567" w:right="1440" w:bottom="426"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6C7C" w14:textId="77777777" w:rsidR="0051408A" w:rsidRDefault="0051408A" w:rsidP="00A96A1B">
      <w:r>
        <w:separator/>
      </w:r>
    </w:p>
  </w:endnote>
  <w:endnote w:type="continuationSeparator" w:id="0">
    <w:p w14:paraId="28B77E7B" w14:textId="77777777" w:rsidR="0051408A" w:rsidRDefault="0051408A" w:rsidP="00A96A1B">
      <w:r>
        <w:continuationSeparator/>
      </w:r>
    </w:p>
  </w:endnote>
  <w:endnote w:type="continuationNotice" w:id="1">
    <w:p w14:paraId="0871C875" w14:textId="77777777" w:rsidR="0051408A" w:rsidRDefault="00514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732A2" w14:textId="77777777" w:rsidR="0051408A" w:rsidRDefault="0051408A" w:rsidP="00A96A1B">
      <w:r>
        <w:separator/>
      </w:r>
    </w:p>
  </w:footnote>
  <w:footnote w:type="continuationSeparator" w:id="0">
    <w:p w14:paraId="48CD64B1" w14:textId="77777777" w:rsidR="0051408A" w:rsidRDefault="0051408A" w:rsidP="00A96A1B">
      <w:r>
        <w:continuationSeparator/>
      </w:r>
    </w:p>
  </w:footnote>
  <w:footnote w:type="continuationNotice" w:id="1">
    <w:p w14:paraId="3A4728C6" w14:textId="77777777" w:rsidR="0051408A" w:rsidRDefault="005140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251528"/>
      <w:docPartObj>
        <w:docPartGallery w:val="Page Numbers (Top of Page)"/>
        <w:docPartUnique/>
      </w:docPartObj>
    </w:sdtPr>
    <w:sdtEndPr>
      <w:rPr>
        <w:noProof/>
      </w:rPr>
    </w:sdtEndPr>
    <w:sdtContent>
      <w:p w14:paraId="2BF691C3" w14:textId="5B4E8CC6" w:rsidR="0051408A" w:rsidRDefault="0051408A">
        <w:pPr>
          <w:pStyle w:val="Header"/>
          <w:jc w:val="center"/>
        </w:pPr>
        <w:r>
          <w:fldChar w:fldCharType="begin"/>
        </w:r>
        <w:r>
          <w:instrText xml:space="preserve"> PAGE   \* MERGEFORMAT </w:instrText>
        </w:r>
        <w:r>
          <w:fldChar w:fldCharType="separate"/>
        </w:r>
        <w:r w:rsidR="004C4305">
          <w:rPr>
            <w:noProof/>
          </w:rPr>
          <w:t>5</w:t>
        </w:r>
        <w:r>
          <w:rPr>
            <w:noProof/>
          </w:rPr>
          <w:fldChar w:fldCharType="end"/>
        </w:r>
      </w:p>
    </w:sdtContent>
  </w:sdt>
  <w:p w14:paraId="1EE0A9DB" w14:textId="77777777" w:rsidR="0051408A" w:rsidRDefault="0051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2A9"/>
    <w:multiLevelType w:val="hybridMultilevel"/>
    <w:tmpl w:val="57B43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3F67"/>
    <w:multiLevelType w:val="hybridMultilevel"/>
    <w:tmpl w:val="2214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82E12"/>
    <w:multiLevelType w:val="hybridMultilevel"/>
    <w:tmpl w:val="51742048"/>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516D32"/>
    <w:multiLevelType w:val="hybridMultilevel"/>
    <w:tmpl w:val="D948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61E56"/>
    <w:multiLevelType w:val="hybridMultilevel"/>
    <w:tmpl w:val="FD5A0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5B3EE5"/>
    <w:multiLevelType w:val="hybridMultilevel"/>
    <w:tmpl w:val="5672A69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73C065E"/>
    <w:multiLevelType w:val="hybridMultilevel"/>
    <w:tmpl w:val="020CC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222DF"/>
    <w:multiLevelType w:val="hybridMultilevel"/>
    <w:tmpl w:val="DF2E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47E3C"/>
    <w:multiLevelType w:val="hybridMultilevel"/>
    <w:tmpl w:val="5426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B45F2D"/>
    <w:multiLevelType w:val="hybridMultilevel"/>
    <w:tmpl w:val="2A229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962376"/>
    <w:multiLevelType w:val="hybridMultilevel"/>
    <w:tmpl w:val="334C3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B24E57"/>
    <w:multiLevelType w:val="hybridMultilevel"/>
    <w:tmpl w:val="42F2B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937D23"/>
    <w:multiLevelType w:val="hybridMultilevel"/>
    <w:tmpl w:val="92567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315A7C"/>
    <w:multiLevelType w:val="hybridMultilevel"/>
    <w:tmpl w:val="0FD832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F06BF7"/>
    <w:multiLevelType w:val="hybridMultilevel"/>
    <w:tmpl w:val="AFB0896E"/>
    <w:lvl w:ilvl="0" w:tplc="AA8C62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171371"/>
    <w:multiLevelType w:val="hybridMultilevel"/>
    <w:tmpl w:val="3A8EB0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DA1036C"/>
    <w:multiLevelType w:val="hybridMultilevel"/>
    <w:tmpl w:val="0C1E5350"/>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FAD122B"/>
    <w:multiLevelType w:val="hybridMultilevel"/>
    <w:tmpl w:val="76EA6A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60E56B7"/>
    <w:multiLevelType w:val="hybridMultilevel"/>
    <w:tmpl w:val="FAFAE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0F5BEE"/>
    <w:multiLevelType w:val="hybridMultilevel"/>
    <w:tmpl w:val="E0C808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093439"/>
    <w:multiLevelType w:val="hybridMultilevel"/>
    <w:tmpl w:val="71E8309A"/>
    <w:lvl w:ilvl="0" w:tplc="0C09000F">
      <w:start w:val="1"/>
      <w:numFmt w:val="decimal"/>
      <w:lvlText w:val="%1."/>
      <w:lvlJc w:val="left"/>
      <w:pPr>
        <w:tabs>
          <w:tab w:val="num" w:pos="780"/>
        </w:tabs>
        <w:ind w:left="780" w:hanging="360"/>
      </w:pPr>
    </w:lvl>
    <w:lvl w:ilvl="1" w:tplc="0C090019">
      <w:start w:val="1"/>
      <w:numFmt w:val="lowerLetter"/>
      <w:lvlText w:val="%2."/>
      <w:lvlJc w:val="left"/>
      <w:pPr>
        <w:tabs>
          <w:tab w:val="num" w:pos="1500"/>
        </w:tabs>
        <w:ind w:left="1500" w:hanging="360"/>
      </w:pPr>
    </w:lvl>
    <w:lvl w:ilvl="2" w:tplc="0C09001B">
      <w:start w:val="1"/>
      <w:numFmt w:val="lowerRoman"/>
      <w:lvlText w:val="%3."/>
      <w:lvlJc w:val="right"/>
      <w:pPr>
        <w:tabs>
          <w:tab w:val="num" w:pos="2220"/>
        </w:tabs>
        <w:ind w:left="2220" w:hanging="180"/>
      </w:pPr>
    </w:lvl>
    <w:lvl w:ilvl="3" w:tplc="0C09000F">
      <w:start w:val="1"/>
      <w:numFmt w:val="decimal"/>
      <w:lvlText w:val="%4."/>
      <w:lvlJc w:val="left"/>
      <w:pPr>
        <w:tabs>
          <w:tab w:val="num" w:pos="2940"/>
        </w:tabs>
        <w:ind w:left="2940" w:hanging="360"/>
      </w:pPr>
    </w:lvl>
    <w:lvl w:ilvl="4" w:tplc="0C090019">
      <w:start w:val="1"/>
      <w:numFmt w:val="lowerLetter"/>
      <w:lvlText w:val="%5."/>
      <w:lvlJc w:val="left"/>
      <w:pPr>
        <w:tabs>
          <w:tab w:val="num" w:pos="3660"/>
        </w:tabs>
        <w:ind w:left="3660" w:hanging="360"/>
      </w:pPr>
    </w:lvl>
    <w:lvl w:ilvl="5" w:tplc="0C09001B">
      <w:start w:val="1"/>
      <w:numFmt w:val="lowerRoman"/>
      <w:lvlText w:val="%6."/>
      <w:lvlJc w:val="right"/>
      <w:pPr>
        <w:tabs>
          <w:tab w:val="num" w:pos="4380"/>
        </w:tabs>
        <w:ind w:left="4380" w:hanging="180"/>
      </w:pPr>
    </w:lvl>
    <w:lvl w:ilvl="6" w:tplc="0C09000F">
      <w:start w:val="1"/>
      <w:numFmt w:val="decimal"/>
      <w:lvlText w:val="%7."/>
      <w:lvlJc w:val="left"/>
      <w:pPr>
        <w:tabs>
          <w:tab w:val="num" w:pos="5100"/>
        </w:tabs>
        <w:ind w:left="5100" w:hanging="360"/>
      </w:pPr>
    </w:lvl>
    <w:lvl w:ilvl="7" w:tplc="0C090019">
      <w:start w:val="1"/>
      <w:numFmt w:val="lowerLetter"/>
      <w:lvlText w:val="%8."/>
      <w:lvlJc w:val="left"/>
      <w:pPr>
        <w:tabs>
          <w:tab w:val="num" w:pos="5820"/>
        </w:tabs>
        <w:ind w:left="5820" w:hanging="360"/>
      </w:pPr>
    </w:lvl>
    <w:lvl w:ilvl="8" w:tplc="0C09001B">
      <w:start w:val="1"/>
      <w:numFmt w:val="lowerRoman"/>
      <w:lvlText w:val="%9."/>
      <w:lvlJc w:val="right"/>
      <w:pPr>
        <w:tabs>
          <w:tab w:val="num" w:pos="6540"/>
        </w:tabs>
        <w:ind w:left="6540" w:hanging="180"/>
      </w:pPr>
    </w:lvl>
  </w:abstractNum>
  <w:abstractNum w:abstractNumId="22" w15:restartNumberingAfterBreak="0">
    <w:nsid w:val="4D8C3B1D"/>
    <w:multiLevelType w:val="hybridMultilevel"/>
    <w:tmpl w:val="A92ED136"/>
    <w:lvl w:ilvl="0" w:tplc="1F6830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A711F2"/>
    <w:multiLevelType w:val="hybridMultilevel"/>
    <w:tmpl w:val="2E9EB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E71FA4"/>
    <w:multiLevelType w:val="hybridMultilevel"/>
    <w:tmpl w:val="209A1D6A"/>
    <w:lvl w:ilvl="0" w:tplc="0C090003">
      <w:start w:val="1"/>
      <w:numFmt w:val="bullet"/>
      <w:lvlText w:val="o"/>
      <w:lvlJc w:val="left"/>
      <w:pPr>
        <w:ind w:left="840" w:hanging="360"/>
      </w:pPr>
      <w:rPr>
        <w:rFonts w:ascii="Courier New" w:hAnsi="Courier New" w:cs="Courier New"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5"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DF001E"/>
    <w:multiLevelType w:val="hybridMultilevel"/>
    <w:tmpl w:val="3BCC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610F85"/>
    <w:multiLevelType w:val="hybridMultilevel"/>
    <w:tmpl w:val="4C747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965AC7"/>
    <w:multiLevelType w:val="hybridMultilevel"/>
    <w:tmpl w:val="979A644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9" w15:restartNumberingAfterBreak="0">
    <w:nsid w:val="6C007FE3"/>
    <w:multiLevelType w:val="hybridMultilevel"/>
    <w:tmpl w:val="FEFA57CA"/>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A904B27"/>
    <w:multiLevelType w:val="hybridMultilevel"/>
    <w:tmpl w:val="ECC25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1"/>
  </w:num>
  <w:num w:numId="4">
    <w:abstractNumId w:val="19"/>
  </w:num>
  <w:num w:numId="5">
    <w:abstractNumId w:val="28"/>
  </w:num>
  <w:num w:numId="6">
    <w:abstractNumId w:val="12"/>
  </w:num>
  <w:num w:numId="7">
    <w:abstractNumId w:val="11"/>
  </w:num>
  <w:num w:numId="8">
    <w:abstractNumId w:val="1"/>
  </w:num>
  <w:num w:numId="9">
    <w:abstractNumId w:val="7"/>
  </w:num>
  <w:num w:numId="10">
    <w:abstractNumId w:val="9"/>
  </w:num>
  <w:num w:numId="11">
    <w:abstractNumId w:val="6"/>
  </w:num>
  <w:num w:numId="12">
    <w:abstractNumId w:val="3"/>
  </w:num>
  <w:num w:numId="13">
    <w:abstractNumId w:val="5"/>
  </w:num>
  <w:num w:numId="14">
    <w:abstractNumId w:val="23"/>
  </w:num>
  <w:num w:numId="15">
    <w:abstractNumId w:val="22"/>
  </w:num>
  <w:num w:numId="16">
    <w:abstractNumId w:val="14"/>
  </w:num>
  <w:num w:numId="17">
    <w:abstractNumId w:val="27"/>
  </w:num>
  <w:num w:numId="18">
    <w:abstractNumId w:val="25"/>
  </w:num>
  <w:num w:numId="19">
    <w:abstractNumId w:val="4"/>
  </w:num>
  <w:num w:numId="20">
    <w:abstractNumId w:val="15"/>
  </w:num>
  <w:num w:numId="21">
    <w:abstractNumId w:val="30"/>
  </w:num>
  <w:num w:numId="22">
    <w:abstractNumId w:val="20"/>
  </w:num>
  <w:num w:numId="23">
    <w:abstractNumId w:val="29"/>
  </w:num>
  <w:num w:numId="24">
    <w:abstractNumId w:val="17"/>
  </w:num>
  <w:num w:numId="25">
    <w:abstractNumId w:val="2"/>
  </w:num>
  <w:num w:numId="26">
    <w:abstractNumId w:val="24"/>
  </w:num>
  <w:num w:numId="27">
    <w:abstractNumId w:val="26"/>
  </w:num>
  <w:num w:numId="28">
    <w:abstractNumId w:val="10"/>
  </w:num>
  <w:num w:numId="29">
    <w:abstractNumId w:val="8"/>
  </w:num>
  <w:num w:numId="30">
    <w:abstractNumId w:val="16"/>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0A"/>
    <w:rsid w:val="00003124"/>
    <w:rsid w:val="000067D7"/>
    <w:rsid w:val="00007E7A"/>
    <w:rsid w:val="000103BF"/>
    <w:rsid w:val="00012628"/>
    <w:rsid w:val="0001265F"/>
    <w:rsid w:val="000126B2"/>
    <w:rsid w:val="0001299F"/>
    <w:rsid w:val="00015A2C"/>
    <w:rsid w:val="00020881"/>
    <w:rsid w:val="0003595B"/>
    <w:rsid w:val="00042B02"/>
    <w:rsid w:val="00046478"/>
    <w:rsid w:val="0005207F"/>
    <w:rsid w:val="00054A5F"/>
    <w:rsid w:val="000564D3"/>
    <w:rsid w:val="000600A4"/>
    <w:rsid w:val="00065AC3"/>
    <w:rsid w:val="0006795E"/>
    <w:rsid w:val="00073178"/>
    <w:rsid w:val="000741F8"/>
    <w:rsid w:val="0007524A"/>
    <w:rsid w:val="000758A2"/>
    <w:rsid w:val="00076B31"/>
    <w:rsid w:val="000A2EFF"/>
    <w:rsid w:val="000A4307"/>
    <w:rsid w:val="000A7A81"/>
    <w:rsid w:val="000B0633"/>
    <w:rsid w:val="000B6B6F"/>
    <w:rsid w:val="000B75C5"/>
    <w:rsid w:val="000C06B3"/>
    <w:rsid w:val="000C0E81"/>
    <w:rsid w:val="000C1B6C"/>
    <w:rsid w:val="000C4531"/>
    <w:rsid w:val="000C4C79"/>
    <w:rsid w:val="000D2F5C"/>
    <w:rsid w:val="000D6178"/>
    <w:rsid w:val="000E2C8D"/>
    <w:rsid w:val="000E43CC"/>
    <w:rsid w:val="000F112E"/>
    <w:rsid w:val="000F4BEC"/>
    <w:rsid w:val="00101452"/>
    <w:rsid w:val="001045FF"/>
    <w:rsid w:val="00105B0E"/>
    <w:rsid w:val="00107615"/>
    <w:rsid w:val="00112F81"/>
    <w:rsid w:val="001161F2"/>
    <w:rsid w:val="00117752"/>
    <w:rsid w:val="001178A9"/>
    <w:rsid w:val="00123BC4"/>
    <w:rsid w:val="001315A6"/>
    <w:rsid w:val="00136E7B"/>
    <w:rsid w:val="00143DA0"/>
    <w:rsid w:val="00143F9E"/>
    <w:rsid w:val="00147911"/>
    <w:rsid w:val="00147F34"/>
    <w:rsid w:val="001509BA"/>
    <w:rsid w:val="00151760"/>
    <w:rsid w:val="0015424F"/>
    <w:rsid w:val="001555C9"/>
    <w:rsid w:val="00162E15"/>
    <w:rsid w:val="00170758"/>
    <w:rsid w:val="001721C1"/>
    <w:rsid w:val="001734D7"/>
    <w:rsid w:val="00174B64"/>
    <w:rsid w:val="00177A08"/>
    <w:rsid w:val="00177EEA"/>
    <w:rsid w:val="0018000F"/>
    <w:rsid w:val="00184A7F"/>
    <w:rsid w:val="00190FC6"/>
    <w:rsid w:val="00195420"/>
    <w:rsid w:val="001A6D75"/>
    <w:rsid w:val="001A7BE1"/>
    <w:rsid w:val="001B00F9"/>
    <w:rsid w:val="001B07E6"/>
    <w:rsid w:val="001B1667"/>
    <w:rsid w:val="001B2AFC"/>
    <w:rsid w:val="001B3204"/>
    <w:rsid w:val="001B5F7B"/>
    <w:rsid w:val="001D631C"/>
    <w:rsid w:val="001D6A15"/>
    <w:rsid w:val="001D7AFB"/>
    <w:rsid w:val="001E0F83"/>
    <w:rsid w:val="001F22F0"/>
    <w:rsid w:val="001F4800"/>
    <w:rsid w:val="001F6600"/>
    <w:rsid w:val="0020064C"/>
    <w:rsid w:val="0020077A"/>
    <w:rsid w:val="0020340D"/>
    <w:rsid w:val="00204EC3"/>
    <w:rsid w:val="00205500"/>
    <w:rsid w:val="0021440F"/>
    <w:rsid w:val="0021476E"/>
    <w:rsid w:val="00215420"/>
    <w:rsid w:val="0021556F"/>
    <w:rsid w:val="002311A8"/>
    <w:rsid w:val="00231F9D"/>
    <w:rsid w:val="00232329"/>
    <w:rsid w:val="00232E4D"/>
    <w:rsid w:val="00244275"/>
    <w:rsid w:val="00246B5C"/>
    <w:rsid w:val="00246EBD"/>
    <w:rsid w:val="0025015A"/>
    <w:rsid w:val="00252CB6"/>
    <w:rsid w:val="0025349D"/>
    <w:rsid w:val="00253B15"/>
    <w:rsid w:val="00254D4E"/>
    <w:rsid w:val="0026014B"/>
    <w:rsid w:val="0026064A"/>
    <w:rsid w:val="0026068B"/>
    <w:rsid w:val="002614DC"/>
    <w:rsid w:val="00265B08"/>
    <w:rsid w:val="00275FFF"/>
    <w:rsid w:val="00276277"/>
    <w:rsid w:val="002775BC"/>
    <w:rsid w:val="00280BA4"/>
    <w:rsid w:val="00280E2D"/>
    <w:rsid w:val="00284AF6"/>
    <w:rsid w:val="002872F1"/>
    <w:rsid w:val="00287BD6"/>
    <w:rsid w:val="00290ACD"/>
    <w:rsid w:val="00291208"/>
    <w:rsid w:val="0029310E"/>
    <w:rsid w:val="002A0B84"/>
    <w:rsid w:val="002A1F08"/>
    <w:rsid w:val="002A35BF"/>
    <w:rsid w:val="002A3BAA"/>
    <w:rsid w:val="002A46D7"/>
    <w:rsid w:val="002B0880"/>
    <w:rsid w:val="002B4810"/>
    <w:rsid w:val="002B5B34"/>
    <w:rsid w:val="002C556B"/>
    <w:rsid w:val="002C653D"/>
    <w:rsid w:val="002D225E"/>
    <w:rsid w:val="002D36FC"/>
    <w:rsid w:val="002D6033"/>
    <w:rsid w:val="002E0D2A"/>
    <w:rsid w:val="002E2D52"/>
    <w:rsid w:val="002E37D2"/>
    <w:rsid w:val="002E7798"/>
    <w:rsid w:val="002F2E09"/>
    <w:rsid w:val="00310444"/>
    <w:rsid w:val="00315848"/>
    <w:rsid w:val="00322BC6"/>
    <w:rsid w:val="003250D6"/>
    <w:rsid w:val="003259AA"/>
    <w:rsid w:val="003324AC"/>
    <w:rsid w:val="0034148E"/>
    <w:rsid w:val="00344AEB"/>
    <w:rsid w:val="00344B83"/>
    <w:rsid w:val="00355F20"/>
    <w:rsid w:val="003562B9"/>
    <w:rsid w:val="003576EB"/>
    <w:rsid w:val="0036189F"/>
    <w:rsid w:val="00363A03"/>
    <w:rsid w:val="003640E1"/>
    <w:rsid w:val="00366069"/>
    <w:rsid w:val="003671F4"/>
    <w:rsid w:val="003673DA"/>
    <w:rsid w:val="003679B9"/>
    <w:rsid w:val="00371484"/>
    <w:rsid w:val="00371857"/>
    <w:rsid w:val="003748AA"/>
    <w:rsid w:val="0038293A"/>
    <w:rsid w:val="003833BE"/>
    <w:rsid w:val="00384FD2"/>
    <w:rsid w:val="003852B4"/>
    <w:rsid w:val="00390905"/>
    <w:rsid w:val="003923C6"/>
    <w:rsid w:val="00396266"/>
    <w:rsid w:val="00397D68"/>
    <w:rsid w:val="003A0A47"/>
    <w:rsid w:val="003A6A2D"/>
    <w:rsid w:val="003A7C55"/>
    <w:rsid w:val="003B029D"/>
    <w:rsid w:val="003B0599"/>
    <w:rsid w:val="003B405A"/>
    <w:rsid w:val="003C0E22"/>
    <w:rsid w:val="003C602E"/>
    <w:rsid w:val="003C7CC3"/>
    <w:rsid w:val="003D4FEF"/>
    <w:rsid w:val="003E0614"/>
    <w:rsid w:val="003E2226"/>
    <w:rsid w:val="003E3CF6"/>
    <w:rsid w:val="003E41FB"/>
    <w:rsid w:val="003E4617"/>
    <w:rsid w:val="003E532D"/>
    <w:rsid w:val="003E66D4"/>
    <w:rsid w:val="003E7086"/>
    <w:rsid w:val="003F06D3"/>
    <w:rsid w:val="003F14C6"/>
    <w:rsid w:val="003F1BF7"/>
    <w:rsid w:val="003F256E"/>
    <w:rsid w:val="003F3714"/>
    <w:rsid w:val="0040449F"/>
    <w:rsid w:val="00411DA3"/>
    <w:rsid w:val="004125B1"/>
    <w:rsid w:val="0041373A"/>
    <w:rsid w:val="00414964"/>
    <w:rsid w:val="00422AF9"/>
    <w:rsid w:val="0043377A"/>
    <w:rsid w:val="004337C7"/>
    <w:rsid w:val="0043419D"/>
    <w:rsid w:val="004341D7"/>
    <w:rsid w:val="00436232"/>
    <w:rsid w:val="0043652C"/>
    <w:rsid w:val="0043740B"/>
    <w:rsid w:val="00447025"/>
    <w:rsid w:val="004527BB"/>
    <w:rsid w:val="0045318E"/>
    <w:rsid w:val="00466096"/>
    <w:rsid w:val="00470E55"/>
    <w:rsid w:val="00475327"/>
    <w:rsid w:val="00477E4C"/>
    <w:rsid w:val="00480857"/>
    <w:rsid w:val="00483786"/>
    <w:rsid w:val="004904B2"/>
    <w:rsid w:val="004904C1"/>
    <w:rsid w:val="0049081B"/>
    <w:rsid w:val="004910AE"/>
    <w:rsid w:val="00491848"/>
    <w:rsid w:val="0049509A"/>
    <w:rsid w:val="00497458"/>
    <w:rsid w:val="004979A1"/>
    <w:rsid w:val="004A601C"/>
    <w:rsid w:val="004A78E5"/>
    <w:rsid w:val="004B0136"/>
    <w:rsid w:val="004B2B6E"/>
    <w:rsid w:val="004B3D9D"/>
    <w:rsid w:val="004B63B0"/>
    <w:rsid w:val="004B6DD4"/>
    <w:rsid w:val="004B7BE2"/>
    <w:rsid w:val="004C0913"/>
    <w:rsid w:val="004C1163"/>
    <w:rsid w:val="004C1C16"/>
    <w:rsid w:val="004C39F7"/>
    <w:rsid w:val="004C4232"/>
    <w:rsid w:val="004C4305"/>
    <w:rsid w:val="004C7BF2"/>
    <w:rsid w:val="004C7E48"/>
    <w:rsid w:val="004D0D36"/>
    <w:rsid w:val="004D637B"/>
    <w:rsid w:val="004E03B0"/>
    <w:rsid w:val="004E7ABA"/>
    <w:rsid w:val="004F030B"/>
    <w:rsid w:val="004F0CB1"/>
    <w:rsid w:val="004F0E86"/>
    <w:rsid w:val="00511085"/>
    <w:rsid w:val="00511DF5"/>
    <w:rsid w:val="00512CC6"/>
    <w:rsid w:val="0051340D"/>
    <w:rsid w:val="00513903"/>
    <w:rsid w:val="00513A42"/>
    <w:rsid w:val="0051408A"/>
    <w:rsid w:val="00514AA6"/>
    <w:rsid w:val="00520B14"/>
    <w:rsid w:val="0052166E"/>
    <w:rsid w:val="00526484"/>
    <w:rsid w:val="00530B5D"/>
    <w:rsid w:val="0053301E"/>
    <w:rsid w:val="005363B1"/>
    <w:rsid w:val="005373B7"/>
    <w:rsid w:val="00537410"/>
    <w:rsid w:val="00545688"/>
    <w:rsid w:val="00545BFB"/>
    <w:rsid w:val="00547F5F"/>
    <w:rsid w:val="00550F63"/>
    <w:rsid w:val="00556D57"/>
    <w:rsid w:val="00561F46"/>
    <w:rsid w:val="005659BB"/>
    <w:rsid w:val="00570F60"/>
    <w:rsid w:val="00573931"/>
    <w:rsid w:val="00575181"/>
    <w:rsid w:val="00576EA5"/>
    <w:rsid w:val="00577B0D"/>
    <w:rsid w:val="00581F4D"/>
    <w:rsid w:val="00584ECC"/>
    <w:rsid w:val="0059372B"/>
    <w:rsid w:val="0059669C"/>
    <w:rsid w:val="0059753C"/>
    <w:rsid w:val="005A465F"/>
    <w:rsid w:val="005A4686"/>
    <w:rsid w:val="005A4BBB"/>
    <w:rsid w:val="005A6E6C"/>
    <w:rsid w:val="005A79F1"/>
    <w:rsid w:val="005B0CD9"/>
    <w:rsid w:val="005B1B9E"/>
    <w:rsid w:val="005B33A8"/>
    <w:rsid w:val="005B42B4"/>
    <w:rsid w:val="005B5E6A"/>
    <w:rsid w:val="005B7807"/>
    <w:rsid w:val="005C2B82"/>
    <w:rsid w:val="005C3F0E"/>
    <w:rsid w:val="005C6651"/>
    <w:rsid w:val="005D2C78"/>
    <w:rsid w:val="005D5057"/>
    <w:rsid w:val="005D57B1"/>
    <w:rsid w:val="005E2AF0"/>
    <w:rsid w:val="005E7E29"/>
    <w:rsid w:val="005F18DC"/>
    <w:rsid w:val="005F23BA"/>
    <w:rsid w:val="00600033"/>
    <w:rsid w:val="0060348D"/>
    <w:rsid w:val="00603F7F"/>
    <w:rsid w:val="00615918"/>
    <w:rsid w:val="00615A77"/>
    <w:rsid w:val="0061748A"/>
    <w:rsid w:val="00625A0A"/>
    <w:rsid w:val="006302EA"/>
    <w:rsid w:val="006313FE"/>
    <w:rsid w:val="00631665"/>
    <w:rsid w:val="00633C6B"/>
    <w:rsid w:val="00640685"/>
    <w:rsid w:val="006442C6"/>
    <w:rsid w:val="006451A2"/>
    <w:rsid w:val="0064555A"/>
    <w:rsid w:val="0065139F"/>
    <w:rsid w:val="00655346"/>
    <w:rsid w:val="00656CFE"/>
    <w:rsid w:val="0066000C"/>
    <w:rsid w:val="00660B9D"/>
    <w:rsid w:val="006645DE"/>
    <w:rsid w:val="00676C3B"/>
    <w:rsid w:val="00683690"/>
    <w:rsid w:val="00683CD2"/>
    <w:rsid w:val="0069235E"/>
    <w:rsid w:val="00697CCF"/>
    <w:rsid w:val="006A2F91"/>
    <w:rsid w:val="006B21B7"/>
    <w:rsid w:val="006B714B"/>
    <w:rsid w:val="006C280C"/>
    <w:rsid w:val="006C7ADF"/>
    <w:rsid w:val="006C7D61"/>
    <w:rsid w:val="006D1594"/>
    <w:rsid w:val="006D1EF7"/>
    <w:rsid w:val="006D2473"/>
    <w:rsid w:val="006E0BD0"/>
    <w:rsid w:val="006E25F3"/>
    <w:rsid w:val="006E2C81"/>
    <w:rsid w:val="006E53C1"/>
    <w:rsid w:val="006F1CC2"/>
    <w:rsid w:val="006F36E2"/>
    <w:rsid w:val="00701DCD"/>
    <w:rsid w:val="007022BD"/>
    <w:rsid w:val="00702C5B"/>
    <w:rsid w:val="00704616"/>
    <w:rsid w:val="00707830"/>
    <w:rsid w:val="007148EC"/>
    <w:rsid w:val="00716F4D"/>
    <w:rsid w:val="007200FE"/>
    <w:rsid w:val="0072639C"/>
    <w:rsid w:val="00736285"/>
    <w:rsid w:val="007362DB"/>
    <w:rsid w:val="00741281"/>
    <w:rsid w:val="00744C8E"/>
    <w:rsid w:val="007466F2"/>
    <w:rsid w:val="00751141"/>
    <w:rsid w:val="007518EF"/>
    <w:rsid w:val="00754F2A"/>
    <w:rsid w:val="00755897"/>
    <w:rsid w:val="00755E9C"/>
    <w:rsid w:val="007608BC"/>
    <w:rsid w:val="00760DF2"/>
    <w:rsid w:val="00762496"/>
    <w:rsid w:val="00776269"/>
    <w:rsid w:val="00780F84"/>
    <w:rsid w:val="00781661"/>
    <w:rsid w:val="00783606"/>
    <w:rsid w:val="00787C19"/>
    <w:rsid w:val="00796D28"/>
    <w:rsid w:val="007975EE"/>
    <w:rsid w:val="007A1411"/>
    <w:rsid w:val="007A19AB"/>
    <w:rsid w:val="007A3D4A"/>
    <w:rsid w:val="007A4456"/>
    <w:rsid w:val="007A647C"/>
    <w:rsid w:val="007B04C7"/>
    <w:rsid w:val="007B0A15"/>
    <w:rsid w:val="007B1255"/>
    <w:rsid w:val="007B190A"/>
    <w:rsid w:val="007C674F"/>
    <w:rsid w:val="007C6AE9"/>
    <w:rsid w:val="007C6D32"/>
    <w:rsid w:val="007D0E91"/>
    <w:rsid w:val="007D1D6C"/>
    <w:rsid w:val="007D407A"/>
    <w:rsid w:val="007D5A2C"/>
    <w:rsid w:val="007E550F"/>
    <w:rsid w:val="007E6449"/>
    <w:rsid w:val="007F0DD6"/>
    <w:rsid w:val="007F4E20"/>
    <w:rsid w:val="00801BA4"/>
    <w:rsid w:val="0080280E"/>
    <w:rsid w:val="00802E18"/>
    <w:rsid w:val="00810462"/>
    <w:rsid w:val="00813023"/>
    <w:rsid w:val="00815DBE"/>
    <w:rsid w:val="00816DD5"/>
    <w:rsid w:val="008261B2"/>
    <w:rsid w:val="00835135"/>
    <w:rsid w:val="00837D4D"/>
    <w:rsid w:val="00846741"/>
    <w:rsid w:val="00852FFE"/>
    <w:rsid w:val="00863FD6"/>
    <w:rsid w:val="00870867"/>
    <w:rsid w:val="00870DA6"/>
    <w:rsid w:val="0087170A"/>
    <w:rsid w:val="00872317"/>
    <w:rsid w:val="00874E21"/>
    <w:rsid w:val="00886593"/>
    <w:rsid w:val="00890971"/>
    <w:rsid w:val="0089152A"/>
    <w:rsid w:val="00891D83"/>
    <w:rsid w:val="00893074"/>
    <w:rsid w:val="00895645"/>
    <w:rsid w:val="00895897"/>
    <w:rsid w:val="008A502A"/>
    <w:rsid w:val="008B37DE"/>
    <w:rsid w:val="008B3CF1"/>
    <w:rsid w:val="008C49E2"/>
    <w:rsid w:val="008D0CE8"/>
    <w:rsid w:val="008D2223"/>
    <w:rsid w:val="008D2255"/>
    <w:rsid w:val="008D2AE7"/>
    <w:rsid w:val="008D35AB"/>
    <w:rsid w:val="008D36E3"/>
    <w:rsid w:val="008E01C6"/>
    <w:rsid w:val="008E0376"/>
    <w:rsid w:val="008E04E8"/>
    <w:rsid w:val="008E24DE"/>
    <w:rsid w:val="008F6DAE"/>
    <w:rsid w:val="00902847"/>
    <w:rsid w:val="009071A8"/>
    <w:rsid w:val="00917FD6"/>
    <w:rsid w:val="0092397E"/>
    <w:rsid w:val="009266FD"/>
    <w:rsid w:val="009275D8"/>
    <w:rsid w:val="0093037D"/>
    <w:rsid w:val="0093470F"/>
    <w:rsid w:val="00934B07"/>
    <w:rsid w:val="0093600D"/>
    <w:rsid w:val="00941881"/>
    <w:rsid w:val="00951463"/>
    <w:rsid w:val="0095417A"/>
    <w:rsid w:val="00954925"/>
    <w:rsid w:val="00955452"/>
    <w:rsid w:val="009601D7"/>
    <w:rsid w:val="0096582B"/>
    <w:rsid w:val="009658C7"/>
    <w:rsid w:val="00971F6E"/>
    <w:rsid w:val="0097487C"/>
    <w:rsid w:val="0098364A"/>
    <w:rsid w:val="00983735"/>
    <w:rsid w:val="00986944"/>
    <w:rsid w:val="009912C8"/>
    <w:rsid w:val="0099290C"/>
    <w:rsid w:val="00992E54"/>
    <w:rsid w:val="00993660"/>
    <w:rsid w:val="00996B99"/>
    <w:rsid w:val="009A1A50"/>
    <w:rsid w:val="009A4146"/>
    <w:rsid w:val="009A72CF"/>
    <w:rsid w:val="009A7C9E"/>
    <w:rsid w:val="009B49D7"/>
    <w:rsid w:val="009B5412"/>
    <w:rsid w:val="009B566D"/>
    <w:rsid w:val="009C0CFF"/>
    <w:rsid w:val="009C2528"/>
    <w:rsid w:val="009C2D75"/>
    <w:rsid w:val="009C403E"/>
    <w:rsid w:val="009C432A"/>
    <w:rsid w:val="009C4C6F"/>
    <w:rsid w:val="009C52F0"/>
    <w:rsid w:val="009C5912"/>
    <w:rsid w:val="009D182F"/>
    <w:rsid w:val="009D1FC4"/>
    <w:rsid w:val="009D20E9"/>
    <w:rsid w:val="009D2DCF"/>
    <w:rsid w:val="009D4900"/>
    <w:rsid w:val="009D5A5E"/>
    <w:rsid w:val="009E18ED"/>
    <w:rsid w:val="009E4B47"/>
    <w:rsid w:val="009E7728"/>
    <w:rsid w:val="009F0A50"/>
    <w:rsid w:val="009F15EB"/>
    <w:rsid w:val="009F1AF7"/>
    <w:rsid w:val="009F23AB"/>
    <w:rsid w:val="009F2E6A"/>
    <w:rsid w:val="009F602E"/>
    <w:rsid w:val="00A069E1"/>
    <w:rsid w:val="00A11DD4"/>
    <w:rsid w:val="00A1713B"/>
    <w:rsid w:val="00A176F3"/>
    <w:rsid w:val="00A17EDB"/>
    <w:rsid w:val="00A2129E"/>
    <w:rsid w:val="00A23081"/>
    <w:rsid w:val="00A2490E"/>
    <w:rsid w:val="00A269B8"/>
    <w:rsid w:val="00A2718C"/>
    <w:rsid w:val="00A34E1E"/>
    <w:rsid w:val="00A36360"/>
    <w:rsid w:val="00A375B8"/>
    <w:rsid w:val="00A37984"/>
    <w:rsid w:val="00A37DFE"/>
    <w:rsid w:val="00A4277E"/>
    <w:rsid w:val="00A4602F"/>
    <w:rsid w:val="00A46B62"/>
    <w:rsid w:val="00A52E69"/>
    <w:rsid w:val="00A5405B"/>
    <w:rsid w:val="00A61379"/>
    <w:rsid w:val="00A67478"/>
    <w:rsid w:val="00A77183"/>
    <w:rsid w:val="00A85721"/>
    <w:rsid w:val="00A87F9A"/>
    <w:rsid w:val="00A91B71"/>
    <w:rsid w:val="00A94DBD"/>
    <w:rsid w:val="00A96A1B"/>
    <w:rsid w:val="00AA01D8"/>
    <w:rsid w:val="00AA0CBB"/>
    <w:rsid w:val="00AB65A5"/>
    <w:rsid w:val="00AC5B48"/>
    <w:rsid w:val="00AC77FB"/>
    <w:rsid w:val="00AD091E"/>
    <w:rsid w:val="00AD14FC"/>
    <w:rsid w:val="00AD1552"/>
    <w:rsid w:val="00AE16C5"/>
    <w:rsid w:val="00AE4BBC"/>
    <w:rsid w:val="00AE5568"/>
    <w:rsid w:val="00AE7A2A"/>
    <w:rsid w:val="00AF267D"/>
    <w:rsid w:val="00AF6E30"/>
    <w:rsid w:val="00B0197D"/>
    <w:rsid w:val="00B02C18"/>
    <w:rsid w:val="00B047FD"/>
    <w:rsid w:val="00B06631"/>
    <w:rsid w:val="00B16B9F"/>
    <w:rsid w:val="00B17780"/>
    <w:rsid w:val="00B218C5"/>
    <w:rsid w:val="00B236B2"/>
    <w:rsid w:val="00B25673"/>
    <w:rsid w:val="00B32110"/>
    <w:rsid w:val="00B33933"/>
    <w:rsid w:val="00B34F94"/>
    <w:rsid w:val="00B37257"/>
    <w:rsid w:val="00B43959"/>
    <w:rsid w:val="00B445D6"/>
    <w:rsid w:val="00B468EE"/>
    <w:rsid w:val="00B46A4E"/>
    <w:rsid w:val="00B533F0"/>
    <w:rsid w:val="00B54FB0"/>
    <w:rsid w:val="00B616B4"/>
    <w:rsid w:val="00B642AA"/>
    <w:rsid w:val="00B642CE"/>
    <w:rsid w:val="00B6440F"/>
    <w:rsid w:val="00B73F95"/>
    <w:rsid w:val="00B745E4"/>
    <w:rsid w:val="00B7685A"/>
    <w:rsid w:val="00B777D8"/>
    <w:rsid w:val="00B80816"/>
    <w:rsid w:val="00B81C18"/>
    <w:rsid w:val="00B82789"/>
    <w:rsid w:val="00B852CB"/>
    <w:rsid w:val="00B86873"/>
    <w:rsid w:val="00B9284E"/>
    <w:rsid w:val="00B958C7"/>
    <w:rsid w:val="00B974FD"/>
    <w:rsid w:val="00BA23AE"/>
    <w:rsid w:val="00BA3837"/>
    <w:rsid w:val="00BA3B32"/>
    <w:rsid w:val="00BA60F1"/>
    <w:rsid w:val="00BB015F"/>
    <w:rsid w:val="00BB0232"/>
    <w:rsid w:val="00BB5C2B"/>
    <w:rsid w:val="00BB7D36"/>
    <w:rsid w:val="00BC0533"/>
    <w:rsid w:val="00BC1E81"/>
    <w:rsid w:val="00BC6A5B"/>
    <w:rsid w:val="00BC7D90"/>
    <w:rsid w:val="00BD0292"/>
    <w:rsid w:val="00BD1AB8"/>
    <w:rsid w:val="00BD2364"/>
    <w:rsid w:val="00BD5986"/>
    <w:rsid w:val="00BD6406"/>
    <w:rsid w:val="00BD7D1B"/>
    <w:rsid w:val="00BE3812"/>
    <w:rsid w:val="00BE7766"/>
    <w:rsid w:val="00BF27E5"/>
    <w:rsid w:val="00BF2B94"/>
    <w:rsid w:val="00BF532C"/>
    <w:rsid w:val="00BF580C"/>
    <w:rsid w:val="00C000AC"/>
    <w:rsid w:val="00C05B0D"/>
    <w:rsid w:val="00C12805"/>
    <w:rsid w:val="00C134A8"/>
    <w:rsid w:val="00C15210"/>
    <w:rsid w:val="00C23057"/>
    <w:rsid w:val="00C23B1D"/>
    <w:rsid w:val="00C2512E"/>
    <w:rsid w:val="00C25D0A"/>
    <w:rsid w:val="00C3067E"/>
    <w:rsid w:val="00C30873"/>
    <w:rsid w:val="00C320BA"/>
    <w:rsid w:val="00C321BD"/>
    <w:rsid w:val="00C33EB5"/>
    <w:rsid w:val="00C342FC"/>
    <w:rsid w:val="00C36021"/>
    <w:rsid w:val="00C37CEF"/>
    <w:rsid w:val="00C37FD6"/>
    <w:rsid w:val="00C41ACE"/>
    <w:rsid w:val="00C424F0"/>
    <w:rsid w:val="00C4327D"/>
    <w:rsid w:val="00C4372A"/>
    <w:rsid w:val="00C44A12"/>
    <w:rsid w:val="00C44C48"/>
    <w:rsid w:val="00C51B99"/>
    <w:rsid w:val="00C53C97"/>
    <w:rsid w:val="00C6227E"/>
    <w:rsid w:val="00C63E21"/>
    <w:rsid w:val="00C652A8"/>
    <w:rsid w:val="00C65EC3"/>
    <w:rsid w:val="00C71423"/>
    <w:rsid w:val="00C71EBC"/>
    <w:rsid w:val="00C77449"/>
    <w:rsid w:val="00C779EE"/>
    <w:rsid w:val="00C77C43"/>
    <w:rsid w:val="00C8197E"/>
    <w:rsid w:val="00C82EEC"/>
    <w:rsid w:val="00C84059"/>
    <w:rsid w:val="00C843BD"/>
    <w:rsid w:val="00C84C13"/>
    <w:rsid w:val="00C85D89"/>
    <w:rsid w:val="00C90A6F"/>
    <w:rsid w:val="00C92D3E"/>
    <w:rsid w:val="00CA023C"/>
    <w:rsid w:val="00CA0D59"/>
    <w:rsid w:val="00CA7CE0"/>
    <w:rsid w:val="00CB2C24"/>
    <w:rsid w:val="00CB570F"/>
    <w:rsid w:val="00CB5795"/>
    <w:rsid w:val="00CB6459"/>
    <w:rsid w:val="00CC5722"/>
    <w:rsid w:val="00CC7512"/>
    <w:rsid w:val="00CD19BC"/>
    <w:rsid w:val="00CD1F89"/>
    <w:rsid w:val="00CD5C58"/>
    <w:rsid w:val="00CD6DB9"/>
    <w:rsid w:val="00CE0901"/>
    <w:rsid w:val="00CE1D6B"/>
    <w:rsid w:val="00CE2FFF"/>
    <w:rsid w:val="00CE3F77"/>
    <w:rsid w:val="00CE62D0"/>
    <w:rsid w:val="00CF31AC"/>
    <w:rsid w:val="00D02B0A"/>
    <w:rsid w:val="00D02D8D"/>
    <w:rsid w:val="00D03C8E"/>
    <w:rsid w:val="00D1519D"/>
    <w:rsid w:val="00D15D44"/>
    <w:rsid w:val="00D15F0F"/>
    <w:rsid w:val="00D17DFB"/>
    <w:rsid w:val="00D21AA6"/>
    <w:rsid w:val="00D27B18"/>
    <w:rsid w:val="00D40984"/>
    <w:rsid w:val="00D44BA9"/>
    <w:rsid w:val="00D510DF"/>
    <w:rsid w:val="00D51538"/>
    <w:rsid w:val="00D523B7"/>
    <w:rsid w:val="00D53335"/>
    <w:rsid w:val="00D53F48"/>
    <w:rsid w:val="00D611A0"/>
    <w:rsid w:val="00D7769C"/>
    <w:rsid w:val="00D77F01"/>
    <w:rsid w:val="00D80311"/>
    <w:rsid w:val="00D81848"/>
    <w:rsid w:val="00D853D9"/>
    <w:rsid w:val="00D91DD2"/>
    <w:rsid w:val="00D97AA9"/>
    <w:rsid w:val="00DA5520"/>
    <w:rsid w:val="00DB10E7"/>
    <w:rsid w:val="00DB2577"/>
    <w:rsid w:val="00DB3A1D"/>
    <w:rsid w:val="00DB598B"/>
    <w:rsid w:val="00DB7A65"/>
    <w:rsid w:val="00DC288E"/>
    <w:rsid w:val="00DC3C1D"/>
    <w:rsid w:val="00DD402C"/>
    <w:rsid w:val="00DD6EF0"/>
    <w:rsid w:val="00DE1BE1"/>
    <w:rsid w:val="00DE2ACD"/>
    <w:rsid w:val="00DE3097"/>
    <w:rsid w:val="00DE4872"/>
    <w:rsid w:val="00DF0FD9"/>
    <w:rsid w:val="00DF7F88"/>
    <w:rsid w:val="00E003BF"/>
    <w:rsid w:val="00E00FD2"/>
    <w:rsid w:val="00E0213A"/>
    <w:rsid w:val="00E02E31"/>
    <w:rsid w:val="00E06C6C"/>
    <w:rsid w:val="00E10A75"/>
    <w:rsid w:val="00E1145A"/>
    <w:rsid w:val="00E12D46"/>
    <w:rsid w:val="00E14083"/>
    <w:rsid w:val="00E149EA"/>
    <w:rsid w:val="00E15385"/>
    <w:rsid w:val="00E21352"/>
    <w:rsid w:val="00E312DC"/>
    <w:rsid w:val="00E319CD"/>
    <w:rsid w:val="00E36962"/>
    <w:rsid w:val="00E4012C"/>
    <w:rsid w:val="00E423FE"/>
    <w:rsid w:val="00E44D5B"/>
    <w:rsid w:val="00E44EB7"/>
    <w:rsid w:val="00E46ABD"/>
    <w:rsid w:val="00E46FE9"/>
    <w:rsid w:val="00E610C6"/>
    <w:rsid w:val="00E67B52"/>
    <w:rsid w:val="00E71CFF"/>
    <w:rsid w:val="00E738DA"/>
    <w:rsid w:val="00E871FD"/>
    <w:rsid w:val="00E8774E"/>
    <w:rsid w:val="00E92216"/>
    <w:rsid w:val="00E9485D"/>
    <w:rsid w:val="00E97DAE"/>
    <w:rsid w:val="00EA1615"/>
    <w:rsid w:val="00EA69C0"/>
    <w:rsid w:val="00EA6C57"/>
    <w:rsid w:val="00EB310F"/>
    <w:rsid w:val="00EB6391"/>
    <w:rsid w:val="00EB7D2F"/>
    <w:rsid w:val="00EC2415"/>
    <w:rsid w:val="00EC29AF"/>
    <w:rsid w:val="00EC477D"/>
    <w:rsid w:val="00ED349A"/>
    <w:rsid w:val="00ED6584"/>
    <w:rsid w:val="00ED75B0"/>
    <w:rsid w:val="00ED7BBA"/>
    <w:rsid w:val="00EE09C9"/>
    <w:rsid w:val="00EE2A47"/>
    <w:rsid w:val="00EE7F77"/>
    <w:rsid w:val="00EF2EB0"/>
    <w:rsid w:val="00EF3006"/>
    <w:rsid w:val="00EF4D2D"/>
    <w:rsid w:val="00EF6CA4"/>
    <w:rsid w:val="00F007DC"/>
    <w:rsid w:val="00F12D91"/>
    <w:rsid w:val="00F14CAC"/>
    <w:rsid w:val="00F14F4A"/>
    <w:rsid w:val="00F2105A"/>
    <w:rsid w:val="00F21CB4"/>
    <w:rsid w:val="00F25138"/>
    <w:rsid w:val="00F262C5"/>
    <w:rsid w:val="00F31211"/>
    <w:rsid w:val="00F36245"/>
    <w:rsid w:val="00F364D0"/>
    <w:rsid w:val="00F3729B"/>
    <w:rsid w:val="00F4066D"/>
    <w:rsid w:val="00F4075C"/>
    <w:rsid w:val="00F55806"/>
    <w:rsid w:val="00F55A35"/>
    <w:rsid w:val="00F62F33"/>
    <w:rsid w:val="00F67DC9"/>
    <w:rsid w:val="00F67DF9"/>
    <w:rsid w:val="00F67FAD"/>
    <w:rsid w:val="00F71BE1"/>
    <w:rsid w:val="00F735BA"/>
    <w:rsid w:val="00F73ECF"/>
    <w:rsid w:val="00F74B9F"/>
    <w:rsid w:val="00F80792"/>
    <w:rsid w:val="00F8490A"/>
    <w:rsid w:val="00F852AD"/>
    <w:rsid w:val="00F855BC"/>
    <w:rsid w:val="00F85601"/>
    <w:rsid w:val="00F8578F"/>
    <w:rsid w:val="00F91062"/>
    <w:rsid w:val="00F97362"/>
    <w:rsid w:val="00FA5921"/>
    <w:rsid w:val="00FB1BD7"/>
    <w:rsid w:val="00FB48F6"/>
    <w:rsid w:val="00FB6465"/>
    <w:rsid w:val="00FC1438"/>
    <w:rsid w:val="00FC3C42"/>
    <w:rsid w:val="00FC53EE"/>
    <w:rsid w:val="00FC5882"/>
    <w:rsid w:val="00FC79D1"/>
    <w:rsid w:val="00FD2B9E"/>
    <w:rsid w:val="00FD5223"/>
    <w:rsid w:val="00FE01C5"/>
    <w:rsid w:val="00FE07B0"/>
    <w:rsid w:val="00FE0C41"/>
    <w:rsid w:val="00FE2D27"/>
    <w:rsid w:val="00FE6156"/>
    <w:rsid w:val="00FE6EF1"/>
    <w:rsid w:val="00FE7D29"/>
    <w:rsid w:val="00FF0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A8394B2"/>
  <w15:docId w15:val="{BBAEA251-1022-494E-A098-6E77F7FC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9E1"/>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0A"/>
    <w:pPr>
      <w:tabs>
        <w:tab w:val="center" w:pos="4153"/>
        <w:tab w:val="right" w:pos="8306"/>
      </w:tabs>
    </w:pPr>
  </w:style>
  <w:style w:type="character" w:customStyle="1" w:styleId="HeaderChar">
    <w:name w:val="Header Char"/>
    <w:basedOn w:val="DefaultParagraphFont"/>
    <w:link w:val="Header"/>
    <w:uiPriority w:val="99"/>
    <w:rsid w:val="0087170A"/>
    <w:rPr>
      <w:rFonts w:eastAsia="Times New Roman" w:cs="Times New Roman"/>
      <w:szCs w:val="24"/>
      <w:lang w:eastAsia="en-AU"/>
    </w:rPr>
  </w:style>
  <w:style w:type="character" w:customStyle="1" w:styleId="normalchar">
    <w:name w:val="normal_char"/>
    <w:basedOn w:val="DefaultParagraphFont"/>
    <w:rsid w:val="0087170A"/>
    <w:rPr>
      <w:color w:val="auto"/>
    </w:rPr>
  </w:style>
  <w:style w:type="paragraph" w:styleId="BalloonText">
    <w:name w:val="Balloon Text"/>
    <w:basedOn w:val="Normal"/>
    <w:link w:val="BalloonTextChar"/>
    <w:uiPriority w:val="99"/>
    <w:semiHidden/>
    <w:unhideWhenUsed/>
    <w:rsid w:val="00371857"/>
    <w:rPr>
      <w:rFonts w:ascii="Tahoma" w:hAnsi="Tahoma" w:cs="Tahoma"/>
      <w:sz w:val="16"/>
      <w:szCs w:val="16"/>
    </w:rPr>
  </w:style>
  <w:style w:type="character" w:customStyle="1" w:styleId="BalloonTextChar">
    <w:name w:val="Balloon Text Char"/>
    <w:basedOn w:val="DefaultParagraphFont"/>
    <w:link w:val="BalloonText"/>
    <w:uiPriority w:val="99"/>
    <w:semiHidden/>
    <w:rsid w:val="0037185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37257"/>
    <w:rPr>
      <w:sz w:val="16"/>
      <w:szCs w:val="16"/>
    </w:rPr>
  </w:style>
  <w:style w:type="paragraph" w:styleId="CommentText">
    <w:name w:val="annotation text"/>
    <w:basedOn w:val="Normal"/>
    <w:link w:val="CommentTextChar"/>
    <w:uiPriority w:val="99"/>
    <w:unhideWhenUsed/>
    <w:rsid w:val="00B37257"/>
    <w:rPr>
      <w:sz w:val="20"/>
      <w:szCs w:val="20"/>
    </w:rPr>
  </w:style>
  <w:style w:type="character" w:customStyle="1" w:styleId="CommentTextChar">
    <w:name w:val="Comment Text Char"/>
    <w:basedOn w:val="DefaultParagraphFont"/>
    <w:link w:val="CommentText"/>
    <w:uiPriority w:val="99"/>
    <w:semiHidden/>
    <w:rsid w:val="00B37257"/>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37257"/>
    <w:rPr>
      <w:b/>
      <w:bCs/>
    </w:rPr>
  </w:style>
  <w:style w:type="character" w:customStyle="1" w:styleId="CommentSubjectChar">
    <w:name w:val="Comment Subject Char"/>
    <w:basedOn w:val="CommentTextChar"/>
    <w:link w:val="CommentSubject"/>
    <w:uiPriority w:val="99"/>
    <w:semiHidden/>
    <w:rsid w:val="00B37257"/>
    <w:rPr>
      <w:rFonts w:eastAsia="Times New Roman" w:cs="Times New Roman"/>
      <w:b/>
      <w:bCs/>
      <w:sz w:val="20"/>
      <w:szCs w:val="20"/>
      <w:lang w:eastAsia="en-AU"/>
    </w:rPr>
  </w:style>
  <w:style w:type="paragraph" w:styleId="Footer">
    <w:name w:val="footer"/>
    <w:basedOn w:val="Normal"/>
    <w:link w:val="FooterChar"/>
    <w:uiPriority w:val="99"/>
    <w:unhideWhenUsed/>
    <w:rsid w:val="00A96A1B"/>
    <w:pPr>
      <w:tabs>
        <w:tab w:val="center" w:pos="4513"/>
        <w:tab w:val="right" w:pos="9026"/>
      </w:tabs>
    </w:pPr>
  </w:style>
  <w:style w:type="character" w:customStyle="1" w:styleId="FooterChar">
    <w:name w:val="Footer Char"/>
    <w:basedOn w:val="DefaultParagraphFont"/>
    <w:link w:val="Footer"/>
    <w:uiPriority w:val="99"/>
    <w:rsid w:val="00A96A1B"/>
    <w:rPr>
      <w:rFonts w:eastAsia="Times New Roman" w:cs="Times New Roman"/>
      <w:szCs w:val="24"/>
      <w:lang w:eastAsia="en-AU"/>
    </w:rPr>
  </w:style>
  <w:style w:type="paragraph" w:styleId="ListParagraph">
    <w:name w:val="List Paragraph"/>
    <w:aliases w:val="BulletPoints"/>
    <w:basedOn w:val="Normal"/>
    <w:link w:val="ListParagraphChar"/>
    <w:uiPriority w:val="34"/>
    <w:qFormat/>
    <w:rsid w:val="00C23057"/>
    <w:pPr>
      <w:ind w:left="720"/>
      <w:contextualSpacing/>
    </w:pPr>
  </w:style>
  <w:style w:type="paragraph" w:customStyle="1" w:styleId="subsection">
    <w:name w:val="subsection"/>
    <w:basedOn w:val="Normal"/>
    <w:rsid w:val="000103BF"/>
    <w:pPr>
      <w:spacing w:before="100" w:beforeAutospacing="1" w:after="100" w:afterAutospacing="1"/>
    </w:pPr>
  </w:style>
  <w:style w:type="paragraph" w:customStyle="1" w:styleId="notetext">
    <w:name w:val="notetext"/>
    <w:basedOn w:val="Normal"/>
    <w:rsid w:val="000103BF"/>
    <w:pPr>
      <w:spacing w:before="100" w:beforeAutospacing="1" w:after="100" w:afterAutospacing="1"/>
    </w:pPr>
  </w:style>
  <w:style w:type="character" w:customStyle="1" w:styleId="ListParagraphChar">
    <w:name w:val="List Paragraph Char"/>
    <w:aliases w:val="BulletPoints Char"/>
    <w:link w:val="ListParagraph"/>
    <w:uiPriority w:val="34"/>
    <w:locked/>
    <w:rsid w:val="00F852AD"/>
    <w:rPr>
      <w:rFonts w:eastAsia="Times New Roman" w:cs="Times New Roman"/>
      <w:szCs w:val="24"/>
      <w:lang w:eastAsia="en-AU"/>
    </w:rPr>
  </w:style>
  <w:style w:type="paragraph" w:customStyle="1" w:styleId="TableText">
    <w:name w:val="TableText"/>
    <w:basedOn w:val="Normal"/>
    <w:rsid w:val="00C36021"/>
    <w:pPr>
      <w:spacing w:before="60" w:after="60" w:line="240" w:lineRule="exact"/>
    </w:pPr>
    <w:rPr>
      <w:sz w:val="22"/>
    </w:rPr>
  </w:style>
  <w:style w:type="paragraph" w:styleId="Revision">
    <w:name w:val="Revision"/>
    <w:hidden/>
    <w:uiPriority w:val="99"/>
    <w:semiHidden/>
    <w:rsid w:val="0026014B"/>
    <w:pPr>
      <w:spacing w:after="0" w:line="240" w:lineRule="auto"/>
    </w:pPr>
    <w:rPr>
      <w:rFonts w:eastAsia="Times New Roman" w:cs="Times New Roman"/>
      <w:szCs w:val="24"/>
      <w:lang w:eastAsia="en-AU"/>
    </w:rPr>
  </w:style>
  <w:style w:type="character" w:styleId="Emphasis">
    <w:name w:val="Emphasis"/>
    <w:basedOn w:val="DefaultParagraphFont"/>
    <w:uiPriority w:val="20"/>
    <w:qFormat/>
    <w:rsid w:val="00E003BF"/>
    <w:rPr>
      <w:i/>
      <w:iCs/>
    </w:rPr>
  </w:style>
  <w:style w:type="paragraph" w:customStyle="1" w:styleId="Item">
    <w:name w:val="Item"/>
    <w:aliases w:val="i"/>
    <w:basedOn w:val="Normal"/>
    <w:next w:val="ItemHead"/>
    <w:rsid w:val="00003124"/>
    <w:pPr>
      <w:keepLines/>
      <w:spacing w:before="80"/>
      <w:ind w:left="709"/>
    </w:pPr>
    <w:rPr>
      <w:sz w:val="22"/>
      <w:szCs w:val="20"/>
    </w:rPr>
  </w:style>
  <w:style w:type="paragraph" w:customStyle="1" w:styleId="ItemHead">
    <w:name w:val="ItemHead"/>
    <w:aliases w:val="ih"/>
    <w:basedOn w:val="Normal"/>
    <w:next w:val="Item"/>
    <w:rsid w:val="00003124"/>
    <w:pPr>
      <w:keepNext/>
      <w:keepLines/>
      <w:spacing w:before="220"/>
      <w:ind w:left="709" w:hanging="709"/>
    </w:pPr>
    <w:rPr>
      <w:rFonts w:ascii="Arial" w:hAnsi="Arial"/>
      <w:b/>
      <w:kern w:val="28"/>
      <w:szCs w:val="20"/>
    </w:rPr>
  </w:style>
  <w:style w:type="paragraph" w:customStyle="1" w:styleId="notetext0">
    <w:name w:val="note(text)"/>
    <w:aliases w:val="n"/>
    <w:basedOn w:val="Normal"/>
    <w:rsid w:val="00003124"/>
    <w:pPr>
      <w:spacing w:before="122" w:line="198" w:lineRule="exact"/>
      <w:ind w:left="1985" w:hanging="851"/>
    </w:pPr>
    <w:rPr>
      <w:sz w:val="18"/>
      <w:szCs w:val="20"/>
    </w:rPr>
  </w:style>
  <w:style w:type="paragraph" w:customStyle="1" w:styleId="Tabletext0">
    <w:name w:val="Table text"/>
    <w:basedOn w:val="Normal"/>
    <w:link w:val="TabletextChar"/>
    <w:uiPriority w:val="2"/>
    <w:qFormat/>
    <w:rsid w:val="00B82789"/>
    <w:rPr>
      <w:rFonts w:ascii="Arial Narrow" w:hAnsi="Arial Narrow"/>
      <w:snapToGrid w:val="0"/>
      <w:sz w:val="20"/>
    </w:rPr>
  </w:style>
  <w:style w:type="character" w:customStyle="1" w:styleId="TabletextChar">
    <w:name w:val="Table text Char"/>
    <w:link w:val="Tabletext0"/>
    <w:uiPriority w:val="2"/>
    <w:rsid w:val="00B82789"/>
    <w:rPr>
      <w:rFonts w:ascii="Arial Narrow" w:eastAsia="Times New Roman" w:hAnsi="Arial Narrow" w:cs="Times New Roman"/>
      <w:snapToGrid w:val="0"/>
      <w:sz w:val="20"/>
      <w:szCs w:val="24"/>
      <w:lang w:eastAsia="en-AU"/>
    </w:rPr>
  </w:style>
  <w:style w:type="paragraph" w:customStyle="1" w:styleId="zr1">
    <w:name w:val="zr1"/>
    <w:basedOn w:val="Normal"/>
    <w:rsid w:val="00DE1BE1"/>
    <w:pPr>
      <w:spacing w:before="100" w:beforeAutospacing="1" w:after="100" w:afterAutospacing="1"/>
    </w:pPr>
  </w:style>
  <w:style w:type="character" w:styleId="Hyperlink">
    <w:name w:val="Hyperlink"/>
    <w:basedOn w:val="DefaultParagraphFont"/>
    <w:uiPriority w:val="99"/>
    <w:unhideWhenUsed/>
    <w:rsid w:val="000600A4"/>
    <w:rPr>
      <w:color w:val="0000FF" w:themeColor="hyperlink"/>
      <w:u w:val="single"/>
    </w:rPr>
  </w:style>
  <w:style w:type="character" w:customStyle="1" w:styleId="normaltextrun">
    <w:name w:val="normaltextrun"/>
    <w:basedOn w:val="DefaultParagraphFont"/>
    <w:rsid w:val="0006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5938">
      <w:bodyDiv w:val="1"/>
      <w:marLeft w:val="0"/>
      <w:marRight w:val="0"/>
      <w:marTop w:val="0"/>
      <w:marBottom w:val="0"/>
      <w:divBdr>
        <w:top w:val="none" w:sz="0" w:space="0" w:color="auto"/>
        <w:left w:val="none" w:sz="0" w:space="0" w:color="auto"/>
        <w:bottom w:val="none" w:sz="0" w:space="0" w:color="auto"/>
        <w:right w:val="none" w:sz="0" w:space="0" w:color="auto"/>
      </w:divBdr>
    </w:div>
    <w:div w:id="603877382">
      <w:bodyDiv w:val="1"/>
      <w:marLeft w:val="0"/>
      <w:marRight w:val="0"/>
      <w:marTop w:val="0"/>
      <w:marBottom w:val="0"/>
      <w:divBdr>
        <w:top w:val="none" w:sz="0" w:space="0" w:color="auto"/>
        <w:left w:val="none" w:sz="0" w:space="0" w:color="auto"/>
        <w:bottom w:val="none" w:sz="0" w:space="0" w:color="auto"/>
        <w:right w:val="none" w:sz="0" w:space="0" w:color="auto"/>
      </w:divBdr>
    </w:div>
    <w:div w:id="991837429">
      <w:bodyDiv w:val="1"/>
      <w:marLeft w:val="0"/>
      <w:marRight w:val="0"/>
      <w:marTop w:val="0"/>
      <w:marBottom w:val="0"/>
      <w:divBdr>
        <w:top w:val="none" w:sz="0" w:space="0" w:color="auto"/>
        <w:left w:val="none" w:sz="0" w:space="0" w:color="auto"/>
        <w:bottom w:val="none" w:sz="0" w:space="0" w:color="auto"/>
        <w:right w:val="none" w:sz="0" w:space="0" w:color="auto"/>
      </w:divBdr>
    </w:div>
    <w:div w:id="1024596833">
      <w:bodyDiv w:val="1"/>
      <w:marLeft w:val="0"/>
      <w:marRight w:val="0"/>
      <w:marTop w:val="0"/>
      <w:marBottom w:val="0"/>
      <w:divBdr>
        <w:top w:val="none" w:sz="0" w:space="0" w:color="auto"/>
        <w:left w:val="none" w:sz="0" w:space="0" w:color="auto"/>
        <w:bottom w:val="none" w:sz="0" w:space="0" w:color="auto"/>
        <w:right w:val="none" w:sz="0" w:space="0" w:color="auto"/>
      </w:divBdr>
    </w:div>
    <w:div w:id="1058820450">
      <w:bodyDiv w:val="1"/>
      <w:marLeft w:val="0"/>
      <w:marRight w:val="0"/>
      <w:marTop w:val="0"/>
      <w:marBottom w:val="0"/>
      <w:divBdr>
        <w:top w:val="none" w:sz="0" w:space="0" w:color="auto"/>
        <w:left w:val="none" w:sz="0" w:space="0" w:color="auto"/>
        <w:bottom w:val="none" w:sz="0" w:space="0" w:color="auto"/>
        <w:right w:val="none" w:sz="0" w:space="0" w:color="auto"/>
      </w:divBdr>
      <w:divsChild>
        <w:div w:id="2130926633">
          <w:marLeft w:val="0"/>
          <w:marRight w:val="0"/>
          <w:marTop w:val="0"/>
          <w:marBottom w:val="0"/>
          <w:divBdr>
            <w:top w:val="none" w:sz="0" w:space="0" w:color="auto"/>
            <w:left w:val="none" w:sz="0" w:space="0" w:color="auto"/>
            <w:bottom w:val="none" w:sz="0" w:space="0" w:color="auto"/>
            <w:right w:val="none" w:sz="0" w:space="0" w:color="auto"/>
          </w:divBdr>
          <w:divsChild>
            <w:div w:id="1104032541">
              <w:marLeft w:val="0"/>
              <w:marRight w:val="0"/>
              <w:marTop w:val="0"/>
              <w:marBottom w:val="0"/>
              <w:divBdr>
                <w:top w:val="none" w:sz="0" w:space="0" w:color="auto"/>
                <w:left w:val="none" w:sz="0" w:space="0" w:color="auto"/>
                <w:bottom w:val="none" w:sz="0" w:space="0" w:color="auto"/>
                <w:right w:val="none" w:sz="0" w:space="0" w:color="auto"/>
              </w:divBdr>
              <w:divsChild>
                <w:div w:id="137890331">
                  <w:marLeft w:val="0"/>
                  <w:marRight w:val="0"/>
                  <w:marTop w:val="0"/>
                  <w:marBottom w:val="0"/>
                  <w:divBdr>
                    <w:top w:val="none" w:sz="0" w:space="0" w:color="auto"/>
                    <w:left w:val="none" w:sz="0" w:space="0" w:color="auto"/>
                    <w:bottom w:val="none" w:sz="0" w:space="0" w:color="auto"/>
                    <w:right w:val="none" w:sz="0" w:space="0" w:color="auto"/>
                  </w:divBdr>
                  <w:divsChild>
                    <w:div w:id="1030452626">
                      <w:marLeft w:val="0"/>
                      <w:marRight w:val="0"/>
                      <w:marTop w:val="0"/>
                      <w:marBottom w:val="0"/>
                      <w:divBdr>
                        <w:top w:val="none" w:sz="0" w:space="0" w:color="auto"/>
                        <w:left w:val="none" w:sz="0" w:space="0" w:color="auto"/>
                        <w:bottom w:val="none" w:sz="0" w:space="0" w:color="auto"/>
                        <w:right w:val="none" w:sz="0" w:space="0" w:color="auto"/>
                      </w:divBdr>
                      <w:divsChild>
                        <w:div w:id="927033046">
                          <w:marLeft w:val="0"/>
                          <w:marRight w:val="0"/>
                          <w:marTop w:val="0"/>
                          <w:marBottom w:val="0"/>
                          <w:divBdr>
                            <w:top w:val="none" w:sz="0" w:space="0" w:color="auto"/>
                            <w:left w:val="none" w:sz="0" w:space="0" w:color="auto"/>
                            <w:bottom w:val="none" w:sz="0" w:space="0" w:color="auto"/>
                            <w:right w:val="none" w:sz="0" w:space="0" w:color="auto"/>
                          </w:divBdr>
                          <w:divsChild>
                            <w:div w:id="1363901694">
                              <w:marLeft w:val="0"/>
                              <w:marRight w:val="0"/>
                              <w:marTop w:val="0"/>
                              <w:marBottom w:val="0"/>
                              <w:divBdr>
                                <w:top w:val="single" w:sz="6" w:space="0" w:color="828282"/>
                                <w:left w:val="single" w:sz="6" w:space="0" w:color="828282"/>
                                <w:bottom w:val="single" w:sz="6" w:space="0" w:color="828282"/>
                                <w:right w:val="single" w:sz="6" w:space="0" w:color="828282"/>
                              </w:divBdr>
                              <w:divsChild>
                                <w:div w:id="1954631891">
                                  <w:marLeft w:val="0"/>
                                  <w:marRight w:val="0"/>
                                  <w:marTop w:val="0"/>
                                  <w:marBottom w:val="0"/>
                                  <w:divBdr>
                                    <w:top w:val="none" w:sz="0" w:space="0" w:color="auto"/>
                                    <w:left w:val="none" w:sz="0" w:space="0" w:color="auto"/>
                                    <w:bottom w:val="none" w:sz="0" w:space="0" w:color="auto"/>
                                    <w:right w:val="none" w:sz="0" w:space="0" w:color="auto"/>
                                  </w:divBdr>
                                  <w:divsChild>
                                    <w:div w:id="1854681161">
                                      <w:marLeft w:val="0"/>
                                      <w:marRight w:val="0"/>
                                      <w:marTop w:val="0"/>
                                      <w:marBottom w:val="0"/>
                                      <w:divBdr>
                                        <w:top w:val="none" w:sz="0" w:space="0" w:color="auto"/>
                                        <w:left w:val="none" w:sz="0" w:space="0" w:color="auto"/>
                                        <w:bottom w:val="none" w:sz="0" w:space="0" w:color="auto"/>
                                        <w:right w:val="none" w:sz="0" w:space="0" w:color="auto"/>
                                      </w:divBdr>
                                      <w:divsChild>
                                        <w:div w:id="2143383642">
                                          <w:marLeft w:val="0"/>
                                          <w:marRight w:val="0"/>
                                          <w:marTop w:val="0"/>
                                          <w:marBottom w:val="0"/>
                                          <w:divBdr>
                                            <w:top w:val="none" w:sz="0" w:space="0" w:color="auto"/>
                                            <w:left w:val="none" w:sz="0" w:space="0" w:color="auto"/>
                                            <w:bottom w:val="none" w:sz="0" w:space="0" w:color="auto"/>
                                            <w:right w:val="none" w:sz="0" w:space="0" w:color="auto"/>
                                          </w:divBdr>
                                          <w:divsChild>
                                            <w:div w:id="1472288430">
                                              <w:marLeft w:val="0"/>
                                              <w:marRight w:val="0"/>
                                              <w:marTop w:val="0"/>
                                              <w:marBottom w:val="0"/>
                                              <w:divBdr>
                                                <w:top w:val="none" w:sz="0" w:space="0" w:color="auto"/>
                                                <w:left w:val="none" w:sz="0" w:space="0" w:color="auto"/>
                                                <w:bottom w:val="none" w:sz="0" w:space="0" w:color="auto"/>
                                                <w:right w:val="none" w:sz="0" w:space="0" w:color="auto"/>
                                              </w:divBdr>
                                              <w:divsChild>
                                                <w:div w:id="2073307221">
                                                  <w:marLeft w:val="0"/>
                                                  <w:marRight w:val="0"/>
                                                  <w:marTop w:val="0"/>
                                                  <w:marBottom w:val="0"/>
                                                  <w:divBdr>
                                                    <w:top w:val="none" w:sz="0" w:space="0" w:color="auto"/>
                                                    <w:left w:val="none" w:sz="0" w:space="0" w:color="auto"/>
                                                    <w:bottom w:val="none" w:sz="0" w:space="0" w:color="auto"/>
                                                    <w:right w:val="none" w:sz="0" w:space="0" w:color="auto"/>
                                                  </w:divBdr>
                                                  <w:divsChild>
                                                    <w:div w:id="4965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960424">
      <w:bodyDiv w:val="1"/>
      <w:marLeft w:val="0"/>
      <w:marRight w:val="0"/>
      <w:marTop w:val="0"/>
      <w:marBottom w:val="0"/>
      <w:divBdr>
        <w:top w:val="none" w:sz="0" w:space="0" w:color="auto"/>
        <w:left w:val="none" w:sz="0" w:space="0" w:color="auto"/>
        <w:bottom w:val="none" w:sz="0" w:space="0" w:color="auto"/>
        <w:right w:val="none" w:sz="0" w:space="0" w:color="auto"/>
      </w:divBdr>
    </w:div>
    <w:div w:id="1157108180">
      <w:bodyDiv w:val="1"/>
      <w:marLeft w:val="0"/>
      <w:marRight w:val="0"/>
      <w:marTop w:val="0"/>
      <w:marBottom w:val="0"/>
      <w:divBdr>
        <w:top w:val="none" w:sz="0" w:space="0" w:color="auto"/>
        <w:left w:val="none" w:sz="0" w:space="0" w:color="auto"/>
        <w:bottom w:val="none" w:sz="0" w:space="0" w:color="auto"/>
        <w:right w:val="none" w:sz="0" w:space="0" w:color="auto"/>
      </w:divBdr>
    </w:div>
    <w:div w:id="1316034537">
      <w:bodyDiv w:val="1"/>
      <w:marLeft w:val="0"/>
      <w:marRight w:val="0"/>
      <w:marTop w:val="0"/>
      <w:marBottom w:val="0"/>
      <w:divBdr>
        <w:top w:val="none" w:sz="0" w:space="0" w:color="auto"/>
        <w:left w:val="none" w:sz="0" w:space="0" w:color="auto"/>
        <w:bottom w:val="none" w:sz="0" w:space="0" w:color="auto"/>
        <w:right w:val="none" w:sz="0" w:space="0" w:color="auto"/>
      </w:divBdr>
      <w:divsChild>
        <w:div w:id="90009096">
          <w:marLeft w:val="0"/>
          <w:marRight w:val="0"/>
          <w:marTop w:val="0"/>
          <w:marBottom w:val="0"/>
          <w:divBdr>
            <w:top w:val="none" w:sz="0" w:space="0" w:color="auto"/>
            <w:left w:val="none" w:sz="0" w:space="0" w:color="auto"/>
            <w:bottom w:val="none" w:sz="0" w:space="0" w:color="auto"/>
            <w:right w:val="none" w:sz="0" w:space="0" w:color="auto"/>
          </w:divBdr>
          <w:divsChild>
            <w:div w:id="1167671300">
              <w:marLeft w:val="0"/>
              <w:marRight w:val="0"/>
              <w:marTop w:val="0"/>
              <w:marBottom w:val="0"/>
              <w:divBdr>
                <w:top w:val="none" w:sz="0" w:space="0" w:color="auto"/>
                <w:left w:val="none" w:sz="0" w:space="0" w:color="auto"/>
                <w:bottom w:val="none" w:sz="0" w:space="0" w:color="auto"/>
                <w:right w:val="none" w:sz="0" w:space="0" w:color="auto"/>
              </w:divBdr>
              <w:divsChild>
                <w:div w:id="1093933860">
                  <w:marLeft w:val="0"/>
                  <w:marRight w:val="0"/>
                  <w:marTop w:val="0"/>
                  <w:marBottom w:val="0"/>
                  <w:divBdr>
                    <w:top w:val="none" w:sz="0" w:space="0" w:color="auto"/>
                    <w:left w:val="none" w:sz="0" w:space="0" w:color="auto"/>
                    <w:bottom w:val="none" w:sz="0" w:space="0" w:color="auto"/>
                    <w:right w:val="none" w:sz="0" w:space="0" w:color="auto"/>
                  </w:divBdr>
                  <w:divsChild>
                    <w:div w:id="1986886940">
                      <w:marLeft w:val="0"/>
                      <w:marRight w:val="0"/>
                      <w:marTop w:val="0"/>
                      <w:marBottom w:val="0"/>
                      <w:divBdr>
                        <w:top w:val="none" w:sz="0" w:space="0" w:color="auto"/>
                        <w:left w:val="none" w:sz="0" w:space="0" w:color="auto"/>
                        <w:bottom w:val="none" w:sz="0" w:space="0" w:color="auto"/>
                        <w:right w:val="none" w:sz="0" w:space="0" w:color="auto"/>
                      </w:divBdr>
                      <w:divsChild>
                        <w:div w:id="834996828">
                          <w:marLeft w:val="0"/>
                          <w:marRight w:val="0"/>
                          <w:marTop w:val="0"/>
                          <w:marBottom w:val="0"/>
                          <w:divBdr>
                            <w:top w:val="single" w:sz="6" w:space="0" w:color="828282"/>
                            <w:left w:val="single" w:sz="6" w:space="0" w:color="828282"/>
                            <w:bottom w:val="single" w:sz="6" w:space="0" w:color="828282"/>
                            <w:right w:val="single" w:sz="6" w:space="0" w:color="828282"/>
                          </w:divBdr>
                          <w:divsChild>
                            <w:div w:id="1590652336">
                              <w:marLeft w:val="0"/>
                              <w:marRight w:val="0"/>
                              <w:marTop w:val="0"/>
                              <w:marBottom w:val="0"/>
                              <w:divBdr>
                                <w:top w:val="none" w:sz="0" w:space="0" w:color="auto"/>
                                <w:left w:val="none" w:sz="0" w:space="0" w:color="auto"/>
                                <w:bottom w:val="none" w:sz="0" w:space="0" w:color="auto"/>
                                <w:right w:val="none" w:sz="0" w:space="0" w:color="auto"/>
                              </w:divBdr>
                              <w:divsChild>
                                <w:div w:id="1953785348">
                                  <w:marLeft w:val="0"/>
                                  <w:marRight w:val="0"/>
                                  <w:marTop w:val="0"/>
                                  <w:marBottom w:val="0"/>
                                  <w:divBdr>
                                    <w:top w:val="none" w:sz="0" w:space="0" w:color="auto"/>
                                    <w:left w:val="none" w:sz="0" w:space="0" w:color="auto"/>
                                    <w:bottom w:val="none" w:sz="0" w:space="0" w:color="auto"/>
                                    <w:right w:val="none" w:sz="0" w:space="0" w:color="auto"/>
                                  </w:divBdr>
                                  <w:divsChild>
                                    <w:div w:id="409232700">
                                      <w:marLeft w:val="0"/>
                                      <w:marRight w:val="0"/>
                                      <w:marTop w:val="0"/>
                                      <w:marBottom w:val="0"/>
                                      <w:divBdr>
                                        <w:top w:val="none" w:sz="0" w:space="0" w:color="auto"/>
                                        <w:left w:val="none" w:sz="0" w:space="0" w:color="auto"/>
                                        <w:bottom w:val="none" w:sz="0" w:space="0" w:color="auto"/>
                                        <w:right w:val="none" w:sz="0" w:space="0" w:color="auto"/>
                                      </w:divBdr>
                                      <w:divsChild>
                                        <w:div w:id="1620721872">
                                          <w:marLeft w:val="0"/>
                                          <w:marRight w:val="0"/>
                                          <w:marTop w:val="0"/>
                                          <w:marBottom w:val="0"/>
                                          <w:divBdr>
                                            <w:top w:val="none" w:sz="0" w:space="0" w:color="auto"/>
                                            <w:left w:val="none" w:sz="0" w:space="0" w:color="auto"/>
                                            <w:bottom w:val="none" w:sz="0" w:space="0" w:color="auto"/>
                                            <w:right w:val="none" w:sz="0" w:space="0" w:color="auto"/>
                                          </w:divBdr>
                                          <w:divsChild>
                                            <w:div w:id="1421097036">
                                              <w:marLeft w:val="0"/>
                                              <w:marRight w:val="0"/>
                                              <w:marTop w:val="0"/>
                                              <w:marBottom w:val="0"/>
                                              <w:divBdr>
                                                <w:top w:val="none" w:sz="0" w:space="0" w:color="auto"/>
                                                <w:left w:val="none" w:sz="0" w:space="0" w:color="auto"/>
                                                <w:bottom w:val="none" w:sz="0" w:space="0" w:color="auto"/>
                                                <w:right w:val="none" w:sz="0" w:space="0" w:color="auto"/>
                                              </w:divBdr>
                                              <w:divsChild>
                                                <w:div w:id="14584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188802">
      <w:bodyDiv w:val="1"/>
      <w:marLeft w:val="0"/>
      <w:marRight w:val="0"/>
      <w:marTop w:val="0"/>
      <w:marBottom w:val="0"/>
      <w:divBdr>
        <w:top w:val="none" w:sz="0" w:space="0" w:color="auto"/>
        <w:left w:val="none" w:sz="0" w:space="0" w:color="auto"/>
        <w:bottom w:val="none" w:sz="0" w:space="0" w:color="auto"/>
        <w:right w:val="none" w:sz="0" w:space="0" w:color="auto"/>
      </w:divBdr>
    </w:div>
    <w:div w:id="1691909875">
      <w:bodyDiv w:val="1"/>
      <w:marLeft w:val="0"/>
      <w:marRight w:val="0"/>
      <w:marTop w:val="0"/>
      <w:marBottom w:val="0"/>
      <w:divBdr>
        <w:top w:val="none" w:sz="0" w:space="0" w:color="auto"/>
        <w:left w:val="none" w:sz="0" w:space="0" w:color="auto"/>
        <w:bottom w:val="none" w:sz="0" w:space="0" w:color="auto"/>
        <w:right w:val="none" w:sz="0" w:space="0" w:color="auto"/>
      </w:divBdr>
    </w:div>
    <w:div w:id="1783069968">
      <w:bodyDiv w:val="1"/>
      <w:marLeft w:val="0"/>
      <w:marRight w:val="0"/>
      <w:marTop w:val="0"/>
      <w:marBottom w:val="0"/>
      <w:divBdr>
        <w:top w:val="none" w:sz="0" w:space="0" w:color="auto"/>
        <w:left w:val="none" w:sz="0" w:space="0" w:color="auto"/>
        <w:bottom w:val="none" w:sz="0" w:space="0" w:color="auto"/>
        <w:right w:val="none" w:sz="0" w:space="0" w:color="auto"/>
      </w:divBdr>
      <w:divsChild>
        <w:div w:id="35158084">
          <w:marLeft w:val="0"/>
          <w:marRight w:val="0"/>
          <w:marTop w:val="0"/>
          <w:marBottom w:val="0"/>
          <w:divBdr>
            <w:top w:val="none" w:sz="0" w:space="0" w:color="auto"/>
            <w:left w:val="none" w:sz="0" w:space="0" w:color="auto"/>
            <w:bottom w:val="none" w:sz="0" w:space="0" w:color="auto"/>
            <w:right w:val="none" w:sz="0" w:space="0" w:color="auto"/>
          </w:divBdr>
          <w:divsChild>
            <w:div w:id="1872065724">
              <w:marLeft w:val="0"/>
              <w:marRight w:val="0"/>
              <w:marTop w:val="0"/>
              <w:marBottom w:val="0"/>
              <w:divBdr>
                <w:top w:val="none" w:sz="0" w:space="0" w:color="auto"/>
                <w:left w:val="none" w:sz="0" w:space="0" w:color="auto"/>
                <w:bottom w:val="none" w:sz="0" w:space="0" w:color="auto"/>
                <w:right w:val="none" w:sz="0" w:space="0" w:color="auto"/>
              </w:divBdr>
              <w:divsChild>
                <w:div w:id="44959634">
                  <w:marLeft w:val="0"/>
                  <w:marRight w:val="0"/>
                  <w:marTop w:val="0"/>
                  <w:marBottom w:val="0"/>
                  <w:divBdr>
                    <w:top w:val="none" w:sz="0" w:space="0" w:color="auto"/>
                    <w:left w:val="none" w:sz="0" w:space="0" w:color="auto"/>
                    <w:bottom w:val="none" w:sz="0" w:space="0" w:color="auto"/>
                    <w:right w:val="none" w:sz="0" w:space="0" w:color="auto"/>
                  </w:divBdr>
                  <w:divsChild>
                    <w:div w:id="48772810">
                      <w:marLeft w:val="0"/>
                      <w:marRight w:val="0"/>
                      <w:marTop w:val="0"/>
                      <w:marBottom w:val="0"/>
                      <w:divBdr>
                        <w:top w:val="none" w:sz="0" w:space="0" w:color="auto"/>
                        <w:left w:val="none" w:sz="0" w:space="0" w:color="auto"/>
                        <w:bottom w:val="none" w:sz="0" w:space="0" w:color="auto"/>
                        <w:right w:val="none" w:sz="0" w:space="0" w:color="auto"/>
                      </w:divBdr>
                      <w:divsChild>
                        <w:div w:id="1830946756">
                          <w:marLeft w:val="0"/>
                          <w:marRight w:val="0"/>
                          <w:marTop w:val="0"/>
                          <w:marBottom w:val="0"/>
                          <w:divBdr>
                            <w:top w:val="single" w:sz="6" w:space="0" w:color="828282"/>
                            <w:left w:val="single" w:sz="6" w:space="0" w:color="828282"/>
                            <w:bottom w:val="single" w:sz="6" w:space="0" w:color="828282"/>
                            <w:right w:val="single" w:sz="6" w:space="0" w:color="828282"/>
                          </w:divBdr>
                          <w:divsChild>
                            <w:div w:id="1207257119">
                              <w:marLeft w:val="0"/>
                              <w:marRight w:val="0"/>
                              <w:marTop w:val="0"/>
                              <w:marBottom w:val="0"/>
                              <w:divBdr>
                                <w:top w:val="none" w:sz="0" w:space="0" w:color="auto"/>
                                <w:left w:val="none" w:sz="0" w:space="0" w:color="auto"/>
                                <w:bottom w:val="none" w:sz="0" w:space="0" w:color="auto"/>
                                <w:right w:val="none" w:sz="0" w:space="0" w:color="auto"/>
                              </w:divBdr>
                              <w:divsChild>
                                <w:div w:id="455874170">
                                  <w:marLeft w:val="0"/>
                                  <w:marRight w:val="0"/>
                                  <w:marTop w:val="0"/>
                                  <w:marBottom w:val="0"/>
                                  <w:divBdr>
                                    <w:top w:val="none" w:sz="0" w:space="0" w:color="auto"/>
                                    <w:left w:val="none" w:sz="0" w:space="0" w:color="auto"/>
                                    <w:bottom w:val="none" w:sz="0" w:space="0" w:color="auto"/>
                                    <w:right w:val="none" w:sz="0" w:space="0" w:color="auto"/>
                                  </w:divBdr>
                                  <w:divsChild>
                                    <w:div w:id="752358334">
                                      <w:marLeft w:val="0"/>
                                      <w:marRight w:val="0"/>
                                      <w:marTop w:val="0"/>
                                      <w:marBottom w:val="0"/>
                                      <w:divBdr>
                                        <w:top w:val="none" w:sz="0" w:space="0" w:color="auto"/>
                                        <w:left w:val="none" w:sz="0" w:space="0" w:color="auto"/>
                                        <w:bottom w:val="none" w:sz="0" w:space="0" w:color="auto"/>
                                        <w:right w:val="none" w:sz="0" w:space="0" w:color="auto"/>
                                      </w:divBdr>
                                      <w:divsChild>
                                        <w:div w:id="1386641294">
                                          <w:marLeft w:val="0"/>
                                          <w:marRight w:val="0"/>
                                          <w:marTop w:val="0"/>
                                          <w:marBottom w:val="0"/>
                                          <w:divBdr>
                                            <w:top w:val="none" w:sz="0" w:space="0" w:color="auto"/>
                                            <w:left w:val="none" w:sz="0" w:space="0" w:color="auto"/>
                                            <w:bottom w:val="none" w:sz="0" w:space="0" w:color="auto"/>
                                            <w:right w:val="none" w:sz="0" w:space="0" w:color="auto"/>
                                          </w:divBdr>
                                          <w:divsChild>
                                            <w:div w:id="2126851544">
                                              <w:marLeft w:val="0"/>
                                              <w:marRight w:val="0"/>
                                              <w:marTop w:val="0"/>
                                              <w:marBottom w:val="0"/>
                                              <w:divBdr>
                                                <w:top w:val="none" w:sz="0" w:space="0" w:color="auto"/>
                                                <w:left w:val="none" w:sz="0" w:space="0" w:color="auto"/>
                                                <w:bottom w:val="none" w:sz="0" w:space="0" w:color="auto"/>
                                                <w:right w:val="none" w:sz="0" w:space="0" w:color="auto"/>
                                              </w:divBdr>
                                              <w:divsChild>
                                                <w:div w:id="4408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606190">
      <w:bodyDiv w:val="1"/>
      <w:marLeft w:val="0"/>
      <w:marRight w:val="0"/>
      <w:marTop w:val="0"/>
      <w:marBottom w:val="0"/>
      <w:divBdr>
        <w:top w:val="none" w:sz="0" w:space="0" w:color="auto"/>
        <w:left w:val="none" w:sz="0" w:space="0" w:color="auto"/>
        <w:bottom w:val="none" w:sz="0" w:space="0" w:color="auto"/>
        <w:right w:val="none" w:sz="0" w:space="0" w:color="auto"/>
      </w:divBdr>
    </w:div>
    <w:div w:id="2045012986">
      <w:bodyDiv w:val="1"/>
      <w:marLeft w:val="0"/>
      <w:marRight w:val="0"/>
      <w:marTop w:val="0"/>
      <w:marBottom w:val="0"/>
      <w:divBdr>
        <w:top w:val="none" w:sz="0" w:space="0" w:color="auto"/>
        <w:left w:val="none" w:sz="0" w:space="0" w:color="auto"/>
        <w:bottom w:val="none" w:sz="0" w:space="0" w:color="auto"/>
        <w:right w:val="none" w:sz="0" w:space="0" w:color="auto"/>
      </w:divBdr>
      <w:divsChild>
        <w:div w:id="1885555704">
          <w:marLeft w:val="0"/>
          <w:marRight w:val="0"/>
          <w:marTop w:val="0"/>
          <w:marBottom w:val="0"/>
          <w:divBdr>
            <w:top w:val="none" w:sz="0" w:space="0" w:color="auto"/>
            <w:left w:val="none" w:sz="0" w:space="0" w:color="auto"/>
            <w:bottom w:val="none" w:sz="0" w:space="0" w:color="auto"/>
            <w:right w:val="none" w:sz="0" w:space="0" w:color="auto"/>
          </w:divBdr>
          <w:divsChild>
            <w:div w:id="1384980742">
              <w:marLeft w:val="0"/>
              <w:marRight w:val="0"/>
              <w:marTop w:val="0"/>
              <w:marBottom w:val="0"/>
              <w:divBdr>
                <w:top w:val="none" w:sz="0" w:space="0" w:color="auto"/>
                <w:left w:val="none" w:sz="0" w:space="0" w:color="auto"/>
                <w:bottom w:val="none" w:sz="0" w:space="0" w:color="auto"/>
                <w:right w:val="none" w:sz="0" w:space="0" w:color="auto"/>
              </w:divBdr>
              <w:divsChild>
                <w:div w:id="1411152503">
                  <w:marLeft w:val="0"/>
                  <w:marRight w:val="0"/>
                  <w:marTop w:val="0"/>
                  <w:marBottom w:val="0"/>
                  <w:divBdr>
                    <w:top w:val="none" w:sz="0" w:space="0" w:color="auto"/>
                    <w:left w:val="none" w:sz="0" w:space="0" w:color="auto"/>
                    <w:bottom w:val="none" w:sz="0" w:space="0" w:color="auto"/>
                    <w:right w:val="none" w:sz="0" w:space="0" w:color="auto"/>
                  </w:divBdr>
                  <w:divsChild>
                    <w:div w:id="670064462">
                      <w:marLeft w:val="0"/>
                      <w:marRight w:val="0"/>
                      <w:marTop w:val="0"/>
                      <w:marBottom w:val="0"/>
                      <w:divBdr>
                        <w:top w:val="none" w:sz="0" w:space="0" w:color="auto"/>
                        <w:left w:val="none" w:sz="0" w:space="0" w:color="auto"/>
                        <w:bottom w:val="none" w:sz="0" w:space="0" w:color="auto"/>
                        <w:right w:val="none" w:sz="0" w:space="0" w:color="auto"/>
                      </w:divBdr>
                      <w:divsChild>
                        <w:div w:id="359286683">
                          <w:marLeft w:val="0"/>
                          <w:marRight w:val="0"/>
                          <w:marTop w:val="0"/>
                          <w:marBottom w:val="0"/>
                          <w:divBdr>
                            <w:top w:val="none" w:sz="0" w:space="0" w:color="auto"/>
                            <w:left w:val="none" w:sz="0" w:space="0" w:color="auto"/>
                            <w:bottom w:val="none" w:sz="0" w:space="0" w:color="auto"/>
                            <w:right w:val="none" w:sz="0" w:space="0" w:color="auto"/>
                          </w:divBdr>
                          <w:divsChild>
                            <w:div w:id="1625843359">
                              <w:marLeft w:val="0"/>
                              <w:marRight w:val="0"/>
                              <w:marTop w:val="0"/>
                              <w:marBottom w:val="0"/>
                              <w:divBdr>
                                <w:top w:val="none" w:sz="0" w:space="0" w:color="auto"/>
                                <w:left w:val="none" w:sz="0" w:space="0" w:color="auto"/>
                                <w:bottom w:val="none" w:sz="0" w:space="0" w:color="auto"/>
                                <w:right w:val="none" w:sz="0" w:space="0" w:color="auto"/>
                              </w:divBdr>
                              <w:divsChild>
                                <w:div w:id="1440104158">
                                  <w:marLeft w:val="0"/>
                                  <w:marRight w:val="0"/>
                                  <w:marTop w:val="0"/>
                                  <w:marBottom w:val="0"/>
                                  <w:divBdr>
                                    <w:top w:val="none" w:sz="0" w:space="0" w:color="auto"/>
                                    <w:left w:val="none" w:sz="0" w:space="0" w:color="auto"/>
                                    <w:bottom w:val="none" w:sz="0" w:space="0" w:color="auto"/>
                                    <w:right w:val="none" w:sz="0" w:space="0" w:color="auto"/>
                                  </w:divBdr>
                                  <w:divsChild>
                                    <w:div w:id="1194076372">
                                      <w:marLeft w:val="0"/>
                                      <w:marRight w:val="0"/>
                                      <w:marTop w:val="0"/>
                                      <w:marBottom w:val="0"/>
                                      <w:divBdr>
                                        <w:top w:val="none" w:sz="0" w:space="0" w:color="auto"/>
                                        <w:left w:val="none" w:sz="0" w:space="0" w:color="auto"/>
                                        <w:bottom w:val="none" w:sz="0" w:space="0" w:color="auto"/>
                                        <w:right w:val="none" w:sz="0" w:space="0" w:color="auto"/>
                                      </w:divBdr>
                                      <w:divsChild>
                                        <w:div w:id="2046252347">
                                          <w:marLeft w:val="0"/>
                                          <w:marRight w:val="0"/>
                                          <w:marTop w:val="0"/>
                                          <w:marBottom w:val="0"/>
                                          <w:divBdr>
                                            <w:top w:val="none" w:sz="0" w:space="0" w:color="auto"/>
                                            <w:left w:val="none" w:sz="0" w:space="0" w:color="auto"/>
                                            <w:bottom w:val="none" w:sz="0" w:space="0" w:color="auto"/>
                                            <w:right w:val="none" w:sz="0" w:space="0" w:color="auto"/>
                                          </w:divBdr>
                                          <w:divsChild>
                                            <w:div w:id="758674583">
                                              <w:marLeft w:val="0"/>
                                              <w:marRight w:val="0"/>
                                              <w:marTop w:val="0"/>
                                              <w:marBottom w:val="0"/>
                                              <w:divBdr>
                                                <w:top w:val="none" w:sz="0" w:space="0" w:color="auto"/>
                                                <w:left w:val="none" w:sz="0" w:space="0" w:color="auto"/>
                                                <w:bottom w:val="none" w:sz="0" w:space="0" w:color="auto"/>
                                                <w:right w:val="none" w:sz="0" w:space="0" w:color="auto"/>
                                              </w:divBdr>
                                              <w:divsChild>
                                                <w:div w:id="495000632">
                                                  <w:marLeft w:val="0"/>
                                                  <w:marRight w:val="0"/>
                                                  <w:marTop w:val="0"/>
                                                  <w:marBottom w:val="0"/>
                                                  <w:divBdr>
                                                    <w:top w:val="none" w:sz="0" w:space="0" w:color="auto"/>
                                                    <w:left w:val="none" w:sz="0" w:space="0" w:color="auto"/>
                                                    <w:bottom w:val="none" w:sz="0" w:space="0" w:color="auto"/>
                                                    <w:right w:val="none" w:sz="0" w:space="0" w:color="auto"/>
                                                  </w:divBdr>
                                                  <w:divsChild>
                                                    <w:div w:id="238637413">
                                                      <w:marLeft w:val="0"/>
                                                      <w:marRight w:val="0"/>
                                                      <w:marTop w:val="0"/>
                                                      <w:marBottom w:val="0"/>
                                                      <w:divBdr>
                                                        <w:top w:val="none" w:sz="0" w:space="0" w:color="auto"/>
                                                        <w:left w:val="none" w:sz="0" w:space="0" w:color="auto"/>
                                                        <w:bottom w:val="none" w:sz="0" w:space="0" w:color="auto"/>
                                                        <w:right w:val="none" w:sz="0" w:space="0" w:color="auto"/>
                                                      </w:divBdr>
                                                      <w:divsChild>
                                                        <w:div w:id="19912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2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041A-18AE-4463-9214-72895E21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Burford</dc:creator>
  <cp:lastModifiedBy>NG, Jason</cp:lastModifiedBy>
  <cp:revision>7</cp:revision>
  <cp:lastPrinted>2018-09-05T00:15:00Z</cp:lastPrinted>
  <dcterms:created xsi:type="dcterms:W3CDTF">2020-11-04T04:28:00Z</dcterms:created>
  <dcterms:modified xsi:type="dcterms:W3CDTF">2020-12-09T03:36:00Z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