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A3DB58" w14:textId="77777777" w:rsidR="00C47C54" w:rsidRDefault="00C47C54" w:rsidP="00ED3CD3">
      <w:bookmarkStart w:id="0" w:name="_GoBack"/>
      <w:bookmarkEnd w:id="0"/>
    </w:p>
    <w:p w14:paraId="58A3DB59" w14:textId="28EA4D5C" w:rsidR="00C47C54" w:rsidRPr="00694C76" w:rsidRDefault="00B6214D" w:rsidP="00694C76">
      <w:pPr>
        <w:pStyle w:val="CoverLine"/>
      </w:pPr>
      <w:r w:rsidRPr="008A3584">
        <w:rPr>
          <w:noProof/>
          <w:lang w:eastAsia="en-AU"/>
        </w:rPr>
        <mc:AlternateContent>
          <mc:Choice Requires="wps">
            <w:drawing>
              <wp:anchor distT="0" distB="0" distL="114300" distR="114300" simplePos="0" relativeHeight="251658241" behindDoc="0" locked="0" layoutInCell="1" allowOverlap="1" wp14:anchorId="58A3DBAF" wp14:editId="58A3DBB0">
                <wp:simplePos x="0" y="0"/>
                <wp:positionH relativeFrom="page">
                  <wp:posOffset>648335</wp:posOffset>
                </wp:positionH>
                <wp:positionV relativeFrom="paragraph">
                  <wp:posOffset>1223645</wp:posOffset>
                </wp:positionV>
                <wp:extent cx="2383200" cy="691200"/>
                <wp:effectExtent l="0" t="0" r="16510" b="13970"/>
                <wp:wrapNone/>
                <wp:docPr id="12" name="Rectangle 12" descr="Background shape" title="Background shape"/>
                <wp:cNvGraphicFramePr/>
                <a:graphic xmlns:a="http://schemas.openxmlformats.org/drawingml/2006/main">
                  <a:graphicData uri="http://schemas.microsoft.com/office/word/2010/wordprocessingShape">
                    <wps:wsp>
                      <wps:cNvSpPr/>
                      <wps:spPr>
                        <a:xfrm>
                          <a:off x="0" y="0"/>
                          <a:ext cx="2383200" cy="691200"/>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alias w:val="Title - Max 2 lines"/>
                              <w:tag w:val=""/>
                              <w:id w:val="126363909"/>
                              <w:lock w:val="sdtLocked"/>
                              <w:placeholder>
                                <w:docPart w:val="744E37FE78E741C384156E693488E8FB"/>
                              </w:placeholder>
                              <w:dataBinding w:prefixMappings="xmlns:ns0='http://schemas.microsoft.com/office/2006/coverPageProps' " w:xpath="/ns0:CoverPageProperties[1]/ns0:Abstract[1]" w:storeItemID="{55AF091B-3C7A-41E3-B477-F2FDAA23CFDA}"/>
                              <w:text w:multiLine="1"/>
                            </w:sdtPr>
                            <w:sdtEndPr/>
                            <w:sdtContent>
                              <w:p w14:paraId="58A3DBC4" w14:textId="4E99BE7E" w:rsidR="006E01F2" w:rsidRPr="00694C76" w:rsidRDefault="006E01F2" w:rsidP="00B6214D">
                                <w:pPr>
                                  <w:pStyle w:val="Title"/>
                                </w:pPr>
                                <w:r>
                                  <w:t>response to submissions</w:t>
                                </w:r>
                              </w:p>
                            </w:sdtContent>
                          </w:sdt>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A3DBAF" id="Rectangle 12" o:spid="_x0000_s1026" alt="Title: Background shape - Description: Background shape" style="position:absolute;left:0;text-align:left;margin-left:51.05pt;margin-top:96.35pt;width:187.65pt;height:54.45pt;z-index:251658241;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3dkmgIAAJIFAAAOAAAAZHJzL2Uyb0RvYy54bWysVE1PGzEQvVfqf7B8L5sEQemKDUpBVJUQ&#10;IKDi7Hi92VW9tjV2skl/fZ+9H1SAeqiaw2bsmXmeefNxfrFvNdsp8o01BZ8fzThTRtqyMZuC/3i6&#10;/nTGmQ/ClEJbowp+UJ5fLD9+OO9crha2trpUxABifN65gtchuDzLvKxVK/yRdcpAWVlqRcCRNllJ&#10;ogN6q7PFbHaadZZKR1Yq73F71Sv5MuFXlZLhrqq8CkwXHLGF9KX0XcdvtjwX+YaEqxs5hCH+IYpW&#10;NAaPTlBXIgi2peYNVNtIst5W4UjaNrNV1UiVckA289mrbB5r4VTKBeR4N9Hk/x+svN3dE2tK1G7B&#10;mREtavQA1oTZaMXiXam8BGFfhfy5Ibs1JfMpLBaaoGH9RgFKO+dzID+6expOHmLkZ19RG/+ROdun&#10;MhymMqh9YBKXi+OzY9SWMwnd6Zd5lAGTvXg78uGbsi2LQsEJASf2xe7Gh950NImPGXvdaI17kWvD&#10;uoIfzz+fJIdJA3Bt8EaMvI81SeGgVe/2oCrQFKNLjqlB1aUmthNoLSGlMmHeq2pRqv76ZIbfEPvk&#10;kTLRBoARuUJkE/YAEJv/LXaf12AfXVXq78l59rfAeufJI71sTZic28ZYeg9AI6vh5d5+JKmnJrIU&#10;9us9TKK4tuUB/US2HzTv5HWDEt0IH+4FYbJQVWyLcIdPpS1KYQeJs9rSr/fuoz0aHlrOOkxqwQ1W&#10;CWf6u8EgxKEeBRqF9SiYbXtpUZ85tpCTSYQDBT2KFdn2GStkFd+AShiJlwouA42Hy9DvCywhqVar&#10;ZIbhdSLcmEcnI3ikMzbc0/5ZkBu6MqCfb+04wyJ/1Zy9bfT0brUNaNHUuS8sDkRj8FPHDEsqbpY/&#10;z8nqZZUufwMAAP//AwBQSwMEFAAGAAgAAAAhAN9EKU7hAAAACwEAAA8AAABkcnMvZG93bnJldi54&#10;bWxMj8FOwzAMhu9IvENkJC6IJS3TSkvTCTEQ4oTWIc5ZY9pqTdIl2VreHnOCm3/50+/P5Xo2Azuj&#10;D72zEpKFAIa2cbq3rYSP3cvtPbAQldVqcBYlfGOAdXV5UapCu8lu8VzHllGJDYWS0MU4FpyHpkOj&#10;wsKNaGn35bxRkaJvufZqonIz8FSIFTeqt3ShUyM+ddgc6pORkG8/w3Q4vj9v6mPrMdxs8te3nZTX&#10;V/PjA7CIc/yD4Vef1KEip707WR3YQFmkCaE05GkGjIhlli2B7SXciWQFvCr5/x+qHwAAAP//AwBQ&#10;SwECLQAUAAYACAAAACEAtoM4kv4AAADhAQAAEwAAAAAAAAAAAAAAAAAAAAAAW0NvbnRlbnRfVHlw&#10;ZXNdLnhtbFBLAQItABQABgAIAAAAIQA4/SH/1gAAAJQBAAALAAAAAAAAAAAAAAAAAC8BAABfcmVs&#10;cy8ucmVsc1BLAQItABQABgAIAAAAIQDyT3dkmgIAAJIFAAAOAAAAAAAAAAAAAAAAAC4CAABkcnMv&#10;ZTJvRG9jLnhtbFBLAQItABQABgAIAAAAIQDfRClO4QAAAAsBAAAPAAAAAAAAAAAAAAAAAPQEAABk&#10;cnMvZG93bnJldi54bWxQSwUGAAAAAAQABADzAAAAAgYAAAAA&#10;" filled="f" stroked="f" strokeweight=".25pt">
                <v:textbox style="mso-fit-shape-to-text:t" inset="0,0,0,0">
                  <w:txbxContent>
                    <w:sdt>
                      <w:sdtPr>
                        <w:alias w:val="Title - Max 2 lines"/>
                        <w:tag w:val=""/>
                        <w:id w:val="126363909"/>
                        <w:lock w:val="sdtLocked"/>
                        <w:placeholder>
                          <w:docPart w:val="744E37FE78E741C384156E693488E8FB"/>
                        </w:placeholder>
                        <w:dataBinding w:prefixMappings="xmlns:ns0='http://schemas.microsoft.com/office/2006/coverPageProps' " w:xpath="/ns0:CoverPageProperties[1]/ns0:Abstract[1]" w:storeItemID="{55AF091B-3C7A-41E3-B477-F2FDAA23CFDA}"/>
                        <w:text w:multiLine="1"/>
                      </w:sdtPr>
                      <w:sdtEndPr/>
                      <w:sdtContent>
                        <w:p w14:paraId="58A3DBC4" w14:textId="4E99BE7E" w:rsidR="006E01F2" w:rsidRPr="00694C76" w:rsidRDefault="006E01F2" w:rsidP="00B6214D">
                          <w:pPr>
                            <w:pStyle w:val="Title"/>
                          </w:pPr>
                          <w:r>
                            <w:t>response to submissions</w:t>
                          </w:r>
                        </w:p>
                      </w:sdtContent>
                    </w:sdt>
                  </w:txbxContent>
                </v:textbox>
                <w10:wrap anchorx="page"/>
              </v:rect>
            </w:pict>
          </mc:Fallback>
        </mc:AlternateContent>
      </w:r>
      <w:sdt>
        <w:sdtPr>
          <w:alias w:val="Title"/>
          <w:tag w:val=""/>
          <w:id w:val="41795664"/>
          <w:lock w:val="sdtLocked"/>
          <w:placeholder>
            <w:docPart w:val="0532F6FFF88A4F97A3A82C4BBB6C25F4"/>
          </w:placeholder>
          <w:dataBinding w:prefixMappings="xmlns:ns0='http://schemas.microsoft.com/office/2006/coverPageProps' " w:xpath="/ns0:CoverPageProperties[1]/ns0:Abstract[1]" w:storeItemID="{55AF091B-3C7A-41E3-B477-F2FDAA23CFDA}"/>
          <w:text w:multiLine="1"/>
        </w:sdtPr>
        <w:sdtEndPr/>
        <w:sdtContent>
          <w:r w:rsidR="00DF2234">
            <w:t>response to submissions</w:t>
          </w:r>
        </w:sdtContent>
      </w:sdt>
      <w:r w:rsidR="00FE110C" w:rsidRPr="008A3584">
        <w:rPr>
          <w:noProof/>
          <w:lang w:eastAsia="en-AU"/>
        </w:rPr>
        <mc:AlternateContent>
          <mc:Choice Requires="wps">
            <w:drawing>
              <wp:anchor distT="0" distB="0" distL="114300" distR="114300" simplePos="0" relativeHeight="251658240" behindDoc="1" locked="0" layoutInCell="1" allowOverlap="1" wp14:anchorId="58A3DBB1" wp14:editId="58A3DBB2">
                <wp:simplePos x="0" y="0"/>
                <wp:positionH relativeFrom="margin">
                  <wp:posOffset>-914400</wp:posOffset>
                </wp:positionH>
                <wp:positionV relativeFrom="margin">
                  <wp:posOffset>1019175</wp:posOffset>
                </wp:positionV>
                <wp:extent cx="6674400" cy="3045600"/>
                <wp:effectExtent l="0" t="0" r="0" b="3175"/>
                <wp:wrapNone/>
                <wp:docPr id="6" name="Rectangle 6" descr="Background shape" title="Background shape"/>
                <wp:cNvGraphicFramePr/>
                <a:graphic xmlns:a="http://schemas.openxmlformats.org/drawingml/2006/main">
                  <a:graphicData uri="http://schemas.microsoft.com/office/word/2010/wordprocessingShape">
                    <wps:wsp>
                      <wps:cNvSpPr/>
                      <wps:spPr>
                        <a:xfrm>
                          <a:off x="0" y="0"/>
                          <a:ext cx="6674400" cy="3045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A3DBC5" w14:textId="03115BEA" w:rsidR="006E01F2" w:rsidRDefault="006E01F2" w:rsidP="00FE110C">
                            <w:pPr>
                              <w:pStyle w:val="PaperTitle"/>
                            </w:pPr>
                            <w:r>
                              <w:t>Revisions to the related entities framework for ADIs</w:t>
                            </w:r>
                          </w:p>
                          <w:p w14:paraId="58A3DBC6" w14:textId="5BA41D22" w:rsidR="006E01F2" w:rsidRPr="00FE110C" w:rsidRDefault="006E01F2" w:rsidP="00FE110C">
                            <w:pPr>
                              <w:pStyle w:val="CoverDate"/>
                            </w:pPr>
                            <w:r w:rsidRPr="006D59B3">
                              <w:t>20 August 2019</w:t>
                            </w:r>
                          </w:p>
                        </w:txbxContent>
                      </wps:txbx>
                      <wps:bodyPr rot="0" spcFirstLastPara="0" vertOverflow="overflow" horzOverflow="overflow" vert="horz" wrap="square" lIns="648000" tIns="45720" rIns="288000" bIns="360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A3DBB1" id="Rectangle 6" o:spid="_x0000_s1027" alt="Title: Background shape - Description: Background shape" style="position:absolute;left:0;text-align:left;margin-left:-1in;margin-top:80.25pt;width:525.55pt;height:239.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pl5uAIAAMoFAAAOAAAAZHJzL2Uyb0RvYy54bWysVN9P2zAQfp+0/8Hy+0haSkEVKepATJMQ&#10;VMDEs+vYTTTH59luk+6v39lO0g3QHqb1IfX5vvvuh+/u8qprFNkL62rQBZ2c5JQIzaGs9bag355v&#10;P11Q4jzTJVOgRUEPwtGr5ccPl61ZiClUoEphCZJot2hNQSvvzSLLHK9Ew9wJGKFRKcE2zKNot1lp&#10;WYvsjcqmeT7PWrClscCFc3h7k5R0GfmlFNw/SOmEJ6qgGJuPXxu/m/DNlpdssbXMVDXvw2D/EEXD&#10;ao1OR6ob5hnZ2foNVVNzCw6kP+HQZCBlzUXMAbOZ5K+yeaqYETEXLI4zY5nc/6Pl9/u1JXVZ0Dkl&#10;mjX4RI9YNKa3ShC8KoXjWK7PjH/fWtjpkrgYFPG1Vwh+o8CCtsYtkPfJrG0vOTyG6nTSNuEf8yZd&#10;fITD+Aii84Tj5Xx+Ppvl+FYcdaf57GyOAvJkR3Njnf8ioCHhUFCLAcfis/2d8wk6QII3B6oub2ul&#10;ohA6S1wrS/YMe2KznfTkf6CUDlgNwSoRhpssZJZyiSd/UCLglH4UEouI0U9jILF9j04Y50L7SVJV&#10;rBTJ91mOv8H7EFZMNBIGZon+R+6eYEAmkoE7Rdnjg6mI3T8a538LLBmPFtEzaD8aN7UG+x6Bwqx6&#10;zwk/FCmVJlTJd5suNlhEhpsNlAdsOgtpGp3htzU+5B1zfs0sjh8+Pq4U/4AfqaAtKPQnSiqwP9+7&#10;D3icCtRS0uI4F9T92DErKFFfNc7LfHYRik18lGZn51MUbBSmF0m1idIptlsA6l1zDdggE9xfhsdj&#10;sPBqOEoLzQsun1VwjCqmObrHjhqO1z7tGVxeXKxWEYRDb5i/00+GB+pQ6NCpz90Ls6ZvZ4+TcA/D&#10;7LPFq65O2GDpzGrnsUVjyx8L2z8BLozYS/1yCxvpdzmijit4+QsAAP//AwBQSwMEFAAGAAgAAAAh&#10;ALJs96rhAAAADAEAAA8AAABkcnMvZG93bnJldi54bWxMj81OwzAQhO9IvIO1SFxQa7sKoQ1xKoTE&#10;CYFKqXrextsk4J8odpvA02NOcBzNaOabcj1Zw840hM47BXIugJGrve5co2D3/jRbAgsRnUbjHSn4&#10;ogDr6vKixEL70b3ReRsblkpcKFBBG2NfcB7qliyGue/JJe/oB4sxyaHhesAxlVvDF0Lk3GLn0kKL&#10;PT22VH9uT1aBxuPHi3zebUax2ofX7xvOF4YrdX01PdwDizTFvzD84id0qBLTwZ+cDswomMksS2di&#10;cnJxCyxFVuJOAjsoyDMhgVcl/3+i+gEAAP//AwBQSwECLQAUAAYACAAAACEAtoM4kv4AAADhAQAA&#10;EwAAAAAAAAAAAAAAAAAAAAAAW0NvbnRlbnRfVHlwZXNdLnhtbFBLAQItABQABgAIAAAAIQA4/SH/&#10;1gAAAJQBAAALAAAAAAAAAAAAAAAAAC8BAABfcmVscy8ucmVsc1BLAQItABQABgAIAAAAIQD4ppl5&#10;uAIAAMoFAAAOAAAAAAAAAAAAAAAAAC4CAABkcnMvZTJvRG9jLnhtbFBLAQItABQABgAIAAAAIQCy&#10;bPeq4QAAAAwBAAAPAAAAAAAAAAAAAAAAABIFAABkcnMvZG93bnJldi54bWxQSwUGAAAAAAQABADz&#10;AAAAIAYAAAAA&#10;" fillcolor="white [3212]" stroked="f" strokeweight="2pt">
                <v:textbox style="mso-fit-shape-to-text:t" inset="18mm,,8mm,10mm">
                  <w:txbxContent>
                    <w:p w14:paraId="58A3DBC5" w14:textId="03115BEA" w:rsidR="006E01F2" w:rsidRDefault="006E01F2" w:rsidP="00FE110C">
                      <w:pPr>
                        <w:pStyle w:val="PaperTitle"/>
                      </w:pPr>
                      <w:r>
                        <w:t>Revisions to the related entities framework for ADIs</w:t>
                      </w:r>
                    </w:p>
                    <w:p w14:paraId="58A3DBC6" w14:textId="5BA41D22" w:rsidR="006E01F2" w:rsidRPr="00FE110C" w:rsidRDefault="006E01F2" w:rsidP="00FE110C">
                      <w:pPr>
                        <w:pStyle w:val="CoverDate"/>
                      </w:pPr>
                      <w:r w:rsidRPr="006D59B3">
                        <w:t>20 August 2019</w:t>
                      </w:r>
                    </w:p>
                  </w:txbxContent>
                </v:textbox>
                <w10:wrap anchorx="margin" anchory="margin"/>
              </v:rect>
            </w:pict>
          </mc:Fallback>
        </mc:AlternateContent>
      </w:r>
    </w:p>
    <w:p w14:paraId="58A3DB5A" w14:textId="77777777" w:rsidR="003B51A4" w:rsidRDefault="003B51A4" w:rsidP="00C47C54">
      <w:r>
        <w:br w:type="page"/>
      </w:r>
    </w:p>
    <w:p w14:paraId="58A3DB5B" w14:textId="77777777" w:rsidR="003B51A4" w:rsidRPr="003B51A4" w:rsidRDefault="003B51A4" w:rsidP="00460E6B">
      <w:pPr>
        <w:pStyle w:val="DisclaimerHeading"/>
        <w:framePr w:wrap="around"/>
      </w:pPr>
      <w:r w:rsidRPr="008F1B07">
        <w:lastRenderedPageBreak/>
        <w:t>Disclaimer Text</w:t>
      </w:r>
    </w:p>
    <w:p w14:paraId="5E97864E" w14:textId="77777777" w:rsidR="00DF2234" w:rsidRPr="00DF2234" w:rsidRDefault="00DF2234" w:rsidP="00DF2234">
      <w:pPr>
        <w:pStyle w:val="DisclaimerText"/>
        <w:framePr w:wrap="around"/>
      </w:pPr>
      <w:r w:rsidRPr="00DF2234">
        <w:t>While APRA endeavours to ensure the quality of this publication, it does not accept any responsibility for the accuracy, completeness or currency of the material included in this publication and will not be liable for any loss or damage arising out of any use of, or reliance on, this publication.</w:t>
      </w:r>
    </w:p>
    <w:p w14:paraId="760857B7" w14:textId="77777777" w:rsidR="00DF2234" w:rsidRPr="00DF2234" w:rsidRDefault="00DF2234" w:rsidP="00DF2234">
      <w:pPr>
        <w:pStyle w:val="DisclaimerText"/>
        <w:framePr w:wrap="around"/>
      </w:pPr>
      <w:r w:rsidRPr="00DF2234">
        <w:t>© Australian Prudential Regulation Authority (APRA)</w:t>
      </w:r>
    </w:p>
    <w:p w14:paraId="391A1193" w14:textId="69613DFA" w:rsidR="00DF2234" w:rsidRPr="00DF2234" w:rsidRDefault="00DF2234" w:rsidP="00DF2234">
      <w:pPr>
        <w:pStyle w:val="DisclaimerText"/>
        <w:framePr w:wrap="around"/>
      </w:pPr>
      <w:r w:rsidRPr="00DF2234">
        <w:t xml:space="preserve">This work is licensed under the Creative Commons Attribution 3.0 Australia Licence (CCBY 3.0). This licence allows you to copy, distribute and adapt this work, provided you attribute the work and do not suggest that APRA endorses you or your work. To view a full copy of the terms of this licence, visit </w:t>
      </w:r>
      <w:hyperlink r:id="rId15" w:history="1">
        <w:r w:rsidR="00036C74" w:rsidRPr="00836931">
          <w:rPr>
            <w:rStyle w:val="Hyperlink"/>
          </w:rPr>
          <w:t>https://creativecommons.org/licenses/by/3.0/au/</w:t>
        </w:r>
      </w:hyperlink>
      <w:r w:rsidR="00036C74">
        <w:rPr>
          <w:rStyle w:val="Hyperlink"/>
          <w:color w:val="000000"/>
        </w:rPr>
        <w:t xml:space="preserve"> </w:t>
      </w:r>
    </w:p>
    <w:p w14:paraId="58A3DB5E" w14:textId="77777777" w:rsidR="003B51A4" w:rsidRDefault="003B51A4" w:rsidP="003B51A4">
      <w:pPr>
        <w:numPr>
          <w:ilvl w:val="0"/>
          <w:numId w:val="0"/>
        </w:numPr>
        <w:rPr>
          <w:rFonts w:ascii="DIN Offc Medium" w:eastAsiaTheme="majorEastAsia" w:hAnsi="DIN Offc Medium" w:cstheme="majorBidi"/>
          <w:color w:val="012169" w:themeColor="text2"/>
          <w:sz w:val="90"/>
          <w:szCs w:val="52"/>
        </w:rPr>
      </w:pPr>
      <w:r>
        <w:br w:type="page"/>
      </w:r>
    </w:p>
    <w:p w14:paraId="58A3DB5F" w14:textId="77777777" w:rsidR="00C636DA" w:rsidRDefault="00C636DA" w:rsidP="00BD7B83">
      <w:pPr>
        <w:pStyle w:val="TOCHeading"/>
      </w:pPr>
      <w:r w:rsidRPr="00BD7B83">
        <w:t>Contents</w:t>
      </w:r>
    </w:p>
    <w:p w14:paraId="1220F2B4" w14:textId="77777777" w:rsidR="00D129CD" w:rsidRDefault="00DC6124">
      <w:pPr>
        <w:pStyle w:val="TOC1"/>
        <w:rPr>
          <w:rFonts w:asciiTheme="minorHAnsi" w:eastAsiaTheme="minorEastAsia" w:hAnsiTheme="minorHAnsi"/>
          <w:noProof/>
          <w:color w:val="auto"/>
          <w:lang w:eastAsia="en-AU"/>
        </w:rPr>
      </w:pPr>
      <w:r>
        <w:rPr>
          <w:noProof/>
          <w:lang w:val="en-US"/>
        </w:rPr>
        <w:fldChar w:fldCharType="begin"/>
      </w:r>
      <w:r>
        <w:rPr>
          <w:noProof/>
          <w:lang w:val="en-US"/>
        </w:rPr>
        <w:instrText xml:space="preserve"> TOC \o "1-1" \h \z \u </w:instrText>
      </w:r>
      <w:r>
        <w:rPr>
          <w:noProof/>
          <w:lang w:val="en-US"/>
        </w:rPr>
        <w:fldChar w:fldCharType="separate"/>
      </w:r>
      <w:hyperlink w:anchor="_Toc12375286" w:history="1">
        <w:r w:rsidR="00D129CD" w:rsidRPr="00A07240">
          <w:rPr>
            <w:rStyle w:val="Hyperlink"/>
            <w:noProof/>
          </w:rPr>
          <w:t>Executive summary</w:t>
        </w:r>
        <w:r w:rsidR="00D129CD">
          <w:rPr>
            <w:noProof/>
            <w:webHidden/>
          </w:rPr>
          <w:tab/>
        </w:r>
        <w:r w:rsidR="00D129CD">
          <w:rPr>
            <w:noProof/>
            <w:webHidden/>
          </w:rPr>
          <w:fldChar w:fldCharType="begin"/>
        </w:r>
        <w:r w:rsidR="00D129CD">
          <w:rPr>
            <w:noProof/>
            <w:webHidden/>
          </w:rPr>
          <w:instrText xml:space="preserve"> PAGEREF _Toc12375286 \h </w:instrText>
        </w:r>
        <w:r w:rsidR="00D129CD">
          <w:rPr>
            <w:noProof/>
            <w:webHidden/>
          </w:rPr>
        </w:r>
        <w:r w:rsidR="00D129CD">
          <w:rPr>
            <w:noProof/>
            <w:webHidden/>
          </w:rPr>
          <w:fldChar w:fldCharType="separate"/>
        </w:r>
        <w:r w:rsidR="000479A1">
          <w:rPr>
            <w:noProof/>
            <w:webHidden/>
          </w:rPr>
          <w:t>4</w:t>
        </w:r>
        <w:r w:rsidR="00D129CD">
          <w:rPr>
            <w:noProof/>
            <w:webHidden/>
          </w:rPr>
          <w:fldChar w:fldCharType="end"/>
        </w:r>
      </w:hyperlink>
    </w:p>
    <w:p w14:paraId="150BABD9" w14:textId="77777777" w:rsidR="00D129CD" w:rsidRDefault="00210087">
      <w:pPr>
        <w:pStyle w:val="TOC1"/>
        <w:rPr>
          <w:rFonts w:asciiTheme="minorHAnsi" w:eastAsiaTheme="minorEastAsia" w:hAnsiTheme="minorHAnsi"/>
          <w:noProof/>
          <w:color w:val="auto"/>
          <w:lang w:eastAsia="en-AU"/>
        </w:rPr>
      </w:pPr>
      <w:hyperlink w:anchor="_Toc12375287" w:history="1">
        <w:r w:rsidR="00D129CD" w:rsidRPr="00A07240">
          <w:rPr>
            <w:rStyle w:val="Hyperlink"/>
            <w:noProof/>
          </w:rPr>
          <w:t>Chapter 1 - Introduction</w:t>
        </w:r>
        <w:r w:rsidR="00D129CD">
          <w:rPr>
            <w:noProof/>
            <w:webHidden/>
          </w:rPr>
          <w:tab/>
        </w:r>
        <w:r w:rsidR="00D129CD">
          <w:rPr>
            <w:noProof/>
            <w:webHidden/>
          </w:rPr>
          <w:fldChar w:fldCharType="begin"/>
        </w:r>
        <w:r w:rsidR="00D129CD">
          <w:rPr>
            <w:noProof/>
            <w:webHidden/>
          </w:rPr>
          <w:instrText xml:space="preserve"> PAGEREF _Toc12375287 \h </w:instrText>
        </w:r>
        <w:r w:rsidR="00D129CD">
          <w:rPr>
            <w:noProof/>
            <w:webHidden/>
          </w:rPr>
        </w:r>
        <w:r w:rsidR="00D129CD">
          <w:rPr>
            <w:noProof/>
            <w:webHidden/>
          </w:rPr>
          <w:fldChar w:fldCharType="separate"/>
        </w:r>
        <w:r w:rsidR="000479A1">
          <w:rPr>
            <w:noProof/>
            <w:webHidden/>
          </w:rPr>
          <w:t>5</w:t>
        </w:r>
        <w:r w:rsidR="00D129CD">
          <w:rPr>
            <w:noProof/>
            <w:webHidden/>
          </w:rPr>
          <w:fldChar w:fldCharType="end"/>
        </w:r>
      </w:hyperlink>
    </w:p>
    <w:p w14:paraId="7BCC701B" w14:textId="77777777" w:rsidR="00D129CD" w:rsidRDefault="00210087">
      <w:pPr>
        <w:pStyle w:val="TOC1"/>
        <w:rPr>
          <w:rFonts w:asciiTheme="minorHAnsi" w:eastAsiaTheme="minorEastAsia" w:hAnsiTheme="minorHAnsi"/>
          <w:noProof/>
          <w:color w:val="auto"/>
          <w:lang w:eastAsia="en-AU"/>
        </w:rPr>
      </w:pPr>
      <w:hyperlink w:anchor="_Toc12375288" w:history="1">
        <w:r w:rsidR="00D129CD" w:rsidRPr="00A07240">
          <w:rPr>
            <w:rStyle w:val="Hyperlink"/>
            <w:noProof/>
          </w:rPr>
          <w:t>Chapter 2 - Definition of related entities</w:t>
        </w:r>
        <w:r w:rsidR="00D129CD">
          <w:rPr>
            <w:noProof/>
            <w:webHidden/>
          </w:rPr>
          <w:tab/>
        </w:r>
        <w:r w:rsidR="00D129CD">
          <w:rPr>
            <w:noProof/>
            <w:webHidden/>
          </w:rPr>
          <w:fldChar w:fldCharType="begin"/>
        </w:r>
        <w:r w:rsidR="00D129CD">
          <w:rPr>
            <w:noProof/>
            <w:webHidden/>
          </w:rPr>
          <w:instrText xml:space="preserve"> PAGEREF _Toc12375288 \h </w:instrText>
        </w:r>
        <w:r w:rsidR="00D129CD">
          <w:rPr>
            <w:noProof/>
            <w:webHidden/>
          </w:rPr>
        </w:r>
        <w:r w:rsidR="00D129CD">
          <w:rPr>
            <w:noProof/>
            <w:webHidden/>
          </w:rPr>
          <w:fldChar w:fldCharType="separate"/>
        </w:r>
        <w:r w:rsidR="000479A1">
          <w:rPr>
            <w:noProof/>
            <w:webHidden/>
          </w:rPr>
          <w:t>7</w:t>
        </w:r>
        <w:r w:rsidR="00D129CD">
          <w:rPr>
            <w:noProof/>
            <w:webHidden/>
          </w:rPr>
          <w:fldChar w:fldCharType="end"/>
        </w:r>
      </w:hyperlink>
    </w:p>
    <w:p w14:paraId="6CF5B890" w14:textId="77777777" w:rsidR="00D129CD" w:rsidRDefault="00210087">
      <w:pPr>
        <w:pStyle w:val="TOC1"/>
        <w:rPr>
          <w:rFonts w:asciiTheme="minorHAnsi" w:eastAsiaTheme="minorEastAsia" w:hAnsiTheme="minorHAnsi"/>
          <w:noProof/>
          <w:color w:val="auto"/>
          <w:lang w:eastAsia="en-AU"/>
        </w:rPr>
      </w:pPr>
      <w:hyperlink w:anchor="_Toc12375289" w:history="1">
        <w:r w:rsidR="00D129CD" w:rsidRPr="00A07240">
          <w:rPr>
            <w:rStyle w:val="Hyperlink"/>
            <w:noProof/>
          </w:rPr>
          <w:t>Chapter 3 - Related entity exposures and limits</w:t>
        </w:r>
        <w:r w:rsidR="00D129CD">
          <w:rPr>
            <w:noProof/>
            <w:webHidden/>
          </w:rPr>
          <w:tab/>
        </w:r>
        <w:r w:rsidR="00D129CD">
          <w:rPr>
            <w:noProof/>
            <w:webHidden/>
          </w:rPr>
          <w:fldChar w:fldCharType="begin"/>
        </w:r>
        <w:r w:rsidR="00D129CD">
          <w:rPr>
            <w:noProof/>
            <w:webHidden/>
          </w:rPr>
          <w:instrText xml:space="preserve"> PAGEREF _Toc12375289 \h </w:instrText>
        </w:r>
        <w:r w:rsidR="00D129CD">
          <w:rPr>
            <w:noProof/>
            <w:webHidden/>
          </w:rPr>
        </w:r>
        <w:r w:rsidR="00D129CD">
          <w:rPr>
            <w:noProof/>
            <w:webHidden/>
          </w:rPr>
          <w:fldChar w:fldCharType="separate"/>
        </w:r>
        <w:r w:rsidR="000479A1">
          <w:rPr>
            <w:noProof/>
            <w:webHidden/>
          </w:rPr>
          <w:t>9</w:t>
        </w:r>
        <w:r w:rsidR="00D129CD">
          <w:rPr>
            <w:noProof/>
            <w:webHidden/>
          </w:rPr>
          <w:fldChar w:fldCharType="end"/>
        </w:r>
      </w:hyperlink>
    </w:p>
    <w:p w14:paraId="29B656CA" w14:textId="77777777" w:rsidR="00D129CD" w:rsidRDefault="00210087">
      <w:pPr>
        <w:pStyle w:val="TOC1"/>
        <w:rPr>
          <w:rFonts w:asciiTheme="minorHAnsi" w:eastAsiaTheme="minorEastAsia" w:hAnsiTheme="minorHAnsi"/>
          <w:noProof/>
          <w:color w:val="auto"/>
          <w:lang w:eastAsia="en-AU"/>
        </w:rPr>
      </w:pPr>
      <w:hyperlink w:anchor="_Toc12375290" w:history="1">
        <w:r w:rsidR="00D129CD" w:rsidRPr="00A07240">
          <w:rPr>
            <w:rStyle w:val="Hyperlink"/>
            <w:noProof/>
          </w:rPr>
          <w:t>Chapter 4 - Extended Licensed Entity framework</w:t>
        </w:r>
        <w:r w:rsidR="00D129CD">
          <w:rPr>
            <w:noProof/>
            <w:webHidden/>
          </w:rPr>
          <w:tab/>
        </w:r>
        <w:r w:rsidR="00D129CD">
          <w:rPr>
            <w:noProof/>
            <w:webHidden/>
          </w:rPr>
          <w:fldChar w:fldCharType="begin"/>
        </w:r>
        <w:r w:rsidR="00D129CD">
          <w:rPr>
            <w:noProof/>
            <w:webHidden/>
          </w:rPr>
          <w:instrText xml:space="preserve"> PAGEREF _Toc12375290 \h </w:instrText>
        </w:r>
        <w:r w:rsidR="00D129CD">
          <w:rPr>
            <w:noProof/>
            <w:webHidden/>
          </w:rPr>
        </w:r>
        <w:r w:rsidR="00D129CD">
          <w:rPr>
            <w:noProof/>
            <w:webHidden/>
          </w:rPr>
          <w:fldChar w:fldCharType="separate"/>
        </w:r>
        <w:r w:rsidR="00872AFF">
          <w:rPr>
            <w:noProof/>
            <w:webHidden/>
          </w:rPr>
          <w:t>13</w:t>
        </w:r>
        <w:r w:rsidR="00D129CD">
          <w:rPr>
            <w:noProof/>
            <w:webHidden/>
          </w:rPr>
          <w:fldChar w:fldCharType="end"/>
        </w:r>
      </w:hyperlink>
    </w:p>
    <w:p w14:paraId="532C3B34" w14:textId="77777777" w:rsidR="00D129CD" w:rsidRDefault="00210087">
      <w:pPr>
        <w:pStyle w:val="TOC1"/>
        <w:rPr>
          <w:rFonts w:asciiTheme="minorHAnsi" w:eastAsiaTheme="minorEastAsia" w:hAnsiTheme="minorHAnsi"/>
          <w:noProof/>
          <w:color w:val="auto"/>
          <w:lang w:eastAsia="en-AU"/>
        </w:rPr>
      </w:pPr>
      <w:hyperlink w:anchor="_Toc12375291" w:history="1">
        <w:r w:rsidR="00D129CD" w:rsidRPr="00A07240">
          <w:rPr>
            <w:rStyle w:val="Hyperlink"/>
            <w:noProof/>
          </w:rPr>
          <w:t>Chapter 5 - Step-in risk</w:t>
        </w:r>
        <w:r w:rsidR="00D129CD">
          <w:rPr>
            <w:noProof/>
            <w:webHidden/>
          </w:rPr>
          <w:tab/>
        </w:r>
        <w:r w:rsidR="00D129CD">
          <w:rPr>
            <w:noProof/>
            <w:webHidden/>
          </w:rPr>
          <w:fldChar w:fldCharType="begin"/>
        </w:r>
        <w:r w:rsidR="00D129CD">
          <w:rPr>
            <w:noProof/>
            <w:webHidden/>
          </w:rPr>
          <w:instrText xml:space="preserve"> PAGEREF _Toc12375291 \h </w:instrText>
        </w:r>
        <w:r w:rsidR="00D129CD">
          <w:rPr>
            <w:noProof/>
            <w:webHidden/>
          </w:rPr>
        </w:r>
        <w:r w:rsidR="00D129CD">
          <w:rPr>
            <w:noProof/>
            <w:webHidden/>
          </w:rPr>
          <w:fldChar w:fldCharType="separate"/>
        </w:r>
        <w:r w:rsidR="003975D5">
          <w:rPr>
            <w:noProof/>
            <w:webHidden/>
          </w:rPr>
          <w:t>15</w:t>
        </w:r>
        <w:r w:rsidR="00D129CD">
          <w:rPr>
            <w:noProof/>
            <w:webHidden/>
          </w:rPr>
          <w:fldChar w:fldCharType="end"/>
        </w:r>
      </w:hyperlink>
    </w:p>
    <w:p w14:paraId="62E82017" w14:textId="78AA2D24" w:rsidR="00D129CD" w:rsidRDefault="00210087">
      <w:pPr>
        <w:pStyle w:val="TOC1"/>
        <w:rPr>
          <w:rFonts w:asciiTheme="minorHAnsi" w:eastAsiaTheme="minorEastAsia" w:hAnsiTheme="minorHAnsi"/>
          <w:noProof/>
          <w:color w:val="auto"/>
          <w:lang w:eastAsia="en-AU"/>
        </w:rPr>
      </w:pPr>
      <w:hyperlink w:anchor="_Toc12375292" w:history="1">
        <w:r w:rsidR="00D129CD" w:rsidRPr="00A07240">
          <w:rPr>
            <w:rStyle w:val="Hyperlink"/>
            <w:noProof/>
          </w:rPr>
          <w:t>Chapter 6 - Other matters</w:t>
        </w:r>
        <w:r w:rsidR="00D129CD">
          <w:rPr>
            <w:noProof/>
            <w:webHidden/>
          </w:rPr>
          <w:tab/>
        </w:r>
        <w:r w:rsidR="00D129CD">
          <w:rPr>
            <w:noProof/>
            <w:webHidden/>
          </w:rPr>
          <w:fldChar w:fldCharType="begin"/>
        </w:r>
        <w:r w:rsidR="00D129CD">
          <w:rPr>
            <w:noProof/>
            <w:webHidden/>
          </w:rPr>
          <w:instrText xml:space="preserve"> PAGEREF _Toc12375292 \h </w:instrText>
        </w:r>
        <w:r w:rsidR="00D129CD">
          <w:rPr>
            <w:noProof/>
            <w:webHidden/>
          </w:rPr>
        </w:r>
        <w:r w:rsidR="00D129CD">
          <w:rPr>
            <w:noProof/>
            <w:webHidden/>
          </w:rPr>
          <w:fldChar w:fldCharType="separate"/>
        </w:r>
        <w:r w:rsidR="00872AFF">
          <w:rPr>
            <w:noProof/>
            <w:webHidden/>
          </w:rPr>
          <w:t>17</w:t>
        </w:r>
        <w:r w:rsidR="00D129CD">
          <w:rPr>
            <w:noProof/>
            <w:webHidden/>
          </w:rPr>
          <w:fldChar w:fldCharType="end"/>
        </w:r>
      </w:hyperlink>
    </w:p>
    <w:p w14:paraId="7E240943" w14:textId="7D0CD831" w:rsidR="00D129CD" w:rsidRDefault="00210087">
      <w:pPr>
        <w:pStyle w:val="TOC1"/>
        <w:rPr>
          <w:rFonts w:asciiTheme="minorHAnsi" w:eastAsiaTheme="minorEastAsia" w:hAnsiTheme="minorHAnsi"/>
          <w:noProof/>
          <w:color w:val="auto"/>
          <w:lang w:eastAsia="en-AU"/>
        </w:rPr>
      </w:pPr>
      <w:hyperlink w:anchor="_Toc12375293" w:history="1">
        <w:r w:rsidR="00D129CD" w:rsidRPr="00A07240">
          <w:rPr>
            <w:rStyle w:val="Hyperlink"/>
            <w:noProof/>
          </w:rPr>
          <w:t>A</w:t>
        </w:r>
        <w:r w:rsidR="00880911">
          <w:rPr>
            <w:rStyle w:val="Hyperlink"/>
            <w:noProof/>
          </w:rPr>
          <w:t>ttachment</w:t>
        </w:r>
        <w:r w:rsidR="00EB0697">
          <w:rPr>
            <w:rStyle w:val="Hyperlink"/>
            <w:noProof/>
          </w:rPr>
          <w:t xml:space="preserve"> A -</w:t>
        </w:r>
        <w:r w:rsidR="00D129CD" w:rsidRPr="00A07240">
          <w:rPr>
            <w:rStyle w:val="Hyperlink"/>
            <w:noProof/>
          </w:rPr>
          <w:t xml:space="preserve"> Regulatory costs</w:t>
        </w:r>
        <w:r w:rsidR="00D129CD">
          <w:rPr>
            <w:noProof/>
            <w:webHidden/>
          </w:rPr>
          <w:tab/>
        </w:r>
        <w:r w:rsidR="00D129CD">
          <w:rPr>
            <w:noProof/>
            <w:webHidden/>
          </w:rPr>
          <w:fldChar w:fldCharType="begin"/>
        </w:r>
        <w:r w:rsidR="00D129CD">
          <w:rPr>
            <w:noProof/>
            <w:webHidden/>
          </w:rPr>
          <w:instrText xml:space="preserve"> PAGEREF _Toc12375293 \h </w:instrText>
        </w:r>
        <w:r w:rsidR="00D129CD">
          <w:rPr>
            <w:noProof/>
            <w:webHidden/>
          </w:rPr>
        </w:r>
        <w:r w:rsidR="00D129CD">
          <w:rPr>
            <w:noProof/>
            <w:webHidden/>
          </w:rPr>
          <w:fldChar w:fldCharType="separate"/>
        </w:r>
        <w:r w:rsidR="00872AFF">
          <w:rPr>
            <w:noProof/>
            <w:webHidden/>
          </w:rPr>
          <w:t>19</w:t>
        </w:r>
        <w:r w:rsidR="00D129CD">
          <w:rPr>
            <w:noProof/>
            <w:webHidden/>
          </w:rPr>
          <w:fldChar w:fldCharType="end"/>
        </w:r>
      </w:hyperlink>
    </w:p>
    <w:p w14:paraId="58A3DB68" w14:textId="38521D21" w:rsidR="0016272E" w:rsidRPr="0016272E" w:rsidRDefault="00DC6124" w:rsidP="0016272E">
      <w:r>
        <w:rPr>
          <w:rFonts w:ascii="DIN OT Medium" w:hAnsi="DIN OT Medium"/>
          <w:noProof/>
          <w:lang w:val="en-US"/>
        </w:rPr>
        <w:fldChar w:fldCharType="end"/>
      </w:r>
    </w:p>
    <w:p w14:paraId="58A3DB69" w14:textId="146D1F70" w:rsidR="00AC1C12" w:rsidRDefault="00AC1C12" w:rsidP="00AC1C12">
      <w:pPr>
        <w:pStyle w:val="Heading1"/>
      </w:pPr>
      <w:bookmarkStart w:id="1" w:name="_Toc12375286"/>
      <w:r>
        <w:t>Executive summary</w:t>
      </w:r>
      <w:bookmarkEnd w:id="1"/>
    </w:p>
    <w:p w14:paraId="4D679ABE" w14:textId="365B54D0" w:rsidR="00C8759A" w:rsidRDefault="00273C6D" w:rsidP="00C8759A">
      <w:pPr>
        <w:pStyle w:val="APRANORMAL"/>
      </w:pPr>
      <w:r>
        <w:t xml:space="preserve">Banks' </w:t>
      </w:r>
      <w:r w:rsidR="00C8759A">
        <w:t xml:space="preserve">dealings with related entities </w:t>
      </w:r>
      <w:r>
        <w:t xml:space="preserve">can </w:t>
      </w:r>
      <w:r w:rsidR="00C8759A">
        <w:t>introduce the potential for material contagion risk</w:t>
      </w:r>
      <w:r>
        <w:t>s</w:t>
      </w:r>
      <w:r w:rsidR="00C8759A">
        <w:t>.</w:t>
      </w:r>
      <w:r w:rsidR="00C8759A">
        <w:rPr>
          <w:rStyle w:val="APRANORMALChar"/>
        </w:rPr>
        <w:t xml:space="preserve"> As demonstrated in the global financial crisis, deficiencies in controls to mitigate th</w:t>
      </w:r>
      <w:r>
        <w:rPr>
          <w:rStyle w:val="APRANORMALChar"/>
        </w:rPr>
        <w:t>e</w:t>
      </w:r>
      <w:r w:rsidR="00C8759A">
        <w:rPr>
          <w:rStyle w:val="APRANORMALChar"/>
        </w:rPr>
        <w:t>s</w:t>
      </w:r>
      <w:r>
        <w:rPr>
          <w:rStyle w:val="APRANORMALChar"/>
        </w:rPr>
        <w:t>e</w:t>
      </w:r>
      <w:r w:rsidR="00C8759A">
        <w:rPr>
          <w:rStyle w:val="APRANORMALChar"/>
        </w:rPr>
        <w:t xml:space="preserve"> risk</w:t>
      </w:r>
      <w:r>
        <w:rPr>
          <w:rStyle w:val="APRANORMALChar"/>
        </w:rPr>
        <w:t>s</w:t>
      </w:r>
      <w:r w:rsidR="00C8759A">
        <w:rPr>
          <w:rStyle w:val="APRANORMALChar"/>
        </w:rPr>
        <w:t xml:space="preserve"> can result in severe financial and reputational contagion</w:t>
      </w:r>
      <w:r>
        <w:rPr>
          <w:rStyle w:val="APRANORMALChar"/>
        </w:rPr>
        <w:t xml:space="preserve"> within the financial system more broadly.</w:t>
      </w:r>
      <w:r w:rsidR="00C8759A">
        <w:rPr>
          <w:rStyle w:val="APRANORMALChar"/>
        </w:rPr>
        <w:t xml:space="preserve"> Further, c</w:t>
      </w:r>
      <w:r w:rsidR="00C8759A">
        <w:t>omplex group structures may impact the ability of a</w:t>
      </w:r>
      <w:r w:rsidR="00E20858">
        <w:t xml:space="preserve"> bank</w:t>
      </w:r>
      <w:r w:rsidR="00C8759A">
        <w:t xml:space="preserve"> to be resolved in a sound and timely manner, ultimately affecting </w:t>
      </w:r>
      <w:r w:rsidR="00E20858">
        <w:t>its</w:t>
      </w:r>
      <w:r w:rsidR="00C8759A">
        <w:t xml:space="preserve"> depositors. </w:t>
      </w:r>
      <w:r w:rsidR="00E20858">
        <w:t>As a result, prudential r</w:t>
      </w:r>
      <w:r w:rsidR="00C8759A">
        <w:t>equirements to monitor, manage and control contagion risk play an important role in ensuring that dealings with related entities are appropriately structured and</w:t>
      </w:r>
      <w:r w:rsidR="00E20858">
        <w:t xml:space="preserve"> managed</w:t>
      </w:r>
      <w:r w:rsidR="00C8759A">
        <w:t xml:space="preserve">. </w:t>
      </w:r>
    </w:p>
    <w:p w14:paraId="3FE96899" w14:textId="77777777" w:rsidR="00B019B1" w:rsidRDefault="00624477" w:rsidP="00624477">
      <w:pPr>
        <w:pStyle w:val="APRANORMAL"/>
      </w:pPr>
      <w:r>
        <w:t>In July 2018, APRA proposed changes to the current</w:t>
      </w:r>
      <w:r w:rsidR="00E20858">
        <w:t xml:space="preserve"> prudential requirements for</w:t>
      </w:r>
      <w:r>
        <w:t xml:space="preserve"> </w:t>
      </w:r>
      <w:r w:rsidR="00714C26">
        <w:t>related entity</w:t>
      </w:r>
      <w:r w:rsidR="00E20858">
        <w:t xml:space="preserve"> risk management by banks and other authorised deposit-taking institutions (ADIs)</w:t>
      </w:r>
      <w:r w:rsidR="00714C26">
        <w:t xml:space="preserve">. </w:t>
      </w:r>
    </w:p>
    <w:p w14:paraId="115232CA" w14:textId="13DF4937" w:rsidR="00A80405" w:rsidRPr="00A80405" w:rsidRDefault="00A80405" w:rsidP="00A80405">
      <w:pPr>
        <w:pStyle w:val="APRANORMAL"/>
        <w:rPr>
          <w:lang w:eastAsia="en-AU"/>
        </w:rPr>
      </w:pPr>
      <w:r w:rsidRPr="00A80405">
        <w:rPr>
          <w:lang w:eastAsia="en-AU"/>
        </w:rPr>
        <w:t>Concessions in the existing framework have resulted in some ADIs establishing numerous operations in foreign jurisdictions, which are then managed and funded within the domestic bank. APRA has only limited visibility of these operations and they also fall outside the purview of foreign regulators. They complicate operating structures and there is no certainty their assets would be available to an ADI if it were to enter resolution. There are currently around 100 such operations within ADIs. In addition, if an ADI were to fully utilise some of the limits within the existing framework, they would be exposed to excessive levels of contagion risk.</w:t>
      </w:r>
    </w:p>
    <w:p w14:paraId="216EDF02" w14:textId="1389AD57" w:rsidR="00624477" w:rsidRDefault="00714C26" w:rsidP="00624477">
      <w:pPr>
        <w:pStyle w:val="APRANORMAL"/>
      </w:pPr>
      <w:r>
        <w:t>T</w:t>
      </w:r>
      <w:r w:rsidR="00624477">
        <w:t xml:space="preserve">he changes </w:t>
      </w:r>
      <w:r w:rsidR="00F00167">
        <w:t>in</w:t>
      </w:r>
      <w:r w:rsidR="00471508">
        <w:t xml:space="preserve"> this reform </w:t>
      </w:r>
      <w:r w:rsidR="00624477">
        <w:t xml:space="preserve">aim to update and streamline requirements, to account for lessons learnt from the global financial crisis on mitigating the flow of contagion risk to an ADI particularly from related entities, and to ensure </w:t>
      </w:r>
      <w:r w:rsidR="00624477" w:rsidRPr="008B10B3">
        <w:t>general</w:t>
      </w:r>
      <w:r w:rsidR="00624477">
        <w:t xml:space="preserve"> alignment with APRA's revised ADI large exposures framework which came into effect on 1 January 2019. </w:t>
      </w:r>
    </w:p>
    <w:p w14:paraId="448D0033" w14:textId="24960ADB" w:rsidR="005849D9" w:rsidRDefault="00E20858" w:rsidP="00624477">
      <w:pPr>
        <w:pStyle w:val="APRANORMAL"/>
      </w:pPr>
      <w:r>
        <w:t>Submissions to APRA's consultation indicated that some r</w:t>
      </w:r>
      <w:r w:rsidR="00714C26">
        <w:t>espondents were concerned with the potential c</w:t>
      </w:r>
      <w:r w:rsidR="00981B37">
        <w:t xml:space="preserve">omplexities </w:t>
      </w:r>
      <w:r w:rsidR="00714C26">
        <w:t xml:space="preserve">of </w:t>
      </w:r>
      <w:r w:rsidR="002C7A66">
        <w:t>certain</w:t>
      </w:r>
      <w:r>
        <w:t xml:space="preserve"> aspects of </w:t>
      </w:r>
      <w:r w:rsidR="00645EC0">
        <w:t>the</w:t>
      </w:r>
      <w:r>
        <w:t xml:space="preserve"> proposed changes. These concerns related primarily to related</w:t>
      </w:r>
      <w:r w:rsidR="002C7A66">
        <w:t xml:space="preserve"> </w:t>
      </w:r>
      <w:r>
        <w:t>entity exposure</w:t>
      </w:r>
      <w:r w:rsidR="00714C26">
        <w:t xml:space="preserve"> limits and </w:t>
      </w:r>
      <w:r>
        <w:t xml:space="preserve">changes to the treatment of certain </w:t>
      </w:r>
      <w:r w:rsidR="00714C26">
        <w:t xml:space="preserve">overseas subsidiaries. Some </w:t>
      </w:r>
      <w:r>
        <w:t>submissions</w:t>
      </w:r>
      <w:r w:rsidR="00714C26">
        <w:t xml:space="preserve"> </w:t>
      </w:r>
      <w:r w:rsidR="00645EC0">
        <w:t xml:space="preserve">emphasised the </w:t>
      </w:r>
      <w:r w:rsidR="00714C26">
        <w:t>need for transition periods.</w:t>
      </w:r>
      <w:r w:rsidR="00F6111E">
        <w:t xml:space="preserve"> </w:t>
      </w:r>
      <w:r w:rsidR="005849D9">
        <w:t>APRA's proposed</w:t>
      </w:r>
      <w:r w:rsidR="002C7A66">
        <w:t xml:space="preserve"> </w:t>
      </w:r>
      <w:r w:rsidR="00645EC0">
        <w:t xml:space="preserve">broader </w:t>
      </w:r>
      <w:r w:rsidR="00F6111E">
        <w:t>definition of related entities</w:t>
      </w:r>
      <w:r w:rsidR="005849D9">
        <w:t>, which would include substantial shareholders and other entities,</w:t>
      </w:r>
      <w:r w:rsidR="00413975">
        <w:t xml:space="preserve"> </w:t>
      </w:r>
      <w:r w:rsidR="00645EC0">
        <w:t>was also highlighted as being</w:t>
      </w:r>
      <w:r w:rsidR="005849D9">
        <w:t xml:space="preserve"> potentially</w:t>
      </w:r>
      <w:r w:rsidR="00645EC0">
        <w:t xml:space="preserve"> </w:t>
      </w:r>
      <w:r w:rsidR="00413975">
        <w:t>problematic to implement.</w:t>
      </w:r>
    </w:p>
    <w:p w14:paraId="3A9ED6CC" w14:textId="2EF5D6D0" w:rsidR="00D83F2B" w:rsidRDefault="005849D9" w:rsidP="00624477">
      <w:pPr>
        <w:pStyle w:val="APRANORMAL"/>
      </w:pPr>
      <w:r>
        <w:t xml:space="preserve">APRA has made a number of adjustments to the proposals to </w:t>
      </w:r>
      <w:r w:rsidR="00D83F2B">
        <w:t xml:space="preserve">address many of these concerns, and has maintained other aspects of the original proposals where it has concluded these are warranted based on prudential considerations. </w:t>
      </w:r>
      <w:r w:rsidR="002C7A66">
        <w:t>Key aspects</w:t>
      </w:r>
      <w:r w:rsidR="00D83F2B">
        <w:t xml:space="preserve"> include:</w:t>
      </w:r>
    </w:p>
    <w:p w14:paraId="012C0A9F" w14:textId="23F98196" w:rsidR="00D83F2B" w:rsidRDefault="00D83F2B" w:rsidP="00F8263E">
      <w:pPr>
        <w:pStyle w:val="ListBullet"/>
      </w:pPr>
      <w:r>
        <w:t xml:space="preserve">Related entity </w:t>
      </w:r>
      <w:r w:rsidR="000661BF">
        <w:t xml:space="preserve">exposure </w:t>
      </w:r>
      <w:r>
        <w:t xml:space="preserve">limits: </w:t>
      </w:r>
      <w:r w:rsidR="008E1216">
        <w:t>n</w:t>
      </w:r>
      <w:r w:rsidR="000661BF">
        <w:t>o changes have been made to the proposed related entity exposures limits. The limits align with APRA's large exposure limits, which are consistent with</w:t>
      </w:r>
      <w:r w:rsidR="000661BF" w:rsidRPr="000661BF">
        <w:t xml:space="preserve"> </w:t>
      </w:r>
      <w:r w:rsidR="000661BF">
        <w:t xml:space="preserve">the Basel Committee on Banking Supervision’s </w:t>
      </w:r>
      <w:r w:rsidR="000661BF">
        <w:rPr>
          <w:i/>
        </w:rPr>
        <w:t>Standards: Supervisory framework for measuring and controlling large exposures</w:t>
      </w:r>
      <w:r w:rsidR="000661BF">
        <w:t xml:space="preserve"> (April 2014). APRA does not expect the revised limits to materially constrain existing levels of intra-group exposures for ADIs but</w:t>
      </w:r>
      <w:r w:rsidR="00F8263E">
        <w:t xml:space="preserve"> will ensure these exposures </w:t>
      </w:r>
      <w:r w:rsidR="000661BF">
        <w:t>do</w:t>
      </w:r>
      <w:r w:rsidR="00F8263E">
        <w:t xml:space="preserve"> not</w:t>
      </w:r>
      <w:r w:rsidR="000661BF">
        <w:t xml:space="preserve"> become excessive in the future. </w:t>
      </w:r>
    </w:p>
    <w:p w14:paraId="7A9CFFBD" w14:textId="7ABA8AA9" w:rsidR="000661BF" w:rsidRDefault="000661BF" w:rsidP="00F8263E">
      <w:pPr>
        <w:pStyle w:val="ListBullet"/>
      </w:pPr>
      <w:r w:rsidDel="00E05214">
        <w:t>Extended Licensed Entities (</w:t>
      </w:r>
      <w:r>
        <w:t>ELEs</w:t>
      </w:r>
      <w:r w:rsidDel="00E05214">
        <w:t>)</w:t>
      </w:r>
      <w:r>
        <w:t xml:space="preserve">: </w:t>
      </w:r>
      <w:r w:rsidR="008E1216">
        <w:t>n</w:t>
      </w:r>
      <w:r w:rsidR="00B71203">
        <w:t>o changes have been made to the</w:t>
      </w:r>
      <w:r>
        <w:t xml:space="preserve"> propos</w:t>
      </w:r>
      <w:r w:rsidR="00B71203">
        <w:t>al to</w:t>
      </w:r>
      <w:r>
        <w:t xml:space="preserve"> remov</w:t>
      </w:r>
      <w:r w:rsidR="00B71203">
        <w:t>e</w:t>
      </w:r>
      <w:r>
        <w:t xml:space="preserve"> the ability for overseas subsidiaries to be consolidated within the standalone ADI. The revisions </w:t>
      </w:r>
      <w:r w:rsidR="00B71203">
        <w:t xml:space="preserve">will </w:t>
      </w:r>
      <w:r>
        <w:t xml:space="preserve">address </w:t>
      </w:r>
      <w:r w:rsidR="004E3294">
        <w:t xml:space="preserve">APRA's </w:t>
      </w:r>
      <w:r>
        <w:t>concerns around the potential complexity of group structures with</w:t>
      </w:r>
      <w:r w:rsidR="004E3294">
        <w:t xml:space="preserve"> ELEs</w:t>
      </w:r>
      <w:r>
        <w:t xml:space="preserve">, and the need for more transparency </w:t>
      </w:r>
      <w:r w:rsidR="004E3294">
        <w:t>to support</w:t>
      </w:r>
      <w:r>
        <w:t xml:space="preserve"> effective supervision. For some entities, the ELE revisions will have a substantial impact, with a need to restructure or reconsider the relative value of certain </w:t>
      </w:r>
      <w:r w:rsidR="00FB360A">
        <w:t>g</w:t>
      </w:r>
      <w:r>
        <w:t>roup operations. ADIs are encouraged to discuss transition needs with their APRA supervisor.</w:t>
      </w:r>
    </w:p>
    <w:p w14:paraId="6E66DC3D" w14:textId="1F918B92" w:rsidR="004E3294" w:rsidRDefault="004E3294" w:rsidP="00F8263E">
      <w:pPr>
        <w:pStyle w:val="ListBullet"/>
      </w:pPr>
      <w:r>
        <w:t xml:space="preserve">Step-in risk: </w:t>
      </w:r>
      <w:r w:rsidR="008E1216">
        <w:t>c</w:t>
      </w:r>
      <w:r w:rsidR="00CF69EF">
        <w:t xml:space="preserve">hanges have been made to the way that step-in risk is addressed </w:t>
      </w:r>
      <w:r w:rsidR="00F00167">
        <w:t>in</w:t>
      </w:r>
      <w:r w:rsidR="00CF69EF">
        <w:t xml:space="preserve"> the related entity framework.</w:t>
      </w:r>
      <w:r w:rsidR="00CF0E78">
        <w:t xml:space="preserve"> </w:t>
      </w:r>
      <w:r w:rsidR="00985616">
        <w:t>Step-in risk describes</w:t>
      </w:r>
      <w:r w:rsidR="00CF0E78">
        <w:t xml:space="preserve"> the possibility that </w:t>
      </w:r>
      <w:r w:rsidR="00985616">
        <w:t>an ADI</w:t>
      </w:r>
      <w:r w:rsidR="00CF0E78">
        <w:t xml:space="preserve"> may step in to support an unrelated entity due to reasons such as reputation or branding</w:t>
      </w:r>
      <w:r w:rsidR="00985616">
        <w:t>, beyond their legal obligation to do so</w:t>
      </w:r>
      <w:r w:rsidR="00CF0E78">
        <w:t>.</w:t>
      </w:r>
      <w:r w:rsidR="00CF69EF">
        <w:t xml:space="preserve"> </w:t>
      </w:r>
      <w:r w:rsidR="00985616">
        <w:t>The</w:t>
      </w:r>
      <w:r w:rsidR="00CF69EF">
        <w:t xml:space="preserve"> changes</w:t>
      </w:r>
      <w:r w:rsidR="00CF0E78">
        <w:t xml:space="preserve"> require ADIs to appropriately address this step-in risk by having </w:t>
      </w:r>
      <w:r>
        <w:t>a risk appetite and strategy for managing step-in risk entities, identify</w:t>
      </w:r>
      <w:r w:rsidR="00CF0E78">
        <w:t>ing</w:t>
      </w:r>
      <w:r>
        <w:t xml:space="preserve"> and assess</w:t>
      </w:r>
      <w:r w:rsidR="00CF0E78">
        <w:t>ing</w:t>
      </w:r>
      <w:r>
        <w:t xml:space="preserve"> the risk arising from step-in risk entities regularly, and report</w:t>
      </w:r>
      <w:r w:rsidR="00CF0E78">
        <w:t>ing</w:t>
      </w:r>
      <w:r>
        <w:t xml:space="preserve"> on these entities. In response to submissions, APRA has removed step-in risk entities from the definition of related entities. </w:t>
      </w:r>
    </w:p>
    <w:p w14:paraId="0F8D59EB" w14:textId="061E85F7" w:rsidR="00FD2B7D" w:rsidRDefault="004657F4" w:rsidP="00624477">
      <w:pPr>
        <w:pStyle w:val="APRANORMAL"/>
      </w:pPr>
      <w:r w:rsidRPr="004657F4">
        <w:rPr>
          <w:rStyle w:val="CommentReference"/>
          <w:sz w:val="22"/>
          <w:szCs w:val="22"/>
        </w:rPr>
        <w:t>In finalising these reforms,</w:t>
      </w:r>
      <w:r>
        <w:t xml:space="preserve"> APRA </w:t>
      </w:r>
      <w:r w:rsidR="00F00167">
        <w:t>considered</w:t>
      </w:r>
      <w:r>
        <w:t xml:space="preserve"> all elements of its mandate to reach an appropriate balance between stability, efficiency and competition. APRA recognises that</w:t>
      </w:r>
      <w:r w:rsidR="00631B67">
        <w:t xml:space="preserve"> the limits on related entity exposures may make it more difficult for potential new entrants that fund their related entities' business to meet ADI prudential requirements. In addition, </w:t>
      </w:r>
      <w:r w:rsidR="005F1349">
        <w:t>the</w:t>
      </w:r>
      <w:r w:rsidR="00631B67">
        <w:t xml:space="preserve"> </w:t>
      </w:r>
      <w:r w:rsidR="00E0762E">
        <w:t>changes to the eligibility of</w:t>
      </w:r>
      <w:r w:rsidR="00631B67">
        <w:t xml:space="preserve"> offshore ELE</w:t>
      </w:r>
      <w:r w:rsidR="00E0762E">
        <w:t xml:space="preserve"> </w:t>
      </w:r>
      <w:r w:rsidR="00631B67">
        <w:t>s</w:t>
      </w:r>
      <w:r w:rsidR="00E0762E">
        <w:t>ubsidiaries</w:t>
      </w:r>
      <w:r w:rsidR="00631B67">
        <w:t xml:space="preserve"> </w:t>
      </w:r>
      <w:r w:rsidR="005F1349">
        <w:t xml:space="preserve">may </w:t>
      </w:r>
      <w:r w:rsidR="00631B67">
        <w:t xml:space="preserve">increase the costs </w:t>
      </w:r>
      <w:r w:rsidR="005F1349">
        <w:t xml:space="preserve">of </w:t>
      </w:r>
      <w:r w:rsidR="00631B67">
        <w:t>funding offshore subsidiaries and affect the ability</w:t>
      </w:r>
      <w:r w:rsidR="00CB3375">
        <w:t xml:space="preserve"> of certain ADIs</w:t>
      </w:r>
      <w:r w:rsidR="00631B67">
        <w:t xml:space="preserve"> to compete for offshore business</w:t>
      </w:r>
      <w:r w:rsidR="005F1349">
        <w:t xml:space="preserve">. </w:t>
      </w:r>
    </w:p>
    <w:p w14:paraId="5AF6171C" w14:textId="587B21AE" w:rsidR="00624477" w:rsidRDefault="00CB3375" w:rsidP="00624477">
      <w:pPr>
        <w:pStyle w:val="APRANORMAL"/>
      </w:pPr>
      <w:r>
        <w:t>T</w:t>
      </w:r>
      <w:r w:rsidR="005F1349">
        <w:t>he changes to related entity limits</w:t>
      </w:r>
      <w:r>
        <w:t>,</w:t>
      </w:r>
      <w:r w:rsidR="005F1349">
        <w:t xml:space="preserve"> in conjunction with the Reserve Bank of New Zealand’s </w:t>
      </w:r>
      <w:r w:rsidR="00D70DA0">
        <w:t xml:space="preserve">proposed </w:t>
      </w:r>
      <w:r w:rsidR="005F1349">
        <w:t>capital reforms</w:t>
      </w:r>
      <w:r>
        <w:t>, may also affect the ability of Australian ADIs to expand their operations in New Zealand without additional capital cost</w:t>
      </w:r>
      <w:r w:rsidR="005F1349">
        <w:t>.</w:t>
      </w:r>
      <w:r w:rsidR="00FD2B7D">
        <w:t xml:space="preserve"> </w:t>
      </w:r>
      <w:r w:rsidR="00812ECC">
        <w:t>Further t</w:t>
      </w:r>
      <w:r w:rsidR="00C31C40">
        <w:t>o ensure capital resilience of domestic operations</w:t>
      </w:r>
      <w:r w:rsidR="008521A1">
        <w:t xml:space="preserve">, APRA </w:t>
      </w:r>
      <w:r w:rsidR="00C31C40">
        <w:t>is also</w:t>
      </w:r>
      <w:r w:rsidR="008521A1">
        <w:t xml:space="preserve"> reviewing </w:t>
      </w:r>
      <w:r w:rsidR="009F4057">
        <w:t xml:space="preserve">other </w:t>
      </w:r>
      <w:r w:rsidR="00C31C40">
        <w:t xml:space="preserve">relevant </w:t>
      </w:r>
      <w:r w:rsidR="008521A1">
        <w:t xml:space="preserve">elements of its capital framework </w:t>
      </w:r>
      <w:r w:rsidR="00C31C40">
        <w:t>and will consult on these in the coming months</w:t>
      </w:r>
      <w:r w:rsidR="008521A1">
        <w:t>.</w:t>
      </w:r>
      <w:r w:rsidR="001E3031">
        <w:t xml:space="preserve"> This includes the capital treatment of the parent ADI’s equity exposures to subsidiary ADI and insurance companies.</w:t>
      </w:r>
    </w:p>
    <w:p w14:paraId="36E0FAD7" w14:textId="5B18CF0A" w:rsidR="00D83F2B" w:rsidRDefault="00D83F2B" w:rsidP="00D83F2B">
      <w:pPr>
        <w:pStyle w:val="APRANORMAL"/>
      </w:pPr>
      <w:r>
        <w:t xml:space="preserve">APRA recognises that these changes will impact some ADIs more than others, and for </w:t>
      </w:r>
      <w:r w:rsidR="00CB3375">
        <w:t>a small number of ADIs the impacts could be material</w:t>
      </w:r>
      <w:r>
        <w:t>. APRA has considered the alternative options raised in submissions and whether the desired prudential outcome could be achieved in other ways</w:t>
      </w:r>
      <w:r w:rsidR="006B6C08">
        <w:t xml:space="preserve">, and has adjusted </w:t>
      </w:r>
      <w:r w:rsidR="00AD06ED">
        <w:t>the</w:t>
      </w:r>
      <w:r w:rsidR="006B6C08">
        <w:t xml:space="preserve"> proposals where feasible to address relevant concerns</w:t>
      </w:r>
      <w:r>
        <w:t xml:space="preserve">. </w:t>
      </w:r>
      <w:r w:rsidR="00CB3375">
        <w:t xml:space="preserve">Overall, APRA expects that </w:t>
      </w:r>
      <w:r w:rsidR="00AD06ED">
        <w:t>the</w:t>
      </w:r>
      <w:r w:rsidR="00CB3375">
        <w:t xml:space="preserve"> changes to the related entity requirements will enhance prudential outcomes, improve financial safety and promote financial system stability by providing better management and control of contagion risks in the banking system.</w:t>
      </w:r>
    </w:p>
    <w:p w14:paraId="2DE174A6" w14:textId="5AD8789C" w:rsidR="00624477" w:rsidRDefault="00624477" w:rsidP="00624477">
      <w:pPr>
        <w:pStyle w:val="APRANORMAL"/>
      </w:pPr>
      <w:r>
        <w:t>This response paper sets out the material issues raised in submissions and APRA’s response to those issues. The new APS 222 will be</w:t>
      </w:r>
      <w:r w:rsidR="00AD06ED">
        <w:t>come</w:t>
      </w:r>
      <w:r>
        <w:t xml:space="preserve"> effective </w:t>
      </w:r>
      <w:r w:rsidR="00AD06ED">
        <w:t xml:space="preserve">on </w:t>
      </w:r>
      <w:r w:rsidR="00274EE8">
        <w:t>1 January 2021.</w:t>
      </w:r>
    </w:p>
    <w:p w14:paraId="3D44D83A" w14:textId="7F73821C" w:rsidR="00624477" w:rsidRDefault="00624477" w:rsidP="00624477">
      <w:pPr>
        <w:pStyle w:val="APRANORMAL"/>
      </w:pPr>
      <w:r>
        <w:t>This paper, the prudential standard and reporting standard</w:t>
      </w:r>
      <w:r w:rsidR="002E6D36">
        <w:t>s</w:t>
      </w:r>
      <w:r>
        <w:t xml:space="preserve"> are available on APRA’s website on </w:t>
      </w:r>
      <w:hyperlink r:id="rId16" w:history="1">
        <w:r w:rsidRPr="003866D5">
          <w:rPr>
            <w:rStyle w:val="Hyperlink"/>
          </w:rPr>
          <w:t>www.apra.gov.au</w:t>
        </w:r>
      </w:hyperlink>
      <w:r>
        <w:t>.</w:t>
      </w:r>
    </w:p>
    <w:p w14:paraId="58A3DB8A" w14:textId="0C0011E3" w:rsidR="00AC1C12" w:rsidRPr="005F33EA" w:rsidRDefault="00DF2234" w:rsidP="005F33EA">
      <w:pPr>
        <w:pStyle w:val="Heading1Numbers"/>
      </w:pPr>
      <w:bookmarkStart w:id="2" w:name="_Toc12375287"/>
      <w:r w:rsidRPr="005F33EA">
        <w:t>Introduction</w:t>
      </w:r>
      <w:bookmarkEnd w:id="2"/>
    </w:p>
    <w:p w14:paraId="1A1737EB" w14:textId="6560284A" w:rsidR="00624477" w:rsidRDefault="00624477" w:rsidP="00624477">
      <w:pPr>
        <w:pStyle w:val="APRANORMAL"/>
        <w:rPr>
          <w:rStyle w:val="APRANORMALChar"/>
        </w:rPr>
      </w:pPr>
      <w:r w:rsidRPr="000C3B01">
        <w:rPr>
          <w:rStyle w:val="APRANORMALChar"/>
          <w:i/>
        </w:rPr>
        <w:t>Prudential Standard APS 222 Associations with Related Entities</w:t>
      </w:r>
      <w:r>
        <w:rPr>
          <w:rStyle w:val="APRANORMALChar"/>
        </w:rPr>
        <w:t xml:space="preserve"> (APS 222) sets out APRA’s </w:t>
      </w:r>
      <w:r w:rsidR="00BA3C9E">
        <w:rPr>
          <w:rStyle w:val="APRANORMALChar"/>
        </w:rPr>
        <w:t>requirements for</w:t>
      </w:r>
      <w:r w:rsidR="002C7A66">
        <w:rPr>
          <w:rStyle w:val="APRANORMALChar"/>
        </w:rPr>
        <w:t xml:space="preserve"> the</w:t>
      </w:r>
      <w:r w:rsidR="00BA3C9E">
        <w:rPr>
          <w:rStyle w:val="APRANORMALChar"/>
        </w:rPr>
        <w:t xml:space="preserve"> management of dealings with </w:t>
      </w:r>
      <w:r>
        <w:rPr>
          <w:rStyle w:val="APRANORMALChar"/>
        </w:rPr>
        <w:t xml:space="preserve">related entities </w:t>
      </w:r>
      <w:r w:rsidR="00BA3C9E">
        <w:rPr>
          <w:rStyle w:val="APRANORMALChar"/>
        </w:rPr>
        <w:t>by</w:t>
      </w:r>
      <w:r>
        <w:rPr>
          <w:rStyle w:val="APRANORMALChar"/>
        </w:rPr>
        <w:t xml:space="preserve"> </w:t>
      </w:r>
      <w:r w:rsidR="001C7531">
        <w:rPr>
          <w:rStyle w:val="APRANORMALChar"/>
        </w:rPr>
        <w:t>authorised deposit-taking institutions (</w:t>
      </w:r>
      <w:r>
        <w:rPr>
          <w:rStyle w:val="APRANORMALChar"/>
        </w:rPr>
        <w:t>ADIs</w:t>
      </w:r>
      <w:r w:rsidR="001C7531">
        <w:rPr>
          <w:rStyle w:val="APRANORMALChar"/>
        </w:rPr>
        <w:t>)</w:t>
      </w:r>
      <w:r>
        <w:rPr>
          <w:rStyle w:val="APRANORMALChar"/>
        </w:rPr>
        <w:t xml:space="preserve">. APS 222 complements the risk-based capital framework for ADIs and </w:t>
      </w:r>
      <w:r w:rsidRPr="006D5897">
        <w:rPr>
          <w:rStyle w:val="APRANORMALChar"/>
        </w:rPr>
        <w:t xml:space="preserve">forms a key component of an ADI’s risk management framework in line with </w:t>
      </w:r>
      <w:r w:rsidRPr="006D5897">
        <w:rPr>
          <w:rStyle w:val="APRANORMALChar"/>
          <w:i/>
        </w:rPr>
        <w:t>Prudential Standard CPS 220 Risk Management</w:t>
      </w:r>
      <w:r>
        <w:rPr>
          <w:rStyle w:val="APRANORMALChar"/>
        </w:rPr>
        <w:t>. APS 222 was last materially updated in 2003.</w:t>
      </w:r>
    </w:p>
    <w:p w14:paraId="07C8E3FA" w14:textId="1E913868" w:rsidR="00624477" w:rsidRDefault="00624477" w:rsidP="00624477">
      <w:pPr>
        <w:pStyle w:val="APRANORMAL"/>
        <w:rPr>
          <w:rStyle w:val="APRANORMALChar"/>
        </w:rPr>
      </w:pPr>
      <w:r>
        <w:rPr>
          <w:rStyle w:val="APRANORMALChar"/>
        </w:rPr>
        <w:t>On 2 July 2018, APRA released for consultation a discussion paper which outlined proposed revisions to the prudential framework</w:t>
      </w:r>
      <w:r w:rsidR="00F8263E">
        <w:rPr>
          <w:rStyle w:val="APRANORMALChar"/>
        </w:rPr>
        <w:t xml:space="preserve"> for related entities</w:t>
      </w:r>
      <w:r>
        <w:rPr>
          <w:rStyle w:val="APRANORMALChar"/>
        </w:rPr>
        <w:t>. The proposals were designed to strengthen the ability of ADIs to monitor, limit and control risks arising from transactions and other associations with related entities including financial and reputational contagion risks. In particular, the changes update APS 222 to incorporate lessons from the global financial crisis on mitigating contagion flowing from one group entity to another, and to ensure broad alignment with the revised large exposures framework which became effective on 1 January 2019. The key proposals included:</w:t>
      </w:r>
    </w:p>
    <w:p w14:paraId="40DEAABD" w14:textId="7748F075" w:rsidR="00624477" w:rsidRDefault="00624477" w:rsidP="00624477">
      <w:pPr>
        <w:pStyle w:val="APRANORMAL"/>
        <w:numPr>
          <w:ilvl w:val="0"/>
          <w:numId w:val="25"/>
        </w:numPr>
      </w:pPr>
      <w:r>
        <w:t xml:space="preserve">broadening the definition of related entities to capture all entities and individuals that may expose </w:t>
      </w:r>
      <w:r w:rsidR="009365D8">
        <w:t xml:space="preserve">an </w:t>
      </w:r>
      <w:r>
        <w:t>ADI to conflicts of interest and contagion risk, such as substantial shareholders and individuals on the board of directors;</w:t>
      </w:r>
    </w:p>
    <w:p w14:paraId="3948E1FD" w14:textId="77A5B480" w:rsidR="00624477" w:rsidRDefault="00624477" w:rsidP="00624477">
      <w:pPr>
        <w:pStyle w:val="APRANORMAL"/>
        <w:numPr>
          <w:ilvl w:val="0"/>
          <w:numId w:val="25"/>
        </w:numPr>
      </w:pPr>
      <w:r>
        <w:t>revising the limits on exposures to related entities;</w:t>
      </w:r>
    </w:p>
    <w:p w14:paraId="3C126BC5" w14:textId="77777777" w:rsidR="00624477" w:rsidRDefault="00624477" w:rsidP="00624477">
      <w:pPr>
        <w:pStyle w:val="APRANORMAL"/>
        <w:numPr>
          <w:ilvl w:val="0"/>
          <w:numId w:val="25"/>
        </w:numPr>
      </w:pPr>
      <w:r>
        <w:t>introducing minimum requirements on contagion risk assessments;</w:t>
      </w:r>
    </w:p>
    <w:p w14:paraId="29BD3BA3" w14:textId="77777777" w:rsidR="00624477" w:rsidRDefault="00624477" w:rsidP="00624477">
      <w:pPr>
        <w:pStyle w:val="APRANORMAL"/>
        <w:numPr>
          <w:ilvl w:val="0"/>
          <w:numId w:val="25"/>
        </w:numPr>
      </w:pPr>
      <w:r>
        <w:t>introducing stronger requirements to mitigate contagion flowing from one group entity to another, or to the ADI due to reputational reasons, particularly where these entities share common logos or brands with the ADI;</w:t>
      </w:r>
    </w:p>
    <w:p w14:paraId="5BA5923D" w14:textId="77777777" w:rsidR="00624477" w:rsidRDefault="00624477" w:rsidP="00624477">
      <w:pPr>
        <w:pStyle w:val="APRANORMAL"/>
        <w:numPr>
          <w:ilvl w:val="0"/>
          <w:numId w:val="25"/>
        </w:numPr>
      </w:pPr>
      <w:r>
        <w:t>aligning requirements for the measurement of exposures to related entities with those applying to exposures to unrelated entities in the revised large exposures framework;</w:t>
      </w:r>
    </w:p>
    <w:p w14:paraId="79E80693" w14:textId="77777777" w:rsidR="00624477" w:rsidRDefault="00624477" w:rsidP="00624477">
      <w:pPr>
        <w:pStyle w:val="APRANORMAL"/>
        <w:numPr>
          <w:ilvl w:val="0"/>
          <w:numId w:val="25"/>
        </w:numPr>
      </w:pPr>
      <w:r>
        <w:t xml:space="preserve">addressing risks arising from subsidiaries, which hold or invest in assets, that are treated as part of an ADI’s extended licensed entity (ELE); </w:t>
      </w:r>
    </w:p>
    <w:p w14:paraId="55511C21" w14:textId="77777777" w:rsidR="00624477" w:rsidRDefault="00624477" w:rsidP="00624477">
      <w:pPr>
        <w:pStyle w:val="APRANORMAL"/>
        <w:numPr>
          <w:ilvl w:val="0"/>
          <w:numId w:val="25"/>
        </w:numPr>
      </w:pPr>
      <w:r>
        <w:t>updating requirements relating to an ADI’s associations with a funds management vehicle that is a related entity of the ADI; and</w:t>
      </w:r>
    </w:p>
    <w:p w14:paraId="23B0F907" w14:textId="3D97CD6B" w:rsidR="00624477" w:rsidRDefault="00624477" w:rsidP="00624477">
      <w:pPr>
        <w:pStyle w:val="APRANORMAL"/>
        <w:numPr>
          <w:ilvl w:val="0"/>
          <w:numId w:val="25"/>
        </w:numPr>
      </w:pPr>
      <w:r>
        <w:t xml:space="preserve">updating reporting requirements to align with the proposed amendments to APS 222 and capturing </w:t>
      </w:r>
      <w:r w:rsidR="00AD06ED">
        <w:t xml:space="preserve">additional </w:t>
      </w:r>
      <w:r>
        <w:t>prudential information on substantial shareholders and subsidiaries that are treated as part of an ADI’s ELE.</w:t>
      </w:r>
    </w:p>
    <w:p w14:paraId="574E4F9E" w14:textId="77777777" w:rsidR="00624477" w:rsidRDefault="00624477" w:rsidP="005F33EA">
      <w:pPr>
        <w:pStyle w:val="Heading3"/>
      </w:pPr>
      <w:bookmarkStart w:id="3" w:name="_Toc11743447"/>
      <w:bookmarkStart w:id="4" w:name="_Toc11748220"/>
      <w:bookmarkStart w:id="5" w:name="_Toc11758501"/>
      <w:bookmarkStart w:id="6" w:name="_Toc11767817"/>
      <w:bookmarkStart w:id="7" w:name="_Toc11944693"/>
      <w:r>
        <w:t>Feedback from consultation</w:t>
      </w:r>
      <w:bookmarkEnd w:id="3"/>
      <w:bookmarkEnd w:id="4"/>
      <w:bookmarkEnd w:id="5"/>
      <w:bookmarkEnd w:id="6"/>
      <w:bookmarkEnd w:id="7"/>
    </w:p>
    <w:p w14:paraId="72514493" w14:textId="1C7C6C2B" w:rsidR="00624477" w:rsidRPr="009D7CB3" w:rsidRDefault="00624477" w:rsidP="00624477">
      <w:pPr>
        <w:pStyle w:val="APRAHEADING3"/>
        <w:spacing w:before="240"/>
        <w:rPr>
          <w:rStyle w:val="APRANORMALChar"/>
          <w:sz w:val="22"/>
          <w:szCs w:val="22"/>
        </w:rPr>
      </w:pPr>
      <w:bookmarkStart w:id="8" w:name="_Toc11743448"/>
      <w:bookmarkStart w:id="9" w:name="_Toc11748221"/>
      <w:bookmarkStart w:id="10" w:name="_Toc11758502"/>
      <w:bookmarkStart w:id="11" w:name="_Toc11767818"/>
      <w:bookmarkStart w:id="12" w:name="_Toc11944694"/>
      <w:r>
        <w:rPr>
          <w:rStyle w:val="APRANORMALChar"/>
          <w:sz w:val="22"/>
          <w:szCs w:val="22"/>
        </w:rPr>
        <w:t xml:space="preserve">APRA received submissions from a range of stakeholders including three ADI industry associations and seven APRA-regulated institutions. </w:t>
      </w:r>
      <w:r w:rsidR="00AC602F" w:rsidRPr="007B5C07">
        <w:rPr>
          <w:rStyle w:val="APRANORMALChar"/>
          <w:sz w:val="22"/>
          <w:szCs w:val="22"/>
        </w:rPr>
        <w:t>S</w:t>
      </w:r>
      <w:r w:rsidR="00AC602F">
        <w:rPr>
          <w:rStyle w:val="APRANORMALChar"/>
          <w:sz w:val="22"/>
          <w:szCs w:val="22"/>
        </w:rPr>
        <w:t>ix</w:t>
      </w:r>
      <w:r w:rsidR="00AC602F" w:rsidRPr="007B5C07">
        <w:rPr>
          <w:rStyle w:val="APRANORMALChar"/>
          <w:sz w:val="22"/>
          <w:szCs w:val="22"/>
        </w:rPr>
        <w:t xml:space="preserve"> </w:t>
      </w:r>
      <w:r w:rsidRPr="007B5C07">
        <w:rPr>
          <w:rStyle w:val="APRANORMALChar"/>
          <w:sz w:val="22"/>
          <w:szCs w:val="22"/>
        </w:rPr>
        <w:t>submissions were confidential.</w:t>
      </w:r>
      <w:bookmarkEnd w:id="8"/>
      <w:bookmarkEnd w:id="9"/>
      <w:bookmarkEnd w:id="10"/>
      <w:bookmarkEnd w:id="11"/>
      <w:bookmarkEnd w:id="12"/>
      <w:r>
        <w:rPr>
          <w:rStyle w:val="APRANORMALChar"/>
          <w:sz w:val="22"/>
          <w:szCs w:val="22"/>
        </w:rPr>
        <w:t xml:space="preserve"> </w:t>
      </w:r>
    </w:p>
    <w:p w14:paraId="32C0B5FC" w14:textId="77777777" w:rsidR="00624477" w:rsidRPr="009D7CB3" w:rsidRDefault="00624477" w:rsidP="00624477">
      <w:pPr>
        <w:pStyle w:val="APRAHEADING3"/>
        <w:spacing w:before="240"/>
        <w:rPr>
          <w:rStyle w:val="APRANORMALChar"/>
          <w:sz w:val="22"/>
          <w:szCs w:val="22"/>
        </w:rPr>
      </w:pPr>
      <w:bookmarkStart w:id="13" w:name="_Toc11743449"/>
      <w:bookmarkStart w:id="14" w:name="_Toc11748222"/>
      <w:bookmarkStart w:id="15" w:name="_Toc11758503"/>
      <w:bookmarkStart w:id="16" w:name="_Toc11767819"/>
      <w:bookmarkStart w:id="17" w:name="_Toc11944695"/>
      <w:r>
        <w:rPr>
          <w:rStyle w:val="APRANORMALChar"/>
          <w:sz w:val="22"/>
          <w:szCs w:val="22"/>
        </w:rPr>
        <w:t>Submissions generally supported revisions to the related entities framework and the need to reflect changes in the operating environment and contagion risks that ADIs are exposed to. However, submissions expressed concerns that certain proposals could result in complexities and challenges in implementing the prudential framework. APRA has considered the issues raised and made several amendments as a consequence.</w:t>
      </w:r>
      <w:bookmarkEnd w:id="13"/>
      <w:bookmarkEnd w:id="14"/>
      <w:bookmarkEnd w:id="15"/>
      <w:bookmarkEnd w:id="16"/>
      <w:bookmarkEnd w:id="17"/>
      <w:r>
        <w:rPr>
          <w:rStyle w:val="APRANORMALChar"/>
          <w:sz w:val="22"/>
          <w:szCs w:val="22"/>
        </w:rPr>
        <w:t xml:space="preserve"> </w:t>
      </w:r>
    </w:p>
    <w:p w14:paraId="261264AF" w14:textId="77777777" w:rsidR="00624477" w:rsidRDefault="00624477" w:rsidP="005F33EA">
      <w:pPr>
        <w:pStyle w:val="Heading3"/>
      </w:pPr>
      <w:bookmarkStart w:id="18" w:name="_Toc11743450"/>
      <w:bookmarkStart w:id="19" w:name="_Toc11748223"/>
      <w:bookmarkStart w:id="20" w:name="_Toc11758504"/>
      <w:bookmarkStart w:id="21" w:name="_Toc11767820"/>
      <w:bookmarkStart w:id="22" w:name="_Toc11944696"/>
      <w:r>
        <w:t>Structure of this paper</w:t>
      </w:r>
      <w:bookmarkEnd w:id="18"/>
      <w:bookmarkEnd w:id="19"/>
      <w:bookmarkEnd w:id="20"/>
      <w:bookmarkEnd w:id="21"/>
      <w:bookmarkEnd w:id="22"/>
    </w:p>
    <w:p w14:paraId="2AAD42C6" w14:textId="44E3FA34" w:rsidR="00624477" w:rsidRDefault="00624477" w:rsidP="00624477">
      <w:pPr>
        <w:pStyle w:val="APRAHEADING3"/>
        <w:spacing w:before="240"/>
        <w:rPr>
          <w:rStyle w:val="APRANORMALChar"/>
          <w:sz w:val="22"/>
          <w:szCs w:val="22"/>
        </w:rPr>
      </w:pPr>
      <w:bookmarkStart w:id="23" w:name="_Toc11743451"/>
      <w:bookmarkStart w:id="24" w:name="_Toc11748224"/>
      <w:bookmarkStart w:id="25" w:name="_Toc11758505"/>
      <w:bookmarkStart w:id="26" w:name="_Toc11767821"/>
      <w:bookmarkStart w:id="27" w:name="_Toc11944697"/>
      <w:r>
        <w:rPr>
          <w:rStyle w:val="APRANORMALChar"/>
          <w:sz w:val="22"/>
          <w:szCs w:val="22"/>
        </w:rPr>
        <w:t xml:space="preserve">This paper includes responses to </w:t>
      </w:r>
      <w:r w:rsidR="00D70DA0">
        <w:rPr>
          <w:rStyle w:val="APRANORMALChar"/>
          <w:sz w:val="22"/>
          <w:szCs w:val="22"/>
        </w:rPr>
        <w:t xml:space="preserve">issues </w:t>
      </w:r>
      <w:r>
        <w:rPr>
          <w:rStyle w:val="APRANORMALChar"/>
          <w:sz w:val="22"/>
          <w:szCs w:val="22"/>
        </w:rPr>
        <w:t>raised in submissions.</w:t>
      </w:r>
      <w:bookmarkEnd w:id="23"/>
      <w:bookmarkEnd w:id="24"/>
      <w:bookmarkEnd w:id="25"/>
      <w:bookmarkEnd w:id="26"/>
      <w:bookmarkEnd w:id="27"/>
      <w:r>
        <w:rPr>
          <w:rStyle w:val="APRANORMALChar"/>
          <w:sz w:val="22"/>
          <w:szCs w:val="22"/>
        </w:rPr>
        <w:t xml:space="preserve"> </w:t>
      </w:r>
    </w:p>
    <w:p w14:paraId="53E77E6B" w14:textId="77777777" w:rsidR="00624477" w:rsidRDefault="00624477" w:rsidP="00624477">
      <w:pPr>
        <w:pStyle w:val="APRAHEADING3"/>
        <w:spacing w:before="240"/>
        <w:rPr>
          <w:rStyle w:val="APRANORMALChar"/>
          <w:sz w:val="22"/>
          <w:szCs w:val="22"/>
        </w:rPr>
      </w:pPr>
      <w:bookmarkStart w:id="28" w:name="_Toc11743452"/>
      <w:bookmarkStart w:id="29" w:name="_Toc11748225"/>
      <w:bookmarkStart w:id="30" w:name="_Toc11758506"/>
      <w:bookmarkStart w:id="31" w:name="_Toc11767822"/>
      <w:bookmarkStart w:id="32" w:name="_Toc11944698"/>
      <w:r>
        <w:rPr>
          <w:rStyle w:val="APRANORMALChar"/>
          <w:sz w:val="22"/>
          <w:szCs w:val="22"/>
        </w:rPr>
        <w:t>Chapter 2 addresses the definition of related entities.</w:t>
      </w:r>
      <w:bookmarkEnd w:id="28"/>
      <w:bookmarkEnd w:id="29"/>
      <w:bookmarkEnd w:id="30"/>
      <w:bookmarkEnd w:id="31"/>
      <w:bookmarkEnd w:id="32"/>
    </w:p>
    <w:p w14:paraId="72E9BC90" w14:textId="77777777" w:rsidR="00624477" w:rsidRPr="009D7CB3" w:rsidRDefault="00624477" w:rsidP="00624477">
      <w:pPr>
        <w:pStyle w:val="APRAHEADING3"/>
        <w:spacing w:before="240"/>
        <w:rPr>
          <w:rStyle w:val="APRANORMALChar"/>
          <w:sz w:val="22"/>
          <w:szCs w:val="22"/>
        </w:rPr>
      </w:pPr>
      <w:bookmarkStart w:id="33" w:name="_Toc11743453"/>
      <w:bookmarkStart w:id="34" w:name="_Toc11748226"/>
      <w:bookmarkStart w:id="35" w:name="_Toc11758507"/>
      <w:bookmarkStart w:id="36" w:name="_Toc11767823"/>
      <w:bookmarkStart w:id="37" w:name="_Toc11944699"/>
      <w:r>
        <w:rPr>
          <w:rStyle w:val="APRANORMALChar"/>
          <w:sz w:val="22"/>
          <w:szCs w:val="22"/>
        </w:rPr>
        <w:t>Chapter 3 addresses related entity limits, and the measurement of exposures to related entities.</w:t>
      </w:r>
      <w:bookmarkEnd w:id="33"/>
      <w:bookmarkEnd w:id="34"/>
      <w:bookmarkEnd w:id="35"/>
      <w:bookmarkEnd w:id="36"/>
      <w:bookmarkEnd w:id="37"/>
      <w:r>
        <w:rPr>
          <w:rStyle w:val="APRANORMALChar"/>
          <w:sz w:val="22"/>
          <w:szCs w:val="22"/>
        </w:rPr>
        <w:t xml:space="preserve"> </w:t>
      </w:r>
    </w:p>
    <w:p w14:paraId="0BF3DD85" w14:textId="77777777" w:rsidR="00624477" w:rsidRDefault="00624477" w:rsidP="00624477">
      <w:pPr>
        <w:pStyle w:val="APRAHEADING3"/>
        <w:spacing w:before="240"/>
        <w:rPr>
          <w:rStyle w:val="APRANORMALChar"/>
          <w:sz w:val="22"/>
          <w:szCs w:val="22"/>
        </w:rPr>
      </w:pPr>
      <w:bookmarkStart w:id="38" w:name="_Toc11743454"/>
      <w:bookmarkStart w:id="39" w:name="_Toc11748227"/>
      <w:bookmarkStart w:id="40" w:name="_Toc11758508"/>
      <w:bookmarkStart w:id="41" w:name="_Toc11767824"/>
      <w:bookmarkStart w:id="42" w:name="_Toc11944700"/>
      <w:r>
        <w:rPr>
          <w:rStyle w:val="APRANORMALChar"/>
          <w:sz w:val="22"/>
          <w:szCs w:val="22"/>
        </w:rPr>
        <w:t>Chapter 4 addresses the ELE framework.</w:t>
      </w:r>
      <w:bookmarkEnd w:id="38"/>
      <w:bookmarkEnd w:id="39"/>
      <w:bookmarkEnd w:id="40"/>
      <w:bookmarkEnd w:id="41"/>
      <w:bookmarkEnd w:id="42"/>
      <w:r>
        <w:rPr>
          <w:rStyle w:val="APRANORMALChar"/>
          <w:sz w:val="22"/>
          <w:szCs w:val="22"/>
        </w:rPr>
        <w:t xml:space="preserve"> </w:t>
      </w:r>
    </w:p>
    <w:p w14:paraId="2585FEE0" w14:textId="77777777" w:rsidR="00624477" w:rsidRDefault="00624477" w:rsidP="00624477">
      <w:pPr>
        <w:pStyle w:val="APRAHEADING3"/>
        <w:spacing w:before="240"/>
        <w:rPr>
          <w:rStyle w:val="APRANORMALChar"/>
          <w:sz w:val="22"/>
          <w:szCs w:val="22"/>
        </w:rPr>
      </w:pPr>
      <w:bookmarkStart w:id="43" w:name="_Toc11743455"/>
      <w:bookmarkStart w:id="44" w:name="_Toc11748228"/>
      <w:bookmarkStart w:id="45" w:name="_Toc11758509"/>
      <w:bookmarkStart w:id="46" w:name="_Toc11767825"/>
      <w:bookmarkStart w:id="47" w:name="_Toc11944701"/>
      <w:r>
        <w:rPr>
          <w:rStyle w:val="APRANORMALChar"/>
          <w:sz w:val="22"/>
          <w:szCs w:val="22"/>
        </w:rPr>
        <w:t>Chapter 5 addresses step-in risk.</w:t>
      </w:r>
      <w:bookmarkEnd w:id="43"/>
      <w:bookmarkEnd w:id="44"/>
      <w:bookmarkEnd w:id="45"/>
      <w:bookmarkEnd w:id="46"/>
      <w:bookmarkEnd w:id="47"/>
    </w:p>
    <w:p w14:paraId="208F9CC3" w14:textId="77777777" w:rsidR="00624477" w:rsidRPr="009D7CB3" w:rsidRDefault="00624477" w:rsidP="00624477">
      <w:pPr>
        <w:pStyle w:val="APRAHEADING3"/>
        <w:spacing w:before="240"/>
        <w:rPr>
          <w:rStyle w:val="APRANORMALChar"/>
          <w:sz w:val="22"/>
          <w:szCs w:val="22"/>
        </w:rPr>
      </w:pPr>
      <w:bookmarkStart w:id="48" w:name="_Toc11743456"/>
      <w:bookmarkStart w:id="49" w:name="_Toc11748229"/>
      <w:bookmarkStart w:id="50" w:name="_Toc11758510"/>
      <w:bookmarkStart w:id="51" w:name="_Toc11767826"/>
      <w:bookmarkStart w:id="52" w:name="_Toc11944702"/>
      <w:r>
        <w:rPr>
          <w:rStyle w:val="APRANORMALChar"/>
          <w:sz w:val="22"/>
          <w:szCs w:val="22"/>
        </w:rPr>
        <w:t xml:space="preserve">Chapter 6 addresses </w:t>
      </w:r>
      <w:r w:rsidRPr="009D003E">
        <w:rPr>
          <w:rStyle w:val="APRANORMALChar"/>
          <w:sz w:val="22"/>
          <w:szCs w:val="22"/>
        </w:rPr>
        <w:t>other matters raised in submissions on funds management,</w:t>
      </w:r>
      <w:r>
        <w:rPr>
          <w:rStyle w:val="APRANORMALChar"/>
          <w:sz w:val="22"/>
          <w:szCs w:val="22"/>
        </w:rPr>
        <w:t xml:space="preserve"> changes to reporting on exposures to related entities and other minor amendments.</w:t>
      </w:r>
      <w:bookmarkEnd w:id="48"/>
      <w:bookmarkEnd w:id="49"/>
      <w:bookmarkEnd w:id="50"/>
      <w:bookmarkEnd w:id="51"/>
      <w:bookmarkEnd w:id="52"/>
    </w:p>
    <w:p w14:paraId="407D9FF5" w14:textId="77777777" w:rsidR="00624477" w:rsidRPr="009D7CB3" w:rsidRDefault="00624477" w:rsidP="00624477">
      <w:pPr>
        <w:pStyle w:val="APRAHEADING3"/>
        <w:spacing w:before="240"/>
        <w:rPr>
          <w:rStyle w:val="APRANORMALChar"/>
          <w:sz w:val="22"/>
          <w:szCs w:val="22"/>
        </w:rPr>
      </w:pPr>
      <w:bookmarkStart w:id="53" w:name="_Toc11944703"/>
      <w:bookmarkStart w:id="54" w:name="_Toc11743457"/>
      <w:bookmarkStart w:id="55" w:name="_Toc11748230"/>
      <w:bookmarkStart w:id="56" w:name="_Toc11758511"/>
      <w:bookmarkStart w:id="57" w:name="_Toc11767827"/>
      <w:r w:rsidRPr="00B075FC">
        <w:rPr>
          <w:rStyle w:val="APRANORMALChar"/>
          <w:sz w:val="22"/>
          <w:szCs w:val="22"/>
        </w:rPr>
        <w:t>In some circumstances, amendments have been made to APS 222 in response to issues raised in submissions. However, due to their minor and technical nature, APRA has not detailed its specific response to these issues in this response paper</w:t>
      </w:r>
      <w:r>
        <w:rPr>
          <w:rStyle w:val="APRANORMALChar"/>
          <w:sz w:val="22"/>
          <w:szCs w:val="22"/>
        </w:rPr>
        <w:t>.</w:t>
      </w:r>
      <w:bookmarkEnd w:id="53"/>
      <w:r>
        <w:rPr>
          <w:rStyle w:val="APRANORMALChar"/>
          <w:sz w:val="22"/>
          <w:szCs w:val="22"/>
        </w:rPr>
        <w:t xml:space="preserve"> </w:t>
      </w:r>
      <w:bookmarkEnd w:id="54"/>
      <w:bookmarkEnd w:id="55"/>
      <w:bookmarkEnd w:id="56"/>
      <w:bookmarkEnd w:id="57"/>
    </w:p>
    <w:p w14:paraId="2E6E5FE8" w14:textId="77777777" w:rsidR="00624477" w:rsidRDefault="00624477" w:rsidP="00624477">
      <w:pPr>
        <w:pStyle w:val="APRANORMAL"/>
      </w:pPr>
    </w:p>
    <w:p w14:paraId="5B622251" w14:textId="77777777" w:rsidR="00624477" w:rsidRDefault="00624477" w:rsidP="00624477">
      <w:pPr>
        <w:pStyle w:val="APRANORMAL"/>
      </w:pPr>
    </w:p>
    <w:p w14:paraId="5ECB71DD" w14:textId="77777777" w:rsidR="00624477" w:rsidRDefault="00624477" w:rsidP="00624477">
      <w:pPr>
        <w:pStyle w:val="APRANORMAL"/>
      </w:pPr>
    </w:p>
    <w:p w14:paraId="3DDC0F77" w14:textId="77777777" w:rsidR="00624477" w:rsidRPr="00EF1054" w:rsidRDefault="00624477" w:rsidP="00624477">
      <w:pPr>
        <w:pStyle w:val="APRANORMAL"/>
      </w:pPr>
    </w:p>
    <w:p w14:paraId="3E4A1C73" w14:textId="77777777" w:rsidR="00624477" w:rsidRDefault="00624477" w:rsidP="00624477">
      <w:pPr>
        <w:spacing w:after="120" w:line="288" w:lineRule="auto"/>
        <w:rPr>
          <w:rFonts w:ascii="DIN OT Medium" w:hAnsi="DIN OT Medium"/>
          <w:color w:val="002060"/>
          <w:sz w:val="30"/>
          <w:szCs w:val="28"/>
        </w:rPr>
      </w:pPr>
      <w:bookmarkStart w:id="58" w:name="_Toc460507404"/>
      <w:bookmarkStart w:id="59" w:name="_Toc460507523"/>
      <w:r>
        <w:br w:type="page"/>
      </w:r>
    </w:p>
    <w:p w14:paraId="3C3247E9" w14:textId="4DFAFD8D" w:rsidR="00624477" w:rsidRPr="00C63CCC" w:rsidRDefault="00624477" w:rsidP="005F33EA">
      <w:pPr>
        <w:pStyle w:val="Heading1Numbers"/>
      </w:pPr>
      <w:bookmarkStart w:id="60" w:name="_Toc11944704"/>
      <w:bookmarkStart w:id="61" w:name="_Toc12375288"/>
      <w:bookmarkStart w:id="62" w:name="_Toc11767828"/>
      <w:r>
        <w:t>Definition of related entities</w:t>
      </w:r>
      <w:bookmarkEnd w:id="60"/>
      <w:bookmarkEnd w:id="61"/>
      <w:r>
        <w:t xml:space="preserve"> </w:t>
      </w:r>
      <w:bookmarkEnd w:id="58"/>
      <w:bookmarkEnd w:id="59"/>
      <w:bookmarkEnd w:id="62"/>
    </w:p>
    <w:p w14:paraId="6FFD9134" w14:textId="77777777" w:rsidR="00624477" w:rsidRDefault="00624477" w:rsidP="00624477">
      <w:pPr>
        <w:pStyle w:val="APRANORMAL"/>
        <w:rPr>
          <w:rStyle w:val="APRANORMALChar"/>
        </w:rPr>
      </w:pPr>
      <w:r>
        <w:rPr>
          <w:rStyle w:val="APRANORMALChar"/>
        </w:rPr>
        <w:t>This chapter sets out issues raised in submissions relating to the definition of related entities and APRA’s response to these issues.</w:t>
      </w:r>
    </w:p>
    <w:p w14:paraId="6DB876BE" w14:textId="712B8892" w:rsidR="00624477" w:rsidRPr="0062025F" w:rsidRDefault="00624477" w:rsidP="005F33EA">
      <w:pPr>
        <w:pStyle w:val="Heading2Numbers"/>
      </w:pPr>
      <w:r>
        <w:t>Changes to the definition of a related entity</w:t>
      </w:r>
    </w:p>
    <w:p w14:paraId="58B044CB" w14:textId="1C761998" w:rsidR="00624477" w:rsidRDefault="00624477" w:rsidP="00624477">
      <w:pPr>
        <w:pStyle w:val="APRANORMAL"/>
        <w:rPr>
          <w:rStyle w:val="APRANORMALChar"/>
        </w:rPr>
      </w:pPr>
      <w:r>
        <w:rPr>
          <w:rStyle w:val="APRANORMALChar"/>
        </w:rPr>
        <w:t>APRA proposed changing the definition of a related entity to align with the definition in the Basel Committee on Banking Supervision’s</w:t>
      </w:r>
      <w:r w:rsidRPr="001C469F">
        <w:rPr>
          <w:rStyle w:val="APRANORMALChar"/>
          <w:i/>
        </w:rPr>
        <w:t xml:space="preserve"> Core principles for effective banking supervision</w:t>
      </w:r>
      <w:r>
        <w:rPr>
          <w:rStyle w:val="APRANORMALChar"/>
          <w:i/>
        </w:rPr>
        <w:t xml:space="preserve"> </w:t>
      </w:r>
      <w:r w:rsidRPr="00274EE8">
        <w:rPr>
          <w:rStyle w:val="APRANORMALChar"/>
        </w:rPr>
        <w:t>(September 2012)</w:t>
      </w:r>
      <w:r>
        <w:rPr>
          <w:rStyle w:val="APRANORMALChar"/>
        </w:rPr>
        <w:t>, and to enhance the ability of</w:t>
      </w:r>
      <w:r w:rsidR="00CA65FE">
        <w:rPr>
          <w:rStyle w:val="APRANORMALChar"/>
        </w:rPr>
        <w:t xml:space="preserve"> an</w:t>
      </w:r>
      <w:r>
        <w:rPr>
          <w:rStyle w:val="APRANORMALChar"/>
        </w:rPr>
        <w:t xml:space="preserve"> ADI to identify entities which expose them to contagion risk or conflicts of interest, and bring such entities into the scope of APS 222.  </w:t>
      </w:r>
    </w:p>
    <w:p w14:paraId="7D4BFDA1" w14:textId="77777777" w:rsidR="00624477" w:rsidRPr="00316379" w:rsidRDefault="00624477" w:rsidP="005F33EA">
      <w:pPr>
        <w:pStyle w:val="Heading3"/>
      </w:pPr>
      <w:r w:rsidRPr="00316379">
        <w:t>Comments received</w:t>
      </w:r>
    </w:p>
    <w:p w14:paraId="674DFA2E" w14:textId="79C0A92B" w:rsidR="00624477" w:rsidRDefault="00624477" w:rsidP="00624477">
      <w:pPr>
        <w:pStyle w:val="APRANORMAL"/>
        <w:rPr>
          <w:rStyle w:val="APRANORMALChar"/>
        </w:rPr>
      </w:pPr>
      <w:r>
        <w:rPr>
          <w:rStyle w:val="APRANORMALChar"/>
        </w:rPr>
        <w:t>Submissions raised concerns</w:t>
      </w:r>
      <w:r w:rsidR="008F0472">
        <w:rPr>
          <w:rStyle w:val="APRANORMALChar"/>
        </w:rPr>
        <w:t xml:space="preserve"> on</w:t>
      </w:r>
      <w:r>
        <w:rPr>
          <w:rStyle w:val="APRANORMALChar"/>
        </w:rPr>
        <w:t xml:space="preserve"> </w:t>
      </w:r>
      <w:r w:rsidR="00793853">
        <w:rPr>
          <w:rStyle w:val="APRANORMALChar"/>
        </w:rPr>
        <w:t>expanding</w:t>
      </w:r>
      <w:r>
        <w:rPr>
          <w:rStyle w:val="APRANORMALChar"/>
        </w:rPr>
        <w:t xml:space="preserve"> the definition of a related entity to substantial shareholders and associates, and the inclusion of an entity to which an ADI is likely to provide support beyond legal or contractual obligation (step-in risk entity) in the related entity definition. Some submissions argued that the proposed meaning of associate based on section 50AAA of the </w:t>
      </w:r>
      <w:r w:rsidRPr="00DB263E">
        <w:rPr>
          <w:rStyle w:val="APRANORMALChar"/>
          <w:i/>
        </w:rPr>
        <w:t>Corporations Act 2001</w:t>
      </w:r>
      <w:r w:rsidR="003F08C8">
        <w:rPr>
          <w:rStyle w:val="APRANORMALChar"/>
        </w:rPr>
        <w:t xml:space="preserve"> (Corporations Act) was</w:t>
      </w:r>
      <w:r>
        <w:rPr>
          <w:rStyle w:val="APRANORMALChar"/>
        </w:rPr>
        <w:t xml:space="preserve"> </w:t>
      </w:r>
      <w:r w:rsidRPr="00D4450C">
        <w:rPr>
          <w:rStyle w:val="APRANORMALChar"/>
        </w:rPr>
        <w:t>too broad and complex</w:t>
      </w:r>
      <w:r>
        <w:rPr>
          <w:rStyle w:val="APRANORMALChar"/>
        </w:rPr>
        <w:t xml:space="preserve"> to implement in practice, and that there would be difficulties in identifying associates accurately, such as in accessing information to determine the identity of individuals or legal entities without having direct control or influence over their actions. This concern was heightened with the extension to associates of other related entities such as </w:t>
      </w:r>
      <w:r w:rsidR="00787586">
        <w:rPr>
          <w:rStyle w:val="APRANORMALChar"/>
        </w:rPr>
        <w:t xml:space="preserve">a </w:t>
      </w:r>
      <w:r>
        <w:rPr>
          <w:rStyle w:val="APRANORMALChar"/>
        </w:rPr>
        <w:t xml:space="preserve">substantial shareholder’s associates and a related individual’s relatives and their associates. </w:t>
      </w:r>
    </w:p>
    <w:p w14:paraId="358397BE" w14:textId="77777777" w:rsidR="00624477" w:rsidRDefault="00624477" w:rsidP="00624477">
      <w:pPr>
        <w:pStyle w:val="APRANORMAL"/>
        <w:rPr>
          <w:rStyle w:val="APRANORMALChar"/>
        </w:rPr>
      </w:pPr>
      <w:r>
        <w:rPr>
          <w:rStyle w:val="APRANORMALChar"/>
        </w:rPr>
        <w:t xml:space="preserve">Respondents expressed concerns that defining a substantial shareholder using the definition of a substantial holding in section 9 of the Corporations Act, which includes a threshold of five per cent of voting shares, may capture more entities than would typically be considered as large, major or principal shareholders of an ADI. </w:t>
      </w:r>
    </w:p>
    <w:p w14:paraId="1461367B" w14:textId="6F26C55D" w:rsidR="00624477" w:rsidRDefault="00624477" w:rsidP="00624477">
      <w:pPr>
        <w:pStyle w:val="APRANORMAL"/>
        <w:rPr>
          <w:rStyle w:val="APRANORMALChar"/>
        </w:rPr>
      </w:pPr>
      <w:r>
        <w:rPr>
          <w:rStyle w:val="APRANORMALChar"/>
        </w:rPr>
        <w:t>Submissions commented that step-in risk entities do not fit with the definition of related entit</w:t>
      </w:r>
      <w:r w:rsidR="00E01C4C">
        <w:rPr>
          <w:rStyle w:val="APRANORMALChar"/>
        </w:rPr>
        <w:t>y</w:t>
      </w:r>
      <w:r>
        <w:rPr>
          <w:rStyle w:val="APRANORMALChar"/>
        </w:rPr>
        <w:t xml:space="preserve"> as the exposures are difficult to measure and are not limited or documented. S</w:t>
      </w:r>
      <w:r w:rsidDel="009B4378">
        <w:rPr>
          <w:rStyle w:val="APRANORMALChar"/>
        </w:rPr>
        <w:t>ome s</w:t>
      </w:r>
      <w:r>
        <w:rPr>
          <w:rStyle w:val="APRANORMALChar"/>
        </w:rPr>
        <w:t>ubmissions commented on the potential for conflicts between various requirements in APS</w:t>
      </w:r>
      <w:r w:rsidR="00DF52C5">
        <w:rPr>
          <w:rStyle w:val="APRANORMALChar"/>
        </w:rPr>
        <w:t> </w:t>
      </w:r>
      <w:r>
        <w:rPr>
          <w:rStyle w:val="APRANORMALChar"/>
        </w:rPr>
        <w:t xml:space="preserve">222 if step-in risk entities were treated as related entities. </w:t>
      </w:r>
    </w:p>
    <w:p w14:paraId="7073DA15" w14:textId="77777777" w:rsidR="00624477" w:rsidRPr="00004714" w:rsidRDefault="00624477" w:rsidP="005F33EA">
      <w:pPr>
        <w:pStyle w:val="Heading3"/>
      </w:pPr>
      <w:r w:rsidRPr="00004714">
        <w:t>APRA response</w:t>
      </w:r>
    </w:p>
    <w:p w14:paraId="278249D2" w14:textId="6460D5F6" w:rsidR="00624477" w:rsidRDefault="00624477" w:rsidP="00624477">
      <w:pPr>
        <w:pStyle w:val="APRANORMAL"/>
        <w:rPr>
          <w:rStyle w:val="APRANORMALChar"/>
        </w:rPr>
      </w:pPr>
      <w:r>
        <w:rPr>
          <w:rStyle w:val="APRANORMALChar"/>
        </w:rPr>
        <w:t xml:space="preserve">APRA considers that the scope of entities captured by APS 222 is critical to enhancing the ability of ADIs to identify entities which expose them to contagion risk or conflicts of interest. Recognising the matters raised, APRA has amended various parts of the definition of a related entity in APS 222. </w:t>
      </w:r>
    </w:p>
    <w:p w14:paraId="4C56D03C" w14:textId="1843E135" w:rsidR="00624477" w:rsidRDefault="00624477" w:rsidP="00624477">
      <w:pPr>
        <w:pStyle w:val="APRANORMAL"/>
        <w:rPr>
          <w:rStyle w:val="APRANORMALChar"/>
        </w:rPr>
      </w:pPr>
      <w:r>
        <w:rPr>
          <w:rStyle w:val="APRANORMALChar"/>
        </w:rPr>
        <w:t xml:space="preserve">APRA has introduced a broad principles-based definition of a related entity which outlines the principle underlying what is intended to form a related entity of an ADI. The principles-based definition highlights risk due to contagion and conflicts of interest </w:t>
      </w:r>
      <w:r w:rsidR="00DF2D14">
        <w:rPr>
          <w:rStyle w:val="APRANORMALChar"/>
        </w:rPr>
        <w:t>which would not arise if the ADI were dealing with an unrelated entity</w:t>
      </w:r>
      <w:r>
        <w:rPr>
          <w:rStyle w:val="APRANORMALChar"/>
        </w:rPr>
        <w:t xml:space="preserve">. </w:t>
      </w:r>
    </w:p>
    <w:p w14:paraId="397F6A8F" w14:textId="3AC3FE22" w:rsidR="00624477" w:rsidRDefault="00624477" w:rsidP="00624477">
      <w:pPr>
        <w:pStyle w:val="APRANORMAL"/>
        <w:rPr>
          <w:rStyle w:val="APRANORMALChar"/>
        </w:rPr>
      </w:pPr>
      <w:r>
        <w:rPr>
          <w:rStyle w:val="APRANORMALChar"/>
        </w:rPr>
        <w:t xml:space="preserve">On the inclusion of associates in the definition of a related entity, APRA considers that the </w:t>
      </w:r>
      <w:r w:rsidR="003F08C8">
        <w:rPr>
          <w:rStyle w:val="APRANORMALChar"/>
        </w:rPr>
        <w:t>elements of relations with</w:t>
      </w:r>
      <w:r w:rsidRPr="00FC59CA">
        <w:rPr>
          <w:rStyle w:val="APRANORMALChar"/>
        </w:rPr>
        <w:t xml:space="preserve"> associates which </w:t>
      </w:r>
      <w:r w:rsidR="00983199">
        <w:rPr>
          <w:rStyle w:val="APRANORMALChar"/>
        </w:rPr>
        <w:t>we</w:t>
      </w:r>
      <w:r w:rsidRPr="00FC59CA">
        <w:rPr>
          <w:rStyle w:val="APRANORMALChar"/>
        </w:rPr>
        <w:t xml:space="preserve">re intended to form part of </w:t>
      </w:r>
      <w:r w:rsidR="00EF3CA4">
        <w:rPr>
          <w:rStyle w:val="APRANORMALChar"/>
        </w:rPr>
        <w:t xml:space="preserve">the </w:t>
      </w:r>
      <w:r w:rsidRPr="00FC59CA">
        <w:rPr>
          <w:rStyle w:val="APRANORMALChar"/>
        </w:rPr>
        <w:t>related entit</w:t>
      </w:r>
      <w:r w:rsidR="00EF3CA4">
        <w:rPr>
          <w:rStyle w:val="APRANORMALChar"/>
        </w:rPr>
        <w:t>y</w:t>
      </w:r>
      <w:r w:rsidR="003F08C8">
        <w:rPr>
          <w:rStyle w:val="APRANORMALChar"/>
        </w:rPr>
        <w:t xml:space="preserve"> definition</w:t>
      </w:r>
      <w:r>
        <w:rPr>
          <w:rStyle w:val="APRANORMALChar"/>
        </w:rPr>
        <w:t xml:space="preserve"> </w:t>
      </w:r>
      <w:r w:rsidR="00983199">
        <w:rPr>
          <w:rStyle w:val="APRANORMALChar"/>
        </w:rPr>
        <w:t>are</w:t>
      </w:r>
      <w:r>
        <w:rPr>
          <w:rStyle w:val="APRANORMALChar"/>
        </w:rPr>
        <w:t xml:space="preserve"> broadly captured in the definition through control, significant influence, and the inclusion of a principles-based definition of a related entity. Consequently, APRA has removed direct references to associates from the definition.</w:t>
      </w:r>
    </w:p>
    <w:p w14:paraId="6827C4D7" w14:textId="71FD302E" w:rsidR="00624477" w:rsidRDefault="00624477" w:rsidP="00624477">
      <w:pPr>
        <w:pStyle w:val="APRANORMAL"/>
        <w:rPr>
          <w:rStyle w:val="APRANORMALChar"/>
        </w:rPr>
      </w:pPr>
      <w:r>
        <w:rPr>
          <w:rStyle w:val="APRANORMALChar"/>
        </w:rPr>
        <w:t>APRA has amended the definition of a substantial shareholder so that it is based on the definition of a substantial holding in the Corporations Act</w:t>
      </w:r>
      <w:r w:rsidR="00EF3BD4">
        <w:rPr>
          <w:rStyle w:val="APRANORMALChar"/>
        </w:rPr>
        <w:t>.</w:t>
      </w:r>
      <w:r>
        <w:rPr>
          <w:rStyle w:val="APRANORMALChar"/>
        </w:rPr>
        <w:t xml:space="preserve"> </w:t>
      </w:r>
      <w:r w:rsidR="00EF3BD4">
        <w:rPr>
          <w:rStyle w:val="APRANORMALChar"/>
        </w:rPr>
        <w:t>This uses</w:t>
      </w:r>
      <w:r>
        <w:rPr>
          <w:rStyle w:val="APRANORMALChar"/>
        </w:rPr>
        <w:t xml:space="preserve"> a threshold of </w:t>
      </w:r>
      <w:r w:rsidRPr="0053510C">
        <w:rPr>
          <w:rStyle w:val="APRANORMALChar"/>
        </w:rPr>
        <w:t>ten</w:t>
      </w:r>
      <w:r>
        <w:rPr>
          <w:rStyle w:val="APRANORMALChar"/>
        </w:rPr>
        <w:t xml:space="preserve"> per cent or more of the total number of votes attached to voting shares rather than </w:t>
      </w:r>
      <w:r w:rsidRPr="0053510C">
        <w:rPr>
          <w:rStyle w:val="APRANORMALChar"/>
        </w:rPr>
        <w:t>five</w:t>
      </w:r>
      <w:r>
        <w:rPr>
          <w:rStyle w:val="APRANORMALChar"/>
        </w:rPr>
        <w:t xml:space="preserve"> per cent or more. The revised threshold </w:t>
      </w:r>
      <w:r w:rsidR="000E1203">
        <w:rPr>
          <w:rStyle w:val="APRANORMALChar"/>
        </w:rPr>
        <w:t xml:space="preserve">generally </w:t>
      </w:r>
      <w:r>
        <w:rPr>
          <w:rStyle w:val="APRANORMALChar"/>
        </w:rPr>
        <w:t>aligns with</w:t>
      </w:r>
      <w:r w:rsidR="003F08C8">
        <w:rPr>
          <w:rStyle w:val="APRANORMALChar"/>
        </w:rPr>
        <w:t xml:space="preserve"> definitions of</w:t>
      </w:r>
      <w:r>
        <w:rPr>
          <w:rStyle w:val="APRANORMALChar"/>
        </w:rPr>
        <w:t xml:space="preserve"> large or major shareholders </w:t>
      </w:r>
      <w:r w:rsidRPr="0053510C">
        <w:rPr>
          <w:rStyle w:val="APRANORMALChar"/>
        </w:rPr>
        <w:t>and</w:t>
      </w:r>
      <w:r w:rsidR="003F08C8">
        <w:rPr>
          <w:rStyle w:val="APRANORMALChar"/>
        </w:rPr>
        <w:t xml:space="preserve"> thresholds in relevant </w:t>
      </w:r>
      <w:r w:rsidRPr="0053510C">
        <w:rPr>
          <w:rStyle w:val="APRANORMALChar"/>
        </w:rPr>
        <w:t xml:space="preserve">international </w:t>
      </w:r>
      <w:r w:rsidR="003F08C8">
        <w:rPr>
          <w:rStyle w:val="APRANORMALChar"/>
        </w:rPr>
        <w:t>jurisdictions.</w:t>
      </w:r>
    </w:p>
    <w:p w14:paraId="58B76497" w14:textId="3D6E6C9C" w:rsidR="00624477" w:rsidRDefault="00624477" w:rsidP="00624477">
      <w:pPr>
        <w:pStyle w:val="APRANORMAL"/>
        <w:rPr>
          <w:rStyle w:val="APRANORMALChar"/>
        </w:rPr>
      </w:pPr>
      <w:r>
        <w:rPr>
          <w:rStyle w:val="APRANORMALChar"/>
        </w:rPr>
        <w:t xml:space="preserve">Lastly, </w:t>
      </w:r>
      <w:r w:rsidR="003F08C8">
        <w:rPr>
          <w:rStyle w:val="APRANORMALChar"/>
        </w:rPr>
        <w:t xml:space="preserve">recognising the concerns raised, </w:t>
      </w:r>
      <w:r>
        <w:rPr>
          <w:rStyle w:val="APRANORMALChar"/>
        </w:rPr>
        <w:t xml:space="preserve">step-in risk has been removed from the definition of related entity. As there is still a need for step-in risk requirements within the prudential framework, APS 222 has been revised to include a new attachment which sets out </w:t>
      </w:r>
      <w:r w:rsidR="001E5BB1">
        <w:rPr>
          <w:rStyle w:val="APRANORMALChar"/>
        </w:rPr>
        <w:t>details on</w:t>
      </w:r>
      <w:r>
        <w:rPr>
          <w:rStyle w:val="APRANORMALChar"/>
        </w:rPr>
        <w:t xml:space="preserve"> the identification, </w:t>
      </w:r>
      <w:r w:rsidRPr="00A25EA9">
        <w:rPr>
          <w:rStyle w:val="APRANORMALChar"/>
        </w:rPr>
        <w:t>measurement and management of step-in risk</w:t>
      </w:r>
      <w:r>
        <w:rPr>
          <w:rStyle w:val="APRANORMALChar"/>
        </w:rPr>
        <w:t xml:space="preserve">. </w:t>
      </w:r>
      <w:r w:rsidRPr="00A25EA9">
        <w:rPr>
          <w:rStyle w:val="APRANORMALChar"/>
        </w:rPr>
        <w:t>Chapter 5</w:t>
      </w:r>
      <w:r>
        <w:rPr>
          <w:rStyle w:val="APRANORMALChar"/>
        </w:rPr>
        <w:t xml:space="preserve"> of this paper provides more detail on step-in risk. </w:t>
      </w:r>
    </w:p>
    <w:p w14:paraId="0E9AD1B2" w14:textId="77777777" w:rsidR="00624477" w:rsidRDefault="00624477" w:rsidP="00624477">
      <w:pPr>
        <w:pStyle w:val="APRANORMAL"/>
        <w:rPr>
          <w:rStyle w:val="APRANORMALChar"/>
        </w:rPr>
      </w:pPr>
    </w:p>
    <w:p w14:paraId="646B4F29" w14:textId="77777777" w:rsidR="00624477" w:rsidRDefault="00624477" w:rsidP="00624477">
      <w:pPr>
        <w:pStyle w:val="APRANORMAL"/>
        <w:rPr>
          <w:rStyle w:val="APRANORMALChar"/>
        </w:rPr>
      </w:pPr>
    </w:p>
    <w:p w14:paraId="03C8CC43" w14:textId="77777777" w:rsidR="00624477" w:rsidRDefault="00624477" w:rsidP="00624477">
      <w:pPr>
        <w:pStyle w:val="APRANORMAL"/>
      </w:pPr>
    </w:p>
    <w:p w14:paraId="4950DD30" w14:textId="77777777" w:rsidR="00624477" w:rsidRDefault="00624477" w:rsidP="00624477">
      <w:pPr>
        <w:spacing w:after="120" w:line="288" w:lineRule="auto"/>
        <w:rPr>
          <w:rFonts w:ascii="DIN OT Medium" w:hAnsi="DIN OT Medium"/>
          <w:color w:val="002060"/>
          <w:sz w:val="30"/>
          <w:szCs w:val="28"/>
        </w:rPr>
      </w:pPr>
      <w:r>
        <w:br w:type="page"/>
      </w:r>
    </w:p>
    <w:p w14:paraId="3E4252C7" w14:textId="05D24088" w:rsidR="00624477" w:rsidRPr="00C63CCC" w:rsidRDefault="00624477" w:rsidP="005F33EA">
      <w:pPr>
        <w:pStyle w:val="Heading1Numbers"/>
      </w:pPr>
      <w:bookmarkStart w:id="63" w:name="_Toc11944705"/>
      <w:bookmarkStart w:id="64" w:name="_Toc12375289"/>
      <w:bookmarkStart w:id="65" w:name="_Toc11767829"/>
      <w:r>
        <w:t>Related entity exposures and limits</w:t>
      </w:r>
      <w:bookmarkEnd w:id="63"/>
      <w:bookmarkEnd w:id="64"/>
      <w:r>
        <w:t xml:space="preserve"> </w:t>
      </w:r>
      <w:bookmarkEnd w:id="65"/>
    </w:p>
    <w:p w14:paraId="116E7C0E" w14:textId="77777777" w:rsidR="00624477" w:rsidRDefault="00624477" w:rsidP="00624477">
      <w:pPr>
        <w:pStyle w:val="APRANORMAL"/>
        <w:rPr>
          <w:rStyle w:val="APRANORMALChar"/>
        </w:rPr>
      </w:pPr>
      <w:r>
        <w:rPr>
          <w:rStyle w:val="APRANORMALChar"/>
        </w:rPr>
        <w:t>This chapter sets out issues raised in submissions relating to prudential limits for exposures to related entities, the measurement of exposures to related entities, and APRA’s response to these issues.</w:t>
      </w:r>
    </w:p>
    <w:p w14:paraId="5699DDCE" w14:textId="7B4C5125" w:rsidR="00624477" w:rsidRPr="0062025F" w:rsidRDefault="00624477" w:rsidP="005F33EA">
      <w:pPr>
        <w:pStyle w:val="Heading2Numbers"/>
      </w:pPr>
      <w:r>
        <w:t xml:space="preserve">Changes to related entity limits </w:t>
      </w:r>
    </w:p>
    <w:p w14:paraId="67DF14EE" w14:textId="50495ED5" w:rsidR="00624477" w:rsidRDefault="00624477" w:rsidP="00624477">
      <w:pPr>
        <w:pStyle w:val="APRANORMAL"/>
        <w:rPr>
          <w:rStyle w:val="APRANORMALChar"/>
        </w:rPr>
      </w:pPr>
      <w:r>
        <w:rPr>
          <w:rStyle w:val="APRANORMALChar"/>
        </w:rPr>
        <w:t>APRA proposed to revise the capital base used in the related entity limits and the size of those limits. The existing</w:t>
      </w:r>
      <w:r w:rsidRPr="00573A40">
        <w:rPr>
          <w:rStyle w:val="APRANORMALChar"/>
        </w:rPr>
        <w:t xml:space="preserve"> </w:t>
      </w:r>
      <w:r>
        <w:rPr>
          <w:rStyle w:val="APRANORMALChar"/>
        </w:rPr>
        <w:t xml:space="preserve">APS 222 limits and those that were proposed in </w:t>
      </w:r>
      <w:r w:rsidR="002A65B8">
        <w:rPr>
          <w:rStyle w:val="APRANORMALChar"/>
        </w:rPr>
        <w:t>APRA’s</w:t>
      </w:r>
      <w:r>
        <w:rPr>
          <w:rStyle w:val="APRANORMALChar"/>
        </w:rPr>
        <w:t xml:space="preserve"> July 2018 discussion paper are set out in Table </w:t>
      </w:r>
      <w:r w:rsidRPr="008F0472">
        <w:rPr>
          <w:rStyle w:val="APRANORMALChar"/>
        </w:rPr>
        <w:t>1</w:t>
      </w:r>
      <w:r>
        <w:rPr>
          <w:rStyle w:val="APRANORMALChar"/>
        </w:rPr>
        <w:t xml:space="preserve">. </w:t>
      </w:r>
    </w:p>
    <w:p w14:paraId="7432DA48" w14:textId="0805CE6D" w:rsidR="00624477" w:rsidRDefault="00624477" w:rsidP="00D24124">
      <w:pPr>
        <w:pStyle w:val="Numberedtableheading"/>
        <w:ind w:left="357" w:hanging="357"/>
      </w:pPr>
      <w:r>
        <w:t>Current and proposed limits on exposures to related entities</w:t>
      </w:r>
    </w:p>
    <w:tbl>
      <w:tblPr>
        <w:tblStyle w:val="TableOption2"/>
        <w:tblW w:w="0" w:type="auto"/>
        <w:tblLayout w:type="fixed"/>
        <w:tblLook w:val="04A0" w:firstRow="1" w:lastRow="0" w:firstColumn="1" w:lastColumn="0" w:noHBand="0" w:noVBand="1"/>
      </w:tblPr>
      <w:tblGrid>
        <w:gridCol w:w="4390"/>
        <w:gridCol w:w="2313"/>
        <w:gridCol w:w="2313"/>
      </w:tblGrid>
      <w:tr w:rsidR="00624477" w:rsidRPr="006F4B11" w14:paraId="67D78CE6" w14:textId="77777777" w:rsidTr="00BB5A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5DECE49B" w14:textId="77777777" w:rsidR="00624477" w:rsidRPr="007B063D" w:rsidRDefault="00624477" w:rsidP="008E32EF">
            <w:pPr>
              <w:ind w:firstLine="720"/>
              <w:rPr>
                <w:szCs w:val="20"/>
              </w:rPr>
            </w:pPr>
          </w:p>
        </w:tc>
        <w:tc>
          <w:tcPr>
            <w:tcW w:w="2313" w:type="dxa"/>
          </w:tcPr>
          <w:p w14:paraId="640AF03D" w14:textId="77777777" w:rsidR="00624477" w:rsidRPr="007B063D" w:rsidRDefault="00624477" w:rsidP="008E32EF">
            <w:pPr>
              <w:tabs>
                <w:tab w:val="right" w:pos="6537"/>
              </w:tabs>
              <w:jc w:val="center"/>
              <w:cnfStyle w:val="100000000000" w:firstRow="1" w:lastRow="0" w:firstColumn="0" w:lastColumn="0" w:oddVBand="0" w:evenVBand="0" w:oddHBand="0" w:evenHBand="0" w:firstRowFirstColumn="0" w:firstRowLastColumn="0" w:lastRowFirstColumn="0" w:lastRowLastColumn="0"/>
              <w:rPr>
                <w:szCs w:val="20"/>
              </w:rPr>
            </w:pPr>
            <w:r w:rsidRPr="007B063D">
              <w:rPr>
                <w:szCs w:val="20"/>
              </w:rPr>
              <w:t>Current APS 222</w:t>
            </w:r>
          </w:p>
        </w:tc>
        <w:tc>
          <w:tcPr>
            <w:tcW w:w="2313" w:type="dxa"/>
          </w:tcPr>
          <w:p w14:paraId="12AF3D83" w14:textId="77777777" w:rsidR="00624477" w:rsidRPr="007B063D" w:rsidRDefault="00624477" w:rsidP="008E32EF">
            <w:pPr>
              <w:tabs>
                <w:tab w:val="right" w:pos="6537"/>
              </w:tabs>
              <w:jc w:val="center"/>
              <w:cnfStyle w:val="100000000000" w:firstRow="1" w:lastRow="0" w:firstColumn="0" w:lastColumn="0" w:oddVBand="0" w:evenVBand="0" w:oddHBand="0" w:evenHBand="0" w:firstRowFirstColumn="0" w:firstRowLastColumn="0" w:lastRowFirstColumn="0" w:lastRowLastColumn="0"/>
              <w:rPr>
                <w:szCs w:val="20"/>
              </w:rPr>
            </w:pPr>
            <w:r w:rsidRPr="007B063D">
              <w:rPr>
                <w:szCs w:val="20"/>
              </w:rPr>
              <w:t>Proposed APS 222</w:t>
            </w:r>
          </w:p>
        </w:tc>
      </w:tr>
      <w:tr w:rsidR="00624477" w:rsidRPr="00081B4A" w14:paraId="243DFB93" w14:textId="77777777" w:rsidTr="00BB5A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tcPr>
          <w:p w14:paraId="53454A3E" w14:textId="77777777" w:rsidR="00624477" w:rsidRPr="007B063D" w:rsidRDefault="00624477" w:rsidP="008E32EF">
            <w:pPr>
              <w:pStyle w:val="APRABULLET"/>
              <w:ind w:left="357" w:hanging="357"/>
              <w:jc w:val="center"/>
              <w:rPr>
                <w:szCs w:val="20"/>
              </w:rPr>
            </w:pPr>
            <w:r w:rsidRPr="007B063D">
              <w:rPr>
                <w:szCs w:val="20"/>
              </w:rPr>
              <w:t>Related ADIs (or overseas-based equivalents)</w:t>
            </w:r>
          </w:p>
        </w:tc>
      </w:tr>
      <w:tr w:rsidR="00624477" w:rsidRPr="00081B4A" w14:paraId="2330A65C" w14:textId="77777777" w:rsidTr="00BB5A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78E90214" w14:textId="77777777" w:rsidR="00624477" w:rsidRPr="007B063D" w:rsidRDefault="00624477" w:rsidP="008E32EF">
            <w:pPr>
              <w:rPr>
                <w:szCs w:val="20"/>
              </w:rPr>
            </w:pPr>
            <w:r w:rsidRPr="007B063D">
              <w:rPr>
                <w:szCs w:val="20"/>
              </w:rPr>
              <w:t>Exposure to individual related ADI</w:t>
            </w:r>
          </w:p>
        </w:tc>
        <w:tc>
          <w:tcPr>
            <w:tcW w:w="2313" w:type="dxa"/>
          </w:tcPr>
          <w:p w14:paraId="1E01A4A4" w14:textId="77777777" w:rsidR="00624477" w:rsidRPr="007B063D" w:rsidRDefault="00624477" w:rsidP="008E32EF">
            <w:pPr>
              <w:pStyle w:val="APRANORMAL"/>
              <w:jc w:val="center"/>
              <w:cnfStyle w:val="000000010000" w:firstRow="0" w:lastRow="0" w:firstColumn="0" w:lastColumn="0" w:oddVBand="0" w:evenVBand="0" w:oddHBand="0" w:evenHBand="1" w:firstRowFirstColumn="0" w:firstRowLastColumn="0" w:lastRowFirstColumn="0" w:lastRowLastColumn="0"/>
              <w:rPr>
                <w:szCs w:val="20"/>
              </w:rPr>
            </w:pPr>
            <w:r w:rsidRPr="007B063D">
              <w:rPr>
                <w:szCs w:val="20"/>
              </w:rPr>
              <w:t>50% of Total Capital</w:t>
            </w:r>
          </w:p>
        </w:tc>
        <w:tc>
          <w:tcPr>
            <w:tcW w:w="2313" w:type="dxa"/>
          </w:tcPr>
          <w:p w14:paraId="4015E64B" w14:textId="77777777" w:rsidR="00624477" w:rsidRPr="007B063D" w:rsidRDefault="00624477" w:rsidP="008E32EF">
            <w:pPr>
              <w:pStyle w:val="APRANORMAL"/>
              <w:jc w:val="center"/>
              <w:cnfStyle w:val="000000010000" w:firstRow="0" w:lastRow="0" w:firstColumn="0" w:lastColumn="0" w:oddVBand="0" w:evenVBand="0" w:oddHBand="0" w:evenHBand="1" w:firstRowFirstColumn="0" w:firstRowLastColumn="0" w:lastRowFirstColumn="0" w:lastRowLastColumn="0"/>
              <w:rPr>
                <w:szCs w:val="20"/>
              </w:rPr>
            </w:pPr>
            <w:r w:rsidRPr="007B063D">
              <w:rPr>
                <w:szCs w:val="20"/>
              </w:rPr>
              <w:t>25% of Tier 1 Capital</w:t>
            </w:r>
          </w:p>
        </w:tc>
      </w:tr>
      <w:tr w:rsidR="00624477" w:rsidRPr="00081B4A" w14:paraId="1BE53CEF" w14:textId="77777777" w:rsidTr="00BB5A6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390" w:type="dxa"/>
          </w:tcPr>
          <w:p w14:paraId="1C6AEC78" w14:textId="77777777" w:rsidR="00624477" w:rsidRPr="007B063D" w:rsidRDefault="00624477" w:rsidP="008E32EF">
            <w:pPr>
              <w:rPr>
                <w:szCs w:val="20"/>
              </w:rPr>
            </w:pPr>
            <w:r w:rsidRPr="007B063D">
              <w:rPr>
                <w:szCs w:val="20"/>
              </w:rPr>
              <w:t>Aggregate exposure to all related ADIs</w:t>
            </w:r>
          </w:p>
        </w:tc>
        <w:tc>
          <w:tcPr>
            <w:tcW w:w="2313" w:type="dxa"/>
          </w:tcPr>
          <w:p w14:paraId="4CFE714A" w14:textId="77777777" w:rsidR="00624477" w:rsidRPr="007B063D" w:rsidRDefault="00624477" w:rsidP="008E32EF">
            <w:pPr>
              <w:pStyle w:val="APRANORMAL"/>
              <w:jc w:val="center"/>
              <w:cnfStyle w:val="000000100000" w:firstRow="0" w:lastRow="0" w:firstColumn="0" w:lastColumn="0" w:oddVBand="0" w:evenVBand="0" w:oddHBand="1" w:evenHBand="0" w:firstRowFirstColumn="0" w:firstRowLastColumn="0" w:lastRowFirstColumn="0" w:lastRowLastColumn="0"/>
              <w:rPr>
                <w:szCs w:val="20"/>
              </w:rPr>
            </w:pPr>
            <w:r w:rsidRPr="007B063D">
              <w:rPr>
                <w:szCs w:val="20"/>
              </w:rPr>
              <w:t>150% of Total Capital</w:t>
            </w:r>
          </w:p>
        </w:tc>
        <w:tc>
          <w:tcPr>
            <w:tcW w:w="2313" w:type="dxa"/>
          </w:tcPr>
          <w:p w14:paraId="584CF87A" w14:textId="77777777" w:rsidR="00624477" w:rsidRPr="007B063D" w:rsidRDefault="00624477" w:rsidP="008E32EF">
            <w:pPr>
              <w:pStyle w:val="APRANORMAL"/>
              <w:jc w:val="center"/>
              <w:cnfStyle w:val="000000100000" w:firstRow="0" w:lastRow="0" w:firstColumn="0" w:lastColumn="0" w:oddVBand="0" w:evenVBand="0" w:oddHBand="1" w:evenHBand="0" w:firstRowFirstColumn="0" w:firstRowLastColumn="0" w:lastRowFirstColumn="0" w:lastRowLastColumn="0"/>
              <w:rPr>
                <w:szCs w:val="20"/>
              </w:rPr>
            </w:pPr>
            <w:r w:rsidRPr="007B063D">
              <w:rPr>
                <w:szCs w:val="20"/>
              </w:rPr>
              <w:t>75% of Tier 1 Capital</w:t>
            </w:r>
          </w:p>
        </w:tc>
      </w:tr>
      <w:tr w:rsidR="00624477" w:rsidRPr="00081B4A" w14:paraId="1A83CA06" w14:textId="77777777" w:rsidTr="00BB5A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tcPr>
          <w:p w14:paraId="445F63C8" w14:textId="77777777" w:rsidR="00624477" w:rsidRPr="007B063D" w:rsidRDefault="00624477" w:rsidP="008E32EF">
            <w:pPr>
              <w:pStyle w:val="APRANORMAL"/>
              <w:jc w:val="center"/>
              <w:rPr>
                <w:szCs w:val="20"/>
              </w:rPr>
            </w:pPr>
            <w:r w:rsidRPr="007B063D">
              <w:rPr>
                <w:szCs w:val="20"/>
              </w:rPr>
              <w:t>Other related entities</w:t>
            </w:r>
          </w:p>
        </w:tc>
      </w:tr>
      <w:tr w:rsidR="00624477" w:rsidRPr="00081B4A" w14:paraId="51C3CBF7" w14:textId="77777777" w:rsidTr="00BB5A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4CE9FDE7" w14:textId="77777777" w:rsidR="00624477" w:rsidRPr="007B063D" w:rsidRDefault="00624477" w:rsidP="008E32EF">
            <w:pPr>
              <w:rPr>
                <w:szCs w:val="20"/>
              </w:rPr>
            </w:pPr>
            <w:r w:rsidRPr="007B063D">
              <w:rPr>
                <w:szCs w:val="20"/>
              </w:rPr>
              <w:t xml:space="preserve">Exposure to other individual regulated related entities (other than related ADIs and related overseas-based equivalents) </w:t>
            </w:r>
          </w:p>
        </w:tc>
        <w:tc>
          <w:tcPr>
            <w:tcW w:w="2313" w:type="dxa"/>
          </w:tcPr>
          <w:p w14:paraId="47BE69D3" w14:textId="77777777" w:rsidR="00624477" w:rsidRPr="007B063D" w:rsidRDefault="00624477" w:rsidP="008E32EF">
            <w:pPr>
              <w:pStyle w:val="APRANORMAL"/>
              <w:jc w:val="center"/>
              <w:cnfStyle w:val="000000100000" w:firstRow="0" w:lastRow="0" w:firstColumn="0" w:lastColumn="0" w:oddVBand="0" w:evenVBand="0" w:oddHBand="1" w:evenHBand="0" w:firstRowFirstColumn="0" w:firstRowLastColumn="0" w:lastRowFirstColumn="0" w:lastRowLastColumn="0"/>
              <w:rPr>
                <w:szCs w:val="20"/>
              </w:rPr>
            </w:pPr>
            <w:r w:rsidRPr="007B063D">
              <w:rPr>
                <w:szCs w:val="20"/>
              </w:rPr>
              <w:t>25% of Total Capital</w:t>
            </w:r>
          </w:p>
        </w:tc>
        <w:tc>
          <w:tcPr>
            <w:tcW w:w="2313" w:type="dxa"/>
          </w:tcPr>
          <w:p w14:paraId="6EEE947F" w14:textId="77777777" w:rsidR="00624477" w:rsidRPr="007B063D" w:rsidRDefault="00624477" w:rsidP="008E32EF">
            <w:pPr>
              <w:pStyle w:val="APRANORMAL"/>
              <w:jc w:val="center"/>
              <w:cnfStyle w:val="000000100000" w:firstRow="0" w:lastRow="0" w:firstColumn="0" w:lastColumn="0" w:oddVBand="0" w:evenVBand="0" w:oddHBand="1" w:evenHBand="0" w:firstRowFirstColumn="0" w:firstRowLastColumn="0" w:lastRowFirstColumn="0" w:lastRowLastColumn="0"/>
              <w:rPr>
                <w:szCs w:val="20"/>
              </w:rPr>
            </w:pPr>
            <w:r w:rsidRPr="007B063D">
              <w:rPr>
                <w:szCs w:val="20"/>
              </w:rPr>
              <w:t>25% of Tier 1 Capital</w:t>
            </w:r>
          </w:p>
        </w:tc>
      </w:tr>
      <w:tr w:rsidR="00624477" w:rsidRPr="00081B4A" w14:paraId="6C398E49" w14:textId="77777777" w:rsidTr="00BB5A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5F749812" w14:textId="77777777" w:rsidR="00624477" w:rsidRPr="007B063D" w:rsidRDefault="00624477" w:rsidP="008E32EF">
            <w:pPr>
              <w:rPr>
                <w:szCs w:val="20"/>
              </w:rPr>
            </w:pPr>
            <w:r w:rsidRPr="007B063D">
              <w:rPr>
                <w:szCs w:val="20"/>
              </w:rPr>
              <w:t xml:space="preserve">Exposure to individual unregulated related entity (including related individuals) </w:t>
            </w:r>
          </w:p>
        </w:tc>
        <w:tc>
          <w:tcPr>
            <w:tcW w:w="2313" w:type="dxa"/>
          </w:tcPr>
          <w:p w14:paraId="16FAE679" w14:textId="77777777" w:rsidR="00624477" w:rsidRPr="007B063D" w:rsidRDefault="00624477" w:rsidP="008E32EF">
            <w:pPr>
              <w:pStyle w:val="APRANORMAL"/>
              <w:jc w:val="center"/>
              <w:cnfStyle w:val="000000010000" w:firstRow="0" w:lastRow="0" w:firstColumn="0" w:lastColumn="0" w:oddVBand="0" w:evenVBand="0" w:oddHBand="0" w:evenHBand="1" w:firstRowFirstColumn="0" w:firstRowLastColumn="0" w:lastRowFirstColumn="0" w:lastRowLastColumn="0"/>
              <w:rPr>
                <w:szCs w:val="20"/>
              </w:rPr>
            </w:pPr>
            <w:r w:rsidRPr="007B063D">
              <w:rPr>
                <w:szCs w:val="20"/>
              </w:rPr>
              <w:t>15% of Total Capital</w:t>
            </w:r>
          </w:p>
        </w:tc>
        <w:tc>
          <w:tcPr>
            <w:tcW w:w="2313" w:type="dxa"/>
          </w:tcPr>
          <w:p w14:paraId="32687411" w14:textId="77777777" w:rsidR="00624477" w:rsidRPr="007B063D" w:rsidRDefault="00624477" w:rsidP="008E32EF">
            <w:pPr>
              <w:pStyle w:val="APRANORMAL"/>
              <w:jc w:val="center"/>
              <w:cnfStyle w:val="000000010000" w:firstRow="0" w:lastRow="0" w:firstColumn="0" w:lastColumn="0" w:oddVBand="0" w:evenVBand="0" w:oddHBand="0" w:evenHBand="1" w:firstRowFirstColumn="0" w:firstRowLastColumn="0" w:lastRowFirstColumn="0" w:lastRowLastColumn="0"/>
              <w:rPr>
                <w:szCs w:val="20"/>
              </w:rPr>
            </w:pPr>
            <w:r w:rsidRPr="007B063D">
              <w:rPr>
                <w:szCs w:val="20"/>
              </w:rPr>
              <w:t>15% of Tier 1 Capital</w:t>
            </w:r>
          </w:p>
        </w:tc>
      </w:tr>
      <w:tr w:rsidR="00624477" w:rsidRPr="00081B4A" w14:paraId="2C6ED5C2" w14:textId="77777777" w:rsidTr="00BB5A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771465C0" w14:textId="77777777" w:rsidR="00624477" w:rsidRPr="007B063D" w:rsidRDefault="00624477" w:rsidP="008E32EF">
            <w:pPr>
              <w:rPr>
                <w:szCs w:val="20"/>
              </w:rPr>
            </w:pPr>
            <w:r w:rsidRPr="007B063D">
              <w:rPr>
                <w:szCs w:val="20"/>
              </w:rPr>
              <w:t xml:space="preserve">Aggregate exposure to all related entities (other than related ADIs and related overseas-based equivalents, and including related individuals) </w:t>
            </w:r>
          </w:p>
        </w:tc>
        <w:tc>
          <w:tcPr>
            <w:tcW w:w="2313" w:type="dxa"/>
          </w:tcPr>
          <w:p w14:paraId="649071DB" w14:textId="77777777" w:rsidR="00624477" w:rsidRPr="007B063D" w:rsidRDefault="00624477" w:rsidP="008E32EF">
            <w:pPr>
              <w:pStyle w:val="APRANORMAL"/>
              <w:jc w:val="center"/>
              <w:cnfStyle w:val="000000100000" w:firstRow="0" w:lastRow="0" w:firstColumn="0" w:lastColumn="0" w:oddVBand="0" w:evenVBand="0" w:oddHBand="1" w:evenHBand="0" w:firstRowFirstColumn="0" w:firstRowLastColumn="0" w:lastRowFirstColumn="0" w:lastRowLastColumn="0"/>
              <w:rPr>
                <w:szCs w:val="20"/>
              </w:rPr>
            </w:pPr>
            <w:r w:rsidRPr="007B063D">
              <w:rPr>
                <w:szCs w:val="20"/>
              </w:rPr>
              <w:t>35% of Total Capital</w:t>
            </w:r>
          </w:p>
        </w:tc>
        <w:tc>
          <w:tcPr>
            <w:tcW w:w="2313" w:type="dxa"/>
          </w:tcPr>
          <w:p w14:paraId="146CC92F" w14:textId="77777777" w:rsidR="00624477" w:rsidRPr="007B063D" w:rsidRDefault="00624477" w:rsidP="008E32EF">
            <w:pPr>
              <w:pStyle w:val="APRANORMAL"/>
              <w:jc w:val="center"/>
              <w:cnfStyle w:val="000000100000" w:firstRow="0" w:lastRow="0" w:firstColumn="0" w:lastColumn="0" w:oddVBand="0" w:evenVBand="0" w:oddHBand="1" w:evenHBand="0" w:firstRowFirstColumn="0" w:firstRowLastColumn="0" w:lastRowFirstColumn="0" w:lastRowLastColumn="0"/>
              <w:rPr>
                <w:szCs w:val="20"/>
              </w:rPr>
            </w:pPr>
            <w:r w:rsidRPr="007B063D">
              <w:rPr>
                <w:szCs w:val="20"/>
              </w:rPr>
              <w:t>35% of Tier 1 Capital</w:t>
            </w:r>
          </w:p>
        </w:tc>
      </w:tr>
    </w:tbl>
    <w:p w14:paraId="5334B303" w14:textId="77777777" w:rsidR="00624477" w:rsidRPr="00316379" w:rsidRDefault="00624477" w:rsidP="005F33EA">
      <w:pPr>
        <w:pStyle w:val="Heading3"/>
      </w:pPr>
      <w:r w:rsidRPr="00316379">
        <w:t>Comments received</w:t>
      </w:r>
    </w:p>
    <w:p w14:paraId="27C456A1" w14:textId="0DC26A13" w:rsidR="00624477" w:rsidRDefault="003F08C8" w:rsidP="00624477">
      <w:pPr>
        <w:pStyle w:val="APRANORMAL"/>
        <w:rPr>
          <w:rStyle w:val="APRANORMALChar"/>
        </w:rPr>
      </w:pPr>
      <w:r>
        <w:rPr>
          <w:rStyle w:val="APRANORMALChar"/>
        </w:rPr>
        <w:t>Some</w:t>
      </w:r>
      <w:r w:rsidR="00624477">
        <w:rPr>
          <w:rStyle w:val="APRANORMALChar"/>
        </w:rPr>
        <w:t xml:space="preserve"> respondents commented that the proposed limits were </w:t>
      </w:r>
      <w:r w:rsidR="00BA3C9E">
        <w:rPr>
          <w:rStyle w:val="APRANORMALChar"/>
        </w:rPr>
        <w:t>restrictive</w:t>
      </w:r>
      <w:r w:rsidR="00624477">
        <w:rPr>
          <w:rStyle w:val="APRANORMALChar"/>
        </w:rPr>
        <w:t xml:space="preserve"> and </w:t>
      </w:r>
      <w:r w:rsidR="00DF52C5">
        <w:rPr>
          <w:rStyle w:val="APRANORMALChar"/>
        </w:rPr>
        <w:t xml:space="preserve">did </w:t>
      </w:r>
      <w:r w:rsidR="00624477">
        <w:rPr>
          <w:rStyle w:val="APRANORMALChar"/>
        </w:rPr>
        <w:t xml:space="preserve">not </w:t>
      </w:r>
      <w:r w:rsidR="00DF52C5">
        <w:rPr>
          <w:rStyle w:val="APRANORMALChar"/>
        </w:rPr>
        <w:t xml:space="preserve">reflect </w:t>
      </w:r>
      <w:r w:rsidR="00624477">
        <w:rPr>
          <w:rStyle w:val="APRANORMALChar"/>
        </w:rPr>
        <w:t xml:space="preserve">that relevant related entities are subject to the ADI’s risk management framework. Submissions argued that since ADIs have oversight and the ability to control the activities of their related entities, contagion and reputational risks are mitigated, and that a higher limit would </w:t>
      </w:r>
      <w:r w:rsidR="000E6123">
        <w:rPr>
          <w:rStyle w:val="APRANORMALChar"/>
        </w:rPr>
        <w:t xml:space="preserve">better reflect </w:t>
      </w:r>
      <w:r w:rsidR="00624477">
        <w:rPr>
          <w:rStyle w:val="APRANORMALChar"/>
        </w:rPr>
        <w:t xml:space="preserve">these arrangements. Respondents suggested that Total Capital would be a more appropriate capital base </w:t>
      </w:r>
      <w:r w:rsidR="000E6123">
        <w:rPr>
          <w:rStyle w:val="APRANORMALChar"/>
        </w:rPr>
        <w:t xml:space="preserve">to </w:t>
      </w:r>
      <w:r w:rsidR="00624477">
        <w:rPr>
          <w:rStyle w:val="APRANORMALChar"/>
        </w:rPr>
        <w:t xml:space="preserve">use in the related entity limits, noting that consistency with </w:t>
      </w:r>
      <w:r w:rsidR="00624477" w:rsidRPr="00291C77">
        <w:rPr>
          <w:rStyle w:val="APRANORMALChar"/>
          <w:i/>
        </w:rPr>
        <w:t>Prudential Standard APS 221 Large Exposures</w:t>
      </w:r>
      <w:r w:rsidR="00624477">
        <w:rPr>
          <w:rStyle w:val="APRANORMALChar"/>
        </w:rPr>
        <w:t xml:space="preserve"> (APS 221) should not be prioritised when considering related entity limits and the capital base.</w:t>
      </w:r>
    </w:p>
    <w:p w14:paraId="323C1E7A" w14:textId="77777777" w:rsidR="00624477" w:rsidRDefault="00624477" w:rsidP="00624477">
      <w:pPr>
        <w:pStyle w:val="APRANORMAL"/>
        <w:rPr>
          <w:rStyle w:val="APRANORMALChar"/>
        </w:rPr>
      </w:pPr>
    </w:p>
    <w:p w14:paraId="476A0CCE" w14:textId="568185F1" w:rsidR="00624477" w:rsidRDefault="00624477" w:rsidP="00624477">
      <w:pPr>
        <w:pStyle w:val="APRANORMAL"/>
        <w:rPr>
          <w:rStyle w:val="APRANORMALChar"/>
        </w:rPr>
      </w:pPr>
      <w:r>
        <w:rPr>
          <w:rStyle w:val="APRANORMALChar"/>
        </w:rPr>
        <w:t xml:space="preserve">Some submissions recommended that changes to prudential limits for exposures to related entities should be deferred until other considerations relevant to the capital framework are clarified, such as the Reserve Bank of New Zealand (RBNZ) review of its capital adequacy framework. </w:t>
      </w:r>
    </w:p>
    <w:p w14:paraId="4A7A168C" w14:textId="77777777" w:rsidR="00624477" w:rsidRPr="00316379" w:rsidRDefault="00624477" w:rsidP="005F33EA">
      <w:pPr>
        <w:pStyle w:val="Heading3"/>
      </w:pPr>
      <w:r>
        <w:t>APRA response</w:t>
      </w:r>
    </w:p>
    <w:p w14:paraId="48BFDF49" w14:textId="1F5A2CF0" w:rsidR="00624477" w:rsidRDefault="00624477" w:rsidP="00624477">
      <w:pPr>
        <w:pStyle w:val="APRANORMAL"/>
        <w:rPr>
          <w:rStyle w:val="APRANORMALChar"/>
        </w:rPr>
      </w:pPr>
      <w:r>
        <w:rPr>
          <w:rStyle w:val="APRANORMALChar"/>
        </w:rPr>
        <w:t xml:space="preserve">APRA </w:t>
      </w:r>
      <w:r w:rsidR="005B6D36">
        <w:rPr>
          <w:rStyle w:val="APRANORMALChar"/>
        </w:rPr>
        <w:t xml:space="preserve">considers </w:t>
      </w:r>
      <w:r>
        <w:rPr>
          <w:rStyle w:val="APRANORMALChar"/>
        </w:rPr>
        <w:t>that limits within the related entity framework should reflect lessons learn</w:t>
      </w:r>
      <w:r w:rsidR="00461B16">
        <w:rPr>
          <w:rStyle w:val="APRANORMALChar"/>
        </w:rPr>
        <w:t>t</w:t>
      </w:r>
      <w:r>
        <w:rPr>
          <w:rStyle w:val="APRANORMALChar"/>
        </w:rPr>
        <w:t xml:space="preserve"> from the global financial crisis and act to limit the potential impacts,</w:t>
      </w:r>
      <w:r w:rsidR="00EF3BD4">
        <w:rPr>
          <w:rStyle w:val="APRANORMALChar"/>
        </w:rPr>
        <w:t xml:space="preserve"> both</w:t>
      </w:r>
      <w:r>
        <w:rPr>
          <w:rStyle w:val="APRANORMALChar"/>
        </w:rPr>
        <w:t xml:space="preserve"> financial and non-financial, that an ADI </w:t>
      </w:r>
      <w:r w:rsidR="00D70DA0">
        <w:rPr>
          <w:rStyle w:val="APRANORMALChar"/>
        </w:rPr>
        <w:t>could</w:t>
      </w:r>
      <w:r>
        <w:rPr>
          <w:rStyle w:val="APRANORMALChar"/>
        </w:rPr>
        <w:t xml:space="preserve"> bear as a consequence of associations with related entities, particularly in periods of stress. While related entities of an ADI may benefit from the ADI’s risk management framework, con</w:t>
      </w:r>
      <w:r w:rsidR="0040420E">
        <w:rPr>
          <w:rStyle w:val="APRANORMALChar"/>
        </w:rPr>
        <w:t>tagion risk needs to be limited</w:t>
      </w:r>
      <w:r>
        <w:rPr>
          <w:rStyle w:val="APRANORMALChar"/>
        </w:rPr>
        <w:t xml:space="preserve"> and the level of capital at risk in a crisis must be considered.</w:t>
      </w:r>
      <w:r w:rsidR="00BA3C9E" w:rsidDel="00BA3C9E">
        <w:rPr>
          <w:rStyle w:val="APRANORMALChar"/>
        </w:rPr>
        <w:t xml:space="preserve"> </w:t>
      </w:r>
    </w:p>
    <w:p w14:paraId="03E5D8FA" w14:textId="227E5275" w:rsidR="00624477" w:rsidRDefault="00624477" w:rsidP="00624477">
      <w:pPr>
        <w:pStyle w:val="APRANORMAL"/>
        <w:rPr>
          <w:rStyle w:val="APRANORMALChar"/>
        </w:rPr>
      </w:pPr>
      <w:r>
        <w:rPr>
          <w:rStyle w:val="APRANORMALChar"/>
        </w:rPr>
        <w:t xml:space="preserve">APRA </w:t>
      </w:r>
      <w:r w:rsidR="00B6086B">
        <w:rPr>
          <w:rStyle w:val="APRANORMALChar"/>
        </w:rPr>
        <w:t>views</w:t>
      </w:r>
      <w:r>
        <w:rPr>
          <w:rStyle w:val="APRANORMALChar"/>
        </w:rPr>
        <w:t xml:space="preserve"> Tier 1 Capital </w:t>
      </w:r>
      <w:r w:rsidR="00B6086B">
        <w:rPr>
          <w:rStyle w:val="APRANORMALChar"/>
        </w:rPr>
        <w:t xml:space="preserve">as </w:t>
      </w:r>
      <w:r>
        <w:rPr>
          <w:rStyle w:val="APRANORMALChar"/>
        </w:rPr>
        <w:t xml:space="preserve">the appropriate capital base for the measurement of related entity exposures. A key principle underlying the level of capital used is that the capital base must be able to absorb unexpected losses on a ‘going-concern’ basis, rather than on a ‘gone-concern’ basis. </w:t>
      </w:r>
      <w:r w:rsidRPr="008E32EF">
        <w:rPr>
          <w:rStyle w:val="APRANORMALChar"/>
        </w:rPr>
        <w:t>Th</w:t>
      </w:r>
      <w:r w:rsidRPr="00D41474">
        <w:rPr>
          <w:rStyle w:val="APRANORMALChar"/>
        </w:rPr>
        <w:t xml:space="preserve">e limits </w:t>
      </w:r>
      <w:r w:rsidR="003F08C8" w:rsidRPr="00B557D9">
        <w:rPr>
          <w:rStyle w:val="APRANORMALChar"/>
        </w:rPr>
        <w:t>will</w:t>
      </w:r>
      <w:r w:rsidRPr="00B557D9">
        <w:rPr>
          <w:rStyle w:val="APRANORMALChar"/>
        </w:rPr>
        <w:t xml:space="preserve"> impact some ADIs </w:t>
      </w:r>
      <w:r w:rsidR="003F08C8" w:rsidRPr="00B557D9">
        <w:rPr>
          <w:rStyle w:val="APRANORMALChar"/>
        </w:rPr>
        <w:t>with large subsidiary banking operations</w:t>
      </w:r>
      <w:r w:rsidR="00154C92">
        <w:rPr>
          <w:rStyle w:val="APRANORMALChar"/>
        </w:rPr>
        <w:t>, but APRA does not expect that the limits at current levels of exposures will be binding</w:t>
      </w:r>
      <w:r w:rsidR="002D2035">
        <w:rPr>
          <w:rStyle w:val="APRANORMALChar"/>
        </w:rPr>
        <w:t xml:space="preserve"> for the vast majority of entities</w:t>
      </w:r>
      <w:r w:rsidR="003F08C8" w:rsidRPr="00B557D9">
        <w:rPr>
          <w:rStyle w:val="APRANORMALChar"/>
        </w:rPr>
        <w:t>.</w:t>
      </w:r>
      <w:r w:rsidRPr="00274EE8">
        <w:rPr>
          <w:rStyle w:val="APRANORMALChar"/>
        </w:rPr>
        <w:t xml:space="preserve"> </w:t>
      </w:r>
      <w:r w:rsidR="00B6086B">
        <w:rPr>
          <w:rStyle w:val="APRANORMALChar"/>
        </w:rPr>
        <w:t xml:space="preserve">APRA </w:t>
      </w:r>
      <w:r w:rsidR="00D70DA0">
        <w:rPr>
          <w:rStyle w:val="APRANORMALChar"/>
        </w:rPr>
        <w:t xml:space="preserve">is open to </w:t>
      </w:r>
      <w:r w:rsidR="00B6086B">
        <w:rPr>
          <w:rStyle w:val="APRANORMALChar"/>
        </w:rPr>
        <w:t>provid</w:t>
      </w:r>
      <w:r w:rsidR="00D70DA0">
        <w:rPr>
          <w:rStyle w:val="APRANORMALChar"/>
        </w:rPr>
        <w:t>ing</w:t>
      </w:r>
      <w:r w:rsidR="00B6086B">
        <w:rPr>
          <w:rStyle w:val="APRANORMALChar"/>
        </w:rPr>
        <w:t xml:space="preserve"> </w:t>
      </w:r>
      <w:r>
        <w:rPr>
          <w:rStyle w:val="APRANORMALChar"/>
        </w:rPr>
        <w:t xml:space="preserve">entity-specific </w:t>
      </w:r>
      <w:r w:rsidR="00B6086B">
        <w:rPr>
          <w:rStyle w:val="APRANORMALChar"/>
        </w:rPr>
        <w:t xml:space="preserve">transitional arrangements </w:t>
      </w:r>
      <w:r w:rsidR="00777A69">
        <w:rPr>
          <w:rStyle w:val="APRANORMALChar"/>
        </w:rPr>
        <w:t xml:space="preserve">or flexibility </w:t>
      </w:r>
      <w:r>
        <w:rPr>
          <w:rStyle w:val="APRANORMALChar"/>
        </w:rPr>
        <w:t>on a case-by-case basis.</w:t>
      </w:r>
    </w:p>
    <w:p w14:paraId="014E99BB" w14:textId="665C0E9A" w:rsidR="00643622" w:rsidRDefault="00624477" w:rsidP="00D1035B">
      <w:pPr>
        <w:pStyle w:val="APRANORMAL"/>
        <w:rPr>
          <w:rStyle w:val="APRANORMALChar"/>
        </w:rPr>
      </w:pPr>
      <w:r>
        <w:rPr>
          <w:rStyle w:val="APRANORMALChar"/>
        </w:rPr>
        <w:t>The RBNZ</w:t>
      </w:r>
      <w:r w:rsidR="00C44B71">
        <w:rPr>
          <w:rStyle w:val="APRANORMALChar"/>
        </w:rPr>
        <w:t xml:space="preserve"> </w:t>
      </w:r>
      <w:r w:rsidR="003F08C8">
        <w:rPr>
          <w:rStyle w:val="APRANORMALChar"/>
        </w:rPr>
        <w:t xml:space="preserve">commenced a consultation on </w:t>
      </w:r>
      <w:r w:rsidR="00154C92">
        <w:rPr>
          <w:rStyle w:val="APRANORMALChar"/>
        </w:rPr>
        <w:t xml:space="preserve">materially higher </w:t>
      </w:r>
      <w:r w:rsidR="003F08C8">
        <w:rPr>
          <w:rStyle w:val="APRANORMALChar"/>
        </w:rPr>
        <w:t xml:space="preserve">minimum capital requirements for New Zealand banks subsequent to the release of </w:t>
      </w:r>
      <w:r w:rsidR="00B6086B">
        <w:rPr>
          <w:rStyle w:val="APRANORMALChar"/>
        </w:rPr>
        <w:t>APRA's</w:t>
      </w:r>
      <w:r w:rsidR="003F08C8">
        <w:rPr>
          <w:rStyle w:val="APRANORMALChar"/>
        </w:rPr>
        <w:t xml:space="preserve"> July 2018 discussion paper. These</w:t>
      </w:r>
      <w:r w:rsidR="00154C92">
        <w:rPr>
          <w:rStyle w:val="APRANORMALChar"/>
        </w:rPr>
        <w:t xml:space="preserve"> proposed changes, if implemented,</w:t>
      </w:r>
      <w:r w:rsidR="003F08C8">
        <w:rPr>
          <w:rStyle w:val="APRANORMALChar"/>
        </w:rPr>
        <w:t xml:space="preserve"> have implications for </w:t>
      </w:r>
      <w:r w:rsidR="00154C92">
        <w:rPr>
          <w:rStyle w:val="APRANORMALChar"/>
        </w:rPr>
        <w:t xml:space="preserve">exposures of Australian </w:t>
      </w:r>
      <w:r w:rsidR="003F08C8">
        <w:rPr>
          <w:rStyle w:val="APRANORMALChar"/>
        </w:rPr>
        <w:t xml:space="preserve">ADIs </w:t>
      </w:r>
      <w:r w:rsidR="00154C92">
        <w:rPr>
          <w:rStyle w:val="APRANORMALChar"/>
        </w:rPr>
        <w:t xml:space="preserve">to their </w:t>
      </w:r>
      <w:r w:rsidR="003F08C8">
        <w:rPr>
          <w:rStyle w:val="APRANORMALChar"/>
        </w:rPr>
        <w:t xml:space="preserve">subsidiary operations in New Zealand. </w:t>
      </w:r>
    </w:p>
    <w:p w14:paraId="23C1A00D" w14:textId="61408698" w:rsidR="00624477" w:rsidRDefault="00B6086B" w:rsidP="00D1035B">
      <w:pPr>
        <w:pStyle w:val="APRANORMAL"/>
        <w:rPr>
          <w:rStyle w:val="APRANORMALChar"/>
        </w:rPr>
      </w:pPr>
      <w:r>
        <w:rPr>
          <w:rStyle w:val="APRANORMALChar"/>
        </w:rPr>
        <w:t xml:space="preserve">APRA </w:t>
      </w:r>
      <w:r w:rsidR="00F61B32">
        <w:rPr>
          <w:rStyle w:val="APRANORMALChar"/>
        </w:rPr>
        <w:t>is not deferring</w:t>
      </w:r>
      <w:r>
        <w:rPr>
          <w:rStyle w:val="APRANORMALChar"/>
        </w:rPr>
        <w:t xml:space="preserve"> </w:t>
      </w:r>
      <w:r w:rsidR="002D2035">
        <w:rPr>
          <w:rStyle w:val="APRANORMALChar"/>
        </w:rPr>
        <w:t>its changes to</w:t>
      </w:r>
      <w:r>
        <w:rPr>
          <w:rStyle w:val="APRANORMALChar"/>
        </w:rPr>
        <w:t xml:space="preserve"> related entity limits until the RBNZ finalises its proposals. </w:t>
      </w:r>
      <w:r w:rsidR="00643622">
        <w:rPr>
          <w:rStyle w:val="APRANORMALChar"/>
        </w:rPr>
        <w:t xml:space="preserve">The changes to APS 222 are </w:t>
      </w:r>
      <w:r>
        <w:rPr>
          <w:rStyle w:val="APRANORMALChar"/>
        </w:rPr>
        <w:t xml:space="preserve">important elements of APRA's ADI framework and apply to operations across jurisdictions and structures. </w:t>
      </w:r>
      <w:r w:rsidR="00154C92">
        <w:rPr>
          <w:rStyle w:val="APRANORMALChar"/>
        </w:rPr>
        <w:t>APRA recognises that the limits being adopted in APS 222</w:t>
      </w:r>
      <w:r w:rsidR="002D2035">
        <w:rPr>
          <w:rStyle w:val="APRANORMALChar"/>
        </w:rPr>
        <w:t xml:space="preserve">, </w:t>
      </w:r>
      <w:r w:rsidR="0015500F">
        <w:rPr>
          <w:rStyle w:val="APRANORMALChar"/>
        </w:rPr>
        <w:t>and indeed the current APS 222 limits</w:t>
      </w:r>
      <w:r w:rsidR="002D2035">
        <w:rPr>
          <w:rStyle w:val="APRANORMALChar"/>
        </w:rPr>
        <w:t>,</w:t>
      </w:r>
      <w:r w:rsidR="0015500F">
        <w:rPr>
          <w:rStyle w:val="APRANORMALChar"/>
        </w:rPr>
        <w:t xml:space="preserve"> </w:t>
      </w:r>
      <w:r w:rsidR="00154C92">
        <w:rPr>
          <w:rStyle w:val="APRANORMALChar"/>
        </w:rPr>
        <w:t xml:space="preserve">could constrain the ability of </w:t>
      </w:r>
      <w:r w:rsidR="0015500F">
        <w:rPr>
          <w:rStyle w:val="APRANORMALChar"/>
        </w:rPr>
        <w:t xml:space="preserve">some </w:t>
      </w:r>
      <w:r w:rsidR="00154C92">
        <w:rPr>
          <w:rStyle w:val="APRANORMALChar"/>
        </w:rPr>
        <w:t>Australian banks to meet</w:t>
      </w:r>
      <w:r w:rsidR="0015500F">
        <w:rPr>
          <w:rStyle w:val="APRANORMALChar"/>
        </w:rPr>
        <w:t xml:space="preserve"> </w:t>
      </w:r>
      <w:r w:rsidR="00154C92">
        <w:rPr>
          <w:rStyle w:val="APRANORMALChar"/>
        </w:rPr>
        <w:t>add</w:t>
      </w:r>
      <w:r>
        <w:rPr>
          <w:rStyle w:val="APRANORMALChar"/>
        </w:rPr>
        <w:t xml:space="preserve">itional requirements </w:t>
      </w:r>
      <w:r w:rsidR="00AD06ED">
        <w:rPr>
          <w:rStyle w:val="APRANORMALChar"/>
        </w:rPr>
        <w:t>to support</w:t>
      </w:r>
      <w:r w:rsidR="00154C92">
        <w:rPr>
          <w:rStyle w:val="APRANORMALChar"/>
        </w:rPr>
        <w:t xml:space="preserve"> </w:t>
      </w:r>
      <w:r>
        <w:rPr>
          <w:rStyle w:val="APRANORMALChar"/>
        </w:rPr>
        <w:t xml:space="preserve">their </w:t>
      </w:r>
      <w:r w:rsidR="00154C92">
        <w:rPr>
          <w:rStyle w:val="APRANORMALChar"/>
        </w:rPr>
        <w:t>New Zealand subsidiaries</w:t>
      </w:r>
      <w:r w:rsidR="0015500F">
        <w:rPr>
          <w:rStyle w:val="APRANORMALChar"/>
        </w:rPr>
        <w:t xml:space="preserve">. </w:t>
      </w:r>
      <w:r w:rsidR="00154C92">
        <w:rPr>
          <w:rStyle w:val="APRANORMALChar"/>
        </w:rPr>
        <w:t xml:space="preserve"> </w:t>
      </w:r>
    </w:p>
    <w:p w14:paraId="5625D329" w14:textId="7CCB0850" w:rsidR="00624477" w:rsidRPr="0062025F" w:rsidRDefault="00624477" w:rsidP="005F33EA">
      <w:pPr>
        <w:pStyle w:val="Heading2Numbers"/>
      </w:pPr>
      <w:r>
        <w:t>Measurement of exposures to related entities</w:t>
      </w:r>
    </w:p>
    <w:p w14:paraId="0422ADD4" w14:textId="77777777" w:rsidR="00624477" w:rsidRPr="00316379" w:rsidRDefault="00624477" w:rsidP="005F33EA">
      <w:pPr>
        <w:pStyle w:val="Heading3"/>
      </w:pPr>
      <w:r w:rsidRPr="00316379">
        <w:t>Comments received</w:t>
      </w:r>
    </w:p>
    <w:p w14:paraId="41736100" w14:textId="037862D8" w:rsidR="00624477" w:rsidRDefault="00624477" w:rsidP="00624477">
      <w:pPr>
        <w:pStyle w:val="APRANORMAL"/>
        <w:rPr>
          <w:rStyle w:val="APRANORMALChar"/>
        </w:rPr>
      </w:pPr>
      <w:r>
        <w:rPr>
          <w:rStyle w:val="APRANORMALChar"/>
        </w:rPr>
        <w:t xml:space="preserve">Submissions requested further clarity regarding the methodology for measuring exposures to related entities. </w:t>
      </w:r>
      <w:r w:rsidR="0015500F">
        <w:rPr>
          <w:rStyle w:val="APRANORMALChar"/>
        </w:rPr>
        <w:t>In particular, t</w:t>
      </w:r>
      <w:r>
        <w:rPr>
          <w:rStyle w:val="APRANORMALChar"/>
        </w:rPr>
        <w:t xml:space="preserve">he </w:t>
      </w:r>
      <w:r w:rsidR="0015500F">
        <w:rPr>
          <w:rStyle w:val="APRANORMALChar"/>
        </w:rPr>
        <w:t>'</w:t>
      </w:r>
      <w:r>
        <w:rPr>
          <w:rStyle w:val="APRANORMALChar"/>
        </w:rPr>
        <w:t>look-through</w:t>
      </w:r>
      <w:r w:rsidR="0015500F">
        <w:rPr>
          <w:rStyle w:val="APRANORMALChar"/>
        </w:rPr>
        <w:t>'</w:t>
      </w:r>
      <w:r>
        <w:rPr>
          <w:rStyle w:val="APRANORMALChar"/>
        </w:rPr>
        <w:t xml:space="preserve"> approach</w:t>
      </w:r>
      <w:r w:rsidR="0053773B">
        <w:rPr>
          <w:rStyle w:val="APRANORMALChar"/>
        </w:rPr>
        <w:t>, which</w:t>
      </w:r>
      <w:r>
        <w:rPr>
          <w:rStyle w:val="APRANORMALChar"/>
        </w:rPr>
        <w:t xml:space="preserve"> requires an ADI to look through a structured vehicle to the underlying assets in considering the underlying risks of th</w:t>
      </w:r>
      <w:r w:rsidR="00EF3BD4">
        <w:rPr>
          <w:rStyle w:val="APRANORMALChar"/>
        </w:rPr>
        <w:t>o</w:t>
      </w:r>
      <w:r>
        <w:rPr>
          <w:rStyle w:val="APRANORMALChar"/>
        </w:rPr>
        <w:t>se exposures</w:t>
      </w:r>
      <w:r w:rsidR="0053773B">
        <w:rPr>
          <w:rStyle w:val="APRANORMALChar"/>
        </w:rPr>
        <w:t>,</w:t>
      </w:r>
      <w:r w:rsidR="0015500F">
        <w:rPr>
          <w:rStyle w:val="APRANORMALChar"/>
        </w:rPr>
        <w:t xml:space="preserve"> raised a number of concerns</w:t>
      </w:r>
      <w:r>
        <w:rPr>
          <w:rStyle w:val="APRANORMALChar"/>
        </w:rPr>
        <w:t>.</w:t>
      </w:r>
    </w:p>
    <w:p w14:paraId="4A7B2E2C" w14:textId="71ADC4AD" w:rsidR="00624477" w:rsidRDefault="00624477" w:rsidP="00624477">
      <w:pPr>
        <w:pStyle w:val="APRANORMAL"/>
        <w:rPr>
          <w:rStyle w:val="APRANORMALChar"/>
        </w:rPr>
      </w:pPr>
      <w:r>
        <w:rPr>
          <w:rStyle w:val="APRANORMALChar"/>
        </w:rPr>
        <w:t>Some respondents queried whether an exposure would be captured under APS 221 if the exposure is to a related entity and is already captured under APS 222.</w:t>
      </w:r>
      <w:r w:rsidR="00A368EA">
        <w:rPr>
          <w:rStyle w:val="APRANORMALChar"/>
        </w:rPr>
        <w:t xml:space="preserve"> </w:t>
      </w:r>
      <w:r w:rsidR="003F08C8">
        <w:rPr>
          <w:rStyle w:val="APRANORMALChar"/>
        </w:rPr>
        <w:t xml:space="preserve">It was also suggested </w:t>
      </w:r>
      <w:r>
        <w:rPr>
          <w:rStyle w:val="APRANORMALChar"/>
        </w:rPr>
        <w:t>that the prudential standard makes explicit that only the exposure to a structured vehicle is required to be captured under the look-through approach where the exposure has also been assigned to the underlying assets in order to avoid double counting.</w:t>
      </w:r>
    </w:p>
    <w:p w14:paraId="72A71D09" w14:textId="77777777" w:rsidR="00624477" w:rsidRPr="00316379" w:rsidRDefault="00624477" w:rsidP="005F33EA">
      <w:pPr>
        <w:pStyle w:val="Heading3"/>
      </w:pPr>
      <w:r>
        <w:t>APRA response</w:t>
      </w:r>
    </w:p>
    <w:p w14:paraId="04F8E799" w14:textId="4AEA24CC" w:rsidR="00A368EA" w:rsidRPr="00A368EA" w:rsidRDefault="00624477" w:rsidP="00A368EA">
      <w:pPr>
        <w:pStyle w:val="APRANORMAL"/>
        <w:rPr>
          <w:rStyle w:val="APRANORMALChar"/>
        </w:rPr>
      </w:pPr>
      <w:r>
        <w:rPr>
          <w:rStyle w:val="APRANORMALChar"/>
        </w:rPr>
        <w:t>Exposures to related entities captured under APS 222 are not captured by APS 221</w:t>
      </w:r>
      <w:r w:rsidR="0015500F">
        <w:rPr>
          <w:rStyle w:val="APRANORMALChar"/>
        </w:rPr>
        <w:t>; as such APRA does not believe there is scope for double counting</w:t>
      </w:r>
      <w:r>
        <w:rPr>
          <w:rStyle w:val="APRANORMALChar"/>
        </w:rPr>
        <w:t xml:space="preserve">. </w:t>
      </w:r>
      <w:r w:rsidR="00A368EA" w:rsidRPr="00A368EA">
        <w:rPr>
          <w:rStyle w:val="APRANORMALChar"/>
        </w:rPr>
        <w:t>The look-through approach for measuring exposures to structured vehicles is a robust method for identifying all exposures to a counterparty</w:t>
      </w:r>
      <w:r w:rsidR="00A368EA" w:rsidRPr="00CC3E19">
        <w:rPr>
          <w:rStyle w:val="APRANORMALChar"/>
        </w:rPr>
        <w:t xml:space="preserve">. It is appropriate to consider the exposures of both structured vehicles and the underlying assets in determining the </w:t>
      </w:r>
      <w:r w:rsidR="00A368EA" w:rsidRPr="00274EE8">
        <w:rPr>
          <w:rStyle w:val="APRANORMALChar"/>
        </w:rPr>
        <w:t xml:space="preserve">exposure to a related party. </w:t>
      </w:r>
    </w:p>
    <w:p w14:paraId="500329F7" w14:textId="78B66B74" w:rsidR="00624477" w:rsidRPr="00C63CCC" w:rsidRDefault="00624477" w:rsidP="005F33EA">
      <w:pPr>
        <w:pStyle w:val="Heading1Numbers"/>
      </w:pPr>
      <w:bookmarkStart w:id="66" w:name="_Toc11944706"/>
      <w:bookmarkStart w:id="67" w:name="_Toc12375290"/>
      <w:bookmarkStart w:id="68" w:name="_Toc11767830"/>
      <w:r>
        <w:t>Extended Licensed Entity framework</w:t>
      </w:r>
      <w:bookmarkEnd w:id="66"/>
      <w:bookmarkEnd w:id="67"/>
      <w:r>
        <w:t xml:space="preserve"> </w:t>
      </w:r>
      <w:bookmarkEnd w:id="68"/>
    </w:p>
    <w:p w14:paraId="246DBB4E" w14:textId="77777777" w:rsidR="00624477" w:rsidRDefault="00624477" w:rsidP="00624477">
      <w:pPr>
        <w:pStyle w:val="APRANORMAL"/>
        <w:rPr>
          <w:rStyle w:val="APRANORMALChar"/>
        </w:rPr>
      </w:pPr>
      <w:r>
        <w:rPr>
          <w:rStyle w:val="APRANORMALChar"/>
        </w:rPr>
        <w:t>This chapter sets out issues raised in submissions relating to the Extended Licensed Entity (ELE) framework and APRA’s response to these issues.</w:t>
      </w:r>
    </w:p>
    <w:p w14:paraId="20B75942" w14:textId="155B114B" w:rsidR="00624477" w:rsidRPr="0062025F" w:rsidRDefault="00624477" w:rsidP="005F33EA">
      <w:pPr>
        <w:pStyle w:val="Heading2Numbers"/>
      </w:pPr>
      <w:r>
        <w:t>Revisions to the ELE arrangements</w:t>
      </w:r>
    </w:p>
    <w:p w14:paraId="4093ED77" w14:textId="3C74A1FB" w:rsidR="001C6534" w:rsidRDefault="001C2CF2" w:rsidP="00624477">
      <w:pPr>
        <w:pStyle w:val="APRANORMAL"/>
        <w:rPr>
          <w:rStyle w:val="APRANORMALChar"/>
        </w:rPr>
      </w:pPr>
      <w:r>
        <w:rPr>
          <w:rStyle w:val="APRANORMALChar"/>
        </w:rPr>
        <w:t xml:space="preserve">The ELE framework is a longstanding feature of APRA's prudential framework which </w:t>
      </w:r>
      <w:r w:rsidR="00624477">
        <w:rPr>
          <w:rStyle w:val="APRANORMALChar"/>
        </w:rPr>
        <w:t xml:space="preserve">allows an ADI to consolidate certain approved subsidiaries (ELE subsidiaries) </w:t>
      </w:r>
      <w:r w:rsidR="005F2709">
        <w:rPr>
          <w:rStyle w:val="APRANORMALChar"/>
        </w:rPr>
        <w:t xml:space="preserve">to meet </w:t>
      </w:r>
      <w:r w:rsidR="00624477">
        <w:rPr>
          <w:rStyle w:val="APRANORMALChar"/>
        </w:rPr>
        <w:t xml:space="preserve">prudential </w:t>
      </w:r>
      <w:r w:rsidR="005F2709">
        <w:rPr>
          <w:rStyle w:val="APRANORMALChar"/>
        </w:rPr>
        <w:t xml:space="preserve">requirements that apply on a Level 1 </w:t>
      </w:r>
      <w:r>
        <w:rPr>
          <w:rStyle w:val="APRANORMALChar"/>
        </w:rPr>
        <w:t xml:space="preserve">ADI legal entity </w:t>
      </w:r>
      <w:r w:rsidR="005F2709">
        <w:rPr>
          <w:rStyle w:val="APRANORMALChar"/>
        </w:rPr>
        <w:t>basis</w:t>
      </w:r>
      <w:r w:rsidR="00624477">
        <w:rPr>
          <w:rStyle w:val="APRANORMALChar"/>
        </w:rPr>
        <w:t xml:space="preserve">. The overall consolidation that includes the ADI and the ELE subsidiaries is termed the ELE. Exposures of the </w:t>
      </w:r>
      <w:r w:rsidR="005F2709">
        <w:rPr>
          <w:rStyle w:val="APRANORMALChar"/>
        </w:rPr>
        <w:t xml:space="preserve">standalone </w:t>
      </w:r>
      <w:r w:rsidR="00624477">
        <w:rPr>
          <w:rStyle w:val="APRANORMALChar"/>
        </w:rPr>
        <w:t xml:space="preserve">ADI to </w:t>
      </w:r>
      <w:r w:rsidR="005F2709">
        <w:rPr>
          <w:rStyle w:val="APRANORMALChar"/>
        </w:rPr>
        <w:t xml:space="preserve">its </w:t>
      </w:r>
      <w:r w:rsidR="00624477">
        <w:rPr>
          <w:rStyle w:val="APRANORMALChar"/>
        </w:rPr>
        <w:t xml:space="preserve">ELE subsidiaries are not subject to the limits in APS 222. </w:t>
      </w:r>
    </w:p>
    <w:p w14:paraId="34E7FC1D" w14:textId="0609BA96" w:rsidR="00624477" w:rsidRDefault="00624477" w:rsidP="00624477">
      <w:pPr>
        <w:pStyle w:val="APRANORMAL"/>
        <w:rPr>
          <w:rStyle w:val="APRANORMALChar"/>
        </w:rPr>
      </w:pPr>
      <w:r>
        <w:rPr>
          <w:rStyle w:val="APRANORMALChar"/>
        </w:rPr>
        <w:t xml:space="preserve">As outlined in APRA’s July 2018 discussion paper, </w:t>
      </w:r>
      <w:r w:rsidR="00C44B71">
        <w:rPr>
          <w:rStyle w:val="APRANORMALChar"/>
        </w:rPr>
        <w:t xml:space="preserve">the </w:t>
      </w:r>
      <w:r>
        <w:rPr>
          <w:rStyle w:val="APRANORMALChar"/>
        </w:rPr>
        <w:t xml:space="preserve">ELE framework </w:t>
      </w:r>
      <w:r w:rsidR="00C44B71">
        <w:rPr>
          <w:rStyle w:val="APRANORMALChar"/>
        </w:rPr>
        <w:t xml:space="preserve">was established </w:t>
      </w:r>
      <w:r>
        <w:rPr>
          <w:rStyle w:val="APRANORMALChar"/>
        </w:rPr>
        <w:t>to enable efficiencies for legal, taxation and other regulatory compliance reasons. As a consequence of how the ELE framework has been used by ADIs, APRA has concerns that ELE arrangements have added complexity in ADI group structures, hindered supervision of ELE subsidiaries, and have the potential to complicate resolution in the wind-up of the ADI.</w:t>
      </w:r>
    </w:p>
    <w:p w14:paraId="42BFB4C9" w14:textId="6176E5C9" w:rsidR="00624477" w:rsidRDefault="00624477" w:rsidP="00624477">
      <w:pPr>
        <w:pStyle w:val="APRANORMAL"/>
        <w:rPr>
          <w:rStyle w:val="APRANORMALChar"/>
        </w:rPr>
      </w:pPr>
      <w:r>
        <w:rPr>
          <w:rStyle w:val="APRANORMALChar"/>
        </w:rPr>
        <w:t xml:space="preserve">APRA proposed to </w:t>
      </w:r>
      <w:r w:rsidR="00EC690B">
        <w:rPr>
          <w:rStyle w:val="APRANORMALChar"/>
        </w:rPr>
        <w:t>amend th</w:t>
      </w:r>
      <w:r>
        <w:rPr>
          <w:rStyle w:val="APRANORMALChar"/>
        </w:rPr>
        <w:t xml:space="preserve">e ELE framework to remove </w:t>
      </w:r>
      <w:r w:rsidR="00505E60">
        <w:rPr>
          <w:rStyle w:val="APRANORMALChar"/>
        </w:rPr>
        <w:t>explicitly</w:t>
      </w:r>
      <w:r>
        <w:rPr>
          <w:rStyle w:val="APRANORMALChar"/>
        </w:rPr>
        <w:t xml:space="preserve"> the eligibility of overseas subsidiaries from being included in an ELE,</w:t>
      </w:r>
      <w:r w:rsidRPr="00405853">
        <w:rPr>
          <w:rStyle w:val="APRANORMALChar"/>
        </w:rPr>
        <w:t xml:space="preserve"> </w:t>
      </w:r>
      <w:r w:rsidRPr="00B04225">
        <w:rPr>
          <w:rStyle w:val="APRANORMALChar"/>
        </w:rPr>
        <w:t xml:space="preserve">unless the subsidiaries </w:t>
      </w:r>
      <w:r w:rsidRPr="00E66225">
        <w:rPr>
          <w:rStyle w:val="APRANORMALChar"/>
        </w:rPr>
        <w:t xml:space="preserve">were established </w:t>
      </w:r>
      <w:r>
        <w:rPr>
          <w:rStyle w:val="APRANORMALChar"/>
        </w:rPr>
        <w:t xml:space="preserve">with the sole purpose of </w:t>
      </w:r>
      <w:r w:rsidRPr="00AD1B8E">
        <w:rPr>
          <w:rStyle w:val="APRANORMALChar"/>
        </w:rPr>
        <w:t>borrow</w:t>
      </w:r>
      <w:r>
        <w:rPr>
          <w:rStyle w:val="APRANORMALChar"/>
        </w:rPr>
        <w:t>ing</w:t>
      </w:r>
      <w:r w:rsidRPr="00AD1B8E">
        <w:rPr>
          <w:rStyle w:val="APRANORMALChar"/>
        </w:rPr>
        <w:t xml:space="preserve"> on behalf of the ADI</w:t>
      </w:r>
      <w:r w:rsidRPr="00F25310">
        <w:rPr>
          <w:rStyle w:val="APRANORMALChar"/>
        </w:rPr>
        <w:t>.</w:t>
      </w:r>
      <w:r>
        <w:rPr>
          <w:rStyle w:val="APRANORMALChar"/>
        </w:rPr>
        <w:t xml:space="preserve"> Domestic ELE subsidiaries would continue to be eligible </w:t>
      </w:r>
      <w:r w:rsidRPr="00B9008A">
        <w:rPr>
          <w:rStyle w:val="APRANORMALChar"/>
        </w:rPr>
        <w:t>for inclusion in the ELE provided they do not fund offshore businesses.</w:t>
      </w:r>
      <w:r>
        <w:rPr>
          <w:rStyle w:val="APRANORMALChar"/>
        </w:rPr>
        <w:t xml:space="preserve"> In APRA’s view, this is consistent with current ELE eligibility requirements that there are no legal or regulatory barriers, or any other material risks, to the transfer of assets or funds back to the ADI from an ELE subsidiary. APRA requested alternative options to be put forward in submissions from ADIs in the July 2018 consultation in considering the amendments to the ELE framework.</w:t>
      </w:r>
    </w:p>
    <w:p w14:paraId="4F874B1A" w14:textId="77777777" w:rsidR="00624477" w:rsidRPr="00316379" w:rsidRDefault="00624477" w:rsidP="005F33EA">
      <w:pPr>
        <w:pStyle w:val="Heading3"/>
      </w:pPr>
      <w:r w:rsidRPr="00316379">
        <w:t>Comments received</w:t>
      </w:r>
    </w:p>
    <w:p w14:paraId="1458F43F" w14:textId="1ED4300E" w:rsidR="00624477" w:rsidRDefault="00EC690B" w:rsidP="00624477">
      <w:pPr>
        <w:pStyle w:val="APRANORMAL"/>
        <w:rPr>
          <w:rStyle w:val="APRANORMALChar"/>
        </w:rPr>
      </w:pPr>
      <w:r>
        <w:rPr>
          <w:rStyle w:val="APRANORMALChar"/>
        </w:rPr>
        <w:t>S</w:t>
      </w:r>
      <w:r w:rsidR="00624477">
        <w:rPr>
          <w:rStyle w:val="APRANORMALChar"/>
        </w:rPr>
        <w:t xml:space="preserve">ubmissions requested that APRA review its decision to exclude Australian holding companies that have invested in overseas subsidiaries, for reasons which included that </w:t>
      </w:r>
      <w:r>
        <w:rPr>
          <w:rStyle w:val="APRANORMALChar"/>
        </w:rPr>
        <w:t xml:space="preserve">these </w:t>
      </w:r>
      <w:r w:rsidR="00624477">
        <w:rPr>
          <w:rStyle w:val="APRANORMALChar"/>
        </w:rPr>
        <w:t xml:space="preserve">holding companies were located in Australia and that the arrangement replicates the risk profile of the ADI holding the investment in the overseas subsidiaries directly. Respondents noted that the risks of overseas subsidiaries are mitigated through diversification across jurisdictions, counterparties and types of exposures. In particular, submissions suggested further weight should be </w:t>
      </w:r>
      <w:r>
        <w:rPr>
          <w:rStyle w:val="APRANORMALChar"/>
        </w:rPr>
        <w:t>given to</w:t>
      </w:r>
      <w:r w:rsidR="00624477">
        <w:rPr>
          <w:rStyle w:val="APRANORMALChar"/>
        </w:rPr>
        <w:t xml:space="preserve"> jurisdictions with strong legal frameworks and robust regulatory and financial systems such that subsidiaries within these jurisdictions should be permitted to be in</w:t>
      </w:r>
      <w:r w:rsidR="00EF3BD4">
        <w:rPr>
          <w:rStyle w:val="APRANORMALChar"/>
        </w:rPr>
        <w:t>cluded</w:t>
      </w:r>
      <w:r w:rsidR="00663D86">
        <w:rPr>
          <w:rStyle w:val="APRANORMALChar"/>
        </w:rPr>
        <w:t xml:space="preserve"> in</w:t>
      </w:r>
      <w:r w:rsidR="00624477">
        <w:rPr>
          <w:rStyle w:val="APRANORMALChar"/>
        </w:rPr>
        <w:t xml:space="preserve"> the ELE. It was noted that no problems have been experienced with the transferability of assets</w:t>
      </w:r>
      <w:r>
        <w:rPr>
          <w:rStyle w:val="APRANORMALChar"/>
        </w:rPr>
        <w:t xml:space="preserve"> by Australian ADIs</w:t>
      </w:r>
      <w:r w:rsidR="00624477">
        <w:rPr>
          <w:rStyle w:val="APRANORMALChar"/>
        </w:rPr>
        <w:t xml:space="preserve"> in the past and that transferability is unlikely to be an issue in reasonably foreseeable situations. </w:t>
      </w:r>
      <w:r w:rsidR="00624477">
        <w:t xml:space="preserve">Some affected ADIs </w:t>
      </w:r>
      <w:r w:rsidR="00624477" w:rsidRPr="008B10B3">
        <w:t>requested transition periods</w:t>
      </w:r>
      <w:r w:rsidR="00624477">
        <w:t xml:space="preserve"> to meet the proposed ELE revisions.</w:t>
      </w:r>
    </w:p>
    <w:p w14:paraId="339ED986" w14:textId="77777777" w:rsidR="00624477" w:rsidRPr="00316379" w:rsidRDefault="00624477" w:rsidP="005F33EA">
      <w:pPr>
        <w:pStyle w:val="Heading3"/>
      </w:pPr>
      <w:r>
        <w:t>APRA response</w:t>
      </w:r>
    </w:p>
    <w:p w14:paraId="700BABD7" w14:textId="0499FC5D" w:rsidR="00624477" w:rsidRPr="00254DD5" w:rsidRDefault="006D43E2" w:rsidP="00624477">
      <w:pPr>
        <w:pStyle w:val="APRANORMAL"/>
        <w:rPr>
          <w:rStyle w:val="APRANORMALChar"/>
        </w:rPr>
      </w:pPr>
      <w:r>
        <w:rPr>
          <w:rStyle w:val="APRANORMALChar"/>
        </w:rPr>
        <w:t>The i</w:t>
      </w:r>
      <w:r w:rsidR="00624477">
        <w:rPr>
          <w:rStyle w:val="APRANORMALChar"/>
        </w:rPr>
        <w:t>nformation provided by submissions has not addressed APRA’s concerns regarding the existing ELE framework</w:t>
      </w:r>
      <w:r w:rsidR="004B50B2">
        <w:rPr>
          <w:rStyle w:val="APRANORMALChar"/>
        </w:rPr>
        <w:t xml:space="preserve">, particularly </w:t>
      </w:r>
      <w:r w:rsidR="00EA1D98">
        <w:rPr>
          <w:rStyle w:val="APRANORMALChar"/>
        </w:rPr>
        <w:t>in relation to</w:t>
      </w:r>
      <w:r w:rsidR="004B50B2">
        <w:rPr>
          <w:rStyle w:val="APRANORMALChar"/>
        </w:rPr>
        <w:t xml:space="preserve"> overseas subsidiaries</w:t>
      </w:r>
      <w:r w:rsidR="00624477">
        <w:rPr>
          <w:rStyle w:val="APRANORMALChar"/>
        </w:rPr>
        <w:t xml:space="preserve">. The main concerns remain that the ELE framework has resulted in more complex group structures for ADIs, hindered </w:t>
      </w:r>
      <w:r w:rsidR="004B50B2">
        <w:rPr>
          <w:rStyle w:val="APRANORMALChar"/>
        </w:rPr>
        <w:t xml:space="preserve">transparency and </w:t>
      </w:r>
      <w:r w:rsidR="00624477">
        <w:rPr>
          <w:rStyle w:val="APRANORMALChar"/>
        </w:rPr>
        <w:t xml:space="preserve">supervision, and has the potential to complicate resolution activities in the event of </w:t>
      </w:r>
      <w:r w:rsidR="00EF3BD4">
        <w:rPr>
          <w:rStyle w:val="APRANORMALChar"/>
        </w:rPr>
        <w:t>the</w:t>
      </w:r>
      <w:r w:rsidR="00624477">
        <w:rPr>
          <w:rStyle w:val="APRANORMALChar"/>
        </w:rPr>
        <w:t xml:space="preserve"> wind-up of an ADI. This has heightened concerns around contagion risks and the potential impacts on the standalone ADI in a crisis. </w:t>
      </w:r>
    </w:p>
    <w:p w14:paraId="0ACC3FDC" w14:textId="19DE9E57" w:rsidR="00624477" w:rsidRDefault="00624477" w:rsidP="00624477">
      <w:pPr>
        <w:pStyle w:val="APRANORMAL"/>
        <w:rPr>
          <w:rStyle w:val="APRANORMALChar"/>
        </w:rPr>
      </w:pPr>
      <w:r>
        <w:rPr>
          <w:rStyle w:val="APRANORMALChar"/>
        </w:rPr>
        <w:t xml:space="preserve">As detailed in APRA’s July 2018 discussion paper, APRA is removing the eligibility of overseas subsidiaries to enhance the prudential supervision of an ADI’s banking activities unless they have been established to borrow on behalf of the ADI. This is aligned with the current requirements that there are no legal or regulatory barriers, or any other material risks, to the transfer of any assets or funds (including assets of funds of underlying subsidiaries) back to the ADI. Any subsidiaries incorporated domestically, including any holding companies, which </w:t>
      </w:r>
      <w:r w:rsidRPr="00E66225">
        <w:rPr>
          <w:rStyle w:val="APRANORMALChar"/>
        </w:rPr>
        <w:t>fund or hold offshore</w:t>
      </w:r>
      <w:r>
        <w:rPr>
          <w:rStyle w:val="APRANORMALChar"/>
        </w:rPr>
        <w:t xml:space="preserve"> business or assets will not be eligible to be treated as part of an ELE</w:t>
      </w:r>
      <w:r w:rsidR="005A0AC9">
        <w:rPr>
          <w:rStyle w:val="APRANORMALChar"/>
        </w:rPr>
        <w:t>.</w:t>
      </w:r>
      <w:r>
        <w:rPr>
          <w:rStyle w:val="APRANORMALChar"/>
        </w:rPr>
        <w:t xml:space="preserve"> </w:t>
      </w:r>
    </w:p>
    <w:p w14:paraId="58BA8C00" w14:textId="0C6D1F7D" w:rsidR="00624477" w:rsidRPr="00254DD5" w:rsidRDefault="00EC690B" w:rsidP="00624477">
      <w:pPr>
        <w:pStyle w:val="APRANORMAL"/>
        <w:rPr>
          <w:rStyle w:val="APRANORMALChar"/>
        </w:rPr>
      </w:pPr>
      <w:r>
        <w:rPr>
          <w:rStyle w:val="APRANORMALChar"/>
        </w:rPr>
        <w:t>The changes to ELE requirements</w:t>
      </w:r>
      <w:r w:rsidR="00624477">
        <w:rPr>
          <w:rStyle w:val="APRANORMALChar"/>
        </w:rPr>
        <w:t xml:space="preserve"> will have material consequences for a </w:t>
      </w:r>
      <w:r>
        <w:rPr>
          <w:rStyle w:val="APRANORMALChar"/>
        </w:rPr>
        <w:t>limited</w:t>
      </w:r>
      <w:r w:rsidR="00624477">
        <w:rPr>
          <w:rStyle w:val="APRANORMALChar"/>
        </w:rPr>
        <w:t xml:space="preserve"> number of ADIs and APRA is open to providing appropriate transitional arrangements to avoid unreasonable disruption to longstanding business operations. ADIs which require transition to meet the new requirements should contact their APRA supervisor.</w:t>
      </w:r>
    </w:p>
    <w:p w14:paraId="2EBC6C76" w14:textId="09453189" w:rsidR="00624477" w:rsidRPr="00C63CCC" w:rsidRDefault="00624477" w:rsidP="00D129CD">
      <w:pPr>
        <w:pStyle w:val="Heading1Numbers"/>
      </w:pPr>
      <w:bookmarkStart w:id="69" w:name="_Toc11767831"/>
      <w:bookmarkStart w:id="70" w:name="_Toc11944707"/>
      <w:bookmarkStart w:id="71" w:name="_Toc12375291"/>
      <w:r>
        <w:t>Step-in risk</w:t>
      </w:r>
      <w:bookmarkEnd w:id="69"/>
      <w:bookmarkEnd w:id="70"/>
      <w:bookmarkEnd w:id="71"/>
      <w:r>
        <w:t xml:space="preserve"> </w:t>
      </w:r>
    </w:p>
    <w:p w14:paraId="0D99AD1B" w14:textId="7C5D2088" w:rsidR="00624477" w:rsidRDefault="00EC690B" w:rsidP="00624477">
      <w:pPr>
        <w:pStyle w:val="APRANORMAL"/>
        <w:rPr>
          <w:rStyle w:val="APRANORMALChar"/>
        </w:rPr>
      </w:pPr>
      <w:r>
        <w:rPr>
          <w:rStyle w:val="APRANORMALChar"/>
        </w:rPr>
        <w:t>This</w:t>
      </w:r>
      <w:r w:rsidR="00624477">
        <w:rPr>
          <w:rStyle w:val="APRANORMALChar"/>
        </w:rPr>
        <w:t xml:space="preserve"> chapter sets out issues raised in submissions relating to step-in risk and APRA’s response to these issues.</w:t>
      </w:r>
    </w:p>
    <w:p w14:paraId="5B92AE29" w14:textId="2AAF2947" w:rsidR="00624477" w:rsidRPr="0062025F" w:rsidRDefault="00624477" w:rsidP="00D129CD">
      <w:pPr>
        <w:pStyle w:val="Heading2Numbers"/>
      </w:pPr>
      <w:r>
        <w:t>Revisions to the treatment of step-in risk</w:t>
      </w:r>
    </w:p>
    <w:p w14:paraId="2530546E" w14:textId="163649D9" w:rsidR="00624477" w:rsidRDefault="00EC690B" w:rsidP="00624477">
      <w:pPr>
        <w:pStyle w:val="APRANORMAL"/>
        <w:rPr>
          <w:rFonts w:ascii="DIN OT Medium" w:hAnsi="DIN OT Medium" w:cs="DIN Offc"/>
          <w:bCs/>
        </w:rPr>
      </w:pPr>
      <w:r>
        <w:rPr>
          <w:rFonts w:cs="Arial"/>
        </w:rPr>
        <w:t>Step-in risk is the risk that an ADI may step in to support an entity to which it is not related</w:t>
      </w:r>
      <w:r w:rsidR="00C44B71">
        <w:rPr>
          <w:rFonts w:cs="Arial"/>
        </w:rPr>
        <w:t xml:space="preserve"> </w:t>
      </w:r>
      <w:r>
        <w:rPr>
          <w:rFonts w:cs="Arial"/>
        </w:rPr>
        <w:t xml:space="preserve">for reasons generally due to brand or reputational considerations. </w:t>
      </w:r>
      <w:r w:rsidR="00624477">
        <w:rPr>
          <w:rFonts w:cs="Arial"/>
        </w:rPr>
        <w:t>Step</w:t>
      </w:r>
      <w:r w:rsidR="00624477" w:rsidRPr="00F331F4">
        <w:rPr>
          <w:rFonts w:cs="Arial"/>
        </w:rPr>
        <w:t xml:space="preserve">-in risk entities expose ADIs to similar risks to those arising from ownership or control of </w:t>
      </w:r>
      <w:r w:rsidR="00624477">
        <w:rPr>
          <w:rFonts w:cs="Arial"/>
        </w:rPr>
        <w:t>an</w:t>
      </w:r>
      <w:r w:rsidR="00624477" w:rsidRPr="00F331F4">
        <w:rPr>
          <w:rFonts w:cs="Arial"/>
        </w:rPr>
        <w:t xml:space="preserve"> entity. For both related entities and for entities for which an ADI might </w:t>
      </w:r>
      <w:r w:rsidR="00624477">
        <w:rPr>
          <w:rFonts w:cs="Arial"/>
        </w:rPr>
        <w:t>‘</w:t>
      </w:r>
      <w:r w:rsidR="00624477" w:rsidRPr="00F331F4">
        <w:rPr>
          <w:rFonts w:cs="Arial"/>
        </w:rPr>
        <w:t>step-in</w:t>
      </w:r>
      <w:r w:rsidR="00624477">
        <w:rPr>
          <w:rFonts w:cs="Arial"/>
        </w:rPr>
        <w:t>’</w:t>
      </w:r>
      <w:r w:rsidR="00624477" w:rsidRPr="00F331F4">
        <w:rPr>
          <w:rFonts w:cs="Arial"/>
        </w:rPr>
        <w:t>, there is the potential for an ADI to act to manage contagion risks arising from its associations with these types of entities</w:t>
      </w:r>
      <w:r w:rsidR="00624477">
        <w:rPr>
          <w:rFonts w:cs="Arial"/>
        </w:rPr>
        <w:t xml:space="preserve"> in a similar way</w:t>
      </w:r>
      <w:r w:rsidR="00624477" w:rsidRPr="00F331F4">
        <w:rPr>
          <w:rFonts w:cs="Arial"/>
        </w:rPr>
        <w:t>.</w:t>
      </w:r>
      <w:r w:rsidR="00624477">
        <w:rPr>
          <w:rFonts w:cs="Arial"/>
        </w:rPr>
        <w:t xml:space="preserve"> In</w:t>
      </w:r>
      <w:r w:rsidR="00EF3BD4">
        <w:rPr>
          <w:rFonts w:cs="Arial"/>
        </w:rPr>
        <w:t xml:space="preserve"> </w:t>
      </w:r>
      <w:r w:rsidR="00E931B7">
        <w:rPr>
          <w:rFonts w:cs="Arial"/>
        </w:rPr>
        <w:t xml:space="preserve">APRA’s </w:t>
      </w:r>
      <w:r w:rsidR="00EF3BD4">
        <w:rPr>
          <w:rFonts w:cs="Arial"/>
        </w:rPr>
        <w:t>July 2018 discussion paper, APRA</w:t>
      </w:r>
      <w:r w:rsidR="00624477">
        <w:rPr>
          <w:rFonts w:cs="Arial"/>
        </w:rPr>
        <w:t xml:space="preserve"> sought information from ADIs regarding the number and size of entities that may be caught by the step-in risk requirements </w:t>
      </w:r>
      <w:r w:rsidR="00EF3BD4">
        <w:rPr>
          <w:rFonts w:cs="Arial"/>
        </w:rPr>
        <w:t>to understand the impact of this reform.</w:t>
      </w:r>
    </w:p>
    <w:p w14:paraId="4A23CB43" w14:textId="77777777" w:rsidR="00624477" w:rsidRPr="00316379" w:rsidRDefault="00624477" w:rsidP="00624477">
      <w:pPr>
        <w:pStyle w:val="APRAHEADING3"/>
      </w:pPr>
      <w:r w:rsidRPr="00316379">
        <w:t>Comments received</w:t>
      </w:r>
    </w:p>
    <w:p w14:paraId="5A39B83C" w14:textId="6A317DF5" w:rsidR="00624477" w:rsidRPr="00806748" w:rsidRDefault="00624477" w:rsidP="00624477">
      <w:pPr>
        <w:pStyle w:val="APRANORMAL"/>
        <w:rPr>
          <w:rFonts w:cs="Arial"/>
        </w:rPr>
      </w:pPr>
      <w:r>
        <w:rPr>
          <w:rStyle w:val="APRANORMALChar"/>
        </w:rPr>
        <w:t>Submissions commented that step-in risk entities do not fit with</w:t>
      </w:r>
      <w:r w:rsidR="005A0AC9">
        <w:rPr>
          <w:rStyle w:val="APRANORMALChar"/>
        </w:rPr>
        <w:t>in</w:t>
      </w:r>
      <w:r>
        <w:rPr>
          <w:rStyle w:val="APRANORMALChar"/>
        </w:rPr>
        <w:t xml:space="preserve"> the definition of related entities as exposures to step-in risk entities are difficult to measure and are potentially not limited or documented. Submissions noted </w:t>
      </w:r>
      <w:r w:rsidRPr="00806748">
        <w:rPr>
          <w:rStyle w:val="APRANORMALChar"/>
        </w:rPr>
        <w:t xml:space="preserve">that </w:t>
      </w:r>
      <w:r w:rsidRPr="00806748">
        <w:rPr>
          <w:rFonts w:cs="Arial"/>
        </w:rPr>
        <w:t xml:space="preserve">treating the two types of entities in the same way under the related entities framework </w:t>
      </w:r>
      <w:r>
        <w:rPr>
          <w:rFonts w:cs="Arial"/>
        </w:rPr>
        <w:t xml:space="preserve">may </w:t>
      </w:r>
      <w:r w:rsidRPr="00806748">
        <w:rPr>
          <w:rFonts w:cs="Arial"/>
        </w:rPr>
        <w:t xml:space="preserve">create conflicts between </w:t>
      </w:r>
      <w:r>
        <w:rPr>
          <w:rFonts w:cs="Arial"/>
        </w:rPr>
        <w:t>various paragraphs</w:t>
      </w:r>
      <w:r w:rsidRPr="00806748">
        <w:rPr>
          <w:rFonts w:cs="Arial"/>
        </w:rPr>
        <w:t xml:space="preserve"> in APS 222.</w:t>
      </w:r>
      <w:r w:rsidRPr="00F25310">
        <w:rPr>
          <w:rStyle w:val="APRANORMALChar"/>
        </w:rPr>
        <w:t xml:space="preserve"> </w:t>
      </w:r>
      <w:r>
        <w:rPr>
          <w:rStyle w:val="APRANORMALChar"/>
        </w:rPr>
        <w:t>Some respondents noted that the proposals on step-in risk may add complexity in terms of ongoing implementation, monitoring and governance. Submissions did not provide detailed data regarding the number and size of entities that may be caught by the step-in risk requirements.</w:t>
      </w:r>
    </w:p>
    <w:p w14:paraId="735DA90A" w14:textId="77777777" w:rsidR="00624477" w:rsidRPr="00316379" w:rsidRDefault="00624477" w:rsidP="00D129CD">
      <w:pPr>
        <w:pStyle w:val="Heading3"/>
      </w:pPr>
      <w:r>
        <w:t>APRA response</w:t>
      </w:r>
    </w:p>
    <w:p w14:paraId="6B2ADD44" w14:textId="77777777" w:rsidR="00624477" w:rsidRDefault="00624477" w:rsidP="00624477">
      <w:pPr>
        <w:rPr>
          <w:rFonts w:cs="Arial"/>
        </w:rPr>
      </w:pPr>
      <w:r>
        <w:rPr>
          <w:rFonts w:cs="Arial"/>
        </w:rPr>
        <w:t>APRA acknowledges that</w:t>
      </w:r>
      <w:r w:rsidRPr="00F331F4">
        <w:rPr>
          <w:rFonts w:cs="Arial"/>
        </w:rPr>
        <w:t xml:space="preserve"> while the contagion risk is similar, the approach for measuring and mitigating that contagion risk </w:t>
      </w:r>
      <w:r>
        <w:rPr>
          <w:rFonts w:cs="Arial"/>
        </w:rPr>
        <w:t>may</w:t>
      </w:r>
      <w:r w:rsidRPr="00F331F4">
        <w:rPr>
          <w:rFonts w:cs="Arial"/>
        </w:rPr>
        <w:t xml:space="preserve"> be different</w:t>
      </w:r>
      <w:r>
        <w:rPr>
          <w:rFonts w:cs="Arial"/>
        </w:rPr>
        <w:t xml:space="preserve"> between related entities and step-in risk entities</w:t>
      </w:r>
      <w:r w:rsidRPr="00F331F4">
        <w:rPr>
          <w:rFonts w:cs="Arial"/>
        </w:rPr>
        <w:t xml:space="preserve">. </w:t>
      </w:r>
    </w:p>
    <w:p w14:paraId="667764A0" w14:textId="18998DC6" w:rsidR="00624477" w:rsidRDefault="00624477" w:rsidP="00624477">
      <w:pPr>
        <w:rPr>
          <w:rStyle w:val="APRANORMALChar"/>
        </w:rPr>
      </w:pPr>
      <w:r>
        <w:rPr>
          <w:rStyle w:val="APRANORMALChar"/>
        </w:rPr>
        <w:t>In the revised standard, the definition of a related entity</w:t>
      </w:r>
      <w:r w:rsidR="004B50B2">
        <w:rPr>
          <w:rStyle w:val="APRANORMALChar"/>
        </w:rPr>
        <w:t xml:space="preserve"> no longer includes a step-in risk entity</w:t>
      </w:r>
      <w:r>
        <w:rPr>
          <w:rStyle w:val="APRANORMALChar"/>
        </w:rPr>
        <w:t xml:space="preserve">. Instead, </w:t>
      </w:r>
      <w:r w:rsidRPr="00FC4300">
        <w:rPr>
          <w:rStyle w:val="APRANORMALChar"/>
        </w:rPr>
        <w:t>an ADI will need to assess contagion risks arising from step-in risk entities on a regular basis,</w:t>
      </w:r>
      <w:r w:rsidR="003863E3">
        <w:rPr>
          <w:rStyle w:val="APRANORMALChar"/>
        </w:rPr>
        <w:t xml:space="preserve"> and report on identified step-in risk entities</w:t>
      </w:r>
      <w:r w:rsidRPr="00FC4300">
        <w:rPr>
          <w:rStyle w:val="APRANORMALChar"/>
        </w:rPr>
        <w:t xml:space="preserve"> annually</w:t>
      </w:r>
      <w:r w:rsidRPr="00BD7025">
        <w:rPr>
          <w:rStyle w:val="APRANORMALChar"/>
        </w:rPr>
        <w:t>.</w:t>
      </w:r>
      <w:r>
        <w:rPr>
          <w:rStyle w:val="APRANORMALChar"/>
        </w:rPr>
        <w:t xml:space="preserve"> Furthermore, APRA has included requirements on step-in risk in </w:t>
      </w:r>
      <w:r w:rsidRPr="00D41474">
        <w:rPr>
          <w:rStyle w:val="APRANORMALChar"/>
        </w:rPr>
        <w:t>Attachment A</w:t>
      </w:r>
      <w:r w:rsidR="00697699">
        <w:rPr>
          <w:rStyle w:val="APRANORMALChar"/>
        </w:rPr>
        <w:t xml:space="preserve"> to</w:t>
      </w:r>
      <w:r>
        <w:rPr>
          <w:rStyle w:val="APRANORMALChar"/>
        </w:rPr>
        <w:t xml:space="preserve"> APS 222, including the factors in the July 2018 </w:t>
      </w:r>
      <w:r w:rsidR="00593EA9" w:rsidRPr="007062A6">
        <w:rPr>
          <w:rStyle w:val="APRANORMALChar"/>
        </w:rPr>
        <w:t>consultatio</w:t>
      </w:r>
      <w:r w:rsidR="00593EA9" w:rsidRPr="003863E3">
        <w:rPr>
          <w:rStyle w:val="APRANORMALChar"/>
        </w:rPr>
        <w:t xml:space="preserve">n version of APS 222 </w:t>
      </w:r>
      <w:r>
        <w:rPr>
          <w:rStyle w:val="APRANORMALChar"/>
        </w:rPr>
        <w:t xml:space="preserve">which an ADI </w:t>
      </w:r>
      <w:r w:rsidR="006E01F2">
        <w:rPr>
          <w:rStyle w:val="APRANORMALChar"/>
        </w:rPr>
        <w:t>must</w:t>
      </w:r>
      <w:r>
        <w:rPr>
          <w:rStyle w:val="APRANORMALChar"/>
        </w:rPr>
        <w:t xml:space="preserve"> consider in identifying step-in risk entities, with the addition of whether the entity carries the ADI’s brand. An ADI will be required to determine the materiality of step-in risk by assessing the</w:t>
      </w:r>
      <w:r w:rsidR="00EC690B">
        <w:rPr>
          <w:rStyle w:val="APRANORMALChar"/>
        </w:rPr>
        <w:t xml:space="preserve"> potential</w:t>
      </w:r>
      <w:r>
        <w:rPr>
          <w:rStyle w:val="APRANORMALChar"/>
        </w:rPr>
        <w:t xml:space="preserve"> impact on its capital and liquidity </w:t>
      </w:r>
      <w:r w:rsidR="00EC690B">
        <w:rPr>
          <w:rStyle w:val="APRANORMALChar"/>
        </w:rPr>
        <w:t>positions</w:t>
      </w:r>
      <w:r w:rsidR="00813FAC">
        <w:rPr>
          <w:rStyle w:val="APRANORMALChar"/>
        </w:rPr>
        <w:t xml:space="preserve"> arising from a step-in risk entity.</w:t>
      </w:r>
      <w:r>
        <w:rPr>
          <w:rStyle w:val="APRANORMALChar"/>
        </w:rPr>
        <w:t xml:space="preserve"> ADIs must also maintain a risk appetite statement and strategy for managing its dealings with step-in risk entities and ensure that there are adequate systems and controls to identify, measure, monitor, manage and report exposures which arise from step-in risk entities. </w:t>
      </w:r>
    </w:p>
    <w:p w14:paraId="24A0F2F4" w14:textId="61471CD1" w:rsidR="00624477" w:rsidRPr="00F61B32" w:rsidRDefault="00624477" w:rsidP="00F61B32">
      <w:pPr>
        <w:rPr>
          <w:rStyle w:val="APRANORMALChar"/>
        </w:rPr>
      </w:pPr>
      <w:r w:rsidRPr="00F61B32">
        <w:rPr>
          <w:rStyle w:val="APRANORMALChar"/>
        </w:rPr>
        <w:t xml:space="preserve">To facilitate reporting of the exposures to step-in risk entities, APRA has </w:t>
      </w:r>
      <w:r w:rsidR="00615C58" w:rsidRPr="00F61B32">
        <w:rPr>
          <w:rStyle w:val="APRANORMALChar"/>
        </w:rPr>
        <w:t xml:space="preserve">added a new reporting standard, </w:t>
      </w:r>
      <w:r w:rsidRPr="00F61B32">
        <w:rPr>
          <w:rStyle w:val="APRANORMALChar"/>
        </w:rPr>
        <w:t>Reporting Standard ARS 222.</w:t>
      </w:r>
      <w:r w:rsidR="00615C58" w:rsidRPr="00F61B32">
        <w:rPr>
          <w:rStyle w:val="APRANORMALChar"/>
        </w:rPr>
        <w:t>2</w:t>
      </w:r>
      <w:r w:rsidRPr="00F61B32">
        <w:rPr>
          <w:rStyle w:val="APRANORMALChar"/>
        </w:rPr>
        <w:t xml:space="preserve"> Exposures to Related Entities</w:t>
      </w:r>
      <w:r w:rsidR="00615C58" w:rsidRPr="00F61B32">
        <w:rPr>
          <w:rStyle w:val="APRANORMALChar"/>
        </w:rPr>
        <w:t xml:space="preserve"> – Step-in risk</w:t>
      </w:r>
      <w:r w:rsidR="00EF3BD4" w:rsidRPr="00F61B32">
        <w:rPr>
          <w:rStyle w:val="APRANORMALChar"/>
        </w:rPr>
        <w:t xml:space="preserve"> </w:t>
      </w:r>
      <w:r w:rsidR="00EF3BD4">
        <w:rPr>
          <w:rFonts w:cs="Arial"/>
        </w:rPr>
        <w:t>which requires</w:t>
      </w:r>
      <w:r w:rsidRPr="00F61B32">
        <w:rPr>
          <w:rStyle w:val="APRANORMALChar"/>
        </w:rPr>
        <w:t xml:space="preserve"> high-level information on the step-in risk entities identified by ADIs. </w:t>
      </w:r>
      <w:r w:rsidRPr="00F61B32">
        <w:rPr>
          <w:rStyle w:val="APRANORMALChar"/>
        </w:rPr>
        <w:br w:type="page"/>
      </w:r>
    </w:p>
    <w:p w14:paraId="4D954D70" w14:textId="45B10579" w:rsidR="00624477" w:rsidRPr="00C63CCC" w:rsidRDefault="00624477" w:rsidP="00D129CD">
      <w:pPr>
        <w:pStyle w:val="Heading1Numbers"/>
      </w:pPr>
      <w:bookmarkStart w:id="72" w:name="_Toc11944708"/>
      <w:bookmarkStart w:id="73" w:name="_Toc12375292"/>
      <w:bookmarkStart w:id="74" w:name="_Toc11767832"/>
      <w:r>
        <w:t>Other matters</w:t>
      </w:r>
      <w:bookmarkEnd w:id="72"/>
      <w:bookmarkEnd w:id="73"/>
      <w:r>
        <w:t xml:space="preserve"> </w:t>
      </w:r>
      <w:bookmarkEnd w:id="74"/>
    </w:p>
    <w:p w14:paraId="73C89082" w14:textId="77777777" w:rsidR="00624477" w:rsidRDefault="00624477" w:rsidP="00624477">
      <w:pPr>
        <w:pStyle w:val="APRANORMAL"/>
        <w:rPr>
          <w:rStyle w:val="APRANORMALChar"/>
        </w:rPr>
      </w:pPr>
      <w:r>
        <w:rPr>
          <w:rStyle w:val="APRANORMALChar"/>
        </w:rPr>
        <w:t>This chapter discusses other matters raised in submissions in relation to funds management, other amendments and changes to reporting of exposures to related entities.</w:t>
      </w:r>
    </w:p>
    <w:p w14:paraId="705CCEB9" w14:textId="332BC754" w:rsidR="00624477" w:rsidRDefault="00624477" w:rsidP="00D129CD">
      <w:pPr>
        <w:pStyle w:val="Heading2Numbers"/>
      </w:pPr>
      <w:bookmarkStart w:id="75" w:name="_Toc11743463"/>
      <w:bookmarkStart w:id="76" w:name="_Toc11748236"/>
      <w:bookmarkStart w:id="77" w:name="_Toc11767833"/>
      <w:bookmarkStart w:id="78" w:name="_Toc11944709"/>
      <w:r>
        <w:t>Funds Management</w:t>
      </w:r>
      <w:bookmarkEnd w:id="75"/>
      <w:bookmarkEnd w:id="76"/>
      <w:bookmarkEnd w:id="77"/>
      <w:bookmarkEnd w:id="78"/>
    </w:p>
    <w:p w14:paraId="33738705" w14:textId="77777777" w:rsidR="00624477" w:rsidRDefault="00624477" w:rsidP="00624477">
      <w:pPr>
        <w:pStyle w:val="APRANORMAL"/>
        <w:rPr>
          <w:rStyle w:val="APRANORMALChar"/>
        </w:rPr>
      </w:pPr>
      <w:r>
        <w:rPr>
          <w:rStyle w:val="APRANORMALChar"/>
        </w:rPr>
        <w:t>Several submissions commented on the inclusion of, and changes to, funds management requirements in APS 222.</w:t>
      </w:r>
    </w:p>
    <w:p w14:paraId="720F8F60" w14:textId="77777777" w:rsidR="00624477" w:rsidRPr="00D129CD" w:rsidRDefault="00624477" w:rsidP="00D129CD">
      <w:pPr>
        <w:pStyle w:val="Heading3"/>
        <w:rPr>
          <w:rStyle w:val="APRANORMALChar"/>
          <w:rFonts w:ascii="DIN OT Medium" w:hAnsi="DIN OT Medium" w:cstheme="majorBidi"/>
          <w:color w:val="012169" w:themeColor="text2"/>
          <w:lang w:val="en-AU"/>
        </w:rPr>
      </w:pPr>
      <w:r w:rsidRPr="00D129CD">
        <w:rPr>
          <w:rStyle w:val="APRANORMALChar"/>
          <w:rFonts w:ascii="DIN OT Medium" w:hAnsi="DIN OT Medium" w:cstheme="majorBidi"/>
          <w:color w:val="012169" w:themeColor="text2"/>
          <w:lang w:val="en-AU"/>
        </w:rPr>
        <w:t>Comments received</w:t>
      </w:r>
    </w:p>
    <w:p w14:paraId="59FC376E" w14:textId="06714E4D" w:rsidR="00624477" w:rsidRDefault="00624477" w:rsidP="00624477">
      <w:pPr>
        <w:pStyle w:val="APRANORMAL"/>
        <w:rPr>
          <w:rStyle w:val="APRANORMALChar"/>
        </w:rPr>
      </w:pPr>
      <w:r>
        <w:rPr>
          <w:rStyle w:val="APRANORMALChar"/>
        </w:rPr>
        <w:t xml:space="preserve">A few submissions queried the potential for duplication between funds management requirements in APS 222 and </w:t>
      </w:r>
      <w:r>
        <w:rPr>
          <w:rStyle w:val="APRANORMALChar"/>
          <w:i/>
        </w:rPr>
        <w:t xml:space="preserve">Prudential Standard APS 120 Funds Management and Securitisation (May 2006) </w:t>
      </w:r>
      <w:r>
        <w:rPr>
          <w:rStyle w:val="APRANORMALChar"/>
        </w:rPr>
        <w:t>(</w:t>
      </w:r>
      <w:r w:rsidRPr="00057EAB">
        <w:rPr>
          <w:rStyle w:val="APRANORMALChar"/>
        </w:rPr>
        <w:t>APS 120 (2006))</w:t>
      </w:r>
      <w:r>
        <w:rPr>
          <w:rStyle w:val="APRANORMALChar"/>
        </w:rPr>
        <w:t xml:space="preserve"> and requested clarification </w:t>
      </w:r>
      <w:r w:rsidR="00EC690B">
        <w:rPr>
          <w:rStyle w:val="APRANORMALChar"/>
        </w:rPr>
        <w:t xml:space="preserve">on the status of </w:t>
      </w:r>
      <w:r>
        <w:rPr>
          <w:rStyle w:val="APRANORMALChar"/>
        </w:rPr>
        <w:t xml:space="preserve">APS 120 (2006). One submission commented on the application of various requirements in APS 222, such as the interaction between </w:t>
      </w:r>
      <w:r w:rsidR="00EC690B">
        <w:rPr>
          <w:rStyle w:val="APRANORMALChar"/>
        </w:rPr>
        <w:t>requirements relating to ownership of a vehicle and participation in a vehicle through the purchase of securities</w:t>
      </w:r>
      <w:r w:rsidR="00A60077">
        <w:rPr>
          <w:rStyle w:val="APRANORMALChar"/>
        </w:rPr>
        <w:t>,</w:t>
      </w:r>
      <w:r w:rsidR="00EC690B">
        <w:rPr>
          <w:rStyle w:val="APRANORMALChar"/>
        </w:rPr>
        <w:t xml:space="preserve"> </w:t>
      </w:r>
      <w:r>
        <w:rPr>
          <w:rStyle w:val="APRANORMALChar"/>
        </w:rPr>
        <w:t xml:space="preserve">and whether funds management requirements apply to a fund manager or strictly to the funds management vehicle or fund. A few submissions commented on the time restriction of two months when an ADI underwrites the issue of securities by a funds management vehicle. </w:t>
      </w:r>
    </w:p>
    <w:p w14:paraId="3BE763FB" w14:textId="77777777" w:rsidR="00624477" w:rsidRPr="00FB5AFE" w:rsidRDefault="00624477" w:rsidP="00D129CD">
      <w:pPr>
        <w:pStyle w:val="Heading3"/>
      </w:pPr>
      <w:r w:rsidRPr="00FB5AFE">
        <w:t>APRA response</w:t>
      </w:r>
    </w:p>
    <w:p w14:paraId="36F3790A" w14:textId="3E784845" w:rsidR="00624477" w:rsidRDefault="00624477" w:rsidP="00624477">
      <w:pPr>
        <w:pStyle w:val="APRANORMAL"/>
      </w:pPr>
      <w:r>
        <w:t>APRA has incorporate</w:t>
      </w:r>
      <w:r w:rsidR="00EC690B">
        <w:t>d</w:t>
      </w:r>
      <w:r>
        <w:t xml:space="preserve"> all</w:t>
      </w:r>
      <w:r w:rsidR="00EC690B">
        <w:t xml:space="preserve"> relevant</w:t>
      </w:r>
      <w:r>
        <w:t xml:space="preserve"> requirements relating to an ADI’s involvement in funds management from APS 120 (2006)</w:t>
      </w:r>
      <w:r w:rsidR="00024124">
        <w:t xml:space="preserve"> into APS 222</w:t>
      </w:r>
      <w:r w:rsidR="00EC690B">
        <w:t>. T</w:t>
      </w:r>
      <w:r>
        <w:t xml:space="preserve">he funds management requirements in APS 120 (2006) </w:t>
      </w:r>
      <w:r w:rsidR="00813FAC">
        <w:t xml:space="preserve">will </w:t>
      </w:r>
      <w:r>
        <w:t xml:space="preserve">no longer have any application. </w:t>
      </w:r>
    </w:p>
    <w:p w14:paraId="35773AD7" w14:textId="51B78447" w:rsidR="00624477" w:rsidRDefault="00624477" w:rsidP="00624477">
      <w:pPr>
        <w:pStyle w:val="APRANORMAL"/>
      </w:pPr>
      <w:r>
        <w:t>While pa</w:t>
      </w:r>
      <w:r w:rsidR="00697699">
        <w:t>ragraph 4(a) of Attachment B to</w:t>
      </w:r>
      <w:r>
        <w:t xml:space="preserve"> APS 222 </w:t>
      </w:r>
      <w:r w:rsidR="0096560D">
        <w:t xml:space="preserve">applies </w:t>
      </w:r>
      <w:r>
        <w:t xml:space="preserve">to ownership or beneficial interest in a funds management vehicle, paragraph 6 </w:t>
      </w:r>
      <w:r w:rsidR="0096560D">
        <w:t xml:space="preserve">of that Attachment applies </w:t>
      </w:r>
      <w:r>
        <w:t xml:space="preserve">to </w:t>
      </w:r>
      <w:r w:rsidR="0096560D">
        <w:t xml:space="preserve">purchases of </w:t>
      </w:r>
      <w:r>
        <w:t>the funds management vehicle’s securities</w:t>
      </w:r>
      <w:r w:rsidR="000168EE">
        <w:t>;</w:t>
      </w:r>
      <w:r>
        <w:t xml:space="preserve"> the two paragraphs are not contradictory. </w:t>
      </w:r>
      <w:r w:rsidR="00C4387E">
        <w:t xml:space="preserve">A footnote has been added for clarity. </w:t>
      </w:r>
      <w:r w:rsidR="00697699">
        <w:t>Attachment B to</w:t>
      </w:r>
      <w:r>
        <w:t xml:space="preserve"> APS 222 applies to an ADI’s associations with a funds management vehicle that is a related entity of the ADI; </w:t>
      </w:r>
      <w:r w:rsidRPr="003F5EB4">
        <w:t>however</w:t>
      </w:r>
      <w:r w:rsidR="005020FE">
        <w:t>,</w:t>
      </w:r>
      <w:r w:rsidRPr="003F5EB4">
        <w:t xml:space="preserve"> a fund manager may also be subject to the requirements in APS 222 if it is a related entity itself</w:t>
      </w:r>
      <w:r>
        <w:t xml:space="preserve">. </w:t>
      </w:r>
    </w:p>
    <w:p w14:paraId="3A192B83" w14:textId="021715EC" w:rsidR="00624477" w:rsidRDefault="00697699" w:rsidP="00624477">
      <w:pPr>
        <w:pStyle w:val="APRANORMAL"/>
      </w:pPr>
      <w:r>
        <w:t>Under Attachment B to</w:t>
      </w:r>
      <w:r w:rsidR="00624477">
        <w:t xml:space="preserve"> APS 222, when an ADI underwrites the issue of a fund’s securities, the ADI is required to reduce its holding to below 20 per cent within two months of the underwriting agreement’s commencement; this compares with the previous requirements which were set at three months. </w:t>
      </w:r>
      <w:r w:rsidR="00624477" w:rsidRPr="003F5EB4">
        <w:t xml:space="preserve">The two month </w:t>
      </w:r>
      <w:r w:rsidR="000168EE">
        <w:t>period</w:t>
      </w:r>
      <w:r w:rsidR="000168EE" w:rsidRPr="003F5EB4">
        <w:t xml:space="preserve"> </w:t>
      </w:r>
      <w:r w:rsidR="00624477" w:rsidRPr="003F5EB4">
        <w:t xml:space="preserve">is to ensure that investors do not perceive that the ADI supports the fund, which </w:t>
      </w:r>
      <w:r w:rsidR="00EA4E5B">
        <w:t xml:space="preserve">could </w:t>
      </w:r>
      <w:r w:rsidR="00624477" w:rsidRPr="003F5EB4">
        <w:t xml:space="preserve">result </w:t>
      </w:r>
      <w:r w:rsidR="00EA4E5B">
        <w:t>from</w:t>
      </w:r>
      <w:r w:rsidR="001C1A09">
        <w:t xml:space="preserve"> a</w:t>
      </w:r>
      <w:r w:rsidR="00624477" w:rsidRPr="003F5EB4">
        <w:t xml:space="preserve"> prolonged association with the fund</w:t>
      </w:r>
      <w:r w:rsidR="00624477">
        <w:t xml:space="preserve">. </w:t>
      </w:r>
    </w:p>
    <w:p w14:paraId="72A71F85" w14:textId="40CD49D8" w:rsidR="00624477" w:rsidRDefault="00624477" w:rsidP="00D129CD">
      <w:pPr>
        <w:pStyle w:val="Heading2Numbers"/>
      </w:pPr>
      <w:bookmarkStart w:id="79" w:name="_Toc11743464"/>
      <w:bookmarkStart w:id="80" w:name="_Toc11748237"/>
      <w:bookmarkStart w:id="81" w:name="_Toc11767834"/>
      <w:bookmarkStart w:id="82" w:name="_Toc11944710"/>
      <w:r>
        <w:t>Reporting of exposures to related entities</w:t>
      </w:r>
      <w:bookmarkEnd w:id="79"/>
      <w:bookmarkEnd w:id="80"/>
      <w:bookmarkEnd w:id="81"/>
      <w:bookmarkEnd w:id="82"/>
    </w:p>
    <w:p w14:paraId="107136D8" w14:textId="724524DF" w:rsidR="00624477" w:rsidRDefault="00624477" w:rsidP="00624477">
      <w:pPr>
        <w:pStyle w:val="APRANORMAL"/>
        <w:rPr>
          <w:highlight w:val="yellow"/>
        </w:rPr>
      </w:pPr>
      <w:r>
        <w:t>A few submissions commented on the reporting dates in</w:t>
      </w:r>
      <w:r w:rsidRPr="0095650F">
        <w:rPr>
          <w:i/>
        </w:rPr>
        <w:t xml:space="preserve"> Reporting Form </w:t>
      </w:r>
      <w:r w:rsidRPr="00B73678">
        <w:rPr>
          <w:i/>
        </w:rPr>
        <w:t>ARF 222.0</w:t>
      </w:r>
      <w:r w:rsidRPr="0095650F">
        <w:rPr>
          <w:i/>
        </w:rPr>
        <w:t xml:space="preserve"> Exposures to Related Entities</w:t>
      </w:r>
      <w:r>
        <w:t xml:space="preserve"> (ARF 222.0) and requested that the same number of days </w:t>
      </w:r>
      <w:r w:rsidR="00EA4E5B">
        <w:t>be</w:t>
      </w:r>
      <w:r>
        <w:t xml:space="preserve"> used </w:t>
      </w:r>
      <w:r w:rsidR="00EA4E5B">
        <w:t>for</w:t>
      </w:r>
      <w:r>
        <w:t xml:space="preserve"> reporting timeframes as </w:t>
      </w:r>
      <w:r w:rsidR="00EA4E5B">
        <w:t>required under</w:t>
      </w:r>
      <w:r>
        <w:t xml:space="preserve"> </w:t>
      </w:r>
      <w:r w:rsidRPr="0095650F">
        <w:rPr>
          <w:i/>
        </w:rPr>
        <w:t xml:space="preserve">Reporting Form </w:t>
      </w:r>
      <w:r w:rsidRPr="004B4A12">
        <w:rPr>
          <w:i/>
        </w:rPr>
        <w:t>ARF 110.0</w:t>
      </w:r>
      <w:r w:rsidRPr="0095650F">
        <w:rPr>
          <w:i/>
        </w:rPr>
        <w:t xml:space="preserve"> Capital Adequacy</w:t>
      </w:r>
      <w:r>
        <w:t xml:space="preserve"> to facilitate the alignment of reporting of Tier 1 Capital used in the related entity limits. </w:t>
      </w:r>
    </w:p>
    <w:p w14:paraId="6251A3F4" w14:textId="77777777" w:rsidR="00624477" w:rsidRPr="00FB5AFE" w:rsidRDefault="00624477" w:rsidP="00D129CD">
      <w:pPr>
        <w:pStyle w:val="Heading3"/>
      </w:pPr>
      <w:r w:rsidRPr="00FB5AFE">
        <w:t>APRA response</w:t>
      </w:r>
    </w:p>
    <w:p w14:paraId="710BBD46" w14:textId="61A48176" w:rsidR="00624477" w:rsidRDefault="00624477" w:rsidP="00624477">
      <w:pPr>
        <w:pStyle w:val="APRANORMAL"/>
      </w:pPr>
      <w:r w:rsidRPr="000C1CF5">
        <w:t>A</w:t>
      </w:r>
      <w:r>
        <w:t xml:space="preserve">PRA has aligned the reporting dates in ARF 222.0 with </w:t>
      </w:r>
      <w:r w:rsidRPr="0095650F">
        <w:rPr>
          <w:i/>
        </w:rPr>
        <w:t xml:space="preserve">Reporting </w:t>
      </w:r>
      <w:r w:rsidRPr="00F4533C">
        <w:rPr>
          <w:i/>
        </w:rPr>
        <w:t>Form ARF 221.0</w:t>
      </w:r>
      <w:r>
        <w:rPr>
          <w:i/>
        </w:rPr>
        <w:t xml:space="preserve"> Large Exposures </w:t>
      </w:r>
      <w:r>
        <w:t xml:space="preserve">to 28 calendar days. </w:t>
      </w:r>
      <w:r w:rsidRPr="007E117E">
        <w:t xml:space="preserve">ADIs will be able to continue reporting </w:t>
      </w:r>
      <w:r>
        <w:t xml:space="preserve">under current arrangements and, if </w:t>
      </w:r>
      <w:r w:rsidR="00EC690B">
        <w:t>concerned</w:t>
      </w:r>
      <w:r w:rsidR="00D23101">
        <w:t>,</w:t>
      </w:r>
      <w:r w:rsidR="00EC690B">
        <w:t xml:space="preserve"> can</w:t>
      </w:r>
      <w:r>
        <w:t xml:space="preserve"> contact their supervisor.</w:t>
      </w:r>
    </w:p>
    <w:p w14:paraId="6A692D60" w14:textId="1E96BCA3" w:rsidR="00624477" w:rsidRDefault="00624477" w:rsidP="00D129CD">
      <w:pPr>
        <w:pStyle w:val="Heading2Numbers"/>
      </w:pPr>
      <w:bookmarkStart w:id="83" w:name="_Toc11748238"/>
      <w:bookmarkStart w:id="84" w:name="_Toc11767835"/>
      <w:bookmarkStart w:id="85" w:name="_Toc11944711"/>
      <w:bookmarkStart w:id="86" w:name="_Toc11743465"/>
      <w:r>
        <w:t>Other amendments</w:t>
      </w:r>
      <w:bookmarkEnd w:id="83"/>
      <w:bookmarkEnd w:id="84"/>
      <w:bookmarkEnd w:id="85"/>
    </w:p>
    <w:bookmarkEnd w:id="86"/>
    <w:p w14:paraId="458B9619" w14:textId="2C44B07E" w:rsidR="00624477" w:rsidRDefault="00624477" w:rsidP="00A60077">
      <w:pPr>
        <w:pStyle w:val="APRANORMAL"/>
      </w:pPr>
      <w:r>
        <w:t xml:space="preserve">In addition to the topics discussed in this response paper, APRA has made a number of minor </w:t>
      </w:r>
      <w:r w:rsidR="006872EE">
        <w:t>changes to the draft APS 222</w:t>
      </w:r>
      <w:r>
        <w:t xml:space="preserve"> and</w:t>
      </w:r>
      <w:r w:rsidR="006872EE">
        <w:t xml:space="preserve"> draft</w:t>
      </w:r>
      <w:r>
        <w:t xml:space="preserve"> </w:t>
      </w:r>
      <w:r w:rsidR="002D0BA4" w:rsidRPr="006B7B6C">
        <w:rPr>
          <w:rFonts w:cs="Arial"/>
          <w:i/>
        </w:rPr>
        <w:t>Reporting Standard ARS 222.</w:t>
      </w:r>
      <w:r w:rsidR="002D0BA4">
        <w:rPr>
          <w:rFonts w:cs="Arial"/>
          <w:i/>
        </w:rPr>
        <w:t>0</w:t>
      </w:r>
      <w:r w:rsidR="002D0BA4" w:rsidRPr="006B7B6C">
        <w:rPr>
          <w:rFonts w:cs="Arial"/>
          <w:i/>
        </w:rPr>
        <w:t xml:space="preserve"> Exposures to Related Entities</w:t>
      </w:r>
      <w:r w:rsidR="002D0BA4">
        <w:rPr>
          <w:rFonts w:cs="Arial"/>
          <w:i/>
        </w:rPr>
        <w:t xml:space="preserve"> </w:t>
      </w:r>
      <w:r w:rsidR="002D0BA4" w:rsidRPr="002D0BA4">
        <w:rPr>
          <w:rFonts w:cs="Arial"/>
        </w:rPr>
        <w:t>(</w:t>
      </w:r>
      <w:r>
        <w:t>ARS 222.0</w:t>
      </w:r>
      <w:r w:rsidR="002D0BA4">
        <w:t>)</w:t>
      </w:r>
      <w:r w:rsidR="006872EE">
        <w:t xml:space="preserve"> from the July 2018 consultation</w:t>
      </w:r>
      <w:r w:rsidR="00A60077">
        <w:t>, including:</w:t>
      </w:r>
    </w:p>
    <w:p w14:paraId="170A28E8" w14:textId="62339369" w:rsidR="00624477" w:rsidRDefault="00EC690B" w:rsidP="00624477">
      <w:pPr>
        <w:pStyle w:val="APRANORMAL"/>
        <w:numPr>
          <w:ilvl w:val="0"/>
          <w:numId w:val="27"/>
        </w:numPr>
      </w:pPr>
      <w:r>
        <w:t>clarifying the</w:t>
      </w:r>
      <w:r w:rsidR="00624477">
        <w:t xml:space="preserve"> requirements on the terms and conditions used in relation to dealings with an ADI’s related entities;</w:t>
      </w:r>
    </w:p>
    <w:p w14:paraId="7BD00E5D" w14:textId="253A9394" w:rsidR="00624477" w:rsidRDefault="00624477" w:rsidP="00A60077">
      <w:pPr>
        <w:pStyle w:val="APRANORMAL"/>
        <w:numPr>
          <w:ilvl w:val="0"/>
          <w:numId w:val="27"/>
        </w:numPr>
      </w:pPr>
      <w:r>
        <w:t xml:space="preserve">removing the requirement </w:t>
      </w:r>
      <w:r w:rsidR="00A60077">
        <w:t xml:space="preserve">for an acknowledgement from an external counterparty that they have read and understood disclosures </w:t>
      </w:r>
      <w:r>
        <w:t>where there are financial transactions between an external counterparty and a member of the ADI’s group that uses a common brand name with the ADI</w:t>
      </w:r>
      <w:r w:rsidR="00A96AAF">
        <w:t>;</w:t>
      </w:r>
    </w:p>
    <w:p w14:paraId="64168E8D" w14:textId="14A770CD" w:rsidR="005020FE" w:rsidRDefault="00157422" w:rsidP="00624477">
      <w:pPr>
        <w:pStyle w:val="APRANORMAL"/>
        <w:numPr>
          <w:ilvl w:val="0"/>
          <w:numId w:val="27"/>
        </w:numPr>
      </w:pPr>
      <w:r>
        <w:t xml:space="preserve">removing the requirement for Board approval for participation in group operations, where management approval </w:t>
      </w:r>
      <w:r w:rsidR="00A96AAF">
        <w:t>suffices;</w:t>
      </w:r>
    </w:p>
    <w:p w14:paraId="5280075E" w14:textId="0D0CF5F3" w:rsidR="00A96AAF" w:rsidRDefault="00EA6B0C" w:rsidP="00624477">
      <w:pPr>
        <w:pStyle w:val="APRANORMAL"/>
        <w:numPr>
          <w:ilvl w:val="0"/>
          <w:numId w:val="27"/>
        </w:numPr>
      </w:pPr>
      <w:r>
        <w:t xml:space="preserve">revising the requirements on the underwriting of </w:t>
      </w:r>
      <w:r w:rsidR="00420FAE">
        <w:t xml:space="preserve">issues by </w:t>
      </w:r>
      <w:r>
        <w:t>funds management vehicles to require an ADI that acts as an underwriter or committed dealer to deduct the value of the facility from the ADI’s Common Equity Tier 1 Capital if the ADI underwrites a significant proportion of the issue of securities;</w:t>
      </w:r>
      <w:r w:rsidR="00E133E1">
        <w:t xml:space="preserve"> and</w:t>
      </w:r>
    </w:p>
    <w:p w14:paraId="7C58D166" w14:textId="61EB9469" w:rsidR="00EA6B0C" w:rsidRDefault="00EA6B0C" w:rsidP="00624477">
      <w:pPr>
        <w:pStyle w:val="APRANORMAL"/>
        <w:numPr>
          <w:ilvl w:val="0"/>
          <w:numId w:val="27"/>
        </w:numPr>
      </w:pPr>
      <w:r>
        <w:t>clarifying the deductions that must be made if an ADI</w:t>
      </w:r>
      <w:r w:rsidR="001C4F46">
        <w:t xml:space="preserve"> that underwrites an issue of securities by a funds management vehicle</w:t>
      </w:r>
      <w:r>
        <w:t xml:space="preserve"> holds </w:t>
      </w:r>
      <w:r w:rsidR="00E459F4">
        <w:t>more than</w:t>
      </w:r>
      <w:r>
        <w:t xml:space="preserve"> 20 per cent </w:t>
      </w:r>
      <w:r w:rsidR="00E133E1">
        <w:t>of the outstanding value of a funds management vehicle’s securities after two months of the underwriting agreement’s commencement.</w:t>
      </w:r>
    </w:p>
    <w:p w14:paraId="37573EF3" w14:textId="77777777" w:rsidR="00624477" w:rsidRDefault="00624477" w:rsidP="00624477">
      <w:pPr>
        <w:pStyle w:val="APRAHEADING3"/>
      </w:pPr>
    </w:p>
    <w:p w14:paraId="2916C1E0" w14:textId="77777777" w:rsidR="00624477" w:rsidRDefault="00624477" w:rsidP="00624477">
      <w:pPr>
        <w:spacing w:after="120" w:line="288" w:lineRule="auto"/>
        <w:rPr>
          <w:rFonts w:ascii="DIN OT Medium" w:hAnsi="DIN OT Medium"/>
          <w:color w:val="002060"/>
          <w:sz w:val="40"/>
          <w:szCs w:val="40"/>
        </w:rPr>
      </w:pPr>
      <w:r>
        <w:br w:type="page"/>
      </w:r>
    </w:p>
    <w:p w14:paraId="691880CB" w14:textId="46454641" w:rsidR="00624477" w:rsidRDefault="00C7176E" w:rsidP="00D129CD">
      <w:pPr>
        <w:pStyle w:val="Heading1"/>
      </w:pPr>
      <w:bookmarkStart w:id="87" w:name="_Toc11944712"/>
      <w:bookmarkStart w:id="88" w:name="_Toc12375293"/>
      <w:bookmarkStart w:id="89" w:name="_Toc11767836"/>
      <w:r>
        <w:t>A</w:t>
      </w:r>
      <w:r w:rsidR="00977968">
        <w:t>ttachment</w:t>
      </w:r>
      <w:r>
        <w:t xml:space="preserve"> A -</w:t>
      </w:r>
      <w:r w:rsidR="00624477">
        <w:t xml:space="preserve"> Regulatory costs</w:t>
      </w:r>
      <w:bookmarkEnd w:id="87"/>
      <w:bookmarkEnd w:id="88"/>
      <w:r w:rsidR="00624477">
        <w:t xml:space="preserve"> </w:t>
      </w:r>
      <w:bookmarkEnd w:id="89"/>
    </w:p>
    <w:p w14:paraId="6C11E474" w14:textId="498A862A" w:rsidR="00624477" w:rsidRDefault="00624477" w:rsidP="00624477">
      <w:pPr>
        <w:pStyle w:val="APRANORMAL"/>
      </w:pPr>
      <w:r>
        <w:t>This A</w:t>
      </w:r>
      <w:r w:rsidR="00977968">
        <w:t>ttachment</w:t>
      </w:r>
      <w:r>
        <w:t xml:space="preserve"> sets out the steps taken in finalising the </w:t>
      </w:r>
      <w:r w:rsidR="00D503EC">
        <w:t>revised related entity requirements</w:t>
      </w:r>
      <w:r w:rsidR="008A150B">
        <w:t>,</w:t>
      </w:r>
      <w:r>
        <w:t xml:space="preserve"> including details of compliance cost estimates for implementation of the </w:t>
      </w:r>
      <w:r w:rsidR="008A150B">
        <w:t>requirements</w:t>
      </w:r>
      <w:r>
        <w:t>.</w:t>
      </w:r>
    </w:p>
    <w:p w14:paraId="057627E3" w14:textId="63F71DA2" w:rsidR="00624477" w:rsidRDefault="00624477" w:rsidP="00624477">
      <w:pPr>
        <w:pStyle w:val="APRANORMAL"/>
      </w:pPr>
      <w:r>
        <w:t>The July 2018 discussion paper outlined three options for the future application and operation of the related entity requirements set out in APS 222, and the associated reporting requirements in ARS 222.0. The options were:</w:t>
      </w:r>
    </w:p>
    <w:p w14:paraId="20E4D8C1" w14:textId="0988E59E" w:rsidR="00624477" w:rsidRDefault="00624477" w:rsidP="00624477">
      <w:pPr>
        <w:pStyle w:val="APRANORMAL"/>
        <w:numPr>
          <w:ilvl w:val="0"/>
          <w:numId w:val="26"/>
        </w:numPr>
      </w:pPr>
      <w:r>
        <w:t>option 1</w:t>
      </w:r>
      <w:r w:rsidR="00090759">
        <w:t xml:space="preserve"> </w:t>
      </w:r>
      <w:r>
        <w:t>—</w:t>
      </w:r>
      <w:r w:rsidR="00090759">
        <w:t xml:space="preserve"> </w:t>
      </w:r>
      <w:r>
        <w:t>no changes: maintain APRA’s existing prudential requirements for related entities;</w:t>
      </w:r>
    </w:p>
    <w:p w14:paraId="065C1AD1" w14:textId="25A961A1" w:rsidR="00624477" w:rsidRDefault="00624477" w:rsidP="00624477">
      <w:pPr>
        <w:pStyle w:val="APRANORMAL"/>
        <w:numPr>
          <w:ilvl w:val="0"/>
          <w:numId w:val="26"/>
        </w:numPr>
      </w:pPr>
      <w:r>
        <w:t>option 2</w:t>
      </w:r>
      <w:r w:rsidR="00090759">
        <w:t xml:space="preserve"> — </w:t>
      </w:r>
      <w:r>
        <w:t>comprehensive changes with complete removal of the ELE framework; and</w:t>
      </w:r>
    </w:p>
    <w:p w14:paraId="167D67F8" w14:textId="6174DDC8" w:rsidR="00624477" w:rsidRDefault="00624477" w:rsidP="00624477">
      <w:pPr>
        <w:pStyle w:val="APRANORMAL"/>
        <w:numPr>
          <w:ilvl w:val="0"/>
          <w:numId w:val="26"/>
        </w:numPr>
        <w:jc w:val="both"/>
      </w:pPr>
      <w:r>
        <w:t>option 3</w:t>
      </w:r>
      <w:r w:rsidR="00090759">
        <w:t xml:space="preserve"> </w:t>
      </w:r>
      <w:r>
        <w:t>—</w:t>
      </w:r>
      <w:r w:rsidR="00090759">
        <w:t xml:space="preserve"> </w:t>
      </w:r>
      <w:r>
        <w:t>comprehensive changes with adjustments to the ELE framework.</w:t>
      </w:r>
    </w:p>
    <w:p w14:paraId="640A56BB" w14:textId="77777777" w:rsidR="00624477" w:rsidRDefault="00624477" w:rsidP="00624477">
      <w:pPr>
        <w:pStyle w:val="APRANORMAL"/>
      </w:pPr>
      <w:r>
        <w:t>APRA’s public consultation was open for around three months. APRA received ten submissions from a range of stakeholders including ADIs and industry bodies.</w:t>
      </w:r>
    </w:p>
    <w:p w14:paraId="7BAE2244" w14:textId="77777777" w:rsidR="00624477" w:rsidRDefault="00624477" w:rsidP="00D129CD">
      <w:pPr>
        <w:pStyle w:val="Heading3"/>
      </w:pPr>
      <w:r>
        <w:t>Assessment of regulatory costs</w:t>
      </w:r>
    </w:p>
    <w:p w14:paraId="62657ED7" w14:textId="78853549" w:rsidR="00624477" w:rsidRDefault="00624477" w:rsidP="00624477">
      <w:pPr>
        <w:pStyle w:val="APRANORMAL"/>
      </w:pPr>
      <w:r>
        <w:t>As part of its public consultation</w:t>
      </w:r>
      <w:r w:rsidR="00053CB4">
        <w:t>,</w:t>
      </w:r>
      <w:r>
        <w:t xml:space="preserve"> APRA sought information from stakeholders on the compliance impacts of the proposed changes to the related entities framework, including associated substantive costs. Respondents were asked to use the Australian Government’s Regulatory Burden Measurement Tool (RBMT) to assess regulatory costs.</w:t>
      </w:r>
    </w:p>
    <w:p w14:paraId="6ABFECEC" w14:textId="59EDB06C" w:rsidR="00624477" w:rsidRDefault="00624477" w:rsidP="00624477">
      <w:pPr>
        <w:pStyle w:val="APRANORMAL"/>
      </w:pPr>
      <w:r>
        <w:t xml:space="preserve">While none of the submissions provided regulatory cost estimates using the RBMT, </w:t>
      </w:r>
      <w:r w:rsidR="00C44B71">
        <w:t xml:space="preserve">APRA has </w:t>
      </w:r>
      <w:r w:rsidR="00892D32">
        <w:t>sought</w:t>
      </w:r>
      <w:r w:rsidR="00C44B71">
        <w:t xml:space="preserve"> cost impacts</w:t>
      </w:r>
      <w:r w:rsidR="00892D32">
        <w:t xml:space="preserve"> directly from ADIs</w:t>
      </w:r>
      <w:r w:rsidR="00C44B71">
        <w:t xml:space="preserve">. </w:t>
      </w:r>
    </w:p>
    <w:p w14:paraId="5FF10C5F" w14:textId="6E131D06" w:rsidR="00624477" w:rsidRPr="00BB5A6F" w:rsidRDefault="00624477" w:rsidP="00BB5A6F">
      <w:pPr>
        <w:pStyle w:val="APRAHEADING5"/>
      </w:pPr>
      <w:r w:rsidRPr="00BB5A6F">
        <w:t xml:space="preserve">Option 1: </w:t>
      </w:r>
      <w:r w:rsidR="00090759">
        <w:t>N</w:t>
      </w:r>
      <w:r w:rsidRPr="00BB5A6F">
        <w:t>o changes</w:t>
      </w:r>
    </w:p>
    <w:p w14:paraId="3D749545" w14:textId="77777777" w:rsidR="00624477" w:rsidRDefault="00624477" w:rsidP="00624477">
      <w:pPr>
        <w:pStyle w:val="APRANORMAL"/>
      </w:pPr>
      <w:r>
        <w:t>Under this option, ADIs and other stakeholders would not incur any additional compliance costs as the current related entities framework would be retained without change. However, APRA expects there may be future indirect costs and inefficiencies for ADIs arising from inconsistent exposure measurement requirements across APRA’s prudential framework.</w:t>
      </w:r>
    </w:p>
    <w:p w14:paraId="3C8F3C1A" w14:textId="5A00ECEF" w:rsidR="00624477" w:rsidRPr="00717193" w:rsidRDefault="00D129CD" w:rsidP="00D24124">
      <w:pPr>
        <w:pStyle w:val="Numberedtableheading"/>
        <w:numPr>
          <w:ilvl w:val="0"/>
          <w:numId w:val="29"/>
        </w:numPr>
        <w:ind w:left="357" w:hanging="357"/>
      </w:pPr>
      <w:r w:rsidRPr="00717193">
        <w:t xml:space="preserve"> </w:t>
      </w:r>
      <w:r w:rsidR="00624477" w:rsidRPr="00717193">
        <w:t>Average annual regulatory cost of Option 1</w:t>
      </w:r>
    </w:p>
    <w:tbl>
      <w:tblPr>
        <w:tblStyle w:val="TableOption2"/>
        <w:tblW w:w="9067" w:type="dxa"/>
        <w:tblLook w:val="04A0" w:firstRow="1" w:lastRow="0" w:firstColumn="1" w:lastColumn="0" w:noHBand="0" w:noVBand="1"/>
      </w:tblPr>
      <w:tblGrid>
        <w:gridCol w:w="2268"/>
        <w:gridCol w:w="1699"/>
        <w:gridCol w:w="1700"/>
        <w:gridCol w:w="1700"/>
        <w:gridCol w:w="1700"/>
      </w:tblGrid>
      <w:tr w:rsidR="00624477" w14:paraId="7B9684D8" w14:textId="77777777" w:rsidTr="00AA2BBD">
        <w:trPr>
          <w:cnfStyle w:val="100000000000" w:firstRow="1" w:lastRow="0" w:firstColumn="0" w:lastColumn="0" w:oddVBand="0" w:evenVBand="0" w:oddHBand="0" w:evenHBand="0" w:firstRowFirstColumn="0" w:firstRowLastColumn="0" w:lastRowFirstColumn="0" w:lastRowLastColumn="0"/>
          <w:trHeight w:val="807"/>
        </w:trPr>
        <w:tc>
          <w:tcPr>
            <w:cnfStyle w:val="001000000000" w:firstRow="0" w:lastRow="0" w:firstColumn="1" w:lastColumn="0" w:oddVBand="0" w:evenVBand="0" w:oddHBand="0" w:evenHBand="0" w:firstRowFirstColumn="0" w:firstRowLastColumn="0" w:lastRowFirstColumn="0" w:lastRowLastColumn="0"/>
            <w:tcW w:w="2268" w:type="dxa"/>
            <w:vAlign w:val="bottom"/>
          </w:tcPr>
          <w:p w14:paraId="5E018896" w14:textId="77777777" w:rsidR="00624477" w:rsidRPr="006D59B3" w:rsidRDefault="00624477" w:rsidP="00AA2BBD">
            <w:pPr>
              <w:pStyle w:val="APRANORMAL"/>
              <w:rPr>
                <w:rFonts w:ascii="DIN OT Medium" w:hAnsi="DIN OT Medium"/>
                <w:szCs w:val="20"/>
              </w:rPr>
            </w:pPr>
            <w:r w:rsidRPr="006D59B3">
              <w:rPr>
                <w:rFonts w:ascii="DIN OT Medium" w:hAnsi="DIN OT Medium"/>
                <w:szCs w:val="20"/>
              </w:rPr>
              <w:t>Sector</w:t>
            </w:r>
          </w:p>
        </w:tc>
        <w:tc>
          <w:tcPr>
            <w:tcW w:w="1699" w:type="dxa"/>
            <w:vAlign w:val="bottom"/>
          </w:tcPr>
          <w:p w14:paraId="7BE1C5D8" w14:textId="77777777" w:rsidR="00624477" w:rsidRPr="006D59B3" w:rsidRDefault="00624477" w:rsidP="00AA2BBD">
            <w:pPr>
              <w:pStyle w:val="APRANORMAL"/>
              <w:jc w:val="center"/>
              <w:cnfStyle w:val="100000000000" w:firstRow="1" w:lastRow="0" w:firstColumn="0" w:lastColumn="0" w:oddVBand="0" w:evenVBand="0" w:oddHBand="0" w:evenHBand="0" w:firstRowFirstColumn="0" w:firstRowLastColumn="0" w:lastRowFirstColumn="0" w:lastRowLastColumn="0"/>
              <w:rPr>
                <w:rFonts w:ascii="DIN OT Medium" w:hAnsi="DIN OT Medium"/>
                <w:szCs w:val="20"/>
              </w:rPr>
            </w:pPr>
            <w:r w:rsidRPr="006D59B3">
              <w:rPr>
                <w:rFonts w:ascii="DIN OT Medium" w:hAnsi="DIN OT Medium"/>
                <w:szCs w:val="20"/>
              </w:rPr>
              <w:t>Business</w:t>
            </w:r>
          </w:p>
        </w:tc>
        <w:tc>
          <w:tcPr>
            <w:tcW w:w="1700" w:type="dxa"/>
            <w:vAlign w:val="bottom"/>
          </w:tcPr>
          <w:p w14:paraId="1F6FEA21" w14:textId="77777777" w:rsidR="00624477" w:rsidRPr="006D59B3" w:rsidRDefault="00624477" w:rsidP="00AA2BBD">
            <w:pPr>
              <w:pStyle w:val="APRANORMAL"/>
              <w:jc w:val="center"/>
              <w:cnfStyle w:val="100000000000" w:firstRow="1" w:lastRow="0" w:firstColumn="0" w:lastColumn="0" w:oddVBand="0" w:evenVBand="0" w:oddHBand="0" w:evenHBand="0" w:firstRowFirstColumn="0" w:firstRowLastColumn="0" w:lastRowFirstColumn="0" w:lastRowLastColumn="0"/>
              <w:rPr>
                <w:rFonts w:ascii="DIN OT Medium" w:hAnsi="DIN OT Medium"/>
                <w:szCs w:val="20"/>
              </w:rPr>
            </w:pPr>
            <w:r w:rsidRPr="006D59B3">
              <w:rPr>
                <w:rFonts w:ascii="DIN OT Medium" w:hAnsi="DIN OT Medium"/>
                <w:szCs w:val="20"/>
              </w:rPr>
              <w:t>Community organisations</w:t>
            </w:r>
          </w:p>
        </w:tc>
        <w:tc>
          <w:tcPr>
            <w:tcW w:w="1700" w:type="dxa"/>
            <w:vAlign w:val="bottom"/>
          </w:tcPr>
          <w:p w14:paraId="2375B4CE" w14:textId="77777777" w:rsidR="00624477" w:rsidRPr="006D59B3" w:rsidRDefault="00624477" w:rsidP="00AA2BBD">
            <w:pPr>
              <w:pStyle w:val="APRANORMAL"/>
              <w:jc w:val="center"/>
              <w:cnfStyle w:val="100000000000" w:firstRow="1" w:lastRow="0" w:firstColumn="0" w:lastColumn="0" w:oddVBand="0" w:evenVBand="0" w:oddHBand="0" w:evenHBand="0" w:firstRowFirstColumn="0" w:firstRowLastColumn="0" w:lastRowFirstColumn="0" w:lastRowLastColumn="0"/>
              <w:rPr>
                <w:rFonts w:ascii="DIN OT Medium" w:hAnsi="DIN OT Medium"/>
                <w:szCs w:val="20"/>
              </w:rPr>
            </w:pPr>
            <w:r w:rsidRPr="006D59B3">
              <w:rPr>
                <w:rFonts w:ascii="DIN OT Medium" w:hAnsi="DIN OT Medium"/>
                <w:szCs w:val="20"/>
              </w:rPr>
              <w:t>Individuals</w:t>
            </w:r>
          </w:p>
        </w:tc>
        <w:tc>
          <w:tcPr>
            <w:tcW w:w="1700" w:type="dxa"/>
            <w:vAlign w:val="bottom"/>
          </w:tcPr>
          <w:p w14:paraId="75A5FAE1" w14:textId="77777777" w:rsidR="00624477" w:rsidRPr="006D59B3" w:rsidRDefault="00624477" w:rsidP="00AA2BBD">
            <w:pPr>
              <w:pStyle w:val="APRANORMAL"/>
              <w:jc w:val="center"/>
              <w:cnfStyle w:val="100000000000" w:firstRow="1" w:lastRow="0" w:firstColumn="0" w:lastColumn="0" w:oddVBand="0" w:evenVBand="0" w:oddHBand="0" w:evenHBand="0" w:firstRowFirstColumn="0" w:firstRowLastColumn="0" w:lastRowFirstColumn="0" w:lastRowLastColumn="0"/>
              <w:rPr>
                <w:rFonts w:ascii="DIN OT Medium" w:hAnsi="DIN OT Medium"/>
                <w:szCs w:val="20"/>
              </w:rPr>
            </w:pPr>
            <w:r w:rsidRPr="006D59B3">
              <w:rPr>
                <w:rFonts w:ascii="DIN OT Medium" w:hAnsi="DIN OT Medium"/>
                <w:szCs w:val="20"/>
              </w:rPr>
              <w:t>Total change in costs</w:t>
            </w:r>
          </w:p>
        </w:tc>
      </w:tr>
      <w:tr w:rsidR="00624477" w14:paraId="6153608D" w14:textId="77777777" w:rsidTr="00AA2BBD">
        <w:trPr>
          <w:cnfStyle w:val="000000100000" w:firstRow="0" w:lastRow="0" w:firstColumn="0" w:lastColumn="0" w:oddVBand="0" w:evenVBand="0" w:oddHBand="1" w:evenHBand="0" w:firstRowFirstColumn="0" w:firstRowLastColumn="0" w:lastRowFirstColumn="0" w:lastRowLastColumn="0"/>
          <w:trHeight w:val="807"/>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8733D17" w14:textId="77777777" w:rsidR="00624477" w:rsidRPr="006D59B3" w:rsidRDefault="00624477" w:rsidP="00AA2BBD">
            <w:pPr>
              <w:pStyle w:val="APRANORMAL"/>
              <w:rPr>
                <w:rFonts w:ascii="DIN OT Medium" w:hAnsi="DIN OT Medium"/>
                <w:szCs w:val="20"/>
              </w:rPr>
            </w:pPr>
            <w:r w:rsidRPr="006D59B3">
              <w:rPr>
                <w:rFonts w:ascii="DIN OT Medium" w:hAnsi="DIN OT Medium"/>
                <w:szCs w:val="20"/>
              </w:rPr>
              <w:t>Total change in cost by sector ($ million)</w:t>
            </w:r>
          </w:p>
        </w:tc>
        <w:tc>
          <w:tcPr>
            <w:tcW w:w="1699" w:type="dxa"/>
            <w:vAlign w:val="center"/>
          </w:tcPr>
          <w:p w14:paraId="57FB877A" w14:textId="77777777" w:rsidR="00624477" w:rsidRPr="002935CB" w:rsidRDefault="00624477" w:rsidP="00AA2BBD">
            <w:pPr>
              <w:pStyle w:val="APRANORMAL"/>
              <w:jc w:val="center"/>
              <w:cnfStyle w:val="000000100000" w:firstRow="0" w:lastRow="0" w:firstColumn="0" w:lastColumn="0" w:oddVBand="0" w:evenVBand="0" w:oddHBand="1" w:evenHBand="0" w:firstRowFirstColumn="0" w:firstRowLastColumn="0" w:lastRowFirstColumn="0" w:lastRowLastColumn="0"/>
              <w:rPr>
                <w:szCs w:val="20"/>
              </w:rPr>
            </w:pPr>
            <w:r w:rsidRPr="002935CB">
              <w:rPr>
                <w:szCs w:val="20"/>
              </w:rPr>
              <w:t>0</w:t>
            </w:r>
          </w:p>
        </w:tc>
        <w:tc>
          <w:tcPr>
            <w:tcW w:w="1700" w:type="dxa"/>
            <w:vAlign w:val="center"/>
          </w:tcPr>
          <w:p w14:paraId="67893147" w14:textId="77777777" w:rsidR="00624477" w:rsidRPr="00125AF5" w:rsidRDefault="00624477" w:rsidP="00AA2BBD">
            <w:pPr>
              <w:pStyle w:val="APRANORMAL"/>
              <w:jc w:val="center"/>
              <w:cnfStyle w:val="000000100000" w:firstRow="0" w:lastRow="0" w:firstColumn="0" w:lastColumn="0" w:oddVBand="0" w:evenVBand="0" w:oddHBand="1" w:evenHBand="0" w:firstRowFirstColumn="0" w:firstRowLastColumn="0" w:lastRowFirstColumn="0" w:lastRowLastColumn="0"/>
              <w:rPr>
                <w:szCs w:val="20"/>
              </w:rPr>
            </w:pPr>
            <w:r w:rsidRPr="00125AF5">
              <w:rPr>
                <w:szCs w:val="20"/>
              </w:rPr>
              <w:t>0</w:t>
            </w:r>
          </w:p>
        </w:tc>
        <w:tc>
          <w:tcPr>
            <w:tcW w:w="1700" w:type="dxa"/>
            <w:vAlign w:val="center"/>
          </w:tcPr>
          <w:p w14:paraId="15346875" w14:textId="77777777" w:rsidR="00624477" w:rsidRPr="00125AF5" w:rsidRDefault="00624477" w:rsidP="00AA2BBD">
            <w:pPr>
              <w:pStyle w:val="APRANORMAL"/>
              <w:jc w:val="center"/>
              <w:cnfStyle w:val="000000100000" w:firstRow="0" w:lastRow="0" w:firstColumn="0" w:lastColumn="0" w:oddVBand="0" w:evenVBand="0" w:oddHBand="1" w:evenHBand="0" w:firstRowFirstColumn="0" w:firstRowLastColumn="0" w:lastRowFirstColumn="0" w:lastRowLastColumn="0"/>
              <w:rPr>
                <w:szCs w:val="20"/>
              </w:rPr>
            </w:pPr>
            <w:r w:rsidRPr="00125AF5">
              <w:rPr>
                <w:szCs w:val="20"/>
              </w:rPr>
              <w:t>0</w:t>
            </w:r>
          </w:p>
        </w:tc>
        <w:tc>
          <w:tcPr>
            <w:tcW w:w="1700" w:type="dxa"/>
            <w:vAlign w:val="center"/>
          </w:tcPr>
          <w:p w14:paraId="1698070E" w14:textId="77777777" w:rsidR="00624477" w:rsidRPr="00E01C4C" w:rsidRDefault="00624477" w:rsidP="00AA2BBD">
            <w:pPr>
              <w:pStyle w:val="APRANORMAL"/>
              <w:jc w:val="center"/>
              <w:cnfStyle w:val="000000100000" w:firstRow="0" w:lastRow="0" w:firstColumn="0" w:lastColumn="0" w:oddVBand="0" w:evenVBand="0" w:oddHBand="1" w:evenHBand="0" w:firstRowFirstColumn="0" w:firstRowLastColumn="0" w:lastRowFirstColumn="0" w:lastRowLastColumn="0"/>
              <w:rPr>
                <w:szCs w:val="20"/>
              </w:rPr>
            </w:pPr>
            <w:r w:rsidRPr="00E01C4C">
              <w:rPr>
                <w:szCs w:val="20"/>
              </w:rPr>
              <w:t>0</w:t>
            </w:r>
          </w:p>
        </w:tc>
      </w:tr>
    </w:tbl>
    <w:p w14:paraId="56ABF177" w14:textId="01537FA7" w:rsidR="00624477" w:rsidRDefault="00624477" w:rsidP="00624477">
      <w:pPr>
        <w:pStyle w:val="APRAHEADING5"/>
      </w:pPr>
      <w:r>
        <w:t xml:space="preserve">Option 2: </w:t>
      </w:r>
      <w:r w:rsidR="00B00855">
        <w:t>C</w:t>
      </w:r>
      <w:r>
        <w:t>omprehensive changes with complete removal of ELE framework</w:t>
      </w:r>
    </w:p>
    <w:p w14:paraId="1D5B3FD1" w14:textId="0110CD7D" w:rsidR="00624477" w:rsidRDefault="00624477" w:rsidP="00624477">
      <w:pPr>
        <w:pStyle w:val="APRANORMAL"/>
      </w:pPr>
      <w:r>
        <w:t xml:space="preserve">This option involves comprehensive changes to the related entities framework, with complete removal of the ELE framework. This would improve financial system stability through </w:t>
      </w:r>
      <w:r w:rsidR="00EC690B">
        <w:t xml:space="preserve">the simplification of ADI group structures, though it </w:t>
      </w:r>
      <w:r>
        <w:t>would require ADIs to substantially restructure the funding of subsidiaries that are part of their ELEs.</w:t>
      </w:r>
    </w:p>
    <w:p w14:paraId="50AC09BE" w14:textId="73AECF0B" w:rsidR="00624477" w:rsidRDefault="00624477" w:rsidP="00624477">
      <w:pPr>
        <w:pStyle w:val="APRANORMAL"/>
      </w:pPr>
      <w:r>
        <w:t>APRA expects this option would involve extensive resources and time, depending on the size of entities and their current ELE arrangements.</w:t>
      </w:r>
      <w:r w:rsidR="00630EE9">
        <w:t xml:space="preserve"> </w:t>
      </w:r>
      <w:r>
        <w:t>APRA expects large</w:t>
      </w:r>
      <w:r w:rsidR="00B00855">
        <w:t>r</w:t>
      </w:r>
      <w:r>
        <w:t xml:space="preserve"> ADIs would require a lengthy transition period in order to completely restructure the funding of subsidiaries that are currently part of their ELEs.</w:t>
      </w:r>
    </w:p>
    <w:p w14:paraId="72FEAF89" w14:textId="7A6BCDCF" w:rsidR="00624477" w:rsidRDefault="00624477" w:rsidP="006D59B3">
      <w:pPr>
        <w:pStyle w:val="Numberedtableheading"/>
        <w:numPr>
          <w:ilvl w:val="0"/>
          <w:numId w:val="29"/>
        </w:numPr>
        <w:ind w:left="357" w:hanging="357"/>
      </w:pPr>
      <w:r>
        <w:t>Average annual regulatory cost of Option 2</w:t>
      </w:r>
    </w:p>
    <w:tbl>
      <w:tblPr>
        <w:tblStyle w:val="TableOption2"/>
        <w:tblW w:w="9067" w:type="dxa"/>
        <w:tblLook w:val="04A0" w:firstRow="1" w:lastRow="0" w:firstColumn="1" w:lastColumn="0" w:noHBand="0" w:noVBand="1"/>
      </w:tblPr>
      <w:tblGrid>
        <w:gridCol w:w="2268"/>
        <w:gridCol w:w="1699"/>
        <w:gridCol w:w="1700"/>
        <w:gridCol w:w="1700"/>
        <w:gridCol w:w="1700"/>
      </w:tblGrid>
      <w:tr w:rsidR="00624477" w14:paraId="3EC34C60" w14:textId="77777777" w:rsidTr="00AA2BBD">
        <w:trPr>
          <w:cnfStyle w:val="100000000000" w:firstRow="1" w:lastRow="0" w:firstColumn="0" w:lastColumn="0" w:oddVBand="0" w:evenVBand="0" w:oddHBand="0" w:evenHBand="0" w:firstRowFirstColumn="0" w:firstRowLastColumn="0" w:lastRowFirstColumn="0" w:lastRowLastColumn="0"/>
          <w:trHeight w:val="807"/>
        </w:trPr>
        <w:tc>
          <w:tcPr>
            <w:cnfStyle w:val="001000000000" w:firstRow="0" w:lastRow="0" w:firstColumn="1" w:lastColumn="0" w:oddVBand="0" w:evenVBand="0" w:oddHBand="0" w:evenHBand="0" w:firstRowFirstColumn="0" w:firstRowLastColumn="0" w:lastRowFirstColumn="0" w:lastRowLastColumn="0"/>
            <w:tcW w:w="2268" w:type="dxa"/>
            <w:vAlign w:val="bottom"/>
          </w:tcPr>
          <w:p w14:paraId="2FA12217" w14:textId="77777777" w:rsidR="00624477" w:rsidRPr="006D59B3" w:rsidRDefault="00624477" w:rsidP="00AA2BBD">
            <w:pPr>
              <w:pStyle w:val="APRANORMAL"/>
              <w:rPr>
                <w:rFonts w:ascii="DIN OT Medium" w:hAnsi="DIN OT Medium"/>
                <w:szCs w:val="20"/>
              </w:rPr>
            </w:pPr>
            <w:r w:rsidRPr="006D59B3">
              <w:rPr>
                <w:rFonts w:ascii="DIN OT Medium" w:hAnsi="DIN OT Medium"/>
                <w:szCs w:val="20"/>
              </w:rPr>
              <w:t>Sector</w:t>
            </w:r>
          </w:p>
        </w:tc>
        <w:tc>
          <w:tcPr>
            <w:tcW w:w="1699" w:type="dxa"/>
            <w:vAlign w:val="bottom"/>
          </w:tcPr>
          <w:p w14:paraId="53A5A7FE" w14:textId="77777777" w:rsidR="00624477" w:rsidRPr="006D59B3" w:rsidRDefault="00624477" w:rsidP="00AA2BBD">
            <w:pPr>
              <w:pStyle w:val="APRANORMAL"/>
              <w:jc w:val="center"/>
              <w:cnfStyle w:val="100000000000" w:firstRow="1" w:lastRow="0" w:firstColumn="0" w:lastColumn="0" w:oddVBand="0" w:evenVBand="0" w:oddHBand="0" w:evenHBand="0" w:firstRowFirstColumn="0" w:firstRowLastColumn="0" w:lastRowFirstColumn="0" w:lastRowLastColumn="0"/>
              <w:rPr>
                <w:rFonts w:ascii="DIN OT Medium" w:hAnsi="DIN OT Medium"/>
                <w:szCs w:val="20"/>
              </w:rPr>
            </w:pPr>
            <w:r w:rsidRPr="006D59B3">
              <w:rPr>
                <w:rFonts w:ascii="DIN OT Medium" w:hAnsi="DIN OT Medium"/>
                <w:szCs w:val="20"/>
              </w:rPr>
              <w:t>Business</w:t>
            </w:r>
          </w:p>
        </w:tc>
        <w:tc>
          <w:tcPr>
            <w:tcW w:w="1700" w:type="dxa"/>
            <w:vAlign w:val="bottom"/>
          </w:tcPr>
          <w:p w14:paraId="152A9ABC" w14:textId="77777777" w:rsidR="00624477" w:rsidRPr="006D59B3" w:rsidRDefault="00624477" w:rsidP="00AA2BBD">
            <w:pPr>
              <w:pStyle w:val="APRANORMAL"/>
              <w:jc w:val="center"/>
              <w:cnfStyle w:val="100000000000" w:firstRow="1" w:lastRow="0" w:firstColumn="0" w:lastColumn="0" w:oddVBand="0" w:evenVBand="0" w:oddHBand="0" w:evenHBand="0" w:firstRowFirstColumn="0" w:firstRowLastColumn="0" w:lastRowFirstColumn="0" w:lastRowLastColumn="0"/>
              <w:rPr>
                <w:rFonts w:ascii="DIN OT Medium" w:hAnsi="DIN OT Medium"/>
                <w:szCs w:val="20"/>
              </w:rPr>
            </w:pPr>
            <w:r w:rsidRPr="006D59B3">
              <w:rPr>
                <w:rFonts w:ascii="DIN OT Medium" w:hAnsi="DIN OT Medium"/>
                <w:szCs w:val="20"/>
              </w:rPr>
              <w:t>Community organisations</w:t>
            </w:r>
          </w:p>
        </w:tc>
        <w:tc>
          <w:tcPr>
            <w:tcW w:w="1700" w:type="dxa"/>
            <w:vAlign w:val="bottom"/>
          </w:tcPr>
          <w:p w14:paraId="1E7EE183" w14:textId="77777777" w:rsidR="00624477" w:rsidRPr="006D59B3" w:rsidRDefault="00624477" w:rsidP="00AA2BBD">
            <w:pPr>
              <w:pStyle w:val="APRANORMAL"/>
              <w:jc w:val="center"/>
              <w:cnfStyle w:val="100000000000" w:firstRow="1" w:lastRow="0" w:firstColumn="0" w:lastColumn="0" w:oddVBand="0" w:evenVBand="0" w:oddHBand="0" w:evenHBand="0" w:firstRowFirstColumn="0" w:firstRowLastColumn="0" w:lastRowFirstColumn="0" w:lastRowLastColumn="0"/>
              <w:rPr>
                <w:rFonts w:ascii="DIN OT Medium" w:hAnsi="DIN OT Medium"/>
                <w:szCs w:val="20"/>
              </w:rPr>
            </w:pPr>
            <w:r w:rsidRPr="006D59B3">
              <w:rPr>
                <w:rFonts w:ascii="DIN OT Medium" w:hAnsi="DIN OT Medium"/>
                <w:szCs w:val="20"/>
              </w:rPr>
              <w:t>Individuals</w:t>
            </w:r>
          </w:p>
        </w:tc>
        <w:tc>
          <w:tcPr>
            <w:tcW w:w="1700" w:type="dxa"/>
            <w:vAlign w:val="bottom"/>
          </w:tcPr>
          <w:p w14:paraId="049E0F72" w14:textId="77777777" w:rsidR="00624477" w:rsidRPr="006D59B3" w:rsidRDefault="00624477" w:rsidP="00AA2BBD">
            <w:pPr>
              <w:pStyle w:val="APRANORMAL"/>
              <w:jc w:val="center"/>
              <w:cnfStyle w:val="100000000000" w:firstRow="1" w:lastRow="0" w:firstColumn="0" w:lastColumn="0" w:oddVBand="0" w:evenVBand="0" w:oddHBand="0" w:evenHBand="0" w:firstRowFirstColumn="0" w:firstRowLastColumn="0" w:lastRowFirstColumn="0" w:lastRowLastColumn="0"/>
              <w:rPr>
                <w:rFonts w:ascii="DIN OT Medium" w:hAnsi="DIN OT Medium"/>
                <w:szCs w:val="20"/>
              </w:rPr>
            </w:pPr>
            <w:r w:rsidRPr="006D59B3">
              <w:rPr>
                <w:rFonts w:ascii="DIN OT Medium" w:hAnsi="DIN OT Medium"/>
                <w:szCs w:val="20"/>
              </w:rPr>
              <w:t>Total change in costs</w:t>
            </w:r>
          </w:p>
        </w:tc>
      </w:tr>
      <w:tr w:rsidR="00624477" w14:paraId="00D92371" w14:textId="77777777" w:rsidTr="00AA2BBD">
        <w:trPr>
          <w:cnfStyle w:val="000000100000" w:firstRow="0" w:lastRow="0" w:firstColumn="0" w:lastColumn="0" w:oddVBand="0" w:evenVBand="0" w:oddHBand="1" w:evenHBand="0" w:firstRowFirstColumn="0" w:firstRowLastColumn="0" w:lastRowFirstColumn="0" w:lastRowLastColumn="0"/>
          <w:trHeight w:val="807"/>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6555CF0C" w14:textId="77777777" w:rsidR="00624477" w:rsidRPr="006D59B3" w:rsidRDefault="00624477" w:rsidP="00AA2BBD">
            <w:pPr>
              <w:pStyle w:val="APRANORMAL"/>
              <w:rPr>
                <w:rFonts w:ascii="DIN OT Medium" w:hAnsi="DIN OT Medium"/>
                <w:szCs w:val="20"/>
              </w:rPr>
            </w:pPr>
            <w:r w:rsidRPr="006D59B3">
              <w:rPr>
                <w:rFonts w:ascii="DIN OT Medium" w:hAnsi="DIN OT Medium"/>
                <w:szCs w:val="20"/>
              </w:rPr>
              <w:t>Total change in cost by sector ($ million)</w:t>
            </w:r>
          </w:p>
        </w:tc>
        <w:tc>
          <w:tcPr>
            <w:tcW w:w="1699" w:type="dxa"/>
            <w:vAlign w:val="center"/>
          </w:tcPr>
          <w:p w14:paraId="27F4E6D6" w14:textId="55EE63F4" w:rsidR="00624477" w:rsidRPr="002935CB" w:rsidRDefault="008B0DD4" w:rsidP="00AA2BBD">
            <w:pPr>
              <w:pStyle w:val="APRANORMAL"/>
              <w:jc w:val="center"/>
              <w:cnfStyle w:val="000000100000" w:firstRow="0" w:lastRow="0" w:firstColumn="0" w:lastColumn="0" w:oddVBand="0" w:evenVBand="0" w:oddHBand="1" w:evenHBand="0" w:firstRowFirstColumn="0" w:firstRowLastColumn="0" w:lastRowFirstColumn="0" w:lastRowLastColumn="0"/>
              <w:rPr>
                <w:szCs w:val="20"/>
              </w:rPr>
            </w:pPr>
            <w:r w:rsidRPr="002935CB">
              <w:rPr>
                <w:szCs w:val="20"/>
              </w:rPr>
              <w:t>3.92</w:t>
            </w:r>
          </w:p>
        </w:tc>
        <w:tc>
          <w:tcPr>
            <w:tcW w:w="1700" w:type="dxa"/>
            <w:vAlign w:val="center"/>
          </w:tcPr>
          <w:p w14:paraId="794873A9" w14:textId="77777777" w:rsidR="00624477" w:rsidRPr="00125AF5" w:rsidRDefault="00624477" w:rsidP="00AA2BBD">
            <w:pPr>
              <w:pStyle w:val="APRANORMAL"/>
              <w:jc w:val="center"/>
              <w:cnfStyle w:val="000000100000" w:firstRow="0" w:lastRow="0" w:firstColumn="0" w:lastColumn="0" w:oddVBand="0" w:evenVBand="0" w:oddHBand="1" w:evenHBand="0" w:firstRowFirstColumn="0" w:firstRowLastColumn="0" w:lastRowFirstColumn="0" w:lastRowLastColumn="0"/>
              <w:rPr>
                <w:szCs w:val="20"/>
              </w:rPr>
            </w:pPr>
            <w:r w:rsidRPr="00125AF5">
              <w:rPr>
                <w:szCs w:val="20"/>
              </w:rPr>
              <w:t>0</w:t>
            </w:r>
          </w:p>
        </w:tc>
        <w:tc>
          <w:tcPr>
            <w:tcW w:w="1700" w:type="dxa"/>
            <w:vAlign w:val="center"/>
          </w:tcPr>
          <w:p w14:paraId="6B8A0504" w14:textId="77777777" w:rsidR="00624477" w:rsidRPr="00E01C4C" w:rsidRDefault="00624477" w:rsidP="00AA2BBD">
            <w:pPr>
              <w:pStyle w:val="APRANORMAL"/>
              <w:jc w:val="center"/>
              <w:cnfStyle w:val="000000100000" w:firstRow="0" w:lastRow="0" w:firstColumn="0" w:lastColumn="0" w:oddVBand="0" w:evenVBand="0" w:oddHBand="1" w:evenHBand="0" w:firstRowFirstColumn="0" w:firstRowLastColumn="0" w:lastRowFirstColumn="0" w:lastRowLastColumn="0"/>
              <w:rPr>
                <w:szCs w:val="20"/>
              </w:rPr>
            </w:pPr>
            <w:r w:rsidRPr="00E01C4C">
              <w:rPr>
                <w:szCs w:val="20"/>
              </w:rPr>
              <w:t>0</w:t>
            </w:r>
          </w:p>
        </w:tc>
        <w:tc>
          <w:tcPr>
            <w:tcW w:w="1700" w:type="dxa"/>
            <w:vAlign w:val="center"/>
          </w:tcPr>
          <w:p w14:paraId="28EF5694" w14:textId="357D6BC9" w:rsidR="00624477" w:rsidRPr="007E03ED" w:rsidRDefault="008B0DD4" w:rsidP="00AA2BBD">
            <w:pPr>
              <w:pStyle w:val="APRANORMAL"/>
              <w:jc w:val="center"/>
              <w:cnfStyle w:val="000000100000" w:firstRow="0" w:lastRow="0" w:firstColumn="0" w:lastColumn="0" w:oddVBand="0" w:evenVBand="0" w:oddHBand="1" w:evenHBand="0" w:firstRowFirstColumn="0" w:firstRowLastColumn="0" w:lastRowFirstColumn="0" w:lastRowLastColumn="0"/>
              <w:rPr>
                <w:szCs w:val="20"/>
              </w:rPr>
            </w:pPr>
            <w:r w:rsidRPr="007E03ED">
              <w:rPr>
                <w:szCs w:val="20"/>
              </w:rPr>
              <w:t>3.92</w:t>
            </w:r>
          </w:p>
        </w:tc>
      </w:tr>
    </w:tbl>
    <w:p w14:paraId="53118C09" w14:textId="7CA7F7C4" w:rsidR="00BB5A6F" w:rsidRDefault="00624477" w:rsidP="00BB5A6F">
      <w:pPr>
        <w:pStyle w:val="APRAHEADING5"/>
      </w:pPr>
      <w:r w:rsidRPr="00BB5A6F">
        <w:t xml:space="preserve">Option 3: </w:t>
      </w:r>
      <w:r w:rsidR="00B00855">
        <w:t>C</w:t>
      </w:r>
      <w:r w:rsidRPr="00BB5A6F">
        <w:t xml:space="preserve">omprehensive changes with </w:t>
      </w:r>
      <w:r w:rsidRPr="00AA2BBD">
        <w:rPr>
          <w:i w:val="0"/>
        </w:rPr>
        <w:t>specific</w:t>
      </w:r>
      <w:r w:rsidRPr="00BB5A6F">
        <w:t xml:space="preserve"> adjustments to ELE framework</w:t>
      </w:r>
    </w:p>
    <w:p w14:paraId="7108046E" w14:textId="63362789" w:rsidR="00624477" w:rsidRPr="00BB5A6F" w:rsidRDefault="00624477" w:rsidP="00EA1D98">
      <w:pPr>
        <w:pStyle w:val="APRANORMAL"/>
      </w:pPr>
      <w:r w:rsidRPr="000654FD">
        <w:t xml:space="preserve">This option involves comprehensive changes to the related entities framework with adjustments to the ELE framework that would allow domestic ELE subsidiaries to remain eligible. </w:t>
      </w:r>
    </w:p>
    <w:p w14:paraId="5B9EDEAB" w14:textId="69221844" w:rsidR="00624477" w:rsidRDefault="00624477" w:rsidP="00624477">
      <w:pPr>
        <w:pStyle w:val="APRAHEADING5"/>
        <w:spacing w:after="120" w:line="240" w:lineRule="auto"/>
        <w:rPr>
          <w:rFonts w:ascii="DIN OT Light" w:hAnsi="DIN OT Light" w:cs="Times New Roman"/>
          <w:bCs w:val="0"/>
          <w:i w:val="0"/>
        </w:rPr>
      </w:pPr>
      <w:r>
        <w:rPr>
          <w:rFonts w:ascii="DIN OT Light" w:hAnsi="DIN OT Light" w:cs="Times New Roman"/>
          <w:bCs w:val="0"/>
          <w:i w:val="0"/>
        </w:rPr>
        <w:t xml:space="preserve">APRA expects costs to vary depending on the size of entities and their current ELE arrangements, </w:t>
      </w:r>
      <w:r w:rsidR="0074603E">
        <w:rPr>
          <w:rFonts w:ascii="DIN OT Light" w:hAnsi="DIN OT Light" w:cs="Times New Roman"/>
          <w:bCs w:val="0"/>
          <w:i w:val="0"/>
        </w:rPr>
        <w:t>and envisages the need for</w:t>
      </w:r>
      <w:r>
        <w:rPr>
          <w:rFonts w:ascii="DIN OT Light" w:hAnsi="DIN OT Light" w:cs="Times New Roman"/>
          <w:bCs w:val="0"/>
          <w:i w:val="0"/>
        </w:rPr>
        <w:t xml:space="preserve"> transition period</w:t>
      </w:r>
      <w:r w:rsidR="0074603E">
        <w:rPr>
          <w:rFonts w:ascii="DIN OT Light" w:hAnsi="DIN OT Light" w:cs="Times New Roman"/>
          <w:bCs w:val="0"/>
          <w:i w:val="0"/>
        </w:rPr>
        <w:t>s</w:t>
      </w:r>
      <w:r>
        <w:rPr>
          <w:rFonts w:ascii="DIN OT Light" w:hAnsi="DIN OT Light" w:cs="Times New Roman"/>
          <w:bCs w:val="0"/>
          <w:i w:val="0"/>
        </w:rPr>
        <w:t xml:space="preserve"> to allow larger ADIs to reassess and restructure overseas subsidiaries that are currently part of the ELE framework.</w:t>
      </w:r>
    </w:p>
    <w:p w14:paraId="78D11B29" w14:textId="4D220625" w:rsidR="00624477" w:rsidRPr="00B22E44" w:rsidRDefault="00624477" w:rsidP="006D59B3">
      <w:pPr>
        <w:pStyle w:val="Numberedtableheading"/>
        <w:numPr>
          <w:ilvl w:val="0"/>
          <w:numId w:val="29"/>
        </w:numPr>
        <w:ind w:left="357" w:hanging="357"/>
      </w:pPr>
      <w:r>
        <w:t>Average annual regulatory cost of Option 3</w:t>
      </w:r>
    </w:p>
    <w:tbl>
      <w:tblPr>
        <w:tblStyle w:val="TableOption2"/>
        <w:tblW w:w="9067" w:type="dxa"/>
        <w:tblLook w:val="04A0" w:firstRow="1" w:lastRow="0" w:firstColumn="1" w:lastColumn="0" w:noHBand="0" w:noVBand="1"/>
      </w:tblPr>
      <w:tblGrid>
        <w:gridCol w:w="2268"/>
        <w:gridCol w:w="1699"/>
        <w:gridCol w:w="1700"/>
        <w:gridCol w:w="1700"/>
        <w:gridCol w:w="1700"/>
      </w:tblGrid>
      <w:tr w:rsidR="00624477" w14:paraId="4D16AC1F" w14:textId="77777777" w:rsidTr="00AA2BBD">
        <w:trPr>
          <w:cnfStyle w:val="100000000000" w:firstRow="1" w:lastRow="0" w:firstColumn="0" w:lastColumn="0" w:oddVBand="0" w:evenVBand="0" w:oddHBand="0" w:evenHBand="0" w:firstRowFirstColumn="0" w:firstRowLastColumn="0" w:lastRowFirstColumn="0" w:lastRowLastColumn="0"/>
          <w:trHeight w:val="807"/>
        </w:trPr>
        <w:tc>
          <w:tcPr>
            <w:cnfStyle w:val="001000000000" w:firstRow="0" w:lastRow="0" w:firstColumn="1" w:lastColumn="0" w:oddVBand="0" w:evenVBand="0" w:oddHBand="0" w:evenHBand="0" w:firstRowFirstColumn="0" w:firstRowLastColumn="0" w:lastRowFirstColumn="0" w:lastRowLastColumn="0"/>
            <w:tcW w:w="2268" w:type="dxa"/>
            <w:vAlign w:val="bottom"/>
          </w:tcPr>
          <w:p w14:paraId="090BFA52" w14:textId="77777777" w:rsidR="00624477" w:rsidRPr="006D59B3" w:rsidRDefault="00624477" w:rsidP="00AA2BBD">
            <w:pPr>
              <w:pStyle w:val="APRANORMAL"/>
              <w:rPr>
                <w:rFonts w:ascii="DIN OT Medium" w:hAnsi="DIN OT Medium"/>
                <w:szCs w:val="20"/>
              </w:rPr>
            </w:pPr>
            <w:r w:rsidRPr="006D59B3">
              <w:rPr>
                <w:rFonts w:ascii="DIN OT Medium" w:hAnsi="DIN OT Medium"/>
                <w:szCs w:val="20"/>
              </w:rPr>
              <w:t>Sector</w:t>
            </w:r>
          </w:p>
        </w:tc>
        <w:tc>
          <w:tcPr>
            <w:tcW w:w="1699" w:type="dxa"/>
            <w:vAlign w:val="bottom"/>
          </w:tcPr>
          <w:p w14:paraId="2B8ECA2C" w14:textId="77777777" w:rsidR="00624477" w:rsidRPr="006D59B3" w:rsidRDefault="00624477" w:rsidP="00AA2BBD">
            <w:pPr>
              <w:pStyle w:val="APRANORMAL"/>
              <w:jc w:val="center"/>
              <w:cnfStyle w:val="100000000000" w:firstRow="1" w:lastRow="0" w:firstColumn="0" w:lastColumn="0" w:oddVBand="0" w:evenVBand="0" w:oddHBand="0" w:evenHBand="0" w:firstRowFirstColumn="0" w:firstRowLastColumn="0" w:lastRowFirstColumn="0" w:lastRowLastColumn="0"/>
              <w:rPr>
                <w:rFonts w:ascii="DIN OT Medium" w:hAnsi="DIN OT Medium"/>
                <w:szCs w:val="20"/>
              </w:rPr>
            </w:pPr>
            <w:r w:rsidRPr="006D59B3">
              <w:rPr>
                <w:rFonts w:ascii="DIN OT Medium" w:hAnsi="DIN OT Medium"/>
                <w:szCs w:val="20"/>
              </w:rPr>
              <w:t>Business</w:t>
            </w:r>
          </w:p>
        </w:tc>
        <w:tc>
          <w:tcPr>
            <w:tcW w:w="1700" w:type="dxa"/>
            <w:vAlign w:val="bottom"/>
          </w:tcPr>
          <w:p w14:paraId="1FEEBE2C" w14:textId="77777777" w:rsidR="00624477" w:rsidRPr="006D59B3" w:rsidRDefault="00624477" w:rsidP="00AA2BBD">
            <w:pPr>
              <w:pStyle w:val="APRANORMAL"/>
              <w:jc w:val="center"/>
              <w:cnfStyle w:val="100000000000" w:firstRow="1" w:lastRow="0" w:firstColumn="0" w:lastColumn="0" w:oddVBand="0" w:evenVBand="0" w:oddHBand="0" w:evenHBand="0" w:firstRowFirstColumn="0" w:firstRowLastColumn="0" w:lastRowFirstColumn="0" w:lastRowLastColumn="0"/>
              <w:rPr>
                <w:rFonts w:ascii="DIN OT Medium" w:hAnsi="DIN OT Medium"/>
                <w:szCs w:val="20"/>
              </w:rPr>
            </w:pPr>
            <w:r w:rsidRPr="006D59B3">
              <w:rPr>
                <w:rFonts w:ascii="DIN OT Medium" w:hAnsi="DIN OT Medium"/>
                <w:szCs w:val="20"/>
              </w:rPr>
              <w:t>Community organisations</w:t>
            </w:r>
          </w:p>
        </w:tc>
        <w:tc>
          <w:tcPr>
            <w:tcW w:w="1700" w:type="dxa"/>
            <w:vAlign w:val="bottom"/>
          </w:tcPr>
          <w:p w14:paraId="25025CB4" w14:textId="77777777" w:rsidR="00624477" w:rsidRPr="006D59B3" w:rsidRDefault="00624477" w:rsidP="00AA2BBD">
            <w:pPr>
              <w:pStyle w:val="APRANORMAL"/>
              <w:jc w:val="center"/>
              <w:cnfStyle w:val="100000000000" w:firstRow="1" w:lastRow="0" w:firstColumn="0" w:lastColumn="0" w:oddVBand="0" w:evenVBand="0" w:oddHBand="0" w:evenHBand="0" w:firstRowFirstColumn="0" w:firstRowLastColumn="0" w:lastRowFirstColumn="0" w:lastRowLastColumn="0"/>
              <w:rPr>
                <w:rFonts w:ascii="DIN OT Medium" w:hAnsi="DIN OT Medium"/>
                <w:szCs w:val="20"/>
              </w:rPr>
            </w:pPr>
            <w:r w:rsidRPr="006D59B3">
              <w:rPr>
                <w:rFonts w:ascii="DIN OT Medium" w:hAnsi="DIN OT Medium"/>
                <w:szCs w:val="20"/>
              </w:rPr>
              <w:t>Individuals</w:t>
            </w:r>
          </w:p>
        </w:tc>
        <w:tc>
          <w:tcPr>
            <w:tcW w:w="1700" w:type="dxa"/>
            <w:vAlign w:val="bottom"/>
          </w:tcPr>
          <w:p w14:paraId="66AB1A23" w14:textId="77777777" w:rsidR="00624477" w:rsidRPr="006D59B3" w:rsidRDefault="00624477" w:rsidP="00AA2BBD">
            <w:pPr>
              <w:pStyle w:val="APRANORMAL"/>
              <w:jc w:val="center"/>
              <w:cnfStyle w:val="100000000000" w:firstRow="1" w:lastRow="0" w:firstColumn="0" w:lastColumn="0" w:oddVBand="0" w:evenVBand="0" w:oddHBand="0" w:evenHBand="0" w:firstRowFirstColumn="0" w:firstRowLastColumn="0" w:lastRowFirstColumn="0" w:lastRowLastColumn="0"/>
              <w:rPr>
                <w:rFonts w:ascii="DIN OT Medium" w:hAnsi="DIN OT Medium"/>
                <w:szCs w:val="20"/>
              </w:rPr>
            </w:pPr>
            <w:r w:rsidRPr="006D59B3">
              <w:rPr>
                <w:rFonts w:ascii="DIN OT Medium" w:hAnsi="DIN OT Medium"/>
                <w:szCs w:val="20"/>
              </w:rPr>
              <w:t>Total change in costs</w:t>
            </w:r>
          </w:p>
        </w:tc>
      </w:tr>
      <w:tr w:rsidR="00624477" w14:paraId="0EFC8584" w14:textId="77777777" w:rsidTr="00AA2BBD">
        <w:trPr>
          <w:cnfStyle w:val="000000100000" w:firstRow="0" w:lastRow="0" w:firstColumn="0" w:lastColumn="0" w:oddVBand="0" w:evenVBand="0" w:oddHBand="1" w:evenHBand="0" w:firstRowFirstColumn="0" w:firstRowLastColumn="0" w:lastRowFirstColumn="0" w:lastRowLastColumn="0"/>
          <w:trHeight w:val="807"/>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79D60151" w14:textId="77777777" w:rsidR="00624477" w:rsidRPr="006D59B3" w:rsidRDefault="00624477" w:rsidP="00AA2BBD">
            <w:pPr>
              <w:pStyle w:val="APRANORMAL"/>
              <w:rPr>
                <w:rFonts w:ascii="DIN OT Medium" w:hAnsi="DIN OT Medium"/>
                <w:szCs w:val="20"/>
              </w:rPr>
            </w:pPr>
            <w:r w:rsidRPr="006D59B3">
              <w:rPr>
                <w:rFonts w:ascii="DIN OT Medium" w:hAnsi="DIN OT Medium"/>
                <w:szCs w:val="20"/>
              </w:rPr>
              <w:t>Total change in cost by sector ($ million)</w:t>
            </w:r>
          </w:p>
        </w:tc>
        <w:tc>
          <w:tcPr>
            <w:tcW w:w="1699" w:type="dxa"/>
            <w:vAlign w:val="center"/>
          </w:tcPr>
          <w:p w14:paraId="21FD7B63" w14:textId="42D6355A" w:rsidR="00624477" w:rsidRPr="002935CB" w:rsidRDefault="008B0DD4" w:rsidP="00AA2BBD">
            <w:pPr>
              <w:pStyle w:val="APRANORMAL"/>
              <w:jc w:val="center"/>
              <w:cnfStyle w:val="000000100000" w:firstRow="0" w:lastRow="0" w:firstColumn="0" w:lastColumn="0" w:oddVBand="0" w:evenVBand="0" w:oddHBand="1" w:evenHBand="0" w:firstRowFirstColumn="0" w:firstRowLastColumn="0" w:lastRowFirstColumn="0" w:lastRowLastColumn="0"/>
              <w:rPr>
                <w:szCs w:val="20"/>
              </w:rPr>
            </w:pPr>
            <w:r w:rsidRPr="002935CB">
              <w:rPr>
                <w:szCs w:val="20"/>
              </w:rPr>
              <w:t>3.09</w:t>
            </w:r>
          </w:p>
        </w:tc>
        <w:tc>
          <w:tcPr>
            <w:tcW w:w="1700" w:type="dxa"/>
            <w:vAlign w:val="center"/>
          </w:tcPr>
          <w:p w14:paraId="14733B4A" w14:textId="77777777" w:rsidR="00624477" w:rsidRPr="00125AF5" w:rsidRDefault="00624477" w:rsidP="00AA2BBD">
            <w:pPr>
              <w:pStyle w:val="APRANORMAL"/>
              <w:jc w:val="center"/>
              <w:cnfStyle w:val="000000100000" w:firstRow="0" w:lastRow="0" w:firstColumn="0" w:lastColumn="0" w:oddVBand="0" w:evenVBand="0" w:oddHBand="1" w:evenHBand="0" w:firstRowFirstColumn="0" w:firstRowLastColumn="0" w:lastRowFirstColumn="0" w:lastRowLastColumn="0"/>
              <w:rPr>
                <w:szCs w:val="20"/>
              </w:rPr>
            </w:pPr>
            <w:r w:rsidRPr="00125AF5">
              <w:rPr>
                <w:szCs w:val="20"/>
              </w:rPr>
              <w:t>0</w:t>
            </w:r>
          </w:p>
        </w:tc>
        <w:tc>
          <w:tcPr>
            <w:tcW w:w="1700" w:type="dxa"/>
            <w:vAlign w:val="center"/>
          </w:tcPr>
          <w:p w14:paraId="23B653CF" w14:textId="77777777" w:rsidR="00624477" w:rsidRPr="00E01C4C" w:rsidRDefault="00624477" w:rsidP="00AA2BBD">
            <w:pPr>
              <w:pStyle w:val="APRANORMAL"/>
              <w:jc w:val="center"/>
              <w:cnfStyle w:val="000000100000" w:firstRow="0" w:lastRow="0" w:firstColumn="0" w:lastColumn="0" w:oddVBand="0" w:evenVBand="0" w:oddHBand="1" w:evenHBand="0" w:firstRowFirstColumn="0" w:firstRowLastColumn="0" w:lastRowFirstColumn="0" w:lastRowLastColumn="0"/>
              <w:rPr>
                <w:szCs w:val="20"/>
              </w:rPr>
            </w:pPr>
            <w:r w:rsidRPr="00E01C4C">
              <w:rPr>
                <w:szCs w:val="20"/>
              </w:rPr>
              <w:t>0</w:t>
            </w:r>
          </w:p>
        </w:tc>
        <w:tc>
          <w:tcPr>
            <w:tcW w:w="1700" w:type="dxa"/>
            <w:vAlign w:val="center"/>
          </w:tcPr>
          <w:p w14:paraId="24BA0272" w14:textId="03D33675" w:rsidR="00624477" w:rsidRPr="007E03ED" w:rsidRDefault="008B0DD4" w:rsidP="00AA2BBD">
            <w:pPr>
              <w:pStyle w:val="APRANORMAL"/>
              <w:jc w:val="center"/>
              <w:cnfStyle w:val="000000100000" w:firstRow="0" w:lastRow="0" w:firstColumn="0" w:lastColumn="0" w:oddVBand="0" w:evenVBand="0" w:oddHBand="1" w:evenHBand="0" w:firstRowFirstColumn="0" w:firstRowLastColumn="0" w:lastRowFirstColumn="0" w:lastRowLastColumn="0"/>
              <w:rPr>
                <w:szCs w:val="20"/>
              </w:rPr>
            </w:pPr>
            <w:r w:rsidRPr="007E03ED">
              <w:rPr>
                <w:szCs w:val="20"/>
              </w:rPr>
              <w:t>3.09</w:t>
            </w:r>
          </w:p>
        </w:tc>
      </w:tr>
    </w:tbl>
    <w:p w14:paraId="089AD1FA" w14:textId="77777777" w:rsidR="00624477" w:rsidRDefault="00624477" w:rsidP="00D129CD">
      <w:pPr>
        <w:pStyle w:val="Heading3"/>
      </w:pPr>
      <w:r>
        <w:t>Conclusion</w:t>
      </w:r>
    </w:p>
    <w:p w14:paraId="36762010" w14:textId="77777777" w:rsidR="00624477" w:rsidRDefault="00624477" w:rsidP="00624477">
      <w:pPr>
        <w:pStyle w:val="APRANORMAL"/>
      </w:pPr>
      <w:r>
        <w:t>Option 1 results in no additional compliance costs, as it involves maintaining the current related entities framework without change. Options 2 and 3 result in compliance costs for industry.</w:t>
      </w:r>
    </w:p>
    <w:p w14:paraId="6CB8E126" w14:textId="0BD1DC63" w:rsidR="00624477" w:rsidRDefault="00624477" w:rsidP="00624477">
      <w:pPr>
        <w:pStyle w:val="APRANORMAL"/>
      </w:pPr>
      <w:r>
        <w:t xml:space="preserve">Option 2 results in complete removal of the ELEs framework and would require extensive resources and a lengthy transition period. ADIs would be required to completely restructure </w:t>
      </w:r>
      <w:r w:rsidR="009E0EE3">
        <w:t xml:space="preserve">domestic and </w:t>
      </w:r>
      <w:r>
        <w:t xml:space="preserve">offshore subsidiaries that would no longer be eligible under the revised prudential standard. </w:t>
      </w:r>
    </w:p>
    <w:p w14:paraId="0BA258C2" w14:textId="5B8F95DB" w:rsidR="00624477" w:rsidRDefault="00624477" w:rsidP="00624477">
      <w:pPr>
        <w:pStyle w:val="APRANORMAL"/>
        <w:rPr>
          <w:bCs/>
        </w:rPr>
      </w:pPr>
      <w:r>
        <w:t xml:space="preserve">Option 3 </w:t>
      </w:r>
      <w:r w:rsidR="00540C72">
        <w:t xml:space="preserve">involves </w:t>
      </w:r>
      <w:r>
        <w:t xml:space="preserve">maintaining the ELE framework with specific adjustments, such as the removal of eligibility of overseas subsidiaries, </w:t>
      </w:r>
      <w:r w:rsidR="00540C72">
        <w:t xml:space="preserve">while addressing </w:t>
      </w:r>
      <w:r>
        <w:t xml:space="preserve">the prudential concerns regarding the current ELE arrangements. </w:t>
      </w:r>
      <w:r w:rsidRPr="00DF1CD9">
        <w:rPr>
          <w:bCs/>
        </w:rPr>
        <w:t>APRA expects adjustments to the ELE framework would involve lower costs compared to complete removal of the ELE framework.</w:t>
      </w:r>
    </w:p>
    <w:p w14:paraId="76B2C193" w14:textId="52D925B8" w:rsidR="00D64A8C" w:rsidRDefault="000B04F7" w:rsidP="00624477">
      <w:pPr>
        <w:pStyle w:val="APRANORMAL"/>
      </w:pPr>
      <w:r>
        <w:t>T</w:t>
      </w:r>
      <w:r w:rsidR="00D64A8C">
        <w:t>he costs outlined in the tables above are</w:t>
      </w:r>
      <w:r w:rsidR="00B00855">
        <w:t xml:space="preserve"> only</w:t>
      </w:r>
      <w:r w:rsidR="00D64A8C">
        <w:t xml:space="preserve"> reflective </w:t>
      </w:r>
      <w:r w:rsidR="00BE3906">
        <w:t xml:space="preserve">of the estimated compliance and regulatory </w:t>
      </w:r>
      <w:r w:rsidR="00D64A8C">
        <w:t xml:space="preserve">costs associated with the implementation of the changes to APS 222. In considering the </w:t>
      </w:r>
      <w:r w:rsidR="00B81750">
        <w:t xml:space="preserve">direct </w:t>
      </w:r>
      <w:r w:rsidR="00D64A8C">
        <w:t>impacts of the</w:t>
      </w:r>
      <w:r w:rsidR="007E0B11">
        <w:t>se</w:t>
      </w:r>
      <w:r w:rsidR="00D64A8C">
        <w:t xml:space="preserve"> changes </w:t>
      </w:r>
      <w:r w:rsidR="003E59FA">
        <w:t>to ADIs</w:t>
      </w:r>
      <w:r w:rsidR="00B81750">
        <w:t xml:space="preserve">, </w:t>
      </w:r>
      <w:r w:rsidR="00D64A8C">
        <w:t>APRA expects that Option 2 w</w:t>
      </w:r>
      <w:r w:rsidR="00BE3906">
        <w:t xml:space="preserve">ill </w:t>
      </w:r>
      <w:r w:rsidR="00D64A8C">
        <w:t xml:space="preserve">result in a </w:t>
      </w:r>
      <w:r w:rsidR="007E0B11">
        <w:t xml:space="preserve">higher </w:t>
      </w:r>
      <w:r w:rsidR="00D64A8C">
        <w:t>material cost to ADIs</w:t>
      </w:r>
      <w:r w:rsidR="002D5050">
        <w:t xml:space="preserve"> than Option 3, as </w:t>
      </w:r>
      <w:r>
        <w:t xml:space="preserve">select </w:t>
      </w:r>
      <w:r w:rsidR="002D5050">
        <w:t>ADIs will have to</w:t>
      </w:r>
      <w:r w:rsidR="00D64A8C">
        <w:t xml:space="preserve"> restructure </w:t>
      </w:r>
      <w:r w:rsidR="002D5050">
        <w:t>domestic and offshore subsidiaries i</w:t>
      </w:r>
      <w:r w:rsidR="00BE3906">
        <w:t>n order to completely remove usage of the</w:t>
      </w:r>
      <w:r w:rsidR="002D5050">
        <w:t xml:space="preserve"> ELE framework. </w:t>
      </w:r>
      <w:r w:rsidR="000306F7">
        <w:t xml:space="preserve">Option 3 </w:t>
      </w:r>
      <w:r w:rsidR="00BE3906">
        <w:t>leads to the</w:t>
      </w:r>
      <w:r w:rsidR="000306F7">
        <w:t xml:space="preserve"> removal of overseas subsidiaries only, resulting in </w:t>
      </w:r>
      <w:r w:rsidR="00D14739">
        <w:t>a lower impact to ADIs</w:t>
      </w:r>
      <w:r w:rsidR="00BE3906">
        <w:t xml:space="preserve"> overall</w:t>
      </w:r>
      <w:r w:rsidR="00764476">
        <w:t xml:space="preserve"> as domestic subsidiaries that form part of the ELE will still be eligible.</w:t>
      </w:r>
    </w:p>
    <w:p w14:paraId="6E33B7F5" w14:textId="543BD522" w:rsidR="00624477" w:rsidRDefault="00624477" w:rsidP="006D59B3">
      <w:pPr>
        <w:pStyle w:val="Numberedtableheading"/>
        <w:numPr>
          <w:ilvl w:val="0"/>
          <w:numId w:val="29"/>
        </w:numPr>
        <w:ind w:left="357" w:hanging="357"/>
      </w:pPr>
      <w:r>
        <w:t>Summary of net benefits of each option</w:t>
      </w:r>
    </w:p>
    <w:tbl>
      <w:tblPr>
        <w:tblStyle w:val="TableOption2"/>
        <w:tblW w:w="9030" w:type="dxa"/>
        <w:tblLayout w:type="fixed"/>
        <w:tblLook w:val="04A0" w:firstRow="1" w:lastRow="0" w:firstColumn="1" w:lastColumn="0" w:noHBand="0" w:noVBand="1"/>
      </w:tblPr>
      <w:tblGrid>
        <w:gridCol w:w="2268"/>
        <w:gridCol w:w="2216"/>
        <w:gridCol w:w="38"/>
        <w:gridCol w:w="2230"/>
        <w:gridCol w:w="24"/>
        <w:gridCol w:w="2244"/>
        <w:gridCol w:w="10"/>
      </w:tblGrid>
      <w:tr w:rsidR="00624477" w:rsidRPr="007E03ED" w14:paraId="593DB7C9" w14:textId="77777777" w:rsidTr="00AA2BBD">
        <w:trPr>
          <w:gridAfter w:val="1"/>
          <w:cnfStyle w:val="100000000000" w:firstRow="1" w:lastRow="0" w:firstColumn="0" w:lastColumn="0" w:oddVBand="0" w:evenVBand="0" w:oddHBand="0" w:evenHBand="0"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2268" w:type="dxa"/>
          </w:tcPr>
          <w:p w14:paraId="512515A8" w14:textId="77777777" w:rsidR="00624477" w:rsidRPr="002935CB" w:rsidRDefault="00624477" w:rsidP="008E32EF">
            <w:pPr>
              <w:pStyle w:val="APRABULLET"/>
              <w:spacing w:before="120" w:after="120"/>
              <w:ind w:left="0"/>
              <w:contextualSpacing w:val="0"/>
              <w:rPr>
                <w:szCs w:val="20"/>
              </w:rPr>
            </w:pPr>
          </w:p>
        </w:tc>
        <w:tc>
          <w:tcPr>
            <w:tcW w:w="2216" w:type="dxa"/>
            <w:vAlign w:val="bottom"/>
            <w:hideMark/>
          </w:tcPr>
          <w:p w14:paraId="16BCBE5A" w14:textId="77777777" w:rsidR="00624477" w:rsidRPr="00125AF5" w:rsidRDefault="00624477" w:rsidP="00AA2BBD">
            <w:pPr>
              <w:pStyle w:val="APRABULLET"/>
              <w:spacing w:before="120" w:after="120"/>
              <w:ind w:left="0"/>
              <w:contextualSpacing w:val="0"/>
              <w:jc w:val="center"/>
              <w:cnfStyle w:val="100000000000" w:firstRow="1" w:lastRow="0" w:firstColumn="0" w:lastColumn="0" w:oddVBand="0" w:evenVBand="0" w:oddHBand="0" w:evenHBand="0" w:firstRowFirstColumn="0" w:firstRowLastColumn="0" w:lastRowFirstColumn="0" w:lastRowLastColumn="0"/>
              <w:rPr>
                <w:szCs w:val="20"/>
              </w:rPr>
            </w:pPr>
            <w:r w:rsidRPr="00125AF5">
              <w:rPr>
                <w:szCs w:val="20"/>
              </w:rPr>
              <w:t>Option 1</w:t>
            </w:r>
          </w:p>
        </w:tc>
        <w:tc>
          <w:tcPr>
            <w:tcW w:w="2268" w:type="dxa"/>
            <w:gridSpan w:val="2"/>
            <w:vAlign w:val="bottom"/>
            <w:hideMark/>
          </w:tcPr>
          <w:p w14:paraId="61DF40E2" w14:textId="77777777" w:rsidR="00624477" w:rsidRPr="00E01C4C" w:rsidRDefault="00624477" w:rsidP="00AA2BBD">
            <w:pPr>
              <w:pStyle w:val="APRABULLET"/>
              <w:spacing w:before="120" w:after="120"/>
              <w:ind w:left="0"/>
              <w:contextualSpacing w:val="0"/>
              <w:jc w:val="center"/>
              <w:cnfStyle w:val="100000000000" w:firstRow="1" w:lastRow="0" w:firstColumn="0" w:lastColumn="0" w:oddVBand="0" w:evenVBand="0" w:oddHBand="0" w:evenHBand="0" w:firstRowFirstColumn="0" w:firstRowLastColumn="0" w:lastRowFirstColumn="0" w:lastRowLastColumn="0"/>
              <w:rPr>
                <w:szCs w:val="20"/>
              </w:rPr>
            </w:pPr>
            <w:r w:rsidRPr="00E01C4C">
              <w:rPr>
                <w:szCs w:val="20"/>
              </w:rPr>
              <w:t>Option 2</w:t>
            </w:r>
          </w:p>
        </w:tc>
        <w:tc>
          <w:tcPr>
            <w:tcW w:w="2268" w:type="dxa"/>
            <w:gridSpan w:val="2"/>
            <w:vAlign w:val="bottom"/>
          </w:tcPr>
          <w:p w14:paraId="4CC9152A" w14:textId="77777777" w:rsidR="00624477" w:rsidRPr="007E03ED" w:rsidRDefault="00624477" w:rsidP="00AA2BBD">
            <w:pPr>
              <w:pStyle w:val="APRABULLET"/>
              <w:spacing w:before="120" w:after="120"/>
              <w:ind w:left="0"/>
              <w:contextualSpacing w:val="0"/>
              <w:jc w:val="center"/>
              <w:cnfStyle w:val="100000000000" w:firstRow="1" w:lastRow="0" w:firstColumn="0" w:lastColumn="0" w:oddVBand="0" w:evenVBand="0" w:oddHBand="0" w:evenHBand="0" w:firstRowFirstColumn="0" w:firstRowLastColumn="0" w:lastRowFirstColumn="0" w:lastRowLastColumn="0"/>
              <w:rPr>
                <w:szCs w:val="20"/>
              </w:rPr>
            </w:pPr>
            <w:r w:rsidRPr="007E03ED">
              <w:rPr>
                <w:szCs w:val="20"/>
              </w:rPr>
              <w:t>Option 3</w:t>
            </w:r>
          </w:p>
        </w:tc>
      </w:tr>
      <w:tr w:rsidR="00624477" w14:paraId="52B8CB05" w14:textId="77777777" w:rsidTr="00AA2BBD">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2FC07775" w14:textId="0159E875" w:rsidR="00624477" w:rsidRPr="002935CB" w:rsidRDefault="00624477" w:rsidP="00AA2BBD">
            <w:pPr>
              <w:pStyle w:val="APRABULLET"/>
              <w:ind w:left="0"/>
              <w:contextualSpacing w:val="0"/>
              <w:rPr>
                <w:szCs w:val="20"/>
              </w:rPr>
            </w:pPr>
            <w:r w:rsidRPr="002935CB">
              <w:rPr>
                <w:szCs w:val="20"/>
              </w:rPr>
              <w:t>Compliance cost</w:t>
            </w:r>
          </w:p>
        </w:tc>
        <w:tc>
          <w:tcPr>
            <w:tcW w:w="2254" w:type="dxa"/>
            <w:gridSpan w:val="2"/>
            <w:vAlign w:val="center"/>
          </w:tcPr>
          <w:p w14:paraId="05B38A64" w14:textId="77777777" w:rsidR="00624477" w:rsidRPr="006D59B3" w:rsidRDefault="00624477" w:rsidP="006D59B3">
            <w:pPr>
              <w:pStyle w:val="APRABULLET"/>
              <w:spacing w:before="120"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DIN OT Light" w:hAnsi="DIN OT Light"/>
                <w:szCs w:val="20"/>
              </w:rPr>
            </w:pPr>
            <w:r w:rsidRPr="006D59B3">
              <w:rPr>
                <w:rFonts w:ascii="DIN OT Light" w:hAnsi="DIN OT Light"/>
                <w:szCs w:val="20"/>
              </w:rPr>
              <w:t>No change</w:t>
            </w:r>
          </w:p>
        </w:tc>
        <w:tc>
          <w:tcPr>
            <w:tcW w:w="2254" w:type="dxa"/>
            <w:gridSpan w:val="2"/>
            <w:vAlign w:val="center"/>
          </w:tcPr>
          <w:p w14:paraId="53D0CB5C" w14:textId="77777777" w:rsidR="00624477" w:rsidRPr="006D59B3" w:rsidRDefault="00624477" w:rsidP="006D59B3">
            <w:pPr>
              <w:pStyle w:val="APRABULLET"/>
              <w:spacing w:before="120"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DIN OT Light" w:hAnsi="DIN OT Light"/>
                <w:szCs w:val="20"/>
              </w:rPr>
            </w:pPr>
            <w:r w:rsidRPr="006D59B3">
              <w:rPr>
                <w:rFonts w:ascii="DIN OT Light" w:hAnsi="DIN OT Light"/>
                <w:szCs w:val="20"/>
              </w:rPr>
              <w:t>High cost</w:t>
            </w:r>
          </w:p>
        </w:tc>
        <w:tc>
          <w:tcPr>
            <w:tcW w:w="2254" w:type="dxa"/>
            <w:gridSpan w:val="2"/>
            <w:vAlign w:val="center"/>
          </w:tcPr>
          <w:p w14:paraId="0C1668A2" w14:textId="77777777" w:rsidR="00624477" w:rsidRPr="006D59B3" w:rsidRDefault="00624477" w:rsidP="006D59B3">
            <w:pPr>
              <w:pStyle w:val="APRABULLET"/>
              <w:spacing w:before="120"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DIN OT Light" w:hAnsi="DIN OT Light"/>
                <w:szCs w:val="20"/>
              </w:rPr>
            </w:pPr>
            <w:r w:rsidRPr="006D59B3">
              <w:rPr>
                <w:rFonts w:ascii="DIN OT Light" w:hAnsi="DIN OT Light"/>
                <w:szCs w:val="20"/>
              </w:rPr>
              <w:t>Moderate cost</w:t>
            </w:r>
          </w:p>
        </w:tc>
      </w:tr>
      <w:tr w:rsidR="00624477" w14:paraId="588BDDEB" w14:textId="77777777" w:rsidTr="00AA2BBD">
        <w:trPr>
          <w:cnfStyle w:val="000000010000" w:firstRow="0" w:lastRow="0" w:firstColumn="0" w:lastColumn="0" w:oddVBand="0" w:evenVBand="0" w:oddHBand="0" w:evenHBand="1" w:firstRowFirstColumn="0" w:firstRowLastColumn="0" w:lastRowFirstColumn="0" w:lastRowLastColumn="0"/>
          <w:trHeight w:val="1261"/>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16515330" w14:textId="77777777" w:rsidR="00624477" w:rsidRPr="00125AF5" w:rsidRDefault="00624477" w:rsidP="00AA2BBD">
            <w:pPr>
              <w:pStyle w:val="APRABULLET"/>
              <w:ind w:left="0"/>
              <w:contextualSpacing w:val="0"/>
              <w:rPr>
                <w:szCs w:val="20"/>
              </w:rPr>
            </w:pPr>
            <w:r w:rsidRPr="002935CB">
              <w:rPr>
                <w:szCs w:val="20"/>
              </w:rPr>
              <w:t>Reduce system-wide financial and reputational contagion risk</w:t>
            </w:r>
          </w:p>
        </w:tc>
        <w:tc>
          <w:tcPr>
            <w:tcW w:w="2254" w:type="dxa"/>
            <w:gridSpan w:val="2"/>
            <w:vAlign w:val="center"/>
          </w:tcPr>
          <w:p w14:paraId="48F12025" w14:textId="77777777" w:rsidR="00624477" w:rsidRPr="006D59B3" w:rsidRDefault="00624477" w:rsidP="006D59B3">
            <w:pPr>
              <w:pStyle w:val="APRABULLET"/>
              <w:spacing w:before="120" w:after="120"/>
              <w:ind w:left="0"/>
              <w:contextualSpacing w:val="0"/>
              <w:jc w:val="center"/>
              <w:cnfStyle w:val="000000010000" w:firstRow="0" w:lastRow="0" w:firstColumn="0" w:lastColumn="0" w:oddVBand="0" w:evenVBand="0" w:oddHBand="0" w:evenHBand="1" w:firstRowFirstColumn="0" w:firstRowLastColumn="0" w:lastRowFirstColumn="0" w:lastRowLastColumn="0"/>
              <w:rPr>
                <w:rFonts w:ascii="DIN OT Light" w:hAnsi="DIN OT Light"/>
                <w:szCs w:val="20"/>
              </w:rPr>
            </w:pPr>
            <w:r w:rsidRPr="006D59B3">
              <w:rPr>
                <w:rFonts w:ascii="DIN OT Light" w:hAnsi="DIN OT Light"/>
                <w:szCs w:val="20"/>
              </w:rPr>
              <w:t>No change</w:t>
            </w:r>
          </w:p>
        </w:tc>
        <w:tc>
          <w:tcPr>
            <w:tcW w:w="2254" w:type="dxa"/>
            <w:gridSpan w:val="2"/>
            <w:vAlign w:val="center"/>
          </w:tcPr>
          <w:p w14:paraId="656AFEC2" w14:textId="77777777" w:rsidR="00624477" w:rsidRPr="006D59B3" w:rsidRDefault="00624477" w:rsidP="006D59B3">
            <w:pPr>
              <w:pStyle w:val="APRABULLET"/>
              <w:spacing w:before="120" w:after="120"/>
              <w:ind w:left="0"/>
              <w:contextualSpacing w:val="0"/>
              <w:jc w:val="center"/>
              <w:cnfStyle w:val="000000010000" w:firstRow="0" w:lastRow="0" w:firstColumn="0" w:lastColumn="0" w:oddVBand="0" w:evenVBand="0" w:oddHBand="0" w:evenHBand="1" w:firstRowFirstColumn="0" w:firstRowLastColumn="0" w:lastRowFirstColumn="0" w:lastRowLastColumn="0"/>
              <w:rPr>
                <w:rFonts w:ascii="DIN OT Light" w:hAnsi="DIN OT Light"/>
                <w:szCs w:val="20"/>
              </w:rPr>
            </w:pPr>
            <w:r w:rsidRPr="006D59B3">
              <w:rPr>
                <w:rFonts w:ascii="DIN OT Light" w:hAnsi="DIN OT Light"/>
                <w:szCs w:val="20"/>
              </w:rPr>
              <w:t>Meets this criteria</w:t>
            </w:r>
          </w:p>
        </w:tc>
        <w:tc>
          <w:tcPr>
            <w:tcW w:w="2254" w:type="dxa"/>
            <w:gridSpan w:val="2"/>
            <w:vAlign w:val="center"/>
          </w:tcPr>
          <w:p w14:paraId="54BC5814" w14:textId="77777777" w:rsidR="00624477" w:rsidRPr="006D59B3" w:rsidRDefault="00624477" w:rsidP="006D59B3">
            <w:pPr>
              <w:pStyle w:val="APRABULLET"/>
              <w:spacing w:before="120" w:after="120"/>
              <w:ind w:left="0"/>
              <w:contextualSpacing w:val="0"/>
              <w:jc w:val="center"/>
              <w:cnfStyle w:val="000000010000" w:firstRow="0" w:lastRow="0" w:firstColumn="0" w:lastColumn="0" w:oddVBand="0" w:evenVBand="0" w:oddHBand="0" w:evenHBand="1" w:firstRowFirstColumn="0" w:firstRowLastColumn="0" w:lastRowFirstColumn="0" w:lastRowLastColumn="0"/>
              <w:rPr>
                <w:rFonts w:ascii="DIN OT Light" w:hAnsi="DIN OT Light"/>
                <w:szCs w:val="20"/>
              </w:rPr>
            </w:pPr>
            <w:r w:rsidRPr="006D59B3">
              <w:rPr>
                <w:rFonts w:ascii="DIN OT Light" w:hAnsi="DIN OT Light"/>
                <w:szCs w:val="20"/>
              </w:rPr>
              <w:t>Meets this criteria</w:t>
            </w:r>
          </w:p>
        </w:tc>
      </w:tr>
      <w:tr w:rsidR="00624477" w14:paraId="5C051000" w14:textId="77777777" w:rsidTr="00AA2BBD">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08CD545F" w14:textId="77777777" w:rsidR="00624477" w:rsidRPr="002935CB" w:rsidRDefault="00624477" w:rsidP="00AA2BBD">
            <w:pPr>
              <w:pStyle w:val="APRABULLET"/>
              <w:ind w:left="0"/>
              <w:contextualSpacing w:val="0"/>
              <w:rPr>
                <w:szCs w:val="20"/>
              </w:rPr>
            </w:pPr>
            <w:r w:rsidRPr="002935CB">
              <w:rPr>
                <w:szCs w:val="20"/>
              </w:rPr>
              <w:t>Reflect local conditions</w:t>
            </w:r>
          </w:p>
        </w:tc>
        <w:tc>
          <w:tcPr>
            <w:tcW w:w="2254" w:type="dxa"/>
            <w:gridSpan w:val="2"/>
            <w:vAlign w:val="center"/>
          </w:tcPr>
          <w:p w14:paraId="482A6560" w14:textId="77777777" w:rsidR="00624477" w:rsidRPr="006D59B3" w:rsidRDefault="00624477" w:rsidP="006D59B3">
            <w:pPr>
              <w:pStyle w:val="APRABULLET"/>
              <w:spacing w:before="120"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DIN OT Light" w:hAnsi="DIN OT Light"/>
                <w:szCs w:val="20"/>
              </w:rPr>
            </w:pPr>
            <w:r w:rsidRPr="006D59B3">
              <w:rPr>
                <w:rFonts w:ascii="DIN OT Light" w:hAnsi="DIN OT Light"/>
                <w:szCs w:val="20"/>
              </w:rPr>
              <w:t>No change</w:t>
            </w:r>
          </w:p>
        </w:tc>
        <w:tc>
          <w:tcPr>
            <w:tcW w:w="2254" w:type="dxa"/>
            <w:gridSpan w:val="2"/>
            <w:vAlign w:val="center"/>
          </w:tcPr>
          <w:p w14:paraId="1D7FFBCE" w14:textId="77777777" w:rsidR="00624477" w:rsidRPr="006D59B3" w:rsidRDefault="00624477" w:rsidP="006D59B3">
            <w:pPr>
              <w:pStyle w:val="APRABULLET"/>
              <w:spacing w:before="120"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DIN OT Light" w:hAnsi="DIN OT Light"/>
                <w:szCs w:val="20"/>
              </w:rPr>
            </w:pPr>
            <w:r w:rsidRPr="006D59B3">
              <w:rPr>
                <w:rFonts w:ascii="DIN OT Light" w:hAnsi="DIN OT Light"/>
                <w:szCs w:val="20"/>
              </w:rPr>
              <w:t>Does not meet this criteria</w:t>
            </w:r>
          </w:p>
        </w:tc>
        <w:tc>
          <w:tcPr>
            <w:tcW w:w="2254" w:type="dxa"/>
            <w:gridSpan w:val="2"/>
            <w:vAlign w:val="center"/>
          </w:tcPr>
          <w:p w14:paraId="51EBBED7" w14:textId="77777777" w:rsidR="00624477" w:rsidRPr="006D59B3" w:rsidRDefault="00624477" w:rsidP="006D59B3">
            <w:pPr>
              <w:pStyle w:val="APRABULLET"/>
              <w:spacing w:before="120"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DIN OT Light" w:hAnsi="DIN OT Light"/>
                <w:szCs w:val="20"/>
              </w:rPr>
            </w:pPr>
            <w:r w:rsidRPr="006D59B3">
              <w:rPr>
                <w:rFonts w:ascii="DIN OT Light" w:hAnsi="DIN OT Light"/>
                <w:szCs w:val="20"/>
              </w:rPr>
              <w:t>Meets this criteria</w:t>
            </w:r>
          </w:p>
        </w:tc>
      </w:tr>
      <w:tr w:rsidR="00624477" w14:paraId="7A04F3B2" w14:textId="77777777" w:rsidTr="00AA2BBD">
        <w:trPr>
          <w:cnfStyle w:val="000000010000" w:firstRow="0" w:lastRow="0" w:firstColumn="0" w:lastColumn="0" w:oddVBand="0" w:evenVBand="0" w:oddHBand="0" w:evenHBand="1"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4943BE4B" w14:textId="77777777" w:rsidR="00624477" w:rsidRPr="00125AF5" w:rsidRDefault="00624477" w:rsidP="00AA2BBD">
            <w:pPr>
              <w:pStyle w:val="APRABULLET"/>
              <w:ind w:left="0"/>
              <w:contextualSpacing w:val="0"/>
              <w:rPr>
                <w:szCs w:val="20"/>
              </w:rPr>
            </w:pPr>
            <w:r w:rsidRPr="002935CB">
              <w:rPr>
                <w:szCs w:val="20"/>
              </w:rPr>
              <w:t>Align with exposure measurement requirements across APRA’s prudential framework</w:t>
            </w:r>
          </w:p>
        </w:tc>
        <w:tc>
          <w:tcPr>
            <w:tcW w:w="2254" w:type="dxa"/>
            <w:gridSpan w:val="2"/>
            <w:vAlign w:val="center"/>
          </w:tcPr>
          <w:p w14:paraId="35C60C28" w14:textId="77777777" w:rsidR="00624477" w:rsidRPr="006D59B3" w:rsidRDefault="00624477" w:rsidP="006D59B3">
            <w:pPr>
              <w:pStyle w:val="APRABULLET"/>
              <w:spacing w:before="120" w:after="120"/>
              <w:ind w:left="0"/>
              <w:contextualSpacing w:val="0"/>
              <w:jc w:val="center"/>
              <w:cnfStyle w:val="000000010000" w:firstRow="0" w:lastRow="0" w:firstColumn="0" w:lastColumn="0" w:oddVBand="0" w:evenVBand="0" w:oddHBand="0" w:evenHBand="1" w:firstRowFirstColumn="0" w:firstRowLastColumn="0" w:lastRowFirstColumn="0" w:lastRowLastColumn="0"/>
              <w:rPr>
                <w:rFonts w:ascii="DIN OT Light" w:hAnsi="DIN OT Light"/>
                <w:szCs w:val="20"/>
              </w:rPr>
            </w:pPr>
            <w:r w:rsidRPr="006D59B3">
              <w:rPr>
                <w:rFonts w:ascii="DIN OT Light" w:hAnsi="DIN OT Light"/>
                <w:szCs w:val="20"/>
              </w:rPr>
              <w:t>Does not meet this criteria</w:t>
            </w:r>
          </w:p>
        </w:tc>
        <w:tc>
          <w:tcPr>
            <w:tcW w:w="2254" w:type="dxa"/>
            <w:gridSpan w:val="2"/>
            <w:vAlign w:val="center"/>
          </w:tcPr>
          <w:p w14:paraId="1F413869" w14:textId="77777777" w:rsidR="00624477" w:rsidRPr="006D59B3" w:rsidRDefault="00624477" w:rsidP="006D59B3">
            <w:pPr>
              <w:pStyle w:val="APRABULLET"/>
              <w:spacing w:before="120" w:after="120"/>
              <w:ind w:left="0"/>
              <w:contextualSpacing w:val="0"/>
              <w:jc w:val="center"/>
              <w:cnfStyle w:val="000000010000" w:firstRow="0" w:lastRow="0" w:firstColumn="0" w:lastColumn="0" w:oddVBand="0" w:evenVBand="0" w:oddHBand="0" w:evenHBand="1" w:firstRowFirstColumn="0" w:firstRowLastColumn="0" w:lastRowFirstColumn="0" w:lastRowLastColumn="0"/>
              <w:rPr>
                <w:rFonts w:ascii="DIN OT Light" w:hAnsi="DIN OT Light"/>
                <w:szCs w:val="20"/>
              </w:rPr>
            </w:pPr>
            <w:r w:rsidRPr="006D59B3">
              <w:rPr>
                <w:rFonts w:ascii="DIN OT Light" w:hAnsi="DIN OT Light"/>
                <w:szCs w:val="20"/>
              </w:rPr>
              <w:t>Meets this criteria</w:t>
            </w:r>
          </w:p>
        </w:tc>
        <w:tc>
          <w:tcPr>
            <w:tcW w:w="2254" w:type="dxa"/>
            <w:gridSpan w:val="2"/>
            <w:vAlign w:val="center"/>
          </w:tcPr>
          <w:p w14:paraId="6AE1F871" w14:textId="77777777" w:rsidR="00624477" w:rsidRPr="006D59B3" w:rsidRDefault="00624477" w:rsidP="006D59B3">
            <w:pPr>
              <w:pStyle w:val="APRABULLET"/>
              <w:spacing w:before="120" w:after="120"/>
              <w:ind w:left="0"/>
              <w:contextualSpacing w:val="0"/>
              <w:jc w:val="center"/>
              <w:cnfStyle w:val="000000010000" w:firstRow="0" w:lastRow="0" w:firstColumn="0" w:lastColumn="0" w:oddVBand="0" w:evenVBand="0" w:oddHBand="0" w:evenHBand="1" w:firstRowFirstColumn="0" w:firstRowLastColumn="0" w:lastRowFirstColumn="0" w:lastRowLastColumn="0"/>
              <w:rPr>
                <w:rFonts w:ascii="DIN OT Light" w:hAnsi="DIN OT Light"/>
                <w:szCs w:val="20"/>
              </w:rPr>
            </w:pPr>
            <w:r w:rsidRPr="006D59B3">
              <w:rPr>
                <w:rFonts w:ascii="DIN OT Light" w:hAnsi="DIN OT Light"/>
                <w:szCs w:val="20"/>
              </w:rPr>
              <w:t>Meets this criteria</w:t>
            </w:r>
          </w:p>
        </w:tc>
      </w:tr>
      <w:tr w:rsidR="00624477" w14:paraId="34D1308B" w14:textId="77777777" w:rsidTr="00AA2BBD">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2B05DC31" w14:textId="18628A27" w:rsidR="00C807B2" w:rsidRPr="002935CB" w:rsidRDefault="00624477" w:rsidP="00AA2BBD">
            <w:pPr>
              <w:pStyle w:val="APRABULLET"/>
              <w:ind w:left="0"/>
              <w:contextualSpacing w:val="0"/>
              <w:rPr>
                <w:szCs w:val="20"/>
              </w:rPr>
            </w:pPr>
            <w:r w:rsidRPr="002935CB">
              <w:rPr>
                <w:szCs w:val="20"/>
              </w:rPr>
              <w:t>Overall</w:t>
            </w:r>
          </w:p>
        </w:tc>
        <w:tc>
          <w:tcPr>
            <w:tcW w:w="2254" w:type="dxa"/>
            <w:gridSpan w:val="2"/>
            <w:vAlign w:val="center"/>
          </w:tcPr>
          <w:p w14:paraId="1ADD0644" w14:textId="77777777" w:rsidR="00624477" w:rsidRPr="006D59B3" w:rsidRDefault="00624477" w:rsidP="006D59B3">
            <w:pPr>
              <w:pStyle w:val="APRABULLET"/>
              <w:spacing w:before="120"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DIN OT Light" w:hAnsi="DIN OT Light"/>
                <w:szCs w:val="20"/>
              </w:rPr>
            </w:pPr>
            <w:r w:rsidRPr="006D59B3">
              <w:rPr>
                <w:rFonts w:ascii="DIN OT Light" w:hAnsi="DIN OT Light"/>
                <w:szCs w:val="20"/>
              </w:rPr>
              <w:t>Low net cost</w:t>
            </w:r>
          </w:p>
        </w:tc>
        <w:tc>
          <w:tcPr>
            <w:tcW w:w="2254" w:type="dxa"/>
            <w:gridSpan w:val="2"/>
            <w:vAlign w:val="center"/>
          </w:tcPr>
          <w:p w14:paraId="2C46169A" w14:textId="77777777" w:rsidR="00624477" w:rsidRPr="006D59B3" w:rsidRDefault="00624477" w:rsidP="006D59B3">
            <w:pPr>
              <w:pStyle w:val="APRABULLET"/>
              <w:spacing w:before="120"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DIN OT Light" w:hAnsi="DIN OT Light"/>
                <w:szCs w:val="20"/>
              </w:rPr>
            </w:pPr>
            <w:r w:rsidRPr="006D59B3">
              <w:rPr>
                <w:rFonts w:ascii="DIN OT Light" w:hAnsi="DIN OT Light"/>
                <w:szCs w:val="20"/>
              </w:rPr>
              <w:t>Moderate net cost</w:t>
            </w:r>
          </w:p>
        </w:tc>
        <w:tc>
          <w:tcPr>
            <w:tcW w:w="2254" w:type="dxa"/>
            <w:gridSpan w:val="2"/>
            <w:vAlign w:val="center"/>
          </w:tcPr>
          <w:p w14:paraId="17DDD8C1" w14:textId="77777777" w:rsidR="00624477" w:rsidRPr="006D59B3" w:rsidRDefault="00624477" w:rsidP="006D59B3">
            <w:pPr>
              <w:pStyle w:val="APRABULLET"/>
              <w:spacing w:before="120"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DIN OT Light" w:hAnsi="DIN OT Light"/>
                <w:szCs w:val="20"/>
              </w:rPr>
            </w:pPr>
            <w:r w:rsidRPr="006D59B3">
              <w:rPr>
                <w:rFonts w:ascii="DIN OT Light" w:hAnsi="DIN OT Light"/>
                <w:szCs w:val="20"/>
              </w:rPr>
              <w:t>Moderate net cost</w:t>
            </w:r>
          </w:p>
        </w:tc>
      </w:tr>
    </w:tbl>
    <w:p w14:paraId="2AAB4B06" w14:textId="77777777" w:rsidR="00624477" w:rsidRPr="006B5A55" w:rsidRDefault="00624477" w:rsidP="00D129CD">
      <w:pPr>
        <w:pStyle w:val="Heading3"/>
      </w:pPr>
      <w:r w:rsidRPr="006B5A55">
        <w:t>Implementation and review</w:t>
      </w:r>
    </w:p>
    <w:p w14:paraId="0869FD13" w14:textId="6F88F176" w:rsidR="00624477" w:rsidRPr="00B90A7F" w:rsidRDefault="00624477" w:rsidP="00624477">
      <w:r w:rsidRPr="00B90A7F">
        <w:t>On release of APS 222</w:t>
      </w:r>
      <w:r w:rsidR="009848EC">
        <w:t>, ARS 222.0 and ARS 222.2</w:t>
      </w:r>
      <w:r w:rsidRPr="00B90A7F">
        <w:t xml:space="preserve">, ADIs will have until </w:t>
      </w:r>
      <w:r w:rsidR="00EC690B">
        <w:t>1 January 2021</w:t>
      </w:r>
      <w:r w:rsidRPr="00B90A7F">
        <w:t xml:space="preserve"> to comply with the requirements under the new prudential </w:t>
      </w:r>
      <w:r w:rsidR="009848EC">
        <w:t xml:space="preserve">standard and reporting </w:t>
      </w:r>
      <w:r w:rsidRPr="00B90A7F">
        <w:t>standard</w:t>
      </w:r>
      <w:r w:rsidR="009848EC">
        <w:t>s</w:t>
      </w:r>
      <w:r w:rsidRPr="00B90A7F">
        <w:t xml:space="preserve">. </w:t>
      </w:r>
      <w:r>
        <w:t>Where</w:t>
      </w:r>
      <w:r w:rsidRPr="00B90A7F">
        <w:t xml:space="preserve"> an entity requires a transition period for </w:t>
      </w:r>
      <w:r>
        <w:t xml:space="preserve">complying with the revised </w:t>
      </w:r>
      <w:r w:rsidRPr="00B90A7F">
        <w:t>ELE</w:t>
      </w:r>
      <w:r>
        <w:t xml:space="preserve"> requirements</w:t>
      </w:r>
      <w:r w:rsidRPr="00B90A7F">
        <w:t xml:space="preserve">, </w:t>
      </w:r>
      <w:r>
        <w:t>the transition</w:t>
      </w:r>
      <w:r w:rsidRPr="00B90A7F">
        <w:t xml:space="preserve"> will be determined by </w:t>
      </w:r>
      <w:r w:rsidR="00B00855">
        <w:t>APRA</w:t>
      </w:r>
      <w:r w:rsidR="00B00855" w:rsidRPr="00B90A7F">
        <w:t xml:space="preserve"> </w:t>
      </w:r>
      <w:r w:rsidRPr="00B90A7F">
        <w:t>on a case-by-case basis.</w:t>
      </w:r>
    </w:p>
    <w:p w14:paraId="651E77D9" w14:textId="77777777" w:rsidR="00624477" w:rsidRPr="00B90A7F" w:rsidRDefault="00624477" w:rsidP="00624477">
      <w:r w:rsidRPr="00B90A7F">
        <w:t>Under APRA’s policy development process, reviews of new prudential measures are typically scheduled for two to three years from implementation date or as otherwise considered appropriate. Such a review would consider whether the requirements continue to reflect good practice, remain consistent with international standards and remain relevant and effective in facilitating sound risk management practices. APRA would also take action within a shorter timeframe where there is a demonstrable need to amend a prudential requirement.</w:t>
      </w:r>
    </w:p>
    <w:p w14:paraId="69987D99" w14:textId="77777777" w:rsidR="00624477" w:rsidRPr="00624477" w:rsidRDefault="00624477" w:rsidP="00624477">
      <w:pPr>
        <w:numPr>
          <w:ilvl w:val="0"/>
          <w:numId w:val="0"/>
        </w:numPr>
        <w:sectPr w:rsidR="00624477" w:rsidRPr="00624477" w:rsidSect="00AD7CB0">
          <w:footerReference w:type="default" r:id="rId17"/>
          <w:headerReference w:type="first" r:id="rId18"/>
          <w:pgSz w:w="11906" w:h="16838" w:code="9"/>
          <w:pgMar w:top="1440" w:right="1440" w:bottom="1440" w:left="1440" w:header="567" w:footer="567" w:gutter="0"/>
          <w:pgNumType w:start="1"/>
          <w:cols w:space="708"/>
          <w:titlePg/>
          <w:docGrid w:linePitch="360"/>
        </w:sectPr>
      </w:pPr>
    </w:p>
    <w:p w14:paraId="58A3DBA1" w14:textId="77777777" w:rsidR="00F366D7" w:rsidRDefault="00F366D7" w:rsidP="00691276"/>
    <w:p w14:paraId="58A3DBA2" w14:textId="77777777" w:rsidR="00F366D7" w:rsidRPr="00F366D7" w:rsidRDefault="00F366D7" w:rsidP="00F366D7"/>
    <w:p w14:paraId="58A3DBA3" w14:textId="77777777" w:rsidR="00F366D7" w:rsidRPr="00F366D7" w:rsidRDefault="00F366D7" w:rsidP="00F366D7"/>
    <w:p w14:paraId="58A3DBA4" w14:textId="77777777" w:rsidR="00F366D7" w:rsidRPr="00F366D7" w:rsidRDefault="00F366D7" w:rsidP="00F366D7"/>
    <w:p w14:paraId="58A3DBA5" w14:textId="77777777" w:rsidR="00F366D7" w:rsidRPr="00F366D7" w:rsidRDefault="00F366D7" w:rsidP="00F366D7"/>
    <w:p w14:paraId="58A3DBA6" w14:textId="77777777" w:rsidR="00F366D7" w:rsidRPr="00F366D7" w:rsidRDefault="00F366D7" w:rsidP="00F366D7"/>
    <w:p w14:paraId="58A3DBA7" w14:textId="77777777" w:rsidR="00F366D7" w:rsidRPr="00F366D7" w:rsidRDefault="00F366D7" w:rsidP="00F366D7"/>
    <w:p w14:paraId="58A3DBA8" w14:textId="77777777" w:rsidR="00F366D7" w:rsidRPr="00F366D7" w:rsidRDefault="00F366D7" w:rsidP="00F366D7"/>
    <w:p w14:paraId="58A3DBA9" w14:textId="77777777" w:rsidR="00F366D7" w:rsidRPr="00F366D7" w:rsidRDefault="00F366D7" w:rsidP="00F366D7"/>
    <w:p w14:paraId="58A3DBAA" w14:textId="77777777" w:rsidR="00F366D7" w:rsidRPr="00F366D7" w:rsidRDefault="00F366D7" w:rsidP="00F366D7"/>
    <w:p w14:paraId="58A3DBAB" w14:textId="77777777" w:rsidR="00F366D7" w:rsidRPr="00F366D7" w:rsidRDefault="00F366D7" w:rsidP="00F366D7"/>
    <w:p w14:paraId="58A3DBAC" w14:textId="77777777" w:rsidR="00F366D7" w:rsidRPr="00F366D7" w:rsidRDefault="00F366D7" w:rsidP="00F366D7"/>
    <w:p w14:paraId="58A3DBAD" w14:textId="77777777" w:rsidR="00F366D7" w:rsidRDefault="00F366D7" w:rsidP="00F366D7"/>
    <w:p w14:paraId="58A3DBAE" w14:textId="77777777" w:rsidR="003A473C" w:rsidRPr="00F366D7" w:rsidRDefault="003A473C" w:rsidP="00F366D7"/>
    <w:sectPr w:rsidR="003A473C" w:rsidRPr="00F366D7" w:rsidSect="00AD7CB0">
      <w:headerReference w:type="first" r:id="rId19"/>
      <w:pgSz w:w="11906" w:h="16838" w:code="9"/>
      <w:pgMar w:top="1440"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C5407" w14:textId="77777777" w:rsidR="006E01F2" w:rsidRPr="000D4EDE" w:rsidRDefault="006E01F2" w:rsidP="000D4EDE">
      <w:r>
        <w:separator/>
      </w:r>
    </w:p>
  </w:endnote>
  <w:endnote w:type="continuationSeparator" w:id="0">
    <w:p w14:paraId="14C27964" w14:textId="77777777" w:rsidR="006E01F2" w:rsidRPr="000D4EDE" w:rsidRDefault="006E01F2" w:rsidP="000D4EDE">
      <w:r>
        <w:continuationSeparator/>
      </w:r>
    </w:p>
  </w:endnote>
  <w:endnote w:type="continuationNotice" w:id="1">
    <w:p w14:paraId="394B2CB6" w14:textId="77777777" w:rsidR="006E01F2" w:rsidRDefault="006E01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DIN OT">
    <w:charset w:val="00"/>
    <w:family w:val="swiss"/>
    <w:pitch w:val="variable"/>
    <w:sig w:usb0="800000EF" w:usb1="4000A47B" w:usb2="00000000" w:usb3="00000000" w:csb0="00000001" w:csb1="00000000"/>
  </w:font>
  <w:font w:name="Cordia New">
    <w:panose1 w:val="020B0304020202020204"/>
    <w:charset w:val="00"/>
    <w:family w:val="swiss"/>
    <w:pitch w:val="variable"/>
    <w:sig w:usb0="81000003" w:usb1="00000000" w:usb2="00000000" w:usb3="00000000" w:csb0="00010001" w:csb1="00000000"/>
  </w:font>
  <w:font w:name="DIN OT Light">
    <w:altName w:val="MV Boli"/>
    <w:charset w:val="00"/>
    <w:family w:val="swiss"/>
    <w:pitch w:val="variable"/>
    <w:sig w:usb0="800000EF" w:usb1="4000A47B" w:usb2="00000000" w:usb3="00000000" w:csb0="00000001" w:csb1="00000000"/>
  </w:font>
  <w:font w:name="DIN OT Medium">
    <w:altName w:val="Arial"/>
    <w:charset w:val="00"/>
    <w:family w:val="swiss"/>
    <w:pitch w:val="variable"/>
    <w:sig w:usb0="00000003" w:usb1="4000A47B" w:usb2="00000000" w:usb3="00000000" w:csb0="00000001" w:csb1="00000000"/>
  </w:font>
  <w:font w:name="DIN Offc Medium">
    <w:altName w:val="Calibri"/>
    <w:charset w:val="00"/>
    <w:family w:val="swiss"/>
    <w:pitch w:val="variable"/>
    <w:sig w:usb0="800000EF" w:usb1="4000A47B"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DIN Offc">
    <w:altName w:val="Segoe Script"/>
    <w:charset w:val="00"/>
    <w:family w:val="swiss"/>
    <w:pitch w:val="variable"/>
    <w:sig w:usb0="00000003" w:usb1="4000A47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3DBB7" w14:textId="77777777" w:rsidR="006E01F2" w:rsidRDefault="006E01F2" w:rsidP="002A641A">
    <w:pPr>
      <w:pStyle w:val="Footer"/>
    </w:pPr>
    <w:r w:rsidRPr="002A641A">
      <w:ptab w:relativeTo="margin" w:alignment="left" w:leader="none"/>
    </w:r>
    <w:r w:rsidRPr="00BB2437">
      <w:t xml:space="preserve">AUSTRALIAN PRUDENTIAL REGULATION AUTHORITY </w:t>
    </w:r>
    <w:r>
      <w:ptab w:relativeTo="margin" w:alignment="right" w:leader="none"/>
    </w:r>
    <w:r>
      <w:fldChar w:fldCharType="begin"/>
    </w:r>
    <w:r>
      <w:instrText xml:space="preserve"> PAGE  \* Arabic  \* MERGEFORMAT </w:instrText>
    </w:r>
    <w:r>
      <w:fldChar w:fldCharType="separate"/>
    </w:r>
    <w:r w:rsidR="00210087">
      <w:rPr>
        <w:noProof/>
      </w:rPr>
      <w:t>2</w:t>
    </w:r>
    <w:r>
      <w:fldChar w:fldCharType="end"/>
    </w:r>
  </w:p>
  <w:p w14:paraId="58A3DBB8" w14:textId="77777777" w:rsidR="006E01F2" w:rsidRDefault="006E01F2" w:rsidP="00553DCD">
    <w:pPr>
      <w:numPr>
        <w:ilvl w:val="0"/>
        <w:numId w:val="0"/>
      </w:numPr>
    </w:pPr>
    <w:r>
      <w:rPr>
        <w:noProof/>
        <w:lang w:eastAsia="en-AU"/>
      </w:rPr>
      <mc:AlternateContent>
        <mc:Choice Requires="wpg">
          <w:drawing>
            <wp:anchor distT="0" distB="0" distL="114300" distR="114300" simplePos="0" relativeHeight="251658240" behindDoc="0" locked="0" layoutInCell="1" allowOverlap="1" wp14:anchorId="58A3DBBB" wp14:editId="58A3DBBC">
              <wp:simplePos x="0" y="0"/>
              <wp:positionH relativeFrom="column">
                <wp:posOffset>-914400</wp:posOffset>
              </wp:positionH>
              <wp:positionV relativeFrom="paragraph">
                <wp:posOffset>419735</wp:posOffset>
              </wp:positionV>
              <wp:extent cx="15120000" cy="277200"/>
              <wp:effectExtent l="0" t="0" r="5715" b="8890"/>
              <wp:wrapNone/>
              <wp:docPr id="1" name="Group 1" descr="Footer Banner" title="Footer Banner"/>
              <wp:cNvGraphicFramePr/>
              <a:graphic xmlns:a="http://schemas.openxmlformats.org/drawingml/2006/main">
                <a:graphicData uri="http://schemas.microsoft.com/office/word/2010/wordprocessingGroup">
                  <wpg:wgp>
                    <wpg:cNvGrpSpPr/>
                    <wpg:grpSpPr>
                      <a:xfrm>
                        <a:off x="0" y="0"/>
                        <a:ext cx="15120000" cy="277200"/>
                        <a:chOff x="0" y="0"/>
                        <a:chExt cx="15120000" cy="277200"/>
                      </a:xfrm>
                    </wpg:grpSpPr>
                    <wps:wsp>
                      <wps:cNvPr id="5" name="Rectangle 5" descr="Footer Banner" title="Footer Banner"/>
                      <wps:cNvSpPr/>
                      <wps:spPr>
                        <a:xfrm>
                          <a:off x="0" y="0"/>
                          <a:ext cx="15120000" cy="2772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descr="Footer Banner" title="Footer Banner"/>
                      <wps:cNvSpPr/>
                      <wps:spPr>
                        <a:xfrm>
                          <a:off x="914400" y="0"/>
                          <a:ext cx="2732400" cy="277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7548F0" id="Group 1" o:spid="_x0000_s1026" alt="Title: Footer Banner - Description: Footer Banner" style="position:absolute;margin-left:-1in;margin-top:33.05pt;width:1190.55pt;height:21.85pt;z-index:251658240" coordsize="151200,2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rHKHQMAADoLAAAOAAAAZHJzL2Uyb0RvYy54bWzsVl1P2zAUfZ+0/2D5faQtMLaIgDpY0SQE&#10;CJh4No7TRHJsz3absl+/Y+cDaNGmgZg0iZfU1/fT516fev9wVUuyFNZVWmV0vDWiRCiu80rNM/r9&#10;evbhEyXOM5UzqZXI6J1w9PDg/bv9xqRiokstc2EJgiiXNiajpfcmTRLHS1Ezt6WNUFAW2tbMQ7Tz&#10;JLesQfRaJpPR6GPSaJsbq7lwDrvHrZIexPhFIbg/LwonPJEZRW0+fm383oZvcrDP0rllpqx4VwZ7&#10;RhU1qxSSDqGOmWdkYauNUHXFrXa68Ftc14kuioqLeAacZjxaO82J1QsTzzJPm7kZYAK0azg9Oyw/&#10;W15YUuXoHSWK1WhRzEog5sJxQDXT2qNHX5hSwgLCyktYPd4FjI2Zp4h2Ys2VubDdxryVAjKrwtbh&#10;F2cmq9iAu6EBYuUJx+Z4d4ymjtAoDuVkbw9S2yJeoo8bfrz8+gfPpE+chPqGchqDcXP3iLqXIXpV&#10;MiNio1zAoEN0t0f0EmPI1FwKgq2/RTVGHCB1qQO6L8VzQIWlxjp/InRNwiKjFqXGQWbLU+fRRZj2&#10;JiGr07LKZ5WUUQi3VBxJS5YM94txLpSfhIbB65GlVMFe6eDZqsMOetKfJ678nRTBTqpLUWAoMRGT&#10;WEykg/VE41ZVsly0+Xfj6HTZ+9JiLTFgiFwg/xC7C9BbPjzEuDtEZx9cRWSTwXn0u8LaGgaPmFkr&#10;PzjXldL2qQDSD5lb+x6kFpqA0q3O7zBgVrdc5gyfVWjdKXP+glmQF24PCNmf41NI3WRUdytKSm1/&#10;PrUf7HEDoKWkARlm1P1YMCsokd8U7sbn8c5OYM8o7OziWlJiH2puH2rUoj7SmAdQCKqLy2DvZb8s&#10;rK5vwNvTkBUqpjhyZ5R78EsrHPmWpMH8XEyn0QyMaZg/VVeGh+AB1TCa16sbZk03vx5Ucqb7+8jS&#10;tTFubYOn0tOF10UVZ/we1w5vcENgtH9AEtubJIGtVyKJ2EcAvsm8k73tyc4m8b4mUfST/kYUb0Tx&#10;fxNFfFvggRb/a7rHZHgBPpQjsdw/eQ9+AQAA//8DAFBLAwQUAAYACAAAACEAjxE52OMAAAAMAQAA&#10;DwAAAGRycy9kb3ducmV2LnhtbEyPwUrDQBCG74LvsIzgrd0krbHGbEop6qkItoJ422anSWh2NmS3&#10;Sfr2jie9zTAf/3x/vp5sKwbsfeNIQTyPQCCVzjRUKfg8vM5WIHzQZHTrCBVc0cO6uL3JdWbcSB84&#10;7EMlOIR8phXUIXSZlL6s0Wo/dx0S306utzrw2lfS9HrkcNvKJIpSaXVD/KHWHW5rLM/7i1XwNupx&#10;s4hfht35tL1+Hx7ev3YxKnV/N22eQQScwh8Mv/qsDgU7Hd2FjBetglm8XHKZoCBNYxBMJMnikacj&#10;s9HTCmSRy/8lih8AAAD//wMAUEsBAi0AFAAGAAgAAAAhALaDOJL+AAAA4QEAABMAAAAAAAAAAAAA&#10;AAAAAAAAAFtDb250ZW50X1R5cGVzXS54bWxQSwECLQAUAAYACAAAACEAOP0h/9YAAACUAQAACwAA&#10;AAAAAAAAAAAAAAAvAQAAX3JlbHMvLnJlbHNQSwECLQAUAAYACAAAACEAZCqxyh0DAAA6CwAADgAA&#10;AAAAAAAAAAAAAAAuAgAAZHJzL2Uyb0RvYy54bWxQSwECLQAUAAYACAAAACEAjxE52OMAAAAMAQAA&#10;DwAAAAAAAAAAAAAAAAB3BQAAZHJzL2Rvd25yZXYueG1sUEsFBgAAAAAEAAQA8wAAAIcGAAAAAA==&#10;">
              <v:rect id="Rectangle 5" o:spid="_x0000_s1027" alt="Footer Banner" style="position:absolute;width:151200;height:2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Z5pwAAAANoAAAAPAAAAZHJzL2Rvd25yZXYueG1sRI/disIw&#10;FITvF3yHcATv1lTxj2oUEcReiKC7D3Bojk0xOSlN1Pr2mwXBy2FmvmFWm85Z8aA21J4VjIYZCOLS&#10;65orBb8/++8FiBCRNVrPpOBFATbr3tcKc+2ffKbHJVYiQTjkqMDE2ORShtKQwzD0DXHyrr51GJNs&#10;K6lbfCa4s3KcZTPpsOa0YLChnaHydrk7BTbDO83Pi9PVHCqeT0Jhj7dCqUG/2y5BROriJ/xuF1rB&#10;FP6vpBsg138AAAD//wMAUEsBAi0AFAAGAAgAAAAhANvh9svuAAAAhQEAABMAAAAAAAAAAAAAAAAA&#10;AAAAAFtDb250ZW50X1R5cGVzXS54bWxQSwECLQAUAAYACAAAACEAWvQsW78AAAAVAQAACwAAAAAA&#10;AAAAAAAAAAAfAQAAX3JlbHMvLnJlbHNQSwECLQAUAAYACAAAACEA97GeacAAAADaAAAADwAAAAAA&#10;AAAAAAAAAAAHAgAAZHJzL2Rvd25yZXYueG1sUEsFBgAAAAADAAMAtwAAAPQCAAAAAA==&#10;" fillcolor="#00a9e0 [3205]" stroked="f" strokeweight="2pt"/>
              <v:rect id="Rectangle 3" o:spid="_x0000_s1028" alt="Footer Banner" style="position:absolute;left:9144;width:27324;height:2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9NwwwAAANoAAAAPAAAAZHJzL2Rvd25yZXYueG1sRI9BawIx&#10;FITvgv8hPKE3zdqiyGqUWqj02KqUentsnpulm5ewybprf70pCB6HmfmGWW16W4sLNaFyrGA6yUAQ&#10;F05XXCo4Ht7HCxAhImusHZOCKwXYrIeDFebadfxFl30sRYJwyFGBidHnUobCkMUwcZ44eWfXWIxJ&#10;NqXUDXYJbmv5nGVzabHitGDQ05uh4nffWgV+d/w8nc3Wd/Pr92zXl+3PX9Uq9TTqX5cgIvXxEb63&#10;P7SCF/i/km6AXN8AAAD//wMAUEsBAi0AFAAGAAgAAAAhANvh9svuAAAAhQEAABMAAAAAAAAAAAAA&#10;AAAAAAAAAFtDb250ZW50X1R5cGVzXS54bWxQSwECLQAUAAYACAAAACEAWvQsW78AAAAVAQAACwAA&#10;AAAAAAAAAAAAAAAfAQAAX3JlbHMvLnJlbHNQSwECLQAUAAYACAAAACEAxtPTcMMAAADaAAAADwAA&#10;AAAAAAAAAAAAAAAHAgAAZHJzL2Rvd25yZXYueG1sUEsFBgAAAAADAAMAtwAAAPcCAAAAAA==&#10;" fillcolor="#012169 [3204]" stroked="f" strokeweight="2pt"/>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CDFA7" w14:textId="77777777" w:rsidR="006E01F2" w:rsidRPr="000D4EDE" w:rsidRDefault="006E01F2" w:rsidP="000D4EDE">
      <w:r>
        <w:separator/>
      </w:r>
    </w:p>
  </w:footnote>
  <w:footnote w:type="continuationSeparator" w:id="0">
    <w:p w14:paraId="1A1BB04D" w14:textId="77777777" w:rsidR="006E01F2" w:rsidRPr="000D4EDE" w:rsidRDefault="006E01F2" w:rsidP="000D4EDE">
      <w:r>
        <w:continuationSeparator/>
      </w:r>
    </w:p>
  </w:footnote>
  <w:footnote w:type="continuationNotice" w:id="1">
    <w:p w14:paraId="4D623E0B" w14:textId="77777777" w:rsidR="006E01F2" w:rsidRDefault="006E01F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3DBB9" w14:textId="04DF7098" w:rsidR="006E01F2" w:rsidRDefault="006E01F2">
    <w:pPr>
      <w:pStyle w:val="Header"/>
    </w:pPr>
    <w:r>
      <w:rPr>
        <w:noProof/>
        <w:lang w:eastAsia="en-AU"/>
      </w:rPr>
      <w:drawing>
        <wp:anchor distT="0" distB="0" distL="114300" distR="114300" simplePos="0" relativeHeight="251658243" behindDoc="1" locked="0" layoutInCell="1" allowOverlap="1" wp14:anchorId="7A2E0496" wp14:editId="1984DEA1">
          <wp:simplePos x="0" y="0"/>
          <wp:positionH relativeFrom="page">
            <wp:align>right</wp:align>
          </wp:positionH>
          <wp:positionV relativeFrom="paragraph">
            <wp:posOffset>-360045</wp:posOffset>
          </wp:positionV>
          <wp:extent cx="7547783" cy="1067276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783" cy="1067276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3DBBA" w14:textId="77777777" w:rsidR="006E01F2" w:rsidRDefault="006E01F2">
    <w:pPr>
      <w:pStyle w:val="Header"/>
    </w:pPr>
    <w:r w:rsidRPr="00F366D7">
      <w:rPr>
        <w:noProof/>
        <w:lang w:eastAsia="en-AU"/>
      </w:rPr>
      <mc:AlternateContent>
        <mc:Choice Requires="wps">
          <w:drawing>
            <wp:anchor distT="0" distB="0" distL="114300" distR="114300" simplePos="0" relativeHeight="251658241" behindDoc="0" locked="0" layoutInCell="1" allowOverlap="1" wp14:anchorId="58A3DBBF" wp14:editId="58A3DBC0">
              <wp:simplePos x="0" y="0"/>
              <wp:positionH relativeFrom="column">
                <wp:posOffset>-942975</wp:posOffset>
              </wp:positionH>
              <wp:positionV relativeFrom="paragraph">
                <wp:posOffset>-350520</wp:posOffset>
              </wp:positionV>
              <wp:extent cx="7586663" cy="10667365"/>
              <wp:effectExtent l="0" t="0" r="14605" b="19685"/>
              <wp:wrapNone/>
              <wp:docPr id="35" name="Rectangle 35"/>
              <wp:cNvGraphicFramePr/>
              <a:graphic xmlns:a="http://schemas.openxmlformats.org/drawingml/2006/main">
                <a:graphicData uri="http://schemas.microsoft.com/office/word/2010/wordprocessingShape">
                  <wps:wsp>
                    <wps:cNvSpPr/>
                    <wps:spPr>
                      <a:xfrm>
                        <a:off x="0" y="0"/>
                        <a:ext cx="7586663" cy="106673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1C655C" id="Rectangle 35" o:spid="_x0000_s1026" style="position:absolute;margin-left:-74.25pt;margin-top:-27.6pt;width:597.4pt;height:839.9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e3jeAIAAD0FAAAOAAAAZHJzL2Uyb0RvYy54bWysVFFP2zAQfp+0/2D5fSQtNEBFiioQ0yQE&#10;FTDxbBy7ieT4vLPbtPv1OztpQID2MC0Pjs93993d5ztfXO5aw7YKfQO25JOjnDNlJVSNXZf859PN&#10;tzPOfBC2EgasKvleeX65+PrlonNzNYUaTKWQEYj1886VvA7BzbPMy1q1wh+BU5aUGrAVgURcZxWK&#10;jtBbk03zvMg6wMohSOU9nV73Sr5I+ForGe619iowU3LKLaQV0/oS12xxIeZrFK5u5JCG+IcsWtFY&#10;CjpCXYsg2AabD1BtIxE86HAkoc1A60aqVANVM8nfVfNYC6dSLUSOdyNN/v/ByrvtCllTlfx4xpkV&#10;Ld3RA7Em7NooRmdEUOf8nOwe3QoHydM2VrvT2MY/1cF2idT9SKraBSbp8HR2VhTFMWeSdJO8KE6P&#10;iwSbvfo79OG7gpbFTcmREkhsiu2tDxSTTA8mJMR8+gzSLuyNikkY+6A0lUIxp8k7NZG6Msi2gq5f&#10;SKlsmPSqWlSqP57l9MUyKcjokaQEGJF1Y8yIPQDEBv2I3cMM9tFVpR4cnfO/JdY7jx4pMtgwOreN&#10;BfwMwFBVQ+Te/kBST01k6QWqPV00Qj8B3smbhri+FT6sBFLL03DQGId7WrSBruQw7DirAX9/dh7t&#10;qRNJy1lHI1Ry/2sjUHFmfljq0fPJyUmcuSSczE6nJOBbzctbjd20V0DXNKEHw8m0jfbBHLYaoX2m&#10;aV/GqKQSVlLsksuAB+Eq9KNN74VUy2UyozlzItzaRycjeGQ19tLT7lmgGxouULPewWHcxPxd3/W2&#10;0dPCchNAN6kpX3kd+KYZTY0zvCfxEXgrJ6vXV2/xBwAA//8DAFBLAwQUAAYACAAAACEAVvCfd+EA&#10;AAAOAQAADwAAAGRycy9kb3ducmV2LnhtbEyPwU6EMBCG7ya+QzMm3nYLCCxBysaYGBMvxl0foEtH&#10;QNspacuCPr3dk97+yXz555tmvxrNzuj8aElAuk2AIXVWjdQLeD8+bSpgPkhSUltCAd/oYd9eXzWy&#10;VnahNzwfQs9iCflaChhCmGrOfTegkX5rJ6S4+7DOyBBH13Pl5BLLjeZZkpTcyJHihUFO+Dhg93WY&#10;jQCbvoaX45LPhIt7rsbPTv/sKiFub9aHe2AB1/AHw0U/qkMbnU52JuWZFrBJ86qIbExFkQG7IEle&#10;3gE7xVRm+Q542/D/b7S/AAAA//8DAFBLAQItABQABgAIAAAAIQC2gziS/gAAAOEBAAATAAAAAAAA&#10;AAAAAAAAAAAAAABbQ29udGVudF9UeXBlc10ueG1sUEsBAi0AFAAGAAgAAAAhADj9If/WAAAAlAEA&#10;AAsAAAAAAAAAAAAAAAAALwEAAF9yZWxzLy5yZWxzUEsBAi0AFAAGAAgAAAAhAABV7eN4AgAAPQUA&#10;AA4AAAAAAAAAAAAAAAAALgIAAGRycy9lMm9Eb2MueG1sUEsBAi0AFAAGAAgAAAAhAFbwn3fhAAAA&#10;DgEAAA8AAAAAAAAAAAAAAAAA0gQAAGRycy9kb3ducmV2LnhtbFBLBQYAAAAABAAEAPMAAADgBQAA&#10;AAA=&#10;" fillcolor="#012169 [3204]" strokecolor="#001034 [1604]" strokeweight="2pt"/>
          </w:pict>
        </mc:Fallback>
      </mc:AlternateContent>
    </w:r>
    <w:r w:rsidRPr="00F366D7">
      <w:rPr>
        <w:noProof/>
        <w:lang w:eastAsia="en-AU"/>
      </w:rPr>
      <w:drawing>
        <wp:anchor distT="0" distB="0" distL="114300" distR="114300" simplePos="0" relativeHeight="251658242" behindDoc="0" locked="0" layoutInCell="1" allowOverlap="1" wp14:anchorId="58A3DBC1" wp14:editId="58A3DBC2">
          <wp:simplePos x="0" y="0"/>
          <wp:positionH relativeFrom="margin">
            <wp:posOffset>1408430</wp:posOffset>
          </wp:positionH>
          <wp:positionV relativeFrom="margin">
            <wp:posOffset>4164965</wp:posOffset>
          </wp:positionV>
          <wp:extent cx="2857500" cy="733425"/>
          <wp:effectExtent l="0" t="0" r="0" b="9525"/>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PRA_logo_White.png"/>
                  <pic:cNvPicPr/>
                </pic:nvPicPr>
                <pic:blipFill>
                  <a:blip r:embed="rId1">
                    <a:extLst>
                      <a:ext uri="{28A0092B-C50C-407E-A947-70E740481C1C}">
                        <a14:useLocalDpi xmlns:a14="http://schemas.microsoft.com/office/drawing/2010/main" val="0"/>
                      </a:ext>
                    </a:extLst>
                  </a:blip>
                  <a:stretch>
                    <a:fillRect/>
                  </a:stretch>
                </pic:blipFill>
                <pic:spPr>
                  <a:xfrm>
                    <a:off x="0" y="0"/>
                    <a:ext cx="2857500" cy="7334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1"/>
    <w:multiLevelType w:val="singleLevel"/>
    <w:tmpl w:val="C270B82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22A8032C"/>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2E4434BC"/>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AC92ED90"/>
    <w:lvl w:ilvl="0">
      <w:start w:val="1"/>
      <w:numFmt w:val="decimal"/>
      <w:lvlText w:val="%1."/>
      <w:lvlJc w:val="left"/>
      <w:pPr>
        <w:tabs>
          <w:tab w:val="num" w:pos="360"/>
        </w:tabs>
        <w:ind w:left="360" w:hanging="360"/>
      </w:pPr>
    </w:lvl>
  </w:abstractNum>
  <w:abstractNum w:abstractNumId="6">
    <w:nsid w:val="FFFFFF89"/>
    <w:multiLevelType w:val="singleLevel"/>
    <w:tmpl w:val="5C8C044A"/>
    <w:lvl w:ilvl="0">
      <w:start w:val="1"/>
      <w:numFmt w:val="bullet"/>
      <w:lvlText w:val=""/>
      <w:lvlJc w:val="left"/>
      <w:pPr>
        <w:tabs>
          <w:tab w:val="num" w:pos="360"/>
        </w:tabs>
        <w:ind w:left="360" w:hanging="360"/>
      </w:pPr>
      <w:rPr>
        <w:rFonts w:ascii="Symbol" w:hAnsi="Symbol" w:hint="default"/>
      </w:rPr>
    </w:lvl>
  </w:abstractNum>
  <w:abstractNum w:abstractNumId="7">
    <w:nsid w:val="06983867"/>
    <w:multiLevelType w:val="multilevel"/>
    <w:tmpl w:val="6034109E"/>
    <w:styleLink w:val="AppendixList"/>
    <w:lvl w:ilvl="0">
      <w:start w:val="1"/>
      <w:numFmt w:val="upperLetter"/>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nsid w:val="12B01DCC"/>
    <w:multiLevelType w:val="hybridMultilevel"/>
    <w:tmpl w:val="9814B6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19AE53F4"/>
    <w:multiLevelType w:val="multilevel"/>
    <w:tmpl w:val="73EC9368"/>
    <w:lvl w:ilvl="0">
      <w:start w:val="1"/>
      <w:numFmt w:val="decimal"/>
      <w:pStyle w:val="ListNumber"/>
      <w:lvlText w:val="%1."/>
      <w:lvlJc w:val="left"/>
      <w:pPr>
        <w:tabs>
          <w:tab w:val="num" w:pos="851"/>
        </w:tabs>
        <w:ind w:left="851" w:hanging="851"/>
      </w:pPr>
      <w:rPr>
        <w:rFonts w:hint="default"/>
        <w:spacing w:val="0"/>
      </w:rPr>
    </w:lvl>
    <w:lvl w:ilvl="1">
      <w:start w:val="1"/>
      <w:numFmt w:val="decimal"/>
      <w:pStyle w:val="ListNumber2"/>
      <w:lvlText w:val="%1.%2."/>
      <w:lvlJc w:val="left"/>
      <w:pPr>
        <w:tabs>
          <w:tab w:val="num" w:pos="1701"/>
        </w:tabs>
        <w:ind w:left="1701" w:hanging="850"/>
      </w:pPr>
      <w:rPr>
        <w:rFonts w:hint="default"/>
        <w:spacing w:val="0"/>
      </w:rPr>
    </w:lvl>
    <w:lvl w:ilvl="2">
      <w:start w:val="1"/>
      <w:numFmt w:val="decimal"/>
      <w:pStyle w:val="ListNumber3"/>
      <w:lvlText w:val="%1.%2.%3."/>
      <w:lvlJc w:val="left"/>
      <w:pPr>
        <w:tabs>
          <w:tab w:val="num" w:pos="2552"/>
        </w:tabs>
        <w:ind w:left="2552" w:hanging="851"/>
      </w:pPr>
      <w:rPr>
        <w:rFonts w:hint="default"/>
        <w:spacing w:val="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1">
    <w:nsid w:val="3037679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3087CCB"/>
    <w:multiLevelType w:val="multilevel"/>
    <w:tmpl w:val="585898BE"/>
    <w:lvl w:ilvl="0">
      <w:start w:val="1"/>
      <w:numFmt w:val="decimal"/>
      <w:suff w:val="nothing"/>
      <w:lvlText w:val="Chapter %1 - "/>
      <w:lvlJc w:val="left"/>
      <w:pPr>
        <w:ind w:left="0" w:firstLine="0"/>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nsid w:val="3ED128A4"/>
    <w:multiLevelType w:val="hybridMultilevel"/>
    <w:tmpl w:val="90661042"/>
    <w:lvl w:ilvl="0" w:tplc="4C886866">
      <w:start w:val="1"/>
      <w:numFmt w:val="decimal"/>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0FE1B54"/>
    <w:multiLevelType w:val="multilevel"/>
    <w:tmpl w:val="F40E62C6"/>
    <w:lvl w:ilvl="0">
      <w:start w:val="1"/>
      <w:numFmt w:val="decimal"/>
      <w:pStyle w:val="Heading1Numbers"/>
      <w:suff w:val="nothing"/>
      <w:lvlText w:val="Chapter %1 - "/>
      <w:lvlJc w:val="left"/>
      <w:pPr>
        <w:ind w:left="0" w:firstLine="0"/>
      </w:pPr>
      <w:rPr>
        <w:rFonts w:hint="default"/>
      </w:rPr>
    </w:lvl>
    <w:lvl w:ilvl="1">
      <w:start w:val="1"/>
      <w:numFmt w:val="decimal"/>
      <w:pStyle w:val="Heading2Numbers"/>
      <w:lvlText w:val="%1.%2"/>
      <w:lvlJc w:val="left"/>
      <w:pPr>
        <w:tabs>
          <w:tab w:val="num" w:pos="2268"/>
        </w:tabs>
        <w:ind w:left="2268" w:hanging="851"/>
      </w:pPr>
      <w:rPr>
        <w:b w:val="0"/>
        <w:bCs w:val="0"/>
        <w:i w:val="0"/>
        <w:iCs w:val="0"/>
        <w:caps w:val="0"/>
        <w:smallCaps w:val="0"/>
        <w:strike w:val="0"/>
        <w:dstrike w:val="0"/>
        <w:outline w:val="0"/>
        <w:shadow w:val="0"/>
        <w:emboss w:val="0"/>
        <w:imprint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Numbers"/>
      <w:lvlText w:val="%1.%2.%3"/>
      <w:lvlJc w:val="left"/>
      <w:pPr>
        <w:tabs>
          <w:tab w:val="num" w:pos="1276"/>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nsid w:val="4B6657E5"/>
    <w:multiLevelType w:val="hybridMultilevel"/>
    <w:tmpl w:val="7EB08B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4BC03DC3"/>
    <w:multiLevelType w:val="hybridMultilevel"/>
    <w:tmpl w:val="2D461B86"/>
    <w:lvl w:ilvl="0" w:tplc="1284BFEE">
      <w:start w:val="1"/>
      <w:numFmt w:val="decimal"/>
      <w:pStyle w:val="Numberedfigureheading"/>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CD4259C"/>
    <w:multiLevelType w:val="hybridMultilevel"/>
    <w:tmpl w:val="2EB071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40E5588"/>
    <w:multiLevelType w:val="multilevel"/>
    <w:tmpl w:val="060A2B94"/>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nsid w:val="562E7D13"/>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D526774"/>
    <w:multiLevelType w:val="multilevel"/>
    <w:tmpl w:val="7CC65220"/>
    <w:lvl w:ilvl="0">
      <w:start w:val="1"/>
      <w:numFmt w:val="upperLetter"/>
      <w:pStyle w:val="AttachmentHeading"/>
      <w:suff w:val="space"/>
      <w:lvlText w:val="Attachment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nsid w:val="65A548EC"/>
    <w:multiLevelType w:val="hybridMultilevel"/>
    <w:tmpl w:val="218A12F6"/>
    <w:lvl w:ilvl="0" w:tplc="98405B26">
      <w:start w:val="4"/>
      <w:numFmt w:val="bullet"/>
      <w:lvlText w:val="-"/>
      <w:lvlJc w:val="left"/>
      <w:pPr>
        <w:ind w:left="720" w:hanging="360"/>
      </w:pPr>
      <w:rPr>
        <w:rFonts w:ascii="Trebuchet MS" w:eastAsiaTheme="minorHAnsi" w:hAnsi="Trebuchet M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9B17A3F"/>
    <w:multiLevelType w:val="multilevel"/>
    <w:tmpl w:val="4218048E"/>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nsid w:val="73572C0F"/>
    <w:multiLevelType w:val="hybridMultilevel"/>
    <w:tmpl w:val="11486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4EA02FF"/>
    <w:multiLevelType w:val="multilevel"/>
    <w:tmpl w:val="44C235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7AA54EA2"/>
    <w:multiLevelType w:val="hybridMultilevel"/>
    <w:tmpl w:val="9F980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C0E6E8A"/>
    <w:multiLevelType w:val="hybridMultilevel"/>
    <w:tmpl w:val="CC1E3FAA"/>
    <w:lvl w:ilvl="0" w:tplc="D78489CC">
      <w:start w:val="1"/>
      <w:numFmt w:val="decimal"/>
      <w:pStyle w:val="Numberedtableheading"/>
      <w:lvlText w:val="Table %1."/>
      <w:lvlJc w:val="left"/>
      <w:pPr>
        <w:ind w:left="3337" w:hanging="360"/>
      </w:pPr>
      <w:rPr>
        <w:b w:val="0"/>
        <w:bCs w:val="0"/>
        <w:i/>
        <w:iCs w:val="0"/>
        <w:caps w:val="0"/>
        <w:smallCaps w:val="0"/>
        <w:strike w:val="0"/>
        <w:dstrike w:val="0"/>
        <w:outline w:val="0"/>
        <w:shadow w:val="0"/>
        <w:emboss w:val="0"/>
        <w:imprint w:val="0"/>
        <w:noProof w:val="0"/>
        <w:vanish w:val="0"/>
        <w:color w:val="012169"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0" w:hanging="360"/>
      </w:pPr>
    </w:lvl>
    <w:lvl w:ilvl="2" w:tplc="0C09001B" w:tentative="1">
      <w:start w:val="1"/>
      <w:numFmt w:val="lowerRoman"/>
      <w:lvlText w:val="%3."/>
      <w:lvlJc w:val="right"/>
      <w:pPr>
        <w:ind w:left="3010" w:hanging="180"/>
      </w:pPr>
    </w:lvl>
    <w:lvl w:ilvl="3" w:tplc="0C09000F" w:tentative="1">
      <w:start w:val="1"/>
      <w:numFmt w:val="decimal"/>
      <w:lvlText w:val="%4."/>
      <w:lvlJc w:val="left"/>
      <w:pPr>
        <w:ind w:left="3730" w:hanging="360"/>
      </w:pPr>
    </w:lvl>
    <w:lvl w:ilvl="4" w:tplc="0C090019" w:tentative="1">
      <w:start w:val="1"/>
      <w:numFmt w:val="lowerLetter"/>
      <w:lvlText w:val="%5."/>
      <w:lvlJc w:val="left"/>
      <w:pPr>
        <w:ind w:left="4450" w:hanging="360"/>
      </w:pPr>
    </w:lvl>
    <w:lvl w:ilvl="5" w:tplc="0C09001B" w:tentative="1">
      <w:start w:val="1"/>
      <w:numFmt w:val="lowerRoman"/>
      <w:lvlText w:val="%6."/>
      <w:lvlJc w:val="right"/>
      <w:pPr>
        <w:ind w:left="5170" w:hanging="180"/>
      </w:pPr>
    </w:lvl>
    <w:lvl w:ilvl="6" w:tplc="0C09000F" w:tentative="1">
      <w:start w:val="1"/>
      <w:numFmt w:val="decimal"/>
      <w:lvlText w:val="%7."/>
      <w:lvlJc w:val="left"/>
      <w:pPr>
        <w:ind w:left="5890" w:hanging="360"/>
      </w:pPr>
    </w:lvl>
    <w:lvl w:ilvl="7" w:tplc="0C090019" w:tentative="1">
      <w:start w:val="1"/>
      <w:numFmt w:val="lowerLetter"/>
      <w:lvlText w:val="%8."/>
      <w:lvlJc w:val="left"/>
      <w:pPr>
        <w:ind w:left="6610" w:hanging="360"/>
      </w:pPr>
    </w:lvl>
    <w:lvl w:ilvl="8" w:tplc="0C09001B" w:tentative="1">
      <w:start w:val="1"/>
      <w:numFmt w:val="lowerRoman"/>
      <w:lvlText w:val="%9."/>
      <w:lvlJc w:val="right"/>
      <w:pPr>
        <w:ind w:left="7330" w:hanging="180"/>
      </w:pPr>
    </w:lvl>
  </w:abstractNum>
  <w:num w:numId="1">
    <w:abstractNumId w:val="1"/>
  </w:num>
  <w:num w:numId="2">
    <w:abstractNumId w:val="0"/>
  </w:num>
  <w:num w:numId="3">
    <w:abstractNumId w:val="7"/>
  </w:num>
  <w:num w:numId="4">
    <w:abstractNumId w:val="18"/>
  </w:num>
  <w:num w:numId="5">
    <w:abstractNumId w:val="22"/>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5"/>
  </w:num>
  <w:num w:numId="10">
    <w:abstractNumId w:val="6"/>
  </w:num>
  <w:num w:numId="11">
    <w:abstractNumId w:val="4"/>
  </w:num>
  <w:num w:numId="12">
    <w:abstractNumId w:val="3"/>
  </w:num>
  <w:num w:numId="13">
    <w:abstractNumId w:val="11"/>
  </w:num>
  <w:num w:numId="14">
    <w:abstractNumId w:val="9"/>
  </w:num>
  <w:num w:numId="15">
    <w:abstractNumId w:val="12"/>
  </w:num>
  <w:num w:numId="16">
    <w:abstractNumId w:val="20"/>
  </w:num>
  <w:num w:numId="17">
    <w:abstractNumId w:val="2"/>
  </w:num>
  <w:num w:numId="18">
    <w:abstractNumId w:val="26"/>
  </w:num>
  <w:num w:numId="19">
    <w:abstractNumId w:val="13"/>
  </w:num>
  <w:num w:numId="20">
    <w:abstractNumId w:val="26"/>
  </w:num>
  <w:num w:numId="21">
    <w:abstractNumId w:val="16"/>
  </w:num>
  <w:num w:numId="22">
    <w:abstractNumId w:val="26"/>
    <w:lvlOverride w:ilvl="0">
      <w:startOverride w:val="1"/>
    </w:lvlOverride>
  </w:num>
  <w:num w:numId="23">
    <w:abstractNumId w:val="19"/>
  </w:num>
  <w:num w:numId="24">
    <w:abstractNumId w:val="21"/>
  </w:num>
  <w:num w:numId="25">
    <w:abstractNumId w:val="8"/>
  </w:num>
  <w:num w:numId="26">
    <w:abstractNumId w:val="15"/>
  </w:num>
  <w:num w:numId="27">
    <w:abstractNumId w:val="17"/>
  </w:num>
  <w:num w:numId="28">
    <w:abstractNumId w:val="24"/>
  </w:num>
  <w:num w:numId="29">
    <w:abstractNumId w:val="26"/>
    <w:lvlOverride w:ilvl="0">
      <w:startOverride w:val="1"/>
    </w:lvlOverride>
  </w:num>
  <w:num w:numId="30">
    <w:abstractNumId w:val="23"/>
  </w:num>
  <w:num w:numId="31">
    <w:abstractNumId w:val="25"/>
  </w:num>
  <w:num w:numId="32">
    <w:abstractNumId w:val="26"/>
    <w:lvlOverride w:ilvl="0">
      <w:startOverride w:val="1"/>
    </w:lvlOverride>
  </w:num>
  <w:num w:numId="33">
    <w:abstractNumId w:val="26"/>
    <w:lvlOverride w:ilvl="0">
      <w:startOverride w:val="1"/>
    </w:lvlOverride>
  </w:num>
  <w:num w:numId="34">
    <w:abstractNumId w:val="26"/>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SortMethod w:val="0004"/>
  <w:documentProtection w:formatting="1" w:enforcement="0"/>
  <w:styleLockTheme/>
  <w:styleLockQFSet/>
  <w:defaultTabStop w:val="425"/>
  <w:characterSpacingControl w:val="doNotCompress"/>
  <w:hdrShapeDefaults>
    <o:shapedefaults v:ext="edit" spidmax="901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1C6"/>
    <w:rsid w:val="00002571"/>
    <w:rsid w:val="00003752"/>
    <w:rsid w:val="00004139"/>
    <w:rsid w:val="00005D98"/>
    <w:rsid w:val="00007262"/>
    <w:rsid w:val="00011C96"/>
    <w:rsid w:val="0001306B"/>
    <w:rsid w:val="000141B9"/>
    <w:rsid w:val="00014DB5"/>
    <w:rsid w:val="000168EE"/>
    <w:rsid w:val="00017FCF"/>
    <w:rsid w:val="0002323E"/>
    <w:rsid w:val="00024124"/>
    <w:rsid w:val="00025DBA"/>
    <w:rsid w:val="000306F7"/>
    <w:rsid w:val="00031051"/>
    <w:rsid w:val="000317BE"/>
    <w:rsid w:val="00031C75"/>
    <w:rsid w:val="00031D29"/>
    <w:rsid w:val="000325A2"/>
    <w:rsid w:val="00032DB8"/>
    <w:rsid w:val="00033715"/>
    <w:rsid w:val="0003434D"/>
    <w:rsid w:val="00034497"/>
    <w:rsid w:val="00034A19"/>
    <w:rsid w:val="00034CC5"/>
    <w:rsid w:val="00035797"/>
    <w:rsid w:val="00036C74"/>
    <w:rsid w:val="00036F9E"/>
    <w:rsid w:val="0003700E"/>
    <w:rsid w:val="00040C7F"/>
    <w:rsid w:val="00040D0C"/>
    <w:rsid w:val="000413B3"/>
    <w:rsid w:val="00043B09"/>
    <w:rsid w:val="000444C8"/>
    <w:rsid w:val="00045463"/>
    <w:rsid w:val="000479A1"/>
    <w:rsid w:val="00050BA1"/>
    <w:rsid w:val="00051823"/>
    <w:rsid w:val="00053BBA"/>
    <w:rsid w:val="00053CB4"/>
    <w:rsid w:val="000573E5"/>
    <w:rsid w:val="00057B71"/>
    <w:rsid w:val="0006068D"/>
    <w:rsid w:val="000654FD"/>
    <w:rsid w:val="00065AAA"/>
    <w:rsid w:val="000661BF"/>
    <w:rsid w:val="00066D6F"/>
    <w:rsid w:val="00066DF9"/>
    <w:rsid w:val="00067466"/>
    <w:rsid w:val="0007202C"/>
    <w:rsid w:val="00072B30"/>
    <w:rsid w:val="00073076"/>
    <w:rsid w:val="0007319C"/>
    <w:rsid w:val="000732AA"/>
    <w:rsid w:val="00075713"/>
    <w:rsid w:val="00076238"/>
    <w:rsid w:val="000767DD"/>
    <w:rsid w:val="0008011A"/>
    <w:rsid w:val="00081466"/>
    <w:rsid w:val="00083876"/>
    <w:rsid w:val="00084F8B"/>
    <w:rsid w:val="000851D0"/>
    <w:rsid w:val="00085613"/>
    <w:rsid w:val="0008689D"/>
    <w:rsid w:val="00086D07"/>
    <w:rsid w:val="00086F71"/>
    <w:rsid w:val="00087EB8"/>
    <w:rsid w:val="00090759"/>
    <w:rsid w:val="00092BE1"/>
    <w:rsid w:val="00093915"/>
    <w:rsid w:val="000949AD"/>
    <w:rsid w:val="00095109"/>
    <w:rsid w:val="00096B0F"/>
    <w:rsid w:val="000972D3"/>
    <w:rsid w:val="000A2ECC"/>
    <w:rsid w:val="000A3C05"/>
    <w:rsid w:val="000A490E"/>
    <w:rsid w:val="000A5BA1"/>
    <w:rsid w:val="000B037C"/>
    <w:rsid w:val="000B04C5"/>
    <w:rsid w:val="000B04F7"/>
    <w:rsid w:val="000B63CA"/>
    <w:rsid w:val="000B6557"/>
    <w:rsid w:val="000B6F83"/>
    <w:rsid w:val="000B74CA"/>
    <w:rsid w:val="000B752A"/>
    <w:rsid w:val="000C14D9"/>
    <w:rsid w:val="000C15C7"/>
    <w:rsid w:val="000C1C87"/>
    <w:rsid w:val="000C3428"/>
    <w:rsid w:val="000C3962"/>
    <w:rsid w:val="000C3B01"/>
    <w:rsid w:val="000C5012"/>
    <w:rsid w:val="000C6944"/>
    <w:rsid w:val="000D4EDE"/>
    <w:rsid w:val="000D5EF0"/>
    <w:rsid w:val="000D645D"/>
    <w:rsid w:val="000D6A63"/>
    <w:rsid w:val="000E1203"/>
    <w:rsid w:val="000E2460"/>
    <w:rsid w:val="000E2F26"/>
    <w:rsid w:val="000E3427"/>
    <w:rsid w:val="000E43AC"/>
    <w:rsid w:val="000E54B4"/>
    <w:rsid w:val="000E5CF2"/>
    <w:rsid w:val="000E5FCA"/>
    <w:rsid w:val="000E6123"/>
    <w:rsid w:val="000E6973"/>
    <w:rsid w:val="000E6E37"/>
    <w:rsid w:val="000E70CA"/>
    <w:rsid w:val="000F0E6F"/>
    <w:rsid w:val="000F5DC3"/>
    <w:rsid w:val="000F67B7"/>
    <w:rsid w:val="000F79CD"/>
    <w:rsid w:val="0010067D"/>
    <w:rsid w:val="001018A5"/>
    <w:rsid w:val="00101D4F"/>
    <w:rsid w:val="00104EE1"/>
    <w:rsid w:val="00104F4C"/>
    <w:rsid w:val="0010585C"/>
    <w:rsid w:val="00106F56"/>
    <w:rsid w:val="00114927"/>
    <w:rsid w:val="00115A39"/>
    <w:rsid w:val="001167E7"/>
    <w:rsid w:val="00116F22"/>
    <w:rsid w:val="00121436"/>
    <w:rsid w:val="00123576"/>
    <w:rsid w:val="001241CB"/>
    <w:rsid w:val="00124B21"/>
    <w:rsid w:val="00125AF5"/>
    <w:rsid w:val="001263B4"/>
    <w:rsid w:val="001327B8"/>
    <w:rsid w:val="0013471B"/>
    <w:rsid w:val="0013502C"/>
    <w:rsid w:val="001352D4"/>
    <w:rsid w:val="00137B6C"/>
    <w:rsid w:val="00141DC3"/>
    <w:rsid w:val="001424F6"/>
    <w:rsid w:val="00144295"/>
    <w:rsid w:val="0014688D"/>
    <w:rsid w:val="00150CFC"/>
    <w:rsid w:val="00151D78"/>
    <w:rsid w:val="00154C92"/>
    <w:rsid w:val="0015500F"/>
    <w:rsid w:val="00155A38"/>
    <w:rsid w:val="00157422"/>
    <w:rsid w:val="00157C98"/>
    <w:rsid w:val="0016272E"/>
    <w:rsid w:val="001653B6"/>
    <w:rsid w:val="00165BF6"/>
    <w:rsid w:val="001663E1"/>
    <w:rsid w:val="001666DF"/>
    <w:rsid w:val="001668AE"/>
    <w:rsid w:val="001725F8"/>
    <w:rsid w:val="001728AE"/>
    <w:rsid w:val="00174B0F"/>
    <w:rsid w:val="00175EC5"/>
    <w:rsid w:val="00176C4F"/>
    <w:rsid w:val="00180E27"/>
    <w:rsid w:val="0018180A"/>
    <w:rsid w:val="00181FAD"/>
    <w:rsid w:val="0018235E"/>
    <w:rsid w:val="0018292A"/>
    <w:rsid w:val="00184187"/>
    <w:rsid w:val="00185EFA"/>
    <w:rsid w:val="00186D2D"/>
    <w:rsid w:val="00195B12"/>
    <w:rsid w:val="0019715D"/>
    <w:rsid w:val="001A0277"/>
    <w:rsid w:val="001A3FD1"/>
    <w:rsid w:val="001A4EA4"/>
    <w:rsid w:val="001A5FB9"/>
    <w:rsid w:val="001A664F"/>
    <w:rsid w:val="001B02B5"/>
    <w:rsid w:val="001B0A50"/>
    <w:rsid w:val="001B2DB7"/>
    <w:rsid w:val="001B3A9F"/>
    <w:rsid w:val="001B3FD2"/>
    <w:rsid w:val="001B53F1"/>
    <w:rsid w:val="001B6E4D"/>
    <w:rsid w:val="001B78E5"/>
    <w:rsid w:val="001C1A09"/>
    <w:rsid w:val="001C2CF2"/>
    <w:rsid w:val="001C4909"/>
    <w:rsid w:val="001C4F46"/>
    <w:rsid w:val="001C5A8C"/>
    <w:rsid w:val="001C6534"/>
    <w:rsid w:val="001C72D6"/>
    <w:rsid w:val="001C7531"/>
    <w:rsid w:val="001C7773"/>
    <w:rsid w:val="001D00B7"/>
    <w:rsid w:val="001D0C02"/>
    <w:rsid w:val="001D123E"/>
    <w:rsid w:val="001D14E9"/>
    <w:rsid w:val="001D34C3"/>
    <w:rsid w:val="001D3922"/>
    <w:rsid w:val="001D3D43"/>
    <w:rsid w:val="001D45F6"/>
    <w:rsid w:val="001D5ADF"/>
    <w:rsid w:val="001E0F51"/>
    <w:rsid w:val="001E161D"/>
    <w:rsid w:val="001E2B85"/>
    <w:rsid w:val="001E3031"/>
    <w:rsid w:val="001E55BF"/>
    <w:rsid w:val="001E5856"/>
    <w:rsid w:val="001E5BB1"/>
    <w:rsid w:val="001E62A9"/>
    <w:rsid w:val="001E6F0C"/>
    <w:rsid w:val="001F1467"/>
    <w:rsid w:val="001F3C62"/>
    <w:rsid w:val="001F48C6"/>
    <w:rsid w:val="001F51F2"/>
    <w:rsid w:val="001F6027"/>
    <w:rsid w:val="001F6E1A"/>
    <w:rsid w:val="001F780A"/>
    <w:rsid w:val="001F7917"/>
    <w:rsid w:val="001F7D64"/>
    <w:rsid w:val="00200613"/>
    <w:rsid w:val="00201698"/>
    <w:rsid w:val="00201C7A"/>
    <w:rsid w:val="00205251"/>
    <w:rsid w:val="0020725A"/>
    <w:rsid w:val="002076BC"/>
    <w:rsid w:val="00207A27"/>
    <w:rsid w:val="00210087"/>
    <w:rsid w:val="00211098"/>
    <w:rsid w:val="00211FE6"/>
    <w:rsid w:val="00214883"/>
    <w:rsid w:val="00215563"/>
    <w:rsid w:val="002173C0"/>
    <w:rsid w:val="00217E47"/>
    <w:rsid w:val="00220550"/>
    <w:rsid w:val="002301A2"/>
    <w:rsid w:val="00231E61"/>
    <w:rsid w:val="00231EE0"/>
    <w:rsid w:val="00232C14"/>
    <w:rsid w:val="00234A1D"/>
    <w:rsid w:val="00235C53"/>
    <w:rsid w:val="0023604B"/>
    <w:rsid w:val="002366EB"/>
    <w:rsid w:val="00236C2D"/>
    <w:rsid w:val="002374B7"/>
    <w:rsid w:val="00237D78"/>
    <w:rsid w:val="00240126"/>
    <w:rsid w:val="00241D17"/>
    <w:rsid w:val="00241FCC"/>
    <w:rsid w:val="00242384"/>
    <w:rsid w:val="0024304D"/>
    <w:rsid w:val="002435D4"/>
    <w:rsid w:val="00244826"/>
    <w:rsid w:val="00247ACA"/>
    <w:rsid w:val="00252E6A"/>
    <w:rsid w:val="00253E59"/>
    <w:rsid w:val="00255A20"/>
    <w:rsid w:val="00255ED8"/>
    <w:rsid w:val="00256B55"/>
    <w:rsid w:val="0025751F"/>
    <w:rsid w:val="0025782A"/>
    <w:rsid w:val="00260E6B"/>
    <w:rsid w:val="00260FF0"/>
    <w:rsid w:val="0026157C"/>
    <w:rsid w:val="00263414"/>
    <w:rsid w:val="002661A6"/>
    <w:rsid w:val="00266C23"/>
    <w:rsid w:val="00267123"/>
    <w:rsid w:val="00267CC7"/>
    <w:rsid w:val="0027194D"/>
    <w:rsid w:val="00273290"/>
    <w:rsid w:val="002739A7"/>
    <w:rsid w:val="00273C6D"/>
    <w:rsid w:val="002742EC"/>
    <w:rsid w:val="00274EE8"/>
    <w:rsid w:val="00276E5C"/>
    <w:rsid w:val="0027761B"/>
    <w:rsid w:val="00277D6C"/>
    <w:rsid w:val="00280ECA"/>
    <w:rsid w:val="00282F32"/>
    <w:rsid w:val="00283DF4"/>
    <w:rsid w:val="00285E3A"/>
    <w:rsid w:val="00286EAD"/>
    <w:rsid w:val="002904D4"/>
    <w:rsid w:val="002911F7"/>
    <w:rsid w:val="0029175E"/>
    <w:rsid w:val="002923A1"/>
    <w:rsid w:val="00293340"/>
    <w:rsid w:val="002935CB"/>
    <w:rsid w:val="0029389B"/>
    <w:rsid w:val="002939D7"/>
    <w:rsid w:val="00294B45"/>
    <w:rsid w:val="00296127"/>
    <w:rsid w:val="002A1894"/>
    <w:rsid w:val="002A2188"/>
    <w:rsid w:val="002A2BDC"/>
    <w:rsid w:val="002A354A"/>
    <w:rsid w:val="002A36F2"/>
    <w:rsid w:val="002A641A"/>
    <w:rsid w:val="002A65B8"/>
    <w:rsid w:val="002A6896"/>
    <w:rsid w:val="002A6F82"/>
    <w:rsid w:val="002A7D14"/>
    <w:rsid w:val="002B0913"/>
    <w:rsid w:val="002B1EEB"/>
    <w:rsid w:val="002B28E4"/>
    <w:rsid w:val="002B3C7D"/>
    <w:rsid w:val="002B4095"/>
    <w:rsid w:val="002B6364"/>
    <w:rsid w:val="002B7504"/>
    <w:rsid w:val="002B7E6B"/>
    <w:rsid w:val="002C0D97"/>
    <w:rsid w:val="002C0EC4"/>
    <w:rsid w:val="002C247A"/>
    <w:rsid w:val="002C25F8"/>
    <w:rsid w:val="002C2688"/>
    <w:rsid w:val="002C2939"/>
    <w:rsid w:val="002C66D1"/>
    <w:rsid w:val="002C7065"/>
    <w:rsid w:val="002C725A"/>
    <w:rsid w:val="002C7A66"/>
    <w:rsid w:val="002C7F4A"/>
    <w:rsid w:val="002D0BA4"/>
    <w:rsid w:val="002D0E24"/>
    <w:rsid w:val="002D1C51"/>
    <w:rsid w:val="002D2035"/>
    <w:rsid w:val="002D23A2"/>
    <w:rsid w:val="002D2804"/>
    <w:rsid w:val="002D4B6C"/>
    <w:rsid w:val="002D4C79"/>
    <w:rsid w:val="002D4DE3"/>
    <w:rsid w:val="002D5050"/>
    <w:rsid w:val="002D5274"/>
    <w:rsid w:val="002D5321"/>
    <w:rsid w:val="002D56F6"/>
    <w:rsid w:val="002D7309"/>
    <w:rsid w:val="002E252E"/>
    <w:rsid w:val="002E4036"/>
    <w:rsid w:val="002E52EA"/>
    <w:rsid w:val="002E6637"/>
    <w:rsid w:val="002E68A4"/>
    <w:rsid w:val="002E6D36"/>
    <w:rsid w:val="002E79AB"/>
    <w:rsid w:val="002E7B2C"/>
    <w:rsid w:val="002F0135"/>
    <w:rsid w:val="002F0C2C"/>
    <w:rsid w:val="002F17FA"/>
    <w:rsid w:val="002F2A27"/>
    <w:rsid w:val="002F3932"/>
    <w:rsid w:val="002F4590"/>
    <w:rsid w:val="002F4999"/>
    <w:rsid w:val="002F5C14"/>
    <w:rsid w:val="00300655"/>
    <w:rsid w:val="00301687"/>
    <w:rsid w:val="00302056"/>
    <w:rsid w:val="003032C7"/>
    <w:rsid w:val="0030373D"/>
    <w:rsid w:val="00303D18"/>
    <w:rsid w:val="00307ADD"/>
    <w:rsid w:val="00307E55"/>
    <w:rsid w:val="003100EF"/>
    <w:rsid w:val="00312A66"/>
    <w:rsid w:val="003130CA"/>
    <w:rsid w:val="00314629"/>
    <w:rsid w:val="00317076"/>
    <w:rsid w:val="00317F57"/>
    <w:rsid w:val="00321582"/>
    <w:rsid w:val="0032180D"/>
    <w:rsid w:val="0032312F"/>
    <w:rsid w:val="00327C1D"/>
    <w:rsid w:val="00332909"/>
    <w:rsid w:val="00332DCA"/>
    <w:rsid w:val="00333F8C"/>
    <w:rsid w:val="00336F27"/>
    <w:rsid w:val="0034083F"/>
    <w:rsid w:val="003442EF"/>
    <w:rsid w:val="0034623A"/>
    <w:rsid w:val="003507D9"/>
    <w:rsid w:val="00355188"/>
    <w:rsid w:val="00355966"/>
    <w:rsid w:val="00355D40"/>
    <w:rsid w:val="00356354"/>
    <w:rsid w:val="00362355"/>
    <w:rsid w:val="0036258F"/>
    <w:rsid w:val="0036294D"/>
    <w:rsid w:val="003659B9"/>
    <w:rsid w:val="00366403"/>
    <w:rsid w:val="00371AAC"/>
    <w:rsid w:val="00371AEB"/>
    <w:rsid w:val="00371F54"/>
    <w:rsid w:val="00375994"/>
    <w:rsid w:val="00375B14"/>
    <w:rsid w:val="0037770C"/>
    <w:rsid w:val="00377C8B"/>
    <w:rsid w:val="0038101B"/>
    <w:rsid w:val="003824CD"/>
    <w:rsid w:val="00382A1C"/>
    <w:rsid w:val="003832D0"/>
    <w:rsid w:val="003834A8"/>
    <w:rsid w:val="003835B6"/>
    <w:rsid w:val="00383A95"/>
    <w:rsid w:val="00385250"/>
    <w:rsid w:val="00385393"/>
    <w:rsid w:val="00385CA0"/>
    <w:rsid w:val="0038601E"/>
    <w:rsid w:val="003863E3"/>
    <w:rsid w:val="00386B56"/>
    <w:rsid w:val="003873C5"/>
    <w:rsid w:val="00392426"/>
    <w:rsid w:val="00396C08"/>
    <w:rsid w:val="003975D5"/>
    <w:rsid w:val="003A02AA"/>
    <w:rsid w:val="003A2733"/>
    <w:rsid w:val="003A3021"/>
    <w:rsid w:val="003A473C"/>
    <w:rsid w:val="003A55D9"/>
    <w:rsid w:val="003A627E"/>
    <w:rsid w:val="003A79EE"/>
    <w:rsid w:val="003B0FFC"/>
    <w:rsid w:val="003B4211"/>
    <w:rsid w:val="003B51A4"/>
    <w:rsid w:val="003B6E16"/>
    <w:rsid w:val="003C180A"/>
    <w:rsid w:val="003C1A6E"/>
    <w:rsid w:val="003C1E25"/>
    <w:rsid w:val="003C2E90"/>
    <w:rsid w:val="003C3B1F"/>
    <w:rsid w:val="003C45F5"/>
    <w:rsid w:val="003C7F4E"/>
    <w:rsid w:val="003D12A8"/>
    <w:rsid w:val="003D27CB"/>
    <w:rsid w:val="003D329D"/>
    <w:rsid w:val="003E0710"/>
    <w:rsid w:val="003E403F"/>
    <w:rsid w:val="003E540A"/>
    <w:rsid w:val="003E59FA"/>
    <w:rsid w:val="003E6BF6"/>
    <w:rsid w:val="003E7D21"/>
    <w:rsid w:val="003F08C8"/>
    <w:rsid w:val="003F0F0D"/>
    <w:rsid w:val="003F231B"/>
    <w:rsid w:val="003F287E"/>
    <w:rsid w:val="003F2EB2"/>
    <w:rsid w:val="003F3A0D"/>
    <w:rsid w:val="003F4F29"/>
    <w:rsid w:val="003F5380"/>
    <w:rsid w:val="003F5CCD"/>
    <w:rsid w:val="003F7375"/>
    <w:rsid w:val="0040173E"/>
    <w:rsid w:val="00401C73"/>
    <w:rsid w:val="00402F38"/>
    <w:rsid w:val="00403687"/>
    <w:rsid w:val="0040420E"/>
    <w:rsid w:val="0040491D"/>
    <w:rsid w:val="00404F7F"/>
    <w:rsid w:val="00407842"/>
    <w:rsid w:val="00413975"/>
    <w:rsid w:val="0041641B"/>
    <w:rsid w:val="00416F15"/>
    <w:rsid w:val="00420145"/>
    <w:rsid w:val="00420FAE"/>
    <w:rsid w:val="0042549E"/>
    <w:rsid w:val="004262E4"/>
    <w:rsid w:val="00427B3E"/>
    <w:rsid w:val="0043080D"/>
    <w:rsid w:val="00431909"/>
    <w:rsid w:val="00432E8A"/>
    <w:rsid w:val="004350C1"/>
    <w:rsid w:val="00435288"/>
    <w:rsid w:val="00435339"/>
    <w:rsid w:val="0043568E"/>
    <w:rsid w:val="00435754"/>
    <w:rsid w:val="00437097"/>
    <w:rsid w:val="00440B08"/>
    <w:rsid w:val="004410DC"/>
    <w:rsid w:val="00443D94"/>
    <w:rsid w:val="0044447D"/>
    <w:rsid w:val="00445874"/>
    <w:rsid w:val="00447B35"/>
    <w:rsid w:val="00450C67"/>
    <w:rsid w:val="00453810"/>
    <w:rsid w:val="004558C5"/>
    <w:rsid w:val="00455A63"/>
    <w:rsid w:val="0045613D"/>
    <w:rsid w:val="004567D1"/>
    <w:rsid w:val="00456B4A"/>
    <w:rsid w:val="00460CF7"/>
    <w:rsid w:val="00460E6B"/>
    <w:rsid w:val="0046115D"/>
    <w:rsid w:val="00461B16"/>
    <w:rsid w:val="00463FA8"/>
    <w:rsid w:val="004657F4"/>
    <w:rsid w:val="00466648"/>
    <w:rsid w:val="00470E21"/>
    <w:rsid w:val="00471508"/>
    <w:rsid w:val="00472CBC"/>
    <w:rsid w:val="0047363E"/>
    <w:rsid w:val="004765B3"/>
    <w:rsid w:val="00476A77"/>
    <w:rsid w:val="00480DB5"/>
    <w:rsid w:val="0048250C"/>
    <w:rsid w:val="00484BF5"/>
    <w:rsid w:val="004908A8"/>
    <w:rsid w:val="004908FC"/>
    <w:rsid w:val="00490BA0"/>
    <w:rsid w:val="00491B7E"/>
    <w:rsid w:val="00492B92"/>
    <w:rsid w:val="00493DAA"/>
    <w:rsid w:val="00493E68"/>
    <w:rsid w:val="00494335"/>
    <w:rsid w:val="00494C26"/>
    <w:rsid w:val="004957CE"/>
    <w:rsid w:val="00495A4C"/>
    <w:rsid w:val="00495ECC"/>
    <w:rsid w:val="004967A1"/>
    <w:rsid w:val="004A1F98"/>
    <w:rsid w:val="004A3B93"/>
    <w:rsid w:val="004A6220"/>
    <w:rsid w:val="004B50B2"/>
    <w:rsid w:val="004B584E"/>
    <w:rsid w:val="004B759C"/>
    <w:rsid w:val="004B773C"/>
    <w:rsid w:val="004B7ECD"/>
    <w:rsid w:val="004C1106"/>
    <w:rsid w:val="004C3032"/>
    <w:rsid w:val="004C6270"/>
    <w:rsid w:val="004C6D4B"/>
    <w:rsid w:val="004C766B"/>
    <w:rsid w:val="004D042C"/>
    <w:rsid w:val="004D1532"/>
    <w:rsid w:val="004D33E3"/>
    <w:rsid w:val="004D4966"/>
    <w:rsid w:val="004E13A5"/>
    <w:rsid w:val="004E185A"/>
    <w:rsid w:val="004E2269"/>
    <w:rsid w:val="004E267C"/>
    <w:rsid w:val="004E3294"/>
    <w:rsid w:val="004E48D2"/>
    <w:rsid w:val="004E68A7"/>
    <w:rsid w:val="004E6D8D"/>
    <w:rsid w:val="004E7DAB"/>
    <w:rsid w:val="004F02D4"/>
    <w:rsid w:val="004F3339"/>
    <w:rsid w:val="004F55F8"/>
    <w:rsid w:val="004F72A2"/>
    <w:rsid w:val="005020FE"/>
    <w:rsid w:val="005026D4"/>
    <w:rsid w:val="00503A51"/>
    <w:rsid w:val="00504944"/>
    <w:rsid w:val="00505E60"/>
    <w:rsid w:val="00506774"/>
    <w:rsid w:val="0050704F"/>
    <w:rsid w:val="005113A6"/>
    <w:rsid w:val="005118BE"/>
    <w:rsid w:val="00512309"/>
    <w:rsid w:val="00517C2A"/>
    <w:rsid w:val="00525022"/>
    <w:rsid w:val="005258EE"/>
    <w:rsid w:val="00532ACB"/>
    <w:rsid w:val="005333B4"/>
    <w:rsid w:val="00535FE4"/>
    <w:rsid w:val="005370DE"/>
    <w:rsid w:val="0053773B"/>
    <w:rsid w:val="00537B94"/>
    <w:rsid w:val="00540C72"/>
    <w:rsid w:val="00541D54"/>
    <w:rsid w:val="00541D74"/>
    <w:rsid w:val="00542522"/>
    <w:rsid w:val="005433CF"/>
    <w:rsid w:val="0054341A"/>
    <w:rsid w:val="00543508"/>
    <w:rsid w:val="005439D5"/>
    <w:rsid w:val="00544DB1"/>
    <w:rsid w:val="0054526E"/>
    <w:rsid w:val="00545CE1"/>
    <w:rsid w:val="00547294"/>
    <w:rsid w:val="005476B5"/>
    <w:rsid w:val="0055170A"/>
    <w:rsid w:val="00553DCD"/>
    <w:rsid w:val="005549D7"/>
    <w:rsid w:val="005602DA"/>
    <w:rsid w:val="00561E8F"/>
    <w:rsid w:val="00562087"/>
    <w:rsid w:val="005620DF"/>
    <w:rsid w:val="005644CB"/>
    <w:rsid w:val="005674FD"/>
    <w:rsid w:val="005678FC"/>
    <w:rsid w:val="00571F92"/>
    <w:rsid w:val="00573327"/>
    <w:rsid w:val="0057361E"/>
    <w:rsid w:val="00575354"/>
    <w:rsid w:val="00575E38"/>
    <w:rsid w:val="00577D3C"/>
    <w:rsid w:val="00580154"/>
    <w:rsid w:val="0058026A"/>
    <w:rsid w:val="0058479F"/>
    <w:rsid w:val="005849D9"/>
    <w:rsid w:val="005878EA"/>
    <w:rsid w:val="0059051E"/>
    <w:rsid w:val="00592F64"/>
    <w:rsid w:val="00593C66"/>
    <w:rsid w:val="00593EA9"/>
    <w:rsid w:val="005940B7"/>
    <w:rsid w:val="005951A9"/>
    <w:rsid w:val="005952DC"/>
    <w:rsid w:val="00595A43"/>
    <w:rsid w:val="00595D47"/>
    <w:rsid w:val="005965E8"/>
    <w:rsid w:val="005971F3"/>
    <w:rsid w:val="005979DB"/>
    <w:rsid w:val="005A0AC9"/>
    <w:rsid w:val="005A118E"/>
    <w:rsid w:val="005A1A08"/>
    <w:rsid w:val="005A3F63"/>
    <w:rsid w:val="005A59D0"/>
    <w:rsid w:val="005A7753"/>
    <w:rsid w:val="005B073E"/>
    <w:rsid w:val="005B2059"/>
    <w:rsid w:val="005B227F"/>
    <w:rsid w:val="005B3ACB"/>
    <w:rsid w:val="005B4555"/>
    <w:rsid w:val="005B5C4F"/>
    <w:rsid w:val="005B5E50"/>
    <w:rsid w:val="005B5FE5"/>
    <w:rsid w:val="005B644F"/>
    <w:rsid w:val="005B6526"/>
    <w:rsid w:val="005B6D36"/>
    <w:rsid w:val="005B71F2"/>
    <w:rsid w:val="005B7801"/>
    <w:rsid w:val="005B7BB8"/>
    <w:rsid w:val="005C0D46"/>
    <w:rsid w:val="005C5891"/>
    <w:rsid w:val="005C70A0"/>
    <w:rsid w:val="005D0576"/>
    <w:rsid w:val="005D138D"/>
    <w:rsid w:val="005D4355"/>
    <w:rsid w:val="005D5FAE"/>
    <w:rsid w:val="005D657D"/>
    <w:rsid w:val="005E0C27"/>
    <w:rsid w:val="005E189B"/>
    <w:rsid w:val="005E305F"/>
    <w:rsid w:val="005E3C3B"/>
    <w:rsid w:val="005E4276"/>
    <w:rsid w:val="005E4BC9"/>
    <w:rsid w:val="005F1349"/>
    <w:rsid w:val="005F1E7E"/>
    <w:rsid w:val="005F2709"/>
    <w:rsid w:val="005F29B7"/>
    <w:rsid w:val="005F2C3D"/>
    <w:rsid w:val="005F2EB1"/>
    <w:rsid w:val="005F33EA"/>
    <w:rsid w:val="005F501A"/>
    <w:rsid w:val="005F52EF"/>
    <w:rsid w:val="005F7C87"/>
    <w:rsid w:val="005F7E34"/>
    <w:rsid w:val="006003AC"/>
    <w:rsid w:val="00600AA5"/>
    <w:rsid w:val="00602D39"/>
    <w:rsid w:val="00605BD0"/>
    <w:rsid w:val="00606EB5"/>
    <w:rsid w:val="00606FC8"/>
    <w:rsid w:val="006123C7"/>
    <w:rsid w:val="00613B8E"/>
    <w:rsid w:val="006142D7"/>
    <w:rsid w:val="006157C8"/>
    <w:rsid w:val="00615C58"/>
    <w:rsid w:val="00616959"/>
    <w:rsid w:val="00616C90"/>
    <w:rsid w:val="00617492"/>
    <w:rsid w:val="00617FDA"/>
    <w:rsid w:val="006205E9"/>
    <w:rsid w:val="0062116F"/>
    <w:rsid w:val="006213BD"/>
    <w:rsid w:val="00621EFF"/>
    <w:rsid w:val="00623FD7"/>
    <w:rsid w:val="00624477"/>
    <w:rsid w:val="00625028"/>
    <w:rsid w:val="00626087"/>
    <w:rsid w:val="006266BC"/>
    <w:rsid w:val="00627C0A"/>
    <w:rsid w:val="00627D3B"/>
    <w:rsid w:val="00630732"/>
    <w:rsid w:val="00630EE9"/>
    <w:rsid w:val="00631B67"/>
    <w:rsid w:val="00632F7F"/>
    <w:rsid w:val="00634E4C"/>
    <w:rsid w:val="00635B27"/>
    <w:rsid w:val="00636678"/>
    <w:rsid w:val="00636B8B"/>
    <w:rsid w:val="006379B5"/>
    <w:rsid w:val="006409E5"/>
    <w:rsid w:val="00641EAA"/>
    <w:rsid w:val="006427FE"/>
    <w:rsid w:val="00643622"/>
    <w:rsid w:val="00644633"/>
    <w:rsid w:val="00644C09"/>
    <w:rsid w:val="00645EC0"/>
    <w:rsid w:val="00646695"/>
    <w:rsid w:val="006506C1"/>
    <w:rsid w:val="00651007"/>
    <w:rsid w:val="00651301"/>
    <w:rsid w:val="00651840"/>
    <w:rsid w:val="0065574B"/>
    <w:rsid w:val="00655F16"/>
    <w:rsid w:val="0065747A"/>
    <w:rsid w:val="00661152"/>
    <w:rsid w:val="00662E28"/>
    <w:rsid w:val="00663D86"/>
    <w:rsid w:val="00664D32"/>
    <w:rsid w:val="0066674D"/>
    <w:rsid w:val="00666A78"/>
    <w:rsid w:val="006673BD"/>
    <w:rsid w:val="006710D7"/>
    <w:rsid w:val="00671D2B"/>
    <w:rsid w:val="006733EA"/>
    <w:rsid w:val="00675723"/>
    <w:rsid w:val="00675987"/>
    <w:rsid w:val="0067668C"/>
    <w:rsid w:val="00676C12"/>
    <w:rsid w:val="00676DA8"/>
    <w:rsid w:val="006809B1"/>
    <w:rsid w:val="00680F92"/>
    <w:rsid w:val="00681D0A"/>
    <w:rsid w:val="00684DFA"/>
    <w:rsid w:val="006858A3"/>
    <w:rsid w:val="006863C6"/>
    <w:rsid w:val="006872EE"/>
    <w:rsid w:val="00690CA5"/>
    <w:rsid w:val="006911A2"/>
    <w:rsid w:val="00691276"/>
    <w:rsid w:val="006936EE"/>
    <w:rsid w:val="0069375D"/>
    <w:rsid w:val="0069407C"/>
    <w:rsid w:val="00694283"/>
    <w:rsid w:val="00694C76"/>
    <w:rsid w:val="0069574E"/>
    <w:rsid w:val="006964DE"/>
    <w:rsid w:val="006969C0"/>
    <w:rsid w:val="00696CE7"/>
    <w:rsid w:val="00697699"/>
    <w:rsid w:val="006A0891"/>
    <w:rsid w:val="006A0A48"/>
    <w:rsid w:val="006A1799"/>
    <w:rsid w:val="006A1921"/>
    <w:rsid w:val="006A2303"/>
    <w:rsid w:val="006A6CE6"/>
    <w:rsid w:val="006A7073"/>
    <w:rsid w:val="006B2E67"/>
    <w:rsid w:val="006B5030"/>
    <w:rsid w:val="006B667C"/>
    <w:rsid w:val="006B6C08"/>
    <w:rsid w:val="006C6C47"/>
    <w:rsid w:val="006D0ACE"/>
    <w:rsid w:val="006D2A45"/>
    <w:rsid w:val="006D43E2"/>
    <w:rsid w:val="006D59B3"/>
    <w:rsid w:val="006D6F21"/>
    <w:rsid w:val="006D71B8"/>
    <w:rsid w:val="006E01F2"/>
    <w:rsid w:val="006E032E"/>
    <w:rsid w:val="006E3A83"/>
    <w:rsid w:val="006E4272"/>
    <w:rsid w:val="006E4E28"/>
    <w:rsid w:val="006E630F"/>
    <w:rsid w:val="006E6C13"/>
    <w:rsid w:val="006F145A"/>
    <w:rsid w:val="006F1B0E"/>
    <w:rsid w:val="006F27CB"/>
    <w:rsid w:val="006F359B"/>
    <w:rsid w:val="006F3FE7"/>
    <w:rsid w:val="006F5827"/>
    <w:rsid w:val="006F5865"/>
    <w:rsid w:val="006F5DE3"/>
    <w:rsid w:val="006F72F5"/>
    <w:rsid w:val="00701EC6"/>
    <w:rsid w:val="0070262E"/>
    <w:rsid w:val="0070596C"/>
    <w:rsid w:val="00705BAB"/>
    <w:rsid w:val="00706179"/>
    <w:rsid w:val="007062A6"/>
    <w:rsid w:val="0070681C"/>
    <w:rsid w:val="00706964"/>
    <w:rsid w:val="00707DA5"/>
    <w:rsid w:val="00712CA2"/>
    <w:rsid w:val="00712D5A"/>
    <w:rsid w:val="007142F9"/>
    <w:rsid w:val="00714B98"/>
    <w:rsid w:val="00714C26"/>
    <w:rsid w:val="00714F78"/>
    <w:rsid w:val="007152B0"/>
    <w:rsid w:val="00716AF0"/>
    <w:rsid w:val="007170F7"/>
    <w:rsid w:val="00717193"/>
    <w:rsid w:val="00717EAB"/>
    <w:rsid w:val="0072205B"/>
    <w:rsid w:val="00722F9F"/>
    <w:rsid w:val="00724B43"/>
    <w:rsid w:val="007253B8"/>
    <w:rsid w:val="007255F3"/>
    <w:rsid w:val="0073260F"/>
    <w:rsid w:val="00735496"/>
    <w:rsid w:val="00736E7D"/>
    <w:rsid w:val="00741DF4"/>
    <w:rsid w:val="00743F82"/>
    <w:rsid w:val="00745B65"/>
    <w:rsid w:val="0074603E"/>
    <w:rsid w:val="00747BAB"/>
    <w:rsid w:val="007509A6"/>
    <w:rsid w:val="00751A17"/>
    <w:rsid w:val="00753F83"/>
    <w:rsid w:val="007541B0"/>
    <w:rsid w:val="0075469B"/>
    <w:rsid w:val="00755163"/>
    <w:rsid w:val="00755D65"/>
    <w:rsid w:val="007568F8"/>
    <w:rsid w:val="00756AAB"/>
    <w:rsid w:val="00757F63"/>
    <w:rsid w:val="007633CE"/>
    <w:rsid w:val="00764476"/>
    <w:rsid w:val="007645AE"/>
    <w:rsid w:val="00764992"/>
    <w:rsid w:val="00765597"/>
    <w:rsid w:val="00766A4D"/>
    <w:rsid w:val="00766D3E"/>
    <w:rsid w:val="007672D1"/>
    <w:rsid w:val="00770DEA"/>
    <w:rsid w:val="00770FFA"/>
    <w:rsid w:val="00772B47"/>
    <w:rsid w:val="00774EDE"/>
    <w:rsid w:val="007752D2"/>
    <w:rsid w:val="00775AA0"/>
    <w:rsid w:val="007770FA"/>
    <w:rsid w:val="00777A69"/>
    <w:rsid w:val="00784136"/>
    <w:rsid w:val="0078558B"/>
    <w:rsid w:val="00787586"/>
    <w:rsid w:val="00790F67"/>
    <w:rsid w:val="00791738"/>
    <w:rsid w:val="00791780"/>
    <w:rsid w:val="00792D37"/>
    <w:rsid w:val="00793853"/>
    <w:rsid w:val="007947AB"/>
    <w:rsid w:val="00795584"/>
    <w:rsid w:val="00795FC2"/>
    <w:rsid w:val="00797777"/>
    <w:rsid w:val="007A01DA"/>
    <w:rsid w:val="007A0D27"/>
    <w:rsid w:val="007A0EB7"/>
    <w:rsid w:val="007A1793"/>
    <w:rsid w:val="007A2C21"/>
    <w:rsid w:val="007A3935"/>
    <w:rsid w:val="007A61D7"/>
    <w:rsid w:val="007B1458"/>
    <w:rsid w:val="007B2B4A"/>
    <w:rsid w:val="007B6871"/>
    <w:rsid w:val="007B6BAC"/>
    <w:rsid w:val="007B722B"/>
    <w:rsid w:val="007C08B1"/>
    <w:rsid w:val="007C2820"/>
    <w:rsid w:val="007C2CC2"/>
    <w:rsid w:val="007C38BD"/>
    <w:rsid w:val="007C3A9D"/>
    <w:rsid w:val="007C79AA"/>
    <w:rsid w:val="007D0DC7"/>
    <w:rsid w:val="007D1255"/>
    <w:rsid w:val="007D31DA"/>
    <w:rsid w:val="007D36E4"/>
    <w:rsid w:val="007D3735"/>
    <w:rsid w:val="007D5090"/>
    <w:rsid w:val="007D5108"/>
    <w:rsid w:val="007D72C5"/>
    <w:rsid w:val="007E03ED"/>
    <w:rsid w:val="007E0B11"/>
    <w:rsid w:val="007E0F14"/>
    <w:rsid w:val="007E525D"/>
    <w:rsid w:val="007E5D0C"/>
    <w:rsid w:val="007E7F27"/>
    <w:rsid w:val="007F0323"/>
    <w:rsid w:val="007F0620"/>
    <w:rsid w:val="007F273C"/>
    <w:rsid w:val="007F2A81"/>
    <w:rsid w:val="007F2E4C"/>
    <w:rsid w:val="007F3480"/>
    <w:rsid w:val="007F379E"/>
    <w:rsid w:val="007F471C"/>
    <w:rsid w:val="007F663F"/>
    <w:rsid w:val="00800C90"/>
    <w:rsid w:val="00800EA2"/>
    <w:rsid w:val="00801D1C"/>
    <w:rsid w:val="00802BDE"/>
    <w:rsid w:val="00804A96"/>
    <w:rsid w:val="00806F93"/>
    <w:rsid w:val="00807194"/>
    <w:rsid w:val="008071C6"/>
    <w:rsid w:val="00807996"/>
    <w:rsid w:val="008106D2"/>
    <w:rsid w:val="008108A4"/>
    <w:rsid w:val="008125F8"/>
    <w:rsid w:val="00812ECC"/>
    <w:rsid w:val="00813FAC"/>
    <w:rsid w:val="00814CA0"/>
    <w:rsid w:val="00816051"/>
    <w:rsid w:val="00816AC5"/>
    <w:rsid w:val="00821B6A"/>
    <w:rsid w:val="008229AA"/>
    <w:rsid w:val="00822BD0"/>
    <w:rsid w:val="00825D96"/>
    <w:rsid w:val="00831538"/>
    <w:rsid w:val="008325D1"/>
    <w:rsid w:val="008348D7"/>
    <w:rsid w:val="00834CE0"/>
    <w:rsid w:val="008400B5"/>
    <w:rsid w:val="00840C84"/>
    <w:rsid w:val="0084110F"/>
    <w:rsid w:val="0084181B"/>
    <w:rsid w:val="00844B1D"/>
    <w:rsid w:val="00844F5C"/>
    <w:rsid w:val="00845843"/>
    <w:rsid w:val="00845DF1"/>
    <w:rsid w:val="0084656E"/>
    <w:rsid w:val="00846D34"/>
    <w:rsid w:val="008507A1"/>
    <w:rsid w:val="008521A1"/>
    <w:rsid w:val="008534C4"/>
    <w:rsid w:val="008553D6"/>
    <w:rsid w:val="00860A20"/>
    <w:rsid w:val="008616BC"/>
    <w:rsid w:val="00863020"/>
    <w:rsid w:val="008637EC"/>
    <w:rsid w:val="00866B71"/>
    <w:rsid w:val="00867B8C"/>
    <w:rsid w:val="00870BC6"/>
    <w:rsid w:val="00872AFF"/>
    <w:rsid w:val="00875DAD"/>
    <w:rsid w:val="00877B84"/>
    <w:rsid w:val="0088036D"/>
    <w:rsid w:val="00880911"/>
    <w:rsid w:val="0088109B"/>
    <w:rsid w:val="00881155"/>
    <w:rsid w:val="00881F97"/>
    <w:rsid w:val="0088283E"/>
    <w:rsid w:val="00882892"/>
    <w:rsid w:val="008844C7"/>
    <w:rsid w:val="00885A14"/>
    <w:rsid w:val="00885D11"/>
    <w:rsid w:val="0088689B"/>
    <w:rsid w:val="008869C4"/>
    <w:rsid w:val="00890607"/>
    <w:rsid w:val="00890FA0"/>
    <w:rsid w:val="00891F37"/>
    <w:rsid w:val="00892582"/>
    <w:rsid w:val="00892D32"/>
    <w:rsid w:val="008947BF"/>
    <w:rsid w:val="00894854"/>
    <w:rsid w:val="008A0318"/>
    <w:rsid w:val="008A0CBE"/>
    <w:rsid w:val="008A150B"/>
    <w:rsid w:val="008A1CA8"/>
    <w:rsid w:val="008A214D"/>
    <w:rsid w:val="008A3584"/>
    <w:rsid w:val="008A6106"/>
    <w:rsid w:val="008A72D2"/>
    <w:rsid w:val="008A74A3"/>
    <w:rsid w:val="008B0DD4"/>
    <w:rsid w:val="008B2BF9"/>
    <w:rsid w:val="008B6868"/>
    <w:rsid w:val="008B6D24"/>
    <w:rsid w:val="008C1CB4"/>
    <w:rsid w:val="008C206F"/>
    <w:rsid w:val="008C29E7"/>
    <w:rsid w:val="008C34F7"/>
    <w:rsid w:val="008C3C86"/>
    <w:rsid w:val="008C43F5"/>
    <w:rsid w:val="008C5D20"/>
    <w:rsid w:val="008C6A43"/>
    <w:rsid w:val="008C6F0B"/>
    <w:rsid w:val="008D07BA"/>
    <w:rsid w:val="008D080C"/>
    <w:rsid w:val="008D122C"/>
    <w:rsid w:val="008D2C8D"/>
    <w:rsid w:val="008D482C"/>
    <w:rsid w:val="008D5CB5"/>
    <w:rsid w:val="008D6437"/>
    <w:rsid w:val="008D6473"/>
    <w:rsid w:val="008D6EDF"/>
    <w:rsid w:val="008D719A"/>
    <w:rsid w:val="008D76FD"/>
    <w:rsid w:val="008E1216"/>
    <w:rsid w:val="008E13F2"/>
    <w:rsid w:val="008E1727"/>
    <w:rsid w:val="008E2DF0"/>
    <w:rsid w:val="008E32EF"/>
    <w:rsid w:val="008E3AD7"/>
    <w:rsid w:val="008E3EF5"/>
    <w:rsid w:val="008E4568"/>
    <w:rsid w:val="008E5FD0"/>
    <w:rsid w:val="008F0472"/>
    <w:rsid w:val="008F2454"/>
    <w:rsid w:val="008F26E7"/>
    <w:rsid w:val="008F2BE6"/>
    <w:rsid w:val="008F3021"/>
    <w:rsid w:val="008F33B5"/>
    <w:rsid w:val="008F73A0"/>
    <w:rsid w:val="009009EE"/>
    <w:rsid w:val="00902603"/>
    <w:rsid w:val="0090320E"/>
    <w:rsid w:val="009052D1"/>
    <w:rsid w:val="00906799"/>
    <w:rsid w:val="00912588"/>
    <w:rsid w:val="00912CE3"/>
    <w:rsid w:val="00913C8B"/>
    <w:rsid w:val="00916353"/>
    <w:rsid w:val="00916D9B"/>
    <w:rsid w:val="00922193"/>
    <w:rsid w:val="00924152"/>
    <w:rsid w:val="00926072"/>
    <w:rsid w:val="009263DC"/>
    <w:rsid w:val="00930D95"/>
    <w:rsid w:val="0093194D"/>
    <w:rsid w:val="0093340A"/>
    <w:rsid w:val="00934C3F"/>
    <w:rsid w:val="009355BD"/>
    <w:rsid w:val="009359D6"/>
    <w:rsid w:val="00935CA5"/>
    <w:rsid w:val="009365D8"/>
    <w:rsid w:val="009417AE"/>
    <w:rsid w:val="00945635"/>
    <w:rsid w:val="00945B3F"/>
    <w:rsid w:val="0095058A"/>
    <w:rsid w:val="00950DCB"/>
    <w:rsid w:val="00951DFA"/>
    <w:rsid w:val="00952D47"/>
    <w:rsid w:val="00952D4C"/>
    <w:rsid w:val="00952F9A"/>
    <w:rsid w:val="00953192"/>
    <w:rsid w:val="009549D9"/>
    <w:rsid w:val="00954B66"/>
    <w:rsid w:val="009575A9"/>
    <w:rsid w:val="00960246"/>
    <w:rsid w:val="0096094B"/>
    <w:rsid w:val="00960C40"/>
    <w:rsid w:val="00961655"/>
    <w:rsid w:val="009620E2"/>
    <w:rsid w:val="0096560D"/>
    <w:rsid w:val="00967D1C"/>
    <w:rsid w:val="009704A2"/>
    <w:rsid w:val="009719CD"/>
    <w:rsid w:val="00971F20"/>
    <w:rsid w:val="009720E1"/>
    <w:rsid w:val="009739C3"/>
    <w:rsid w:val="0097414D"/>
    <w:rsid w:val="0097422F"/>
    <w:rsid w:val="00974D18"/>
    <w:rsid w:val="00974F0E"/>
    <w:rsid w:val="00975CD7"/>
    <w:rsid w:val="0097600F"/>
    <w:rsid w:val="00976309"/>
    <w:rsid w:val="00977968"/>
    <w:rsid w:val="00977C1B"/>
    <w:rsid w:val="00981B37"/>
    <w:rsid w:val="00983199"/>
    <w:rsid w:val="009848EC"/>
    <w:rsid w:val="00984EE0"/>
    <w:rsid w:val="00985616"/>
    <w:rsid w:val="00985E70"/>
    <w:rsid w:val="00986762"/>
    <w:rsid w:val="0098764C"/>
    <w:rsid w:val="0098783B"/>
    <w:rsid w:val="00993C2B"/>
    <w:rsid w:val="00995143"/>
    <w:rsid w:val="009979F4"/>
    <w:rsid w:val="009A396E"/>
    <w:rsid w:val="009A416A"/>
    <w:rsid w:val="009A45B2"/>
    <w:rsid w:val="009A5585"/>
    <w:rsid w:val="009A59D5"/>
    <w:rsid w:val="009A6172"/>
    <w:rsid w:val="009B2CB7"/>
    <w:rsid w:val="009B3C9A"/>
    <w:rsid w:val="009C43AC"/>
    <w:rsid w:val="009C7DC0"/>
    <w:rsid w:val="009D253D"/>
    <w:rsid w:val="009D2DDD"/>
    <w:rsid w:val="009D3502"/>
    <w:rsid w:val="009D37FB"/>
    <w:rsid w:val="009D46CD"/>
    <w:rsid w:val="009E0C10"/>
    <w:rsid w:val="009E0EE3"/>
    <w:rsid w:val="009E0F10"/>
    <w:rsid w:val="009E2AA1"/>
    <w:rsid w:val="009E4116"/>
    <w:rsid w:val="009F08A2"/>
    <w:rsid w:val="009F0D49"/>
    <w:rsid w:val="009F2FF5"/>
    <w:rsid w:val="009F34F0"/>
    <w:rsid w:val="009F4057"/>
    <w:rsid w:val="009F41B2"/>
    <w:rsid w:val="009F65F0"/>
    <w:rsid w:val="009F695A"/>
    <w:rsid w:val="009F7790"/>
    <w:rsid w:val="009F7E8C"/>
    <w:rsid w:val="00A0029F"/>
    <w:rsid w:val="00A01279"/>
    <w:rsid w:val="00A0245A"/>
    <w:rsid w:val="00A02789"/>
    <w:rsid w:val="00A06A5F"/>
    <w:rsid w:val="00A06AD9"/>
    <w:rsid w:val="00A0701A"/>
    <w:rsid w:val="00A07F66"/>
    <w:rsid w:val="00A10BD5"/>
    <w:rsid w:val="00A10DA6"/>
    <w:rsid w:val="00A12840"/>
    <w:rsid w:val="00A129DD"/>
    <w:rsid w:val="00A12C00"/>
    <w:rsid w:val="00A151E9"/>
    <w:rsid w:val="00A1591B"/>
    <w:rsid w:val="00A15DBB"/>
    <w:rsid w:val="00A20D03"/>
    <w:rsid w:val="00A21CAA"/>
    <w:rsid w:val="00A259F2"/>
    <w:rsid w:val="00A2758A"/>
    <w:rsid w:val="00A308EB"/>
    <w:rsid w:val="00A31FD3"/>
    <w:rsid w:val="00A3260C"/>
    <w:rsid w:val="00A33802"/>
    <w:rsid w:val="00A349D1"/>
    <w:rsid w:val="00A368EA"/>
    <w:rsid w:val="00A37162"/>
    <w:rsid w:val="00A37E51"/>
    <w:rsid w:val="00A439D4"/>
    <w:rsid w:val="00A43BB3"/>
    <w:rsid w:val="00A456D4"/>
    <w:rsid w:val="00A458A1"/>
    <w:rsid w:val="00A51048"/>
    <w:rsid w:val="00A5124C"/>
    <w:rsid w:val="00A519AE"/>
    <w:rsid w:val="00A51E2D"/>
    <w:rsid w:val="00A5319F"/>
    <w:rsid w:val="00A53690"/>
    <w:rsid w:val="00A540E1"/>
    <w:rsid w:val="00A5625B"/>
    <w:rsid w:val="00A60077"/>
    <w:rsid w:val="00A60405"/>
    <w:rsid w:val="00A61EBF"/>
    <w:rsid w:val="00A62640"/>
    <w:rsid w:val="00A62D31"/>
    <w:rsid w:val="00A63380"/>
    <w:rsid w:val="00A6395A"/>
    <w:rsid w:val="00A70F3F"/>
    <w:rsid w:val="00A71AB5"/>
    <w:rsid w:val="00A730B8"/>
    <w:rsid w:val="00A74656"/>
    <w:rsid w:val="00A76767"/>
    <w:rsid w:val="00A77243"/>
    <w:rsid w:val="00A77282"/>
    <w:rsid w:val="00A80405"/>
    <w:rsid w:val="00A80A71"/>
    <w:rsid w:val="00A8129D"/>
    <w:rsid w:val="00A81A74"/>
    <w:rsid w:val="00A82CAF"/>
    <w:rsid w:val="00A8508B"/>
    <w:rsid w:val="00A865C7"/>
    <w:rsid w:val="00A873D3"/>
    <w:rsid w:val="00A909CC"/>
    <w:rsid w:val="00A91CC9"/>
    <w:rsid w:val="00A939CC"/>
    <w:rsid w:val="00A95D41"/>
    <w:rsid w:val="00A964A5"/>
    <w:rsid w:val="00A96AAF"/>
    <w:rsid w:val="00A97E3B"/>
    <w:rsid w:val="00AA00CB"/>
    <w:rsid w:val="00AA0609"/>
    <w:rsid w:val="00AA0CA8"/>
    <w:rsid w:val="00AA20A1"/>
    <w:rsid w:val="00AA265D"/>
    <w:rsid w:val="00AA2BBD"/>
    <w:rsid w:val="00AA3DA4"/>
    <w:rsid w:val="00AA41F2"/>
    <w:rsid w:val="00AA5232"/>
    <w:rsid w:val="00AA75DF"/>
    <w:rsid w:val="00AA7BC8"/>
    <w:rsid w:val="00AA7EBA"/>
    <w:rsid w:val="00AB039E"/>
    <w:rsid w:val="00AB260C"/>
    <w:rsid w:val="00AB382D"/>
    <w:rsid w:val="00AB4206"/>
    <w:rsid w:val="00AB48A8"/>
    <w:rsid w:val="00AC1C12"/>
    <w:rsid w:val="00AC2473"/>
    <w:rsid w:val="00AC602F"/>
    <w:rsid w:val="00AC7E54"/>
    <w:rsid w:val="00AD06ED"/>
    <w:rsid w:val="00AD1AE7"/>
    <w:rsid w:val="00AD328C"/>
    <w:rsid w:val="00AD393D"/>
    <w:rsid w:val="00AD7CB0"/>
    <w:rsid w:val="00AE324C"/>
    <w:rsid w:val="00AE6159"/>
    <w:rsid w:val="00AE6730"/>
    <w:rsid w:val="00AE6A4E"/>
    <w:rsid w:val="00AE7B98"/>
    <w:rsid w:val="00AF129F"/>
    <w:rsid w:val="00AF170A"/>
    <w:rsid w:val="00AF29E3"/>
    <w:rsid w:val="00AF3FD5"/>
    <w:rsid w:val="00B001F7"/>
    <w:rsid w:val="00B00855"/>
    <w:rsid w:val="00B0144A"/>
    <w:rsid w:val="00B019B1"/>
    <w:rsid w:val="00B11234"/>
    <w:rsid w:val="00B12DC9"/>
    <w:rsid w:val="00B13F84"/>
    <w:rsid w:val="00B14352"/>
    <w:rsid w:val="00B14604"/>
    <w:rsid w:val="00B15ABA"/>
    <w:rsid w:val="00B20DFD"/>
    <w:rsid w:val="00B24CE4"/>
    <w:rsid w:val="00B24DD4"/>
    <w:rsid w:val="00B24E43"/>
    <w:rsid w:val="00B264B9"/>
    <w:rsid w:val="00B27043"/>
    <w:rsid w:val="00B2744F"/>
    <w:rsid w:val="00B27A08"/>
    <w:rsid w:val="00B30247"/>
    <w:rsid w:val="00B30C44"/>
    <w:rsid w:val="00B34339"/>
    <w:rsid w:val="00B40378"/>
    <w:rsid w:val="00B42B2F"/>
    <w:rsid w:val="00B42D4B"/>
    <w:rsid w:val="00B42DFE"/>
    <w:rsid w:val="00B43B73"/>
    <w:rsid w:val="00B43F55"/>
    <w:rsid w:val="00B44205"/>
    <w:rsid w:val="00B44900"/>
    <w:rsid w:val="00B4493C"/>
    <w:rsid w:val="00B46325"/>
    <w:rsid w:val="00B466CF"/>
    <w:rsid w:val="00B467F6"/>
    <w:rsid w:val="00B472E1"/>
    <w:rsid w:val="00B52821"/>
    <w:rsid w:val="00B557D9"/>
    <w:rsid w:val="00B56650"/>
    <w:rsid w:val="00B6086B"/>
    <w:rsid w:val="00B6129E"/>
    <w:rsid w:val="00B616D5"/>
    <w:rsid w:val="00B6214D"/>
    <w:rsid w:val="00B633BC"/>
    <w:rsid w:val="00B64ABE"/>
    <w:rsid w:val="00B64ABF"/>
    <w:rsid w:val="00B65069"/>
    <w:rsid w:val="00B66A83"/>
    <w:rsid w:val="00B66C75"/>
    <w:rsid w:val="00B70E38"/>
    <w:rsid w:val="00B71170"/>
    <w:rsid w:val="00B71203"/>
    <w:rsid w:val="00B729DC"/>
    <w:rsid w:val="00B74236"/>
    <w:rsid w:val="00B748BA"/>
    <w:rsid w:val="00B74D03"/>
    <w:rsid w:val="00B76214"/>
    <w:rsid w:val="00B80BCE"/>
    <w:rsid w:val="00B81524"/>
    <w:rsid w:val="00B81740"/>
    <w:rsid w:val="00B81750"/>
    <w:rsid w:val="00B83235"/>
    <w:rsid w:val="00B83542"/>
    <w:rsid w:val="00B83DA0"/>
    <w:rsid w:val="00B840E2"/>
    <w:rsid w:val="00B85D7B"/>
    <w:rsid w:val="00B900EA"/>
    <w:rsid w:val="00B91069"/>
    <w:rsid w:val="00B92842"/>
    <w:rsid w:val="00B942DF"/>
    <w:rsid w:val="00B96CB1"/>
    <w:rsid w:val="00BA0686"/>
    <w:rsid w:val="00BA077B"/>
    <w:rsid w:val="00BA08B5"/>
    <w:rsid w:val="00BA2713"/>
    <w:rsid w:val="00BA2941"/>
    <w:rsid w:val="00BA3BE7"/>
    <w:rsid w:val="00BA3C9E"/>
    <w:rsid w:val="00BA44D0"/>
    <w:rsid w:val="00BA4C61"/>
    <w:rsid w:val="00BA51FF"/>
    <w:rsid w:val="00BA604B"/>
    <w:rsid w:val="00BA627A"/>
    <w:rsid w:val="00BB0C36"/>
    <w:rsid w:val="00BB0F22"/>
    <w:rsid w:val="00BB22FA"/>
    <w:rsid w:val="00BB2437"/>
    <w:rsid w:val="00BB2A6F"/>
    <w:rsid w:val="00BB3500"/>
    <w:rsid w:val="00BB4C38"/>
    <w:rsid w:val="00BB58EC"/>
    <w:rsid w:val="00BB5A6F"/>
    <w:rsid w:val="00BB6983"/>
    <w:rsid w:val="00BB6FA8"/>
    <w:rsid w:val="00BB7EB9"/>
    <w:rsid w:val="00BC2010"/>
    <w:rsid w:val="00BC2343"/>
    <w:rsid w:val="00BC269F"/>
    <w:rsid w:val="00BC5CB6"/>
    <w:rsid w:val="00BC7F49"/>
    <w:rsid w:val="00BD12A1"/>
    <w:rsid w:val="00BD1D09"/>
    <w:rsid w:val="00BD5A0D"/>
    <w:rsid w:val="00BD60C4"/>
    <w:rsid w:val="00BD6E78"/>
    <w:rsid w:val="00BD76A0"/>
    <w:rsid w:val="00BD7B83"/>
    <w:rsid w:val="00BE23A2"/>
    <w:rsid w:val="00BE30C8"/>
    <w:rsid w:val="00BE34B7"/>
    <w:rsid w:val="00BE3906"/>
    <w:rsid w:val="00BE5522"/>
    <w:rsid w:val="00BE6592"/>
    <w:rsid w:val="00BE7992"/>
    <w:rsid w:val="00BE7B88"/>
    <w:rsid w:val="00BF1774"/>
    <w:rsid w:val="00BF17C6"/>
    <w:rsid w:val="00BF6F09"/>
    <w:rsid w:val="00C0008F"/>
    <w:rsid w:val="00C00FDA"/>
    <w:rsid w:val="00C0203C"/>
    <w:rsid w:val="00C02EB9"/>
    <w:rsid w:val="00C0373C"/>
    <w:rsid w:val="00C04E4B"/>
    <w:rsid w:val="00C061E2"/>
    <w:rsid w:val="00C062BB"/>
    <w:rsid w:val="00C100EB"/>
    <w:rsid w:val="00C11531"/>
    <w:rsid w:val="00C11B56"/>
    <w:rsid w:val="00C11CBD"/>
    <w:rsid w:val="00C11FD7"/>
    <w:rsid w:val="00C12169"/>
    <w:rsid w:val="00C14C04"/>
    <w:rsid w:val="00C157A9"/>
    <w:rsid w:val="00C16045"/>
    <w:rsid w:val="00C1697F"/>
    <w:rsid w:val="00C21E27"/>
    <w:rsid w:val="00C2332A"/>
    <w:rsid w:val="00C239A6"/>
    <w:rsid w:val="00C24146"/>
    <w:rsid w:val="00C24B14"/>
    <w:rsid w:val="00C31C40"/>
    <w:rsid w:val="00C32285"/>
    <w:rsid w:val="00C339FE"/>
    <w:rsid w:val="00C34FD5"/>
    <w:rsid w:val="00C409D4"/>
    <w:rsid w:val="00C42EA5"/>
    <w:rsid w:val="00C4387E"/>
    <w:rsid w:val="00C44B71"/>
    <w:rsid w:val="00C47812"/>
    <w:rsid w:val="00C47C54"/>
    <w:rsid w:val="00C5073A"/>
    <w:rsid w:val="00C52F0E"/>
    <w:rsid w:val="00C53AD4"/>
    <w:rsid w:val="00C54528"/>
    <w:rsid w:val="00C54776"/>
    <w:rsid w:val="00C569F5"/>
    <w:rsid w:val="00C5755D"/>
    <w:rsid w:val="00C6275A"/>
    <w:rsid w:val="00C62BF5"/>
    <w:rsid w:val="00C6329D"/>
    <w:rsid w:val="00C636DA"/>
    <w:rsid w:val="00C64BDA"/>
    <w:rsid w:val="00C67DAA"/>
    <w:rsid w:val="00C67E22"/>
    <w:rsid w:val="00C7176E"/>
    <w:rsid w:val="00C72271"/>
    <w:rsid w:val="00C7277C"/>
    <w:rsid w:val="00C72A17"/>
    <w:rsid w:val="00C74084"/>
    <w:rsid w:val="00C745C6"/>
    <w:rsid w:val="00C74BD9"/>
    <w:rsid w:val="00C75418"/>
    <w:rsid w:val="00C76D9D"/>
    <w:rsid w:val="00C776F9"/>
    <w:rsid w:val="00C7794D"/>
    <w:rsid w:val="00C807B2"/>
    <w:rsid w:val="00C80B47"/>
    <w:rsid w:val="00C80B55"/>
    <w:rsid w:val="00C81356"/>
    <w:rsid w:val="00C813CD"/>
    <w:rsid w:val="00C81648"/>
    <w:rsid w:val="00C847CA"/>
    <w:rsid w:val="00C8480E"/>
    <w:rsid w:val="00C858D9"/>
    <w:rsid w:val="00C8759A"/>
    <w:rsid w:val="00C87DA0"/>
    <w:rsid w:val="00C90602"/>
    <w:rsid w:val="00C90A5D"/>
    <w:rsid w:val="00C90C4A"/>
    <w:rsid w:val="00C91851"/>
    <w:rsid w:val="00C91E77"/>
    <w:rsid w:val="00CA076F"/>
    <w:rsid w:val="00CA4B50"/>
    <w:rsid w:val="00CA4E4D"/>
    <w:rsid w:val="00CA5D2F"/>
    <w:rsid w:val="00CA65FE"/>
    <w:rsid w:val="00CA6FF9"/>
    <w:rsid w:val="00CB3375"/>
    <w:rsid w:val="00CB4238"/>
    <w:rsid w:val="00CB4471"/>
    <w:rsid w:val="00CB5938"/>
    <w:rsid w:val="00CB5B27"/>
    <w:rsid w:val="00CC1534"/>
    <w:rsid w:val="00CC1A64"/>
    <w:rsid w:val="00CC34EB"/>
    <w:rsid w:val="00CC3E19"/>
    <w:rsid w:val="00CC4BCF"/>
    <w:rsid w:val="00CC66EA"/>
    <w:rsid w:val="00CD3C17"/>
    <w:rsid w:val="00CD7070"/>
    <w:rsid w:val="00CE03DA"/>
    <w:rsid w:val="00CE1F9C"/>
    <w:rsid w:val="00CE2D14"/>
    <w:rsid w:val="00CE2E48"/>
    <w:rsid w:val="00CE55BB"/>
    <w:rsid w:val="00CF0184"/>
    <w:rsid w:val="00CF0E78"/>
    <w:rsid w:val="00CF1EF6"/>
    <w:rsid w:val="00CF28F7"/>
    <w:rsid w:val="00CF3CCE"/>
    <w:rsid w:val="00CF55F6"/>
    <w:rsid w:val="00CF59E0"/>
    <w:rsid w:val="00CF6672"/>
    <w:rsid w:val="00CF69EF"/>
    <w:rsid w:val="00D01829"/>
    <w:rsid w:val="00D021F7"/>
    <w:rsid w:val="00D036F9"/>
    <w:rsid w:val="00D052E8"/>
    <w:rsid w:val="00D053A7"/>
    <w:rsid w:val="00D069C7"/>
    <w:rsid w:val="00D078A2"/>
    <w:rsid w:val="00D1035B"/>
    <w:rsid w:val="00D10A03"/>
    <w:rsid w:val="00D129CD"/>
    <w:rsid w:val="00D13E53"/>
    <w:rsid w:val="00D14739"/>
    <w:rsid w:val="00D14F21"/>
    <w:rsid w:val="00D151D1"/>
    <w:rsid w:val="00D1738C"/>
    <w:rsid w:val="00D1766F"/>
    <w:rsid w:val="00D21123"/>
    <w:rsid w:val="00D23101"/>
    <w:rsid w:val="00D24124"/>
    <w:rsid w:val="00D26BB7"/>
    <w:rsid w:val="00D32278"/>
    <w:rsid w:val="00D367EB"/>
    <w:rsid w:val="00D36C91"/>
    <w:rsid w:val="00D3722C"/>
    <w:rsid w:val="00D37CA0"/>
    <w:rsid w:val="00D41474"/>
    <w:rsid w:val="00D41871"/>
    <w:rsid w:val="00D42C42"/>
    <w:rsid w:val="00D43F36"/>
    <w:rsid w:val="00D45954"/>
    <w:rsid w:val="00D45B1A"/>
    <w:rsid w:val="00D461C2"/>
    <w:rsid w:val="00D503EC"/>
    <w:rsid w:val="00D52238"/>
    <w:rsid w:val="00D545DF"/>
    <w:rsid w:val="00D55594"/>
    <w:rsid w:val="00D57146"/>
    <w:rsid w:val="00D572A8"/>
    <w:rsid w:val="00D61AAE"/>
    <w:rsid w:val="00D63DA3"/>
    <w:rsid w:val="00D64A8C"/>
    <w:rsid w:val="00D64CB8"/>
    <w:rsid w:val="00D664D1"/>
    <w:rsid w:val="00D669D3"/>
    <w:rsid w:val="00D67189"/>
    <w:rsid w:val="00D70AC4"/>
    <w:rsid w:val="00D70DA0"/>
    <w:rsid w:val="00D72353"/>
    <w:rsid w:val="00D72FD8"/>
    <w:rsid w:val="00D732EB"/>
    <w:rsid w:val="00D751B4"/>
    <w:rsid w:val="00D768DC"/>
    <w:rsid w:val="00D81CAC"/>
    <w:rsid w:val="00D82707"/>
    <w:rsid w:val="00D8332F"/>
    <w:rsid w:val="00D83F2B"/>
    <w:rsid w:val="00D8411E"/>
    <w:rsid w:val="00D8445F"/>
    <w:rsid w:val="00D9291F"/>
    <w:rsid w:val="00D92A45"/>
    <w:rsid w:val="00D93BF4"/>
    <w:rsid w:val="00D9697A"/>
    <w:rsid w:val="00DA0548"/>
    <w:rsid w:val="00DA0DDD"/>
    <w:rsid w:val="00DA4623"/>
    <w:rsid w:val="00DA4C48"/>
    <w:rsid w:val="00DA538F"/>
    <w:rsid w:val="00DA727D"/>
    <w:rsid w:val="00DB1EE4"/>
    <w:rsid w:val="00DB34F0"/>
    <w:rsid w:val="00DB53A7"/>
    <w:rsid w:val="00DB548C"/>
    <w:rsid w:val="00DC200D"/>
    <w:rsid w:val="00DC6124"/>
    <w:rsid w:val="00DC6FF5"/>
    <w:rsid w:val="00DD01CB"/>
    <w:rsid w:val="00DD170F"/>
    <w:rsid w:val="00DD23A3"/>
    <w:rsid w:val="00DD5719"/>
    <w:rsid w:val="00DD5731"/>
    <w:rsid w:val="00DD58EA"/>
    <w:rsid w:val="00DD7052"/>
    <w:rsid w:val="00DE0A8A"/>
    <w:rsid w:val="00DE1DB1"/>
    <w:rsid w:val="00DE2291"/>
    <w:rsid w:val="00DE2EB7"/>
    <w:rsid w:val="00DF139C"/>
    <w:rsid w:val="00DF1EAB"/>
    <w:rsid w:val="00DF2234"/>
    <w:rsid w:val="00DF2D14"/>
    <w:rsid w:val="00DF3F03"/>
    <w:rsid w:val="00DF43F0"/>
    <w:rsid w:val="00DF52C5"/>
    <w:rsid w:val="00DF68E4"/>
    <w:rsid w:val="00DF6E54"/>
    <w:rsid w:val="00E00F93"/>
    <w:rsid w:val="00E01C4C"/>
    <w:rsid w:val="00E0364B"/>
    <w:rsid w:val="00E04228"/>
    <w:rsid w:val="00E04457"/>
    <w:rsid w:val="00E04BBC"/>
    <w:rsid w:val="00E05214"/>
    <w:rsid w:val="00E0592C"/>
    <w:rsid w:val="00E06314"/>
    <w:rsid w:val="00E0762E"/>
    <w:rsid w:val="00E10450"/>
    <w:rsid w:val="00E1120A"/>
    <w:rsid w:val="00E1222B"/>
    <w:rsid w:val="00E133E1"/>
    <w:rsid w:val="00E13A84"/>
    <w:rsid w:val="00E13B28"/>
    <w:rsid w:val="00E1478E"/>
    <w:rsid w:val="00E157DD"/>
    <w:rsid w:val="00E159D7"/>
    <w:rsid w:val="00E20858"/>
    <w:rsid w:val="00E213AB"/>
    <w:rsid w:val="00E21653"/>
    <w:rsid w:val="00E21C9B"/>
    <w:rsid w:val="00E2245E"/>
    <w:rsid w:val="00E2339A"/>
    <w:rsid w:val="00E23E8E"/>
    <w:rsid w:val="00E2414E"/>
    <w:rsid w:val="00E26830"/>
    <w:rsid w:val="00E26FAF"/>
    <w:rsid w:val="00E27FEC"/>
    <w:rsid w:val="00E3100C"/>
    <w:rsid w:val="00E31380"/>
    <w:rsid w:val="00E31946"/>
    <w:rsid w:val="00E31AE8"/>
    <w:rsid w:val="00E3285B"/>
    <w:rsid w:val="00E40B36"/>
    <w:rsid w:val="00E430BC"/>
    <w:rsid w:val="00E44E96"/>
    <w:rsid w:val="00E459F4"/>
    <w:rsid w:val="00E504A3"/>
    <w:rsid w:val="00E51672"/>
    <w:rsid w:val="00E522FC"/>
    <w:rsid w:val="00E52788"/>
    <w:rsid w:val="00E52B91"/>
    <w:rsid w:val="00E544D0"/>
    <w:rsid w:val="00E54EF8"/>
    <w:rsid w:val="00E55EE5"/>
    <w:rsid w:val="00E5603E"/>
    <w:rsid w:val="00E56542"/>
    <w:rsid w:val="00E573F2"/>
    <w:rsid w:val="00E61222"/>
    <w:rsid w:val="00E61485"/>
    <w:rsid w:val="00E61784"/>
    <w:rsid w:val="00E618AD"/>
    <w:rsid w:val="00E61EDB"/>
    <w:rsid w:val="00E6249C"/>
    <w:rsid w:val="00E625B3"/>
    <w:rsid w:val="00E64743"/>
    <w:rsid w:val="00E70B0F"/>
    <w:rsid w:val="00E7257D"/>
    <w:rsid w:val="00E72810"/>
    <w:rsid w:val="00E728CB"/>
    <w:rsid w:val="00E7336F"/>
    <w:rsid w:val="00E73F7B"/>
    <w:rsid w:val="00E74F3B"/>
    <w:rsid w:val="00E751D6"/>
    <w:rsid w:val="00E76262"/>
    <w:rsid w:val="00E80D1F"/>
    <w:rsid w:val="00E83D2F"/>
    <w:rsid w:val="00E84A6B"/>
    <w:rsid w:val="00E857D4"/>
    <w:rsid w:val="00E910A2"/>
    <w:rsid w:val="00E92385"/>
    <w:rsid w:val="00E931B7"/>
    <w:rsid w:val="00E93F74"/>
    <w:rsid w:val="00E96D9E"/>
    <w:rsid w:val="00E96DEA"/>
    <w:rsid w:val="00EA04B2"/>
    <w:rsid w:val="00EA1585"/>
    <w:rsid w:val="00EA1D98"/>
    <w:rsid w:val="00EA287C"/>
    <w:rsid w:val="00EA48AE"/>
    <w:rsid w:val="00EA4E5B"/>
    <w:rsid w:val="00EA5639"/>
    <w:rsid w:val="00EA6559"/>
    <w:rsid w:val="00EA6B0C"/>
    <w:rsid w:val="00EB0697"/>
    <w:rsid w:val="00EB09E2"/>
    <w:rsid w:val="00EB14B0"/>
    <w:rsid w:val="00EB51DD"/>
    <w:rsid w:val="00EB74A5"/>
    <w:rsid w:val="00EC0B43"/>
    <w:rsid w:val="00EC1928"/>
    <w:rsid w:val="00EC3AC2"/>
    <w:rsid w:val="00EC4983"/>
    <w:rsid w:val="00EC5896"/>
    <w:rsid w:val="00EC5CAF"/>
    <w:rsid w:val="00EC690B"/>
    <w:rsid w:val="00ED3CD3"/>
    <w:rsid w:val="00EE0126"/>
    <w:rsid w:val="00EE47FE"/>
    <w:rsid w:val="00EE50C6"/>
    <w:rsid w:val="00EE5DCA"/>
    <w:rsid w:val="00EE70EE"/>
    <w:rsid w:val="00EE766D"/>
    <w:rsid w:val="00EF0464"/>
    <w:rsid w:val="00EF0479"/>
    <w:rsid w:val="00EF2A15"/>
    <w:rsid w:val="00EF2F46"/>
    <w:rsid w:val="00EF34A8"/>
    <w:rsid w:val="00EF3BD4"/>
    <w:rsid w:val="00EF3CA4"/>
    <w:rsid w:val="00EF4AFB"/>
    <w:rsid w:val="00EF5BFD"/>
    <w:rsid w:val="00F00167"/>
    <w:rsid w:val="00F00470"/>
    <w:rsid w:val="00F0050A"/>
    <w:rsid w:val="00F009E5"/>
    <w:rsid w:val="00F00ABF"/>
    <w:rsid w:val="00F0176E"/>
    <w:rsid w:val="00F01C6F"/>
    <w:rsid w:val="00F0509B"/>
    <w:rsid w:val="00F05368"/>
    <w:rsid w:val="00F06175"/>
    <w:rsid w:val="00F0639C"/>
    <w:rsid w:val="00F06EE2"/>
    <w:rsid w:val="00F074DC"/>
    <w:rsid w:val="00F113B9"/>
    <w:rsid w:val="00F1144D"/>
    <w:rsid w:val="00F131E8"/>
    <w:rsid w:val="00F137FB"/>
    <w:rsid w:val="00F153F3"/>
    <w:rsid w:val="00F15632"/>
    <w:rsid w:val="00F17535"/>
    <w:rsid w:val="00F218D4"/>
    <w:rsid w:val="00F24F8F"/>
    <w:rsid w:val="00F2671A"/>
    <w:rsid w:val="00F30097"/>
    <w:rsid w:val="00F303B2"/>
    <w:rsid w:val="00F307E0"/>
    <w:rsid w:val="00F30E56"/>
    <w:rsid w:val="00F31637"/>
    <w:rsid w:val="00F32A80"/>
    <w:rsid w:val="00F33A5E"/>
    <w:rsid w:val="00F33C38"/>
    <w:rsid w:val="00F34A78"/>
    <w:rsid w:val="00F34AE0"/>
    <w:rsid w:val="00F34D63"/>
    <w:rsid w:val="00F366D7"/>
    <w:rsid w:val="00F43502"/>
    <w:rsid w:val="00F442CF"/>
    <w:rsid w:val="00F44691"/>
    <w:rsid w:val="00F447AE"/>
    <w:rsid w:val="00F45088"/>
    <w:rsid w:val="00F474D6"/>
    <w:rsid w:val="00F521D0"/>
    <w:rsid w:val="00F54CDA"/>
    <w:rsid w:val="00F551E9"/>
    <w:rsid w:val="00F55631"/>
    <w:rsid w:val="00F57F7A"/>
    <w:rsid w:val="00F6111E"/>
    <w:rsid w:val="00F61362"/>
    <w:rsid w:val="00F61B32"/>
    <w:rsid w:val="00F62D33"/>
    <w:rsid w:val="00F64A41"/>
    <w:rsid w:val="00F6528E"/>
    <w:rsid w:val="00F6570B"/>
    <w:rsid w:val="00F65BDC"/>
    <w:rsid w:val="00F67615"/>
    <w:rsid w:val="00F7247C"/>
    <w:rsid w:val="00F75106"/>
    <w:rsid w:val="00F76C98"/>
    <w:rsid w:val="00F804CD"/>
    <w:rsid w:val="00F80750"/>
    <w:rsid w:val="00F80D8F"/>
    <w:rsid w:val="00F813C8"/>
    <w:rsid w:val="00F8263E"/>
    <w:rsid w:val="00F82AC2"/>
    <w:rsid w:val="00F8588A"/>
    <w:rsid w:val="00F85F59"/>
    <w:rsid w:val="00F86538"/>
    <w:rsid w:val="00F86717"/>
    <w:rsid w:val="00F86DD4"/>
    <w:rsid w:val="00F87DB3"/>
    <w:rsid w:val="00F87E82"/>
    <w:rsid w:val="00F90071"/>
    <w:rsid w:val="00F91AA4"/>
    <w:rsid w:val="00F93395"/>
    <w:rsid w:val="00F963D4"/>
    <w:rsid w:val="00F97C7A"/>
    <w:rsid w:val="00FA1657"/>
    <w:rsid w:val="00FA1EA8"/>
    <w:rsid w:val="00FA232B"/>
    <w:rsid w:val="00FA2909"/>
    <w:rsid w:val="00FA3CEC"/>
    <w:rsid w:val="00FA5E7A"/>
    <w:rsid w:val="00FA5FC5"/>
    <w:rsid w:val="00FA7133"/>
    <w:rsid w:val="00FB05F3"/>
    <w:rsid w:val="00FB0C12"/>
    <w:rsid w:val="00FB1412"/>
    <w:rsid w:val="00FB1C57"/>
    <w:rsid w:val="00FB360A"/>
    <w:rsid w:val="00FB39D5"/>
    <w:rsid w:val="00FB40BD"/>
    <w:rsid w:val="00FB4CF2"/>
    <w:rsid w:val="00FB5096"/>
    <w:rsid w:val="00FB5AAA"/>
    <w:rsid w:val="00FB5F02"/>
    <w:rsid w:val="00FB78C5"/>
    <w:rsid w:val="00FC14DE"/>
    <w:rsid w:val="00FC2BD9"/>
    <w:rsid w:val="00FC2CE5"/>
    <w:rsid w:val="00FC34BA"/>
    <w:rsid w:val="00FC398C"/>
    <w:rsid w:val="00FC4341"/>
    <w:rsid w:val="00FC4845"/>
    <w:rsid w:val="00FC4E28"/>
    <w:rsid w:val="00FC601B"/>
    <w:rsid w:val="00FC6B03"/>
    <w:rsid w:val="00FD05C9"/>
    <w:rsid w:val="00FD06D5"/>
    <w:rsid w:val="00FD28FF"/>
    <w:rsid w:val="00FD2B7D"/>
    <w:rsid w:val="00FD2E6B"/>
    <w:rsid w:val="00FD2EF5"/>
    <w:rsid w:val="00FD59A6"/>
    <w:rsid w:val="00FD68A1"/>
    <w:rsid w:val="00FD7259"/>
    <w:rsid w:val="00FD72B7"/>
    <w:rsid w:val="00FE110C"/>
    <w:rsid w:val="00FE2332"/>
    <w:rsid w:val="00FE419E"/>
    <w:rsid w:val="00FE653A"/>
    <w:rsid w:val="00FE7240"/>
    <w:rsid w:val="00FF2484"/>
    <w:rsid w:val="00FF4201"/>
    <w:rsid w:val="00FF482E"/>
    <w:rsid w:val="00FF588E"/>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58A3D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DIN OT" w:eastAsiaTheme="minorHAnsi" w:hAnsi="DIN OT" w:cstheme="minorBidi"/>
        <w:color w:val="000000"/>
        <w:sz w:val="22"/>
        <w:szCs w:val="22"/>
        <w:lang w:val="en-AU" w:eastAsia="en-US" w:bidi="ar-SA"/>
      </w:rPr>
    </w:rPrDefault>
    <w:pPrDefault>
      <w:pPr>
        <w:spacing w:after="240"/>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locked="0" w:uiPriority="9" w:qFormat="1"/>
    <w:lsdException w:name="heading 5" w:locked="0" w:uiPriority="9" w:unhideWhenUsed="0" w:qFormat="1"/>
    <w:lsdException w:name="heading 6" w:locked="0" w:uiPriority="9" w:qFormat="1"/>
    <w:lsdException w:name="heading 7" w:locked="0" w:uiPriority="9" w:qFormat="1"/>
    <w:lsdException w:name="heading 8" w:locked="0" w:uiPriority="9" w:qFormat="1"/>
    <w:lsdException w:name="heading 9" w:locked="0" w:uiPriority="9" w:qFormat="1"/>
    <w:lsdException w:name="toc 1" w:semiHidden="0" w:uiPriority="39"/>
    <w:lsdException w:name="toc 2" w:uiPriority="39"/>
    <w:lsdException w:name="toc 3" w:uiPriority="39"/>
    <w:lsdException w:name="toc 4" w:locked="0" w:uiPriority="39"/>
    <w:lsdException w:name="toc 5" w:locked="0" w:uiPriority="39"/>
    <w:lsdException w:name="toc 6" w:locked="0" w:uiPriority="39"/>
    <w:lsdException w:name="toc 7" w:uiPriority="39"/>
    <w:lsdException w:name="toc 8" w:uiPriority="39"/>
    <w:lsdException w:name="toc 9" w:uiPriority="39"/>
    <w:lsdException w:name="footnote text" w:locked="0" w:semiHidden="0"/>
    <w:lsdException w:name="header" w:locked="0" w:semiHidden="0"/>
    <w:lsdException w:name="footer" w:locked="0" w:semiHidden="0"/>
    <w:lsdException w:name="caption" w:semiHidden="0" w:uiPriority="34" w:qFormat="1"/>
    <w:lsdException w:name="footnote reference" w:locked="0" w:semiHidden="0" w:qFormat="1"/>
    <w:lsdException w:name="endnote reference" w:locked="0" w:semiHidden="0"/>
    <w:lsdException w:name="endnote text" w:locked="0" w:semiHidden="0"/>
    <w:lsdException w:name="List" w:uiPriority="17" w:qFormat="1"/>
    <w:lsdException w:name="List Bullet" w:semiHidden="0" w:uiPriority="12" w:qFormat="1"/>
    <w:lsdException w:name="List Number" w:semiHidden="0" w:uiPriority="15" w:unhideWhenUsed="0" w:qFormat="1"/>
    <w:lsdException w:name="List 2" w:uiPriority="17" w:qFormat="1"/>
    <w:lsdException w:name="List 3" w:uiPriority="17" w:qFormat="1"/>
    <w:lsdException w:name="List Bullet 2" w:semiHidden="0" w:uiPriority="12" w:qFormat="1"/>
    <w:lsdException w:name="List Bullet 3" w:semiHidden="0" w:uiPriority="12" w:qFormat="1"/>
    <w:lsdException w:name="List Bullet 4" w:unhideWhenUsed="0" w:qFormat="1"/>
    <w:lsdException w:name="List Number 2" w:semiHidden="0" w:uiPriority="16" w:qFormat="1"/>
    <w:lsdException w:name="List Number 3" w:semiHidden="0" w:uiPriority="16" w:qFormat="1"/>
    <w:lsdException w:name="List Number 4" w:semiHidden="0" w:uiPriority="16" w:qFormat="1"/>
    <w:lsdException w:name="Title" w:semiHidden="0" w:uiPriority="31" w:unhideWhenUsed="0"/>
    <w:lsdException w:name="Signature" w:uiPriority="29"/>
    <w:lsdException w:name="Default Paragraph Font" w:locked="0" w:uiPriority="1"/>
    <w:lsdException w:name="Subtitle" w:uiPriority="11" w:qFormat="1"/>
    <w:lsdException w:name="Date" w:uiPriority="29" w:qFormat="1"/>
    <w:lsdException w:name="Hyperlink" w:locked="0"/>
    <w:lsdException w:name="FollowedHyperlink" w:locked="0" w:semiHidden="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uiPriority="20"/>
    <w:lsdException w:name="Normal Table" w:locked="0" w:semiHidden="0" w:unhideWhenUsed="0"/>
    <w:lsdException w:name="No List" w:locked="0"/>
    <w:lsdException w:name="Outline List 1" w:locked="0"/>
    <w:lsdException w:name="Outline List 3" w:locked="0"/>
    <w:lsdException w:name="Table Subtle 2" w:semiHidden="0" w:unhideWhenUsed="0"/>
    <w:lsdException w:name="Table Web 3" w:semiHidden="0" w:unhideWhenUsed="0"/>
    <w:lsdException w:name="Table Grid" w:semiHidden="0" w:uiPriority="59" w:unhideWhenUsed="0"/>
    <w:lsdException w:name="No Spacing" w:locked="0"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17" w:unhideWhenUsed="0" w:qFormat="1"/>
    <w:lsdException w:name="Quote" w:semiHidden="0" w:uiPriority="1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192"/>
    <w:pPr>
      <w:numPr>
        <w:numId w:val="5"/>
      </w:numPr>
    </w:pPr>
    <w:rPr>
      <w:rFonts w:ascii="DIN OT Light" w:hAnsi="DIN OT Light"/>
    </w:rPr>
  </w:style>
  <w:style w:type="paragraph" w:styleId="Heading1">
    <w:name w:val="heading 1"/>
    <w:basedOn w:val="Normal"/>
    <w:next w:val="Normal"/>
    <w:link w:val="Heading1Char"/>
    <w:uiPriority w:val="9"/>
    <w:qFormat/>
    <w:rsid w:val="00BB2437"/>
    <w:pPr>
      <w:keepNext/>
      <w:keepLines/>
      <w:pageBreakBefore/>
      <w:numPr>
        <w:numId w:val="0"/>
      </w:numPr>
      <w:pBdr>
        <w:bottom w:val="single" w:sz="4" w:space="3" w:color="BFBFBF" w:themeColor="background1" w:themeShade="BF"/>
      </w:pBdr>
      <w:spacing w:after="480"/>
      <w:outlineLvl w:val="0"/>
    </w:pPr>
    <w:rPr>
      <w:rFonts w:ascii="DIN OT Medium" w:eastAsiaTheme="majorEastAsia" w:hAnsi="DIN OT Medium" w:cstheme="majorBidi"/>
      <w:bCs/>
      <w:color w:val="012169" w:themeColor="text2"/>
      <w:sz w:val="48"/>
      <w:szCs w:val="28"/>
    </w:rPr>
  </w:style>
  <w:style w:type="paragraph" w:styleId="Heading2">
    <w:name w:val="heading 2"/>
    <w:basedOn w:val="Normal"/>
    <w:next w:val="Normal"/>
    <w:link w:val="Heading2Char"/>
    <w:uiPriority w:val="9"/>
    <w:qFormat/>
    <w:rsid w:val="00F61362"/>
    <w:pPr>
      <w:keepNext/>
      <w:keepLines/>
      <w:numPr>
        <w:numId w:val="0"/>
      </w:numPr>
      <w:spacing w:before="320"/>
      <w:outlineLvl w:val="1"/>
    </w:pPr>
    <w:rPr>
      <w:rFonts w:ascii="DIN OT Medium" w:eastAsiaTheme="majorEastAsia" w:hAnsi="DIN OT Medium" w:cstheme="majorBidi"/>
      <w:bCs/>
      <w:color w:val="012169" w:themeColor="text2"/>
      <w:sz w:val="30"/>
      <w:szCs w:val="26"/>
    </w:rPr>
  </w:style>
  <w:style w:type="paragraph" w:styleId="Heading3">
    <w:name w:val="heading 3"/>
    <w:basedOn w:val="Normal"/>
    <w:next w:val="Normal"/>
    <w:link w:val="Heading3Char"/>
    <w:uiPriority w:val="9"/>
    <w:qFormat/>
    <w:rsid w:val="007568F8"/>
    <w:pPr>
      <w:keepNext/>
      <w:keepLines/>
      <w:numPr>
        <w:numId w:val="0"/>
      </w:numPr>
      <w:spacing w:before="280" w:after="120"/>
      <w:outlineLvl w:val="2"/>
    </w:pPr>
    <w:rPr>
      <w:rFonts w:ascii="DIN OT Medium" w:eastAsiaTheme="majorEastAsia" w:hAnsi="DIN OT Medium" w:cstheme="majorBidi"/>
      <w:bCs/>
      <w:color w:val="012169" w:themeColor="text2"/>
      <w:sz w:val="26"/>
    </w:rPr>
  </w:style>
  <w:style w:type="paragraph" w:styleId="Heading4">
    <w:name w:val="heading 4"/>
    <w:basedOn w:val="Normal"/>
    <w:next w:val="Normal"/>
    <w:link w:val="Heading4Char"/>
    <w:uiPriority w:val="9"/>
    <w:qFormat/>
    <w:rsid w:val="0016272E"/>
    <w:pPr>
      <w:keepNext/>
      <w:keepLines/>
      <w:numPr>
        <w:numId w:val="0"/>
      </w:numPr>
      <w:spacing w:before="240" w:after="120"/>
      <w:outlineLvl w:val="3"/>
    </w:pPr>
    <w:rPr>
      <w:rFonts w:ascii="DIN OT Medium" w:eastAsiaTheme="majorEastAsia" w:hAnsi="DIN OT Medium" w:cstheme="majorBidi"/>
      <w:bCs/>
      <w:i/>
      <w:iCs/>
      <w:color w:val="012169" w:themeColor="text2"/>
      <w:sz w:val="26"/>
    </w:rPr>
  </w:style>
  <w:style w:type="paragraph" w:styleId="Heading5">
    <w:name w:val="heading 5"/>
    <w:basedOn w:val="Normal"/>
    <w:next w:val="Normal"/>
    <w:link w:val="Heading5Char"/>
    <w:uiPriority w:val="9"/>
    <w:qFormat/>
    <w:rsid w:val="006C6C47"/>
    <w:pPr>
      <w:keepNext/>
      <w:keepLines/>
      <w:numPr>
        <w:numId w:val="0"/>
      </w:numPr>
      <w:spacing w:before="240" w:after="60"/>
      <w:outlineLvl w:val="4"/>
    </w:pPr>
    <w:rPr>
      <w:rFonts w:ascii="DIN OT Medium" w:eastAsiaTheme="majorEastAsia" w:hAnsi="DIN OT Medium" w:cstheme="majorBidi"/>
      <w:color w:val="000000" w:themeColor="text1"/>
    </w:rPr>
  </w:style>
  <w:style w:type="paragraph" w:styleId="Heading6">
    <w:name w:val="heading 6"/>
    <w:basedOn w:val="Normal"/>
    <w:next w:val="Normal"/>
    <w:link w:val="Heading6Char"/>
    <w:uiPriority w:val="9"/>
    <w:semiHidden/>
    <w:qFormat/>
    <w:rsid w:val="00BB6983"/>
    <w:pPr>
      <w:keepNext/>
      <w:keepLines/>
      <w:numPr>
        <w:numId w:val="0"/>
      </w:numPr>
      <w:spacing w:after="120" w:line="288" w:lineRule="auto"/>
      <w:outlineLvl w:val="5"/>
    </w:pPr>
    <w:rPr>
      <w:rFonts w:ascii="DIN Offc Medium" w:eastAsiaTheme="majorEastAsia" w:hAnsi="DIN Offc Medium" w:cstheme="majorBidi"/>
      <w:i/>
      <w:iCs/>
      <w:color w:val="012169" w:themeColor="text2"/>
    </w:rPr>
  </w:style>
  <w:style w:type="paragraph" w:styleId="Heading7">
    <w:name w:val="heading 7"/>
    <w:basedOn w:val="Normal"/>
    <w:next w:val="Normal"/>
    <w:link w:val="Heading7Char"/>
    <w:uiPriority w:val="9"/>
    <w:semiHidden/>
    <w:qFormat/>
    <w:rsid w:val="00BB6983"/>
    <w:pPr>
      <w:keepNext/>
      <w:keepLines/>
      <w:numPr>
        <w:numId w:val="0"/>
      </w:numPr>
      <w:spacing w:after="120" w:line="288" w:lineRule="auto"/>
      <w:outlineLvl w:val="6"/>
    </w:pPr>
    <w:rPr>
      <w:rFonts w:ascii="DIN Offc Medium" w:eastAsiaTheme="majorEastAsia" w:hAnsi="DIN Offc Medium" w:cstheme="majorBidi"/>
      <w:i/>
      <w:iCs/>
      <w:color w:val="012169" w:themeColor="text2"/>
    </w:rPr>
  </w:style>
  <w:style w:type="paragraph" w:styleId="Heading8">
    <w:name w:val="heading 8"/>
    <w:basedOn w:val="Normal"/>
    <w:next w:val="Normal"/>
    <w:link w:val="Heading8Char"/>
    <w:uiPriority w:val="9"/>
    <w:semiHidden/>
    <w:qFormat/>
    <w:rsid w:val="00BB6983"/>
    <w:pPr>
      <w:keepNext/>
      <w:keepLines/>
      <w:numPr>
        <w:numId w:val="0"/>
      </w:numPr>
      <w:spacing w:after="120" w:line="288" w:lineRule="auto"/>
      <w:outlineLvl w:val="7"/>
    </w:pPr>
    <w:rPr>
      <w:rFonts w:ascii="DIN Offc Medium" w:eastAsiaTheme="majorEastAsia" w:hAnsi="DIN Offc Medium" w:cstheme="majorBidi"/>
      <w:i/>
      <w:color w:val="012169" w:themeColor="text2"/>
    </w:rPr>
  </w:style>
  <w:style w:type="paragraph" w:styleId="Heading9">
    <w:name w:val="heading 9"/>
    <w:basedOn w:val="Normal"/>
    <w:next w:val="Normal"/>
    <w:link w:val="Heading9Char"/>
    <w:uiPriority w:val="9"/>
    <w:semiHidden/>
    <w:qFormat/>
    <w:rsid w:val="00BB6983"/>
    <w:pPr>
      <w:keepNext/>
      <w:keepLines/>
      <w:numPr>
        <w:numId w:val="0"/>
      </w:numPr>
      <w:spacing w:after="120" w:line="288" w:lineRule="auto"/>
      <w:outlineLvl w:val="8"/>
    </w:pPr>
    <w:rPr>
      <w:rFonts w:ascii="DIN Offc Medium" w:eastAsiaTheme="majorEastAsia" w:hAnsi="DIN Offc Medium" w:cstheme="majorBidi"/>
      <w:i/>
      <w:iCs/>
      <w:color w:val="012169"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437"/>
    <w:rPr>
      <w:rFonts w:ascii="DIN OT Medium" w:eastAsiaTheme="majorEastAsia" w:hAnsi="DIN OT Medium" w:cstheme="majorBidi"/>
      <w:bCs/>
      <w:color w:val="012169" w:themeColor="text2"/>
      <w:sz w:val="48"/>
      <w:szCs w:val="28"/>
    </w:rPr>
  </w:style>
  <w:style w:type="character" w:customStyle="1" w:styleId="Heading2Char">
    <w:name w:val="Heading 2 Char"/>
    <w:basedOn w:val="DefaultParagraphFont"/>
    <w:link w:val="Heading2"/>
    <w:uiPriority w:val="9"/>
    <w:rsid w:val="00F61362"/>
    <w:rPr>
      <w:rFonts w:ascii="DIN OT Medium" w:eastAsiaTheme="majorEastAsia" w:hAnsi="DIN OT Medium" w:cstheme="majorBidi"/>
      <w:bCs/>
      <w:color w:val="012169" w:themeColor="text2"/>
      <w:sz w:val="30"/>
      <w:szCs w:val="26"/>
    </w:rPr>
  </w:style>
  <w:style w:type="character" w:customStyle="1" w:styleId="Heading3Char">
    <w:name w:val="Heading 3 Char"/>
    <w:basedOn w:val="DefaultParagraphFont"/>
    <w:link w:val="Heading3"/>
    <w:uiPriority w:val="9"/>
    <w:rsid w:val="007568F8"/>
    <w:rPr>
      <w:rFonts w:ascii="DIN OT Medium" w:eastAsiaTheme="majorEastAsia" w:hAnsi="DIN OT Medium" w:cstheme="majorBidi"/>
      <w:bCs/>
      <w:color w:val="012169" w:themeColor="text2"/>
      <w:sz w:val="26"/>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AD393D"/>
    <w:pPr>
      <w:keepNext/>
      <w:keepLines/>
      <w:numPr>
        <w:numId w:val="0"/>
      </w:numPr>
      <w:spacing w:before="240" w:after="120"/>
    </w:pPr>
    <w:rPr>
      <w:rFonts w:ascii="DIN OT Medium" w:hAnsi="DIN OT Medium"/>
      <w:color w:val="012169" w:themeColor="text2"/>
      <w:sz w:val="26"/>
    </w:rPr>
  </w:style>
  <w:style w:type="character" w:customStyle="1" w:styleId="Heading4Char">
    <w:name w:val="Heading 4 Char"/>
    <w:basedOn w:val="DefaultParagraphFont"/>
    <w:link w:val="Heading4"/>
    <w:uiPriority w:val="9"/>
    <w:rsid w:val="0016272E"/>
    <w:rPr>
      <w:rFonts w:ascii="DIN OT Medium" w:eastAsiaTheme="majorEastAsia" w:hAnsi="DIN OT Medium" w:cstheme="majorBidi"/>
      <w:bCs/>
      <w:i/>
      <w:iCs/>
      <w:color w:val="012169" w:themeColor="text2"/>
      <w:sz w:val="26"/>
    </w:rPr>
  </w:style>
  <w:style w:type="paragraph" w:styleId="ListBullet">
    <w:name w:val="List Bullet"/>
    <w:basedOn w:val="Normal"/>
    <w:uiPriority w:val="12"/>
    <w:qFormat/>
    <w:rsid w:val="00641EAA"/>
    <w:pPr>
      <w:numPr>
        <w:numId w:val="8"/>
      </w:numPr>
    </w:pPr>
  </w:style>
  <w:style w:type="paragraph" w:styleId="ListBullet2">
    <w:name w:val="List Bullet 2"/>
    <w:basedOn w:val="ListBullet"/>
    <w:uiPriority w:val="12"/>
    <w:qFormat/>
    <w:rsid w:val="00641EAA"/>
    <w:pPr>
      <w:numPr>
        <w:ilvl w:val="1"/>
      </w:numPr>
    </w:pPr>
  </w:style>
  <w:style w:type="paragraph" w:styleId="ListNumber">
    <w:name w:val="List Number"/>
    <w:basedOn w:val="Normal"/>
    <w:uiPriority w:val="15"/>
    <w:qFormat/>
    <w:rsid w:val="00662E28"/>
    <w:pPr>
      <w:numPr>
        <w:numId w:val="14"/>
      </w:numPr>
    </w:pPr>
  </w:style>
  <w:style w:type="paragraph" w:styleId="ListNumber2">
    <w:name w:val="List Number 2"/>
    <w:basedOn w:val="Normal"/>
    <w:uiPriority w:val="16"/>
    <w:qFormat/>
    <w:rsid w:val="00662E28"/>
    <w:pPr>
      <w:numPr>
        <w:ilvl w:val="1"/>
        <w:numId w:val="14"/>
      </w:numPr>
    </w:pPr>
  </w:style>
  <w:style w:type="numbering" w:customStyle="1" w:styleId="HeadingList">
    <w:name w:val="Heading List"/>
    <w:uiPriority w:val="99"/>
    <w:rsid w:val="001241CB"/>
  </w:style>
  <w:style w:type="paragraph" w:styleId="ListNumber3">
    <w:name w:val="List Number 3"/>
    <w:basedOn w:val="Normal"/>
    <w:uiPriority w:val="16"/>
    <w:qFormat/>
    <w:rsid w:val="00662E28"/>
    <w:pPr>
      <w:numPr>
        <w:ilvl w:val="2"/>
        <w:numId w:val="14"/>
      </w:numPr>
    </w:pPr>
  </w:style>
  <w:style w:type="paragraph" w:styleId="Title">
    <w:name w:val="Title"/>
    <w:basedOn w:val="Normal"/>
    <w:next w:val="Normal"/>
    <w:link w:val="TitleChar"/>
    <w:uiPriority w:val="31"/>
    <w:rsid w:val="00DD5719"/>
    <w:pPr>
      <w:numPr>
        <w:numId w:val="0"/>
      </w:numPr>
      <w:pBdr>
        <w:bottom w:val="single" w:sz="24" w:space="10" w:color="012169" w:themeColor="accent1"/>
      </w:pBdr>
      <w:spacing w:after="0" w:line="192" w:lineRule="auto"/>
      <w:ind w:right="567"/>
    </w:pPr>
    <w:rPr>
      <w:rFonts w:ascii="DIN OT Medium" w:eastAsiaTheme="majorEastAsia" w:hAnsi="DIN OT Medium" w:cstheme="majorBidi"/>
      <w:caps/>
      <w:color w:val="012169" w:themeColor="text2"/>
      <w:sz w:val="80"/>
      <w:szCs w:val="52"/>
    </w:rPr>
  </w:style>
  <w:style w:type="character" w:customStyle="1" w:styleId="TitleChar">
    <w:name w:val="Title Char"/>
    <w:basedOn w:val="DefaultParagraphFont"/>
    <w:link w:val="Title"/>
    <w:uiPriority w:val="31"/>
    <w:rsid w:val="000E3427"/>
    <w:rPr>
      <w:rFonts w:ascii="DIN OT Medium" w:eastAsiaTheme="majorEastAsia" w:hAnsi="DIN OT Medium" w:cstheme="majorBidi"/>
      <w:caps/>
      <w:color w:val="012169" w:themeColor="text2"/>
      <w:sz w:val="80"/>
      <w:szCs w:val="52"/>
    </w:rPr>
  </w:style>
  <w:style w:type="numbering" w:styleId="111111">
    <w:name w:val="Outline List 2"/>
    <w:basedOn w:val="NoList"/>
    <w:uiPriority w:val="99"/>
    <w:semiHidden/>
    <w:unhideWhenUsed/>
    <w:locked/>
    <w:rsid w:val="00466648"/>
  </w:style>
  <w:style w:type="paragraph" w:styleId="TOC1">
    <w:name w:val="toc 1"/>
    <w:basedOn w:val="Normal"/>
    <w:next w:val="Normal"/>
    <w:autoRedefine/>
    <w:uiPriority w:val="39"/>
    <w:unhideWhenUsed/>
    <w:rsid w:val="008071C6"/>
    <w:pPr>
      <w:numPr>
        <w:numId w:val="0"/>
      </w:numPr>
      <w:tabs>
        <w:tab w:val="right" w:pos="9027"/>
      </w:tabs>
    </w:pPr>
    <w:rPr>
      <w:rFonts w:ascii="DIN OT Medium" w:hAnsi="DIN OT Medium"/>
    </w:rPr>
  </w:style>
  <w:style w:type="paragraph" w:styleId="TOCHeading">
    <w:name w:val="TOC Heading"/>
    <w:basedOn w:val="Heading1"/>
    <w:next w:val="Normal"/>
    <w:uiPriority w:val="39"/>
    <w:unhideWhenUsed/>
    <w:qFormat/>
    <w:rsid w:val="00616C90"/>
    <w:pPr>
      <w:outlineLvl w:val="9"/>
    </w:pPr>
  </w:style>
  <w:style w:type="paragraph" w:styleId="Footer">
    <w:name w:val="footer"/>
    <w:basedOn w:val="Normal"/>
    <w:link w:val="FooterChar"/>
    <w:uiPriority w:val="99"/>
    <w:rsid w:val="00EE70EE"/>
    <w:pPr>
      <w:numPr>
        <w:numId w:val="0"/>
      </w:numPr>
      <w:tabs>
        <w:tab w:val="right" w:pos="9639"/>
      </w:tabs>
      <w:spacing w:after="0" w:line="200" w:lineRule="exact"/>
      <w:contextualSpacing/>
    </w:pPr>
    <w:rPr>
      <w:caps/>
      <w:sz w:val="16"/>
    </w:rPr>
  </w:style>
  <w:style w:type="character" w:customStyle="1" w:styleId="FooterChar">
    <w:name w:val="Footer Char"/>
    <w:basedOn w:val="DefaultParagraphFont"/>
    <w:link w:val="Footer"/>
    <w:uiPriority w:val="99"/>
    <w:rsid w:val="00EE70EE"/>
    <w:rPr>
      <w:rFonts w:ascii="DIN OT Light" w:hAnsi="DIN OT Light"/>
      <w:caps/>
      <w:sz w:val="16"/>
    </w:rPr>
  </w:style>
  <w:style w:type="paragraph" w:styleId="ListBullet3">
    <w:name w:val="List Bullet 3"/>
    <w:basedOn w:val="Normal"/>
    <w:uiPriority w:val="12"/>
    <w:qFormat/>
    <w:rsid w:val="00641EAA"/>
    <w:pPr>
      <w:numPr>
        <w:ilvl w:val="2"/>
        <w:numId w:val="8"/>
      </w:numPr>
    </w:pPr>
  </w:style>
  <w:style w:type="table" w:styleId="TableGrid">
    <w:name w:val="Table Grid"/>
    <w:basedOn w:val="TableNormal"/>
    <w:uiPriority w:val="59"/>
    <w:rsid w:val="00B20DFD"/>
    <w:pPr>
      <w:spacing w:before="60" w:after="60"/>
    </w:pPr>
    <w:rPr>
      <w:sz w:val="20"/>
    </w:r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rFonts w:ascii="DIN OT Medium" w:hAnsi="DIN OT Medium"/>
        <w:b w:val="0"/>
        <w:color w:val="FFFFFF" w:themeColor="background1"/>
      </w:rPr>
      <w:tblPr/>
      <w:trPr>
        <w:cantSplit/>
        <w:tblHeader/>
      </w:trPr>
      <w:tcPr>
        <w:shd w:val="clear" w:color="auto" w:fill="012169" w:themeFill="accent1"/>
      </w:tcPr>
    </w:tblStylePr>
    <w:tblStylePr w:type="lastRow">
      <w:rPr>
        <w:rFonts w:ascii="DIN OT Medium" w:hAnsi="DIN OT Medium"/>
        <w:b w:val="0"/>
      </w:rPr>
      <w:tblPr/>
      <w:tcPr>
        <w:shd w:val="clear" w:color="auto" w:fill="EAECEE" w:themeFill="accent4" w:themeFillTint="33"/>
      </w:tcPr>
    </w:tblStylePr>
    <w:tblStylePr w:type="firstCol">
      <w:rPr>
        <w:rFonts w:ascii="DIN OT Medium" w:hAnsi="DIN OT Medium"/>
        <w:b w:val="0"/>
        <w:color w:val="auto"/>
      </w:rPr>
    </w:tblStylePr>
    <w:tblStylePr w:type="lastCol">
      <w:pPr>
        <w:jc w:val="right"/>
      </w:pPr>
      <w:rPr>
        <w:rFonts w:ascii="DIN OT Medium" w:hAnsi="DIN OT Medium"/>
        <w:b w:val="0"/>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27194D"/>
    <w:pPr>
      <w:tabs>
        <w:tab w:val="left" w:pos="1134"/>
      </w:tabs>
      <w:spacing w:before="240" w:after="120"/>
    </w:pPr>
    <w:rPr>
      <w:rFonts w:ascii="DIN OT Medium" w:hAnsi="DIN OT Medium"/>
      <w:bCs/>
      <w:i/>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29"/>
    <w:qFormat/>
    <w:locked/>
    <w:rsid w:val="003B51A4"/>
    <w:pPr>
      <w:numPr>
        <w:numId w:val="0"/>
      </w:numPr>
      <w:spacing w:after="840"/>
      <w:contextualSpacing/>
    </w:pPr>
  </w:style>
  <w:style w:type="character" w:customStyle="1" w:styleId="DateChar">
    <w:name w:val="Date Char"/>
    <w:basedOn w:val="DefaultParagraphFont"/>
    <w:link w:val="Date"/>
    <w:uiPriority w:val="29"/>
    <w:rsid w:val="003B51A4"/>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16272E"/>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16272E"/>
    <w:rPr>
      <w:sz w:val="18"/>
    </w:rPr>
  </w:style>
  <w:style w:type="character" w:customStyle="1" w:styleId="Heading5Char">
    <w:name w:val="Heading 5 Char"/>
    <w:basedOn w:val="DefaultParagraphFont"/>
    <w:link w:val="Heading5"/>
    <w:uiPriority w:val="9"/>
    <w:rsid w:val="006C6C47"/>
    <w:rPr>
      <w:rFonts w:ascii="DIN OT Medium" w:eastAsiaTheme="majorEastAsia" w:hAnsi="DIN OT Medium" w:cstheme="majorBidi"/>
      <w:color w:val="000000" w:themeColor="text1"/>
    </w:rPr>
  </w:style>
  <w:style w:type="character" w:customStyle="1" w:styleId="Heading6Char">
    <w:name w:val="Heading 6 Char"/>
    <w:basedOn w:val="DefaultParagraphFont"/>
    <w:link w:val="Heading6"/>
    <w:uiPriority w:val="9"/>
    <w:semiHidden/>
    <w:rsid w:val="00283DF4"/>
    <w:rPr>
      <w:rFonts w:ascii="DIN Offc Medium" w:eastAsiaTheme="majorEastAsia" w:hAnsi="DIN Offc Medium" w:cstheme="majorBidi"/>
      <w:i/>
      <w:iCs/>
      <w:color w:val="012169" w:themeColor="text2"/>
    </w:rPr>
  </w:style>
  <w:style w:type="character" w:customStyle="1" w:styleId="Heading7Char">
    <w:name w:val="Heading 7 Char"/>
    <w:basedOn w:val="DefaultParagraphFont"/>
    <w:link w:val="Heading7"/>
    <w:uiPriority w:val="9"/>
    <w:semiHidden/>
    <w:rsid w:val="00283DF4"/>
    <w:rPr>
      <w:rFonts w:ascii="DIN Offc Medium" w:eastAsiaTheme="majorEastAsia" w:hAnsi="DIN Offc Medium" w:cstheme="majorBidi"/>
      <w:i/>
      <w:iCs/>
      <w:color w:val="012169" w:themeColor="text2"/>
    </w:rPr>
  </w:style>
  <w:style w:type="character" w:customStyle="1" w:styleId="Heading8Char">
    <w:name w:val="Heading 8 Char"/>
    <w:basedOn w:val="DefaultParagraphFont"/>
    <w:link w:val="Heading8"/>
    <w:uiPriority w:val="9"/>
    <w:semiHidden/>
    <w:rsid w:val="00283DF4"/>
    <w:rPr>
      <w:rFonts w:ascii="DIN Offc Medium" w:eastAsiaTheme="majorEastAsia" w:hAnsi="DIN Offc Medium" w:cstheme="majorBidi"/>
      <w:i/>
      <w:color w:val="012169" w:themeColor="text2"/>
    </w:rPr>
  </w:style>
  <w:style w:type="character" w:customStyle="1" w:styleId="Heading9Char">
    <w:name w:val="Heading 9 Char"/>
    <w:basedOn w:val="DefaultParagraphFont"/>
    <w:link w:val="Heading9"/>
    <w:uiPriority w:val="9"/>
    <w:semiHidden/>
    <w:rsid w:val="00283DF4"/>
    <w:rPr>
      <w:rFonts w:ascii="DIN Offc Medium" w:eastAsiaTheme="majorEastAsia" w:hAnsi="DIN Offc Medium" w:cstheme="majorBidi"/>
      <w:i/>
      <w:iCs/>
      <w:color w:val="012169" w:themeColor="text2"/>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17"/>
    <w:qFormat/>
    <w:rsid w:val="00BB7EB9"/>
    <w:pPr>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E910A2"/>
    <w:pPr>
      <w:numPr>
        <w:numId w:val="0"/>
      </w:numPr>
    </w:pPr>
    <w:rPr>
      <w:rFonts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945635"/>
    <w:pPr>
      <w:numPr>
        <w:numId w:val="0"/>
      </w:numPr>
      <w:ind w:left="425" w:right="425"/>
    </w:pPr>
    <w:rPr>
      <w:i/>
      <w:iCs/>
    </w:rPr>
  </w:style>
  <w:style w:type="character" w:customStyle="1" w:styleId="QuoteChar">
    <w:name w:val="Quote Char"/>
    <w:basedOn w:val="DefaultParagraphFont"/>
    <w:link w:val="Quote"/>
    <w:uiPriority w:val="19"/>
    <w:rsid w:val="00945635"/>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pPr>
  </w:style>
  <w:style w:type="character" w:customStyle="1" w:styleId="SignatureChar">
    <w:name w:val="Signature Char"/>
    <w:basedOn w:val="DefaultParagraphFont"/>
    <w:link w:val="Signature"/>
    <w:uiPriority w:val="29"/>
    <w:semiHidden/>
    <w:rsid w:val="00E910A2"/>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FC398C"/>
    <w:pPr>
      <w:numPr>
        <w:numId w:val="0"/>
      </w:numPr>
      <w:tabs>
        <w:tab w:val="left" w:pos="851"/>
        <w:tab w:val="right" w:pos="9027"/>
      </w:tabs>
      <w:ind w:left="850" w:hanging="737"/>
    </w:pPr>
  </w:style>
  <w:style w:type="paragraph" w:styleId="TOC3">
    <w:name w:val="toc 3"/>
    <w:basedOn w:val="Normal"/>
    <w:next w:val="Normal"/>
    <w:autoRedefine/>
    <w:uiPriority w:val="39"/>
    <w:rsid w:val="00AD393D"/>
    <w:pPr>
      <w:numPr>
        <w:numId w:val="0"/>
      </w:numPr>
      <w:tabs>
        <w:tab w:val="left" w:pos="851"/>
        <w:tab w:val="right" w:pos="9038"/>
      </w:tabs>
      <w:ind w:left="1702" w:hanging="851"/>
    </w:pPr>
  </w:style>
  <w:style w:type="paragraph" w:styleId="TOC4">
    <w:name w:val="toc 4"/>
    <w:basedOn w:val="Normal"/>
    <w:next w:val="Normal"/>
    <w:autoRedefine/>
    <w:uiPriority w:val="39"/>
    <w:rsid w:val="00AD393D"/>
    <w:pPr>
      <w:numPr>
        <w:numId w:val="0"/>
      </w:numPr>
      <w:tabs>
        <w:tab w:val="right" w:pos="9027"/>
      </w:tabs>
    </w:pPr>
    <w:rPr>
      <w:rFonts w:ascii="DIN OT Medium" w:hAnsi="DIN OT Medium"/>
    </w:rPr>
  </w:style>
  <w:style w:type="paragraph" w:styleId="TOC5">
    <w:name w:val="toc 5"/>
    <w:basedOn w:val="Normal"/>
    <w:next w:val="Normal"/>
    <w:autoRedefine/>
    <w:uiPriority w:val="39"/>
    <w:rsid w:val="00FC398C"/>
    <w:pPr>
      <w:numPr>
        <w:numId w:val="0"/>
      </w:numPr>
      <w:tabs>
        <w:tab w:val="left" w:pos="851"/>
        <w:tab w:val="right" w:pos="9027"/>
      </w:tabs>
      <w:ind w:left="113"/>
    </w:pPr>
  </w:style>
  <w:style w:type="paragraph" w:styleId="TOC6">
    <w:name w:val="toc 6"/>
    <w:basedOn w:val="Normal"/>
    <w:next w:val="Normal"/>
    <w:autoRedefine/>
    <w:uiPriority w:val="39"/>
    <w:rsid w:val="00EE70EE"/>
    <w:pPr>
      <w:numPr>
        <w:numId w:val="0"/>
      </w:numPr>
      <w:tabs>
        <w:tab w:val="left" w:pos="851"/>
        <w:tab w:val="right" w:pos="9027"/>
      </w:tabs>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144295"/>
  </w:style>
  <w:style w:type="numbering" w:customStyle="1" w:styleId="BulletList">
    <w:name w:val="Bullet List"/>
    <w:uiPriority w:val="99"/>
    <w:rsid w:val="00641EAA"/>
    <w:pPr>
      <w:numPr>
        <w:numId w:val="8"/>
      </w:numPr>
    </w:pPr>
  </w:style>
  <w:style w:type="paragraph" w:customStyle="1" w:styleId="PaperTitle">
    <w:name w:val="Paper Title"/>
    <w:next w:val="CoverDate"/>
    <w:uiPriority w:val="31"/>
    <w:rsid w:val="007E7F27"/>
    <w:pPr>
      <w:spacing w:before="2760"/>
      <w:contextualSpacing/>
    </w:pPr>
    <w:rPr>
      <w:rFonts w:ascii="DIN OT Medium" w:eastAsiaTheme="majorEastAsia" w:hAnsi="DIN OT Medium" w:cstheme="majorBidi"/>
      <w:color w:val="012169" w:themeColor="text2"/>
      <w:sz w:val="44"/>
      <w:szCs w:val="52"/>
    </w:rPr>
  </w:style>
  <w:style w:type="table" w:customStyle="1" w:styleId="GridTable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ttachmentHeading">
    <w:name w:val="Attachment Heading"/>
    <w:basedOn w:val="Heading1"/>
    <w:next w:val="Normal"/>
    <w:uiPriority w:val="10"/>
    <w:qFormat/>
    <w:rsid w:val="003A2733"/>
    <w:pPr>
      <w:numPr>
        <w:numId w:val="16"/>
      </w:numPr>
    </w:pPr>
  </w:style>
  <w:style w:type="paragraph" w:customStyle="1" w:styleId="AttachmentSubHeading">
    <w:name w:val="Attachment Sub Heading"/>
    <w:basedOn w:val="Heading2"/>
    <w:next w:val="Normal"/>
    <w:uiPriority w:val="10"/>
    <w:qFormat/>
    <w:rsid w:val="003A2733"/>
  </w:style>
  <w:style w:type="paragraph" w:customStyle="1" w:styleId="Heading1Numbers">
    <w:name w:val="Heading 1 Numbers"/>
    <w:basedOn w:val="Heading1"/>
    <w:next w:val="Normal"/>
    <w:uiPriority w:val="9"/>
    <w:qFormat/>
    <w:rsid w:val="00BA627A"/>
    <w:pPr>
      <w:numPr>
        <w:numId w:val="6"/>
      </w:numPr>
    </w:pPr>
  </w:style>
  <w:style w:type="paragraph" w:customStyle="1" w:styleId="Heading2Numbers">
    <w:name w:val="Heading 2 Numbers"/>
    <w:basedOn w:val="Heading2"/>
    <w:next w:val="Normal"/>
    <w:uiPriority w:val="9"/>
    <w:qFormat/>
    <w:rsid w:val="00AD393D"/>
    <w:pPr>
      <w:numPr>
        <w:ilvl w:val="1"/>
        <w:numId w:val="6"/>
      </w:numPr>
      <w:ind w:left="851"/>
    </w:pPr>
    <w:rPr>
      <w:bCs w:val="0"/>
    </w:rPr>
  </w:style>
  <w:style w:type="paragraph" w:customStyle="1" w:styleId="Heading3Numbers">
    <w:name w:val="Heading 3 Numbers"/>
    <w:basedOn w:val="Heading3"/>
    <w:next w:val="Normal"/>
    <w:uiPriority w:val="9"/>
    <w:qFormat/>
    <w:rsid w:val="00BA627A"/>
    <w:pPr>
      <w:numPr>
        <w:ilvl w:val="2"/>
        <w:numId w:val="6"/>
      </w:numPr>
    </w:pPr>
  </w:style>
  <w:style w:type="paragraph" w:customStyle="1" w:styleId="Heading4NoNumber">
    <w:name w:val="Heading 4 No Number"/>
    <w:basedOn w:val="Heading4"/>
    <w:uiPriority w:val="9"/>
    <w:semiHidden/>
    <w:qFormat/>
    <w:rsid w:val="00BA627A"/>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semiHidden/>
    <w:qFormat/>
    <w:rsid w:val="00E910A2"/>
    <w:pPr>
      <w:numPr>
        <w:numId w:val="0"/>
      </w:numPr>
    </w:pPr>
    <w:rPr>
      <w:rFonts w:ascii="DIN Offc Medium" w:hAnsi="DIN Offc Medium"/>
      <w:caps/>
      <w:shd w:val="clear" w:color="auto" w:fill="FFFFFF"/>
    </w:rPr>
  </w:style>
  <w:style w:type="table" w:customStyle="1"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uiPriority w:val="31"/>
    <w:rsid w:val="005113A6"/>
    <w:rPr>
      <w:rFonts w:ascii="DIN OT Medium" w:eastAsiaTheme="majorEastAsia" w:hAnsi="DIN OT Medium" w:cstheme="majorBidi"/>
      <w:color w:val="00A9E0" w:themeColor="background2"/>
      <w:sz w:val="24"/>
      <w:szCs w:val="52"/>
    </w:rPr>
  </w:style>
  <w:style w:type="paragraph" w:customStyle="1" w:styleId="Address">
    <w:name w:val="Address"/>
    <w:basedOn w:val="Normal"/>
    <w:uiPriority w:val="29"/>
    <w:qFormat/>
    <w:rsid w:val="00E910A2"/>
    <w:pPr>
      <w:numPr>
        <w:numId w:val="0"/>
      </w:numPr>
      <w:spacing w:after="840"/>
      <w:contextualSpacing/>
    </w:pPr>
  </w:style>
  <w:style w:type="paragraph" w:customStyle="1" w:styleId="Sincerely">
    <w:name w:val="Sincerely"/>
    <w:basedOn w:val="Normal"/>
    <w:uiPriority w:val="29"/>
    <w:qFormat/>
    <w:rsid w:val="00E910A2"/>
    <w:pPr>
      <w:numPr>
        <w:numId w:val="0"/>
      </w:numPr>
      <w:spacing w:before="720" w:after="600"/>
    </w:pPr>
  </w:style>
  <w:style w:type="paragraph" w:customStyle="1" w:styleId="Subject">
    <w:name w:val="Subject"/>
    <w:basedOn w:val="Normal"/>
    <w:uiPriority w:val="29"/>
    <w:qFormat/>
    <w:rsid w:val="00EE70EE"/>
    <w:pPr>
      <w:numPr>
        <w:numId w:val="0"/>
      </w:numPr>
      <w:spacing w:before="480" w:after="480"/>
    </w:pPr>
    <w:rPr>
      <w:rFonts w:ascii="DIN OT Medium" w:hAnsi="DIN OT Medium"/>
    </w:rPr>
  </w:style>
  <w:style w:type="table" w:customStyle="1" w:styleId="TableOption2">
    <w:name w:val="Table Option 2"/>
    <w:basedOn w:val="TableGrid"/>
    <w:uiPriority w:val="99"/>
    <w:rsid w:val="00B20DFD"/>
    <w:tblPr/>
    <w:tcPr>
      <w:shd w:val="clear" w:color="auto" w:fill="EAECEE" w:themeFill="accent4" w:themeFillTint="33"/>
    </w:tcPr>
    <w:tblStylePr w:type="firstRow">
      <w:rPr>
        <w:rFonts w:ascii="DIN OT Medium" w:hAnsi="DIN OT Medium"/>
        <w:b w:val="0"/>
        <w:color w:val="FFFFFF" w:themeColor="background1"/>
      </w:rPr>
      <w:tblPr/>
      <w:trPr>
        <w:cantSplit/>
        <w:tblHeader/>
      </w:trPr>
      <w:tcPr>
        <w:shd w:val="clear" w:color="auto" w:fill="012169" w:themeFill="accent1"/>
      </w:tcPr>
    </w:tblStylePr>
    <w:tblStylePr w:type="lastRow">
      <w:rPr>
        <w:rFonts w:ascii="DIN OT Medium" w:hAnsi="DIN OT Medium"/>
        <w:b w:val="0"/>
      </w:rPr>
      <w:tblPr/>
      <w:tcPr>
        <w:shd w:val="clear" w:color="auto" w:fill="EAECEE" w:themeFill="accent4" w:themeFillTint="33"/>
      </w:tcPr>
    </w:tblStylePr>
    <w:tblStylePr w:type="firstCol">
      <w:rPr>
        <w:rFonts w:ascii="DIN OT Medium" w:hAnsi="DIN OT Medium"/>
        <w:b w:val="0"/>
        <w:color w:val="auto"/>
      </w:rPr>
      <w:tblPr/>
      <w:tcPr>
        <w:shd w:val="clear" w:color="auto" w:fill="012169" w:themeFill="accent1"/>
      </w:tcPr>
    </w:tblStylePr>
    <w:tblStylePr w:type="lastCol">
      <w:pPr>
        <w:jc w:val="right"/>
      </w:pPr>
      <w:rPr>
        <w:rFonts w:ascii="DIN OT Medium" w:hAnsi="DIN OT Medium"/>
        <w:b w:val="0"/>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0B74CA"/>
    <w:pPr>
      <w:keepNext/>
      <w:numPr>
        <w:numId w:val="0"/>
      </w:numPr>
      <w:spacing w:before="240" w:after="120"/>
    </w:pPr>
    <w:rPr>
      <w:rFonts w:ascii="DIN OT Medium" w:hAnsi="DIN OT Medium"/>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DisclaimerHeading">
    <w:name w:val="Disclaimer Heading"/>
    <w:basedOn w:val="Normal"/>
    <w:next w:val="Normal"/>
    <w:uiPriority w:val="32"/>
    <w:rsid w:val="00EE70EE"/>
    <w:pPr>
      <w:framePr w:w="9027" w:wrap="around" w:hAnchor="text" w:yAlign="bottom"/>
      <w:numPr>
        <w:numId w:val="0"/>
      </w:numPr>
      <w:pBdr>
        <w:top w:val="single" w:sz="48" w:space="1" w:color="D9D9D9" w:themeColor="background1" w:themeShade="D9"/>
        <w:left w:val="single" w:sz="24" w:space="4" w:color="D9D9D9" w:themeColor="background1" w:themeShade="D9"/>
        <w:bottom w:val="single" w:sz="48" w:space="1" w:color="D9D9D9" w:themeColor="background1" w:themeShade="D9"/>
        <w:right w:val="single" w:sz="24" w:space="4" w:color="D9D9D9" w:themeColor="background1" w:themeShade="D9"/>
      </w:pBdr>
      <w:shd w:val="clear" w:color="auto" w:fill="D9D9D9" w:themeFill="background1" w:themeFillShade="D9"/>
      <w:spacing w:before="240"/>
      <w:ind w:left="170" w:right="170"/>
    </w:pPr>
    <w:rPr>
      <w:rFonts w:ascii="DIN OT Medium" w:hAnsi="DIN OT Medium"/>
      <w:sz w:val="28"/>
    </w:rPr>
  </w:style>
  <w:style w:type="paragraph" w:customStyle="1" w:styleId="DisclaimerText">
    <w:name w:val="Disclaimer Text"/>
    <w:basedOn w:val="DisclaimerHeading"/>
    <w:uiPriority w:val="32"/>
    <w:rsid w:val="00EE70EE"/>
    <w:pPr>
      <w:framePr w:wrap="around"/>
    </w:pPr>
    <w:rPr>
      <w:rFonts w:ascii="DIN OT Light" w:hAnsi="DIN OT Light"/>
      <w:sz w:val="22"/>
    </w:rPr>
  </w:style>
  <w:style w:type="character" w:customStyle="1" w:styleId="BoldCharacterDINOTMedium">
    <w:name w:val="Bold Character (DIN OT Medium)"/>
    <w:basedOn w:val="DefaultParagraphFont"/>
    <w:uiPriority w:val="10"/>
    <w:qFormat/>
    <w:rsid w:val="00484BF5"/>
    <w:rPr>
      <w:rFonts w:ascii="DIN OT Medium" w:hAnsi="DIN OT Medium"/>
    </w:rPr>
  </w:style>
  <w:style w:type="paragraph" w:customStyle="1" w:styleId="CoverLine">
    <w:name w:val="Cover Line"/>
    <w:basedOn w:val="Normal"/>
    <w:uiPriority w:val="31"/>
    <w:qFormat/>
    <w:rsid w:val="008B2BF9"/>
    <w:pPr>
      <w:numPr>
        <w:numId w:val="0"/>
      </w:numPr>
      <w:pBdr>
        <w:bottom w:val="single" w:sz="24" w:space="10" w:color="00A9E0" w:themeColor="accent2"/>
      </w:pBdr>
      <w:spacing w:before="2170" w:after="0" w:line="192" w:lineRule="auto"/>
      <w:ind w:left="-1440" w:firstLine="1021"/>
    </w:pPr>
    <w:rPr>
      <w:rFonts w:ascii="DIN OT Medium" w:hAnsi="DIN OT Medium"/>
      <w:caps/>
      <w:color w:val="FFFFFF" w:themeColor="background1"/>
      <w:sz w:val="80"/>
    </w:rPr>
  </w:style>
  <w:style w:type="table" w:customStyle="1" w:styleId="Style1">
    <w:name w:val="Style1"/>
    <w:basedOn w:val="TableNormal"/>
    <w:uiPriority w:val="99"/>
    <w:rsid w:val="00362355"/>
    <w:pPr>
      <w:spacing w:after="0"/>
    </w:pPr>
    <w:rPr>
      <w:sz w:val="20"/>
    </w:rPr>
    <w:tblPr/>
  </w:style>
  <w:style w:type="table" w:customStyle="1" w:styleId="GridTable7ColorfulAccent6">
    <w:name w:val="Grid Table 7 Colorful Accent 6"/>
    <w:basedOn w:val="TableNormal"/>
    <w:uiPriority w:val="52"/>
    <w:locked/>
    <w:rsid w:val="005971F3"/>
    <w:pPr>
      <w:spacing w:after="0"/>
    </w:pPr>
    <w:rPr>
      <w:color w:val="26A6DC" w:themeColor="accent6" w:themeShade="BF"/>
    </w:rPr>
    <w:tblPr>
      <w:tblStyleRowBandSize w:val="1"/>
      <w:tblStyleColBandSize w:val="1"/>
      <w:tblBorders>
        <w:top w:val="single" w:sz="4" w:space="0" w:color="A9DCF1" w:themeColor="accent6" w:themeTint="99"/>
        <w:left w:val="single" w:sz="4" w:space="0" w:color="A9DCF1" w:themeColor="accent6" w:themeTint="99"/>
        <w:bottom w:val="single" w:sz="4" w:space="0" w:color="A9DCF1" w:themeColor="accent6" w:themeTint="99"/>
        <w:right w:val="single" w:sz="4" w:space="0" w:color="A9DCF1" w:themeColor="accent6" w:themeTint="99"/>
        <w:insideH w:val="single" w:sz="4" w:space="0" w:color="A9DCF1" w:themeColor="accent6" w:themeTint="99"/>
        <w:insideV w:val="single" w:sz="4" w:space="0" w:color="A9DC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3FA" w:themeFill="accent6" w:themeFillTint="33"/>
      </w:tcPr>
    </w:tblStylePr>
    <w:tblStylePr w:type="band1Horz">
      <w:tblPr/>
      <w:tcPr>
        <w:shd w:val="clear" w:color="auto" w:fill="E2F3FA" w:themeFill="accent6" w:themeFillTint="33"/>
      </w:tcPr>
    </w:tblStylePr>
    <w:tblStylePr w:type="neCell">
      <w:tblPr/>
      <w:tcPr>
        <w:tcBorders>
          <w:bottom w:val="single" w:sz="4" w:space="0" w:color="A9DCF1" w:themeColor="accent6" w:themeTint="99"/>
        </w:tcBorders>
      </w:tcPr>
    </w:tblStylePr>
    <w:tblStylePr w:type="nwCell">
      <w:tblPr/>
      <w:tcPr>
        <w:tcBorders>
          <w:bottom w:val="single" w:sz="4" w:space="0" w:color="A9DCF1" w:themeColor="accent6" w:themeTint="99"/>
        </w:tcBorders>
      </w:tcPr>
    </w:tblStylePr>
    <w:tblStylePr w:type="seCell">
      <w:tblPr/>
      <w:tcPr>
        <w:tcBorders>
          <w:top w:val="single" w:sz="4" w:space="0" w:color="A9DCF1" w:themeColor="accent6" w:themeTint="99"/>
        </w:tcBorders>
      </w:tcPr>
    </w:tblStylePr>
    <w:tblStylePr w:type="swCell">
      <w:tblPr/>
      <w:tcPr>
        <w:tcBorders>
          <w:top w:val="single" w:sz="4" w:space="0" w:color="A9DCF1" w:themeColor="accent6" w:themeTint="99"/>
        </w:tcBorders>
      </w:tcPr>
    </w:tblStylePr>
  </w:style>
  <w:style w:type="character" w:customStyle="1" w:styleId="LightCharacterDINOTLight">
    <w:name w:val="Light Character (DIN OT Light)"/>
    <w:basedOn w:val="DefaultParagraphFont"/>
    <w:uiPriority w:val="10"/>
    <w:qFormat/>
    <w:rsid w:val="00DB34F0"/>
    <w:rPr>
      <w:rFonts w:ascii="DIN OT Light" w:hAnsi="DIN OT Light"/>
    </w:rPr>
  </w:style>
  <w:style w:type="table" w:customStyle="1" w:styleId="GridTable4Accent3">
    <w:name w:val="Grid Table 4 Accent 3"/>
    <w:basedOn w:val="TableNormal"/>
    <w:uiPriority w:val="49"/>
    <w:locked/>
    <w:rsid w:val="00DD01CB"/>
    <w:pPr>
      <w:spacing w:after="0"/>
    </w:pPr>
    <w:tblPr>
      <w:tblStyleRowBandSize w:val="1"/>
      <w:tblStyleColBandSize w:val="1"/>
      <w:tblBorders>
        <w:top w:val="single" w:sz="4" w:space="0" w:color="48ADFF" w:themeColor="accent3" w:themeTint="99"/>
        <w:left w:val="single" w:sz="4" w:space="0" w:color="48ADFF" w:themeColor="accent3" w:themeTint="99"/>
        <w:bottom w:val="single" w:sz="4" w:space="0" w:color="48ADFF" w:themeColor="accent3" w:themeTint="99"/>
        <w:right w:val="single" w:sz="4" w:space="0" w:color="48ADFF" w:themeColor="accent3" w:themeTint="99"/>
        <w:insideH w:val="single" w:sz="4" w:space="0" w:color="48ADFF" w:themeColor="accent3" w:themeTint="99"/>
        <w:insideV w:val="single" w:sz="4" w:space="0" w:color="48ADFF" w:themeColor="accent3" w:themeTint="99"/>
      </w:tblBorders>
    </w:tblPr>
    <w:tblStylePr w:type="firstRow">
      <w:rPr>
        <w:b/>
        <w:bCs/>
        <w:color w:val="FFFFFF" w:themeColor="background1"/>
      </w:rPr>
      <w:tblPr/>
      <w:tcPr>
        <w:tcBorders>
          <w:top w:val="single" w:sz="4" w:space="0" w:color="0072CE" w:themeColor="accent3"/>
          <w:left w:val="single" w:sz="4" w:space="0" w:color="0072CE" w:themeColor="accent3"/>
          <w:bottom w:val="single" w:sz="4" w:space="0" w:color="0072CE" w:themeColor="accent3"/>
          <w:right w:val="single" w:sz="4" w:space="0" w:color="0072CE" w:themeColor="accent3"/>
          <w:insideH w:val="nil"/>
          <w:insideV w:val="nil"/>
        </w:tcBorders>
        <w:shd w:val="clear" w:color="auto" w:fill="0072CE" w:themeFill="accent3"/>
      </w:tcPr>
    </w:tblStylePr>
    <w:tblStylePr w:type="lastRow">
      <w:rPr>
        <w:b/>
        <w:bCs/>
      </w:rPr>
      <w:tblPr/>
      <w:tcPr>
        <w:tcBorders>
          <w:top w:val="double" w:sz="4" w:space="0" w:color="0072CE" w:themeColor="accent3"/>
        </w:tcBorders>
      </w:tcPr>
    </w:tblStylePr>
    <w:tblStylePr w:type="firstCol">
      <w:rPr>
        <w:b/>
        <w:bCs/>
      </w:rPr>
    </w:tblStylePr>
    <w:tblStylePr w:type="lastCol">
      <w:rPr>
        <w:b/>
        <w:bCs/>
      </w:rPr>
    </w:tblStylePr>
    <w:tblStylePr w:type="band1Vert">
      <w:tblPr/>
      <w:tcPr>
        <w:shd w:val="clear" w:color="auto" w:fill="C2E3FF" w:themeFill="accent3" w:themeFillTint="33"/>
      </w:tcPr>
    </w:tblStylePr>
    <w:tblStylePr w:type="band1Horz">
      <w:tblPr/>
      <w:tcPr>
        <w:shd w:val="clear" w:color="auto" w:fill="C2E3FF" w:themeFill="accent3" w:themeFillTint="33"/>
      </w:tcPr>
    </w:tblStylePr>
  </w:style>
  <w:style w:type="table" w:customStyle="1" w:styleId="GridTable4Accent1">
    <w:name w:val="Grid Table 4 Accent 1"/>
    <w:basedOn w:val="TableNormal"/>
    <w:uiPriority w:val="49"/>
    <w:locked/>
    <w:rsid w:val="00DD01CB"/>
    <w:pPr>
      <w:spacing w:after="0"/>
    </w:pPr>
    <w:tblPr>
      <w:tblStyleRowBandSize w:val="1"/>
      <w:tblStyleColBandSize w:val="1"/>
      <w:tblBorders>
        <w:top w:val="single" w:sz="4" w:space="0" w:color="0E57FC" w:themeColor="accent1" w:themeTint="99"/>
        <w:left w:val="single" w:sz="4" w:space="0" w:color="0E57FC" w:themeColor="accent1" w:themeTint="99"/>
        <w:bottom w:val="single" w:sz="4" w:space="0" w:color="0E57FC" w:themeColor="accent1" w:themeTint="99"/>
        <w:right w:val="single" w:sz="4" w:space="0" w:color="0E57FC" w:themeColor="accent1" w:themeTint="99"/>
        <w:insideH w:val="single" w:sz="4" w:space="0" w:color="0E57FC" w:themeColor="accent1" w:themeTint="99"/>
        <w:insideV w:val="single" w:sz="4" w:space="0" w:color="0E57FC" w:themeColor="accent1" w:themeTint="99"/>
      </w:tblBorders>
    </w:tblPr>
    <w:tblStylePr w:type="firstRow">
      <w:rPr>
        <w:b/>
        <w:bCs/>
        <w:color w:val="FFFFFF" w:themeColor="background1"/>
      </w:rPr>
      <w:tblPr/>
      <w:tcPr>
        <w:tcBorders>
          <w:top w:val="single" w:sz="4" w:space="0" w:color="012169" w:themeColor="accent1"/>
          <w:left w:val="single" w:sz="4" w:space="0" w:color="012169" w:themeColor="accent1"/>
          <w:bottom w:val="single" w:sz="4" w:space="0" w:color="012169" w:themeColor="accent1"/>
          <w:right w:val="single" w:sz="4" w:space="0" w:color="012169" w:themeColor="accent1"/>
          <w:insideH w:val="nil"/>
          <w:insideV w:val="nil"/>
        </w:tcBorders>
        <w:shd w:val="clear" w:color="auto" w:fill="012169" w:themeFill="accent1"/>
      </w:tcPr>
    </w:tblStylePr>
    <w:tblStylePr w:type="lastRow">
      <w:rPr>
        <w:b/>
        <w:bCs/>
      </w:rPr>
      <w:tblPr/>
      <w:tcPr>
        <w:tcBorders>
          <w:top w:val="double" w:sz="4" w:space="0" w:color="012169" w:themeColor="accent1"/>
        </w:tcBorders>
      </w:tcPr>
    </w:tblStylePr>
    <w:tblStylePr w:type="firstCol">
      <w:rPr>
        <w:b/>
        <w:bCs/>
      </w:rPr>
    </w:tblStylePr>
    <w:tblStylePr w:type="lastCol">
      <w:rPr>
        <w:b/>
        <w:bCs/>
      </w:rPr>
    </w:tblStylePr>
    <w:tblStylePr w:type="band1Vert">
      <w:tblPr/>
      <w:tcPr>
        <w:shd w:val="clear" w:color="auto" w:fill="AEC7FE" w:themeFill="accent1" w:themeFillTint="33"/>
      </w:tcPr>
    </w:tblStylePr>
    <w:tblStylePr w:type="band1Horz">
      <w:tblPr/>
      <w:tcPr>
        <w:shd w:val="clear" w:color="auto" w:fill="AEC7FE" w:themeFill="accent1" w:themeFillTint="33"/>
      </w:tcPr>
    </w:tblStylePr>
  </w:style>
  <w:style w:type="table" w:customStyle="1" w:styleId="ListTable3Accent1">
    <w:name w:val="List Table 3 Accent 1"/>
    <w:basedOn w:val="TableNormal"/>
    <w:uiPriority w:val="48"/>
    <w:locked/>
    <w:rsid w:val="006157C8"/>
    <w:pPr>
      <w:spacing w:after="0"/>
    </w:pPr>
    <w:tblPr>
      <w:tblStyleRowBandSize w:val="1"/>
      <w:tblStyleColBandSize w:val="1"/>
      <w:tblBorders>
        <w:top w:val="single" w:sz="4" w:space="0" w:color="012169" w:themeColor="accent1"/>
        <w:left w:val="single" w:sz="4" w:space="0" w:color="012169" w:themeColor="accent1"/>
        <w:bottom w:val="single" w:sz="4" w:space="0" w:color="012169" w:themeColor="accent1"/>
        <w:right w:val="single" w:sz="4" w:space="0" w:color="012169" w:themeColor="accent1"/>
      </w:tblBorders>
    </w:tblPr>
    <w:tblStylePr w:type="firstRow">
      <w:rPr>
        <w:b/>
        <w:bCs/>
        <w:color w:val="FFFFFF" w:themeColor="background1"/>
      </w:rPr>
      <w:tblPr/>
      <w:tcPr>
        <w:shd w:val="clear" w:color="auto" w:fill="012169" w:themeFill="accent1"/>
      </w:tcPr>
    </w:tblStylePr>
    <w:tblStylePr w:type="lastRow">
      <w:rPr>
        <w:b/>
        <w:bCs/>
      </w:rPr>
      <w:tblPr/>
      <w:tcPr>
        <w:tcBorders>
          <w:top w:val="double" w:sz="4" w:space="0" w:color="01216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2169" w:themeColor="accent1"/>
          <w:right w:val="single" w:sz="4" w:space="0" w:color="012169" w:themeColor="accent1"/>
        </w:tcBorders>
      </w:tcPr>
    </w:tblStylePr>
    <w:tblStylePr w:type="band1Horz">
      <w:tblPr/>
      <w:tcPr>
        <w:tcBorders>
          <w:top w:val="single" w:sz="4" w:space="0" w:color="012169" w:themeColor="accent1"/>
          <w:bottom w:val="single" w:sz="4" w:space="0" w:color="0121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2169" w:themeColor="accent1"/>
          <w:left w:val="nil"/>
        </w:tcBorders>
      </w:tcPr>
    </w:tblStylePr>
    <w:tblStylePr w:type="swCell">
      <w:tblPr/>
      <w:tcPr>
        <w:tcBorders>
          <w:top w:val="double" w:sz="4" w:space="0" w:color="012169" w:themeColor="accent1"/>
          <w:right w:val="nil"/>
        </w:tcBorders>
      </w:tcPr>
    </w:tblStylePr>
  </w:style>
  <w:style w:type="paragraph" w:customStyle="1" w:styleId="Numberedtableheading">
    <w:name w:val="Numbered table heading"/>
    <w:basedOn w:val="Heading4"/>
    <w:qFormat/>
    <w:rsid w:val="00717193"/>
    <w:pPr>
      <w:numPr>
        <w:numId w:val="22"/>
      </w:numPr>
      <w:spacing w:before="120"/>
    </w:pPr>
    <w:rPr>
      <w:sz w:val="24"/>
    </w:rPr>
  </w:style>
  <w:style w:type="paragraph" w:customStyle="1" w:styleId="Numberedfigureheading">
    <w:name w:val="Numbered figure heading"/>
    <w:basedOn w:val="Numberedtableheading"/>
    <w:qFormat/>
    <w:rsid w:val="008071C6"/>
    <w:pPr>
      <w:numPr>
        <w:numId w:val="21"/>
      </w:numPr>
      <w:ind w:left="0" w:firstLine="0"/>
    </w:pPr>
  </w:style>
  <w:style w:type="table" w:customStyle="1" w:styleId="GridTable5Dark-Accent13">
    <w:name w:val="Grid Table 5 Dark - Accent 13"/>
    <w:basedOn w:val="TableNormal"/>
    <w:next w:val="GridTable5DarkAccent1"/>
    <w:uiPriority w:val="50"/>
    <w:rsid w:val="00A1591B"/>
    <w:pPr>
      <w:spacing w:after="0"/>
    </w:pPr>
    <w:rPr>
      <w:rFonts w:ascii="Trebuchet MS" w:hAnsi="Trebuchet MS" w:cs="Times New Roman"/>
      <w:color w:val="auto"/>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
    <w:name w:val="Grid Table 5 Dark Accent 1"/>
    <w:basedOn w:val="TableNormal"/>
    <w:uiPriority w:val="50"/>
    <w:locked/>
    <w:rsid w:val="00A159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EC7F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216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216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216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2169" w:themeFill="accent1"/>
      </w:tcPr>
    </w:tblStylePr>
    <w:tblStylePr w:type="band1Vert">
      <w:tblPr/>
      <w:tcPr>
        <w:shd w:val="clear" w:color="auto" w:fill="5E8FFD" w:themeFill="accent1" w:themeFillTint="66"/>
      </w:tcPr>
    </w:tblStylePr>
    <w:tblStylePr w:type="band1Horz">
      <w:tblPr/>
      <w:tcPr>
        <w:shd w:val="clear" w:color="auto" w:fill="5E8FFD" w:themeFill="accent1" w:themeFillTint="66"/>
      </w:tcPr>
    </w:tblStylePr>
  </w:style>
  <w:style w:type="table" w:customStyle="1" w:styleId="GridTable5Dark-Accent14">
    <w:name w:val="Grid Table 5 Dark - Accent 14"/>
    <w:basedOn w:val="TableNormal"/>
    <w:next w:val="GridTable5DarkAccent1"/>
    <w:uiPriority w:val="50"/>
    <w:rsid w:val="00195B12"/>
    <w:pPr>
      <w:spacing w:after="0"/>
    </w:pPr>
    <w:rPr>
      <w:rFonts w:ascii="Trebuchet MS" w:hAnsi="Trebuchet MS" w:cs="Times New Roman"/>
      <w:color w:val="auto"/>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5">
    <w:name w:val="Grid Table 5 Dark - Accent 15"/>
    <w:basedOn w:val="TableNormal"/>
    <w:next w:val="GridTable5DarkAccent1"/>
    <w:uiPriority w:val="50"/>
    <w:rsid w:val="00195B12"/>
    <w:pPr>
      <w:spacing w:after="0"/>
    </w:pPr>
    <w:rPr>
      <w:rFonts w:ascii="Trebuchet MS" w:hAnsi="Trebuchet MS" w:cs="Times New Roman"/>
      <w:color w:val="auto"/>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9">
    <w:name w:val="Grid Table 5 Dark - Accent 19"/>
    <w:basedOn w:val="TableNormal"/>
    <w:next w:val="GridTable5DarkAccent1"/>
    <w:uiPriority w:val="50"/>
    <w:rsid w:val="00195B12"/>
    <w:pPr>
      <w:spacing w:after="0"/>
    </w:pPr>
    <w:rPr>
      <w:rFonts w:ascii="Trebuchet MS" w:hAnsi="Trebuchet MS" w:cs="Times New Roman"/>
      <w:color w:val="auto"/>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10">
    <w:name w:val="Grid Table 5 Dark - Accent 110"/>
    <w:basedOn w:val="TableNormal"/>
    <w:next w:val="GridTable5DarkAccent1"/>
    <w:uiPriority w:val="50"/>
    <w:rsid w:val="0032312F"/>
    <w:pPr>
      <w:spacing w:after="0"/>
    </w:pPr>
    <w:rPr>
      <w:rFonts w:ascii="Trebuchet MS" w:hAnsi="Trebuchet MS" w:cs="Times New Roman"/>
      <w:color w:val="auto"/>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11">
    <w:name w:val="Grid Table 5 Dark - Accent 111"/>
    <w:basedOn w:val="TableNormal"/>
    <w:next w:val="GridTable5DarkAccent1"/>
    <w:uiPriority w:val="50"/>
    <w:rsid w:val="008D2C8D"/>
    <w:pPr>
      <w:spacing w:after="0"/>
    </w:pPr>
    <w:rPr>
      <w:rFonts w:ascii="Trebuchet MS" w:hAnsi="Trebuchet MS" w:cs="Times New Roman"/>
      <w:color w:val="auto"/>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6">
    <w:name w:val="Grid Table 5 Dark - Accent 16"/>
    <w:basedOn w:val="TableNormal"/>
    <w:next w:val="GridTable5DarkAccent1"/>
    <w:uiPriority w:val="50"/>
    <w:rsid w:val="008D2C8D"/>
    <w:pPr>
      <w:spacing w:after="0"/>
    </w:pPr>
    <w:rPr>
      <w:rFonts w:ascii="Trebuchet MS" w:hAnsi="Trebuchet MS" w:cs="Times New Roman"/>
      <w:color w:val="auto"/>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7">
    <w:name w:val="Grid Table 5 Dark - Accent 17"/>
    <w:basedOn w:val="TableNormal"/>
    <w:next w:val="GridTable5DarkAccent1"/>
    <w:uiPriority w:val="50"/>
    <w:rsid w:val="00616959"/>
    <w:pPr>
      <w:spacing w:after="0"/>
    </w:pPr>
    <w:rPr>
      <w:rFonts w:ascii="Trebuchet MS" w:hAnsi="Trebuchet MS" w:cs="Times New Roman"/>
      <w:color w:val="auto"/>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8">
    <w:name w:val="Grid Table 5 Dark - Accent 18"/>
    <w:basedOn w:val="TableNormal"/>
    <w:next w:val="GridTable5DarkAccent1"/>
    <w:uiPriority w:val="50"/>
    <w:rsid w:val="00616959"/>
    <w:pPr>
      <w:spacing w:after="0"/>
    </w:pPr>
    <w:rPr>
      <w:rFonts w:ascii="Trebuchet MS" w:hAnsi="Trebuchet MS" w:cs="Times New Roman"/>
      <w:color w:val="auto"/>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12">
    <w:name w:val="Grid Table 5 Dark - Accent 112"/>
    <w:basedOn w:val="TableNormal"/>
    <w:next w:val="GridTable5DarkAccent1"/>
    <w:uiPriority w:val="50"/>
    <w:rsid w:val="00185EFA"/>
    <w:pPr>
      <w:spacing w:after="0"/>
    </w:pPr>
    <w:rPr>
      <w:rFonts w:ascii="Trebuchet MS" w:hAnsi="Trebuchet MS" w:cs="Times New Roman"/>
      <w:color w:val="auto"/>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13">
    <w:name w:val="Grid Table 5 Dark - Accent 113"/>
    <w:basedOn w:val="TableNormal"/>
    <w:next w:val="GridTable5DarkAccent1"/>
    <w:uiPriority w:val="50"/>
    <w:rsid w:val="00185EFA"/>
    <w:pPr>
      <w:spacing w:after="0"/>
    </w:pPr>
    <w:rPr>
      <w:rFonts w:ascii="Trebuchet MS" w:hAnsi="Trebuchet MS" w:cs="Times New Roman"/>
      <w:color w:val="auto"/>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eGrid10">
    <w:name w:val="Table Grid1"/>
    <w:basedOn w:val="TableNormal"/>
    <w:next w:val="TableGrid"/>
    <w:uiPriority w:val="59"/>
    <w:rsid w:val="00C0008F"/>
    <w:pPr>
      <w:spacing w:after="120"/>
    </w:pPr>
    <w:rPr>
      <w:rFonts w:ascii="Trebuchet MS" w:eastAsia="Times New Roman" w:hAnsi="Trebuchet MS"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RANORMAL">
    <w:name w:val="APRA NORMAL"/>
    <w:basedOn w:val="Normal"/>
    <w:link w:val="APRANORMALChar"/>
    <w:qFormat/>
    <w:rsid w:val="00624477"/>
    <w:pPr>
      <w:numPr>
        <w:numId w:val="0"/>
      </w:numPr>
    </w:pPr>
    <w:rPr>
      <w:rFonts w:cs="Times New Roman"/>
      <w:color w:val="auto"/>
      <w:lang w:val="en-GB"/>
    </w:rPr>
  </w:style>
  <w:style w:type="character" w:customStyle="1" w:styleId="APRANORMALChar">
    <w:name w:val="APRA NORMAL Char"/>
    <w:basedOn w:val="DefaultParagraphFont"/>
    <w:link w:val="APRANORMAL"/>
    <w:rsid w:val="00624477"/>
    <w:rPr>
      <w:rFonts w:ascii="DIN OT Light" w:hAnsi="DIN OT Light" w:cs="Times New Roman"/>
      <w:color w:val="auto"/>
      <w:lang w:val="en-GB"/>
    </w:rPr>
  </w:style>
  <w:style w:type="paragraph" w:customStyle="1" w:styleId="APRAHEADING1">
    <w:name w:val="APRA HEADING 1"/>
    <w:basedOn w:val="Normal"/>
    <w:link w:val="APRAHEADING1Char"/>
    <w:qFormat/>
    <w:rsid w:val="00624477"/>
    <w:pPr>
      <w:numPr>
        <w:numId w:val="0"/>
      </w:numPr>
      <w:pBdr>
        <w:bottom w:val="single" w:sz="4" w:space="3" w:color="BFBFBF" w:themeColor="background1" w:themeShade="BF"/>
      </w:pBdr>
      <w:spacing w:after="480"/>
    </w:pPr>
    <w:rPr>
      <w:rFonts w:ascii="DIN OT Medium" w:hAnsi="DIN OT Medium" w:cs="Times New Roman"/>
      <w:color w:val="002060"/>
      <w:sz w:val="40"/>
      <w:szCs w:val="40"/>
    </w:rPr>
  </w:style>
  <w:style w:type="character" w:customStyle="1" w:styleId="APRAHEADING1Char">
    <w:name w:val="APRA HEADING 1 Char"/>
    <w:basedOn w:val="DefaultParagraphFont"/>
    <w:link w:val="APRAHEADING1"/>
    <w:rsid w:val="00624477"/>
    <w:rPr>
      <w:rFonts w:ascii="DIN OT Medium" w:hAnsi="DIN OT Medium" w:cs="Times New Roman"/>
      <w:color w:val="002060"/>
      <w:sz w:val="40"/>
      <w:szCs w:val="40"/>
    </w:rPr>
  </w:style>
  <w:style w:type="paragraph" w:customStyle="1" w:styleId="APRAHEADING2">
    <w:name w:val="APRA HEADING 2"/>
    <w:link w:val="APRAHEADING2Char"/>
    <w:qFormat/>
    <w:rsid w:val="00624477"/>
    <w:pPr>
      <w:tabs>
        <w:tab w:val="left" w:pos="851"/>
      </w:tabs>
      <w:spacing w:before="360"/>
    </w:pPr>
    <w:rPr>
      <w:rFonts w:ascii="DIN OT Medium" w:hAnsi="DIN OT Medium" w:cs="Times New Roman"/>
      <w:color w:val="002060"/>
      <w:sz w:val="30"/>
      <w:szCs w:val="28"/>
    </w:rPr>
  </w:style>
  <w:style w:type="paragraph" w:customStyle="1" w:styleId="APRAHEADING3">
    <w:name w:val="APRA HEADING 3"/>
    <w:basedOn w:val="APRANORMAL"/>
    <w:link w:val="APRAHEADING3Char"/>
    <w:qFormat/>
    <w:rsid w:val="00624477"/>
    <w:pPr>
      <w:spacing w:before="360" w:after="120"/>
    </w:pPr>
    <w:rPr>
      <w:rFonts w:ascii="DIN OT Medium" w:hAnsi="DIN OT Medium"/>
      <w:color w:val="002060"/>
      <w:sz w:val="26"/>
      <w:szCs w:val="24"/>
    </w:rPr>
  </w:style>
  <w:style w:type="character" w:customStyle="1" w:styleId="APRAHEADING2Char">
    <w:name w:val="APRA HEADING 2 Char"/>
    <w:basedOn w:val="APRAHEADING1Char"/>
    <w:link w:val="APRAHEADING2"/>
    <w:rsid w:val="00624477"/>
    <w:rPr>
      <w:rFonts w:ascii="DIN OT Medium" w:hAnsi="DIN OT Medium" w:cs="Times New Roman"/>
      <w:color w:val="002060"/>
      <w:sz w:val="30"/>
      <w:szCs w:val="28"/>
    </w:rPr>
  </w:style>
  <w:style w:type="paragraph" w:customStyle="1" w:styleId="APRAHEADING4">
    <w:name w:val="APRA HEADING 4"/>
    <w:basedOn w:val="Normal"/>
    <w:link w:val="APRAHEADING4Char"/>
    <w:qFormat/>
    <w:rsid w:val="00624477"/>
    <w:pPr>
      <w:numPr>
        <w:numId w:val="0"/>
      </w:numPr>
      <w:suppressAutoHyphens/>
      <w:autoSpaceDE w:val="0"/>
      <w:autoSpaceDN w:val="0"/>
      <w:adjustRightInd w:val="0"/>
      <w:spacing w:before="240" w:after="60" w:line="288" w:lineRule="auto"/>
      <w:textAlignment w:val="center"/>
    </w:pPr>
    <w:rPr>
      <w:rFonts w:ascii="DIN OT Medium" w:hAnsi="DIN OT Medium" w:cs="DIN Offc"/>
      <w:bCs/>
      <w:color w:val="auto"/>
      <w:lang w:val="en-GB"/>
    </w:rPr>
  </w:style>
  <w:style w:type="character" w:customStyle="1" w:styleId="APRAHEADING3Char">
    <w:name w:val="APRA HEADING 3 Char"/>
    <w:basedOn w:val="APRANORMALChar"/>
    <w:link w:val="APRAHEADING3"/>
    <w:rsid w:val="00624477"/>
    <w:rPr>
      <w:rFonts w:ascii="DIN OT Medium" w:hAnsi="DIN OT Medium" w:cs="Times New Roman"/>
      <w:color w:val="002060"/>
      <w:sz w:val="26"/>
      <w:szCs w:val="24"/>
      <w:lang w:val="en-GB"/>
    </w:rPr>
  </w:style>
  <w:style w:type="paragraph" w:customStyle="1" w:styleId="APRAHEADING5">
    <w:name w:val="APRA HEADING 5"/>
    <w:basedOn w:val="APRAHEADING4"/>
    <w:link w:val="APRAHEADING5Char"/>
    <w:qFormat/>
    <w:rsid w:val="00624477"/>
    <w:rPr>
      <w:i/>
    </w:rPr>
  </w:style>
  <w:style w:type="character" w:customStyle="1" w:styleId="APRAHEADING4Char">
    <w:name w:val="APRA HEADING 4 Char"/>
    <w:basedOn w:val="DefaultParagraphFont"/>
    <w:link w:val="APRAHEADING4"/>
    <w:rsid w:val="00624477"/>
    <w:rPr>
      <w:rFonts w:ascii="DIN OT Medium" w:hAnsi="DIN OT Medium" w:cs="DIN Offc"/>
      <w:bCs/>
      <w:color w:val="auto"/>
      <w:lang w:val="en-GB"/>
    </w:rPr>
  </w:style>
  <w:style w:type="paragraph" w:customStyle="1" w:styleId="APRABULLET">
    <w:name w:val="APRA BULLET"/>
    <w:basedOn w:val="ListParagraph"/>
    <w:link w:val="APRABULLETChar"/>
    <w:qFormat/>
    <w:rsid w:val="00624477"/>
  </w:style>
  <w:style w:type="character" w:customStyle="1" w:styleId="APRAHEADING5Char">
    <w:name w:val="APRA HEADING 5 Char"/>
    <w:basedOn w:val="APRAHEADING4Char"/>
    <w:link w:val="APRAHEADING5"/>
    <w:rsid w:val="00624477"/>
    <w:rPr>
      <w:rFonts w:ascii="DIN OT Medium" w:hAnsi="DIN OT Medium" w:cs="DIN Offc"/>
      <w:bCs/>
      <w:i/>
      <w:color w:val="auto"/>
      <w:lang w:val="en-GB"/>
    </w:rPr>
  </w:style>
  <w:style w:type="character" w:customStyle="1" w:styleId="APRABULLETChar">
    <w:name w:val="APRA BULLET Char"/>
    <w:basedOn w:val="DefaultParagraphFont"/>
    <w:link w:val="APRABULLET"/>
    <w:rsid w:val="00624477"/>
  </w:style>
  <w:style w:type="table" w:customStyle="1" w:styleId="GridTable5Dark">
    <w:name w:val="Grid Table 5 Dark"/>
    <w:basedOn w:val="TableNormal"/>
    <w:uiPriority w:val="50"/>
    <w:locked/>
    <w:rsid w:val="00624477"/>
    <w:pPr>
      <w:spacing w:after="0"/>
    </w:pPr>
    <w:rPr>
      <w:rFonts w:ascii="Trebuchet MS" w:hAnsi="Trebuchet MS" w:cs="Times New Roman"/>
      <w:color w:val="aut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Revision">
    <w:name w:val="Revision"/>
    <w:hidden/>
    <w:uiPriority w:val="99"/>
    <w:semiHidden/>
    <w:rsid w:val="008F0472"/>
    <w:pPr>
      <w:spacing w:after="0"/>
    </w:pPr>
    <w:rPr>
      <w:rFonts w:ascii="DIN OT Light" w:hAnsi="DIN OT Ligh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DIN OT" w:eastAsiaTheme="minorHAnsi" w:hAnsi="DIN OT" w:cstheme="minorBidi"/>
        <w:color w:val="000000"/>
        <w:sz w:val="22"/>
        <w:szCs w:val="22"/>
        <w:lang w:val="en-AU" w:eastAsia="en-US" w:bidi="ar-SA"/>
      </w:rPr>
    </w:rPrDefault>
    <w:pPrDefault>
      <w:pPr>
        <w:spacing w:after="240"/>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locked="0" w:uiPriority="9" w:qFormat="1"/>
    <w:lsdException w:name="heading 5" w:locked="0" w:uiPriority="9" w:unhideWhenUsed="0" w:qFormat="1"/>
    <w:lsdException w:name="heading 6" w:locked="0" w:uiPriority="9" w:qFormat="1"/>
    <w:lsdException w:name="heading 7" w:locked="0" w:uiPriority="9" w:qFormat="1"/>
    <w:lsdException w:name="heading 8" w:locked="0" w:uiPriority="9" w:qFormat="1"/>
    <w:lsdException w:name="heading 9" w:locked="0" w:uiPriority="9" w:qFormat="1"/>
    <w:lsdException w:name="toc 1" w:semiHidden="0" w:uiPriority="39"/>
    <w:lsdException w:name="toc 2" w:uiPriority="39"/>
    <w:lsdException w:name="toc 3" w:uiPriority="39"/>
    <w:lsdException w:name="toc 4" w:locked="0" w:uiPriority="39"/>
    <w:lsdException w:name="toc 5" w:locked="0" w:uiPriority="39"/>
    <w:lsdException w:name="toc 6" w:locked="0" w:uiPriority="39"/>
    <w:lsdException w:name="toc 7" w:uiPriority="39"/>
    <w:lsdException w:name="toc 8" w:uiPriority="39"/>
    <w:lsdException w:name="toc 9" w:uiPriority="39"/>
    <w:lsdException w:name="footnote text" w:locked="0" w:semiHidden="0"/>
    <w:lsdException w:name="header" w:locked="0" w:semiHidden="0"/>
    <w:lsdException w:name="footer" w:locked="0" w:semiHidden="0"/>
    <w:lsdException w:name="caption" w:semiHidden="0" w:uiPriority="34" w:qFormat="1"/>
    <w:lsdException w:name="footnote reference" w:locked="0" w:semiHidden="0" w:qFormat="1"/>
    <w:lsdException w:name="endnote reference" w:locked="0" w:semiHidden="0"/>
    <w:lsdException w:name="endnote text" w:locked="0" w:semiHidden="0"/>
    <w:lsdException w:name="List" w:uiPriority="17" w:qFormat="1"/>
    <w:lsdException w:name="List Bullet" w:semiHidden="0" w:uiPriority="12" w:qFormat="1"/>
    <w:lsdException w:name="List Number" w:semiHidden="0" w:uiPriority="15" w:unhideWhenUsed="0" w:qFormat="1"/>
    <w:lsdException w:name="List 2" w:uiPriority="17" w:qFormat="1"/>
    <w:lsdException w:name="List 3" w:uiPriority="17" w:qFormat="1"/>
    <w:lsdException w:name="List Bullet 2" w:semiHidden="0" w:uiPriority="12" w:qFormat="1"/>
    <w:lsdException w:name="List Bullet 3" w:semiHidden="0" w:uiPriority="12" w:qFormat="1"/>
    <w:lsdException w:name="List Bullet 4" w:unhideWhenUsed="0" w:qFormat="1"/>
    <w:lsdException w:name="List Number 2" w:semiHidden="0" w:uiPriority="16" w:qFormat="1"/>
    <w:lsdException w:name="List Number 3" w:semiHidden="0" w:uiPriority="16" w:qFormat="1"/>
    <w:lsdException w:name="List Number 4" w:semiHidden="0" w:uiPriority="16" w:qFormat="1"/>
    <w:lsdException w:name="Title" w:semiHidden="0" w:uiPriority="31" w:unhideWhenUsed="0"/>
    <w:lsdException w:name="Signature" w:uiPriority="29"/>
    <w:lsdException w:name="Default Paragraph Font" w:locked="0" w:uiPriority="1"/>
    <w:lsdException w:name="Subtitle" w:uiPriority="11" w:qFormat="1"/>
    <w:lsdException w:name="Date" w:uiPriority="29" w:qFormat="1"/>
    <w:lsdException w:name="Hyperlink" w:locked="0"/>
    <w:lsdException w:name="FollowedHyperlink" w:locked="0" w:semiHidden="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uiPriority="20"/>
    <w:lsdException w:name="Normal Table" w:locked="0" w:semiHidden="0" w:unhideWhenUsed="0"/>
    <w:lsdException w:name="No List" w:locked="0"/>
    <w:lsdException w:name="Outline List 1" w:locked="0"/>
    <w:lsdException w:name="Outline List 3" w:locked="0"/>
    <w:lsdException w:name="Table Subtle 2" w:semiHidden="0" w:unhideWhenUsed="0"/>
    <w:lsdException w:name="Table Web 3" w:semiHidden="0" w:unhideWhenUsed="0"/>
    <w:lsdException w:name="Table Grid" w:semiHidden="0" w:uiPriority="59" w:unhideWhenUsed="0"/>
    <w:lsdException w:name="No Spacing" w:locked="0"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17" w:unhideWhenUsed="0" w:qFormat="1"/>
    <w:lsdException w:name="Quote" w:semiHidden="0" w:uiPriority="1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192"/>
    <w:pPr>
      <w:numPr>
        <w:numId w:val="5"/>
      </w:numPr>
    </w:pPr>
    <w:rPr>
      <w:rFonts w:ascii="DIN OT Light" w:hAnsi="DIN OT Light"/>
    </w:rPr>
  </w:style>
  <w:style w:type="paragraph" w:styleId="Heading1">
    <w:name w:val="heading 1"/>
    <w:basedOn w:val="Normal"/>
    <w:next w:val="Normal"/>
    <w:link w:val="Heading1Char"/>
    <w:uiPriority w:val="9"/>
    <w:qFormat/>
    <w:rsid w:val="00BB2437"/>
    <w:pPr>
      <w:keepNext/>
      <w:keepLines/>
      <w:pageBreakBefore/>
      <w:numPr>
        <w:numId w:val="0"/>
      </w:numPr>
      <w:pBdr>
        <w:bottom w:val="single" w:sz="4" w:space="3" w:color="BFBFBF" w:themeColor="background1" w:themeShade="BF"/>
      </w:pBdr>
      <w:spacing w:after="480"/>
      <w:outlineLvl w:val="0"/>
    </w:pPr>
    <w:rPr>
      <w:rFonts w:ascii="DIN OT Medium" w:eastAsiaTheme="majorEastAsia" w:hAnsi="DIN OT Medium" w:cstheme="majorBidi"/>
      <w:bCs/>
      <w:color w:val="012169" w:themeColor="text2"/>
      <w:sz w:val="48"/>
      <w:szCs w:val="28"/>
    </w:rPr>
  </w:style>
  <w:style w:type="paragraph" w:styleId="Heading2">
    <w:name w:val="heading 2"/>
    <w:basedOn w:val="Normal"/>
    <w:next w:val="Normal"/>
    <w:link w:val="Heading2Char"/>
    <w:uiPriority w:val="9"/>
    <w:qFormat/>
    <w:rsid w:val="00F61362"/>
    <w:pPr>
      <w:keepNext/>
      <w:keepLines/>
      <w:numPr>
        <w:numId w:val="0"/>
      </w:numPr>
      <w:spacing w:before="320"/>
      <w:outlineLvl w:val="1"/>
    </w:pPr>
    <w:rPr>
      <w:rFonts w:ascii="DIN OT Medium" w:eastAsiaTheme="majorEastAsia" w:hAnsi="DIN OT Medium" w:cstheme="majorBidi"/>
      <w:bCs/>
      <w:color w:val="012169" w:themeColor="text2"/>
      <w:sz w:val="30"/>
      <w:szCs w:val="26"/>
    </w:rPr>
  </w:style>
  <w:style w:type="paragraph" w:styleId="Heading3">
    <w:name w:val="heading 3"/>
    <w:basedOn w:val="Normal"/>
    <w:next w:val="Normal"/>
    <w:link w:val="Heading3Char"/>
    <w:uiPriority w:val="9"/>
    <w:qFormat/>
    <w:rsid w:val="007568F8"/>
    <w:pPr>
      <w:keepNext/>
      <w:keepLines/>
      <w:numPr>
        <w:numId w:val="0"/>
      </w:numPr>
      <w:spacing w:before="280" w:after="120"/>
      <w:outlineLvl w:val="2"/>
    </w:pPr>
    <w:rPr>
      <w:rFonts w:ascii="DIN OT Medium" w:eastAsiaTheme="majorEastAsia" w:hAnsi="DIN OT Medium" w:cstheme="majorBidi"/>
      <w:bCs/>
      <w:color w:val="012169" w:themeColor="text2"/>
      <w:sz w:val="26"/>
    </w:rPr>
  </w:style>
  <w:style w:type="paragraph" w:styleId="Heading4">
    <w:name w:val="heading 4"/>
    <w:basedOn w:val="Normal"/>
    <w:next w:val="Normal"/>
    <w:link w:val="Heading4Char"/>
    <w:uiPriority w:val="9"/>
    <w:qFormat/>
    <w:rsid w:val="0016272E"/>
    <w:pPr>
      <w:keepNext/>
      <w:keepLines/>
      <w:numPr>
        <w:numId w:val="0"/>
      </w:numPr>
      <w:spacing w:before="240" w:after="120"/>
      <w:outlineLvl w:val="3"/>
    </w:pPr>
    <w:rPr>
      <w:rFonts w:ascii="DIN OT Medium" w:eastAsiaTheme="majorEastAsia" w:hAnsi="DIN OT Medium" w:cstheme="majorBidi"/>
      <w:bCs/>
      <w:i/>
      <w:iCs/>
      <w:color w:val="012169" w:themeColor="text2"/>
      <w:sz w:val="26"/>
    </w:rPr>
  </w:style>
  <w:style w:type="paragraph" w:styleId="Heading5">
    <w:name w:val="heading 5"/>
    <w:basedOn w:val="Normal"/>
    <w:next w:val="Normal"/>
    <w:link w:val="Heading5Char"/>
    <w:uiPriority w:val="9"/>
    <w:qFormat/>
    <w:rsid w:val="006C6C47"/>
    <w:pPr>
      <w:keepNext/>
      <w:keepLines/>
      <w:numPr>
        <w:numId w:val="0"/>
      </w:numPr>
      <w:spacing w:before="240" w:after="60"/>
      <w:outlineLvl w:val="4"/>
    </w:pPr>
    <w:rPr>
      <w:rFonts w:ascii="DIN OT Medium" w:eastAsiaTheme="majorEastAsia" w:hAnsi="DIN OT Medium" w:cstheme="majorBidi"/>
      <w:color w:val="000000" w:themeColor="text1"/>
    </w:rPr>
  </w:style>
  <w:style w:type="paragraph" w:styleId="Heading6">
    <w:name w:val="heading 6"/>
    <w:basedOn w:val="Normal"/>
    <w:next w:val="Normal"/>
    <w:link w:val="Heading6Char"/>
    <w:uiPriority w:val="9"/>
    <w:semiHidden/>
    <w:qFormat/>
    <w:rsid w:val="00BB6983"/>
    <w:pPr>
      <w:keepNext/>
      <w:keepLines/>
      <w:numPr>
        <w:numId w:val="0"/>
      </w:numPr>
      <w:spacing w:after="120" w:line="288" w:lineRule="auto"/>
      <w:outlineLvl w:val="5"/>
    </w:pPr>
    <w:rPr>
      <w:rFonts w:ascii="DIN Offc Medium" w:eastAsiaTheme="majorEastAsia" w:hAnsi="DIN Offc Medium" w:cstheme="majorBidi"/>
      <w:i/>
      <w:iCs/>
      <w:color w:val="012169" w:themeColor="text2"/>
    </w:rPr>
  </w:style>
  <w:style w:type="paragraph" w:styleId="Heading7">
    <w:name w:val="heading 7"/>
    <w:basedOn w:val="Normal"/>
    <w:next w:val="Normal"/>
    <w:link w:val="Heading7Char"/>
    <w:uiPriority w:val="9"/>
    <w:semiHidden/>
    <w:qFormat/>
    <w:rsid w:val="00BB6983"/>
    <w:pPr>
      <w:keepNext/>
      <w:keepLines/>
      <w:numPr>
        <w:numId w:val="0"/>
      </w:numPr>
      <w:spacing w:after="120" w:line="288" w:lineRule="auto"/>
      <w:outlineLvl w:val="6"/>
    </w:pPr>
    <w:rPr>
      <w:rFonts w:ascii="DIN Offc Medium" w:eastAsiaTheme="majorEastAsia" w:hAnsi="DIN Offc Medium" w:cstheme="majorBidi"/>
      <w:i/>
      <w:iCs/>
      <w:color w:val="012169" w:themeColor="text2"/>
    </w:rPr>
  </w:style>
  <w:style w:type="paragraph" w:styleId="Heading8">
    <w:name w:val="heading 8"/>
    <w:basedOn w:val="Normal"/>
    <w:next w:val="Normal"/>
    <w:link w:val="Heading8Char"/>
    <w:uiPriority w:val="9"/>
    <w:semiHidden/>
    <w:qFormat/>
    <w:rsid w:val="00BB6983"/>
    <w:pPr>
      <w:keepNext/>
      <w:keepLines/>
      <w:numPr>
        <w:numId w:val="0"/>
      </w:numPr>
      <w:spacing w:after="120" w:line="288" w:lineRule="auto"/>
      <w:outlineLvl w:val="7"/>
    </w:pPr>
    <w:rPr>
      <w:rFonts w:ascii="DIN Offc Medium" w:eastAsiaTheme="majorEastAsia" w:hAnsi="DIN Offc Medium" w:cstheme="majorBidi"/>
      <w:i/>
      <w:color w:val="012169" w:themeColor="text2"/>
    </w:rPr>
  </w:style>
  <w:style w:type="paragraph" w:styleId="Heading9">
    <w:name w:val="heading 9"/>
    <w:basedOn w:val="Normal"/>
    <w:next w:val="Normal"/>
    <w:link w:val="Heading9Char"/>
    <w:uiPriority w:val="9"/>
    <w:semiHidden/>
    <w:qFormat/>
    <w:rsid w:val="00BB6983"/>
    <w:pPr>
      <w:keepNext/>
      <w:keepLines/>
      <w:numPr>
        <w:numId w:val="0"/>
      </w:numPr>
      <w:spacing w:after="120" w:line="288" w:lineRule="auto"/>
      <w:outlineLvl w:val="8"/>
    </w:pPr>
    <w:rPr>
      <w:rFonts w:ascii="DIN Offc Medium" w:eastAsiaTheme="majorEastAsia" w:hAnsi="DIN Offc Medium" w:cstheme="majorBidi"/>
      <w:i/>
      <w:iCs/>
      <w:color w:val="012169"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437"/>
    <w:rPr>
      <w:rFonts w:ascii="DIN OT Medium" w:eastAsiaTheme="majorEastAsia" w:hAnsi="DIN OT Medium" w:cstheme="majorBidi"/>
      <w:bCs/>
      <w:color w:val="012169" w:themeColor="text2"/>
      <w:sz w:val="48"/>
      <w:szCs w:val="28"/>
    </w:rPr>
  </w:style>
  <w:style w:type="character" w:customStyle="1" w:styleId="Heading2Char">
    <w:name w:val="Heading 2 Char"/>
    <w:basedOn w:val="DefaultParagraphFont"/>
    <w:link w:val="Heading2"/>
    <w:uiPriority w:val="9"/>
    <w:rsid w:val="00F61362"/>
    <w:rPr>
      <w:rFonts w:ascii="DIN OT Medium" w:eastAsiaTheme="majorEastAsia" w:hAnsi="DIN OT Medium" w:cstheme="majorBidi"/>
      <w:bCs/>
      <w:color w:val="012169" w:themeColor="text2"/>
      <w:sz w:val="30"/>
      <w:szCs w:val="26"/>
    </w:rPr>
  </w:style>
  <w:style w:type="character" w:customStyle="1" w:styleId="Heading3Char">
    <w:name w:val="Heading 3 Char"/>
    <w:basedOn w:val="DefaultParagraphFont"/>
    <w:link w:val="Heading3"/>
    <w:uiPriority w:val="9"/>
    <w:rsid w:val="007568F8"/>
    <w:rPr>
      <w:rFonts w:ascii="DIN OT Medium" w:eastAsiaTheme="majorEastAsia" w:hAnsi="DIN OT Medium" w:cstheme="majorBidi"/>
      <w:bCs/>
      <w:color w:val="012169" w:themeColor="text2"/>
      <w:sz w:val="26"/>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AD393D"/>
    <w:pPr>
      <w:keepNext/>
      <w:keepLines/>
      <w:numPr>
        <w:numId w:val="0"/>
      </w:numPr>
      <w:spacing w:before="240" w:after="120"/>
    </w:pPr>
    <w:rPr>
      <w:rFonts w:ascii="DIN OT Medium" w:hAnsi="DIN OT Medium"/>
      <w:color w:val="012169" w:themeColor="text2"/>
      <w:sz w:val="26"/>
    </w:rPr>
  </w:style>
  <w:style w:type="character" w:customStyle="1" w:styleId="Heading4Char">
    <w:name w:val="Heading 4 Char"/>
    <w:basedOn w:val="DefaultParagraphFont"/>
    <w:link w:val="Heading4"/>
    <w:uiPriority w:val="9"/>
    <w:rsid w:val="0016272E"/>
    <w:rPr>
      <w:rFonts w:ascii="DIN OT Medium" w:eastAsiaTheme="majorEastAsia" w:hAnsi="DIN OT Medium" w:cstheme="majorBidi"/>
      <w:bCs/>
      <w:i/>
      <w:iCs/>
      <w:color w:val="012169" w:themeColor="text2"/>
      <w:sz w:val="26"/>
    </w:rPr>
  </w:style>
  <w:style w:type="paragraph" w:styleId="ListBullet">
    <w:name w:val="List Bullet"/>
    <w:basedOn w:val="Normal"/>
    <w:uiPriority w:val="12"/>
    <w:qFormat/>
    <w:rsid w:val="00641EAA"/>
    <w:pPr>
      <w:numPr>
        <w:numId w:val="8"/>
      </w:numPr>
    </w:pPr>
  </w:style>
  <w:style w:type="paragraph" w:styleId="ListBullet2">
    <w:name w:val="List Bullet 2"/>
    <w:basedOn w:val="ListBullet"/>
    <w:uiPriority w:val="12"/>
    <w:qFormat/>
    <w:rsid w:val="00641EAA"/>
    <w:pPr>
      <w:numPr>
        <w:ilvl w:val="1"/>
      </w:numPr>
    </w:pPr>
  </w:style>
  <w:style w:type="paragraph" w:styleId="ListNumber">
    <w:name w:val="List Number"/>
    <w:basedOn w:val="Normal"/>
    <w:uiPriority w:val="15"/>
    <w:qFormat/>
    <w:rsid w:val="00662E28"/>
    <w:pPr>
      <w:numPr>
        <w:numId w:val="14"/>
      </w:numPr>
    </w:pPr>
  </w:style>
  <w:style w:type="paragraph" w:styleId="ListNumber2">
    <w:name w:val="List Number 2"/>
    <w:basedOn w:val="Normal"/>
    <w:uiPriority w:val="16"/>
    <w:qFormat/>
    <w:rsid w:val="00662E28"/>
    <w:pPr>
      <w:numPr>
        <w:ilvl w:val="1"/>
        <w:numId w:val="14"/>
      </w:numPr>
    </w:pPr>
  </w:style>
  <w:style w:type="numbering" w:customStyle="1" w:styleId="HeadingList">
    <w:name w:val="Heading List"/>
    <w:uiPriority w:val="99"/>
    <w:rsid w:val="001241CB"/>
  </w:style>
  <w:style w:type="paragraph" w:styleId="ListNumber3">
    <w:name w:val="List Number 3"/>
    <w:basedOn w:val="Normal"/>
    <w:uiPriority w:val="16"/>
    <w:qFormat/>
    <w:rsid w:val="00662E28"/>
    <w:pPr>
      <w:numPr>
        <w:ilvl w:val="2"/>
        <w:numId w:val="14"/>
      </w:numPr>
    </w:pPr>
  </w:style>
  <w:style w:type="paragraph" w:styleId="Title">
    <w:name w:val="Title"/>
    <w:basedOn w:val="Normal"/>
    <w:next w:val="Normal"/>
    <w:link w:val="TitleChar"/>
    <w:uiPriority w:val="31"/>
    <w:rsid w:val="00DD5719"/>
    <w:pPr>
      <w:numPr>
        <w:numId w:val="0"/>
      </w:numPr>
      <w:pBdr>
        <w:bottom w:val="single" w:sz="24" w:space="10" w:color="012169" w:themeColor="accent1"/>
      </w:pBdr>
      <w:spacing w:after="0" w:line="192" w:lineRule="auto"/>
      <w:ind w:right="567"/>
    </w:pPr>
    <w:rPr>
      <w:rFonts w:ascii="DIN OT Medium" w:eastAsiaTheme="majorEastAsia" w:hAnsi="DIN OT Medium" w:cstheme="majorBidi"/>
      <w:caps/>
      <w:color w:val="012169" w:themeColor="text2"/>
      <w:sz w:val="80"/>
      <w:szCs w:val="52"/>
    </w:rPr>
  </w:style>
  <w:style w:type="character" w:customStyle="1" w:styleId="TitleChar">
    <w:name w:val="Title Char"/>
    <w:basedOn w:val="DefaultParagraphFont"/>
    <w:link w:val="Title"/>
    <w:uiPriority w:val="31"/>
    <w:rsid w:val="000E3427"/>
    <w:rPr>
      <w:rFonts w:ascii="DIN OT Medium" w:eastAsiaTheme="majorEastAsia" w:hAnsi="DIN OT Medium" w:cstheme="majorBidi"/>
      <w:caps/>
      <w:color w:val="012169" w:themeColor="text2"/>
      <w:sz w:val="80"/>
      <w:szCs w:val="52"/>
    </w:rPr>
  </w:style>
  <w:style w:type="numbering" w:styleId="111111">
    <w:name w:val="Outline List 2"/>
    <w:basedOn w:val="NoList"/>
    <w:uiPriority w:val="99"/>
    <w:semiHidden/>
    <w:unhideWhenUsed/>
    <w:locked/>
    <w:rsid w:val="00466648"/>
  </w:style>
  <w:style w:type="paragraph" w:styleId="TOC1">
    <w:name w:val="toc 1"/>
    <w:basedOn w:val="Normal"/>
    <w:next w:val="Normal"/>
    <w:autoRedefine/>
    <w:uiPriority w:val="39"/>
    <w:unhideWhenUsed/>
    <w:rsid w:val="008071C6"/>
    <w:pPr>
      <w:numPr>
        <w:numId w:val="0"/>
      </w:numPr>
      <w:tabs>
        <w:tab w:val="right" w:pos="9027"/>
      </w:tabs>
    </w:pPr>
    <w:rPr>
      <w:rFonts w:ascii="DIN OT Medium" w:hAnsi="DIN OT Medium"/>
    </w:rPr>
  </w:style>
  <w:style w:type="paragraph" w:styleId="TOCHeading">
    <w:name w:val="TOC Heading"/>
    <w:basedOn w:val="Heading1"/>
    <w:next w:val="Normal"/>
    <w:uiPriority w:val="39"/>
    <w:unhideWhenUsed/>
    <w:qFormat/>
    <w:rsid w:val="00616C90"/>
    <w:pPr>
      <w:outlineLvl w:val="9"/>
    </w:pPr>
  </w:style>
  <w:style w:type="paragraph" w:styleId="Footer">
    <w:name w:val="footer"/>
    <w:basedOn w:val="Normal"/>
    <w:link w:val="FooterChar"/>
    <w:uiPriority w:val="99"/>
    <w:rsid w:val="00EE70EE"/>
    <w:pPr>
      <w:numPr>
        <w:numId w:val="0"/>
      </w:numPr>
      <w:tabs>
        <w:tab w:val="right" w:pos="9639"/>
      </w:tabs>
      <w:spacing w:after="0" w:line="200" w:lineRule="exact"/>
      <w:contextualSpacing/>
    </w:pPr>
    <w:rPr>
      <w:caps/>
      <w:sz w:val="16"/>
    </w:rPr>
  </w:style>
  <w:style w:type="character" w:customStyle="1" w:styleId="FooterChar">
    <w:name w:val="Footer Char"/>
    <w:basedOn w:val="DefaultParagraphFont"/>
    <w:link w:val="Footer"/>
    <w:uiPriority w:val="99"/>
    <w:rsid w:val="00EE70EE"/>
    <w:rPr>
      <w:rFonts w:ascii="DIN OT Light" w:hAnsi="DIN OT Light"/>
      <w:caps/>
      <w:sz w:val="16"/>
    </w:rPr>
  </w:style>
  <w:style w:type="paragraph" w:styleId="ListBullet3">
    <w:name w:val="List Bullet 3"/>
    <w:basedOn w:val="Normal"/>
    <w:uiPriority w:val="12"/>
    <w:qFormat/>
    <w:rsid w:val="00641EAA"/>
    <w:pPr>
      <w:numPr>
        <w:ilvl w:val="2"/>
        <w:numId w:val="8"/>
      </w:numPr>
    </w:pPr>
  </w:style>
  <w:style w:type="table" w:styleId="TableGrid">
    <w:name w:val="Table Grid"/>
    <w:basedOn w:val="TableNormal"/>
    <w:uiPriority w:val="59"/>
    <w:rsid w:val="00B20DFD"/>
    <w:pPr>
      <w:spacing w:before="60" w:after="60"/>
    </w:pPr>
    <w:rPr>
      <w:sz w:val="20"/>
    </w:r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rFonts w:ascii="DIN OT Medium" w:hAnsi="DIN OT Medium"/>
        <w:b w:val="0"/>
        <w:color w:val="FFFFFF" w:themeColor="background1"/>
      </w:rPr>
      <w:tblPr/>
      <w:trPr>
        <w:cantSplit/>
        <w:tblHeader/>
      </w:trPr>
      <w:tcPr>
        <w:shd w:val="clear" w:color="auto" w:fill="012169" w:themeFill="accent1"/>
      </w:tcPr>
    </w:tblStylePr>
    <w:tblStylePr w:type="lastRow">
      <w:rPr>
        <w:rFonts w:ascii="DIN OT Medium" w:hAnsi="DIN OT Medium"/>
        <w:b w:val="0"/>
      </w:rPr>
      <w:tblPr/>
      <w:tcPr>
        <w:shd w:val="clear" w:color="auto" w:fill="EAECEE" w:themeFill="accent4" w:themeFillTint="33"/>
      </w:tcPr>
    </w:tblStylePr>
    <w:tblStylePr w:type="firstCol">
      <w:rPr>
        <w:rFonts w:ascii="DIN OT Medium" w:hAnsi="DIN OT Medium"/>
        <w:b w:val="0"/>
        <w:color w:val="auto"/>
      </w:rPr>
    </w:tblStylePr>
    <w:tblStylePr w:type="lastCol">
      <w:pPr>
        <w:jc w:val="right"/>
      </w:pPr>
      <w:rPr>
        <w:rFonts w:ascii="DIN OT Medium" w:hAnsi="DIN OT Medium"/>
        <w:b w:val="0"/>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27194D"/>
    <w:pPr>
      <w:tabs>
        <w:tab w:val="left" w:pos="1134"/>
      </w:tabs>
      <w:spacing w:before="240" w:after="120"/>
    </w:pPr>
    <w:rPr>
      <w:rFonts w:ascii="DIN OT Medium" w:hAnsi="DIN OT Medium"/>
      <w:bCs/>
      <w:i/>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29"/>
    <w:qFormat/>
    <w:locked/>
    <w:rsid w:val="003B51A4"/>
    <w:pPr>
      <w:numPr>
        <w:numId w:val="0"/>
      </w:numPr>
      <w:spacing w:after="840"/>
      <w:contextualSpacing/>
    </w:pPr>
  </w:style>
  <w:style w:type="character" w:customStyle="1" w:styleId="DateChar">
    <w:name w:val="Date Char"/>
    <w:basedOn w:val="DefaultParagraphFont"/>
    <w:link w:val="Date"/>
    <w:uiPriority w:val="29"/>
    <w:rsid w:val="003B51A4"/>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16272E"/>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16272E"/>
    <w:rPr>
      <w:sz w:val="18"/>
    </w:rPr>
  </w:style>
  <w:style w:type="character" w:customStyle="1" w:styleId="Heading5Char">
    <w:name w:val="Heading 5 Char"/>
    <w:basedOn w:val="DefaultParagraphFont"/>
    <w:link w:val="Heading5"/>
    <w:uiPriority w:val="9"/>
    <w:rsid w:val="006C6C47"/>
    <w:rPr>
      <w:rFonts w:ascii="DIN OT Medium" w:eastAsiaTheme="majorEastAsia" w:hAnsi="DIN OT Medium" w:cstheme="majorBidi"/>
      <w:color w:val="000000" w:themeColor="text1"/>
    </w:rPr>
  </w:style>
  <w:style w:type="character" w:customStyle="1" w:styleId="Heading6Char">
    <w:name w:val="Heading 6 Char"/>
    <w:basedOn w:val="DefaultParagraphFont"/>
    <w:link w:val="Heading6"/>
    <w:uiPriority w:val="9"/>
    <w:semiHidden/>
    <w:rsid w:val="00283DF4"/>
    <w:rPr>
      <w:rFonts w:ascii="DIN Offc Medium" w:eastAsiaTheme="majorEastAsia" w:hAnsi="DIN Offc Medium" w:cstheme="majorBidi"/>
      <w:i/>
      <w:iCs/>
      <w:color w:val="012169" w:themeColor="text2"/>
    </w:rPr>
  </w:style>
  <w:style w:type="character" w:customStyle="1" w:styleId="Heading7Char">
    <w:name w:val="Heading 7 Char"/>
    <w:basedOn w:val="DefaultParagraphFont"/>
    <w:link w:val="Heading7"/>
    <w:uiPriority w:val="9"/>
    <w:semiHidden/>
    <w:rsid w:val="00283DF4"/>
    <w:rPr>
      <w:rFonts w:ascii="DIN Offc Medium" w:eastAsiaTheme="majorEastAsia" w:hAnsi="DIN Offc Medium" w:cstheme="majorBidi"/>
      <w:i/>
      <w:iCs/>
      <w:color w:val="012169" w:themeColor="text2"/>
    </w:rPr>
  </w:style>
  <w:style w:type="character" w:customStyle="1" w:styleId="Heading8Char">
    <w:name w:val="Heading 8 Char"/>
    <w:basedOn w:val="DefaultParagraphFont"/>
    <w:link w:val="Heading8"/>
    <w:uiPriority w:val="9"/>
    <w:semiHidden/>
    <w:rsid w:val="00283DF4"/>
    <w:rPr>
      <w:rFonts w:ascii="DIN Offc Medium" w:eastAsiaTheme="majorEastAsia" w:hAnsi="DIN Offc Medium" w:cstheme="majorBidi"/>
      <w:i/>
      <w:color w:val="012169" w:themeColor="text2"/>
    </w:rPr>
  </w:style>
  <w:style w:type="character" w:customStyle="1" w:styleId="Heading9Char">
    <w:name w:val="Heading 9 Char"/>
    <w:basedOn w:val="DefaultParagraphFont"/>
    <w:link w:val="Heading9"/>
    <w:uiPriority w:val="9"/>
    <w:semiHidden/>
    <w:rsid w:val="00283DF4"/>
    <w:rPr>
      <w:rFonts w:ascii="DIN Offc Medium" w:eastAsiaTheme="majorEastAsia" w:hAnsi="DIN Offc Medium" w:cstheme="majorBidi"/>
      <w:i/>
      <w:iCs/>
      <w:color w:val="012169" w:themeColor="text2"/>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17"/>
    <w:qFormat/>
    <w:rsid w:val="00BB7EB9"/>
    <w:pPr>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E910A2"/>
    <w:pPr>
      <w:numPr>
        <w:numId w:val="0"/>
      </w:numPr>
    </w:pPr>
    <w:rPr>
      <w:rFonts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945635"/>
    <w:pPr>
      <w:numPr>
        <w:numId w:val="0"/>
      </w:numPr>
      <w:ind w:left="425" w:right="425"/>
    </w:pPr>
    <w:rPr>
      <w:i/>
      <w:iCs/>
    </w:rPr>
  </w:style>
  <w:style w:type="character" w:customStyle="1" w:styleId="QuoteChar">
    <w:name w:val="Quote Char"/>
    <w:basedOn w:val="DefaultParagraphFont"/>
    <w:link w:val="Quote"/>
    <w:uiPriority w:val="19"/>
    <w:rsid w:val="00945635"/>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pPr>
  </w:style>
  <w:style w:type="character" w:customStyle="1" w:styleId="SignatureChar">
    <w:name w:val="Signature Char"/>
    <w:basedOn w:val="DefaultParagraphFont"/>
    <w:link w:val="Signature"/>
    <w:uiPriority w:val="29"/>
    <w:semiHidden/>
    <w:rsid w:val="00E910A2"/>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FC398C"/>
    <w:pPr>
      <w:numPr>
        <w:numId w:val="0"/>
      </w:numPr>
      <w:tabs>
        <w:tab w:val="left" w:pos="851"/>
        <w:tab w:val="right" w:pos="9027"/>
      </w:tabs>
      <w:ind w:left="850" w:hanging="737"/>
    </w:pPr>
  </w:style>
  <w:style w:type="paragraph" w:styleId="TOC3">
    <w:name w:val="toc 3"/>
    <w:basedOn w:val="Normal"/>
    <w:next w:val="Normal"/>
    <w:autoRedefine/>
    <w:uiPriority w:val="39"/>
    <w:rsid w:val="00AD393D"/>
    <w:pPr>
      <w:numPr>
        <w:numId w:val="0"/>
      </w:numPr>
      <w:tabs>
        <w:tab w:val="left" w:pos="851"/>
        <w:tab w:val="right" w:pos="9038"/>
      </w:tabs>
      <w:ind w:left="1702" w:hanging="851"/>
    </w:pPr>
  </w:style>
  <w:style w:type="paragraph" w:styleId="TOC4">
    <w:name w:val="toc 4"/>
    <w:basedOn w:val="Normal"/>
    <w:next w:val="Normal"/>
    <w:autoRedefine/>
    <w:uiPriority w:val="39"/>
    <w:rsid w:val="00AD393D"/>
    <w:pPr>
      <w:numPr>
        <w:numId w:val="0"/>
      </w:numPr>
      <w:tabs>
        <w:tab w:val="right" w:pos="9027"/>
      </w:tabs>
    </w:pPr>
    <w:rPr>
      <w:rFonts w:ascii="DIN OT Medium" w:hAnsi="DIN OT Medium"/>
    </w:rPr>
  </w:style>
  <w:style w:type="paragraph" w:styleId="TOC5">
    <w:name w:val="toc 5"/>
    <w:basedOn w:val="Normal"/>
    <w:next w:val="Normal"/>
    <w:autoRedefine/>
    <w:uiPriority w:val="39"/>
    <w:rsid w:val="00FC398C"/>
    <w:pPr>
      <w:numPr>
        <w:numId w:val="0"/>
      </w:numPr>
      <w:tabs>
        <w:tab w:val="left" w:pos="851"/>
        <w:tab w:val="right" w:pos="9027"/>
      </w:tabs>
      <w:ind w:left="113"/>
    </w:pPr>
  </w:style>
  <w:style w:type="paragraph" w:styleId="TOC6">
    <w:name w:val="toc 6"/>
    <w:basedOn w:val="Normal"/>
    <w:next w:val="Normal"/>
    <w:autoRedefine/>
    <w:uiPriority w:val="39"/>
    <w:rsid w:val="00EE70EE"/>
    <w:pPr>
      <w:numPr>
        <w:numId w:val="0"/>
      </w:numPr>
      <w:tabs>
        <w:tab w:val="left" w:pos="851"/>
        <w:tab w:val="right" w:pos="9027"/>
      </w:tabs>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144295"/>
  </w:style>
  <w:style w:type="numbering" w:customStyle="1" w:styleId="BulletList">
    <w:name w:val="Bullet List"/>
    <w:uiPriority w:val="99"/>
    <w:rsid w:val="00641EAA"/>
    <w:pPr>
      <w:numPr>
        <w:numId w:val="8"/>
      </w:numPr>
    </w:pPr>
  </w:style>
  <w:style w:type="paragraph" w:customStyle="1" w:styleId="PaperTitle">
    <w:name w:val="Paper Title"/>
    <w:next w:val="CoverDate"/>
    <w:uiPriority w:val="31"/>
    <w:rsid w:val="007E7F27"/>
    <w:pPr>
      <w:spacing w:before="2760"/>
      <w:contextualSpacing/>
    </w:pPr>
    <w:rPr>
      <w:rFonts w:ascii="DIN OT Medium" w:eastAsiaTheme="majorEastAsia" w:hAnsi="DIN OT Medium" w:cstheme="majorBidi"/>
      <w:color w:val="012169" w:themeColor="text2"/>
      <w:sz w:val="44"/>
      <w:szCs w:val="52"/>
    </w:rPr>
  </w:style>
  <w:style w:type="table" w:customStyle="1" w:styleId="GridTable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ttachmentHeading">
    <w:name w:val="Attachment Heading"/>
    <w:basedOn w:val="Heading1"/>
    <w:next w:val="Normal"/>
    <w:uiPriority w:val="10"/>
    <w:qFormat/>
    <w:rsid w:val="003A2733"/>
    <w:pPr>
      <w:numPr>
        <w:numId w:val="16"/>
      </w:numPr>
    </w:pPr>
  </w:style>
  <w:style w:type="paragraph" w:customStyle="1" w:styleId="AttachmentSubHeading">
    <w:name w:val="Attachment Sub Heading"/>
    <w:basedOn w:val="Heading2"/>
    <w:next w:val="Normal"/>
    <w:uiPriority w:val="10"/>
    <w:qFormat/>
    <w:rsid w:val="003A2733"/>
  </w:style>
  <w:style w:type="paragraph" w:customStyle="1" w:styleId="Heading1Numbers">
    <w:name w:val="Heading 1 Numbers"/>
    <w:basedOn w:val="Heading1"/>
    <w:next w:val="Normal"/>
    <w:uiPriority w:val="9"/>
    <w:qFormat/>
    <w:rsid w:val="00BA627A"/>
    <w:pPr>
      <w:numPr>
        <w:numId w:val="6"/>
      </w:numPr>
    </w:pPr>
  </w:style>
  <w:style w:type="paragraph" w:customStyle="1" w:styleId="Heading2Numbers">
    <w:name w:val="Heading 2 Numbers"/>
    <w:basedOn w:val="Heading2"/>
    <w:next w:val="Normal"/>
    <w:uiPriority w:val="9"/>
    <w:qFormat/>
    <w:rsid w:val="00AD393D"/>
    <w:pPr>
      <w:numPr>
        <w:ilvl w:val="1"/>
        <w:numId w:val="6"/>
      </w:numPr>
      <w:ind w:left="851"/>
    </w:pPr>
    <w:rPr>
      <w:bCs w:val="0"/>
    </w:rPr>
  </w:style>
  <w:style w:type="paragraph" w:customStyle="1" w:styleId="Heading3Numbers">
    <w:name w:val="Heading 3 Numbers"/>
    <w:basedOn w:val="Heading3"/>
    <w:next w:val="Normal"/>
    <w:uiPriority w:val="9"/>
    <w:qFormat/>
    <w:rsid w:val="00BA627A"/>
    <w:pPr>
      <w:numPr>
        <w:ilvl w:val="2"/>
        <w:numId w:val="6"/>
      </w:numPr>
    </w:pPr>
  </w:style>
  <w:style w:type="paragraph" w:customStyle="1" w:styleId="Heading4NoNumber">
    <w:name w:val="Heading 4 No Number"/>
    <w:basedOn w:val="Heading4"/>
    <w:uiPriority w:val="9"/>
    <w:semiHidden/>
    <w:qFormat/>
    <w:rsid w:val="00BA627A"/>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semiHidden/>
    <w:qFormat/>
    <w:rsid w:val="00E910A2"/>
    <w:pPr>
      <w:numPr>
        <w:numId w:val="0"/>
      </w:numPr>
    </w:pPr>
    <w:rPr>
      <w:rFonts w:ascii="DIN Offc Medium" w:hAnsi="DIN Offc Medium"/>
      <w:caps/>
      <w:shd w:val="clear" w:color="auto" w:fill="FFFFFF"/>
    </w:rPr>
  </w:style>
  <w:style w:type="table" w:customStyle="1"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uiPriority w:val="31"/>
    <w:rsid w:val="005113A6"/>
    <w:rPr>
      <w:rFonts w:ascii="DIN OT Medium" w:eastAsiaTheme="majorEastAsia" w:hAnsi="DIN OT Medium" w:cstheme="majorBidi"/>
      <w:color w:val="00A9E0" w:themeColor="background2"/>
      <w:sz w:val="24"/>
      <w:szCs w:val="52"/>
    </w:rPr>
  </w:style>
  <w:style w:type="paragraph" w:customStyle="1" w:styleId="Address">
    <w:name w:val="Address"/>
    <w:basedOn w:val="Normal"/>
    <w:uiPriority w:val="29"/>
    <w:qFormat/>
    <w:rsid w:val="00E910A2"/>
    <w:pPr>
      <w:numPr>
        <w:numId w:val="0"/>
      </w:numPr>
      <w:spacing w:after="840"/>
      <w:contextualSpacing/>
    </w:pPr>
  </w:style>
  <w:style w:type="paragraph" w:customStyle="1" w:styleId="Sincerely">
    <w:name w:val="Sincerely"/>
    <w:basedOn w:val="Normal"/>
    <w:uiPriority w:val="29"/>
    <w:qFormat/>
    <w:rsid w:val="00E910A2"/>
    <w:pPr>
      <w:numPr>
        <w:numId w:val="0"/>
      </w:numPr>
      <w:spacing w:before="720" w:after="600"/>
    </w:pPr>
  </w:style>
  <w:style w:type="paragraph" w:customStyle="1" w:styleId="Subject">
    <w:name w:val="Subject"/>
    <w:basedOn w:val="Normal"/>
    <w:uiPriority w:val="29"/>
    <w:qFormat/>
    <w:rsid w:val="00EE70EE"/>
    <w:pPr>
      <w:numPr>
        <w:numId w:val="0"/>
      </w:numPr>
      <w:spacing w:before="480" w:after="480"/>
    </w:pPr>
    <w:rPr>
      <w:rFonts w:ascii="DIN OT Medium" w:hAnsi="DIN OT Medium"/>
    </w:rPr>
  </w:style>
  <w:style w:type="table" w:customStyle="1" w:styleId="TableOption2">
    <w:name w:val="Table Option 2"/>
    <w:basedOn w:val="TableGrid"/>
    <w:uiPriority w:val="99"/>
    <w:rsid w:val="00B20DFD"/>
    <w:tblPr/>
    <w:tcPr>
      <w:shd w:val="clear" w:color="auto" w:fill="EAECEE" w:themeFill="accent4" w:themeFillTint="33"/>
    </w:tcPr>
    <w:tblStylePr w:type="firstRow">
      <w:rPr>
        <w:rFonts w:ascii="DIN OT Medium" w:hAnsi="DIN OT Medium"/>
        <w:b w:val="0"/>
        <w:color w:val="FFFFFF" w:themeColor="background1"/>
      </w:rPr>
      <w:tblPr/>
      <w:trPr>
        <w:cantSplit/>
        <w:tblHeader/>
      </w:trPr>
      <w:tcPr>
        <w:shd w:val="clear" w:color="auto" w:fill="012169" w:themeFill="accent1"/>
      </w:tcPr>
    </w:tblStylePr>
    <w:tblStylePr w:type="lastRow">
      <w:rPr>
        <w:rFonts w:ascii="DIN OT Medium" w:hAnsi="DIN OT Medium"/>
        <w:b w:val="0"/>
      </w:rPr>
      <w:tblPr/>
      <w:tcPr>
        <w:shd w:val="clear" w:color="auto" w:fill="EAECEE" w:themeFill="accent4" w:themeFillTint="33"/>
      </w:tcPr>
    </w:tblStylePr>
    <w:tblStylePr w:type="firstCol">
      <w:rPr>
        <w:rFonts w:ascii="DIN OT Medium" w:hAnsi="DIN OT Medium"/>
        <w:b w:val="0"/>
        <w:color w:val="auto"/>
      </w:rPr>
      <w:tblPr/>
      <w:tcPr>
        <w:shd w:val="clear" w:color="auto" w:fill="012169" w:themeFill="accent1"/>
      </w:tcPr>
    </w:tblStylePr>
    <w:tblStylePr w:type="lastCol">
      <w:pPr>
        <w:jc w:val="right"/>
      </w:pPr>
      <w:rPr>
        <w:rFonts w:ascii="DIN OT Medium" w:hAnsi="DIN OT Medium"/>
        <w:b w:val="0"/>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0B74CA"/>
    <w:pPr>
      <w:keepNext/>
      <w:numPr>
        <w:numId w:val="0"/>
      </w:numPr>
      <w:spacing w:before="240" w:after="120"/>
    </w:pPr>
    <w:rPr>
      <w:rFonts w:ascii="DIN OT Medium" w:hAnsi="DIN OT Medium"/>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DisclaimerHeading">
    <w:name w:val="Disclaimer Heading"/>
    <w:basedOn w:val="Normal"/>
    <w:next w:val="Normal"/>
    <w:uiPriority w:val="32"/>
    <w:rsid w:val="00EE70EE"/>
    <w:pPr>
      <w:framePr w:w="9027" w:wrap="around" w:hAnchor="text" w:yAlign="bottom"/>
      <w:numPr>
        <w:numId w:val="0"/>
      </w:numPr>
      <w:pBdr>
        <w:top w:val="single" w:sz="48" w:space="1" w:color="D9D9D9" w:themeColor="background1" w:themeShade="D9"/>
        <w:left w:val="single" w:sz="24" w:space="4" w:color="D9D9D9" w:themeColor="background1" w:themeShade="D9"/>
        <w:bottom w:val="single" w:sz="48" w:space="1" w:color="D9D9D9" w:themeColor="background1" w:themeShade="D9"/>
        <w:right w:val="single" w:sz="24" w:space="4" w:color="D9D9D9" w:themeColor="background1" w:themeShade="D9"/>
      </w:pBdr>
      <w:shd w:val="clear" w:color="auto" w:fill="D9D9D9" w:themeFill="background1" w:themeFillShade="D9"/>
      <w:spacing w:before="240"/>
      <w:ind w:left="170" w:right="170"/>
    </w:pPr>
    <w:rPr>
      <w:rFonts w:ascii="DIN OT Medium" w:hAnsi="DIN OT Medium"/>
      <w:sz w:val="28"/>
    </w:rPr>
  </w:style>
  <w:style w:type="paragraph" w:customStyle="1" w:styleId="DisclaimerText">
    <w:name w:val="Disclaimer Text"/>
    <w:basedOn w:val="DisclaimerHeading"/>
    <w:uiPriority w:val="32"/>
    <w:rsid w:val="00EE70EE"/>
    <w:pPr>
      <w:framePr w:wrap="around"/>
    </w:pPr>
    <w:rPr>
      <w:rFonts w:ascii="DIN OT Light" w:hAnsi="DIN OT Light"/>
      <w:sz w:val="22"/>
    </w:rPr>
  </w:style>
  <w:style w:type="character" w:customStyle="1" w:styleId="BoldCharacterDINOTMedium">
    <w:name w:val="Bold Character (DIN OT Medium)"/>
    <w:basedOn w:val="DefaultParagraphFont"/>
    <w:uiPriority w:val="10"/>
    <w:qFormat/>
    <w:rsid w:val="00484BF5"/>
    <w:rPr>
      <w:rFonts w:ascii="DIN OT Medium" w:hAnsi="DIN OT Medium"/>
    </w:rPr>
  </w:style>
  <w:style w:type="paragraph" w:customStyle="1" w:styleId="CoverLine">
    <w:name w:val="Cover Line"/>
    <w:basedOn w:val="Normal"/>
    <w:uiPriority w:val="31"/>
    <w:qFormat/>
    <w:rsid w:val="008B2BF9"/>
    <w:pPr>
      <w:numPr>
        <w:numId w:val="0"/>
      </w:numPr>
      <w:pBdr>
        <w:bottom w:val="single" w:sz="24" w:space="10" w:color="00A9E0" w:themeColor="accent2"/>
      </w:pBdr>
      <w:spacing w:before="2170" w:after="0" w:line="192" w:lineRule="auto"/>
      <w:ind w:left="-1440" w:firstLine="1021"/>
    </w:pPr>
    <w:rPr>
      <w:rFonts w:ascii="DIN OT Medium" w:hAnsi="DIN OT Medium"/>
      <w:caps/>
      <w:color w:val="FFFFFF" w:themeColor="background1"/>
      <w:sz w:val="80"/>
    </w:rPr>
  </w:style>
  <w:style w:type="table" w:customStyle="1" w:styleId="Style1">
    <w:name w:val="Style1"/>
    <w:basedOn w:val="TableNormal"/>
    <w:uiPriority w:val="99"/>
    <w:rsid w:val="00362355"/>
    <w:pPr>
      <w:spacing w:after="0"/>
    </w:pPr>
    <w:rPr>
      <w:sz w:val="20"/>
    </w:rPr>
    <w:tblPr/>
  </w:style>
  <w:style w:type="table" w:customStyle="1" w:styleId="GridTable7ColorfulAccent6">
    <w:name w:val="Grid Table 7 Colorful Accent 6"/>
    <w:basedOn w:val="TableNormal"/>
    <w:uiPriority w:val="52"/>
    <w:locked/>
    <w:rsid w:val="005971F3"/>
    <w:pPr>
      <w:spacing w:after="0"/>
    </w:pPr>
    <w:rPr>
      <w:color w:val="26A6DC" w:themeColor="accent6" w:themeShade="BF"/>
    </w:rPr>
    <w:tblPr>
      <w:tblStyleRowBandSize w:val="1"/>
      <w:tblStyleColBandSize w:val="1"/>
      <w:tblBorders>
        <w:top w:val="single" w:sz="4" w:space="0" w:color="A9DCF1" w:themeColor="accent6" w:themeTint="99"/>
        <w:left w:val="single" w:sz="4" w:space="0" w:color="A9DCF1" w:themeColor="accent6" w:themeTint="99"/>
        <w:bottom w:val="single" w:sz="4" w:space="0" w:color="A9DCF1" w:themeColor="accent6" w:themeTint="99"/>
        <w:right w:val="single" w:sz="4" w:space="0" w:color="A9DCF1" w:themeColor="accent6" w:themeTint="99"/>
        <w:insideH w:val="single" w:sz="4" w:space="0" w:color="A9DCF1" w:themeColor="accent6" w:themeTint="99"/>
        <w:insideV w:val="single" w:sz="4" w:space="0" w:color="A9DC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3FA" w:themeFill="accent6" w:themeFillTint="33"/>
      </w:tcPr>
    </w:tblStylePr>
    <w:tblStylePr w:type="band1Horz">
      <w:tblPr/>
      <w:tcPr>
        <w:shd w:val="clear" w:color="auto" w:fill="E2F3FA" w:themeFill="accent6" w:themeFillTint="33"/>
      </w:tcPr>
    </w:tblStylePr>
    <w:tblStylePr w:type="neCell">
      <w:tblPr/>
      <w:tcPr>
        <w:tcBorders>
          <w:bottom w:val="single" w:sz="4" w:space="0" w:color="A9DCF1" w:themeColor="accent6" w:themeTint="99"/>
        </w:tcBorders>
      </w:tcPr>
    </w:tblStylePr>
    <w:tblStylePr w:type="nwCell">
      <w:tblPr/>
      <w:tcPr>
        <w:tcBorders>
          <w:bottom w:val="single" w:sz="4" w:space="0" w:color="A9DCF1" w:themeColor="accent6" w:themeTint="99"/>
        </w:tcBorders>
      </w:tcPr>
    </w:tblStylePr>
    <w:tblStylePr w:type="seCell">
      <w:tblPr/>
      <w:tcPr>
        <w:tcBorders>
          <w:top w:val="single" w:sz="4" w:space="0" w:color="A9DCF1" w:themeColor="accent6" w:themeTint="99"/>
        </w:tcBorders>
      </w:tcPr>
    </w:tblStylePr>
    <w:tblStylePr w:type="swCell">
      <w:tblPr/>
      <w:tcPr>
        <w:tcBorders>
          <w:top w:val="single" w:sz="4" w:space="0" w:color="A9DCF1" w:themeColor="accent6" w:themeTint="99"/>
        </w:tcBorders>
      </w:tcPr>
    </w:tblStylePr>
  </w:style>
  <w:style w:type="character" w:customStyle="1" w:styleId="LightCharacterDINOTLight">
    <w:name w:val="Light Character (DIN OT Light)"/>
    <w:basedOn w:val="DefaultParagraphFont"/>
    <w:uiPriority w:val="10"/>
    <w:qFormat/>
    <w:rsid w:val="00DB34F0"/>
    <w:rPr>
      <w:rFonts w:ascii="DIN OT Light" w:hAnsi="DIN OT Light"/>
    </w:rPr>
  </w:style>
  <w:style w:type="table" w:customStyle="1" w:styleId="GridTable4Accent3">
    <w:name w:val="Grid Table 4 Accent 3"/>
    <w:basedOn w:val="TableNormal"/>
    <w:uiPriority w:val="49"/>
    <w:locked/>
    <w:rsid w:val="00DD01CB"/>
    <w:pPr>
      <w:spacing w:after="0"/>
    </w:pPr>
    <w:tblPr>
      <w:tblStyleRowBandSize w:val="1"/>
      <w:tblStyleColBandSize w:val="1"/>
      <w:tblBorders>
        <w:top w:val="single" w:sz="4" w:space="0" w:color="48ADFF" w:themeColor="accent3" w:themeTint="99"/>
        <w:left w:val="single" w:sz="4" w:space="0" w:color="48ADFF" w:themeColor="accent3" w:themeTint="99"/>
        <w:bottom w:val="single" w:sz="4" w:space="0" w:color="48ADFF" w:themeColor="accent3" w:themeTint="99"/>
        <w:right w:val="single" w:sz="4" w:space="0" w:color="48ADFF" w:themeColor="accent3" w:themeTint="99"/>
        <w:insideH w:val="single" w:sz="4" w:space="0" w:color="48ADFF" w:themeColor="accent3" w:themeTint="99"/>
        <w:insideV w:val="single" w:sz="4" w:space="0" w:color="48ADFF" w:themeColor="accent3" w:themeTint="99"/>
      </w:tblBorders>
    </w:tblPr>
    <w:tblStylePr w:type="firstRow">
      <w:rPr>
        <w:b/>
        <w:bCs/>
        <w:color w:val="FFFFFF" w:themeColor="background1"/>
      </w:rPr>
      <w:tblPr/>
      <w:tcPr>
        <w:tcBorders>
          <w:top w:val="single" w:sz="4" w:space="0" w:color="0072CE" w:themeColor="accent3"/>
          <w:left w:val="single" w:sz="4" w:space="0" w:color="0072CE" w:themeColor="accent3"/>
          <w:bottom w:val="single" w:sz="4" w:space="0" w:color="0072CE" w:themeColor="accent3"/>
          <w:right w:val="single" w:sz="4" w:space="0" w:color="0072CE" w:themeColor="accent3"/>
          <w:insideH w:val="nil"/>
          <w:insideV w:val="nil"/>
        </w:tcBorders>
        <w:shd w:val="clear" w:color="auto" w:fill="0072CE" w:themeFill="accent3"/>
      </w:tcPr>
    </w:tblStylePr>
    <w:tblStylePr w:type="lastRow">
      <w:rPr>
        <w:b/>
        <w:bCs/>
      </w:rPr>
      <w:tblPr/>
      <w:tcPr>
        <w:tcBorders>
          <w:top w:val="double" w:sz="4" w:space="0" w:color="0072CE" w:themeColor="accent3"/>
        </w:tcBorders>
      </w:tcPr>
    </w:tblStylePr>
    <w:tblStylePr w:type="firstCol">
      <w:rPr>
        <w:b/>
        <w:bCs/>
      </w:rPr>
    </w:tblStylePr>
    <w:tblStylePr w:type="lastCol">
      <w:rPr>
        <w:b/>
        <w:bCs/>
      </w:rPr>
    </w:tblStylePr>
    <w:tblStylePr w:type="band1Vert">
      <w:tblPr/>
      <w:tcPr>
        <w:shd w:val="clear" w:color="auto" w:fill="C2E3FF" w:themeFill="accent3" w:themeFillTint="33"/>
      </w:tcPr>
    </w:tblStylePr>
    <w:tblStylePr w:type="band1Horz">
      <w:tblPr/>
      <w:tcPr>
        <w:shd w:val="clear" w:color="auto" w:fill="C2E3FF" w:themeFill="accent3" w:themeFillTint="33"/>
      </w:tcPr>
    </w:tblStylePr>
  </w:style>
  <w:style w:type="table" w:customStyle="1" w:styleId="GridTable4Accent1">
    <w:name w:val="Grid Table 4 Accent 1"/>
    <w:basedOn w:val="TableNormal"/>
    <w:uiPriority w:val="49"/>
    <w:locked/>
    <w:rsid w:val="00DD01CB"/>
    <w:pPr>
      <w:spacing w:after="0"/>
    </w:pPr>
    <w:tblPr>
      <w:tblStyleRowBandSize w:val="1"/>
      <w:tblStyleColBandSize w:val="1"/>
      <w:tblBorders>
        <w:top w:val="single" w:sz="4" w:space="0" w:color="0E57FC" w:themeColor="accent1" w:themeTint="99"/>
        <w:left w:val="single" w:sz="4" w:space="0" w:color="0E57FC" w:themeColor="accent1" w:themeTint="99"/>
        <w:bottom w:val="single" w:sz="4" w:space="0" w:color="0E57FC" w:themeColor="accent1" w:themeTint="99"/>
        <w:right w:val="single" w:sz="4" w:space="0" w:color="0E57FC" w:themeColor="accent1" w:themeTint="99"/>
        <w:insideH w:val="single" w:sz="4" w:space="0" w:color="0E57FC" w:themeColor="accent1" w:themeTint="99"/>
        <w:insideV w:val="single" w:sz="4" w:space="0" w:color="0E57FC" w:themeColor="accent1" w:themeTint="99"/>
      </w:tblBorders>
    </w:tblPr>
    <w:tblStylePr w:type="firstRow">
      <w:rPr>
        <w:b/>
        <w:bCs/>
        <w:color w:val="FFFFFF" w:themeColor="background1"/>
      </w:rPr>
      <w:tblPr/>
      <w:tcPr>
        <w:tcBorders>
          <w:top w:val="single" w:sz="4" w:space="0" w:color="012169" w:themeColor="accent1"/>
          <w:left w:val="single" w:sz="4" w:space="0" w:color="012169" w:themeColor="accent1"/>
          <w:bottom w:val="single" w:sz="4" w:space="0" w:color="012169" w:themeColor="accent1"/>
          <w:right w:val="single" w:sz="4" w:space="0" w:color="012169" w:themeColor="accent1"/>
          <w:insideH w:val="nil"/>
          <w:insideV w:val="nil"/>
        </w:tcBorders>
        <w:shd w:val="clear" w:color="auto" w:fill="012169" w:themeFill="accent1"/>
      </w:tcPr>
    </w:tblStylePr>
    <w:tblStylePr w:type="lastRow">
      <w:rPr>
        <w:b/>
        <w:bCs/>
      </w:rPr>
      <w:tblPr/>
      <w:tcPr>
        <w:tcBorders>
          <w:top w:val="double" w:sz="4" w:space="0" w:color="012169" w:themeColor="accent1"/>
        </w:tcBorders>
      </w:tcPr>
    </w:tblStylePr>
    <w:tblStylePr w:type="firstCol">
      <w:rPr>
        <w:b/>
        <w:bCs/>
      </w:rPr>
    </w:tblStylePr>
    <w:tblStylePr w:type="lastCol">
      <w:rPr>
        <w:b/>
        <w:bCs/>
      </w:rPr>
    </w:tblStylePr>
    <w:tblStylePr w:type="band1Vert">
      <w:tblPr/>
      <w:tcPr>
        <w:shd w:val="clear" w:color="auto" w:fill="AEC7FE" w:themeFill="accent1" w:themeFillTint="33"/>
      </w:tcPr>
    </w:tblStylePr>
    <w:tblStylePr w:type="band1Horz">
      <w:tblPr/>
      <w:tcPr>
        <w:shd w:val="clear" w:color="auto" w:fill="AEC7FE" w:themeFill="accent1" w:themeFillTint="33"/>
      </w:tcPr>
    </w:tblStylePr>
  </w:style>
  <w:style w:type="table" w:customStyle="1" w:styleId="ListTable3Accent1">
    <w:name w:val="List Table 3 Accent 1"/>
    <w:basedOn w:val="TableNormal"/>
    <w:uiPriority w:val="48"/>
    <w:locked/>
    <w:rsid w:val="006157C8"/>
    <w:pPr>
      <w:spacing w:after="0"/>
    </w:pPr>
    <w:tblPr>
      <w:tblStyleRowBandSize w:val="1"/>
      <w:tblStyleColBandSize w:val="1"/>
      <w:tblBorders>
        <w:top w:val="single" w:sz="4" w:space="0" w:color="012169" w:themeColor="accent1"/>
        <w:left w:val="single" w:sz="4" w:space="0" w:color="012169" w:themeColor="accent1"/>
        <w:bottom w:val="single" w:sz="4" w:space="0" w:color="012169" w:themeColor="accent1"/>
        <w:right w:val="single" w:sz="4" w:space="0" w:color="012169" w:themeColor="accent1"/>
      </w:tblBorders>
    </w:tblPr>
    <w:tblStylePr w:type="firstRow">
      <w:rPr>
        <w:b/>
        <w:bCs/>
        <w:color w:val="FFFFFF" w:themeColor="background1"/>
      </w:rPr>
      <w:tblPr/>
      <w:tcPr>
        <w:shd w:val="clear" w:color="auto" w:fill="012169" w:themeFill="accent1"/>
      </w:tcPr>
    </w:tblStylePr>
    <w:tblStylePr w:type="lastRow">
      <w:rPr>
        <w:b/>
        <w:bCs/>
      </w:rPr>
      <w:tblPr/>
      <w:tcPr>
        <w:tcBorders>
          <w:top w:val="double" w:sz="4" w:space="0" w:color="01216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2169" w:themeColor="accent1"/>
          <w:right w:val="single" w:sz="4" w:space="0" w:color="012169" w:themeColor="accent1"/>
        </w:tcBorders>
      </w:tcPr>
    </w:tblStylePr>
    <w:tblStylePr w:type="band1Horz">
      <w:tblPr/>
      <w:tcPr>
        <w:tcBorders>
          <w:top w:val="single" w:sz="4" w:space="0" w:color="012169" w:themeColor="accent1"/>
          <w:bottom w:val="single" w:sz="4" w:space="0" w:color="0121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2169" w:themeColor="accent1"/>
          <w:left w:val="nil"/>
        </w:tcBorders>
      </w:tcPr>
    </w:tblStylePr>
    <w:tblStylePr w:type="swCell">
      <w:tblPr/>
      <w:tcPr>
        <w:tcBorders>
          <w:top w:val="double" w:sz="4" w:space="0" w:color="012169" w:themeColor="accent1"/>
          <w:right w:val="nil"/>
        </w:tcBorders>
      </w:tcPr>
    </w:tblStylePr>
  </w:style>
  <w:style w:type="paragraph" w:customStyle="1" w:styleId="Numberedtableheading">
    <w:name w:val="Numbered table heading"/>
    <w:basedOn w:val="Heading4"/>
    <w:qFormat/>
    <w:rsid w:val="00717193"/>
    <w:pPr>
      <w:numPr>
        <w:numId w:val="22"/>
      </w:numPr>
      <w:spacing w:before="120"/>
    </w:pPr>
    <w:rPr>
      <w:sz w:val="24"/>
    </w:rPr>
  </w:style>
  <w:style w:type="paragraph" w:customStyle="1" w:styleId="Numberedfigureheading">
    <w:name w:val="Numbered figure heading"/>
    <w:basedOn w:val="Numberedtableheading"/>
    <w:qFormat/>
    <w:rsid w:val="008071C6"/>
    <w:pPr>
      <w:numPr>
        <w:numId w:val="21"/>
      </w:numPr>
      <w:ind w:left="0" w:firstLine="0"/>
    </w:pPr>
  </w:style>
  <w:style w:type="table" w:customStyle="1" w:styleId="GridTable5Dark-Accent13">
    <w:name w:val="Grid Table 5 Dark - Accent 13"/>
    <w:basedOn w:val="TableNormal"/>
    <w:next w:val="GridTable5DarkAccent1"/>
    <w:uiPriority w:val="50"/>
    <w:rsid w:val="00A1591B"/>
    <w:pPr>
      <w:spacing w:after="0"/>
    </w:pPr>
    <w:rPr>
      <w:rFonts w:ascii="Trebuchet MS" w:hAnsi="Trebuchet MS" w:cs="Times New Roman"/>
      <w:color w:val="auto"/>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
    <w:name w:val="Grid Table 5 Dark Accent 1"/>
    <w:basedOn w:val="TableNormal"/>
    <w:uiPriority w:val="50"/>
    <w:locked/>
    <w:rsid w:val="00A159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EC7F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216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216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216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2169" w:themeFill="accent1"/>
      </w:tcPr>
    </w:tblStylePr>
    <w:tblStylePr w:type="band1Vert">
      <w:tblPr/>
      <w:tcPr>
        <w:shd w:val="clear" w:color="auto" w:fill="5E8FFD" w:themeFill="accent1" w:themeFillTint="66"/>
      </w:tcPr>
    </w:tblStylePr>
    <w:tblStylePr w:type="band1Horz">
      <w:tblPr/>
      <w:tcPr>
        <w:shd w:val="clear" w:color="auto" w:fill="5E8FFD" w:themeFill="accent1" w:themeFillTint="66"/>
      </w:tcPr>
    </w:tblStylePr>
  </w:style>
  <w:style w:type="table" w:customStyle="1" w:styleId="GridTable5Dark-Accent14">
    <w:name w:val="Grid Table 5 Dark - Accent 14"/>
    <w:basedOn w:val="TableNormal"/>
    <w:next w:val="GridTable5DarkAccent1"/>
    <w:uiPriority w:val="50"/>
    <w:rsid w:val="00195B12"/>
    <w:pPr>
      <w:spacing w:after="0"/>
    </w:pPr>
    <w:rPr>
      <w:rFonts w:ascii="Trebuchet MS" w:hAnsi="Trebuchet MS" w:cs="Times New Roman"/>
      <w:color w:val="auto"/>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5">
    <w:name w:val="Grid Table 5 Dark - Accent 15"/>
    <w:basedOn w:val="TableNormal"/>
    <w:next w:val="GridTable5DarkAccent1"/>
    <w:uiPriority w:val="50"/>
    <w:rsid w:val="00195B12"/>
    <w:pPr>
      <w:spacing w:after="0"/>
    </w:pPr>
    <w:rPr>
      <w:rFonts w:ascii="Trebuchet MS" w:hAnsi="Trebuchet MS" w:cs="Times New Roman"/>
      <w:color w:val="auto"/>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9">
    <w:name w:val="Grid Table 5 Dark - Accent 19"/>
    <w:basedOn w:val="TableNormal"/>
    <w:next w:val="GridTable5DarkAccent1"/>
    <w:uiPriority w:val="50"/>
    <w:rsid w:val="00195B12"/>
    <w:pPr>
      <w:spacing w:after="0"/>
    </w:pPr>
    <w:rPr>
      <w:rFonts w:ascii="Trebuchet MS" w:hAnsi="Trebuchet MS" w:cs="Times New Roman"/>
      <w:color w:val="auto"/>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10">
    <w:name w:val="Grid Table 5 Dark - Accent 110"/>
    <w:basedOn w:val="TableNormal"/>
    <w:next w:val="GridTable5DarkAccent1"/>
    <w:uiPriority w:val="50"/>
    <w:rsid w:val="0032312F"/>
    <w:pPr>
      <w:spacing w:after="0"/>
    </w:pPr>
    <w:rPr>
      <w:rFonts w:ascii="Trebuchet MS" w:hAnsi="Trebuchet MS" w:cs="Times New Roman"/>
      <w:color w:val="auto"/>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11">
    <w:name w:val="Grid Table 5 Dark - Accent 111"/>
    <w:basedOn w:val="TableNormal"/>
    <w:next w:val="GridTable5DarkAccent1"/>
    <w:uiPriority w:val="50"/>
    <w:rsid w:val="008D2C8D"/>
    <w:pPr>
      <w:spacing w:after="0"/>
    </w:pPr>
    <w:rPr>
      <w:rFonts w:ascii="Trebuchet MS" w:hAnsi="Trebuchet MS" w:cs="Times New Roman"/>
      <w:color w:val="auto"/>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6">
    <w:name w:val="Grid Table 5 Dark - Accent 16"/>
    <w:basedOn w:val="TableNormal"/>
    <w:next w:val="GridTable5DarkAccent1"/>
    <w:uiPriority w:val="50"/>
    <w:rsid w:val="008D2C8D"/>
    <w:pPr>
      <w:spacing w:after="0"/>
    </w:pPr>
    <w:rPr>
      <w:rFonts w:ascii="Trebuchet MS" w:hAnsi="Trebuchet MS" w:cs="Times New Roman"/>
      <w:color w:val="auto"/>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7">
    <w:name w:val="Grid Table 5 Dark - Accent 17"/>
    <w:basedOn w:val="TableNormal"/>
    <w:next w:val="GridTable5DarkAccent1"/>
    <w:uiPriority w:val="50"/>
    <w:rsid w:val="00616959"/>
    <w:pPr>
      <w:spacing w:after="0"/>
    </w:pPr>
    <w:rPr>
      <w:rFonts w:ascii="Trebuchet MS" w:hAnsi="Trebuchet MS" w:cs="Times New Roman"/>
      <w:color w:val="auto"/>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8">
    <w:name w:val="Grid Table 5 Dark - Accent 18"/>
    <w:basedOn w:val="TableNormal"/>
    <w:next w:val="GridTable5DarkAccent1"/>
    <w:uiPriority w:val="50"/>
    <w:rsid w:val="00616959"/>
    <w:pPr>
      <w:spacing w:after="0"/>
    </w:pPr>
    <w:rPr>
      <w:rFonts w:ascii="Trebuchet MS" w:hAnsi="Trebuchet MS" w:cs="Times New Roman"/>
      <w:color w:val="auto"/>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12">
    <w:name w:val="Grid Table 5 Dark - Accent 112"/>
    <w:basedOn w:val="TableNormal"/>
    <w:next w:val="GridTable5DarkAccent1"/>
    <w:uiPriority w:val="50"/>
    <w:rsid w:val="00185EFA"/>
    <w:pPr>
      <w:spacing w:after="0"/>
    </w:pPr>
    <w:rPr>
      <w:rFonts w:ascii="Trebuchet MS" w:hAnsi="Trebuchet MS" w:cs="Times New Roman"/>
      <w:color w:val="auto"/>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13">
    <w:name w:val="Grid Table 5 Dark - Accent 113"/>
    <w:basedOn w:val="TableNormal"/>
    <w:next w:val="GridTable5DarkAccent1"/>
    <w:uiPriority w:val="50"/>
    <w:rsid w:val="00185EFA"/>
    <w:pPr>
      <w:spacing w:after="0"/>
    </w:pPr>
    <w:rPr>
      <w:rFonts w:ascii="Trebuchet MS" w:hAnsi="Trebuchet MS" w:cs="Times New Roman"/>
      <w:color w:val="auto"/>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eGrid10">
    <w:name w:val="Table Grid1"/>
    <w:basedOn w:val="TableNormal"/>
    <w:next w:val="TableGrid"/>
    <w:uiPriority w:val="59"/>
    <w:rsid w:val="00C0008F"/>
    <w:pPr>
      <w:spacing w:after="120"/>
    </w:pPr>
    <w:rPr>
      <w:rFonts w:ascii="Trebuchet MS" w:eastAsia="Times New Roman" w:hAnsi="Trebuchet MS"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RANORMAL">
    <w:name w:val="APRA NORMAL"/>
    <w:basedOn w:val="Normal"/>
    <w:link w:val="APRANORMALChar"/>
    <w:qFormat/>
    <w:rsid w:val="00624477"/>
    <w:pPr>
      <w:numPr>
        <w:numId w:val="0"/>
      </w:numPr>
    </w:pPr>
    <w:rPr>
      <w:rFonts w:cs="Times New Roman"/>
      <w:color w:val="auto"/>
      <w:lang w:val="en-GB"/>
    </w:rPr>
  </w:style>
  <w:style w:type="character" w:customStyle="1" w:styleId="APRANORMALChar">
    <w:name w:val="APRA NORMAL Char"/>
    <w:basedOn w:val="DefaultParagraphFont"/>
    <w:link w:val="APRANORMAL"/>
    <w:rsid w:val="00624477"/>
    <w:rPr>
      <w:rFonts w:ascii="DIN OT Light" w:hAnsi="DIN OT Light" w:cs="Times New Roman"/>
      <w:color w:val="auto"/>
      <w:lang w:val="en-GB"/>
    </w:rPr>
  </w:style>
  <w:style w:type="paragraph" w:customStyle="1" w:styleId="APRAHEADING1">
    <w:name w:val="APRA HEADING 1"/>
    <w:basedOn w:val="Normal"/>
    <w:link w:val="APRAHEADING1Char"/>
    <w:qFormat/>
    <w:rsid w:val="00624477"/>
    <w:pPr>
      <w:numPr>
        <w:numId w:val="0"/>
      </w:numPr>
      <w:pBdr>
        <w:bottom w:val="single" w:sz="4" w:space="3" w:color="BFBFBF" w:themeColor="background1" w:themeShade="BF"/>
      </w:pBdr>
      <w:spacing w:after="480"/>
    </w:pPr>
    <w:rPr>
      <w:rFonts w:ascii="DIN OT Medium" w:hAnsi="DIN OT Medium" w:cs="Times New Roman"/>
      <w:color w:val="002060"/>
      <w:sz w:val="40"/>
      <w:szCs w:val="40"/>
    </w:rPr>
  </w:style>
  <w:style w:type="character" w:customStyle="1" w:styleId="APRAHEADING1Char">
    <w:name w:val="APRA HEADING 1 Char"/>
    <w:basedOn w:val="DefaultParagraphFont"/>
    <w:link w:val="APRAHEADING1"/>
    <w:rsid w:val="00624477"/>
    <w:rPr>
      <w:rFonts w:ascii="DIN OT Medium" w:hAnsi="DIN OT Medium" w:cs="Times New Roman"/>
      <w:color w:val="002060"/>
      <w:sz w:val="40"/>
      <w:szCs w:val="40"/>
    </w:rPr>
  </w:style>
  <w:style w:type="paragraph" w:customStyle="1" w:styleId="APRAHEADING2">
    <w:name w:val="APRA HEADING 2"/>
    <w:link w:val="APRAHEADING2Char"/>
    <w:qFormat/>
    <w:rsid w:val="00624477"/>
    <w:pPr>
      <w:tabs>
        <w:tab w:val="left" w:pos="851"/>
      </w:tabs>
      <w:spacing w:before="360"/>
    </w:pPr>
    <w:rPr>
      <w:rFonts w:ascii="DIN OT Medium" w:hAnsi="DIN OT Medium" w:cs="Times New Roman"/>
      <w:color w:val="002060"/>
      <w:sz w:val="30"/>
      <w:szCs w:val="28"/>
    </w:rPr>
  </w:style>
  <w:style w:type="paragraph" w:customStyle="1" w:styleId="APRAHEADING3">
    <w:name w:val="APRA HEADING 3"/>
    <w:basedOn w:val="APRANORMAL"/>
    <w:link w:val="APRAHEADING3Char"/>
    <w:qFormat/>
    <w:rsid w:val="00624477"/>
    <w:pPr>
      <w:spacing w:before="360" w:after="120"/>
    </w:pPr>
    <w:rPr>
      <w:rFonts w:ascii="DIN OT Medium" w:hAnsi="DIN OT Medium"/>
      <w:color w:val="002060"/>
      <w:sz w:val="26"/>
      <w:szCs w:val="24"/>
    </w:rPr>
  </w:style>
  <w:style w:type="character" w:customStyle="1" w:styleId="APRAHEADING2Char">
    <w:name w:val="APRA HEADING 2 Char"/>
    <w:basedOn w:val="APRAHEADING1Char"/>
    <w:link w:val="APRAHEADING2"/>
    <w:rsid w:val="00624477"/>
    <w:rPr>
      <w:rFonts w:ascii="DIN OT Medium" w:hAnsi="DIN OT Medium" w:cs="Times New Roman"/>
      <w:color w:val="002060"/>
      <w:sz w:val="30"/>
      <w:szCs w:val="28"/>
    </w:rPr>
  </w:style>
  <w:style w:type="paragraph" w:customStyle="1" w:styleId="APRAHEADING4">
    <w:name w:val="APRA HEADING 4"/>
    <w:basedOn w:val="Normal"/>
    <w:link w:val="APRAHEADING4Char"/>
    <w:qFormat/>
    <w:rsid w:val="00624477"/>
    <w:pPr>
      <w:numPr>
        <w:numId w:val="0"/>
      </w:numPr>
      <w:suppressAutoHyphens/>
      <w:autoSpaceDE w:val="0"/>
      <w:autoSpaceDN w:val="0"/>
      <w:adjustRightInd w:val="0"/>
      <w:spacing w:before="240" w:after="60" w:line="288" w:lineRule="auto"/>
      <w:textAlignment w:val="center"/>
    </w:pPr>
    <w:rPr>
      <w:rFonts w:ascii="DIN OT Medium" w:hAnsi="DIN OT Medium" w:cs="DIN Offc"/>
      <w:bCs/>
      <w:color w:val="auto"/>
      <w:lang w:val="en-GB"/>
    </w:rPr>
  </w:style>
  <w:style w:type="character" w:customStyle="1" w:styleId="APRAHEADING3Char">
    <w:name w:val="APRA HEADING 3 Char"/>
    <w:basedOn w:val="APRANORMALChar"/>
    <w:link w:val="APRAHEADING3"/>
    <w:rsid w:val="00624477"/>
    <w:rPr>
      <w:rFonts w:ascii="DIN OT Medium" w:hAnsi="DIN OT Medium" w:cs="Times New Roman"/>
      <w:color w:val="002060"/>
      <w:sz w:val="26"/>
      <w:szCs w:val="24"/>
      <w:lang w:val="en-GB"/>
    </w:rPr>
  </w:style>
  <w:style w:type="paragraph" w:customStyle="1" w:styleId="APRAHEADING5">
    <w:name w:val="APRA HEADING 5"/>
    <w:basedOn w:val="APRAHEADING4"/>
    <w:link w:val="APRAHEADING5Char"/>
    <w:qFormat/>
    <w:rsid w:val="00624477"/>
    <w:rPr>
      <w:i/>
    </w:rPr>
  </w:style>
  <w:style w:type="character" w:customStyle="1" w:styleId="APRAHEADING4Char">
    <w:name w:val="APRA HEADING 4 Char"/>
    <w:basedOn w:val="DefaultParagraphFont"/>
    <w:link w:val="APRAHEADING4"/>
    <w:rsid w:val="00624477"/>
    <w:rPr>
      <w:rFonts w:ascii="DIN OT Medium" w:hAnsi="DIN OT Medium" w:cs="DIN Offc"/>
      <w:bCs/>
      <w:color w:val="auto"/>
      <w:lang w:val="en-GB"/>
    </w:rPr>
  </w:style>
  <w:style w:type="paragraph" w:customStyle="1" w:styleId="APRABULLET">
    <w:name w:val="APRA BULLET"/>
    <w:basedOn w:val="ListParagraph"/>
    <w:link w:val="APRABULLETChar"/>
    <w:qFormat/>
    <w:rsid w:val="00624477"/>
  </w:style>
  <w:style w:type="character" w:customStyle="1" w:styleId="APRAHEADING5Char">
    <w:name w:val="APRA HEADING 5 Char"/>
    <w:basedOn w:val="APRAHEADING4Char"/>
    <w:link w:val="APRAHEADING5"/>
    <w:rsid w:val="00624477"/>
    <w:rPr>
      <w:rFonts w:ascii="DIN OT Medium" w:hAnsi="DIN OT Medium" w:cs="DIN Offc"/>
      <w:bCs/>
      <w:i/>
      <w:color w:val="auto"/>
      <w:lang w:val="en-GB"/>
    </w:rPr>
  </w:style>
  <w:style w:type="character" w:customStyle="1" w:styleId="APRABULLETChar">
    <w:name w:val="APRA BULLET Char"/>
    <w:basedOn w:val="DefaultParagraphFont"/>
    <w:link w:val="APRABULLET"/>
    <w:rsid w:val="00624477"/>
  </w:style>
  <w:style w:type="table" w:customStyle="1" w:styleId="GridTable5Dark">
    <w:name w:val="Grid Table 5 Dark"/>
    <w:basedOn w:val="TableNormal"/>
    <w:uiPriority w:val="50"/>
    <w:locked/>
    <w:rsid w:val="00624477"/>
    <w:pPr>
      <w:spacing w:after="0"/>
    </w:pPr>
    <w:rPr>
      <w:rFonts w:ascii="Trebuchet MS" w:hAnsi="Trebuchet MS" w:cs="Times New Roman"/>
      <w:color w:val="aut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Revision">
    <w:name w:val="Revision"/>
    <w:hidden/>
    <w:uiPriority w:val="99"/>
    <w:semiHidden/>
    <w:rsid w:val="008F0472"/>
    <w:pPr>
      <w:spacing w:after="0"/>
    </w:pPr>
    <w:rPr>
      <w:rFonts w:ascii="DIN OT Light" w:hAnsi="DIN OT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pra.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creativecommons.org/licenses/by/3.0/au/" TargetMode="External"/><Relationship Id="rId10" Type="http://schemas.microsoft.com/office/2007/relationships/stylesWithEffects" Target="stylesWithEffect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532F6FFF88A4F97A3A82C4BBB6C25F4"/>
        <w:category>
          <w:name w:val="General"/>
          <w:gallery w:val="placeholder"/>
        </w:category>
        <w:types>
          <w:type w:val="bbPlcHdr"/>
        </w:types>
        <w:behaviors>
          <w:behavior w:val="content"/>
        </w:behaviors>
        <w:guid w:val="{7CE748A2-6483-4535-B61E-1F8DDF54589F}"/>
      </w:docPartPr>
      <w:docPartBody>
        <w:p w:rsidR="00503228" w:rsidRDefault="00961B9F">
          <w:pPr>
            <w:pStyle w:val="0532F6FFF88A4F97A3A82C4BBB6C25F4"/>
          </w:pPr>
          <w:r w:rsidRPr="00B6214D">
            <w:t>[Abstract]</w:t>
          </w:r>
        </w:p>
      </w:docPartBody>
    </w:docPart>
    <w:docPart>
      <w:docPartPr>
        <w:name w:val="744E37FE78E741C384156E693488E8FB"/>
        <w:category>
          <w:name w:val="General"/>
          <w:gallery w:val="placeholder"/>
        </w:category>
        <w:types>
          <w:type w:val="bbPlcHdr"/>
        </w:types>
        <w:behaviors>
          <w:behavior w:val="content"/>
        </w:behaviors>
        <w:guid w:val="{418BF636-A1E9-4081-8CE2-B3AC1270DB29}"/>
      </w:docPartPr>
      <w:docPartBody>
        <w:p w:rsidR="00503228" w:rsidRDefault="00961B9F">
          <w:pPr>
            <w:pStyle w:val="744E37FE78E741C384156E693488E8FB"/>
          </w:pPr>
          <w: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DIN OT">
    <w:charset w:val="00"/>
    <w:family w:val="swiss"/>
    <w:pitch w:val="variable"/>
    <w:sig w:usb0="800000EF" w:usb1="4000A47B" w:usb2="00000000" w:usb3="00000000" w:csb0="00000001" w:csb1="00000000"/>
  </w:font>
  <w:font w:name="Cordia New">
    <w:panose1 w:val="020B0304020202020204"/>
    <w:charset w:val="00"/>
    <w:family w:val="swiss"/>
    <w:pitch w:val="variable"/>
    <w:sig w:usb0="81000003" w:usb1="00000000" w:usb2="00000000" w:usb3="00000000" w:csb0="00010001" w:csb1="00000000"/>
  </w:font>
  <w:font w:name="DIN OT Light">
    <w:altName w:val="MV Boli"/>
    <w:charset w:val="00"/>
    <w:family w:val="swiss"/>
    <w:pitch w:val="variable"/>
    <w:sig w:usb0="800000EF" w:usb1="4000A47B" w:usb2="00000000" w:usb3="00000000" w:csb0="00000001" w:csb1="00000000"/>
  </w:font>
  <w:font w:name="DIN OT Medium">
    <w:altName w:val="Arial"/>
    <w:charset w:val="00"/>
    <w:family w:val="swiss"/>
    <w:pitch w:val="variable"/>
    <w:sig w:usb0="00000003" w:usb1="4000A47B" w:usb2="00000000" w:usb3="00000000" w:csb0="00000001" w:csb1="00000000"/>
  </w:font>
  <w:font w:name="DIN Offc Medium">
    <w:altName w:val="Calibri"/>
    <w:charset w:val="00"/>
    <w:family w:val="swiss"/>
    <w:pitch w:val="variable"/>
    <w:sig w:usb0="800000EF" w:usb1="4000A47B"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DIN Offc">
    <w:altName w:val="Segoe Script"/>
    <w:charset w:val="00"/>
    <w:family w:val="swiss"/>
    <w:pitch w:val="variable"/>
    <w:sig w:usb0="00000003" w:usb1="4000A47B"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B9F"/>
    <w:rsid w:val="00017D40"/>
    <w:rsid w:val="0003525B"/>
    <w:rsid w:val="00037C05"/>
    <w:rsid w:val="000B1571"/>
    <w:rsid w:val="000B56DF"/>
    <w:rsid w:val="001649B8"/>
    <w:rsid w:val="001D3D34"/>
    <w:rsid w:val="00206CE9"/>
    <w:rsid w:val="00255FDA"/>
    <w:rsid w:val="00262FFC"/>
    <w:rsid w:val="002952B1"/>
    <w:rsid w:val="00320DC4"/>
    <w:rsid w:val="00352302"/>
    <w:rsid w:val="003A57B7"/>
    <w:rsid w:val="00503228"/>
    <w:rsid w:val="0051308F"/>
    <w:rsid w:val="005925EA"/>
    <w:rsid w:val="005B7493"/>
    <w:rsid w:val="005E2065"/>
    <w:rsid w:val="00610E0C"/>
    <w:rsid w:val="0071134D"/>
    <w:rsid w:val="007437FB"/>
    <w:rsid w:val="00930F57"/>
    <w:rsid w:val="00961B9F"/>
    <w:rsid w:val="0096298F"/>
    <w:rsid w:val="00A75935"/>
    <w:rsid w:val="00AC141B"/>
    <w:rsid w:val="00B94116"/>
    <w:rsid w:val="00BA5C55"/>
    <w:rsid w:val="00BF055F"/>
    <w:rsid w:val="00C1604D"/>
    <w:rsid w:val="00C56D2E"/>
    <w:rsid w:val="00CD0D99"/>
    <w:rsid w:val="00D916D9"/>
    <w:rsid w:val="00DC5BB2"/>
    <w:rsid w:val="00E43EE3"/>
    <w:rsid w:val="00EC3902"/>
    <w:rsid w:val="00EF13C8"/>
    <w:rsid w:val="00F75D85"/>
    <w:rsid w:val="00FD68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32F6FFF88A4F97A3A82C4BBB6C25F4">
    <w:name w:val="0532F6FFF88A4F97A3A82C4BBB6C25F4"/>
  </w:style>
  <w:style w:type="paragraph" w:customStyle="1" w:styleId="744E37FE78E741C384156E693488E8FB">
    <w:name w:val="744E37FE78E741C384156E693488E8F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32F6FFF88A4F97A3A82C4BBB6C25F4">
    <w:name w:val="0532F6FFF88A4F97A3A82C4BBB6C25F4"/>
  </w:style>
  <w:style w:type="paragraph" w:customStyle="1" w:styleId="744E37FE78E741C384156E693488E8FB">
    <w:name w:val="744E37FE78E741C384156E693488E8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response to submissions</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65" ma:contentTypeDescription="Create a new document." ma:contentTypeScope="" ma:versionID="ed54913a58b13ec9a4f62e4f679bf43d">
  <xsd:schema xmlns:xsd="http://www.w3.org/2001/XMLSchema" xmlns:xs="http://www.w3.org/2001/XMLSchema" xmlns:p="http://schemas.microsoft.com/office/2006/metadata/properties" xmlns:ns1="814d62cb-2db6-4c25-ab62-b9075facbc11" targetNamespace="http://schemas.microsoft.com/office/2006/metadata/properties" ma:root="true" ma:fieldsID="7316c3dd8dea1b9faf1ddd38148a4490"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aef97a4-ded2-4e4a-9fbc-e666dae3ecd2" ContentTypeId="0x0101008CA7A4F8331B45C7B0D3158B4994D0CA02" PreviousValue="false"/>
</file>

<file path=customXml/item6.xml><?xml version="1.0" encoding="utf-8"?>
<p:properties xmlns:p="http://schemas.microsoft.com/office/2006/metadata/properties" xmlns:xsi="http://www.w3.org/2001/XMLSchema-instance" xmlns:pc="http://schemas.microsoft.com/office/infopath/2007/PartnerControls">
  <documentManagement>
    <APRAKeywords xmlns="814d62cb-2db6-4c25-ab62-b9075facbc11" xsi:nil="true"/>
    <APRAApprovedBy xmlns="814d62cb-2db6-4c25-ab62-b9075facbc11">
      <UserInfo>
        <DisplayName/>
        <AccountId xsi:nil="true"/>
        <AccountType/>
      </UserInfo>
    </APRAApprovedBy>
    <APRAOwner xmlns="814d62cb-2db6-4c25-ab62-b9075facbc11">
      <UserInfo>
        <DisplayName/>
        <AccountId xsi:nil="true"/>
        <AccountType/>
      </UserInfo>
    </APRAOwner>
    <APRASecurityClassification xmlns="814d62cb-2db6-4c25-ab62-b9075facbc11">OFFICIAL</APRASecurityClassification>
    <APRADate xmlns="814d62cb-2db6-4c25-ab62-b9075facbc11" xsi:nil="true"/>
    <APRAApprovalDate xmlns="814d62cb-2db6-4c25-ab62-b9075facbc11" xsi:nil="true"/>
    <TaxCatchAll xmlns="814d62cb-2db6-4c25-ab62-b9075facbc11">
      <Value>109</Value>
      <Value>512</Value>
      <Value>435</Value>
      <Value>26</Value>
      <Value>136</Value>
      <Value>24</Value>
      <Value>134</Value>
      <Value>19</Value>
      <Value>93</Value>
      <Value>10</Value>
      <Value>158</Value>
      <Value>83</Value>
      <Value>229</Value>
      <Value>4</Value>
    </TaxCatchAll>
    <APRADocScanCheck xmlns="814d62cb-2db6-4c25-ab62-b9075facbc11">false</APRADocScanCheck>
    <APRADescription xmlns="814d62cb-2db6-4c25-ab62-b9075facbc11">Regulation Impact Statement (RIS) for Financial Sector (Collection of Data) (reporting standard) determination No. 12 of 2020</APRADescription>
    <APRAActivityID xmlns="814d62cb-2db6-4c25-ab62-b9075facbc11">Related Parties</APRAActivityID>
    <_dlc_DocId xmlns="814d62cb-2db6-4c25-ab62-b9075facbc11">5JENXJJSCC7A-445999044-11380</_dlc_DocId>
    <_dlc_DocIdUrl xmlns="814d62cb-2db6-4c25-ab62-b9075facbc11">
      <Url>https://im/teams/LEGAL/_layouts/15/DocIdRedir.aspx?ID=5JENXJJSCC7A-445999044-11380</Url>
      <Description>5JENXJJSCC7A-445999044-11380</Description>
    </_dlc_DocIdUrl>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Prudential policy development</TermName>
          <TermId xmlns="http://schemas.microsoft.com/office/infopath/2007/PartnerControls">4cf81ba0-32a2-4f8f-8216-9e632903331b</TermId>
        </TermInfo>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Response paper</TermName>
          <TermId xmlns="http://schemas.microsoft.com/office/infopath/2007/PartnerControls">62e4ec30-0990-4543-8d24-b298dde09b4c</TermId>
        </TermInfo>
        <TermInfo xmlns="http://schemas.microsoft.com/office/infopath/2007/PartnerControls">
          <TermName xmlns="http://schemas.microsoft.com/office/infopath/2007/PartnerControls">Regulation impact statement</TermName>
          <TermId xmlns="http://schemas.microsoft.com/office/infopath/2007/PartnerControls">a6de7b22-aec6-40f3-a54e-dbfeb004713c</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ic4067bd02f14cf3a95ad35878404a71 xmlns="814d62cb-2db6-4c25-ab62-b9075facbc11">
      <Terms xmlns="http://schemas.microsoft.com/office/infopath/2007/PartnerControls"/>
    </ic4067bd02f14cf3a95ad35878404a71>
    <j724204a644741eb9f777fcb03fe8840 xmlns="814d62cb-2db6-4c25-ab62-b9075facbc11">
      <Terms xmlns="http://schemas.microsoft.com/office/infopath/2007/PartnerControls"/>
    </j724204a644741eb9f777fcb03fe8840>
    <k4bcc0d734474fea9fb713d9c415b4b0 xmlns="814d62cb-2db6-4c25-ab62-b9075facbc11">
      <Terms xmlns="http://schemas.microsoft.com/office/infopath/2007/PartnerControls"/>
    </k4bcc0d734474fea9fb713d9c415b4b0>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2020</TermName>
          <TermId xmlns="http://schemas.microsoft.com/office/infopath/2007/PartnerControls">29ca90e3-c619-4296-b1bf-6e33e4d24a28</TermId>
        </TermInfo>
      </Terms>
    </i08e72d8ce2b4ffa9361f9f4e0a63abc>
    <aa36a5a650d54f768f171f4d17b8b238 xmlns="814d62cb-2db6-4c25-ab62-b9075facbc11">
      <Terms xmlns="http://schemas.microsoft.com/office/infopath/2007/PartnerControls"/>
    </aa36a5a650d54f768f171f4d17b8b238>
    <APRAMeetingDate xmlns="814d62cb-2db6-4c25-ab62-b9075facbc11">2019-07-01T14:00:00+00:00</APRAMeetingDate>
    <APRAMeetingNumber xmlns="814d62cb-2db6-4c25-ab62-b9075facbc11">58</APRAMeetingNumber>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2D3E91-40EF-4CA2-8E02-D38E55C82172}">
  <ds:schemaRefs>
    <ds:schemaRef ds:uri="http://schemas.microsoft.com/sharepoint/v3/contenttype/forms"/>
  </ds:schemaRefs>
</ds:datastoreItem>
</file>

<file path=customXml/itemProps3.xml><?xml version="1.0" encoding="utf-8"?>
<ds:datastoreItem xmlns:ds="http://schemas.openxmlformats.org/officeDocument/2006/customXml" ds:itemID="{48EBF5D7-4456-42E1-8D2C-BB36A75C8E1F}">
  <ds:schemaRefs>
    <ds:schemaRef ds:uri="http://schemas.microsoft.com/sharepoint/events"/>
  </ds:schemaRefs>
</ds:datastoreItem>
</file>

<file path=customXml/itemProps4.xml><?xml version="1.0" encoding="utf-8"?>
<ds:datastoreItem xmlns:ds="http://schemas.openxmlformats.org/officeDocument/2006/customXml" ds:itemID="{E92554C9-C3B0-4BDF-B130-15589C974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75D0BA-9817-4301-B178-953E37E3D391}">
  <ds:schemaRefs>
    <ds:schemaRef ds:uri="Microsoft.SharePoint.Taxonomy.ContentTypeSync"/>
  </ds:schemaRefs>
</ds:datastoreItem>
</file>

<file path=customXml/itemProps6.xml><?xml version="1.0" encoding="utf-8"?>
<ds:datastoreItem xmlns:ds="http://schemas.openxmlformats.org/officeDocument/2006/customXml" ds:itemID="{F143B71A-59D2-45E2-94A8-98D4AD878B52}">
  <ds:schemaRefs>
    <ds:schemaRef ds:uri="http://schemas.microsoft.com/office/infopath/2007/PartnerControls"/>
    <ds:schemaRef ds:uri="http://purl.org/dc/elements/1.1/"/>
    <ds:schemaRef ds:uri="http://purl.org/dc/dcmitype/"/>
    <ds:schemaRef ds:uri="http://www.w3.org/XML/1998/namespace"/>
    <ds:schemaRef ds:uri="http://schemas.microsoft.com/office/2006/documentManagement/types"/>
    <ds:schemaRef ds:uri="http://purl.org/dc/terms/"/>
    <ds:schemaRef ds:uri="http://schemas.openxmlformats.org/package/2006/metadata/core-properties"/>
    <ds:schemaRef ds:uri="814d62cb-2db6-4c25-ab62-b9075facbc11"/>
    <ds:schemaRef ds:uri="http://schemas.microsoft.com/office/2006/metadata/properties"/>
  </ds:schemaRefs>
</ds:datastoreItem>
</file>

<file path=customXml/itemProps7.xml><?xml version="1.0" encoding="utf-8"?>
<ds:datastoreItem xmlns:ds="http://schemas.openxmlformats.org/officeDocument/2006/customXml" ds:itemID="{4359DE23-FA4E-4F9E-8EB3-BF35F126D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5873</Words>
  <Characters>33482</Characters>
  <Application>Microsoft Office Word</Application>
  <DocSecurity>4</DocSecurity>
  <Lines>279</Lines>
  <Paragraphs>78</Paragraphs>
  <ScaleCrop>false</ScaleCrop>
  <HeadingPairs>
    <vt:vector size="2" baseType="variant">
      <vt:variant>
        <vt:lpstr>Title</vt:lpstr>
      </vt:variant>
      <vt:variant>
        <vt:i4>1</vt:i4>
      </vt:variant>
    </vt:vector>
  </HeadingPairs>
  <TitlesOfParts>
    <vt:vector size="1" baseType="lpstr">
      <vt:lpstr>RIS - Financial Sector (Collection of Data) (reporting standard) determination No. 12 of 2020</vt:lpstr>
    </vt:vector>
  </TitlesOfParts>
  <Company>Office of Parliamentary Counsel</Company>
  <LinksUpToDate>false</LinksUpToDate>
  <CharactersWithSpaces>39277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 - Financial Sector (Collection of Data) (reporting standard) determination No. 12 of 2020</dc:title>
  <dc:creator>Tegg, Bronwyn</dc:creator>
  <cp:keywords>[SEC=OFFICIAL]</cp:keywords>
  <cp:lastModifiedBy>Rowe, Michaela</cp:lastModifiedBy>
  <cp:revision>2</cp:revision>
  <cp:lastPrinted>2019-08-05T01:24:00Z</cp:lastPrinted>
  <dcterms:created xsi:type="dcterms:W3CDTF">2020-12-15T01:10:00Z</dcterms:created>
  <dcterms:modified xsi:type="dcterms:W3CDTF">2020-12-15T01:10:00Z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Global">
    <vt:bool>true</vt:bool>
  </property>
  <property fmtid="{D5CDD505-2E9C-101B-9397-08002B2CF9AE}" pid="3" name="KeepMarginsTheSame">
    <vt:bool>true</vt:bool>
  </property>
  <property fmtid="{D5CDD505-2E9C-101B-9397-08002B2CF9AE}" pid="4" name="PM_ProtectiveMarkingValue_Footer">
    <vt:lpwstr>OFFICIAL</vt:lpwstr>
  </property>
  <property fmtid="{D5CDD505-2E9C-101B-9397-08002B2CF9AE}" pid="5" name="PM_Caveats_Count">
    <vt:lpwstr>0</vt:lpwstr>
  </property>
  <property fmtid="{D5CDD505-2E9C-101B-9397-08002B2CF9AE}" pid="6" name="PM_Originator_Hash_SHA1">
    <vt:lpwstr>C3AD57350F36D8E1BD75F8F67CB06D435C9C43CA</vt:lpwstr>
  </property>
  <property fmtid="{D5CDD505-2E9C-101B-9397-08002B2CF9AE}" pid="7" name="PM_SecurityClassification">
    <vt:lpwstr>OFFICIAL</vt:lpwstr>
  </property>
  <property fmtid="{D5CDD505-2E9C-101B-9397-08002B2CF9AE}" pid="8" name="PM_DisplayValueSecClassificationWithQualifier">
    <vt:lpwstr>OFFICIAL</vt:lpwstr>
  </property>
  <property fmtid="{D5CDD505-2E9C-101B-9397-08002B2CF9AE}" pid="9" name="PM_Qualifier">
    <vt:lpwstr/>
  </property>
  <property fmtid="{D5CDD505-2E9C-101B-9397-08002B2CF9AE}" pid="10" name="PM_Hash_SHA1">
    <vt:lpwstr>713DF8EA5A1D94847CD40B6F94A3439DE5A211BD</vt:lpwstr>
  </property>
  <property fmtid="{D5CDD505-2E9C-101B-9397-08002B2CF9AE}" pid="11" name="PM_ProtectiveMarkingImage_Header">
    <vt:lpwstr>C:\Program Files\Common Files\janusNET Shared\janusSEAL\Images\DocumentSlashBlue.png</vt:lpwstr>
  </property>
  <property fmtid="{D5CDD505-2E9C-101B-9397-08002B2CF9AE}" pid="12" name="PM_InsertionValue">
    <vt:lpwstr>OFFICIAL</vt:lpwstr>
  </property>
  <property fmtid="{D5CDD505-2E9C-101B-9397-08002B2CF9AE}" pid="13" name="PM_ProtectiveMarkingValue_Header">
    <vt:lpwstr>OFFICIAL</vt:lpwstr>
  </property>
  <property fmtid="{D5CDD505-2E9C-101B-9397-08002B2CF9AE}" pid="14" name="PM_ProtectiveMarkingImage_Footer">
    <vt:lpwstr>C:\Program Files\Common Files\janusNET Shared\janusSEAL\Images\DocumentSlashBlue.png</vt:lpwstr>
  </property>
  <property fmtid="{D5CDD505-2E9C-101B-9397-08002B2CF9AE}" pid="15" name="PM_Namespace">
    <vt:lpwstr>gov.au</vt:lpwstr>
  </property>
  <property fmtid="{D5CDD505-2E9C-101B-9397-08002B2CF9AE}" pid="16" name="PM_Version">
    <vt:lpwstr>2018.3</vt:lpwstr>
  </property>
  <property fmtid="{D5CDD505-2E9C-101B-9397-08002B2CF9AE}" pid="17" name="PM_Originating_FileId">
    <vt:lpwstr>2D3CA2CCF58E4577ADFF6BC7C9E7EA41</vt:lpwstr>
  </property>
  <property fmtid="{D5CDD505-2E9C-101B-9397-08002B2CF9AE}" pid="18" name="PM_OriginationTimeStamp">
    <vt:lpwstr>2020-12-08T23:19:12Z</vt:lpwstr>
  </property>
  <property fmtid="{D5CDD505-2E9C-101B-9397-08002B2CF9AE}" pid="19" name="PM_Hash_Version">
    <vt:lpwstr>2018.0</vt:lpwstr>
  </property>
  <property fmtid="{D5CDD505-2E9C-101B-9397-08002B2CF9AE}" pid="20" name="PM_Hash_Salt_Prev">
    <vt:lpwstr>EBBDACE2A459BBDD6B3DAFAE345325AB</vt:lpwstr>
  </property>
  <property fmtid="{D5CDD505-2E9C-101B-9397-08002B2CF9AE}" pid="21" name="PM_Hash_Salt">
    <vt:lpwstr>97DF2D8F2B6CC32F80E67BA07784B433</vt:lpwstr>
  </property>
  <property fmtid="{D5CDD505-2E9C-101B-9397-08002B2CF9AE}" pid="22" name="ContentTypeId">
    <vt:lpwstr>0x0101008CA7A4F8331B45C7B0D3158B4994D0CA0200577EC0F5A1FBFC498F9A8436B963F8A6</vt:lpwstr>
  </property>
  <property fmtid="{D5CDD505-2E9C-101B-9397-08002B2CF9AE}" pid="23" name="_dlc_DocIdItemGuid">
    <vt:lpwstr>6db5fede-0dca-4c5d-8197-eba2b094fc81</vt:lpwstr>
  </property>
  <property fmtid="{D5CDD505-2E9C-101B-9397-08002B2CF9AE}" pid="24" name="APRACostCentre">
    <vt:lpwstr>158;#PAD300|98bbdbe4-d019-48eb-87c4-aa31a7f2f98f;#24;#Legal - ADI|652d8d2a-ab45-47b4-ac6e-fe6ac9299b39;#26;#Legal - Insurance: General|8229dc1a-d7f2-47b2-844a-b026fed0c13d;#93;#Legal - Insurance: Health|21611e62-d688-4f0d-8807-02701cc43699;#83;#Legal - In</vt:lpwstr>
  </property>
  <property fmtid="{D5CDD505-2E9C-101B-9397-08002B2CF9AE}" pid="25" name="APRACategory">
    <vt:lpwstr/>
  </property>
  <property fmtid="{D5CDD505-2E9C-101B-9397-08002B2CF9AE}" pid="26" name="APRAStatus">
    <vt:lpwstr>19;#Final|84d6b2d0-8498-4d62-bf46-bab38babbe9e</vt:lpwstr>
  </property>
  <property fmtid="{D5CDD505-2E9C-101B-9397-08002B2CF9AE}" pid="27" name="APRAPRSG">
    <vt:lpwstr/>
  </property>
  <property fmtid="{D5CDD505-2E9C-101B-9397-08002B2CF9AE}" pid="28" name="APRADocumentType">
    <vt:lpwstr>512;#Response paper|62e4ec30-0990-4543-8d24-b298dde09b4c;#435;#Regulation impact statement|a6de7b22-aec6-40f3-a54e-dbfeb004713c</vt:lpwstr>
  </property>
  <property fmtid="{D5CDD505-2E9C-101B-9397-08002B2CF9AE}" pid="29" name="APRAActivity">
    <vt:lpwstr>136;#Prudential policy development|4cf81ba0-32a2-4f8f-8216-9e632903331b;#10;#Registration|390476ce-d76d-4e8d-905f-28e32d2df127;#109;#Statutory instrument|fe68928c-5a9c-4caf-bc8c-6c18cedcb17f</vt:lpwstr>
  </property>
  <property fmtid="{D5CDD505-2E9C-101B-9397-08002B2CF9AE}" pid="30" name="APRAEntityAdviceSupport">
    <vt:lpwstr/>
  </property>
  <property fmtid="{D5CDD505-2E9C-101B-9397-08002B2CF9AE}" pid="31" name="APRATemplateType">
    <vt:lpwstr>29;#Common|703e3ac8-187f-4be8-b76b-c31851088b56</vt:lpwstr>
  </property>
  <property fmtid="{D5CDD505-2E9C-101B-9397-08002B2CF9AE}" pid="32" name="APRALegislation">
    <vt:lpwstr/>
  </property>
  <property fmtid="{D5CDD505-2E9C-101B-9397-08002B2CF9AE}" pid="33" name="APRAYear">
    <vt:lpwstr>229;#2020|29ca90e3-c619-4296-b1bf-6e33e4d24a28</vt:lpwstr>
  </property>
  <property fmtid="{D5CDD505-2E9C-101B-9397-08002B2CF9AE}" pid="34" name="APRAIndustry">
    <vt:lpwstr/>
  </property>
  <property fmtid="{D5CDD505-2E9C-101B-9397-08002B2CF9AE}" pid="35" name="APRAExternalOrganisation">
    <vt:lpwstr/>
  </property>
  <property fmtid="{D5CDD505-2E9C-101B-9397-08002B2CF9AE}" pid="36" name="APRAIRTR">
    <vt:lpwstr/>
  </property>
  <property fmtid="{D5CDD505-2E9C-101B-9397-08002B2CF9AE}" pid="37" name="APRAPeriod">
    <vt:lpwstr/>
  </property>
  <property fmtid="{D5CDD505-2E9C-101B-9397-08002B2CF9AE}" pid="38" name="IT system type0">
    <vt:lpwstr/>
  </property>
  <property fmtid="{D5CDD505-2E9C-101B-9397-08002B2CF9AE}" pid="39" name="RecordPoint_WorkflowType">
    <vt:lpwstr>ActiveSubmitStub</vt:lpwstr>
  </property>
  <property fmtid="{D5CDD505-2E9C-101B-9397-08002B2CF9AE}" pid="40" name="RecordPoint_ActiveItemWebId">
    <vt:lpwstr>{75a71c27-8d66-4282-ae60-1bfc22a83be1}</vt:lpwstr>
  </property>
  <property fmtid="{D5CDD505-2E9C-101B-9397-08002B2CF9AE}" pid="41" name="RecordPoint_ActiveItemSiteId">
    <vt:lpwstr>{88691c01-5bbb-4215-adc0-66cb7065b0af}</vt:lpwstr>
  </property>
  <property fmtid="{D5CDD505-2E9C-101B-9397-08002B2CF9AE}" pid="42" name="RecordPoint_ActiveItemListId">
    <vt:lpwstr>{0e59e171-09d8-4401-800a-327154450cb3}</vt:lpwstr>
  </property>
  <property fmtid="{D5CDD505-2E9C-101B-9397-08002B2CF9AE}" pid="43" name="RecordPoint_ActiveItemUniqueId">
    <vt:lpwstr>{6db5fede-0dca-4c5d-8197-eba2b094fc81}</vt:lpwstr>
  </property>
  <property fmtid="{D5CDD505-2E9C-101B-9397-08002B2CF9AE}" pid="44" name="IsLocked">
    <vt:lpwstr>False</vt:lpwstr>
  </property>
  <property fmtid="{D5CDD505-2E9C-101B-9397-08002B2CF9AE}" pid="45" name="IT system type">
    <vt:lpwstr/>
  </property>
  <property fmtid="{D5CDD505-2E9C-101B-9397-08002B2CF9AE}" pid="46" name="RecordPoint_RecordNumberSubmitted">
    <vt:lpwstr/>
  </property>
  <property fmtid="{D5CDD505-2E9C-101B-9397-08002B2CF9AE}" pid="47" name="RecordPoint_SubmissionDate">
    <vt:lpwstr/>
  </property>
  <property fmtid="{D5CDD505-2E9C-101B-9397-08002B2CF9AE}" pid="48" name="RecordPoint_ActiveItemMoved">
    <vt:lpwstr/>
  </property>
  <property fmtid="{D5CDD505-2E9C-101B-9397-08002B2CF9AE}" pid="49" name="RecordPoint_RecordFormat">
    <vt:lpwstr/>
  </property>
  <property fmtid="{D5CDD505-2E9C-101B-9397-08002B2CF9AE}" pid="50" name="RecordPoint_SubmissionCompleted">
    <vt:lpwstr/>
  </property>
  <property fmtid="{D5CDD505-2E9C-101B-9397-08002B2CF9AE}" pid="51" name="_docset_NoMedatataSyncRequired">
    <vt:lpwstr>False</vt:lpwstr>
  </property>
  <property fmtid="{D5CDD505-2E9C-101B-9397-08002B2CF9AE}" pid="52" name="PM_SecurityClassification_Prev">
    <vt:lpwstr>OFFICIAL</vt:lpwstr>
  </property>
  <property fmtid="{D5CDD505-2E9C-101B-9397-08002B2CF9AE}" pid="53" name="PM_Qualifier_Prev">
    <vt:lpwstr/>
  </property>
  <property fmtid="{D5CDD505-2E9C-101B-9397-08002B2CF9AE}" pid="54" name="PM_Note">
    <vt:lpwstr/>
  </property>
  <property fmtid="{D5CDD505-2E9C-101B-9397-08002B2CF9AE}" pid="55" name="PM_Markers">
    <vt:lpwstr/>
  </property>
</Properties>
</file>