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1B91FCBD" w:rsidR="002436BD" w:rsidRPr="002C6D26" w:rsidRDefault="00E62E09" w:rsidP="001A2234">
      <w:pPr>
        <w:pStyle w:val="Heading"/>
        <w:spacing w:after="240"/>
        <w:jc w:val="center"/>
        <w:rPr>
          <w:rFonts w:ascii="Times New Roman" w:hAnsi="Times New Roman"/>
          <w:sz w:val="24"/>
          <w:szCs w:val="24"/>
        </w:rPr>
      </w:pPr>
      <w:bookmarkStart w:id="0" w:name="_GoBack"/>
      <w:bookmarkEnd w:id="0"/>
      <w:r w:rsidRPr="00134D2D">
        <w:rPr>
          <w:rFonts w:ascii="Times New Roman" w:hAnsi="Times New Roman"/>
          <w:sz w:val="24"/>
          <w:szCs w:val="24"/>
        </w:rPr>
        <w:t>Financial Sector (Collection of Data) (reporting standard)</w:t>
      </w:r>
      <w:r w:rsidR="001A2ADB" w:rsidRPr="00134D2D">
        <w:rPr>
          <w:rFonts w:ascii="Times New Roman" w:hAnsi="Times New Roman"/>
          <w:sz w:val="24"/>
          <w:szCs w:val="24"/>
        </w:rPr>
        <w:t xml:space="preserve"> </w:t>
      </w:r>
      <w:r w:rsidR="002436BD" w:rsidRPr="00134D2D">
        <w:rPr>
          <w:rFonts w:ascii="Times New Roman" w:hAnsi="Times New Roman"/>
          <w:sz w:val="24"/>
          <w:szCs w:val="24"/>
        </w:rPr>
        <w:t>determination No</w:t>
      </w:r>
      <w:r w:rsidR="00134D2D" w:rsidRPr="00134D2D">
        <w:rPr>
          <w:rFonts w:ascii="Times New Roman" w:hAnsi="Times New Roman"/>
          <w:sz w:val="24"/>
          <w:szCs w:val="24"/>
        </w:rPr>
        <w:t>s</w:t>
      </w:r>
      <w:r w:rsidR="002436BD" w:rsidRPr="00134D2D">
        <w:rPr>
          <w:rFonts w:ascii="Times New Roman" w:hAnsi="Times New Roman"/>
          <w:sz w:val="24"/>
          <w:szCs w:val="24"/>
        </w:rPr>
        <w:t xml:space="preserve">. </w:t>
      </w:r>
      <w:r w:rsidR="00134D2D" w:rsidRPr="00134D2D">
        <w:rPr>
          <w:rFonts w:ascii="Times New Roman" w:hAnsi="Times New Roman"/>
          <w:sz w:val="24"/>
          <w:szCs w:val="24"/>
        </w:rPr>
        <w:t>11</w:t>
      </w:r>
      <w:r w:rsidR="00113307" w:rsidRPr="00134D2D">
        <w:rPr>
          <w:rFonts w:ascii="Times New Roman" w:hAnsi="Times New Roman"/>
          <w:sz w:val="24"/>
          <w:szCs w:val="24"/>
        </w:rPr>
        <w:t xml:space="preserve"> and </w:t>
      </w:r>
      <w:r w:rsidR="00134D2D" w:rsidRPr="00134D2D">
        <w:rPr>
          <w:rFonts w:ascii="Times New Roman" w:hAnsi="Times New Roman"/>
          <w:sz w:val="24"/>
          <w:szCs w:val="24"/>
        </w:rPr>
        <w:t>12</w:t>
      </w:r>
      <w:r w:rsidR="00C02366" w:rsidRPr="00134D2D">
        <w:rPr>
          <w:rFonts w:ascii="Times New Roman" w:hAnsi="Times New Roman"/>
          <w:sz w:val="24"/>
          <w:szCs w:val="24"/>
        </w:rPr>
        <w:t xml:space="preserve"> of 2020</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B789C9E" w:rsidR="002436BD" w:rsidRPr="002C6D26"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18F3A9E0" w14:textId="261858E3" w:rsidR="00246723" w:rsidRPr="00134D2D" w:rsidRDefault="00246723" w:rsidP="001A2234">
      <w:pPr>
        <w:spacing w:after="240"/>
        <w:jc w:val="both"/>
        <w:rPr>
          <w:rFonts w:ascii="Times New Roman" w:hAnsi="Times New Roman"/>
          <w:sz w:val="24"/>
          <w:szCs w:val="24"/>
        </w:rPr>
      </w:pPr>
      <w:r w:rsidRPr="005373BC">
        <w:rPr>
          <w:rFonts w:ascii="Times New Roman" w:hAnsi="Times New Roman"/>
          <w:sz w:val="24"/>
          <w:szCs w:val="24"/>
        </w:rPr>
        <w:t xml:space="preserve">On </w:t>
      </w:r>
      <w:r w:rsidR="005373BC" w:rsidRPr="005373BC">
        <w:rPr>
          <w:rFonts w:ascii="Times New Roman" w:hAnsi="Times New Roman"/>
          <w:sz w:val="24"/>
          <w:szCs w:val="24"/>
        </w:rPr>
        <w:t>8</w:t>
      </w:r>
      <w:r w:rsidR="00C02366" w:rsidRPr="005373BC">
        <w:rPr>
          <w:rFonts w:ascii="Times New Roman" w:hAnsi="Times New Roman"/>
          <w:sz w:val="24"/>
          <w:szCs w:val="24"/>
        </w:rPr>
        <w:t xml:space="preserve"> </w:t>
      </w:r>
      <w:r w:rsidR="00134D2D" w:rsidRPr="005373BC">
        <w:rPr>
          <w:rFonts w:ascii="Times New Roman" w:hAnsi="Times New Roman"/>
          <w:sz w:val="24"/>
          <w:szCs w:val="24"/>
        </w:rPr>
        <w:t>December</w:t>
      </w:r>
      <w:r w:rsidR="00C02366" w:rsidRPr="00134D2D">
        <w:rPr>
          <w:rFonts w:ascii="Times New Roman" w:hAnsi="Times New Roman"/>
          <w:sz w:val="24"/>
          <w:szCs w:val="24"/>
        </w:rPr>
        <w:t xml:space="preserve"> 2020</w:t>
      </w:r>
      <w:r w:rsidRPr="00134D2D">
        <w:rPr>
          <w:rFonts w:ascii="Times New Roman" w:hAnsi="Times New Roman"/>
          <w:sz w:val="24"/>
          <w:szCs w:val="24"/>
        </w:rPr>
        <w:t>,</w:t>
      </w:r>
      <w:r w:rsidRPr="00246723">
        <w:rPr>
          <w:rFonts w:ascii="Times New Roman" w:hAnsi="Times New Roman"/>
          <w:sz w:val="24"/>
          <w:szCs w:val="24"/>
        </w:rPr>
        <w:t xml:space="preserve"> APRA made the following determinations (the instr</w:t>
      </w:r>
      <w:r w:rsidRPr="00134D2D">
        <w:rPr>
          <w:rFonts w:ascii="Times New Roman" w:hAnsi="Times New Roman"/>
          <w:sz w:val="24"/>
          <w:szCs w:val="24"/>
        </w:rPr>
        <w:t>uments):</w:t>
      </w:r>
    </w:p>
    <w:p w14:paraId="56C8B636" w14:textId="014AAB76" w:rsidR="00736D41" w:rsidRPr="00134D2D" w:rsidRDefault="000B14BD" w:rsidP="001A2234">
      <w:pPr>
        <w:widowControl w:val="0"/>
        <w:numPr>
          <w:ilvl w:val="0"/>
          <w:numId w:val="4"/>
        </w:numPr>
        <w:spacing w:after="240"/>
        <w:ind w:left="567" w:hanging="567"/>
        <w:jc w:val="both"/>
        <w:rPr>
          <w:rFonts w:ascii="Times New Roman" w:hAnsi="Times New Roman"/>
          <w:sz w:val="24"/>
          <w:szCs w:val="24"/>
        </w:rPr>
      </w:pPr>
      <w:r w:rsidRPr="00134D2D">
        <w:rPr>
          <w:rFonts w:ascii="Times New Roman" w:hAnsi="Times New Roman"/>
          <w:sz w:val="24"/>
          <w:szCs w:val="24"/>
        </w:rPr>
        <w:t>Financial Sector (Collection of Data) (reportin</w:t>
      </w:r>
      <w:r w:rsidR="00736D41" w:rsidRPr="00134D2D">
        <w:rPr>
          <w:rFonts w:ascii="Times New Roman" w:hAnsi="Times New Roman"/>
          <w:sz w:val="24"/>
          <w:szCs w:val="24"/>
        </w:rPr>
        <w:t xml:space="preserve">g standard) determination No. </w:t>
      </w:r>
      <w:r w:rsidR="00134D2D" w:rsidRPr="00134D2D">
        <w:rPr>
          <w:rFonts w:ascii="Times New Roman" w:hAnsi="Times New Roman"/>
          <w:sz w:val="24"/>
          <w:szCs w:val="24"/>
        </w:rPr>
        <w:t>11</w:t>
      </w:r>
      <w:r w:rsidR="00736D41" w:rsidRPr="00134D2D">
        <w:rPr>
          <w:rFonts w:ascii="Times New Roman" w:hAnsi="Times New Roman"/>
          <w:sz w:val="24"/>
          <w:szCs w:val="24"/>
        </w:rPr>
        <w:t xml:space="preserve"> </w:t>
      </w:r>
      <w:r w:rsidRPr="00134D2D">
        <w:rPr>
          <w:rFonts w:ascii="Times New Roman" w:hAnsi="Times New Roman"/>
          <w:sz w:val="24"/>
          <w:szCs w:val="24"/>
        </w:rPr>
        <w:t>of 20</w:t>
      </w:r>
      <w:r w:rsidR="00C02366" w:rsidRPr="00134D2D">
        <w:rPr>
          <w:rFonts w:ascii="Times New Roman" w:hAnsi="Times New Roman"/>
          <w:sz w:val="24"/>
          <w:szCs w:val="24"/>
        </w:rPr>
        <w:t>20</w:t>
      </w:r>
      <w:r w:rsidRPr="00134D2D">
        <w:rPr>
          <w:rFonts w:ascii="Times New Roman" w:hAnsi="Times New Roman"/>
          <w:sz w:val="24"/>
          <w:szCs w:val="24"/>
        </w:rPr>
        <w:t xml:space="preserve"> which</w:t>
      </w:r>
      <w:r w:rsidR="00736D41" w:rsidRPr="00134D2D">
        <w:rPr>
          <w:rFonts w:ascii="Times New Roman" w:hAnsi="Times New Roman"/>
          <w:sz w:val="24"/>
          <w:szCs w:val="24"/>
        </w:rPr>
        <w:t>:</w:t>
      </w:r>
    </w:p>
    <w:p w14:paraId="6D032C87" w14:textId="3D095163" w:rsidR="00736D41" w:rsidRPr="00134D2D" w:rsidRDefault="00BD6360" w:rsidP="00C02366">
      <w:pPr>
        <w:widowControl w:val="0"/>
        <w:numPr>
          <w:ilvl w:val="1"/>
          <w:numId w:val="11"/>
        </w:numPr>
        <w:spacing w:after="240"/>
        <w:jc w:val="both"/>
        <w:rPr>
          <w:rFonts w:ascii="Times New Roman" w:hAnsi="Times New Roman"/>
          <w:sz w:val="24"/>
          <w:szCs w:val="24"/>
        </w:rPr>
      </w:pPr>
      <w:r w:rsidRPr="00134D2D">
        <w:rPr>
          <w:rFonts w:ascii="Times New Roman" w:hAnsi="Times New Roman"/>
          <w:sz w:val="24"/>
          <w:szCs w:val="24"/>
        </w:rPr>
        <w:t xml:space="preserve">revokes </w:t>
      </w:r>
      <w:r w:rsidR="00736D41" w:rsidRPr="00134D2D">
        <w:rPr>
          <w:rFonts w:ascii="Times New Roman" w:hAnsi="Times New Roman"/>
          <w:i/>
          <w:sz w:val="24"/>
          <w:szCs w:val="24"/>
        </w:rPr>
        <w:t>Reporting Standard ARS</w:t>
      </w:r>
      <w:r w:rsidR="00C02366" w:rsidRPr="00134D2D">
        <w:rPr>
          <w:rFonts w:ascii="Times New Roman" w:hAnsi="Times New Roman"/>
          <w:i/>
          <w:sz w:val="24"/>
          <w:szCs w:val="24"/>
        </w:rPr>
        <w:t> </w:t>
      </w:r>
      <w:r w:rsidR="004F70BE" w:rsidRPr="00134D2D">
        <w:rPr>
          <w:rFonts w:ascii="Times New Roman" w:hAnsi="Times New Roman"/>
          <w:i/>
          <w:sz w:val="24"/>
          <w:szCs w:val="24"/>
        </w:rPr>
        <w:t xml:space="preserve">222.0 Exposures to Related Entities </w:t>
      </w:r>
      <w:r w:rsidR="00736D41" w:rsidRPr="00134D2D">
        <w:rPr>
          <w:rFonts w:ascii="Times New Roman" w:hAnsi="Times New Roman"/>
          <w:sz w:val="24"/>
          <w:szCs w:val="24"/>
        </w:rPr>
        <w:t>made under Financial Sector (Collection of Data) (reporting standard) determination No.</w:t>
      </w:r>
      <w:r w:rsidR="00C02366" w:rsidRPr="00134D2D">
        <w:rPr>
          <w:rFonts w:ascii="Times New Roman" w:hAnsi="Times New Roman"/>
          <w:sz w:val="24"/>
          <w:szCs w:val="24"/>
        </w:rPr>
        <w:t xml:space="preserve"> </w:t>
      </w:r>
      <w:r w:rsidR="00CA33DC" w:rsidRPr="00134D2D">
        <w:rPr>
          <w:rFonts w:ascii="Times New Roman" w:hAnsi="Times New Roman"/>
          <w:sz w:val="24"/>
          <w:szCs w:val="24"/>
        </w:rPr>
        <w:t>12</w:t>
      </w:r>
      <w:r w:rsidR="00736D41" w:rsidRPr="00134D2D">
        <w:rPr>
          <w:rFonts w:ascii="Times New Roman" w:hAnsi="Times New Roman"/>
          <w:sz w:val="24"/>
          <w:szCs w:val="24"/>
        </w:rPr>
        <w:t xml:space="preserve"> of 201</w:t>
      </w:r>
      <w:r w:rsidR="00CA33DC" w:rsidRPr="00134D2D">
        <w:rPr>
          <w:rFonts w:ascii="Times New Roman" w:hAnsi="Times New Roman"/>
          <w:sz w:val="24"/>
          <w:szCs w:val="24"/>
        </w:rPr>
        <w:t>8</w:t>
      </w:r>
      <w:r w:rsidR="00736D41" w:rsidRPr="00134D2D">
        <w:rPr>
          <w:rFonts w:ascii="Times New Roman" w:hAnsi="Times New Roman"/>
          <w:sz w:val="24"/>
          <w:szCs w:val="24"/>
        </w:rPr>
        <w:t>; and</w:t>
      </w:r>
    </w:p>
    <w:p w14:paraId="2DD01B00" w14:textId="02975734" w:rsidR="00AC7A56" w:rsidRPr="00134D2D" w:rsidRDefault="000B14BD" w:rsidP="00C02366">
      <w:pPr>
        <w:widowControl w:val="0"/>
        <w:numPr>
          <w:ilvl w:val="1"/>
          <w:numId w:val="11"/>
        </w:numPr>
        <w:spacing w:after="240"/>
        <w:jc w:val="both"/>
        <w:rPr>
          <w:rFonts w:ascii="Times New Roman" w:hAnsi="Times New Roman"/>
          <w:sz w:val="24"/>
          <w:szCs w:val="24"/>
        </w:rPr>
      </w:pPr>
      <w:r w:rsidRPr="00134D2D">
        <w:rPr>
          <w:rFonts w:ascii="Times New Roman" w:hAnsi="Times New Roman"/>
          <w:sz w:val="24"/>
          <w:szCs w:val="24"/>
        </w:rPr>
        <w:t xml:space="preserve">determines </w:t>
      </w:r>
      <w:r w:rsidRPr="00134D2D">
        <w:rPr>
          <w:rFonts w:ascii="Times New Roman" w:hAnsi="Times New Roman"/>
          <w:i/>
          <w:sz w:val="24"/>
          <w:szCs w:val="24"/>
        </w:rPr>
        <w:t xml:space="preserve">Reporting Standard </w:t>
      </w:r>
      <w:r w:rsidR="004F70BE" w:rsidRPr="00134D2D">
        <w:rPr>
          <w:rFonts w:ascii="Times New Roman" w:hAnsi="Times New Roman"/>
          <w:i/>
          <w:sz w:val="24"/>
          <w:szCs w:val="24"/>
        </w:rPr>
        <w:t>ARS</w:t>
      </w:r>
      <w:r w:rsidR="00C02366" w:rsidRPr="00134D2D">
        <w:rPr>
          <w:rFonts w:ascii="Times New Roman" w:hAnsi="Times New Roman"/>
          <w:i/>
          <w:sz w:val="24"/>
          <w:szCs w:val="24"/>
        </w:rPr>
        <w:t> </w:t>
      </w:r>
      <w:r w:rsidR="004F70BE" w:rsidRPr="00134D2D">
        <w:rPr>
          <w:rFonts w:ascii="Times New Roman" w:hAnsi="Times New Roman"/>
          <w:i/>
          <w:sz w:val="24"/>
          <w:szCs w:val="24"/>
        </w:rPr>
        <w:t>222.0 Exposures to Related Entities</w:t>
      </w:r>
      <w:r w:rsidRPr="00134D2D">
        <w:rPr>
          <w:rFonts w:ascii="Times New Roman" w:hAnsi="Times New Roman"/>
          <w:sz w:val="24"/>
          <w:szCs w:val="24"/>
        </w:rPr>
        <w:t xml:space="preserve"> (ARS</w:t>
      </w:r>
      <w:r w:rsidR="00C02366" w:rsidRPr="00134D2D">
        <w:rPr>
          <w:rFonts w:ascii="Times New Roman" w:hAnsi="Times New Roman"/>
          <w:sz w:val="24"/>
          <w:szCs w:val="24"/>
        </w:rPr>
        <w:t> </w:t>
      </w:r>
      <w:r w:rsidR="004F70BE" w:rsidRPr="00134D2D">
        <w:rPr>
          <w:rFonts w:ascii="Times New Roman" w:hAnsi="Times New Roman"/>
          <w:sz w:val="24"/>
          <w:szCs w:val="24"/>
        </w:rPr>
        <w:t>222.0</w:t>
      </w:r>
      <w:r w:rsidRPr="00134D2D">
        <w:rPr>
          <w:rFonts w:ascii="Times New Roman" w:hAnsi="Times New Roman"/>
          <w:sz w:val="24"/>
          <w:szCs w:val="24"/>
        </w:rPr>
        <w:t>)</w:t>
      </w:r>
      <w:r w:rsidR="00AC7A56" w:rsidRPr="00134D2D">
        <w:rPr>
          <w:rFonts w:ascii="Times New Roman" w:hAnsi="Times New Roman"/>
          <w:sz w:val="24"/>
          <w:szCs w:val="24"/>
        </w:rPr>
        <w:t>;</w:t>
      </w:r>
      <w:r w:rsidR="004F70BE" w:rsidRPr="00134D2D">
        <w:rPr>
          <w:rFonts w:ascii="Times New Roman" w:hAnsi="Times New Roman"/>
          <w:sz w:val="24"/>
          <w:szCs w:val="24"/>
        </w:rPr>
        <w:t xml:space="preserve"> and</w:t>
      </w:r>
    </w:p>
    <w:p w14:paraId="647F3F2B" w14:textId="0B4F43AB" w:rsidR="00AC7A56" w:rsidRPr="00134D2D" w:rsidRDefault="000B14BD" w:rsidP="00745C6F">
      <w:pPr>
        <w:widowControl w:val="0"/>
        <w:numPr>
          <w:ilvl w:val="0"/>
          <w:numId w:val="4"/>
        </w:numPr>
        <w:spacing w:after="240"/>
        <w:ind w:left="567" w:hanging="567"/>
        <w:jc w:val="both"/>
        <w:rPr>
          <w:rFonts w:ascii="Times New Roman" w:hAnsi="Times New Roman"/>
          <w:sz w:val="24"/>
          <w:szCs w:val="24"/>
        </w:rPr>
      </w:pPr>
      <w:r w:rsidRPr="00134D2D">
        <w:rPr>
          <w:rFonts w:ascii="Times New Roman" w:hAnsi="Times New Roman"/>
          <w:sz w:val="24"/>
          <w:szCs w:val="24"/>
        </w:rPr>
        <w:t xml:space="preserve">Financial Sector (Collection of Data) (reporting standard) determination No. </w:t>
      </w:r>
      <w:r w:rsidR="00134D2D" w:rsidRPr="00134D2D">
        <w:rPr>
          <w:rFonts w:ascii="Times New Roman" w:hAnsi="Times New Roman"/>
          <w:sz w:val="24"/>
          <w:szCs w:val="24"/>
        </w:rPr>
        <w:t>12</w:t>
      </w:r>
      <w:r w:rsidR="00B059A1" w:rsidRPr="00134D2D">
        <w:rPr>
          <w:rFonts w:ascii="Times New Roman" w:hAnsi="Times New Roman"/>
          <w:sz w:val="24"/>
          <w:szCs w:val="24"/>
        </w:rPr>
        <w:t xml:space="preserve"> </w:t>
      </w:r>
      <w:r w:rsidRPr="00134D2D">
        <w:rPr>
          <w:rFonts w:ascii="Times New Roman" w:hAnsi="Times New Roman"/>
          <w:sz w:val="24"/>
          <w:szCs w:val="24"/>
        </w:rPr>
        <w:t>of 20</w:t>
      </w:r>
      <w:r w:rsidR="00C02366" w:rsidRPr="00134D2D">
        <w:rPr>
          <w:rFonts w:ascii="Times New Roman" w:hAnsi="Times New Roman"/>
          <w:sz w:val="24"/>
          <w:szCs w:val="24"/>
        </w:rPr>
        <w:t>20</w:t>
      </w:r>
      <w:r w:rsidRPr="00134D2D">
        <w:rPr>
          <w:rFonts w:ascii="Times New Roman" w:hAnsi="Times New Roman"/>
          <w:sz w:val="24"/>
          <w:szCs w:val="24"/>
        </w:rPr>
        <w:t xml:space="preserve"> which</w:t>
      </w:r>
      <w:r w:rsidR="000E3A02" w:rsidRPr="00134D2D">
        <w:rPr>
          <w:rFonts w:ascii="Times New Roman" w:hAnsi="Times New Roman"/>
          <w:sz w:val="24"/>
          <w:szCs w:val="24"/>
        </w:rPr>
        <w:t xml:space="preserve"> </w:t>
      </w:r>
      <w:r w:rsidRPr="00134D2D">
        <w:rPr>
          <w:rFonts w:ascii="Times New Roman" w:hAnsi="Times New Roman"/>
          <w:sz w:val="24"/>
          <w:szCs w:val="24"/>
        </w:rPr>
        <w:t xml:space="preserve">determines </w:t>
      </w:r>
      <w:r w:rsidR="004F70BE" w:rsidRPr="00134D2D">
        <w:rPr>
          <w:rFonts w:ascii="Times New Roman" w:hAnsi="Times New Roman"/>
          <w:i/>
          <w:sz w:val="24"/>
          <w:szCs w:val="24"/>
        </w:rPr>
        <w:t>Reporting Standard ARS</w:t>
      </w:r>
      <w:r w:rsidR="00C02366" w:rsidRPr="00134D2D">
        <w:rPr>
          <w:rFonts w:ascii="Times New Roman" w:hAnsi="Times New Roman"/>
          <w:i/>
          <w:sz w:val="24"/>
          <w:szCs w:val="24"/>
        </w:rPr>
        <w:t> </w:t>
      </w:r>
      <w:r w:rsidR="004F70BE" w:rsidRPr="00134D2D">
        <w:rPr>
          <w:rFonts w:ascii="Times New Roman" w:hAnsi="Times New Roman"/>
          <w:i/>
          <w:sz w:val="24"/>
          <w:szCs w:val="24"/>
        </w:rPr>
        <w:t xml:space="preserve">222.2 Exposures to Related Entities – Step-in risk </w:t>
      </w:r>
      <w:r w:rsidR="004F70BE" w:rsidRPr="00134D2D">
        <w:rPr>
          <w:rFonts w:ascii="Times New Roman" w:hAnsi="Times New Roman"/>
          <w:sz w:val="24"/>
          <w:szCs w:val="24"/>
        </w:rPr>
        <w:t>(ARS</w:t>
      </w:r>
      <w:r w:rsidR="00C02366" w:rsidRPr="00134D2D">
        <w:rPr>
          <w:rFonts w:ascii="Times New Roman" w:hAnsi="Times New Roman"/>
          <w:sz w:val="24"/>
          <w:szCs w:val="24"/>
        </w:rPr>
        <w:t> </w:t>
      </w:r>
      <w:r w:rsidR="004F70BE" w:rsidRPr="00134D2D">
        <w:rPr>
          <w:rFonts w:ascii="Times New Roman" w:hAnsi="Times New Roman"/>
          <w:sz w:val="24"/>
          <w:szCs w:val="24"/>
        </w:rPr>
        <w:t>222.2).</w:t>
      </w:r>
    </w:p>
    <w:p w14:paraId="00A7386E" w14:textId="7A07557F"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The instruments commence on</w:t>
      </w:r>
      <w:r w:rsidR="00D50699">
        <w:rPr>
          <w:rFonts w:ascii="Times New Roman" w:hAnsi="Times New Roman"/>
          <w:sz w:val="24"/>
          <w:szCs w:val="24"/>
        </w:rPr>
        <w:t xml:space="preserve"> 1 January 202</w:t>
      </w:r>
      <w:r w:rsidR="00C02366">
        <w:rPr>
          <w:rFonts w:ascii="Times New Roman" w:hAnsi="Times New Roman"/>
          <w:sz w:val="24"/>
          <w:szCs w:val="24"/>
        </w:rPr>
        <w:t>2</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669BFEFF" w14:textId="6540DFB1" w:rsidR="00802197" w:rsidRDefault="00DB2B8C" w:rsidP="00745C6F">
      <w:pPr>
        <w:pStyle w:val="APRANORMAL"/>
        <w:jc w:val="both"/>
        <w:rPr>
          <w:rFonts w:ascii="Times New Roman" w:hAnsi="Times New Roman"/>
          <w:sz w:val="24"/>
          <w:szCs w:val="24"/>
        </w:rPr>
      </w:pPr>
      <w:bookmarkStart w:id="4" w:name="bkBackground"/>
      <w:bookmarkEnd w:id="4"/>
      <w:r>
        <w:rPr>
          <w:rFonts w:ascii="Times New Roman" w:hAnsi="Times New Roman"/>
          <w:sz w:val="24"/>
          <w:szCs w:val="24"/>
        </w:rPr>
        <w:t>APRA’s mandate is to ensure the safety and soundness of prudentially regulated financial institutions so that they can meet their financial promises to depositors, policyholders and fund members within a stable, efficient and competitive financial system. A key component of this is requiring ADIs to have prudent systems for identifying, measuring, evaluating, monitoring, reporting and controlling or mitigating material risks that may affect their ability to meet obligations to depositors.</w:t>
      </w:r>
    </w:p>
    <w:p w14:paraId="3B63BA33" w14:textId="69B849FC" w:rsidR="00482857" w:rsidRDefault="00267087" w:rsidP="00745C6F">
      <w:pPr>
        <w:pStyle w:val="APRANORMAL"/>
        <w:jc w:val="both"/>
        <w:rPr>
          <w:rFonts w:ascii="Times New Roman" w:hAnsi="Times New Roman"/>
          <w:sz w:val="24"/>
          <w:szCs w:val="24"/>
        </w:rPr>
      </w:pPr>
      <w:r w:rsidRPr="005D1AF5">
        <w:rPr>
          <w:rFonts w:ascii="Times New Roman" w:hAnsi="Times New Roman"/>
          <w:sz w:val="24"/>
          <w:szCs w:val="24"/>
        </w:rPr>
        <w:t>Associations with related entities introduce the potential for material contagion risk within the banking sector.</w:t>
      </w:r>
      <w:r w:rsidR="00802197">
        <w:rPr>
          <w:rFonts w:ascii="Times New Roman" w:hAnsi="Times New Roman"/>
          <w:sz w:val="24"/>
          <w:szCs w:val="24"/>
        </w:rPr>
        <w:t xml:space="preserve"> </w:t>
      </w:r>
      <w:r w:rsidR="00A36726">
        <w:rPr>
          <w:rFonts w:ascii="Times New Roman" w:hAnsi="Times New Roman"/>
          <w:sz w:val="24"/>
          <w:szCs w:val="24"/>
        </w:rPr>
        <w:t>Deficiencies in prudential controls to mitigate the flow of this risk to related entities can result in severe financial and reputational contagion, ultimately affecting depositors. F</w:t>
      </w:r>
      <w:r w:rsidRPr="005D1AF5">
        <w:rPr>
          <w:rFonts w:ascii="Times New Roman" w:hAnsi="Times New Roman"/>
          <w:sz w:val="24"/>
          <w:szCs w:val="24"/>
        </w:rPr>
        <w:t xml:space="preserve">inancial contagion risk may arise when an </w:t>
      </w:r>
      <w:r w:rsidR="00DB2B8C">
        <w:rPr>
          <w:rFonts w:ascii="Times New Roman" w:hAnsi="Times New Roman"/>
          <w:sz w:val="24"/>
          <w:szCs w:val="24"/>
        </w:rPr>
        <w:t xml:space="preserve">ADI </w:t>
      </w:r>
      <w:r w:rsidRPr="005D1AF5">
        <w:rPr>
          <w:rFonts w:ascii="Times New Roman" w:hAnsi="Times New Roman"/>
          <w:sz w:val="24"/>
          <w:szCs w:val="24"/>
        </w:rPr>
        <w:t xml:space="preserve">has a concentration of exposures to its related entities. </w:t>
      </w:r>
      <w:r>
        <w:rPr>
          <w:rFonts w:ascii="Times New Roman" w:hAnsi="Times New Roman"/>
          <w:sz w:val="24"/>
          <w:szCs w:val="24"/>
        </w:rPr>
        <w:t xml:space="preserve">This may be exacerbated by conflicts </w:t>
      </w:r>
      <w:r>
        <w:rPr>
          <w:rFonts w:ascii="Times New Roman" w:hAnsi="Times New Roman"/>
          <w:sz w:val="24"/>
          <w:szCs w:val="24"/>
        </w:rPr>
        <w:lastRenderedPageBreak/>
        <w:t xml:space="preserve">of interest </w:t>
      </w:r>
      <w:r w:rsidRPr="005D1AF5">
        <w:rPr>
          <w:rFonts w:ascii="Times New Roman" w:hAnsi="Times New Roman"/>
          <w:sz w:val="24"/>
          <w:szCs w:val="24"/>
        </w:rPr>
        <w:t>during the origination or ongoing management of an exposure to a related entity.</w:t>
      </w:r>
      <w:r w:rsidR="00482857">
        <w:rPr>
          <w:rFonts w:ascii="Times New Roman" w:hAnsi="Times New Roman"/>
          <w:sz w:val="24"/>
          <w:szCs w:val="24"/>
        </w:rPr>
        <w:t xml:space="preserve"> </w:t>
      </w:r>
      <w:r w:rsidR="00540092">
        <w:rPr>
          <w:rFonts w:ascii="Times New Roman" w:hAnsi="Times New Roman"/>
          <w:sz w:val="24"/>
          <w:szCs w:val="24"/>
        </w:rPr>
        <w:t>Reputational</w:t>
      </w:r>
      <w:r w:rsidR="00540092" w:rsidRPr="005D1AF5">
        <w:rPr>
          <w:rFonts w:ascii="Times New Roman" w:hAnsi="Times New Roman"/>
          <w:sz w:val="24"/>
          <w:szCs w:val="24"/>
        </w:rPr>
        <w:t xml:space="preserve"> contagion may arise where investors perceive that a related entity faces operational or financial difficulties or where an ADI could be seen to step in to support a group member beyond any legal obligation. </w:t>
      </w:r>
      <w:r w:rsidR="00482857">
        <w:rPr>
          <w:rFonts w:ascii="Times New Roman" w:hAnsi="Times New Roman"/>
          <w:sz w:val="24"/>
          <w:szCs w:val="24"/>
        </w:rPr>
        <w:t>ARS</w:t>
      </w:r>
      <w:r w:rsidR="00C02366">
        <w:rPr>
          <w:rFonts w:ascii="Times New Roman" w:hAnsi="Times New Roman"/>
          <w:sz w:val="24"/>
          <w:szCs w:val="24"/>
        </w:rPr>
        <w:t> </w:t>
      </w:r>
      <w:r w:rsidR="00482857">
        <w:rPr>
          <w:rFonts w:ascii="Times New Roman" w:hAnsi="Times New Roman"/>
          <w:sz w:val="24"/>
          <w:szCs w:val="24"/>
        </w:rPr>
        <w:t xml:space="preserve">222.0 collects information from ADIs on their exposures to related entities, which </w:t>
      </w:r>
      <w:r w:rsidR="00482857">
        <w:rPr>
          <w:rFonts w:ascii="Times New Roman" w:hAnsi="Times New Roman"/>
          <w:i/>
          <w:sz w:val="24"/>
          <w:szCs w:val="24"/>
        </w:rPr>
        <w:t>Prudential Standard APS</w:t>
      </w:r>
      <w:r w:rsidR="00C02366">
        <w:rPr>
          <w:rFonts w:ascii="Times New Roman" w:hAnsi="Times New Roman"/>
          <w:i/>
          <w:sz w:val="24"/>
          <w:szCs w:val="24"/>
        </w:rPr>
        <w:t> </w:t>
      </w:r>
      <w:r w:rsidR="00482857">
        <w:rPr>
          <w:rFonts w:ascii="Times New Roman" w:hAnsi="Times New Roman"/>
          <w:i/>
          <w:sz w:val="24"/>
          <w:szCs w:val="24"/>
        </w:rPr>
        <w:t>222 Associations with Related Entities</w:t>
      </w:r>
      <w:r w:rsidR="00FE44FC">
        <w:rPr>
          <w:rFonts w:ascii="Times New Roman" w:hAnsi="Times New Roman"/>
          <w:i/>
          <w:sz w:val="24"/>
          <w:szCs w:val="24"/>
        </w:rPr>
        <w:t xml:space="preserve"> </w:t>
      </w:r>
      <w:r w:rsidR="00FE44FC">
        <w:rPr>
          <w:rFonts w:ascii="Times New Roman" w:hAnsi="Times New Roman"/>
          <w:sz w:val="24"/>
          <w:szCs w:val="24"/>
        </w:rPr>
        <w:t>(APS</w:t>
      </w:r>
      <w:r w:rsidR="00C02366">
        <w:rPr>
          <w:rFonts w:ascii="Times New Roman" w:hAnsi="Times New Roman"/>
          <w:sz w:val="24"/>
          <w:szCs w:val="24"/>
        </w:rPr>
        <w:t> </w:t>
      </w:r>
      <w:r w:rsidR="00FE44FC">
        <w:rPr>
          <w:rFonts w:ascii="Times New Roman" w:hAnsi="Times New Roman"/>
          <w:sz w:val="24"/>
          <w:szCs w:val="24"/>
        </w:rPr>
        <w:t>222)</w:t>
      </w:r>
      <w:r w:rsidR="00482857">
        <w:rPr>
          <w:rFonts w:ascii="Times New Roman" w:hAnsi="Times New Roman"/>
          <w:i/>
          <w:sz w:val="24"/>
          <w:szCs w:val="24"/>
        </w:rPr>
        <w:t xml:space="preserve"> </w:t>
      </w:r>
      <w:r w:rsidR="00482857">
        <w:rPr>
          <w:rFonts w:ascii="Times New Roman" w:hAnsi="Times New Roman"/>
          <w:sz w:val="24"/>
          <w:szCs w:val="24"/>
        </w:rPr>
        <w:t>defines as an entity which could give ris</w:t>
      </w:r>
      <w:r w:rsidR="00C0368E">
        <w:rPr>
          <w:rFonts w:ascii="Times New Roman" w:hAnsi="Times New Roman"/>
          <w:sz w:val="24"/>
          <w:szCs w:val="24"/>
        </w:rPr>
        <w:t>e</w:t>
      </w:r>
      <w:r w:rsidR="00482857">
        <w:rPr>
          <w:rFonts w:ascii="Times New Roman" w:hAnsi="Times New Roman"/>
          <w:sz w:val="24"/>
          <w:szCs w:val="24"/>
        </w:rPr>
        <w:t xml:space="preserve"> to risk to the ADI due to conflicts of interest and contagion, where the risk would not arise if the ADI were dealing with an unrelated entity.</w:t>
      </w:r>
    </w:p>
    <w:p w14:paraId="5973E149" w14:textId="09A1BC44" w:rsidR="00A36726" w:rsidRDefault="00482857" w:rsidP="00745C6F">
      <w:pPr>
        <w:pStyle w:val="APRANORMAL"/>
        <w:jc w:val="both"/>
      </w:pPr>
      <w:r>
        <w:rPr>
          <w:rFonts w:ascii="Times New Roman" w:hAnsi="Times New Roman"/>
          <w:sz w:val="24"/>
          <w:szCs w:val="24"/>
        </w:rPr>
        <w:t>ARS</w:t>
      </w:r>
      <w:r w:rsidR="00C02366">
        <w:rPr>
          <w:rFonts w:ascii="Times New Roman" w:hAnsi="Times New Roman"/>
          <w:sz w:val="24"/>
          <w:szCs w:val="24"/>
        </w:rPr>
        <w:t> </w:t>
      </w:r>
      <w:r>
        <w:rPr>
          <w:rFonts w:ascii="Times New Roman" w:hAnsi="Times New Roman"/>
          <w:sz w:val="24"/>
          <w:szCs w:val="24"/>
        </w:rPr>
        <w:t>222.2 collects information regarding step-in risk entities. A step-in risk entity is defined as an entity to which an ADI is likely to provide support beyond any legal or contractual obligation.</w:t>
      </w:r>
    </w:p>
    <w:p w14:paraId="7FA50A5F" w14:textId="69F46A3B"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895DAC">
        <w:rPr>
          <w:rFonts w:ascii="Times New Roman" w:hAnsi="Times New Roman"/>
          <w:sz w:val="24"/>
          <w:szCs w:val="24"/>
        </w:rPr>
        <w:t>s</w:t>
      </w:r>
    </w:p>
    <w:p w14:paraId="47376616" w14:textId="37250180" w:rsidR="003F7007" w:rsidRDefault="003F7007" w:rsidP="00C02366">
      <w:pPr>
        <w:spacing w:after="240"/>
        <w:ind w:right="113"/>
        <w:jc w:val="both"/>
        <w:rPr>
          <w:rFonts w:ascii="Times New Roman" w:hAnsi="Times New Roman"/>
          <w:sz w:val="24"/>
          <w:szCs w:val="24"/>
        </w:rPr>
      </w:pPr>
      <w:bookmarkStart w:id="5" w:name="bkPurpose"/>
      <w:bookmarkEnd w:id="5"/>
      <w:r>
        <w:rPr>
          <w:rFonts w:ascii="Times New Roman" w:hAnsi="Times New Roman"/>
          <w:sz w:val="24"/>
          <w:szCs w:val="24"/>
        </w:rPr>
        <w:t>The purpose of the instruments is to determine ARS</w:t>
      </w:r>
      <w:r w:rsidR="00C02366">
        <w:rPr>
          <w:rFonts w:ascii="Times New Roman" w:hAnsi="Times New Roman"/>
          <w:sz w:val="24"/>
          <w:szCs w:val="24"/>
        </w:rPr>
        <w:t> </w:t>
      </w:r>
      <w:r>
        <w:rPr>
          <w:rFonts w:ascii="Times New Roman" w:hAnsi="Times New Roman"/>
          <w:sz w:val="24"/>
          <w:szCs w:val="24"/>
        </w:rPr>
        <w:t>222.2</w:t>
      </w:r>
      <w:r w:rsidR="00561601">
        <w:rPr>
          <w:rFonts w:ascii="Times New Roman" w:hAnsi="Times New Roman"/>
          <w:sz w:val="24"/>
          <w:szCs w:val="24"/>
        </w:rPr>
        <w:t xml:space="preserve">, and </w:t>
      </w:r>
      <w:r>
        <w:rPr>
          <w:rFonts w:ascii="Times New Roman" w:hAnsi="Times New Roman"/>
          <w:sz w:val="24"/>
          <w:szCs w:val="24"/>
        </w:rPr>
        <w:t>to revoke ARS</w:t>
      </w:r>
      <w:r w:rsidR="00C02366">
        <w:rPr>
          <w:rFonts w:ascii="Times New Roman" w:hAnsi="Times New Roman"/>
          <w:sz w:val="24"/>
          <w:szCs w:val="24"/>
        </w:rPr>
        <w:t> </w:t>
      </w:r>
      <w:r>
        <w:rPr>
          <w:rFonts w:ascii="Times New Roman" w:hAnsi="Times New Roman"/>
          <w:sz w:val="24"/>
          <w:szCs w:val="24"/>
        </w:rPr>
        <w:t>222.0 and replace it with a new version of ARS</w:t>
      </w:r>
      <w:r w:rsidR="00C02366">
        <w:rPr>
          <w:rFonts w:ascii="Times New Roman" w:hAnsi="Times New Roman"/>
          <w:sz w:val="24"/>
          <w:szCs w:val="24"/>
        </w:rPr>
        <w:t> </w:t>
      </w:r>
      <w:r>
        <w:rPr>
          <w:rFonts w:ascii="Times New Roman" w:hAnsi="Times New Roman"/>
          <w:sz w:val="24"/>
          <w:szCs w:val="24"/>
        </w:rPr>
        <w:t xml:space="preserve">222.0. </w:t>
      </w:r>
    </w:p>
    <w:p w14:paraId="5FCE822B" w14:textId="594B649D" w:rsidR="00832289" w:rsidRDefault="00832289" w:rsidP="00C02366">
      <w:pPr>
        <w:spacing w:after="240"/>
        <w:ind w:right="113"/>
        <w:jc w:val="both"/>
        <w:rPr>
          <w:rStyle w:val="APRANORMALChar"/>
          <w:rFonts w:ascii="Times New Roman" w:hAnsi="Times New Roman"/>
          <w:sz w:val="24"/>
          <w:szCs w:val="24"/>
        </w:rPr>
      </w:pPr>
      <w:r w:rsidRPr="00F807DA">
        <w:rPr>
          <w:rFonts w:ascii="Times New Roman" w:hAnsi="Times New Roman"/>
          <w:sz w:val="24"/>
          <w:szCs w:val="24"/>
        </w:rPr>
        <w:t xml:space="preserve">APRA </w:t>
      </w:r>
      <w:r>
        <w:rPr>
          <w:rFonts w:ascii="Times New Roman" w:hAnsi="Times New Roman"/>
          <w:sz w:val="24"/>
          <w:szCs w:val="24"/>
        </w:rPr>
        <w:t>has</w:t>
      </w:r>
      <w:r w:rsidRPr="00745395">
        <w:rPr>
          <w:rFonts w:ascii="Times New Roman" w:hAnsi="Times New Roman"/>
          <w:sz w:val="24"/>
          <w:szCs w:val="24"/>
        </w:rPr>
        <w:t xml:space="preserve"> revised its prudential standard on associations with related entities</w:t>
      </w:r>
      <w:r w:rsidR="00A8208F">
        <w:rPr>
          <w:rStyle w:val="APRANORMALChar"/>
          <w:rFonts w:ascii="Times New Roman" w:hAnsi="Times New Roman"/>
          <w:sz w:val="24"/>
          <w:szCs w:val="24"/>
        </w:rPr>
        <w:t xml:space="preserve">, </w:t>
      </w:r>
      <w:r w:rsidR="00FE44FC" w:rsidRPr="0080080F">
        <w:rPr>
          <w:rStyle w:val="APRANORMALChar"/>
          <w:rFonts w:ascii="Times New Roman" w:hAnsi="Times New Roman"/>
          <w:sz w:val="24"/>
          <w:szCs w:val="24"/>
        </w:rPr>
        <w:t>APS</w:t>
      </w:r>
      <w:r w:rsidR="00C02366">
        <w:rPr>
          <w:rStyle w:val="APRANORMALChar"/>
          <w:rFonts w:ascii="Times New Roman" w:hAnsi="Times New Roman"/>
          <w:sz w:val="24"/>
          <w:szCs w:val="24"/>
        </w:rPr>
        <w:t> </w:t>
      </w:r>
      <w:r w:rsidR="00FE44FC" w:rsidRPr="0080080F">
        <w:rPr>
          <w:rStyle w:val="APRANORMALChar"/>
          <w:rFonts w:ascii="Times New Roman" w:hAnsi="Times New Roman"/>
          <w:sz w:val="24"/>
          <w:szCs w:val="24"/>
        </w:rPr>
        <w:t>222</w:t>
      </w:r>
      <w:r w:rsidR="00C83956">
        <w:rPr>
          <w:rStyle w:val="APRANORMALChar"/>
          <w:rFonts w:ascii="Times New Roman" w:hAnsi="Times New Roman"/>
          <w:sz w:val="24"/>
          <w:szCs w:val="24"/>
        </w:rPr>
        <w:t>,</w:t>
      </w:r>
      <w:r w:rsidRPr="00FE44FC">
        <w:rPr>
          <w:rFonts w:ascii="Times New Roman" w:hAnsi="Times New Roman"/>
          <w:sz w:val="24"/>
          <w:szCs w:val="24"/>
        </w:rPr>
        <w:t xml:space="preserve"> </w:t>
      </w:r>
      <w:r w:rsidRPr="00745395">
        <w:rPr>
          <w:rFonts w:ascii="Times New Roman" w:hAnsi="Times New Roman"/>
          <w:sz w:val="24"/>
          <w:szCs w:val="24"/>
        </w:rPr>
        <w:t xml:space="preserve">to </w:t>
      </w:r>
      <w:r w:rsidRPr="00745395">
        <w:rPr>
          <w:rStyle w:val="APRANORMALChar"/>
          <w:rFonts w:ascii="Times New Roman" w:hAnsi="Times New Roman"/>
          <w:sz w:val="24"/>
          <w:szCs w:val="24"/>
        </w:rPr>
        <w:t>strengthen the ability of ADIs to monitor, limit and control risks arising from transactions and other associations with related entities</w:t>
      </w:r>
      <w:r w:rsidR="00A8208F">
        <w:rPr>
          <w:rStyle w:val="APRANORMALChar"/>
          <w:rFonts w:ascii="Times New Roman" w:hAnsi="Times New Roman"/>
          <w:sz w:val="24"/>
          <w:szCs w:val="24"/>
        </w:rPr>
        <w:t xml:space="preserve"> </w:t>
      </w:r>
      <w:r w:rsidR="00A8208F" w:rsidRPr="00A8208F">
        <w:rPr>
          <w:rStyle w:val="APRANORMALChar"/>
          <w:rFonts w:ascii="Times New Roman" w:hAnsi="Times New Roman"/>
          <w:sz w:val="24"/>
          <w:szCs w:val="24"/>
        </w:rPr>
        <w:t xml:space="preserve">and </w:t>
      </w:r>
      <w:r w:rsidR="00A8208F" w:rsidRPr="007F7D4A">
        <w:rPr>
          <w:rFonts w:ascii="Times New Roman" w:hAnsi="Times New Roman"/>
          <w:sz w:val="24"/>
          <w:szCs w:val="24"/>
        </w:rPr>
        <w:t>those entities where an ADI is likely to provide support beyond any legal obligation</w:t>
      </w:r>
      <w:r w:rsidR="00A8208F" w:rsidRPr="00A8208F">
        <w:rPr>
          <w:rFonts w:ascii="Times New Roman" w:hAnsi="Times New Roman"/>
          <w:sz w:val="24"/>
          <w:szCs w:val="24"/>
        </w:rPr>
        <w:t xml:space="preserve"> (step-in risk</w:t>
      </w:r>
      <w:r w:rsidR="00A8208F">
        <w:rPr>
          <w:rFonts w:ascii="Times New Roman" w:hAnsi="Times New Roman"/>
          <w:szCs w:val="22"/>
        </w:rPr>
        <w:t xml:space="preserve"> </w:t>
      </w:r>
      <w:r w:rsidR="00A8208F" w:rsidRPr="00F510E0">
        <w:rPr>
          <w:rFonts w:ascii="Times New Roman" w:hAnsi="Times New Roman"/>
          <w:sz w:val="24"/>
          <w:szCs w:val="24"/>
        </w:rPr>
        <w:t>entities</w:t>
      </w:r>
      <w:r w:rsidR="00A8208F">
        <w:rPr>
          <w:rFonts w:ascii="Times New Roman" w:hAnsi="Times New Roman"/>
          <w:szCs w:val="22"/>
        </w:rPr>
        <w:t>)</w:t>
      </w:r>
      <w:r w:rsidRPr="00745395">
        <w:rPr>
          <w:rFonts w:ascii="Times New Roman" w:hAnsi="Times New Roman"/>
          <w:sz w:val="24"/>
          <w:szCs w:val="24"/>
        </w:rPr>
        <w:t xml:space="preserve">. The changes </w:t>
      </w:r>
      <w:r w:rsidRPr="00745395">
        <w:rPr>
          <w:rStyle w:val="APRANORMALChar"/>
          <w:rFonts w:ascii="Times New Roman" w:hAnsi="Times New Roman"/>
          <w:sz w:val="24"/>
          <w:szCs w:val="24"/>
        </w:rPr>
        <w:t xml:space="preserve">incorporate lessons from the global financial crisis on mitigating contagion flowing from one group entity to another, </w:t>
      </w:r>
      <w:r>
        <w:rPr>
          <w:rStyle w:val="APRANORMALChar"/>
          <w:rFonts w:ascii="Times New Roman" w:hAnsi="Times New Roman"/>
          <w:sz w:val="24"/>
          <w:szCs w:val="24"/>
        </w:rPr>
        <w:t xml:space="preserve">align Australian requirements with international standards where appropriate, </w:t>
      </w:r>
      <w:r w:rsidRPr="00745395">
        <w:rPr>
          <w:rStyle w:val="APRANORMALChar"/>
          <w:rFonts w:ascii="Times New Roman" w:hAnsi="Times New Roman"/>
          <w:sz w:val="24"/>
          <w:szCs w:val="24"/>
        </w:rPr>
        <w:t xml:space="preserve">and also ensure broad alignment with </w:t>
      </w:r>
      <w:r>
        <w:rPr>
          <w:rStyle w:val="APRANORMALChar"/>
          <w:rFonts w:ascii="Times New Roman" w:hAnsi="Times New Roman"/>
          <w:sz w:val="24"/>
          <w:szCs w:val="24"/>
        </w:rPr>
        <w:t>requirements relating to an ADI’s exposures to unrelated entities</w:t>
      </w:r>
      <w:r w:rsidRPr="009B6054">
        <w:rPr>
          <w:rFonts w:ascii="Times New Roman" w:hAnsi="Times New Roman"/>
          <w:sz w:val="24"/>
          <w:szCs w:val="24"/>
        </w:rPr>
        <w:t xml:space="preserve"> </w:t>
      </w:r>
      <w:r w:rsidRPr="00142A28">
        <w:rPr>
          <w:rFonts w:ascii="Times New Roman" w:hAnsi="Times New Roman"/>
          <w:sz w:val="24"/>
          <w:szCs w:val="24"/>
        </w:rPr>
        <w:t xml:space="preserve">in </w:t>
      </w:r>
      <w:r>
        <w:rPr>
          <w:rFonts w:ascii="Times New Roman" w:hAnsi="Times New Roman"/>
          <w:sz w:val="24"/>
          <w:szCs w:val="24"/>
        </w:rPr>
        <w:t xml:space="preserve">APRA’s revised large exposures framework, </w:t>
      </w:r>
      <w:r>
        <w:rPr>
          <w:rFonts w:ascii="Times New Roman" w:hAnsi="Times New Roman"/>
          <w:i/>
          <w:sz w:val="24"/>
          <w:szCs w:val="24"/>
        </w:rPr>
        <w:t>Prudential Standard APS</w:t>
      </w:r>
      <w:r w:rsidR="00C02366">
        <w:rPr>
          <w:rFonts w:ascii="Times New Roman" w:hAnsi="Times New Roman"/>
          <w:i/>
          <w:sz w:val="24"/>
          <w:szCs w:val="24"/>
        </w:rPr>
        <w:t> </w:t>
      </w:r>
      <w:r>
        <w:rPr>
          <w:rFonts w:ascii="Times New Roman" w:hAnsi="Times New Roman"/>
          <w:i/>
          <w:sz w:val="24"/>
          <w:szCs w:val="24"/>
        </w:rPr>
        <w:t>221 Large Exposures</w:t>
      </w:r>
      <w:r w:rsidRPr="001239C7">
        <w:rPr>
          <w:rStyle w:val="APRANORMALChar"/>
          <w:rFonts w:ascii="Times New Roman" w:hAnsi="Times New Roman"/>
          <w:sz w:val="24"/>
          <w:szCs w:val="24"/>
        </w:rPr>
        <w:t>.</w:t>
      </w:r>
    </w:p>
    <w:p w14:paraId="1ED0EDCC" w14:textId="5B606164" w:rsidR="00275936" w:rsidRDefault="00635169" w:rsidP="00C02366">
      <w:pPr>
        <w:spacing w:after="240"/>
        <w:ind w:right="113"/>
        <w:jc w:val="both"/>
        <w:rPr>
          <w:rFonts w:ascii="Times New Roman" w:hAnsi="Times New Roman"/>
          <w:sz w:val="24"/>
          <w:szCs w:val="24"/>
        </w:rPr>
      </w:pPr>
      <w:r>
        <w:rPr>
          <w:rFonts w:ascii="Times New Roman" w:hAnsi="Times New Roman"/>
          <w:sz w:val="24"/>
          <w:szCs w:val="24"/>
        </w:rPr>
        <w:t>ARS</w:t>
      </w:r>
      <w:r w:rsidR="00C02366">
        <w:rPr>
          <w:rFonts w:ascii="Times New Roman" w:hAnsi="Times New Roman"/>
          <w:sz w:val="24"/>
          <w:szCs w:val="24"/>
        </w:rPr>
        <w:t> </w:t>
      </w:r>
      <w:r>
        <w:rPr>
          <w:rFonts w:ascii="Times New Roman" w:hAnsi="Times New Roman"/>
          <w:sz w:val="24"/>
          <w:szCs w:val="24"/>
        </w:rPr>
        <w:t>222.0 and ARS</w:t>
      </w:r>
      <w:r w:rsidR="00C02366">
        <w:rPr>
          <w:rFonts w:ascii="Times New Roman" w:hAnsi="Times New Roman"/>
          <w:sz w:val="24"/>
          <w:szCs w:val="24"/>
        </w:rPr>
        <w:t> </w:t>
      </w:r>
      <w:r>
        <w:rPr>
          <w:rFonts w:ascii="Times New Roman" w:hAnsi="Times New Roman"/>
          <w:sz w:val="24"/>
          <w:szCs w:val="24"/>
        </w:rPr>
        <w:t xml:space="preserve">222.2 </w:t>
      </w:r>
      <w:r w:rsidR="00901D3C">
        <w:rPr>
          <w:rFonts w:ascii="Times New Roman" w:hAnsi="Times New Roman"/>
          <w:sz w:val="24"/>
          <w:szCs w:val="24"/>
        </w:rPr>
        <w:t xml:space="preserve">(together, the reporting standards) </w:t>
      </w:r>
      <w:r w:rsidR="00D51C9B">
        <w:rPr>
          <w:rFonts w:ascii="Times New Roman" w:hAnsi="Times New Roman"/>
          <w:sz w:val="24"/>
          <w:szCs w:val="24"/>
        </w:rPr>
        <w:t>set out</w:t>
      </w:r>
      <w:r w:rsidR="00895DAC">
        <w:rPr>
          <w:rFonts w:ascii="Times New Roman" w:hAnsi="Times New Roman"/>
          <w:sz w:val="24"/>
          <w:szCs w:val="24"/>
        </w:rPr>
        <w:t xml:space="preserve"> </w:t>
      </w:r>
      <w:r w:rsidR="00832289" w:rsidRPr="00832289">
        <w:rPr>
          <w:rFonts w:ascii="Times New Roman" w:hAnsi="Times New Roman"/>
          <w:sz w:val="24"/>
          <w:szCs w:val="24"/>
        </w:rPr>
        <w:t xml:space="preserve">requirements for the provision of information to APRA relating to an </w:t>
      </w:r>
      <w:r w:rsidR="00E72515">
        <w:rPr>
          <w:rFonts w:ascii="Times New Roman" w:hAnsi="Times New Roman"/>
          <w:sz w:val="24"/>
          <w:szCs w:val="24"/>
        </w:rPr>
        <w:t>ADI’s</w:t>
      </w:r>
      <w:r w:rsidR="00832289" w:rsidRPr="00832289">
        <w:rPr>
          <w:rFonts w:ascii="Times New Roman" w:hAnsi="Times New Roman"/>
          <w:sz w:val="24"/>
          <w:szCs w:val="24"/>
        </w:rPr>
        <w:t xml:space="preserve"> exposures to related entities</w:t>
      </w:r>
      <w:r w:rsidR="003F712D">
        <w:rPr>
          <w:rFonts w:ascii="Times New Roman" w:hAnsi="Times New Roman"/>
          <w:sz w:val="24"/>
          <w:szCs w:val="24"/>
        </w:rPr>
        <w:t xml:space="preserve"> and </w:t>
      </w:r>
      <w:r w:rsidR="004A707E">
        <w:rPr>
          <w:rFonts w:ascii="Times New Roman" w:hAnsi="Times New Roman"/>
          <w:sz w:val="24"/>
          <w:szCs w:val="24"/>
        </w:rPr>
        <w:t>step-in risk entities</w:t>
      </w:r>
      <w:r w:rsidR="00832289" w:rsidRPr="00832289">
        <w:rPr>
          <w:rFonts w:ascii="Times New Roman" w:hAnsi="Times New Roman"/>
          <w:sz w:val="24"/>
          <w:szCs w:val="24"/>
        </w:rPr>
        <w:t>.</w:t>
      </w:r>
      <w:r w:rsidR="00895DAC">
        <w:rPr>
          <w:rFonts w:ascii="Times New Roman" w:hAnsi="Times New Roman"/>
          <w:sz w:val="24"/>
          <w:szCs w:val="24"/>
        </w:rPr>
        <w:t xml:space="preserve"> </w:t>
      </w:r>
      <w:r>
        <w:rPr>
          <w:rFonts w:ascii="Times New Roman" w:hAnsi="Times New Roman"/>
          <w:sz w:val="24"/>
          <w:szCs w:val="24"/>
        </w:rPr>
        <w:t>The amendments to ARS</w:t>
      </w:r>
      <w:r w:rsidR="00C02366">
        <w:rPr>
          <w:rFonts w:ascii="Times New Roman" w:hAnsi="Times New Roman"/>
          <w:sz w:val="24"/>
          <w:szCs w:val="24"/>
        </w:rPr>
        <w:t> </w:t>
      </w:r>
      <w:r>
        <w:rPr>
          <w:rFonts w:ascii="Times New Roman" w:hAnsi="Times New Roman"/>
          <w:sz w:val="24"/>
          <w:szCs w:val="24"/>
        </w:rPr>
        <w:t>222.0 and new ARS</w:t>
      </w:r>
      <w:r w:rsidR="00C02366">
        <w:rPr>
          <w:rFonts w:ascii="Times New Roman" w:hAnsi="Times New Roman"/>
          <w:sz w:val="24"/>
          <w:szCs w:val="24"/>
        </w:rPr>
        <w:t> </w:t>
      </w:r>
      <w:r>
        <w:rPr>
          <w:rFonts w:ascii="Times New Roman" w:hAnsi="Times New Roman"/>
          <w:sz w:val="24"/>
          <w:szCs w:val="24"/>
        </w:rPr>
        <w:t xml:space="preserve">222.2 </w:t>
      </w:r>
      <w:r w:rsidR="007F7D4A">
        <w:rPr>
          <w:rFonts w:ascii="Times New Roman" w:hAnsi="Times New Roman"/>
          <w:sz w:val="24"/>
          <w:szCs w:val="24"/>
        </w:rPr>
        <w:t xml:space="preserve">require reporting </w:t>
      </w:r>
      <w:r w:rsidR="00300EEF">
        <w:rPr>
          <w:rFonts w:ascii="Times New Roman" w:hAnsi="Times New Roman"/>
          <w:sz w:val="24"/>
          <w:szCs w:val="24"/>
        </w:rPr>
        <w:t>b</w:t>
      </w:r>
      <w:r w:rsidR="00AB2CA3">
        <w:rPr>
          <w:rFonts w:ascii="Times New Roman" w:hAnsi="Times New Roman"/>
          <w:sz w:val="24"/>
          <w:szCs w:val="24"/>
        </w:rPr>
        <w:t>y ADIs which</w:t>
      </w:r>
      <w:r w:rsidR="00300EEF">
        <w:rPr>
          <w:rFonts w:ascii="Times New Roman" w:hAnsi="Times New Roman"/>
          <w:sz w:val="24"/>
          <w:szCs w:val="24"/>
        </w:rPr>
        <w:t xml:space="preserve"> is </w:t>
      </w:r>
      <w:r w:rsidR="005666AB">
        <w:rPr>
          <w:rFonts w:ascii="Times New Roman" w:hAnsi="Times New Roman"/>
          <w:sz w:val="24"/>
          <w:szCs w:val="24"/>
        </w:rPr>
        <w:t>aligned</w:t>
      </w:r>
      <w:r w:rsidR="00275936" w:rsidRPr="00832289">
        <w:rPr>
          <w:rFonts w:ascii="Times New Roman" w:hAnsi="Times New Roman"/>
          <w:sz w:val="24"/>
          <w:szCs w:val="24"/>
        </w:rPr>
        <w:t xml:space="preserve"> with the amendments to APS</w:t>
      </w:r>
      <w:r w:rsidR="00C02366">
        <w:rPr>
          <w:rFonts w:ascii="Times New Roman" w:hAnsi="Times New Roman"/>
          <w:sz w:val="24"/>
          <w:szCs w:val="24"/>
        </w:rPr>
        <w:t> </w:t>
      </w:r>
      <w:r w:rsidR="00275936" w:rsidRPr="00832289">
        <w:rPr>
          <w:rFonts w:ascii="Times New Roman" w:hAnsi="Times New Roman"/>
          <w:sz w:val="24"/>
          <w:szCs w:val="24"/>
        </w:rPr>
        <w:t>222 and capture more prudential information on</w:t>
      </w:r>
      <w:r w:rsidR="00DE183E">
        <w:rPr>
          <w:rFonts w:ascii="Times New Roman" w:hAnsi="Times New Roman"/>
          <w:sz w:val="24"/>
          <w:szCs w:val="24"/>
        </w:rPr>
        <w:t xml:space="preserve"> related entities and step-in risk entities.</w:t>
      </w:r>
      <w:r w:rsidR="00275936" w:rsidRPr="00832289">
        <w:rPr>
          <w:rFonts w:ascii="Times New Roman" w:hAnsi="Times New Roman"/>
          <w:sz w:val="24"/>
          <w:szCs w:val="24"/>
        </w:rPr>
        <w:t xml:space="preserve"> </w:t>
      </w:r>
      <w:r w:rsidR="00DE183E">
        <w:rPr>
          <w:rFonts w:ascii="Times New Roman" w:hAnsi="Times New Roman"/>
          <w:sz w:val="24"/>
          <w:szCs w:val="24"/>
        </w:rPr>
        <w:t>The key changes to ARS</w:t>
      </w:r>
      <w:r w:rsidR="00C02366">
        <w:rPr>
          <w:rFonts w:ascii="Times New Roman" w:hAnsi="Times New Roman"/>
          <w:sz w:val="24"/>
          <w:szCs w:val="24"/>
        </w:rPr>
        <w:t> </w:t>
      </w:r>
      <w:r w:rsidR="00DE183E">
        <w:rPr>
          <w:rFonts w:ascii="Times New Roman" w:hAnsi="Times New Roman"/>
          <w:sz w:val="24"/>
          <w:szCs w:val="24"/>
        </w:rPr>
        <w:t xml:space="preserve">222.0 and the </w:t>
      </w:r>
      <w:r w:rsidR="004E5201">
        <w:rPr>
          <w:rFonts w:ascii="Times New Roman" w:hAnsi="Times New Roman"/>
          <w:sz w:val="24"/>
          <w:szCs w:val="24"/>
        </w:rPr>
        <w:t>new</w:t>
      </w:r>
      <w:r w:rsidR="00DE183E">
        <w:rPr>
          <w:rFonts w:ascii="Times New Roman" w:hAnsi="Times New Roman"/>
          <w:sz w:val="24"/>
          <w:szCs w:val="24"/>
        </w:rPr>
        <w:t xml:space="preserve"> ARS</w:t>
      </w:r>
      <w:r w:rsidR="00C02366">
        <w:rPr>
          <w:rFonts w:ascii="Times New Roman" w:hAnsi="Times New Roman"/>
          <w:sz w:val="24"/>
          <w:szCs w:val="24"/>
        </w:rPr>
        <w:t> </w:t>
      </w:r>
      <w:r w:rsidR="00DE183E">
        <w:rPr>
          <w:rFonts w:ascii="Times New Roman" w:hAnsi="Times New Roman"/>
          <w:sz w:val="24"/>
          <w:szCs w:val="24"/>
        </w:rPr>
        <w:t>222.2</w:t>
      </w:r>
      <w:r w:rsidR="004E5201">
        <w:rPr>
          <w:rFonts w:ascii="Times New Roman" w:hAnsi="Times New Roman"/>
          <w:sz w:val="24"/>
          <w:szCs w:val="24"/>
        </w:rPr>
        <w:t xml:space="preserve"> which are</w:t>
      </w:r>
      <w:r w:rsidR="00DE183E">
        <w:rPr>
          <w:rFonts w:ascii="Times New Roman" w:hAnsi="Times New Roman"/>
          <w:sz w:val="24"/>
          <w:szCs w:val="24"/>
        </w:rPr>
        <w:t xml:space="preserve"> </w:t>
      </w:r>
      <w:r w:rsidR="00456BE0">
        <w:rPr>
          <w:rStyle w:val="APRANORMALChar"/>
          <w:rFonts w:ascii="Times New Roman" w:hAnsi="Times New Roman"/>
          <w:sz w:val="24"/>
          <w:szCs w:val="24"/>
        </w:rPr>
        <w:t xml:space="preserve">needed to address the problems outlined above for reporting </w:t>
      </w:r>
      <w:r w:rsidR="00DE183E">
        <w:rPr>
          <w:rFonts w:ascii="Times New Roman" w:hAnsi="Times New Roman"/>
          <w:sz w:val="24"/>
          <w:szCs w:val="24"/>
        </w:rPr>
        <w:t>are:</w:t>
      </w:r>
    </w:p>
    <w:p w14:paraId="669A0D7E" w14:textId="7495FC87" w:rsidR="00DE183E" w:rsidRPr="00DE183E" w:rsidRDefault="00DE183E" w:rsidP="00C02366">
      <w:pPr>
        <w:pStyle w:val="ListParagraph"/>
        <w:numPr>
          <w:ilvl w:val="0"/>
          <w:numId w:val="9"/>
        </w:numPr>
        <w:spacing w:after="240"/>
        <w:ind w:right="113"/>
        <w:jc w:val="both"/>
        <w:rPr>
          <w:rFonts w:ascii="Times New Roman" w:hAnsi="Times New Roman"/>
          <w:sz w:val="24"/>
          <w:szCs w:val="24"/>
        </w:rPr>
      </w:pPr>
      <w:r>
        <w:rPr>
          <w:rFonts w:ascii="Times New Roman" w:hAnsi="Times New Roman"/>
          <w:sz w:val="24"/>
          <w:szCs w:val="24"/>
        </w:rPr>
        <w:t xml:space="preserve">revised reporting on related entities, including </w:t>
      </w:r>
      <w:r w:rsidR="00010A0B">
        <w:rPr>
          <w:rFonts w:ascii="Times New Roman" w:hAnsi="Times New Roman"/>
          <w:sz w:val="24"/>
          <w:szCs w:val="24"/>
        </w:rPr>
        <w:t xml:space="preserve">comprehensive </w:t>
      </w:r>
      <w:r>
        <w:rPr>
          <w:rFonts w:ascii="Times New Roman" w:hAnsi="Times New Roman"/>
          <w:sz w:val="24"/>
          <w:szCs w:val="24"/>
        </w:rPr>
        <w:t xml:space="preserve">reporting on the largest related entity exposures, </w:t>
      </w:r>
      <w:r w:rsidR="00010A0B">
        <w:rPr>
          <w:rFonts w:ascii="Times New Roman" w:hAnsi="Times New Roman"/>
          <w:sz w:val="24"/>
          <w:szCs w:val="24"/>
        </w:rPr>
        <w:t xml:space="preserve">and </w:t>
      </w:r>
      <w:r>
        <w:rPr>
          <w:rFonts w:ascii="Times New Roman" w:hAnsi="Times New Roman"/>
          <w:sz w:val="24"/>
          <w:szCs w:val="24"/>
        </w:rPr>
        <w:t>on substantial shareholder</w:t>
      </w:r>
      <w:r w:rsidR="00010A0B">
        <w:rPr>
          <w:rFonts w:ascii="Times New Roman" w:hAnsi="Times New Roman"/>
          <w:sz w:val="24"/>
          <w:szCs w:val="24"/>
        </w:rPr>
        <w:t>s</w:t>
      </w:r>
      <w:r>
        <w:rPr>
          <w:rFonts w:ascii="Times New Roman" w:hAnsi="Times New Roman"/>
          <w:sz w:val="24"/>
          <w:szCs w:val="24"/>
        </w:rPr>
        <w:t xml:space="preserve">; </w:t>
      </w:r>
    </w:p>
    <w:p w14:paraId="0A037EAB" w14:textId="235C1725" w:rsidR="00010A0B" w:rsidRDefault="00DE183E" w:rsidP="00C02366">
      <w:pPr>
        <w:pStyle w:val="ListParagraph"/>
        <w:numPr>
          <w:ilvl w:val="0"/>
          <w:numId w:val="9"/>
        </w:numPr>
        <w:spacing w:after="240"/>
        <w:ind w:right="113"/>
        <w:jc w:val="both"/>
        <w:rPr>
          <w:rFonts w:ascii="Times New Roman" w:hAnsi="Times New Roman"/>
          <w:sz w:val="24"/>
          <w:szCs w:val="24"/>
        </w:rPr>
      </w:pPr>
      <w:r>
        <w:rPr>
          <w:rFonts w:ascii="Times New Roman" w:hAnsi="Times New Roman"/>
          <w:sz w:val="24"/>
          <w:szCs w:val="24"/>
        </w:rPr>
        <w:t xml:space="preserve">new reporting </w:t>
      </w:r>
      <w:proofErr w:type="gramStart"/>
      <w:r>
        <w:rPr>
          <w:rFonts w:ascii="Times New Roman" w:hAnsi="Times New Roman"/>
          <w:sz w:val="24"/>
          <w:szCs w:val="24"/>
        </w:rPr>
        <w:t xml:space="preserve">on </w:t>
      </w:r>
      <w:r w:rsidRPr="00832289">
        <w:rPr>
          <w:rFonts w:ascii="Times New Roman" w:hAnsi="Times New Roman"/>
          <w:sz w:val="24"/>
          <w:szCs w:val="24"/>
        </w:rPr>
        <w:t xml:space="preserve"> </w:t>
      </w:r>
      <w:r>
        <w:rPr>
          <w:rFonts w:ascii="Times New Roman" w:hAnsi="Times New Roman"/>
          <w:sz w:val="24"/>
          <w:szCs w:val="24"/>
        </w:rPr>
        <w:t>s</w:t>
      </w:r>
      <w:r w:rsidR="00010A0B">
        <w:rPr>
          <w:rFonts w:ascii="Times New Roman" w:hAnsi="Times New Roman"/>
          <w:sz w:val="24"/>
          <w:szCs w:val="24"/>
        </w:rPr>
        <w:t>tep</w:t>
      </w:r>
      <w:proofErr w:type="gramEnd"/>
      <w:r w:rsidR="00010A0B">
        <w:rPr>
          <w:rFonts w:ascii="Times New Roman" w:hAnsi="Times New Roman"/>
          <w:sz w:val="24"/>
          <w:szCs w:val="24"/>
        </w:rPr>
        <w:t>-in risk entities; and</w:t>
      </w:r>
    </w:p>
    <w:p w14:paraId="763A8117" w14:textId="76B32F0D" w:rsidR="00C33045" w:rsidRDefault="00DE183E" w:rsidP="00C02366">
      <w:pPr>
        <w:pStyle w:val="ListParagraph"/>
        <w:numPr>
          <w:ilvl w:val="0"/>
          <w:numId w:val="9"/>
        </w:numPr>
        <w:spacing w:after="240"/>
        <w:ind w:right="113"/>
        <w:jc w:val="both"/>
        <w:rPr>
          <w:rFonts w:ascii="Times New Roman" w:hAnsi="Times New Roman"/>
          <w:sz w:val="24"/>
          <w:szCs w:val="24"/>
        </w:rPr>
      </w:pPr>
      <w:r w:rsidRPr="00C33045">
        <w:rPr>
          <w:rFonts w:ascii="Times New Roman" w:hAnsi="Times New Roman"/>
          <w:sz w:val="24"/>
          <w:szCs w:val="24"/>
        </w:rPr>
        <w:t>revised reporting on subsidiaries that are treated as part of an ADI’s extended licensed entity (ELE) i.e. consolidated with the ADI for prudential purposes</w:t>
      </w:r>
      <w:r w:rsidRPr="00832289">
        <w:rPr>
          <w:rFonts w:ascii="Times New Roman" w:hAnsi="Times New Roman"/>
          <w:sz w:val="24"/>
          <w:szCs w:val="24"/>
        </w:rPr>
        <w:t>.</w:t>
      </w:r>
    </w:p>
    <w:p w14:paraId="15C51E62" w14:textId="5C6DDC95" w:rsidR="00730E49" w:rsidRPr="00E4750A" w:rsidRDefault="00730E49" w:rsidP="00E4750A">
      <w:pPr>
        <w:spacing w:after="240"/>
        <w:jc w:val="both"/>
        <w:rPr>
          <w:rFonts w:ascii="Times New Roman" w:hAnsi="Times New Roman"/>
          <w:sz w:val="24"/>
          <w:szCs w:val="24"/>
          <w:lang w:val="en-GB"/>
        </w:rPr>
      </w:pPr>
      <w:r w:rsidRPr="00CB0F92">
        <w:rPr>
          <w:rFonts w:ascii="Times New Roman" w:hAnsi="Times New Roman"/>
          <w:sz w:val="24"/>
          <w:szCs w:val="24"/>
          <w:lang w:val="en-GB"/>
        </w:rPr>
        <w:t xml:space="preserve">APRA expects it may be challenging for some entities to </w:t>
      </w:r>
      <w:r w:rsidR="008134E4" w:rsidRPr="00CB0F92">
        <w:rPr>
          <w:rFonts w:ascii="Times New Roman" w:hAnsi="Times New Roman"/>
          <w:sz w:val="24"/>
          <w:szCs w:val="24"/>
          <w:lang w:val="en-GB"/>
        </w:rPr>
        <w:t>undertake assessments and provide</w:t>
      </w:r>
      <w:r w:rsidRPr="00CB0F92">
        <w:rPr>
          <w:rFonts w:ascii="Times New Roman" w:hAnsi="Times New Roman"/>
          <w:sz w:val="24"/>
          <w:szCs w:val="24"/>
          <w:lang w:val="en-GB"/>
        </w:rPr>
        <w:t xml:space="preserve"> </w:t>
      </w:r>
      <w:r w:rsidR="008134E4" w:rsidRPr="00CB0F92">
        <w:rPr>
          <w:rFonts w:ascii="Times New Roman" w:hAnsi="Times New Roman"/>
          <w:sz w:val="24"/>
          <w:szCs w:val="24"/>
          <w:lang w:val="en-GB"/>
        </w:rPr>
        <w:t xml:space="preserve">details on identified step-in risk entities </w:t>
      </w:r>
      <w:r w:rsidR="00126870" w:rsidRPr="00CB0F92">
        <w:rPr>
          <w:rFonts w:ascii="Times New Roman" w:hAnsi="Times New Roman"/>
          <w:sz w:val="24"/>
          <w:szCs w:val="24"/>
          <w:lang w:val="en-GB"/>
        </w:rPr>
        <w:t>as step-in risk is a new concept</w:t>
      </w:r>
      <w:r w:rsidR="00E4750A" w:rsidRPr="00CB0F92">
        <w:rPr>
          <w:rFonts w:ascii="Times New Roman" w:hAnsi="Times New Roman"/>
          <w:sz w:val="24"/>
          <w:szCs w:val="24"/>
          <w:lang w:val="en-GB"/>
        </w:rPr>
        <w:t xml:space="preserve"> for ADIs</w:t>
      </w:r>
      <w:r w:rsidR="00CB0F92" w:rsidRPr="00CB0F92">
        <w:rPr>
          <w:rFonts w:ascii="Times New Roman" w:hAnsi="Times New Roman"/>
          <w:sz w:val="24"/>
          <w:szCs w:val="24"/>
          <w:lang w:val="en-GB"/>
        </w:rPr>
        <w:t xml:space="preserve">, however the </w:t>
      </w:r>
      <w:r w:rsidR="00901D3C">
        <w:rPr>
          <w:rFonts w:ascii="Times New Roman" w:hAnsi="Times New Roman"/>
          <w:sz w:val="24"/>
          <w:szCs w:val="24"/>
          <w:lang w:val="en-GB"/>
        </w:rPr>
        <w:t xml:space="preserve">reporting standards </w:t>
      </w:r>
      <w:r w:rsidR="00305E5F">
        <w:rPr>
          <w:rFonts w:ascii="Times New Roman" w:hAnsi="Times New Roman"/>
          <w:sz w:val="24"/>
          <w:szCs w:val="24"/>
          <w:lang w:val="en-GB"/>
        </w:rPr>
        <w:t>in conjunction with APS</w:t>
      </w:r>
      <w:r w:rsidR="00C02366">
        <w:rPr>
          <w:rFonts w:ascii="Times New Roman" w:hAnsi="Times New Roman"/>
          <w:sz w:val="24"/>
          <w:szCs w:val="24"/>
          <w:lang w:val="en-GB"/>
        </w:rPr>
        <w:t> </w:t>
      </w:r>
      <w:r w:rsidR="00305E5F">
        <w:rPr>
          <w:rFonts w:ascii="Times New Roman" w:hAnsi="Times New Roman"/>
          <w:sz w:val="24"/>
          <w:szCs w:val="24"/>
          <w:lang w:val="en-GB"/>
        </w:rPr>
        <w:t>222</w:t>
      </w:r>
      <w:r w:rsidR="006142AE">
        <w:rPr>
          <w:rFonts w:ascii="Times New Roman" w:hAnsi="Times New Roman"/>
          <w:sz w:val="24"/>
          <w:szCs w:val="24"/>
          <w:lang w:val="en-GB"/>
        </w:rPr>
        <w:t xml:space="preserve"> </w:t>
      </w:r>
      <w:r w:rsidR="00285923" w:rsidRPr="00CB0F92">
        <w:rPr>
          <w:rFonts w:ascii="Times New Roman" w:hAnsi="Times New Roman"/>
          <w:sz w:val="24"/>
          <w:szCs w:val="24"/>
          <w:lang w:val="en-GB"/>
        </w:rPr>
        <w:t xml:space="preserve">provide </w:t>
      </w:r>
      <w:r w:rsidR="00CB0F92" w:rsidRPr="00CB0F92">
        <w:rPr>
          <w:rFonts w:ascii="Times New Roman" w:hAnsi="Times New Roman"/>
          <w:sz w:val="24"/>
          <w:szCs w:val="24"/>
          <w:lang w:val="en-GB"/>
        </w:rPr>
        <w:t xml:space="preserve">details and </w:t>
      </w:r>
      <w:r w:rsidR="00285923" w:rsidRPr="00CB0F92">
        <w:rPr>
          <w:rFonts w:ascii="Times New Roman" w:hAnsi="Times New Roman"/>
          <w:sz w:val="24"/>
          <w:szCs w:val="24"/>
          <w:lang w:val="en-GB"/>
        </w:rPr>
        <w:t xml:space="preserve">instructions to facilitate the reporting process. </w:t>
      </w:r>
    </w:p>
    <w:p w14:paraId="0CC6C193" w14:textId="359080EA" w:rsidR="00631116" w:rsidRDefault="00AD1E70" w:rsidP="00631116">
      <w:pPr>
        <w:spacing w:after="240"/>
        <w:jc w:val="both"/>
        <w:rPr>
          <w:rFonts w:ascii="Times New Roman" w:hAnsi="Times New Roman"/>
          <w:sz w:val="24"/>
          <w:szCs w:val="24"/>
        </w:rPr>
      </w:pPr>
      <w:r w:rsidRPr="00AD1E70">
        <w:rPr>
          <w:rFonts w:ascii="Times New Roman" w:hAnsi="Times New Roman"/>
          <w:sz w:val="24"/>
          <w:szCs w:val="24"/>
        </w:rPr>
        <w:t xml:space="preserve">Where </w:t>
      </w:r>
      <w:r w:rsidR="00901D3C">
        <w:rPr>
          <w:rFonts w:ascii="Times New Roman" w:hAnsi="Times New Roman"/>
          <w:sz w:val="24"/>
          <w:szCs w:val="24"/>
        </w:rPr>
        <w:t xml:space="preserve">the reporting standards </w:t>
      </w:r>
      <w:r w:rsidR="002C0701">
        <w:rPr>
          <w:rFonts w:ascii="Times New Roman" w:hAnsi="Times New Roman"/>
          <w:sz w:val="24"/>
          <w:szCs w:val="24"/>
        </w:rPr>
        <w:t>refer</w:t>
      </w:r>
      <w:r w:rsidR="008B659C">
        <w:rPr>
          <w:rFonts w:ascii="Times New Roman" w:hAnsi="Times New Roman"/>
          <w:sz w:val="24"/>
          <w:szCs w:val="24"/>
        </w:rPr>
        <w:t xml:space="preserve"> to an Act, Regulation,</w:t>
      </w:r>
      <w:r w:rsidR="008B659C" w:rsidRPr="008B659C">
        <w:rPr>
          <w:rFonts w:ascii="Times New Roman" w:hAnsi="Times New Roman"/>
          <w:sz w:val="24"/>
          <w:szCs w:val="24"/>
        </w:rPr>
        <w:t xml:space="preserve"> Prudential Standard, Reporting Standard, Australian Accounting or Auditing Standard, this is a reference to </w:t>
      </w:r>
      <w:r w:rsidR="008B659C" w:rsidRPr="008B659C">
        <w:rPr>
          <w:rFonts w:ascii="Times New Roman" w:hAnsi="Times New Roman"/>
          <w:sz w:val="24"/>
          <w:szCs w:val="24"/>
        </w:rPr>
        <w:lastRenderedPageBreak/>
        <w:t>the document as it exists from time to time</w:t>
      </w:r>
      <w:r w:rsidR="008B659C" w:rsidRPr="008B659C">
        <w:rPr>
          <w:rFonts w:ascii="Times New Roman" w:hAnsi="Times New Roman"/>
          <w:b/>
          <w:sz w:val="24"/>
          <w:szCs w:val="24"/>
        </w:rPr>
        <w:t xml:space="preserve">, </w:t>
      </w:r>
      <w:r w:rsidR="008B659C" w:rsidRPr="008B659C">
        <w:rPr>
          <w:rFonts w:ascii="Times New Roman" w:hAnsi="Times New Roman"/>
          <w:sz w:val="24"/>
          <w:szCs w:val="24"/>
        </w:rPr>
        <w:t xml:space="preserve">and </w:t>
      </w:r>
      <w:r w:rsidR="00566B0B">
        <w:rPr>
          <w:rFonts w:ascii="Times New Roman" w:hAnsi="Times New Roman"/>
          <w:sz w:val="24"/>
          <w:szCs w:val="24"/>
        </w:rPr>
        <w:t>which is</w:t>
      </w:r>
      <w:r w:rsidR="008B659C" w:rsidRPr="008B659C">
        <w:rPr>
          <w:rFonts w:ascii="Times New Roman" w:hAnsi="Times New Roman"/>
          <w:sz w:val="24"/>
          <w:szCs w:val="24"/>
        </w:rPr>
        <w:t xml:space="preserve"> available on the Federal Register of Legislation at </w:t>
      </w:r>
      <w:hyperlink r:id="rId13" w:history="1">
        <w:r w:rsidR="008B659C" w:rsidRPr="008B659C">
          <w:rPr>
            <w:rStyle w:val="Hyperlink"/>
            <w:rFonts w:ascii="Times New Roman" w:hAnsi="Times New Roman"/>
            <w:sz w:val="24"/>
            <w:szCs w:val="24"/>
          </w:rPr>
          <w:t>www.legislation.gov.au</w:t>
        </w:r>
      </w:hyperlink>
      <w:r w:rsidR="008B659C">
        <w:rPr>
          <w:rFonts w:ascii="Times New Roman" w:hAnsi="Times New Roman"/>
          <w:sz w:val="24"/>
          <w:szCs w:val="24"/>
        </w:rPr>
        <w:t>.</w:t>
      </w:r>
    </w:p>
    <w:p w14:paraId="773F58FD" w14:textId="04CA68F0" w:rsidR="00305A9C" w:rsidRDefault="00305A9C" w:rsidP="00305A9C">
      <w:pPr>
        <w:spacing w:after="240"/>
        <w:jc w:val="both"/>
        <w:rPr>
          <w:rFonts w:ascii="Times New Roman" w:hAnsi="Times New Roman"/>
          <w:sz w:val="24"/>
          <w:szCs w:val="24"/>
        </w:rPr>
      </w:pPr>
      <w:r>
        <w:rPr>
          <w:rFonts w:ascii="Times New Roman" w:hAnsi="Times New Roman"/>
          <w:sz w:val="24"/>
          <w:szCs w:val="24"/>
        </w:rPr>
        <w:t>The reporting standards refer to International Standards ISO 3166 and ISO 17442, which are issued by the International Organiza</w:t>
      </w:r>
      <w:r w:rsidR="00C02366">
        <w:rPr>
          <w:rFonts w:ascii="Times New Roman" w:hAnsi="Times New Roman"/>
          <w:sz w:val="24"/>
          <w:szCs w:val="24"/>
        </w:rPr>
        <w:t>tion for Standardization (ISO).</w:t>
      </w:r>
      <w:r>
        <w:rPr>
          <w:rFonts w:ascii="Times New Roman" w:hAnsi="Times New Roman"/>
          <w:sz w:val="24"/>
          <w:szCs w:val="24"/>
        </w:rPr>
        <w:t xml:space="preserve"> These ISO standards are not intended to be incorporated in the reporting standards as the contents of the ISO standards are not relevant to understanding the terms of the reporting standards.</w:t>
      </w:r>
    </w:p>
    <w:p w14:paraId="3C9E18C2" w14:textId="0CB53665" w:rsidR="00A31F71" w:rsidRDefault="00A31F71" w:rsidP="00A31F71">
      <w:pPr>
        <w:spacing w:after="240"/>
        <w:jc w:val="both"/>
        <w:rPr>
          <w:rFonts w:ascii="Times New Roman" w:hAnsi="Times New Roman"/>
          <w:sz w:val="24"/>
          <w:szCs w:val="24"/>
        </w:rPr>
      </w:pPr>
      <w:r>
        <w:rPr>
          <w:rFonts w:ascii="Times New Roman" w:hAnsi="Times New Roman"/>
          <w:sz w:val="24"/>
          <w:szCs w:val="24"/>
        </w:rPr>
        <w:t>The reporting standards require ADIs to report the names of related entities, ELE subsidiaries and substantial shareholders alongside their respective ISO 17442 Legal Entity Identifier (LEI)</w:t>
      </w:r>
      <w:r w:rsidR="00A342FA">
        <w:rPr>
          <w:rFonts w:ascii="Times New Roman" w:hAnsi="Times New Roman"/>
          <w:sz w:val="24"/>
          <w:szCs w:val="24"/>
        </w:rPr>
        <w:t>, if applicable</w:t>
      </w:r>
      <w:r>
        <w:rPr>
          <w:rFonts w:ascii="Times New Roman" w:hAnsi="Times New Roman"/>
          <w:sz w:val="24"/>
          <w:szCs w:val="24"/>
        </w:rPr>
        <w:t xml:space="preserve">. LEIs are issued by Local Operating Units (LOU) which provide registration services for entities that wish to be issued </w:t>
      </w:r>
      <w:proofErr w:type="gramStart"/>
      <w:r>
        <w:rPr>
          <w:rFonts w:ascii="Times New Roman" w:hAnsi="Times New Roman"/>
          <w:sz w:val="24"/>
          <w:szCs w:val="24"/>
        </w:rPr>
        <w:t>an</w:t>
      </w:r>
      <w:proofErr w:type="gramEnd"/>
      <w:r>
        <w:rPr>
          <w:rFonts w:ascii="Times New Roman" w:hAnsi="Times New Roman"/>
          <w:sz w:val="24"/>
          <w:szCs w:val="24"/>
        </w:rPr>
        <w:t xml:space="preserve"> LEI in accordance with ISO 17442. Each LEI comprises a 4-digit code for the issuing LOU, a 14-digit code for the specific legal entity, and a 2-digit verification code. LEIs are not contained in ISO 17442 and it would not be possible to determine an entity’s LEI by referring to ISO 17442. LEIs can be searched online for free at</w:t>
      </w:r>
      <w:r w:rsidR="00B754DC">
        <w:rPr>
          <w:rFonts w:ascii="Times New Roman" w:hAnsi="Times New Roman"/>
          <w:sz w:val="24"/>
          <w:szCs w:val="24"/>
        </w:rPr>
        <w:t xml:space="preserve"> </w:t>
      </w:r>
      <w:hyperlink r:id="rId14" w:anchor="/search/" w:history="1">
        <w:r w:rsidR="00B754DC" w:rsidRPr="00027673">
          <w:rPr>
            <w:rStyle w:val="Hyperlink"/>
            <w:rFonts w:ascii="Times New Roman" w:hAnsi="Times New Roman"/>
            <w:sz w:val="24"/>
            <w:szCs w:val="24"/>
          </w:rPr>
          <w:t>https://search.gleif.org/#/search/</w:t>
        </w:r>
      </w:hyperlink>
      <w:r w:rsidR="00B754DC">
        <w:rPr>
          <w:rFonts w:ascii="Times New Roman" w:hAnsi="Times New Roman"/>
          <w:sz w:val="24"/>
          <w:szCs w:val="24"/>
        </w:rPr>
        <w:t>.</w:t>
      </w:r>
      <w:r>
        <w:rPr>
          <w:rFonts w:ascii="Times New Roman" w:hAnsi="Times New Roman"/>
          <w:sz w:val="24"/>
          <w:szCs w:val="24"/>
        </w:rPr>
        <w:t xml:space="preserve"> </w:t>
      </w:r>
    </w:p>
    <w:p w14:paraId="5445D8BF" w14:textId="405B3F43" w:rsidR="00305A9C" w:rsidRDefault="00305A9C" w:rsidP="00A31F71">
      <w:pPr>
        <w:spacing w:after="240"/>
        <w:jc w:val="both"/>
        <w:rPr>
          <w:rFonts w:ascii="Times New Roman" w:hAnsi="Times New Roman"/>
          <w:sz w:val="24"/>
          <w:szCs w:val="24"/>
        </w:rPr>
      </w:pPr>
      <w:r>
        <w:rPr>
          <w:rFonts w:ascii="Times New Roman" w:hAnsi="Times New Roman"/>
          <w:sz w:val="24"/>
          <w:szCs w:val="24"/>
        </w:rPr>
        <w:t>ARS</w:t>
      </w:r>
      <w:r w:rsidR="00C02366">
        <w:rPr>
          <w:rFonts w:ascii="Times New Roman" w:hAnsi="Times New Roman"/>
          <w:sz w:val="24"/>
          <w:szCs w:val="24"/>
        </w:rPr>
        <w:t> </w:t>
      </w:r>
      <w:r>
        <w:rPr>
          <w:rFonts w:ascii="Times New Roman" w:hAnsi="Times New Roman"/>
          <w:sz w:val="24"/>
          <w:szCs w:val="24"/>
        </w:rPr>
        <w:t>222.0 requires ADIs to report the country where the ELE subsidiary is domiciled using the English name of the relevant country as assigned by the ISO 3166 Maintenance Agency to define country codes under ISO 3166. The ISO has stated that the Maintenance Agency assigns country names to member states of the United Nations and some dependencies of those member states based on information from United Nations sources.</w:t>
      </w:r>
      <w:r>
        <w:rPr>
          <w:rStyle w:val="FootnoteReference"/>
          <w:rFonts w:ascii="Times New Roman" w:hAnsi="Times New Roman"/>
          <w:sz w:val="24"/>
          <w:szCs w:val="24"/>
        </w:rPr>
        <w:footnoteReference w:id="2"/>
      </w:r>
      <w:r>
        <w:rPr>
          <w:rFonts w:ascii="Times New Roman" w:hAnsi="Times New Roman"/>
          <w:sz w:val="24"/>
          <w:szCs w:val="24"/>
        </w:rPr>
        <w:t xml:space="preserve"> Up-to-date information about country names and associated country codes is available for free on the online browsing platform at </w:t>
      </w:r>
      <w:hyperlink r:id="rId15" w:anchor="search/code/" w:history="1">
        <w:r w:rsidRPr="00027673">
          <w:rPr>
            <w:rStyle w:val="Hyperlink"/>
            <w:rFonts w:ascii="Times New Roman" w:hAnsi="Times New Roman"/>
            <w:sz w:val="24"/>
            <w:szCs w:val="24"/>
          </w:rPr>
          <w:t>https://www.iso.org/obp/ui/#search/code/</w:t>
        </w:r>
      </w:hyperlink>
      <w:r w:rsidR="00C02366">
        <w:rPr>
          <w:rFonts w:ascii="Times New Roman" w:hAnsi="Times New Roman"/>
          <w:sz w:val="24"/>
          <w:szCs w:val="24"/>
        </w:rPr>
        <w:t>.</w:t>
      </w:r>
    </w:p>
    <w:p w14:paraId="04E98A0E" w14:textId="3FA8D2C5" w:rsidR="00305A9C" w:rsidRDefault="00305A9C" w:rsidP="00305A9C">
      <w:pPr>
        <w:spacing w:after="240"/>
        <w:jc w:val="both"/>
        <w:rPr>
          <w:rFonts w:ascii="Times New Roman" w:hAnsi="Times New Roman"/>
          <w:sz w:val="24"/>
          <w:szCs w:val="24"/>
        </w:rPr>
      </w:pPr>
      <w:r>
        <w:rPr>
          <w:rFonts w:ascii="Times New Roman" w:hAnsi="Times New Roman"/>
          <w:sz w:val="24"/>
          <w:szCs w:val="24"/>
        </w:rPr>
        <w:t xml:space="preserve">ADIs are expected to report the country names and LEIs as matters of fact, analogous to a requirement to include Australian or foreign addresses and telephone numbers. Information about how the country names and LEI codes can be accessed for free is included in the reporting standards to assist ADIs to understand and comply with the requirements. ADIs already report </w:t>
      </w:r>
      <w:r w:rsidR="00514AE1">
        <w:rPr>
          <w:rFonts w:ascii="Times New Roman" w:hAnsi="Times New Roman"/>
          <w:sz w:val="24"/>
          <w:szCs w:val="24"/>
        </w:rPr>
        <w:t xml:space="preserve">using </w:t>
      </w:r>
      <w:r>
        <w:rPr>
          <w:rFonts w:ascii="Times New Roman" w:hAnsi="Times New Roman"/>
          <w:sz w:val="24"/>
          <w:szCs w:val="24"/>
        </w:rPr>
        <w:t>country names and LEIs under other reporting standards made under the Act.  Following extensive consultation undertaken on APS</w:t>
      </w:r>
      <w:r w:rsidR="00C02366">
        <w:rPr>
          <w:rFonts w:ascii="Times New Roman" w:hAnsi="Times New Roman"/>
          <w:sz w:val="24"/>
          <w:szCs w:val="24"/>
        </w:rPr>
        <w:t> </w:t>
      </w:r>
      <w:r>
        <w:rPr>
          <w:rFonts w:ascii="Times New Roman" w:hAnsi="Times New Roman"/>
          <w:sz w:val="24"/>
          <w:szCs w:val="24"/>
        </w:rPr>
        <w:t xml:space="preserve">222 and the reporting standards, ADIs are aware that </w:t>
      </w:r>
      <w:r w:rsidR="00514AE1">
        <w:rPr>
          <w:rFonts w:ascii="Times New Roman" w:hAnsi="Times New Roman"/>
          <w:sz w:val="24"/>
          <w:szCs w:val="24"/>
        </w:rPr>
        <w:t>they will also be required to report using country</w:t>
      </w:r>
      <w:r w:rsidR="00142358">
        <w:rPr>
          <w:rFonts w:ascii="Times New Roman" w:hAnsi="Times New Roman"/>
          <w:sz w:val="24"/>
          <w:szCs w:val="24"/>
        </w:rPr>
        <w:t xml:space="preserve"> </w:t>
      </w:r>
      <w:r w:rsidR="00514AE1">
        <w:rPr>
          <w:rFonts w:ascii="Times New Roman" w:hAnsi="Times New Roman"/>
          <w:sz w:val="24"/>
          <w:szCs w:val="24"/>
        </w:rPr>
        <w:t>names and LEIs under the reporting standards</w:t>
      </w:r>
      <w:r>
        <w:rPr>
          <w:rFonts w:ascii="Times New Roman" w:hAnsi="Times New Roman"/>
          <w:sz w:val="24"/>
          <w:szCs w:val="24"/>
        </w:rPr>
        <w:t>.</w:t>
      </w:r>
    </w:p>
    <w:p w14:paraId="330950F0" w14:textId="229FAB05" w:rsidR="00A672CD" w:rsidRDefault="00A31F71" w:rsidP="00B71EB5">
      <w:pPr>
        <w:spacing w:after="240"/>
        <w:jc w:val="both"/>
        <w:rPr>
          <w:rFonts w:ascii="Times New Roman" w:hAnsi="Times New Roman"/>
          <w:sz w:val="24"/>
          <w:szCs w:val="24"/>
        </w:rPr>
      </w:pPr>
      <w:r>
        <w:rPr>
          <w:rFonts w:ascii="Times New Roman" w:hAnsi="Times New Roman"/>
          <w:sz w:val="24"/>
          <w:szCs w:val="24"/>
        </w:rPr>
        <w:t>ARS</w:t>
      </w:r>
      <w:r w:rsidR="00C02366">
        <w:rPr>
          <w:rFonts w:ascii="Times New Roman" w:hAnsi="Times New Roman"/>
          <w:sz w:val="24"/>
          <w:szCs w:val="24"/>
        </w:rPr>
        <w:t> </w:t>
      </w:r>
      <w:r>
        <w:rPr>
          <w:rFonts w:ascii="Times New Roman" w:hAnsi="Times New Roman"/>
          <w:sz w:val="24"/>
          <w:szCs w:val="24"/>
        </w:rPr>
        <w:t xml:space="preserve">222.2 requires ADIs to report the sector of a step-in risk entity from a list of sectors, such as ‘banking institution’, ‘central banks’ and ‘registered financial </w:t>
      </w:r>
      <w:proofErr w:type="gramStart"/>
      <w:r>
        <w:rPr>
          <w:rFonts w:ascii="Times New Roman" w:hAnsi="Times New Roman"/>
          <w:sz w:val="24"/>
          <w:szCs w:val="24"/>
        </w:rPr>
        <w:t>corporations’</w:t>
      </w:r>
      <w:proofErr w:type="gramEnd"/>
      <w:r>
        <w:rPr>
          <w:rFonts w:ascii="Times New Roman" w:hAnsi="Times New Roman"/>
          <w:sz w:val="24"/>
          <w:szCs w:val="24"/>
        </w:rPr>
        <w:t>. Registered financial corporations are corporations that are registered entities under the Act that are classified by APRA as category D (money market corporations) or Other (pastoral finance companies, finance companies and general financiers). ADIs are expected to report the relevant sector as a matter of fact. ARS</w:t>
      </w:r>
      <w:r w:rsidR="00C02366">
        <w:rPr>
          <w:rFonts w:ascii="Times New Roman" w:hAnsi="Times New Roman"/>
          <w:sz w:val="24"/>
          <w:szCs w:val="24"/>
        </w:rPr>
        <w:t> </w:t>
      </w:r>
      <w:r>
        <w:rPr>
          <w:rFonts w:ascii="Times New Roman" w:hAnsi="Times New Roman"/>
          <w:sz w:val="24"/>
          <w:szCs w:val="24"/>
        </w:rPr>
        <w:t>222.2 includes a link to the list of registered financial corporations on APRA’s website. The list is not intended to be incorporated by reference.</w:t>
      </w:r>
    </w:p>
    <w:p w14:paraId="6F60EFE7" w14:textId="7847DD85" w:rsidR="00835BD9" w:rsidRPr="00835BD9" w:rsidRDefault="009626AB" w:rsidP="00835BD9">
      <w:pPr>
        <w:spacing w:after="240"/>
        <w:jc w:val="both"/>
        <w:rPr>
          <w:rFonts w:ascii="Times New Roman" w:hAnsi="Times New Roman"/>
          <w:sz w:val="24"/>
          <w:szCs w:val="24"/>
        </w:rPr>
      </w:pPr>
      <w:r w:rsidRPr="00D26946">
        <w:rPr>
          <w:rFonts w:ascii="Times New Roman" w:hAnsi="Times New Roman"/>
          <w:color w:val="000000"/>
          <w:sz w:val="24"/>
          <w:shd w:val="clear" w:color="auto" w:fill="FFFFFF"/>
        </w:rPr>
        <w:t>There are a number of powers that may be exercised by APRA in reporting standards which involve an element of discretion and which may impact the interests of the financial sector entity to which t</w:t>
      </w:r>
      <w:r w:rsidR="00C02366">
        <w:rPr>
          <w:rFonts w:ascii="Times New Roman" w:hAnsi="Times New Roman"/>
          <w:color w:val="000000"/>
          <w:sz w:val="24"/>
          <w:shd w:val="clear" w:color="auto" w:fill="FFFFFF"/>
        </w:rPr>
        <w:t xml:space="preserve">he reporting standard applies. </w:t>
      </w:r>
      <w:r w:rsidRPr="00D26946">
        <w:rPr>
          <w:rFonts w:ascii="Times New Roman" w:hAnsi="Times New Roman"/>
          <w:color w:val="000000"/>
          <w:sz w:val="24"/>
          <w:shd w:val="clear" w:color="auto" w:fill="FFFFFF"/>
        </w:rPr>
        <w:t xml:space="preserve">These decisions include </w:t>
      </w:r>
      <w:r w:rsidRPr="00D26946">
        <w:rPr>
          <w:rFonts w:ascii="Times New Roman" w:hAnsi="Times New Roman"/>
          <w:color w:val="000000"/>
          <w:sz w:val="24"/>
          <w:shd w:val="clear" w:color="auto" w:fill="FFFFFF"/>
        </w:rPr>
        <w:lastRenderedPageBreak/>
        <w:t xml:space="preserve">APRA refusing to change a reporting period or due date for an ADI to provide information required by </w:t>
      </w:r>
      <w:r w:rsidR="0011393A">
        <w:rPr>
          <w:rFonts w:ascii="Times New Roman" w:hAnsi="Times New Roman"/>
          <w:color w:val="000000"/>
          <w:sz w:val="24"/>
          <w:shd w:val="clear" w:color="auto" w:fill="FFFFFF"/>
        </w:rPr>
        <w:t>ARS</w:t>
      </w:r>
      <w:r w:rsidR="00C02366">
        <w:rPr>
          <w:rFonts w:ascii="Times New Roman" w:hAnsi="Times New Roman"/>
          <w:color w:val="000000"/>
          <w:sz w:val="24"/>
          <w:shd w:val="clear" w:color="auto" w:fill="FFFFFF"/>
        </w:rPr>
        <w:t> </w:t>
      </w:r>
      <w:r w:rsidR="0011393A">
        <w:rPr>
          <w:rFonts w:ascii="Times New Roman" w:hAnsi="Times New Roman"/>
          <w:color w:val="000000"/>
          <w:sz w:val="24"/>
          <w:shd w:val="clear" w:color="auto" w:fill="FFFFFF"/>
        </w:rPr>
        <w:t>222.0 and ARS</w:t>
      </w:r>
      <w:r w:rsidR="00C02366">
        <w:rPr>
          <w:rFonts w:ascii="Times New Roman" w:hAnsi="Times New Roman"/>
          <w:color w:val="000000"/>
          <w:sz w:val="24"/>
          <w:shd w:val="clear" w:color="auto" w:fill="FFFFFF"/>
        </w:rPr>
        <w:t> </w:t>
      </w:r>
      <w:r w:rsidR="0011393A">
        <w:rPr>
          <w:rFonts w:ascii="Times New Roman" w:hAnsi="Times New Roman"/>
          <w:color w:val="000000"/>
          <w:sz w:val="24"/>
          <w:shd w:val="clear" w:color="auto" w:fill="FFFFFF"/>
        </w:rPr>
        <w:t>222.2</w:t>
      </w:r>
      <w:r w:rsidRPr="00D26946">
        <w:rPr>
          <w:rFonts w:ascii="Times New Roman" w:hAnsi="Times New Roman"/>
          <w:color w:val="000000"/>
          <w:sz w:val="24"/>
          <w:shd w:val="clear" w:color="auto" w:fill="FFFFFF"/>
        </w:rPr>
        <w:t xml:space="preserve">. Decisions made by APRA exercising those powers are not subject to merits review. </w:t>
      </w:r>
    </w:p>
    <w:p w14:paraId="74E06295" w14:textId="77777777" w:rsidR="00835BD9" w:rsidRPr="00835BD9" w:rsidRDefault="00835BD9" w:rsidP="00835BD9">
      <w:pPr>
        <w:spacing w:after="240"/>
        <w:jc w:val="both"/>
        <w:rPr>
          <w:rFonts w:ascii="Times New Roman" w:hAnsi="Times New Roman"/>
          <w:sz w:val="24"/>
          <w:szCs w:val="24"/>
        </w:rPr>
      </w:pPr>
      <w:r w:rsidRPr="00835BD9">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5F32DD19" w14:textId="33B180E5" w:rsidR="00835BD9" w:rsidRPr="00835BD9" w:rsidRDefault="00835BD9" w:rsidP="00835BD9">
      <w:pPr>
        <w:spacing w:after="240"/>
        <w:jc w:val="both"/>
        <w:rPr>
          <w:rFonts w:ascii="Times New Roman" w:hAnsi="Times New Roman"/>
          <w:sz w:val="24"/>
          <w:szCs w:val="24"/>
        </w:rPr>
      </w:pPr>
      <w:r w:rsidRPr="00835BD9">
        <w:rPr>
          <w:rFonts w:ascii="Times New Roman" w:hAnsi="Times New Roman"/>
          <w:sz w:val="24"/>
          <w:szCs w:val="24"/>
        </w:rPr>
        <w:t>APRA’s reporting standards collect financial data from</w:t>
      </w:r>
      <w:r>
        <w:rPr>
          <w:rFonts w:ascii="Times New Roman" w:hAnsi="Times New Roman"/>
          <w:sz w:val="24"/>
          <w:szCs w:val="24"/>
        </w:rPr>
        <w:t xml:space="preserve"> regulated entities. This data </w:t>
      </w:r>
      <w:r w:rsidRPr="00835BD9">
        <w:rPr>
          <w:rFonts w:ascii="Times New Roman" w:hAnsi="Times New Roman"/>
          <w:sz w:val="24"/>
          <w:szCs w:val="24"/>
        </w:rPr>
        <w:t>contains critical indicators of a regulated entity’s financial wellbeing, including data on an entity’s assets, capital, liquidity, expenses and risk exposures. APRA relies heavily on this financial data to inform its supervisory actions towards its regulated entities. Without timely and complete data, APRA may miss indicators that an ADI is taking on imprudent risk or is in distress. APRA’s supervisory decisions may be jeopardised if its receipt of data is unreliable due to entities seeking merits review under its reporting standards.</w:t>
      </w:r>
    </w:p>
    <w:p w14:paraId="3D58E25F" w14:textId="77777777" w:rsidR="00835BD9" w:rsidRPr="00835BD9" w:rsidRDefault="00835BD9" w:rsidP="00835BD9">
      <w:pPr>
        <w:spacing w:after="240"/>
        <w:jc w:val="both"/>
        <w:rPr>
          <w:rFonts w:ascii="Times New Roman" w:hAnsi="Times New Roman"/>
          <w:sz w:val="24"/>
          <w:szCs w:val="24"/>
        </w:rPr>
      </w:pPr>
      <w:r w:rsidRPr="00835BD9">
        <w:rPr>
          <w:rFonts w:ascii="Times New Roman" w:hAnsi="Times New Roman"/>
          <w:sz w:val="24"/>
          <w:szCs w:val="24"/>
        </w:rPr>
        <w:t xml:space="preserve">The data collected by APRA’s reporting standards is also often used to compile key macroeconomic indicators for Australia. The Reserve Bank of Australia uses the data to compile and publish its monetary and credit aggregates. The Australian Bureau of Statistics uses the data to compile the national accounts. The data is also used to meet Australia’s international reporting obligations. </w:t>
      </w:r>
    </w:p>
    <w:p w14:paraId="5E028595" w14:textId="15F12BA2" w:rsidR="00835BD9" w:rsidRDefault="00835BD9" w:rsidP="00835BD9">
      <w:pPr>
        <w:spacing w:after="240"/>
        <w:jc w:val="both"/>
        <w:rPr>
          <w:rFonts w:ascii="Times New Roman" w:hAnsi="Times New Roman"/>
          <w:sz w:val="24"/>
          <w:szCs w:val="24"/>
        </w:rPr>
      </w:pPr>
      <w:r w:rsidRPr="00835BD9">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A2234">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6690A2EE" w14:textId="5919BFEC" w:rsidR="004A14E0" w:rsidRPr="001A2234" w:rsidRDefault="009356BF" w:rsidP="00C02366">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has consulted extensively on proposed changes in </w:t>
      </w:r>
      <w:r w:rsidR="004A14E0">
        <w:rPr>
          <w:rFonts w:ascii="Times New Roman" w:hAnsi="Times New Roman"/>
          <w:b w:val="0"/>
          <w:sz w:val="24"/>
          <w:szCs w:val="24"/>
        </w:rPr>
        <w:t>APS</w:t>
      </w:r>
      <w:r w:rsidR="00C02366">
        <w:rPr>
          <w:rFonts w:ascii="Times New Roman" w:hAnsi="Times New Roman"/>
          <w:b w:val="0"/>
          <w:sz w:val="24"/>
          <w:szCs w:val="24"/>
        </w:rPr>
        <w:t> </w:t>
      </w:r>
      <w:r w:rsidR="004A14E0">
        <w:rPr>
          <w:rFonts w:ascii="Times New Roman" w:hAnsi="Times New Roman"/>
          <w:b w:val="0"/>
          <w:sz w:val="24"/>
          <w:szCs w:val="24"/>
        </w:rPr>
        <w:t xml:space="preserve">222 and </w:t>
      </w:r>
      <w:r>
        <w:rPr>
          <w:rFonts w:ascii="Times New Roman" w:hAnsi="Times New Roman"/>
          <w:b w:val="0"/>
          <w:sz w:val="24"/>
          <w:szCs w:val="24"/>
        </w:rPr>
        <w:t xml:space="preserve">the </w:t>
      </w:r>
      <w:r w:rsidR="006B0B74">
        <w:rPr>
          <w:rFonts w:ascii="Times New Roman" w:hAnsi="Times New Roman"/>
          <w:b w:val="0"/>
          <w:sz w:val="24"/>
          <w:szCs w:val="24"/>
        </w:rPr>
        <w:t>reporting standards</w:t>
      </w:r>
      <w:r>
        <w:rPr>
          <w:rFonts w:ascii="Times New Roman" w:hAnsi="Times New Roman"/>
          <w:b w:val="0"/>
          <w:sz w:val="24"/>
          <w:szCs w:val="24"/>
        </w:rPr>
        <w:t xml:space="preserve">. APRA undertook a public consultation from July to September 2018, and has met with and discussed the proposed changes with a number of interested parties. APRA received a total of </w:t>
      </w:r>
      <w:r w:rsidRPr="00923688">
        <w:rPr>
          <w:rFonts w:ascii="Times New Roman" w:hAnsi="Times New Roman"/>
          <w:b w:val="0"/>
          <w:sz w:val="24"/>
          <w:szCs w:val="24"/>
        </w:rPr>
        <w:t>ten</w:t>
      </w:r>
      <w:r>
        <w:rPr>
          <w:rFonts w:ascii="Times New Roman" w:hAnsi="Times New Roman"/>
          <w:b w:val="0"/>
          <w:sz w:val="24"/>
          <w:szCs w:val="24"/>
        </w:rPr>
        <w:t xml:space="preserve"> submissions from ADIs and industry bodies.</w:t>
      </w:r>
      <w:r w:rsidR="004A14E0">
        <w:rPr>
          <w:rFonts w:ascii="Times New Roman" w:hAnsi="Times New Roman"/>
          <w:b w:val="0"/>
          <w:sz w:val="24"/>
          <w:szCs w:val="24"/>
        </w:rPr>
        <w:t xml:space="preserve"> </w:t>
      </w:r>
      <w:r w:rsidR="00076618">
        <w:rPr>
          <w:rFonts w:ascii="Times New Roman" w:hAnsi="Times New Roman"/>
          <w:b w:val="0"/>
          <w:sz w:val="24"/>
          <w:szCs w:val="24"/>
        </w:rPr>
        <w:t xml:space="preserve">Based on submissions, APRA made changes to </w:t>
      </w:r>
      <w:r w:rsidR="00C41639">
        <w:rPr>
          <w:rFonts w:ascii="Times New Roman" w:hAnsi="Times New Roman"/>
          <w:b w:val="0"/>
          <w:sz w:val="24"/>
          <w:szCs w:val="24"/>
        </w:rPr>
        <w:t>the definition of a related entity, such as by excluding</w:t>
      </w:r>
      <w:r w:rsidR="00076618">
        <w:rPr>
          <w:rFonts w:ascii="Times New Roman" w:hAnsi="Times New Roman"/>
          <w:b w:val="0"/>
          <w:sz w:val="24"/>
          <w:szCs w:val="24"/>
        </w:rPr>
        <w:t xml:space="preserve"> step-in risk entities from being related entities</w:t>
      </w:r>
      <w:r w:rsidR="00C41639">
        <w:rPr>
          <w:rFonts w:ascii="Times New Roman" w:hAnsi="Times New Roman"/>
          <w:b w:val="0"/>
          <w:sz w:val="24"/>
          <w:szCs w:val="24"/>
        </w:rPr>
        <w:t>,</w:t>
      </w:r>
      <w:r w:rsidR="00076618">
        <w:rPr>
          <w:rFonts w:ascii="Times New Roman" w:hAnsi="Times New Roman"/>
          <w:b w:val="0"/>
          <w:sz w:val="24"/>
          <w:szCs w:val="24"/>
        </w:rPr>
        <w:t xml:space="preserve"> and has added a new reporting standard, ARS</w:t>
      </w:r>
      <w:r w:rsidR="00C02366">
        <w:rPr>
          <w:rFonts w:ascii="Times New Roman" w:hAnsi="Times New Roman"/>
          <w:b w:val="0"/>
          <w:sz w:val="24"/>
          <w:szCs w:val="24"/>
        </w:rPr>
        <w:t> </w:t>
      </w:r>
      <w:r w:rsidR="00076618">
        <w:rPr>
          <w:rFonts w:ascii="Times New Roman" w:hAnsi="Times New Roman"/>
          <w:b w:val="0"/>
          <w:sz w:val="24"/>
          <w:szCs w:val="24"/>
        </w:rPr>
        <w:t xml:space="preserve">222.2, to include high-level information on the step-in risk entities identified by ADIs. </w:t>
      </w:r>
      <w:r w:rsidR="004A14E0">
        <w:rPr>
          <w:rFonts w:ascii="Times New Roman" w:hAnsi="Times New Roman"/>
          <w:b w:val="0"/>
          <w:sz w:val="24"/>
          <w:szCs w:val="24"/>
        </w:rPr>
        <w:t xml:space="preserve">There were </w:t>
      </w:r>
      <w:r w:rsidR="00076618">
        <w:rPr>
          <w:rFonts w:ascii="Times New Roman" w:hAnsi="Times New Roman"/>
          <w:b w:val="0"/>
          <w:sz w:val="24"/>
          <w:szCs w:val="24"/>
        </w:rPr>
        <w:t xml:space="preserve">other </w:t>
      </w:r>
      <w:r w:rsidR="004A14E0">
        <w:rPr>
          <w:rFonts w:ascii="Times New Roman" w:hAnsi="Times New Roman"/>
          <w:b w:val="0"/>
          <w:sz w:val="24"/>
          <w:szCs w:val="24"/>
        </w:rPr>
        <w:t>minor comments on reporting of exposures to related entities</w:t>
      </w:r>
      <w:r w:rsidR="00C41639">
        <w:rPr>
          <w:rFonts w:ascii="Times New Roman" w:hAnsi="Times New Roman"/>
          <w:b w:val="0"/>
          <w:sz w:val="24"/>
          <w:szCs w:val="24"/>
        </w:rPr>
        <w:t xml:space="preserve"> which have been addressed through the consultation and response process</w:t>
      </w:r>
      <w:r w:rsidR="004A14E0">
        <w:rPr>
          <w:rFonts w:ascii="Times New Roman" w:hAnsi="Times New Roman"/>
          <w:b w:val="0"/>
          <w:sz w:val="24"/>
          <w:szCs w:val="24"/>
        </w:rPr>
        <w:t xml:space="preserve">. </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77777777" w:rsidR="002436BD" w:rsidRDefault="002436BD" w:rsidP="001A2234">
      <w:pPr>
        <w:pStyle w:val="Heading"/>
        <w:spacing w:after="240"/>
        <w:rPr>
          <w:rFonts w:ascii="Times New Roman" w:hAnsi="Times New Roman"/>
          <w:b w:val="0"/>
          <w:sz w:val="24"/>
          <w:szCs w:val="24"/>
        </w:rPr>
      </w:pPr>
      <w:r>
        <w:rPr>
          <w:rFonts w:ascii="Times New Roman" w:hAnsi="Times New Roman"/>
          <w:b w:val="0"/>
          <w:sz w:val="24"/>
          <w:szCs w:val="24"/>
        </w:rPr>
        <w:t>A</w:t>
      </w:r>
      <w:r w:rsidR="00B64B2E">
        <w:rPr>
          <w:rFonts w:ascii="Times New Roman" w:hAnsi="Times New Roman"/>
          <w:b w:val="0"/>
          <w:sz w:val="24"/>
          <w:szCs w:val="24"/>
        </w:rPr>
        <w:t>PRA prepared a</w:t>
      </w:r>
      <w:r>
        <w:rPr>
          <w:rFonts w:ascii="Times New Roman" w:hAnsi="Times New Roman"/>
          <w:b w:val="0"/>
          <w:sz w:val="24"/>
          <w:szCs w:val="24"/>
        </w:rPr>
        <w:t xml:space="preserve"> Regulation Impact S</w:t>
      </w:r>
      <w:r w:rsidRPr="002C6D26">
        <w:rPr>
          <w:rFonts w:ascii="Times New Roman" w:hAnsi="Times New Roman"/>
          <w:b w:val="0"/>
          <w:sz w:val="24"/>
          <w:szCs w:val="24"/>
        </w:rPr>
        <w:t>tatement</w:t>
      </w:r>
      <w:r w:rsidR="00A279AF">
        <w:rPr>
          <w:rFonts w:ascii="Times New Roman" w:hAnsi="Times New Roman"/>
          <w:b w:val="0"/>
          <w:sz w:val="24"/>
          <w:szCs w:val="24"/>
        </w:rPr>
        <w:t xml:space="preserve"> </w:t>
      </w:r>
      <w:r w:rsidR="0030506B">
        <w:rPr>
          <w:rFonts w:ascii="Times New Roman" w:hAnsi="Times New Roman"/>
          <w:b w:val="0"/>
          <w:sz w:val="24"/>
          <w:szCs w:val="24"/>
        </w:rPr>
        <w:t>which has been lodged as supporting material</w:t>
      </w:r>
      <w:r w:rsidR="00A279AF">
        <w:rPr>
          <w:rFonts w:ascii="Times New Roman" w:hAnsi="Times New Roman"/>
          <w:b w:val="0"/>
          <w:sz w:val="24"/>
          <w:szCs w:val="24"/>
        </w:rPr>
        <w:t>.</w:t>
      </w:r>
      <w:bookmarkEnd w:id="10"/>
    </w:p>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lastRenderedPageBreak/>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385BD5BC" w14:textId="77777777" w:rsidR="00864003" w:rsidRPr="00F510E0" w:rsidRDefault="00864003" w:rsidP="00864003">
      <w:pPr>
        <w:shd w:val="clear" w:color="auto" w:fill="FFFFFF"/>
        <w:spacing w:before="100" w:beforeAutospacing="1" w:after="240"/>
        <w:jc w:val="center"/>
        <w:rPr>
          <w:rFonts w:ascii="Times New Roman" w:hAnsi="Times New Roman"/>
          <w:sz w:val="24"/>
          <w:szCs w:val="24"/>
          <w:lang w:val="en-US"/>
        </w:rPr>
      </w:pPr>
      <w:r w:rsidRPr="00F510E0">
        <w:rPr>
          <w:rFonts w:ascii="Times New Roman" w:hAnsi="Times New Roman"/>
          <w:b/>
          <w:bCs/>
          <w:sz w:val="24"/>
          <w:szCs w:val="24"/>
        </w:rPr>
        <w:t>Statement of Compatibility with Human Rights</w:t>
      </w:r>
    </w:p>
    <w:p w14:paraId="36236543" w14:textId="77777777" w:rsidR="00864003" w:rsidRPr="00F510E0" w:rsidRDefault="00864003" w:rsidP="00864003">
      <w:pPr>
        <w:shd w:val="clear" w:color="auto" w:fill="FFFFFF"/>
        <w:spacing w:before="100" w:beforeAutospacing="1" w:after="240"/>
        <w:jc w:val="center"/>
        <w:rPr>
          <w:rFonts w:ascii="Times New Roman" w:hAnsi="Times New Roman"/>
          <w:sz w:val="24"/>
          <w:szCs w:val="24"/>
          <w:lang w:val="en-US"/>
        </w:rPr>
      </w:pPr>
      <w:r w:rsidRPr="00F510E0">
        <w:rPr>
          <w:rFonts w:ascii="Times New Roman" w:hAnsi="Times New Roman"/>
          <w:sz w:val="24"/>
          <w:szCs w:val="24"/>
        </w:rPr>
        <w:t xml:space="preserve">Prepared in accordance with Part 3 of the </w:t>
      </w:r>
      <w:r w:rsidRPr="00F510E0">
        <w:rPr>
          <w:rFonts w:ascii="Times New Roman" w:hAnsi="Times New Roman"/>
          <w:i/>
          <w:iCs/>
          <w:sz w:val="24"/>
          <w:szCs w:val="24"/>
        </w:rPr>
        <w:t>Human Rights (Parliamentary Scrutiny) Act 2011</w:t>
      </w:r>
    </w:p>
    <w:p w14:paraId="55947A2A" w14:textId="4ACEA605" w:rsidR="00113307" w:rsidRPr="002C6D26" w:rsidRDefault="00113307" w:rsidP="00113307">
      <w:pPr>
        <w:pStyle w:val="Heading"/>
        <w:spacing w:after="240"/>
        <w:jc w:val="left"/>
        <w:rPr>
          <w:rFonts w:ascii="Times New Roman" w:hAnsi="Times New Roman"/>
          <w:sz w:val="24"/>
          <w:szCs w:val="24"/>
        </w:rPr>
      </w:pPr>
      <w:r w:rsidRPr="00134D2D">
        <w:rPr>
          <w:rFonts w:ascii="Times New Roman" w:hAnsi="Times New Roman"/>
          <w:sz w:val="24"/>
          <w:szCs w:val="24"/>
        </w:rPr>
        <w:t xml:space="preserve">Financial Sector (Collection of Data) (reporting standard) determinations No. </w:t>
      </w:r>
      <w:r w:rsidR="00134D2D" w:rsidRPr="00134D2D">
        <w:rPr>
          <w:rFonts w:ascii="Times New Roman" w:hAnsi="Times New Roman"/>
          <w:sz w:val="24"/>
          <w:szCs w:val="24"/>
        </w:rPr>
        <w:t>11</w:t>
      </w:r>
      <w:r w:rsidRPr="00134D2D">
        <w:rPr>
          <w:rFonts w:ascii="Times New Roman" w:hAnsi="Times New Roman"/>
          <w:sz w:val="24"/>
          <w:szCs w:val="24"/>
        </w:rPr>
        <w:t xml:space="preserve"> and </w:t>
      </w:r>
      <w:r w:rsidR="00134D2D" w:rsidRPr="00134D2D">
        <w:rPr>
          <w:rFonts w:ascii="Times New Roman" w:hAnsi="Times New Roman"/>
          <w:sz w:val="24"/>
          <w:szCs w:val="24"/>
        </w:rPr>
        <w:t>12</w:t>
      </w:r>
      <w:r w:rsidR="00C02366" w:rsidRPr="00134D2D">
        <w:rPr>
          <w:rFonts w:ascii="Times New Roman" w:hAnsi="Times New Roman"/>
          <w:sz w:val="24"/>
          <w:szCs w:val="24"/>
        </w:rPr>
        <w:t xml:space="preserve"> of 2020</w:t>
      </w:r>
    </w:p>
    <w:p w14:paraId="58020716" w14:textId="084D3FDC" w:rsidR="00864003" w:rsidRPr="00F510E0" w:rsidRDefault="00864003" w:rsidP="00C02366">
      <w:pPr>
        <w:shd w:val="clear" w:color="auto" w:fill="FFFFFF"/>
        <w:spacing w:after="240"/>
        <w:jc w:val="both"/>
        <w:rPr>
          <w:rFonts w:ascii="Times New Roman" w:hAnsi="Times New Roman"/>
          <w:sz w:val="24"/>
          <w:szCs w:val="24"/>
          <w:lang w:val="en-US"/>
        </w:rPr>
      </w:pPr>
      <w:r w:rsidRPr="00F510E0">
        <w:rPr>
          <w:rFonts w:ascii="Times New Roman" w:hAnsi="Times New Roman"/>
          <w:sz w:val="24"/>
          <w:szCs w:val="24"/>
        </w:rPr>
        <w:t>The legislative instrument</w:t>
      </w:r>
      <w:r w:rsidR="00792DAE">
        <w:rPr>
          <w:rFonts w:ascii="Times New Roman" w:hAnsi="Times New Roman"/>
          <w:sz w:val="24"/>
          <w:szCs w:val="24"/>
        </w:rPr>
        <w:t>s</w:t>
      </w:r>
      <w:r w:rsidRPr="00F510E0">
        <w:rPr>
          <w:rFonts w:ascii="Times New Roman" w:hAnsi="Times New Roman"/>
          <w:sz w:val="24"/>
          <w:szCs w:val="24"/>
        </w:rPr>
        <w:t xml:space="preserve"> </w:t>
      </w:r>
      <w:r w:rsidR="00792DAE">
        <w:rPr>
          <w:rFonts w:ascii="Times New Roman" w:hAnsi="Times New Roman"/>
          <w:sz w:val="24"/>
          <w:szCs w:val="24"/>
        </w:rPr>
        <w:t>are</w:t>
      </w:r>
      <w:r w:rsidRPr="00F510E0">
        <w:rPr>
          <w:rFonts w:ascii="Times New Roman" w:hAnsi="Times New Roman"/>
          <w:sz w:val="24"/>
          <w:szCs w:val="24"/>
        </w:rPr>
        <w:t xml:space="preserve"> compatible with the human rights and freedoms recognised or declared in the international instrument listed in section 3 of the </w:t>
      </w:r>
      <w:r w:rsidRPr="00F510E0">
        <w:rPr>
          <w:rFonts w:ascii="Times New Roman" w:hAnsi="Times New Roman"/>
          <w:i/>
          <w:iCs/>
          <w:sz w:val="24"/>
          <w:szCs w:val="24"/>
        </w:rPr>
        <w:t>Human Rights (Parliamentary Scrutiny) Act 2011</w:t>
      </w:r>
      <w:r w:rsidRPr="00F510E0">
        <w:rPr>
          <w:rFonts w:ascii="Times New Roman" w:hAnsi="Times New Roman"/>
          <w:sz w:val="24"/>
          <w:szCs w:val="24"/>
        </w:rPr>
        <w:t xml:space="preserve"> (HRPS Act).</w:t>
      </w:r>
    </w:p>
    <w:p w14:paraId="60D6C237" w14:textId="3160C7A3" w:rsidR="00864003" w:rsidRPr="00F510E0" w:rsidRDefault="00864003" w:rsidP="00C02366">
      <w:pPr>
        <w:shd w:val="clear" w:color="auto" w:fill="FFFFFF"/>
        <w:spacing w:after="240"/>
        <w:jc w:val="both"/>
        <w:rPr>
          <w:rFonts w:ascii="Times New Roman" w:hAnsi="Times New Roman"/>
          <w:sz w:val="24"/>
          <w:szCs w:val="24"/>
          <w:lang w:val="en-US"/>
        </w:rPr>
      </w:pPr>
      <w:r w:rsidRPr="00F510E0">
        <w:rPr>
          <w:rFonts w:ascii="Times New Roman" w:hAnsi="Times New Roman"/>
          <w:b/>
          <w:bCs/>
          <w:sz w:val="24"/>
          <w:szCs w:val="24"/>
        </w:rPr>
        <w:t>Overview of the Legislative Instrument</w:t>
      </w:r>
      <w:r w:rsidR="00792DAE">
        <w:rPr>
          <w:rFonts w:ascii="Times New Roman" w:hAnsi="Times New Roman"/>
          <w:b/>
          <w:bCs/>
          <w:sz w:val="24"/>
          <w:szCs w:val="24"/>
        </w:rPr>
        <w:t>s</w:t>
      </w:r>
    </w:p>
    <w:p w14:paraId="29E58F0C" w14:textId="23751351" w:rsidR="00864003" w:rsidRDefault="00864003" w:rsidP="00864003">
      <w:pPr>
        <w:spacing w:after="240"/>
        <w:jc w:val="both"/>
        <w:rPr>
          <w:rFonts w:ascii="Times New Roman" w:hAnsi="Times New Roman"/>
          <w:i/>
          <w:sz w:val="24"/>
          <w:szCs w:val="24"/>
        </w:rPr>
      </w:pPr>
      <w:r w:rsidRPr="00F510E0">
        <w:rPr>
          <w:rFonts w:ascii="Times New Roman" w:hAnsi="Times New Roman"/>
          <w:sz w:val="24"/>
          <w:szCs w:val="24"/>
        </w:rPr>
        <w:t>The purpose of the instrument</w:t>
      </w:r>
      <w:r w:rsidR="00792DAE">
        <w:rPr>
          <w:rFonts w:ascii="Times New Roman" w:hAnsi="Times New Roman"/>
          <w:sz w:val="24"/>
          <w:szCs w:val="24"/>
        </w:rPr>
        <w:t>s</w:t>
      </w:r>
      <w:r w:rsidRPr="00F510E0">
        <w:rPr>
          <w:rFonts w:ascii="Times New Roman" w:hAnsi="Times New Roman"/>
          <w:sz w:val="24"/>
          <w:szCs w:val="24"/>
        </w:rPr>
        <w:t xml:space="preserve"> is to make a </w:t>
      </w:r>
      <w:r w:rsidR="000D3451">
        <w:rPr>
          <w:rFonts w:ascii="Times New Roman" w:hAnsi="Times New Roman"/>
          <w:sz w:val="24"/>
          <w:szCs w:val="24"/>
        </w:rPr>
        <w:t xml:space="preserve">revised </w:t>
      </w:r>
      <w:r w:rsidR="000D3451" w:rsidRPr="00736D41">
        <w:rPr>
          <w:rFonts w:ascii="Times New Roman" w:hAnsi="Times New Roman"/>
          <w:i/>
          <w:sz w:val="24"/>
          <w:szCs w:val="24"/>
        </w:rPr>
        <w:t>Reporting Standard ARS</w:t>
      </w:r>
      <w:r w:rsidR="00C02366">
        <w:rPr>
          <w:rFonts w:ascii="Times New Roman" w:hAnsi="Times New Roman"/>
          <w:i/>
          <w:sz w:val="24"/>
          <w:szCs w:val="24"/>
        </w:rPr>
        <w:t> </w:t>
      </w:r>
      <w:r w:rsidR="000D3451">
        <w:rPr>
          <w:rFonts w:ascii="Times New Roman" w:hAnsi="Times New Roman"/>
          <w:i/>
          <w:sz w:val="24"/>
          <w:szCs w:val="24"/>
        </w:rPr>
        <w:t>222.0 Exposures to Related Entities</w:t>
      </w:r>
      <w:r w:rsidR="000D3451" w:rsidRPr="00BD6360">
        <w:rPr>
          <w:rFonts w:ascii="Times New Roman" w:hAnsi="Times New Roman"/>
          <w:i/>
          <w:sz w:val="24"/>
          <w:szCs w:val="24"/>
        </w:rPr>
        <w:t xml:space="preserve"> </w:t>
      </w:r>
      <w:r w:rsidR="00EE01F2">
        <w:rPr>
          <w:rFonts w:ascii="Times New Roman" w:hAnsi="Times New Roman"/>
          <w:sz w:val="24"/>
          <w:szCs w:val="24"/>
        </w:rPr>
        <w:t>(ARS</w:t>
      </w:r>
      <w:r w:rsidR="00C02366">
        <w:rPr>
          <w:rFonts w:ascii="Times New Roman" w:hAnsi="Times New Roman"/>
          <w:sz w:val="24"/>
          <w:szCs w:val="24"/>
        </w:rPr>
        <w:t> </w:t>
      </w:r>
      <w:r w:rsidR="00EE01F2">
        <w:rPr>
          <w:rFonts w:ascii="Times New Roman" w:hAnsi="Times New Roman"/>
          <w:sz w:val="24"/>
          <w:szCs w:val="24"/>
        </w:rPr>
        <w:t xml:space="preserve">222.0) </w:t>
      </w:r>
      <w:r w:rsidR="000D3451">
        <w:rPr>
          <w:rFonts w:ascii="Times New Roman" w:hAnsi="Times New Roman"/>
          <w:sz w:val="24"/>
          <w:szCs w:val="24"/>
        </w:rPr>
        <w:t xml:space="preserve">and a new </w:t>
      </w:r>
      <w:r w:rsidR="00EE01F2">
        <w:rPr>
          <w:rFonts w:ascii="Times New Roman" w:hAnsi="Times New Roman"/>
          <w:i/>
          <w:sz w:val="24"/>
          <w:szCs w:val="24"/>
        </w:rPr>
        <w:t>Reporting Standard ARS</w:t>
      </w:r>
      <w:r w:rsidR="00C02366">
        <w:rPr>
          <w:rFonts w:ascii="Times New Roman" w:hAnsi="Times New Roman"/>
          <w:i/>
          <w:sz w:val="24"/>
          <w:szCs w:val="24"/>
        </w:rPr>
        <w:t> </w:t>
      </w:r>
      <w:r w:rsidR="00EE01F2">
        <w:rPr>
          <w:rFonts w:ascii="Times New Roman" w:hAnsi="Times New Roman"/>
          <w:i/>
          <w:sz w:val="24"/>
          <w:szCs w:val="24"/>
        </w:rPr>
        <w:t>222.2 Exposures to Related Entities – Step-in risk</w:t>
      </w:r>
      <w:r w:rsidR="00EE01F2">
        <w:rPr>
          <w:rFonts w:ascii="Times New Roman" w:hAnsi="Times New Roman"/>
          <w:sz w:val="24"/>
          <w:szCs w:val="24"/>
        </w:rPr>
        <w:t xml:space="preserve"> (ARS</w:t>
      </w:r>
      <w:r w:rsidR="00C02366">
        <w:rPr>
          <w:rFonts w:ascii="Times New Roman" w:hAnsi="Times New Roman"/>
          <w:sz w:val="24"/>
          <w:szCs w:val="24"/>
        </w:rPr>
        <w:t> </w:t>
      </w:r>
      <w:r w:rsidR="00EE01F2">
        <w:rPr>
          <w:rFonts w:ascii="Times New Roman" w:hAnsi="Times New Roman"/>
          <w:sz w:val="24"/>
          <w:szCs w:val="24"/>
        </w:rPr>
        <w:t>222.2)</w:t>
      </w:r>
      <w:r w:rsidR="00EE01F2">
        <w:rPr>
          <w:rFonts w:ascii="Times New Roman" w:hAnsi="Times New Roman"/>
          <w:i/>
          <w:sz w:val="24"/>
          <w:szCs w:val="24"/>
        </w:rPr>
        <w:t>.</w:t>
      </w:r>
    </w:p>
    <w:p w14:paraId="66AD9BBE" w14:textId="1C59E56A" w:rsidR="00864003" w:rsidRPr="00F510E0" w:rsidRDefault="00EE01F2" w:rsidP="00143FBB">
      <w:pPr>
        <w:spacing w:after="240"/>
        <w:jc w:val="both"/>
        <w:rPr>
          <w:rFonts w:ascii="Times New Roman" w:hAnsi="Times New Roman"/>
          <w:sz w:val="24"/>
          <w:szCs w:val="24"/>
        </w:rPr>
      </w:pPr>
      <w:r w:rsidRPr="00724F0B">
        <w:rPr>
          <w:rFonts w:ascii="Times New Roman" w:hAnsi="Times New Roman"/>
          <w:sz w:val="24"/>
          <w:szCs w:val="24"/>
        </w:rPr>
        <w:t>ARS</w:t>
      </w:r>
      <w:r w:rsidR="00C02366">
        <w:rPr>
          <w:rFonts w:ascii="Times New Roman" w:hAnsi="Times New Roman"/>
          <w:sz w:val="24"/>
          <w:szCs w:val="24"/>
        </w:rPr>
        <w:t> </w:t>
      </w:r>
      <w:r w:rsidRPr="00724F0B">
        <w:rPr>
          <w:rFonts w:ascii="Times New Roman" w:hAnsi="Times New Roman"/>
          <w:sz w:val="24"/>
          <w:szCs w:val="24"/>
        </w:rPr>
        <w:t xml:space="preserve">222.0 and </w:t>
      </w:r>
      <w:r w:rsidR="00DB2009" w:rsidRPr="00724F0B">
        <w:rPr>
          <w:rFonts w:ascii="Times New Roman" w:hAnsi="Times New Roman"/>
          <w:sz w:val="24"/>
          <w:szCs w:val="24"/>
        </w:rPr>
        <w:t>ARS</w:t>
      </w:r>
      <w:r w:rsidR="00C02366">
        <w:rPr>
          <w:rFonts w:ascii="Times New Roman" w:hAnsi="Times New Roman"/>
          <w:sz w:val="24"/>
          <w:szCs w:val="24"/>
        </w:rPr>
        <w:t> </w:t>
      </w:r>
      <w:r w:rsidR="00DB2009" w:rsidRPr="00724F0B">
        <w:rPr>
          <w:rFonts w:ascii="Times New Roman" w:hAnsi="Times New Roman"/>
          <w:sz w:val="24"/>
          <w:szCs w:val="24"/>
        </w:rPr>
        <w:t xml:space="preserve">222.2 </w:t>
      </w:r>
      <w:r w:rsidR="00724F0B" w:rsidRPr="00724F0B">
        <w:rPr>
          <w:rFonts w:ascii="Times New Roman" w:hAnsi="Times New Roman"/>
          <w:sz w:val="24"/>
          <w:szCs w:val="24"/>
        </w:rPr>
        <w:t xml:space="preserve">set out requirements for the provision of information to APRA relating to an authorised deposit-taking institution’s </w:t>
      </w:r>
      <w:r w:rsidR="00143FBB">
        <w:rPr>
          <w:rFonts w:ascii="Times New Roman" w:hAnsi="Times New Roman"/>
          <w:sz w:val="24"/>
          <w:szCs w:val="24"/>
        </w:rPr>
        <w:t xml:space="preserve">(ADI) </w:t>
      </w:r>
      <w:r w:rsidR="00724F0B" w:rsidRPr="00724F0B">
        <w:rPr>
          <w:rFonts w:ascii="Times New Roman" w:hAnsi="Times New Roman"/>
          <w:sz w:val="24"/>
          <w:szCs w:val="24"/>
        </w:rPr>
        <w:t>exposures to related entities</w:t>
      </w:r>
      <w:r w:rsidR="00F57F16">
        <w:rPr>
          <w:rFonts w:ascii="Times New Roman" w:hAnsi="Times New Roman"/>
          <w:sz w:val="24"/>
          <w:szCs w:val="24"/>
        </w:rPr>
        <w:t>,</w:t>
      </w:r>
      <w:r w:rsidR="00724F0B" w:rsidRPr="00724F0B">
        <w:rPr>
          <w:rFonts w:ascii="Times New Roman" w:hAnsi="Times New Roman"/>
          <w:sz w:val="24"/>
          <w:szCs w:val="24"/>
        </w:rPr>
        <w:t xml:space="preserve"> and entities where</w:t>
      </w:r>
      <w:r w:rsidR="00724F0B" w:rsidRPr="007F7D4A">
        <w:rPr>
          <w:rFonts w:ascii="Times New Roman" w:hAnsi="Times New Roman"/>
          <w:sz w:val="24"/>
          <w:szCs w:val="24"/>
        </w:rPr>
        <w:t xml:space="preserve"> an ADI is likely to provide support beyond any legal obligation</w:t>
      </w:r>
      <w:r w:rsidR="00724F0B">
        <w:rPr>
          <w:rFonts w:ascii="Times New Roman" w:hAnsi="Times New Roman"/>
          <w:sz w:val="24"/>
          <w:szCs w:val="24"/>
        </w:rPr>
        <w:t xml:space="preserve"> (step-in risk entities). </w:t>
      </w:r>
      <w:r w:rsidR="00E71180">
        <w:rPr>
          <w:rFonts w:ascii="Times New Roman" w:hAnsi="Times New Roman"/>
          <w:sz w:val="24"/>
          <w:szCs w:val="24"/>
        </w:rPr>
        <w:t xml:space="preserve">The information collected under these reporting standards are used by APRA for the purpose of the prudential supervision of the ADIs in connection with </w:t>
      </w:r>
      <w:r w:rsidR="00792DAE" w:rsidRPr="00143FBB">
        <w:rPr>
          <w:rFonts w:ascii="Times New Roman" w:hAnsi="Times New Roman"/>
          <w:i/>
          <w:sz w:val="24"/>
          <w:szCs w:val="24"/>
        </w:rPr>
        <w:t>Prudential Standard APS</w:t>
      </w:r>
      <w:r w:rsidR="00C02366">
        <w:rPr>
          <w:rFonts w:ascii="Times New Roman" w:hAnsi="Times New Roman"/>
          <w:i/>
          <w:sz w:val="24"/>
          <w:szCs w:val="24"/>
        </w:rPr>
        <w:t> </w:t>
      </w:r>
      <w:r w:rsidR="00792DAE" w:rsidRPr="00143FBB">
        <w:rPr>
          <w:rFonts w:ascii="Times New Roman" w:hAnsi="Times New Roman"/>
          <w:i/>
          <w:sz w:val="24"/>
          <w:szCs w:val="24"/>
        </w:rPr>
        <w:t xml:space="preserve">222 Associations with Related Entities </w:t>
      </w:r>
      <w:r w:rsidR="00792DAE" w:rsidRPr="00143FBB">
        <w:rPr>
          <w:rFonts w:ascii="Times New Roman" w:hAnsi="Times New Roman"/>
          <w:sz w:val="24"/>
          <w:szCs w:val="24"/>
        </w:rPr>
        <w:t>(APS</w:t>
      </w:r>
      <w:r w:rsidR="00C02366">
        <w:rPr>
          <w:rFonts w:ascii="Times New Roman" w:hAnsi="Times New Roman"/>
          <w:sz w:val="24"/>
          <w:szCs w:val="24"/>
        </w:rPr>
        <w:t> </w:t>
      </w:r>
      <w:r w:rsidR="00792DAE" w:rsidRPr="00143FBB">
        <w:rPr>
          <w:rFonts w:ascii="Times New Roman" w:hAnsi="Times New Roman"/>
          <w:sz w:val="24"/>
          <w:szCs w:val="24"/>
        </w:rPr>
        <w:t>222).</w:t>
      </w:r>
      <w:r w:rsidR="00143FBB" w:rsidRPr="00143FBB">
        <w:rPr>
          <w:rFonts w:ascii="Times New Roman" w:hAnsi="Times New Roman"/>
          <w:sz w:val="24"/>
          <w:szCs w:val="24"/>
        </w:rPr>
        <w:t xml:space="preserve"> </w:t>
      </w:r>
      <w:r w:rsidR="00864003" w:rsidRPr="00143FBB">
        <w:rPr>
          <w:rFonts w:ascii="Times New Roman" w:hAnsi="Times New Roman"/>
          <w:sz w:val="24"/>
          <w:szCs w:val="24"/>
        </w:rPr>
        <w:t>APS</w:t>
      </w:r>
      <w:r w:rsidR="00C02366">
        <w:rPr>
          <w:rFonts w:ascii="Times New Roman" w:hAnsi="Times New Roman"/>
          <w:sz w:val="24"/>
          <w:szCs w:val="24"/>
        </w:rPr>
        <w:t> </w:t>
      </w:r>
      <w:r w:rsidR="00864003" w:rsidRPr="00143FBB">
        <w:rPr>
          <w:rFonts w:ascii="Times New Roman" w:hAnsi="Times New Roman"/>
          <w:sz w:val="24"/>
          <w:szCs w:val="24"/>
        </w:rPr>
        <w:t xml:space="preserve">222 sets out requirements for </w:t>
      </w:r>
      <w:r w:rsidR="00143FBB" w:rsidRPr="00143FBB">
        <w:rPr>
          <w:rFonts w:ascii="Times New Roman" w:hAnsi="Times New Roman"/>
          <w:sz w:val="24"/>
          <w:szCs w:val="24"/>
        </w:rPr>
        <w:t>ADIs</w:t>
      </w:r>
      <w:r w:rsidR="00864003" w:rsidRPr="00143FBB">
        <w:rPr>
          <w:rFonts w:ascii="Times New Roman" w:hAnsi="Times New Roman"/>
          <w:sz w:val="24"/>
          <w:szCs w:val="24"/>
        </w:rPr>
        <w:t xml:space="preserve"> to identify, monitor and control contagion risks arising from their associations and deali</w:t>
      </w:r>
      <w:r w:rsidR="00143FBB" w:rsidRPr="00143FBB">
        <w:rPr>
          <w:rFonts w:ascii="Times New Roman" w:hAnsi="Times New Roman"/>
          <w:sz w:val="24"/>
          <w:szCs w:val="24"/>
        </w:rPr>
        <w:t>ngs with related entities and step-in risk entities</w:t>
      </w:r>
      <w:r w:rsidR="00C02366">
        <w:rPr>
          <w:rFonts w:ascii="Times New Roman" w:hAnsi="Times New Roman"/>
          <w:sz w:val="24"/>
          <w:szCs w:val="24"/>
        </w:rPr>
        <w:t>.</w:t>
      </w:r>
    </w:p>
    <w:p w14:paraId="2D3CC6CE" w14:textId="77777777" w:rsidR="00864003" w:rsidRPr="00F510E0" w:rsidRDefault="00864003" w:rsidP="00C02366">
      <w:pPr>
        <w:keepNext/>
        <w:shd w:val="clear" w:color="auto" w:fill="FFFFFF"/>
        <w:spacing w:after="240"/>
        <w:jc w:val="both"/>
        <w:rPr>
          <w:rFonts w:ascii="Times New Roman" w:hAnsi="Times New Roman"/>
          <w:sz w:val="24"/>
          <w:szCs w:val="24"/>
          <w:lang w:val="en-US"/>
        </w:rPr>
      </w:pPr>
      <w:r w:rsidRPr="00F510E0">
        <w:rPr>
          <w:rFonts w:ascii="Times New Roman" w:hAnsi="Times New Roman"/>
          <w:b/>
          <w:bCs/>
          <w:sz w:val="24"/>
          <w:szCs w:val="24"/>
        </w:rPr>
        <w:t>Human rights implications</w:t>
      </w:r>
    </w:p>
    <w:p w14:paraId="02FE823F" w14:textId="63BB7808" w:rsidR="00610CFB" w:rsidRPr="00F510E0" w:rsidRDefault="00610CFB" w:rsidP="00C02366">
      <w:pPr>
        <w:shd w:val="clear" w:color="auto" w:fill="FFFFFF"/>
        <w:spacing w:after="240"/>
        <w:jc w:val="both"/>
        <w:rPr>
          <w:rFonts w:ascii="Times New Roman" w:hAnsi="Times New Roman"/>
          <w:sz w:val="24"/>
          <w:szCs w:val="24"/>
        </w:rPr>
      </w:pPr>
      <w:r w:rsidRPr="00F510E0">
        <w:rPr>
          <w:rFonts w:ascii="Times New Roman" w:hAnsi="Times New Roman"/>
          <w:sz w:val="24"/>
          <w:szCs w:val="24"/>
        </w:rPr>
        <w:t>APRA has assessed the instrument</w:t>
      </w:r>
      <w:r w:rsidR="00F456FD">
        <w:rPr>
          <w:rFonts w:ascii="Times New Roman" w:hAnsi="Times New Roman"/>
          <w:sz w:val="24"/>
          <w:szCs w:val="24"/>
        </w:rPr>
        <w:t>s</w:t>
      </w:r>
      <w:r w:rsidRPr="00F510E0">
        <w:rPr>
          <w:rFonts w:ascii="Times New Roman" w:hAnsi="Times New Roman"/>
          <w:sz w:val="24"/>
          <w:szCs w:val="24"/>
        </w:rPr>
        <w:t xml:space="preserve"> against the international instruments listed in section 3 of the HRPS Act and determined that only Article 17 of the International Covenant on Civil and Political Rights (ICCPR) is conceivably of relevance to </w:t>
      </w:r>
      <w:r w:rsidR="00264B90">
        <w:rPr>
          <w:rFonts w:ascii="Times New Roman" w:hAnsi="Times New Roman"/>
          <w:sz w:val="24"/>
          <w:szCs w:val="24"/>
        </w:rPr>
        <w:t>the instruments</w:t>
      </w:r>
      <w:r w:rsidR="00C02366">
        <w:rPr>
          <w:rFonts w:ascii="Times New Roman" w:hAnsi="Times New Roman"/>
          <w:sz w:val="24"/>
          <w:szCs w:val="24"/>
        </w:rPr>
        <w:t>.</w:t>
      </w:r>
    </w:p>
    <w:p w14:paraId="78D768C6" w14:textId="44C43829" w:rsidR="00610CFB" w:rsidRPr="00F510E0" w:rsidRDefault="00610CFB" w:rsidP="00C02366">
      <w:pPr>
        <w:shd w:val="clear" w:color="auto" w:fill="FFFFFF"/>
        <w:spacing w:after="240"/>
        <w:jc w:val="both"/>
        <w:rPr>
          <w:rFonts w:ascii="Times New Roman" w:hAnsi="Times New Roman"/>
          <w:sz w:val="24"/>
          <w:szCs w:val="24"/>
        </w:rPr>
      </w:pPr>
      <w:r w:rsidRPr="00F510E0">
        <w:rPr>
          <w:rFonts w:ascii="Times New Roman" w:hAnsi="Times New Roman"/>
          <w:sz w:val="24"/>
          <w:szCs w:val="24"/>
        </w:rP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w:t>
      </w:r>
      <w:r w:rsidR="00C02366">
        <w:rPr>
          <w:rFonts w:ascii="Times New Roman" w:hAnsi="Times New Roman"/>
          <w:sz w:val="24"/>
          <w:szCs w:val="24"/>
        </w:rPr>
        <w:t>putation of corporate entities.</w:t>
      </w:r>
    </w:p>
    <w:p w14:paraId="1A1FA128" w14:textId="69F7E5D9" w:rsidR="00C66C00" w:rsidRDefault="00610CFB" w:rsidP="00C02366">
      <w:pPr>
        <w:shd w:val="clear" w:color="auto" w:fill="FFFFFF"/>
        <w:spacing w:after="240"/>
        <w:jc w:val="both"/>
        <w:rPr>
          <w:rFonts w:ascii="Times New Roman" w:hAnsi="Times New Roman"/>
          <w:sz w:val="24"/>
          <w:szCs w:val="24"/>
        </w:rPr>
      </w:pPr>
      <w:r w:rsidRPr="00F510E0">
        <w:rPr>
          <w:rFonts w:ascii="Times New Roman" w:hAnsi="Times New Roman"/>
          <w:sz w:val="24"/>
          <w:szCs w:val="24"/>
        </w:rPr>
        <w:t>Th</w:t>
      </w:r>
      <w:r w:rsidR="00DA6D66">
        <w:rPr>
          <w:rFonts w:ascii="Times New Roman" w:hAnsi="Times New Roman"/>
          <w:sz w:val="24"/>
          <w:szCs w:val="24"/>
        </w:rPr>
        <w:t>e</w:t>
      </w:r>
      <w:r w:rsidRPr="00F510E0">
        <w:rPr>
          <w:rFonts w:ascii="Times New Roman" w:hAnsi="Times New Roman"/>
          <w:sz w:val="24"/>
          <w:szCs w:val="24"/>
        </w:rPr>
        <w:t xml:space="preserve"> instrument</w:t>
      </w:r>
      <w:r w:rsidR="00DA6D66">
        <w:rPr>
          <w:rFonts w:ascii="Times New Roman" w:hAnsi="Times New Roman"/>
          <w:sz w:val="24"/>
          <w:szCs w:val="24"/>
        </w:rPr>
        <w:t>s</w:t>
      </w:r>
      <w:r w:rsidRPr="00F510E0">
        <w:rPr>
          <w:rFonts w:ascii="Times New Roman" w:hAnsi="Times New Roman"/>
          <w:sz w:val="24"/>
          <w:szCs w:val="24"/>
        </w:rPr>
        <w:t xml:space="preserve"> facilitate the </w:t>
      </w:r>
      <w:r w:rsidR="0021596D">
        <w:rPr>
          <w:rFonts w:ascii="Times New Roman" w:hAnsi="Times New Roman"/>
          <w:sz w:val="24"/>
          <w:szCs w:val="24"/>
        </w:rPr>
        <w:t>collection</w:t>
      </w:r>
      <w:r w:rsidR="0021596D" w:rsidRPr="00F510E0">
        <w:rPr>
          <w:rFonts w:ascii="Times New Roman" w:hAnsi="Times New Roman"/>
          <w:sz w:val="24"/>
          <w:szCs w:val="24"/>
        </w:rPr>
        <w:t xml:space="preserve"> </w:t>
      </w:r>
      <w:r w:rsidRPr="00F510E0">
        <w:rPr>
          <w:rFonts w:ascii="Times New Roman" w:hAnsi="Times New Roman"/>
          <w:sz w:val="24"/>
          <w:szCs w:val="24"/>
        </w:rPr>
        <w:t xml:space="preserve">of specific information provided to APRA by ADIs in accordance with </w:t>
      </w:r>
      <w:r w:rsidR="004455DC" w:rsidRPr="00724F0B">
        <w:rPr>
          <w:rFonts w:ascii="Times New Roman" w:hAnsi="Times New Roman"/>
          <w:sz w:val="24"/>
          <w:szCs w:val="24"/>
        </w:rPr>
        <w:t>ARS</w:t>
      </w:r>
      <w:r w:rsidR="00C02366">
        <w:rPr>
          <w:rFonts w:ascii="Times New Roman" w:hAnsi="Times New Roman"/>
          <w:sz w:val="24"/>
          <w:szCs w:val="24"/>
        </w:rPr>
        <w:t> </w:t>
      </w:r>
      <w:r w:rsidR="004455DC" w:rsidRPr="00724F0B">
        <w:rPr>
          <w:rFonts w:ascii="Times New Roman" w:hAnsi="Times New Roman"/>
          <w:sz w:val="24"/>
          <w:szCs w:val="24"/>
        </w:rPr>
        <w:t>222.0 and ARS</w:t>
      </w:r>
      <w:r w:rsidR="00C02366">
        <w:rPr>
          <w:rFonts w:ascii="Times New Roman" w:hAnsi="Times New Roman"/>
          <w:sz w:val="24"/>
          <w:szCs w:val="24"/>
        </w:rPr>
        <w:t> </w:t>
      </w:r>
      <w:r w:rsidR="004455DC" w:rsidRPr="00724F0B">
        <w:rPr>
          <w:rFonts w:ascii="Times New Roman" w:hAnsi="Times New Roman"/>
          <w:sz w:val="24"/>
          <w:szCs w:val="24"/>
        </w:rPr>
        <w:t>222.2</w:t>
      </w:r>
      <w:r w:rsidR="004776F6">
        <w:rPr>
          <w:rFonts w:ascii="Times New Roman" w:hAnsi="Times New Roman"/>
          <w:sz w:val="24"/>
          <w:szCs w:val="24"/>
        </w:rPr>
        <w:t xml:space="preserve">. </w:t>
      </w:r>
      <w:r w:rsidR="00DA6D66" w:rsidRPr="004E6D9E">
        <w:rPr>
          <w:rFonts w:ascii="Times New Roman" w:hAnsi="Times New Roman"/>
          <w:sz w:val="24"/>
          <w:szCs w:val="24"/>
        </w:rPr>
        <w:t>They do</w:t>
      </w:r>
      <w:r w:rsidRPr="004E6D9E">
        <w:rPr>
          <w:rFonts w:ascii="Times New Roman" w:hAnsi="Times New Roman"/>
          <w:sz w:val="24"/>
          <w:szCs w:val="24"/>
        </w:rPr>
        <w:t xml:space="preserve"> not </w:t>
      </w:r>
      <w:r w:rsidR="0021596D">
        <w:rPr>
          <w:rFonts w:ascii="Times New Roman" w:hAnsi="Times New Roman"/>
          <w:sz w:val="24"/>
          <w:szCs w:val="24"/>
        </w:rPr>
        <w:t xml:space="preserve">facilitate </w:t>
      </w:r>
      <w:r w:rsidRPr="004E6D9E">
        <w:rPr>
          <w:rFonts w:ascii="Times New Roman" w:hAnsi="Times New Roman"/>
          <w:sz w:val="24"/>
          <w:szCs w:val="24"/>
        </w:rPr>
        <w:t xml:space="preserve">the </w:t>
      </w:r>
      <w:r w:rsidR="0021596D">
        <w:rPr>
          <w:rFonts w:ascii="Times New Roman" w:hAnsi="Times New Roman"/>
          <w:sz w:val="24"/>
          <w:szCs w:val="24"/>
        </w:rPr>
        <w:t xml:space="preserve">public </w:t>
      </w:r>
      <w:r w:rsidRPr="004E6D9E">
        <w:rPr>
          <w:rFonts w:ascii="Times New Roman" w:hAnsi="Times New Roman"/>
          <w:sz w:val="24"/>
          <w:szCs w:val="24"/>
        </w:rPr>
        <w:t>disclosure of information directly relating to individual persons</w:t>
      </w:r>
      <w:r w:rsidR="0021596D">
        <w:rPr>
          <w:rFonts w:ascii="Times New Roman" w:hAnsi="Times New Roman"/>
          <w:sz w:val="24"/>
          <w:szCs w:val="24"/>
        </w:rPr>
        <w:t xml:space="preserve">. The information that ADIs are required to report to APRA under </w:t>
      </w:r>
      <w:r w:rsidR="004455DC" w:rsidRPr="00724F0B">
        <w:rPr>
          <w:rFonts w:ascii="Times New Roman" w:hAnsi="Times New Roman"/>
          <w:sz w:val="24"/>
          <w:szCs w:val="24"/>
        </w:rPr>
        <w:t>ARS</w:t>
      </w:r>
      <w:r w:rsidR="00C02366">
        <w:rPr>
          <w:rFonts w:ascii="Times New Roman" w:hAnsi="Times New Roman"/>
          <w:sz w:val="24"/>
          <w:szCs w:val="24"/>
        </w:rPr>
        <w:t> </w:t>
      </w:r>
      <w:r w:rsidR="004455DC" w:rsidRPr="00724F0B">
        <w:rPr>
          <w:rFonts w:ascii="Times New Roman" w:hAnsi="Times New Roman"/>
          <w:sz w:val="24"/>
          <w:szCs w:val="24"/>
        </w:rPr>
        <w:t>222.0 and ARS</w:t>
      </w:r>
      <w:r w:rsidR="00C02366">
        <w:rPr>
          <w:rFonts w:ascii="Times New Roman" w:hAnsi="Times New Roman"/>
          <w:sz w:val="24"/>
          <w:szCs w:val="24"/>
        </w:rPr>
        <w:t> </w:t>
      </w:r>
      <w:r w:rsidR="004455DC" w:rsidRPr="00724F0B">
        <w:rPr>
          <w:rFonts w:ascii="Times New Roman" w:hAnsi="Times New Roman"/>
          <w:sz w:val="24"/>
          <w:szCs w:val="24"/>
        </w:rPr>
        <w:t>222.2</w:t>
      </w:r>
      <w:r w:rsidR="004455DC">
        <w:rPr>
          <w:rFonts w:ascii="Times New Roman" w:hAnsi="Times New Roman"/>
          <w:sz w:val="24"/>
          <w:szCs w:val="24"/>
        </w:rPr>
        <w:t xml:space="preserve"> </w:t>
      </w:r>
      <w:r w:rsidR="0021596D">
        <w:rPr>
          <w:rFonts w:ascii="Times New Roman" w:hAnsi="Times New Roman"/>
          <w:sz w:val="24"/>
          <w:szCs w:val="24"/>
        </w:rPr>
        <w:t xml:space="preserve">include information about </w:t>
      </w:r>
      <w:r w:rsidRPr="004E6D9E">
        <w:rPr>
          <w:rFonts w:ascii="Times New Roman" w:hAnsi="Times New Roman"/>
          <w:sz w:val="24"/>
          <w:szCs w:val="24"/>
        </w:rPr>
        <w:t xml:space="preserve">the exposures that an ADI has to individuals </w:t>
      </w:r>
      <w:r w:rsidR="0021596D">
        <w:rPr>
          <w:rFonts w:ascii="Times New Roman" w:hAnsi="Times New Roman"/>
          <w:sz w:val="24"/>
          <w:szCs w:val="24"/>
        </w:rPr>
        <w:t xml:space="preserve">who fall within the definition of a </w:t>
      </w:r>
      <w:r w:rsidR="008E143B">
        <w:rPr>
          <w:rFonts w:ascii="Times New Roman" w:hAnsi="Times New Roman"/>
          <w:sz w:val="24"/>
          <w:szCs w:val="24"/>
        </w:rPr>
        <w:t>‘</w:t>
      </w:r>
      <w:r w:rsidRPr="004E6D9E">
        <w:rPr>
          <w:rFonts w:ascii="Times New Roman" w:hAnsi="Times New Roman"/>
          <w:sz w:val="24"/>
          <w:szCs w:val="24"/>
        </w:rPr>
        <w:t>related entit</w:t>
      </w:r>
      <w:r w:rsidR="0021596D">
        <w:rPr>
          <w:rFonts w:ascii="Times New Roman" w:hAnsi="Times New Roman"/>
          <w:sz w:val="24"/>
          <w:szCs w:val="24"/>
        </w:rPr>
        <w:t>y</w:t>
      </w:r>
      <w:r w:rsidR="008E143B">
        <w:rPr>
          <w:rFonts w:ascii="Times New Roman" w:hAnsi="Times New Roman"/>
          <w:sz w:val="24"/>
          <w:szCs w:val="24"/>
        </w:rPr>
        <w:t>’</w:t>
      </w:r>
      <w:r w:rsidRPr="004E6D9E">
        <w:rPr>
          <w:rFonts w:ascii="Times New Roman" w:hAnsi="Times New Roman"/>
          <w:sz w:val="24"/>
          <w:szCs w:val="24"/>
        </w:rPr>
        <w:t xml:space="preserve">, </w:t>
      </w:r>
      <w:r w:rsidR="0021596D">
        <w:rPr>
          <w:rFonts w:ascii="Times New Roman" w:hAnsi="Times New Roman"/>
          <w:sz w:val="24"/>
          <w:szCs w:val="24"/>
        </w:rPr>
        <w:t xml:space="preserve">such as a director, senior manager or </w:t>
      </w:r>
      <w:r w:rsidRPr="004E6D9E">
        <w:rPr>
          <w:rFonts w:ascii="Times New Roman" w:hAnsi="Times New Roman"/>
          <w:sz w:val="24"/>
          <w:szCs w:val="24"/>
        </w:rPr>
        <w:t xml:space="preserve">substantial shareholder of </w:t>
      </w:r>
      <w:r w:rsidR="0021596D">
        <w:rPr>
          <w:rFonts w:ascii="Times New Roman" w:hAnsi="Times New Roman"/>
          <w:sz w:val="24"/>
          <w:szCs w:val="24"/>
        </w:rPr>
        <w:t xml:space="preserve">the </w:t>
      </w:r>
      <w:r w:rsidRPr="004E6D9E">
        <w:rPr>
          <w:rFonts w:ascii="Times New Roman" w:hAnsi="Times New Roman"/>
          <w:sz w:val="24"/>
          <w:szCs w:val="24"/>
        </w:rPr>
        <w:t>ADI</w:t>
      </w:r>
      <w:r w:rsidR="008E143B">
        <w:rPr>
          <w:rFonts w:ascii="Times New Roman" w:hAnsi="Times New Roman"/>
          <w:sz w:val="24"/>
          <w:szCs w:val="24"/>
        </w:rPr>
        <w:t>, or a ‘step-in risk entity’</w:t>
      </w:r>
      <w:r w:rsidRPr="004E6D9E">
        <w:rPr>
          <w:rFonts w:ascii="Times New Roman" w:hAnsi="Times New Roman"/>
          <w:sz w:val="24"/>
          <w:szCs w:val="24"/>
        </w:rPr>
        <w:t>.</w:t>
      </w:r>
      <w:r w:rsidRPr="00F510E0">
        <w:rPr>
          <w:rFonts w:ascii="Times New Roman" w:hAnsi="Times New Roman"/>
          <w:sz w:val="24"/>
          <w:szCs w:val="24"/>
        </w:rPr>
        <w:t xml:space="preserve"> </w:t>
      </w:r>
      <w:r w:rsidR="009145DF">
        <w:rPr>
          <w:rFonts w:ascii="Times New Roman" w:hAnsi="Times New Roman"/>
          <w:sz w:val="24"/>
          <w:szCs w:val="24"/>
        </w:rPr>
        <w:t xml:space="preserve">This information ultimately supports APRA achieving its mission of ensuring that, under all reasonable circumstances, </w:t>
      </w:r>
      <w:r w:rsidR="009145DF">
        <w:rPr>
          <w:rFonts w:ascii="Times New Roman" w:hAnsi="Times New Roman"/>
          <w:sz w:val="24"/>
          <w:szCs w:val="24"/>
        </w:rPr>
        <w:lastRenderedPageBreak/>
        <w:t>financial promises made by the institutions that APRA supervises are met within a stable, efficient and competitive financial system.</w:t>
      </w:r>
    </w:p>
    <w:p w14:paraId="7ADB757B" w14:textId="43E43012" w:rsidR="00610CFB" w:rsidRPr="00F510E0" w:rsidRDefault="00545F91" w:rsidP="00C02366">
      <w:pPr>
        <w:shd w:val="clear" w:color="auto" w:fill="FFFFFF"/>
        <w:spacing w:after="240"/>
        <w:jc w:val="both"/>
        <w:rPr>
          <w:rFonts w:ascii="Times New Roman" w:hAnsi="Times New Roman"/>
          <w:sz w:val="24"/>
          <w:szCs w:val="24"/>
        </w:rPr>
      </w:pPr>
      <w:r>
        <w:rPr>
          <w:rFonts w:ascii="Times New Roman" w:hAnsi="Times New Roman"/>
          <w:sz w:val="24"/>
          <w:szCs w:val="24"/>
        </w:rPr>
        <w:t xml:space="preserve">APRA does not publish any personal information which it collects. Information provided to APRA under reporting standards is protected information for the purposes of section 56 of the </w:t>
      </w:r>
      <w:r w:rsidRPr="00575541">
        <w:rPr>
          <w:rFonts w:ascii="Times New Roman" w:hAnsi="Times New Roman"/>
          <w:i/>
          <w:sz w:val="24"/>
          <w:szCs w:val="24"/>
        </w:rPr>
        <w:t>Australian Prudential Regulation Authority Act 1998</w:t>
      </w:r>
      <w:r>
        <w:rPr>
          <w:rFonts w:ascii="Times New Roman" w:hAnsi="Times New Roman"/>
          <w:sz w:val="24"/>
          <w:szCs w:val="24"/>
        </w:rPr>
        <w:t xml:space="preserve"> and cannot be disclosed except under a limited range of circumstances provided for under that section. While APRA does publish some protected information collected under reporting standards</w:t>
      </w:r>
      <w:r w:rsidR="00610CFB" w:rsidRPr="00F510E0">
        <w:rPr>
          <w:rFonts w:ascii="Times New Roman" w:hAnsi="Times New Roman"/>
          <w:sz w:val="24"/>
          <w:szCs w:val="24"/>
        </w:rPr>
        <w:t xml:space="preserve">, APRA reviews all releases of data received under reporting standards to ensure that no information pertaining to an individual person can be deduced from </w:t>
      </w:r>
      <w:r>
        <w:rPr>
          <w:rFonts w:ascii="Times New Roman" w:hAnsi="Times New Roman"/>
          <w:sz w:val="24"/>
          <w:szCs w:val="24"/>
        </w:rPr>
        <w:t xml:space="preserve">the </w:t>
      </w:r>
      <w:r w:rsidR="00610CFB" w:rsidRPr="00F510E0">
        <w:rPr>
          <w:rFonts w:ascii="Times New Roman" w:hAnsi="Times New Roman"/>
          <w:sz w:val="24"/>
          <w:szCs w:val="24"/>
        </w:rPr>
        <w:t xml:space="preserve">data.  </w:t>
      </w:r>
    </w:p>
    <w:p w14:paraId="106CB87E" w14:textId="484B837E" w:rsidR="00864003" w:rsidRPr="00F510E0" w:rsidRDefault="00864003" w:rsidP="00C02366">
      <w:pPr>
        <w:shd w:val="clear" w:color="auto" w:fill="FFFFFF"/>
        <w:spacing w:after="240"/>
        <w:jc w:val="both"/>
        <w:rPr>
          <w:rFonts w:ascii="Times New Roman" w:hAnsi="Times New Roman"/>
          <w:b/>
          <w:bCs/>
          <w:sz w:val="24"/>
          <w:szCs w:val="24"/>
        </w:rPr>
      </w:pPr>
      <w:r w:rsidRPr="00F510E0">
        <w:rPr>
          <w:rFonts w:ascii="Times New Roman" w:hAnsi="Times New Roman"/>
          <w:b/>
          <w:bCs/>
          <w:sz w:val="24"/>
          <w:szCs w:val="24"/>
        </w:rPr>
        <w:t>Conclusion</w:t>
      </w:r>
    </w:p>
    <w:p w14:paraId="6E05734B" w14:textId="2192B980" w:rsidR="00864003" w:rsidRPr="00F510E0" w:rsidRDefault="00864003" w:rsidP="00C02366">
      <w:pPr>
        <w:spacing w:after="240"/>
        <w:jc w:val="both"/>
        <w:rPr>
          <w:rFonts w:ascii="Times New Roman" w:hAnsi="Times New Roman"/>
          <w:sz w:val="24"/>
          <w:szCs w:val="24"/>
        </w:rPr>
      </w:pPr>
      <w:r w:rsidRPr="00F510E0">
        <w:rPr>
          <w:rFonts w:ascii="Times New Roman" w:hAnsi="Times New Roman"/>
          <w:sz w:val="24"/>
          <w:szCs w:val="24"/>
        </w:rPr>
        <w:t>The instrument</w:t>
      </w:r>
      <w:r w:rsidR="00FD346B">
        <w:rPr>
          <w:rFonts w:ascii="Times New Roman" w:hAnsi="Times New Roman"/>
          <w:sz w:val="24"/>
          <w:szCs w:val="24"/>
        </w:rPr>
        <w:t>s</w:t>
      </w:r>
      <w:r w:rsidRPr="00F510E0">
        <w:rPr>
          <w:rFonts w:ascii="Times New Roman" w:hAnsi="Times New Roman"/>
          <w:sz w:val="24"/>
          <w:szCs w:val="24"/>
        </w:rPr>
        <w:t xml:space="preserve"> </w:t>
      </w:r>
      <w:r w:rsidR="00FD346B">
        <w:rPr>
          <w:rFonts w:ascii="Times New Roman" w:hAnsi="Times New Roman"/>
          <w:sz w:val="24"/>
          <w:szCs w:val="24"/>
        </w:rPr>
        <w:t>are</w:t>
      </w:r>
      <w:r w:rsidR="00FD346B" w:rsidRPr="00F510E0">
        <w:rPr>
          <w:rFonts w:ascii="Times New Roman" w:hAnsi="Times New Roman"/>
          <w:sz w:val="24"/>
          <w:szCs w:val="24"/>
        </w:rPr>
        <w:t xml:space="preserve"> </w:t>
      </w:r>
      <w:r w:rsidRPr="00F510E0">
        <w:rPr>
          <w:rFonts w:ascii="Times New Roman" w:hAnsi="Times New Roman"/>
          <w:sz w:val="24"/>
          <w:szCs w:val="24"/>
        </w:rPr>
        <w:t xml:space="preserve">compatible with human rights </w:t>
      </w:r>
      <w:r w:rsidR="00083727">
        <w:rPr>
          <w:rFonts w:ascii="Times New Roman" w:hAnsi="Times New Roman"/>
          <w:sz w:val="24"/>
          <w:szCs w:val="24"/>
        </w:rPr>
        <w:t xml:space="preserve">because </w:t>
      </w:r>
      <w:r w:rsidR="00083727" w:rsidRPr="00575541">
        <w:rPr>
          <w:rFonts w:ascii="Times New Roman" w:hAnsi="Times New Roman"/>
          <w:sz w:val="24"/>
          <w:szCs w:val="24"/>
        </w:rPr>
        <w:t>to the extent that ARS</w:t>
      </w:r>
      <w:r w:rsidR="00C02366">
        <w:rPr>
          <w:rFonts w:ascii="Times New Roman" w:hAnsi="Times New Roman"/>
          <w:sz w:val="24"/>
          <w:szCs w:val="24"/>
        </w:rPr>
        <w:t> </w:t>
      </w:r>
      <w:r w:rsidR="00083727" w:rsidRPr="00575541">
        <w:rPr>
          <w:rFonts w:ascii="Times New Roman" w:hAnsi="Times New Roman"/>
          <w:sz w:val="24"/>
          <w:szCs w:val="24"/>
        </w:rPr>
        <w:t>222.0 and ARS</w:t>
      </w:r>
      <w:r w:rsidR="00C02366">
        <w:rPr>
          <w:rFonts w:ascii="Times New Roman" w:hAnsi="Times New Roman"/>
          <w:sz w:val="24"/>
          <w:szCs w:val="24"/>
        </w:rPr>
        <w:t> </w:t>
      </w:r>
      <w:r w:rsidR="00083727" w:rsidRPr="00575541">
        <w:rPr>
          <w:rFonts w:ascii="Times New Roman" w:hAnsi="Times New Roman"/>
          <w:sz w:val="24"/>
          <w:szCs w:val="24"/>
        </w:rPr>
        <w:t>222.2 limit human rights, those limitations are reasonable, necessary and proportionate</w:t>
      </w:r>
      <w:r w:rsidR="00083727">
        <w:rPr>
          <w:rFonts w:ascii="Times New Roman" w:hAnsi="Times New Roman"/>
          <w:sz w:val="24"/>
          <w:szCs w:val="24"/>
        </w:rPr>
        <w:t>.</w:t>
      </w:r>
    </w:p>
    <w:sectPr w:rsidR="00864003" w:rsidRPr="00F510E0" w:rsidSect="003D5032">
      <w:footerReference w:type="default" r:id="rId16"/>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255E" w14:textId="77777777" w:rsidR="00E66223" w:rsidRDefault="00E66223" w:rsidP="001A2234">
      <w:r>
        <w:separator/>
      </w:r>
    </w:p>
  </w:endnote>
  <w:endnote w:type="continuationSeparator" w:id="0">
    <w:p w14:paraId="2E45F5C4" w14:textId="77777777" w:rsidR="00E66223" w:rsidRDefault="00E66223" w:rsidP="001A2234">
      <w:r>
        <w:continuationSeparator/>
      </w:r>
    </w:p>
  </w:endnote>
  <w:endnote w:type="continuationNotice" w:id="1">
    <w:p w14:paraId="7ECCE1AA" w14:textId="77777777" w:rsidR="00E66223" w:rsidRDefault="00E6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altName w:val="MV Boli"/>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E66223" w:rsidRPr="001A2234" w:rsidRDefault="00E66223"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333AAB">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E66223" w:rsidRDefault="00E6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065B8" w14:textId="77777777" w:rsidR="00E66223" w:rsidRDefault="00E66223" w:rsidP="001A2234">
      <w:r>
        <w:separator/>
      </w:r>
    </w:p>
  </w:footnote>
  <w:footnote w:type="continuationSeparator" w:id="0">
    <w:p w14:paraId="044EAF35" w14:textId="77777777" w:rsidR="00E66223" w:rsidRDefault="00E66223" w:rsidP="001A2234">
      <w:r>
        <w:continuationSeparator/>
      </w:r>
    </w:p>
  </w:footnote>
  <w:footnote w:type="continuationNotice" w:id="1">
    <w:p w14:paraId="0AD2BFEE" w14:textId="77777777" w:rsidR="00E66223" w:rsidRDefault="00E66223"/>
  </w:footnote>
  <w:footnote w:id="2">
    <w:p w14:paraId="0E61F89B" w14:textId="77777777" w:rsidR="00E66223" w:rsidRPr="00511825" w:rsidRDefault="00E66223" w:rsidP="00305A9C">
      <w:pPr>
        <w:pStyle w:val="FootnoteText"/>
        <w:rPr>
          <w:rFonts w:ascii="Times New Roman" w:hAnsi="Times New Roman"/>
        </w:rPr>
      </w:pPr>
      <w:r w:rsidRPr="00511825">
        <w:rPr>
          <w:rStyle w:val="FootnoteReference"/>
          <w:rFonts w:ascii="Times New Roman" w:hAnsi="Times New Roman"/>
        </w:rPr>
        <w:footnoteRef/>
      </w:r>
      <w:r w:rsidRPr="00511825">
        <w:rPr>
          <w:rFonts w:ascii="Times New Roman" w:hAnsi="Times New Roman"/>
        </w:rPr>
        <w:t xml:space="preserve"> </w:t>
      </w:r>
      <w:hyperlink r:id="rId1" w:history="1">
        <w:r w:rsidRPr="00511825">
          <w:rPr>
            <w:rStyle w:val="Hyperlink"/>
            <w:rFonts w:ascii="Times New Roman" w:hAnsi="Times New Roman"/>
          </w:rPr>
          <w:t>https://www.iso.org/iso-3166-country-codes.html</w:t>
        </w:r>
      </w:hyperlink>
      <w:r w:rsidRPr="0051182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4"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2"/>
  </w:num>
  <w:num w:numId="5">
    <w:abstractNumId w:val="3"/>
  </w:num>
  <w:num w:numId="6">
    <w:abstractNumId w:val="1"/>
  </w:num>
  <w:num w:numId="7">
    <w:abstractNumId w:val="5"/>
  </w:num>
  <w:num w:numId="8">
    <w:abstractNumId w:val="4"/>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10A0B"/>
    <w:rsid w:val="000401FC"/>
    <w:rsid w:val="00074CEB"/>
    <w:rsid w:val="00076618"/>
    <w:rsid w:val="00083727"/>
    <w:rsid w:val="0008681E"/>
    <w:rsid w:val="000B14BD"/>
    <w:rsid w:val="000D3451"/>
    <w:rsid w:val="000D76DC"/>
    <w:rsid w:val="000E0FF5"/>
    <w:rsid w:val="000E15E6"/>
    <w:rsid w:val="000E369C"/>
    <w:rsid w:val="000E3A02"/>
    <w:rsid w:val="001062E7"/>
    <w:rsid w:val="00113307"/>
    <w:rsid w:val="0011393A"/>
    <w:rsid w:val="00117D61"/>
    <w:rsid w:val="00122C95"/>
    <w:rsid w:val="00126870"/>
    <w:rsid w:val="00132748"/>
    <w:rsid w:val="00134D2D"/>
    <w:rsid w:val="00137F0E"/>
    <w:rsid w:val="00142358"/>
    <w:rsid w:val="00143FBB"/>
    <w:rsid w:val="00156332"/>
    <w:rsid w:val="00157FF6"/>
    <w:rsid w:val="00162333"/>
    <w:rsid w:val="0016436B"/>
    <w:rsid w:val="0016652D"/>
    <w:rsid w:val="00182FA1"/>
    <w:rsid w:val="0018346E"/>
    <w:rsid w:val="00191481"/>
    <w:rsid w:val="00194899"/>
    <w:rsid w:val="001A075E"/>
    <w:rsid w:val="001A2234"/>
    <w:rsid w:val="001A2ADB"/>
    <w:rsid w:val="001B2A41"/>
    <w:rsid w:val="001C2D20"/>
    <w:rsid w:val="001C310E"/>
    <w:rsid w:val="001C463B"/>
    <w:rsid w:val="001E4FD3"/>
    <w:rsid w:val="0021596D"/>
    <w:rsid w:val="002436BD"/>
    <w:rsid w:val="00245634"/>
    <w:rsid w:val="00246723"/>
    <w:rsid w:val="00264B90"/>
    <w:rsid w:val="00267087"/>
    <w:rsid w:val="00275936"/>
    <w:rsid w:val="00281F8F"/>
    <w:rsid w:val="00285923"/>
    <w:rsid w:val="00291EEA"/>
    <w:rsid w:val="002A0F07"/>
    <w:rsid w:val="002A5F5F"/>
    <w:rsid w:val="002A73BD"/>
    <w:rsid w:val="002B526C"/>
    <w:rsid w:val="002B5971"/>
    <w:rsid w:val="002C0701"/>
    <w:rsid w:val="002C2806"/>
    <w:rsid w:val="002D4BAF"/>
    <w:rsid w:val="002D7C33"/>
    <w:rsid w:val="002F123D"/>
    <w:rsid w:val="002F70A2"/>
    <w:rsid w:val="00300EEF"/>
    <w:rsid w:val="003015DA"/>
    <w:rsid w:val="0030506B"/>
    <w:rsid w:val="00305648"/>
    <w:rsid w:val="00305A9C"/>
    <w:rsid w:val="00305E5F"/>
    <w:rsid w:val="00310CF8"/>
    <w:rsid w:val="00333AAB"/>
    <w:rsid w:val="00343D8A"/>
    <w:rsid w:val="003509F8"/>
    <w:rsid w:val="00354CB8"/>
    <w:rsid w:val="00380068"/>
    <w:rsid w:val="00382846"/>
    <w:rsid w:val="003843DB"/>
    <w:rsid w:val="00384D39"/>
    <w:rsid w:val="003866AD"/>
    <w:rsid w:val="003977AE"/>
    <w:rsid w:val="003A52A5"/>
    <w:rsid w:val="003B1BE0"/>
    <w:rsid w:val="003D5032"/>
    <w:rsid w:val="003E4F75"/>
    <w:rsid w:val="003E74CF"/>
    <w:rsid w:val="003F7007"/>
    <w:rsid w:val="003F712D"/>
    <w:rsid w:val="0040175E"/>
    <w:rsid w:val="004139D9"/>
    <w:rsid w:val="00420DB0"/>
    <w:rsid w:val="00422164"/>
    <w:rsid w:val="00425D5C"/>
    <w:rsid w:val="004275FF"/>
    <w:rsid w:val="00427A88"/>
    <w:rsid w:val="00434568"/>
    <w:rsid w:val="00435131"/>
    <w:rsid w:val="00443A02"/>
    <w:rsid w:val="004455DC"/>
    <w:rsid w:val="00453D3C"/>
    <w:rsid w:val="00456BE0"/>
    <w:rsid w:val="00464570"/>
    <w:rsid w:val="00473A51"/>
    <w:rsid w:val="004776F6"/>
    <w:rsid w:val="00482857"/>
    <w:rsid w:val="00482F85"/>
    <w:rsid w:val="00491310"/>
    <w:rsid w:val="004A14E0"/>
    <w:rsid w:val="004A707E"/>
    <w:rsid w:val="004C3D07"/>
    <w:rsid w:val="004E2008"/>
    <w:rsid w:val="004E5201"/>
    <w:rsid w:val="004E6D9E"/>
    <w:rsid w:val="004F2954"/>
    <w:rsid w:val="004F70BE"/>
    <w:rsid w:val="005002DD"/>
    <w:rsid w:val="00511825"/>
    <w:rsid w:val="00514AE1"/>
    <w:rsid w:val="005152C0"/>
    <w:rsid w:val="0051575B"/>
    <w:rsid w:val="005373BC"/>
    <w:rsid w:val="00540092"/>
    <w:rsid w:val="00541A8B"/>
    <w:rsid w:val="00545F91"/>
    <w:rsid w:val="005502D1"/>
    <w:rsid w:val="00552287"/>
    <w:rsid w:val="005568DD"/>
    <w:rsid w:val="00556D12"/>
    <w:rsid w:val="0056141D"/>
    <w:rsid w:val="00561601"/>
    <w:rsid w:val="005666AB"/>
    <w:rsid w:val="00566B0B"/>
    <w:rsid w:val="005711FF"/>
    <w:rsid w:val="00575541"/>
    <w:rsid w:val="00583F21"/>
    <w:rsid w:val="00585BF8"/>
    <w:rsid w:val="00590F40"/>
    <w:rsid w:val="005A51DD"/>
    <w:rsid w:val="005C33BD"/>
    <w:rsid w:val="005D4287"/>
    <w:rsid w:val="005E5910"/>
    <w:rsid w:val="00610CFB"/>
    <w:rsid w:val="006142AE"/>
    <w:rsid w:val="00616B20"/>
    <w:rsid w:val="006202A3"/>
    <w:rsid w:val="00622480"/>
    <w:rsid w:val="00631116"/>
    <w:rsid w:val="00635169"/>
    <w:rsid w:val="006432C1"/>
    <w:rsid w:val="00644CBA"/>
    <w:rsid w:val="00647D58"/>
    <w:rsid w:val="00652745"/>
    <w:rsid w:val="006544E1"/>
    <w:rsid w:val="00657678"/>
    <w:rsid w:val="00666614"/>
    <w:rsid w:val="00682865"/>
    <w:rsid w:val="00684900"/>
    <w:rsid w:val="00684F73"/>
    <w:rsid w:val="006A43F1"/>
    <w:rsid w:val="006B093F"/>
    <w:rsid w:val="006B0B74"/>
    <w:rsid w:val="006B4B39"/>
    <w:rsid w:val="006C591F"/>
    <w:rsid w:val="006C59B9"/>
    <w:rsid w:val="006D6CB4"/>
    <w:rsid w:val="006E7887"/>
    <w:rsid w:val="006F1C44"/>
    <w:rsid w:val="007031F4"/>
    <w:rsid w:val="007049CF"/>
    <w:rsid w:val="00707277"/>
    <w:rsid w:val="00724F0B"/>
    <w:rsid w:val="00730E49"/>
    <w:rsid w:val="007368AD"/>
    <w:rsid w:val="00736D41"/>
    <w:rsid w:val="00736D9A"/>
    <w:rsid w:val="007428D4"/>
    <w:rsid w:val="007430E5"/>
    <w:rsid w:val="00745C6F"/>
    <w:rsid w:val="00747AFF"/>
    <w:rsid w:val="00756284"/>
    <w:rsid w:val="00766B3D"/>
    <w:rsid w:val="0077361A"/>
    <w:rsid w:val="00781232"/>
    <w:rsid w:val="00781AE3"/>
    <w:rsid w:val="0078519B"/>
    <w:rsid w:val="00785CDC"/>
    <w:rsid w:val="0079175F"/>
    <w:rsid w:val="00792DAE"/>
    <w:rsid w:val="00796D9A"/>
    <w:rsid w:val="007A1CC7"/>
    <w:rsid w:val="007C2298"/>
    <w:rsid w:val="007D0BEE"/>
    <w:rsid w:val="007D39FD"/>
    <w:rsid w:val="007D3E28"/>
    <w:rsid w:val="007E4B2A"/>
    <w:rsid w:val="007F59E2"/>
    <w:rsid w:val="007F7D4A"/>
    <w:rsid w:val="0080080F"/>
    <w:rsid w:val="00802197"/>
    <w:rsid w:val="008134E4"/>
    <w:rsid w:val="00830F66"/>
    <w:rsid w:val="008317DE"/>
    <w:rsid w:val="00832289"/>
    <w:rsid w:val="0083316F"/>
    <w:rsid w:val="00834123"/>
    <w:rsid w:val="00834676"/>
    <w:rsid w:val="00835BD9"/>
    <w:rsid w:val="00852EAD"/>
    <w:rsid w:val="00862488"/>
    <w:rsid w:val="00864003"/>
    <w:rsid w:val="00871E54"/>
    <w:rsid w:val="00890C79"/>
    <w:rsid w:val="00892D63"/>
    <w:rsid w:val="00895DAC"/>
    <w:rsid w:val="008A33CD"/>
    <w:rsid w:val="008B659C"/>
    <w:rsid w:val="008E00D9"/>
    <w:rsid w:val="008E143B"/>
    <w:rsid w:val="008E2E3D"/>
    <w:rsid w:val="008F2233"/>
    <w:rsid w:val="008F275E"/>
    <w:rsid w:val="00901D3C"/>
    <w:rsid w:val="00902344"/>
    <w:rsid w:val="009145DF"/>
    <w:rsid w:val="00922FBC"/>
    <w:rsid w:val="00923688"/>
    <w:rsid w:val="009320C4"/>
    <w:rsid w:val="00932EFA"/>
    <w:rsid w:val="009356BF"/>
    <w:rsid w:val="009626AB"/>
    <w:rsid w:val="009660F6"/>
    <w:rsid w:val="00967D16"/>
    <w:rsid w:val="009817EA"/>
    <w:rsid w:val="00981D3A"/>
    <w:rsid w:val="00987321"/>
    <w:rsid w:val="009B67A8"/>
    <w:rsid w:val="009C5368"/>
    <w:rsid w:val="009D708F"/>
    <w:rsid w:val="00A03FD1"/>
    <w:rsid w:val="00A279AF"/>
    <w:rsid w:val="00A31F71"/>
    <w:rsid w:val="00A342FA"/>
    <w:rsid w:val="00A36726"/>
    <w:rsid w:val="00A37C12"/>
    <w:rsid w:val="00A4133B"/>
    <w:rsid w:val="00A42365"/>
    <w:rsid w:val="00A63A2B"/>
    <w:rsid w:val="00A642D7"/>
    <w:rsid w:val="00A66D48"/>
    <w:rsid w:val="00A672CD"/>
    <w:rsid w:val="00A70688"/>
    <w:rsid w:val="00A8208F"/>
    <w:rsid w:val="00AA5522"/>
    <w:rsid w:val="00AB2CA3"/>
    <w:rsid w:val="00AC2517"/>
    <w:rsid w:val="00AC7A56"/>
    <w:rsid w:val="00AD1E70"/>
    <w:rsid w:val="00AD6628"/>
    <w:rsid w:val="00B02803"/>
    <w:rsid w:val="00B02D82"/>
    <w:rsid w:val="00B04B20"/>
    <w:rsid w:val="00B059A1"/>
    <w:rsid w:val="00B124FA"/>
    <w:rsid w:val="00B16668"/>
    <w:rsid w:val="00B46DC7"/>
    <w:rsid w:val="00B50C89"/>
    <w:rsid w:val="00B52DDA"/>
    <w:rsid w:val="00B64B2E"/>
    <w:rsid w:val="00B71EB5"/>
    <w:rsid w:val="00B731B6"/>
    <w:rsid w:val="00B754DC"/>
    <w:rsid w:val="00B85B6E"/>
    <w:rsid w:val="00B91992"/>
    <w:rsid w:val="00B93BFF"/>
    <w:rsid w:val="00B963BE"/>
    <w:rsid w:val="00BA5EB2"/>
    <w:rsid w:val="00BA7DA6"/>
    <w:rsid w:val="00BB1678"/>
    <w:rsid w:val="00BB7224"/>
    <w:rsid w:val="00BC1783"/>
    <w:rsid w:val="00BC2EEA"/>
    <w:rsid w:val="00BC3E7D"/>
    <w:rsid w:val="00BC609E"/>
    <w:rsid w:val="00BC6E15"/>
    <w:rsid w:val="00BD3D55"/>
    <w:rsid w:val="00BD6360"/>
    <w:rsid w:val="00BD66B1"/>
    <w:rsid w:val="00BE578F"/>
    <w:rsid w:val="00BF2953"/>
    <w:rsid w:val="00C02366"/>
    <w:rsid w:val="00C0368E"/>
    <w:rsid w:val="00C1702B"/>
    <w:rsid w:val="00C26A22"/>
    <w:rsid w:val="00C302FA"/>
    <w:rsid w:val="00C3072D"/>
    <w:rsid w:val="00C3178E"/>
    <w:rsid w:val="00C3292D"/>
    <w:rsid w:val="00C33045"/>
    <w:rsid w:val="00C41639"/>
    <w:rsid w:val="00C4681D"/>
    <w:rsid w:val="00C66C00"/>
    <w:rsid w:val="00C755BD"/>
    <w:rsid w:val="00C80B16"/>
    <w:rsid w:val="00C83956"/>
    <w:rsid w:val="00C948AA"/>
    <w:rsid w:val="00CA33DC"/>
    <w:rsid w:val="00CA6CB3"/>
    <w:rsid w:val="00CB0977"/>
    <w:rsid w:val="00CB0F92"/>
    <w:rsid w:val="00CB384A"/>
    <w:rsid w:val="00CB4C18"/>
    <w:rsid w:val="00CB6262"/>
    <w:rsid w:val="00CC0F76"/>
    <w:rsid w:val="00CC37BF"/>
    <w:rsid w:val="00CD1947"/>
    <w:rsid w:val="00CE3EF2"/>
    <w:rsid w:val="00D119F5"/>
    <w:rsid w:val="00D228AE"/>
    <w:rsid w:val="00D3484E"/>
    <w:rsid w:val="00D36C7E"/>
    <w:rsid w:val="00D36F73"/>
    <w:rsid w:val="00D50699"/>
    <w:rsid w:val="00D51C9B"/>
    <w:rsid w:val="00D605BC"/>
    <w:rsid w:val="00D61C83"/>
    <w:rsid w:val="00D64906"/>
    <w:rsid w:val="00D74DC3"/>
    <w:rsid w:val="00D81A80"/>
    <w:rsid w:val="00D83531"/>
    <w:rsid w:val="00D87E36"/>
    <w:rsid w:val="00D912B0"/>
    <w:rsid w:val="00D937D6"/>
    <w:rsid w:val="00DA3D1A"/>
    <w:rsid w:val="00DA6D66"/>
    <w:rsid w:val="00DB0979"/>
    <w:rsid w:val="00DB2009"/>
    <w:rsid w:val="00DB2B8C"/>
    <w:rsid w:val="00DC198B"/>
    <w:rsid w:val="00DD2E63"/>
    <w:rsid w:val="00DD3580"/>
    <w:rsid w:val="00DE183E"/>
    <w:rsid w:val="00DF3D38"/>
    <w:rsid w:val="00DF524E"/>
    <w:rsid w:val="00E013A9"/>
    <w:rsid w:val="00E14C55"/>
    <w:rsid w:val="00E15497"/>
    <w:rsid w:val="00E154A3"/>
    <w:rsid w:val="00E158B2"/>
    <w:rsid w:val="00E16789"/>
    <w:rsid w:val="00E201A8"/>
    <w:rsid w:val="00E241B7"/>
    <w:rsid w:val="00E3334F"/>
    <w:rsid w:val="00E3435D"/>
    <w:rsid w:val="00E4750A"/>
    <w:rsid w:val="00E52DFE"/>
    <w:rsid w:val="00E53788"/>
    <w:rsid w:val="00E56C5E"/>
    <w:rsid w:val="00E61B19"/>
    <w:rsid w:val="00E62E09"/>
    <w:rsid w:val="00E66223"/>
    <w:rsid w:val="00E71180"/>
    <w:rsid w:val="00E72515"/>
    <w:rsid w:val="00E90C89"/>
    <w:rsid w:val="00E91BF6"/>
    <w:rsid w:val="00EB3130"/>
    <w:rsid w:val="00EB42E3"/>
    <w:rsid w:val="00EC5653"/>
    <w:rsid w:val="00EC5FA9"/>
    <w:rsid w:val="00EE01F2"/>
    <w:rsid w:val="00EE3647"/>
    <w:rsid w:val="00F1353F"/>
    <w:rsid w:val="00F372EB"/>
    <w:rsid w:val="00F436BC"/>
    <w:rsid w:val="00F456FD"/>
    <w:rsid w:val="00F510E0"/>
    <w:rsid w:val="00F57F16"/>
    <w:rsid w:val="00F70B8C"/>
    <w:rsid w:val="00F71CD3"/>
    <w:rsid w:val="00F7706D"/>
    <w:rsid w:val="00F950EB"/>
    <w:rsid w:val="00FA5345"/>
    <w:rsid w:val="00FC3FC5"/>
    <w:rsid w:val="00FC6BE4"/>
    <w:rsid w:val="00FD346B"/>
    <w:rsid w:val="00FE44FC"/>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so.org/obp/ui/"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earch.gleif.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o.org/iso-3166-country-cod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109</Value>
      <Value>26</Value>
      <Value>136</Value>
      <Value>24</Value>
      <Value>134</Value>
      <Value>58</Value>
      <Value>19</Value>
      <Value>93</Value>
      <Value>10</Value>
      <Value>234</Value>
      <Value>158</Value>
      <Value>83</Value>
      <Value>229</Value>
      <Value>4</Value>
      <Value>185</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11 and 12 of 2020</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5JENXJJSCC7A-445999044-11378</_dlc_DocId>
    <_dlc_DocIdUrl xmlns="814d62cb-2db6-4c25-ab62-b9075facbc11">
      <Url>https://im/teams/LEGAL/_layouts/15/DocIdRedir.aspx?ID=5JENXJJSCC7A-445999044-11378</Url>
      <Description>5JENXJJSCC7A-445999044-11378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E0B5-57C2-4781-900D-667EC70EB54A}">
  <ds:schemaRefs>
    <ds:schemaRef ds:uri="http://schemas.microsoft.com/office/2006/documentManagement/types"/>
    <ds:schemaRef ds:uri="814d62cb-2db6-4c25-ab62-b9075facbc11"/>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3.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4.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5.xml><?xml version="1.0" encoding="utf-8"?>
<ds:datastoreItem xmlns:ds="http://schemas.openxmlformats.org/officeDocument/2006/customXml" ds:itemID="{E147BCA8-6A5A-4691-A5F7-9D80C955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C52D46-6CDB-48CF-A449-0F1130CD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1</TotalTime>
  <Pages>7</Pages>
  <Words>2394</Words>
  <Characters>13383</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ES - ARS 222.0 and ARS 222.2</vt:lpstr>
    </vt:vector>
  </TitlesOfParts>
  <Company>APRA</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Financial Sector (Collection of Data) (reporting standard) determination No. 11 and 12 of 2020</dc:title>
  <dc:creator>Sullivan, David</dc:creator>
  <cp:keywords>[SEC=OFFICIAL]</cp:keywords>
  <cp:lastModifiedBy>Michalis, Toni</cp:lastModifiedBy>
  <cp:revision>2</cp:revision>
  <cp:lastPrinted>2019-11-29T01:09:00Z</cp:lastPrinted>
  <dcterms:created xsi:type="dcterms:W3CDTF">2020-12-08T23:17:00Z</dcterms:created>
  <dcterms:modified xsi:type="dcterms:W3CDTF">2020-12-08T23:17:00Z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D4FB29A9FEEB90F536F6C77B07F3244E19F944E4</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2020-12-08T23:16:52Z</vt:lpwstr>
  </property>
  <property fmtid="{D5CDD505-2E9C-101B-9397-08002B2CF9AE}" pid="17" name="PM_Hash_Version">
    <vt:lpwstr>2018.0</vt:lpwstr>
  </property>
  <property fmtid="{D5CDD505-2E9C-101B-9397-08002B2CF9AE}" pid="18" name="PM_Hash_Salt_Prev">
    <vt:lpwstr>5B828229CA0E390BE41532B3E4F61E16</vt:lpwstr>
  </property>
  <property fmtid="{D5CDD505-2E9C-101B-9397-08002B2CF9AE}" pid="19" name="PM_Hash_Salt">
    <vt:lpwstr>D87A88A82143FAF278F8EC5E7ABE45D1</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Life|56f18b50-6605-4f3f-97e3-cad1cb5394e0;#134;#Legal - Superannuation|cce3181d-fd23-4eee-94d3-c66abc2350cf;#4;#Legal - Resolution ＆ Corporate|696624b1-19f4-47b2-a07b-57868a922a96</vt:lpwstr>
  </property>
  <property fmtid="{D5CDD505-2E9C-101B-9397-08002B2CF9AE}" pid="24" name="APRAYear">
    <vt:lpwstr>229;#2020|29ca90e3-c619-4296-b1bf-6e33e4d24a28</vt:lpwstr>
  </property>
  <property fmtid="{D5CDD505-2E9C-101B-9397-08002B2CF9AE}" pid="25" name="APRAIndustry">
    <vt:lpwstr/>
  </property>
  <property fmtid="{D5CDD505-2E9C-101B-9397-08002B2CF9AE}" pid="26" name="APRAPRSG">
    <vt:lpwstr/>
  </property>
  <property fmtid="{D5CDD505-2E9C-101B-9397-08002B2CF9AE}" pid="27" name="_dlc_DocIdItemGuid">
    <vt:lpwstr>a8da804a-92d5-4caa-a923-c28efbd10129</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185;#Precedent|197f51c4-dc37-4f46-99ec-cabda449ee10;#58;#Legal instrument|71fd6ed3-d6d6-4975-ba99-bfe45802e734;#234;#Explanatory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136;#Prudential policy development|4cf81ba0-32a2-4f8f-8216-9e632903331b;#10;#Registration|390476ce-d76d-4e8d-905f-28e32d2df127;#109;#Statutory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{a8da804a-92d5-4caa-a923-c28efbd10129}</vt:lpwstr>
  </property>
  <property fmtid="{D5CDD505-2E9C-101B-9397-08002B2CF9AE}" pid="43" name="RecordPoint_RecordNumberSubmitted">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RecordPoint_SubmissionCompleted">
    <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_docset_NoMedatataSyncRequired">
    <vt:lpwstr>False</vt:lpwstr>
  </property>
</Properties>
</file>