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F240F2" w:rsidRDefault="00FA6784" w:rsidP="00FA6784">
      <w:pPr>
        <w:pStyle w:val="H3"/>
        <w:jc w:val="center"/>
        <w:rPr>
          <w:sz w:val="24"/>
          <w:szCs w:val="24"/>
        </w:rPr>
      </w:pPr>
      <w:bookmarkStart w:id="0" w:name="_GoBack"/>
      <w:bookmarkEnd w:id="0"/>
      <w:r w:rsidRPr="00F240F2">
        <w:rPr>
          <w:sz w:val="24"/>
          <w:szCs w:val="24"/>
        </w:rPr>
        <w:t>EXPLANATORY STATEMENT</w:t>
      </w:r>
    </w:p>
    <w:p w14:paraId="2412D122" w14:textId="18553286" w:rsidR="00FA6784" w:rsidRPr="00F240F2" w:rsidRDefault="00FA6784" w:rsidP="00945D58">
      <w:pPr>
        <w:rPr>
          <w:i/>
          <w:iCs/>
          <w:sz w:val="20"/>
        </w:rPr>
      </w:pPr>
    </w:p>
    <w:p w14:paraId="2412D123" w14:textId="77777777" w:rsidR="00FA6784" w:rsidRPr="00F240F2" w:rsidRDefault="00FA6784" w:rsidP="00FA6784">
      <w:pPr>
        <w:jc w:val="center"/>
        <w:rPr>
          <w:i/>
          <w:iCs/>
        </w:rPr>
      </w:pPr>
      <w:r w:rsidRPr="00F240F2">
        <w:rPr>
          <w:i/>
          <w:iCs/>
        </w:rPr>
        <w:t>Health Insurance Act 1973</w:t>
      </w:r>
    </w:p>
    <w:p w14:paraId="2412D124" w14:textId="77777777" w:rsidR="00A1739A" w:rsidRPr="00F240F2" w:rsidRDefault="00A1739A" w:rsidP="00A1739A">
      <w:pPr>
        <w:rPr>
          <w:szCs w:val="24"/>
          <w:u w:val="single"/>
        </w:rPr>
      </w:pPr>
    </w:p>
    <w:p w14:paraId="052E97C1" w14:textId="7E4D9FA2" w:rsidR="00164A69" w:rsidRPr="00F240F2" w:rsidRDefault="00945D58" w:rsidP="00945D5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color w:val="000000" w:themeColor="text1"/>
        </w:rPr>
      </w:pPr>
      <w:r w:rsidRPr="00F240F2">
        <w:rPr>
          <w:i/>
          <w:iCs/>
          <w:color w:val="000000" w:themeColor="text1"/>
        </w:rPr>
        <w:t xml:space="preserve">Health Insurance (Section 3C </w:t>
      </w:r>
      <w:r w:rsidR="00ED751C">
        <w:rPr>
          <w:i/>
          <w:iCs/>
          <w:color w:val="000000" w:themeColor="text1"/>
        </w:rPr>
        <w:t xml:space="preserve">Diagnostic Imaging </w:t>
      </w:r>
      <w:r w:rsidRPr="00F240F2">
        <w:rPr>
          <w:i/>
          <w:iCs/>
          <w:color w:val="000000" w:themeColor="text1"/>
        </w:rPr>
        <w:t xml:space="preserve">– </w:t>
      </w:r>
      <w:r w:rsidR="00ED751C">
        <w:rPr>
          <w:i/>
          <w:iCs/>
          <w:color w:val="000000" w:themeColor="text1"/>
        </w:rPr>
        <w:t xml:space="preserve">Nuclear </w:t>
      </w:r>
      <w:r w:rsidR="006A6490">
        <w:rPr>
          <w:i/>
          <w:iCs/>
          <w:color w:val="000000" w:themeColor="text1"/>
        </w:rPr>
        <w:t>Medicine</w:t>
      </w:r>
      <w:r w:rsidR="00ED751C">
        <w:rPr>
          <w:i/>
          <w:iCs/>
          <w:color w:val="000000" w:themeColor="text1"/>
        </w:rPr>
        <w:t xml:space="preserve"> Services</w:t>
      </w:r>
      <w:r w:rsidRPr="00F240F2">
        <w:rPr>
          <w:i/>
          <w:iCs/>
          <w:color w:val="000000" w:themeColor="text1"/>
        </w:rPr>
        <w:t>) Amendment Determination 2020</w:t>
      </w:r>
    </w:p>
    <w:p w14:paraId="1683493E" w14:textId="77777777" w:rsidR="00945D58" w:rsidRPr="00F240F2" w:rsidRDefault="00945D58" w:rsidP="00945D5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themeColor="text1"/>
          <w:shd w:val="clear" w:color="auto" w:fill="FFFFFF"/>
        </w:rPr>
      </w:pPr>
    </w:p>
    <w:p w14:paraId="30CCE728" w14:textId="3477CA04" w:rsidR="00164A69" w:rsidRPr="00F240F2"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F240F2">
        <w:rPr>
          <w:color w:val="000000"/>
          <w:shd w:val="clear" w:color="auto" w:fill="FFFFFF"/>
        </w:rPr>
        <w:t xml:space="preserve">Subsection 3C(1) of the </w:t>
      </w:r>
      <w:r w:rsidRPr="00F240F2">
        <w:rPr>
          <w:i/>
          <w:color w:val="000000"/>
          <w:shd w:val="clear" w:color="auto" w:fill="FFFFFF"/>
        </w:rPr>
        <w:t>Health Insurance Act 1973</w:t>
      </w:r>
      <w:r w:rsidRPr="00F240F2">
        <w:rPr>
          <w:color w:val="000000"/>
          <w:shd w:val="clear" w:color="auto" w:fill="FFFFFF"/>
        </w:rPr>
        <w:t xml:space="preserve"> (the Act) </w:t>
      </w:r>
      <w:r w:rsidR="00477C74" w:rsidRPr="00F240F2">
        <w:rPr>
          <w:color w:val="000000"/>
          <w:shd w:val="clear" w:color="auto" w:fill="FFFFFF"/>
        </w:rPr>
        <w:t>provide</w:t>
      </w:r>
      <w:r w:rsidR="002E5708" w:rsidRPr="00F240F2">
        <w:rPr>
          <w:color w:val="000000"/>
          <w:shd w:val="clear" w:color="auto" w:fill="FFFFFF"/>
        </w:rPr>
        <w:t>s</w:t>
      </w:r>
      <w:r w:rsidR="00477C74" w:rsidRPr="00F240F2">
        <w:rPr>
          <w:color w:val="000000"/>
          <w:shd w:val="clear" w:color="auto" w:fill="FFFFFF"/>
        </w:rPr>
        <w:t xml:space="preserve"> that</w:t>
      </w:r>
      <w:r w:rsidRPr="00F240F2">
        <w:rPr>
          <w:color w:val="000000"/>
          <w:shd w:val="clear" w:color="auto" w:fill="FFFFFF"/>
        </w:rPr>
        <w:t xml:space="preserve"> the Minister </w:t>
      </w:r>
      <w:r w:rsidR="00477C74" w:rsidRPr="00F240F2">
        <w:rPr>
          <w:color w:val="000000"/>
          <w:shd w:val="clear" w:color="auto" w:fill="FFFFFF"/>
        </w:rPr>
        <w:t>may</w:t>
      </w:r>
      <w:r w:rsidRPr="00F240F2">
        <w:rPr>
          <w:color w:val="000000"/>
          <w:shd w:val="clear" w:color="auto" w:fill="FFFFFF"/>
        </w:rPr>
        <w:t xml:space="preserve">, by legislative instrument, determine that a health service not specified in an item in the </w:t>
      </w:r>
      <w:r w:rsidR="00945D58" w:rsidRPr="00F240F2">
        <w:rPr>
          <w:color w:val="000000"/>
          <w:shd w:val="clear" w:color="auto" w:fill="FFFFFF"/>
        </w:rPr>
        <w:t xml:space="preserve">general </w:t>
      </w:r>
      <w:r w:rsidR="00ED751C">
        <w:rPr>
          <w:color w:val="000000"/>
          <w:shd w:val="clear" w:color="auto" w:fill="FFFFFF"/>
        </w:rPr>
        <w:t>diagnostic imaging service</w:t>
      </w:r>
      <w:r w:rsidRPr="00F240F2">
        <w:rPr>
          <w:color w:val="000000"/>
          <w:shd w:val="clear" w:color="auto" w:fill="FFFFFF"/>
        </w:rPr>
        <w:t xml:space="preserve"> table </w:t>
      </w:r>
      <w:r w:rsidR="00D01D5A" w:rsidRPr="00F240F2">
        <w:rPr>
          <w:color w:val="000000"/>
          <w:shd w:val="clear" w:color="auto" w:fill="FFFFFF"/>
        </w:rPr>
        <w:t xml:space="preserve">(the Table) </w:t>
      </w:r>
      <w:r w:rsidRPr="00F240F2">
        <w:rPr>
          <w:color w:val="000000"/>
          <w:shd w:val="clear" w:color="auto" w:fill="FFFFFF"/>
        </w:rPr>
        <w:t xml:space="preserve">shall, in specified circumstances and for specified statutory provisions, be treated as if it were specified in the </w:t>
      </w:r>
      <w:r w:rsidR="00D01D5A" w:rsidRPr="00F240F2">
        <w:rPr>
          <w:color w:val="000000"/>
          <w:shd w:val="clear" w:color="auto" w:fill="FFFFFF"/>
        </w:rPr>
        <w:t xml:space="preserve">Table. </w:t>
      </w:r>
      <w:r w:rsidRPr="00F240F2">
        <w:rPr>
          <w:color w:val="FF0000"/>
          <w:shd w:val="clear" w:color="auto" w:fill="FFFFFF"/>
        </w:rPr>
        <w:t xml:space="preserve">  </w:t>
      </w:r>
    </w:p>
    <w:p w14:paraId="7DB18649" w14:textId="77777777" w:rsidR="00841EDA" w:rsidRPr="00F240F2"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65AD5BF5" w:rsidR="00050623" w:rsidRPr="00F240F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F240F2">
        <w:t xml:space="preserve">The </w:t>
      </w:r>
      <w:r w:rsidR="00D01D5A" w:rsidRPr="00F240F2">
        <w:t>Table</w:t>
      </w:r>
      <w:r w:rsidRPr="00F240F2">
        <w:t xml:space="preserve"> is set out in the regulations made under subsection </w:t>
      </w:r>
      <w:proofErr w:type="gramStart"/>
      <w:r w:rsidRPr="00F240F2">
        <w:t>4</w:t>
      </w:r>
      <w:r w:rsidR="00ED751C">
        <w:t>AA</w:t>
      </w:r>
      <w:r w:rsidRPr="00F240F2">
        <w:t>(</w:t>
      </w:r>
      <w:proofErr w:type="gramEnd"/>
      <w:r w:rsidRPr="00F240F2">
        <w:t>1) of the Act</w:t>
      </w:r>
      <w:r w:rsidR="00945D58" w:rsidRPr="00F240F2">
        <w:t>.</w:t>
      </w:r>
      <w:r w:rsidRPr="00F240F2">
        <w:rPr>
          <w:color w:val="FF0000"/>
        </w:rPr>
        <w:t xml:space="preserve"> </w:t>
      </w:r>
    </w:p>
    <w:p w14:paraId="2E6FE463" w14:textId="77777777" w:rsidR="00050623" w:rsidRPr="00F240F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F240F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F240F2">
        <w:t xml:space="preserve">This instrument relies on subsection 33(3) of the </w:t>
      </w:r>
      <w:r w:rsidRPr="00F240F2">
        <w:rPr>
          <w:i/>
        </w:rPr>
        <w:t>Acts Interpretation Act 1901</w:t>
      </w:r>
      <w:r w:rsidRPr="00F240F2">
        <w:t xml:space="preserve"> (AIA).  Subsection 33(3) of the AIA</w:t>
      </w:r>
      <w:r w:rsidRPr="00F240F2">
        <w:rPr>
          <w:i/>
        </w:rPr>
        <w:t xml:space="preserve"> </w:t>
      </w:r>
      <w:r w:rsidRPr="00F240F2">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F240F2" w:rsidRDefault="008C5F1C" w:rsidP="00D33180">
      <w:pPr>
        <w:autoSpaceDE w:val="0"/>
        <w:autoSpaceDN w:val="0"/>
        <w:adjustRightInd w:val="0"/>
        <w:ind w:right="-483"/>
        <w:rPr>
          <w:szCs w:val="24"/>
        </w:rPr>
      </w:pPr>
    </w:p>
    <w:p w14:paraId="2412D12A" w14:textId="77777777" w:rsidR="00BB00BA" w:rsidRPr="00F240F2" w:rsidRDefault="00A1739A" w:rsidP="00BB00BA">
      <w:pPr>
        <w:rPr>
          <w:b/>
          <w:szCs w:val="24"/>
          <w:lang w:val="en-US" w:eastAsia="en-US"/>
        </w:rPr>
      </w:pPr>
      <w:r w:rsidRPr="00F240F2">
        <w:rPr>
          <w:b/>
          <w:szCs w:val="24"/>
          <w:lang w:val="en-US" w:eastAsia="en-US"/>
        </w:rPr>
        <w:t>Purpose</w:t>
      </w:r>
    </w:p>
    <w:p w14:paraId="571423DD" w14:textId="1AE6AC63" w:rsidR="00ED751C" w:rsidRDefault="00DC4609" w:rsidP="00ED751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F240F2">
        <w:rPr>
          <w:color w:val="000000" w:themeColor="text1"/>
          <w:szCs w:val="24"/>
        </w:rPr>
        <w:t>The purpose of the</w:t>
      </w:r>
      <w:r w:rsidRPr="00F240F2">
        <w:rPr>
          <w:color w:val="000000" w:themeColor="text1"/>
        </w:rPr>
        <w:t xml:space="preserve"> </w:t>
      </w:r>
      <w:r w:rsidR="00ED751C" w:rsidRPr="00F240F2">
        <w:rPr>
          <w:i/>
          <w:iCs/>
          <w:color w:val="000000" w:themeColor="text1"/>
        </w:rPr>
        <w:t xml:space="preserve">Health Insurance (Section 3C </w:t>
      </w:r>
      <w:r w:rsidR="00ED751C">
        <w:rPr>
          <w:i/>
          <w:iCs/>
          <w:color w:val="000000" w:themeColor="text1"/>
        </w:rPr>
        <w:t xml:space="preserve">Diagnostic Imaging </w:t>
      </w:r>
      <w:r w:rsidR="00ED751C" w:rsidRPr="00F240F2">
        <w:rPr>
          <w:i/>
          <w:iCs/>
          <w:color w:val="000000" w:themeColor="text1"/>
        </w:rPr>
        <w:t xml:space="preserve">– </w:t>
      </w:r>
      <w:r w:rsidR="00ED751C">
        <w:rPr>
          <w:i/>
          <w:iCs/>
          <w:color w:val="000000" w:themeColor="text1"/>
        </w:rPr>
        <w:t xml:space="preserve">Nuclear </w:t>
      </w:r>
      <w:r w:rsidR="006A6490">
        <w:rPr>
          <w:i/>
          <w:iCs/>
          <w:color w:val="000000" w:themeColor="text1"/>
        </w:rPr>
        <w:t>Medicine</w:t>
      </w:r>
      <w:r w:rsidR="00ED751C">
        <w:rPr>
          <w:i/>
          <w:iCs/>
          <w:color w:val="000000" w:themeColor="text1"/>
        </w:rPr>
        <w:t xml:space="preserve"> Services</w:t>
      </w:r>
      <w:r w:rsidR="00ED751C" w:rsidRPr="00F240F2">
        <w:rPr>
          <w:i/>
          <w:iCs/>
          <w:color w:val="000000" w:themeColor="text1"/>
        </w:rPr>
        <w:t>) Amendment Determination 2020</w:t>
      </w:r>
      <w:r w:rsidR="00ED751C">
        <w:rPr>
          <w:i/>
          <w:iCs/>
          <w:color w:val="000000" w:themeColor="text1"/>
        </w:rPr>
        <w:t xml:space="preserve"> </w:t>
      </w:r>
      <w:r w:rsidR="00ED751C">
        <w:rPr>
          <w:iCs/>
          <w:color w:val="000000" w:themeColor="text1"/>
        </w:rPr>
        <w:t xml:space="preserve">(the Amendment Determination) is to allow patients access </w:t>
      </w:r>
      <w:r w:rsidR="00181EBB">
        <w:rPr>
          <w:iCs/>
          <w:color w:val="000000" w:themeColor="text1"/>
        </w:rPr>
        <w:t xml:space="preserve">to </w:t>
      </w:r>
      <w:r w:rsidR="008273DD">
        <w:rPr>
          <w:iCs/>
          <w:color w:val="000000" w:themeColor="text1"/>
        </w:rPr>
        <w:t xml:space="preserve">substitute </w:t>
      </w:r>
      <w:r w:rsidR="00ED751C" w:rsidRPr="00ED751C">
        <w:rPr>
          <w:iCs/>
          <w:color w:val="000000" w:themeColor="text1"/>
        </w:rPr>
        <w:t xml:space="preserve">nuclear medicine </w:t>
      </w:r>
      <w:r w:rsidR="008273DD">
        <w:rPr>
          <w:iCs/>
          <w:color w:val="000000" w:themeColor="text1"/>
        </w:rPr>
        <w:t xml:space="preserve">items under </w:t>
      </w:r>
      <w:r w:rsidR="00ED751C" w:rsidRPr="00ED751C">
        <w:rPr>
          <w:iCs/>
          <w:color w:val="000000" w:themeColor="text1"/>
        </w:rPr>
        <w:t xml:space="preserve">the Medicare Benefits Schedule (MBS) during a </w:t>
      </w:r>
      <w:r w:rsidR="005A39BB">
        <w:rPr>
          <w:iCs/>
          <w:color w:val="000000" w:themeColor="text1"/>
        </w:rPr>
        <w:t>disruption</w:t>
      </w:r>
      <w:r w:rsidR="00ED751C" w:rsidRPr="00ED751C">
        <w:rPr>
          <w:iCs/>
          <w:color w:val="000000" w:themeColor="text1"/>
        </w:rPr>
        <w:t xml:space="preserve"> in </w:t>
      </w:r>
      <w:r w:rsidR="00F74FCF">
        <w:rPr>
          <w:iCs/>
          <w:color w:val="000000" w:themeColor="text1"/>
        </w:rPr>
        <w:t xml:space="preserve">the </w:t>
      </w:r>
      <w:r w:rsidR="00ED751C" w:rsidRPr="00ED751C">
        <w:rPr>
          <w:iCs/>
          <w:color w:val="000000" w:themeColor="text1"/>
        </w:rPr>
        <w:t xml:space="preserve">supply of </w:t>
      </w:r>
      <w:r w:rsidR="005A39BB">
        <w:rPr>
          <w:iCs/>
          <w:color w:val="000000" w:themeColor="text1"/>
        </w:rPr>
        <w:t xml:space="preserve">certain </w:t>
      </w:r>
      <w:r w:rsidR="00ED751C" w:rsidRPr="00ED751C">
        <w:rPr>
          <w:iCs/>
          <w:color w:val="000000" w:themeColor="text1"/>
        </w:rPr>
        <w:t>radiopharmaceuticals</w:t>
      </w:r>
      <w:r w:rsidR="00ED751C">
        <w:rPr>
          <w:iCs/>
          <w:color w:val="000000" w:themeColor="text1"/>
        </w:rPr>
        <w:t>.</w:t>
      </w:r>
    </w:p>
    <w:p w14:paraId="42A84D06" w14:textId="5D2F6916" w:rsidR="00ED751C" w:rsidRDefault="00ED751C" w:rsidP="00ED751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p>
    <w:p w14:paraId="7EDF67D3" w14:textId="48452FE6" w:rsidR="008273DD" w:rsidRDefault="008273DD" w:rsidP="00ED751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Pr>
          <w:iCs/>
          <w:color w:val="000000" w:themeColor="text1"/>
        </w:rPr>
        <w:t xml:space="preserve">On 14 September 2019, </w:t>
      </w:r>
      <w:r w:rsidR="005A39BB">
        <w:rPr>
          <w:iCs/>
          <w:color w:val="000000" w:themeColor="text1"/>
        </w:rPr>
        <w:t xml:space="preserve">substitute </w:t>
      </w:r>
      <w:r>
        <w:rPr>
          <w:iCs/>
          <w:color w:val="000000" w:themeColor="text1"/>
        </w:rPr>
        <w:t xml:space="preserve">nuclear medicine items were introduced to allow patients continued access to certain </w:t>
      </w:r>
      <w:r w:rsidRPr="008273DD">
        <w:rPr>
          <w:iCs/>
          <w:color w:val="000000" w:themeColor="text1"/>
        </w:rPr>
        <w:t>nuclear medicine services</w:t>
      </w:r>
      <w:r>
        <w:rPr>
          <w:iCs/>
          <w:color w:val="000000" w:themeColor="text1"/>
        </w:rPr>
        <w:t xml:space="preserve"> </w:t>
      </w:r>
      <w:r w:rsidRPr="008273DD">
        <w:rPr>
          <w:iCs/>
          <w:color w:val="000000" w:themeColor="text1"/>
        </w:rPr>
        <w:t xml:space="preserve">during a </w:t>
      </w:r>
      <w:r w:rsidR="005A39BB">
        <w:rPr>
          <w:iCs/>
          <w:color w:val="000000" w:themeColor="text1"/>
        </w:rPr>
        <w:t xml:space="preserve">disruption in the </w:t>
      </w:r>
      <w:r w:rsidRPr="008273DD">
        <w:rPr>
          <w:iCs/>
          <w:color w:val="000000" w:themeColor="text1"/>
        </w:rPr>
        <w:t>supply of radiopharmaceuticals</w:t>
      </w:r>
      <w:r w:rsidR="005A39BB">
        <w:rPr>
          <w:iCs/>
          <w:color w:val="000000" w:themeColor="text1"/>
        </w:rPr>
        <w:t xml:space="preserve"> resulting in shortages</w:t>
      </w:r>
      <w:r w:rsidR="006A6490">
        <w:rPr>
          <w:iCs/>
          <w:color w:val="000000" w:themeColor="text1"/>
        </w:rPr>
        <w:t xml:space="preserve">. </w:t>
      </w:r>
      <w:r w:rsidR="00181EBB">
        <w:rPr>
          <w:iCs/>
          <w:color w:val="000000" w:themeColor="text1"/>
        </w:rPr>
        <w:t xml:space="preserve">Following the introduction of these items, the supply of </w:t>
      </w:r>
      <w:r w:rsidR="00181EBB" w:rsidRPr="00181EBB">
        <w:rPr>
          <w:iCs/>
          <w:color w:val="000000" w:themeColor="text1"/>
        </w:rPr>
        <w:t>nuclear medicine isotopes stabilised</w:t>
      </w:r>
      <w:r w:rsidR="00181EBB">
        <w:rPr>
          <w:iCs/>
          <w:color w:val="000000" w:themeColor="text1"/>
        </w:rPr>
        <w:t xml:space="preserve"> and as there was no longer a need for these services, the substitute items were suspended on </w:t>
      </w:r>
      <w:r w:rsidR="00F74FCF">
        <w:rPr>
          <w:iCs/>
          <w:color w:val="000000" w:themeColor="text1"/>
        </w:rPr>
        <w:br/>
      </w:r>
      <w:r w:rsidR="00181EBB">
        <w:rPr>
          <w:iCs/>
          <w:color w:val="000000" w:themeColor="text1"/>
        </w:rPr>
        <w:t>20 December 2019.</w:t>
      </w:r>
      <w:r w:rsidR="00E34EAC">
        <w:rPr>
          <w:iCs/>
          <w:color w:val="000000" w:themeColor="text1"/>
        </w:rPr>
        <w:t xml:space="preserve"> The substitute nuclear medicine </w:t>
      </w:r>
      <w:r w:rsidR="006A6490">
        <w:rPr>
          <w:iCs/>
          <w:color w:val="000000" w:themeColor="text1"/>
        </w:rPr>
        <w:t xml:space="preserve">items are listed in the </w:t>
      </w:r>
      <w:r w:rsidR="006A6490" w:rsidRPr="006A6490">
        <w:rPr>
          <w:i/>
          <w:iCs/>
          <w:color w:val="000000" w:themeColor="text1"/>
        </w:rPr>
        <w:t>Health Insurance (Section 3C Diagnostic Imaging – Nuclear Medicine Services) Determination 2019</w:t>
      </w:r>
      <w:r w:rsidR="006A6490">
        <w:rPr>
          <w:iCs/>
          <w:color w:val="000000" w:themeColor="text1"/>
        </w:rPr>
        <w:t xml:space="preserve"> (the Principal Determination).</w:t>
      </w:r>
    </w:p>
    <w:p w14:paraId="43616981" w14:textId="36187043" w:rsidR="00181EBB" w:rsidRDefault="00181EBB" w:rsidP="00ED751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p>
    <w:p w14:paraId="6BA1F83E" w14:textId="34926D60" w:rsidR="00C75EEF" w:rsidRDefault="00181EBB" w:rsidP="00ED751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Pr>
          <w:iCs/>
          <w:color w:val="000000" w:themeColor="text1"/>
        </w:rPr>
        <w:t xml:space="preserve">The Amendment Determination </w:t>
      </w:r>
      <w:r w:rsidR="006A6490">
        <w:rPr>
          <w:iCs/>
          <w:color w:val="000000" w:themeColor="text1"/>
        </w:rPr>
        <w:t xml:space="preserve">will amend the Principal Determination to </w:t>
      </w:r>
      <w:r>
        <w:rPr>
          <w:iCs/>
          <w:color w:val="000000" w:themeColor="text1"/>
        </w:rPr>
        <w:t xml:space="preserve">reinstate the substitute items </w:t>
      </w:r>
      <w:r w:rsidRPr="00CB12CF">
        <w:rPr>
          <w:iCs/>
          <w:color w:val="000000" w:themeColor="text1"/>
        </w:rPr>
        <w:t xml:space="preserve">from </w:t>
      </w:r>
      <w:r w:rsidR="000F7E00" w:rsidRPr="00CB12CF">
        <w:rPr>
          <w:iCs/>
          <w:color w:val="000000" w:themeColor="text1"/>
        </w:rPr>
        <w:t>1 December</w:t>
      </w:r>
      <w:r w:rsidRPr="00CB12CF">
        <w:rPr>
          <w:iCs/>
          <w:color w:val="000000" w:themeColor="text1"/>
        </w:rPr>
        <w:t xml:space="preserve"> 2020</w:t>
      </w:r>
      <w:r w:rsidR="00A40A3B" w:rsidRPr="00CB12CF">
        <w:rPr>
          <w:iCs/>
          <w:color w:val="000000" w:themeColor="text1"/>
        </w:rPr>
        <w:t xml:space="preserve"> </w:t>
      </w:r>
      <w:r w:rsidR="00C75EEF" w:rsidRPr="00CB12CF">
        <w:rPr>
          <w:iCs/>
          <w:color w:val="000000" w:themeColor="text1"/>
        </w:rPr>
        <w:t>until 28 February 2021</w:t>
      </w:r>
      <w:r w:rsidR="00E60F96" w:rsidRPr="00CB12CF">
        <w:rPr>
          <w:iCs/>
          <w:color w:val="000000" w:themeColor="text1"/>
        </w:rPr>
        <w:t>.</w:t>
      </w:r>
      <w:r w:rsidR="003D1C43" w:rsidRPr="00CB12CF">
        <w:rPr>
          <w:iCs/>
          <w:color w:val="000000" w:themeColor="text1"/>
        </w:rPr>
        <w:t xml:space="preserve"> </w:t>
      </w:r>
      <w:r w:rsidR="00A40A3B" w:rsidRPr="00CB12CF">
        <w:rPr>
          <w:iCs/>
          <w:color w:val="000000" w:themeColor="text1"/>
        </w:rPr>
        <w:t>I</w:t>
      </w:r>
      <w:r w:rsidR="00C75EEF" w:rsidRPr="00CB12CF">
        <w:rPr>
          <w:iCs/>
          <w:color w:val="000000" w:themeColor="text1"/>
        </w:rPr>
        <w:t>f the supply of</w:t>
      </w:r>
      <w:r w:rsidR="00C75EEF" w:rsidRPr="00C75EEF">
        <w:rPr>
          <w:iCs/>
          <w:color w:val="000000" w:themeColor="text1"/>
        </w:rPr>
        <w:t xml:space="preserve"> nuclear medicine isotopes </w:t>
      </w:r>
      <w:r w:rsidR="00C75EEF">
        <w:rPr>
          <w:iCs/>
          <w:color w:val="000000" w:themeColor="text1"/>
        </w:rPr>
        <w:t>stabilise</w:t>
      </w:r>
      <w:r w:rsidR="0038731F">
        <w:rPr>
          <w:iCs/>
          <w:color w:val="000000" w:themeColor="text1"/>
        </w:rPr>
        <w:t>s</w:t>
      </w:r>
      <w:r w:rsidR="00C75EEF">
        <w:rPr>
          <w:iCs/>
          <w:color w:val="000000" w:themeColor="text1"/>
        </w:rPr>
        <w:t xml:space="preserve"> </w:t>
      </w:r>
      <w:r w:rsidR="00653119">
        <w:rPr>
          <w:iCs/>
          <w:color w:val="000000" w:themeColor="text1"/>
        </w:rPr>
        <w:t>earlier</w:t>
      </w:r>
      <w:r w:rsidR="0038731F">
        <w:rPr>
          <w:iCs/>
          <w:color w:val="000000" w:themeColor="text1"/>
        </w:rPr>
        <w:t>,</w:t>
      </w:r>
      <w:r w:rsidR="00A40A3B">
        <w:rPr>
          <w:iCs/>
          <w:color w:val="000000" w:themeColor="text1"/>
        </w:rPr>
        <w:t xml:space="preserve"> then this date </w:t>
      </w:r>
      <w:r w:rsidR="00653119">
        <w:rPr>
          <w:iCs/>
          <w:color w:val="000000" w:themeColor="text1"/>
        </w:rPr>
        <w:t>will</w:t>
      </w:r>
      <w:r w:rsidR="00A40A3B">
        <w:rPr>
          <w:iCs/>
          <w:color w:val="000000" w:themeColor="text1"/>
        </w:rPr>
        <w:t xml:space="preserve"> be bought forward</w:t>
      </w:r>
      <w:r w:rsidR="00653119">
        <w:rPr>
          <w:iCs/>
          <w:color w:val="000000" w:themeColor="text1"/>
        </w:rPr>
        <w:t xml:space="preserve">. Alternatively </w:t>
      </w:r>
      <w:r w:rsidR="00A40A3B">
        <w:rPr>
          <w:iCs/>
          <w:color w:val="000000" w:themeColor="text1"/>
        </w:rPr>
        <w:t>it</w:t>
      </w:r>
      <w:r w:rsidR="001E6C5A">
        <w:rPr>
          <w:iCs/>
          <w:color w:val="000000" w:themeColor="text1"/>
        </w:rPr>
        <w:t xml:space="preserve"> </w:t>
      </w:r>
      <w:r w:rsidR="00C75EEF">
        <w:rPr>
          <w:iCs/>
          <w:color w:val="000000" w:themeColor="text1"/>
        </w:rPr>
        <w:t xml:space="preserve">can be extended if </w:t>
      </w:r>
      <w:r w:rsidR="00653119">
        <w:rPr>
          <w:iCs/>
          <w:color w:val="000000" w:themeColor="text1"/>
        </w:rPr>
        <w:t>supply is not stabilise</w:t>
      </w:r>
      <w:r w:rsidR="0038731F">
        <w:rPr>
          <w:iCs/>
          <w:color w:val="000000" w:themeColor="text1"/>
        </w:rPr>
        <w:t>d</w:t>
      </w:r>
      <w:r w:rsidR="00653119">
        <w:rPr>
          <w:iCs/>
          <w:color w:val="000000" w:themeColor="text1"/>
        </w:rPr>
        <w:t>.</w:t>
      </w:r>
    </w:p>
    <w:p w14:paraId="7E3E471D" w14:textId="77777777" w:rsidR="00C75EEF" w:rsidRDefault="00C75EEF" w:rsidP="00ED751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p>
    <w:p w14:paraId="629777C7" w14:textId="20BF129B" w:rsidR="00181EBB" w:rsidRDefault="002F1003" w:rsidP="00ED751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Pr>
          <w:iCs/>
          <w:color w:val="000000" w:themeColor="text1"/>
        </w:rPr>
        <w:t>The Amendment Determination will also amend existing substitute items (61311 and 61332) and will introduce five new substitute items (</w:t>
      </w:r>
      <w:r w:rsidR="00C75EEF">
        <w:rPr>
          <w:iCs/>
          <w:color w:val="000000" w:themeColor="text1"/>
        </w:rPr>
        <w:t>61365, 61377, 61380, 61418 and 61422</w:t>
      </w:r>
      <w:r>
        <w:rPr>
          <w:iCs/>
          <w:color w:val="000000" w:themeColor="text1"/>
        </w:rPr>
        <w:t>) to align with changes</w:t>
      </w:r>
      <w:r w:rsidR="00C150D5">
        <w:rPr>
          <w:iCs/>
          <w:color w:val="000000" w:themeColor="text1"/>
        </w:rPr>
        <w:t xml:space="preserve"> made</w:t>
      </w:r>
      <w:r>
        <w:rPr>
          <w:iCs/>
          <w:color w:val="000000" w:themeColor="text1"/>
        </w:rPr>
        <w:t xml:space="preserve"> to cardiac services</w:t>
      </w:r>
      <w:r w:rsidR="00C150D5">
        <w:rPr>
          <w:iCs/>
          <w:color w:val="000000" w:themeColor="text1"/>
        </w:rPr>
        <w:t xml:space="preserve"> on 1 August 2020</w:t>
      </w:r>
      <w:r w:rsidR="0038731F">
        <w:rPr>
          <w:iCs/>
          <w:color w:val="000000" w:themeColor="text1"/>
        </w:rPr>
        <w:t xml:space="preserve"> and </w:t>
      </w:r>
      <w:r w:rsidR="0038731F">
        <w:rPr>
          <w:iCs/>
          <w:color w:val="000000" w:themeColor="text1"/>
        </w:rPr>
        <w:br/>
      </w:r>
      <w:r w:rsidR="0038731F">
        <w:rPr>
          <w:iCs/>
          <w:color w:val="000000" w:themeColor="text1"/>
        </w:rPr>
        <w:lastRenderedPageBreak/>
        <w:t>15 September 2020</w:t>
      </w:r>
      <w:r>
        <w:rPr>
          <w:iCs/>
          <w:color w:val="000000" w:themeColor="text1"/>
        </w:rPr>
        <w:t xml:space="preserve">. </w:t>
      </w:r>
      <w:r w:rsidR="00181EBB">
        <w:rPr>
          <w:iCs/>
          <w:color w:val="000000" w:themeColor="text1"/>
        </w:rPr>
        <w:t xml:space="preserve">This will ensure </w:t>
      </w:r>
      <w:r w:rsidR="00653119">
        <w:rPr>
          <w:iCs/>
          <w:color w:val="000000" w:themeColor="text1"/>
        </w:rPr>
        <w:t xml:space="preserve">that </w:t>
      </w:r>
      <w:r w:rsidR="00181EBB">
        <w:rPr>
          <w:iCs/>
          <w:color w:val="000000" w:themeColor="text1"/>
        </w:rPr>
        <w:t xml:space="preserve">patients are able to access </w:t>
      </w:r>
      <w:r>
        <w:rPr>
          <w:iCs/>
          <w:color w:val="000000" w:themeColor="text1"/>
        </w:rPr>
        <w:t xml:space="preserve">appropriate </w:t>
      </w:r>
      <w:r w:rsidR="00181EBB">
        <w:rPr>
          <w:iCs/>
          <w:color w:val="000000" w:themeColor="text1"/>
        </w:rPr>
        <w:t xml:space="preserve">nuclear medicine items during the </w:t>
      </w:r>
      <w:r w:rsidR="00E60F96">
        <w:rPr>
          <w:iCs/>
          <w:color w:val="000000" w:themeColor="text1"/>
        </w:rPr>
        <w:t xml:space="preserve">current </w:t>
      </w:r>
      <w:r w:rsidR="00181EBB" w:rsidRPr="00181EBB">
        <w:rPr>
          <w:iCs/>
          <w:color w:val="000000" w:themeColor="text1"/>
        </w:rPr>
        <w:t>shortage of nuclear medicine isotopes</w:t>
      </w:r>
      <w:r w:rsidR="00181EBB">
        <w:rPr>
          <w:iCs/>
          <w:color w:val="000000" w:themeColor="text1"/>
        </w:rPr>
        <w:t>.</w:t>
      </w:r>
    </w:p>
    <w:p w14:paraId="35791B26" w14:textId="77777777" w:rsidR="00C75EEF" w:rsidRDefault="00C75EEF">
      <w:pPr>
        <w:spacing w:after="200" w:line="276" w:lineRule="auto"/>
        <w:rPr>
          <w:b/>
        </w:rPr>
      </w:pPr>
      <w:r>
        <w:rPr>
          <w:b/>
        </w:rPr>
        <w:br w:type="page"/>
      </w:r>
    </w:p>
    <w:p w14:paraId="77E835B2" w14:textId="1C9FB1EA" w:rsidR="00693A3E" w:rsidRPr="00F240F2" w:rsidRDefault="00A1739A" w:rsidP="00693A3E">
      <w:pPr>
        <w:shd w:val="clear" w:color="auto" w:fill="FFFFFF"/>
        <w:spacing w:before="100" w:beforeAutospacing="1"/>
        <w:rPr>
          <w:b/>
        </w:rPr>
      </w:pPr>
      <w:r w:rsidRPr="00F240F2">
        <w:rPr>
          <w:b/>
        </w:rPr>
        <w:lastRenderedPageBreak/>
        <w:t>Consultation</w:t>
      </w:r>
    </w:p>
    <w:p w14:paraId="1022421F" w14:textId="7DA47C58" w:rsidR="00181EBB" w:rsidRDefault="00181EBB" w:rsidP="00693A3E">
      <w:pPr>
        <w:shd w:val="clear" w:color="auto" w:fill="FFFFFF"/>
      </w:pPr>
      <w:r w:rsidRPr="00181EBB">
        <w:t>The Australasian Association of Nuclear Medicine Specialists (AANMS), the Royal Australian and New Zealand College of Radiologists (RANZCR) and the Australian Diagnostic Imaging Association (ADIA) were consulted in the development of the temporary items</w:t>
      </w:r>
      <w:r>
        <w:t>.</w:t>
      </w:r>
      <w:r w:rsidR="003855DF">
        <w:t xml:space="preserve"> These peak bodies were consulted on in relation to the reinstatement of the substitute nuclear medicine items.</w:t>
      </w:r>
    </w:p>
    <w:p w14:paraId="256ACAFC" w14:textId="1EA69E78" w:rsidR="00181EBB" w:rsidRDefault="00181EBB" w:rsidP="00693A3E">
      <w:pPr>
        <w:shd w:val="clear" w:color="auto" w:fill="FFFFFF"/>
      </w:pPr>
    </w:p>
    <w:p w14:paraId="2412D134" w14:textId="6A15222B" w:rsidR="00967E51" w:rsidRPr="00F240F2" w:rsidRDefault="00A1739A" w:rsidP="000337CB">
      <w:pPr>
        <w:rPr>
          <w:szCs w:val="24"/>
        </w:rPr>
      </w:pPr>
      <w:r w:rsidRPr="00F240F2">
        <w:rPr>
          <w:szCs w:val="24"/>
        </w:rPr>
        <w:t xml:space="preserve">Details of the </w:t>
      </w:r>
      <w:r w:rsidR="0002752C" w:rsidRPr="00F240F2">
        <w:rPr>
          <w:szCs w:val="24"/>
        </w:rPr>
        <w:t xml:space="preserve">Amendment </w:t>
      </w:r>
      <w:r w:rsidR="00574E71" w:rsidRPr="00F240F2">
        <w:rPr>
          <w:szCs w:val="24"/>
        </w:rPr>
        <w:t>Determination</w:t>
      </w:r>
      <w:r w:rsidRPr="00F240F2">
        <w:rPr>
          <w:szCs w:val="24"/>
        </w:rPr>
        <w:t xml:space="preserve"> are set out in the </w:t>
      </w:r>
      <w:r w:rsidRPr="00F240F2">
        <w:rPr>
          <w:szCs w:val="24"/>
          <w:u w:val="single"/>
        </w:rPr>
        <w:t>Attachment</w:t>
      </w:r>
      <w:r w:rsidRPr="00F240F2">
        <w:rPr>
          <w:szCs w:val="24"/>
        </w:rPr>
        <w:t>.</w:t>
      </w:r>
    </w:p>
    <w:p w14:paraId="2412D135" w14:textId="5DDADEE8" w:rsidR="006C138D" w:rsidRPr="00F240F2" w:rsidRDefault="00297AD0" w:rsidP="006C138D">
      <w:pPr>
        <w:tabs>
          <w:tab w:val="left" w:pos="567"/>
        </w:tabs>
        <w:spacing w:before="240"/>
        <w:rPr>
          <w:szCs w:val="24"/>
        </w:rPr>
      </w:pPr>
      <w:r w:rsidRPr="00F240F2">
        <w:rPr>
          <w:szCs w:val="24"/>
        </w:rPr>
        <w:t xml:space="preserve">The </w:t>
      </w:r>
      <w:r w:rsidR="0002752C" w:rsidRPr="00F240F2">
        <w:rPr>
          <w:szCs w:val="24"/>
        </w:rPr>
        <w:t xml:space="preserve">Amendment </w:t>
      </w:r>
      <w:r w:rsidR="00967E51" w:rsidRPr="00F240F2">
        <w:rPr>
          <w:szCs w:val="24"/>
        </w:rPr>
        <w:t>Determination</w:t>
      </w:r>
      <w:r w:rsidRPr="00F240F2">
        <w:rPr>
          <w:szCs w:val="24"/>
        </w:rPr>
        <w:t xml:space="preserve"> </w:t>
      </w:r>
      <w:r w:rsidR="007524B0" w:rsidRPr="00F240F2">
        <w:rPr>
          <w:szCs w:val="24"/>
        </w:rPr>
        <w:t xml:space="preserve">commences </w:t>
      </w:r>
      <w:r w:rsidR="00181EBB">
        <w:rPr>
          <w:szCs w:val="24"/>
        </w:rPr>
        <w:t xml:space="preserve">immediately after registration. </w:t>
      </w:r>
    </w:p>
    <w:p w14:paraId="2412D136" w14:textId="77777777" w:rsidR="00236DF2" w:rsidRPr="00F240F2" w:rsidRDefault="00236DF2" w:rsidP="00574E71">
      <w:pPr>
        <w:rPr>
          <w:szCs w:val="24"/>
        </w:rPr>
      </w:pPr>
    </w:p>
    <w:p w14:paraId="2412D138" w14:textId="47B56DDA" w:rsidR="00574E71" w:rsidRPr="00F240F2" w:rsidRDefault="0002728B" w:rsidP="00DE07E4">
      <w:pPr>
        <w:spacing w:after="200" w:line="276" w:lineRule="auto"/>
        <w:rPr>
          <w:szCs w:val="24"/>
        </w:rPr>
      </w:pPr>
      <w:r w:rsidRPr="00F240F2">
        <w:rPr>
          <w:szCs w:val="24"/>
        </w:rPr>
        <w:t>T</w:t>
      </w:r>
      <w:r w:rsidR="00574E71" w:rsidRPr="00F240F2">
        <w:rPr>
          <w:szCs w:val="24"/>
        </w:rPr>
        <w:t xml:space="preserve">he </w:t>
      </w:r>
      <w:r w:rsidR="0002752C" w:rsidRPr="00F240F2">
        <w:rPr>
          <w:szCs w:val="24"/>
        </w:rPr>
        <w:t xml:space="preserve">Amendment </w:t>
      </w:r>
      <w:r w:rsidR="00574E71" w:rsidRPr="00F240F2">
        <w:rPr>
          <w:szCs w:val="24"/>
        </w:rPr>
        <w:t xml:space="preserve">Determination is </w:t>
      </w:r>
      <w:r w:rsidR="004417A2" w:rsidRPr="00F240F2">
        <w:rPr>
          <w:szCs w:val="24"/>
        </w:rPr>
        <w:t xml:space="preserve">a </w:t>
      </w:r>
      <w:r w:rsidR="00574E71" w:rsidRPr="00F240F2">
        <w:rPr>
          <w:szCs w:val="24"/>
        </w:rPr>
        <w:t xml:space="preserve">legislative instrument for the purposes of the </w:t>
      </w:r>
      <w:r w:rsidR="00574E71" w:rsidRPr="00F240F2">
        <w:rPr>
          <w:i/>
        </w:rPr>
        <w:t>Legislation Act 2003</w:t>
      </w:r>
      <w:r w:rsidR="00574E71" w:rsidRPr="00F240F2">
        <w:rPr>
          <w:szCs w:val="24"/>
        </w:rPr>
        <w:t>.</w:t>
      </w:r>
    </w:p>
    <w:p w14:paraId="2412D139" w14:textId="77777777" w:rsidR="00A1739A" w:rsidRPr="00F240F2" w:rsidRDefault="00A1739A" w:rsidP="000337CB">
      <w:pPr>
        <w:ind w:left="6663" w:hanging="3119"/>
        <w:rPr>
          <w:szCs w:val="24"/>
        </w:rPr>
      </w:pPr>
      <w:r w:rsidRPr="00F240F2">
        <w:rPr>
          <w:szCs w:val="24"/>
        </w:rPr>
        <w:t xml:space="preserve">           </w:t>
      </w:r>
    </w:p>
    <w:p w14:paraId="2412D13A" w14:textId="77777777" w:rsidR="00A1739A" w:rsidRPr="00F240F2" w:rsidRDefault="00A1739A" w:rsidP="000337CB">
      <w:pPr>
        <w:ind w:left="6663" w:hanging="3119"/>
        <w:rPr>
          <w:szCs w:val="24"/>
        </w:rPr>
      </w:pPr>
      <w:r w:rsidRPr="00F240F2">
        <w:rPr>
          <w:szCs w:val="24"/>
          <w:u w:val="single"/>
        </w:rPr>
        <w:t>Authority</w:t>
      </w:r>
      <w:r w:rsidR="00967E51" w:rsidRPr="00F240F2">
        <w:rPr>
          <w:szCs w:val="24"/>
        </w:rPr>
        <w:t xml:space="preserve">:     Subsection </w:t>
      </w:r>
      <w:proofErr w:type="gramStart"/>
      <w:r w:rsidRPr="00F240F2">
        <w:rPr>
          <w:szCs w:val="24"/>
        </w:rPr>
        <w:t>3</w:t>
      </w:r>
      <w:r w:rsidR="00967E51" w:rsidRPr="00F240F2">
        <w:rPr>
          <w:szCs w:val="24"/>
        </w:rPr>
        <w:t>C</w:t>
      </w:r>
      <w:r w:rsidRPr="00F240F2">
        <w:rPr>
          <w:szCs w:val="24"/>
        </w:rPr>
        <w:t>(</w:t>
      </w:r>
      <w:proofErr w:type="gramEnd"/>
      <w:r w:rsidRPr="00F240F2">
        <w:rPr>
          <w:szCs w:val="24"/>
        </w:rPr>
        <w:t xml:space="preserve">1) of the </w:t>
      </w:r>
    </w:p>
    <w:p w14:paraId="2412D13B" w14:textId="0596CD30" w:rsidR="00A1739A" w:rsidRPr="00F240F2" w:rsidRDefault="00A1739A" w:rsidP="000337CB">
      <w:pPr>
        <w:tabs>
          <w:tab w:val="left" w:pos="4820"/>
        </w:tabs>
        <w:rPr>
          <w:szCs w:val="24"/>
        </w:rPr>
        <w:sectPr w:rsidR="00A1739A" w:rsidRPr="00F240F2" w:rsidSect="00235B6C">
          <w:headerReference w:type="default" r:id="rId11"/>
          <w:pgSz w:w="11906" w:h="16838"/>
          <w:pgMar w:top="1440" w:right="1800" w:bottom="1135" w:left="1800" w:header="708" w:footer="708" w:gutter="0"/>
          <w:pgNumType w:start="1"/>
          <w:cols w:space="708"/>
          <w:docGrid w:linePitch="360"/>
        </w:sectPr>
      </w:pPr>
      <w:r w:rsidRPr="00F240F2">
        <w:rPr>
          <w:i/>
          <w:szCs w:val="24"/>
        </w:rPr>
        <w:tab/>
        <w:t>Health Insurance Act 1973</w:t>
      </w:r>
    </w:p>
    <w:p w14:paraId="2412D13D" w14:textId="77777777" w:rsidR="006D5816" w:rsidRPr="00F240F2" w:rsidRDefault="006D5816" w:rsidP="000337CB">
      <w:pPr>
        <w:pStyle w:val="BodyText"/>
        <w:jc w:val="right"/>
        <w:rPr>
          <w:szCs w:val="24"/>
        </w:rPr>
      </w:pPr>
      <w:r w:rsidRPr="00F240F2">
        <w:rPr>
          <w:szCs w:val="24"/>
        </w:rPr>
        <w:lastRenderedPageBreak/>
        <w:t>ATTACHMENT</w:t>
      </w:r>
    </w:p>
    <w:p w14:paraId="2412D13E" w14:textId="77777777" w:rsidR="006D5816" w:rsidRPr="00F240F2" w:rsidRDefault="006D5816" w:rsidP="000337CB">
      <w:pPr>
        <w:pStyle w:val="BodyText"/>
        <w:rPr>
          <w:szCs w:val="24"/>
          <w:u w:val="single"/>
        </w:rPr>
      </w:pPr>
    </w:p>
    <w:p w14:paraId="7BBEB147" w14:textId="55029988" w:rsidR="00E70355" w:rsidRPr="00F240F2" w:rsidRDefault="00A41364" w:rsidP="000337CB">
      <w:pPr>
        <w:pStyle w:val="BodyText"/>
        <w:rPr>
          <w:i/>
          <w:iCs/>
          <w:color w:val="000000" w:themeColor="text1"/>
        </w:rPr>
      </w:pPr>
      <w:r w:rsidRPr="00F240F2">
        <w:rPr>
          <w:color w:val="000000" w:themeColor="text1"/>
          <w:szCs w:val="24"/>
        </w:rPr>
        <w:t xml:space="preserve">Details of the </w:t>
      </w:r>
      <w:r w:rsidR="00945D58" w:rsidRPr="00F240F2">
        <w:rPr>
          <w:i/>
          <w:iCs/>
          <w:color w:val="000000" w:themeColor="text1"/>
        </w:rPr>
        <w:t xml:space="preserve">Health Insurance (Section 3C </w:t>
      </w:r>
      <w:r w:rsidR="00181EBB">
        <w:rPr>
          <w:i/>
          <w:iCs/>
          <w:color w:val="000000" w:themeColor="text1"/>
        </w:rPr>
        <w:t xml:space="preserve">Diagnostic Imaging </w:t>
      </w:r>
      <w:r w:rsidR="00945D58" w:rsidRPr="00F240F2">
        <w:rPr>
          <w:i/>
          <w:iCs/>
          <w:color w:val="000000" w:themeColor="text1"/>
        </w:rPr>
        <w:t xml:space="preserve">– </w:t>
      </w:r>
      <w:r w:rsidR="00181EBB">
        <w:rPr>
          <w:i/>
          <w:iCs/>
          <w:color w:val="000000" w:themeColor="text1"/>
        </w:rPr>
        <w:t xml:space="preserve">Nuclear </w:t>
      </w:r>
      <w:r w:rsidR="006A6490">
        <w:rPr>
          <w:i/>
          <w:iCs/>
          <w:color w:val="000000" w:themeColor="text1"/>
        </w:rPr>
        <w:t>Medicine</w:t>
      </w:r>
      <w:r w:rsidR="00181EBB">
        <w:rPr>
          <w:i/>
          <w:iCs/>
          <w:color w:val="000000" w:themeColor="text1"/>
        </w:rPr>
        <w:t xml:space="preserve"> Services</w:t>
      </w:r>
      <w:r w:rsidR="00945D58" w:rsidRPr="00F240F2">
        <w:rPr>
          <w:i/>
          <w:iCs/>
          <w:color w:val="000000" w:themeColor="text1"/>
        </w:rPr>
        <w:t>) Amendment Determination 2020</w:t>
      </w:r>
    </w:p>
    <w:p w14:paraId="4D7C0240" w14:textId="77777777" w:rsidR="00945D58" w:rsidRPr="00F240F2" w:rsidRDefault="00945D58" w:rsidP="000337CB">
      <w:pPr>
        <w:pStyle w:val="BodyText"/>
        <w:rPr>
          <w:b w:val="0"/>
          <w:i/>
          <w:szCs w:val="24"/>
        </w:rPr>
      </w:pPr>
    </w:p>
    <w:p w14:paraId="2412D141" w14:textId="7C34D5F4" w:rsidR="00FE02C2" w:rsidRPr="00F240F2" w:rsidRDefault="001B0111" w:rsidP="000337CB">
      <w:pPr>
        <w:pStyle w:val="BodyText"/>
        <w:rPr>
          <w:b w:val="0"/>
          <w:szCs w:val="24"/>
          <w:u w:val="single"/>
        </w:rPr>
      </w:pPr>
      <w:r w:rsidRPr="00F240F2">
        <w:rPr>
          <w:b w:val="0"/>
          <w:szCs w:val="24"/>
          <w:u w:val="single"/>
        </w:rPr>
        <w:t>Section 1 – Name</w:t>
      </w:r>
    </w:p>
    <w:p w14:paraId="2412D142" w14:textId="77777777" w:rsidR="00FE02C2" w:rsidRPr="00F240F2" w:rsidRDefault="00FE02C2" w:rsidP="000337CB">
      <w:pPr>
        <w:pStyle w:val="BodyText"/>
        <w:rPr>
          <w:b w:val="0"/>
          <w:szCs w:val="24"/>
          <w:u w:val="single"/>
        </w:rPr>
      </w:pPr>
    </w:p>
    <w:p w14:paraId="68DAA207" w14:textId="61086B57" w:rsidR="00FD602D" w:rsidRPr="00F240F2" w:rsidRDefault="00BC7397" w:rsidP="00945D58">
      <w:pPr>
        <w:pStyle w:val="BodyText"/>
        <w:rPr>
          <w:b w:val="0"/>
          <w:color w:val="FF0000"/>
          <w:szCs w:val="24"/>
        </w:rPr>
      </w:pPr>
      <w:r w:rsidRPr="00F240F2">
        <w:rPr>
          <w:b w:val="0"/>
          <w:szCs w:val="24"/>
        </w:rPr>
        <w:t>S</w:t>
      </w:r>
      <w:r w:rsidR="00FE02C2" w:rsidRPr="00F240F2">
        <w:rPr>
          <w:b w:val="0"/>
          <w:szCs w:val="24"/>
        </w:rPr>
        <w:t xml:space="preserve">ection </w:t>
      </w:r>
      <w:r w:rsidRPr="00F240F2">
        <w:rPr>
          <w:b w:val="0"/>
          <w:szCs w:val="24"/>
        </w:rPr>
        <w:t xml:space="preserve">1 </w:t>
      </w:r>
      <w:r w:rsidR="00FE02C2" w:rsidRPr="00F240F2">
        <w:rPr>
          <w:b w:val="0"/>
          <w:szCs w:val="24"/>
        </w:rPr>
        <w:t>provides</w:t>
      </w:r>
      <w:r w:rsidR="008B683E" w:rsidRPr="00F240F2">
        <w:rPr>
          <w:b w:val="0"/>
          <w:szCs w:val="24"/>
        </w:rPr>
        <w:t xml:space="preserve"> for the </w:t>
      </w:r>
      <w:r w:rsidR="008B2094" w:rsidRPr="00F240F2">
        <w:rPr>
          <w:b w:val="0"/>
          <w:szCs w:val="24"/>
        </w:rPr>
        <w:t>Determination</w:t>
      </w:r>
      <w:r w:rsidR="00FE02C2" w:rsidRPr="00F240F2">
        <w:rPr>
          <w:b w:val="0"/>
          <w:szCs w:val="24"/>
        </w:rPr>
        <w:t xml:space="preserve"> to be referred to as the </w:t>
      </w:r>
      <w:r w:rsidR="002F7984" w:rsidRPr="002F7984">
        <w:rPr>
          <w:b w:val="0"/>
          <w:i/>
          <w:color w:val="000000" w:themeColor="text1"/>
          <w:szCs w:val="24"/>
        </w:rPr>
        <w:t xml:space="preserve">Health Insurance (Section 3C Diagnostic Imaging – Nuclear </w:t>
      </w:r>
      <w:r w:rsidR="006A6490">
        <w:rPr>
          <w:b w:val="0"/>
          <w:i/>
          <w:color w:val="000000" w:themeColor="text1"/>
          <w:szCs w:val="24"/>
        </w:rPr>
        <w:t>Medicine</w:t>
      </w:r>
      <w:r w:rsidR="002F7984" w:rsidRPr="002F7984">
        <w:rPr>
          <w:b w:val="0"/>
          <w:i/>
          <w:color w:val="000000" w:themeColor="text1"/>
          <w:szCs w:val="24"/>
        </w:rPr>
        <w:t xml:space="preserve"> Services) Amendment Determination 2020</w:t>
      </w:r>
      <w:r w:rsidR="002F7984">
        <w:rPr>
          <w:b w:val="0"/>
          <w:i/>
          <w:color w:val="000000" w:themeColor="text1"/>
          <w:szCs w:val="24"/>
        </w:rPr>
        <w:t>.</w:t>
      </w:r>
    </w:p>
    <w:p w14:paraId="2F234107" w14:textId="77777777" w:rsidR="00945D58" w:rsidRPr="00F240F2" w:rsidRDefault="00945D58" w:rsidP="00945D58">
      <w:pPr>
        <w:pStyle w:val="BodyText"/>
      </w:pPr>
    </w:p>
    <w:p w14:paraId="49D1E050" w14:textId="77777777" w:rsidR="007A4089" w:rsidRPr="00F240F2" w:rsidRDefault="00FE02C2" w:rsidP="000337CB">
      <w:pPr>
        <w:pStyle w:val="BodyText"/>
        <w:rPr>
          <w:b w:val="0"/>
          <w:szCs w:val="24"/>
          <w:u w:val="single"/>
        </w:rPr>
      </w:pPr>
      <w:r w:rsidRPr="00F240F2">
        <w:rPr>
          <w:b w:val="0"/>
          <w:szCs w:val="24"/>
          <w:u w:val="single"/>
        </w:rPr>
        <w:t xml:space="preserve">Section 2 – Commencement </w:t>
      </w:r>
    </w:p>
    <w:p w14:paraId="2DCE2ED0" w14:textId="77777777" w:rsidR="007A4089" w:rsidRPr="00F240F2" w:rsidRDefault="007A4089" w:rsidP="000337CB">
      <w:pPr>
        <w:pStyle w:val="BodyText"/>
        <w:rPr>
          <w:b w:val="0"/>
          <w:szCs w:val="24"/>
          <w:u w:val="single"/>
        </w:rPr>
      </w:pPr>
    </w:p>
    <w:p w14:paraId="2412D148" w14:textId="4A260FA4" w:rsidR="00510A4F" w:rsidRPr="00F240F2" w:rsidRDefault="00510A4F" w:rsidP="000337CB">
      <w:pPr>
        <w:pStyle w:val="BodyText"/>
        <w:rPr>
          <w:b w:val="0"/>
          <w:color w:val="FF0000"/>
          <w:szCs w:val="24"/>
        </w:rPr>
      </w:pPr>
      <w:r w:rsidRPr="00F240F2">
        <w:rPr>
          <w:b w:val="0"/>
          <w:szCs w:val="24"/>
        </w:rPr>
        <w:t xml:space="preserve">Section 2 </w:t>
      </w:r>
      <w:r w:rsidR="00404F11" w:rsidRPr="00F240F2">
        <w:rPr>
          <w:b w:val="0"/>
          <w:szCs w:val="24"/>
        </w:rPr>
        <w:t xml:space="preserve">provides that the </w:t>
      </w:r>
      <w:r w:rsidR="008B2094" w:rsidRPr="00F240F2">
        <w:rPr>
          <w:b w:val="0"/>
          <w:color w:val="000000" w:themeColor="text1"/>
          <w:szCs w:val="24"/>
        </w:rPr>
        <w:t xml:space="preserve">Determination </w:t>
      </w:r>
      <w:r w:rsidR="00404F11" w:rsidRPr="00F240F2">
        <w:rPr>
          <w:b w:val="0"/>
          <w:color w:val="000000" w:themeColor="text1"/>
          <w:szCs w:val="24"/>
        </w:rPr>
        <w:t xml:space="preserve">commences </w:t>
      </w:r>
      <w:r w:rsidR="002F7984">
        <w:rPr>
          <w:b w:val="0"/>
          <w:color w:val="000000" w:themeColor="text1"/>
          <w:szCs w:val="24"/>
        </w:rPr>
        <w:t>immediately after registration</w:t>
      </w:r>
      <w:r w:rsidR="00C63FDC" w:rsidRPr="00F240F2">
        <w:rPr>
          <w:b w:val="0"/>
          <w:color w:val="000000" w:themeColor="text1"/>
          <w:szCs w:val="24"/>
        </w:rPr>
        <w:t xml:space="preserve">. </w:t>
      </w:r>
    </w:p>
    <w:p w14:paraId="16C03200" w14:textId="77777777" w:rsidR="007E0017" w:rsidRPr="00F240F2" w:rsidRDefault="007E0017" w:rsidP="000337CB">
      <w:pPr>
        <w:pStyle w:val="BodyText"/>
        <w:rPr>
          <w:b w:val="0"/>
          <w:szCs w:val="24"/>
        </w:rPr>
      </w:pPr>
    </w:p>
    <w:p w14:paraId="005D5660" w14:textId="77777777" w:rsidR="007A4089" w:rsidRPr="00F240F2" w:rsidRDefault="00FE02C2" w:rsidP="000337CB">
      <w:pPr>
        <w:pStyle w:val="BodyText"/>
        <w:rPr>
          <w:b w:val="0"/>
          <w:szCs w:val="24"/>
          <w:u w:val="single"/>
        </w:rPr>
      </w:pPr>
      <w:r w:rsidRPr="00F240F2">
        <w:rPr>
          <w:b w:val="0"/>
          <w:szCs w:val="24"/>
          <w:u w:val="single"/>
        </w:rPr>
        <w:t xml:space="preserve">Section 3 – </w:t>
      </w:r>
      <w:r w:rsidR="00E5798A" w:rsidRPr="00F240F2">
        <w:rPr>
          <w:b w:val="0"/>
          <w:szCs w:val="24"/>
          <w:u w:val="single"/>
        </w:rPr>
        <w:t>Authority</w:t>
      </w:r>
    </w:p>
    <w:p w14:paraId="53BFA098" w14:textId="77777777" w:rsidR="007A4089" w:rsidRPr="00F240F2" w:rsidRDefault="007A4089" w:rsidP="000337CB">
      <w:pPr>
        <w:pStyle w:val="BodyText"/>
        <w:rPr>
          <w:b w:val="0"/>
          <w:szCs w:val="24"/>
          <w:u w:val="single"/>
        </w:rPr>
      </w:pPr>
    </w:p>
    <w:p w14:paraId="2412D14B" w14:textId="60EB4E9C" w:rsidR="00FE02C2" w:rsidRPr="00F240F2" w:rsidRDefault="00F83B6F" w:rsidP="000337CB">
      <w:pPr>
        <w:pStyle w:val="BodyText"/>
        <w:rPr>
          <w:b w:val="0"/>
        </w:rPr>
      </w:pPr>
      <w:r w:rsidRPr="00F240F2">
        <w:rPr>
          <w:b w:val="0"/>
        </w:rPr>
        <w:t xml:space="preserve">Section 3 provides that the </w:t>
      </w:r>
      <w:r w:rsidR="008B2094" w:rsidRPr="00F240F2">
        <w:rPr>
          <w:b w:val="0"/>
          <w:szCs w:val="24"/>
        </w:rPr>
        <w:t xml:space="preserve">Determination </w:t>
      </w:r>
      <w:r w:rsidR="00E5798A" w:rsidRPr="00F240F2">
        <w:rPr>
          <w:b w:val="0"/>
        </w:rPr>
        <w:t xml:space="preserve">is made under </w:t>
      </w:r>
      <w:r w:rsidR="00367440" w:rsidRPr="00F240F2">
        <w:rPr>
          <w:b w:val="0"/>
        </w:rPr>
        <w:t xml:space="preserve">subsection </w:t>
      </w:r>
      <w:proofErr w:type="gramStart"/>
      <w:r w:rsidR="00E5798A" w:rsidRPr="00F240F2">
        <w:rPr>
          <w:b w:val="0"/>
        </w:rPr>
        <w:t>3C(</w:t>
      </w:r>
      <w:proofErr w:type="gramEnd"/>
      <w:r w:rsidR="00E5798A" w:rsidRPr="00F240F2">
        <w:rPr>
          <w:b w:val="0"/>
        </w:rPr>
        <w:t xml:space="preserve">1) of the </w:t>
      </w:r>
      <w:r w:rsidR="00E5798A" w:rsidRPr="00F240F2">
        <w:rPr>
          <w:b w:val="0"/>
          <w:i/>
        </w:rPr>
        <w:t>Health Insurance Act 1973</w:t>
      </w:r>
      <w:r w:rsidR="00E5798A" w:rsidRPr="00F240F2">
        <w:rPr>
          <w:b w:val="0"/>
        </w:rPr>
        <w:t>.</w:t>
      </w:r>
    </w:p>
    <w:p w14:paraId="0DBF1241" w14:textId="77777777" w:rsidR="00E70355" w:rsidRPr="00F240F2" w:rsidRDefault="00E70355" w:rsidP="000337CB">
      <w:pPr>
        <w:pStyle w:val="BodyText"/>
        <w:rPr>
          <w:b w:val="0"/>
        </w:rPr>
      </w:pPr>
    </w:p>
    <w:p w14:paraId="20CBF84A" w14:textId="77777777" w:rsidR="00C63FDC" w:rsidRPr="00F240F2" w:rsidRDefault="00C63FDC" w:rsidP="00C63FDC">
      <w:pPr>
        <w:pStyle w:val="BodyText"/>
        <w:rPr>
          <w:b w:val="0"/>
          <w:szCs w:val="24"/>
          <w:u w:val="single"/>
        </w:rPr>
      </w:pPr>
      <w:r w:rsidRPr="00F240F2">
        <w:rPr>
          <w:b w:val="0"/>
          <w:szCs w:val="24"/>
          <w:u w:val="single"/>
        </w:rPr>
        <w:t>Section 4 – Schedules</w:t>
      </w:r>
    </w:p>
    <w:p w14:paraId="4C010161" w14:textId="77777777" w:rsidR="00C63FDC" w:rsidRPr="00F240F2" w:rsidRDefault="00C63FDC" w:rsidP="00C63FDC">
      <w:pPr>
        <w:pStyle w:val="BodyText"/>
        <w:rPr>
          <w:b w:val="0"/>
          <w:szCs w:val="24"/>
          <w:u w:val="single"/>
        </w:rPr>
      </w:pPr>
    </w:p>
    <w:p w14:paraId="5D9EBF8D" w14:textId="77777777" w:rsidR="00C63FDC" w:rsidRPr="00F240F2" w:rsidRDefault="00C63FDC" w:rsidP="00C63FDC">
      <w:pPr>
        <w:pStyle w:val="BodyText"/>
        <w:rPr>
          <w:b w:val="0"/>
          <w:szCs w:val="24"/>
        </w:rPr>
      </w:pPr>
      <w:r w:rsidRPr="00F240F2">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F240F2" w:rsidRDefault="007E0017" w:rsidP="00404F11">
      <w:pPr>
        <w:pStyle w:val="BodyText"/>
        <w:rPr>
          <w:b w:val="0"/>
          <w:szCs w:val="24"/>
        </w:rPr>
      </w:pPr>
    </w:p>
    <w:p w14:paraId="768D340E" w14:textId="77777777" w:rsidR="00C63FDC" w:rsidRPr="00F240F2" w:rsidRDefault="00C63FDC" w:rsidP="00C63FDC">
      <w:pPr>
        <w:pStyle w:val="Header"/>
        <w:tabs>
          <w:tab w:val="num" w:pos="1080"/>
        </w:tabs>
        <w:rPr>
          <w:szCs w:val="24"/>
          <w:u w:val="single"/>
        </w:rPr>
      </w:pPr>
      <w:r w:rsidRPr="00F240F2">
        <w:rPr>
          <w:szCs w:val="24"/>
          <w:u w:val="single"/>
        </w:rPr>
        <w:t>Schedule 1 – Amendments</w:t>
      </w:r>
    </w:p>
    <w:p w14:paraId="2212E577" w14:textId="77777777" w:rsidR="00C63FDC" w:rsidRPr="00F240F2" w:rsidRDefault="00C63FDC" w:rsidP="00C63FDC">
      <w:pPr>
        <w:pStyle w:val="Header"/>
        <w:tabs>
          <w:tab w:val="num" w:pos="1080"/>
        </w:tabs>
        <w:rPr>
          <w:szCs w:val="24"/>
          <w:u w:val="single"/>
        </w:rPr>
      </w:pPr>
    </w:p>
    <w:p w14:paraId="0C7E649E" w14:textId="6A12C984" w:rsidR="00C63FDC" w:rsidRPr="00F240F2" w:rsidRDefault="00945D58" w:rsidP="00C63FDC">
      <w:pPr>
        <w:pStyle w:val="Header"/>
        <w:tabs>
          <w:tab w:val="num" w:pos="1080"/>
        </w:tabs>
        <w:rPr>
          <w:b/>
          <w:i/>
          <w:iCs/>
          <w:color w:val="000000" w:themeColor="text1"/>
        </w:rPr>
      </w:pPr>
      <w:r w:rsidRPr="00F240F2">
        <w:rPr>
          <w:b/>
          <w:i/>
          <w:iCs/>
          <w:color w:val="000000" w:themeColor="text1"/>
        </w:rPr>
        <w:t xml:space="preserve">Health Insurance (Section 3C </w:t>
      </w:r>
      <w:r w:rsidR="002F7984">
        <w:rPr>
          <w:b/>
          <w:i/>
          <w:iCs/>
          <w:color w:val="000000" w:themeColor="text1"/>
        </w:rPr>
        <w:t>Diagnostic Imaging</w:t>
      </w:r>
      <w:r w:rsidRPr="00F240F2">
        <w:rPr>
          <w:b/>
          <w:i/>
          <w:iCs/>
          <w:color w:val="000000" w:themeColor="text1"/>
        </w:rPr>
        <w:t xml:space="preserve"> – </w:t>
      </w:r>
      <w:r w:rsidR="002F7984">
        <w:rPr>
          <w:b/>
          <w:i/>
          <w:iCs/>
          <w:color w:val="000000" w:themeColor="text1"/>
        </w:rPr>
        <w:t>Nuclear Medicine Services</w:t>
      </w:r>
      <w:r w:rsidRPr="00F240F2">
        <w:rPr>
          <w:b/>
          <w:i/>
          <w:iCs/>
          <w:color w:val="000000" w:themeColor="text1"/>
        </w:rPr>
        <w:t>) Determination 20</w:t>
      </w:r>
      <w:r w:rsidR="006A6490">
        <w:rPr>
          <w:b/>
          <w:i/>
          <w:iCs/>
          <w:color w:val="000000" w:themeColor="text1"/>
        </w:rPr>
        <w:t>19</w:t>
      </w:r>
      <w:r w:rsidR="002F7984">
        <w:rPr>
          <w:b/>
          <w:i/>
          <w:iCs/>
          <w:color w:val="000000" w:themeColor="text1"/>
        </w:rPr>
        <w:t xml:space="preserve"> (the Principal Determination)</w:t>
      </w:r>
    </w:p>
    <w:p w14:paraId="65C7352F" w14:textId="77777777" w:rsidR="00945D58" w:rsidRPr="00F240F2" w:rsidRDefault="00945D58" w:rsidP="00C63FDC">
      <w:pPr>
        <w:pStyle w:val="Header"/>
        <w:tabs>
          <w:tab w:val="num" w:pos="1080"/>
        </w:tabs>
        <w:rPr>
          <w:i/>
          <w:szCs w:val="24"/>
        </w:rPr>
      </w:pPr>
    </w:p>
    <w:p w14:paraId="0F22FA75" w14:textId="7F3443C8" w:rsidR="002F1003" w:rsidRDefault="002F1003" w:rsidP="00C63FDC">
      <w:pPr>
        <w:pStyle w:val="Header"/>
        <w:tabs>
          <w:tab w:val="num" w:pos="1080"/>
        </w:tabs>
        <w:rPr>
          <w:szCs w:val="24"/>
        </w:rPr>
      </w:pPr>
      <w:r w:rsidRPr="002F1003">
        <w:rPr>
          <w:b/>
          <w:szCs w:val="24"/>
        </w:rPr>
        <w:t>Item 1</w:t>
      </w:r>
      <w:r>
        <w:rPr>
          <w:szCs w:val="24"/>
        </w:rPr>
        <w:t xml:space="preserve"> inserts a definition of the general medical services table, Modified Monash 3 area, Modified Monash 4 area, Modified Monash 5 area, Modified Monash 6 area and Modified Monash 7 area </w:t>
      </w:r>
      <w:r w:rsidR="00396F35">
        <w:rPr>
          <w:szCs w:val="24"/>
        </w:rPr>
        <w:t>in</w:t>
      </w:r>
      <w:r>
        <w:rPr>
          <w:szCs w:val="24"/>
        </w:rPr>
        <w:t>to section 4 of the Principal Determination.</w:t>
      </w:r>
    </w:p>
    <w:p w14:paraId="35E6183E" w14:textId="24E63F2C" w:rsidR="009D2B85" w:rsidRDefault="009D2B85" w:rsidP="00C63FDC">
      <w:pPr>
        <w:pStyle w:val="Header"/>
        <w:tabs>
          <w:tab w:val="num" w:pos="1080"/>
        </w:tabs>
        <w:rPr>
          <w:szCs w:val="24"/>
        </w:rPr>
      </w:pPr>
    </w:p>
    <w:p w14:paraId="30125247" w14:textId="431B0855" w:rsidR="009D2B85" w:rsidRDefault="009D2B85" w:rsidP="00C63FDC">
      <w:pPr>
        <w:pStyle w:val="Header"/>
        <w:tabs>
          <w:tab w:val="num" w:pos="1080"/>
        </w:tabs>
        <w:rPr>
          <w:szCs w:val="24"/>
        </w:rPr>
      </w:pPr>
      <w:r>
        <w:rPr>
          <w:szCs w:val="24"/>
        </w:rPr>
        <w:t xml:space="preserve">The definition of a Modified Monash 3 to 7 area </w:t>
      </w:r>
      <w:r w:rsidR="00D11EF8">
        <w:rPr>
          <w:szCs w:val="24"/>
        </w:rPr>
        <w:t xml:space="preserve">has the same meaning given by clause 7.1.1 of the general medical services table. The general medical services table is prescribed under subsection 4(1) of the </w:t>
      </w:r>
      <w:r w:rsidR="00D11EF8" w:rsidRPr="00D11EF8">
        <w:rPr>
          <w:i/>
          <w:szCs w:val="24"/>
        </w:rPr>
        <w:t>Health Insurance Act 1973</w:t>
      </w:r>
      <w:r w:rsidR="00D11EF8">
        <w:rPr>
          <w:szCs w:val="24"/>
        </w:rPr>
        <w:t xml:space="preserve"> (the Act).</w:t>
      </w:r>
    </w:p>
    <w:p w14:paraId="20BC0BE7" w14:textId="4E00A261" w:rsidR="009D2B85" w:rsidRDefault="009D2B85" w:rsidP="00C63FDC">
      <w:pPr>
        <w:pStyle w:val="Header"/>
        <w:tabs>
          <w:tab w:val="num" w:pos="1080"/>
        </w:tabs>
        <w:rPr>
          <w:szCs w:val="24"/>
        </w:rPr>
      </w:pPr>
    </w:p>
    <w:p w14:paraId="09624C11" w14:textId="248630B7" w:rsidR="009D2B85" w:rsidRDefault="009D2B85" w:rsidP="00C63FDC">
      <w:pPr>
        <w:pStyle w:val="Header"/>
        <w:tabs>
          <w:tab w:val="num" w:pos="1080"/>
        </w:tabs>
        <w:rPr>
          <w:szCs w:val="24"/>
        </w:rPr>
      </w:pPr>
      <w:r>
        <w:rPr>
          <w:szCs w:val="24"/>
        </w:rPr>
        <w:t xml:space="preserve">A service under new items </w:t>
      </w:r>
      <w:r w:rsidR="005468C0">
        <w:rPr>
          <w:szCs w:val="24"/>
        </w:rPr>
        <w:t>61377</w:t>
      </w:r>
      <w:r>
        <w:rPr>
          <w:szCs w:val="24"/>
        </w:rPr>
        <w:t xml:space="preserve"> and </w:t>
      </w:r>
      <w:r w:rsidR="005468C0">
        <w:rPr>
          <w:szCs w:val="24"/>
        </w:rPr>
        <w:t>61380</w:t>
      </w:r>
      <w:r>
        <w:rPr>
          <w:szCs w:val="24"/>
        </w:rPr>
        <w:t xml:space="preserve"> can only </w:t>
      </w:r>
      <w:r w:rsidR="00653119">
        <w:rPr>
          <w:szCs w:val="24"/>
        </w:rPr>
        <w:t xml:space="preserve">be </w:t>
      </w:r>
      <w:r>
        <w:rPr>
          <w:szCs w:val="24"/>
        </w:rPr>
        <w:t>provided at</w:t>
      </w:r>
      <w:r w:rsidR="00D11EF8">
        <w:rPr>
          <w:szCs w:val="24"/>
        </w:rPr>
        <w:t>,</w:t>
      </w:r>
      <w:r w:rsidR="00396F35">
        <w:rPr>
          <w:szCs w:val="24"/>
        </w:rPr>
        <w:t xml:space="preserve"> or from, a practice located</w:t>
      </w:r>
      <w:r>
        <w:rPr>
          <w:szCs w:val="24"/>
        </w:rPr>
        <w:t xml:space="preserve"> in a Modified Monash 3, 4, 5, 6 or 7 area</w:t>
      </w:r>
      <w:r w:rsidR="00D11EF8">
        <w:rPr>
          <w:szCs w:val="24"/>
        </w:rPr>
        <w:t>,</w:t>
      </w:r>
      <w:r>
        <w:rPr>
          <w:szCs w:val="24"/>
        </w:rPr>
        <w:t xml:space="preserve"> and only if a </w:t>
      </w:r>
      <w:r w:rsidRPr="009D2B85">
        <w:rPr>
          <w:szCs w:val="24"/>
        </w:rPr>
        <w:t>stress echocardiography service is not available in the Modified Monash area where the service is provided</w:t>
      </w:r>
      <w:r>
        <w:rPr>
          <w:szCs w:val="24"/>
        </w:rPr>
        <w:t xml:space="preserve">. </w:t>
      </w:r>
    </w:p>
    <w:p w14:paraId="7D977F36" w14:textId="792D6531" w:rsidR="009D2B85" w:rsidRDefault="009D2B85" w:rsidP="00C63FDC">
      <w:pPr>
        <w:pStyle w:val="Header"/>
        <w:tabs>
          <w:tab w:val="num" w:pos="1080"/>
        </w:tabs>
        <w:rPr>
          <w:szCs w:val="24"/>
        </w:rPr>
      </w:pPr>
    </w:p>
    <w:p w14:paraId="5D90028F" w14:textId="5D2790CE" w:rsidR="00D11EF8" w:rsidRDefault="00D11EF8" w:rsidP="00C63FDC">
      <w:pPr>
        <w:pStyle w:val="Header"/>
        <w:tabs>
          <w:tab w:val="num" w:pos="1080"/>
        </w:tabs>
        <w:rPr>
          <w:szCs w:val="24"/>
        </w:rPr>
      </w:pPr>
      <w:r w:rsidRPr="00D11EF8">
        <w:rPr>
          <w:b/>
          <w:szCs w:val="24"/>
        </w:rPr>
        <w:t>Item 2</w:t>
      </w:r>
      <w:r>
        <w:rPr>
          <w:szCs w:val="24"/>
        </w:rPr>
        <w:t xml:space="preserve"> inserts new clauses </w:t>
      </w:r>
      <w:r w:rsidR="005468C0">
        <w:rPr>
          <w:szCs w:val="24"/>
        </w:rPr>
        <w:t>in relation to the application of the substitute items</w:t>
      </w:r>
      <w:r w:rsidR="004357A8">
        <w:rPr>
          <w:szCs w:val="24"/>
        </w:rPr>
        <w:t xml:space="preserve"> into Schedule 1 of the Principal Determination</w:t>
      </w:r>
      <w:r w:rsidR="005468C0">
        <w:rPr>
          <w:szCs w:val="24"/>
        </w:rPr>
        <w:t xml:space="preserve">. Clauses </w:t>
      </w:r>
      <w:r>
        <w:rPr>
          <w:szCs w:val="24"/>
        </w:rPr>
        <w:t xml:space="preserve">1.1.1 and 1.1.2 </w:t>
      </w:r>
      <w:r w:rsidR="005468C0">
        <w:rPr>
          <w:szCs w:val="24"/>
        </w:rPr>
        <w:t xml:space="preserve">apply to the </w:t>
      </w:r>
      <w:r>
        <w:rPr>
          <w:szCs w:val="24"/>
        </w:rPr>
        <w:t xml:space="preserve">application of </w:t>
      </w:r>
      <w:r w:rsidR="005468C0" w:rsidRPr="005468C0">
        <w:rPr>
          <w:szCs w:val="24"/>
        </w:rPr>
        <w:t xml:space="preserve">myocardial perfusion study </w:t>
      </w:r>
      <w:r>
        <w:rPr>
          <w:szCs w:val="24"/>
        </w:rPr>
        <w:t xml:space="preserve">items </w:t>
      </w:r>
      <w:r w:rsidR="005468C0" w:rsidRPr="005468C0">
        <w:rPr>
          <w:szCs w:val="24"/>
        </w:rPr>
        <w:t xml:space="preserve">61311, 61332, 61365, 61377, 61380 </w:t>
      </w:r>
      <w:r w:rsidR="005468C0" w:rsidRPr="005468C0">
        <w:rPr>
          <w:szCs w:val="24"/>
        </w:rPr>
        <w:lastRenderedPageBreak/>
        <w:t>and 61418</w:t>
      </w:r>
      <w:r>
        <w:rPr>
          <w:szCs w:val="24"/>
        </w:rPr>
        <w:t xml:space="preserve">. </w:t>
      </w:r>
      <w:r w:rsidR="000A38FC">
        <w:rPr>
          <w:szCs w:val="24"/>
        </w:rPr>
        <w:t xml:space="preserve">A service under these items </w:t>
      </w:r>
      <w:r w:rsidRPr="00D11EF8">
        <w:rPr>
          <w:szCs w:val="24"/>
        </w:rPr>
        <w:t>can only be provided if the patient displays one or more symptoms of typical or atypical angina, or one or more indications in relation to suggested cardiac ischemia or valvular pathology, or for patients at intermediate to high cardiovascular risk undergoing pre-operative assessment for high-risk surgery. This will ensure that the provision of the</w:t>
      </w:r>
      <w:r>
        <w:rPr>
          <w:szCs w:val="24"/>
        </w:rPr>
        <w:t xml:space="preserve">se </w:t>
      </w:r>
      <w:r w:rsidRPr="00D11EF8">
        <w:rPr>
          <w:szCs w:val="24"/>
        </w:rPr>
        <w:t>services are based on the clinical risk of the patient, and that the services are not provided inappropriately. The request for a service under these items must identify any symptoms or clinical indications.</w:t>
      </w:r>
    </w:p>
    <w:p w14:paraId="33A9C8C2" w14:textId="0A52016D" w:rsidR="005468C0" w:rsidRDefault="005468C0" w:rsidP="00C63FDC">
      <w:pPr>
        <w:pStyle w:val="Header"/>
        <w:tabs>
          <w:tab w:val="num" w:pos="1080"/>
        </w:tabs>
        <w:rPr>
          <w:szCs w:val="24"/>
        </w:rPr>
      </w:pPr>
    </w:p>
    <w:p w14:paraId="0398AA35" w14:textId="3481A94C" w:rsidR="005468C0" w:rsidRPr="005468C0" w:rsidRDefault="005468C0" w:rsidP="005468C0">
      <w:pPr>
        <w:pStyle w:val="Header"/>
        <w:tabs>
          <w:tab w:val="num" w:pos="1080"/>
        </w:tabs>
        <w:rPr>
          <w:szCs w:val="24"/>
        </w:rPr>
      </w:pPr>
      <w:r>
        <w:rPr>
          <w:szCs w:val="24"/>
        </w:rPr>
        <w:t xml:space="preserve">Clause 1.1.3 </w:t>
      </w:r>
      <w:r w:rsidRPr="005468C0">
        <w:rPr>
          <w:szCs w:val="24"/>
        </w:rPr>
        <w:t xml:space="preserve">provides that items 61311, 61332, 61365, 61377, 61380 and 61418 can only be provided if the myocardial perfusion study is performed by a person trained in exercise testing and cardiopulmonary resuscitation who is in personal attendance during the procedure, and if a second person who is also trained in exercise testing and cardiopulmonary resuscitation, is located at the diagnostic imaging premise where the procedure is performed and is immediately available to respond at the time the exercise test is performed on the patient.  </w:t>
      </w:r>
    </w:p>
    <w:p w14:paraId="12C6568C" w14:textId="77777777" w:rsidR="005468C0" w:rsidRPr="005468C0" w:rsidRDefault="005468C0" w:rsidP="005468C0">
      <w:pPr>
        <w:pStyle w:val="Header"/>
        <w:tabs>
          <w:tab w:val="num" w:pos="1080"/>
        </w:tabs>
        <w:rPr>
          <w:szCs w:val="24"/>
        </w:rPr>
      </w:pPr>
    </w:p>
    <w:p w14:paraId="5DF3018A" w14:textId="77777777" w:rsidR="005468C0" w:rsidRPr="005468C0" w:rsidRDefault="005468C0" w:rsidP="005468C0">
      <w:pPr>
        <w:pStyle w:val="Header"/>
        <w:tabs>
          <w:tab w:val="num" w:pos="1080"/>
        </w:tabs>
        <w:rPr>
          <w:szCs w:val="24"/>
        </w:rPr>
      </w:pPr>
      <w:r w:rsidRPr="005468C0">
        <w:rPr>
          <w:szCs w:val="24"/>
        </w:rPr>
        <w:t xml:space="preserve">At least one of these people must be a medical practitioner, and the myocardial perfusion study can only be performed on premises equipped with resuscitation equipment, which includes a defibrillator. This will ensure patient safety during a test that can present significant risk and will maximise the results obtained for the purpose of reporting and subsequent treatment. </w:t>
      </w:r>
    </w:p>
    <w:p w14:paraId="4E8EEC50" w14:textId="77777777" w:rsidR="005468C0" w:rsidRPr="005468C0" w:rsidRDefault="005468C0" w:rsidP="005468C0">
      <w:pPr>
        <w:pStyle w:val="Header"/>
        <w:tabs>
          <w:tab w:val="num" w:pos="1080"/>
        </w:tabs>
        <w:rPr>
          <w:szCs w:val="24"/>
        </w:rPr>
      </w:pPr>
    </w:p>
    <w:p w14:paraId="2690D0E0" w14:textId="05BEE107" w:rsidR="007D767C" w:rsidRDefault="005468C0" w:rsidP="005468C0">
      <w:pPr>
        <w:pStyle w:val="Header"/>
        <w:tabs>
          <w:tab w:val="num" w:pos="1080"/>
        </w:tabs>
        <w:rPr>
          <w:szCs w:val="24"/>
        </w:rPr>
      </w:pPr>
      <w:r w:rsidRPr="005468C0">
        <w:rPr>
          <w:szCs w:val="24"/>
        </w:rPr>
        <w:t xml:space="preserve">Clause </w:t>
      </w:r>
      <w:r w:rsidR="001E6C5A">
        <w:rPr>
          <w:szCs w:val="24"/>
        </w:rPr>
        <w:t xml:space="preserve">1.1.4 provides restrictions on the </w:t>
      </w:r>
      <w:r w:rsidR="001E6C5A" w:rsidRPr="001E6C5A">
        <w:rPr>
          <w:szCs w:val="24"/>
        </w:rPr>
        <w:t>myocardial perfusion study</w:t>
      </w:r>
      <w:r w:rsidR="004357A8">
        <w:rPr>
          <w:szCs w:val="24"/>
        </w:rPr>
        <w:t xml:space="preserve"> items</w:t>
      </w:r>
      <w:r w:rsidR="001E6C5A">
        <w:rPr>
          <w:szCs w:val="24"/>
        </w:rPr>
        <w:t xml:space="preserve">. Subclause 1.1.4(1) </w:t>
      </w:r>
      <w:r w:rsidRPr="005468C0">
        <w:rPr>
          <w:szCs w:val="24"/>
        </w:rPr>
        <w:t xml:space="preserve">provides </w:t>
      </w:r>
      <w:r w:rsidR="00F3501E">
        <w:rPr>
          <w:szCs w:val="24"/>
        </w:rPr>
        <w:t xml:space="preserve">that </w:t>
      </w:r>
      <w:r w:rsidR="007D767C">
        <w:rPr>
          <w:szCs w:val="24"/>
        </w:rPr>
        <w:t>item 61311 can</w:t>
      </w:r>
      <w:r w:rsidR="00F2238C">
        <w:rPr>
          <w:szCs w:val="24"/>
        </w:rPr>
        <w:t>not</w:t>
      </w:r>
      <w:r w:rsidR="007D767C">
        <w:rPr>
          <w:szCs w:val="24"/>
        </w:rPr>
        <w:t xml:space="preserve"> be provided to a patient who is 17 years old or older, if in the previous 24 months, the patient has had a service provided under item </w:t>
      </w:r>
      <w:r w:rsidR="007D767C" w:rsidRPr="007D767C">
        <w:rPr>
          <w:szCs w:val="24"/>
        </w:rPr>
        <w:t>61332, 61377</w:t>
      </w:r>
      <w:r w:rsidR="00F2238C">
        <w:rPr>
          <w:szCs w:val="24"/>
        </w:rPr>
        <w:t xml:space="preserve"> or</w:t>
      </w:r>
      <w:r w:rsidR="007D767C" w:rsidRPr="007D767C">
        <w:rPr>
          <w:szCs w:val="24"/>
        </w:rPr>
        <w:t xml:space="preserve"> 61380</w:t>
      </w:r>
      <w:r w:rsidR="00F2238C">
        <w:rPr>
          <w:szCs w:val="24"/>
        </w:rPr>
        <w:t>,</w:t>
      </w:r>
      <w:r w:rsidR="007D767C" w:rsidRPr="007D767C">
        <w:rPr>
          <w:szCs w:val="24"/>
        </w:rPr>
        <w:t xml:space="preserve"> or </w:t>
      </w:r>
      <w:r w:rsidR="00F2238C">
        <w:rPr>
          <w:szCs w:val="24"/>
        </w:rPr>
        <w:t xml:space="preserve">a service under cardiac item </w:t>
      </w:r>
      <w:r w:rsidR="00CB12CF" w:rsidRPr="00CB12CF">
        <w:rPr>
          <w:szCs w:val="24"/>
        </w:rPr>
        <w:t>61324, 61349, 61357, 61365, 61394, 61398, 61406, 61410, 61414 or 61418</w:t>
      </w:r>
      <w:r w:rsidR="00F2238C">
        <w:rPr>
          <w:szCs w:val="24"/>
        </w:rPr>
        <w:t>.</w:t>
      </w:r>
    </w:p>
    <w:p w14:paraId="0D58ACF3" w14:textId="4C3D563E" w:rsidR="007D767C" w:rsidRDefault="007D767C" w:rsidP="005468C0">
      <w:pPr>
        <w:pStyle w:val="Header"/>
        <w:tabs>
          <w:tab w:val="num" w:pos="1080"/>
        </w:tabs>
        <w:rPr>
          <w:szCs w:val="24"/>
        </w:rPr>
      </w:pPr>
    </w:p>
    <w:p w14:paraId="68225BEB" w14:textId="6681CA35" w:rsidR="007D767C" w:rsidRDefault="007D767C" w:rsidP="005468C0">
      <w:pPr>
        <w:pStyle w:val="Header"/>
        <w:tabs>
          <w:tab w:val="num" w:pos="1080"/>
        </w:tabs>
        <w:rPr>
          <w:szCs w:val="24"/>
        </w:rPr>
      </w:pPr>
      <w:r>
        <w:rPr>
          <w:szCs w:val="24"/>
        </w:rPr>
        <w:t xml:space="preserve">Subclause 1.1.4(2) </w:t>
      </w:r>
      <w:r w:rsidRPr="005468C0">
        <w:rPr>
          <w:szCs w:val="24"/>
        </w:rPr>
        <w:t xml:space="preserve">provides </w:t>
      </w:r>
      <w:r>
        <w:rPr>
          <w:szCs w:val="24"/>
        </w:rPr>
        <w:t>that item 61332 can</w:t>
      </w:r>
      <w:r w:rsidR="00F2238C">
        <w:rPr>
          <w:szCs w:val="24"/>
        </w:rPr>
        <w:t>not</w:t>
      </w:r>
      <w:r>
        <w:rPr>
          <w:szCs w:val="24"/>
        </w:rPr>
        <w:t xml:space="preserve"> be provided to a patient who is 17 years old or older, if in the previous 24 months, the patient has had a service provided under</w:t>
      </w:r>
      <w:r w:rsidR="00F2238C">
        <w:rPr>
          <w:szCs w:val="24"/>
        </w:rPr>
        <w:t xml:space="preserve"> </w:t>
      </w:r>
      <w:r>
        <w:rPr>
          <w:szCs w:val="24"/>
        </w:rPr>
        <w:t xml:space="preserve">item </w:t>
      </w:r>
      <w:r w:rsidRPr="007D767C">
        <w:rPr>
          <w:szCs w:val="24"/>
        </w:rPr>
        <w:t>61311, 61377, 61380 or 61422</w:t>
      </w:r>
      <w:r w:rsidR="00F2238C">
        <w:rPr>
          <w:szCs w:val="24"/>
        </w:rPr>
        <w:t xml:space="preserve">, </w:t>
      </w:r>
      <w:r w:rsidR="00F2238C" w:rsidRPr="00F2238C">
        <w:rPr>
          <w:szCs w:val="24"/>
        </w:rPr>
        <w:t>or a service under cardiac item</w:t>
      </w:r>
      <w:r w:rsidR="00F2238C">
        <w:rPr>
          <w:szCs w:val="24"/>
        </w:rPr>
        <w:t xml:space="preserve"> </w:t>
      </w:r>
      <w:r w:rsidR="00CB12CF" w:rsidRPr="00CB12CF">
        <w:rPr>
          <w:szCs w:val="24"/>
        </w:rPr>
        <w:t>61329, 61345, 61349, 61365, 61410 or 61418</w:t>
      </w:r>
      <w:r w:rsidR="00F2238C">
        <w:rPr>
          <w:szCs w:val="24"/>
        </w:rPr>
        <w:t>.</w:t>
      </w:r>
    </w:p>
    <w:p w14:paraId="494B1DF8" w14:textId="06EB8493" w:rsidR="007D767C" w:rsidRDefault="007D767C" w:rsidP="005468C0">
      <w:pPr>
        <w:pStyle w:val="Header"/>
        <w:tabs>
          <w:tab w:val="num" w:pos="1080"/>
        </w:tabs>
        <w:rPr>
          <w:szCs w:val="24"/>
        </w:rPr>
      </w:pPr>
    </w:p>
    <w:p w14:paraId="1449A211" w14:textId="49958F94" w:rsidR="00F2238C" w:rsidRDefault="00F2238C" w:rsidP="005468C0">
      <w:pPr>
        <w:pStyle w:val="Header"/>
        <w:tabs>
          <w:tab w:val="num" w:pos="1080"/>
        </w:tabs>
        <w:rPr>
          <w:szCs w:val="24"/>
        </w:rPr>
      </w:pPr>
      <w:r>
        <w:rPr>
          <w:szCs w:val="24"/>
        </w:rPr>
        <w:t xml:space="preserve">Subclause 1.1.4(3) </w:t>
      </w:r>
      <w:r w:rsidRPr="005468C0">
        <w:rPr>
          <w:szCs w:val="24"/>
        </w:rPr>
        <w:t xml:space="preserve">provides </w:t>
      </w:r>
      <w:r>
        <w:rPr>
          <w:szCs w:val="24"/>
        </w:rPr>
        <w:t xml:space="preserve">that item 61365 cannot be provided to a patient if in the previous 12 months, the patient has had a service provided under cardiac item </w:t>
      </w:r>
      <w:r w:rsidR="00CB12CF" w:rsidRPr="00CB12CF">
        <w:rPr>
          <w:szCs w:val="24"/>
        </w:rPr>
        <w:t>61349, 61410 or 61418</w:t>
      </w:r>
      <w:r>
        <w:rPr>
          <w:szCs w:val="24"/>
        </w:rPr>
        <w:t>.</w:t>
      </w:r>
    </w:p>
    <w:p w14:paraId="0C39E4B9" w14:textId="77777777" w:rsidR="00F2238C" w:rsidRDefault="00F2238C" w:rsidP="005468C0">
      <w:pPr>
        <w:pStyle w:val="Header"/>
        <w:tabs>
          <w:tab w:val="num" w:pos="1080"/>
        </w:tabs>
        <w:rPr>
          <w:szCs w:val="24"/>
        </w:rPr>
      </w:pPr>
    </w:p>
    <w:p w14:paraId="4495F117" w14:textId="01B9ADB5" w:rsidR="007D767C" w:rsidRDefault="007D767C" w:rsidP="005468C0">
      <w:pPr>
        <w:pStyle w:val="Header"/>
        <w:tabs>
          <w:tab w:val="num" w:pos="1080"/>
        </w:tabs>
      </w:pPr>
      <w:r>
        <w:rPr>
          <w:szCs w:val="24"/>
        </w:rPr>
        <w:t>Subclause 1.1.4(</w:t>
      </w:r>
      <w:r w:rsidR="00F2238C">
        <w:rPr>
          <w:szCs w:val="24"/>
        </w:rPr>
        <w:t>4</w:t>
      </w:r>
      <w:r>
        <w:rPr>
          <w:szCs w:val="24"/>
        </w:rPr>
        <w:t xml:space="preserve">) </w:t>
      </w:r>
      <w:r w:rsidRPr="005468C0">
        <w:rPr>
          <w:szCs w:val="24"/>
        </w:rPr>
        <w:t xml:space="preserve">provides </w:t>
      </w:r>
      <w:r>
        <w:rPr>
          <w:szCs w:val="24"/>
        </w:rPr>
        <w:t>that item 61337 can</w:t>
      </w:r>
      <w:r w:rsidR="00F2238C">
        <w:rPr>
          <w:szCs w:val="24"/>
        </w:rPr>
        <w:t>not</w:t>
      </w:r>
      <w:r>
        <w:rPr>
          <w:szCs w:val="24"/>
        </w:rPr>
        <w:t xml:space="preserve"> be provided to a patient who is 17 years old or older, if in the previous 24 months, the patient has had a service provided under</w:t>
      </w:r>
      <w:r w:rsidR="00F2238C">
        <w:rPr>
          <w:szCs w:val="24"/>
        </w:rPr>
        <w:t xml:space="preserve"> </w:t>
      </w:r>
      <w:r>
        <w:rPr>
          <w:szCs w:val="24"/>
        </w:rPr>
        <w:t xml:space="preserve">item </w:t>
      </w:r>
      <w:r w:rsidRPr="00B53239">
        <w:t>613</w:t>
      </w:r>
      <w:r>
        <w:t>11</w:t>
      </w:r>
      <w:r w:rsidRPr="00B53239">
        <w:t>, 613</w:t>
      </w:r>
      <w:r>
        <w:t>32</w:t>
      </w:r>
      <w:r w:rsidRPr="00B53239">
        <w:t>, 61380 or 61422</w:t>
      </w:r>
      <w:r w:rsidR="00F2238C">
        <w:t xml:space="preserve">, </w:t>
      </w:r>
      <w:r w:rsidR="00F2238C" w:rsidRPr="00F2238C">
        <w:t>or a service under cardiac item</w:t>
      </w:r>
      <w:r w:rsidR="00F2238C">
        <w:t xml:space="preserve"> </w:t>
      </w:r>
      <w:r w:rsidR="00CB12CF" w:rsidRPr="00CB12CF">
        <w:t>61329, 61345, 61349, 61365, 61394, 61410, 61414 or 61418</w:t>
      </w:r>
      <w:r w:rsidR="00F2238C">
        <w:t>.</w:t>
      </w:r>
    </w:p>
    <w:p w14:paraId="14400049" w14:textId="1F17E597" w:rsidR="007D767C" w:rsidRDefault="007D767C" w:rsidP="005468C0">
      <w:pPr>
        <w:pStyle w:val="Header"/>
        <w:tabs>
          <w:tab w:val="num" w:pos="1080"/>
        </w:tabs>
      </w:pPr>
    </w:p>
    <w:p w14:paraId="72CF8720" w14:textId="0D36C26C" w:rsidR="007D767C" w:rsidRDefault="007D767C" w:rsidP="005468C0">
      <w:pPr>
        <w:pStyle w:val="Header"/>
        <w:tabs>
          <w:tab w:val="num" w:pos="1080"/>
        </w:tabs>
      </w:pPr>
      <w:r>
        <w:rPr>
          <w:szCs w:val="24"/>
        </w:rPr>
        <w:t>Subclause 1.1.4(</w:t>
      </w:r>
      <w:r w:rsidR="00F2238C">
        <w:rPr>
          <w:szCs w:val="24"/>
        </w:rPr>
        <w:t>5</w:t>
      </w:r>
      <w:r>
        <w:rPr>
          <w:szCs w:val="24"/>
        </w:rPr>
        <w:t xml:space="preserve">) </w:t>
      </w:r>
      <w:r w:rsidRPr="005468C0">
        <w:rPr>
          <w:szCs w:val="24"/>
        </w:rPr>
        <w:t xml:space="preserve">provides </w:t>
      </w:r>
      <w:r>
        <w:rPr>
          <w:szCs w:val="24"/>
        </w:rPr>
        <w:t>that item 61380 can</w:t>
      </w:r>
      <w:r w:rsidR="00F2238C">
        <w:rPr>
          <w:szCs w:val="24"/>
        </w:rPr>
        <w:t>not</w:t>
      </w:r>
      <w:r>
        <w:rPr>
          <w:szCs w:val="24"/>
        </w:rPr>
        <w:t xml:space="preserve"> be provided to a patient who is 17 years old or older, if in the previous 24 months, the patient has had a service provided under item </w:t>
      </w:r>
      <w:r w:rsidRPr="00B53239">
        <w:t>613</w:t>
      </w:r>
      <w:r>
        <w:t>11</w:t>
      </w:r>
      <w:r w:rsidRPr="00B53239">
        <w:t>, 613</w:t>
      </w:r>
      <w:r>
        <w:t>32</w:t>
      </w:r>
      <w:r w:rsidRPr="00B53239">
        <w:t>, 613</w:t>
      </w:r>
      <w:r>
        <w:t>37</w:t>
      </w:r>
      <w:r w:rsidRPr="00B53239">
        <w:t xml:space="preserve"> or 61422</w:t>
      </w:r>
      <w:r w:rsidR="00F2238C">
        <w:t xml:space="preserve">, or a service under cardiac item </w:t>
      </w:r>
      <w:r w:rsidR="00CB12CF" w:rsidRPr="00CB12CF">
        <w:t>61349, 61365, 61398, 61406, 61410 or 61418</w:t>
      </w:r>
      <w:r w:rsidR="00F2238C">
        <w:t>.</w:t>
      </w:r>
    </w:p>
    <w:p w14:paraId="3E82C649" w14:textId="14117630" w:rsidR="00F2238C" w:rsidRDefault="00F2238C" w:rsidP="005468C0">
      <w:pPr>
        <w:pStyle w:val="Header"/>
        <w:tabs>
          <w:tab w:val="num" w:pos="1080"/>
        </w:tabs>
      </w:pPr>
    </w:p>
    <w:p w14:paraId="64CB7285" w14:textId="56E9BBE1" w:rsidR="00F2238C" w:rsidRDefault="00F2238C" w:rsidP="00F2238C">
      <w:pPr>
        <w:pStyle w:val="Header"/>
        <w:tabs>
          <w:tab w:val="num" w:pos="1080"/>
        </w:tabs>
        <w:rPr>
          <w:szCs w:val="24"/>
        </w:rPr>
      </w:pPr>
      <w:r>
        <w:rPr>
          <w:szCs w:val="24"/>
        </w:rPr>
        <w:lastRenderedPageBreak/>
        <w:t xml:space="preserve">Subclause 1.1.4(6) </w:t>
      </w:r>
      <w:r w:rsidRPr="005468C0">
        <w:rPr>
          <w:szCs w:val="24"/>
        </w:rPr>
        <w:t xml:space="preserve">provides </w:t>
      </w:r>
      <w:r>
        <w:rPr>
          <w:szCs w:val="24"/>
        </w:rPr>
        <w:t xml:space="preserve">that item 61418 cannot be provided to a patient if in the previous 12 months, the patient has had a service provided under cardiac item </w:t>
      </w:r>
      <w:r w:rsidR="00CB12CF" w:rsidRPr="00CB12CF">
        <w:rPr>
          <w:szCs w:val="24"/>
        </w:rPr>
        <w:t>61349, 61365 or 61410</w:t>
      </w:r>
      <w:r>
        <w:rPr>
          <w:szCs w:val="24"/>
        </w:rPr>
        <w:t>.</w:t>
      </w:r>
    </w:p>
    <w:p w14:paraId="7CEFBFFD" w14:textId="7B3B5E7C" w:rsidR="00F2238C" w:rsidRDefault="00F2238C" w:rsidP="005468C0">
      <w:pPr>
        <w:pStyle w:val="Header"/>
        <w:tabs>
          <w:tab w:val="num" w:pos="1080"/>
        </w:tabs>
      </w:pPr>
    </w:p>
    <w:p w14:paraId="211AE61B" w14:textId="3621B23A" w:rsidR="007D767C" w:rsidRDefault="007D767C" w:rsidP="005468C0">
      <w:pPr>
        <w:pStyle w:val="Header"/>
        <w:tabs>
          <w:tab w:val="num" w:pos="1080"/>
        </w:tabs>
        <w:rPr>
          <w:szCs w:val="24"/>
        </w:rPr>
      </w:pPr>
      <w:r>
        <w:rPr>
          <w:szCs w:val="24"/>
        </w:rPr>
        <w:t>Subclause 1.1.4(</w:t>
      </w:r>
      <w:r w:rsidR="00F2238C">
        <w:rPr>
          <w:szCs w:val="24"/>
        </w:rPr>
        <w:t>7</w:t>
      </w:r>
      <w:r>
        <w:rPr>
          <w:szCs w:val="24"/>
        </w:rPr>
        <w:t xml:space="preserve">) </w:t>
      </w:r>
      <w:r w:rsidRPr="005468C0">
        <w:rPr>
          <w:szCs w:val="24"/>
        </w:rPr>
        <w:t xml:space="preserve">provides </w:t>
      </w:r>
      <w:r>
        <w:rPr>
          <w:szCs w:val="24"/>
        </w:rPr>
        <w:t>that item 61422 can</w:t>
      </w:r>
      <w:r w:rsidR="00F2238C">
        <w:rPr>
          <w:szCs w:val="24"/>
        </w:rPr>
        <w:t>not</w:t>
      </w:r>
      <w:r>
        <w:rPr>
          <w:szCs w:val="24"/>
        </w:rPr>
        <w:t xml:space="preserve"> be provided to a patient who is 17 years old or older, if in the previous 24 months, the patient has had a service provided under item </w:t>
      </w:r>
      <w:r w:rsidRPr="00B53239">
        <w:t>613</w:t>
      </w:r>
      <w:r>
        <w:t>32 or 61380</w:t>
      </w:r>
      <w:r w:rsidR="00F2238C">
        <w:t xml:space="preserve">, or a service under cardiac item </w:t>
      </w:r>
      <w:r w:rsidR="00CB12CF" w:rsidRPr="00CB12CF">
        <w:t>61321, 61325, 61329, 61345, 61349, 61365, 61410 or 61418</w:t>
      </w:r>
      <w:r w:rsidR="00F2238C">
        <w:t>.</w:t>
      </w:r>
    </w:p>
    <w:p w14:paraId="006D2561" w14:textId="77777777" w:rsidR="007D767C" w:rsidRDefault="007D767C" w:rsidP="005468C0">
      <w:pPr>
        <w:pStyle w:val="Header"/>
        <w:tabs>
          <w:tab w:val="num" w:pos="1080"/>
        </w:tabs>
        <w:rPr>
          <w:szCs w:val="24"/>
        </w:rPr>
      </w:pPr>
    </w:p>
    <w:p w14:paraId="55C3BE26" w14:textId="04226A41" w:rsidR="001E6C5A" w:rsidRPr="001E6C5A" w:rsidRDefault="001E6C5A" w:rsidP="001E6C5A">
      <w:pPr>
        <w:spacing w:before="40"/>
        <w:rPr>
          <w:szCs w:val="24"/>
        </w:rPr>
      </w:pPr>
      <w:r>
        <w:rPr>
          <w:szCs w:val="24"/>
        </w:rPr>
        <w:t>Subc</w:t>
      </w:r>
      <w:r w:rsidRPr="001E6C5A">
        <w:rPr>
          <w:szCs w:val="24"/>
        </w:rPr>
        <w:t>lause 1.</w:t>
      </w:r>
      <w:r>
        <w:rPr>
          <w:szCs w:val="24"/>
        </w:rPr>
        <w:t>1.4(</w:t>
      </w:r>
      <w:r w:rsidR="00E956C6">
        <w:rPr>
          <w:szCs w:val="24"/>
        </w:rPr>
        <w:t>8</w:t>
      </w:r>
      <w:r>
        <w:rPr>
          <w:szCs w:val="24"/>
        </w:rPr>
        <w:t>) and 1.1.4(</w:t>
      </w:r>
      <w:r w:rsidR="00E956C6">
        <w:rPr>
          <w:szCs w:val="24"/>
        </w:rPr>
        <w:t>9</w:t>
      </w:r>
      <w:r>
        <w:rPr>
          <w:szCs w:val="24"/>
        </w:rPr>
        <w:t>)</w:t>
      </w:r>
      <w:r w:rsidRPr="001E6C5A">
        <w:rPr>
          <w:szCs w:val="24"/>
        </w:rPr>
        <w:t xml:space="preserve"> provides that an attendance service cannot be provided with a myocardial perfusion study service (items 61311, 61332, 61365, 61377, 61380 or 61418</w:t>
      </w:r>
      <w:r w:rsidR="00F72885">
        <w:rPr>
          <w:szCs w:val="24"/>
        </w:rPr>
        <w:t>)</w:t>
      </w:r>
      <w:r w:rsidRPr="001E6C5A">
        <w:rPr>
          <w:szCs w:val="24"/>
        </w:rPr>
        <w:t xml:space="preserve"> to the same patient on the same day. </w:t>
      </w:r>
    </w:p>
    <w:p w14:paraId="4E858C96" w14:textId="7F005F3D" w:rsidR="001E6C5A" w:rsidRPr="001E6C5A" w:rsidRDefault="001E6C5A" w:rsidP="001E6C5A">
      <w:pPr>
        <w:spacing w:before="40"/>
        <w:rPr>
          <w:szCs w:val="24"/>
        </w:rPr>
      </w:pPr>
      <w:r w:rsidRPr="001E6C5A">
        <w:rPr>
          <w:szCs w:val="24"/>
        </w:rPr>
        <w:t>The exception to this is if the attendance service is provided after another service and clinical management decisions are made about the patient during the other service, or if the decision to perform the echocardiogram service or myocardial perfusion study service on the same day is made as a result of a clinical assessment of the patient during the attendance service.</w:t>
      </w:r>
    </w:p>
    <w:p w14:paraId="1F93E889" w14:textId="77777777" w:rsidR="00CB12CF" w:rsidRDefault="00CB12CF" w:rsidP="00C63FDC">
      <w:pPr>
        <w:pStyle w:val="Header"/>
        <w:tabs>
          <w:tab w:val="num" w:pos="1080"/>
        </w:tabs>
        <w:rPr>
          <w:b/>
          <w:szCs w:val="24"/>
        </w:rPr>
      </w:pPr>
    </w:p>
    <w:p w14:paraId="4761F296" w14:textId="44878F5E" w:rsidR="009D2B85" w:rsidRDefault="00D11EF8" w:rsidP="00C63FDC">
      <w:pPr>
        <w:pStyle w:val="Header"/>
        <w:tabs>
          <w:tab w:val="num" w:pos="1080"/>
        </w:tabs>
        <w:rPr>
          <w:szCs w:val="24"/>
        </w:rPr>
      </w:pPr>
      <w:r w:rsidRPr="000A38FC">
        <w:rPr>
          <w:b/>
          <w:szCs w:val="24"/>
        </w:rPr>
        <w:t>Item 3</w:t>
      </w:r>
      <w:r>
        <w:rPr>
          <w:szCs w:val="24"/>
        </w:rPr>
        <w:t xml:space="preserve"> repeals and replaces the table in Schedule 1 of the Principal Determination to amend two existing </w:t>
      </w:r>
      <w:r w:rsidRPr="00D11EF8">
        <w:rPr>
          <w:szCs w:val="24"/>
        </w:rPr>
        <w:t xml:space="preserve">substitute items (61311 and 61332) and </w:t>
      </w:r>
      <w:r>
        <w:rPr>
          <w:szCs w:val="24"/>
        </w:rPr>
        <w:t>to list</w:t>
      </w:r>
      <w:r w:rsidRPr="00D11EF8">
        <w:rPr>
          <w:szCs w:val="24"/>
        </w:rPr>
        <w:t xml:space="preserve"> five new substitute items (</w:t>
      </w:r>
      <w:r w:rsidR="001E6C5A" w:rsidRPr="001E6C5A">
        <w:rPr>
          <w:szCs w:val="24"/>
        </w:rPr>
        <w:t>61365, 61377, 61380, 61418 and 61422)</w:t>
      </w:r>
      <w:r w:rsidRPr="00D11EF8">
        <w:rPr>
          <w:szCs w:val="24"/>
        </w:rPr>
        <w:t>) to align with rec</w:t>
      </w:r>
      <w:r>
        <w:rPr>
          <w:szCs w:val="24"/>
        </w:rPr>
        <w:t>ent changes</w:t>
      </w:r>
      <w:r w:rsidR="00697714">
        <w:rPr>
          <w:szCs w:val="24"/>
        </w:rPr>
        <w:t xml:space="preserve"> made</w:t>
      </w:r>
      <w:r>
        <w:rPr>
          <w:szCs w:val="24"/>
        </w:rPr>
        <w:t xml:space="preserve"> to cardiac services</w:t>
      </w:r>
      <w:r w:rsidR="00697714">
        <w:rPr>
          <w:szCs w:val="24"/>
        </w:rPr>
        <w:t>. The new and amended items will mirror existing cardiac items</w:t>
      </w:r>
      <w:r>
        <w:rPr>
          <w:szCs w:val="24"/>
        </w:rPr>
        <w:t>:</w:t>
      </w:r>
    </w:p>
    <w:p w14:paraId="35AC5E50" w14:textId="599004BF" w:rsidR="00D11EF8" w:rsidRDefault="00D11EF8" w:rsidP="00D11EF8">
      <w:pPr>
        <w:pStyle w:val="Header"/>
        <w:numPr>
          <w:ilvl w:val="0"/>
          <w:numId w:val="33"/>
        </w:numPr>
        <w:rPr>
          <w:szCs w:val="24"/>
        </w:rPr>
      </w:pPr>
      <w:r>
        <w:rPr>
          <w:szCs w:val="24"/>
        </w:rPr>
        <w:t>Item 61311 is amended to mirror existing item</w:t>
      </w:r>
      <w:r w:rsidR="001E6C5A">
        <w:rPr>
          <w:szCs w:val="24"/>
        </w:rPr>
        <w:t>s</w:t>
      </w:r>
      <w:r>
        <w:rPr>
          <w:szCs w:val="24"/>
        </w:rPr>
        <w:t xml:space="preserve"> 61324</w:t>
      </w:r>
      <w:r w:rsidR="001E6C5A">
        <w:rPr>
          <w:szCs w:val="24"/>
        </w:rPr>
        <w:t xml:space="preserve"> and 61357</w:t>
      </w:r>
      <w:r w:rsidR="007D767C">
        <w:rPr>
          <w:szCs w:val="24"/>
        </w:rPr>
        <w:t xml:space="preserve">. </w:t>
      </w:r>
    </w:p>
    <w:p w14:paraId="52EB198F" w14:textId="297E9A18" w:rsidR="007D767C" w:rsidRDefault="00D11EF8" w:rsidP="007D767C">
      <w:pPr>
        <w:pStyle w:val="Header"/>
        <w:numPr>
          <w:ilvl w:val="0"/>
          <w:numId w:val="33"/>
        </w:numPr>
        <w:rPr>
          <w:szCs w:val="24"/>
        </w:rPr>
      </w:pPr>
      <w:r>
        <w:rPr>
          <w:szCs w:val="24"/>
        </w:rPr>
        <w:t>Item 61332 is amended to mirror existing item 61329</w:t>
      </w:r>
      <w:r w:rsidR="001E6C5A">
        <w:rPr>
          <w:szCs w:val="24"/>
        </w:rPr>
        <w:t xml:space="preserve"> and 61345</w:t>
      </w:r>
      <w:r w:rsidR="007D767C">
        <w:rPr>
          <w:szCs w:val="24"/>
        </w:rPr>
        <w:t xml:space="preserve">. </w:t>
      </w:r>
    </w:p>
    <w:p w14:paraId="5ECE5429" w14:textId="30B6A3BC" w:rsidR="007D767C" w:rsidRDefault="00826C6D" w:rsidP="007D767C">
      <w:pPr>
        <w:pStyle w:val="Header"/>
        <w:numPr>
          <w:ilvl w:val="0"/>
          <w:numId w:val="33"/>
        </w:numPr>
        <w:rPr>
          <w:szCs w:val="24"/>
        </w:rPr>
      </w:pPr>
      <w:r>
        <w:rPr>
          <w:szCs w:val="24"/>
        </w:rPr>
        <w:t>New i</w:t>
      </w:r>
      <w:r w:rsidR="00D11EF8">
        <w:rPr>
          <w:szCs w:val="24"/>
        </w:rPr>
        <w:t xml:space="preserve">tem </w:t>
      </w:r>
      <w:r w:rsidR="001E6C5A">
        <w:rPr>
          <w:szCs w:val="24"/>
        </w:rPr>
        <w:t>61365</w:t>
      </w:r>
      <w:r w:rsidR="00D11EF8">
        <w:rPr>
          <w:szCs w:val="24"/>
        </w:rPr>
        <w:t xml:space="preserve"> is listed to mirror existing item 61349</w:t>
      </w:r>
      <w:r w:rsidR="007D767C">
        <w:rPr>
          <w:szCs w:val="24"/>
        </w:rPr>
        <w:t xml:space="preserve">. </w:t>
      </w:r>
    </w:p>
    <w:p w14:paraId="37E2F24D" w14:textId="53FB4301" w:rsidR="00D11EF8" w:rsidRDefault="00826C6D" w:rsidP="00D11EF8">
      <w:pPr>
        <w:pStyle w:val="Header"/>
        <w:numPr>
          <w:ilvl w:val="0"/>
          <w:numId w:val="33"/>
        </w:numPr>
        <w:rPr>
          <w:szCs w:val="24"/>
        </w:rPr>
      </w:pPr>
      <w:r>
        <w:rPr>
          <w:szCs w:val="24"/>
        </w:rPr>
        <w:t>New i</w:t>
      </w:r>
      <w:r w:rsidR="00D11EF8">
        <w:rPr>
          <w:szCs w:val="24"/>
        </w:rPr>
        <w:t xml:space="preserve">tem </w:t>
      </w:r>
      <w:r w:rsidR="001E6C5A">
        <w:rPr>
          <w:szCs w:val="24"/>
        </w:rPr>
        <w:t>61377</w:t>
      </w:r>
      <w:r w:rsidR="00D11EF8">
        <w:rPr>
          <w:szCs w:val="24"/>
        </w:rPr>
        <w:t xml:space="preserve"> is listed to mirror existing item</w:t>
      </w:r>
      <w:r w:rsidR="001E6C5A">
        <w:rPr>
          <w:szCs w:val="24"/>
        </w:rPr>
        <w:t>s</w:t>
      </w:r>
      <w:r w:rsidR="00D11EF8">
        <w:rPr>
          <w:szCs w:val="24"/>
        </w:rPr>
        <w:t xml:space="preserve"> 61394</w:t>
      </w:r>
      <w:r w:rsidR="001E6C5A">
        <w:rPr>
          <w:szCs w:val="24"/>
        </w:rPr>
        <w:t xml:space="preserve"> and 61414</w:t>
      </w:r>
    </w:p>
    <w:p w14:paraId="24B981BE" w14:textId="73CFDBEF" w:rsidR="00D11EF8" w:rsidRDefault="00826C6D" w:rsidP="00D11EF8">
      <w:pPr>
        <w:pStyle w:val="Header"/>
        <w:numPr>
          <w:ilvl w:val="0"/>
          <w:numId w:val="33"/>
        </w:numPr>
        <w:rPr>
          <w:szCs w:val="24"/>
        </w:rPr>
      </w:pPr>
      <w:r>
        <w:rPr>
          <w:szCs w:val="24"/>
        </w:rPr>
        <w:t>New i</w:t>
      </w:r>
      <w:r w:rsidR="00D11EF8">
        <w:rPr>
          <w:szCs w:val="24"/>
        </w:rPr>
        <w:t xml:space="preserve">tem </w:t>
      </w:r>
      <w:r w:rsidR="001E6C5A">
        <w:rPr>
          <w:szCs w:val="24"/>
        </w:rPr>
        <w:t>61380</w:t>
      </w:r>
      <w:r w:rsidR="00D11EF8">
        <w:rPr>
          <w:szCs w:val="24"/>
        </w:rPr>
        <w:t xml:space="preserve"> is listed to mirror existing item 61398</w:t>
      </w:r>
      <w:r w:rsidR="001E6C5A">
        <w:rPr>
          <w:szCs w:val="24"/>
        </w:rPr>
        <w:t xml:space="preserve"> and 61406</w:t>
      </w:r>
    </w:p>
    <w:p w14:paraId="0EF0FE6F" w14:textId="73A22D96" w:rsidR="00D11EF8" w:rsidRDefault="00826C6D" w:rsidP="00D11EF8">
      <w:pPr>
        <w:pStyle w:val="Header"/>
        <w:numPr>
          <w:ilvl w:val="0"/>
          <w:numId w:val="33"/>
        </w:numPr>
        <w:rPr>
          <w:szCs w:val="24"/>
        </w:rPr>
      </w:pPr>
      <w:r>
        <w:rPr>
          <w:szCs w:val="24"/>
        </w:rPr>
        <w:t>New i</w:t>
      </w:r>
      <w:r w:rsidR="00D11EF8">
        <w:rPr>
          <w:szCs w:val="24"/>
        </w:rPr>
        <w:t xml:space="preserve">tem </w:t>
      </w:r>
      <w:r w:rsidR="001E6C5A">
        <w:rPr>
          <w:szCs w:val="24"/>
        </w:rPr>
        <w:t>61418</w:t>
      </w:r>
      <w:r w:rsidR="00D11EF8">
        <w:rPr>
          <w:szCs w:val="24"/>
        </w:rPr>
        <w:t xml:space="preserve"> is listed to mirror existing item 61410</w:t>
      </w:r>
    </w:p>
    <w:p w14:paraId="7FA359A0" w14:textId="4D771C92" w:rsidR="00D11EF8" w:rsidRDefault="00826C6D" w:rsidP="00D11EF8">
      <w:pPr>
        <w:pStyle w:val="Header"/>
        <w:numPr>
          <w:ilvl w:val="0"/>
          <w:numId w:val="33"/>
        </w:numPr>
        <w:rPr>
          <w:szCs w:val="24"/>
        </w:rPr>
      </w:pPr>
      <w:r>
        <w:rPr>
          <w:szCs w:val="24"/>
        </w:rPr>
        <w:t>New i</w:t>
      </w:r>
      <w:r w:rsidR="00D11EF8">
        <w:rPr>
          <w:szCs w:val="24"/>
        </w:rPr>
        <w:t xml:space="preserve">tem </w:t>
      </w:r>
      <w:r w:rsidR="001E6C5A">
        <w:rPr>
          <w:szCs w:val="24"/>
        </w:rPr>
        <w:t>61422</w:t>
      </w:r>
      <w:r w:rsidR="00D11EF8">
        <w:rPr>
          <w:szCs w:val="24"/>
        </w:rPr>
        <w:t xml:space="preserve"> is listed to mirror existing item 61321</w:t>
      </w:r>
    </w:p>
    <w:p w14:paraId="61FF0627" w14:textId="77777777" w:rsidR="002F1003" w:rsidRDefault="002F1003" w:rsidP="00C63FDC">
      <w:pPr>
        <w:pStyle w:val="Header"/>
        <w:tabs>
          <w:tab w:val="num" w:pos="1080"/>
        </w:tabs>
        <w:rPr>
          <w:szCs w:val="24"/>
        </w:rPr>
      </w:pPr>
    </w:p>
    <w:p w14:paraId="279C5F1E" w14:textId="7B60A38C" w:rsidR="002F7984" w:rsidRDefault="00622B75" w:rsidP="00C63FDC">
      <w:pPr>
        <w:pStyle w:val="Header"/>
        <w:tabs>
          <w:tab w:val="num" w:pos="1080"/>
        </w:tabs>
        <w:rPr>
          <w:szCs w:val="24"/>
        </w:rPr>
      </w:pPr>
      <w:r w:rsidRPr="000139CF">
        <w:rPr>
          <w:b/>
          <w:szCs w:val="24"/>
        </w:rPr>
        <w:t xml:space="preserve">Item </w:t>
      </w:r>
      <w:r w:rsidR="000139CF" w:rsidRPr="000139CF">
        <w:rPr>
          <w:b/>
          <w:szCs w:val="24"/>
        </w:rPr>
        <w:t>4</w:t>
      </w:r>
      <w:r w:rsidRPr="00F240F2">
        <w:rPr>
          <w:szCs w:val="24"/>
        </w:rPr>
        <w:t xml:space="preserve"> </w:t>
      </w:r>
      <w:r w:rsidR="00CC389E">
        <w:rPr>
          <w:szCs w:val="24"/>
        </w:rPr>
        <w:t xml:space="preserve">repeals and replaces </w:t>
      </w:r>
      <w:r w:rsidR="002F7984">
        <w:rPr>
          <w:szCs w:val="24"/>
        </w:rPr>
        <w:t xml:space="preserve">the table in Schedule 2 of the Principal Determination to provide that the substitute items in Schedule 1 of the Principal Determination will commence on </w:t>
      </w:r>
      <w:r w:rsidR="002F7984">
        <w:rPr>
          <w:szCs w:val="24"/>
        </w:rPr>
        <w:br/>
      </w:r>
      <w:r w:rsidR="000F7E00">
        <w:rPr>
          <w:szCs w:val="24"/>
        </w:rPr>
        <w:t>1 December</w:t>
      </w:r>
      <w:r w:rsidR="001E6C5A">
        <w:rPr>
          <w:szCs w:val="24"/>
        </w:rPr>
        <w:t xml:space="preserve"> 2020 and will apply until 28 February 2021.</w:t>
      </w:r>
    </w:p>
    <w:p w14:paraId="329FF17B" w14:textId="77777777" w:rsidR="002F7984" w:rsidRDefault="002F7984" w:rsidP="00C63FDC">
      <w:pPr>
        <w:pStyle w:val="Header"/>
        <w:tabs>
          <w:tab w:val="num" w:pos="1080"/>
        </w:tabs>
        <w:rPr>
          <w:szCs w:val="24"/>
        </w:rPr>
      </w:pPr>
    </w:p>
    <w:p w14:paraId="24363EE8" w14:textId="77777777" w:rsidR="002F7984" w:rsidRDefault="002F7984" w:rsidP="00C63FDC">
      <w:pPr>
        <w:pStyle w:val="Header"/>
        <w:tabs>
          <w:tab w:val="num" w:pos="1080"/>
        </w:tabs>
        <w:rPr>
          <w:szCs w:val="24"/>
        </w:rPr>
      </w:pPr>
    </w:p>
    <w:p w14:paraId="2412D14E" w14:textId="0C043741" w:rsidR="00A17F2C" w:rsidRPr="00F240F2" w:rsidRDefault="00331752" w:rsidP="00F3501E">
      <w:pPr>
        <w:spacing w:after="200" w:line="276" w:lineRule="auto"/>
        <w:jc w:val="center"/>
        <w:rPr>
          <w:b/>
          <w:sz w:val="28"/>
          <w:szCs w:val="28"/>
        </w:rPr>
      </w:pPr>
      <w:r w:rsidRPr="00F240F2">
        <w:rPr>
          <w:szCs w:val="24"/>
          <w:u w:val="single"/>
        </w:rPr>
        <w:br w:type="page"/>
      </w:r>
      <w:r w:rsidR="00A17F2C" w:rsidRPr="00F240F2">
        <w:rPr>
          <w:b/>
          <w:sz w:val="28"/>
          <w:szCs w:val="28"/>
        </w:rPr>
        <w:lastRenderedPageBreak/>
        <w:t>Statement of Compatibility with Human Rights</w:t>
      </w:r>
    </w:p>
    <w:p w14:paraId="2412D14F" w14:textId="77777777" w:rsidR="00A17F2C" w:rsidRPr="00F240F2" w:rsidRDefault="00A17F2C" w:rsidP="000337CB">
      <w:pPr>
        <w:spacing w:before="120" w:after="120"/>
        <w:jc w:val="center"/>
        <w:rPr>
          <w:szCs w:val="24"/>
        </w:rPr>
      </w:pPr>
      <w:r w:rsidRPr="00F240F2">
        <w:rPr>
          <w:i/>
          <w:szCs w:val="24"/>
        </w:rPr>
        <w:t>Prepared in accordance with Part 3 of the Human Rights (Parliamentary Scrutiny) Act 2011</w:t>
      </w:r>
    </w:p>
    <w:p w14:paraId="3582B777" w14:textId="77777777" w:rsidR="002F7984" w:rsidRDefault="002F7984" w:rsidP="000337CB">
      <w:pPr>
        <w:tabs>
          <w:tab w:val="left" w:pos="1418"/>
        </w:tabs>
        <w:ind w:left="851"/>
        <w:jc w:val="center"/>
        <w:rPr>
          <w:i/>
          <w:iCs/>
        </w:rPr>
      </w:pPr>
    </w:p>
    <w:p w14:paraId="1BF56C38" w14:textId="43B10054" w:rsidR="007708B3" w:rsidRPr="002F7984" w:rsidRDefault="0013004F" w:rsidP="000337CB">
      <w:pPr>
        <w:tabs>
          <w:tab w:val="left" w:pos="1418"/>
        </w:tabs>
        <w:ind w:left="851"/>
        <w:jc w:val="center"/>
        <w:rPr>
          <w:i/>
          <w:iCs/>
        </w:rPr>
      </w:pPr>
      <w:r w:rsidRPr="002F7984">
        <w:rPr>
          <w:i/>
          <w:iCs/>
        </w:rPr>
        <w:t xml:space="preserve">Health Insurance (Section 3C </w:t>
      </w:r>
      <w:r w:rsidR="002F7984" w:rsidRPr="002F7984">
        <w:rPr>
          <w:i/>
          <w:iCs/>
        </w:rPr>
        <w:t xml:space="preserve">Diagnostic Imaging </w:t>
      </w:r>
      <w:r w:rsidRPr="002F7984">
        <w:rPr>
          <w:i/>
          <w:iCs/>
        </w:rPr>
        <w:t xml:space="preserve">– </w:t>
      </w:r>
      <w:r w:rsidR="002F7984" w:rsidRPr="002F7984">
        <w:rPr>
          <w:i/>
          <w:iCs/>
        </w:rPr>
        <w:t xml:space="preserve">Nuclear </w:t>
      </w:r>
      <w:r w:rsidR="006A6490">
        <w:rPr>
          <w:i/>
          <w:iCs/>
        </w:rPr>
        <w:t>Medicine</w:t>
      </w:r>
      <w:r w:rsidR="002F7984" w:rsidRPr="002F7984">
        <w:rPr>
          <w:i/>
          <w:iCs/>
        </w:rPr>
        <w:t xml:space="preserve"> Services</w:t>
      </w:r>
      <w:r w:rsidRPr="002F7984">
        <w:rPr>
          <w:i/>
          <w:iCs/>
        </w:rPr>
        <w:t>) Amendment Determination 2020</w:t>
      </w:r>
    </w:p>
    <w:p w14:paraId="788F0FBF" w14:textId="77777777" w:rsidR="0013004F" w:rsidRPr="00F240F2" w:rsidRDefault="0013004F" w:rsidP="000337CB">
      <w:pPr>
        <w:tabs>
          <w:tab w:val="left" w:pos="1418"/>
        </w:tabs>
        <w:ind w:left="851"/>
        <w:jc w:val="center"/>
        <w:rPr>
          <w:b/>
          <w:i/>
          <w:szCs w:val="24"/>
        </w:rPr>
      </w:pPr>
    </w:p>
    <w:p w14:paraId="2412D153" w14:textId="7AFD921D" w:rsidR="00A17F2C" w:rsidRPr="00F240F2" w:rsidRDefault="00A17F2C" w:rsidP="000337CB">
      <w:pPr>
        <w:jc w:val="center"/>
        <w:rPr>
          <w:szCs w:val="24"/>
        </w:rPr>
      </w:pPr>
      <w:r w:rsidRPr="00F240F2">
        <w:rPr>
          <w:szCs w:val="24"/>
        </w:rPr>
        <w:t xml:space="preserve">This </w:t>
      </w:r>
      <w:r w:rsidR="0046022A" w:rsidRPr="00F240F2">
        <w:rPr>
          <w:szCs w:val="24"/>
        </w:rPr>
        <w:t>instrument</w:t>
      </w:r>
      <w:r w:rsidRPr="00F240F2">
        <w:rPr>
          <w:szCs w:val="24"/>
        </w:rPr>
        <w:t xml:space="preserve"> is compatible with the human rights and freedoms recognised or declared in the international instruments listed in section 3 of the </w:t>
      </w:r>
      <w:r w:rsidRPr="00F240F2">
        <w:rPr>
          <w:i/>
          <w:szCs w:val="24"/>
        </w:rPr>
        <w:t>Human Rights (Parliamentary Scrutiny) Act 2011</w:t>
      </w:r>
      <w:r w:rsidRPr="00F240F2">
        <w:rPr>
          <w:szCs w:val="24"/>
        </w:rPr>
        <w:t>.</w:t>
      </w:r>
    </w:p>
    <w:p w14:paraId="7EDA9098" w14:textId="306A78E1" w:rsidR="006E6BBF" w:rsidRPr="00F240F2" w:rsidRDefault="006E6BBF" w:rsidP="008734F5">
      <w:pPr>
        <w:spacing w:before="120" w:after="120"/>
        <w:rPr>
          <w:b/>
          <w:szCs w:val="24"/>
        </w:rPr>
      </w:pPr>
      <w:r w:rsidRPr="00F240F2">
        <w:rPr>
          <w:b/>
          <w:szCs w:val="24"/>
        </w:rPr>
        <w:t xml:space="preserve">Overview of the </w:t>
      </w:r>
      <w:r w:rsidR="00B86A9F" w:rsidRPr="00F240F2">
        <w:rPr>
          <w:b/>
          <w:szCs w:val="24"/>
        </w:rPr>
        <w:t>Determination</w:t>
      </w:r>
    </w:p>
    <w:p w14:paraId="254D0DD7" w14:textId="77777777" w:rsidR="00F74FCF" w:rsidRDefault="00F74FCF" w:rsidP="00F74FC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F240F2">
        <w:rPr>
          <w:color w:val="000000" w:themeColor="text1"/>
          <w:szCs w:val="24"/>
        </w:rPr>
        <w:t>The purpose of the</w:t>
      </w:r>
      <w:r w:rsidRPr="00F240F2">
        <w:rPr>
          <w:color w:val="000000" w:themeColor="text1"/>
        </w:rPr>
        <w:t xml:space="preserve"> </w:t>
      </w:r>
      <w:r w:rsidRPr="00F240F2">
        <w:rPr>
          <w:i/>
          <w:iCs/>
          <w:color w:val="000000" w:themeColor="text1"/>
        </w:rPr>
        <w:t xml:space="preserve">Health Insurance (Section 3C </w:t>
      </w:r>
      <w:r>
        <w:rPr>
          <w:i/>
          <w:iCs/>
          <w:color w:val="000000" w:themeColor="text1"/>
        </w:rPr>
        <w:t xml:space="preserve">Diagnostic Imaging </w:t>
      </w:r>
      <w:r w:rsidRPr="00F240F2">
        <w:rPr>
          <w:i/>
          <w:iCs/>
          <w:color w:val="000000" w:themeColor="text1"/>
        </w:rPr>
        <w:t xml:space="preserve">– </w:t>
      </w:r>
      <w:r>
        <w:rPr>
          <w:i/>
          <w:iCs/>
          <w:color w:val="000000" w:themeColor="text1"/>
        </w:rPr>
        <w:t>Nuclear Medicine Services</w:t>
      </w:r>
      <w:r w:rsidRPr="00F240F2">
        <w:rPr>
          <w:i/>
          <w:iCs/>
          <w:color w:val="000000" w:themeColor="text1"/>
        </w:rPr>
        <w:t>) Amendment Determination 2020</w:t>
      </w:r>
      <w:r>
        <w:rPr>
          <w:i/>
          <w:iCs/>
          <w:color w:val="000000" w:themeColor="text1"/>
        </w:rPr>
        <w:t xml:space="preserve"> </w:t>
      </w:r>
      <w:r>
        <w:rPr>
          <w:iCs/>
          <w:color w:val="000000" w:themeColor="text1"/>
        </w:rPr>
        <w:t xml:space="preserve">(the Amendment Determination) is to allow patients access to substitute </w:t>
      </w:r>
      <w:r w:rsidRPr="00ED751C">
        <w:rPr>
          <w:iCs/>
          <w:color w:val="000000" w:themeColor="text1"/>
        </w:rPr>
        <w:t xml:space="preserve">nuclear medicine </w:t>
      </w:r>
      <w:r>
        <w:rPr>
          <w:iCs/>
          <w:color w:val="000000" w:themeColor="text1"/>
        </w:rPr>
        <w:t xml:space="preserve">items under </w:t>
      </w:r>
      <w:r w:rsidRPr="00ED751C">
        <w:rPr>
          <w:iCs/>
          <w:color w:val="000000" w:themeColor="text1"/>
        </w:rPr>
        <w:t xml:space="preserve">the Medicare Benefits Schedule (MBS) during a </w:t>
      </w:r>
      <w:r>
        <w:rPr>
          <w:iCs/>
          <w:color w:val="000000" w:themeColor="text1"/>
        </w:rPr>
        <w:t>disruption</w:t>
      </w:r>
      <w:r w:rsidRPr="00ED751C">
        <w:rPr>
          <w:iCs/>
          <w:color w:val="000000" w:themeColor="text1"/>
        </w:rPr>
        <w:t xml:space="preserve"> in </w:t>
      </w:r>
      <w:r>
        <w:rPr>
          <w:iCs/>
          <w:color w:val="000000" w:themeColor="text1"/>
        </w:rPr>
        <w:t xml:space="preserve">the </w:t>
      </w:r>
      <w:r w:rsidRPr="00ED751C">
        <w:rPr>
          <w:iCs/>
          <w:color w:val="000000" w:themeColor="text1"/>
        </w:rPr>
        <w:t xml:space="preserve">supply of </w:t>
      </w:r>
      <w:r>
        <w:rPr>
          <w:iCs/>
          <w:color w:val="000000" w:themeColor="text1"/>
        </w:rPr>
        <w:t xml:space="preserve">certain </w:t>
      </w:r>
      <w:r w:rsidRPr="00ED751C">
        <w:rPr>
          <w:iCs/>
          <w:color w:val="000000" w:themeColor="text1"/>
        </w:rPr>
        <w:t>radiopharmaceuticals</w:t>
      </w:r>
      <w:r>
        <w:rPr>
          <w:iCs/>
          <w:color w:val="000000" w:themeColor="text1"/>
        </w:rPr>
        <w:t>.</w:t>
      </w:r>
    </w:p>
    <w:p w14:paraId="1818B61E" w14:textId="77777777" w:rsidR="00F74FCF" w:rsidRDefault="00F74FCF" w:rsidP="00F74FC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p>
    <w:p w14:paraId="070F5B8B" w14:textId="77777777" w:rsidR="00F74FCF" w:rsidRDefault="00F74FCF" w:rsidP="00F74FC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Pr>
          <w:iCs/>
          <w:color w:val="000000" w:themeColor="text1"/>
        </w:rPr>
        <w:t xml:space="preserve">On 14 September 2019, substitute nuclear medicine items were introduced to allow patients continued access to certain </w:t>
      </w:r>
      <w:r w:rsidRPr="008273DD">
        <w:rPr>
          <w:iCs/>
          <w:color w:val="000000" w:themeColor="text1"/>
        </w:rPr>
        <w:t>nuclear medicine services</w:t>
      </w:r>
      <w:r>
        <w:rPr>
          <w:iCs/>
          <w:color w:val="000000" w:themeColor="text1"/>
        </w:rPr>
        <w:t xml:space="preserve"> </w:t>
      </w:r>
      <w:r w:rsidRPr="008273DD">
        <w:rPr>
          <w:iCs/>
          <w:color w:val="000000" w:themeColor="text1"/>
        </w:rPr>
        <w:t xml:space="preserve">during a </w:t>
      </w:r>
      <w:r>
        <w:rPr>
          <w:iCs/>
          <w:color w:val="000000" w:themeColor="text1"/>
        </w:rPr>
        <w:t xml:space="preserve">disruption in the </w:t>
      </w:r>
      <w:r w:rsidRPr="008273DD">
        <w:rPr>
          <w:iCs/>
          <w:color w:val="000000" w:themeColor="text1"/>
        </w:rPr>
        <w:t>supply of radiopharmaceuticals</w:t>
      </w:r>
      <w:r>
        <w:rPr>
          <w:iCs/>
          <w:color w:val="000000" w:themeColor="text1"/>
        </w:rPr>
        <w:t xml:space="preserve"> resulting in shortages. Following the introduction of these items, the supply of </w:t>
      </w:r>
      <w:r w:rsidRPr="00181EBB">
        <w:rPr>
          <w:iCs/>
          <w:color w:val="000000" w:themeColor="text1"/>
        </w:rPr>
        <w:t>nuclear medicine isotopes stabilised</w:t>
      </w:r>
      <w:r>
        <w:rPr>
          <w:iCs/>
          <w:color w:val="000000" w:themeColor="text1"/>
        </w:rPr>
        <w:t xml:space="preserve"> and as there was no longer a need for these services, the substitute items were suspended on </w:t>
      </w:r>
      <w:r>
        <w:rPr>
          <w:iCs/>
          <w:color w:val="000000" w:themeColor="text1"/>
        </w:rPr>
        <w:br/>
        <w:t xml:space="preserve">20 December 2019. The substitute nuclear medicine items are listed in the </w:t>
      </w:r>
      <w:r w:rsidRPr="006A6490">
        <w:rPr>
          <w:i/>
          <w:iCs/>
          <w:color w:val="000000" w:themeColor="text1"/>
        </w:rPr>
        <w:t>Health Insurance (Section 3C Diagnostic Imaging – Nuclear Medicine Services) Determination 2019</w:t>
      </w:r>
      <w:r>
        <w:rPr>
          <w:iCs/>
          <w:color w:val="000000" w:themeColor="text1"/>
        </w:rPr>
        <w:t xml:space="preserve"> (the Principal Determination).</w:t>
      </w:r>
    </w:p>
    <w:p w14:paraId="5394A354" w14:textId="77777777" w:rsidR="00F74FCF" w:rsidRDefault="00F74FCF" w:rsidP="00A77B9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themeColor="text1"/>
          <w:szCs w:val="24"/>
        </w:rPr>
      </w:pPr>
    </w:p>
    <w:p w14:paraId="7661D584" w14:textId="77777777" w:rsidR="00032CA4" w:rsidRDefault="00032CA4" w:rsidP="00032CA4">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Pr>
          <w:iCs/>
          <w:color w:val="000000" w:themeColor="text1"/>
        </w:rPr>
        <w:t xml:space="preserve">The Amendment Determination will amend the Principal Determination to reinstate the substitute items </w:t>
      </w:r>
      <w:r w:rsidRPr="00CB12CF">
        <w:rPr>
          <w:iCs/>
          <w:color w:val="000000" w:themeColor="text1"/>
        </w:rPr>
        <w:t>from 1 December 2020 until 28 February 2021. If the supply of</w:t>
      </w:r>
      <w:r w:rsidRPr="00C75EEF">
        <w:rPr>
          <w:iCs/>
          <w:color w:val="000000" w:themeColor="text1"/>
        </w:rPr>
        <w:t xml:space="preserve"> nuclear medicine isotopes </w:t>
      </w:r>
      <w:r>
        <w:rPr>
          <w:iCs/>
          <w:color w:val="000000" w:themeColor="text1"/>
        </w:rPr>
        <w:t>stabilises earlier, then this date will be bought forward. Alternatively it can be extended if supply is not stabilised.</w:t>
      </w:r>
    </w:p>
    <w:p w14:paraId="61DFB1B5" w14:textId="77777777" w:rsidR="00A77B9A" w:rsidRDefault="00A77B9A" w:rsidP="00A77B9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p>
    <w:p w14:paraId="5DB15DAB" w14:textId="7F2D9ED3" w:rsidR="00A77B9A" w:rsidRDefault="00A77B9A" w:rsidP="00A77B9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Pr>
          <w:iCs/>
          <w:color w:val="000000" w:themeColor="text1"/>
        </w:rPr>
        <w:t>The Amendment Determination will also amend existing substitute items (61311 and 61332) and will introduce five new substitute items (61365, 61377, 61380, 61418 and 61422) to align with changes made to cardiac services on 1 August 2020</w:t>
      </w:r>
      <w:r w:rsidR="00032CA4">
        <w:rPr>
          <w:iCs/>
          <w:color w:val="000000" w:themeColor="text1"/>
        </w:rPr>
        <w:t xml:space="preserve"> and 15 September 2020</w:t>
      </w:r>
      <w:r>
        <w:rPr>
          <w:iCs/>
          <w:color w:val="000000" w:themeColor="text1"/>
        </w:rPr>
        <w:t xml:space="preserve">. This will ensure patients are able to access appropriate nuclear medicine items during the current </w:t>
      </w:r>
      <w:r w:rsidRPr="00181EBB">
        <w:rPr>
          <w:iCs/>
          <w:color w:val="000000" w:themeColor="text1"/>
        </w:rPr>
        <w:t>shortage of nuclear medicine isotopes</w:t>
      </w:r>
      <w:r>
        <w:rPr>
          <w:iCs/>
          <w:color w:val="000000" w:themeColor="text1"/>
        </w:rPr>
        <w:t>.</w:t>
      </w:r>
    </w:p>
    <w:p w14:paraId="2412D15C" w14:textId="367BED6D" w:rsidR="00A17F2C" w:rsidRPr="00F240F2" w:rsidRDefault="006E0CA8" w:rsidP="006E0CA8">
      <w:pPr>
        <w:spacing w:before="120" w:after="120"/>
        <w:rPr>
          <w:b/>
          <w:szCs w:val="24"/>
        </w:rPr>
      </w:pPr>
      <w:r>
        <w:rPr>
          <w:b/>
          <w:szCs w:val="24"/>
        </w:rPr>
        <w:t>H</w:t>
      </w:r>
      <w:r w:rsidR="00A17F2C" w:rsidRPr="00F240F2">
        <w:rPr>
          <w:b/>
          <w:szCs w:val="24"/>
        </w:rPr>
        <w:t>uman rights implications</w:t>
      </w:r>
    </w:p>
    <w:p w14:paraId="449665F0" w14:textId="2ED3F54B" w:rsidR="00806020" w:rsidRPr="00F240F2" w:rsidRDefault="00806020" w:rsidP="00806020">
      <w:pPr>
        <w:spacing w:before="120" w:after="120"/>
        <w:rPr>
          <w:szCs w:val="24"/>
        </w:rPr>
      </w:pPr>
      <w:r w:rsidRPr="00F240F2">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F240F2" w:rsidRDefault="00A17F2C" w:rsidP="00806020">
      <w:pPr>
        <w:spacing w:before="120" w:after="120"/>
        <w:rPr>
          <w:i/>
          <w:szCs w:val="24"/>
        </w:rPr>
      </w:pPr>
      <w:r w:rsidRPr="00F240F2">
        <w:rPr>
          <w:i/>
          <w:szCs w:val="24"/>
        </w:rPr>
        <w:t>The Right to Health</w:t>
      </w:r>
    </w:p>
    <w:p w14:paraId="2412D15F" w14:textId="77777777" w:rsidR="00A17F2C" w:rsidRPr="00F240F2" w:rsidRDefault="00A17F2C" w:rsidP="000337CB">
      <w:pPr>
        <w:spacing w:before="120" w:after="120"/>
        <w:rPr>
          <w:szCs w:val="24"/>
        </w:rPr>
      </w:pPr>
      <w:r w:rsidRPr="00F240F2">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w:t>
      </w:r>
      <w:r w:rsidRPr="00F240F2">
        <w:rPr>
          <w:szCs w:val="24"/>
        </w:rPr>
        <w:lastRenderedPageBreak/>
        <w:t xml:space="preserve">protection which provides equality of opportunity for people to enjoy the highest attainable level of health. </w:t>
      </w:r>
    </w:p>
    <w:p w14:paraId="2412D160" w14:textId="77777777" w:rsidR="00A17F2C" w:rsidRPr="00F240F2" w:rsidRDefault="00A17F2C" w:rsidP="000337CB">
      <w:pPr>
        <w:spacing w:before="120" w:after="120"/>
        <w:rPr>
          <w:szCs w:val="24"/>
        </w:rPr>
      </w:pPr>
      <w:r w:rsidRPr="00F240F2">
        <w:rPr>
          <w:szCs w:val="24"/>
        </w:rPr>
        <w:t xml:space="preserve">The Committee reports that the </w:t>
      </w:r>
      <w:r w:rsidRPr="00F240F2">
        <w:rPr>
          <w:i/>
          <w:szCs w:val="24"/>
        </w:rPr>
        <w:t>‘highest attainable standard of health’</w:t>
      </w:r>
      <w:r w:rsidRPr="00F240F2">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4CAADEC8" w:rsidR="00A17F2C" w:rsidRPr="00F240F2" w:rsidRDefault="00A17F2C" w:rsidP="000337CB">
      <w:pPr>
        <w:spacing w:before="120" w:after="120"/>
        <w:rPr>
          <w:i/>
          <w:szCs w:val="24"/>
        </w:rPr>
      </w:pPr>
      <w:r w:rsidRPr="00F240F2">
        <w:rPr>
          <w:i/>
          <w:szCs w:val="24"/>
        </w:rPr>
        <w:t xml:space="preserve">The Right to Social Security </w:t>
      </w:r>
    </w:p>
    <w:p w14:paraId="2412D162" w14:textId="77777777" w:rsidR="00A17F2C" w:rsidRPr="00F240F2" w:rsidRDefault="00A17F2C" w:rsidP="000337CB">
      <w:pPr>
        <w:spacing w:before="120" w:after="120"/>
        <w:rPr>
          <w:szCs w:val="24"/>
        </w:rPr>
      </w:pPr>
      <w:r w:rsidRPr="00F240F2">
        <w:rPr>
          <w:szCs w:val="24"/>
        </w:rPr>
        <w:t>The right to social security is contained in Article 9 of the ICESCR. It requires that a country must, within its maximum available resources, ensure access to a social security scheme that</w:t>
      </w:r>
      <w:r w:rsidR="00BA69CB" w:rsidRPr="00F240F2">
        <w:rPr>
          <w:szCs w:val="24"/>
        </w:rPr>
        <w:t xml:space="preserve"> </w:t>
      </w:r>
      <w:r w:rsidRPr="00F240F2">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F240F2" w:rsidRDefault="00A17F2C" w:rsidP="000337CB">
      <w:pPr>
        <w:spacing w:before="120" w:after="120"/>
        <w:rPr>
          <w:szCs w:val="24"/>
        </w:rPr>
      </w:pPr>
      <w:r w:rsidRPr="00F240F2">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F240F2" w:rsidRDefault="00A17F2C" w:rsidP="000337CB">
      <w:pPr>
        <w:spacing w:before="120" w:after="120"/>
        <w:rPr>
          <w:szCs w:val="24"/>
          <w:u w:val="single"/>
        </w:rPr>
      </w:pPr>
      <w:r w:rsidRPr="00F240F2">
        <w:rPr>
          <w:szCs w:val="24"/>
          <w:u w:val="single"/>
        </w:rPr>
        <w:t xml:space="preserve">Analysis </w:t>
      </w:r>
    </w:p>
    <w:p w14:paraId="736AF27F" w14:textId="1FDF36E3" w:rsidR="002F7984" w:rsidRDefault="002F7984" w:rsidP="00302F5C">
      <w:pPr>
        <w:rPr>
          <w:szCs w:val="24"/>
        </w:rPr>
      </w:pPr>
      <w:r w:rsidRPr="002F7984">
        <w:rPr>
          <w:szCs w:val="24"/>
        </w:rPr>
        <w:t>This instrument will maintain rights to health and social security by ensuring patients can continue to access to subsidised nuclear medicine services on the Medicare Benefits Schedule.</w:t>
      </w:r>
    </w:p>
    <w:p w14:paraId="2412D166" w14:textId="1973400E" w:rsidR="00A17F2C" w:rsidRPr="00F240F2" w:rsidRDefault="00A17F2C" w:rsidP="004B7CB9">
      <w:pPr>
        <w:spacing w:before="120" w:after="120" w:line="276" w:lineRule="auto"/>
        <w:rPr>
          <w:rFonts w:eastAsia="Calibri"/>
          <w:b/>
          <w:szCs w:val="24"/>
          <w:lang w:eastAsia="en-US"/>
        </w:rPr>
      </w:pPr>
      <w:r w:rsidRPr="00F240F2">
        <w:rPr>
          <w:rFonts w:eastAsia="Calibri"/>
          <w:b/>
          <w:szCs w:val="24"/>
          <w:lang w:eastAsia="en-US"/>
        </w:rPr>
        <w:t xml:space="preserve">Conclusion </w:t>
      </w:r>
    </w:p>
    <w:p w14:paraId="2412D167" w14:textId="41CB9515" w:rsidR="00A17F2C" w:rsidRPr="00F240F2" w:rsidRDefault="006E6BBF" w:rsidP="000337CB">
      <w:pPr>
        <w:rPr>
          <w:color w:val="FF0000"/>
          <w:szCs w:val="24"/>
        </w:rPr>
      </w:pPr>
      <w:r w:rsidRPr="00F240F2">
        <w:rPr>
          <w:szCs w:val="24"/>
        </w:rPr>
        <w:t xml:space="preserve">This </w:t>
      </w:r>
      <w:r w:rsidR="0046022A" w:rsidRPr="00F240F2">
        <w:rPr>
          <w:szCs w:val="24"/>
        </w:rPr>
        <w:t>instrument</w:t>
      </w:r>
      <w:r w:rsidRPr="00F240F2">
        <w:rPr>
          <w:szCs w:val="24"/>
        </w:rPr>
        <w:t xml:space="preserve"> </w:t>
      </w:r>
      <w:r w:rsidR="00F15284" w:rsidRPr="00F240F2">
        <w:rPr>
          <w:szCs w:val="24"/>
        </w:rPr>
        <w:t xml:space="preserve">is compatible with human rights as it </w:t>
      </w:r>
      <w:r w:rsidR="00AD3DBA" w:rsidRPr="00F240F2">
        <w:rPr>
          <w:szCs w:val="24"/>
        </w:rPr>
        <w:t xml:space="preserve">advances </w:t>
      </w:r>
      <w:r w:rsidR="007C7403" w:rsidRPr="00F240F2">
        <w:rPr>
          <w:szCs w:val="24"/>
        </w:rPr>
        <w:t xml:space="preserve">the </w:t>
      </w:r>
      <w:r w:rsidR="00910EF6" w:rsidRPr="00F240F2">
        <w:rPr>
          <w:szCs w:val="24"/>
        </w:rPr>
        <w:t>right to health and the right to social security.</w:t>
      </w:r>
      <w:r w:rsidR="001B6095" w:rsidRPr="00F240F2">
        <w:rPr>
          <w:color w:val="FF0000"/>
          <w:szCs w:val="24"/>
        </w:rPr>
        <w:t xml:space="preserve"> </w:t>
      </w:r>
    </w:p>
    <w:p w14:paraId="2412D168" w14:textId="77777777" w:rsidR="00F15284" w:rsidRPr="00F240F2" w:rsidRDefault="00F15284" w:rsidP="000337CB">
      <w:pPr>
        <w:rPr>
          <w:rFonts w:eastAsia="Calibri"/>
          <w:szCs w:val="24"/>
          <w:lang w:eastAsia="en-US"/>
        </w:rPr>
      </w:pPr>
    </w:p>
    <w:p w14:paraId="75A46380" w14:textId="77777777" w:rsidR="00C67BC7" w:rsidRPr="00F240F2" w:rsidRDefault="00C67BC7" w:rsidP="000F2948">
      <w:pPr>
        <w:jc w:val="center"/>
        <w:rPr>
          <w:b/>
          <w:bCs/>
        </w:rPr>
      </w:pPr>
    </w:p>
    <w:p w14:paraId="60A0E5AF" w14:textId="48C27770" w:rsidR="00AC688A" w:rsidRPr="00F240F2" w:rsidRDefault="006E0CA8" w:rsidP="00AC688A">
      <w:pPr>
        <w:shd w:val="clear" w:color="auto" w:fill="FFFFFF"/>
        <w:spacing w:line="240" w:lineRule="atLeast"/>
        <w:ind w:right="-23"/>
        <w:jc w:val="center"/>
        <w:rPr>
          <w:b/>
          <w:bCs/>
        </w:rPr>
      </w:pPr>
      <w:r>
        <w:rPr>
          <w:b/>
          <w:bCs/>
        </w:rPr>
        <w:t>Paul McBride</w:t>
      </w:r>
    </w:p>
    <w:p w14:paraId="179865D6" w14:textId="39B8A36D" w:rsidR="00AC688A" w:rsidRPr="00F240F2" w:rsidRDefault="006E0CA8" w:rsidP="00AC688A">
      <w:pPr>
        <w:shd w:val="clear" w:color="auto" w:fill="FFFFFF"/>
        <w:spacing w:line="240" w:lineRule="atLeast"/>
        <w:ind w:right="-23"/>
        <w:jc w:val="center"/>
        <w:rPr>
          <w:b/>
          <w:bCs/>
        </w:rPr>
      </w:pPr>
      <w:r>
        <w:rPr>
          <w:b/>
          <w:bCs/>
        </w:rPr>
        <w:t>First</w:t>
      </w:r>
      <w:r w:rsidR="00AC688A" w:rsidRPr="00F240F2">
        <w:rPr>
          <w:b/>
          <w:bCs/>
        </w:rPr>
        <w:t xml:space="preserve"> Assistant Secretary </w:t>
      </w:r>
    </w:p>
    <w:p w14:paraId="02A70157" w14:textId="77777777" w:rsidR="00AC688A" w:rsidRPr="00F240F2" w:rsidRDefault="00AC688A" w:rsidP="00AC688A">
      <w:pPr>
        <w:shd w:val="clear" w:color="auto" w:fill="FFFFFF"/>
        <w:spacing w:line="240" w:lineRule="atLeast"/>
        <w:ind w:right="-23"/>
        <w:jc w:val="center"/>
        <w:rPr>
          <w:b/>
          <w:bCs/>
        </w:rPr>
      </w:pPr>
      <w:r w:rsidRPr="00F240F2">
        <w:rPr>
          <w:b/>
          <w:bCs/>
        </w:rPr>
        <w:t xml:space="preserve">Medical Benefits Division </w:t>
      </w:r>
    </w:p>
    <w:p w14:paraId="5BEB1C1A" w14:textId="6E140021" w:rsidR="00AC688A" w:rsidRPr="00F240F2" w:rsidRDefault="00AC688A" w:rsidP="00AC688A">
      <w:pPr>
        <w:shd w:val="clear" w:color="auto" w:fill="FFFFFF"/>
        <w:spacing w:line="240" w:lineRule="atLeast"/>
        <w:ind w:right="-23"/>
        <w:jc w:val="center"/>
        <w:rPr>
          <w:b/>
          <w:bCs/>
        </w:rPr>
      </w:pPr>
      <w:r w:rsidRPr="00F240F2">
        <w:rPr>
          <w:b/>
          <w:bCs/>
        </w:rPr>
        <w:t xml:space="preserve">Health </w:t>
      </w:r>
      <w:r w:rsidR="006E0CA8">
        <w:rPr>
          <w:b/>
          <w:bCs/>
        </w:rPr>
        <w:t>Resourcing</w:t>
      </w:r>
      <w:r w:rsidRPr="00F240F2">
        <w:rPr>
          <w:b/>
          <w:bCs/>
        </w:rPr>
        <w:t xml:space="preserve"> Group</w:t>
      </w:r>
    </w:p>
    <w:p w14:paraId="2412D16E" w14:textId="4102FE15" w:rsidR="00636C51" w:rsidRPr="0013004F" w:rsidRDefault="00AC688A" w:rsidP="001B6095">
      <w:pPr>
        <w:jc w:val="center"/>
        <w:rPr>
          <w:b/>
          <w:bCs/>
        </w:rPr>
      </w:pPr>
      <w:r w:rsidRPr="00F240F2">
        <w:rPr>
          <w:b/>
          <w:bCs/>
        </w:rPr>
        <w:t>Department of Health</w:t>
      </w:r>
    </w:p>
    <w:sectPr w:rsidR="00636C51" w:rsidRPr="0013004F"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5C460ED0" w:rsidR="00A1739A" w:rsidRDefault="00A1739A" w:rsidP="00BD6F5F">
    <w:pPr>
      <w:pStyle w:val="Header"/>
      <w:jc w:val="center"/>
    </w:pPr>
    <w:r>
      <w:fldChar w:fldCharType="begin"/>
    </w:r>
    <w:r>
      <w:instrText xml:space="preserve"> PAGE  \* Arabic  \* MERGEFORMAT </w:instrText>
    </w:r>
    <w:r>
      <w:fldChar w:fldCharType="separate"/>
    </w:r>
    <w:r w:rsidR="008F60A0">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6DB702BD" w:rsidR="00E23B6B" w:rsidRDefault="00E23B6B">
        <w:pPr>
          <w:pStyle w:val="Header"/>
          <w:jc w:val="center"/>
        </w:pPr>
        <w:r>
          <w:fldChar w:fldCharType="begin"/>
        </w:r>
        <w:r>
          <w:instrText xml:space="preserve"> PAGE   \* MERGEFORMAT </w:instrText>
        </w:r>
        <w:r>
          <w:fldChar w:fldCharType="separate"/>
        </w:r>
        <w:r w:rsidR="008F60A0">
          <w:rPr>
            <w:noProof/>
          </w:rPr>
          <w:t>7</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777EABAC" w:rsidR="00E23B6B" w:rsidRDefault="00E23B6B">
        <w:pPr>
          <w:pStyle w:val="Header"/>
          <w:jc w:val="center"/>
        </w:pPr>
        <w:r>
          <w:fldChar w:fldCharType="begin"/>
        </w:r>
        <w:r>
          <w:instrText xml:space="preserve"> PAGE   \* MERGEFORMAT </w:instrText>
        </w:r>
        <w:r>
          <w:fldChar w:fldCharType="separate"/>
        </w:r>
        <w:r w:rsidR="008F60A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20F202E"/>
    <w:multiLevelType w:val="hybridMultilevel"/>
    <w:tmpl w:val="66DA3C2C"/>
    <w:lvl w:ilvl="0" w:tplc="D6D2D216">
      <w:start w:val="1"/>
      <w:numFmt w:val="lowerLetter"/>
      <w:lvlText w:val="(%1)"/>
      <w:lvlJc w:val="left"/>
      <w:pPr>
        <w:ind w:left="1429" w:hanging="360"/>
      </w:pPr>
      <w:rPr>
        <w:rFonts w:hint="default"/>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0"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EB18BA"/>
    <w:multiLevelType w:val="hybridMultilevel"/>
    <w:tmpl w:val="84D42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8"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3"/>
  </w:num>
  <w:num w:numId="4">
    <w:abstractNumId w:val="12"/>
  </w:num>
  <w:num w:numId="5">
    <w:abstractNumId w:val="18"/>
  </w:num>
  <w:num w:numId="6">
    <w:abstractNumId w:val="10"/>
  </w:num>
  <w:num w:numId="7">
    <w:abstractNumId w:val="30"/>
  </w:num>
  <w:num w:numId="8">
    <w:abstractNumId w:val="7"/>
  </w:num>
  <w:num w:numId="9">
    <w:abstractNumId w:val="6"/>
  </w:num>
  <w:num w:numId="10">
    <w:abstractNumId w:val="32"/>
  </w:num>
  <w:num w:numId="11">
    <w:abstractNumId w:val="29"/>
  </w:num>
  <w:num w:numId="12">
    <w:abstractNumId w:val="13"/>
  </w:num>
  <w:num w:numId="13">
    <w:abstractNumId w:val="15"/>
  </w:num>
  <w:num w:numId="14">
    <w:abstractNumId w:val="27"/>
  </w:num>
  <w:num w:numId="15">
    <w:abstractNumId w:val="8"/>
  </w:num>
  <w:num w:numId="16">
    <w:abstractNumId w:val="20"/>
  </w:num>
  <w:num w:numId="17">
    <w:abstractNumId w:val="23"/>
  </w:num>
  <w:num w:numId="18">
    <w:abstractNumId w:val="21"/>
  </w:num>
  <w:num w:numId="19">
    <w:abstractNumId w:val="4"/>
  </w:num>
  <w:num w:numId="20">
    <w:abstractNumId w:val="1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9"/>
  </w:num>
  <w:num w:numId="26">
    <w:abstractNumId w:val="5"/>
  </w:num>
  <w:num w:numId="27">
    <w:abstractNumId w:val="16"/>
  </w:num>
  <w:num w:numId="28">
    <w:abstractNumId w:val="31"/>
  </w:num>
  <w:num w:numId="29">
    <w:abstractNumId w:val="17"/>
  </w:num>
  <w:num w:numId="30">
    <w:abstractNumId w:val="28"/>
  </w:num>
  <w:num w:numId="31">
    <w:abstractNumId w:val="14"/>
  </w:num>
  <w:num w:numId="32">
    <w:abstractNumId w:val="26"/>
  </w:num>
  <w:num w:numId="33">
    <w:abstractNumId w:val="24"/>
  </w:num>
  <w:num w:numId="3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39CF"/>
    <w:rsid w:val="00014639"/>
    <w:rsid w:val="00014B38"/>
    <w:rsid w:val="00014E40"/>
    <w:rsid w:val="00015748"/>
    <w:rsid w:val="00016774"/>
    <w:rsid w:val="000203B4"/>
    <w:rsid w:val="00021EFA"/>
    <w:rsid w:val="00024158"/>
    <w:rsid w:val="00024A1D"/>
    <w:rsid w:val="00025F64"/>
    <w:rsid w:val="0002704E"/>
    <w:rsid w:val="0002728B"/>
    <w:rsid w:val="0002752C"/>
    <w:rsid w:val="00027830"/>
    <w:rsid w:val="000319EF"/>
    <w:rsid w:val="00032CA4"/>
    <w:rsid w:val="00033034"/>
    <w:rsid w:val="000337CB"/>
    <w:rsid w:val="0003591F"/>
    <w:rsid w:val="000415ED"/>
    <w:rsid w:val="00041849"/>
    <w:rsid w:val="0004426E"/>
    <w:rsid w:val="00044A2A"/>
    <w:rsid w:val="00050623"/>
    <w:rsid w:val="000509BA"/>
    <w:rsid w:val="0005224B"/>
    <w:rsid w:val="00054F46"/>
    <w:rsid w:val="0005533C"/>
    <w:rsid w:val="00063242"/>
    <w:rsid w:val="000640CF"/>
    <w:rsid w:val="00064BA4"/>
    <w:rsid w:val="000678F0"/>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38FC"/>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4E58"/>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3E27"/>
    <w:rsid w:val="000F548E"/>
    <w:rsid w:val="000F5E76"/>
    <w:rsid w:val="000F6853"/>
    <w:rsid w:val="000F7E00"/>
    <w:rsid w:val="001000CE"/>
    <w:rsid w:val="00104751"/>
    <w:rsid w:val="00105F4C"/>
    <w:rsid w:val="0010617D"/>
    <w:rsid w:val="00106763"/>
    <w:rsid w:val="00107F36"/>
    <w:rsid w:val="0011066E"/>
    <w:rsid w:val="00110D12"/>
    <w:rsid w:val="00113B2E"/>
    <w:rsid w:val="0011618F"/>
    <w:rsid w:val="00120766"/>
    <w:rsid w:val="00121189"/>
    <w:rsid w:val="00121A66"/>
    <w:rsid w:val="00124959"/>
    <w:rsid w:val="0013004F"/>
    <w:rsid w:val="00132087"/>
    <w:rsid w:val="00134B27"/>
    <w:rsid w:val="00135D0D"/>
    <w:rsid w:val="001400C4"/>
    <w:rsid w:val="00141323"/>
    <w:rsid w:val="00141E8C"/>
    <w:rsid w:val="00143685"/>
    <w:rsid w:val="00143943"/>
    <w:rsid w:val="001448F2"/>
    <w:rsid w:val="00145918"/>
    <w:rsid w:val="00145D25"/>
    <w:rsid w:val="00145DED"/>
    <w:rsid w:val="00146AD2"/>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EBB"/>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BB0"/>
    <w:rsid w:val="001A7EF8"/>
    <w:rsid w:val="001B0111"/>
    <w:rsid w:val="001B3714"/>
    <w:rsid w:val="001B3BDF"/>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6C5A"/>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2D6D"/>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003"/>
    <w:rsid w:val="002F1707"/>
    <w:rsid w:val="002F2F33"/>
    <w:rsid w:val="002F3A26"/>
    <w:rsid w:val="002F449C"/>
    <w:rsid w:val="002F4CD2"/>
    <w:rsid w:val="002F6069"/>
    <w:rsid w:val="002F70B1"/>
    <w:rsid w:val="002F7549"/>
    <w:rsid w:val="002F7984"/>
    <w:rsid w:val="00301D49"/>
    <w:rsid w:val="003025C7"/>
    <w:rsid w:val="00302F5C"/>
    <w:rsid w:val="00304080"/>
    <w:rsid w:val="0031124D"/>
    <w:rsid w:val="00312ED1"/>
    <w:rsid w:val="00313554"/>
    <w:rsid w:val="00317B55"/>
    <w:rsid w:val="0032155B"/>
    <w:rsid w:val="003239D0"/>
    <w:rsid w:val="00324908"/>
    <w:rsid w:val="003279A2"/>
    <w:rsid w:val="00331752"/>
    <w:rsid w:val="00332AF9"/>
    <w:rsid w:val="003332C9"/>
    <w:rsid w:val="003337A6"/>
    <w:rsid w:val="0033493D"/>
    <w:rsid w:val="00337DE1"/>
    <w:rsid w:val="00340BDB"/>
    <w:rsid w:val="00340E39"/>
    <w:rsid w:val="00341145"/>
    <w:rsid w:val="003412CB"/>
    <w:rsid w:val="0035214B"/>
    <w:rsid w:val="003527D6"/>
    <w:rsid w:val="00353351"/>
    <w:rsid w:val="00353622"/>
    <w:rsid w:val="0035389C"/>
    <w:rsid w:val="00357CD8"/>
    <w:rsid w:val="0036001E"/>
    <w:rsid w:val="00360EAD"/>
    <w:rsid w:val="0036105C"/>
    <w:rsid w:val="00361ADE"/>
    <w:rsid w:val="00363306"/>
    <w:rsid w:val="0036495A"/>
    <w:rsid w:val="00366990"/>
    <w:rsid w:val="00366C2C"/>
    <w:rsid w:val="00367440"/>
    <w:rsid w:val="00370BE6"/>
    <w:rsid w:val="00371F67"/>
    <w:rsid w:val="00375E39"/>
    <w:rsid w:val="00376051"/>
    <w:rsid w:val="003760ED"/>
    <w:rsid w:val="003764AE"/>
    <w:rsid w:val="0037659B"/>
    <w:rsid w:val="003775D7"/>
    <w:rsid w:val="00380CBA"/>
    <w:rsid w:val="00381278"/>
    <w:rsid w:val="0038127E"/>
    <w:rsid w:val="00384080"/>
    <w:rsid w:val="003855DF"/>
    <w:rsid w:val="00386C22"/>
    <w:rsid w:val="0038731F"/>
    <w:rsid w:val="003876E6"/>
    <w:rsid w:val="0039170C"/>
    <w:rsid w:val="00391AFA"/>
    <w:rsid w:val="003937EF"/>
    <w:rsid w:val="00393E9B"/>
    <w:rsid w:val="00395072"/>
    <w:rsid w:val="00396F35"/>
    <w:rsid w:val="00397A97"/>
    <w:rsid w:val="003A280D"/>
    <w:rsid w:val="003A5A70"/>
    <w:rsid w:val="003A6230"/>
    <w:rsid w:val="003A6299"/>
    <w:rsid w:val="003B1976"/>
    <w:rsid w:val="003B1D46"/>
    <w:rsid w:val="003B27BA"/>
    <w:rsid w:val="003B3617"/>
    <w:rsid w:val="003B366C"/>
    <w:rsid w:val="003B38C1"/>
    <w:rsid w:val="003B59A9"/>
    <w:rsid w:val="003B6B63"/>
    <w:rsid w:val="003B7C31"/>
    <w:rsid w:val="003C02D4"/>
    <w:rsid w:val="003C37E3"/>
    <w:rsid w:val="003C4CBD"/>
    <w:rsid w:val="003C546B"/>
    <w:rsid w:val="003C7719"/>
    <w:rsid w:val="003D0FBD"/>
    <w:rsid w:val="003D1C43"/>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57A8"/>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49B"/>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2758"/>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99"/>
    <w:rsid w:val="005452CD"/>
    <w:rsid w:val="0054588E"/>
    <w:rsid w:val="005468C0"/>
    <w:rsid w:val="00546DB4"/>
    <w:rsid w:val="005474A5"/>
    <w:rsid w:val="00547D82"/>
    <w:rsid w:val="005504B4"/>
    <w:rsid w:val="00550DAB"/>
    <w:rsid w:val="00551DD9"/>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9BB"/>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6C6"/>
    <w:rsid w:val="00617BBF"/>
    <w:rsid w:val="00617F77"/>
    <w:rsid w:val="00620637"/>
    <w:rsid w:val="00622B75"/>
    <w:rsid w:val="00623004"/>
    <w:rsid w:val="006237CC"/>
    <w:rsid w:val="00627C91"/>
    <w:rsid w:val="00635031"/>
    <w:rsid w:val="006369D4"/>
    <w:rsid w:val="00636C51"/>
    <w:rsid w:val="006407FA"/>
    <w:rsid w:val="00641182"/>
    <w:rsid w:val="00642537"/>
    <w:rsid w:val="006427B2"/>
    <w:rsid w:val="00642BEB"/>
    <w:rsid w:val="00647426"/>
    <w:rsid w:val="00647590"/>
    <w:rsid w:val="006526F5"/>
    <w:rsid w:val="00653119"/>
    <w:rsid w:val="00656275"/>
    <w:rsid w:val="00657702"/>
    <w:rsid w:val="006619F5"/>
    <w:rsid w:val="006629F9"/>
    <w:rsid w:val="006639F0"/>
    <w:rsid w:val="0066562D"/>
    <w:rsid w:val="0066727B"/>
    <w:rsid w:val="00667D76"/>
    <w:rsid w:val="00670998"/>
    <w:rsid w:val="00672050"/>
    <w:rsid w:val="00673872"/>
    <w:rsid w:val="00674A34"/>
    <w:rsid w:val="00685515"/>
    <w:rsid w:val="0068642A"/>
    <w:rsid w:val="006906D2"/>
    <w:rsid w:val="00693A3E"/>
    <w:rsid w:val="00694C76"/>
    <w:rsid w:val="00694F4A"/>
    <w:rsid w:val="00697714"/>
    <w:rsid w:val="006A029B"/>
    <w:rsid w:val="006A17A1"/>
    <w:rsid w:val="006A61C5"/>
    <w:rsid w:val="006A6490"/>
    <w:rsid w:val="006B0F31"/>
    <w:rsid w:val="006B13BC"/>
    <w:rsid w:val="006B1DDD"/>
    <w:rsid w:val="006B32FE"/>
    <w:rsid w:val="006B3959"/>
    <w:rsid w:val="006B4B58"/>
    <w:rsid w:val="006B6925"/>
    <w:rsid w:val="006C026A"/>
    <w:rsid w:val="006C138D"/>
    <w:rsid w:val="006C3807"/>
    <w:rsid w:val="006C427E"/>
    <w:rsid w:val="006C6821"/>
    <w:rsid w:val="006C7491"/>
    <w:rsid w:val="006C761B"/>
    <w:rsid w:val="006C76B5"/>
    <w:rsid w:val="006D03ED"/>
    <w:rsid w:val="006D2B37"/>
    <w:rsid w:val="006D3D81"/>
    <w:rsid w:val="006D46A1"/>
    <w:rsid w:val="006D4AA4"/>
    <w:rsid w:val="006D54FB"/>
    <w:rsid w:val="006D5816"/>
    <w:rsid w:val="006D627E"/>
    <w:rsid w:val="006D62D4"/>
    <w:rsid w:val="006E0CA8"/>
    <w:rsid w:val="006E1A62"/>
    <w:rsid w:val="006E320C"/>
    <w:rsid w:val="006E3D84"/>
    <w:rsid w:val="006E527B"/>
    <w:rsid w:val="006E5C6B"/>
    <w:rsid w:val="006E6377"/>
    <w:rsid w:val="006E6640"/>
    <w:rsid w:val="006E6BBF"/>
    <w:rsid w:val="006E7529"/>
    <w:rsid w:val="006F2E4F"/>
    <w:rsid w:val="006F5273"/>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0D56"/>
    <w:rsid w:val="00733599"/>
    <w:rsid w:val="00733F09"/>
    <w:rsid w:val="00735753"/>
    <w:rsid w:val="00735CCC"/>
    <w:rsid w:val="007368DC"/>
    <w:rsid w:val="00736AC9"/>
    <w:rsid w:val="007416A4"/>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1E91"/>
    <w:rsid w:val="00782D07"/>
    <w:rsid w:val="007859F8"/>
    <w:rsid w:val="00791384"/>
    <w:rsid w:val="0079191B"/>
    <w:rsid w:val="00791C27"/>
    <w:rsid w:val="0079239C"/>
    <w:rsid w:val="007934F3"/>
    <w:rsid w:val="00795A80"/>
    <w:rsid w:val="00796464"/>
    <w:rsid w:val="00796F15"/>
    <w:rsid w:val="00797640"/>
    <w:rsid w:val="007A0403"/>
    <w:rsid w:val="007A12F5"/>
    <w:rsid w:val="007A3C42"/>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D767C"/>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6A"/>
    <w:rsid w:val="008061B8"/>
    <w:rsid w:val="008100CF"/>
    <w:rsid w:val="00811B07"/>
    <w:rsid w:val="008129B1"/>
    <w:rsid w:val="00817A12"/>
    <w:rsid w:val="0082437E"/>
    <w:rsid w:val="008259FD"/>
    <w:rsid w:val="00825B2C"/>
    <w:rsid w:val="00825D67"/>
    <w:rsid w:val="00826C1C"/>
    <w:rsid w:val="00826C6D"/>
    <w:rsid w:val="008273DD"/>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1B51"/>
    <w:rsid w:val="00883771"/>
    <w:rsid w:val="00883C9D"/>
    <w:rsid w:val="00883EFE"/>
    <w:rsid w:val="00885A1D"/>
    <w:rsid w:val="008869CA"/>
    <w:rsid w:val="008870CD"/>
    <w:rsid w:val="008905BA"/>
    <w:rsid w:val="0089375C"/>
    <w:rsid w:val="0089513F"/>
    <w:rsid w:val="00895699"/>
    <w:rsid w:val="008A153F"/>
    <w:rsid w:val="008A54A9"/>
    <w:rsid w:val="008A6188"/>
    <w:rsid w:val="008A79C6"/>
    <w:rsid w:val="008B1CE1"/>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60A0"/>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5D98"/>
    <w:rsid w:val="00926DD3"/>
    <w:rsid w:val="00935308"/>
    <w:rsid w:val="009361FD"/>
    <w:rsid w:val="009406D2"/>
    <w:rsid w:val="00940F17"/>
    <w:rsid w:val="009414C5"/>
    <w:rsid w:val="009427F2"/>
    <w:rsid w:val="00944F64"/>
    <w:rsid w:val="00945CE1"/>
    <w:rsid w:val="00945D58"/>
    <w:rsid w:val="009465EF"/>
    <w:rsid w:val="009467A8"/>
    <w:rsid w:val="00951A0B"/>
    <w:rsid w:val="00952F3F"/>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49A0"/>
    <w:rsid w:val="00995A06"/>
    <w:rsid w:val="00996BF2"/>
    <w:rsid w:val="009A222A"/>
    <w:rsid w:val="009A26CA"/>
    <w:rsid w:val="009A4BF7"/>
    <w:rsid w:val="009A6FE7"/>
    <w:rsid w:val="009B1BCA"/>
    <w:rsid w:val="009B1FD2"/>
    <w:rsid w:val="009B3AEB"/>
    <w:rsid w:val="009B7AE2"/>
    <w:rsid w:val="009C3EB5"/>
    <w:rsid w:val="009C42BD"/>
    <w:rsid w:val="009C444B"/>
    <w:rsid w:val="009D2B85"/>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04B3"/>
    <w:rsid w:val="00A232B9"/>
    <w:rsid w:val="00A24F4B"/>
    <w:rsid w:val="00A3185E"/>
    <w:rsid w:val="00A33893"/>
    <w:rsid w:val="00A34C9A"/>
    <w:rsid w:val="00A34D89"/>
    <w:rsid w:val="00A3611E"/>
    <w:rsid w:val="00A40A3B"/>
    <w:rsid w:val="00A41364"/>
    <w:rsid w:val="00A41F72"/>
    <w:rsid w:val="00A4278E"/>
    <w:rsid w:val="00A4292D"/>
    <w:rsid w:val="00A44A25"/>
    <w:rsid w:val="00A5439D"/>
    <w:rsid w:val="00A54891"/>
    <w:rsid w:val="00A54CA1"/>
    <w:rsid w:val="00A56516"/>
    <w:rsid w:val="00A62031"/>
    <w:rsid w:val="00A65D80"/>
    <w:rsid w:val="00A66849"/>
    <w:rsid w:val="00A672A7"/>
    <w:rsid w:val="00A6730E"/>
    <w:rsid w:val="00A714DD"/>
    <w:rsid w:val="00A73044"/>
    <w:rsid w:val="00A7379C"/>
    <w:rsid w:val="00A73CF1"/>
    <w:rsid w:val="00A75C9A"/>
    <w:rsid w:val="00A77B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88A"/>
    <w:rsid w:val="00AC6FF1"/>
    <w:rsid w:val="00AD0F67"/>
    <w:rsid w:val="00AD1A30"/>
    <w:rsid w:val="00AD3DBA"/>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5712"/>
    <w:rsid w:val="00B2772E"/>
    <w:rsid w:val="00B27A5B"/>
    <w:rsid w:val="00B316E7"/>
    <w:rsid w:val="00B3398C"/>
    <w:rsid w:val="00B34BDE"/>
    <w:rsid w:val="00B34EF9"/>
    <w:rsid w:val="00B3578F"/>
    <w:rsid w:val="00B35DAD"/>
    <w:rsid w:val="00B365AB"/>
    <w:rsid w:val="00B36EB3"/>
    <w:rsid w:val="00B40E17"/>
    <w:rsid w:val="00B41AE8"/>
    <w:rsid w:val="00B445D0"/>
    <w:rsid w:val="00B45C4D"/>
    <w:rsid w:val="00B50E59"/>
    <w:rsid w:val="00B53FF2"/>
    <w:rsid w:val="00B54620"/>
    <w:rsid w:val="00B55CDD"/>
    <w:rsid w:val="00B56E4F"/>
    <w:rsid w:val="00B60F70"/>
    <w:rsid w:val="00B62796"/>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884"/>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663C"/>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0D5"/>
    <w:rsid w:val="00C154E6"/>
    <w:rsid w:val="00C158B5"/>
    <w:rsid w:val="00C1626C"/>
    <w:rsid w:val="00C16694"/>
    <w:rsid w:val="00C16E23"/>
    <w:rsid w:val="00C17ED8"/>
    <w:rsid w:val="00C2082B"/>
    <w:rsid w:val="00C20DBA"/>
    <w:rsid w:val="00C23920"/>
    <w:rsid w:val="00C27256"/>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5EEF"/>
    <w:rsid w:val="00C77A1F"/>
    <w:rsid w:val="00C80647"/>
    <w:rsid w:val="00C80836"/>
    <w:rsid w:val="00C84DDE"/>
    <w:rsid w:val="00C85162"/>
    <w:rsid w:val="00C87864"/>
    <w:rsid w:val="00C90EAC"/>
    <w:rsid w:val="00C917FD"/>
    <w:rsid w:val="00C93D01"/>
    <w:rsid w:val="00C958FA"/>
    <w:rsid w:val="00C96958"/>
    <w:rsid w:val="00C96A6B"/>
    <w:rsid w:val="00CA2750"/>
    <w:rsid w:val="00CA62C0"/>
    <w:rsid w:val="00CA73CB"/>
    <w:rsid w:val="00CA79BB"/>
    <w:rsid w:val="00CB12CF"/>
    <w:rsid w:val="00CB4161"/>
    <w:rsid w:val="00CB43A2"/>
    <w:rsid w:val="00CB587B"/>
    <w:rsid w:val="00CB6DE1"/>
    <w:rsid w:val="00CB7730"/>
    <w:rsid w:val="00CC12A0"/>
    <w:rsid w:val="00CC26A8"/>
    <w:rsid w:val="00CC389E"/>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1EF8"/>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2BE0"/>
    <w:rsid w:val="00D7566A"/>
    <w:rsid w:val="00D75BE2"/>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4609"/>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4EAC"/>
    <w:rsid w:val="00E35B1E"/>
    <w:rsid w:val="00E41996"/>
    <w:rsid w:val="00E4250F"/>
    <w:rsid w:val="00E44A7E"/>
    <w:rsid w:val="00E46A7E"/>
    <w:rsid w:val="00E46CE8"/>
    <w:rsid w:val="00E51559"/>
    <w:rsid w:val="00E548DB"/>
    <w:rsid w:val="00E552BD"/>
    <w:rsid w:val="00E55649"/>
    <w:rsid w:val="00E56A50"/>
    <w:rsid w:val="00E5798A"/>
    <w:rsid w:val="00E57A3E"/>
    <w:rsid w:val="00E60F96"/>
    <w:rsid w:val="00E628D9"/>
    <w:rsid w:val="00E62C41"/>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956C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51C"/>
    <w:rsid w:val="00ED77E5"/>
    <w:rsid w:val="00EE026E"/>
    <w:rsid w:val="00EE3C59"/>
    <w:rsid w:val="00EE51B0"/>
    <w:rsid w:val="00EE5B70"/>
    <w:rsid w:val="00EE66B6"/>
    <w:rsid w:val="00EE7B48"/>
    <w:rsid w:val="00EF0AFA"/>
    <w:rsid w:val="00EF38E5"/>
    <w:rsid w:val="00EF5C33"/>
    <w:rsid w:val="00EF629C"/>
    <w:rsid w:val="00EF6508"/>
    <w:rsid w:val="00EF6AB8"/>
    <w:rsid w:val="00EF7C6E"/>
    <w:rsid w:val="00F0029C"/>
    <w:rsid w:val="00F012F4"/>
    <w:rsid w:val="00F01632"/>
    <w:rsid w:val="00F0546E"/>
    <w:rsid w:val="00F0625D"/>
    <w:rsid w:val="00F0672D"/>
    <w:rsid w:val="00F072E1"/>
    <w:rsid w:val="00F11185"/>
    <w:rsid w:val="00F1190E"/>
    <w:rsid w:val="00F11DDA"/>
    <w:rsid w:val="00F12E98"/>
    <w:rsid w:val="00F1446A"/>
    <w:rsid w:val="00F14DDA"/>
    <w:rsid w:val="00F15284"/>
    <w:rsid w:val="00F169CB"/>
    <w:rsid w:val="00F207AB"/>
    <w:rsid w:val="00F21405"/>
    <w:rsid w:val="00F2161A"/>
    <w:rsid w:val="00F21724"/>
    <w:rsid w:val="00F2198A"/>
    <w:rsid w:val="00F21A81"/>
    <w:rsid w:val="00F21CC1"/>
    <w:rsid w:val="00F2238C"/>
    <w:rsid w:val="00F22D61"/>
    <w:rsid w:val="00F2324D"/>
    <w:rsid w:val="00F240F2"/>
    <w:rsid w:val="00F2428F"/>
    <w:rsid w:val="00F25075"/>
    <w:rsid w:val="00F27444"/>
    <w:rsid w:val="00F317CA"/>
    <w:rsid w:val="00F319F3"/>
    <w:rsid w:val="00F31BFB"/>
    <w:rsid w:val="00F323E7"/>
    <w:rsid w:val="00F324D2"/>
    <w:rsid w:val="00F32A56"/>
    <w:rsid w:val="00F32BEB"/>
    <w:rsid w:val="00F335E4"/>
    <w:rsid w:val="00F3501E"/>
    <w:rsid w:val="00F35509"/>
    <w:rsid w:val="00F358C3"/>
    <w:rsid w:val="00F409B2"/>
    <w:rsid w:val="00F413D8"/>
    <w:rsid w:val="00F42100"/>
    <w:rsid w:val="00F42A9B"/>
    <w:rsid w:val="00F45470"/>
    <w:rsid w:val="00F464FE"/>
    <w:rsid w:val="00F465F9"/>
    <w:rsid w:val="00F47621"/>
    <w:rsid w:val="00F570AB"/>
    <w:rsid w:val="00F571A5"/>
    <w:rsid w:val="00F57A71"/>
    <w:rsid w:val="00F61C28"/>
    <w:rsid w:val="00F61E69"/>
    <w:rsid w:val="00F633B7"/>
    <w:rsid w:val="00F64434"/>
    <w:rsid w:val="00F645F1"/>
    <w:rsid w:val="00F6591A"/>
    <w:rsid w:val="00F70D35"/>
    <w:rsid w:val="00F72885"/>
    <w:rsid w:val="00F74FCF"/>
    <w:rsid w:val="00F7546C"/>
    <w:rsid w:val="00F77B00"/>
    <w:rsid w:val="00F83B6F"/>
    <w:rsid w:val="00F84470"/>
    <w:rsid w:val="00F857BC"/>
    <w:rsid w:val="00F90273"/>
    <w:rsid w:val="00F90BD0"/>
    <w:rsid w:val="00F91A5F"/>
    <w:rsid w:val="00F93ACB"/>
    <w:rsid w:val="00F93C4F"/>
    <w:rsid w:val="00F954A2"/>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subsection">
    <w:name w:val="subsection"/>
    <w:aliases w:val="ss,Subsection"/>
    <w:basedOn w:val="Normal"/>
    <w:link w:val="subsectionChar"/>
    <w:rsid w:val="00F3501E"/>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F3501E"/>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206">
      <w:bodyDiv w:val="1"/>
      <w:marLeft w:val="0"/>
      <w:marRight w:val="0"/>
      <w:marTop w:val="0"/>
      <w:marBottom w:val="0"/>
      <w:divBdr>
        <w:top w:val="none" w:sz="0" w:space="0" w:color="auto"/>
        <w:left w:val="none" w:sz="0" w:space="0" w:color="auto"/>
        <w:bottom w:val="none" w:sz="0" w:space="0" w:color="auto"/>
        <w:right w:val="none" w:sz="0" w:space="0" w:color="auto"/>
      </w:divBdr>
      <w:divsChild>
        <w:div w:id="1262031403">
          <w:marLeft w:val="0"/>
          <w:marRight w:val="0"/>
          <w:marTop w:val="0"/>
          <w:marBottom w:val="0"/>
          <w:divBdr>
            <w:top w:val="none" w:sz="0" w:space="0" w:color="auto"/>
            <w:left w:val="none" w:sz="0" w:space="0" w:color="auto"/>
            <w:bottom w:val="none" w:sz="0" w:space="0" w:color="auto"/>
            <w:right w:val="none" w:sz="0" w:space="0" w:color="auto"/>
          </w:divBdr>
          <w:divsChild>
            <w:div w:id="1949848343">
              <w:marLeft w:val="0"/>
              <w:marRight w:val="0"/>
              <w:marTop w:val="0"/>
              <w:marBottom w:val="0"/>
              <w:divBdr>
                <w:top w:val="none" w:sz="0" w:space="0" w:color="auto"/>
                <w:left w:val="none" w:sz="0" w:space="0" w:color="auto"/>
                <w:bottom w:val="none" w:sz="0" w:space="0" w:color="auto"/>
                <w:right w:val="none" w:sz="0" w:space="0" w:color="auto"/>
              </w:divBdr>
              <w:divsChild>
                <w:div w:id="1570732083">
                  <w:marLeft w:val="0"/>
                  <w:marRight w:val="0"/>
                  <w:marTop w:val="0"/>
                  <w:marBottom w:val="0"/>
                  <w:divBdr>
                    <w:top w:val="none" w:sz="0" w:space="0" w:color="auto"/>
                    <w:left w:val="none" w:sz="0" w:space="0" w:color="auto"/>
                    <w:bottom w:val="none" w:sz="0" w:space="0" w:color="auto"/>
                    <w:right w:val="none" w:sz="0" w:space="0" w:color="auto"/>
                  </w:divBdr>
                  <w:divsChild>
                    <w:div w:id="1428426779">
                      <w:marLeft w:val="0"/>
                      <w:marRight w:val="0"/>
                      <w:marTop w:val="0"/>
                      <w:marBottom w:val="0"/>
                      <w:divBdr>
                        <w:top w:val="none" w:sz="0" w:space="0" w:color="auto"/>
                        <w:left w:val="none" w:sz="0" w:space="0" w:color="auto"/>
                        <w:bottom w:val="none" w:sz="0" w:space="0" w:color="auto"/>
                        <w:right w:val="none" w:sz="0" w:space="0" w:color="auto"/>
                      </w:divBdr>
                      <w:divsChild>
                        <w:div w:id="1749695274">
                          <w:marLeft w:val="0"/>
                          <w:marRight w:val="0"/>
                          <w:marTop w:val="0"/>
                          <w:marBottom w:val="0"/>
                          <w:divBdr>
                            <w:top w:val="none" w:sz="0" w:space="0" w:color="auto"/>
                            <w:left w:val="none" w:sz="0" w:space="0" w:color="auto"/>
                            <w:bottom w:val="none" w:sz="0" w:space="0" w:color="auto"/>
                            <w:right w:val="none" w:sz="0" w:space="0" w:color="auto"/>
                          </w:divBdr>
                          <w:divsChild>
                            <w:div w:id="391346227">
                              <w:marLeft w:val="0"/>
                              <w:marRight w:val="0"/>
                              <w:marTop w:val="0"/>
                              <w:marBottom w:val="0"/>
                              <w:divBdr>
                                <w:top w:val="none" w:sz="0" w:space="0" w:color="auto"/>
                                <w:left w:val="none" w:sz="0" w:space="0" w:color="auto"/>
                                <w:bottom w:val="none" w:sz="0" w:space="0" w:color="auto"/>
                                <w:right w:val="none" w:sz="0" w:space="0" w:color="auto"/>
                              </w:divBdr>
                              <w:divsChild>
                                <w:div w:id="302002697">
                                  <w:marLeft w:val="0"/>
                                  <w:marRight w:val="0"/>
                                  <w:marTop w:val="0"/>
                                  <w:marBottom w:val="0"/>
                                  <w:divBdr>
                                    <w:top w:val="none" w:sz="0" w:space="0" w:color="auto"/>
                                    <w:left w:val="none" w:sz="0" w:space="0" w:color="auto"/>
                                    <w:bottom w:val="none" w:sz="0" w:space="0" w:color="auto"/>
                                    <w:right w:val="none" w:sz="0" w:space="0" w:color="auto"/>
                                  </w:divBdr>
                                  <w:divsChild>
                                    <w:div w:id="564603570">
                                      <w:marLeft w:val="0"/>
                                      <w:marRight w:val="0"/>
                                      <w:marTop w:val="0"/>
                                      <w:marBottom w:val="0"/>
                                      <w:divBdr>
                                        <w:top w:val="none" w:sz="0" w:space="0" w:color="auto"/>
                                        <w:left w:val="none" w:sz="0" w:space="0" w:color="auto"/>
                                        <w:bottom w:val="none" w:sz="0" w:space="0" w:color="auto"/>
                                        <w:right w:val="none" w:sz="0" w:space="0" w:color="auto"/>
                                      </w:divBdr>
                                      <w:divsChild>
                                        <w:div w:id="404840919">
                                          <w:marLeft w:val="0"/>
                                          <w:marRight w:val="0"/>
                                          <w:marTop w:val="0"/>
                                          <w:marBottom w:val="0"/>
                                          <w:divBdr>
                                            <w:top w:val="none" w:sz="0" w:space="0" w:color="auto"/>
                                            <w:left w:val="none" w:sz="0" w:space="0" w:color="auto"/>
                                            <w:bottom w:val="none" w:sz="0" w:space="0" w:color="auto"/>
                                            <w:right w:val="none" w:sz="0" w:space="0" w:color="auto"/>
                                          </w:divBdr>
                                          <w:divsChild>
                                            <w:div w:id="735394951">
                                              <w:marLeft w:val="0"/>
                                              <w:marRight w:val="0"/>
                                              <w:marTop w:val="0"/>
                                              <w:marBottom w:val="0"/>
                                              <w:divBdr>
                                                <w:top w:val="none" w:sz="0" w:space="0" w:color="auto"/>
                                                <w:left w:val="none" w:sz="0" w:space="0" w:color="auto"/>
                                                <w:bottom w:val="none" w:sz="0" w:space="0" w:color="auto"/>
                                                <w:right w:val="none" w:sz="0" w:space="0" w:color="auto"/>
                                              </w:divBdr>
                                              <w:divsChild>
                                                <w:div w:id="1627933022">
                                                  <w:marLeft w:val="0"/>
                                                  <w:marRight w:val="0"/>
                                                  <w:marTop w:val="0"/>
                                                  <w:marBottom w:val="0"/>
                                                  <w:divBdr>
                                                    <w:top w:val="none" w:sz="0" w:space="0" w:color="auto"/>
                                                    <w:left w:val="none" w:sz="0" w:space="0" w:color="auto"/>
                                                    <w:bottom w:val="none" w:sz="0" w:space="0" w:color="auto"/>
                                                    <w:right w:val="none" w:sz="0" w:space="0" w:color="auto"/>
                                                  </w:divBdr>
                                                  <w:divsChild>
                                                    <w:div w:id="599918498">
                                                      <w:marLeft w:val="0"/>
                                                      <w:marRight w:val="0"/>
                                                      <w:marTop w:val="0"/>
                                                      <w:marBottom w:val="0"/>
                                                      <w:divBdr>
                                                        <w:top w:val="none" w:sz="0" w:space="0" w:color="auto"/>
                                                        <w:left w:val="none" w:sz="0" w:space="0" w:color="auto"/>
                                                        <w:bottom w:val="none" w:sz="0" w:space="0" w:color="auto"/>
                                                        <w:right w:val="none" w:sz="0" w:space="0" w:color="auto"/>
                                                      </w:divBdr>
                                                      <w:divsChild>
                                                        <w:div w:id="15403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69329844">
      <w:bodyDiv w:val="1"/>
      <w:marLeft w:val="0"/>
      <w:marRight w:val="0"/>
      <w:marTop w:val="0"/>
      <w:marBottom w:val="0"/>
      <w:divBdr>
        <w:top w:val="none" w:sz="0" w:space="0" w:color="auto"/>
        <w:left w:val="none" w:sz="0" w:space="0" w:color="auto"/>
        <w:bottom w:val="none" w:sz="0" w:space="0" w:color="auto"/>
        <w:right w:val="none" w:sz="0" w:space="0" w:color="auto"/>
      </w:divBdr>
      <w:divsChild>
        <w:div w:id="1203439277">
          <w:marLeft w:val="0"/>
          <w:marRight w:val="0"/>
          <w:marTop w:val="0"/>
          <w:marBottom w:val="0"/>
          <w:divBdr>
            <w:top w:val="none" w:sz="0" w:space="0" w:color="auto"/>
            <w:left w:val="none" w:sz="0" w:space="0" w:color="auto"/>
            <w:bottom w:val="none" w:sz="0" w:space="0" w:color="auto"/>
            <w:right w:val="none" w:sz="0" w:space="0" w:color="auto"/>
          </w:divBdr>
          <w:divsChild>
            <w:div w:id="2095590685">
              <w:marLeft w:val="0"/>
              <w:marRight w:val="0"/>
              <w:marTop w:val="0"/>
              <w:marBottom w:val="0"/>
              <w:divBdr>
                <w:top w:val="none" w:sz="0" w:space="0" w:color="auto"/>
                <w:left w:val="none" w:sz="0" w:space="0" w:color="auto"/>
                <w:bottom w:val="none" w:sz="0" w:space="0" w:color="auto"/>
                <w:right w:val="none" w:sz="0" w:space="0" w:color="auto"/>
              </w:divBdr>
              <w:divsChild>
                <w:div w:id="714037945">
                  <w:marLeft w:val="0"/>
                  <w:marRight w:val="0"/>
                  <w:marTop w:val="0"/>
                  <w:marBottom w:val="0"/>
                  <w:divBdr>
                    <w:top w:val="none" w:sz="0" w:space="0" w:color="auto"/>
                    <w:left w:val="none" w:sz="0" w:space="0" w:color="auto"/>
                    <w:bottom w:val="none" w:sz="0" w:space="0" w:color="auto"/>
                    <w:right w:val="none" w:sz="0" w:space="0" w:color="auto"/>
                  </w:divBdr>
                  <w:divsChild>
                    <w:div w:id="765267937">
                      <w:marLeft w:val="0"/>
                      <w:marRight w:val="0"/>
                      <w:marTop w:val="0"/>
                      <w:marBottom w:val="0"/>
                      <w:divBdr>
                        <w:top w:val="none" w:sz="0" w:space="0" w:color="auto"/>
                        <w:left w:val="none" w:sz="0" w:space="0" w:color="auto"/>
                        <w:bottom w:val="none" w:sz="0" w:space="0" w:color="auto"/>
                        <w:right w:val="none" w:sz="0" w:space="0" w:color="auto"/>
                      </w:divBdr>
                      <w:divsChild>
                        <w:div w:id="1240989957">
                          <w:marLeft w:val="0"/>
                          <w:marRight w:val="0"/>
                          <w:marTop w:val="0"/>
                          <w:marBottom w:val="0"/>
                          <w:divBdr>
                            <w:top w:val="none" w:sz="0" w:space="0" w:color="auto"/>
                            <w:left w:val="none" w:sz="0" w:space="0" w:color="auto"/>
                            <w:bottom w:val="none" w:sz="0" w:space="0" w:color="auto"/>
                            <w:right w:val="none" w:sz="0" w:space="0" w:color="auto"/>
                          </w:divBdr>
                          <w:divsChild>
                            <w:div w:id="159349000">
                              <w:marLeft w:val="0"/>
                              <w:marRight w:val="0"/>
                              <w:marTop w:val="0"/>
                              <w:marBottom w:val="0"/>
                              <w:divBdr>
                                <w:top w:val="none" w:sz="0" w:space="0" w:color="auto"/>
                                <w:left w:val="none" w:sz="0" w:space="0" w:color="auto"/>
                                <w:bottom w:val="none" w:sz="0" w:space="0" w:color="auto"/>
                                <w:right w:val="none" w:sz="0" w:space="0" w:color="auto"/>
                              </w:divBdr>
                              <w:divsChild>
                                <w:div w:id="1686983476">
                                  <w:marLeft w:val="0"/>
                                  <w:marRight w:val="0"/>
                                  <w:marTop w:val="0"/>
                                  <w:marBottom w:val="0"/>
                                  <w:divBdr>
                                    <w:top w:val="none" w:sz="0" w:space="0" w:color="auto"/>
                                    <w:left w:val="none" w:sz="0" w:space="0" w:color="auto"/>
                                    <w:bottom w:val="none" w:sz="0" w:space="0" w:color="auto"/>
                                    <w:right w:val="none" w:sz="0" w:space="0" w:color="auto"/>
                                  </w:divBdr>
                                  <w:divsChild>
                                    <w:div w:id="1406029892">
                                      <w:marLeft w:val="0"/>
                                      <w:marRight w:val="0"/>
                                      <w:marTop w:val="0"/>
                                      <w:marBottom w:val="0"/>
                                      <w:divBdr>
                                        <w:top w:val="none" w:sz="0" w:space="0" w:color="auto"/>
                                        <w:left w:val="none" w:sz="0" w:space="0" w:color="auto"/>
                                        <w:bottom w:val="none" w:sz="0" w:space="0" w:color="auto"/>
                                        <w:right w:val="none" w:sz="0" w:space="0" w:color="auto"/>
                                      </w:divBdr>
                                      <w:divsChild>
                                        <w:div w:id="384918063">
                                          <w:marLeft w:val="0"/>
                                          <w:marRight w:val="0"/>
                                          <w:marTop w:val="0"/>
                                          <w:marBottom w:val="0"/>
                                          <w:divBdr>
                                            <w:top w:val="none" w:sz="0" w:space="0" w:color="auto"/>
                                            <w:left w:val="none" w:sz="0" w:space="0" w:color="auto"/>
                                            <w:bottom w:val="none" w:sz="0" w:space="0" w:color="auto"/>
                                            <w:right w:val="none" w:sz="0" w:space="0" w:color="auto"/>
                                          </w:divBdr>
                                          <w:divsChild>
                                            <w:div w:id="320737538">
                                              <w:marLeft w:val="0"/>
                                              <w:marRight w:val="0"/>
                                              <w:marTop w:val="0"/>
                                              <w:marBottom w:val="0"/>
                                              <w:divBdr>
                                                <w:top w:val="none" w:sz="0" w:space="0" w:color="auto"/>
                                                <w:left w:val="none" w:sz="0" w:space="0" w:color="auto"/>
                                                <w:bottom w:val="none" w:sz="0" w:space="0" w:color="auto"/>
                                                <w:right w:val="none" w:sz="0" w:space="0" w:color="auto"/>
                                              </w:divBdr>
                                              <w:divsChild>
                                                <w:div w:id="13311902">
                                                  <w:marLeft w:val="0"/>
                                                  <w:marRight w:val="0"/>
                                                  <w:marTop w:val="0"/>
                                                  <w:marBottom w:val="0"/>
                                                  <w:divBdr>
                                                    <w:top w:val="none" w:sz="0" w:space="0" w:color="auto"/>
                                                    <w:left w:val="none" w:sz="0" w:space="0" w:color="auto"/>
                                                    <w:bottom w:val="none" w:sz="0" w:space="0" w:color="auto"/>
                                                    <w:right w:val="none" w:sz="0" w:space="0" w:color="auto"/>
                                                  </w:divBdr>
                                                  <w:divsChild>
                                                    <w:div w:id="1164665609">
                                                      <w:marLeft w:val="0"/>
                                                      <w:marRight w:val="0"/>
                                                      <w:marTop w:val="0"/>
                                                      <w:marBottom w:val="0"/>
                                                      <w:divBdr>
                                                        <w:top w:val="none" w:sz="0" w:space="0" w:color="auto"/>
                                                        <w:left w:val="none" w:sz="0" w:space="0" w:color="auto"/>
                                                        <w:bottom w:val="none" w:sz="0" w:space="0" w:color="auto"/>
                                                        <w:right w:val="none" w:sz="0" w:space="0" w:color="auto"/>
                                                      </w:divBdr>
                                                      <w:divsChild>
                                                        <w:div w:id="1744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bd9498f-fa43-4ae2-8bb2-4c55a71680ad"/>
    <ds:schemaRef ds:uri="http://www.w3.org/XML/1998/namespace"/>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38E8AB4C-2E9A-41DA-8ED5-7B0F2074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2287</Words>
  <Characters>13038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MARTIN, Yvette</cp:lastModifiedBy>
  <cp:revision>2</cp:revision>
  <cp:lastPrinted>2019-09-23T06:46:00Z</cp:lastPrinted>
  <dcterms:created xsi:type="dcterms:W3CDTF">2020-11-30T21:34:00Z</dcterms:created>
  <dcterms:modified xsi:type="dcterms:W3CDTF">2020-11-30T21:34:00Z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