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D0982"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116D0983" w14:textId="77777777" w:rsidR="002533F0" w:rsidRPr="00BC76EB" w:rsidRDefault="002533F0" w:rsidP="00D74B44">
      <w:pPr>
        <w:spacing w:before="0"/>
        <w:ind w:right="91"/>
        <w:rPr>
          <w:rFonts w:ascii="Arial" w:hAnsi="Arial" w:cs="Arial"/>
          <w:szCs w:val="24"/>
        </w:rPr>
      </w:pPr>
    </w:p>
    <w:p w14:paraId="116D0984" w14:textId="77777777" w:rsidR="00EC0C59" w:rsidRPr="00BC76EB" w:rsidRDefault="00EC0C59" w:rsidP="002533F0">
      <w:pPr>
        <w:spacing w:before="0"/>
        <w:ind w:right="91"/>
        <w:jc w:val="center"/>
        <w:rPr>
          <w:rFonts w:ascii="Arial" w:hAnsi="Arial" w:cs="Arial"/>
          <w:b/>
          <w:szCs w:val="24"/>
          <w:u w:val="single"/>
        </w:rPr>
      </w:pPr>
    </w:p>
    <w:p w14:paraId="116D0985" w14:textId="77777777" w:rsidR="002533F0" w:rsidRPr="00BC76EB" w:rsidRDefault="002533F0" w:rsidP="002533F0">
      <w:pPr>
        <w:spacing w:before="0"/>
        <w:ind w:right="91"/>
        <w:jc w:val="center"/>
        <w:rPr>
          <w:rFonts w:ascii="Arial" w:hAnsi="Arial" w:cs="Arial"/>
          <w:szCs w:val="24"/>
        </w:rPr>
      </w:pPr>
      <w:r w:rsidRPr="000D53DB">
        <w:rPr>
          <w:rFonts w:ascii="Arial" w:hAnsi="Arial" w:cs="Arial"/>
          <w:szCs w:val="24"/>
        </w:rPr>
        <w:t>Issued by the authority of the</w:t>
      </w:r>
      <w:r w:rsidR="00AD1645" w:rsidRPr="000D53DB">
        <w:rPr>
          <w:rFonts w:ascii="Arial" w:hAnsi="Arial" w:cs="Arial"/>
          <w:szCs w:val="24"/>
        </w:rPr>
        <w:t xml:space="preserve"> </w:t>
      </w:r>
      <w:r w:rsidR="000D53DB" w:rsidRPr="006837E8">
        <w:rPr>
          <w:rFonts w:ascii="Arial" w:hAnsi="Arial" w:cs="Arial"/>
          <w:szCs w:val="24"/>
        </w:rPr>
        <w:t>Secretary of the Department of Social Services</w:t>
      </w:r>
    </w:p>
    <w:p w14:paraId="116D0986" w14:textId="77777777" w:rsidR="002533F0" w:rsidRPr="00BC76EB" w:rsidRDefault="002533F0" w:rsidP="002533F0">
      <w:pPr>
        <w:spacing w:before="0"/>
        <w:ind w:right="91"/>
        <w:jc w:val="center"/>
        <w:rPr>
          <w:rFonts w:ascii="Arial" w:hAnsi="Arial" w:cs="Arial"/>
          <w:i/>
          <w:szCs w:val="24"/>
        </w:rPr>
      </w:pPr>
    </w:p>
    <w:p w14:paraId="116D0987" w14:textId="77777777" w:rsidR="00966756" w:rsidRPr="00937F1C" w:rsidRDefault="00937F1C" w:rsidP="002533F0">
      <w:pPr>
        <w:spacing w:before="0"/>
        <w:ind w:right="91"/>
        <w:jc w:val="center"/>
        <w:rPr>
          <w:rFonts w:ascii="Arial" w:hAnsi="Arial" w:cs="Arial"/>
          <w:szCs w:val="24"/>
        </w:rPr>
      </w:pPr>
      <w:r>
        <w:rPr>
          <w:rFonts w:ascii="Arial" w:hAnsi="Arial" w:cs="Arial"/>
          <w:i/>
          <w:szCs w:val="24"/>
        </w:rPr>
        <w:t>Social Security Act 1991</w:t>
      </w:r>
    </w:p>
    <w:p w14:paraId="116D0988" w14:textId="77777777" w:rsidR="00966756" w:rsidRPr="00BC76EB" w:rsidRDefault="00966756" w:rsidP="002533F0">
      <w:pPr>
        <w:spacing w:before="0"/>
        <w:ind w:right="91"/>
        <w:jc w:val="center"/>
        <w:rPr>
          <w:rFonts w:ascii="Arial" w:hAnsi="Arial" w:cs="Arial"/>
          <w:szCs w:val="24"/>
        </w:rPr>
      </w:pPr>
    </w:p>
    <w:p w14:paraId="116D0989" w14:textId="77777777" w:rsidR="002533F0" w:rsidRPr="00EE43FD" w:rsidRDefault="00937F1C" w:rsidP="002533F0">
      <w:pPr>
        <w:spacing w:before="0"/>
        <w:ind w:right="91"/>
        <w:jc w:val="center"/>
        <w:rPr>
          <w:rFonts w:ascii="Arial" w:hAnsi="Arial" w:cs="Arial"/>
          <w:szCs w:val="24"/>
        </w:rPr>
      </w:pPr>
      <w:r w:rsidRPr="00EE43FD">
        <w:rPr>
          <w:rFonts w:ascii="Arial" w:hAnsi="Arial" w:cs="Arial"/>
          <w:szCs w:val="24"/>
        </w:rPr>
        <w:t>Social Security (Qualifying Agricultural Work) Determination 2020</w:t>
      </w:r>
    </w:p>
    <w:p w14:paraId="116D098A" w14:textId="77777777" w:rsidR="002533F0" w:rsidRPr="00BC76EB" w:rsidRDefault="002533F0" w:rsidP="002533F0">
      <w:pPr>
        <w:spacing w:before="0"/>
        <w:ind w:right="91"/>
        <w:jc w:val="center"/>
        <w:rPr>
          <w:rFonts w:ascii="Arial" w:hAnsi="Arial" w:cs="Arial"/>
          <w:i/>
          <w:szCs w:val="24"/>
        </w:rPr>
      </w:pPr>
    </w:p>
    <w:p w14:paraId="116D098B"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116D098C" w14:textId="1F82A1E9" w:rsidR="004D336A" w:rsidRDefault="00937F1C"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0E27FF">
        <w:rPr>
          <w:rStyle w:val="BookTitle"/>
          <w:rFonts w:ascii="Arial" w:hAnsi="Arial" w:cs="Arial"/>
          <w:i w:val="0"/>
          <w:iCs w:val="0"/>
          <w:smallCaps w:val="0"/>
          <w:spacing w:val="0"/>
          <w:szCs w:val="24"/>
        </w:rPr>
        <w:t xml:space="preserve">Social Security (Qualifying Agricultural Work) Determination 2020 </w:t>
      </w:r>
      <w:r w:rsidR="00074079">
        <w:rPr>
          <w:rStyle w:val="BookTitle"/>
          <w:rFonts w:ascii="Arial" w:hAnsi="Arial" w:cs="Arial"/>
          <w:i w:val="0"/>
          <w:iCs w:val="0"/>
          <w:smallCaps w:val="0"/>
          <w:spacing w:val="0"/>
          <w:szCs w:val="24"/>
        </w:rPr>
        <w:t>(the </w:t>
      </w:r>
      <w:r>
        <w:rPr>
          <w:rStyle w:val="BookTitle"/>
          <w:rFonts w:ascii="Arial" w:hAnsi="Arial" w:cs="Arial"/>
          <w:i w:val="0"/>
          <w:iCs w:val="0"/>
          <w:smallCaps w:val="0"/>
          <w:spacing w:val="0"/>
          <w:szCs w:val="24"/>
        </w:rPr>
        <w:t xml:space="preserve">instrument) </w:t>
      </w:r>
      <w:r w:rsidR="009553BD">
        <w:rPr>
          <w:rStyle w:val="BookTitle"/>
          <w:rFonts w:ascii="Arial" w:hAnsi="Arial" w:cs="Arial"/>
          <w:i w:val="0"/>
          <w:iCs w:val="0"/>
          <w:smallCaps w:val="0"/>
          <w:spacing w:val="0"/>
          <w:szCs w:val="24"/>
        </w:rPr>
        <w:t>specifies</w:t>
      </w:r>
      <w:r>
        <w:rPr>
          <w:rStyle w:val="BookTitle"/>
          <w:rFonts w:ascii="Arial" w:hAnsi="Arial" w:cs="Arial"/>
          <w:i w:val="0"/>
          <w:iCs w:val="0"/>
          <w:smallCaps w:val="0"/>
          <w:spacing w:val="0"/>
          <w:szCs w:val="24"/>
        </w:rPr>
        <w:t xml:space="preserve"> the kinds of work that are </w:t>
      </w:r>
      <w:r w:rsidR="0021769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qualifying agricultural work</w:t>
      </w:r>
      <w:r w:rsidR="0021769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for the purposes of </w:t>
      </w:r>
      <w:r w:rsidR="004A58F6">
        <w:rPr>
          <w:rStyle w:val="BookTitle"/>
          <w:rFonts w:ascii="Arial" w:hAnsi="Arial" w:cs="Arial"/>
          <w:i w:val="0"/>
          <w:iCs w:val="0"/>
          <w:smallCaps w:val="0"/>
          <w:spacing w:val="0"/>
          <w:szCs w:val="24"/>
        </w:rPr>
        <w:t>sub</w:t>
      </w:r>
      <w:r w:rsidR="00EE3CA1">
        <w:rPr>
          <w:rStyle w:val="BookTitle"/>
          <w:rFonts w:ascii="Arial" w:hAnsi="Arial" w:cs="Arial"/>
          <w:i w:val="0"/>
          <w:iCs w:val="0"/>
          <w:smallCaps w:val="0"/>
          <w:spacing w:val="0"/>
          <w:szCs w:val="24"/>
        </w:rPr>
        <w:t xml:space="preserve">section </w:t>
      </w:r>
      <w:proofErr w:type="gramStart"/>
      <w:r w:rsidR="00EE3CA1">
        <w:rPr>
          <w:rStyle w:val="BookTitle"/>
          <w:rFonts w:ascii="Arial" w:hAnsi="Arial" w:cs="Arial"/>
          <w:i w:val="0"/>
          <w:iCs w:val="0"/>
          <w:smallCaps w:val="0"/>
          <w:spacing w:val="0"/>
          <w:szCs w:val="24"/>
        </w:rPr>
        <w:t>1067A</w:t>
      </w:r>
      <w:r w:rsidR="004A58F6">
        <w:rPr>
          <w:rStyle w:val="BookTitle"/>
          <w:rFonts w:ascii="Arial" w:hAnsi="Arial" w:cs="Arial"/>
          <w:i w:val="0"/>
          <w:iCs w:val="0"/>
          <w:smallCaps w:val="0"/>
          <w:spacing w:val="0"/>
          <w:szCs w:val="24"/>
        </w:rPr>
        <w:t>(</w:t>
      </w:r>
      <w:proofErr w:type="gramEnd"/>
      <w:r w:rsidR="004A58F6">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 xml:space="preserve"> of the </w:t>
      </w:r>
      <w:r>
        <w:rPr>
          <w:rStyle w:val="BookTitle"/>
          <w:rFonts w:ascii="Arial" w:hAnsi="Arial" w:cs="Arial"/>
          <w:iCs w:val="0"/>
          <w:smallCaps w:val="0"/>
          <w:spacing w:val="0"/>
          <w:szCs w:val="24"/>
        </w:rPr>
        <w:t xml:space="preserve">Social Security Act 1991 </w:t>
      </w:r>
      <w:r>
        <w:rPr>
          <w:rStyle w:val="BookTitle"/>
          <w:rFonts w:ascii="Arial" w:hAnsi="Arial" w:cs="Arial"/>
          <w:i w:val="0"/>
          <w:iCs w:val="0"/>
          <w:smallCaps w:val="0"/>
          <w:spacing w:val="0"/>
          <w:szCs w:val="24"/>
        </w:rPr>
        <w:t>(the Act).</w:t>
      </w:r>
    </w:p>
    <w:p w14:paraId="116D098D" w14:textId="1D9CE66A" w:rsidR="00CD184D" w:rsidRPr="00BC76EB" w:rsidRDefault="00CD184D"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217691">
        <w:rPr>
          <w:rStyle w:val="BookTitle"/>
          <w:rFonts w:ascii="Arial" w:hAnsi="Arial" w:cs="Arial"/>
          <w:i w:val="0"/>
          <w:iCs w:val="0"/>
          <w:smallCaps w:val="0"/>
          <w:spacing w:val="0"/>
          <w:szCs w:val="24"/>
        </w:rPr>
        <w:t xml:space="preserve">definition of ‘qualifying agricultural work’ is relevant to </w:t>
      </w:r>
      <w:r w:rsidR="00074079">
        <w:rPr>
          <w:rStyle w:val="BookTitle"/>
          <w:rFonts w:ascii="Arial" w:hAnsi="Arial" w:cs="Arial"/>
          <w:i w:val="0"/>
          <w:iCs w:val="0"/>
          <w:smallCaps w:val="0"/>
          <w:spacing w:val="0"/>
          <w:szCs w:val="24"/>
        </w:rPr>
        <w:t>determining whether a </w:t>
      </w:r>
      <w:r>
        <w:rPr>
          <w:rStyle w:val="BookTitle"/>
          <w:rFonts w:ascii="Arial" w:hAnsi="Arial" w:cs="Arial"/>
          <w:i w:val="0"/>
          <w:iCs w:val="0"/>
          <w:smallCaps w:val="0"/>
          <w:spacing w:val="0"/>
          <w:szCs w:val="24"/>
        </w:rPr>
        <w:t xml:space="preserve">person is </w:t>
      </w:r>
      <w:r w:rsidR="00232C90">
        <w:rPr>
          <w:rStyle w:val="BookTitle"/>
          <w:rFonts w:ascii="Arial" w:hAnsi="Arial" w:cs="Arial"/>
          <w:i w:val="0"/>
          <w:iCs w:val="0"/>
          <w:smallCaps w:val="0"/>
          <w:spacing w:val="0"/>
          <w:szCs w:val="24"/>
        </w:rPr>
        <w:t>to be regarded as</w:t>
      </w:r>
      <w:r w:rsidR="000E27FF">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independent for </w:t>
      </w:r>
      <w:r w:rsidR="00217691">
        <w:rPr>
          <w:rStyle w:val="BookTitle"/>
          <w:rFonts w:ascii="Arial" w:hAnsi="Arial" w:cs="Arial"/>
          <w:i w:val="0"/>
          <w:iCs w:val="0"/>
          <w:smallCaps w:val="0"/>
          <w:spacing w:val="0"/>
          <w:szCs w:val="24"/>
        </w:rPr>
        <w:t xml:space="preserve">the purposes of the </w:t>
      </w:r>
      <w:r>
        <w:rPr>
          <w:rStyle w:val="BookTitle"/>
          <w:rFonts w:ascii="Arial" w:hAnsi="Arial" w:cs="Arial"/>
          <w:i w:val="0"/>
          <w:iCs w:val="0"/>
          <w:smallCaps w:val="0"/>
          <w:spacing w:val="0"/>
          <w:szCs w:val="24"/>
        </w:rPr>
        <w:t>Youth Allowance student (YA student)</w:t>
      </w:r>
      <w:r w:rsidR="00217691">
        <w:rPr>
          <w:rStyle w:val="BookTitle"/>
          <w:rFonts w:ascii="Arial" w:hAnsi="Arial" w:cs="Arial"/>
          <w:i w:val="0"/>
          <w:iCs w:val="0"/>
          <w:smallCaps w:val="0"/>
          <w:spacing w:val="0"/>
          <w:szCs w:val="24"/>
        </w:rPr>
        <w:t xml:space="preserve"> payment, for</w:t>
      </w:r>
      <w:r w:rsidR="00232C90">
        <w:rPr>
          <w:rStyle w:val="BookTitle"/>
          <w:rFonts w:ascii="Arial" w:hAnsi="Arial" w:cs="Arial"/>
          <w:i w:val="0"/>
          <w:iCs w:val="0"/>
          <w:smallCaps w:val="0"/>
          <w:spacing w:val="0"/>
          <w:szCs w:val="24"/>
        </w:rPr>
        <w:t xml:space="preserve"> </w:t>
      </w:r>
      <w:r w:rsidR="004A58F6">
        <w:rPr>
          <w:rStyle w:val="BookTitle"/>
          <w:rFonts w:ascii="Arial" w:hAnsi="Arial" w:cs="Arial"/>
          <w:i w:val="0"/>
          <w:iCs w:val="0"/>
          <w:smallCaps w:val="0"/>
          <w:spacing w:val="0"/>
          <w:szCs w:val="24"/>
        </w:rPr>
        <w:t xml:space="preserve">purposes </w:t>
      </w:r>
      <w:r w:rsidR="00232C90">
        <w:rPr>
          <w:rStyle w:val="BookTitle"/>
          <w:rFonts w:ascii="Arial" w:hAnsi="Arial" w:cs="Arial"/>
          <w:i w:val="0"/>
          <w:iCs w:val="0"/>
          <w:smallCaps w:val="0"/>
          <w:spacing w:val="0"/>
          <w:szCs w:val="24"/>
        </w:rPr>
        <w:t>under subsection 1067A(14) of the Act.</w:t>
      </w:r>
    </w:p>
    <w:p w14:paraId="116D098E"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116D098F" w14:textId="6386EF48" w:rsidR="00B72A0D" w:rsidRDefault="00A340DC" w:rsidP="00191AEC">
      <w:pPr>
        <w:rPr>
          <w:rFonts w:ascii="Arial" w:hAnsi="Arial" w:cs="Arial"/>
          <w:szCs w:val="24"/>
        </w:rPr>
      </w:pPr>
      <w:r>
        <w:rPr>
          <w:rFonts w:ascii="Arial" w:hAnsi="Arial" w:cs="Arial"/>
          <w:szCs w:val="24"/>
        </w:rPr>
        <w:t>Subsections</w:t>
      </w:r>
      <w:r w:rsidR="001437B8">
        <w:rPr>
          <w:rFonts w:ascii="Arial" w:hAnsi="Arial" w:cs="Arial"/>
          <w:szCs w:val="24"/>
        </w:rPr>
        <w:t xml:space="preserve"> 1067A</w:t>
      </w:r>
      <w:r>
        <w:rPr>
          <w:rFonts w:ascii="Arial" w:hAnsi="Arial" w:cs="Arial"/>
          <w:szCs w:val="24"/>
        </w:rPr>
        <w:t xml:space="preserve">(14) to </w:t>
      </w:r>
      <w:r w:rsidR="00217691">
        <w:rPr>
          <w:rFonts w:ascii="Arial" w:hAnsi="Arial" w:cs="Arial"/>
          <w:szCs w:val="24"/>
        </w:rPr>
        <w:t>1067A</w:t>
      </w:r>
      <w:r>
        <w:rPr>
          <w:rFonts w:ascii="Arial" w:hAnsi="Arial" w:cs="Arial"/>
          <w:szCs w:val="24"/>
        </w:rPr>
        <w:t>(16)</w:t>
      </w:r>
      <w:r w:rsidR="001437B8">
        <w:rPr>
          <w:rFonts w:ascii="Arial" w:hAnsi="Arial" w:cs="Arial"/>
          <w:szCs w:val="24"/>
        </w:rPr>
        <w:t xml:space="preserve"> of the Act, inserted by t</w:t>
      </w:r>
      <w:r w:rsidR="0090605B">
        <w:rPr>
          <w:rFonts w:ascii="Arial" w:hAnsi="Arial" w:cs="Arial"/>
          <w:szCs w:val="24"/>
        </w:rPr>
        <w:t xml:space="preserve">he </w:t>
      </w:r>
      <w:r w:rsidR="0090605B">
        <w:rPr>
          <w:rFonts w:ascii="Arial" w:hAnsi="Arial" w:cs="Arial"/>
          <w:i/>
          <w:szCs w:val="24"/>
        </w:rPr>
        <w:t>Social Services and Other Legislation Amendment (Coronavirus and Other Measures) Act 2020</w:t>
      </w:r>
      <w:r w:rsidR="001437B8">
        <w:rPr>
          <w:rFonts w:ascii="Arial" w:hAnsi="Arial" w:cs="Arial"/>
          <w:szCs w:val="24"/>
        </w:rPr>
        <w:t>,</w:t>
      </w:r>
      <w:r w:rsidR="0090605B">
        <w:rPr>
          <w:rFonts w:ascii="Arial" w:hAnsi="Arial" w:cs="Arial"/>
          <w:szCs w:val="24"/>
        </w:rPr>
        <w:t xml:space="preserve"> </w:t>
      </w:r>
      <w:r>
        <w:rPr>
          <w:rFonts w:ascii="Arial" w:hAnsi="Arial" w:cs="Arial"/>
          <w:szCs w:val="24"/>
        </w:rPr>
        <w:t>establish</w:t>
      </w:r>
      <w:r w:rsidR="000E27FF">
        <w:rPr>
          <w:rFonts w:ascii="Arial" w:hAnsi="Arial" w:cs="Arial"/>
          <w:szCs w:val="24"/>
        </w:rPr>
        <w:t xml:space="preserve"> a </w:t>
      </w:r>
      <w:r w:rsidR="005B069A">
        <w:rPr>
          <w:rFonts w:ascii="Arial" w:hAnsi="Arial" w:cs="Arial"/>
          <w:szCs w:val="24"/>
        </w:rPr>
        <w:t>temporary pathway</w:t>
      </w:r>
      <w:r w:rsidR="005B069A" w:rsidRPr="005B069A">
        <w:rPr>
          <w:rFonts w:ascii="Arial" w:hAnsi="Arial" w:cs="Arial"/>
          <w:szCs w:val="24"/>
        </w:rPr>
        <w:t xml:space="preserve"> </w:t>
      </w:r>
      <w:r w:rsidR="005B069A">
        <w:rPr>
          <w:rFonts w:ascii="Arial" w:hAnsi="Arial" w:cs="Arial"/>
          <w:szCs w:val="24"/>
        </w:rPr>
        <w:t>for young peopl</w:t>
      </w:r>
      <w:r w:rsidR="00074079">
        <w:rPr>
          <w:rFonts w:ascii="Arial" w:hAnsi="Arial" w:cs="Arial"/>
          <w:szCs w:val="24"/>
        </w:rPr>
        <w:t>e who are seeking to qualify as </w:t>
      </w:r>
      <w:r w:rsidR="005B069A">
        <w:rPr>
          <w:rFonts w:ascii="Arial" w:hAnsi="Arial" w:cs="Arial"/>
          <w:szCs w:val="24"/>
        </w:rPr>
        <w:t>independent for the purpose</w:t>
      </w:r>
      <w:r w:rsidR="00CD184D">
        <w:rPr>
          <w:rFonts w:ascii="Arial" w:hAnsi="Arial" w:cs="Arial"/>
          <w:szCs w:val="24"/>
        </w:rPr>
        <w:t>s of assessing</w:t>
      </w:r>
      <w:r w:rsidR="00217691">
        <w:rPr>
          <w:rFonts w:ascii="Arial" w:hAnsi="Arial" w:cs="Arial"/>
          <w:szCs w:val="24"/>
        </w:rPr>
        <w:t xml:space="preserve"> their qualification for the</w:t>
      </w:r>
      <w:r w:rsidR="00110EDE">
        <w:rPr>
          <w:rFonts w:ascii="Arial" w:hAnsi="Arial" w:cs="Arial"/>
          <w:szCs w:val="24"/>
        </w:rPr>
        <w:t xml:space="preserve"> YA student</w:t>
      </w:r>
      <w:r w:rsidR="00217691">
        <w:rPr>
          <w:rFonts w:ascii="Arial" w:hAnsi="Arial" w:cs="Arial"/>
          <w:szCs w:val="24"/>
        </w:rPr>
        <w:t xml:space="preserve"> payment</w:t>
      </w:r>
      <w:r w:rsidR="005B069A">
        <w:rPr>
          <w:rFonts w:ascii="Arial" w:hAnsi="Arial" w:cs="Arial"/>
          <w:szCs w:val="24"/>
        </w:rPr>
        <w:t>.</w:t>
      </w:r>
      <w:r w:rsidR="00B72A0D">
        <w:rPr>
          <w:rFonts w:ascii="Arial" w:hAnsi="Arial" w:cs="Arial"/>
          <w:szCs w:val="24"/>
        </w:rPr>
        <w:t xml:space="preserve"> </w:t>
      </w:r>
    </w:p>
    <w:p w14:paraId="116D0990" w14:textId="77777777" w:rsidR="005B069A" w:rsidRDefault="00A340DC" w:rsidP="00191AEC">
      <w:pPr>
        <w:rPr>
          <w:rFonts w:ascii="Arial" w:hAnsi="Arial" w:cs="Arial"/>
          <w:szCs w:val="24"/>
        </w:rPr>
      </w:pPr>
      <w:r>
        <w:rPr>
          <w:rFonts w:ascii="Arial" w:hAnsi="Arial" w:cs="Arial"/>
          <w:szCs w:val="24"/>
        </w:rPr>
        <w:t>Subsections</w:t>
      </w:r>
      <w:r w:rsidR="00B72A0D">
        <w:rPr>
          <w:rFonts w:ascii="Arial" w:hAnsi="Arial" w:cs="Arial"/>
          <w:szCs w:val="24"/>
        </w:rPr>
        <w:t xml:space="preserve"> 1067A</w:t>
      </w:r>
      <w:r>
        <w:rPr>
          <w:rFonts w:ascii="Arial" w:hAnsi="Arial" w:cs="Arial"/>
          <w:szCs w:val="24"/>
        </w:rPr>
        <w:t xml:space="preserve">(14) to </w:t>
      </w:r>
      <w:r w:rsidR="00217691">
        <w:rPr>
          <w:rFonts w:ascii="Arial" w:hAnsi="Arial" w:cs="Arial"/>
          <w:szCs w:val="24"/>
        </w:rPr>
        <w:t>1067A</w:t>
      </w:r>
      <w:r>
        <w:rPr>
          <w:rFonts w:ascii="Arial" w:hAnsi="Arial" w:cs="Arial"/>
          <w:szCs w:val="24"/>
        </w:rPr>
        <w:t>(16) of the Act create</w:t>
      </w:r>
      <w:r w:rsidR="00B72A0D">
        <w:rPr>
          <w:rFonts w:ascii="Arial" w:hAnsi="Arial" w:cs="Arial"/>
          <w:szCs w:val="24"/>
        </w:rPr>
        <w:t xml:space="preserve"> a temporary incentive in the income support system to encourage young Australians to undertake seasonal agricultural work to address concerns across the agricultural sector about immediate workforce availability for the upcoming harvest season.</w:t>
      </w:r>
    </w:p>
    <w:p w14:paraId="116D0991" w14:textId="1BC187B5" w:rsidR="00110EDE" w:rsidRPr="00110EDE" w:rsidRDefault="00217691" w:rsidP="00110EDE">
      <w:pPr>
        <w:rPr>
          <w:rFonts w:ascii="Arial" w:hAnsi="Arial" w:cs="Arial"/>
          <w:szCs w:val="24"/>
        </w:rPr>
      </w:pPr>
      <w:r>
        <w:rPr>
          <w:rFonts w:ascii="Arial" w:hAnsi="Arial" w:cs="Arial"/>
          <w:szCs w:val="24"/>
        </w:rPr>
        <w:t xml:space="preserve">Under item 4 of Schedule 3 to the </w:t>
      </w:r>
      <w:r>
        <w:rPr>
          <w:rFonts w:ascii="Arial" w:hAnsi="Arial" w:cs="Arial"/>
          <w:i/>
          <w:szCs w:val="24"/>
        </w:rPr>
        <w:t xml:space="preserve">Social Services and Other Legislation Amendment (Coronavirus and Other Measures) Act 2020, </w:t>
      </w:r>
      <w:r>
        <w:rPr>
          <w:rFonts w:ascii="Arial" w:hAnsi="Arial" w:cs="Arial"/>
          <w:szCs w:val="24"/>
        </w:rPr>
        <w:t>a</w:t>
      </w:r>
      <w:r w:rsidR="00110EDE" w:rsidRPr="00110EDE">
        <w:rPr>
          <w:rFonts w:ascii="Arial" w:hAnsi="Arial" w:cs="Arial"/>
          <w:szCs w:val="24"/>
        </w:rPr>
        <w:t xml:space="preserve"> young person claiming </w:t>
      </w:r>
      <w:r>
        <w:rPr>
          <w:rFonts w:ascii="Arial" w:hAnsi="Arial" w:cs="Arial"/>
          <w:szCs w:val="24"/>
        </w:rPr>
        <w:t xml:space="preserve">the </w:t>
      </w:r>
      <w:r w:rsidR="00074079">
        <w:rPr>
          <w:rFonts w:ascii="Arial" w:hAnsi="Arial" w:cs="Arial"/>
          <w:szCs w:val="24"/>
        </w:rPr>
        <w:t>YA </w:t>
      </w:r>
      <w:r w:rsidR="00110EDE">
        <w:rPr>
          <w:rFonts w:ascii="Arial" w:hAnsi="Arial" w:cs="Arial"/>
          <w:szCs w:val="24"/>
        </w:rPr>
        <w:t>student</w:t>
      </w:r>
      <w:r>
        <w:rPr>
          <w:rFonts w:ascii="Arial" w:hAnsi="Arial" w:cs="Arial"/>
          <w:szCs w:val="24"/>
        </w:rPr>
        <w:t xml:space="preserve"> payment</w:t>
      </w:r>
      <w:r w:rsidR="00413820">
        <w:rPr>
          <w:rFonts w:ascii="Arial" w:hAnsi="Arial" w:cs="Arial"/>
          <w:szCs w:val="24"/>
        </w:rPr>
        <w:t>,</w:t>
      </w:r>
      <w:r w:rsidR="00110EDE" w:rsidRPr="00110EDE">
        <w:rPr>
          <w:rFonts w:ascii="Arial" w:hAnsi="Arial" w:cs="Arial"/>
          <w:szCs w:val="24"/>
        </w:rPr>
        <w:t xml:space="preserve"> who demonstrates participation in agricultural work throughout the forthcoming harvest season</w:t>
      </w:r>
      <w:r w:rsidR="00413820">
        <w:rPr>
          <w:rFonts w:ascii="Arial" w:hAnsi="Arial" w:cs="Arial"/>
          <w:szCs w:val="24"/>
        </w:rPr>
        <w:t>,</w:t>
      </w:r>
      <w:r w:rsidR="00110EDE" w:rsidRPr="00110EDE">
        <w:rPr>
          <w:rFonts w:ascii="Arial" w:hAnsi="Arial" w:cs="Arial"/>
          <w:szCs w:val="24"/>
        </w:rPr>
        <w:t xml:space="preserve"> would have access to the new independence criteria</w:t>
      </w:r>
      <w:r w:rsidR="0078302D">
        <w:rPr>
          <w:rFonts w:ascii="Arial" w:hAnsi="Arial" w:cs="Arial"/>
          <w:szCs w:val="24"/>
        </w:rPr>
        <w:t xml:space="preserve"> if</w:t>
      </w:r>
      <w:r w:rsidR="001C38D1">
        <w:rPr>
          <w:rFonts w:ascii="Arial" w:hAnsi="Arial" w:cs="Arial"/>
          <w:szCs w:val="24"/>
        </w:rPr>
        <w:t xml:space="preserve"> in receipt of YA student</w:t>
      </w:r>
      <w:r w:rsidR="00727D18">
        <w:rPr>
          <w:rFonts w:ascii="Arial" w:hAnsi="Arial" w:cs="Arial"/>
          <w:szCs w:val="24"/>
        </w:rPr>
        <w:t xml:space="preserve"> payment</w:t>
      </w:r>
      <w:r w:rsidR="001C38D1">
        <w:rPr>
          <w:rFonts w:ascii="Arial" w:hAnsi="Arial" w:cs="Arial"/>
          <w:szCs w:val="24"/>
        </w:rPr>
        <w:t xml:space="preserve"> imm</w:t>
      </w:r>
      <w:r w:rsidR="000E27FF">
        <w:rPr>
          <w:rFonts w:ascii="Arial" w:hAnsi="Arial" w:cs="Arial"/>
          <w:szCs w:val="24"/>
        </w:rPr>
        <w:t>ediately before 1 March 2021 or </w:t>
      </w:r>
      <w:r w:rsidR="001C38D1">
        <w:rPr>
          <w:rFonts w:ascii="Arial" w:hAnsi="Arial" w:cs="Arial"/>
          <w:szCs w:val="24"/>
        </w:rPr>
        <w:t>if</w:t>
      </w:r>
      <w:r w:rsidR="00074079">
        <w:rPr>
          <w:rFonts w:ascii="Arial" w:hAnsi="Arial" w:cs="Arial"/>
          <w:szCs w:val="24"/>
        </w:rPr>
        <w:t> </w:t>
      </w:r>
      <w:r w:rsidR="0078302D">
        <w:rPr>
          <w:rFonts w:ascii="Arial" w:hAnsi="Arial" w:cs="Arial"/>
          <w:szCs w:val="24"/>
        </w:rPr>
        <w:t>claiming between 1 March 2021 and 1 March 2023</w:t>
      </w:r>
      <w:r>
        <w:rPr>
          <w:rFonts w:ascii="Arial" w:hAnsi="Arial" w:cs="Arial"/>
          <w:szCs w:val="24"/>
        </w:rPr>
        <w:t xml:space="preserve"> (both dates inclusive)</w:t>
      </w:r>
      <w:r w:rsidR="00074079">
        <w:rPr>
          <w:rFonts w:ascii="Arial" w:hAnsi="Arial" w:cs="Arial"/>
          <w:szCs w:val="24"/>
        </w:rPr>
        <w:t xml:space="preserve">. </w:t>
      </w:r>
    </w:p>
    <w:p w14:paraId="116D0992" w14:textId="47EFB37E" w:rsidR="008F323A" w:rsidRDefault="00110EDE" w:rsidP="00191AEC">
      <w:pPr>
        <w:rPr>
          <w:rFonts w:ascii="Arial" w:hAnsi="Arial" w:cs="Arial"/>
          <w:szCs w:val="24"/>
        </w:rPr>
      </w:pPr>
      <w:r w:rsidRPr="00110EDE">
        <w:rPr>
          <w:rFonts w:ascii="Arial" w:hAnsi="Arial" w:cs="Arial"/>
          <w:szCs w:val="24"/>
        </w:rPr>
        <w:t>Under the new criteria, a person who earns $15,000 through employment in the agricultural industry between 30 November 2020</w:t>
      </w:r>
      <w:r w:rsidR="000E27FF">
        <w:rPr>
          <w:rFonts w:ascii="Arial" w:hAnsi="Arial" w:cs="Arial"/>
          <w:szCs w:val="24"/>
        </w:rPr>
        <w:t xml:space="preserve"> and 31 December 2021 would be </w:t>
      </w:r>
      <w:r w:rsidRPr="00110EDE">
        <w:rPr>
          <w:rFonts w:ascii="Arial" w:hAnsi="Arial" w:cs="Arial"/>
          <w:szCs w:val="24"/>
        </w:rPr>
        <w:t xml:space="preserve">considered as independent for the purpose of </w:t>
      </w:r>
      <w:r w:rsidR="00217691">
        <w:rPr>
          <w:rFonts w:ascii="Arial" w:hAnsi="Arial" w:cs="Arial"/>
          <w:szCs w:val="24"/>
        </w:rPr>
        <w:t xml:space="preserve">the </w:t>
      </w:r>
      <w:r w:rsidRPr="00110EDE">
        <w:rPr>
          <w:rFonts w:ascii="Arial" w:hAnsi="Arial" w:cs="Arial"/>
          <w:szCs w:val="24"/>
        </w:rPr>
        <w:t>YA student</w:t>
      </w:r>
      <w:r w:rsidR="00217691">
        <w:rPr>
          <w:rFonts w:ascii="Arial" w:hAnsi="Arial" w:cs="Arial"/>
          <w:szCs w:val="24"/>
        </w:rPr>
        <w:t xml:space="preserve"> payment</w:t>
      </w:r>
      <w:r w:rsidR="00074079">
        <w:rPr>
          <w:rFonts w:ascii="Arial" w:hAnsi="Arial" w:cs="Arial"/>
          <w:szCs w:val="24"/>
        </w:rPr>
        <w:t>, subject to </w:t>
      </w:r>
      <w:r w:rsidR="0078302D">
        <w:rPr>
          <w:rFonts w:ascii="Arial" w:hAnsi="Arial" w:cs="Arial"/>
          <w:szCs w:val="24"/>
        </w:rPr>
        <w:t xml:space="preserve">a </w:t>
      </w:r>
      <w:r w:rsidR="001C38D1">
        <w:rPr>
          <w:rFonts w:ascii="Arial" w:hAnsi="Arial" w:cs="Arial"/>
          <w:szCs w:val="24"/>
        </w:rPr>
        <w:t>p</w:t>
      </w:r>
      <w:r w:rsidR="0078302D">
        <w:rPr>
          <w:rFonts w:ascii="Arial" w:hAnsi="Arial" w:cs="Arial"/>
          <w:szCs w:val="24"/>
        </w:rPr>
        <w:t xml:space="preserve">arental </w:t>
      </w:r>
      <w:r w:rsidR="001C38D1">
        <w:rPr>
          <w:rFonts w:ascii="Arial" w:hAnsi="Arial" w:cs="Arial"/>
          <w:szCs w:val="24"/>
        </w:rPr>
        <w:t>i</w:t>
      </w:r>
      <w:r w:rsidR="0078302D">
        <w:rPr>
          <w:rFonts w:ascii="Arial" w:hAnsi="Arial" w:cs="Arial"/>
          <w:szCs w:val="24"/>
        </w:rPr>
        <w:t xml:space="preserve">ncome </w:t>
      </w:r>
      <w:r w:rsidR="001C38D1">
        <w:rPr>
          <w:rFonts w:ascii="Arial" w:hAnsi="Arial" w:cs="Arial"/>
          <w:szCs w:val="24"/>
        </w:rPr>
        <w:t>t</w:t>
      </w:r>
      <w:r w:rsidR="0078302D">
        <w:rPr>
          <w:rFonts w:ascii="Arial" w:hAnsi="Arial" w:cs="Arial"/>
          <w:szCs w:val="24"/>
        </w:rPr>
        <w:t>hreshold</w:t>
      </w:r>
      <w:r w:rsidRPr="00110EDE">
        <w:rPr>
          <w:rFonts w:ascii="Arial" w:hAnsi="Arial" w:cs="Arial"/>
          <w:szCs w:val="24"/>
        </w:rPr>
        <w:t xml:space="preserve">.  This change will shorten the period of time a young person engaging in agricultural work would need to work to demonstrate financial independence from their parents.  </w:t>
      </w:r>
      <w:r w:rsidR="008F323A">
        <w:rPr>
          <w:rFonts w:ascii="Arial" w:hAnsi="Arial" w:cs="Arial"/>
          <w:szCs w:val="24"/>
        </w:rPr>
        <w:t>Th</w:t>
      </w:r>
      <w:r w:rsidR="005B069A">
        <w:rPr>
          <w:rFonts w:ascii="Arial" w:hAnsi="Arial" w:cs="Arial"/>
          <w:szCs w:val="24"/>
        </w:rPr>
        <w:t xml:space="preserve">e instrument determines what constitutes </w:t>
      </w:r>
      <w:r w:rsidR="00217691">
        <w:rPr>
          <w:rFonts w:ascii="Arial" w:hAnsi="Arial" w:cs="Arial"/>
          <w:szCs w:val="24"/>
        </w:rPr>
        <w:t>‘</w:t>
      </w:r>
      <w:r w:rsidR="005B069A">
        <w:rPr>
          <w:rFonts w:ascii="Arial" w:hAnsi="Arial" w:cs="Arial"/>
          <w:szCs w:val="24"/>
        </w:rPr>
        <w:t>qualifying agricultural work</w:t>
      </w:r>
      <w:r w:rsidR="00217691">
        <w:rPr>
          <w:rFonts w:ascii="Arial" w:hAnsi="Arial" w:cs="Arial"/>
          <w:szCs w:val="24"/>
        </w:rPr>
        <w:t>’</w:t>
      </w:r>
      <w:r w:rsidR="005B069A">
        <w:rPr>
          <w:rFonts w:ascii="Arial" w:hAnsi="Arial" w:cs="Arial"/>
          <w:szCs w:val="24"/>
        </w:rPr>
        <w:t xml:space="preserve"> for the purposes</w:t>
      </w:r>
      <w:r w:rsidR="004B6111">
        <w:rPr>
          <w:rFonts w:ascii="Arial" w:hAnsi="Arial" w:cs="Arial"/>
          <w:szCs w:val="24"/>
        </w:rPr>
        <w:t xml:space="preserve"> of</w:t>
      </w:r>
      <w:r w:rsidR="005B069A">
        <w:rPr>
          <w:rFonts w:ascii="Arial" w:hAnsi="Arial" w:cs="Arial"/>
          <w:szCs w:val="24"/>
        </w:rPr>
        <w:t xml:space="preserve"> </w:t>
      </w:r>
      <w:r w:rsidR="00D556CD">
        <w:rPr>
          <w:rFonts w:ascii="Arial" w:hAnsi="Arial" w:cs="Arial"/>
          <w:szCs w:val="24"/>
        </w:rPr>
        <w:t>the new independence criteria.</w:t>
      </w:r>
    </w:p>
    <w:p w14:paraId="116D0993" w14:textId="77777777" w:rsidR="00EE43FD" w:rsidRPr="00EE43FD" w:rsidRDefault="00EE43FD" w:rsidP="00191AEC">
      <w:pPr>
        <w:rPr>
          <w:rFonts w:ascii="Arial" w:hAnsi="Arial" w:cs="Arial"/>
          <w:szCs w:val="24"/>
        </w:rPr>
      </w:pPr>
      <w:r>
        <w:rPr>
          <w:rFonts w:ascii="Arial" w:hAnsi="Arial" w:cs="Arial"/>
          <w:szCs w:val="24"/>
        </w:rPr>
        <w:t xml:space="preserve">The instrument is a legislative instrument for the purposes of the </w:t>
      </w:r>
      <w:r w:rsidR="000E27FF">
        <w:rPr>
          <w:rFonts w:ascii="Arial" w:hAnsi="Arial" w:cs="Arial"/>
          <w:i/>
          <w:szCs w:val="24"/>
        </w:rPr>
        <w:t>Legislation Act </w:t>
      </w:r>
      <w:r>
        <w:rPr>
          <w:rFonts w:ascii="Arial" w:hAnsi="Arial" w:cs="Arial"/>
          <w:i/>
          <w:szCs w:val="24"/>
        </w:rPr>
        <w:t>2003</w:t>
      </w:r>
      <w:r>
        <w:rPr>
          <w:rFonts w:ascii="Arial" w:hAnsi="Arial" w:cs="Arial"/>
          <w:szCs w:val="24"/>
        </w:rPr>
        <w:t xml:space="preserve"> and is subject to disallowance.</w:t>
      </w:r>
    </w:p>
    <w:p w14:paraId="0B5123D4" w14:textId="77777777" w:rsidR="00074079" w:rsidRDefault="00074079" w:rsidP="004B54CA">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116D0994" w14:textId="46F049EF"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Commencement</w:t>
      </w:r>
    </w:p>
    <w:p w14:paraId="116D0995" w14:textId="77777777" w:rsidR="000B4130"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The</w:t>
      </w:r>
      <w:r w:rsidR="00937F1C">
        <w:rPr>
          <w:rStyle w:val="BookTitle"/>
          <w:rFonts w:ascii="Arial" w:hAnsi="Arial" w:cs="Arial"/>
          <w:i w:val="0"/>
          <w:iCs w:val="0"/>
          <w:smallCaps w:val="0"/>
          <w:spacing w:val="0"/>
          <w:szCs w:val="24"/>
        </w:rPr>
        <w:t xml:space="preserve"> instrument will commence the day after </w:t>
      </w:r>
      <w:r w:rsidR="008B360F">
        <w:rPr>
          <w:rStyle w:val="BookTitle"/>
          <w:rFonts w:ascii="Arial" w:hAnsi="Arial" w:cs="Arial"/>
          <w:i w:val="0"/>
          <w:iCs w:val="0"/>
          <w:smallCaps w:val="0"/>
          <w:spacing w:val="0"/>
          <w:szCs w:val="24"/>
        </w:rPr>
        <w:t>it</w:t>
      </w:r>
      <w:r w:rsidR="00937F1C">
        <w:rPr>
          <w:rStyle w:val="BookTitle"/>
          <w:rFonts w:ascii="Arial" w:hAnsi="Arial" w:cs="Arial"/>
          <w:i w:val="0"/>
          <w:iCs w:val="0"/>
          <w:smallCaps w:val="0"/>
          <w:spacing w:val="0"/>
          <w:szCs w:val="24"/>
        </w:rPr>
        <w:t xml:space="preserve"> is registered on the Federal Register of Legislation.</w:t>
      </w:r>
    </w:p>
    <w:p w14:paraId="116D0996" w14:textId="77777777" w:rsidR="006A6D51" w:rsidRPr="00BC76EB" w:rsidRDefault="006A6D51" w:rsidP="00E01E71">
      <w:pPr>
        <w:rPr>
          <w:rStyle w:val="BookTitle"/>
          <w:rFonts w:ascii="Arial" w:hAnsi="Arial" w:cs="Arial"/>
          <w:b/>
          <w:i w:val="0"/>
          <w:iCs w:val="0"/>
          <w:smallCaps w:val="0"/>
          <w:spacing w:val="0"/>
          <w:szCs w:val="24"/>
        </w:rPr>
      </w:pPr>
      <w:r w:rsidRPr="004820EB">
        <w:rPr>
          <w:rStyle w:val="BookTitle"/>
          <w:rFonts w:ascii="Arial" w:hAnsi="Arial" w:cs="Arial"/>
          <w:b/>
          <w:i w:val="0"/>
          <w:iCs w:val="0"/>
          <w:smallCaps w:val="0"/>
          <w:spacing w:val="0"/>
          <w:szCs w:val="24"/>
        </w:rPr>
        <w:t>Consultation</w:t>
      </w:r>
    </w:p>
    <w:p w14:paraId="116D0997" w14:textId="77777777" w:rsidR="00BC1486" w:rsidRDefault="00BC7EE5" w:rsidP="00E01E71">
      <w:pPr>
        <w:rPr>
          <w:rFonts w:ascii="Arial" w:hAnsi="Arial" w:cs="Arial"/>
          <w:szCs w:val="24"/>
        </w:rPr>
      </w:pPr>
      <w:r>
        <w:rPr>
          <w:rFonts w:ascii="Arial" w:hAnsi="Arial" w:cs="Arial"/>
          <w:szCs w:val="24"/>
        </w:rPr>
        <w:t>Consultation was undertaken with t</w:t>
      </w:r>
      <w:r w:rsidR="00BC1486">
        <w:rPr>
          <w:rFonts w:ascii="Arial" w:hAnsi="Arial" w:cs="Arial"/>
          <w:szCs w:val="24"/>
        </w:rPr>
        <w:t xml:space="preserve">he Department of </w:t>
      </w:r>
      <w:r w:rsidR="004820EB">
        <w:rPr>
          <w:rFonts w:ascii="Arial" w:hAnsi="Arial" w:cs="Arial"/>
          <w:szCs w:val="24"/>
        </w:rPr>
        <w:t>Agri</w:t>
      </w:r>
      <w:r>
        <w:rPr>
          <w:rFonts w:ascii="Arial" w:hAnsi="Arial" w:cs="Arial"/>
          <w:szCs w:val="24"/>
        </w:rPr>
        <w:t xml:space="preserve">culture, </w:t>
      </w:r>
      <w:r w:rsidR="004820EB">
        <w:rPr>
          <w:rFonts w:ascii="Arial" w:hAnsi="Arial" w:cs="Arial"/>
          <w:szCs w:val="24"/>
        </w:rPr>
        <w:t>Water</w:t>
      </w:r>
      <w:r>
        <w:rPr>
          <w:rFonts w:ascii="Arial" w:hAnsi="Arial" w:cs="Arial"/>
          <w:szCs w:val="24"/>
        </w:rPr>
        <w:t xml:space="preserve"> and the Environment</w:t>
      </w:r>
      <w:r w:rsidR="004820EB">
        <w:rPr>
          <w:rFonts w:ascii="Arial" w:hAnsi="Arial" w:cs="Arial"/>
          <w:szCs w:val="24"/>
        </w:rPr>
        <w:t xml:space="preserve">, the Department of Education, Skills and Employment and </w:t>
      </w:r>
      <w:r w:rsidR="00BC1486">
        <w:rPr>
          <w:rFonts w:ascii="Arial" w:hAnsi="Arial" w:cs="Arial"/>
          <w:szCs w:val="24"/>
        </w:rPr>
        <w:t>Services</w:t>
      </w:r>
      <w:r>
        <w:rPr>
          <w:rFonts w:ascii="Arial" w:hAnsi="Arial" w:cs="Arial"/>
          <w:szCs w:val="24"/>
        </w:rPr>
        <w:t xml:space="preserve"> Australia.</w:t>
      </w:r>
    </w:p>
    <w:p w14:paraId="116D0998" w14:textId="77777777" w:rsidR="002329E1" w:rsidRPr="00BC76EB" w:rsidRDefault="002329E1" w:rsidP="003A04AD">
      <w:pPr>
        <w:spacing w:after="240"/>
        <w:jc w:val="both"/>
        <w:rPr>
          <w:rFonts w:ascii="Arial" w:hAnsi="Arial" w:cs="Arial"/>
          <w:b/>
          <w:szCs w:val="24"/>
        </w:rPr>
      </w:pPr>
      <w:r w:rsidRPr="00BC1486">
        <w:rPr>
          <w:rFonts w:ascii="Arial" w:hAnsi="Arial" w:cs="Arial"/>
          <w:b/>
          <w:szCs w:val="24"/>
        </w:rPr>
        <w:t>Regulat</w:t>
      </w:r>
      <w:r w:rsidR="00D459E0" w:rsidRPr="00BC1486">
        <w:rPr>
          <w:rFonts w:ascii="Arial" w:hAnsi="Arial" w:cs="Arial"/>
          <w:b/>
          <w:szCs w:val="24"/>
        </w:rPr>
        <w:t>ion</w:t>
      </w:r>
      <w:r w:rsidRPr="00BC1486">
        <w:rPr>
          <w:rFonts w:ascii="Arial" w:hAnsi="Arial" w:cs="Arial"/>
          <w:b/>
          <w:szCs w:val="24"/>
        </w:rPr>
        <w:t xml:space="preserve"> Impact </w:t>
      </w:r>
      <w:r w:rsidR="00D459E0" w:rsidRPr="00BC1486">
        <w:rPr>
          <w:rFonts w:ascii="Arial" w:hAnsi="Arial" w:cs="Arial"/>
          <w:b/>
          <w:szCs w:val="24"/>
        </w:rPr>
        <w:t>Statement</w:t>
      </w:r>
      <w:r w:rsidR="00F52853" w:rsidRPr="00BC1486">
        <w:rPr>
          <w:rFonts w:ascii="Arial" w:hAnsi="Arial" w:cs="Arial"/>
          <w:b/>
          <w:szCs w:val="24"/>
        </w:rPr>
        <w:t xml:space="preserve"> (RIS)</w:t>
      </w:r>
    </w:p>
    <w:p w14:paraId="116D0999" w14:textId="77777777" w:rsidR="005D072C" w:rsidRPr="005D072C" w:rsidRDefault="00BC1486" w:rsidP="00C37944">
      <w:pPr>
        <w:spacing w:before="120"/>
        <w:rPr>
          <w:rFonts w:ascii="Arial" w:hAnsi="Arial" w:cs="Arial"/>
          <w:szCs w:val="24"/>
        </w:rPr>
      </w:pPr>
      <w:r>
        <w:rPr>
          <w:rFonts w:ascii="Arial" w:hAnsi="Arial" w:cs="Arial"/>
          <w:szCs w:val="24"/>
        </w:rPr>
        <w:t>Following consultation with the Office of Best Practice Regulatio</w:t>
      </w:r>
      <w:r w:rsidRPr="00231203">
        <w:rPr>
          <w:rFonts w:ascii="Arial" w:hAnsi="Arial" w:cs="Arial"/>
          <w:szCs w:val="24"/>
        </w:rPr>
        <w:t xml:space="preserve">n, </w:t>
      </w:r>
      <w:r w:rsidR="000E27FF">
        <w:rPr>
          <w:rFonts w:ascii="Arial" w:hAnsi="Arial" w:cs="Arial"/>
          <w:szCs w:val="24"/>
        </w:rPr>
        <w:t>a </w:t>
      </w:r>
      <w:r w:rsidRPr="00972A06">
        <w:rPr>
          <w:rFonts w:ascii="Arial" w:hAnsi="Arial" w:cs="Arial"/>
          <w:szCs w:val="24"/>
        </w:rPr>
        <w:t>RIS</w:t>
      </w:r>
      <w:r w:rsidR="000E27FF">
        <w:rPr>
          <w:rFonts w:ascii="Arial" w:hAnsi="Arial" w:cs="Arial"/>
          <w:szCs w:val="24"/>
        </w:rPr>
        <w:t> is </w:t>
      </w:r>
      <w:r w:rsidRPr="00972A06">
        <w:rPr>
          <w:rFonts w:ascii="Arial" w:hAnsi="Arial" w:cs="Arial"/>
          <w:szCs w:val="24"/>
        </w:rPr>
        <w:t>not required for this instrument (</w:t>
      </w:r>
      <w:r w:rsidR="009D1194" w:rsidRPr="00972A06">
        <w:rPr>
          <w:rFonts w:ascii="Arial" w:hAnsi="Arial" w:cs="Arial"/>
          <w:szCs w:val="24"/>
        </w:rPr>
        <w:t xml:space="preserve">OBPR </w:t>
      </w:r>
      <w:r w:rsidRPr="00972A06">
        <w:rPr>
          <w:rFonts w:ascii="Arial" w:hAnsi="Arial" w:cs="Arial"/>
          <w:szCs w:val="24"/>
        </w:rPr>
        <w:t xml:space="preserve">ID </w:t>
      </w:r>
      <w:r w:rsidR="00231203" w:rsidRPr="00231203">
        <w:rPr>
          <w:rFonts w:ascii="Arial" w:hAnsi="Arial" w:cs="Arial"/>
          <w:szCs w:val="24"/>
        </w:rPr>
        <w:t>43276</w:t>
      </w:r>
      <w:r w:rsidRPr="00972A06">
        <w:rPr>
          <w:rFonts w:ascii="Arial" w:hAnsi="Arial" w:cs="Arial"/>
          <w:szCs w:val="24"/>
        </w:rPr>
        <w:t>)</w:t>
      </w:r>
      <w:r w:rsidR="00231203">
        <w:rPr>
          <w:rFonts w:ascii="Arial" w:hAnsi="Arial" w:cs="Arial"/>
          <w:szCs w:val="24"/>
        </w:rPr>
        <w:t>.</w:t>
      </w:r>
      <w:r w:rsidR="004F64C0" w:rsidRPr="00972A06">
        <w:rPr>
          <w:rFonts w:ascii="Arial" w:hAnsi="Arial" w:cs="Arial"/>
          <w:szCs w:val="24"/>
        </w:rPr>
        <w:t xml:space="preserve"> </w:t>
      </w:r>
    </w:p>
    <w:p w14:paraId="116D099A"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116D099B"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116D099C" w14:textId="77777777" w:rsidR="00446D6C" w:rsidRPr="00DE14E5" w:rsidRDefault="00DE14E5" w:rsidP="00074079">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w:t>
      </w:r>
      <w:r w:rsidR="008B360F">
        <w:rPr>
          <w:rStyle w:val="BookTitle"/>
          <w:rFonts w:ascii="Arial" w:hAnsi="Arial" w:cs="Arial"/>
          <w:i w:val="0"/>
          <w:iCs w:val="0"/>
          <w:smallCaps w:val="0"/>
          <w:spacing w:val="0"/>
          <w:szCs w:val="24"/>
        </w:rPr>
        <w:t xml:space="preserve">name of the </w:t>
      </w:r>
      <w:r>
        <w:rPr>
          <w:rStyle w:val="BookTitle"/>
          <w:rFonts w:ascii="Arial" w:hAnsi="Arial" w:cs="Arial"/>
          <w:i w:val="0"/>
          <w:iCs w:val="0"/>
          <w:smallCaps w:val="0"/>
          <w:spacing w:val="0"/>
          <w:szCs w:val="24"/>
        </w:rPr>
        <w:t xml:space="preserve">instrument is the </w:t>
      </w:r>
      <w:r w:rsidRPr="00074079">
        <w:rPr>
          <w:rStyle w:val="BookTitle"/>
          <w:rFonts w:ascii="Arial" w:hAnsi="Arial" w:cs="Arial"/>
          <w:i w:val="0"/>
          <w:iCs w:val="0"/>
          <w:smallCaps w:val="0"/>
          <w:spacing w:val="0"/>
          <w:szCs w:val="24"/>
        </w:rPr>
        <w:t>Social Security (Qualifying Agricultural Work) Determination 2020.</w:t>
      </w:r>
    </w:p>
    <w:p w14:paraId="116D099D"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116D099E" w14:textId="77777777" w:rsidR="00871F28" w:rsidRPr="00DE14E5" w:rsidRDefault="00DE14E5" w:rsidP="00074079">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instrument commences on the day after it is registered on the Federal Register of Legislation.</w:t>
      </w:r>
    </w:p>
    <w:p w14:paraId="116D099F" w14:textId="77777777" w:rsidR="00871F28" w:rsidRDefault="00DE14E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w:t>
      </w:r>
    </w:p>
    <w:p w14:paraId="116D09A0" w14:textId="77777777" w:rsidR="00DE14E5" w:rsidRPr="00DE14E5" w:rsidRDefault="00DE14E5" w:rsidP="00074079">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instrument is made under </w:t>
      </w:r>
      <w:r w:rsidR="008B360F">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 xml:space="preserve">section </w:t>
      </w:r>
      <w:proofErr w:type="gramStart"/>
      <w:r>
        <w:rPr>
          <w:rStyle w:val="BookTitle"/>
          <w:rFonts w:ascii="Arial" w:hAnsi="Arial" w:cs="Arial"/>
          <w:i w:val="0"/>
          <w:iCs w:val="0"/>
          <w:smallCaps w:val="0"/>
          <w:spacing w:val="0"/>
          <w:szCs w:val="24"/>
        </w:rPr>
        <w:t>1067A(</w:t>
      </w:r>
      <w:proofErr w:type="gramEnd"/>
      <w:r>
        <w:rPr>
          <w:rStyle w:val="BookTitle"/>
          <w:rFonts w:ascii="Arial" w:hAnsi="Arial" w:cs="Arial"/>
          <w:i w:val="0"/>
          <w:iCs w:val="0"/>
          <w:smallCaps w:val="0"/>
          <w:spacing w:val="0"/>
          <w:szCs w:val="24"/>
        </w:rPr>
        <w:t>16) of the Act.</w:t>
      </w:r>
    </w:p>
    <w:p w14:paraId="116D09A1" w14:textId="77777777" w:rsidR="00871F28" w:rsidRDefault="00DE14E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4</w:t>
      </w:r>
    </w:p>
    <w:p w14:paraId="116D09A2" w14:textId="77777777" w:rsidR="00DE14E5" w:rsidRPr="00DE14E5" w:rsidRDefault="00DE14E5" w:rsidP="00074079">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w:t>
      </w:r>
      <w:r w:rsidR="004820EB">
        <w:rPr>
          <w:rStyle w:val="BookTitle"/>
          <w:rFonts w:ascii="Arial" w:hAnsi="Arial" w:cs="Arial"/>
          <w:i w:val="0"/>
          <w:iCs w:val="0"/>
          <w:smallCaps w:val="0"/>
          <w:spacing w:val="0"/>
          <w:szCs w:val="24"/>
        </w:rPr>
        <w:t xml:space="preserve">s section </w:t>
      </w:r>
      <w:r>
        <w:rPr>
          <w:rStyle w:val="BookTitle"/>
          <w:rFonts w:ascii="Arial" w:hAnsi="Arial" w:cs="Arial"/>
          <w:i w:val="0"/>
          <w:iCs w:val="0"/>
          <w:smallCaps w:val="0"/>
          <w:spacing w:val="0"/>
          <w:szCs w:val="24"/>
        </w:rPr>
        <w:t>provides that “Act”</w:t>
      </w:r>
      <w:r w:rsidR="008B360F">
        <w:rPr>
          <w:rStyle w:val="BookTitle"/>
          <w:rFonts w:ascii="Arial" w:hAnsi="Arial" w:cs="Arial"/>
          <w:i w:val="0"/>
          <w:iCs w:val="0"/>
          <w:smallCaps w:val="0"/>
          <w:spacing w:val="0"/>
          <w:szCs w:val="24"/>
        </w:rPr>
        <w:t xml:space="preserve"> as</w:t>
      </w:r>
      <w:r>
        <w:rPr>
          <w:rStyle w:val="BookTitle"/>
          <w:rFonts w:ascii="Arial" w:hAnsi="Arial" w:cs="Arial"/>
          <w:i w:val="0"/>
          <w:iCs w:val="0"/>
          <w:smallCaps w:val="0"/>
          <w:spacing w:val="0"/>
          <w:szCs w:val="24"/>
        </w:rPr>
        <w:t xml:space="preserve"> referred to in the instrument is the </w:t>
      </w:r>
      <w:r>
        <w:rPr>
          <w:rStyle w:val="BookTitle"/>
          <w:rFonts w:ascii="Arial" w:hAnsi="Arial" w:cs="Arial"/>
          <w:iCs w:val="0"/>
          <w:smallCaps w:val="0"/>
          <w:spacing w:val="0"/>
          <w:szCs w:val="24"/>
        </w:rPr>
        <w:t>Social Security Act 1991</w:t>
      </w:r>
      <w:r w:rsidR="004820EB">
        <w:rPr>
          <w:rStyle w:val="BookTitle"/>
          <w:rFonts w:ascii="Arial" w:hAnsi="Arial" w:cs="Arial"/>
          <w:i w:val="0"/>
          <w:iCs w:val="0"/>
          <w:smallCaps w:val="0"/>
          <w:spacing w:val="0"/>
          <w:szCs w:val="24"/>
        </w:rPr>
        <w:t>.</w:t>
      </w:r>
    </w:p>
    <w:p w14:paraId="116D09A3" w14:textId="77777777" w:rsidR="00871F28" w:rsidRDefault="00DE14E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5</w:t>
      </w:r>
    </w:p>
    <w:p w14:paraId="116D09A4" w14:textId="77777777" w:rsidR="004820EB" w:rsidRDefault="00DE14E5" w:rsidP="00074079">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sets out the kinds of agricultu</w:t>
      </w:r>
      <w:r w:rsidR="000E27FF">
        <w:rPr>
          <w:rStyle w:val="BookTitle"/>
          <w:rFonts w:ascii="Arial" w:hAnsi="Arial" w:cs="Arial"/>
          <w:i w:val="0"/>
          <w:iCs w:val="0"/>
          <w:smallCaps w:val="0"/>
          <w:spacing w:val="0"/>
          <w:szCs w:val="24"/>
        </w:rPr>
        <w:t xml:space="preserve">ral work that are determined to </w:t>
      </w:r>
      <w:r w:rsidR="00BC7EE5">
        <w:rPr>
          <w:rStyle w:val="BookTitle"/>
          <w:rFonts w:ascii="Arial" w:hAnsi="Arial" w:cs="Arial"/>
          <w:i w:val="0"/>
          <w:iCs w:val="0"/>
          <w:smallCaps w:val="0"/>
          <w:spacing w:val="0"/>
          <w:szCs w:val="24"/>
        </w:rPr>
        <w:t xml:space="preserve">be </w:t>
      </w:r>
      <w:r w:rsidR="008B2047">
        <w:rPr>
          <w:rStyle w:val="BookTitle"/>
          <w:rFonts w:ascii="Arial" w:hAnsi="Arial" w:cs="Arial"/>
          <w:i w:val="0"/>
          <w:iCs w:val="0"/>
          <w:smallCaps w:val="0"/>
          <w:spacing w:val="0"/>
          <w:szCs w:val="24"/>
        </w:rPr>
        <w:t>‘</w:t>
      </w:r>
      <w:r w:rsidR="00BC7EE5">
        <w:rPr>
          <w:rStyle w:val="BookTitle"/>
          <w:rFonts w:ascii="Arial" w:hAnsi="Arial" w:cs="Arial"/>
          <w:i w:val="0"/>
          <w:iCs w:val="0"/>
          <w:smallCaps w:val="0"/>
          <w:spacing w:val="0"/>
          <w:szCs w:val="24"/>
        </w:rPr>
        <w:t>qualifying agricultural work</w:t>
      </w:r>
      <w:r w:rsidR="008B2047">
        <w:rPr>
          <w:rStyle w:val="BookTitle"/>
          <w:rFonts w:ascii="Arial" w:hAnsi="Arial" w:cs="Arial"/>
          <w:i w:val="0"/>
          <w:iCs w:val="0"/>
          <w:smallCaps w:val="0"/>
          <w:spacing w:val="0"/>
          <w:szCs w:val="24"/>
        </w:rPr>
        <w:t>’</w:t>
      </w:r>
      <w:r w:rsidR="00BC7EE5">
        <w:rPr>
          <w:rStyle w:val="BookTitle"/>
          <w:rFonts w:ascii="Arial" w:hAnsi="Arial" w:cs="Arial"/>
          <w:i w:val="0"/>
          <w:iCs w:val="0"/>
          <w:smallCaps w:val="0"/>
          <w:spacing w:val="0"/>
          <w:szCs w:val="24"/>
        </w:rPr>
        <w:t xml:space="preserve"> for the purposes of</w:t>
      </w:r>
      <w:r w:rsidR="004820EB">
        <w:rPr>
          <w:rStyle w:val="BookTitle"/>
          <w:rFonts w:ascii="Arial" w:hAnsi="Arial" w:cs="Arial"/>
          <w:i w:val="0"/>
          <w:iCs w:val="0"/>
          <w:smallCaps w:val="0"/>
          <w:spacing w:val="0"/>
          <w:szCs w:val="24"/>
        </w:rPr>
        <w:t xml:space="preserve"> subsection </w:t>
      </w:r>
      <w:proofErr w:type="gramStart"/>
      <w:r w:rsidR="004820EB">
        <w:rPr>
          <w:rStyle w:val="BookTitle"/>
          <w:rFonts w:ascii="Arial" w:hAnsi="Arial" w:cs="Arial"/>
          <w:i w:val="0"/>
          <w:iCs w:val="0"/>
          <w:smallCaps w:val="0"/>
          <w:spacing w:val="0"/>
          <w:szCs w:val="24"/>
        </w:rPr>
        <w:t>1067A(</w:t>
      </w:r>
      <w:proofErr w:type="gramEnd"/>
      <w:r w:rsidR="004820EB">
        <w:rPr>
          <w:rStyle w:val="BookTitle"/>
          <w:rFonts w:ascii="Arial" w:hAnsi="Arial" w:cs="Arial"/>
          <w:i w:val="0"/>
          <w:iCs w:val="0"/>
          <w:smallCaps w:val="0"/>
          <w:spacing w:val="0"/>
          <w:szCs w:val="24"/>
        </w:rPr>
        <w:t>15) of the Act.</w:t>
      </w:r>
    </w:p>
    <w:p w14:paraId="116D09A5" w14:textId="77777777" w:rsidR="00DE14E5" w:rsidRPr="00BC7EE5" w:rsidRDefault="004820EB" w:rsidP="000740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kinds of work that are </w:t>
      </w:r>
      <w:r w:rsidRPr="00BC7EE5">
        <w:rPr>
          <w:rStyle w:val="BookTitle"/>
          <w:rFonts w:ascii="Arial" w:hAnsi="Arial" w:cs="Arial"/>
          <w:i w:val="0"/>
          <w:iCs w:val="0"/>
          <w:smallCaps w:val="0"/>
          <w:spacing w:val="0"/>
          <w:szCs w:val="24"/>
        </w:rPr>
        <w:t>determined are:</w:t>
      </w:r>
    </w:p>
    <w:p w14:paraId="116D09A6" w14:textId="77777777" w:rsidR="004820EB" w:rsidRDefault="004820EB" w:rsidP="00074079">
      <w:pPr>
        <w:pStyle w:val="paragraph"/>
        <w:numPr>
          <w:ilvl w:val="0"/>
          <w:numId w:val="22"/>
        </w:numPr>
        <w:spacing w:before="0"/>
        <w:rPr>
          <w:rFonts w:ascii="Arial" w:hAnsi="Arial" w:cs="Arial"/>
          <w:sz w:val="24"/>
          <w:szCs w:val="24"/>
        </w:rPr>
      </w:pPr>
      <w:r w:rsidRPr="00BC7EE5">
        <w:rPr>
          <w:rFonts w:ascii="Arial" w:hAnsi="Arial" w:cs="Arial"/>
          <w:sz w:val="24"/>
          <w:szCs w:val="24"/>
        </w:rPr>
        <w:t xml:space="preserve">harvesting </w:t>
      </w:r>
      <w:r w:rsidR="000E27FF">
        <w:rPr>
          <w:rFonts w:ascii="Arial" w:hAnsi="Arial" w:cs="Arial"/>
          <w:sz w:val="24"/>
          <w:szCs w:val="24"/>
        </w:rPr>
        <w:t>fruit or vegetable crops</w:t>
      </w:r>
    </w:p>
    <w:p w14:paraId="116D09A7" w14:textId="77777777" w:rsidR="008B2047" w:rsidRPr="00BC7EE5" w:rsidRDefault="008B2047" w:rsidP="00074079">
      <w:pPr>
        <w:pStyle w:val="paragraph"/>
        <w:numPr>
          <w:ilvl w:val="0"/>
          <w:numId w:val="22"/>
        </w:numPr>
        <w:spacing w:before="0"/>
        <w:rPr>
          <w:rFonts w:ascii="Arial" w:hAnsi="Arial" w:cs="Arial"/>
          <w:sz w:val="24"/>
          <w:szCs w:val="24"/>
        </w:rPr>
      </w:pPr>
      <w:r w:rsidRPr="00BC7EE5">
        <w:rPr>
          <w:rFonts w:ascii="Arial" w:hAnsi="Arial" w:cs="Arial"/>
          <w:sz w:val="24"/>
          <w:szCs w:val="24"/>
        </w:rPr>
        <w:t>pack</w:t>
      </w:r>
      <w:r>
        <w:rPr>
          <w:rFonts w:ascii="Arial" w:hAnsi="Arial" w:cs="Arial"/>
          <w:sz w:val="24"/>
          <w:szCs w:val="24"/>
        </w:rPr>
        <w:t>ing fruit or vegetable crops</w:t>
      </w:r>
    </w:p>
    <w:p w14:paraId="116D09A8" w14:textId="77777777" w:rsidR="004820EB" w:rsidRPr="00BC7EE5" w:rsidRDefault="004820EB" w:rsidP="00074079">
      <w:pPr>
        <w:pStyle w:val="paragraph"/>
        <w:numPr>
          <w:ilvl w:val="0"/>
          <w:numId w:val="22"/>
        </w:numPr>
        <w:spacing w:before="0"/>
        <w:rPr>
          <w:rFonts w:ascii="Arial" w:hAnsi="Arial" w:cs="Arial"/>
          <w:sz w:val="24"/>
          <w:szCs w:val="24"/>
        </w:rPr>
      </w:pPr>
      <w:r w:rsidRPr="00BC7EE5">
        <w:rPr>
          <w:rFonts w:ascii="Arial" w:hAnsi="Arial" w:cs="Arial"/>
          <w:sz w:val="24"/>
          <w:szCs w:val="24"/>
        </w:rPr>
        <w:t>pruning or trimming vines and trees directly associated with the cultivation and c</w:t>
      </w:r>
      <w:r w:rsidR="000E27FF">
        <w:rPr>
          <w:rFonts w:ascii="Arial" w:hAnsi="Arial" w:cs="Arial"/>
          <w:sz w:val="24"/>
          <w:szCs w:val="24"/>
        </w:rPr>
        <w:t>ommercial sale of plant produce</w:t>
      </w:r>
    </w:p>
    <w:p w14:paraId="116D09A9" w14:textId="77777777" w:rsidR="004820EB" w:rsidRPr="00BC7EE5" w:rsidRDefault="000E27FF" w:rsidP="00074079">
      <w:pPr>
        <w:pStyle w:val="paragraph"/>
        <w:numPr>
          <w:ilvl w:val="0"/>
          <w:numId w:val="22"/>
        </w:numPr>
        <w:spacing w:before="0"/>
        <w:rPr>
          <w:rFonts w:ascii="Arial" w:hAnsi="Arial" w:cs="Arial"/>
          <w:sz w:val="24"/>
          <w:szCs w:val="24"/>
        </w:rPr>
      </w:pPr>
      <w:r>
        <w:rPr>
          <w:rFonts w:ascii="Arial" w:hAnsi="Arial" w:cs="Arial"/>
          <w:sz w:val="24"/>
          <w:szCs w:val="24"/>
        </w:rPr>
        <w:t>general maintenance crop work</w:t>
      </w:r>
    </w:p>
    <w:p w14:paraId="116D09AA" w14:textId="77777777" w:rsidR="004820EB" w:rsidRPr="00BC7EE5" w:rsidRDefault="004820EB" w:rsidP="00074079">
      <w:pPr>
        <w:pStyle w:val="paragraph"/>
        <w:numPr>
          <w:ilvl w:val="0"/>
          <w:numId w:val="22"/>
        </w:numPr>
        <w:spacing w:before="0"/>
        <w:rPr>
          <w:rFonts w:ascii="Arial" w:hAnsi="Arial" w:cs="Arial"/>
          <w:sz w:val="24"/>
          <w:szCs w:val="24"/>
        </w:rPr>
      </w:pPr>
      <w:r w:rsidRPr="00BC7EE5">
        <w:rPr>
          <w:rFonts w:ascii="Arial" w:hAnsi="Arial" w:cs="Arial"/>
          <w:sz w:val="24"/>
          <w:szCs w:val="24"/>
        </w:rPr>
        <w:t>cultivating or propagating plants, f</w:t>
      </w:r>
      <w:r w:rsidR="000E27FF">
        <w:rPr>
          <w:rFonts w:ascii="Arial" w:hAnsi="Arial" w:cs="Arial"/>
          <w:sz w:val="24"/>
          <w:szCs w:val="24"/>
        </w:rPr>
        <w:t>ungi or their products or parts</w:t>
      </w:r>
    </w:p>
    <w:p w14:paraId="116D09AB" w14:textId="77777777" w:rsidR="004820EB" w:rsidRPr="00BC7EE5" w:rsidRDefault="004820EB" w:rsidP="00074079">
      <w:pPr>
        <w:pStyle w:val="paragraph"/>
        <w:numPr>
          <w:ilvl w:val="0"/>
          <w:numId w:val="22"/>
        </w:numPr>
        <w:spacing w:before="0"/>
        <w:rPr>
          <w:rFonts w:ascii="Arial" w:hAnsi="Arial" w:cs="Arial"/>
          <w:sz w:val="24"/>
          <w:szCs w:val="24"/>
        </w:rPr>
      </w:pPr>
      <w:r w:rsidRPr="00BC7EE5">
        <w:rPr>
          <w:rFonts w:ascii="Arial" w:hAnsi="Arial" w:cs="Arial"/>
          <w:sz w:val="24"/>
          <w:szCs w:val="24"/>
        </w:rPr>
        <w:t>immediate processing of plant product</w:t>
      </w:r>
      <w:r w:rsidR="000E27FF">
        <w:rPr>
          <w:rFonts w:ascii="Arial" w:hAnsi="Arial" w:cs="Arial"/>
          <w:sz w:val="24"/>
          <w:szCs w:val="24"/>
        </w:rPr>
        <w:t>s</w:t>
      </w:r>
    </w:p>
    <w:p w14:paraId="116D09AC" w14:textId="77777777" w:rsidR="004820EB" w:rsidRPr="00BC7EE5" w:rsidRDefault="004820EB" w:rsidP="00074079">
      <w:pPr>
        <w:pStyle w:val="paragraph"/>
        <w:numPr>
          <w:ilvl w:val="0"/>
          <w:numId w:val="22"/>
        </w:numPr>
        <w:spacing w:before="0"/>
        <w:rPr>
          <w:rFonts w:ascii="Arial" w:hAnsi="Arial" w:cs="Arial"/>
          <w:sz w:val="24"/>
          <w:szCs w:val="24"/>
        </w:rPr>
      </w:pPr>
      <w:r w:rsidRPr="00BC7EE5">
        <w:rPr>
          <w:rFonts w:ascii="Arial" w:hAnsi="Arial" w:cs="Arial"/>
          <w:sz w:val="24"/>
          <w:szCs w:val="24"/>
        </w:rPr>
        <w:t>maintaining animals for the purpose of selling them or their bodily prod</w:t>
      </w:r>
      <w:r w:rsidR="000E27FF">
        <w:rPr>
          <w:rFonts w:ascii="Arial" w:hAnsi="Arial" w:cs="Arial"/>
          <w:sz w:val="24"/>
          <w:szCs w:val="24"/>
        </w:rPr>
        <w:t>uce, including natural increase</w:t>
      </w:r>
    </w:p>
    <w:p w14:paraId="116D09AD" w14:textId="77777777" w:rsidR="004820EB" w:rsidRPr="00BC7EE5" w:rsidRDefault="004820EB" w:rsidP="00074079">
      <w:pPr>
        <w:pStyle w:val="paragraph"/>
        <w:numPr>
          <w:ilvl w:val="0"/>
          <w:numId w:val="22"/>
        </w:numPr>
        <w:spacing w:before="0"/>
        <w:ind w:left="714" w:hanging="357"/>
        <w:rPr>
          <w:rFonts w:ascii="Arial" w:hAnsi="Arial" w:cs="Arial"/>
          <w:sz w:val="24"/>
          <w:szCs w:val="24"/>
        </w:rPr>
      </w:pPr>
      <w:r w:rsidRPr="00BC7EE5">
        <w:rPr>
          <w:rFonts w:ascii="Arial" w:hAnsi="Arial" w:cs="Arial"/>
          <w:sz w:val="24"/>
          <w:szCs w:val="24"/>
        </w:rPr>
        <w:t>immediate processing of animal products including shearing, butchery, packing and tanning, but not inc</w:t>
      </w:r>
      <w:r w:rsidR="000E27FF">
        <w:rPr>
          <w:rFonts w:ascii="Arial" w:hAnsi="Arial" w:cs="Arial"/>
          <w:sz w:val="24"/>
          <w:szCs w:val="24"/>
        </w:rPr>
        <w:t>luding secondary processing</w:t>
      </w:r>
    </w:p>
    <w:p w14:paraId="116D09AE" w14:textId="77777777" w:rsidR="004820EB" w:rsidRPr="00BC7EE5" w:rsidRDefault="004820EB" w:rsidP="00074079">
      <w:pPr>
        <w:pStyle w:val="paragraph"/>
        <w:numPr>
          <w:ilvl w:val="0"/>
          <w:numId w:val="22"/>
        </w:numPr>
        <w:spacing w:before="0"/>
        <w:rPr>
          <w:rFonts w:ascii="Arial" w:hAnsi="Arial" w:cs="Arial"/>
          <w:sz w:val="24"/>
          <w:szCs w:val="24"/>
        </w:rPr>
      </w:pPr>
      <w:proofErr w:type="gramStart"/>
      <w:r w:rsidRPr="00BC7EE5">
        <w:rPr>
          <w:rFonts w:ascii="Arial" w:hAnsi="Arial" w:cs="Arial"/>
          <w:sz w:val="24"/>
          <w:szCs w:val="24"/>
        </w:rPr>
        <w:t>manufacturing</w:t>
      </w:r>
      <w:proofErr w:type="gramEnd"/>
      <w:r w:rsidRPr="00BC7EE5">
        <w:rPr>
          <w:rFonts w:ascii="Arial" w:hAnsi="Arial" w:cs="Arial"/>
          <w:sz w:val="24"/>
          <w:szCs w:val="24"/>
        </w:rPr>
        <w:t xml:space="preserve"> dairy produce from raw material.</w:t>
      </w:r>
    </w:p>
    <w:p w14:paraId="116D09AF" w14:textId="173A72E9" w:rsidR="004C69A0" w:rsidRDefault="00BC7EE5" w:rsidP="00871F28">
      <w:pPr>
        <w:rPr>
          <w:rFonts w:ascii="Arial" w:hAnsi="Arial" w:cs="Arial"/>
          <w:iCs/>
          <w:color w:val="000000"/>
          <w:szCs w:val="24"/>
        </w:rPr>
      </w:pPr>
      <w:r>
        <w:rPr>
          <w:rStyle w:val="BookTitle"/>
          <w:rFonts w:ascii="Arial" w:hAnsi="Arial" w:cs="Arial"/>
          <w:i w:val="0"/>
          <w:iCs w:val="0"/>
          <w:smallCaps w:val="0"/>
          <w:spacing w:val="0"/>
          <w:szCs w:val="24"/>
        </w:rPr>
        <w:lastRenderedPageBreak/>
        <w:t xml:space="preserve">The kinds of work determined to be </w:t>
      </w:r>
      <w:r w:rsidR="008B204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qualifying agricultural work</w:t>
      </w:r>
      <w:r w:rsidR="008B204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542643">
        <w:rPr>
          <w:rStyle w:val="BookTitle"/>
          <w:rFonts w:ascii="Arial" w:hAnsi="Arial" w:cs="Arial"/>
          <w:i w:val="0"/>
          <w:iCs w:val="0"/>
          <w:smallCaps w:val="0"/>
          <w:spacing w:val="0"/>
          <w:szCs w:val="24"/>
        </w:rPr>
        <w:t xml:space="preserve">in the instrument </w:t>
      </w:r>
      <w:r w:rsidR="004820EB" w:rsidRPr="00BC7EE5">
        <w:rPr>
          <w:rStyle w:val="BookTitle"/>
          <w:rFonts w:ascii="Arial" w:hAnsi="Arial" w:cs="Arial"/>
          <w:i w:val="0"/>
          <w:iCs w:val="0"/>
          <w:smallCaps w:val="0"/>
          <w:spacing w:val="0"/>
          <w:szCs w:val="24"/>
        </w:rPr>
        <w:t>are the</w:t>
      </w:r>
      <w:r w:rsidRPr="00BC7EE5">
        <w:rPr>
          <w:rStyle w:val="BookTitle"/>
          <w:rFonts w:ascii="Arial" w:hAnsi="Arial" w:cs="Arial"/>
          <w:i w:val="0"/>
          <w:iCs w:val="0"/>
          <w:smallCaps w:val="0"/>
          <w:spacing w:val="0"/>
          <w:szCs w:val="24"/>
        </w:rPr>
        <w:t xml:space="preserve"> same as </w:t>
      </w:r>
      <w:r w:rsidR="008B2047">
        <w:rPr>
          <w:rStyle w:val="BookTitle"/>
          <w:rFonts w:ascii="Arial" w:hAnsi="Arial" w:cs="Arial"/>
          <w:i w:val="0"/>
          <w:iCs w:val="0"/>
          <w:smallCaps w:val="0"/>
          <w:spacing w:val="0"/>
          <w:szCs w:val="24"/>
        </w:rPr>
        <w:t xml:space="preserve">the kinds of work within </w:t>
      </w:r>
      <w:r w:rsidRPr="00BC7EE5">
        <w:rPr>
          <w:rStyle w:val="BookTitle"/>
          <w:rFonts w:ascii="Arial" w:hAnsi="Arial" w:cs="Arial"/>
          <w:i w:val="0"/>
          <w:iCs w:val="0"/>
          <w:smallCaps w:val="0"/>
          <w:spacing w:val="0"/>
          <w:szCs w:val="24"/>
        </w:rPr>
        <w:t xml:space="preserve">the </w:t>
      </w:r>
      <w:r w:rsidR="008B2047">
        <w:rPr>
          <w:rStyle w:val="BookTitle"/>
          <w:rFonts w:ascii="Arial" w:hAnsi="Arial" w:cs="Arial"/>
          <w:i w:val="0"/>
          <w:iCs w:val="0"/>
          <w:smallCaps w:val="0"/>
          <w:spacing w:val="0"/>
          <w:szCs w:val="24"/>
        </w:rPr>
        <w:t>‘</w:t>
      </w:r>
      <w:r w:rsidRPr="00BC7EE5">
        <w:rPr>
          <w:rStyle w:val="BookTitle"/>
          <w:rFonts w:ascii="Arial" w:hAnsi="Arial" w:cs="Arial"/>
          <w:i w:val="0"/>
          <w:iCs w:val="0"/>
          <w:smallCaps w:val="0"/>
          <w:spacing w:val="0"/>
          <w:szCs w:val="24"/>
        </w:rPr>
        <w:t>plant and animal cultivation work</w:t>
      </w:r>
      <w:r w:rsidR="008B2047">
        <w:rPr>
          <w:rStyle w:val="BookTitle"/>
          <w:rFonts w:ascii="Arial" w:hAnsi="Arial" w:cs="Arial"/>
          <w:i w:val="0"/>
          <w:iCs w:val="0"/>
          <w:smallCaps w:val="0"/>
          <w:spacing w:val="0"/>
          <w:szCs w:val="24"/>
        </w:rPr>
        <w:t>’</w:t>
      </w:r>
      <w:r w:rsidRPr="00BC7EE5">
        <w:rPr>
          <w:rStyle w:val="BookTitle"/>
          <w:rFonts w:ascii="Arial" w:hAnsi="Arial" w:cs="Arial"/>
          <w:i w:val="0"/>
          <w:iCs w:val="0"/>
          <w:smallCaps w:val="0"/>
          <w:spacing w:val="0"/>
          <w:szCs w:val="24"/>
        </w:rPr>
        <w:t xml:space="preserve"> </w:t>
      </w:r>
      <w:r w:rsidR="008B2047">
        <w:rPr>
          <w:rStyle w:val="BookTitle"/>
          <w:rFonts w:ascii="Arial" w:hAnsi="Arial" w:cs="Arial"/>
          <w:i w:val="0"/>
          <w:iCs w:val="0"/>
          <w:smallCaps w:val="0"/>
          <w:spacing w:val="0"/>
          <w:szCs w:val="24"/>
        </w:rPr>
        <w:t xml:space="preserve">category </w:t>
      </w:r>
      <w:r w:rsidRPr="00BC7EE5">
        <w:rPr>
          <w:rStyle w:val="BookTitle"/>
          <w:rFonts w:ascii="Arial" w:hAnsi="Arial" w:cs="Arial"/>
          <w:i w:val="0"/>
          <w:iCs w:val="0"/>
          <w:smallCaps w:val="0"/>
          <w:spacing w:val="0"/>
          <w:szCs w:val="24"/>
        </w:rPr>
        <w:t>specified for working h</w:t>
      </w:r>
      <w:r w:rsidR="004820EB" w:rsidRPr="00BC7EE5">
        <w:rPr>
          <w:rStyle w:val="BookTitle"/>
          <w:rFonts w:ascii="Arial" w:hAnsi="Arial" w:cs="Arial"/>
          <w:i w:val="0"/>
          <w:iCs w:val="0"/>
          <w:smallCaps w:val="0"/>
          <w:spacing w:val="0"/>
          <w:szCs w:val="24"/>
        </w:rPr>
        <w:t>oliday</w:t>
      </w:r>
      <w:r w:rsidR="00542643">
        <w:rPr>
          <w:rStyle w:val="BookTitle"/>
          <w:rFonts w:ascii="Arial" w:hAnsi="Arial" w:cs="Arial"/>
          <w:i w:val="0"/>
          <w:iCs w:val="0"/>
          <w:smallCaps w:val="0"/>
          <w:spacing w:val="0"/>
          <w:szCs w:val="24"/>
        </w:rPr>
        <w:t xml:space="preserve"> </w:t>
      </w:r>
      <w:r w:rsidR="004820EB" w:rsidRPr="00BC7EE5">
        <w:rPr>
          <w:rStyle w:val="BookTitle"/>
          <w:rFonts w:ascii="Arial" w:hAnsi="Arial" w:cs="Arial"/>
          <w:i w:val="0"/>
          <w:iCs w:val="0"/>
          <w:smallCaps w:val="0"/>
          <w:spacing w:val="0"/>
          <w:szCs w:val="24"/>
        </w:rPr>
        <w:t xml:space="preserve">visas </w:t>
      </w:r>
      <w:r w:rsidR="00A7780C" w:rsidRPr="00BC7EE5">
        <w:rPr>
          <w:rStyle w:val="BookTitle"/>
          <w:rFonts w:ascii="Arial" w:hAnsi="Arial" w:cs="Arial"/>
          <w:i w:val="0"/>
          <w:iCs w:val="0"/>
          <w:smallCaps w:val="0"/>
          <w:spacing w:val="0"/>
          <w:szCs w:val="24"/>
        </w:rPr>
        <w:t xml:space="preserve">(subclass 417) </w:t>
      </w:r>
      <w:r w:rsidRPr="00BC7EE5">
        <w:rPr>
          <w:rStyle w:val="BookTitle"/>
          <w:rFonts w:ascii="Arial" w:hAnsi="Arial" w:cs="Arial"/>
          <w:i w:val="0"/>
          <w:iCs w:val="0"/>
          <w:smallCaps w:val="0"/>
          <w:spacing w:val="0"/>
          <w:szCs w:val="24"/>
        </w:rPr>
        <w:t xml:space="preserve">in the </w:t>
      </w:r>
      <w:r w:rsidRPr="000E27FF">
        <w:rPr>
          <w:rFonts w:ascii="Arial" w:hAnsi="Arial" w:cs="Arial"/>
          <w:iCs/>
          <w:color w:val="000000"/>
          <w:szCs w:val="24"/>
        </w:rPr>
        <w:t>Migration (LIN 20/182: Subclass 417 (Working Holiday) visa—Specified work and places) Instrument 2020</w:t>
      </w:r>
      <w:r w:rsidR="004B6111">
        <w:rPr>
          <w:rFonts w:ascii="Arial" w:hAnsi="Arial" w:cs="Arial"/>
          <w:iCs/>
          <w:color w:val="000000"/>
          <w:szCs w:val="24"/>
        </w:rPr>
        <w:t xml:space="preserve"> </w:t>
      </w:r>
      <w:r w:rsidR="008B2047">
        <w:rPr>
          <w:rFonts w:ascii="Arial" w:hAnsi="Arial" w:cs="Arial"/>
          <w:iCs/>
          <w:color w:val="000000"/>
          <w:szCs w:val="24"/>
        </w:rPr>
        <w:t xml:space="preserve">(the working holiday visa instrument).  The working holiday visa instrument </w:t>
      </w:r>
      <w:r w:rsidR="00074079">
        <w:rPr>
          <w:rFonts w:ascii="Arial" w:hAnsi="Arial" w:cs="Arial"/>
          <w:iCs/>
          <w:color w:val="000000"/>
          <w:szCs w:val="24"/>
        </w:rPr>
        <w:t>can be </w:t>
      </w:r>
      <w:r w:rsidR="004B6111">
        <w:rPr>
          <w:rFonts w:ascii="Arial" w:hAnsi="Arial" w:cs="Arial"/>
          <w:iCs/>
          <w:color w:val="000000"/>
          <w:szCs w:val="24"/>
        </w:rPr>
        <w:t>accessed on the legislation.gov.au website</w:t>
      </w:r>
      <w:r>
        <w:rPr>
          <w:rFonts w:ascii="Arial" w:hAnsi="Arial" w:cs="Arial"/>
          <w:iCs/>
          <w:color w:val="000000"/>
          <w:szCs w:val="24"/>
        </w:rPr>
        <w:t>.</w:t>
      </w:r>
      <w:r w:rsidR="005552EE">
        <w:rPr>
          <w:rFonts w:ascii="Arial" w:hAnsi="Arial" w:cs="Arial"/>
          <w:iCs/>
          <w:color w:val="000000"/>
          <w:szCs w:val="24"/>
        </w:rPr>
        <w:t xml:space="preserve"> </w:t>
      </w:r>
    </w:p>
    <w:p w14:paraId="116D09B0" w14:textId="77777777" w:rsidR="00D85E5A" w:rsidRDefault="00A7780C" w:rsidP="00871F28">
      <w:pPr>
        <w:rPr>
          <w:rFonts w:ascii="Arial" w:hAnsi="Arial" w:cs="Arial"/>
          <w:iCs/>
          <w:color w:val="000000"/>
          <w:szCs w:val="24"/>
        </w:rPr>
      </w:pPr>
      <w:r>
        <w:rPr>
          <w:rFonts w:ascii="Arial" w:hAnsi="Arial" w:cs="Arial"/>
          <w:iCs/>
          <w:color w:val="000000"/>
          <w:szCs w:val="24"/>
        </w:rPr>
        <w:t xml:space="preserve">Working holiday visas allow </w:t>
      </w:r>
      <w:r w:rsidR="00635BB9">
        <w:rPr>
          <w:rFonts w:ascii="Arial" w:hAnsi="Arial" w:cs="Arial"/>
          <w:iCs/>
          <w:color w:val="000000"/>
          <w:szCs w:val="24"/>
        </w:rPr>
        <w:t xml:space="preserve">young people </w:t>
      </w:r>
      <w:r w:rsidR="00D85E5A">
        <w:rPr>
          <w:rFonts w:ascii="Arial" w:hAnsi="Arial" w:cs="Arial"/>
          <w:iCs/>
          <w:color w:val="000000"/>
          <w:szCs w:val="24"/>
        </w:rPr>
        <w:t xml:space="preserve">from certain partner countries </w:t>
      </w:r>
      <w:r w:rsidR="00635BB9">
        <w:rPr>
          <w:rFonts w:ascii="Arial" w:hAnsi="Arial" w:cs="Arial"/>
          <w:iCs/>
          <w:color w:val="000000"/>
          <w:szCs w:val="24"/>
        </w:rPr>
        <w:t xml:space="preserve">to </w:t>
      </w:r>
      <w:r w:rsidR="00D85E5A">
        <w:rPr>
          <w:rFonts w:ascii="Arial" w:hAnsi="Arial" w:cs="Arial"/>
          <w:iCs/>
          <w:color w:val="000000"/>
          <w:szCs w:val="24"/>
        </w:rPr>
        <w:t>holiday and work in Australia for up to 12 month</w:t>
      </w:r>
      <w:r w:rsidR="004705B9">
        <w:rPr>
          <w:rFonts w:ascii="Arial" w:hAnsi="Arial" w:cs="Arial"/>
          <w:iCs/>
          <w:color w:val="000000"/>
          <w:szCs w:val="24"/>
        </w:rPr>
        <w:t xml:space="preserve">s. </w:t>
      </w:r>
      <w:r w:rsidR="000E27FF">
        <w:rPr>
          <w:rFonts w:ascii="Arial" w:hAnsi="Arial" w:cs="Arial"/>
          <w:iCs/>
          <w:color w:val="000000"/>
          <w:szCs w:val="24"/>
        </w:rPr>
        <w:t xml:space="preserve"> </w:t>
      </w:r>
      <w:r w:rsidR="004705B9">
        <w:rPr>
          <w:rFonts w:ascii="Arial" w:hAnsi="Arial" w:cs="Arial"/>
          <w:iCs/>
          <w:color w:val="000000"/>
          <w:szCs w:val="24"/>
        </w:rPr>
        <w:t xml:space="preserve">The work specified for working holiday visas is relevant to determine eligibility for second and third working holiday visas. </w:t>
      </w:r>
      <w:r w:rsidR="000E27FF">
        <w:rPr>
          <w:rFonts w:ascii="Arial" w:hAnsi="Arial" w:cs="Arial"/>
          <w:iCs/>
          <w:color w:val="000000"/>
          <w:szCs w:val="24"/>
        </w:rPr>
        <w:t xml:space="preserve"> To </w:t>
      </w:r>
      <w:r w:rsidR="00D85E5A">
        <w:rPr>
          <w:rFonts w:ascii="Arial" w:hAnsi="Arial" w:cs="Arial"/>
          <w:iCs/>
          <w:color w:val="000000"/>
          <w:szCs w:val="24"/>
        </w:rPr>
        <w:t xml:space="preserve">be eligible for a second working holiday visa, a person must </w:t>
      </w:r>
      <w:r w:rsidR="004705B9">
        <w:rPr>
          <w:rFonts w:ascii="Arial" w:hAnsi="Arial" w:cs="Arial"/>
          <w:iCs/>
          <w:color w:val="000000"/>
          <w:szCs w:val="24"/>
        </w:rPr>
        <w:t xml:space="preserve">have </w:t>
      </w:r>
      <w:r w:rsidR="00D85E5A">
        <w:rPr>
          <w:rFonts w:ascii="Arial" w:hAnsi="Arial" w:cs="Arial"/>
          <w:iCs/>
          <w:color w:val="000000"/>
          <w:szCs w:val="24"/>
        </w:rPr>
        <w:t>complete</w:t>
      </w:r>
      <w:r w:rsidR="004705B9">
        <w:rPr>
          <w:rFonts w:ascii="Arial" w:hAnsi="Arial" w:cs="Arial"/>
          <w:iCs/>
          <w:color w:val="000000"/>
          <w:szCs w:val="24"/>
        </w:rPr>
        <w:t>d</w:t>
      </w:r>
      <w:r w:rsidR="000E27FF">
        <w:rPr>
          <w:rFonts w:ascii="Arial" w:hAnsi="Arial" w:cs="Arial"/>
          <w:iCs/>
          <w:color w:val="000000"/>
          <w:szCs w:val="24"/>
        </w:rPr>
        <w:t xml:space="preserve"> at </w:t>
      </w:r>
      <w:r w:rsidR="00D85E5A">
        <w:rPr>
          <w:rFonts w:ascii="Arial" w:hAnsi="Arial" w:cs="Arial"/>
          <w:iCs/>
          <w:color w:val="000000"/>
          <w:szCs w:val="24"/>
        </w:rPr>
        <w:t xml:space="preserve">least </w:t>
      </w:r>
      <w:r w:rsidR="000E27FF">
        <w:rPr>
          <w:rFonts w:ascii="Arial" w:hAnsi="Arial" w:cs="Arial"/>
          <w:iCs/>
          <w:color w:val="000000"/>
          <w:szCs w:val="24"/>
        </w:rPr>
        <w:t>three</w:t>
      </w:r>
      <w:r w:rsidR="00D85E5A">
        <w:rPr>
          <w:rFonts w:ascii="Arial" w:hAnsi="Arial" w:cs="Arial"/>
          <w:iCs/>
          <w:color w:val="000000"/>
          <w:szCs w:val="24"/>
        </w:rPr>
        <w:t xml:space="preserve"> months of specified work </w:t>
      </w:r>
      <w:r w:rsidR="004705B9">
        <w:rPr>
          <w:rFonts w:ascii="Arial" w:hAnsi="Arial" w:cs="Arial"/>
          <w:iCs/>
          <w:color w:val="000000"/>
          <w:szCs w:val="24"/>
        </w:rPr>
        <w:t xml:space="preserve">while holding their first working holiday visa. </w:t>
      </w:r>
      <w:r w:rsidR="000E27FF">
        <w:rPr>
          <w:rFonts w:ascii="Arial" w:hAnsi="Arial" w:cs="Arial"/>
          <w:iCs/>
          <w:color w:val="000000"/>
          <w:szCs w:val="24"/>
        </w:rPr>
        <w:t xml:space="preserve"> </w:t>
      </w:r>
      <w:r w:rsidR="004705B9">
        <w:rPr>
          <w:rFonts w:ascii="Arial" w:hAnsi="Arial" w:cs="Arial"/>
          <w:iCs/>
          <w:color w:val="000000"/>
          <w:szCs w:val="24"/>
        </w:rPr>
        <w:t xml:space="preserve">To be eligible for a third working holiday visa, a person must have completed at least </w:t>
      </w:r>
      <w:r w:rsidR="000E27FF">
        <w:rPr>
          <w:rFonts w:ascii="Arial" w:hAnsi="Arial" w:cs="Arial"/>
          <w:iCs/>
          <w:color w:val="000000"/>
          <w:szCs w:val="24"/>
        </w:rPr>
        <w:t>six</w:t>
      </w:r>
      <w:r w:rsidR="004705B9">
        <w:rPr>
          <w:rFonts w:ascii="Arial" w:hAnsi="Arial" w:cs="Arial"/>
          <w:iCs/>
          <w:color w:val="000000"/>
          <w:szCs w:val="24"/>
        </w:rPr>
        <w:t xml:space="preserve"> months of specified work while holding a second working holiday visa or</w:t>
      </w:r>
      <w:r w:rsidR="000E27FF">
        <w:rPr>
          <w:rFonts w:ascii="Arial" w:hAnsi="Arial" w:cs="Arial"/>
          <w:iCs/>
          <w:color w:val="000000"/>
          <w:szCs w:val="24"/>
        </w:rPr>
        <w:t> a </w:t>
      </w:r>
      <w:r w:rsidR="004705B9">
        <w:rPr>
          <w:rFonts w:ascii="Arial" w:hAnsi="Arial" w:cs="Arial"/>
          <w:iCs/>
          <w:color w:val="000000"/>
          <w:szCs w:val="24"/>
        </w:rPr>
        <w:t>bridging visa, in certain circumstances.</w:t>
      </w:r>
    </w:p>
    <w:p w14:paraId="116D09B1" w14:textId="6E93614D" w:rsidR="005552EE" w:rsidRDefault="004C69A0" w:rsidP="00871F28">
      <w:pPr>
        <w:rPr>
          <w:rFonts w:ascii="Arial" w:hAnsi="Arial" w:cs="Arial"/>
          <w:iCs/>
          <w:color w:val="000000"/>
          <w:szCs w:val="24"/>
        </w:rPr>
      </w:pPr>
      <w:r>
        <w:rPr>
          <w:rFonts w:ascii="Arial" w:hAnsi="Arial" w:cs="Arial"/>
          <w:iCs/>
          <w:color w:val="000000"/>
          <w:szCs w:val="24"/>
        </w:rPr>
        <w:t xml:space="preserve">The instrument determines the </w:t>
      </w:r>
      <w:r w:rsidR="005552EE">
        <w:rPr>
          <w:rFonts w:ascii="Arial" w:hAnsi="Arial" w:cs="Arial"/>
          <w:iCs/>
          <w:color w:val="000000"/>
          <w:szCs w:val="24"/>
        </w:rPr>
        <w:t xml:space="preserve">same kinds of work </w:t>
      </w:r>
      <w:r>
        <w:rPr>
          <w:rFonts w:ascii="Arial" w:hAnsi="Arial" w:cs="Arial"/>
          <w:iCs/>
          <w:color w:val="000000"/>
          <w:szCs w:val="24"/>
        </w:rPr>
        <w:t xml:space="preserve">as </w:t>
      </w:r>
      <w:r w:rsidR="008B2047">
        <w:rPr>
          <w:rFonts w:ascii="Arial" w:hAnsi="Arial" w:cs="Arial"/>
          <w:iCs/>
          <w:color w:val="000000"/>
          <w:szCs w:val="24"/>
        </w:rPr>
        <w:t xml:space="preserve">specified for </w:t>
      </w:r>
      <w:r>
        <w:rPr>
          <w:rFonts w:ascii="Arial" w:hAnsi="Arial" w:cs="Arial"/>
          <w:iCs/>
          <w:color w:val="000000"/>
          <w:szCs w:val="24"/>
        </w:rPr>
        <w:t xml:space="preserve">the </w:t>
      </w:r>
      <w:r w:rsidR="008B2047">
        <w:rPr>
          <w:rFonts w:ascii="Arial" w:hAnsi="Arial" w:cs="Arial"/>
          <w:iCs/>
          <w:color w:val="000000"/>
          <w:szCs w:val="24"/>
        </w:rPr>
        <w:t>‘</w:t>
      </w:r>
      <w:r>
        <w:rPr>
          <w:rFonts w:ascii="Arial" w:hAnsi="Arial" w:cs="Arial"/>
          <w:iCs/>
          <w:color w:val="000000"/>
          <w:szCs w:val="24"/>
        </w:rPr>
        <w:t>plant and animal cultivation work</w:t>
      </w:r>
      <w:r w:rsidR="008B2047">
        <w:rPr>
          <w:rFonts w:ascii="Arial" w:hAnsi="Arial" w:cs="Arial"/>
          <w:iCs/>
          <w:color w:val="000000"/>
          <w:szCs w:val="24"/>
        </w:rPr>
        <w:t>’</w:t>
      </w:r>
      <w:r>
        <w:rPr>
          <w:rFonts w:ascii="Arial" w:hAnsi="Arial" w:cs="Arial"/>
          <w:iCs/>
          <w:color w:val="000000"/>
          <w:szCs w:val="24"/>
        </w:rPr>
        <w:t xml:space="preserve"> </w:t>
      </w:r>
      <w:r w:rsidR="008B2047">
        <w:rPr>
          <w:rFonts w:ascii="Arial" w:hAnsi="Arial" w:cs="Arial"/>
          <w:iCs/>
          <w:color w:val="000000"/>
          <w:szCs w:val="24"/>
        </w:rPr>
        <w:t xml:space="preserve">category in the working holiday visa instrument </w:t>
      </w:r>
      <w:r w:rsidR="00074079">
        <w:rPr>
          <w:rFonts w:ascii="Arial" w:hAnsi="Arial" w:cs="Arial"/>
          <w:iCs/>
          <w:color w:val="000000"/>
          <w:szCs w:val="24"/>
        </w:rPr>
        <w:t>to create an </w:t>
      </w:r>
      <w:r w:rsidR="005552EE">
        <w:rPr>
          <w:rFonts w:ascii="Arial" w:hAnsi="Arial" w:cs="Arial"/>
          <w:iCs/>
          <w:color w:val="000000"/>
          <w:szCs w:val="24"/>
        </w:rPr>
        <w:t xml:space="preserve">incentive to fill positions that would </w:t>
      </w:r>
      <w:r w:rsidR="00A7780C">
        <w:rPr>
          <w:rFonts w:ascii="Arial" w:hAnsi="Arial" w:cs="Arial"/>
          <w:iCs/>
          <w:color w:val="000000"/>
          <w:szCs w:val="24"/>
        </w:rPr>
        <w:t xml:space="preserve">likely </w:t>
      </w:r>
      <w:r w:rsidR="005552EE">
        <w:rPr>
          <w:rFonts w:ascii="Arial" w:hAnsi="Arial" w:cs="Arial"/>
          <w:iCs/>
          <w:color w:val="000000"/>
          <w:szCs w:val="24"/>
        </w:rPr>
        <w:t xml:space="preserve">have been filled by working holiday makers, </w:t>
      </w:r>
      <w:r w:rsidR="00542643">
        <w:rPr>
          <w:rFonts w:ascii="Arial" w:hAnsi="Arial" w:cs="Arial"/>
          <w:iCs/>
          <w:color w:val="000000"/>
          <w:szCs w:val="24"/>
        </w:rPr>
        <w:t>if not</w:t>
      </w:r>
      <w:r w:rsidR="005552EE">
        <w:rPr>
          <w:rFonts w:ascii="Arial" w:hAnsi="Arial" w:cs="Arial"/>
          <w:iCs/>
          <w:color w:val="000000"/>
          <w:szCs w:val="24"/>
        </w:rPr>
        <w:t xml:space="preserve"> for the effects of COVID-19 and the a</w:t>
      </w:r>
      <w:r w:rsidR="00A7780C">
        <w:rPr>
          <w:rFonts w:ascii="Arial" w:hAnsi="Arial" w:cs="Arial"/>
          <w:iCs/>
          <w:color w:val="000000"/>
          <w:szCs w:val="24"/>
        </w:rPr>
        <w:t>ssociated travel restrictions.</w:t>
      </w:r>
    </w:p>
    <w:p w14:paraId="116D09B2" w14:textId="77777777" w:rsidR="00BC7EE5" w:rsidRDefault="00BC7EE5" w:rsidP="00871F28">
      <w:pPr>
        <w:rPr>
          <w:rFonts w:ascii="Arial" w:hAnsi="Arial" w:cs="Arial"/>
          <w:iCs/>
          <w:color w:val="000000"/>
          <w:szCs w:val="24"/>
        </w:rPr>
      </w:pPr>
      <w:r>
        <w:rPr>
          <w:rFonts w:ascii="Arial" w:hAnsi="Arial" w:cs="Arial"/>
          <w:iCs/>
          <w:color w:val="000000"/>
          <w:szCs w:val="24"/>
        </w:rPr>
        <w:t xml:space="preserve">Examples of </w:t>
      </w:r>
      <w:r w:rsidR="008B2047">
        <w:rPr>
          <w:rFonts w:ascii="Arial" w:hAnsi="Arial" w:cs="Arial"/>
          <w:iCs/>
          <w:color w:val="000000"/>
          <w:szCs w:val="24"/>
        </w:rPr>
        <w:t>work that fall within the ‘</w:t>
      </w:r>
      <w:r>
        <w:rPr>
          <w:rFonts w:ascii="Arial" w:hAnsi="Arial" w:cs="Arial"/>
          <w:iCs/>
          <w:color w:val="000000"/>
          <w:szCs w:val="24"/>
        </w:rPr>
        <w:t>qualifying agricultural work</w:t>
      </w:r>
      <w:r w:rsidR="008B2047">
        <w:rPr>
          <w:rFonts w:ascii="Arial" w:hAnsi="Arial" w:cs="Arial"/>
          <w:iCs/>
          <w:color w:val="000000"/>
          <w:szCs w:val="24"/>
        </w:rPr>
        <w:t>’ definition as a result of the making of the instrument are</w:t>
      </w:r>
      <w:r>
        <w:rPr>
          <w:rFonts w:ascii="Arial" w:hAnsi="Arial" w:cs="Arial"/>
          <w:iCs/>
          <w:color w:val="000000"/>
          <w:szCs w:val="24"/>
        </w:rPr>
        <w:t>:</w:t>
      </w:r>
    </w:p>
    <w:p w14:paraId="116D09B3" w14:textId="77777777" w:rsidR="00BC7EE5" w:rsidRDefault="000E27FF" w:rsidP="00BC7EE5">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picking fruits on an orchard</w:t>
      </w:r>
    </w:p>
    <w:p w14:paraId="116D09B4" w14:textId="77777777" w:rsidR="00BC7EE5" w:rsidRDefault="00BC7EE5" w:rsidP="000E27FF">
      <w:pPr>
        <w:pStyle w:val="ListParagraph"/>
        <w:numPr>
          <w:ilvl w:val="0"/>
          <w:numId w:val="19"/>
        </w:numPr>
        <w:ind w:left="714" w:hanging="357"/>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feedi</w:t>
      </w:r>
      <w:r w:rsidR="000E27FF">
        <w:rPr>
          <w:rStyle w:val="BookTitle"/>
          <w:rFonts w:ascii="Arial" w:hAnsi="Arial" w:cs="Arial"/>
          <w:i w:val="0"/>
          <w:iCs w:val="0"/>
          <w:smallCaps w:val="0"/>
          <w:spacing w:val="0"/>
          <w:szCs w:val="24"/>
        </w:rPr>
        <w:t>ng and herding cattle on a farm</w:t>
      </w:r>
    </w:p>
    <w:p w14:paraId="116D09B5" w14:textId="77777777" w:rsidR="00BC7EE5" w:rsidRDefault="000E27FF" w:rsidP="00BC7EE5">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horse breeding and stud farming</w:t>
      </w:r>
    </w:p>
    <w:p w14:paraId="116D09B6" w14:textId="77777777" w:rsidR="00BC7EE5" w:rsidRDefault="00BC7EE5" w:rsidP="00BC7EE5">
      <w:pPr>
        <w:pStyle w:val="ListParagraph"/>
        <w:numPr>
          <w:ilvl w:val="0"/>
          <w:numId w:val="19"/>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conservation</w:t>
      </w:r>
      <w:proofErr w:type="gramEnd"/>
      <w:r>
        <w:rPr>
          <w:rStyle w:val="BookTitle"/>
          <w:rFonts w:ascii="Arial" w:hAnsi="Arial" w:cs="Arial"/>
          <w:i w:val="0"/>
          <w:iCs w:val="0"/>
          <w:smallCaps w:val="0"/>
          <w:spacing w:val="0"/>
          <w:szCs w:val="24"/>
        </w:rPr>
        <w:t xml:space="preserve"> and envir</w:t>
      </w:r>
      <w:r w:rsidR="000E27FF">
        <w:rPr>
          <w:rStyle w:val="BookTitle"/>
          <w:rFonts w:ascii="Arial" w:hAnsi="Arial" w:cs="Arial"/>
          <w:i w:val="0"/>
          <w:iCs w:val="0"/>
          <w:smallCaps w:val="0"/>
          <w:spacing w:val="0"/>
          <w:szCs w:val="24"/>
        </w:rPr>
        <w:t>onmental reforestation work.</w:t>
      </w:r>
    </w:p>
    <w:p w14:paraId="116D09B7" w14:textId="0F131FB1" w:rsidR="00BC7EE5" w:rsidRDefault="00BC7EE5" w:rsidP="00BC7E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Examples</w:t>
      </w:r>
      <w:r w:rsidR="008B2047">
        <w:rPr>
          <w:rStyle w:val="BookTitle"/>
          <w:rFonts w:ascii="Arial" w:hAnsi="Arial" w:cs="Arial"/>
          <w:i w:val="0"/>
          <w:iCs w:val="0"/>
          <w:smallCaps w:val="0"/>
          <w:spacing w:val="0"/>
          <w:szCs w:val="24"/>
        </w:rPr>
        <w:t xml:space="preserve"> </w:t>
      </w:r>
      <w:r w:rsidR="008B2047">
        <w:rPr>
          <w:rFonts w:ascii="Arial" w:hAnsi="Arial" w:cs="Arial"/>
          <w:iCs/>
          <w:color w:val="000000"/>
          <w:szCs w:val="24"/>
        </w:rPr>
        <w:t xml:space="preserve">of work that </w:t>
      </w:r>
      <w:r w:rsidR="00727D18">
        <w:rPr>
          <w:rFonts w:ascii="Arial" w:hAnsi="Arial" w:cs="Arial"/>
          <w:iCs/>
          <w:color w:val="000000"/>
          <w:szCs w:val="24"/>
        </w:rPr>
        <w:t xml:space="preserve">do not </w:t>
      </w:r>
      <w:r w:rsidR="008B2047">
        <w:rPr>
          <w:rFonts w:ascii="Arial" w:hAnsi="Arial" w:cs="Arial"/>
          <w:iCs/>
          <w:color w:val="000000"/>
          <w:szCs w:val="24"/>
        </w:rPr>
        <w:t>fall within the ‘qualifying agricultural work’ definition are</w:t>
      </w:r>
      <w:r>
        <w:rPr>
          <w:rStyle w:val="BookTitle"/>
          <w:rFonts w:ascii="Arial" w:hAnsi="Arial" w:cs="Arial"/>
          <w:i w:val="0"/>
          <w:iCs w:val="0"/>
          <w:smallCaps w:val="0"/>
          <w:spacing w:val="0"/>
          <w:szCs w:val="24"/>
        </w:rPr>
        <w:t>:</w:t>
      </w:r>
    </w:p>
    <w:p w14:paraId="116D09B8" w14:textId="77777777" w:rsidR="00BC7EE5" w:rsidRDefault="000E27FF" w:rsidP="00BC7EE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working as a nanny on a farm</w:t>
      </w:r>
    </w:p>
    <w:p w14:paraId="116D09B9" w14:textId="77777777" w:rsidR="00BC7EE5" w:rsidRDefault="00BC7EE5" w:rsidP="00BC7EE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maintaining animals for t</w:t>
      </w:r>
      <w:r w:rsidR="000E27FF">
        <w:rPr>
          <w:rStyle w:val="BookTitle"/>
          <w:rFonts w:ascii="Arial" w:hAnsi="Arial" w:cs="Arial"/>
          <w:i w:val="0"/>
          <w:iCs w:val="0"/>
          <w:smallCaps w:val="0"/>
          <w:spacing w:val="0"/>
          <w:szCs w:val="24"/>
        </w:rPr>
        <w:t>ourism or recreational purposes</w:t>
      </w:r>
    </w:p>
    <w:p w14:paraId="116D09BA" w14:textId="77777777" w:rsidR="00BC7EE5" w:rsidRDefault="00BC7EE5" w:rsidP="00BC7EE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secondary processing or provision of plant and animal products, such as:</w:t>
      </w:r>
    </w:p>
    <w:p w14:paraId="116D09BB" w14:textId="77777777" w:rsidR="00BC7EE5" w:rsidRDefault="00BC7EE5" w:rsidP="00BC7EE5">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wine-making, brewing and distillatio</w:t>
      </w:r>
      <w:r w:rsidR="000E27FF">
        <w:rPr>
          <w:rStyle w:val="BookTitle"/>
          <w:rFonts w:ascii="Arial" w:hAnsi="Arial" w:cs="Arial"/>
          <w:i w:val="0"/>
          <w:iCs w:val="0"/>
          <w:smallCaps w:val="0"/>
          <w:spacing w:val="0"/>
          <w:szCs w:val="24"/>
        </w:rPr>
        <w:t>n</w:t>
      </w:r>
    </w:p>
    <w:p w14:paraId="116D09BC" w14:textId="77777777" w:rsidR="00BC7EE5" w:rsidRDefault="000E27FF" w:rsidP="00BC7EE5">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milling</w:t>
      </w:r>
    </w:p>
    <w:p w14:paraId="116D09BD" w14:textId="77777777" w:rsidR="00BC7EE5" w:rsidRDefault="000E27FF" w:rsidP="00BC7EE5">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manufacturing of smallgoods</w:t>
      </w:r>
    </w:p>
    <w:p w14:paraId="116D09BE" w14:textId="77777777" w:rsidR="00BC7EE5" w:rsidRDefault="00BC7EE5" w:rsidP="00BC7EE5">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retail of</w:t>
      </w:r>
      <w:r w:rsidR="000E27FF">
        <w:rPr>
          <w:rStyle w:val="BookTitle"/>
          <w:rFonts w:ascii="Arial" w:hAnsi="Arial" w:cs="Arial"/>
          <w:i w:val="0"/>
          <w:iCs w:val="0"/>
          <w:smallCaps w:val="0"/>
          <w:spacing w:val="0"/>
          <w:szCs w:val="24"/>
        </w:rPr>
        <w:t xml:space="preserve"> dairy or butchery products</w:t>
      </w:r>
    </w:p>
    <w:p w14:paraId="116D09BF" w14:textId="77777777" w:rsidR="00BC7EE5" w:rsidRPr="00BC7EE5" w:rsidRDefault="00BC7EE5" w:rsidP="00BC7EE5">
      <w:pPr>
        <w:pStyle w:val="ListParagraph"/>
        <w:numPr>
          <w:ilvl w:val="1"/>
          <w:numId w:val="20"/>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giving</w:t>
      </w:r>
      <w:proofErr w:type="gramEnd"/>
      <w:r>
        <w:rPr>
          <w:rStyle w:val="BookTitle"/>
          <w:rFonts w:ascii="Arial" w:hAnsi="Arial" w:cs="Arial"/>
          <w:i w:val="0"/>
          <w:iCs w:val="0"/>
          <w:smallCaps w:val="0"/>
          <w:spacing w:val="0"/>
          <w:szCs w:val="24"/>
        </w:rPr>
        <w:t xml:space="preserve"> wine tastings at a vineyard.</w:t>
      </w:r>
    </w:p>
    <w:p w14:paraId="116D09C0" w14:textId="77777777" w:rsidR="0095196E" w:rsidRPr="00BC76EB" w:rsidRDefault="0095196E" w:rsidP="006546B7">
      <w:pPr>
        <w:shd w:val="clear" w:color="auto" w:fill="FFFFFF"/>
        <w:spacing w:before="0"/>
        <w:textAlignment w:val="top"/>
        <w:rPr>
          <w:rFonts w:ascii="Arial" w:hAnsi="Arial" w:cs="Arial"/>
          <w:color w:val="111111"/>
          <w:szCs w:val="24"/>
        </w:rPr>
      </w:pPr>
    </w:p>
    <w:p w14:paraId="116D09C1"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116D09C2"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116D09C3"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16D09C4" w14:textId="77777777" w:rsidR="006546B7" w:rsidRPr="00BC76EB" w:rsidRDefault="006546B7" w:rsidP="006546B7">
      <w:pPr>
        <w:spacing w:before="120" w:after="120"/>
        <w:jc w:val="center"/>
        <w:rPr>
          <w:rFonts w:ascii="Arial" w:hAnsi="Arial" w:cs="Arial"/>
          <w:szCs w:val="24"/>
        </w:rPr>
      </w:pPr>
    </w:p>
    <w:p w14:paraId="116D09C5" w14:textId="77777777" w:rsidR="006546B7" w:rsidRPr="000E27FF" w:rsidRDefault="00AE24D0" w:rsidP="006546B7">
      <w:pPr>
        <w:spacing w:before="120" w:after="120"/>
        <w:jc w:val="center"/>
        <w:rPr>
          <w:rFonts w:ascii="Arial" w:hAnsi="Arial" w:cs="Arial"/>
          <w:b/>
          <w:szCs w:val="24"/>
        </w:rPr>
      </w:pPr>
      <w:r w:rsidRPr="000E27FF">
        <w:rPr>
          <w:rFonts w:ascii="Arial" w:hAnsi="Arial" w:cs="Arial"/>
          <w:b/>
          <w:szCs w:val="24"/>
        </w:rPr>
        <w:t>Social Security (Qualifying Agricultural Work) Determination 2020</w:t>
      </w:r>
      <w:r w:rsidR="006546B7" w:rsidRPr="000E27FF">
        <w:rPr>
          <w:rFonts w:ascii="Arial" w:hAnsi="Arial" w:cs="Arial"/>
          <w:b/>
          <w:szCs w:val="24"/>
        </w:rPr>
        <w:t xml:space="preserve"> </w:t>
      </w:r>
    </w:p>
    <w:p w14:paraId="116D09C6" w14:textId="77777777" w:rsidR="006546B7" w:rsidRPr="00BC76EB" w:rsidRDefault="006546B7" w:rsidP="006546B7">
      <w:pPr>
        <w:spacing w:before="120" w:after="120"/>
        <w:jc w:val="center"/>
        <w:rPr>
          <w:rFonts w:ascii="Arial" w:hAnsi="Arial" w:cs="Arial"/>
          <w:szCs w:val="24"/>
        </w:rPr>
      </w:pPr>
    </w:p>
    <w:p w14:paraId="116D09C7" w14:textId="28AF068F" w:rsidR="006546B7" w:rsidRPr="00BC76EB" w:rsidRDefault="00374A77" w:rsidP="00AE24D0">
      <w:pPr>
        <w:spacing w:before="120" w:after="120"/>
        <w:rPr>
          <w:rFonts w:ascii="Arial" w:hAnsi="Arial" w:cs="Arial"/>
          <w:szCs w:val="24"/>
        </w:rPr>
      </w:pPr>
      <w:r w:rsidRPr="00BC76EB">
        <w:rPr>
          <w:rFonts w:ascii="Arial" w:hAnsi="Arial" w:cs="Arial"/>
          <w:szCs w:val="24"/>
        </w:rPr>
        <w:t xml:space="preserve">The </w:t>
      </w:r>
      <w:r w:rsidR="00A340DC" w:rsidRPr="000E27FF">
        <w:rPr>
          <w:rFonts w:ascii="Arial" w:hAnsi="Arial" w:cs="Arial"/>
          <w:szCs w:val="24"/>
        </w:rPr>
        <w:t>Social Security (Qualifying Agricultural Work) Determination 2020</w:t>
      </w:r>
      <w:r w:rsidR="00A340DC">
        <w:rPr>
          <w:rFonts w:ascii="Arial" w:hAnsi="Arial" w:cs="Arial"/>
          <w:i/>
          <w:szCs w:val="24"/>
        </w:rPr>
        <w:t xml:space="preserve"> </w:t>
      </w:r>
      <w:r w:rsidR="00074079">
        <w:rPr>
          <w:rFonts w:ascii="Arial" w:hAnsi="Arial" w:cs="Arial"/>
          <w:szCs w:val="24"/>
        </w:rPr>
        <w:t>(the </w:t>
      </w:r>
      <w:r w:rsidR="00A340DC">
        <w:rPr>
          <w:rFonts w:ascii="Arial" w:hAnsi="Arial" w:cs="Arial"/>
          <w:szCs w:val="24"/>
        </w:rPr>
        <w:t>instrument)</w:t>
      </w:r>
      <w:r w:rsidR="00AE24D0">
        <w:rPr>
          <w:rFonts w:ascii="Arial" w:hAnsi="Arial" w:cs="Arial"/>
          <w:szCs w:val="24"/>
        </w:rPr>
        <w:t xml:space="preserve"> is</w:t>
      </w:r>
      <w:r w:rsidR="006546B7" w:rsidRPr="00BC76EB">
        <w:rPr>
          <w:rFonts w:ascii="Arial" w:hAnsi="Arial" w:cs="Arial"/>
          <w:szCs w:val="24"/>
        </w:rPr>
        <w:t xml:space="preserve"> compatible with the human ri</w:t>
      </w:r>
      <w:r w:rsidR="000E27FF">
        <w:rPr>
          <w:rFonts w:ascii="Arial" w:hAnsi="Arial" w:cs="Arial"/>
          <w:szCs w:val="24"/>
        </w:rPr>
        <w:t>ghts and freedoms recognised or </w:t>
      </w:r>
      <w:r w:rsidR="006546B7" w:rsidRPr="00BC76EB">
        <w:rPr>
          <w:rFonts w:ascii="Arial" w:hAnsi="Arial" w:cs="Arial"/>
          <w:szCs w:val="24"/>
        </w:rPr>
        <w:t>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116D09C8"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116D09C9" w14:textId="77777777" w:rsidR="00A340DC" w:rsidRDefault="00AE24D0" w:rsidP="006546B7">
      <w:pPr>
        <w:spacing w:before="120" w:after="120"/>
        <w:rPr>
          <w:rFonts w:ascii="Arial" w:hAnsi="Arial" w:cs="Arial"/>
          <w:szCs w:val="24"/>
        </w:rPr>
      </w:pPr>
      <w:r>
        <w:rPr>
          <w:rFonts w:ascii="Arial" w:hAnsi="Arial" w:cs="Arial"/>
          <w:szCs w:val="24"/>
        </w:rPr>
        <w:t xml:space="preserve">The </w:t>
      </w:r>
      <w:r w:rsidR="00A340DC">
        <w:rPr>
          <w:rFonts w:ascii="Arial" w:hAnsi="Arial" w:cs="Arial"/>
          <w:szCs w:val="24"/>
        </w:rPr>
        <w:t xml:space="preserve">instrument is made under subsection </w:t>
      </w:r>
      <w:proofErr w:type="gramStart"/>
      <w:r w:rsidR="00A340DC">
        <w:rPr>
          <w:rFonts w:ascii="Arial" w:hAnsi="Arial" w:cs="Arial"/>
          <w:szCs w:val="24"/>
        </w:rPr>
        <w:t>1067A(</w:t>
      </w:r>
      <w:proofErr w:type="gramEnd"/>
      <w:r w:rsidR="00A340DC">
        <w:rPr>
          <w:rFonts w:ascii="Arial" w:hAnsi="Arial" w:cs="Arial"/>
          <w:szCs w:val="24"/>
        </w:rPr>
        <w:t xml:space="preserve">16) of the </w:t>
      </w:r>
      <w:r w:rsidR="00A340DC">
        <w:rPr>
          <w:rFonts w:ascii="Arial" w:hAnsi="Arial" w:cs="Arial"/>
          <w:i/>
          <w:szCs w:val="24"/>
        </w:rPr>
        <w:t>Social Security Act 1991</w:t>
      </w:r>
      <w:r w:rsidR="00A340DC">
        <w:rPr>
          <w:rFonts w:ascii="Arial" w:hAnsi="Arial" w:cs="Arial"/>
          <w:szCs w:val="24"/>
        </w:rPr>
        <w:t xml:space="preserve">. </w:t>
      </w:r>
    </w:p>
    <w:p w14:paraId="116D09CA" w14:textId="77777777" w:rsidR="00A340DC" w:rsidRDefault="00A340DC" w:rsidP="00A340D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specifies the kinds of work that are </w:t>
      </w:r>
      <w:r w:rsidR="000D53D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qualifying agricultural work</w:t>
      </w:r>
      <w:r w:rsidR="000D53D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for the purposes of subsection </w:t>
      </w:r>
      <w:proofErr w:type="gramStart"/>
      <w:r>
        <w:rPr>
          <w:rStyle w:val="BookTitle"/>
          <w:rFonts w:ascii="Arial" w:hAnsi="Arial" w:cs="Arial"/>
          <w:i w:val="0"/>
          <w:iCs w:val="0"/>
          <w:smallCaps w:val="0"/>
          <w:spacing w:val="0"/>
          <w:szCs w:val="24"/>
        </w:rPr>
        <w:t>1067A(</w:t>
      </w:r>
      <w:proofErr w:type="gramEnd"/>
      <w:r>
        <w:rPr>
          <w:rStyle w:val="BookTitle"/>
          <w:rFonts w:ascii="Arial" w:hAnsi="Arial" w:cs="Arial"/>
          <w:i w:val="0"/>
          <w:iCs w:val="0"/>
          <w:smallCaps w:val="0"/>
          <w:spacing w:val="0"/>
          <w:szCs w:val="24"/>
        </w:rPr>
        <w:t>15) of the Act.</w:t>
      </w:r>
    </w:p>
    <w:p w14:paraId="116D09CB" w14:textId="77777777" w:rsidR="00A340DC" w:rsidRPr="00BC76EB" w:rsidRDefault="000D53DB" w:rsidP="00A340D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definition of ‘qualifying agricultural work’ is relevant to</w:t>
      </w:r>
      <w:r w:rsidR="00A340DC">
        <w:rPr>
          <w:rStyle w:val="BookTitle"/>
          <w:rFonts w:ascii="Arial" w:hAnsi="Arial" w:cs="Arial"/>
          <w:i w:val="0"/>
          <w:iCs w:val="0"/>
          <w:smallCaps w:val="0"/>
          <w:spacing w:val="0"/>
          <w:szCs w:val="24"/>
        </w:rPr>
        <w:t xml:space="preserve"> determining whethe</w:t>
      </w:r>
      <w:r w:rsidR="000E27FF">
        <w:rPr>
          <w:rStyle w:val="BookTitle"/>
          <w:rFonts w:ascii="Arial" w:hAnsi="Arial" w:cs="Arial"/>
          <w:i w:val="0"/>
          <w:iCs w:val="0"/>
          <w:smallCaps w:val="0"/>
          <w:spacing w:val="0"/>
          <w:szCs w:val="24"/>
        </w:rPr>
        <w:t>r a person is to be regarded as </w:t>
      </w:r>
      <w:r w:rsidR="00A340DC">
        <w:rPr>
          <w:rStyle w:val="BookTitle"/>
          <w:rFonts w:ascii="Arial" w:hAnsi="Arial" w:cs="Arial"/>
          <w:i w:val="0"/>
          <w:iCs w:val="0"/>
          <w:smallCaps w:val="0"/>
          <w:spacing w:val="0"/>
          <w:szCs w:val="24"/>
        </w:rPr>
        <w:t xml:space="preserve">independent for Youth Allowance student (YA student) </w:t>
      </w:r>
      <w:r>
        <w:rPr>
          <w:rStyle w:val="BookTitle"/>
          <w:rFonts w:ascii="Arial" w:hAnsi="Arial" w:cs="Arial"/>
          <w:i w:val="0"/>
          <w:iCs w:val="0"/>
          <w:smallCaps w:val="0"/>
          <w:spacing w:val="0"/>
          <w:szCs w:val="24"/>
        </w:rPr>
        <w:t xml:space="preserve">payment </w:t>
      </w:r>
      <w:r w:rsidR="00A340DC">
        <w:rPr>
          <w:rStyle w:val="BookTitle"/>
          <w:rFonts w:ascii="Arial" w:hAnsi="Arial" w:cs="Arial"/>
          <w:i w:val="0"/>
          <w:iCs w:val="0"/>
          <w:smallCaps w:val="0"/>
          <w:spacing w:val="0"/>
          <w:szCs w:val="24"/>
        </w:rPr>
        <w:t xml:space="preserve">under subsection 1067A(14) of the Act. Subsection </w:t>
      </w:r>
      <w:proofErr w:type="gramStart"/>
      <w:r w:rsidR="00A340DC">
        <w:rPr>
          <w:rStyle w:val="BookTitle"/>
          <w:rFonts w:ascii="Arial" w:hAnsi="Arial" w:cs="Arial"/>
          <w:i w:val="0"/>
          <w:iCs w:val="0"/>
          <w:smallCaps w:val="0"/>
          <w:spacing w:val="0"/>
          <w:szCs w:val="24"/>
        </w:rPr>
        <w:t>1067A(</w:t>
      </w:r>
      <w:proofErr w:type="gramEnd"/>
      <w:r w:rsidR="00A340DC">
        <w:rPr>
          <w:rStyle w:val="BookTitle"/>
          <w:rFonts w:ascii="Arial" w:hAnsi="Arial" w:cs="Arial"/>
          <w:i w:val="0"/>
          <w:iCs w:val="0"/>
          <w:smallCaps w:val="0"/>
          <w:spacing w:val="0"/>
          <w:szCs w:val="24"/>
        </w:rPr>
        <w:t xml:space="preserve">14) establishes a temporary incentive in the income support system to </w:t>
      </w:r>
      <w:r w:rsidR="00A340DC">
        <w:rPr>
          <w:rFonts w:ascii="Arial" w:hAnsi="Arial" w:cs="Arial"/>
          <w:szCs w:val="24"/>
        </w:rPr>
        <w:t>encourage young Australians to undertake seasonal agricultural work to address concerns across the agricultural sector about immediate workforce availability for the upcoming harvest season.</w:t>
      </w:r>
    </w:p>
    <w:p w14:paraId="116D09CC"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116D09CD" w14:textId="77777777" w:rsidR="003031F3" w:rsidRDefault="003031F3" w:rsidP="003031F3">
      <w:pPr>
        <w:spacing w:before="120" w:after="120"/>
        <w:rPr>
          <w:rFonts w:ascii="Arial" w:hAnsi="Arial" w:cs="Arial"/>
          <w:szCs w:val="24"/>
        </w:rPr>
      </w:pPr>
      <w:r w:rsidRPr="00F61A88">
        <w:rPr>
          <w:rFonts w:ascii="Arial" w:hAnsi="Arial" w:cs="Arial"/>
          <w:szCs w:val="24"/>
        </w:rPr>
        <w:t xml:space="preserve">This legislative instrument engages the following </w:t>
      </w:r>
      <w:r w:rsidR="00A16D70">
        <w:rPr>
          <w:rFonts w:ascii="Arial" w:hAnsi="Arial" w:cs="Arial"/>
          <w:szCs w:val="24"/>
        </w:rPr>
        <w:t xml:space="preserve">human </w:t>
      </w:r>
      <w:r w:rsidRPr="00F61A88">
        <w:rPr>
          <w:rFonts w:ascii="Arial" w:hAnsi="Arial" w:cs="Arial"/>
          <w:szCs w:val="24"/>
        </w:rPr>
        <w:t>rights:</w:t>
      </w:r>
    </w:p>
    <w:p w14:paraId="116D09CE" w14:textId="77777777" w:rsidR="003031F3" w:rsidRDefault="003031F3" w:rsidP="000E27FF">
      <w:pPr>
        <w:pStyle w:val="ListParagraph"/>
        <w:numPr>
          <w:ilvl w:val="0"/>
          <w:numId w:val="21"/>
        </w:numPr>
        <w:spacing w:before="0"/>
        <w:ind w:left="714" w:hanging="357"/>
        <w:contextualSpacing w:val="0"/>
        <w:rPr>
          <w:rFonts w:ascii="Arial" w:hAnsi="Arial" w:cs="Arial"/>
          <w:szCs w:val="24"/>
        </w:rPr>
      </w:pPr>
      <w:r w:rsidRPr="003051C4">
        <w:rPr>
          <w:rFonts w:ascii="Arial" w:hAnsi="Arial" w:cs="Arial"/>
          <w:szCs w:val="24"/>
        </w:rPr>
        <w:t xml:space="preserve">Right to education – Article 13 of the </w:t>
      </w:r>
      <w:r w:rsidR="00A16D70" w:rsidRPr="00A16D70">
        <w:rPr>
          <w:rFonts w:ascii="Arial" w:hAnsi="Arial" w:cs="Arial"/>
          <w:szCs w:val="24"/>
        </w:rPr>
        <w:t>o</w:t>
      </w:r>
      <w:r w:rsidR="000E27FF">
        <w:rPr>
          <w:rFonts w:ascii="Arial" w:hAnsi="Arial" w:cs="Arial"/>
          <w:szCs w:val="24"/>
        </w:rPr>
        <w:t>f the International Covenant on </w:t>
      </w:r>
      <w:r w:rsidR="00A16D70" w:rsidRPr="00A16D70">
        <w:rPr>
          <w:rFonts w:ascii="Arial" w:hAnsi="Arial" w:cs="Arial"/>
          <w:szCs w:val="24"/>
        </w:rPr>
        <w:t xml:space="preserve">Economic, Social and Cultural Rights </w:t>
      </w:r>
      <w:r w:rsidR="00A16D70">
        <w:rPr>
          <w:rFonts w:ascii="Arial" w:hAnsi="Arial" w:cs="Arial"/>
          <w:szCs w:val="24"/>
        </w:rPr>
        <w:t>(</w:t>
      </w:r>
      <w:r w:rsidRPr="003051C4">
        <w:rPr>
          <w:rFonts w:ascii="Arial" w:hAnsi="Arial" w:cs="Arial"/>
          <w:szCs w:val="24"/>
        </w:rPr>
        <w:t>ICESCR</w:t>
      </w:r>
      <w:r w:rsidR="00A16D70">
        <w:rPr>
          <w:rFonts w:ascii="Arial" w:hAnsi="Arial" w:cs="Arial"/>
          <w:szCs w:val="24"/>
        </w:rPr>
        <w:t>)</w:t>
      </w:r>
    </w:p>
    <w:p w14:paraId="116D09CF" w14:textId="77777777" w:rsidR="003031F3" w:rsidRDefault="003031F3" w:rsidP="000E27FF">
      <w:pPr>
        <w:pStyle w:val="ListParagraph"/>
        <w:numPr>
          <w:ilvl w:val="0"/>
          <w:numId w:val="21"/>
        </w:numPr>
        <w:spacing w:before="0"/>
        <w:ind w:left="714" w:hanging="357"/>
        <w:contextualSpacing w:val="0"/>
        <w:rPr>
          <w:rFonts w:ascii="Arial" w:hAnsi="Arial" w:cs="Arial"/>
          <w:szCs w:val="24"/>
        </w:rPr>
      </w:pPr>
      <w:r w:rsidRPr="003051C4">
        <w:rPr>
          <w:rFonts w:ascii="Arial" w:hAnsi="Arial" w:cs="Arial"/>
          <w:szCs w:val="24"/>
        </w:rPr>
        <w:t>Right to social sec</w:t>
      </w:r>
      <w:r w:rsidR="000E27FF">
        <w:rPr>
          <w:rFonts w:ascii="Arial" w:hAnsi="Arial" w:cs="Arial"/>
          <w:szCs w:val="24"/>
        </w:rPr>
        <w:t>urity – Article 9 of the ICESCR.</w:t>
      </w:r>
    </w:p>
    <w:p w14:paraId="116D09D0" w14:textId="77777777" w:rsidR="000E27FF" w:rsidRPr="000E27FF" w:rsidRDefault="000E27FF" w:rsidP="000E27FF">
      <w:pPr>
        <w:spacing w:before="0"/>
        <w:rPr>
          <w:rFonts w:ascii="Arial" w:hAnsi="Arial" w:cs="Arial"/>
          <w:szCs w:val="24"/>
        </w:rPr>
      </w:pPr>
    </w:p>
    <w:p w14:paraId="116D09D1" w14:textId="77777777" w:rsidR="003031F3" w:rsidRPr="003051C4" w:rsidRDefault="003031F3" w:rsidP="000E27FF">
      <w:pPr>
        <w:spacing w:before="0"/>
        <w:rPr>
          <w:rFonts w:ascii="Arial" w:hAnsi="Arial" w:cs="Arial"/>
          <w:i/>
          <w:szCs w:val="24"/>
        </w:rPr>
      </w:pPr>
      <w:r w:rsidRPr="003051C4">
        <w:rPr>
          <w:rFonts w:ascii="Arial" w:hAnsi="Arial" w:cs="Arial"/>
          <w:i/>
          <w:szCs w:val="24"/>
        </w:rPr>
        <w:t xml:space="preserve">Right to education </w:t>
      </w:r>
    </w:p>
    <w:p w14:paraId="116D09D2" w14:textId="76F5554C" w:rsidR="003031F3" w:rsidRDefault="003031F3" w:rsidP="000E27FF">
      <w:pPr>
        <w:pStyle w:val="ListParagraph"/>
        <w:numPr>
          <w:ilvl w:val="0"/>
          <w:numId w:val="21"/>
        </w:numPr>
        <w:spacing w:before="0"/>
        <w:contextualSpacing w:val="0"/>
        <w:rPr>
          <w:rFonts w:ascii="Arial" w:hAnsi="Arial" w:cs="Arial"/>
          <w:szCs w:val="24"/>
        </w:rPr>
      </w:pPr>
      <w:r w:rsidRPr="003051C4">
        <w:rPr>
          <w:rFonts w:ascii="Arial" w:hAnsi="Arial" w:cs="Arial"/>
          <w:szCs w:val="24"/>
        </w:rPr>
        <w:t>Article 13 of the ICESCR recognises the right of everyone to education and</w:t>
      </w:r>
      <w:r w:rsidR="004B6111">
        <w:rPr>
          <w:rFonts w:ascii="Arial" w:hAnsi="Arial" w:cs="Arial"/>
          <w:szCs w:val="24"/>
        </w:rPr>
        <w:t>,</w:t>
      </w:r>
      <w:r w:rsidRPr="003051C4">
        <w:rPr>
          <w:rFonts w:ascii="Arial" w:hAnsi="Arial" w:cs="Arial"/>
          <w:szCs w:val="24"/>
        </w:rPr>
        <w:t xml:space="preserve"> with a view to achieving full realisation to this </w:t>
      </w:r>
      <w:r w:rsidR="00074079" w:rsidRPr="003051C4">
        <w:rPr>
          <w:rFonts w:ascii="Arial" w:hAnsi="Arial" w:cs="Arial"/>
          <w:szCs w:val="24"/>
        </w:rPr>
        <w:t>right</w:t>
      </w:r>
      <w:r w:rsidR="00074079">
        <w:rPr>
          <w:rFonts w:ascii="Arial" w:hAnsi="Arial" w:cs="Arial"/>
          <w:szCs w:val="24"/>
        </w:rPr>
        <w:t xml:space="preserve"> that</w:t>
      </w:r>
      <w:r w:rsidRPr="003051C4">
        <w:rPr>
          <w:rFonts w:ascii="Arial" w:hAnsi="Arial" w:cs="Arial"/>
          <w:szCs w:val="24"/>
        </w:rPr>
        <w:t xml:space="preserve"> higher education should be made equally accessible to all.  </w:t>
      </w:r>
      <w:r>
        <w:rPr>
          <w:rFonts w:ascii="Arial" w:hAnsi="Arial" w:cs="Arial"/>
          <w:szCs w:val="24"/>
        </w:rPr>
        <w:t>The instrument</w:t>
      </w:r>
      <w:r w:rsidRPr="003051C4">
        <w:rPr>
          <w:rFonts w:ascii="Arial" w:hAnsi="Arial" w:cs="Arial"/>
          <w:szCs w:val="24"/>
        </w:rPr>
        <w:t xml:space="preserve"> engages and promotes this right as the arrangements assist individuals to be considered independent, which will enable individuals to </w:t>
      </w:r>
      <w:r w:rsidR="00B56C41">
        <w:rPr>
          <w:rFonts w:ascii="Arial" w:hAnsi="Arial" w:cs="Arial"/>
          <w:szCs w:val="24"/>
        </w:rPr>
        <w:t>receive financial assistance to </w:t>
      </w:r>
      <w:r w:rsidRPr="003051C4">
        <w:rPr>
          <w:rFonts w:ascii="Arial" w:hAnsi="Arial" w:cs="Arial"/>
          <w:szCs w:val="24"/>
        </w:rPr>
        <w:t xml:space="preserve">support their study. </w:t>
      </w:r>
    </w:p>
    <w:p w14:paraId="116D09D3" w14:textId="77777777" w:rsidR="000E27FF" w:rsidRPr="00532970" w:rsidRDefault="000E27FF" w:rsidP="00532970">
      <w:pPr>
        <w:spacing w:before="0"/>
        <w:ind w:left="360"/>
        <w:rPr>
          <w:rFonts w:ascii="Arial" w:hAnsi="Arial" w:cs="Arial"/>
          <w:szCs w:val="24"/>
        </w:rPr>
      </w:pPr>
    </w:p>
    <w:p w14:paraId="116D09D4" w14:textId="77777777" w:rsidR="00B56C41" w:rsidRDefault="00B56C41" w:rsidP="000E27FF">
      <w:pPr>
        <w:spacing w:before="0"/>
        <w:rPr>
          <w:rFonts w:ascii="Arial" w:hAnsi="Arial" w:cs="Arial"/>
          <w:i/>
          <w:szCs w:val="24"/>
        </w:rPr>
      </w:pPr>
      <w:r>
        <w:rPr>
          <w:rFonts w:ascii="Arial" w:hAnsi="Arial" w:cs="Arial"/>
          <w:i/>
          <w:szCs w:val="24"/>
        </w:rPr>
        <w:br w:type="page"/>
      </w:r>
    </w:p>
    <w:p w14:paraId="116D09D5" w14:textId="77777777" w:rsidR="003031F3" w:rsidRPr="003051C4" w:rsidRDefault="003031F3" w:rsidP="000E27FF">
      <w:pPr>
        <w:spacing w:before="0"/>
        <w:rPr>
          <w:rFonts w:ascii="Arial" w:hAnsi="Arial" w:cs="Arial"/>
          <w:i/>
          <w:szCs w:val="24"/>
        </w:rPr>
      </w:pPr>
      <w:r w:rsidRPr="003051C4">
        <w:rPr>
          <w:rFonts w:ascii="Arial" w:hAnsi="Arial" w:cs="Arial"/>
          <w:i/>
          <w:szCs w:val="24"/>
        </w:rPr>
        <w:lastRenderedPageBreak/>
        <w:t xml:space="preserve">Right to social security </w:t>
      </w:r>
    </w:p>
    <w:p w14:paraId="116D09D6" w14:textId="5D8EBCA0" w:rsidR="003031F3" w:rsidRDefault="003031F3" w:rsidP="000E27FF">
      <w:pPr>
        <w:pStyle w:val="ListParagraph"/>
        <w:numPr>
          <w:ilvl w:val="0"/>
          <w:numId w:val="21"/>
        </w:numPr>
        <w:spacing w:before="0"/>
        <w:contextualSpacing w:val="0"/>
        <w:rPr>
          <w:rFonts w:ascii="Arial" w:hAnsi="Arial" w:cs="Arial"/>
          <w:szCs w:val="24"/>
        </w:rPr>
      </w:pPr>
      <w:r w:rsidRPr="003051C4">
        <w:rPr>
          <w:rFonts w:ascii="Arial" w:hAnsi="Arial" w:cs="Arial"/>
          <w:szCs w:val="24"/>
        </w:rPr>
        <w:t xml:space="preserve">Article 9 of the ICESCR recognises the right of everyone to social security.  </w:t>
      </w:r>
      <w:r>
        <w:rPr>
          <w:rFonts w:ascii="Arial" w:hAnsi="Arial" w:cs="Arial"/>
          <w:szCs w:val="24"/>
        </w:rPr>
        <w:t>The instrument</w:t>
      </w:r>
      <w:r w:rsidRPr="003051C4">
        <w:rPr>
          <w:rFonts w:ascii="Arial" w:hAnsi="Arial" w:cs="Arial"/>
          <w:szCs w:val="24"/>
        </w:rPr>
        <w:t xml:space="preserve"> provides an incentive that is intended to address the shortage of workers for the upcoming harvest season.  The agricultural sector generally relies on migrant seasonal workers to undertake harvesting work and this workforce is not available because of the strict restrictions to travel for migrant workers that are in place because of COVID-19.  This </w:t>
      </w:r>
      <w:r w:rsidR="00223795">
        <w:rPr>
          <w:rFonts w:ascii="Arial" w:hAnsi="Arial" w:cs="Arial"/>
          <w:szCs w:val="24"/>
        </w:rPr>
        <w:t>instrument</w:t>
      </w:r>
      <w:r w:rsidRPr="003051C4">
        <w:rPr>
          <w:rFonts w:ascii="Arial" w:hAnsi="Arial" w:cs="Arial"/>
          <w:szCs w:val="24"/>
        </w:rPr>
        <w:t xml:space="preserve"> acknowledges a need and offers incentive, by relaxing eligibility requirements for Y</w:t>
      </w:r>
      <w:r w:rsidR="000D53DB">
        <w:rPr>
          <w:rFonts w:ascii="Arial" w:hAnsi="Arial" w:cs="Arial"/>
          <w:szCs w:val="24"/>
        </w:rPr>
        <w:t>A</w:t>
      </w:r>
      <w:r w:rsidRPr="003051C4">
        <w:rPr>
          <w:rFonts w:ascii="Arial" w:hAnsi="Arial" w:cs="Arial"/>
          <w:szCs w:val="24"/>
        </w:rPr>
        <w:t xml:space="preserve"> student payment and ABSTUDY, for this need to</w:t>
      </w:r>
      <w:r w:rsidR="00D5742A">
        <w:rPr>
          <w:rFonts w:ascii="Arial" w:hAnsi="Arial" w:cs="Arial"/>
          <w:szCs w:val="24"/>
        </w:rPr>
        <w:t> be </w:t>
      </w:r>
      <w:r w:rsidRPr="003051C4">
        <w:rPr>
          <w:rFonts w:ascii="Arial" w:hAnsi="Arial" w:cs="Arial"/>
          <w:szCs w:val="24"/>
        </w:rPr>
        <w:t xml:space="preserve">filled. </w:t>
      </w:r>
      <w:r w:rsidR="00074079">
        <w:rPr>
          <w:rFonts w:ascii="Arial" w:hAnsi="Arial" w:cs="Arial"/>
          <w:szCs w:val="24"/>
        </w:rPr>
        <w:t>The </w:t>
      </w:r>
      <w:r>
        <w:rPr>
          <w:rFonts w:ascii="Arial" w:hAnsi="Arial" w:cs="Arial"/>
          <w:szCs w:val="24"/>
        </w:rPr>
        <w:t>instrument</w:t>
      </w:r>
      <w:r w:rsidRPr="003051C4">
        <w:rPr>
          <w:rFonts w:ascii="Arial" w:hAnsi="Arial" w:cs="Arial"/>
          <w:szCs w:val="24"/>
        </w:rPr>
        <w:t xml:space="preserve"> engages and promotes this righ</w:t>
      </w:r>
      <w:r w:rsidR="00074079">
        <w:rPr>
          <w:rFonts w:ascii="Arial" w:hAnsi="Arial" w:cs="Arial"/>
          <w:szCs w:val="24"/>
        </w:rPr>
        <w:t>t by providing individuals, who </w:t>
      </w:r>
      <w:r w:rsidRPr="003051C4">
        <w:rPr>
          <w:rFonts w:ascii="Arial" w:hAnsi="Arial" w:cs="Arial"/>
          <w:szCs w:val="24"/>
        </w:rPr>
        <w:t>would otherwise not be eligible, access to payments.</w:t>
      </w:r>
    </w:p>
    <w:p w14:paraId="116D09D7" w14:textId="77777777" w:rsidR="003031F3" w:rsidRDefault="003031F3" w:rsidP="000E27FF">
      <w:pPr>
        <w:spacing w:before="0"/>
        <w:rPr>
          <w:rFonts w:ascii="Arial" w:hAnsi="Arial" w:cs="Arial"/>
          <w:szCs w:val="24"/>
        </w:rPr>
      </w:pPr>
    </w:p>
    <w:p w14:paraId="116D09D8" w14:textId="77777777" w:rsidR="006546B7" w:rsidRPr="00BC76EB" w:rsidRDefault="006546B7" w:rsidP="00D5742A">
      <w:pPr>
        <w:spacing w:before="0" w:after="120"/>
        <w:rPr>
          <w:rFonts w:ascii="Arial" w:hAnsi="Arial" w:cs="Arial"/>
          <w:b/>
          <w:szCs w:val="24"/>
        </w:rPr>
      </w:pPr>
      <w:r w:rsidRPr="00BC76EB">
        <w:rPr>
          <w:rFonts w:ascii="Arial" w:hAnsi="Arial" w:cs="Arial"/>
          <w:b/>
          <w:szCs w:val="24"/>
        </w:rPr>
        <w:t xml:space="preserve">Conclusion </w:t>
      </w:r>
    </w:p>
    <w:p w14:paraId="116D09D9" w14:textId="77777777" w:rsidR="003031F3" w:rsidRDefault="00374A77" w:rsidP="00D5742A">
      <w:pPr>
        <w:spacing w:before="0"/>
        <w:rPr>
          <w:rFonts w:ascii="Arial" w:hAnsi="Arial" w:cs="Arial"/>
          <w:szCs w:val="24"/>
        </w:rPr>
      </w:pPr>
      <w:r w:rsidRPr="00BC76EB">
        <w:rPr>
          <w:rFonts w:ascii="Arial" w:hAnsi="Arial" w:cs="Arial"/>
          <w:szCs w:val="24"/>
        </w:rPr>
        <w:t xml:space="preserve">The </w:t>
      </w:r>
      <w:r w:rsidR="00A340DC">
        <w:rPr>
          <w:rFonts w:ascii="Arial" w:hAnsi="Arial" w:cs="Arial"/>
          <w:szCs w:val="24"/>
        </w:rPr>
        <w:t>instrument is</w:t>
      </w:r>
      <w:r w:rsidR="006546B7" w:rsidRPr="00BC76EB">
        <w:rPr>
          <w:rFonts w:ascii="Arial" w:hAnsi="Arial" w:cs="Arial"/>
          <w:szCs w:val="24"/>
        </w:rPr>
        <w:t xml:space="preserve"> compatible with human rights because</w:t>
      </w:r>
      <w:r w:rsidR="00756E1E" w:rsidRPr="00756E1E">
        <w:rPr>
          <w:rFonts w:ascii="Arial" w:hAnsi="Arial" w:cs="Arial"/>
          <w:szCs w:val="24"/>
        </w:rPr>
        <w:t xml:space="preserve"> </w:t>
      </w:r>
      <w:r w:rsidR="003031F3" w:rsidRPr="00756E1E">
        <w:rPr>
          <w:rFonts w:ascii="Arial" w:hAnsi="Arial" w:cs="Arial"/>
          <w:szCs w:val="24"/>
        </w:rPr>
        <w:t>it promotes the protection of human rights.</w:t>
      </w:r>
    </w:p>
    <w:p w14:paraId="116D09DA" w14:textId="77777777" w:rsidR="00756E1E" w:rsidRDefault="00756E1E" w:rsidP="00D5742A">
      <w:pPr>
        <w:spacing w:before="0"/>
        <w:rPr>
          <w:rFonts w:ascii="Arial" w:hAnsi="Arial" w:cs="Arial"/>
          <w:szCs w:val="24"/>
        </w:rPr>
      </w:pPr>
    </w:p>
    <w:p w14:paraId="116D09DB" w14:textId="77777777" w:rsidR="006546B7" w:rsidRPr="00BC76EB" w:rsidRDefault="006546B7" w:rsidP="006546B7">
      <w:pPr>
        <w:spacing w:before="120" w:after="120"/>
        <w:rPr>
          <w:rFonts w:ascii="Arial" w:hAnsi="Arial" w:cs="Arial"/>
          <w:szCs w:val="24"/>
        </w:rPr>
      </w:pPr>
    </w:p>
    <w:bookmarkEnd w:id="1"/>
    <w:p w14:paraId="116D09DC" w14:textId="77777777" w:rsidR="002810A5" w:rsidRPr="00BC76EB" w:rsidRDefault="00AE24D0" w:rsidP="00972A06">
      <w:pPr>
        <w:spacing w:before="120" w:after="120"/>
        <w:jc w:val="center"/>
        <w:rPr>
          <w:rStyle w:val="BookTitle"/>
          <w:rFonts w:ascii="Arial" w:hAnsi="Arial" w:cs="Arial"/>
          <w:i w:val="0"/>
          <w:iCs w:val="0"/>
          <w:smallCaps w:val="0"/>
          <w:spacing w:val="0"/>
          <w:szCs w:val="24"/>
        </w:rPr>
      </w:pPr>
      <w:r>
        <w:rPr>
          <w:rFonts w:ascii="Arial" w:hAnsi="Arial" w:cs="Arial"/>
          <w:b/>
          <w:szCs w:val="24"/>
        </w:rPr>
        <w:t>Kathryn Campbell</w:t>
      </w:r>
      <w:r w:rsidR="000D53DB">
        <w:rPr>
          <w:rFonts w:ascii="Arial" w:hAnsi="Arial" w:cs="Arial"/>
          <w:b/>
          <w:szCs w:val="24"/>
        </w:rPr>
        <w:t xml:space="preserve"> AO CSC</w:t>
      </w:r>
      <w:r>
        <w:rPr>
          <w:rFonts w:ascii="Arial" w:hAnsi="Arial" w:cs="Arial"/>
          <w:b/>
          <w:szCs w:val="24"/>
        </w:rPr>
        <w:t>, Secretary, Department of Socia</w:t>
      </w:r>
      <w:r w:rsidR="001D65C3">
        <w:rPr>
          <w:rFonts w:ascii="Arial" w:hAnsi="Arial" w:cs="Arial"/>
          <w:b/>
          <w:szCs w:val="24"/>
        </w:rPr>
        <w:t>l Services</w:t>
      </w:r>
    </w:p>
    <w:sectPr w:rsidR="002810A5"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09DF" w14:textId="77777777" w:rsidR="008B7E15" w:rsidRDefault="008B7E15" w:rsidP="00AD1645">
      <w:pPr>
        <w:spacing w:before="0"/>
      </w:pPr>
      <w:r>
        <w:separator/>
      </w:r>
    </w:p>
  </w:endnote>
  <w:endnote w:type="continuationSeparator" w:id="0">
    <w:p w14:paraId="116D09E0" w14:textId="77777777" w:rsidR="008B7E15" w:rsidRDefault="008B7E1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9E3" w14:textId="77777777" w:rsidR="00987C20" w:rsidRDefault="00987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9E4" w14:textId="77777777" w:rsidR="00987C20" w:rsidRDefault="0098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9E6" w14:textId="77777777" w:rsidR="00987C20" w:rsidRDefault="00987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09DD" w14:textId="77777777" w:rsidR="008B7E15" w:rsidRDefault="008B7E15" w:rsidP="00AD1645">
      <w:pPr>
        <w:spacing w:before="0"/>
      </w:pPr>
      <w:r>
        <w:separator/>
      </w:r>
    </w:p>
  </w:footnote>
  <w:footnote w:type="continuationSeparator" w:id="0">
    <w:p w14:paraId="116D09DE" w14:textId="77777777" w:rsidR="008B7E15" w:rsidRDefault="008B7E15"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9E1" w14:textId="77777777" w:rsidR="00987C20" w:rsidRDefault="00987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9E2" w14:textId="77777777" w:rsidR="00987C20" w:rsidRDefault="00987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9E5" w14:textId="77777777" w:rsidR="00987C20" w:rsidRDefault="00987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8F6"/>
    <w:multiLevelType w:val="hybridMultilevel"/>
    <w:tmpl w:val="4386F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57E3D"/>
    <w:multiLevelType w:val="hybridMultilevel"/>
    <w:tmpl w:val="E46A42BC"/>
    <w:lvl w:ilvl="0" w:tplc="F8DCBCCE">
      <w:start w:val="1"/>
      <w:numFmt w:val="lowerLetter"/>
      <w:lvlText w:val="(%1)"/>
      <w:lvlJc w:val="left"/>
      <w:pPr>
        <w:ind w:left="2165" w:hanging="915"/>
      </w:pPr>
      <w:rPr>
        <w:rFonts w:hint="default"/>
      </w:r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F3131"/>
    <w:multiLevelType w:val="hybridMultilevel"/>
    <w:tmpl w:val="B63A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46933"/>
    <w:multiLevelType w:val="hybridMultilevel"/>
    <w:tmpl w:val="39DE7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5E30FA"/>
    <w:multiLevelType w:val="hybridMultilevel"/>
    <w:tmpl w:val="5B0A0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6"/>
  </w:num>
  <w:num w:numId="5">
    <w:abstractNumId w:val="15"/>
  </w:num>
  <w:num w:numId="6">
    <w:abstractNumId w:val="2"/>
  </w:num>
  <w:num w:numId="7">
    <w:abstractNumId w:val="12"/>
  </w:num>
  <w:num w:numId="8">
    <w:abstractNumId w:val="17"/>
  </w:num>
  <w:num w:numId="9">
    <w:abstractNumId w:val="9"/>
  </w:num>
  <w:num w:numId="10">
    <w:abstractNumId w:val="18"/>
  </w:num>
  <w:num w:numId="11">
    <w:abstractNumId w:val="4"/>
  </w:num>
  <w:num w:numId="12">
    <w:abstractNumId w:val="6"/>
  </w:num>
  <w:num w:numId="13">
    <w:abstractNumId w:val="0"/>
  </w:num>
  <w:num w:numId="14">
    <w:abstractNumId w:val="10"/>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1"/>
  </w:num>
  <w:num w:numId="20">
    <w:abstractNumId w:val="20"/>
  </w:num>
  <w:num w:numId="21">
    <w:abstractNumId w:val="8"/>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468CF"/>
    <w:rsid w:val="00051C3F"/>
    <w:rsid w:val="0006693F"/>
    <w:rsid w:val="00066DAE"/>
    <w:rsid w:val="00074079"/>
    <w:rsid w:val="00074C1A"/>
    <w:rsid w:val="000760DC"/>
    <w:rsid w:val="000844AF"/>
    <w:rsid w:val="00084B46"/>
    <w:rsid w:val="00085730"/>
    <w:rsid w:val="00096B8D"/>
    <w:rsid w:val="000A3595"/>
    <w:rsid w:val="000A772F"/>
    <w:rsid w:val="000B4130"/>
    <w:rsid w:val="000C2DDB"/>
    <w:rsid w:val="000C5204"/>
    <w:rsid w:val="000D365F"/>
    <w:rsid w:val="000D53DB"/>
    <w:rsid w:val="000E02A0"/>
    <w:rsid w:val="000E27FF"/>
    <w:rsid w:val="000E3915"/>
    <w:rsid w:val="00110EDE"/>
    <w:rsid w:val="0011719D"/>
    <w:rsid w:val="00126429"/>
    <w:rsid w:val="001310C6"/>
    <w:rsid w:val="00140359"/>
    <w:rsid w:val="001437B8"/>
    <w:rsid w:val="001502F9"/>
    <w:rsid w:val="0015134A"/>
    <w:rsid w:val="00152472"/>
    <w:rsid w:val="00163809"/>
    <w:rsid w:val="0016653C"/>
    <w:rsid w:val="00175BC6"/>
    <w:rsid w:val="00191AEC"/>
    <w:rsid w:val="001920F3"/>
    <w:rsid w:val="001A57F7"/>
    <w:rsid w:val="001A737C"/>
    <w:rsid w:val="001B1943"/>
    <w:rsid w:val="001B5379"/>
    <w:rsid w:val="001C38D1"/>
    <w:rsid w:val="001C64F9"/>
    <w:rsid w:val="001D2609"/>
    <w:rsid w:val="001D65C3"/>
    <w:rsid w:val="001D69AF"/>
    <w:rsid w:val="001E5B72"/>
    <w:rsid w:val="001E5D12"/>
    <w:rsid w:val="001E630D"/>
    <w:rsid w:val="001E7422"/>
    <w:rsid w:val="001F4805"/>
    <w:rsid w:val="001F4E3C"/>
    <w:rsid w:val="002154EE"/>
    <w:rsid w:val="00217691"/>
    <w:rsid w:val="00223795"/>
    <w:rsid w:val="00223E79"/>
    <w:rsid w:val="00224887"/>
    <w:rsid w:val="00231203"/>
    <w:rsid w:val="002329E1"/>
    <w:rsid w:val="00232C90"/>
    <w:rsid w:val="002334D9"/>
    <w:rsid w:val="002341DC"/>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2F7443"/>
    <w:rsid w:val="00300D8B"/>
    <w:rsid w:val="00302707"/>
    <w:rsid w:val="003031F3"/>
    <w:rsid w:val="003051C4"/>
    <w:rsid w:val="003119FD"/>
    <w:rsid w:val="00333A9C"/>
    <w:rsid w:val="00334F9D"/>
    <w:rsid w:val="00337065"/>
    <w:rsid w:val="003430FC"/>
    <w:rsid w:val="003434E2"/>
    <w:rsid w:val="00345FFE"/>
    <w:rsid w:val="00351E79"/>
    <w:rsid w:val="0035378F"/>
    <w:rsid w:val="003606C5"/>
    <w:rsid w:val="00365424"/>
    <w:rsid w:val="00374A77"/>
    <w:rsid w:val="00376CB7"/>
    <w:rsid w:val="00380666"/>
    <w:rsid w:val="00387D89"/>
    <w:rsid w:val="00392EB6"/>
    <w:rsid w:val="00393D4E"/>
    <w:rsid w:val="00394743"/>
    <w:rsid w:val="003A04AD"/>
    <w:rsid w:val="003B2BB8"/>
    <w:rsid w:val="003B44E1"/>
    <w:rsid w:val="003C3368"/>
    <w:rsid w:val="003C54B6"/>
    <w:rsid w:val="003D34FF"/>
    <w:rsid w:val="003D71F6"/>
    <w:rsid w:val="003E1784"/>
    <w:rsid w:val="00400273"/>
    <w:rsid w:val="00413820"/>
    <w:rsid w:val="00417E69"/>
    <w:rsid w:val="00420387"/>
    <w:rsid w:val="0042132E"/>
    <w:rsid w:val="00446D6C"/>
    <w:rsid w:val="0045240C"/>
    <w:rsid w:val="00453FC9"/>
    <w:rsid w:val="00454405"/>
    <w:rsid w:val="004554E0"/>
    <w:rsid w:val="00456FBD"/>
    <w:rsid w:val="00457792"/>
    <w:rsid w:val="004646E1"/>
    <w:rsid w:val="004705B9"/>
    <w:rsid w:val="00470C3D"/>
    <w:rsid w:val="004726FF"/>
    <w:rsid w:val="004814F1"/>
    <w:rsid w:val="004820EB"/>
    <w:rsid w:val="00482411"/>
    <w:rsid w:val="004956ED"/>
    <w:rsid w:val="0049646F"/>
    <w:rsid w:val="00497768"/>
    <w:rsid w:val="004A0C19"/>
    <w:rsid w:val="004A126A"/>
    <w:rsid w:val="004A24AF"/>
    <w:rsid w:val="004A58F6"/>
    <w:rsid w:val="004B3147"/>
    <w:rsid w:val="004B54CA"/>
    <w:rsid w:val="004B6111"/>
    <w:rsid w:val="004C163F"/>
    <w:rsid w:val="004C2755"/>
    <w:rsid w:val="004C69A0"/>
    <w:rsid w:val="004C6CC5"/>
    <w:rsid w:val="004D1462"/>
    <w:rsid w:val="004D336A"/>
    <w:rsid w:val="004E3A61"/>
    <w:rsid w:val="004E5CBF"/>
    <w:rsid w:val="004F1CD0"/>
    <w:rsid w:val="004F264A"/>
    <w:rsid w:val="004F5308"/>
    <w:rsid w:val="004F64C0"/>
    <w:rsid w:val="004F69ED"/>
    <w:rsid w:val="00511520"/>
    <w:rsid w:val="00527238"/>
    <w:rsid w:val="00532970"/>
    <w:rsid w:val="005332C8"/>
    <w:rsid w:val="00536060"/>
    <w:rsid w:val="00540BD8"/>
    <w:rsid w:val="00542643"/>
    <w:rsid w:val="0055503B"/>
    <w:rsid w:val="005552EE"/>
    <w:rsid w:val="0056174E"/>
    <w:rsid w:val="00562CBC"/>
    <w:rsid w:val="00566538"/>
    <w:rsid w:val="00566BF6"/>
    <w:rsid w:val="00570884"/>
    <w:rsid w:val="00576330"/>
    <w:rsid w:val="0057641C"/>
    <w:rsid w:val="005766D2"/>
    <w:rsid w:val="00591D1A"/>
    <w:rsid w:val="00594251"/>
    <w:rsid w:val="005956F7"/>
    <w:rsid w:val="005B069A"/>
    <w:rsid w:val="005B51D5"/>
    <w:rsid w:val="005C390A"/>
    <w:rsid w:val="005C3AA9"/>
    <w:rsid w:val="005C54B4"/>
    <w:rsid w:val="005C78B2"/>
    <w:rsid w:val="005D072C"/>
    <w:rsid w:val="005E4167"/>
    <w:rsid w:val="005E4362"/>
    <w:rsid w:val="005E4607"/>
    <w:rsid w:val="005E7B26"/>
    <w:rsid w:val="005F41C9"/>
    <w:rsid w:val="005F5E17"/>
    <w:rsid w:val="005F71B6"/>
    <w:rsid w:val="00612258"/>
    <w:rsid w:val="00614C63"/>
    <w:rsid w:val="00620404"/>
    <w:rsid w:val="00622668"/>
    <w:rsid w:val="00622B71"/>
    <w:rsid w:val="00622D63"/>
    <w:rsid w:val="00624E34"/>
    <w:rsid w:val="00632F44"/>
    <w:rsid w:val="00635BB9"/>
    <w:rsid w:val="006402A6"/>
    <w:rsid w:val="006407D3"/>
    <w:rsid w:val="0064167D"/>
    <w:rsid w:val="00650B9C"/>
    <w:rsid w:val="00650C1C"/>
    <w:rsid w:val="006546B7"/>
    <w:rsid w:val="006643AB"/>
    <w:rsid w:val="00666F48"/>
    <w:rsid w:val="0067070B"/>
    <w:rsid w:val="00681C7F"/>
    <w:rsid w:val="006837E8"/>
    <w:rsid w:val="00683FF5"/>
    <w:rsid w:val="00687351"/>
    <w:rsid w:val="006A1F70"/>
    <w:rsid w:val="006A4CE7"/>
    <w:rsid w:val="006A5D55"/>
    <w:rsid w:val="006A6D51"/>
    <w:rsid w:val="006C5E5E"/>
    <w:rsid w:val="006D7E0F"/>
    <w:rsid w:val="006E1B19"/>
    <w:rsid w:val="006F0769"/>
    <w:rsid w:val="00701486"/>
    <w:rsid w:val="00720E42"/>
    <w:rsid w:val="00727D18"/>
    <w:rsid w:val="0073766B"/>
    <w:rsid w:val="00756E1E"/>
    <w:rsid w:val="00761F50"/>
    <w:rsid w:val="00762A05"/>
    <w:rsid w:val="00771003"/>
    <w:rsid w:val="0077461F"/>
    <w:rsid w:val="0078126B"/>
    <w:rsid w:val="0078302D"/>
    <w:rsid w:val="00785261"/>
    <w:rsid w:val="00787121"/>
    <w:rsid w:val="007907A8"/>
    <w:rsid w:val="007938F3"/>
    <w:rsid w:val="0079557B"/>
    <w:rsid w:val="007A53DD"/>
    <w:rsid w:val="007A6473"/>
    <w:rsid w:val="007B0256"/>
    <w:rsid w:val="007B69DD"/>
    <w:rsid w:val="007B6A34"/>
    <w:rsid w:val="007C4060"/>
    <w:rsid w:val="007C5234"/>
    <w:rsid w:val="007D6273"/>
    <w:rsid w:val="007E4FAD"/>
    <w:rsid w:val="007E6358"/>
    <w:rsid w:val="007F44F6"/>
    <w:rsid w:val="00807CD7"/>
    <w:rsid w:val="00816CFA"/>
    <w:rsid w:val="0083135C"/>
    <w:rsid w:val="008323D2"/>
    <w:rsid w:val="00834463"/>
    <w:rsid w:val="00841C22"/>
    <w:rsid w:val="00860BE9"/>
    <w:rsid w:val="008669B7"/>
    <w:rsid w:val="008707FE"/>
    <w:rsid w:val="00871F28"/>
    <w:rsid w:val="008761FF"/>
    <w:rsid w:val="00880E92"/>
    <w:rsid w:val="008954BF"/>
    <w:rsid w:val="00896466"/>
    <w:rsid w:val="008B026E"/>
    <w:rsid w:val="008B1AA5"/>
    <w:rsid w:val="008B2047"/>
    <w:rsid w:val="008B360F"/>
    <w:rsid w:val="008B4CF1"/>
    <w:rsid w:val="008B7E15"/>
    <w:rsid w:val="008D14F6"/>
    <w:rsid w:val="008D2D41"/>
    <w:rsid w:val="008D2FC2"/>
    <w:rsid w:val="008D59CA"/>
    <w:rsid w:val="008D5B2E"/>
    <w:rsid w:val="008D68B6"/>
    <w:rsid w:val="008D7A97"/>
    <w:rsid w:val="008E1D0E"/>
    <w:rsid w:val="008E320A"/>
    <w:rsid w:val="008F323A"/>
    <w:rsid w:val="008F5702"/>
    <w:rsid w:val="0090001F"/>
    <w:rsid w:val="0090605B"/>
    <w:rsid w:val="0090702B"/>
    <w:rsid w:val="009140F6"/>
    <w:rsid w:val="009149C4"/>
    <w:rsid w:val="00915A96"/>
    <w:rsid w:val="009225F0"/>
    <w:rsid w:val="00925633"/>
    <w:rsid w:val="00930624"/>
    <w:rsid w:val="00932E80"/>
    <w:rsid w:val="009332B3"/>
    <w:rsid w:val="00935A03"/>
    <w:rsid w:val="00937F1C"/>
    <w:rsid w:val="009420AD"/>
    <w:rsid w:val="009426E4"/>
    <w:rsid w:val="00946730"/>
    <w:rsid w:val="00946E6D"/>
    <w:rsid w:val="00950ACB"/>
    <w:rsid w:val="0095196E"/>
    <w:rsid w:val="009553BD"/>
    <w:rsid w:val="00956519"/>
    <w:rsid w:val="00966756"/>
    <w:rsid w:val="00966F79"/>
    <w:rsid w:val="00970C88"/>
    <w:rsid w:val="00972A06"/>
    <w:rsid w:val="00985038"/>
    <w:rsid w:val="00987C20"/>
    <w:rsid w:val="0099649B"/>
    <w:rsid w:val="009A4EAB"/>
    <w:rsid w:val="009A5D3E"/>
    <w:rsid w:val="009B71A9"/>
    <w:rsid w:val="009C63A9"/>
    <w:rsid w:val="009C63B6"/>
    <w:rsid w:val="009D1194"/>
    <w:rsid w:val="009D1BE5"/>
    <w:rsid w:val="009F3C43"/>
    <w:rsid w:val="00A06B72"/>
    <w:rsid w:val="00A16D70"/>
    <w:rsid w:val="00A27E85"/>
    <w:rsid w:val="00A340DC"/>
    <w:rsid w:val="00A375D4"/>
    <w:rsid w:val="00A37984"/>
    <w:rsid w:val="00A42690"/>
    <w:rsid w:val="00A4616D"/>
    <w:rsid w:val="00A6045B"/>
    <w:rsid w:val="00A63D74"/>
    <w:rsid w:val="00A6689B"/>
    <w:rsid w:val="00A66DD0"/>
    <w:rsid w:val="00A719D2"/>
    <w:rsid w:val="00A763EC"/>
    <w:rsid w:val="00A7780C"/>
    <w:rsid w:val="00A8767B"/>
    <w:rsid w:val="00A94C22"/>
    <w:rsid w:val="00AA0F80"/>
    <w:rsid w:val="00AA37AC"/>
    <w:rsid w:val="00AA45C6"/>
    <w:rsid w:val="00AA51E7"/>
    <w:rsid w:val="00AB7356"/>
    <w:rsid w:val="00AC271F"/>
    <w:rsid w:val="00AC5AEB"/>
    <w:rsid w:val="00AC635D"/>
    <w:rsid w:val="00AD1347"/>
    <w:rsid w:val="00AD1645"/>
    <w:rsid w:val="00AD69FE"/>
    <w:rsid w:val="00AE11F6"/>
    <w:rsid w:val="00AE24D0"/>
    <w:rsid w:val="00AE3176"/>
    <w:rsid w:val="00AF0E6A"/>
    <w:rsid w:val="00B00339"/>
    <w:rsid w:val="00B01538"/>
    <w:rsid w:val="00B04EB0"/>
    <w:rsid w:val="00B054CA"/>
    <w:rsid w:val="00B261D9"/>
    <w:rsid w:val="00B33E33"/>
    <w:rsid w:val="00B376E6"/>
    <w:rsid w:val="00B41506"/>
    <w:rsid w:val="00B52B87"/>
    <w:rsid w:val="00B54C30"/>
    <w:rsid w:val="00B56C41"/>
    <w:rsid w:val="00B57278"/>
    <w:rsid w:val="00B6472A"/>
    <w:rsid w:val="00B72A0D"/>
    <w:rsid w:val="00B73680"/>
    <w:rsid w:val="00B74531"/>
    <w:rsid w:val="00B777D9"/>
    <w:rsid w:val="00B821A0"/>
    <w:rsid w:val="00BA2DB9"/>
    <w:rsid w:val="00BB0D37"/>
    <w:rsid w:val="00BC1486"/>
    <w:rsid w:val="00BC35F6"/>
    <w:rsid w:val="00BC76EB"/>
    <w:rsid w:val="00BC7EE5"/>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2328"/>
    <w:rsid w:val="00CC7EC4"/>
    <w:rsid w:val="00CD0DDB"/>
    <w:rsid w:val="00CD184D"/>
    <w:rsid w:val="00CE1802"/>
    <w:rsid w:val="00CF0527"/>
    <w:rsid w:val="00D16E63"/>
    <w:rsid w:val="00D1706F"/>
    <w:rsid w:val="00D2075E"/>
    <w:rsid w:val="00D21D83"/>
    <w:rsid w:val="00D243C5"/>
    <w:rsid w:val="00D2777A"/>
    <w:rsid w:val="00D3071D"/>
    <w:rsid w:val="00D31C51"/>
    <w:rsid w:val="00D367AA"/>
    <w:rsid w:val="00D37C2C"/>
    <w:rsid w:val="00D459E0"/>
    <w:rsid w:val="00D520A1"/>
    <w:rsid w:val="00D556CD"/>
    <w:rsid w:val="00D5742A"/>
    <w:rsid w:val="00D61C4B"/>
    <w:rsid w:val="00D708CA"/>
    <w:rsid w:val="00D72F4B"/>
    <w:rsid w:val="00D74B44"/>
    <w:rsid w:val="00D849AE"/>
    <w:rsid w:val="00D85E5A"/>
    <w:rsid w:val="00DB6E7A"/>
    <w:rsid w:val="00DC765C"/>
    <w:rsid w:val="00DD3BC1"/>
    <w:rsid w:val="00DE0717"/>
    <w:rsid w:val="00DE14E5"/>
    <w:rsid w:val="00DE3A1F"/>
    <w:rsid w:val="00E01E71"/>
    <w:rsid w:val="00E027AF"/>
    <w:rsid w:val="00E15CFF"/>
    <w:rsid w:val="00E230ED"/>
    <w:rsid w:val="00E23C53"/>
    <w:rsid w:val="00E32139"/>
    <w:rsid w:val="00E44FD4"/>
    <w:rsid w:val="00E708B1"/>
    <w:rsid w:val="00E72DC6"/>
    <w:rsid w:val="00E745BB"/>
    <w:rsid w:val="00E7675B"/>
    <w:rsid w:val="00E87016"/>
    <w:rsid w:val="00E907A4"/>
    <w:rsid w:val="00E93220"/>
    <w:rsid w:val="00E94208"/>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E3CA1"/>
    <w:rsid w:val="00EE43FD"/>
    <w:rsid w:val="00EF54F0"/>
    <w:rsid w:val="00F0576D"/>
    <w:rsid w:val="00F108ED"/>
    <w:rsid w:val="00F227A4"/>
    <w:rsid w:val="00F328DA"/>
    <w:rsid w:val="00F35271"/>
    <w:rsid w:val="00F35580"/>
    <w:rsid w:val="00F412CF"/>
    <w:rsid w:val="00F502A9"/>
    <w:rsid w:val="00F52853"/>
    <w:rsid w:val="00F61A88"/>
    <w:rsid w:val="00F754A3"/>
    <w:rsid w:val="00F925B9"/>
    <w:rsid w:val="00FA6F53"/>
    <w:rsid w:val="00FA7196"/>
    <w:rsid w:val="00FB030F"/>
    <w:rsid w:val="00FD2F20"/>
    <w:rsid w:val="00FD368E"/>
    <w:rsid w:val="00FD6BF4"/>
    <w:rsid w:val="00FD7A80"/>
    <w:rsid w:val="00FE2339"/>
    <w:rsid w:val="00FE5C69"/>
    <w:rsid w:val="00FF20B0"/>
    <w:rsid w:val="00FF31DF"/>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D0982"/>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217691"/>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7A097EB1907644A43469ACB5892E15" ma:contentTypeVersion="" ma:contentTypeDescription="PDMS Document Site Content Type" ma:contentTypeScope="" ma:versionID="714ee065fddb2a8cdb727ec86fec0860">
  <xsd:schema xmlns:xsd="http://www.w3.org/2001/XMLSchema" xmlns:xs="http://www.w3.org/2001/XMLSchema" xmlns:p="http://schemas.microsoft.com/office/2006/metadata/properties" xmlns:ns2="C368D464-8269-4474-B423-BA1D8C0129BB" targetNamespace="http://schemas.microsoft.com/office/2006/metadata/properties" ma:root="true" ma:fieldsID="b37a14534687eb3ff6aaeac3f680d8df" ns2:_="">
    <xsd:import namespace="C368D464-8269-4474-B423-BA1D8C0129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D464-8269-4474-B423-BA1D8C0129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68D464-8269-4474-B423-BA1D8C0129B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6BC5-2829-48EE-8636-48440D5D560E}">
  <ds:schemaRefs>
    <ds:schemaRef ds:uri="http://schemas.microsoft.com/sharepoint/v3/contenttype/forms"/>
  </ds:schemaRefs>
</ds:datastoreItem>
</file>

<file path=customXml/itemProps2.xml><?xml version="1.0" encoding="utf-8"?>
<ds:datastoreItem xmlns:ds="http://schemas.openxmlformats.org/officeDocument/2006/customXml" ds:itemID="{82953CE1-F18D-4C8F-AFCD-02667322B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D464-8269-4474-B423-BA1D8C012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95462-0E84-4A9B-95F8-9D761DB3F87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368D464-8269-4474-B423-BA1D8C0129BB"/>
    <ds:schemaRef ds:uri="http://www.w3.org/XML/1998/namespace"/>
    <ds:schemaRef ds:uri="http://purl.org/dc/terms/"/>
  </ds:schemaRefs>
</ds:datastoreItem>
</file>

<file path=customXml/itemProps4.xml><?xml version="1.0" encoding="utf-8"?>
<ds:datastoreItem xmlns:ds="http://schemas.openxmlformats.org/officeDocument/2006/customXml" ds:itemID="{77E27ADA-E6B3-4F27-AC48-F1C9EAB3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JOHNSON, Bronwyn Lee</cp:lastModifiedBy>
  <cp:revision>2</cp:revision>
  <cp:lastPrinted>2020-10-27T22:43:00Z</cp:lastPrinted>
  <dcterms:created xsi:type="dcterms:W3CDTF">2020-11-26T22:38:00Z</dcterms:created>
  <dcterms:modified xsi:type="dcterms:W3CDTF">2020-11-26T22:38:00Z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0x010100266966F133664895A6EE3632470D45F5003F7A097EB1907644A43469ACB5892E15</vt:lpwstr>
  </property>
</Properties>
</file>