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865C3DC" w:rsidR="004C58B9" w:rsidRDefault="003E34F7" w:rsidP="004C58B9">
      <w:pPr>
        <w:jc w:val="center"/>
        <w:rPr>
          <w:rFonts w:ascii="Times New Roman" w:hAnsi="Times New Roman" w:cs="Times New Roman"/>
          <w:i/>
        </w:rPr>
      </w:pPr>
      <w:r>
        <w:rPr>
          <w:rFonts w:ascii="Times New Roman" w:hAnsi="Times New Roman" w:cs="Times New Roman"/>
          <w:i/>
        </w:rPr>
        <w:t>Radiocommunication</w:t>
      </w:r>
      <w:r w:rsidR="00121761">
        <w:rPr>
          <w:rFonts w:ascii="Times New Roman" w:hAnsi="Times New Roman" w:cs="Times New Roman"/>
          <w:i/>
        </w:rPr>
        <w:t>s</w:t>
      </w:r>
      <w:r>
        <w:rPr>
          <w:rFonts w:ascii="Times New Roman" w:hAnsi="Times New Roman" w:cs="Times New Roman"/>
          <w:i/>
        </w:rPr>
        <w:t xml:space="preserve"> Act 1992</w:t>
      </w:r>
    </w:p>
    <w:p w14:paraId="5BD65A2C" w14:textId="09380359" w:rsidR="004C58B9" w:rsidRDefault="003E34F7" w:rsidP="004C58B9">
      <w:pPr>
        <w:jc w:val="center"/>
        <w:rPr>
          <w:rFonts w:ascii="Times New Roman" w:hAnsi="Times New Roman" w:cs="Times New Roman"/>
          <w:b/>
          <w:i/>
        </w:rPr>
      </w:pPr>
      <w:bookmarkStart w:id="0" w:name="_Hlk49948272"/>
      <w:r>
        <w:rPr>
          <w:rFonts w:ascii="Times New Roman" w:hAnsi="Times New Roman" w:cs="Times New Roman"/>
          <w:b/>
          <w:i/>
        </w:rPr>
        <w:t xml:space="preserve">Radiocommunications Licence Conditions (Area-Wide Licence) Amendment </w:t>
      </w:r>
      <w:r w:rsidR="009169FD">
        <w:rPr>
          <w:rFonts w:ascii="Times New Roman" w:hAnsi="Times New Roman" w:cs="Times New Roman"/>
          <w:b/>
          <w:i/>
        </w:rPr>
        <w:t>Determination </w:t>
      </w:r>
      <w:r w:rsidR="00791CA2">
        <w:rPr>
          <w:rFonts w:ascii="Times New Roman" w:hAnsi="Times New Roman" w:cs="Times New Roman"/>
          <w:b/>
          <w:i/>
        </w:rPr>
        <w:t>2020</w:t>
      </w:r>
      <w:r w:rsidR="009169FD">
        <w:rPr>
          <w:rFonts w:ascii="Times New Roman" w:hAnsi="Times New Roman" w:cs="Times New Roman"/>
          <w:b/>
          <w:i/>
        </w:rPr>
        <w:t> </w:t>
      </w:r>
      <w:r>
        <w:rPr>
          <w:rFonts w:ascii="Times New Roman" w:hAnsi="Times New Roman" w:cs="Times New Roman"/>
          <w:b/>
          <w:i/>
        </w:rPr>
        <w:t>(No.</w:t>
      </w:r>
      <w:r w:rsidR="00381995">
        <w:rPr>
          <w:rFonts w:ascii="Times New Roman" w:hAnsi="Times New Roman" w:cs="Times New Roman"/>
          <w:b/>
          <w:i/>
        </w:rPr>
        <w:t>2</w:t>
      </w:r>
      <w:r>
        <w:rPr>
          <w:rFonts w:ascii="Times New Roman" w:hAnsi="Times New Roman" w:cs="Times New Roman"/>
          <w:b/>
          <w:i/>
        </w:rPr>
        <w:t>)</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61D66969"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B5563F" w:rsidRPr="00B5563F">
        <w:rPr>
          <w:rFonts w:ascii="Times New Roman" w:hAnsi="Times New Roman" w:cs="Times New Roman"/>
          <w:i/>
        </w:rPr>
        <w:t>Radiocommunications Licence Conditions (Area-Wide Licence) Amendment Determination 2020 (No.</w:t>
      </w:r>
      <w:r w:rsidR="00381995">
        <w:rPr>
          <w:rFonts w:ascii="Times New Roman" w:hAnsi="Times New Roman" w:cs="Times New Roman"/>
          <w:i/>
        </w:rPr>
        <w:t>2</w:t>
      </w:r>
      <w:r w:rsidR="00B5563F" w:rsidRPr="00B5563F">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B5563F">
        <w:rPr>
          <w:rFonts w:ascii="Times New Roman" w:hAnsi="Times New Roman" w:cs="Times New Roman"/>
        </w:rPr>
        <w:t>paragraph 107(1)(f)</w:t>
      </w:r>
      <w:r>
        <w:rPr>
          <w:rFonts w:ascii="Times New Roman" w:hAnsi="Times New Roman" w:cs="Times New Roman"/>
        </w:rPr>
        <w:t xml:space="preserve"> of the </w:t>
      </w:r>
      <w:r w:rsidR="00B5563F" w:rsidRPr="00B5563F">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EB7487">
        <w:rPr>
          <w:rFonts w:ascii="Times New Roman" w:hAnsi="Times New Roman" w:cs="Times New Roman"/>
        </w:rPr>
        <w:t xml:space="preserve"> and in accordance with subsection 33(3) of the </w:t>
      </w:r>
      <w:r w:rsidR="00EB7487">
        <w:rPr>
          <w:rFonts w:ascii="Times New Roman" w:hAnsi="Times New Roman" w:cs="Times New Roman"/>
          <w:i/>
          <w:iCs/>
        </w:rPr>
        <w:t>Acts Interpretation Act 1901</w:t>
      </w:r>
      <w:r w:rsidR="006B5ED1" w:rsidRPr="00BE3D7C">
        <w:rPr>
          <w:rFonts w:ascii="Times New Roman" w:hAnsi="Times New Roman" w:cs="Times New Roman"/>
        </w:rPr>
        <w:t xml:space="preserve"> (</w:t>
      </w:r>
      <w:r w:rsidR="006B5ED1" w:rsidRPr="00FE699B">
        <w:rPr>
          <w:rFonts w:ascii="Times New Roman" w:hAnsi="Times New Roman" w:cs="Times New Roman"/>
          <w:b/>
          <w:bCs/>
        </w:rPr>
        <w:t>the AIA</w:t>
      </w:r>
      <w:r w:rsidR="006B5ED1" w:rsidRPr="00BE3D7C">
        <w:rPr>
          <w:rFonts w:ascii="Times New Roman" w:hAnsi="Times New Roman" w:cs="Times New Roman"/>
        </w:rPr>
        <w:t>)</w:t>
      </w:r>
      <w:r>
        <w:rPr>
          <w:rFonts w:ascii="Times New Roman" w:hAnsi="Times New Roman" w:cs="Times New Roman"/>
        </w:rPr>
        <w:t>.</w:t>
      </w:r>
    </w:p>
    <w:p w14:paraId="41D8132A" w14:textId="42B51F86" w:rsidR="009D5EF7" w:rsidRDefault="00B5563F" w:rsidP="002F6E04">
      <w:pPr>
        <w:spacing w:line="257" w:lineRule="auto"/>
        <w:rPr>
          <w:rFonts w:ascii="Times New Roman" w:hAnsi="Times New Roman" w:cs="Times New Roman"/>
        </w:rPr>
      </w:pPr>
      <w:r w:rsidRPr="00B5563F">
        <w:rPr>
          <w:rFonts w:ascii="Times New Roman" w:hAnsi="Times New Roman" w:cs="Times New Roman"/>
        </w:rPr>
        <w:t xml:space="preserve">Paragraph 107(1)(f) of the Act provides that an apparatus licence is subject to such conditions (if any) as the ACMA may, by legislative instrument, determine in relation to that particular type of licence. </w:t>
      </w:r>
    </w:p>
    <w:p w14:paraId="39872BE6" w14:textId="43BA6526" w:rsidR="00470005" w:rsidRDefault="00470005" w:rsidP="00463640">
      <w:pPr>
        <w:shd w:val="clear" w:color="auto" w:fill="FFFFFF"/>
        <w:spacing w:line="257" w:lineRule="auto"/>
        <w:rPr>
          <w:rFonts w:ascii="Times New Roman" w:hAnsi="Times New Roman" w:cs="Times New Roman"/>
        </w:rPr>
      </w:pPr>
      <w:r w:rsidRPr="00E20B28">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52A3E597" w14:textId="77777777" w:rsidR="00F273F3" w:rsidRDefault="00F273F3" w:rsidP="00F273F3">
      <w:pPr>
        <w:rPr>
          <w:rFonts w:ascii="Times New Roman" w:hAnsi="Times New Roman" w:cs="Times New Roman"/>
          <w:b/>
        </w:rPr>
      </w:pPr>
      <w:r>
        <w:rPr>
          <w:rFonts w:ascii="Times New Roman" w:hAnsi="Times New Roman" w:cs="Times New Roman"/>
          <w:b/>
        </w:rPr>
        <w:t>Purpose and operation of the instrument</w:t>
      </w:r>
    </w:p>
    <w:p w14:paraId="7B2EA785" w14:textId="43178ED6" w:rsidR="006E168F" w:rsidRPr="002F6E04" w:rsidRDefault="00F02119" w:rsidP="002F6E04">
      <w:pPr>
        <w:spacing w:line="257" w:lineRule="auto"/>
        <w:rPr>
          <w:rFonts w:ascii="Times New Roman" w:hAnsi="Times New Roman" w:cs="Times New Roman"/>
        </w:rPr>
      </w:pPr>
      <w:r>
        <w:rPr>
          <w:rFonts w:ascii="Times New Roman" w:hAnsi="Times New Roman" w:cs="Times New Roman"/>
        </w:rPr>
        <w:t>In January 2020, the ACMA determined a new type of transmitter licence – the area-wide licence – under subsection 98(1) of the Act. At the same time, it</w:t>
      </w:r>
      <w:r w:rsidRPr="002F6E04" w:rsidDel="00F02119">
        <w:rPr>
          <w:rFonts w:ascii="Times New Roman" w:hAnsi="Times New Roman" w:cs="Times New Roman"/>
        </w:rPr>
        <w:t xml:space="preserve"> </w:t>
      </w:r>
      <w:r w:rsidR="009D5EF7" w:rsidRPr="002F6E04">
        <w:rPr>
          <w:rFonts w:ascii="Times New Roman" w:hAnsi="Times New Roman" w:cs="Times New Roman"/>
        </w:rPr>
        <w:t xml:space="preserve">made the </w:t>
      </w:r>
      <w:r w:rsidR="009D5EF7" w:rsidRPr="00493A6B">
        <w:rPr>
          <w:rFonts w:ascii="Times New Roman" w:hAnsi="Times New Roman" w:cs="Times New Roman"/>
          <w:i/>
          <w:iCs/>
        </w:rPr>
        <w:t>Radiocommunications Licence Conditions (Area-Wide Licence) Determination 2020</w:t>
      </w:r>
      <w:r w:rsidR="009D5EF7" w:rsidRPr="002F6E04">
        <w:rPr>
          <w:rFonts w:ascii="Times New Roman" w:hAnsi="Times New Roman" w:cs="Times New Roman"/>
        </w:rPr>
        <w:t xml:space="preserve"> (</w:t>
      </w:r>
      <w:r w:rsidR="009D5EF7" w:rsidRPr="00493A6B">
        <w:rPr>
          <w:rFonts w:ascii="Times New Roman" w:hAnsi="Times New Roman" w:cs="Times New Roman"/>
          <w:b/>
          <w:bCs/>
        </w:rPr>
        <w:t>the Determination</w:t>
      </w:r>
      <w:r w:rsidR="009D5EF7" w:rsidRPr="002F6E04">
        <w:rPr>
          <w:rFonts w:ascii="Times New Roman" w:hAnsi="Times New Roman" w:cs="Times New Roman"/>
        </w:rPr>
        <w:t>)</w:t>
      </w:r>
      <w:r w:rsidR="00567B37" w:rsidRPr="002F6E04">
        <w:rPr>
          <w:rFonts w:ascii="Times New Roman" w:hAnsi="Times New Roman" w:cs="Times New Roman"/>
        </w:rPr>
        <w:t>.</w:t>
      </w:r>
      <w:r w:rsidR="00121761">
        <w:rPr>
          <w:rFonts w:ascii="Times New Roman" w:hAnsi="Times New Roman" w:cs="Times New Roman"/>
        </w:rPr>
        <w:t xml:space="preserve"> </w:t>
      </w:r>
      <w:r w:rsidR="00567B37" w:rsidRPr="002F6E04">
        <w:rPr>
          <w:rFonts w:ascii="Times New Roman" w:hAnsi="Times New Roman" w:cs="Times New Roman"/>
        </w:rPr>
        <w:t>The Determination</w:t>
      </w:r>
      <w:r w:rsidR="001B6956">
        <w:rPr>
          <w:rFonts w:ascii="Times New Roman" w:hAnsi="Times New Roman" w:cs="Times New Roman"/>
        </w:rPr>
        <w:t>, as made,</w:t>
      </w:r>
      <w:r w:rsidR="00567B37" w:rsidRPr="002F6E04">
        <w:rPr>
          <w:rFonts w:ascii="Times New Roman" w:hAnsi="Times New Roman" w:cs="Times New Roman"/>
        </w:rPr>
        <w:t xml:space="preserve"> </w:t>
      </w:r>
      <w:r>
        <w:rPr>
          <w:rFonts w:ascii="Times New Roman" w:hAnsi="Times New Roman" w:cs="Times New Roman"/>
        </w:rPr>
        <w:t>impose</w:t>
      </w:r>
      <w:r w:rsidR="00BF2B67">
        <w:rPr>
          <w:rFonts w:ascii="Times New Roman" w:hAnsi="Times New Roman" w:cs="Times New Roman"/>
        </w:rPr>
        <w:t>d</w:t>
      </w:r>
      <w:r w:rsidRPr="002F6E04">
        <w:rPr>
          <w:rFonts w:ascii="Times New Roman" w:hAnsi="Times New Roman" w:cs="Times New Roman"/>
        </w:rPr>
        <w:t xml:space="preserve"> </w:t>
      </w:r>
      <w:r w:rsidR="006E168F" w:rsidRPr="002F6E04">
        <w:rPr>
          <w:rFonts w:ascii="Times New Roman" w:hAnsi="Times New Roman" w:cs="Times New Roman"/>
        </w:rPr>
        <w:t xml:space="preserve">a condition for the provision, upon request, of information by licensees regarding radiocommunications devices authorised under </w:t>
      </w:r>
      <w:r w:rsidR="004107CE">
        <w:rPr>
          <w:rFonts w:ascii="Times New Roman" w:hAnsi="Times New Roman" w:cs="Times New Roman"/>
        </w:rPr>
        <w:t>an area-wide licence (</w:t>
      </w:r>
      <w:r w:rsidR="004107CE" w:rsidRPr="00493A6B">
        <w:rPr>
          <w:rFonts w:ascii="Times New Roman" w:hAnsi="Times New Roman" w:cs="Times New Roman"/>
          <w:b/>
          <w:bCs/>
        </w:rPr>
        <w:t>AWL</w:t>
      </w:r>
      <w:r w:rsidR="004107CE">
        <w:rPr>
          <w:rFonts w:ascii="Times New Roman" w:hAnsi="Times New Roman" w:cs="Times New Roman"/>
        </w:rPr>
        <w:t>)</w:t>
      </w:r>
      <w:r w:rsidR="006E168F" w:rsidRPr="002F6E04">
        <w:rPr>
          <w:rFonts w:ascii="Times New Roman" w:hAnsi="Times New Roman" w:cs="Times New Roman"/>
        </w:rPr>
        <w:t xml:space="preserve">. </w:t>
      </w:r>
    </w:p>
    <w:p w14:paraId="6D9CD6B6" w14:textId="39F31BEB" w:rsidR="000B6B34" w:rsidRDefault="00381995" w:rsidP="00190101">
      <w:pPr>
        <w:spacing w:line="257" w:lineRule="auto"/>
        <w:rPr>
          <w:sz w:val="19"/>
          <w:szCs w:val="19"/>
        </w:rPr>
      </w:pPr>
      <w:r>
        <w:rPr>
          <w:rFonts w:ascii="Times New Roman" w:hAnsi="Times New Roman" w:cs="Times New Roman"/>
        </w:rPr>
        <w:t>In October 2020, the ACMA</w:t>
      </w:r>
      <w:r w:rsidR="00AF0233">
        <w:rPr>
          <w:rFonts w:ascii="Times New Roman" w:hAnsi="Times New Roman" w:cs="Times New Roman"/>
        </w:rPr>
        <w:t xml:space="preserve"> made the </w:t>
      </w:r>
      <w:r w:rsidR="00AF0233">
        <w:rPr>
          <w:rFonts w:ascii="Times New Roman" w:hAnsi="Times New Roman" w:cs="Times New Roman"/>
          <w:i/>
          <w:iCs/>
        </w:rPr>
        <w:t xml:space="preserve">Radiocommunications Licence Conditions (Area-Wide Licence) Amendment Determination 2020 </w:t>
      </w:r>
      <w:r w:rsidR="00121761">
        <w:rPr>
          <w:rFonts w:ascii="Times New Roman" w:hAnsi="Times New Roman" w:cs="Times New Roman"/>
          <w:i/>
          <w:iCs/>
        </w:rPr>
        <w:t xml:space="preserve">(No. 1) </w:t>
      </w:r>
      <w:r w:rsidR="00AF0233">
        <w:rPr>
          <w:rFonts w:ascii="Times New Roman" w:hAnsi="Times New Roman" w:cs="Times New Roman"/>
        </w:rPr>
        <w:t>(</w:t>
      </w:r>
      <w:r w:rsidR="00AF0233" w:rsidRPr="005D0ABB">
        <w:rPr>
          <w:rFonts w:ascii="Times New Roman" w:hAnsi="Times New Roman" w:cs="Times New Roman"/>
          <w:b/>
          <w:bCs/>
        </w:rPr>
        <w:t>the October Amendment</w:t>
      </w:r>
      <w:r w:rsidR="00AF0233">
        <w:rPr>
          <w:rFonts w:ascii="Times New Roman" w:hAnsi="Times New Roman" w:cs="Times New Roman"/>
        </w:rPr>
        <w:t>).</w:t>
      </w:r>
      <w:r>
        <w:rPr>
          <w:rFonts w:ascii="Times New Roman" w:hAnsi="Times New Roman" w:cs="Times New Roman"/>
        </w:rPr>
        <w:t xml:space="preserve"> </w:t>
      </w:r>
      <w:r w:rsidR="00AF0233">
        <w:rPr>
          <w:rFonts w:ascii="Times New Roman" w:hAnsi="Times New Roman" w:cs="Times New Roman"/>
        </w:rPr>
        <w:t xml:space="preserve">The October Amendment </w:t>
      </w:r>
      <w:r>
        <w:rPr>
          <w:rFonts w:ascii="Times New Roman" w:hAnsi="Times New Roman" w:cs="Times New Roman"/>
        </w:rPr>
        <w:t xml:space="preserve">amended the Determination to include </w:t>
      </w:r>
      <w:r w:rsidR="00142995">
        <w:rPr>
          <w:rFonts w:ascii="Times New Roman" w:hAnsi="Times New Roman" w:cs="Times New Roman"/>
        </w:rPr>
        <w:t xml:space="preserve">further </w:t>
      </w:r>
      <w:r>
        <w:rPr>
          <w:rFonts w:ascii="Times New Roman" w:hAnsi="Times New Roman" w:cs="Times New Roman"/>
        </w:rPr>
        <w:t xml:space="preserve">conditions </w:t>
      </w:r>
      <w:r w:rsidR="00C01F69">
        <w:rPr>
          <w:rFonts w:ascii="Times New Roman" w:hAnsi="Times New Roman" w:cs="Times New Roman"/>
        </w:rPr>
        <w:t xml:space="preserve">which apply to </w:t>
      </w:r>
      <w:r w:rsidR="00475DFD">
        <w:rPr>
          <w:rFonts w:ascii="Times New Roman" w:hAnsi="Times New Roman" w:cs="Times New Roman"/>
        </w:rPr>
        <w:t>r</w:t>
      </w:r>
      <w:r w:rsidR="00C01F69">
        <w:rPr>
          <w:rFonts w:ascii="Times New Roman" w:hAnsi="Times New Roman" w:cs="Times New Roman"/>
        </w:rPr>
        <w:t xml:space="preserve">adiocommunications devices which are authorised to operate in the </w:t>
      </w:r>
      <w:r w:rsidR="00134031">
        <w:rPr>
          <w:rFonts w:ascii="Times New Roman" w:hAnsi="Times New Roman" w:cs="Times New Roman"/>
        </w:rPr>
        <w:t>frequency range 24.7</w:t>
      </w:r>
      <w:r w:rsidR="00E53B60">
        <w:rPr>
          <w:rFonts w:ascii="Times New Roman" w:hAnsi="Times New Roman" w:cs="Times New Roman"/>
        </w:rPr>
        <w:t xml:space="preserve"> GHz to </w:t>
      </w:r>
      <w:r w:rsidR="00134031">
        <w:rPr>
          <w:rFonts w:ascii="Times New Roman" w:hAnsi="Times New Roman" w:cs="Times New Roman"/>
        </w:rPr>
        <w:t>30 GHz</w:t>
      </w:r>
      <w:r w:rsidR="00C01F69">
        <w:rPr>
          <w:rFonts w:ascii="Times New Roman" w:hAnsi="Times New Roman" w:cs="Times New Roman"/>
        </w:rPr>
        <w:t xml:space="preserve"> under an </w:t>
      </w:r>
      <w:r w:rsidR="00567B37">
        <w:rPr>
          <w:rFonts w:ascii="Times New Roman" w:hAnsi="Times New Roman" w:cs="Times New Roman"/>
        </w:rPr>
        <w:t>AWL</w:t>
      </w:r>
      <w:r w:rsidR="00BB1C96">
        <w:rPr>
          <w:sz w:val="19"/>
          <w:szCs w:val="19"/>
        </w:rPr>
        <w:t>.</w:t>
      </w:r>
      <w:r w:rsidR="000B6B34">
        <w:rPr>
          <w:sz w:val="19"/>
          <w:szCs w:val="19"/>
        </w:rPr>
        <w:t xml:space="preserve"> </w:t>
      </w:r>
    </w:p>
    <w:p w14:paraId="2D5A75B2" w14:textId="16536F63" w:rsidR="0078400A" w:rsidRDefault="0074191A" w:rsidP="002F6E04">
      <w:pPr>
        <w:spacing w:line="257" w:lineRule="auto"/>
        <w:rPr>
          <w:rFonts w:ascii="Times New Roman" w:hAnsi="Times New Roman" w:cs="Times New Roman"/>
        </w:rPr>
      </w:pPr>
      <w:r>
        <w:rPr>
          <w:rFonts w:ascii="Times New Roman" w:hAnsi="Times New Roman" w:cs="Times New Roman"/>
        </w:rPr>
        <w:t xml:space="preserve">In particular, clause </w:t>
      </w:r>
      <w:r w:rsidR="00017349">
        <w:rPr>
          <w:rFonts w:ascii="Times New Roman" w:hAnsi="Times New Roman" w:cs="Times New Roman"/>
        </w:rPr>
        <w:t xml:space="preserve">6 of Schedule 1 </w:t>
      </w:r>
      <w:r>
        <w:rPr>
          <w:rFonts w:ascii="Times New Roman" w:hAnsi="Times New Roman" w:cs="Times New Roman"/>
        </w:rPr>
        <w:t>to</w:t>
      </w:r>
      <w:r w:rsidR="00017349">
        <w:rPr>
          <w:rFonts w:ascii="Times New Roman" w:hAnsi="Times New Roman" w:cs="Times New Roman"/>
        </w:rPr>
        <w:t xml:space="preserve"> the</w:t>
      </w:r>
      <w:r w:rsidR="00297A6B">
        <w:rPr>
          <w:rFonts w:ascii="Times New Roman" w:hAnsi="Times New Roman" w:cs="Times New Roman"/>
        </w:rPr>
        <w:t xml:space="preserve"> Determination</w:t>
      </w:r>
      <w:r w:rsidR="000B6B34">
        <w:rPr>
          <w:rFonts w:ascii="Times New Roman" w:hAnsi="Times New Roman" w:cs="Times New Roman"/>
        </w:rPr>
        <w:t xml:space="preserve"> </w:t>
      </w:r>
      <w:r>
        <w:rPr>
          <w:rFonts w:ascii="Times New Roman" w:hAnsi="Times New Roman" w:cs="Times New Roman"/>
        </w:rPr>
        <w:t>was inserted to include</w:t>
      </w:r>
      <w:r w:rsidR="00017349">
        <w:rPr>
          <w:rFonts w:ascii="Times New Roman" w:hAnsi="Times New Roman" w:cs="Times New Roman"/>
        </w:rPr>
        <w:t xml:space="preserve"> </w:t>
      </w:r>
      <w:r w:rsidR="000B6B34">
        <w:rPr>
          <w:rFonts w:ascii="Times New Roman" w:hAnsi="Times New Roman" w:cs="Times New Roman"/>
        </w:rPr>
        <w:t xml:space="preserve">a condition </w:t>
      </w:r>
      <w:r w:rsidR="00017349">
        <w:rPr>
          <w:rFonts w:ascii="Times New Roman" w:hAnsi="Times New Roman" w:cs="Times New Roman"/>
        </w:rPr>
        <w:t>(</w:t>
      </w:r>
      <w:r w:rsidR="00017349" w:rsidRPr="00017349">
        <w:rPr>
          <w:rFonts w:ascii="Times New Roman" w:hAnsi="Times New Roman" w:cs="Times New Roman"/>
          <w:b/>
          <w:bCs/>
        </w:rPr>
        <w:t>the synchronisation requirement</w:t>
      </w:r>
      <w:r w:rsidR="00017349">
        <w:rPr>
          <w:rFonts w:ascii="Times New Roman" w:hAnsi="Times New Roman" w:cs="Times New Roman"/>
        </w:rPr>
        <w:t xml:space="preserve">) </w:t>
      </w:r>
      <w:r w:rsidR="000B6B34">
        <w:rPr>
          <w:rFonts w:ascii="Times New Roman" w:hAnsi="Times New Roman" w:cs="Times New Roman"/>
        </w:rPr>
        <w:t>requir</w:t>
      </w:r>
      <w:r w:rsidR="00364744">
        <w:rPr>
          <w:rFonts w:ascii="Times New Roman" w:hAnsi="Times New Roman" w:cs="Times New Roman"/>
        </w:rPr>
        <w:t>ing</w:t>
      </w:r>
      <w:r w:rsidR="000B6B34">
        <w:rPr>
          <w:rFonts w:ascii="Times New Roman" w:hAnsi="Times New Roman" w:cs="Times New Roman"/>
        </w:rPr>
        <w:t xml:space="preserve"> </w:t>
      </w:r>
      <w:r w:rsidR="00701223">
        <w:rPr>
          <w:rFonts w:ascii="Times New Roman" w:hAnsi="Times New Roman" w:cs="Times New Roman"/>
        </w:rPr>
        <w:t>licensees to synchronise the operation of certain devices,</w:t>
      </w:r>
      <w:r w:rsidR="000B6B34">
        <w:rPr>
          <w:rFonts w:ascii="Times New Roman" w:hAnsi="Times New Roman" w:cs="Times New Roman"/>
        </w:rPr>
        <w:t xml:space="preserve"> authorised under an AWL</w:t>
      </w:r>
      <w:r w:rsidR="00701223">
        <w:rPr>
          <w:rFonts w:ascii="Times New Roman" w:hAnsi="Times New Roman" w:cs="Times New Roman"/>
        </w:rPr>
        <w:t>,</w:t>
      </w:r>
      <w:r w:rsidR="000B6B34">
        <w:rPr>
          <w:rFonts w:ascii="Times New Roman" w:hAnsi="Times New Roman" w:cs="Times New Roman"/>
        </w:rPr>
        <w:t xml:space="preserve"> with other devices to manage interference, unless another </w:t>
      </w:r>
      <w:r w:rsidR="00297A6B">
        <w:rPr>
          <w:rFonts w:ascii="Times New Roman" w:hAnsi="Times New Roman" w:cs="Times New Roman"/>
        </w:rPr>
        <w:t>way to manage the interference is mutually agreed. Th</w:t>
      </w:r>
      <w:r w:rsidR="00017349">
        <w:rPr>
          <w:rFonts w:ascii="Times New Roman" w:hAnsi="Times New Roman" w:cs="Times New Roman"/>
        </w:rPr>
        <w:t>e synchronisation requirement</w:t>
      </w:r>
      <w:r w:rsidR="00297A6B">
        <w:rPr>
          <w:rFonts w:ascii="Times New Roman" w:hAnsi="Times New Roman" w:cs="Times New Roman"/>
        </w:rPr>
        <w:t xml:space="preserve"> is triggered when </w:t>
      </w:r>
      <w:r w:rsidR="00297A6B" w:rsidRPr="00017349">
        <w:rPr>
          <w:rFonts w:ascii="Times New Roman" w:hAnsi="Times New Roman" w:cs="Times New Roman"/>
          <w:i/>
          <w:iCs/>
        </w:rPr>
        <w:t>substantial interference</w:t>
      </w:r>
      <w:r w:rsidR="00297A6B">
        <w:rPr>
          <w:rFonts w:ascii="Times New Roman" w:hAnsi="Times New Roman" w:cs="Times New Roman"/>
        </w:rPr>
        <w:t xml:space="preserve"> is received. </w:t>
      </w:r>
      <w:r w:rsidR="000B6B34">
        <w:rPr>
          <w:rFonts w:ascii="Times New Roman" w:hAnsi="Times New Roman" w:cs="Times New Roman"/>
        </w:rPr>
        <w:t>Th</w:t>
      </w:r>
      <w:r w:rsidR="00297A6B">
        <w:rPr>
          <w:rFonts w:ascii="Times New Roman" w:hAnsi="Times New Roman" w:cs="Times New Roman"/>
        </w:rPr>
        <w:t>e</w:t>
      </w:r>
      <w:r w:rsidR="000B6B34">
        <w:rPr>
          <w:rFonts w:ascii="Times New Roman" w:hAnsi="Times New Roman" w:cs="Times New Roman"/>
        </w:rPr>
        <w:t xml:space="preserve"> instrument </w:t>
      </w:r>
      <w:r w:rsidR="00FB5DF9">
        <w:rPr>
          <w:rFonts w:ascii="Times New Roman" w:hAnsi="Times New Roman" w:cs="Times New Roman"/>
        </w:rPr>
        <w:t xml:space="preserve">amends the Determination </w:t>
      </w:r>
      <w:r w:rsidR="00C52F25">
        <w:rPr>
          <w:rFonts w:ascii="Times New Roman" w:hAnsi="Times New Roman" w:cs="Times New Roman"/>
        </w:rPr>
        <w:t xml:space="preserve">by </w:t>
      </w:r>
      <w:r w:rsidR="00297A6B">
        <w:rPr>
          <w:rFonts w:ascii="Times New Roman" w:hAnsi="Times New Roman" w:cs="Times New Roman"/>
        </w:rPr>
        <w:t>chang</w:t>
      </w:r>
      <w:r w:rsidR="00C52F25">
        <w:rPr>
          <w:rFonts w:ascii="Times New Roman" w:hAnsi="Times New Roman" w:cs="Times New Roman"/>
        </w:rPr>
        <w:t>ing</w:t>
      </w:r>
      <w:r w:rsidR="00297A6B">
        <w:rPr>
          <w:rFonts w:ascii="Times New Roman" w:hAnsi="Times New Roman" w:cs="Times New Roman"/>
        </w:rPr>
        <w:t xml:space="preserve"> the trigger for the synchronisation </w:t>
      </w:r>
      <w:r w:rsidR="00017349">
        <w:rPr>
          <w:rFonts w:ascii="Times New Roman" w:hAnsi="Times New Roman" w:cs="Times New Roman"/>
        </w:rPr>
        <w:t>requirement</w:t>
      </w:r>
      <w:r w:rsidR="00E53B60">
        <w:rPr>
          <w:rFonts w:ascii="Times New Roman" w:hAnsi="Times New Roman" w:cs="Times New Roman"/>
        </w:rPr>
        <w:t>,</w:t>
      </w:r>
      <w:r w:rsidR="00297A6B">
        <w:rPr>
          <w:rFonts w:ascii="Times New Roman" w:hAnsi="Times New Roman" w:cs="Times New Roman"/>
        </w:rPr>
        <w:t xml:space="preserve"> from </w:t>
      </w:r>
      <w:r w:rsidR="00FB5DF9">
        <w:rPr>
          <w:rFonts w:ascii="Times New Roman" w:hAnsi="Times New Roman" w:cs="Times New Roman"/>
        </w:rPr>
        <w:t>‘</w:t>
      </w:r>
      <w:r w:rsidR="00297A6B">
        <w:rPr>
          <w:rFonts w:ascii="Times New Roman" w:hAnsi="Times New Roman" w:cs="Times New Roman"/>
        </w:rPr>
        <w:t>substantial interference</w:t>
      </w:r>
      <w:r w:rsidR="00FB5DF9">
        <w:rPr>
          <w:rFonts w:ascii="Times New Roman" w:hAnsi="Times New Roman" w:cs="Times New Roman"/>
        </w:rPr>
        <w:t>’</w:t>
      </w:r>
      <w:r w:rsidR="00297A6B">
        <w:rPr>
          <w:rFonts w:ascii="Times New Roman" w:hAnsi="Times New Roman" w:cs="Times New Roman"/>
        </w:rPr>
        <w:t xml:space="preserve"> </w:t>
      </w:r>
      <w:r w:rsidR="00E53B60">
        <w:rPr>
          <w:rFonts w:ascii="Times New Roman" w:hAnsi="Times New Roman" w:cs="Times New Roman"/>
        </w:rPr>
        <w:t xml:space="preserve">occurring </w:t>
      </w:r>
      <w:r w:rsidR="00297A6B">
        <w:rPr>
          <w:rFonts w:ascii="Times New Roman" w:hAnsi="Times New Roman" w:cs="Times New Roman"/>
        </w:rPr>
        <w:t xml:space="preserve">to when interference exceeds the compatibility requirement set out in </w:t>
      </w:r>
      <w:r w:rsidR="00121761">
        <w:rPr>
          <w:rFonts w:ascii="Times New Roman" w:hAnsi="Times New Roman" w:cs="Times New Roman"/>
        </w:rPr>
        <w:t>Schedule 2 to</w:t>
      </w:r>
      <w:r w:rsidR="00297A6B">
        <w:rPr>
          <w:rFonts w:ascii="Times New Roman" w:hAnsi="Times New Roman" w:cs="Times New Roman"/>
        </w:rPr>
        <w:t xml:space="preserve"> the</w:t>
      </w:r>
      <w:r w:rsidR="00FB5DF9">
        <w:rPr>
          <w:rFonts w:ascii="Times New Roman" w:hAnsi="Times New Roman" w:cs="Times New Roman"/>
        </w:rPr>
        <w:t xml:space="preserve"> newly made</w:t>
      </w:r>
      <w:r w:rsidR="00297A6B">
        <w:rPr>
          <w:rFonts w:ascii="Times New Roman" w:hAnsi="Times New Roman" w:cs="Times New Roman"/>
        </w:rPr>
        <w:t xml:space="preserve"> </w:t>
      </w:r>
      <w:r w:rsidR="00297A6B" w:rsidRPr="002A343E">
        <w:rPr>
          <w:rFonts w:ascii="Times New Roman" w:hAnsi="Times New Roman" w:cs="Times New Roman"/>
          <w:i/>
          <w:iCs/>
        </w:rPr>
        <w:t>Radiocommunications Advisory Guidelines (Managing Interference to Spectrum Licenced Receivers – 26 GHz Band) 2020</w:t>
      </w:r>
      <w:r w:rsidR="00B46B22">
        <w:rPr>
          <w:rFonts w:ascii="Times New Roman" w:hAnsi="Times New Roman" w:cs="Times New Roman"/>
        </w:rPr>
        <w:t xml:space="preserve"> (</w:t>
      </w:r>
      <w:r w:rsidR="00B46B22" w:rsidRPr="005D0ABB">
        <w:rPr>
          <w:rFonts w:ascii="Times New Roman" w:hAnsi="Times New Roman" w:cs="Times New Roman"/>
          <w:b/>
          <w:bCs/>
        </w:rPr>
        <w:t>the Guidelines</w:t>
      </w:r>
      <w:r w:rsidR="00B46B22">
        <w:rPr>
          <w:rFonts w:ascii="Times New Roman" w:hAnsi="Times New Roman" w:cs="Times New Roman"/>
        </w:rPr>
        <w:t>)</w:t>
      </w:r>
      <w:r w:rsidR="00297A6B">
        <w:rPr>
          <w:rFonts w:ascii="Times New Roman" w:hAnsi="Times New Roman" w:cs="Times New Roman"/>
        </w:rPr>
        <w:t xml:space="preserve">. This change </w:t>
      </w:r>
      <w:r w:rsidR="00C754EA">
        <w:rPr>
          <w:rFonts w:ascii="Times New Roman" w:hAnsi="Times New Roman" w:cs="Times New Roman"/>
        </w:rPr>
        <w:t xml:space="preserve">is intended to </w:t>
      </w:r>
      <w:r w:rsidR="00297A6B">
        <w:rPr>
          <w:rFonts w:ascii="Times New Roman" w:hAnsi="Times New Roman" w:cs="Times New Roman"/>
        </w:rPr>
        <w:t xml:space="preserve">ensure that the application of the synchronisation </w:t>
      </w:r>
      <w:r w:rsidR="00017349">
        <w:rPr>
          <w:rFonts w:ascii="Times New Roman" w:hAnsi="Times New Roman" w:cs="Times New Roman"/>
        </w:rPr>
        <w:t>requirement</w:t>
      </w:r>
      <w:r w:rsidR="00297A6B">
        <w:rPr>
          <w:rFonts w:ascii="Times New Roman" w:hAnsi="Times New Roman" w:cs="Times New Roman"/>
        </w:rPr>
        <w:t xml:space="preserve"> is consistent between devices operated under an AWL and under a spectrum licence</w:t>
      </w:r>
      <w:r w:rsidR="00E53B60">
        <w:rPr>
          <w:rFonts w:ascii="Times New Roman" w:hAnsi="Times New Roman" w:cs="Times New Roman"/>
        </w:rPr>
        <w:t xml:space="preserve"> in the frequency range 25.1 GHz to 27.5 GHz (</w:t>
      </w:r>
      <w:r w:rsidR="00E53B60" w:rsidRPr="00E53B60">
        <w:rPr>
          <w:rFonts w:ascii="Times New Roman" w:hAnsi="Times New Roman" w:cs="Times New Roman"/>
          <w:b/>
          <w:bCs/>
        </w:rPr>
        <w:t>26 GHz band</w:t>
      </w:r>
      <w:r w:rsidR="00E53B60">
        <w:rPr>
          <w:rFonts w:ascii="Times New Roman" w:hAnsi="Times New Roman" w:cs="Times New Roman"/>
        </w:rPr>
        <w:t>)</w:t>
      </w:r>
      <w:r w:rsidR="00297A6B">
        <w:rPr>
          <w:rFonts w:ascii="Times New Roman" w:hAnsi="Times New Roman" w:cs="Times New Roman"/>
        </w:rPr>
        <w:t>.</w:t>
      </w:r>
      <w:r w:rsidR="0084715C">
        <w:rPr>
          <w:rFonts w:ascii="Times New Roman" w:hAnsi="Times New Roman" w:cs="Times New Roman"/>
        </w:rPr>
        <w:t xml:space="preserve"> The ACMA proposes to conduct an allocation process for spectrum licences in the 26 GHz band in the first half of 2021.</w:t>
      </w:r>
    </w:p>
    <w:p w14:paraId="1AE58613" w14:textId="0275F748" w:rsidR="0078400A" w:rsidRDefault="0078400A" w:rsidP="002F6E04">
      <w:pPr>
        <w:spacing w:line="257" w:lineRule="auto"/>
        <w:rPr>
          <w:rFonts w:ascii="Times New Roman" w:hAnsi="Times New Roman" w:cs="Times New Roman"/>
        </w:rPr>
      </w:pPr>
      <w:r>
        <w:rPr>
          <w:rFonts w:ascii="Times New Roman" w:hAnsi="Times New Roman" w:cs="Times New Roman"/>
        </w:rPr>
        <w:t xml:space="preserve">The instrument also corrects an error in Table 14 </w:t>
      </w:r>
      <w:r w:rsidR="00DC4D71">
        <w:rPr>
          <w:rFonts w:ascii="Times New Roman" w:hAnsi="Times New Roman" w:cs="Times New Roman"/>
        </w:rPr>
        <w:t>of Schedule 1 to</w:t>
      </w:r>
      <w:r>
        <w:rPr>
          <w:rFonts w:ascii="Times New Roman" w:hAnsi="Times New Roman" w:cs="Times New Roman"/>
        </w:rPr>
        <w:t xml:space="preserve"> the Determination. </w:t>
      </w:r>
      <w:r w:rsidR="00B83C47">
        <w:rPr>
          <w:rFonts w:ascii="Times New Roman" w:hAnsi="Times New Roman" w:cs="Times New Roman"/>
        </w:rPr>
        <w:t>The change will make the Determination consistent</w:t>
      </w:r>
      <w:r w:rsidR="00AE1632">
        <w:rPr>
          <w:rFonts w:ascii="Times New Roman" w:hAnsi="Times New Roman" w:cs="Times New Roman"/>
        </w:rPr>
        <w:t xml:space="preserve"> with unwanted emission limits contained in Resolution 750 (</w:t>
      </w:r>
      <w:r w:rsidR="00B327E6">
        <w:rPr>
          <w:rFonts w:ascii="Times New Roman" w:hAnsi="Times New Roman" w:cs="Times New Roman"/>
        </w:rPr>
        <w:t>REV.</w:t>
      </w:r>
      <w:r w:rsidR="00AE1632">
        <w:rPr>
          <w:rFonts w:ascii="Times New Roman" w:hAnsi="Times New Roman" w:cs="Times New Roman"/>
        </w:rPr>
        <w:t>WRC-19) of the International Telecommunication Union’s Radio Regulations.</w:t>
      </w:r>
    </w:p>
    <w:p w14:paraId="62529848" w14:textId="77777777" w:rsidR="004C58B9" w:rsidRDefault="004C58B9" w:rsidP="002F6E04">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77D850B8" w:rsidR="004C58B9" w:rsidRDefault="004C58B9" w:rsidP="002F6E04">
      <w:pPr>
        <w:spacing w:line="257" w:lineRule="auto"/>
        <w:rPr>
          <w:rFonts w:ascii="Times New Roman" w:hAnsi="Times New Roman" w:cs="Times New Roman"/>
        </w:rPr>
      </w:pPr>
      <w:r>
        <w:rPr>
          <w:rFonts w:ascii="Times New Roman" w:hAnsi="Times New Roman" w:cs="Times New Roman"/>
        </w:rPr>
        <w:lastRenderedPageBreak/>
        <w:t>The instrument is a</w:t>
      </w:r>
      <w:r w:rsidR="00254AA6">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694619">
      <w:pPr>
        <w:keepNext/>
        <w:spacing w:line="257" w:lineRule="auto"/>
        <w:rPr>
          <w:rFonts w:ascii="Times New Roman" w:hAnsi="Times New Roman" w:cs="Times New Roman"/>
          <w:b/>
        </w:rPr>
      </w:pPr>
      <w:r>
        <w:rPr>
          <w:rFonts w:ascii="Times New Roman" w:hAnsi="Times New Roman" w:cs="Times New Roman"/>
          <w:b/>
        </w:rPr>
        <w:t>Documents incorporated by reference</w:t>
      </w:r>
    </w:p>
    <w:p w14:paraId="44BCBC6A" w14:textId="30AAFC9C" w:rsidR="00472EE7" w:rsidRDefault="008B56D2" w:rsidP="00694619">
      <w:pPr>
        <w:spacing w:line="257" w:lineRule="auto"/>
        <w:rPr>
          <w:rFonts w:ascii="Times New Roman" w:hAnsi="Times New Roman" w:cs="Times New Roman"/>
        </w:rPr>
      </w:pPr>
      <w:r>
        <w:rPr>
          <w:rFonts w:ascii="Times New Roman" w:hAnsi="Times New Roman" w:cs="Times New Roman"/>
        </w:rPr>
        <w:t>As permitted by section 314A of the Act, t</w:t>
      </w:r>
      <w:r w:rsidR="00472EE7">
        <w:rPr>
          <w:rFonts w:ascii="Times New Roman" w:hAnsi="Times New Roman" w:cs="Times New Roman"/>
        </w:rPr>
        <w:t>he instrument incorporates the</w:t>
      </w:r>
      <w:r w:rsidR="00B46B22">
        <w:rPr>
          <w:rFonts w:ascii="Times New Roman" w:hAnsi="Times New Roman" w:cs="Times New Roman"/>
        </w:rPr>
        <w:t xml:space="preserve"> Guidelines</w:t>
      </w:r>
      <w:r w:rsidR="009332E0" w:rsidRPr="002A343E">
        <w:rPr>
          <w:rFonts w:ascii="Times New Roman" w:hAnsi="Times New Roman" w:cs="Times New Roman"/>
        </w:rPr>
        <w:t>,</w:t>
      </w:r>
      <w:r w:rsidR="0084715C">
        <w:rPr>
          <w:rFonts w:ascii="Times New Roman" w:hAnsi="Times New Roman" w:cs="Times New Roman"/>
        </w:rPr>
        <w:t xml:space="preserve"> or any instrument that replaces the </w:t>
      </w:r>
      <w:r w:rsidR="00B46B22">
        <w:rPr>
          <w:rFonts w:ascii="Times New Roman" w:hAnsi="Times New Roman" w:cs="Times New Roman"/>
        </w:rPr>
        <w:t>G</w:t>
      </w:r>
      <w:r w:rsidR="0084715C">
        <w:rPr>
          <w:rFonts w:ascii="Times New Roman" w:hAnsi="Times New Roman" w:cs="Times New Roman"/>
        </w:rPr>
        <w:t>uidelines</w:t>
      </w:r>
      <w:r w:rsidR="00B46B22">
        <w:rPr>
          <w:rFonts w:ascii="Times New Roman" w:hAnsi="Times New Roman" w:cs="Times New Roman"/>
        </w:rPr>
        <w:t>,</w:t>
      </w:r>
      <w:r w:rsidR="009332E0">
        <w:rPr>
          <w:rFonts w:ascii="Times New Roman" w:hAnsi="Times New Roman" w:cs="Times New Roman"/>
          <w:i/>
          <w:iCs/>
        </w:rPr>
        <w:t xml:space="preserve"> </w:t>
      </w:r>
      <w:r w:rsidR="009332E0">
        <w:rPr>
          <w:rFonts w:ascii="Times New Roman" w:hAnsi="Times New Roman" w:cs="Times New Roman"/>
        </w:rPr>
        <w:t>as in force from time to time. Th</w:t>
      </w:r>
      <w:r w:rsidR="00121761">
        <w:rPr>
          <w:rFonts w:ascii="Times New Roman" w:hAnsi="Times New Roman" w:cs="Times New Roman"/>
        </w:rPr>
        <w:t>e Guidelines are</w:t>
      </w:r>
      <w:r w:rsidR="00472EE7">
        <w:rPr>
          <w:rFonts w:ascii="Times New Roman" w:hAnsi="Times New Roman" w:cs="Times New Roman"/>
        </w:rPr>
        <w:t xml:space="preserve"> available, free of charge, from the Federal Register of Legislation: </w:t>
      </w:r>
      <w:hyperlink r:id="rId12" w:history="1">
        <w:r w:rsidR="00472EE7" w:rsidRPr="00FF63CD">
          <w:rPr>
            <w:rStyle w:val="Hyperlink"/>
            <w:rFonts w:ascii="Times New Roman" w:hAnsi="Times New Roman" w:cs="Times New Roman"/>
          </w:rPr>
          <w:t>www.legislation.gov.au</w:t>
        </w:r>
      </w:hyperlink>
      <w:r w:rsidR="00472EE7">
        <w:rPr>
          <w:rFonts w:ascii="Times New Roman" w:hAnsi="Times New Roman" w:cs="Times New Roman"/>
        </w:rPr>
        <w:t>.</w:t>
      </w:r>
      <w:r w:rsidR="00951592">
        <w:rPr>
          <w:rFonts w:ascii="Times New Roman" w:hAnsi="Times New Roman" w:cs="Times New Roman"/>
        </w:rPr>
        <w:t xml:space="preserve"> </w:t>
      </w:r>
    </w:p>
    <w:p w14:paraId="2EFDFDBF" w14:textId="77777777" w:rsidR="004C58B9" w:rsidRDefault="004C58B9" w:rsidP="002F6E04">
      <w:pPr>
        <w:spacing w:line="257" w:lineRule="auto"/>
        <w:rPr>
          <w:rFonts w:ascii="Times New Roman" w:hAnsi="Times New Roman" w:cs="Times New Roman"/>
          <w:b/>
        </w:rPr>
      </w:pPr>
      <w:r>
        <w:rPr>
          <w:rFonts w:ascii="Times New Roman" w:hAnsi="Times New Roman" w:cs="Times New Roman"/>
          <w:b/>
        </w:rPr>
        <w:t>Consultation</w:t>
      </w:r>
    </w:p>
    <w:p w14:paraId="34CC02D9" w14:textId="39D132FF" w:rsidR="004C58B9" w:rsidRDefault="004C58B9" w:rsidP="002F6E04">
      <w:pPr>
        <w:spacing w:line="257" w:lineRule="auto"/>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D05D9F7" w14:textId="566DBC6B" w:rsidR="001E06E0" w:rsidRPr="006B6D34" w:rsidRDefault="00E56E96" w:rsidP="001E06E0">
      <w:pPr>
        <w:pStyle w:val="paragraph"/>
        <w:spacing w:before="0" w:beforeAutospacing="0" w:after="160" w:afterAutospacing="0" w:line="257" w:lineRule="auto"/>
        <w:textAlignment w:val="baseline"/>
        <w:rPr>
          <w:rStyle w:val="normaltextrun"/>
          <w:sz w:val="22"/>
          <w:szCs w:val="22"/>
        </w:rPr>
      </w:pPr>
      <w:r>
        <w:rPr>
          <w:rStyle w:val="normaltextrun"/>
          <w:sz w:val="22"/>
          <w:szCs w:val="22"/>
        </w:rPr>
        <w:t xml:space="preserve">On 19 August 2020, the ACMA </w:t>
      </w:r>
      <w:r w:rsidR="001F0020">
        <w:rPr>
          <w:rStyle w:val="normaltextrun"/>
          <w:sz w:val="22"/>
          <w:szCs w:val="22"/>
        </w:rPr>
        <w:t>published the “</w:t>
      </w:r>
      <w:r>
        <w:rPr>
          <w:rStyle w:val="normaltextrun"/>
          <w:sz w:val="22"/>
          <w:szCs w:val="22"/>
        </w:rPr>
        <w:t xml:space="preserve">Apparatus Licences in the 26 GHz and 28 GHz bands consultation </w:t>
      </w:r>
      <w:r w:rsidR="001F0020">
        <w:rPr>
          <w:rStyle w:val="normaltextrun"/>
          <w:sz w:val="22"/>
          <w:szCs w:val="22"/>
        </w:rPr>
        <w:t>paper”</w:t>
      </w:r>
      <w:r w:rsidR="00100307">
        <w:rPr>
          <w:rStyle w:val="normaltextrun"/>
          <w:sz w:val="22"/>
          <w:szCs w:val="22"/>
        </w:rPr>
        <w:t xml:space="preserve"> along with a number of </w:t>
      </w:r>
      <w:r w:rsidR="00573590">
        <w:rPr>
          <w:rStyle w:val="normaltextrun"/>
          <w:sz w:val="22"/>
          <w:szCs w:val="22"/>
        </w:rPr>
        <w:t>other instrument</w:t>
      </w:r>
      <w:r w:rsidR="00316AEF">
        <w:rPr>
          <w:rStyle w:val="normaltextrun"/>
          <w:sz w:val="22"/>
          <w:szCs w:val="22"/>
        </w:rPr>
        <w:t>s</w:t>
      </w:r>
      <w:r w:rsidR="008625F5">
        <w:rPr>
          <w:rStyle w:val="normaltextrun"/>
          <w:sz w:val="22"/>
          <w:szCs w:val="22"/>
        </w:rPr>
        <w:t>,</w:t>
      </w:r>
      <w:r w:rsidR="00C6744D">
        <w:rPr>
          <w:rStyle w:val="normaltextrun"/>
          <w:sz w:val="22"/>
          <w:szCs w:val="22"/>
        </w:rPr>
        <w:t xml:space="preserve"> including drafts of the October Amendment </w:t>
      </w:r>
      <w:r w:rsidR="00927118">
        <w:rPr>
          <w:rStyle w:val="normaltextrun"/>
          <w:sz w:val="22"/>
          <w:szCs w:val="22"/>
        </w:rPr>
        <w:t xml:space="preserve">and the Guidelines. </w:t>
      </w:r>
      <w:r w:rsidR="001E06E0">
        <w:rPr>
          <w:rStyle w:val="normaltextrun"/>
          <w:sz w:val="22"/>
          <w:szCs w:val="22"/>
        </w:rPr>
        <w:t>Further information on the consultation undertaken for the October Amendment is available in its explanatory statement.</w:t>
      </w:r>
    </w:p>
    <w:p w14:paraId="749D1EDA" w14:textId="125D0DDC" w:rsidR="00E03766" w:rsidRDefault="008E00DE" w:rsidP="00E03766">
      <w:pPr>
        <w:pStyle w:val="paragraph"/>
        <w:spacing w:before="0" w:beforeAutospacing="0" w:after="160" w:afterAutospacing="0" w:line="257" w:lineRule="auto"/>
        <w:textAlignment w:val="baseline"/>
        <w:rPr>
          <w:rStyle w:val="normaltextrun"/>
          <w:sz w:val="22"/>
          <w:szCs w:val="22"/>
        </w:rPr>
      </w:pPr>
      <w:r>
        <w:rPr>
          <w:rStyle w:val="normaltextrun"/>
          <w:sz w:val="22"/>
          <w:szCs w:val="22"/>
        </w:rPr>
        <w:t>The draft of the October Amendment contained a reference to the Guidelines</w:t>
      </w:r>
      <w:r w:rsidR="00E53B60">
        <w:rPr>
          <w:rStyle w:val="normaltextrun"/>
          <w:sz w:val="22"/>
          <w:szCs w:val="22"/>
        </w:rPr>
        <w:t>;</w:t>
      </w:r>
      <w:r w:rsidR="00443BB8">
        <w:rPr>
          <w:rStyle w:val="normaltextrun"/>
          <w:sz w:val="22"/>
          <w:szCs w:val="22"/>
        </w:rPr>
        <w:t xml:space="preserve"> however t</w:t>
      </w:r>
      <w:r w:rsidR="009825A5">
        <w:rPr>
          <w:rStyle w:val="normaltextrun"/>
          <w:sz w:val="22"/>
          <w:szCs w:val="22"/>
        </w:rPr>
        <w:t>he ACMA did not include a reference to the Guidelines in the October Amendment</w:t>
      </w:r>
      <w:r w:rsidR="00E35A23">
        <w:rPr>
          <w:rStyle w:val="normaltextrun"/>
          <w:sz w:val="22"/>
          <w:szCs w:val="22"/>
        </w:rPr>
        <w:t>,</w:t>
      </w:r>
      <w:r w:rsidR="009825A5">
        <w:rPr>
          <w:rStyle w:val="normaltextrun"/>
          <w:sz w:val="22"/>
          <w:szCs w:val="22"/>
        </w:rPr>
        <w:t xml:space="preserve"> as it had not yet made the Guidelines at th</w:t>
      </w:r>
      <w:r w:rsidR="001B6F43">
        <w:rPr>
          <w:rStyle w:val="normaltextrun"/>
          <w:sz w:val="22"/>
          <w:szCs w:val="22"/>
        </w:rPr>
        <w:t>at</w:t>
      </w:r>
      <w:r w:rsidR="009825A5">
        <w:rPr>
          <w:rStyle w:val="normaltextrun"/>
          <w:sz w:val="22"/>
          <w:szCs w:val="22"/>
        </w:rPr>
        <w:t xml:space="preserve"> time.</w:t>
      </w:r>
    </w:p>
    <w:p w14:paraId="2E01E108" w14:textId="454A82EC" w:rsidR="004C58B9" w:rsidRDefault="004C58B9" w:rsidP="00387EB5">
      <w:pPr>
        <w:spacing w:line="257" w:lineRule="auto"/>
        <w:rPr>
          <w:rFonts w:ascii="Times New Roman" w:hAnsi="Times New Roman" w:cs="Times New Roman"/>
          <w:b/>
        </w:rPr>
      </w:pPr>
      <w:r>
        <w:rPr>
          <w:rFonts w:ascii="Times New Roman" w:hAnsi="Times New Roman" w:cs="Times New Roman"/>
          <w:b/>
        </w:rPr>
        <w:t>Regulatory impact assessment</w:t>
      </w:r>
    </w:p>
    <w:p w14:paraId="55CE98BD" w14:textId="48FDFF1D" w:rsidR="004F1CB0" w:rsidRDefault="004F1CB0" w:rsidP="00387EB5">
      <w:pPr>
        <w:spacing w:line="257" w:lineRule="auto"/>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w:t>
      </w:r>
      <w:r w:rsidR="000A3BFE">
        <w:rPr>
          <w:rFonts w:ascii="Times New Roman" w:hAnsi="Times New Roman" w:cs="Times New Roman"/>
        </w:rPr>
        <w:t>(</w:t>
      </w:r>
      <w:r>
        <w:rPr>
          <w:rFonts w:ascii="Times New Roman" w:hAnsi="Times New Roman" w:cs="Times New Roman"/>
        </w:rPr>
        <w:t>OBPR reference number</w:t>
      </w:r>
      <w:r w:rsidR="008C473F">
        <w:rPr>
          <w:rFonts w:ascii="Times New Roman" w:hAnsi="Times New Roman" w:cs="Times New Roman"/>
        </w:rPr>
        <w:t xml:space="preserve"> </w:t>
      </w:r>
      <w:r w:rsidR="00F300A5">
        <w:rPr>
          <w:rFonts w:ascii="Times New Roman" w:hAnsi="Times New Roman" w:cs="Times New Roman"/>
        </w:rPr>
        <w:t>43143</w:t>
      </w:r>
      <w:r w:rsidR="002F343D">
        <w:rPr>
          <w:rFonts w:ascii="Times New Roman" w:hAnsi="Times New Roman" w:cs="Times New Roman"/>
        </w:rPr>
        <w:t>)</w:t>
      </w:r>
      <w:r>
        <w:rPr>
          <w:rFonts w:ascii="Times New Roman" w:hAnsi="Times New Roman" w:cs="Times New Roman"/>
        </w:rPr>
        <w:t>.</w:t>
      </w:r>
    </w:p>
    <w:p w14:paraId="645DD02E" w14:textId="5C662634" w:rsidR="004C58B9" w:rsidRDefault="004C58B9" w:rsidP="00387EB5">
      <w:pPr>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39B7ABE7" w:rsidR="004C58B9" w:rsidRDefault="004C58B9" w:rsidP="00387EB5">
      <w:pPr>
        <w:spacing w:line="257"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9D68F2">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387EB5">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C45560" w14:textId="77777777" w:rsidR="00190101" w:rsidRDefault="00190101" w:rsidP="00593537">
      <w:pPr>
        <w:keepNext/>
        <w:spacing w:line="257" w:lineRule="auto"/>
        <w:rPr>
          <w:rFonts w:ascii="Times New Roman" w:hAnsi="Times New Roman" w:cs="Times New Roman"/>
          <w:b/>
          <w:i/>
        </w:rPr>
      </w:pPr>
      <w:r>
        <w:rPr>
          <w:rFonts w:ascii="Times New Roman" w:hAnsi="Times New Roman" w:cs="Times New Roman"/>
          <w:b/>
          <w:i/>
        </w:rPr>
        <w:t>Overview of the instrument</w:t>
      </w:r>
    </w:p>
    <w:p w14:paraId="75C44B27" w14:textId="3547C615" w:rsidR="00190101" w:rsidRDefault="00190101" w:rsidP="00190101">
      <w:pPr>
        <w:spacing w:line="257" w:lineRule="auto"/>
        <w:rPr>
          <w:sz w:val="19"/>
          <w:szCs w:val="19"/>
        </w:rPr>
      </w:pPr>
      <w:r>
        <w:rPr>
          <w:rFonts w:ascii="Times New Roman" w:hAnsi="Times New Roman" w:cs="Times New Roman"/>
        </w:rPr>
        <w:t xml:space="preserve">An AWL is a type of transmitter licence determined by the ACMA under section 98 of the Act. </w:t>
      </w:r>
      <w:r w:rsidRPr="00EB4F34">
        <w:rPr>
          <w:rFonts w:ascii="Times New Roman" w:hAnsi="Times New Roman" w:cs="Times New Roman"/>
        </w:rPr>
        <w:t>The ACMA</w:t>
      </w:r>
      <w:r>
        <w:rPr>
          <w:rFonts w:ascii="Times New Roman" w:hAnsi="Times New Roman" w:cs="Times New Roman"/>
        </w:rPr>
        <w:t xml:space="preserve"> is</w:t>
      </w:r>
      <w:r w:rsidRPr="00EB4F34">
        <w:rPr>
          <w:rFonts w:ascii="Times New Roman" w:hAnsi="Times New Roman" w:cs="Times New Roman"/>
        </w:rPr>
        <w:t xml:space="preserve"> </w:t>
      </w:r>
      <w:r>
        <w:rPr>
          <w:rFonts w:ascii="Times New Roman" w:hAnsi="Times New Roman" w:cs="Times New Roman"/>
        </w:rPr>
        <w:t xml:space="preserve">preparing to issue </w:t>
      </w:r>
      <w:r w:rsidRPr="00EB4F34">
        <w:rPr>
          <w:rFonts w:ascii="Times New Roman" w:hAnsi="Times New Roman" w:cs="Times New Roman"/>
        </w:rPr>
        <w:t xml:space="preserve">AWLs in the </w:t>
      </w:r>
      <w:r w:rsidR="00E53B60">
        <w:rPr>
          <w:rFonts w:ascii="Times New Roman" w:hAnsi="Times New Roman" w:cs="Times New Roman"/>
        </w:rPr>
        <w:t>frequency rang 24.7 GHz–30 GHz</w:t>
      </w:r>
      <w:r>
        <w:rPr>
          <w:rFonts w:ascii="Times New Roman" w:hAnsi="Times New Roman" w:cs="Times New Roman"/>
        </w:rPr>
        <w:t xml:space="preserve">. The purpose of the instrument is </w:t>
      </w:r>
      <w:r w:rsidR="003C730B">
        <w:rPr>
          <w:rFonts w:ascii="Times New Roman" w:hAnsi="Times New Roman" w:cs="Times New Roman"/>
        </w:rPr>
        <w:t xml:space="preserve">to </w:t>
      </w:r>
      <w:r w:rsidR="009332E0">
        <w:rPr>
          <w:rFonts w:ascii="Times New Roman" w:hAnsi="Times New Roman" w:cs="Times New Roman"/>
        </w:rPr>
        <w:t xml:space="preserve">vary </w:t>
      </w:r>
      <w:r w:rsidR="003C730B">
        <w:rPr>
          <w:rFonts w:ascii="Times New Roman" w:hAnsi="Times New Roman" w:cs="Times New Roman"/>
        </w:rPr>
        <w:t>the synchronisation requirement</w:t>
      </w:r>
      <w:r w:rsidR="001045E4">
        <w:rPr>
          <w:rFonts w:ascii="Times New Roman" w:hAnsi="Times New Roman" w:cs="Times New Roman"/>
        </w:rPr>
        <w:t xml:space="preserve"> included in the licence conditions applicable to AWLs,</w:t>
      </w:r>
      <w:r w:rsidR="009332E0">
        <w:rPr>
          <w:rFonts w:ascii="Times New Roman" w:hAnsi="Times New Roman" w:cs="Times New Roman"/>
        </w:rPr>
        <w:t xml:space="preserve"> by </w:t>
      </w:r>
      <w:r w:rsidR="001045E4">
        <w:rPr>
          <w:rFonts w:ascii="Times New Roman" w:hAnsi="Times New Roman" w:cs="Times New Roman"/>
        </w:rPr>
        <w:t>referring to the recently made</w:t>
      </w:r>
      <w:r w:rsidR="009332E0">
        <w:rPr>
          <w:rFonts w:ascii="Times New Roman" w:hAnsi="Times New Roman" w:cs="Times New Roman"/>
        </w:rPr>
        <w:t xml:space="preserve"> the </w:t>
      </w:r>
      <w:r w:rsidR="009332E0" w:rsidRPr="00835D2E">
        <w:rPr>
          <w:rFonts w:ascii="Times New Roman" w:hAnsi="Times New Roman" w:cs="Times New Roman"/>
          <w:i/>
          <w:iCs/>
        </w:rPr>
        <w:t>Radiocommunications Advisory Guidelines (Managing Interference to Spectrum Licenced Receivers – 26 GHz Band) 2020</w:t>
      </w:r>
      <w:r w:rsidR="009332E0" w:rsidRPr="00134031">
        <w:rPr>
          <w:rFonts w:ascii="Times New Roman" w:hAnsi="Times New Roman" w:cs="Times New Roman"/>
        </w:rPr>
        <w:t>.</w:t>
      </w:r>
      <w:r w:rsidR="00921CCB">
        <w:rPr>
          <w:rFonts w:ascii="Times New Roman" w:hAnsi="Times New Roman" w:cs="Times New Roman"/>
        </w:rPr>
        <w:t xml:space="preserve"> This will make the synchronisation requirement for </w:t>
      </w:r>
      <w:r w:rsidR="00C701EA">
        <w:rPr>
          <w:rFonts w:ascii="Times New Roman" w:hAnsi="Times New Roman" w:cs="Times New Roman"/>
        </w:rPr>
        <w:t xml:space="preserve">the operation of devices authorised under </w:t>
      </w:r>
      <w:r w:rsidR="00921CCB">
        <w:rPr>
          <w:rFonts w:ascii="Times New Roman" w:hAnsi="Times New Roman" w:cs="Times New Roman"/>
        </w:rPr>
        <w:t>AWLs consistent with those for spectrum licences in the 26 GHz band.</w:t>
      </w:r>
    </w:p>
    <w:p w14:paraId="62B66CB7" w14:textId="1A76F25A" w:rsidR="004C58B9" w:rsidRDefault="004C58B9" w:rsidP="00786F72">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387EB5">
      <w:pPr>
        <w:spacing w:line="257" w:lineRule="auto"/>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5C0629A0" w:rsidR="004C58B9" w:rsidRDefault="004C58B9" w:rsidP="004C58B9">
      <w:pPr>
        <w:rPr>
          <w:rFonts w:ascii="Times New Roman" w:hAnsi="Times New Roman" w:cs="Times New Roman"/>
        </w:rPr>
      </w:pPr>
      <w:r>
        <w:rPr>
          <w:rFonts w:ascii="Times New Roman" w:hAnsi="Times New Roman" w:cs="Times New Roman"/>
        </w:rPr>
        <w:lastRenderedPageBreak/>
        <w:t>Having considered the likely impact of the instrument and the nature of the applicable rights and freedoms, the ACMA has formed the view that the instrument does not engage any of those rights or freedoms.</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0761EB7B" w14:textId="37B92E6B"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F73F237" w14:textId="77777777" w:rsidR="008F29B5" w:rsidRDefault="008F29B5">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392EC9" w14:textId="14FB8041" w:rsidR="004C58B9" w:rsidRDefault="004C58B9" w:rsidP="001A23F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6AC96161"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E327E9" w:rsidRPr="00E327E9">
        <w:rPr>
          <w:rFonts w:ascii="Times New Roman" w:hAnsi="Times New Roman" w:cs="Times New Roman"/>
          <w:b/>
          <w:i/>
          <w:iCs/>
          <w:sz w:val="28"/>
          <w:szCs w:val="28"/>
        </w:rPr>
        <w:t>Radiocommunications Licence Conditions (Area-Wide Licence) Amendment Determination 2020 (No.</w:t>
      </w:r>
      <w:r w:rsidR="005303BA">
        <w:rPr>
          <w:rFonts w:ascii="Times New Roman" w:hAnsi="Times New Roman" w:cs="Times New Roman"/>
          <w:b/>
          <w:i/>
          <w:iCs/>
          <w:sz w:val="28"/>
          <w:szCs w:val="28"/>
        </w:rPr>
        <w:t>2</w:t>
      </w:r>
      <w:r w:rsidR="00E327E9" w:rsidRPr="00E327E9">
        <w:rPr>
          <w:rFonts w:ascii="Times New Roman" w:hAnsi="Times New Roman" w:cs="Times New Roman"/>
          <w:b/>
          <w:i/>
          <w:iCs/>
          <w:sz w:val="28"/>
          <w:szCs w:val="28"/>
        </w:rPr>
        <w:t>)</w:t>
      </w:r>
      <w:r w:rsidR="00E327E9" w:rsidRPr="00E327E9">
        <w:rPr>
          <w:rFonts w:ascii="Times New Roman" w:hAnsi="Times New Roman" w:cs="Times New Roman"/>
          <w:b/>
          <w:sz w:val="28"/>
          <w:szCs w:val="28"/>
        </w:rPr>
        <w:t xml:space="preserve"> </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4AA9B595"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E327E9" w:rsidRPr="001A23F9">
        <w:rPr>
          <w:rFonts w:ascii="Times New Roman" w:hAnsi="Times New Roman" w:cs="Times New Roman"/>
          <w:i/>
          <w:iCs/>
        </w:rPr>
        <w:t>Radiocommunications Licence Conditions (Area-Wide Licence) Amendment Determination 2020 (No.</w:t>
      </w:r>
      <w:r w:rsidR="005303BA">
        <w:rPr>
          <w:rFonts w:ascii="Times New Roman" w:hAnsi="Times New Roman" w:cs="Times New Roman"/>
          <w:i/>
          <w:iCs/>
        </w:rPr>
        <w:t>2</w:t>
      </w:r>
      <w:r w:rsidR="00E327E9" w:rsidRPr="001A23F9">
        <w:rPr>
          <w:rFonts w:ascii="Times New Roman" w:hAnsi="Times New Roman" w:cs="Times New Roman"/>
          <w:i/>
          <w:iCs/>
        </w:rPr>
        <w:t>)</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E43B01B"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077B871F"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E327E9">
        <w:rPr>
          <w:rFonts w:ascii="Times New Roman" w:hAnsi="Times New Roman" w:cs="Times New Roman"/>
        </w:rPr>
        <w:t>paragraph 107(1)(f)</w:t>
      </w:r>
      <w:r>
        <w:rPr>
          <w:rFonts w:ascii="Times New Roman" w:hAnsi="Times New Roman" w:cs="Times New Roman"/>
        </w:rPr>
        <w:t xml:space="preserve"> of the </w:t>
      </w:r>
      <w:r w:rsidR="00E327E9">
        <w:rPr>
          <w:rFonts w:ascii="Times New Roman" w:hAnsi="Times New Roman" w:cs="Times New Roman"/>
          <w:i/>
        </w:rPr>
        <w:t>Radiocommunications Act 1992</w:t>
      </w:r>
      <w:r>
        <w:rPr>
          <w:rFonts w:ascii="Times New Roman" w:hAnsi="Times New Roman" w:cs="Times New Roman"/>
        </w:rPr>
        <w:t>.</w:t>
      </w:r>
    </w:p>
    <w:p w14:paraId="0599AB41" w14:textId="342D3EB4"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E327E9">
        <w:rPr>
          <w:rFonts w:ascii="Times New Roman" w:hAnsi="Times New Roman" w:cs="Times New Roman"/>
          <w:b/>
        </w:rPr>
        <w:t>Amendments</w:t>
      </w:r>
    </w:p>
    <w:p w14:paraId="734B9C26" w14:textId="6D22AC4B" w:rsidR="004C58B9" w:rsidRDefault="003C4F3D" w:rsidP="004C58B9">
      <w:pPr>
        <w:rPr>
          <w:rFonts w:ascii="Times New Roman" w:hAnsi="Times New Roman" w:cs="Times New Roman"/>
        </w:rPr>
      </w:pPr>
      <w:r w:rsidRPr="00F67A25">
        <w:rPr>
          <w:rFonts w:ascii="Times New Roman" w:hAnsi="Times New Roman" w:cs="Times New Roman"/>
        </w:rPr>
        <w:t>Section 4 provides that the instrument specified in Schedule 1 is amended as set out in the items in that Schedule.</w:t>
      </w:r>
    </w:p>
    <w:p w14:paraId="36B25F35" w14:textId="0091B83E" w:rsidR="004C58B9" w:rsidRDefault="003C4F3D" w:rsidP="004C58B9">
      <w:pPr>
        <w:rPr>
          <w:rFonts w:ascii="Times New Roman" w:hAnsi="Times New Roman" w:cs="Times New Roman"/>
          <w:b/>
        </w:rPr>
      </w:pPr>
      <w:r>
        <w:rPr>
          <w:rFonts w:ascii="Times New Roman" w:hAnsi="Times New Roman" w:cs="Times New Roman"/>
          <w:b/>
        </w:rPr>
        <w:t>Schedule 1</w:t>
      </w:r>
    </w:p>
    <w:p w14:paraId="73FB4267" w14:textId="5330E003" w:rsidR="004C58B9" w:rsidRDefault="004C58B9" w:rsidP="00D60603">
      <w:pPr>
        <w:spacing w:after="120" w:line="257" w:lineRule="auto"/>
        <w:rPr>
          <w:rFonts w:ascii="Times New Roman" w:hAnsi="Times New Roman" w:cs="Times New Roman"/>
        </w:rPr>
      </w:pPr>
      <w:r>
        <w:rPr>
          <w:rFonts w:ascii="Times New Roman" w:hAnsi="Times New Roman" w:cs="Times New Roman"/>
        </w:rPr>
        <w:t>Th</w:t>
      </w:r>
      <w:r w:rsidR="002F343D">
        <w:rPr>
          <w:rFonts w:ascii="Times New Roman" w:hAnsi="Times New Roman" w:cs="Times New Roman"/>
        </w:rPr>
        <w:t>is</w:t>
      </w:r>
      <w:r>
        <w:rPr>
          <w:rFonts w:ascii="Times New Roman" w:hAnsi="Times New Roman" w:cs="Times New Roman"/>
        </w:rPr>
        <w:t xml:space="preserve"> </w:t>
      </w:r>
      <w:r w:rsidR="003C4F3D">
        <w:rPr>
          <w:rFonts w:ascii="Times New Roman" w:hAnsi="Times New Roman" w:cs="Times New Roman"/>
        </w:rPr>
        <w:t>Schedule amends</w:t>
      </w:r>
      <w:r w:rsidR="004B5FDF">
        <w:rPr>
          <w:rFonts w:ascii="Times New Roman" w:hAnsi="Times New Roman" w:cs="Times New Roman"/>
        </w:rPr>
        <w:t xml:space="preserve"> the</w:t>
      </w:r>
      <w:r w:rsidR="009813FC">
        <w:rPr>
          <w:rFonts w:ascii="Times New Roman" w:hAnsi="Times New Roman" w:cs="Times New Roman"/>
          <w:i/>
        </w:rPr>
        <w:t xml:space="preserve"> </w:t>
      </w:r>
      <w:r w:rsidR="009813FC">
        <w:rPr>
          <w:rFonts w:ascii="Times New Roman" w:hAnsi="Times New Roman" w:cs="Times New Roman"/>
          <w:iCs/>
        </w:rPr>
        <w:t>Determination</w:t>
      </w:r>
      <w:r>
        <w:rPr>
          <w:rFonts w:ascii="Times New Roman" w:hAnsi="Times New Roman" w:cs="Times New Roman"/>
        </w:rPr>
        <w:t>.</w:t>
      </w:r>
      <w:r w:rsidR="00F46723" w:rsidRPr="00F46723">
        <w:rPr>
          <w:rFonts w:ascii="Times New Roman" w:hAnsi="Times New Roman" w:cs="Times New Roman"/>
        </w:rPr>
        <w:t xml:space="preserve"> </w:t>
      </w:r>
    </w:p>
    <w:p w14:paraId="092F5492" w14:textId="2B2B3525" w:rsidR="004C58B9" w:rsidRDefault="004B5FDF" w:rsidP="004C58B9">
      <w:pPr>
        <w:rPr>
          <w:rFonts w:ascii="Times New Roman" w:hAnsi="Times New Roman" w:cs="Times New Roman"/>
          <w:b/>
        </w:rPr>
      </w:pPr>
      <w:r>
        <w:rPr>
          <w:rFonts w:ascii="Times New Roman" w:hAnsi="Times New Roman" w:cs="Times New Roman"/>
          <w:b/>
        </w:rPr>
        <w:t>Item</w:t>
      </w:r>
      <w:r w:rsidR="004C58B9">
        <w:rPr>
          <w:rFonts w:ascii="Times New Roman" w:hAnsi="Times New Roman" w:cs="Times New Roman"/>
          <w:b/>
        </w:rPr>
        <w:t xml:space="preserve"> </w:t>
      </w:r>
      <w:r>
        <w:rPr>
          <w:rFonts w:ascii="Times New Roman" w:hAnsi="Times New Roman" w:cs="Times New Roman"/>
          <w:b/>
        </w:rPr>
        <w:t>1</w:t>
      </w:r>
    </w:p>
    <w:p w14:paraId="1D9BFBBA" w14:textId="251B664C" w:rsidR="004B5FDF" w:rsidRDefault="00AD1241" w:rsidP="004C58B9">
      <w:pPr>
        <w:rPr>
          <w:rFonts w:ascii="Times New Roman" w:hAnsi="Times New Roman" w:cs="Times New Roman"/>
        </w:rPr>
      </w:pPr>
      <w:r>
        <w:rPr>
          <w:rFonts w:ascii="Times New Roman" w:hAnsi="Times New Roman" w:cs="Times New Roman"/>
        </w:rPr>
        <w:t xml:space="preserve">This item repeals the definition of </w:t>
      </w:r>
      <w:r w:rsidRPr="00134031">
        <w:rPr>
          <w:rFonts w:ascii="Times New Roman" w:hAnsi="Times New Roman" w:cs="Times New Roman"/>
          <w:b/>
          <w:bCs/>
          <w:i/>
          <w:iCs/>
        </w:rPr>
        <w:t>substantial interference</w:t>
      </w:r>
      <w:r>
        <w:rPr>
          <w:rFonts w:ascii="Times New Roman" w:hAnsi="Times New Roman" w:cs="Times New Roman"/>
        </w:rPr>
        <w:t xml:space="preserve"> from section 5 of the Determination</w:t>
      </w:r>
      <w:r w:rsidR="004A5210">
        <w:rPr>
          <w:rFonts w:ascii="Times New Roman" w:hAnsi="Times New Roman" w:cs="Times New Roman"/>
        </w:rPr>
        <w:t>, as a consequence of the change made by item 2</w:t>
      </w:r>
      <w:r w:rsidR="00832DFE">
        <w:rPr>
          <w:rFonts w:ascii="Times New Roman" w:hAnsi="Times New Roman" w:cs="Times New Roman"/>
        </w:rPr>
        <w:t>.</w:t>
      </w:r>
    </w:p>
    <w:p w14:paraId="49EDC739" w14:textId="3AB4B5F9" w:rsidR="00832DFE" w:rsidRDefault="00832DFE" w:rsidP="004C58B9">
      <w:pPr>
        <w:rPr>
          <w:rFonts w:ascii="Times New Roman" w:hAnsi="Times New Roman" w:cs="Times New Roman"/>
          <w:b/>
          <w:bCs/>
        </w:rPr>
      </w:pPr>
      <w:r>
        <w:rPr>
          <w:rFonts w:ascii="Times New Roman" w:hAnsi="Times New Roman" w:cs="Times New Roman"/>
          <w:b/>
          <w:bCs/>
        </w:rPr>
        <w:t>Item 2</w:t>
      </w:r>
    </w:p>
    <w:p w14:paraId="2A658615" w14:textId="1086C84C" w:rsidR="00832DFE" w:rsidRDefault="00423658" w:rsidP="004C58B9">
      <w:pPr>
        <w:rPr>
          <w:rFonts w:ascii="Times New Roman" w:hAnsi="Times New Roman" w:cs="Times New Roman"/>
        </w:rPr>
      </w:pPr>
      <w:r>
        <w:rPr>
          <w:rFonts w:ascii="Times New Roman" w:hAnsi="Times New Roman" w:cs="Times New Roman"/>
        </w:rPr>
        <w:t>Th</w:t>
      </w:r>
      <w:r w:rsidR="00AD1241">
        <w:rPr>
          <w:rFonts w:ascii="Times New Roman" w:hAnsi="Times New Roman" w:cs="Times New Roman"/>
        </w:rPr>
        <w:t xml:space="preserve">is item repeals paragraph 6(1)(b) </w:t>
      </w:r>
      <w:r w:rsidR="00121761">
        <w:rPr>
          <w:rFonts w:ascii="Times New Roman" w:hAnsi="Times New Roman" w:cs="Times New Roman"/>
        </w:rPr>
        <w:t>of</w:t>
      </w:r>
      <w:r w:rsidR="00AD1241">
        <w:rPr>
          <w:rFonts w:ascii="Times New Roman" w:hAnsi="Times New Roman" w:cs="Times New Roman"/>
        </w:rPr>
        <w:t xml:space="preserve"> the Determination </w:t>
      </w:r>
      <w:r w:rsidR="00121761">
        <w:rPr>
          <w:rFonts w:ascii="Times New Roman" w:hAnsi="Times New Roman" w:cs="Times New Roman"/>
        </w:rPr>
        <w:t>and</w:t>
      </w:r>
      <w:r w:rsidR="00AD1241">
        <w:rPr>
          <w:rFonts w:ascii="Times New Roman" w:hAnsi="Times New Roman" w:cs="Times New Roman"/>
        </w:rPr>
        <w:t xml:space="preserve"> replaces it with</w:t>
      </w:r>
      <w:r w:rsidR="00B054CE">
        <w:rPr>
          <w:rFonts w:ascii="Times New Roman" w:hAnsi="Times New Roman" w:cs="Times New Roman"/>
        </w:rPr>
        <w:t xml:space="preserve"> a reference to</w:t>
      </w:r>
      <w:r w:rsidR="0005396D">
        <w:rPr>
          <w:rFonts w:ascii="Times New Roman" w:hAnsi="Times New Roman" w:cs="Times New Roman"/>
        </w:rPr>
        <w:t xml:space="preserve"> t</w:t>
      </w:r>
      <w:r w:rsidR="00B054CE">
        <w:rPr>
          <w:rFonts w:ascii="Times New Roman" w:hAnsi="Times New Roman" w:cs="Times New Roman"/>
        </w:rPr>
        <w:t xml:space="preserve">he </w:t>
      </w:r>
      <w:r w:rsidR="0005396D">
        <w:rPr>
          <w:rFonts w:ascii="Times New Roman" w:hAnsi="Times New Roman" w:cs="Times New Roman"/>
        </w:rPr>
        <w:t>Guidelines</w:t>
      </w:r>
      <w:r w:rsidR="003E1D7E">
        <w:rPr>
          <w:rFonts w:ascii="Times New Roman" w:hAnsi="Times New Roman" w:cs="Times New Roman"/>
        </w:rPr>
        <w:t>.</w:t>
      </w:r>
      <w:r w:rsidR="004A5210">
        <w:rPr>
          <w:rFonts w:ascii="Times New Roman" w:hAnsi="Times New Roman" w:cs="Times New Roman"/>
        </w:rPr>
        <w:t xml:space="preserve"> For the purposes of the synch</w:t>
      </w:r>
      <w:r w:rsidR="00CC39BB">
        <w:rPr>
          <w:rFonts w:ascii="Times New Roman" w:hAnsi="Times New Roman" w:cs="Times New Roman"/>
        </w:rPr>
        <w:t>r</w:t>
      </w:r>
      <w:r w:rsidR="004A5210">
        <w:rPr>
          <w:rFonts w:ascii="Times New Roman" w:hAnsi="Times New Roman" w:cs="Times New Roman"/>
        </w:rPr>
        <w:t xml:space="preserve">onisation condition in </w:t>
      </w:r>
      <w:r w:rsidR="00CC39BB">
        <w:rPr>
          <w:rFonts w:ascii="Times New Roman" w:hAnsi="Times New Roman" w:cs="Times New Roman"/>
        </w:rPr>
        <w:t xml:space="preserve">clause 6 of Schedule 1 to the Determination, the requirements of the condition will arise where there is interference </w:t>
      </w:r>
      <w:r w:rsidR="0005396D">
        <w:rPr>
          <w:rFonts w:ascii="Times New Roman" w:hAnsi="Times New Roman" w:cs="Times New Roman"/>
        </w:rPr>
        <w:t xml:space="preserve">that exceeds the compatibility requirement set out in </w:t>
      </w:r>
      <w:r w:rsidR="00121761">
        <w:rPr>
          <w:rFonts w:ascii="Times New Roman" w:hAnsi="Times New Roman" w:cs="Times New Roman"/>
        </w:rPr>
        <w:t>Schedule 2 to</w:t>
      </w:r>
      <w:r w:rsidR="0005396D">
        <w:rPr>
          <w:rFonts w:ascii="Times New Roman" w:hAnsi="Times New Roman" w:cs="Times New Roman"/>
        </w:rPr>
        <w:t xml:space="preserve"> the Guidelines.</w:t>
      </w:r>
    </w:p>
    <w:p w14:paraId="3B2170B0" w14:textId="7DCDF279" w:rsidR="003E1D7E" w:rsidRDefault="003E1D7E" w:rsidP="004C58B9">
      <w:pPr>
        <w:rPr>
          <w:rFonts w:ascii="Times New Roman" w:hAnsi="Times New Roman" w:cs="Times New Roman"/>
          <w:b/>
          <w:bCs/>
        </w:rPr>
      </w:pPr>
      <w:r>
        <w:rPr>
          <w:rFonts w:ascii="Times New Roman" w:hAnsi="Times New Roman" w:cs="Times New Roman"/>
          <w:b/>
          <w:bCs/>
        </w:rPr>
        <w:t>Item 3</w:t>
      </w:r>
    </w:p>
    <w:p w14:paraId="458AF617" w14:textId="07A03962" w:rsidR="00025ACE" w:rsidRDefault="00423658" w:rsidP="00BA16EA">
      <w:pPr>
        <w:rPr>
          <w:rFonts w:ascii="Times New Roman" w:hAnsi="Times New Roman" w:cs="Times New Roman"/>
        </w:rPr>
      </w:pPr>
      <w:r>
        <w:rPr>
          <w:rFonts w:ascii="Times New Roman" w:hAnsi="Times New Roman" w:cs="Times New Roman"/>
        </w:rPr>
        <w:t xml:space="preserve">This item </w:t>
      </w:r>
      <w:r w:rsidR="00B054CE">
        <w:rPr>
          <w:rFonts w:ascii="Times New Roman" w:hAnsi="Times New Roman" w:cs="Times New Roman"/>
        </w:rPr>
        <w:t>inserts a new note that the</w:t>
      </w:r>
      <w:r w:rsidR="0005396D">
        <w:rPr>
          <w:rFonts w:ascii="Times New Roman" w:hAnsi="Times New Roman" w:cs="Times New Roman"/>
        </w:rPr>
        <w:t xml:space="preserve"> Guidelines are</w:t>
      </w:r>
      <w:r w:rsidR="00B054CE">
        <w:rPr>
          <w:rFonts w:ascii="Times New Roman" w:hAnsi="Times New Roman" w:cs="Times New Roman"/>
        </w:rPr>
        <w:t xml:space="preserve"> available, free of change, from the Federal Register of Legislation at </w:t>
      </w:r>
      <w:hyperlink r:id="rId14" w:history="1">
        <w:r w:rsidR="002A343E" w:rsidRPr="006149B7">
          <w:rPr>
            <w:rStyle w:val="Hyperlink"/>
            <w:rFonts w:ascii="Times New Roman" w:hAnsi="Times New Roman" w:cs="Times New Roman"/>
          </w:rPr>
          <w:t>http://www.legislation.gov.au</w:t>
        </w:r>
      </w:hyperlink>
      <w:r w:rsidR="00B054CE" w:rsidRPr="00B054CE">
        <w:rPr>
          <w:rFonts w:ascii="Times New Roman" w:hAnsi="Times New Roman" w:cs="Times New Roman"/>
        </w:rPr>
        <w:t>.</w:t>
      </w:r>
    </w:p>
    <w:p w14:paraId="28C62079" w14:textId="687FBA2C" w:rsidR="0078400A" w:rsidRPr="0026369D" w:rsidRDefault="0078400A" w:rsidP="00BA16EA">
      <w:pPr>
        <w:rPr>
          <w:rFonts w:ascii="Times New Roman" w:hAnsi="Times New Roman" w:cs="Times New Roman"/>
          <w:b/>
          <w:bCs/>
        </w:rPr>
      </w:pPr>
      <w:r w:rsidRPr="0026369D">
        <w:rPr>
          <w:rFonts w:ascii="Times New Roman" w:hAnsi="Times New Roman" w:cs="Times New Roman"/>
          <w:b/>
          <w:bCs/>
        </w:rPr>
        <w:t>Item 4</w:t>
      </w:r>
    </w:p>
    <w:p w14:paraId="07162625" w14:textId="426A19B4" w:rsidR="0078400A" w:rsidRPr="0026369D" w:rsidRDefault="0078400A" w:rsidP="00A81D89">
      <w:pPr>
        <w:spacing w:line="257" w:lineRule="auto"/>
        <w:rPr>
          <w:rFonts w:ascii="Times New Roman" w:hAnsi="Times New Roman" w:cs="Times New Roman"/>
        </w:rPr>
      </w:pPr>
      <w:r w:rsidRPr="0026369D">
        <w:rPr>
          <w:rFonts w:ascii="Times New Roman" w:hAnsi="Times New Roman" w:cs="Times New Roman"/>
        </w:rPr>
        <w:t xml:space="preserve">This item </w:t>
      </w:r>
      <w:r w:rsidR="00121761">
        <w:rPr>
          <w:rFonts w:ascii="Times New Roman" w:hAnsi="Times New Roman" w:cs="Times New Roman"/>
        </w:rPr>
        <w:t xml:space="preserve">corrects an error in </w:t>
      </w:r>
      <w:r w:rsidR="00B83C47">
        <w:rPr>
          <w:rFonts w:ascii="Times New Roman" w:hAnsi="Times New Roman" w:cs="Times New Roman"/>
        </w:rPr>
        <w:t>the</w:t>
      </w:r>
      <w:r w:rsidRPr="0026369D">
        <w:rPr>
          <w:rFonts w:ascii="Times New Roman" w:hAnsi="Times New Roman" w:cs="Times New Roman"/>
        </w:rPr>
        <w:t xml:space="preserve"> total radiated power limit for transmitters operating in the frequency range greater or equal to 24.7 GHz and less than 27.5 GHz</w:t>
      </w:r>
      <w:r w:rsidR="0026369D">
        <w:rPr>
          <w:rFonts w:ascii="Times New Roman" w:hAnsi="Times New Roman" w:cs="Times New Roman"/>
        </w:rPr>
        <w:t>, in Table 14 in Schedule 1 to the Determination</w:t>
      </w:r>
      <w:r w:rsidRPr="0026369D">
        <w:rPr>
          <w:rFonts w:ascii="Times New Roman" w:hAnsi="Times New Roman" w:cs="Times New Roman"/>
        </w:rPr>
        <w:t>.</w:t>
      </w:r>
      <w:r w:rsidR="00A81D89">
        <w:rPr>
          <w:rFonts w:ascii="Times New Roman" w:hAnsi="Times New Roman" w:cs="Times New Roman"/>
        </w:rPr>
        <w:t xml:space="preserve"> The change makes the Determination consistent with unwanted emission limits contained in Resolution 750 (</w:t>
      </w:r>
      <w:r w:rsidR="0063600E">
        <w:rPr>
          <w:rFonts w:ascii="Times New Roman" w:hAnsi="Times New Roman" w:cs="Times New Roman"/>
        </w:rPr>
        <w:t>REV.</w:t>
      </w:r>
      <w:r w:rsidR="00A81D89">
        <w:rPr>
          <w:rFonts w:ascii="Times New Roman" w:hAnsi="Times New Roman" w:cs="Times New Roman"/>
        </w:rPr>
        <w:t>WRC-19) of the International Telecommunication Union’s Radio Regulations.</w:t>
      </w:r>
    </w:p>
    <w:sectPr w:rsidR="0078400A" w:rsidRPr="0026369D"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6CF0" w14:textId="77777777" w:rsidR="00AB72D1" w:rsidRDefault="00AB72D1" w:rsidP="00025ACE">
      <w:pPr>
        <w:spacing w:after="0" w:line="240" w:lineRule="auto"/>
      </w:pPr>
      <w:r>
        <w:separator/>
      </w:r>
    </w:p>
  </w:endnote>
  <w:endnote w:type="continuationSeparator" w:id="0">
    <w:p w14:paraId="75D9EF27" w14:textId="77777777" w:rsidR="00AB72D1" w:rsidRDefault="00AB72D1" w:rsidP="00025ACE">
      <w:pPr>
        <w:spacing w:after="0" w:line="240" w:lineRule="auto"/>
      </w:pPr>
      <w:r>
        <w:continuationSeparator/>
      </w:r>
    </w:p>
  </w:endnote>
  <w:endnote w:type="continuationNotice" w:id="1">
    <w:p w14:paraId="7BC6EAED" w14:textId="77777777" w:rsidR="00AB72D1" w:rsidRDefault="00AB7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027F69" w:rsidRDefault="00027F69" w:rsidP="00AD3414">
        <w:pPr>
          <w:pStyle w:val="Footer"/>
          <w:pBdr>
            <w:top w:val="single" w:sz="4" w:space="1" w:color="auto"/>
          </w:pBdr>
          <w:jc w:val="center"/>
        </w:pPr>
      </w:p>
      <w:p w14:paraId="7A9CDA51" w14:textId="27673770" w:rsidR="00027F69" w:rsidRPr="00AD3414" w:rsidRDefault="00027F69"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7D1F28">
          <w:rPr>
            <w:rFonts w:ascii="Times New Roman" w:hAnsi="Times New Roman" w:cs="Times New Roman"/>
            <w:i/>
          </w:rPr>
          <w:t>Radiocommunications Licence Conditions (Area-Wide Licence) Amendment Determination 2020 (No.</w:t>
        </w:r>
        <w:r w:rsidR="00B054CE">
          <w:rPr>
            <w:rFonts w:ascii="Times New Roman" w:hAnsi="Times New Roman" w:cs="Times New Roman"/>
            <w:i/>
          </w:rPr>
          <w:t>2</w:t>
        </w:r>
        <w:r w:rsidRPr="007D1F28">
          <w:rPr>
            <w:rFonts w:ascii="Times New Roman" w:hAnsi="Times New Roman" w:cs="Times New Roman"/>
            <w:i/>
          </w:rPr>
          <w:t>)</w:t>
        </w:r>
      </w:p>
      <w:p w14:paraId="556B0C98" w14:textId="77777777" w:rsidR="00027F69" w:rsidRDefault="00027F69">
        <w:pPr>
          <w:pStyle w:val="Footer"/>
          <w:jc w:val="right"/>
        </w:pPr>
      </w:p>
      <w:p w14:paraId="4E36910F" w14:textId="06CF02C2" w:rsidR="00027F69" w:rsidRPr="00AD3414" w:rsidRDefault="00027F6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7F69" w:rsidRPr="00AD3414" w:rsidRDefault="00027F69"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7B8B7" w14:textId="77777777" w:rsidR="00AB72D1" w:rsidRDefault="00AB72D1" w:rsidP="00025ACE">
      <w:pPr>
        <w:spacing w:after="0" w:line="240" w:lineRule="auto"/>
      </w:pPr>
      <w:r>
        <w:separator/>
      </w:r>
    </w:p>
  </w:footnote>
  <w:footnote w:type="continuationSeparator" w:id="0">
    <w:p w14:paraId="07BB61AF" w14:textId="77777777" w:rsidR="00AB72D1" w:rsidRDefault="00AB72D1" w:rsidP="00025ACE">
      <w:pPr>
        <w:spacing w:after="0" w:line="240" w:lineRule="auto"/>
      </w:pPr>
      <w:r>
        <w:continuationSeparator/>
      </w:r>
    </w:p>
  </w:footnote>
  <w:footnote w:type="continuationNotice" w:id="1">
    <w:p w14:paraId="069E8C17" w14:textId="77777777" w:rsidR="00AB72D1" w:rsidRDefault="00AB7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7F69" w:rsidRDefault="00027F69">
    <w:pPr>
      <w:pStyle w:val="Header"/>
    </w:pPr>
  </w:p>
  <w:p w14:paraId="1FE48E17" w14:textId="77777777" w:rsidR="00027F69" w:rsidRPr="00AD3414" w:rsidRDefault="00027F6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427"/>
    <w:multiLevelType w:val="hybridMultilevel"/>
    <w:tmpl w:val="4072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30AD3"/>
    <w:multiLevelType w:val="hybridMultilevel"/>
    <w:tmpl w:val="C90691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C7908"/>
    <w:multiLevelType w:val="hybridMultilevel"/>
    <w:tmpl w:val="06FA1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85CAD"/>
    <w:multiLevelType w:val="hybridMultilevel"/>
    <w:tmpl w:val="27101BF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D7220E"/>
    <w:multiLevelType w:val="hybridMultilevel"/>
    <w:tmpl w:val="34F289A2"/>
    <w:lvl w:ilvl="0" w:tplc="47F03368">
      <w:start w:val="1"/>
      <w:numFmt w:val="bullet"/>
      <w:lvlText w:val="&gt;"/>
      <w:lvlJc w:val="left"/>
      <w:pPr>
        <w:ind w:left="360" w:hanging="360"/>
      </w:pPr>
      <w:rPr>
        <w:rFonts w:ascii="HelveticaNeueLT Std Lt" w:hAnsi="HelveticaNeueLT Std L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776ED9"/>
    <w:multiLevelType w:val="hybridMultilevel"/>
    <w:tmpl w:val="63D8DA2E"/>
    <w:lvl w:ilvl="0" w:tplc="5A48067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EC4370"/>
    <w:multiLevelType w:val="hybridMultilevel"/>
    <w:tmpl w:val="DAA0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D30B5E"/>
    <w:multiLevelType w:val="hybridMultilevel"/>
    <w:tmpl w:val="9886B5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FBC59D0"/>
    <w:multiLevelType w:val="hybridMultilevel"/>
    <w:tmpl w:val="85B4C1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FD0CD1"/>
    <w:multiLevelType w:val="hybridMultilevel"/>
    <w:tmpl w:val="AFEE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7"/>
  </w:num>
  <w:num w:numId="6">
    <w:abstractNumId w:val="2"/>
  </w:num>
  <w:num w:numId="7">
    <w:abstractNumId w:val="6"/>
  </w:num>
  <w:num w:numId="8">
    <w:abstractNumId w:val="13"/>
  </w:num>
  <w:num w:numId="9">
    <w:abstractNumId w:val="3"/>
  </w:num>
  <w:num w:numId="10">
    <w:abstractNumId w:val="6"/>
  </w:num>
  <w:num w:numId="11">
    <w:abstractNumId w:val="8"/>
  </w:num>
  <w:num w:numId="12">
    <w:abstractNumId w:val="7"/>
  </w:num>
  <w:num w:numId="13">
    <w:abstractNumId w:val="13"/>
  </w:num>
  <w:num w:numId="14">
    <w:abstractNumId w:val="3"/>
  </w:num>
  <w:num w:numId="15">
    <w:abstractNumId w:val="6"/>
  </w:num>
  <w:num w:numId="16">
    <w:abstractNumId w:val="8"/>
  </w:num>
  <w:num w:numId="17">
    <w:abstractNumId w:val="7"/>
  </w:num>
  <w:num w:numId="18">
    <w:abstractNumId w:val="17"/>
  </w:num>
  <w:num w:numId="19">
    <w:abstractNumId w:val="15"/>
  </w:num>
  <w:num w:numId="20">
    <w:abstractNumId w:val="18"/>
  </w:num>
  <w:num w:numId="21">
    <w:abstractNumId w:val="5"/>
  </w:num>
  <w:num w:numId="22">
    <w:abstractNumId w:val="0"/>
  </w:num>
  <w:num w:numId="23">
    <w:abstractNumId w:val="12"/>
  </w:num>
  <w:num w:numId="24">
    <w:abstractNumId w:val="14"/>
  </w:num>
  <w:num w:numId="25">
    <w:abstractNumId w:val="4"/>
  </w:num>
  <w:num w:numId="26">
    <w:abstractNumId w:val="16"/>
  </w:num>
  <w:num w:numId="27">
    <w:abstractNumId w:val="9"/>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C71"/>
    <w:rsid w:val="0001195E"/>
    <w:rsid w:val="000124F9"/>
    <w:rsid w:val="00013079"/>
    <w:rsid w:val="000146DB"/>
    <w:rsid w:val="00015045"/>
    <w:rsid w:val="00017349"/>
    <w:rsid w:val="00017A2F"/>
    <w:rsid w:val="00025ACE"/>
    <w:rsid w:val="0002792D"/>
    <w:rsid w:val="00027F69"/>
    <w:rsid w:val="00031D92"/>
    <w:rsid w:val="00035AFE"/>
    <w:rsid w:val="00037F0E"/>
    <w:rsid w:val="00045FFD"/>
    <w:rsid w:val="000513DB"/>
    <w:rsid w:val="0005396D"/>
    <w:rsid w:val="00054892"/>
    <w:rsid w:val="000567E8"/>
    <w:rsid w:val="00062B93"/>
    <w:rsid w:val="000641D7"/>
    <w:rsid w:val="00064200"/>
    <w:rsid w:val="00070085"/>
    <w:rsid w:val="00070A18"/>
    <w:rsid w:val="00070D91"/>
    <w:rsid w:val="000726C7"/>
    <w:rsid w:val="000749BE"/>
    <w:rsid w:val="00074A8D"/>
    <w:rsid w:val="00077EF5"/>
    <w:rsid w:val="00082354"/>
    <w:rsid w:val="00083A76"/>
    <w:rsid w:val="0009042A"/>
    <w:rsid w:val="00092DC9"/>
    <w:rsid w:val="0009386B"/>
    <w:rsid w:val="00095AB3"/>
    <w:rsid w:val="00097FF7"/>
    <w:rsid w:val="000A3A94"/>
    <w:rsid w:val="000A3BFE"/>
    <w:rsid w:val="000B0A20"/>
    <w:rsid w:val="000B0BA7"/>
    <w:rsid w:val="000B33B6"/>
    <w:rsid w:val="000B4B6C"/>
    <w:rsid w:val="000B6B34"/>
    <w:rsid w:val="000C04C6"/>
    <w:rsid w:val="000C2A12"/>
    <w:rsid w:val="000C6436"/>
    <w:rsid w:val="000D1C7A"/>
    <w:rsid w:val="000D4ECE"/>
    <w:rsid w:val="000D72DC"/>
    <w:rsid w:val="000E2277"/>
    <w:rsid w:val="000E38C9"/>
    <w:rsid w:val="000E5E1C"/>
    <w:rsid w:val="000E6A4A"/>
    <w:rsid w:val="000E6F58"/>
    <w:rsid w:val="000E7333"/>
    <w:rsid w:val="000F050E"/>
    <w:rsid w:val="000F3153"/>
    <w:rsid w:val="000F5AAC"/>
    <w:rsid w:val="000F6255"/>
    <w:rsid w:val="00100307"/>
    <w:rsid w:val="00101E25"/>
    <w:rsid w:val="00104130"/>
    <w:rsid w:val="001045E4"/>
    <w:rsid w:val="001064FD"/>
    <w:rsid w:val="00110FD2"/>
    <w:rsid w:val="001112C6"/>
    <w:rsid w:val="001115FC"/>
    <w:rsid w:val="00112987"/>
    <w:rsid w:val="001144D8"/>
    <w:rsid w:val="00114CF9"/>
    <w:rsid w:val="00117351"/>
    <w:rsid w:val="00121761"/>
    <w:rsid w:val="00121B9E"/>
    <w:rsid w:val="00122072"/>
    <w:rsid w:val="00124685"/>
    <w:rsid w:val="001313D8"/>
    <w:rsid w:val="00134031"/>
    <w:rsid w:val="00134705"/>
    <w:rsid w:val="001358CC"/>
    <w:rsid w:val="00135D14"/>
    <w:rsid w:val="00142195"/>
    <w:rsid w:val="00142995"/>
    <w:rsid w:val="00143F3C"/>
    <w:rsid w:val="00146A0C"/>
    <w:rsid w:val="00154A7A"/>
    <w:rsid w:val="001557E3"/>
    <w:rsid w:val="00156A96"/>
    <w:rsid w:val="001607B2"/>
    <w:rsid w:val="00161C73"/>
    <w:rsid w:val="00165017"/>
    <w:rsid w:val="00166B0D"/>
    <w:rsid w:val="001751C0"/>
    <w:rsid w:val="001763DA"/>
    <w:rsid w:val="00184A96"/>
    <w:rsid w:val="00185BDC"/>
    <w:rsid w:val="001860AB"/>
    <w:rsid w:val="00190101"/>
    <w:rsid w:val="00190D06"/>
    <w:rsid w:val="00191A47"/>
    <w:rsid w:val="00195B30"/>
    <w:rsid w:val="001A23F9"/>
    <w:rsid w:val="001A4B7B"/>
    <w:rsid w:val="001B03F0"/>
    <w:rsid w:val="001B4A7A"/>
    <w:rsid w:val="001B6956"/>
    <w:rsid w:val="001B6F43"/>
    <w:rsid w:val="001C2E89"/>
    <w:rsid w:val="001C3B6F"/>
    <w:rsid w:val="001C4BF8"/>
    <w:rsid w:val="001C5421"/>
    <w:rsid w:val="001C66EC"/>
    <w:rsid w:val="001D0FCC"/>
    <w:rsid w:val="001D219B"/>
    <w:rsid w:val="001D250D"/>
    <w:rsid w:val="001D41B6"/>
    <w:rsid w:val="001D4AB3"/>
    <w:rsid w:val="001D5C25"/>
    <w:rsid w:val="001D60D6"/>
    <w:rsid w:val="001E06E0"/>
    <w:rsid w:val="001E3435"/>
    <w:rsid w:val="001E343E"/>
    <w:rsid w:val="001E5A6A"/>
    <w:rsid w:val="001E65FA"/>
    <w:rsid w:val="001E6FD0"/>
    <w:rsid w:val="001F0020"/>
    <w:rsid w:val="001F37C8"/>
    <w:rsid w:val="001F4863"/>
    <w:rsid w:val="001F5AD6"/>
    <w:rsid w:val="001F6CA4"/>
    <w:rsid w:val="001F70D4"/>
    <w:rsid w:val="001F73C5"/>
    <w:rsid w:val="002009B7"/>
    <w:rsid w:val="00212847"/>
    <w:rsid w:val="00222FA2"/>
    <w:rsid w:val="00235C6C"/>
    <w:rsid w:val="0025029A"/>
    <w:rsid w:val="0025079C"/>
    <w:rsid w:val="002508F7"/>
    <w:rsid w:val="002541B3"/>
    <w:rsid w:val="00254AA6"/>
    <w:rsid w:val="002556BF"/>
    <w:rsid w:val="0026014E"/>
    <w:rsid w:val="00262F06"/>
    <w:rsid w:val="0026369D"/>
    <w:rsid w:val="00263C04"/>
    <w:rsid w:val="00264DC6"/>
    <w:rsid w:val="00265A2B"/>
    <w:rsid w:val="002664DD"/>
    <w:rsid w:val="002674E7"/>
    <w:rsid w:val="00272FED"/>
    <w:rsid w:val="00275FD4"/>
    <w:rsid w:val="002808CC"/>
    <w:rsid w:val="00282466"/>
    <w:rsid w:val="00286D6E"/>
    <w:rsid w:val="00296DBB"/>
    <w:rsid w:val="00297A6B"/>
    <w:rsid w:val="002A343E"/>
    <w:rsid w:val="002A5CAD"/>
    <w:rsid w:val="002B026F"/>
    <w:rsid w:val="002B09E7"/>
    <w:rsid w:val="002B6699"/>
    <w:rsid w:val="002C1675"/>
    <w:rsid w:val="002C2256"/>
    <w:rsid w:val="002C6F43"/>
    <w:rsid w:val="002C727F"/>
    <w:rsid w:val="002D00B0"/>
    <w:rsid w:val="002D029D"/>
    <w:rsid w:val="002D222F"/>
    <w:rsid w:val="002D5CB0"/>
    <w:rsid w:val="002E3B2A"/>
    <w:rsid w:val="002E5295"/>
    <w:rsid w:val="002F00B0"/>
    <w:rsid w:val="002F2277"/>
    <w:rsid w:val="002F22A2"/>
    <w:rsid w:val="002F3055"/>
    <w:rsid w:val="002F343D"/>
    <w:rsid w:val="002F36E0"/>
    <w:rsid w:val="002F6E04"/>
    <w:rsid w:val="00303539"/>
    <w:rsid w:val="00316AEF"/>
    <w:rsid w:val="003223F5"/>
    <w:rsid w:val="00324812"/>
    <w:rsid w:val="00326D1E"/>
    <w:rsid w:val="003270F0"/>
    <w:rsid w:val="003276CB"/>
    <w:rsid w:val="00330870"/>
    <w:rsid w:val="003310BE"/>
    <w:rsid w:val="003317ED"/>
    <w:rsid w:val="003360EB"/>
    <w:rsid w:val="003415B7"/>
    <w:rsid w:val="00341B2C"/>
    <w:rsid w:val="003434D4"/>
    <w:rsid w:val="00353B1C"/>
    <w:rsid w:val="00354382"/>
    <w:rsid w:val="00364744"/>
    <w:rsid w:val="00366A3B"/>
    <w:rsid w:val="00367358"/>
    <w:rsid w:val="0036752E"/>
    <w:rsid w:val="00370620"/>
    <w:rsid w:val="00372CF8"/>
    <w:rsid w:val="00375FA7"/>
    <w:rsid w:val="003773B3"/>
    <w:rsid w:val="00381995"/>
    <w:rsid w:val="00382637"/>
    <w:rsid w:val="00385EF1"/>
    <w:rsid w:val="003862B1"/>
    <w:rsid w:val="003864F4"/>
    <w:rsid w:val="00387EB5"/>
    <w:rsid w:val="00397652"/>
    <w:rsid w:val="003A0A23"/>
    <w:rsid w:val="003A3635"/>
    <w:rsid w:val="003A3E70"/>
    <w:rsid w:val="003A7407"/>
    <w:rsid w:val="003B19B3"/>
    <w:rsid w:val="003B2453"/>
    <w:rsid w:val="003B3B7E"/>
    <w:rsid w:val="003B3D92"/>
    <w:rsid w:val="003B4C66"/>
    <w:rsid w:val="003C2F82"/>
    <w:rsid w:val="003C44B4"/>
    <w:rsid w:val="003C4937"/>
    <w:rsid w:val="003C4F3D"/>
    <w:rsid w:val="003C5C66"/>
    <w:rsid w:val="003C64A8"/>
    <w:rsid w:val="003C67DF"/>
    <w:rsid w:val="003C707B"/>
    <w:rsid w:val="003C730B"/>
    <w:rsid w:val="003D498B"/>
    <w:rsid w:val="003D6563"/>
    <w:rsid w:val="003D6C61"/>
    <w:rsid w:val="003D73FB"/>
    <w:rsid w:val="003D74BE"/>
    <w:rsid w:val="003E1D7E"/>
    <w:rsid w:val="003E34F7"/>
    <w:rsid w:val="003E5CDD"/>
    <w:rsid w:val="003F30F1"/>
    <w:rsid w:val="003F5CB4"/>
    <w:rsid w:val="0041003E"/>
    <w:rsid w:val="004107CE"/>
    <w:rsid w:val="004154A7"/>
    <w:rsid w:val="00420D26"/>
    <w:rsid w:val="00423658"/>
    <w:rsid w:val="00427407"/>
    <w:rsid w:val="00430620"/>
    <w:rsid w:val="004362E3"/>
    <w:rsid w:val="00437C8F"/>
    <w:rsid w:val="0044115D"/>
    <w:rsid w:val="00442F4F"/>
    <w:rsid w:val="00443BB8"/>
    <w:rsid w:val="00445388"/>
    <w:rsid w:val="00445422"/>
    <w:rsid w:val="00446CB7"/>
    <w:rsid w:val="00450F48"/>
    <w:rsid w:val="0045217F"/>
    <w:rsid w:val="00452656"/>
    <w:rsid w:val="0045489F"/>
    <w:rsid w:val="00454AA6"/>
    <w:rsid w:val="00463640"/>
    <w:rsid w:val="00463CEE"/>
    <w:rsid w:val="00464A87"/>
    <w:rsid w:val="0046558F"/>
    <w:rsid w:val="00470005"/>
    <w:rsid w:val="00472EE7"/>
    <w:rsid w:val="00474889"/>
    <w:rsid w:val="00475DFD"/>
    <w:rsid w:val="00476E22"/>
    <w:rsid w:val="0047720C"/>
    <w:rsid w:val="004816A0"/>
    <w:rsid w:val="004826DD"/>
    <w:rsid w:val="00493A6B"/>
    <w:rsid w:val="004970CD"/>
    <w:rsid w:val="004971D6"/>
    <w:rsid w:val="004A1064"/>
    <w:rsid w:val="004A4EFB"/>
    <w:rsid w:val="004A5210"/>
    <w:rsid w:val="004B231D"/>
    <w:rsid w:val="004B4FEA"/>
    <w:rsid w:val="004B5FDF"/>
    <w:rsid w:val="004C1656"/>
    <w:rsid w:val="004C459D"/>
    <w:rsid w:val="004C58B9"/>
    <w:rsid w:val="004C5BBA"/>
    <w:rsid w:val="004D160C"/>
    <w:rsid w:val="004D2843"/>
    <w:rsid w:val="004D2B7A"/>
    <w:rsid w:val="004D5CCA"/>
    <w:rsid w:val="004E0BA6"/>
    <w:rsid w:val="004E34F9"/>
    <w:rsid w:val="004E4CAC"/>
    <w:rsid w:val="004E50A7"/>
    <w:rsid w:val="004E790E"/>
    <w:rsid w:val="004F1CB0"/>
    <w:rsid w:val="004F480D"/>
    <w:rsid w:val="004F5EF5"/>
    <w:rsid w:val="004F7868"/>
    <w:rsid w:val="00500130"/>
    <w:rsid w:val="00500AEC"/>
    <w:rsid w:val="00500DB1"/>
    <w:rsid w:val="00502F05"/>
    <w:rsid w:val="0050389F"/>
    <w:rsid w:val="005118A5"/>
    <w:rsid w:val="0051276D"/>
    <w:rsid w:val="005168BE"/>
    <w:rsid w:val="00520531"/>
    <w:rsid w:val="00521E17"/>
    <w:rsid w:val="005245F2"/>
    <w:rsid w:val="00524BA9"/>
    <w:rsid w:val="0052687A"/>
    <w:rsid w:val="005303BA"/>
    <w:rsid w:val="005317C1"/>
    <w:rsid w:val="00534832"/>
    <w:rsid w:val="005368F6"/>
    <w:rsid w:val="0054205C"/>
    <w:rsid w:val="0054788F"/>
    <w:rsid w:val="005566A7"/>
    <w:rsid w:val="00560FE1"/>
    <w:rsid w:val="0056325C"/>
    <w:rsid w:val="0056332A"/>
    <w:rsid w:val="00564DC1"/>
    <w:rsid w:val="00566FE2"/>
    <w:rsid w:val="00567B37"/>
    <w:rsid w:val="005707E8"/>
    <w:rsid w:val="00570974"/>
    <w:rsid w:val="00573590"/>
    <w:rsid w:val="005737D6"/>
    <w:rsid w:val="00577A85"/>
    <w:rsid w:val="00580089"/>
    <w:rsid w:val="00580322"/>
    <w:rsid w:val="00583C34"/>
    <w:rsid w:val="0059335A"/>
    <w:rsid w:val="00593537"/>
    <w:rsid w:val="0059569F"/>
    <w:rsid w:val="005958D6"/>
    <w:rsid w:val="005964CF"/>
    <w:rsid w:val="005C3224"/>
    <w:rsid w:val="005C3FB3"/>
    <w:rsid w:val="005C50D2"/>
    <w:rsid w:val="005C65EB"/>
    <w:rsid w:val="005C6FB3"/>
    <w:rsid w:val="005D0ABB"/>
    <w:rsid w:val="005D42F4"/>
    <w:rsid w:val="005D77B6"/>
    <w:rsid w:val="005E27B0"/>
    <w:rsid w:val="005E3594"/>
    <w:rsid w:val="005F00D3"/>
    <w:rsid w:val="005F4901"/>
    <w:rsid w:val="005F5235"/>
    <w:rsid w:val="005F56C6"/>
    <w:rsid w:val="005F5BE6"/>
    <w:rsid w:val="00603B3F"/>
    <w:rsid w:val="0060444A"/>
    <w:rsid w:val="00604E69"/>
    <w:rsid w:val="00611020"/>
    <w:rsid w:val="00612E16"/>
    <w:rsid w:val="00614E5C"/>
    <w:rsid w:val="00615901"/>
    <w:rsid w:val="006226C9"/>
    <w:rsid w:val="0062653E"/>
    <w:rsid w:val="00632090"/>
    <w:rsid w:val="00633B54"/>
    <w:rsid w:val="0063571E"/>
    <w:rsid w:val="00635A36"/>
    <w:rsid w:val="00635EC1"/>
    <w:rsid w:val="0063600E"/>
    <w:rsid w:val="00637DA6"/>
    <w:rsid w:val="00641906"/>
    <w:rsid w:val="00645094"/>
    <w:rsid w:val="00647B07"/>
    <w:rsid w:val="00652BEB"/>
    <w:rsid w:val="00654D57"/>
    <w:rsid w:val="00663AF2"/>
    <w:rsid w:val="00666C0A"/>
    <w:rsid w:val="00670716"/>
    <w:rsid w:val="00671216"/>
    <w:rsid w:val="00672E5B"/>
    <w:rsid w:val="00675717"/>
    <w:rsid w:val="00681986"/>
    <w:rsid w:val="00682E0F"/>
    <w:rsid w:val="00682FD8"/>
    <w:rsid w:val="006850FB"/>
    <w:rsid w:val="00686F06"/>
    <w:rsid w:val="00687290"/>
    <w:rsid w:val="0069047C"/>
    <w:rsid w:val="006940DB"/>
    <w:rsid w:val="00694619"/>
    <w:rsid w:val="0069548B"/>
    <w:rsid w:val="006959F0"/>
    <w:rsid w:val="00696659"/>
    <w:rsid w:val="00697522"/>
    <w:rsid w:val="006A07A4"/>
    <w:rsid w:val="006A0BDF"/>
    <w:rsid w:val="006A3C91"/>
    <w:rsid w:val="006A53BB"/>
    <w:rsid w:val="006B2780"/>
    <w:rsid w:val="006B5ED1"/>
    <w:rsid w:val="006B6D34"/>
    <w:rsid w:val="006B7E23"/>
    <w:rsid w:val="006C313C"/>
    <w:rsid w:val="006C34ED"/>
    <w:rsid w:val="006C59D5"/>
    <w:rsid w:val="006C7E23"/>
    <w:rsid w:val="006D59AC"/>
    <w:rsid w:val="006E168F"/>
    <w:rsid w:val="006E1C34"/>
    <w:rsid w:val="006E35D1"/>
    <w:rsid w:val="006F32BF"/>
    <w:rsid w:val="006F3936"/>
    <w:rsid w:val="006F57AE"/>
    <w:rsid w:val="007004CC"/>
    <w:rsid w:val="00700E84"/>
    <w:rsid w:val="00701223"/>
    <w:rsid w:val="00706F43"/>
    <w:rsid w:val="00707926"/>
    <w:rsid w:val="00713138"/>
    <w:rsid w:val="00714183"/>
    <w:rsid w:val="00715BE7"/>
    <w:rsid w:val="007161F7"/>
    <w:rsid w:val="00717B77"/>
    <w:rsid w:val="007240C2"/>
    <w:rsid w:val="00731835"/>
    <w:rsid w:val="00733650"/>
    <w:rsid w:val="0074191A"/>
    <w:rsid w:val="00741A00"/>
    <w:rsid w:val="00742AF6"/>
    <w:rsid w:val="0074661C"/>
    <w:rsid w:val="00750397"/>
    <w:rsid w:val="0075083C"/>
    <w:rsid w:val="00751B13"/>
    <w:rsid w:val="007572B3"/>
    <w:rsid w:val="007575C4"/>
    <w:rsid w:val="00757E58"/>
    <w:rsid w:val="00765B27"/>
    <w:rsid w:val="00766475"/>
    <w:rsid w:val="007673D8"/>
    <w:rsid w:val="00770D94"/>
    <w:rsid w:val="0077364D"/>
    <w:rsid w:val="00775264"/>
    <w:rsid w:val="00775A9D"/>
    <w:rsid w:val="00776D7B"/>
    <w:rsid w:val="00780882"/>
    <w:rsid w:val="0078400A"/>
    <w:rsid w:val="00786C68"/>
    <w:rsid w:val="00786F72"/>
    <w:rsid w:val="00791CA2"/>
    <w:rsid w:val="00793690"/>
    <w:rsid w:val="00794C5F"/>
    <w:rsid w:val="00795D81"/>
    <w:rsid w:val="007964C4"/>
    <w:rsid w:val="0079782E"/>
    <w:rsid w:val="007A0103"/>
    <w:rsid w:val="007A2277"/>
    <w:rsid w:val="007A3CFE"/>
    <w:rsid w:val="007A5DC4"/>
    <w:rsid w:val="007A722A"/>
    <w:rsid w:val="007B3F2D"/>
    <w:rsid w:val="007B619C"/>
    <w:rsid w:val="007C0A44"/>
    <w:rsid w:val="007C27FF"/>
    <w:rsid w:val="007D1F28"/>
    <w:rsid w:val="007D6FC6"/>
    <w:rsid w:val="007E096C"/>
    <w:rsid w:val="007E2A86"/>
    <w:rsid w:val="007E3686"/>
    <w:rsid w:val="007E46E8"/>
    <w:rsid w:val="007E4930"/>
    <w:rsid w:val="007E49B9"/>
    <w:rsid w:val="007E70AC"/>
    <w:rsid w:val="007F0FAA"/>
    <w:rsid w:val="007F27FF"/>
    <w:rsid w:val="00804AF7"/>
    <w:rsid w:val="00805358"/>
    <w:rsid w:val="008070A8"/>
    <w:rsid w:val="00810499"/>
    <w:rsid w:val="0081166D"/>
    <w:rsid w:val="0081203C"/>
    <w:rsid w:val="00813136"/>
    <w:rsid w:val="00814762"/>
    <w:rsid w:val="00821F3F"/>
    <w:rsid w:val="008228D6"/>
    <w:rsid w:val="0082695D"/>
    <w:rsid w:val="00832DFE"/>
    <w:rsid w:val="008424AD"/>
    <w:rsid w:val="008441CF"/>
    <w:rsid w:val="0084470A"/>
    <w:rsid w:val="0084715C"/>
    <w:rsid w:val="008500EF"/>
    <w:rsid w:val="00860A75"/>
    <w:rsid w:val="008625F5"/>
    <w:rsid w:val="00874448"/>
    <w:rsid w:val="00874F4F"/>
    <w:rsid w:val="0087707C"/>
    <w:rsid w:val="00877F47"/>
    <w:rsid w:val="00880BBB"/>
    <w:rsid w:val="00883C88"/>
    <w:rsid w:val="00884688"/>
    <w:rsid w:val="00890DF1"/>
    <w:rsid w:val="00893559"/>
    <w:rsid w:val="008963C7"/>
    <w:rsid w:val="008A1FDF"/>
    <w:rsid w:val="008A2C9F"/>
    <w:rsid w:val="008B1ADA"/>
    <w:rsid w:val="008B3115"/>
    <w:rsid w:val="008B3B01"/>
    <w:rsid w:val="008B56D2"/>
    <w:rsid w:val="008C473F"/>
    <w:rsid w:val="008C584E"/>
    <w:rsid w:val="008D0B3C"/>
    <w:rsid w:val="008D3640"/>
    <w:rsid w:val="008E00DE"/>
    <w:rsid w:val="008E222C"/>
    <w:rsid w:val="008E3483"/>
    <w:rsid w:val="008E3843"/>
    <w:rsid w:val="008F29B5"/>
    <w:rsid w:val="008F489B"/>
    <w:rsid w:val="008F4C58"/>
    <w:rsid w:val="009000D0"/>
    <w:rsid w:val="009010AC"/>
    <w:rsid w:val="00903968"/>
    <w:rsid w:val="0090572C"/>
    <w:rsid w:val="0091080B"/>
    <w:rsid w:val="009123F9"/>
    <w:rsid w:val="0091283A"/>
    <w:rsid w:val="0091657D"/>
    <w:rsid w:val="009169FD"/>
    <w:rsid w:val="00917966"/>
    <w:rsid w:val="00921CCB"/>
    <w:rsid w:val="00926833"/>
    <w:rsid w:val="00927118"/>
    <w:rsid w:val="00931DF0"/>
    <w:rsid w:val="009332E0"/>
    <w:rsid w:val="00940CF3"/>
    <w:rsid w:val="00940DF8"/>
    <w:rsid w:val="00943C32"/>
    <w:rsid w:val="0094500E"/>
    <w:rsid w:val="009501DA"/>
    <w:rsid w:val="00951592"/>
    <w:rsid w:val="009524C3"/>
    <w:rsid w:val="0096103D"/>
    <w:rsid w:val="009647B8"/>
    <w:rsid w:val="00965053"/>
    <w:rsid w:val="00966B8C"/>
    <w:rsid w:val="009670B7"/>
    <w:rsid w:val="0096771C"/>
    <w:rsid w:val="009708C6"/>
    <w:rsid w:val="009723D1"/>
    <w:rsid w:val="009732C1"/>
    <w:rsid w:val="00977705"/>
    <w:rsid w:val="009813FC"/>
    <w:rsid w:val="00981B59"/>
    <w:rsid w:val="009821DC"/>
    <w:rsid w:val="009825A5"/>
    <w:rsid w:val="009839E4"/>
    <w:rsid w:val="00995721"/>
    <w:rsid w:val="00997DC9"/>
    <w:rsid w:val="009A3737"/>
    <w:rsid w:val="009A493F"/>
    <w:rsid w:val="009A4F8E"/>
    <w:rsid w:val="009B328C"/>
    <w:rsid w:val="009B5794"/>
    <w:rsid w:val="009B5AF6"/>
    <w:rsid w:val="009B661D"/>
    <w:rsid w:val="009B6E14"/>
    <w:rsid w:val="009C053D"/>
    <w:rsid w:val="009C33CE"/>
    <w:rsid w:val="009C4495"/>
    <w:rsid w:val="009C4D05"/>
    <w:rsid w:val="009C65B0"/>
    <w:rsid w:val="009C6CB5"/>
    <w:rsid w:val="009D306A"/>
    <w:rsid w:val="009D3F62"/>
    <w:rsid w:val="009D5783"/>
    <w:rsid w:val="009D5963"/>
    <w:rsid w:val="009D5EF7"/>
    <w:rsid w:val="009D67A8"/>
    <w:rsid w:val="009D68F2"/>
    <w:rsid w:val="009E45BD"/>
    <w:rsid w:val="009F025F"/>
    <w:rsid w:val="009F7219"/>
    <w:rsid w:val="00A00F01"/>
    <w:rsid w:val="00A01AFC"/>
    <w:rsid w:val="00A0627B"/>
    <w:rsid w:val="00A07A2F"/>
    <w:rsid w:val="00A07EA2"/>
    <w:rsid w:val="00A14854"/>
    <w:rsid w:val="00A205AE"/>
    <w:rsid w:val="00A213A8"/>
    <w:rsid w:val="00A21F3E"/>
    <w:rsid w:val="00A24FAB"/>
    <w:rsid w:val="00A25C09"/>
    <w:rsid w:val="00A34746"/>
    <w:rsid w:val="00A43723"/>
    <w:rsid w:val="00A52038"/>
    <w:rsid w:val="00A52F12"/>
    <w:rsid w:val="00A539F3"/>
    <w:rsid w:val="00A55564"/>
    <w:rsid w:val="00A564C6"/>
    <w:rsid w:val="00A64EC4"/>
    <w:rsid w:val="00A7023B"/>
    <w:rsid w:val="00A81D89"/>
    <w:rsid w:val="00A859A1"/>
    <w:rsid w:val="00A90CFD"/>
    <w:rsid w:val="00A923F8"/>
    <w:rsid w:val="00A92A55"/>
    <w:rsid w:val="00A93173"/>
    <w:rsid w:val="00A94A14"/>
    <w:rsid w:val="00A97072"/>
    <w:rsid w:val="00AA02AC"/>
    <w:rsid w:val="00AA400E"/>
    <w:rsid w:val="00AA6088"/>
    <w:rsid w:val="00AA702A"/>
    <w:rsid w:val="00AB65E7"/>
    <w:rsid w:val="00AB72D1"/>
    <w:rsid w:val="00AC0D35"/>
    <w:rsid w:val="00AC48F5"/>
    <w:rsid w:val="00AC5EBB"/>
    <w:rsid w:val="00AC7432"/>
    <w:rsid w:val="00AC7651"/>
    <w:rsid w:val="00AD1241"/>
    <w:rsid w:val="00AD3414"/>
    <w:rsid w:val="00AD489B"/>
    <w:rsid w:val="00AD500F"/>
    <w:rsid w:val="00AD7DB2"/>
    <w:rsid w:val="00AE1632"/>
    <w:rsid w:val="00AE214D"/>
    <w:rsid w:val="00AE2CB4"/>
    <w:rsid w:val="00AE4BBA"/>
    <w:rsid w:val="00AE6898"/>
    <w:rsid w:val="00AF0233"/>
    <w:rsid w:val="00AF080D"/>
    <w:rsid w:val="00AF434D"/>
    <w:rsid w:val="00AF6545"/>
    <w:rsid w:val="00AF7CEC"/>
    <w:rsid w:val="00B00FC3"/>
    <w:rsid w:val="00B01CB9"/>
    <w:rsid w:val="00B054CE"/>
    <w:rsid w:val="00B13642"/>
    <w:rsid w:val="00B1643C"/>
    <w:rsid w:val="00B17E53"/>
    <w:rsid w:val="00B21652"/>
    <w:rsid w:val="00B265E2"/>
    <w:rsid w:val="00B30C80"/>
    <w:rsid w:val="00B327E6"/>
    <w:rsid w:val="00B36D83"/>
    <w:rsid w:val="00B42133"/>
    <w:rsid w:val="00B46B22"/>
    <w:rsid w:val="00B516FF"/>
    <w:rsid w:val="00B52584"/>
    <w:rsid w:val="00B52F5E"/>
    <w:rsid w:val="00B5563F"/>
    <w:rsid w:val="00B6635B"/>
    <w:rsid w:val="00B665E6"/>
    <w:rsid w:val="00B71D9E"/>
    <w:rsid w:val="00B727F3"/>
    <w:rsid w:val="00B72EDB"/>
    <w:rsid w:val="00B75936"/>
    <w:rsid w:val="00B75A3A"/>
    <w:rsid w:val="00B7630B"/>
    <w:rsid w:val="00B81384"/>
    <w:rsid w:val="00B83C47"/>
    <w:rsid w:val="00B862BC"/>
    <w:rsid w:val="00B86D53"/>
    <w:rsid w:val="00B87C1A"/>
    <w:rsid w:val="00B900FE"/>
    <w:rsid w:val="00B90F17"/>
    <w:rsid w:val="00B92E11"/>
    <w:rsid w:val="00B94B30"/>
    <w:rsid w:val="00B956A4"/>
    <w:rsid w:val="00B95F13"/>
    <w:rsid w:val="00BA13E5"/>
    <w:rsid w:val="00BA16EA"/>
    <w:rsid w:val="00BA444A"/>
    <w:rsid w:val="00BA7D17"/>
    <w:rsid w:val="00BA7F56"/>
    <w:rsid w:val="00BB076E"/>
    <w:rsid w:val="00BB1C96"/>
    <w:rsid w:val="00BB1CF2"/>
    <w:rsid w:val="00BB7A25"/>
    <w:rsid w:val="00BB7E46"/>
    <w:rsid w:val="00BC0A3C"/>
    <w:rsid w:val="00BC2ABB"/>
    <w:rsid w:val="00BC3FEF"/>
    <w:rsid w:val="00BC5916"/>
    <w:rsid w:val="00BC621F"/>
    <w:rsid w:val="00BC6F90"/>
    <w:rsid w:val="00BD6B21"/>
    <w:rsid w:val="00BE210A"/>
    <w:rsid w:val="00BE3BD2"/>
    <w:rsid w:val="00BE58DE"/>
    <w:rsid w:val="00BE63B3"/>
    <w:rsid w:val="00BF2B67"/>
    <w:rsid w:val="00BF4750"/>
    <w:rsid w:val="00C007EA"/>
    <w:rsid w:val="00C01F69"/>
    <w:rsid w:val="00C032F0"/>
    <w:rsid w:val="00C03503"/>
    <w:rsid w:val="00C044D9"/>
    <w:rsid w:val="00C10E3A"/>
    <w:rsid w:val="00C12BE5"/>
    <w:rsid w:val="00C14388"/>
    <w:rsid w:val="00C16BF8"/>
    <w:rsid w:val="00C17B07"/>
    <w:rsid w:val="00C17C23"/>
    <w:rsid w:val="00C20621"/>
    <w:rsid w:val="00C21933"/>
    <w:rsid w:val="00C22CA1"/>
    <w:rsid w:val="00C33A55"/>
    <w:rsid w:val="00C33ECD"/>
    <w:rsid w:val="00C41200"/>
    <w:rsid w:val="00C50092"/>
    <w:rsid w:val="00C51F92"/>
    <w:rsid w:val="00C52681"/>
    <w:rsid w:val="00C52F25"/>
    <w:rsid w:val="00C5304F"/>
    <w:rsid w:val="00C57E29"/>
    <w:rsid w:val="00C615BC"/>
    <w:rsid w:val="00C6383F"/>
    <w:rsid w:val="00C63E8C"/>
    <w:rsid w:val="00C63FCC"/>
    <w:rsid w:val="00C659A7"/>
    <w:rsid w:val="00C66EFB"/>
    <w:rsid w:val="00C6744D"/>
    <w:rsid w:val="00C701EA"/>
    <w:rsid w:val="00C754EA"/>
    <w:rsid w:val="00C76FFC"/>
    <w:rsid w:val="00C8443C"/>
    <w:rsid w:val="00C871EF"/>
    <w:rsid w:val="00C90128"/>
    <w:rsid w:val="00C9259F"/>
    <w:rsid w:val="00C943E4"/>
    <w:rsid w:val="00C94FD8"/>
    <w:rsid w:val="00C9530D"/>
    <w:rsid w:val="00CA1CB9"/>
    <w:rsid w:val="00CA3398"/>
    <w:rsid w:val="00CA40FA"/>
    <w:rsid w:val="00CA5B7E"/>
    <w:rsid w:val="00CA6926"/>
    <w:rsid w:val="00CA735C"/>
    <w:rsid w:val="00CB35E0"/>
    <w:rsid w:val="00CB3AD5"/>
    <w:rsid w:val="00CB7F77"/>
    <w:rsid w:val="00CC297F"/>
    <w:rsid w:val="00CC39BB"/>
    <w:rsid w:val="00CC44C1"/>
    <w:rsid w:val="00CC7483"/>
    <w:rsid w:val="00CD0D86"/>
    <w:rsid w:val="00CD27CD"/>
    <w:rsid w:val="00CD71EB"/>
    <w:rsid w:val="00CD7371"/>
    <w:rsid w:val="00CD738E"/>
    <w:rsid w:val="00CE2A0E"/>
    <w:rsid w:val="00CE3B28"/>
    <w:rsid w:val="00CE3CC8"/>
    <w:rsid w:val="00CE5861"/>
    <w:rsid w:val="00CF23DC"/>
    <w:rsid w:val="00CF3296"/>
    <w:rsid w:val="00CF4918"/>
    <w:rsid w:val="00D064C6"/>
    <w:rsid w:val="00D1273B"/>
    <w:rsid w:val="00D12F20"/>
    <w:rsid w:val="00D13D39"/>
    <w:rsid w:val="00D1549E"/>
    <w:rsid w:val="00D15EDE"/>
    <w:rsid w:val="00D201FD"/>
    <w:rsid w:val="00D20FDE"/>
    <w:rsid w:val="00D23BD5"/>
    <w:rsid w:val="00D2518B"/>
    <w:rsid w:val="00D25FAA"/>
    <w:rsid w:val="00D27404"/>
    <w:rsid w:val="00D32E4E"/>
    <w:rsid w:val="00D34417"/>
    <w:rsid w:val="00D35790"/>
    <w:rsid w:val="00D35DBA"/>
    <w:rsid w:val="00D43057"/>
    <w:rsid w:val="00D5385A"/>
    <w:rsid w:val="00D55FC0"/>
    <w:rsid w:val="00D569D3"/>
    <w:rsid w:val="00D56FCA"/>
    <w:rsid w:val="00D57387"/>
    <w:rsid w:val="00D60603"/>
    <w:rsid w:val="00D6250F"/>
    <w:rsid w:val="00D63450"/>
    <w:rsid w:val="00D63FBB"/>
    <w:rsid w:val="00D644D0"/>
    <w:rsid w:val="00D64923"/>
    <w:rsid w:val="00D675C2"/>
    <w:rsid w:val="00D70D1E"/>
    <w:rsid w:val="00D7132E"/>
    <w:rsid w:val="00D7217C"/>
    <w:rsid w:val="00D722ED"/>
    <w:rsid w:val="00D7273C"/>
    <w:rsid w:val="00D75CAA"/>
    <w:rsid w:val="00D830E1"/>
    <w:rsid w:val="00D839F3"/>
    <w:rsid w:val="00D84E94"/>
    <w:rsid w:val="00D85A7E"/>
    <w:rsid w:val="00D862A3"/>
    <w:rsid w:val="00D86839"/>
    <w:rsid w:val="00D86B58"/>
    <w:rsid w:val="00D91ADD"/>
    <w:rsid w:val="00D91E5B"/>
    <w:rsid w:val="00D94823"/>
    <w:rsid w:val="00D9487F"/>
    <w:rsid w:val="00D96D51"/>
    <w:rsid w:val="00DA0D39"/>
    <w:rsid w:val="00DA49AC"/>
    <w:rsid w:val="00DA6765"/>
    <w:rsid w:val="00DB3F85"/>
    <w:rsid w:val="00DB404F"/>
    <w:rsid w:val="00DB4A50"/>
    <w:rsid w:val="00DC29A0"/>
    <w:rsid w:val="00DC4D71"/>
    <w:rsid w:val="00DD0BAA"/>
    <w:rsid w:val="00DD3C7F"/>
    <w:rsid w:val="00DD4138"/>
    <w:rsid w:val="00DD46BA"/>
    <w:rsid w:val="00DD655B"/>
    <w:rsid w:val="00DE2AD7"/>
    <w:rsid w:val="00DE2DB2"/>
    <w:rsid w:val="00DE410E"/>
    <w:rsid w:val="00DE6208"/>
    <w:rsid w:val="00DF0195"/>
    <w:rsid w:val="00DF079A"/>
    <w:rsid w:val="00DF2758"/>
    <w:rsid w:val="00DF2EDB"/>
    <w:rsid w:val="00DF3072"/>
    <w:rsid w:val="00DF3374"/>
    <w:rsid w:val="00DF33E2"/>
    <w:rsid w:val="00DF624E"/>
    <w:rsid w:val="00DF6974"/>
    <w:rsid w:val="00E03766"/>
    <w:rsid w:val="00E10411"/>
    <w:rsid w:val="00E108CF"/>
    <w:rsid w:val="00E13E76"/>
    <w:rsid w:val="00E14CA4"/>
    <w:rsid w:val="00E14D9B"/>
    <w:rsid w:val="00E25227"/>
    <w:rsid w:val="00E25380"/>
    <w:rsid w:val="00E25A8F"/>
    <w:rsid w:val="00E310AF"/>
    <w:rsid w:val="00E327E9"/>
    <w:rsid w:val="00E345B6"/>
    <w:rsid w:val="00E35A23"/>
    <w:rsid w:val="00E36C7C"/>
    <w:rsid w:val="00E42004"/>
    <w:rsid w:val="00E424B1"/>
    <w:rsid w:val="00E470BB"/>
    <w:rsid w:val="00E53B60"/>
    <w:rsid w:val="00E53F1B"/>
    <w:rsid w:val="00E5453A"/>
    <w:rsid w:val="00E55BB5"/>
    <w:rsid w:val="00E55C26"/>
    <w:rsid w:val="00E56E96"/>
    <w:rsid w:val="00E60447"/>
    <w:rsid w:val="00E63356"/>
    <w:rsid w:val="00E679CB"/>
    <w:rsid w:val="00E75923"/>
    <w:rsid w:val="00E76658"/>
    <w:rsid w:val="00E80FB4"/>
    <w:rsid w:val="00E827F6"/>
    <w:rsid w:val="00E833DA"/>
    <w:rsid w:val="00EA20F7"/>
    <w:rsid w:val="00EA4818"/>
    <w:rsid w:val="00EA6BBA"/>
    <w:rsid w:val="00EB0564"/>
    <w:rsid w:val="00EB0C79"/>
    <w:rsid w:val="00EB349F"/>
    <w:rsid w:val="00EB4B3D"/>
    <w:rsid w:val="00EB4F34"/>
    <w:rsid w:val="00EB60AB"/>
    <w:rsid w:val="00EB6520"/>
    <w:rsid w:val="00EB6618"/>
    <w:rsid w:val="00EB7487"/>
    <w:rsid w:val="00EC0FD5"/>
    <w:rsid w:val="00EC2201"/>
    <w:rsid w:val="00EC3BEE"/>
    <w:rsid w:val="00EC54C3"/>
    <w:rsid w:val="00EC76A0"/>
    <w:rsid w:val="00ED0C0D"/>
    <w:rsid w:val="00EE5E7F"/>
    <w:rsid w:val="00EF02EC"/>
    <w:rsid w:val="00EF0619"/>
    <w:rsid w:val="00EF13DB"/>
    <w:rsid w:val="00EF5F78"/>
    <w:rsid w:val="00F0067C"/>
    <w:rsid w:val="00F01387"/>
    <w:rsid w:val="00F02119"/>
    <w:rsid w:val="00F035A3"/>
    <w:rsid w:val="00F05D45"/>
    <w:rsid w:val="00F10542"/>
    <w:rsid w:val="00F16FF8"/>
    <w:rsid w:val="00F22E46"/>
    <w:rsid w:val="00F273F3"/>
    <w:rsid w:val="00F27C33"/>
    <w:rsid w:val="00F300A5"/>
    <w:rsid w:val="00F33104"/>
    <w:rsid w:val="00F33BD8"/>
    <w:rsid w:val="00F357DE"/>
    <w:rsid w:val="00F374E8"/>
    <w:rsid w:val="00F37D19"/>
    <w:rsid w:val="00F406BB"/>
    <w:rsid w:val="00F43718"/>
    <w:rsid w:val="00F4414D"/>
    <w:rsid w:val="00F4643B"/>
    <w:rsid w:val="00F46723"/>
    <w:rsid w:val="00F52565"/>
    <w:rsid w:val="00F5382F"/>
    <w:rsid w:val="00F63B99"/>
    <w:rsid w:val="00F675AA"/>
    <w:rsid w:val="00F67A25"/>
    <w:rsid w:val="00F72417"/>
    <w:rsid w:val="00F76815"/>
    <w:rsid w:val="00F8274D"/>
    <w:rsid w:val="00F8417C"/>
    <w:rsid w:val="00F84B2E"/>
    <w:rsid w:val="00F900EE"/>
    <w:rsid w:val="00F9197C"/>
    <w:rsid w:val="00F924CC"/>
    <w:rsid w:val="00F9335C"/>
    <w:rsid w:val="00F948E2"/>
    <w:rsid w:val="00F94A2E"/>
    <w:rsid w:val="00FA133B"/>
    <w:rsid w:val="00FA5D65"/>
    <w:rsid w:val="00FB0311"/>
    <w:rsid w:val="00FB0F52"/>
    <w:rsid w:val="00FB434B"/>
    <w:rsid w:val="00FB4437"/>
    <w:rsid w:val="00FB4593"/>
    <w:rsid w:val="00FB594A"/>
    <w:rsid w:val="00FB5DF9"/>
    <w:rsid w:val="00FB729E"/>
    <w:rsid w:val="00FC0BF3"/>
    <w:rsid w:val="00FC1DAA"/>
    <w:rsid w:val="00FC4997"/>
    <w:rsid w:val="00FC67DA"/>
    <w:rsid w:val="00FC7F4D"/>
    <w:rsid w:val="00FD07CD"/>
    <w:rsid w:val="00FD15BD"/>
    <w:rsid w:val="00FD314B"/>
    <w:rsid w:val="00FD56C3"/>
    <w:rsid w:val="00FD6A58"/>
    <w:rsid w:val="00FF33F0"/>
    <w:rsid w:val="00FF3582"/>
    <w:rsid w:val="00FF368E"/>
    <w:rsid w:val="00FF5D66"/>
    <w:rsid w:val="00FF600E"/>
    <w:rsid w:val="00FF7C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C4A0F7BB-0466-4E60-8DB4-F747E19E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8B31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B3115"/>
  </w:style>
  <w:style w:type="character" w:customStyle="1" w:styleId="eop">
    <w:name w:val="eop"/>
    <w:basedOn w:val="DefaultParagraphFont"/>
    <w:rsid w:val="008B3115"/>
  </w:style>
  <w:style w:type="paragraph" w:customStyle="1" w:styleId="Paragraph0">
    <w:name w:val="Paragraph"/>
    <w:basedOn w:val="Normal"/>
    <w:uiPriority w:val="3"/>
    <w:qFormat/>
    <w:rsid w:val="00070085"/>
    <w:pPr>
      <w:spacing w:after="240" w:line="240" w:lineRule="atLeast"/>
    </w:pPr>
    <w:rPr>
      <w:rFonts w:ascii="Arial" w:eastAsia="Times New Roman" w:hAnsi="Arial" w:cs="Arial"/>
      <w:sz w:val="20"/>
      <w:szCs w:val="24"/>
      <w:lang w:eastAsia="en-AU"/>
    </w:rPr>
  </w:style>
  <w:style w:type="paragraph" w:styleId="FootnoteText">
    <w:name w:val="footnote text"/>
    <w:basedOn w:val="Normal"/>
    <w:link w:val="FootnoteTextChar"/>
    <w:uiPriority w:val="99"/>
    <w:semiHidden/>
    <w:unhideWhenUsed/>
    <w:rsid w:val="00387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EB5"/>
    <w:rPr>
      <w:sz w:val="20"/>
      <w:szCs w:val="20"/>
    </w:rPr>
  </w:style>
  <w:style w:type="character" w:styleId="FootnoteReference">
    <w:name w:val="footnote reference"/>
    <w:basedOn w:val="DefaultParagraphFont"/>
    <w:uiPriority w:val="99"/>
    <w:semiHidden/>
    <w:unhideWhenUsed/>
    <w:rsid w:val="00387EB5"/>
    <w:rPr>
      <w:vertAlign w:val="superscript"/>
    </w:rPr>
  </w:style>
  <w:style w:type="character" w:styleId="UnresolvedMention">
    <w:name w:val="Unresolved Mention"/>
    <w:basedOn w:val="DefaultParagraphFont"/>
    <w:uiPriority w:val="99"/>
    <w:semiHidden/>
    <w:unhideWhenUsed/>
    <w:rsid w:val="00472EE7"/>
    <w:rPr>
      <w:color w:val="605E5C"/>
      <w:shd w:val="clear" w:color="auto" w:fill="E1DFDD"/>
    </w:rPr>
  </w:style>
  <w:style w:type="paragraph" w:styleId="Revision">
    <w:name w:val="Revision"/>
    <w:hidden/>
    <w:uiPriority w:val="99"/>
    <w:semiHidden/>
    <w:rsid w:val="00F01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1359">
      <w:bodyDiv w:val="1"/>
      <w:marLeft w:val="0"/>
      <w:marRight w:val="0"/>
      <w:marTop w:val="0"/>
      <w:marBottom w:val="0"/>
      <w:divBdr>
        <w:top w:val="none" w:sz="0" w:space="0" w:color="auto"/>
        <w:left w:val="none" w:sz="0" w:space="0" w:color="auto"/>
        <w:bottom w:val="none" w:sz="0" w:space="0" w:color="auto"/>
        <w:right w:val="none" w:sz="0" w:space="0" w:color="auto"/>
      </w:divBdr>
      <w:divsChild>
        <w:div w:id="795369407">
          <w:marLeft w:val="0"/>
          <w:marRight w:val="0"/>
          <w:marTop w:val="0"/>
          <w:marBottom w:val="0"/>
          <w:divBdr>
            <w:top w:val="none" w:sz="0" w:space="0" w:color="auto"/>
            <w:left w:val="none" w:sz="0" w:space="0" w:color="auto"/>
            <w:bottom w:val="none" w:sz="0" w:space="0" w:color="auto"/>
            <w:right w:val="none" w:sz="0" w:space="0" w:color="auto"/>
          </w:divBdr>
        </w:div>
        <w:div w:id="1015111389">
          <w:marLeft w:val="0"/>
          <w:marRight w:val="0"/>
          <w:marTop w:val="0"/>
          <w:marBottom w:val="0"/>
          <w:divBdr>
            <w:top w:val="none" w:sz="0" w:space="0" w:color="auto"/>
            <w:left w:val="none" w:sz="0" w:space="0" w:color="auto"/>
            <w:bottom w:val="none" w:sz="0" w:space="0" w:color="auto"/>
            <w:right w:val="none" w:sz="0" w:space="0" w:color="auto"/>
          </w:divBdr>
        </w:div>
        <w:div w:id="1109203963">
          <w:marLeft w:val="0"/>
          <w:marRight w:val="0"/>
          <w:marTop w:val="0"/>
          <w:marBottom w:val="0"/>
          <w:divBdr>
            <w:top w:val="none" w:sz="0" w:space="0" w:color="auto"/>
            <w:left w:val="none" w:sz="0" w:space="0" w:color="auto"/>
            <w:bottom w:val="none" w:sz="0" w:space="0" w:color="auto"/>
            <w:right w:val="none" w:sz="0" w:space="0" w:color="auto"/>
          </w:divBdr>
        </w:div>
        <w:div w:id="1169295936">
          <w:marLeft w:val="0"/>
          <w:marRight w:val="0"/>
          <w:marTop w:val="0"/>
          <w:marBottom w:val="0"/>
          <w:divBdr>
            <w:top w:val="none" w:sz="0" w:space="0" w:color="auto"/>
            <w:left w:val="none" w:sz="0" w:space="0" w:color="auto"/>
            <w:bottom w:val="none" w:sz="0" w:space="0" w:color="auto"/>
            <w:right w:val="none" w:sz="0" w:space="0" w:color="auto"/>
          </w:divBdr>
        </w:div>
        <w:div w:id="1384981655">
          <w:marLeft w:val="0"/>
          <w:marRight w:val="0"/>
          <w:marTop w:val="0"/>
          <w:marBottom w:val="0"/>
          <w:divBdr>
            <w:top w:val="none" w:sz="0" w:space="0" w:color="auto"/>
            <w:left w:val="none" w:sz="0" w:space="0" w:color="auto"/>
            <w:bottom w:val="none" w:sz="0" w:space="0" w:color="auto"/>
            <w:right w:val="none" w:sz="0" w:space="0" w:color="auto"/>
          </w:divBdr>
        </w:div>
        <w:div w:id="1637493635">
          <w:marLeft w:val="0"/>
          <w:marRight w:val="0"/>
          <w:marTop w:val="0"/>
          <w:marBottom w:val="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3NE2HDV7HD6D-70903741-995</_dlc_DocId>
    <_dlc_DocIdUrl xmlns="1d983eb4-33f7-44b0-aea1-cbdcf0c55136">
      <Url>http://collaboration/organisation/cid/RPB/MSAS/lib/_layouts/15/DocIdRedir.aspx?ID=3NE2HDV7HD6D-70903741-995</Url>
      <Description>3NE2HDV7HD6D-70903741-995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64DCFE9A-6FCA-4F01-9718-2553F1590E4F}">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B68B0957-D44D-4248-83D9-4A57C27F938C}">
  <ds:schemaRefs>
    <ds:schemaRef ds:uri="http://schemas.microsoft.com/sharepoint/events"/>
  </ds:schemaRefs>
</ds:datastoreItem>
</file>

<file path=customXml/itemProps5.xml><?xml version="1.0" encoding="utf-8"?>
<ds:datastoreItem xmlns:ds="http://schemas.openxmlformats.org/officeDocument/2006/customXml" ds:itemID="{F9633D84-9BE3-4874-B017-4B325119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8888</CharactersWithSpaces>
  <SharedDoc>false</SharedDoc>
  <HLinks>
    <vt:vector size="36" baseType="variant">
      <vt:variant>
        <vt:i4>6946865</vt:i4>
      </vt:variant>
      <vt:variant>
        <vt:i4>15</vt:i4>
      </vt:variant>
      <vt:variant>
        <vt:i4>0</vt:i4>
      </vt:variant>
      <vt:variant>
        <vt:i4>5</vt:i4>
      </vt:variant>
      <vt:variant>
        <vt:lpwstr>http://www.legislation.gov.au/</vt:lpwstr>
      </vt:variant>
      <vt:variant>
        <vt:lpwstr/>
      </vt:variant>
      <vt:variant>
        <vt:i4>3997730</vt:i4>
      </vt:variant>
      <vt:variant>
        <vt:i4>12</vt:i4>
      </vt:variant>
      <vt:variant>
        <vt:i4>0</vt:i4>
      </vt:variant>
      <vt:variant>
        <vt:i4>5</vt:i4>
      </vt:variant>
      <vt:variant>
        <vt:lpwstr>http://www.acma.gov.au/</vt:lpwstr>
      </vt:variant>
      <vt:variant>
        <vt:lpwstr/>
      </vt:variant>
      <vt:variant>
        <vt:i4>2752612</vt:i4>
      </vt:variant>
      <vt:variant>
        <vt:i4>9</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5</cp:revision>
  <cp:lastPrinted>2016-07-26T10:08:00Z</cp:lastPrinted>
  <dcterms:created xsi:type="dcterms:W3CDTF">2020-11-15T21:16:00Z</dcterms:created>
  <dcterms:modified xsi:type="dcterms:W3CDTF">2020-11-18T05:34:00Z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2f7071dc-56af-4b4d-8b59-fe8736c392b7</vt:lpwstr>
  </property>
</Properties>
</file>