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1FADE" w14:textId="77777777"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9E1CCC0" w14:textId="77777777"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06789AC6" w14:textId="5CD095D8" w:rsidR="004C58B9" w:rsidRDefault="00A903B4" w:rsidP="004C58B9">
      <w:pPr>
        <w:jc w:val="center"/>
        <w:rPr>
          <w:rFonts w:ascii="Times New Roman" w:hAnsi="Times New Roman" w:cs="Times New Roman"/>
          <w:i/>
        </w:rPr>
      </w:pPr>
      <w:r>
        <w:rPr>
          <w:rFonts w:ascii="Times New Roman" w:hAnsi="Times New Roman" w:cs="Times New Roman"/>
          <w:i/>
        </w:rPr>
        <w:t>Radiocommunications Act 1992</w:t>
      </w:r>
    </w:p>
    <w:p w14:paraId="5BD65A2C" w14:textId="27C88415" w:rsidR="004C58B9" w:rsidRDefault="00A903B4" w:rsidP="004C58B9">
      <w:pPr>
        <w:jc w:val="center"/>
        <w:rPr>
          <w:rFonts w:ascii="Times New Roman" w:hAnsi="Times New Roman" w:cs="Times New Roman"/>
          <w:b/>
          <w:i/>
        </w:rPr>
      </w:pPr>
      <w:r>
        <w:rPr>
          <w:rFonts w:ascii="Times New Roman" w:hAnsi="Times New Roman" w:cs="Times New Roman"/>
          <w:b/>
          <w:i/>
        </w:rPr>
        <w:t>Radiocommunications (Unacceptable Levels of Interference – 26 GHz Band) Determination 2020</w:t>
      </w:r>
    </w:p>
    <w:p w14:paraId="494E255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55FAA4BD" w14:textId="32789023" w:rsidR="004C58B9" w:rsidRDefault="004C58B9" w:rsidP="004C58B9">
      <w:pPr>
        <w:rPr>
          <w:rFonts w:ascii="Times New Roman" w:hAnsi="Times New Roman" w:cs="Times New Roman"/>
        </w:rPr>
      </w:pPr>
      <w:r>
        <w:rPr>
          <w:rFonts w:ascii="Times New Roman" w:hAnsi="Times New Roman" w:cs="Times New Roman"/>
        </w:rPr>
        <w:t>The Australian Communications and Media Authority (</w:t>
      </w:r>
      <w:r>
        <w:rPr>
          <w:rFonts w:ascii="Times New Roman" w:hAnsi="Times New Roman" w:cs="Times New Roman"/>
          <w:b/>
        </w:rPr>
        <w:t>the ACMA</w:t>
      </w:r>
      <w:r>
        <w:rPr>
          <w:rFonts w:ascii="Times New Roman" w:hAnsi="Times New Roman" w:cs="Times New Roman"/>
        </w:rPr>
        <w:t xml:space="preserve">) has made the </w:t>
      </w:r>
      <w:r w:rsidR="00664519">
        <w:rPr>
          <w:rFonts w:ascii="Times New Roman" w:hAnsi="Times New Roman" w:cs="Times New Roman"/>
          <w:i/>
          <w:iCs/>
        </w:rPr>
        <w:t>Radiocommunications</w:t>
      </w:r>
      <w:r w:rsidR="00A903B4">
        <w:rPr>
          <w:rFonts w:ascii="Times New Roman" w:hAnsi="Times New Roman" w:cs="Times New Roman"/>
          <w:i/>
          <w:iCs/>
        </w:rPr>
        <w:t xml:space="preserve"> (Unacceptable Levels of Interference – 26 GHz Band) Determination 2020</w:t>
      </w:r>
      <w:r>
        <w:rPr>
          <w:rFonts w:ascii="Times New Roman" w:hAnsi="Times New Roman" w:cs="Times New Roman"/>
          <w:i/>
        </w:rPr>
        <w:t xml:space="preserve"> </w:t>
      </w:r>
      <w:r>
        <w:rPr>
          <w:rFonts w:ascii="Times New Roman" w:hAnsi="Times New Roman" w:cs="Times New Roman"/>
        </w:rPr>
        <w:t>(</w:t>
      </w:r>
      <w:r>
        <w:rPr>
          <w:rFonts w:ascii="Times New Roman" w:hAnsi="Times New Roman" w:cs="Times New Roman"/>
          <w:b/>
        </w:rPr>
        <w:t>the instrument</w:t>
      </w:r>
      <w:r>
        <w:rPr>
          <w:rFonts w:ascii="Times New Roman" w:hAnsi="Times New Roman" w:cs="Times New Roman"/>
        </w:rPr>
        <w:t xml:space="preserve">) under </w:t>
      </w:r>
      <w:r w:rsidR="00A903B4">
        <w:rPr>
          <w:rFonts w:ascii="Times New Roman" w:hAnsi="Times New Roman" w:cs="Times New Roman"/>
        </w:rPr>
        <w:t xml:space="preserve">subsection 145(4) </w:t>
      </w:r>
      <w:r>
        <w:rPr>
          <w:rFonts w:ascii="Times New Roman" w:hAnsi="Times New Roman" w:cs="Times New Roman"/>
        </w:rPr>
        <w:t xml:space="preserve">of the </w:t>
      </w:r>
      <w:r w:rsidR="00A903B4" w:rsidRPr="00A903B4">
        <w:rPr>
          <w:rFonts w:ascii="Times New Roman" w:hAnsi="Times New Roman" w:cs="Times New Roman"/>
          <w:i/>
          <w:iCs/>
        </w:rPr>
        <w:t>Radiocommunications Act 1992</w:t>
      </w:r>
      <w:r>
        <w:rPr>
          <w:rFonts w:ascii="Times New Roman" w:hAnsi="Times New Roman" w:cs="Times New Roman"/>
        </w:rPr>
        <w:t xml:space="preserve"> (</w:t>
      </w:r>
      <w:r>
        <w:rPr>
          <w:rFonts w:ascii="Times New Roman" w:hAnsi="Times New Roman" w:cs="Times New Roman"/>
          <w:b/>
        </w:rPr>
        <w:t>the Act</w:t>
      </w:r>
      <w:r>
        <w:rPr>
          <w:rFonts w:ascii="Times New Roman" w:hAnsi="Times New Roman" w:cs="Times New Roman"/>
        </w:rPr>
        <w:t>).</w:t>
      </w:r>
    </w:p>
    <w:p w14:paraId="563E5C0A" w14:textId="00031BAF" w:rsidR="00CE1507" w:rsidRDefault="007A1CF3" w:rsidP="004C58B9">
      <w:pPr>
        <w:rPr>
          <w:rFonts w:ascii="Times New Roman" w:hAnsi="Times New Roman" w:cs="Times New Roman"/>
        </w:rPr>
      </w:pPr>
      <w:r>
        <w:rPr>
          <w:rFonts w:ascii="Times New Roman" w:hAnsi="Times New Roman" w:cs="Times New Roman"/>
        </w:rPr>
        <w:t>Section 145 of the Act p</w:t>
      </w:r>
      <w:r w:rsidR="00D96E3B">
        <w:rPr>
          <w:rFonts w:ascii="Times New Roman" w:hAnsi="Times New Roman" w:cs="Times New Roman"/>
        </w:rPr>
        <w:t>rovides that the ACMA may refuse to include details of a radiocommunications transmitter that is proposed to be operated under a spectrum licence</w:t>
      </w:r>
      <w:r w:rsidR="00630142">
        <w:rPr>
          <w:rFonts w:ascii="Times New Roman" w:hAnsi="Times New Roman" w:cs="Times New Roman"/>
        </w:rPr>
        <w:t xml:space="preserve"> </w:t>
      </w:r>
      <w:r w:rsidR="004C438E">
        <w:rPr>
          <w:rFonts w:ascii="Times New Roman" w:hAnsi="Times New Roman" w:cs="Times New Roman"/>
        </w:rPr>
        <w:t>i</w:t>
      </w:r>
      <w:r w:rsidR="00630142">
        <w:rPr>
          <w:rFonts w:ascii="Times New Roman" w:hAnsi="Times New Roman" w:cs="Times New Roman"/>
        </w:rPr>
        <w:t xml:space="preserve">n the Register of Radiocommunications Licences, maintained by the ACMA under Part 3.5 of the Act. The ACMA may so refuse where it is satisfied that the transmitter could cause an unacceptable level of interference to the operation of other radiocommunications devices under that spectrum licence or any other licence. </w:t>
      </w:r>
      <w:r w:rsidR="00CE1507">
        <w:rPr>
          <w:rFonts w:ascii="Times New Roman" w:hAnsi="Times New Roman" w:cs="Times New Roman"/>
        </w:rPr>
        <w:t>Subsection 145(4) of the Act provides that the ACMA may determine, by written instrument, what are unacceptable levels of interference for the purposes of section 145 of the Act.</w:t>
      </w:r>
    </w:p>
    <w:p w14:paraId="7D900AC6" w14:textId="77777777" w:rsidR="004C58B9" w:rsidRDefault="004C58B9" w:rsidP="004C58B9">
      <w:pPr>
        <w:rPr>
          <w:rFonts w:ascii="Times New Roman" w:hAnsi="Times New Roman" w:cs="Times New Roman"/>
          <w:b/>
        </w:rPr>
      </w:pPr>
      <w:r>
        <w:rPr>
          <w:rFonts w:ascii="Times New Roman" w:hAnsi="Times New Roman" w:cs="Times New Roman"/>
          <w:b/>
        </w:rPr>
        <w:t>Purpose and operation of the instrument</w:t>
      </w:r>
    </w:p>
    <w:p w14:paraId="18EA005C" w14:textId="6D007E86" w:rsidR="00830B25" w:rsidRDefault="00830B25" w:rsidP="00830B25">
      <w:pPr>
        <w:rPr>
          <w:rFonts w:ascii="Times New Roman" w:hAnsi="Times New Roman" w:cs="Times New Roman"/>
        </w:rPr>
      </w:pPr>
      <w:r w:rsidRPr="00830B25">
        <w:rPr>
          <w:rFonts w:ascii="Times New Roman" w:hAnsi="Times New Roman" w:cs="Times New Roman"/>
        </w:rPr>
        <w:t xml:space="preserve">A spectrum licence permits a licensee, subject to specified conditions, to operate radiocommunications devices within </w:t>
      </w:r>
      <w:r w:rsidR="008A285D">
        <w:rPr>
          <w:rFonts w:ascii="Times New Roman" w:hAnsi="Times New Roman" w:cs="Times New Roman"/>
        </w:rPr>
        <w:t xml:space="preserve">a </w:t>
      </w:r>
      <w:r w:rsidR="008D4835">
        <w:rPr>
          <w:rFonts w:ascii="Times New Roman" w:hAnsi="Times New Roman" w:cs="Times New Roman"/>
        </w:rPr>
        <w:t xml:space="preserve">particular </w:t>
      </w:r>
      <w:r w:rsidRPr="00830B25">
        <w:rPr>
          <w:rFonts w:ascii="Times New Roman" w:hAnsi="Times New Roman" w:cs="Times New Roman"/>
        </w:rPr>
        <w:t>spectrum space</w:t>
      </w:r>
      <w:r w:rsidR="008D4835">
        <w:rPr>
          <w:rFonts w:ascii="Times New Roman" w:hAnsi="Times New Roman" w:cs="Times New Roman"/>
        </w:rPr>
        <w:t>,</w:t>
      </w:r>
      <w:r w:rsidRPr="00830B25">
        <w:rPr>
          <w:rFonts w:ascii="Times New Roman" w:hAnsi="Times New Roman" w:cs="Times New Roman"/>
        </w:rPr>
        <w:t xml:space="preserve"> defined by a frequency band and a geographic area. Interference occurring between adjacent spectrum licences consists of in-band interference, across the geographic boundaries, and out-of-band interference, across the frequency boundaries. Interference can also occur between spectrum licensed services and services operating under apparatus and class licensing arrangements. </w:t>
      </w:r>
    </w:p>
    <w:p w14:paraId="0D271947" w14:textId="77777777" w:rsidR="00CC12E3" w:rsidRDefault="00CC12E3" w:rsidP="00CC12E3">
      <w:pPr>
        <w:rPr>
          <w:rFonts w:ascii="Times New Roman" w:hAnsi="Times New Roman" w:cs="Times New Roman"/>
        </w:rPr>
      </w:pPr>
      <w:r w:rsidRPr="00CE1507">
        <w:rPr>
          <w:rFonts w:ascii="Times New Roman" w:hAnsi="Times New Roman" w:cs="Times New Roman"/>
        </w:rPr>
        <w:t>Section 69 of the Act requires each spectrum licence to include a condition that a radiocommunications transmitter must not be operated under the licence unless the requirements of the ACMA under Part 3.5 of the Act for registration of transmitters have been met.</w:t>
      </w:r>
      <w:r>
        <w:rPr>
          <w:rFonts w:ascii="Times New Roman" w:hAnsi="Times New Roman" w:cs="Times New Roman"/>
        </w:rPr>
        <w:t xml:space="preserve"> </w:t>
      </w:r>
    </w:p>
    <w:p w14:paraId="7D6AA5DF" w14:textId="7C4A136D" w:rsidR="00CE1507" w:rsidRDefault="00CE1507" w:rsidP="00CE1507">
      <w:pPr>
        <w:rPr>
          <w:rFonts w:ascii="Times New Roman" w:hAnsi="Times New Roman" w:cs="Times New Roman"/>
        </w:rPr>
      </w:pPr>
      <w:r>
        <w:rPr>
          <w:rFonts w:ascii="Times New Roman" w:hAnsi="Times New Roman" w:cs="Times New Roman"/>
        </w:rPr>
        <w:t xml:space="preserve">The instrument aims to ensure that high levels of emission from </w:t>
      </w:r>
      <w:r w:rsidR="009E4F28">
        <w:rPr>
          <w:rFonts w:ascii="Times New Roman" w:hAnsi="Times New Roman" w:cs="Times New Roman"/>
        </w:rPr>
        <w:t xml:space="preserve">radiocommunications </w:t>
      </w:r>
      <w:r>
        <w:rPr>
          <w:rFonts w:ascii="Times New Roman" w:hAnsi="Times New Roman" w:cs="Times New Roman"/>
        </w:rPr>
        <w:t xml:space="preserve">transmitters operated under a spectrum licence issued in the </w:t>
      </w:r>
      <w:r w:rsidR="00020B5F">
        <w:rPr>
          <w:rFonts w:ascii="Times New Roman" w:hAnsi="Times New Roman" w:cs="Times New Roman"/>
        </w:rPr>
        <w:t xml:space="preserve">part of the spectrum from </w:t>
      </w:r>
      <w:r w:rsidR="00020B5F" w:rsidRPr="00020B5F">
        <w:rPr>
          <w:rFonts w:ascii="Times New Roman" w:hAnsi="Times New Roman" w:cs="Times New Roman"/>
        </w:rPr>
        <w:t>25.1 GHz to 27.5 GHz</w:t>
      </w:r>
      <w:r w:rsidR="00020B5F">
        <w:rPr>
          <w:rFonts w:ascii="Times New Roman" w:hAnsi="Times New Roman" w:cs="Times New Roman"/>
        </w:rPr>
        <w:t xml:space="preserve"> (the </w:t>
      </w:r>
      <w:r w:rsidRPr="00ED3ED8">
        <w:rPr>
          <w:rFonts w:ascii="Times New Roman" w:hAnsi="Times New Roman" w:cs="Times New Roman"/>
          <w:b/>
          <w:bCs/>
        </w:rPr>
        <w:t>26 GHz band</w:t>
      </w:r>
      <w:r w:rsidR="00020B5F">
        <w:rPr>
          <w:rFonts w:ascii="Times New Roman" w:hAnsi="Times New Roman" w:cs="Times New Roman"/>
        </w:rPr>
        <w:t>)</w:t>
      </w:r>
      <w:r>
        <w:rPr>
          <w:rFonts w:ascii="Times New Roman" w:hAnsi="Times New Roman" w:cs="Times New Roman"/>
        </w:rPr>
        <w:t xml:space="preserve"> are kept within the geographic area and frequency band of the licence.</w:t>
      </w:r>
    </w:p>
    <w:p w14:paraId="7A672710" w14:textId="08277AC4" w:rsidR="004C58B9" w:rsidRPr="008341E8" w:rsidRDefault="00CE1507" w:rsidP="008341E8">
      <w:pPr>
        <w:rPr>
          <w:rFonts w:ascii="Times New Roman" w:hAnsi="Times New Roman" w:cs="Times New Roman"/>
        </w:rPr>
      </w:pPr>
      <w:r>
        <w:rPr>
          <w:rFonts w:ascii="Times New Roman" w:hAnsi="Times New Roman" w:cs="Times New Roman"/>
        </w:rPr>
        <w:t>The instrument sets out what is meant by an ‘unacceptable level of interference’ in relation to a radiocommunications transmitter operated under a spectrum licence issued in the 26 GHz band</w:t>
      </w:r>
      <w:r w:rsidR="00020B5F">
        <w:rPr>
          <w:rFonts w:ascii="Times New Roman" w:hAnsi="Times New Roman" w:cs="Times New Roman"/>
        </w:rPr>
        <w:t>. If the ACMA is satisfied that the operation of the radiocommunications transmitter could cause</w:t>
      </w:r>
      <w:r w:rsidR="00DE7022">
        <w:rPr>
          <w:rFonts w:ascii="Times New Roman" w:hAnsi="Times New Roman" w:cs="Times New Roman"/>
        </w:rPr>
        <w:t xml:space="preserve"> </w:t>
      </w:r>
      <w:r w:rsidR="00B20CB4">
        <w:rPr>
          <w:rFonts w:ascii="Times New Roman" w:hAnsi="Times New Roman" w:cs="Times New Roman"/>
        </w:rPr>
        <w:t>interference of the kind set out in the instrument</w:t>
      </w:r>
      <w:r w:rsidR="00020B5F">
        <w:rPr>
          <w:rFonts w:ascii="Times New Roman" w:hAnsi="Times New Roman" w:cs="Times New Roman"/>
        </w:rPr>
        <w:t>, the ACMA will be able to refuse to register a radiocommunications transmitter</w:t>
      </w:r>
      <w:r>
        <w:rPr>
          <w:rFonts w:ascii="Times New Roman" w:hAnsi="Times New Roman" w:cs="Times New Roman"/>
        </w:rPr>
        <w:t xml:space="preserve">. </w:t>
      </w:r>
    </w:p>
    <w:p w14:paraId="62529848" w14:textId="77777777" w:rsidR="004C58B9" w:rsidRDefault="004C58B9" w:rsidP="004C58B9">
      <w:pPr>
        <w:rPr>
          <w:rFonts w:ascii="Times New Roman" w:hAnsi="Times New Roman" w:cs="Times New Roman"/>
        </w:rPr>
      </w:pPr>
      <w:r>
        <w:rPr>
          <w:rFonts w:ascii="Times New Roman" w:hAnsi="Times New Roman" w:cs="Times New Roman"/>
        </w:rPr>
        <w:t xml:space="preserve">A provision-by-provision description of the instrument is set out in the notes at </w:t>
      </w:r>
      <w:r>
        <w:rPr>
          <w:rFonts w:ascii="Times New Roman" w:hAnsi="Times New Roman" w:cs="Times New Roman"/>
          <w:b/>
        </w:rPr>
        <w:t>Attachment A</w:t>
      </w:r>
      <w:r>
        <w:rPr>
          <w:rFonts w:ascii="Times New Roman" w:hAnsi="Times New Roman" w:cs="Times New Roman"/>
        </w:rPr>
        <w:t>.</w:t>
      </w:r>
    </w:p>
    <w:p w14:paraId="15A8EB95" w14:textId="2BDB947A" w:rsidR="004C58B9" w:rsidRDefault="004C58B9" w:rsidP="004C58B9">
      <w:pPr>
        <w:rPr>
          <w:rFonts w:ascii="Times New Roman" w:hAnsi="Times New Roman" w:cs="Times New Roman"/>
        </w:rPr>
      </w:pPr>
      <w:r>
        <w:rPr>
          <w:rFonts w:ascii="Times New Roman" w:hAnsi="Times New Roman" w:cs="Times New Roman"/>
        </w:rPr>
        <w:t xml:space="preserve">The instrument is a </w:t>
      </w:r>
      <w:r w:rsidR="004C438E">
        <w:rPr>
          <w:rFonts w:ascii="Times New Roman" w:hAnsi="Times New Roman" w:cs="Times New Roman"/>
        </w:rPr>
        <w:t xml:space="preserve">disallowable </w:t>
      </w:r>
      <w:r>
        <w:rPr>
          <w:rFonts w:ascii="Times New Roman" w:hAnsi="Times New Roman" w:cs="Times New Roman"/>
        </w:rPr>
        <w:t xml:space="preserve">legislative instrument for the purposes of the </w:t>
      </w:r>
      <w:r>
        <w:rPr>
          <w:rFonts w:ascii="Times New Roman" w:hAnsi="Times New Roman" w:cs="Times New Roman"/>
          <w:i/>
        </w:rPr>
        <w:t xml:space="preserve">Legislation Act 2003 </w:t>
      </w:r>
      <w:r>
        <w:rPr>
          <w:rFonts w:ascii="Times New Roman" w:hAnsi="Times New Roman" w:cs="Times New Roman"/>
        </w:rPr>
        <w:t>(</w:t>
      </w:r>
      <w:r>
        <w:rPr>
          <w:rFonts w:ascii="Times New Roman" w:hAnsi="Times New Roman" w:cs="Times New Roman"/>
          <w:b/>
        </w:rPr>
        <w:t>the LA</w:t>
      </w:r>
      <w:r>
        <w:rPr>
          <w:rFonts w:ascii="Times New Roman" w:hAnsi="Times New Roman" w:cs="Times New Roman"/>
        </w:rPr>
        <w:t xml:space="preserve">). </w:t>
      </w:r>
    </w:p>
    <w:p w14:paraId="0C627C6A" w14:textId="77777777" w:rsidR="004C58B9" w:rsidRDefault="004C58B9" w:rsidP="003D0F6D">
      <w:pPr>
        <w:keepNext/>
        <w:keepLines/>
        <w:spacing w:line="257" w:lineRule="auto"/>
        <w:rPr>
          <w:rFonts w:ascii="Times New Roman" w:hAnsi="Times New Roman" w:cs="Times New Roman"/>
          <w:b/>
        </w:rPr>
      </w:pPr>
      <w:r>
        <w:rPr>
          <w:rFonts w:ascii="Times New Roman" w:hAnsi="Times New Roman" w:cs="Times New Roman"/>
          <w:b/>
        </w:rPr>
        <w:lastRenderedPageBreak/>
        <w:t>Documents incorporated by reference</w:t>
      </w:r>
    </w:p>
    <w:p w14:paraId="4269CB6C" w14:textId="1DC32E78" w:rsidR="00076879" w:rsidRPr="00076879" w:rsidRDefault="002700D9" w:rsidP="003D0F6D">
      <w:pPr>
        <w:keepNext/>
        <w:keepLines/>
        <w:spacing w:line="257" w:lineRule="auto"/>
        <w:rPr>
          <w:rFonts w:ascii="Times New Roman" w:hAnsi="Times New Roman" w:cs="Times New Roman"/>
        </w:rPr>
      </w:pPr>
      <w:r>
        <w:rPr>
          <w:rFonts w:ascii="Times New Roman" w:hAnsi="Times New Roman" w:cs="Times New Roman"/>
        </w:rPr>
        <w:t>Subsection 314</w:t>
      </w:r>
      <w:r w:rsidR="000E6D57">
        <w:rPr>
          <w:rFonts w:ascii="Times New Roman" w:hAnsi="Times New Roman" w:cs="Times New Roman"/>
        </w:rPr>
        <w:t>A</w:t>
      </w:r>
      <w:r>
        <w:rPr>
          <w:rFonts w:ascii="Times New Roman" w:hAnsi="Times New Roman" w:cs="Times New Roman"/>
        </w:rPr>
        <w:t xml:space="preserve">(2) of the Act </w:t>
      </w:r>
      <w:r w:rsidR="00301A32">
        <w:rPr>
          <w:rFonts w:ascii="Times New Roman" w:hAnsi="Times New Roman" w:cs="Times New Roman"/>
        </w:rPr>
        <w:t xml:space="preserve">provides that </w:t>
      </w:r>
      <w:r w:rsidR="000E6D57">
        <w:rPr>
          <w:rFonts w:ascii="Times New Roman" w:hAnsi="Times New Roman" w:cs="Times New Roman"/>
        </w:rPr>
        <w:t>an instrument under the Act may make provision in relation to a matter by applying, adopting or incorporating (with or without modifications) matter contained in any other instrument or writing as in force or existing at a particular time or from time to time.</w:t>
      </w:r>
      <w:r w:rsidR="00301A32">
        <w:rPr>
          <w:rFonts w:ascii="Times New Roman" w:hAnsi="Times New Roman" w:cs="Times New Roman"/>
        </w:rPr>
        <w:t xml:space="preserve"> </w:t>
      </w:r>
      <w:r w:rsidR="000E6D57">
        <w:rPr>
          <w:rFonts w:ascii="Times New Roman" w:hAnsi="Times New Roman" w:cs="Times New Roman"/>
        </w:rPr>
        <w:t>T</w:t>
      </w:r>
      <w:r w:rsidR="00076879" w:rsidRPr="00076879">
        <w:rPr>
          <w:rFonts w:ascii="Times New Roman" w:hAnsi="Times New Roman" w:cs="Times New Roman"/>
        </w:rPr>
        <w:t>he instrument incorporates the following by reference</w:t>
      </w:r>
      <w:r w:rsidR="00C6674A">
        <w:rPr>
          <w:rFonts w:ascii="Times New Roman" w:hAnsi="Times New Roman" w:cs="Times New Roman"/>
        </w:rPr>
        <w:t>, as existing from time to time</w:t>
      </w:r>
      <w:r w:rsidR="00076879" w:rsidRPr="00076879">
        <w:rPr>
          <w:rFonts w:ascii="Times New Roman" w:hAnsi="Times New Roman" w:cs="Times New Roman"/>
        </w:rPr>
        <w:t xml:space="preserve">: </w:t>
      </w:r>
    </w:p>
    <w:p w14:paraId="7360EF1B" w14:textId="1249AD98" w:rsidR="008F6164" w:rsidRDefault="008F6164" w:rsidP="00076879">
      <w:pPr>
        <w:pStyle w:val="ListParagraph"/>
        <w:numPr>
          <w:ilvl w:val="0"/>
          <w:numId w:val="13"/>
        </w:numPr>
        <w:rPr>
          <w:rFonts w:ascii="Times New Roman" w:hAnsi="Times New Roman" w:cs="Times New Roman"/>
        </w:rPr>
      </w:pPr>
      <w:r>
        <w:rPr>
          <w:rFonts w:ascii="Times New Roman" w:hAnsi="Times New Roman" w:cs="Times New Roman"/>
        </w:rPr>
        <w:t>3 Second SRTM Derive</w:t>
      </w:r>
      <w:r w:rsidR="0074078B">
        <w:rPr>
          <w:rFonts w:ascii="Times New Roman" w:hAnsi="Times New Roman" w:cs="Times New Roman"/>
        </w:rPr>
        <w:t>d Digital Elevation Model (DEM) Version 1.0</w:t>
      </w:r>
      <w:r w:rsidR="001D2DE1">
        <w:rPr>
          <w:rFonts w:ascii="Times New Roman" w:hAnsi="Times New Roman" w:cs="Times New Roman"/>
        </w:rPr>
        <w:t xml:space="preserve"> (</w:t>
      </w:r>
      <w:r w:rsidR="001D2DE1" w:rsidRPr="00ED3ED8">
        <w:rPr>
          <w:rFonts w:ascii="Times New Roman" w:hAnsi="Times New Roman" w:cs="Times New Roman"/>
          <w:b/>
          <w:bCs/>
        </w:rPr>
        <w:t>DEM-3S</w:t>
      </w:r>
      <w:r w:rsidR="001D2DE1">
        <w:rPr>
          <w:rFonts w:ascii="Times New Roman" w:hAnsi="Times New Roman" w:cs="Times New Roman"/>
        </w:rPr>
        <w:t>)</w:t>
      </w:r>
      <w:r w:rsidR="0074078B">
        <w:rPr>
          <w:rFonts w:ascii="Times New Roman" w:hAnsi="Times New Roman" w:cs="Times New Roman"/>
        </w:rPr>
        <w:t>, created by Geoscien</w:t>
      </w:r>
      <w:r w:rsidR="00B078B3">
        <w:rPr>
          <w:rFonts w:ascii="Times New Roman" w:hAnsi="Times New Roman" w:cs="Times New Roman"/>
        </w:rPr>
        <w:t xml:space="preserve">ce Australia, and available free of charge from its website at </w:t>
      </w:r>
      <w:hyperlink r:id="rId11" w:history="1">
        <w:r w:rsidR="001D2DE1" w:rsidRPr="00707F8B">
          <w:rPr>
            <w:rStyle w:val="Hyperlink"/>
            <w:rFonts w:ascii="Times New Roman" w:hAnsi="Times New Roman" w:cs="Times New Roman"/>
          </w:rPr>
          <w:t>http://www.ga.gov.au</w:t>
        </w:r>
      </w:hyperlink>
      <w:r w:rsidR="001D2DE1">
        <w:rPr>
          <w:rFonts w:ascii="Times New Roman" w:hAnsi="Times New Roman" w:cs="Times New Roman"/>
        </w:rPr>
        <w:t xml:space="preserve"> </w:t>
      </w:r>
      <w:r w:rsidR="004C438E">
        <w:rPr>
          <w:rFonts w:ascii="Times New Roman" w:hAnsi="Times New Roman" w:cs="Times New Roman"/>
        </w:rPr>
        <w:t>(</w:t>
      </w:r>
      <w:r w:rsidR="001D2DE1">
        <w:rPr>
          <w:rFonts w:ascii="Times New Roman" w:hAnsi="Times New Roman" w:cs="Times New Roman"/>
          <w:iCs/>
        </w:rPr>
        <w:t>Geoscience Australia has also published a smoothed variation of DEM-3S. This smoothed variation contains different elevation data than DEM-3S and is not to be used for the purposes of this instrument</w:t>
      </w:r>
      <w:proofErr w:type="gramStart"/>
      <w:r w:rsidR="004C438E">
        <w:rPr>
          <w:rFonts w:ascii="Times New Roman" w:hAnsi="Times New Roman" w:cs="Times New Roman"/>
          <w:iCs/>
        </w:rPr>
        <w:t>)</w:t>
      </w:r>
      <w:r w:rsidR="001D2DE1">
        <w:rPr>
          <w:rFonts w:ascii="Times New Roman" w:hAnsi="Times New Roman" w:cs="Times New Roman"/>
          <w:iCs/>
        </w:rPr>
        <w:t>;</w:t>
      </w:r>
      <w:proofErr w:type="gramEnd"/>
    </w:p>
    <w:p w14:paraId="33229F2F" w14:textId="2A0321C7" w:rsidR="00982122" w:rsidRDefault="00375F8B" w:rsidP="00076879">
      <w:pPr>
        <w:pStyle w:val="ListParagraph"/>
        <w:numPr>
          <w:ilvl w:val="0"/>
          <w:numId w:val="13"/>
        </w:numPr>
        <w:rPr>
          <w:rFonts w:ascii="Times New Roman" w:hAnsi="Times New Roman" w:cs="Times New Roman"/>
        </w:rPr>
      </w:pPr>
      <w:r>
        <w:rPr>
          <w:rFonts w:ascii="Times New Roman" w:hAnsi="Times New Roman" w:cs="Times New Roman"/>
        </w:rPr>
        <w:t xml:space="preserve">the </w:t>
      </w:r>
      <w:r w:rsidR="00982122">
        <w:rPr>
          <w:rFonts w:ascii="Times New Roman" w:hAnsi="Times New Roman" w:cs="Times New Roman"/>
        </w:rPr>
        <w:t>Australian Spectrum Map Grid 2012</w:t>
      </w:r>
      <w:r w:rsidR="00AF3256">
        <w:rPr>
          <w:rFonts w:ascii="Times New Roman" w:hAnsi="Times New Roman" w:cs="Times New Roman"/>
        </w:rPr>
        <w:t xml:space="preserve">, published by the ACMA, and available free of charge from its website at </w:t>
      </w:r>
      <w:hyperlink r:id="rId12" w:history="1">
        <w:r w:rsidR="00AF3256" w:rsidRPr="00707F8B">
          <w:rPr>
            <w:rStyle w:val="Hyperlink"/>
            <w:rFonts w:ascii="Times New Roman" w:hAnsi="Times New Roman" w:cs="Times New Roman"/>
          </w:rPr>
          <w:t>http://www.acma.gov.au</w:t>
        </w:r>
      </w:hyperlink>
      <w:r w:rsidR="00AF3256">
        <w:rPr>
          <w:rFonts w:ascii="Times New Roman" w:hAnsi="Times New Roman" w:cs="Times New Roman"/>
        </w:rPr>
        <w:t xml:space="preserve">; </w:t>
      </w:r>
    </w:p>
    <w:p w14:paraId="528ED16C" w14:textId="091BE1FC" w:rsidR="00076879" w:rsidRPr="00414AFB" w:rsidRDefault="00375F8B" w:rsidP="00120DCD">
      <w:pPr>
        <w:pStyle w:val="ListParagraph"/>
        <w:numPr>
          <w:ilvl w:val="0"/>
          <w:numId w:val="13"/>
        </w:numPr>
        <w:rPr>
          <w:rFonts w:ascii="Times New Roman" w:hAnsi="Times New Roman" w:cs="Times New Roman"/>
        </w:rPr>
      </w:pPr>
      <w:proofErr w:type="gramStart"/>
      <w:r>
        <w:rPr>
          <w:rFonts w:ascii="Times New Roman" w:hAnsi="Times New Roman" w:cs="Times New Roman"/>
        </w:rPr>
        <w:t xml:space="preserve">the </w:t>
      </w:r>
      <w:r w:rsidR="00076879" w:rsidRPr="00120DCD">
        <w:rPr>
          <w:rFonts w:ascii="Times New Roman" w:hAnsi="Times New Roman" w:cs="Times New Roman"/>
        </w:rPr>
        <w:t>Radio Regulations,</w:t>
      </w:r>
      <w:proofErr w:type="gramEnd"/>
      <w:r w:rsidR="00076879" w:rsidRPr="00120DCD">
        <w:rPr>
          <w:rFonts w:ascii="Times New Roman" w:hAnsi="Times New Roman" w:cs="Times New Roman"/>
        </w:rPr>
        <w:t xml:space="preserve"> published by the International Telecommunication Union (</w:t>
      </w:r>
      <w:r w:rsidR="00076879" w:rsidRPr="00414AFB">
        <w:rPr>
          <w:rFonts w:ascii="Times New Roman" w:hAnsi="Times New Roman" w:cs="Times New Roman"/>
          <w:b/>
          <w:bCs/>
        </w:rPr>
        <w:t>ITU</w:t>
      </w:r>
      <w:r w:rsidR="00076879" w:rsidRPr="00120DCD">
        <w:rPr>
          <w:rFonts w:ascii="Times New Roman" w:hAnsi="Times New Roman" w:cs="Times New Roman"/>
        </w:rPr>
        <w:t>).  The Radio Regulations contains Articles, Appendices, Resolutions and Recommendations of the ITU relating to international radiocommunications coordination. Th</w:t>
      </w:r>
      <w:r w:rsidR="00020B5F" w:rsidRPr="00120DCD">
        <w:rPr>
          <w:rFonts w:ascii="Times New Roman" w:hAnsi="Times New Roman" w:cs="Times New Roman"/>
        </w:rPr>
        <w:t>e</w:t>
      </w:r>
      <w:r w:rsidR="00076879" w:rsidRPr="00120DCD">
        <w:rPr>
          <w:rFonts w:ascii="Times New Roman" w:hAnsi="Times New Roman" w:cs="Times New Roman"/>
        </w:rPr>
        <w:t xml:space="preserve"> </w:t>
      </w:r>
      <w:r w:rsidR="001E6BC9" w:rsidRPr="00120DCD">
        <w:rPr>
          <w:rFonts w:ascii="Times New Roman" w:hAnsi="Times New Roman" w:cs="Times New Roman"/>
        </w:rPr>
        <w:t xml:space="preserve">Radio Regulations </w:t>
      </w:r>
      <w:r w:rsidR="00020B5F" w:rsidRPr="00120DCD">
        <w:rPr>
          <w:rFonts w:ascii="Times New Roman" w:hAnsi="Times New Roman" w:cs="Times New Roman"/>
        </w:rPr>
        <w:t>are</w:t>
      </w:r>
      <w:r w:rsidR="004B5AB4" w:rsidRPr="00120DCD">
        <w:rPr>
          <w:rFonts w:ascii="Times New Roman" w:hAnsi="Times New Roman" w:cs="Times New Roman"/>
        </w:rPr>
        <w:t xml:space="preserve"> available</w:t>
      </w:r>
      <w:r w:rsidR="001E6BC9" w:rsidRPr="00120DCD">
        <w:rPr>
          <w:rFonts w:ascii="Times New Roman" w:hAnsi="Times New Roman" w:cs="Times New Roman"/>
        </w:rPr>
        <w:t xml:space="preserve">, free of charge, from the ITU’s website: </w:t>
      </w:r>
      <w:hyperlink r:id="rId13" w:history="1">
        <w:r w:rsidR="00076879" w:rsidRPr="00120DCD">
          <w:rPr>
            <w:rStyle w:val="Hyperlink"/>
            <w:rFonts w:ascii="Times New Roman" w:hAnsi="Times New Roman" w:cs="Times New Roman"/>
          </w:rPr>
          <w:t>www.itu.int</w:t>
        </w:r>
      </w:hyperlink>
      <w:r w:rsidR="00A17EAA" w:rsidRPr="00120DCD">
        <w:rPr>
          <w:rFonts w:ascii="Times New Roman" w:hAnsi="Times New Roman" w:cs="Times New Roman"/>
        </w:rPr>
        <w:t>; and</w:t>
      </w:r>
    </w:p>
    <w:p w14:paraId="2005338F" w14:textId="1C77D011" w:rsidR="00610643" w:rsidRDefault="00A17EAA" w:rsidP="00076879">
      <w:pPr>
        <w:pStyle w:val="ListParagraph"/>
        <w:numPr>
          <w:ilvl w:val="0"/>
          <w:numId w:val="13"/>
        </w:numPr>
        <w:rPr>
          <w:rFonts w:ascii="Times New Roman" w:hAnsi="Times New Roman" w:cs="Times New Roman"/>
        </w:rPr>
      </w:pPr>
      <w:r>
        <w:rPr>
          <w:rFonts w:ascii="Times New Roman" w:hAnsi="Times New Roman" w:cs="Times New Roman"/>
        </w:rPr>
        <w:t>t</w:t>
      </w:r>
      <w:r w:rsidR="00610643">
        <w:rPr>
          <w:rFonts w:ascii="Times New Roman" w:hAnsi="Times New Roman" w:cs="Times New Roman"/>
        </w:rPr>
        <w:t xml:space="preserve">hree recommendations published by the </w:t>
      </w:r>
      <w:r w:rsidR="00DB2501">
        <w:rPr>
          <w:rFonts w:ascii="Times New Roman" w:hAnsi="Times New Roman" w:cs="Times New Roman"/>
        </w:rPr>
        <w:t xml:space="preserve">ITU through its </w:t>
      </w:r>
      <w:r w:rsidR="00610643">
        <w:rPr>
          <w:rFonts w:ascii="Times New Roman" w:hAnsi="Times New Roman" w:cs="Times New Roman"/>
        </w:rPr>
        <w:t>R</w:t>
      </w:r>
      <w:r w:rsidR="00175FDD">
        <w:rPr>
          <w:rFonts w:ascii="Times New Roman" w:hAnsi="Times New Roman" w:cs="Times New Roman"/>
        </w:rPr>
        <w:t>adio</w:t>
      </w:r>
      <w:r w:rsidR="00610643">
        <w:rPr>
          <w:rFonts w:ascii="Times New Roman" w:hAnsi="Times New Roman" w:cs="Times New Roman"/>
        </w:rPr>
        <w:t xml:space="preserve">communications </w:t>
      </w:r>
      <w:r w:rsidR="00B86E46">
        <w:rPr>
          <w:rFonts w:ascii="Times New Roman" w:hAnsi="Times New Roman" w:cs="Times New Roman"/>
        </w:rPr>
        <w:t>S</w:t>
      </w:r>
      <w:r w:rsidR="00610643">
        <w:rPr>
          <w:rFonts w:ascii="Times New Roman" w:hAnsi="Times New Roman" w:cs="Times New Roman"/>
        </w:rPr>
        <w:t>ec</w:t>
      </w:r>
      <w:r w:rsidR="00175FDD">
        <w:rPr>
          <w:rFonts w:ascii="Times New Roman" w:hAnsi="Times New Roman" w:cs="Times New Roman"/>
        </w:rPr>
        <w:t>tor</w:t>
      </w:r>
      <w:r w:rsidR="004B5AB4">
        <w:rPr>
          <w:rFonts w:ascii="Times New Roman" w:hAnsi="Times New Roman" w:cs="Times New Roman"/>
        </w:rPr>
        <w:t>,</w:t>
      </w:r>
      <w:r w:rsidR="00610643">
        <w:rPr>
          <w:rFonts w:ascii="Times New Roman" w:hAnsi="Times New Roman" w:cs="Times New Roman"/>
        </w:rPr>
        <w:t xml:space="preserve"> which </w:t>
      </w:r>
      <w:r w:rsidR="004B5AB4">
        <w:rPr>
          <w:rFonts w:ascii="Times New Roman" w:hAnsi="Times New Roman" w:cs="Times New Roman"/>
        </w:rPr>
        <w:t xml:space="preserve">are available, free of charge, from the ITU’s website: </w:t>
      </w:r>
      <w:hyperlink r:id="rId14" w:history="1">
        <w:r w:rsidR="004B5AB4" w:rsidRPr="00076879">
          <w:rPr>
            <w:rStyle w:val="Hyperlink"/>
            <w:rFonts w:ascii="Times New Roman" w:hAnsi="Times New Roman" w:cs="Times New Roman"/>
          </w:rPr>
          <w:t>www.itu.int</w:t>
        </w:r>
      </w:hyperlink>
      <w:r w:rsidR="00610643">
        <w:rPr>
          <w:rFonts w:ascii="Times New Roman" w:hAnsi="Times New Roman" w:cs="Times New Roman"/>
        </w:rPr>
        <w:t>:</w:t>
      </w:r>
    </w:p>
    <w:p w14:paraId="16407824" w14:textId="11795C06" w:rsidR="00610643" w:rsidRDefault="00610643" w:rsidP="00610643">
      <w:pPr>
        <w:pStyle w:val="ListParagraph"/>
        <w:numPr>
          <w:ilvl w:val="1"/>
          <w:numId w:val="13"/>
        </w:numPr>
        <w:rPr>
          <w:rFonts w:ascii="Times New Roman" w:hAnsi="Times New Roman" w:cs="Times New Roman"/>
        </w:rPr>
      </w:pPr>
      <w:r>
        <w:rPr>
          <w:rFonts w:ascii="Times New Roman" w:hAnsi="Times New Roman" w:cs="Times New Roman"/>
        </w:rPr>
        <w:t>Recommendation ITU-R P.525-4</w:t>
      </w:r>
      <w:r w:rsidR="00DB2501">
        <w:rPr>
          <w:rFonts w:ascii="Times New Roman" w:hAnsi="Times New Roman" w:cs="Times New Roman"/>
        </w:rPr>
        <w:t xml:space="preserve"> </w:t>
      </w:r>
      <w:r w:rsidR="008A432F">
        <w:rPr>
          <w:rFonts w:ascii="Times New Roman" w:hAnsi="Times New Roman" w:cs="Times New Roman"/>
        </w:rPr>
        <w:t xml:space="preserve">Calculation of free-space </w:t>
      </w:r>
      <w:proofErr w:type="gramStart"/>
      <w:r w:rsidR="008A432F">
        <w:rPr>
          <w:rFonts w:ascii="Times New Roman" w:hAnsi="Times New Roman" w:cs="Times New Roman"/>
        </w:rPr>
        <w:t>attenuation</w:t>
      </w:r>
      <w:r w:rsidR="00A17EAA">
        <w:rPr>
          <w:rFonts w:ascii="Times New Roman" w:hAnsi="Times New Roman" w:cs="Times New Roman"/>
        </w:rPr>
        <w:t>;</w:t>
      </w:r>
      <w:proofErr w:type="gramEnd"/>
    </w:p>
    <w:p w14:paraId="376FAA79" w14:textId="576351E5" w:rsidR="00610643" w:rsidRDefault="00610643" w:rsidP="00610643">
      <w:pPr>
        <w:pStyle w:val="ListParagraph"/>
        <w:numPr>
          <w:ilvl w:val="1"/>
          <w:numId w:val="13"/>
        </w:numPr>
        <w:rPr>
          <w:rFonts w:ascii="Times New Roman" w:hAnsi="Times New Roman" w:cs="Times New Roman"/>
        </w:rPr>
      </w:pPr>
      <w:r>
        <w:rPr>
          <w:rFonts w:ascii="Times New Roman" w:hAnsi="Times New Roman" w:cs="Times New Roman"/>
        </w:rPr>
        <w:t>Recommendation ITU-R P</w:t>
      </w:r>
      <w:r w:rsidR="00A17EAA">
        <w:rPr>
          <w:rFonts w:ascii="Times New Roman" w:hAnsi="Times New Roman" w:cs="Times New Roman"/>
        </w:rPr>
        <w:t>.</w:t>
      </w:r>
      <w:r>
        <w:rPr>
          <w:rFonts w:ascii="Times New Roman" w:hAnsi="Times New Roman" w:cs="Times New Roman"/>
        </w:rPr>
        <w:t>526-15</w:t>
      </w:r>
      <w:r w:rsidR="008A432F">
        <w:rPr>
          <w:rFonts w:ascii="Times New Roman" w:hAnsi="Times New Roman" w:cs="Times New Roman"/>
        </w:rPr>
        <w:t xml:space="preserve"> Propagation by </w:t>
      </w:r>
      <w:proofErr w:type="gramStart"/>
      <w:r w:rsidR="008A432F">
        <w:rPr>
          <w:rFonts w:ascii="Times New Roman" w:hAnsi="Times New Roman" w:cs="Times New Roman"/>
        </w:rPr>
        <w:t>diffraction</w:t>
      </w:r>
      <w:r w:rsidR="00A17EAA">
        <w:rPr>
          <w:rFonts w:ascii="Times New Roman" w:hAnsi="Times New Roman" w:cs="Times New Roman"/>
        </w:rPr>
        <w:t>;</w:t>
      </w:r>
      <w:proofErr w:type="gramEnd"/>
    </w:p>
    <w:p w14:paraId="071DA5F1" w14:textId="5CD2A29B" w:rsidR="00610643" w:rsidRPr="00076879" w:rsidRDefault="00610643" w:rsidP="00610643">
      <w:pPr>
        <w:pStyle w:val="ListParagraph"/>
        <w:numPr>
          <w:ilvl w:val="1"/>
          <w:numId w:val="13"/>
        </w:numPr>
        <w:rPr>
          <w:rFonts w:ascii="Times New Roman" w:hAnsi="Times New Roman" w:cs="Times New Roman"/>
        </w:rPr>
      </w:pPr>
      <w:r>
        <w:rPr>
          <w:rFonts w:ascii="Times New Roman" w:hAnsi="Times New Roman" w:cs="Times New Roman"/>
        </w:rPr>
        <w:t>Recommendation ITU-R P.2108-0</w:t>
      </w:r>
      <w:r w:rsidR="008A432F">
        <w:rPr>
          <w:rFonts w:ascii="Times New Roman" w:hAnsi="Times New Roman" w:cs="Times New Roman"/>
        </w:rPr>
        <w:t xml:space="preserve"> Prediction of clutter loss</w:t>
      </w:r>
      <w:r>
        <w:rPr>
          <w:rFonts w:ascii="Times New Roman" w:hAnsi="Times New Roman" w:cs="Times New Roman"/>
        </w:rPr>
        <w:t>.</w:t>
      </w:r>
    </w:p>
    <w:p w14:paraId="75EFFFE3" w14:textId="25AB51EB" w:rsidR="00531A32" w:rsidRPr="00ED3ED8" w:rsidRDefault="00531A32" w:rsidP="00ED3ED8">
      <w:pPr>
        <w:rPr>
          <w:rFonts w:ascii="Times New Roman" w:hAnsi="Times New Roman" w:cs="Times New Roman"/>
        </w:rPr>
      </w:pPr>
      <w:r>
        <w:rPr>
          <w:rFonts w:ascii="Times New Roman" w:hAnsi="Times New Roman" w:cs="Times New Roman"/>
        </w:rPr>
        <w:t xml:space="preserve">The instrument also incorporates </w:t>
      </w:r>
      <w:r w:rsidRPr="00ED3ED8">
        <w:rPr>
          <w:rFonts w:ascii="Times New Roman" w:hAnsi="Times New Roman" w:cs="Times New Roman"/>
        </w:rPr>
        <w:t xml:space="preserve">the designation of the Geocentric Datum of Australia in Commonwealth of Australia </w:t>
      </w:r>
      <w:r w:rsidRPr="00ED3ED8">
        <w:rPr>
          <w:rFonts w:ascii="Times New Roman" w:hAnsi="Times New Roman" w:cs="Times New Roman"/>
          <w:i/>
          <w:iCs/>
        </w:rPr>
        <w:t>Gazette</w:t>
      </w:r>
      <w:r w:rsidRPr="00ED3ED8">
        <w:rPr>
          <w:rFonts w:ascii="Times New Roman" w:hAnsi="Times New Roman" w:cs="Times New Roman"/>
        </w:rPr>
        <w:t xml:space="preserve"> GN 35, dated 6 September 1995</w:t>
      </w:r>
      <w:r w:rsidR="000E2051">
        <w:rPr>
          <w:rFonts w:ascii="Times New Roman" w:hAnsi="Times New Roman" w:cs="Times New Roman"/>
        </w:rPr>
        <w:t xml:space="preserve"> (</w:t>
      </w:r>
      <w:r w:rsidR="000E2051">
        <w:rPr>
          <w:rFonts w:ascii="Times New Roman" w:hAnsi="Times New Roman" w:cs="Times New Roman"/>
          <w:b/>
          <w:bCs/>
        </w:rPr>
        <w:t>GDA94</w:t>
      </w:r>
      <w:r w:rsidR="000E2051">
        <w:rPr>
          <w:rFonts w:ascii="Times New Roman" w:hAnsi="Times New Roman" w:cs="Times New Roman"/>
        </w:rPr>
        <w:t>)</w:t>
      </w:r>
      <w:r>
        <w:rPr>
          <w:rFonts w:ascii="Times New Roman" w:hAnsi="Times New Roman" w:cs="Times New Roman"/>
        </w:rPr>
        <w:t>,</w:t>
      </w:r>
      <w:r w:rsidRPr="00ED3ED8">
        <w:rPr>
          <w:rFonts w:ascii="Times New Roman" w:hAnsi="Times New Roman" w:cs="Times New Roman"/>
        </w:rPr>
        <w:t xml:space="preserve"> as in exist</w:t>
      </w:r>
      <w:r>
        <w:rPr>
          <w:rFonts w:ascii="Times New Roman" w:hAnsi="Times New Roman" w:cs="Times New Roman"/>
        </w:rPr>
        <w:t xml:space="preserve">ence on that date. </w:t>
      </w:r>
      <w:r w:rsidR="00D02BC5">
        <w:rPr>
          <w:rFonts w:ascii="Times New Roman" w:hAnsi="Times New Roman" w:cs="Times New Roman"/>
        </w:rPr>
        <w:t xml:space="preserve">Gazette GN 35 is available, free of charge, from the Federal Register of Legislation: </w:t>
      </w:r>
      <w:hyperlink r:id="rId15" w:history="1">
        <w:r w:rsidR="00D02BC5" w:rsidRPr="00317892">
          <w:rPr>
            <w:rStyle w:val="Hyperlink"/>
            <w:rFonts w:ascii="Times New Roman" w:hAnsi="Times New Roman" w:cs="Times New Roman"/>
          </w:rPr>
          <w:t>www.legislation.gov.au</w:t>
        </w:r>
      </w:hyperlink>
      <w:r w:rsidR="00D02BC5">
        <w:rPr>
          <w:rFonts w:ascii="Times New Roman" w:hAnsi="Times New Roman" w:cs="Times New Roman"/>
        </w:rPr>
        <w:t xml:space="preserve">. </w:t>
      </w:r>
    </w:p>
    <w:p w14:paraId="2EFDFDBF" w14:textId="77777777" w:rsidR="004C58B9" w:rsidRDefault="004C58B9" w:rsidP="004C58B9">
      <w:pPr>
        <w:rPr>
          <w:rFonts w:ascii="Times New Roman" w:hAnsi="Times New Roman" w:cs="Times New Roman"/>
          <w:b/>
        </w:rPr>
      </w:pPr>
      <w:r>
        <w:rPr>
          <w:rFonts w:ascii="Times New Roman" w:hAnsi="Times New Roman" w:cs="Times New Roman"/>
          <w:b/>
        </w:rPr>
        <w:t>Consultation</w:t>
      </w:r>
    </w:p>
    <w:p w14:paraId="06B18BAD" w14:textId="79E2D827" w:rsidR="00AA39D4" w:rsidRDefault="00AA39D4" w:rsidP="00AA39D4">
      <w:pPr>
        <w:rPr>
          <w:rFonts w:ascii="Times New Roman" w:hAnsi="Times New Roman" w:cs="Times New Roman"/>
        </w:rPr>
      </w:pPr>
      <w:r>
        <w:rPr>
          <w:rFonts w:ascii="Times New Roman" w:hAnsi="Times New Roman" w:cs="Times New Roman"/>
        </w:rPr>
        <w:t xml:space="preserve">Before the instrument was made, the ACMA was satisfied that consultation was undertaken to the extent appropriate and reasonably practicable, in accordance with section 17 of the LA.  </w:t>
      </w:r>
    </w:p>
    <w:p w14:paraId="3C22334E" w14:textId="42B98770" w:rsidR="00A72849" w:rsidRPr="00A72849" w:rsidRDefault="00A72849" w:rsidP="00A72849">
      <w:pPr>
        <w:rPr>
          <w:rFonts w:ascii="Times New Roman" w:hAnsi="Times New Roman" w:cs="Times New Roman"/>
        </w:rPr>
      </w:pPr>
      <w:bookmarkStart w:id="0" w:name="_Hlk50103483"/>
      <w:r w:rsidRPr="00A72849">
        <w:rPr>
          <w:rFonts w:ascii="Times New Roman" w:hAnsi="Times New Roman" w:cs="Times New Roman"/>
        </w:rPr>
        <w:t xml:space="preserve">In </w:t>
      </w:r>
      <w:r>
        <w:rPr>
          <w:rFonts w:ascii="Times New Roman" w:hAnsi="Times New Roman" w:cs="Times New Roman"/>
        </w:rPr>
        <w:t>November</w:t>
      </w:r>
      <w:r w:rsidRPr="00A72849">
        <w:rPr>
          <w:rFonts w:ascii="Times New Roman" w:hAnsi="Times New Roman" w:cs="Times New Roman"/>
        </w:rPr>
        <w:t xml:space="preserve"> 201</w:t>
      </w:r>
      <w:r>
        <w:rPr>
          <w:rFonts w:ascii="Times New Roman" w:hAnsi="Times New Roman" w:cs="Times New Roman"/>
        </w:rPr>
        <w:t>9</w:t>
      </w:r>
      <w:r w:rsidRPr="00A72849">
        <w:rPr>
          <w:rFonts w:ascii="Times New Roman" w:hAnsi="Times New Roman" w:cs="Times New Roman"/>
        </w:rPr>
        <w:t>, the ACMA set up a short-term industry technical liaison group (</w:t>
      </w:r>
      <w:r w:rsidRPr="005638AF">
        <w:rPr>
          <w:rFonts w:ascii="Times New Roman" w:hAnsi="Times New Roman" w:cs="Times New Roman"/>
          <w:b/>
          <w:bCs/>
        </w:rPr>
        <w:t>TLG</w:t>
      </w:r>
      <w:r w:rsidRPr="00A72849">
        <w:rPr>
          <w:rFonts w:ascii="Times New Roman" w:hAnsi="Times New Roman" w:cs="Times New Roman"/>
        </w:rPr>
        <w:t xml:space="preserve">) to support the development of a technical framework to support the introduction of </w:t>
      </w:r>
      <w:r>
        <w:rPr>
          <w:rFonts w:ascii="Times New Roman" w:hAnsi="Times New Roman" w:cs="Times New Roman"/>
        </w:rPr>
        <w:t>5</w:t>
      </w:r>
      <w:r w:rsidRPr="00A72849">
        <w:rPr>
          <w:rFonts w:ascii="Times New Roman" w:hAnsi="Times New Roman" w:cs="Times New Roman"/>
          <w:vertAlign w:val="superscript"/>
        </w:rPr>
        <w:t>th</w:t>
      </w:r>
      <w:r>
        <w:rPr>
          <w:rFonts w:ascii="Times New Roman" w:hAnsi="Times New Roman" w:cs="Times New Roman"/>
        </w:rPr>
        <w:t xml:space="preserve"> </w:t>
      </w:r>
      <w:r w:rsidRPr="00A72849">
        <w:rPr>
          <w:rFonts w:ascii="Times New Roman" w:hAnsi="Times New Roman" w:cs="Times New Roman"/>
        </w:rPr>
        <w:t xml:space="preserve">generation </w:t>
      </w:r>
      <w:r>
        <w:rPr>
          <w:rFonts w:ascii="Times New Roman" w:hAnsi="Times New Roman" w:cs="Times New Roman"/>
        </w:rPr>
        <w:t xml:space="preserve">wireless </w:t>
      </w:r>
      <w:r w:rsidRPr="00A72849">
        <w:rPr>
          <w:rFonts w:ascii="Times New Roman" w:hAnsi="Times New Roman" w:cs="Times New Roman"/>
        </w:rPr>
        <w:t xml:space="preserve">broadband </w:t>
      </w:r>
      <w:r>
        <w:rPr>
          <w:rFonts w:ascii="Times New Roman" w:hAnsi="Times New Roman" w:cs="Times New Roman"/>
        </w:rPr>
        <w:t>services in</w:t>
      </w:r>
      <w:r w:rsidRPr="00A72849">
        <w:rPr>
          <w:rFonts w:ascii="Times New Roman" w:hAnsi="Times New Roman" w:cs="Times New Roman"/>
        </w:rPr>
        <w:t xml:space="preserve"> the </w:t>
      </w:r>
      <w:r>
        <w:rPr>
          <w:rFonts w:ascii="Times New Roman" w:hAnsi="Times New Roman" w:cs="Times New Roman"/>
        </w:rPr>
        <w:t>26 GHz band</w:t>
      </w:r>
      <w:r w:rsidRPr="00A72849">
        <w:rPr>
          <w:rFonts w:ascii="Times New Roman" w:hAnsi="Times New Roman" w:cs="Times New Roman"/>
        </w:rPr>
        <w:t>.</w:t>
      </w:r>
    </w:p>
    <w:p w14:paraId="1BC3F3F8" w14:textId="54FAB713" w:rsidR="00A72849" w:rsidRPr="00A72849" w:rsidRDefault="00A72849" w:rsidP="00A72849">
      <w:pPr>
        <w:rPr>
          <w:rFonts w:ascii="Times New Roman" w:hAnsi="Times New Roman" w:cs="Times New Roman"/>
        </w:rPr>
      </w:pPr>
      <w:r w:rsidRPr="00A72849">
        <w:rPr>
          <w:rFonts w:ascii="Times New Roman" w:hAnsi="Times New Roman" w:cs="Times New Roman"/>
        </w:rPr>
        <w:t>The TLG was asked to consider and provide advice to the ACMA on technical aspects required for the development of the spectrum licence technical framework</w:t>
      </w:r>
      <w:r>
        <w:rPr>
          <w:rFonts w:ascii="Times New Roman" w:hAnsi="Times New Roman" w:cs="Times New Roman"/>
        </w:rPr>
        <w:t xml:space="preserve"> in the 26 GHz band</w:t>
      </w:r>
      <w:r w:rsidRPr="00A72849">
        <w:rPr>
          <w:rFonts w:ascii="Times New Roman" w:hAnsi="Times New Roman" w:cs="Times New Roman"/>
        </w:rPr>
        <w:t xml:space="preserve">. </w:t>
      </w:r>
      <w:bookmarkEnd w:id="0"/>
      <w:r w:rsidRPr="00A72849">
        <w:rPr>
          <w:rFonts w:ascii="Times New Roman" w:hAnsi="Times New Roman" w:cs="Times New Roman"/>
        </w:rPr>
        <w:t>These included:</w:t>
      </w:r>
    </w:p>
    <w:p w14:paraId="2A00A7AD" w14:textId="314E4113" w:rsidR="00A72849" w:rsidRPr="00A72849" w:rsidRDefault="00A72849" w:rsidP="00A72849">
      <w:pPr>
        <w:pStyle w:val="ListParagraph"/>
        <w:numPr>
          <w:ilvl w:val="0"/>
          <w:numId w:val="13"/>
        </w:numPr>
        <w:rPr>
          <w:rFonts w:ascii="Times New Roman" w:hAnsi="Times New Roman" w:cs="Times New Roman"/>
        </w:rPr>
      </w:pPr>
      <w:r w:rsidRPr="00A72849">
        <w:rPr>
          <w:rFonts w:ascii="Times New Roman" w:hAnsi="Times New Roman" w:cs="Times New Roman"/>
        </w:rPr>
        <w:t xml:space="preserve">the development of the core conditions of the spectrum licensed band in accordance with section 66 of the </w:t>
      </w:r>
      <w:proofErr w:type="gramStart"/>
      <w:r w:rsidRPr="00A72849">
        <w:rPr>
          <w:rFonts w:ascii="Times New Roman" w:hAnsi="Times New Roman" w:cs="Times New Roman"/>
        </w:rPr>
        <w:t>Act;</w:t>
      </w:r>
      <w:proofErr w:type="gramEnd"/>
    </w:p>
    <w:p w14:paraId="762D5343" w14:textId="2EC873F3" w:rsidR="00A72849" w:rsidRPr="00A72849" w:rsidRDefault="00A72849" w:rsidP="00A72849">
      <w:pPr>
        <w:pStyle w:val="ListParagraph"/>
        <w:numPr>
          <w:ilvl w:val="0"/>
          <w:numId w:val="13"/>
        </w:numPr>
        <w:rPr>
          <w:rFonts w:ascii="Times New Roman" w:hAnsi="Times New Roman" w:cs="Times New Roman"/>
        </w:rPr>
      </w:pPr>
      <w:r w:rsidRPr="00A72849">
        <w:rPr>
          <w:rFonts w:ascii="Times New Roman" w:hAnsi="Times New Roman" w:cs="Times New Roman"/>
        </w:rPr>
        <w:t xml:space="preserve">the development of the </w:t>
      </w:r>
      <w:proofErr w:type="gramStart"/>
      <w:r>
        <w:rPr>
          <w:rFonts w:ascii="Times New Roman" w:hAnsi="Times New Roman" w:cs="Times New Roman"/>
        </w:rPr>
        <w:t>instrument</w:t>
      </w:r>
      <w:r w:rsidRPr="00A72849">
        <w:rPr>
          <w:rFonts w:ascii="Times New Roman" w:hAnsi="Times New Roman" w:cs="Times New Roman"/>
        </w:rPr>
        <w:t>;</w:t>
      </w:r>
      <w:proofErr w:type="gramEnd"/>
    </w:p>
    <w:p w14:paraId="43E0331E" w14:textId="52B05240" w:rsidR="00A72849" w:rsidRPr="00A72849" w:rsidRDefault="00A72849" w:rsidP="00A72849">
      <w:pPr>
        <w:pStyle w:val="ListParagraph"/>
        <w:numPr>
          <w:ilvl w:val="0"/>
          <w:numId w:val="13"/>
        </w:numPr>
        <w:rPr>
          <w:rFonts w:ascii="Times New Roman" w:hAnsi="Times New Roman" w:cs="Times New Roman"/>
        </w:rPr>
      </w:pPr>
      <w:r w:rsidRPr="00A72849">
        <w:rPr>
          <w:rFonts w:ascii="Times New Roman" w:hAnsi="Times New Roman" w:cs="Times New Roman"/>
        </w:rPr>
        <w:t xml:space="preserve">the development of any associated advisory guidelines </w:t>
      </w:r>
      <w:r w:rsidR="009462BF">
        <w:rPr>
          <w:rFonts w:ascii="Times New Roman" w:hAnsi="Times New Roman" w:cs="Times New Roman"/>
        </w:rPr>
        <w:t xml:space="preserve">to be </w:t>
      </w:r>
      <w:r w:rsidRPr="00A72849">
        <w:rPr>
          <w:rFonts w:ascii="Times New Roman" w:hAnsi="Times New Roman" w:cs="Times New Roman"/>
        </w:rPr>
        <w:t xml:space="preserve">made under section 262 of the </w:t>
      </w:r>
      <w:proofErr w:type="gramStart"/>
      <w:r w:rsidRPr="00A72849">
        <w:rPr>
          <w:rFonts w:ascii="Times New Roman" w:hAnsi="Times New Roman" w:cs="Times New Roman"/>
        </w:rPr>
        <w:t>Act;</w:t>
      </w:r>
      <w:proofErr w:type="gramEnd"/>
    </w:p>
    <w:p w14:paraId="0B15D075" w14:textId="15441E8A" w:rsidR="00A72849" w:rsidRPr="00A72849" w:rsidRDefault="00A72849" w:rsidP="00A72849">
      <w:pPr>
        <w:pStyle w:val="ListParagraph"/>
        <w:numPr>
          <w:ilvl w:val="0"/>
          <w:numId w:val="13"/>
        </w:numPr>
        <w:rPr>
          <w:rFonts w:ascii="Times New Roman" w:hAnsi="Times New Roman" w:cs="Times New Roman"/>
        </w:rPr>
      </w:pPr>
      <w:r w:rsidRPr="00A72849">
        <w:rPr>
          <w:rFonts w:ascii="Times New Roman" w:hAnsi="Times New Roman" w:cs="Times New Roman"/>
        </w:rPr>
        <w:t xml:space="preserve">the development of </w:t>
      </w:r>
      <w:r w:rsidR="000E59E0">
        <w:rPr>
          <w:rFonts w:ascii="Times New Roman" w:hAnsi="Times New Roman" w:cs="Times New Roman"/>
        </w:rPr>
        <w:t>a</w:t>
      </w:r>
      <w:r w:rsidRPr="00A72849">
        <w:rPr>
          <w:rFonts w:ascii="Times New Roman" w:hAnsi="Times New Roman" w:cs="Times New Roman"/>
        </w:rPr>
        <w:t xml:space="preserve"> draft spectrum licence; and</w:t>
      </w:r>
    </w:p>
    <w:p w14:paraId="5EEAC1B7" w14:textId="026F425D" w:rsidR="00A72849" w:rsidRPr="00A72849" w:rsidRDefault="00A72849" w:rsidP="00A72849">
      <w:pPr>
        <w:pStyle w:val="ListParagraph"/>
        <w:numPr>
          <w:ilvl w:val="0"/>
          <w:numId w:val="13"/>
        </w:numPr>
        <w:rPr>
          <w:rFonts w:ascii="Times New Roman" w:hAnsi="Times New Roman" w:cs="Times New Roman"/>
        </w:rPr>
      </w:pPr>
      <w:r w:rsidRPr="00A72849">
        <w:rPr>
          <w:rFonts w:ascii="Times New Roman" w:hAnsi="Times New Roman" w:cs="Times New Roman"/>
        </w:rPr>
        <w:t xml:space="preserve">the development of </w:t>
      </w:r>
      <w:r w:rsidR="000E59E0">
        <w:rPr>
          <w:rFonts w:ascii="Times New Roman" w:hAnsi="Times New Roman" w:cs="Times New Roman"/>
        </w:rPr>
        <w:t>a</w:t>
      </w:r>
      <w:r w:rsidR="000E59E0" w:rsidRPr="00A72849">
        <w:rPr>
          <w:rFonts w:ascii="Times New Roman" w:hAnsi="Times New Roman" w:cs="Times New Roman"/>
        </w:rPr>
        <w:t xml:space="preserve"> </w:t>
      </w:r>
      <w:r w:rsidRPr="00A72849">
        <w:rPr>
          <w:rFonts w:ascii="Times New Roman" w:hAnsi="Times New Roman" w:cs="Times New Roman"/>
        </w:rPr>
        <w:t xml:space="preserve">minimum contiguous bandwidth for spectrum licences in the </w:t>
      </w:r>
      <w:r w:rsidR="000E59E0" w:rsidRPr="00A72849">
        <w:rPr>
          <w:rFonts w:ascii="Times New Roman" w:hAnsi="Times New Roman" w:cs="Times New Roman"/>
        </w:rPr>
        <w:t>2</w:t>
      </w:r>
      <w:r w:rsidR="000E59E0">
        <w:rPr>
          <w:rFonts w:ascii="Times New Roman" w:hAnsi="Times New Roman" w:cs="Times New Roman"/>
        </w:rPr>
        <w:t>6 </w:t>
      </w:r>
      <w:r w:rsidRPr="00A72849">
        <w:rPr>
          <w:rFonts w:ascii="Times New Roman" w:hAnsi="Times New Roman" w:cs="Times New Roman"/>
        </w:rPr>
        <w:t xml:space="preserve">GHz band. </w:t>
      </w:r>
    </w:p>
    <w:p w14:paraId="485D58ED" w14:textId="46EFCF99" w:rsidR="00A72849" w:rsidRPr="00A72849" w:rsidRDefault="00A72849" w:rsidP="00A72849">
      <w:pPr>
        <w:rPr>
          <w:rFonts w:ascii="Times New Roman" w:hAnsi="Times New Roman" w:cs="Times New Roman"/>
        </w:rPr>
      </w:pPr>
      <w:bookmarkStart w:id="1" w:name="_Hlk50103581"/>
      <w:r w:rsidRPr="00A72849">
        <w:rPr>
          <w:rFonts w:ascii="Times New Roman" w:hAnsi="Times New Roman" w:cs="Times New Roman"/>
        </w:rPr>
        <w:lastRenderedPageBreak/>
        <w:t>The ACMA developed papers which outlined its proposed approach to the spectrum licensing framework for the 2</w:t>
      </w:r>
      <w:r>
        <w:rPr>
          <w:rFonts w:ascii="Times New Roman" w:hAnsi="Times New Roman" w:cs="Times New Roman"/>
        </w:rPr>
        <w:t>6</w:t>
      </w:r>
      <w:r w:rsidRPr="00A72849">
        <w:rPr>
          <w:rFonts w:ascii="Times New Roman" w:hAnsi="Times New Roman" w:cs="Times New Roman"/>
        </w:rPr>
        <w:t xml:space="preserve"> GHz band. These papers were made available by the ACMA to the TLG members for comment. These papers can be found on the ACMA’s website</w:t>
      </w:r>
      <w:r>
        <w:rPr>
          <w:rFonts w:ascii="Times New Roman" w:hAnsi="Times New Roman" w:cs="Times New Roman"/>
        </w:rPr>
        <w:t>.</w:t>
      </w:r>
      <w:r w:rsidRPr="00A72849">
        <w:rPr>
          <w:rFonts w:ascii="Times New Roman" w:hAnsi="Times New Roman" w:cs="Times New Roman"/>
        </w:rPr>
        <w:t xml:space="preserve">  The ACMA had regard to the views expressed by the TLG members when preparing the </w:t>
      </w:r>
      <w:r>
        <w:rPr>
          <w:rFonts w:ascii="Times New Roman" w:hAnsi="Times New Roman" w:cs="Times New Roman"/>
        </w:rPr>
        <w:t>instrument</w:t>
      </w:r>
      <w:r w:rsidRPr="00A72849">
        <w:rPr>
          <w:rFonts w:ascii="Times New Roman" w:hAnsi="Times New Roman" w:cs="Times New Roman"/>
        </w:rPr>
        <w:t xml:space="preserve">. </w:t>
      </w:r>
    </w:p>
    <w:p w14:paraId="64480CF7" w14:textId="7645C122" w:rsidR="00AA39D4" w:rsidRDefault="00AA39D4" w:rsidP="00AA39D4">
      <w:pPr>
        <w:rPr>
          <w:rFonts w:ascii="Times New Roman" w:hAnsi="Times New Roman" w:cs="Times New Roman"/>
        </w:rPr>
      </w:pPr>
      <w:r>
        <w:rPr>
          <w:rFonts w:ascii="Times New Roman" w:hAnsi="Times New Roman" w:cs="Times New Roman"/>
        </w:rPr>
        <w:t xml:space="preserve">A draft version of the instrument was released for public consultation on 9 July 2020, together with the consultation paper </w:t>
      </w:r>
      <w:r w:rsidRPr="00E13030">
        <w:rPr>
          <w:rFonts w:ascii="Times New Roman" w:hAnsi="Times New Roman" w:cs="Times New Roman"/>
          <w:i/>
          <w:iCs/>
        </w:rPr>
        <w:t>26 GHz band spectrum licence technical framework</w:t>
      </w:r>
      <w:r>
        <w:rPr>
          <w:rFonts w:ascii="Times New Roman" w:hAnsi="Times New Roman" w:cs="Times New Roman"/>
        </w:rPr>
        <w:t xml:space="preserve">. Consultation closed on 10 August 2020. </w:t>
      </w:r>
    </w:p>
    <w:bookmarkEnd w:id="1"/>
    <w:p w14:paraId="3B264482" w14:textId="0BACAAA9" w:rsidR="00AA39D4" w:rsidRDefault="00AA39D4" w:rsidP="00AA39D4">
      <w:pPr>
        <w:rPr>
          <w:rFonts w:ascii="Times New Roman" w:hAnsi="Times New Roman" w:cs="Times New Roman"/>
        </w:rPr>
      </w:pPr>
      <w:r>
        <w:rPr>
          <w:rFonts w:ascii="Times New Roman" w:hAnsi="Times New Roman" w:cs="Times New Roman"/>
        </w:rPr>
        <w:t xml:space="preserve">The ACMA consultation sought stakeholder views on </w:t>
      </w:r>
      <w:r w:rsidR="00B92A7B">
        <w:rPr>
          <w:rFonts w:ascii="Times New Roman" w:hAnsi="Times New Roman" w:cs="Times New Roman"/>
        </w:rPr>
        <w:t>the proposed spectrum licence technical framework</w:t>
      </w:r>
      <w:r>
        <w:rPr>
          <w:rFonts w:ascii="Times New Roman" w:hAnsi="Times New Roman" w:cs="Times New Roman"/>
        </w:rPr>
        <w:t>. The ACMA received</w:t>
      </w:r>
      <w:r w:rsidR="00B125C6">
        <w:rPr>
          <w:rFonts w:ascii="Times New Roman" w:hAnsi="Times New Roman" w:cs="Times New Roman"/>
        </w:rPr>
        <w:t xml:space="preserve"> 1</w:t>
      </w:r>
      <w:r w:rsidR="00414AFB">
        <w:rPr>
          <w:rFonts w:ascii="Times New Roman" w:hAnsi="Times New Roman" w:cs="Times New Roman"/>
        </w:rPr>
        <w:t>1</w:t>
      </w:r>
      <w:r>
        <w:rPr>
          <w:rFonts w:ascii="Times New Roman" w:hAnsi="Times New Roman" w:cs="Times New Roman"/>
        </w:rPr>
        <w:t xml:space="preserve"> written submissions in response to this consultation paper</w:t>
      </w:r>
      <w:r w:rsidR="00013E51">
        <w:rPr>
          <w:rFonts w:ascii="Times New Roman" w:hAnsi="Times New Roman" w:cs="Times New Roman"/>
        </w:rPr>
        <w:t xml:space="preserve">. The only </w:t>
      </w:r>
      <w:r w:rsidR="00B125C6">
        <w:rPr>
          <w:rFonts w:ascii="Times New Roman" w:hAnsi="Times New Roman" w:cs="Times New Roman"/>
        </w:rPr>
        <w:t>comments related to the instrument</w:t>
      </w:r>
      <w:r w:rsidR="00013E51">
        <w:rPr>
          <w:rFonts w:ascii="Times New Roman" w:hAnsi="Times New Roman" w:cs="Times New Roman"/>
        </w:rPr>
        <w:t xml:space="preserve"> dealt with minor issues such as typographical errors</w:t>
      </w:r>
      <w:r>
        <w:rPr>
          <w:rFonts w:ascii="Times New Roman" w:hAnsi="Times New Roman" w:cs="Times New Roman"/>
        </w:rPr>
        <w:t>.</w:t>
      </w:r>
    </w:p>
    <w:p w14:paraId="2E01E108" w14:textId="77777777" w:rsidR="004C58B9" w:rsidRDefault="004C58B9" w:rsidP="004C58B9">
      <w:pPr>
        <w:rPr>
          <w:rFonts w:ascii="Times New Roman" w:hAnsi="Times New Roman" w:cs="Times New Roman"/>
          <w:b/>
        </w:rPr>
      </w:pPr>
      <w:r>
        <w:rPr>
          <w:rFonts w:ascii="Times New Roman" w:hAnsi="Times New Roman" w:cs="Times New Roman"/>
          <w:b/>
        </w:rPr>
        <w:t>Regulatory impact assessment</w:t>
      </w:r>
    </w:p>
    <w:p w14:paraId="65563922" w14:textId="6E65BD27" w:rsidR="007F2F5E" w:rsidRDefault="007F2F5E" w:rsidP="004C58B9">
      <w:pPr>
        <w:rPr>
          <w:rFonts w:ascii="Times New Roman" w:hAnsi="Times New Roman" w:cs="Times New Roman"/>
        </w:rPr>
      </w:pPr>
      <w:r w:rsidRPr="008B0DD6">
        <w:rPr>
          <w:rFonts w:ascii="Times New Roman" w:hAnsi="Times New Roman" w:cs="Times New Roman"/>
        </w:rPr>
        <w:t>A preliminary assessment of the proposal to make the instrument was conducted by the Office of Best Practice Regulation (</w:t>
      </w:r>
      <w:r w:rsidRPr="008B0DD6">
        <w:rPr>
          <w:rFonts w:ascii="Times New Roman" w:hAnsi="Times New Roman" w:cs="Times New Roman"/>
          <w:b/>
          <w:bCs/>
        </w:rPr>
        <w:t>OBPR</w:t>
      </w:r>
      <w:r w:rsidRPr="008B0DD6">
        <w:rPr>
          <w:rFonts w:ascii="Times New Roman" w:hAnsi="Times New Roman" w:cs="Times New Roman"/>
        </w:rPr>
        <w:t>), based on information provided by the ACMA, for the purposes of determining whether a Regulation Impact Statement (</w:t>
      </w:r>
      <w:r w:rsidRPr="008B0DD6">
        <w:rPr>
          <w:rFonts w:ascii="Times New Roman" w:hAnsi="Times New Roman" w:cs="Times New Roman"/>
          <w:b/>
          <w:bCs/>
        </w:rPr>
        <w:t>RIS</w:t>
      </w:r>
      <w:r w:rsidRPr="008B0DD6">
        <w:rPr>
          <w:rFonts w:ascii="Times New Roman" w:hAnsi="Times New Roman" w:cs="Times New Roman"/>
        </w:rPr>
        <w:t xml:space="preserve">) would be required. OBPR advised that a RIS would not be required because </w:t>
      </w:r>
      <w:r>
        <w:rPr>
          <w:rFonts w:ascii="Times New Roman" w:hAnsi="Times New Roman" w:cs="Times New Roman"/>
        </w:rPr>
        <w:t>the proposed regulatory change is minor or machinery in nature – OBPR reference number 24947.</w:t>
      </w:r>
    </w:p>
    <w:p w14:paraId="645DD02E" w14:textId="77777777" w:rsidR="004C58B9" w:rsidRDefault="004C58B9" w:rsidP="004C58B9">
      <w:pPr>
        <w:rPr>
          <w:rFonts w:ascii="Times New Roman" w:hAnsi="Times New Roman" w:cs="Times New Roman"/>
          <w:b/>
        </w:rPr>
      </w:pPr>
      <w:r>
        <w:rPr>
          <w:rFonts w:ascii="Times New Roman" w:hAnsi="Times New Roman" w:cs="Times New Roman"/>
          <w:b/>
        </w:rPr>
        <w:t>Statement of compatibility with human rights</w:t>
      </w:r>
    </w:p>
    <w:p w14:paraId="7E0868EC" w14:textId="26D267EF" w:rsidR="004C58B9" w:rsidRDefault="004C58B9" w:rsidP="004C58B9">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 </w:t>
      </w:r>
      <w:r w:rsidR="00C40644">
        <w:rPr>
          <w:rFonts w:ascii="Times New Roman" w:hAnsi="Times New Roman" w:cs="Times New Roman"/>
        </w:rPr>
        <w:t xml:space="preserve">with human rights </w:t>
      </w:r>
      <w:r>
        <w:rPr>
          <w:rFonts w:ascii="Times New Roman" w:hAnsi="Times New Roman" w:cs="Times New Roman"/>
        </w:rPr>
        <w:t xml:space="preserve">to be prepared in respect of that legislative instrument.  </w:t>
      </w:r>
    </w:p>
    <w:p w14:paraId="23AE1B60" w14:textId="77777777" w:rsidR="004C58B9" w:rsidRDefault="004C58B9" w:rsidP="004C58B9">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695CEC3E" w14:textId="4B09D9DD" w:rsidR="004C58B9" w:rsidRDefault="004C58B9" w:rsidP="004C58B9">
      <w:pPr>
        <w:rPr>
          <w:rFonts w:ascii="Times New Roman" w:hAnsi="Times New Roman" w:cs="Times New Roman"/>
          <w:b/>
          <w:i/>
        </w:rPr>
      </w:pPr>
      <w:r>
        <w:rPr>
          <w:rFonts w:ascii="Times New Roman" w:hAnsi="Times New Roman" w:cs="Times New Roman"/>
          <w:b/>
          <w:i/>
        </w:rPr>
        <w:t>Overview of the instrument</w:t>
      </w:r>
    </w:p>
    <w:p w14:paraId="0EBFA9DB" w14:textId="77777777" w:rsidR="009F3B3B" w:rsidRDefault="009F3B3B" w:rsidP="009F3B3B">
      <w:pPr>
        <w:rPr>
          <w:rFonts w:ascii="Times New Roman" w:hAnsi="Times New Roman" w:cs="Times New Roman"/>
        </w:rPr>
      </w:pPr>
      <w:r w:rsidRPr="00CE1507">
        <w:rPr>
          <w:rFonts w:ascii="Times New Roman" w:hAnsi="Times New Roman" w:cs="Times New Roman"/>
        </w:rPr>
        <w:t>Section 69 of the Act requires each spectrum licence to include a condition which specifies that a radiocommunications transmitter must not be operated under the licence unless the requirements of the ACMA under Part 3.5 of the Act for registration of transmitters have been met.</w:t>
      </w:r>
      <w:r>
        <w:rPr>
          <w:rFonts w:ascii="Times New Roman" w:hAnsi="Times New Roman" w:cs="Times New Roman"/>
        </w:rPr>
        <w:t xml:space="preserve"> </w:t>
      </w:r>
    </w:p>
    <w:p w14:paraId="53F7D0A5" w14:textId="2F795DAC" w:rsidR="009F3B3B" w:rsidRPr="009F3B3B" w:rsidRDefault="009F3B3B" w:rsidP="004C58B9">
      <w:pPr>
        <w:rPr>
          <w:rFonts w:ascii="Times New Roman" w:hAnsi="Times New Roman" w:cs="Times New Roman"/>
          <w:bCs/>
          <w:iCs/>
        </w:rPr>
      </w:pPr>
      <w:r>
        <w:rPr>
          <w:rFonts w:ascii="Times New Roman" w:hAnsi="Times New Roman" w:cs="Times New Roman"/>
        </w:rPr>
        <w:t>Under subsection</w:t>
      </w:r>
      <w:r w:rsidR="00E7169D">
        <w:rPr>
          <w:rFonts w:ascii="Times New Roman" w:hAnsi="Times New Roman" w:cs="Times New Roman"/>
        </w:rPr>
        <w:t xml:space="preserve"> </w:t>
      </w:r>
      <w:r>
        <w:rPr>
          <w:rFonts w:ascii="Times New Roman" w:hAnsi="Times New Roman" w:cs="Times New Roman"/>
        </w:rPr>
        <w:t xml:space="preserve">145(1) of the Act, the ACMA may, if it is satisfied that the operation of a radiocommunications transmitter could cause an unacceptable level of interference to other radiocommunications devices, refuse to register the transmitter. The instrument sets out what is meant by an ‘unacceptable level of interference’ in relation to a radiocommunications transmitter operated under a spectrum licence issued in the 26 GHz band. </w:t>
      </w:r>
      <w:r w:rsidR="00DA57FE">
        <w:rPr>
          <w:rFonts w:ascii="Times New Roman" w:hAnsi="Times New Roman" w:cs="Times New Roman"/>
        </w:rPr>
        <w:t xml:space="preserve">The requirements provided in the instrument only apply </w:t>
      </w:r>
      <w:r w:rsidR="00E7169D">
        <w:rPr>
          <w:rFonts w:ascii="Times New Roman" w:hAnsi="Times New Roman" w:cs="Times New Roman"/>
        </w:rPr>
        <w:t xml:space="preserve">in relation </w:t>
      </w:r>
      <w:r w:rsidR="00DA57FE">
        <w:rPr>
          <w:rFonts w:ascii="Times New Roman" w:hAnsi="Times New Roman" w:cs="Times New Roman"/>
        </w:rPr>
        <w:t>to 26 GHz band spectrum licensees.</w:t>
      </w:r>
    </w:p>
    <w:p w14:paraId="62B66CB7" w14:textId="77777777" w:rsidR="004C58B9" w:rsidRDefault="004C58B9" w:rsidP="004C58B9">
      <w:pPr>
        <w:rPr>
          <w:rFonts w:ascii="Times New Roman" w:hAnsi="Times New Roman" w:cs="Times New Roman"/>
          <w:b/>
          <w:i/>
        </w:rPr>
      </w:pPr>
      <w:r>
        <w:rPr>
          <w:rFonts w:ascii="Times New Roman" w:hAnsi="Times New Roman" w:cs="Times New Roman"/>
          <w:b/>
          <w:i/>
        </w:rPr>
        <w:t>Human rights implications</w:t>
      </w:r>
    </w:p>
    <w:p w14:paraId="0B759C40" w14:textId="77777777" w:rsidR="004C58B9" w:rsidRDefault="004C58B9" w:rsidP="004C58B9">
      <w:pPr>
        <w:rPr>
          <w:rFonts w:ascii="Times New Roman" w:hAnsi="Times New Roman" w:cs="Times New Roman"/>
        </w:rPr>
      </w:pPr>
      <w:r>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 xml:space="preserve">as they apply to Australia. </w:t>
      </w:r>
    </w:p>
    <w:p w14:paraId="39F7E8B7" w14:textId="77777777" w:rsidR="004C58B9" w:rsidRDefault="004C58B9" w:rsidP="004C58B9">
      <w:pPr>
        <w:rPr>
          <w:rFonts w:ascii="Times New Roman" w:hAnsi="Times New Roman" w:cs="Times New Roman"/>
        </w:rPr>
      </w:pPr>
      <w:r>
        <w:rPr>
          <w:rFonts w:ascii="Times New Roman" w:hAnsi="Times New Roman" w:cs="Times New Roman"/>
        </w:rPr>
        <w:t xml:space="preserve">Having considered the likely impact of the instrument and the nature of the applicable rights and freedoms, the ACMA has formed the view that the instrument does not engage any of those rights or freedoms.  </w:t>
      </w:r>
    </w:p>
    <w:p w14:paraId="76A7876C" w14:textId="77777777" w:rsidR="004C58B9" w:rsidRDefault="004C58B9" w:rsidP="004F5DD9">
      <w:pPr>
        <w:keepNext/>
        <w:spacing w:line="257" w:lineRule="auto"/>
        <w:rPr>
          <w:rFonts w:ascii="Times New Roman" w:hAnsi="Times New Roman" w:cs="Times New Roman"/>
          <w:b/>
          <w:i/>
        </w:rPr>
      </w:pPr>
      <w:r>
        <w:rPr>
          <w:rFonts w:ascii="Times New Roman" w:hAnsi="Times New Roman" w:cs="Times New Roman"/>
          <w:b/>
          <w:i/>
        </w:rPr>
        <w:lastRenderedPageBreak/>
        <w:t>Conclusion</w:t>
      </w:r>
    </w:p>
    <w:p w14:paraId="14033D5D" w14:textId="77777777" w:rsidR="004C58B9" w:rsidRDefault="004C58B9" w:rsidP="004C58B9">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5B55C777" w14:textId="77777777" w:rsidR="004C58B9" w:rsidRDefault="004C58B9" w:rsidP="004C58B9">
      <w:pPr>
        <w:rPr>
          <w:rFonts w:ascii="Times New Roman" w:hAnsi="Times New Roman" w:cs="Times New Roman"/>
        </w:rPr>
      </w:pPr>
    </w:p>
    <w:p w14:paraId="04D2004B" w14:textId="77777777" w:rsidR="004C58B9" w:rsidRDefault="004C58B9" w:rsidP="004C58B9">
      <w:pPr>
        <w:rPr>
          <w:rFonts w:ascii="Times New Roman" w:hAnsi="Times New Roman" w:cs="Times New Roman"/>
        </w:rPr>
      </w:pPr>
    </w:p>
    <w:p w14:paraId="0761EB7B" w14:textId="77777777" w:rsidR="004C58B9" w:rsidRDefault="004C58B9" w:rsidP="004C58B9">
      <w:pPr>
        <w:rPr>
          <w:rFonts w:ascii="Times New Roman" w:hAnsi="Times New Roman" w:cs="Times New Roman"/>
        </w:rPr>
      </w:pPr>
    </w:p>
    <w:p w14:paraId="529383EE" w14:textId="77777777" w:rsidR="004C58B9" w:rsidRDefault="004C58B9" w:rsidP="004C58B9">
      <w:pPr>
        <w:rPr>
          <w:rFonts w:ascii="Times New Roman" w:hAnsi="Times New Roman" w:cs="Times New Roman"/>
          <w:b/>
        </w:rPr>
      </w:pPr>
      <w:r>
        <w:rPr>
          <w:rFonts w:ascii="Times New Roman" w:hAnsi="Times New Roman" w:cs="Times New Roman"/>
          <w:b/>
        </w:rPr>
        <w:br w:type="page"/>
      </w:r>
    </w:p>
    <w:p w14:paraId="00392EC9" w14:textId="77777777" w:rsidR="004C58B9" w:rsidRDefault="004C58B9" w:rsidP="004C58B9">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2CC48905" w14:textId="35B1D788"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 xml:space="preserve">Notes to the </w:t>
      </w:r>
      <w:r w:rsidR="0029763A" w:rsidRPr="005638AF">
        <w:rPr>
          <w:rFonts w:ascii="Times New Roman" w:hAnsi="Times New Roman" w:cs="Times New Roman"/>
          <w:b/>
          <w:i/>
          <w:iCs/>
          <w:sz w:val="28"/>
          <w:szCs w:val="28"/>
        </w:rPr>
        <w:t>Radiocommunications (Unacceptable Levels of Interference – 26 GHz Band) Determination 2020</w:t>
      </w:r>
    </w:p>
    <w:p w14:paraId="6A976F35" w14:textId="77777777" w:rsidR="004C58B9" w:rsidRDefault="004C58B9" w:rsidP="004C58B9">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4E9236AB" w14:textId="31E2DCF0" w:rsidR="004C58B9" w:rsidRPr="00384BD6" w:rsidRDefault="004C58B9" w:rsidP="004C58B9">
      <w:pPr>
        <w:rPr>
          <w:rFonts w:ascii="Times New Roman" w:hAnsi="Times New Roman" w:cs="Times New Roman"/>
          <w:iCs/>
        </w:rPr>
      </w:pPr>
      <w:r>
        <w:rPr>
          <w:rFonts w:ascii="Times New Roman" w:hAnsi="Times New Roman" w:cs="Times New Roman"/>
        </w:rPr>
        <w:t xml:space="preserve">This section provides for the instrument to be cited as the </w:t>
      </w:r>
      <w:r w:rsidR="00A34402" w:rsidRPr="00A34402">
        <w:rPr>
          <w:rFonts w:ascii="Times New Roman" w:hAnsi="Times New Roman" w:cs="Times New Roman"/>
          <w:i/>
        </w:rPr>
        <w:t>Radiocommunications (Unacceptable Levels of Interference – 26 GHz Band) Determination 2020</w:t>
      </w:r>
      <w:r w:rsidR="00384BD6">
        <w:rPr>
          <w:rFonts w:ascii="Times New Roman" w:hAnsi="Times New Roman" w:cs="Times New Roman"/>
          <w:iCs/>
        </w:rPr>
        <w:t>.</w:t>
      </w:r>
    </w:p>
    <w:p w14:paraId="5A4825F8" w14:textId="77777777" w:rsidR="004C58B9" w:rsidRDefault="004C58B9" w:rsidP="004C58B9">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1CE591DC" w14:textId="77777777" w:rsidR="004C58B9" w:rsidRDefault="004C58B9" w:rsidP="004C58B9">
      <w:pPr>
        <w:rPr>
          <w:rFonts w:ascii="Times New Roman" w:hAnsi="Times New Roman" w:cs="Times New Roman"/>
        </w:rPr>
      </w:pPr>
      <w:r>
        <w:rPr>
          <w:rFonts w:ascii="Times New Roman" w:hAnsi="Times New Roman" w:cs="Times New Roman"/>
        </w:rPr>
        <w:t xml:space="preserve">This section provides for the instrument to commence at the start of the day after the day it is registered on the Federal Register of Legislation.  </w:t>
      </w:r>
    </w:p>
    <w:p w14:paraId="2E195494" w14:textId="289F1484" w:rsidR="004C58B9" w:rsidRDefault="004C58B9" w:rsidP="004C58B9">
      <w:pPr>
        <w:rPr>
          <w:rFonts w:ascii="Times New Roman" w:hAnsi="Times New Roman" w:cs="Times New Roman"/>
        </w:rPr>
      </w:pPr>
      <w:r>
        <w:rPr>
          <w:rFonts w:ascii="Times New Roman" w:hAnsi="Times New Roman" w:cs="Times New Roman"/>
        </w:rPr>
        <w:t xml:space="preserve">The Federal Register of Legislation may be accessed free of charge at </w:t>
      </w:r>
      <w:hyperlink r:id="rId16" w:history="1">
        <w:r w:rsidR="00A72849" w:rsidRPr="00E950D4">
          <w:rPr>
            <w:rStyle w:val="Hyperlink"/>
            <w:rFonts w:ascii="Times New Roman" w:hAnsi="Times New Roman" w:cs="Times New Roman"/>
          </w:rPr>
          <w:t>www.legislation.gov.au</w:t>
        </w:r>
      </w:hyperlink>
      <w:r>
        <w:rPr>
          <w:rFonts w:ascii="Times New Roman" w:hAnsi="Times New Roman" w:cs="Times New Roman"/>
        </w:rPr>
        <w:t>.</w:t>
      </w:r>
    </w:p>
    <w:p w14:paraId="1CCE7953" w14:textId="77777777" w:rsidR="004C58B9" w:rsidRDefault="004C58B9" w:rsidP="004C58B9">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38112A89" w14:textId="63A8BF42" w:rsidR="004C58B9" w:rsidRDefault="004C58B9" w:rsidP="004C58B9">
      <w:pPr>
        <w:rPr>
          <w:rFonts w:ascii="Times New Roman" w:hAnsi="Times New Roman" w:cs="Times New Roman"/>
        </w:rPr>
      </w:pPr>
      <w:r>
        <w:rPr>
          <w:rFonts w:ascii="Times New Roman" w:hAnsi="Times New Roman" w:cs="Times New Roman"/>
        </w:rPr>
        <w:t xml:space="preserve">This section identifies the provision of the Act that authorises the making of the instrument, namely </w:t>
      </w:r>
      <w:r w:rsidR="003463BA">
        <w:rPr>
          <w:rFonts w:ascii="Times New Roman" w:hAnsi="Times New Roman" w:cs="Times New Roman"/>
        </w:rPr>
        <w:t>subsection 145(4)</w:t>
      </w:r>
      <w:r>
        <w:rPr>
          <w:rFonts w:ascii="Times New Roman" w:hAnsi="Times New Roman" w:cs="Times New Roman"/>
        </w:rPr>
        <w:t xml:space="preserve"> of the </w:t>
      </w:r>
      <w:r w:rsidR="003463BA" w:rsidRPr="003463BA">
        <w:rPr>
          <w:rFonts w:ascii="Times New Roman" w:hAnsi="Times New Roman" w:cs="Times New Roman"/>
          <w:i/>
        </w:rPr>
        <w:t xml:space="preserve">Radiocommunications </w:t>
      </w:r>
      <w:r w:rsidR="003463BA">
        <w:rPr>
          <w:rFonts w:ascii="Times New Roman" w:hAnsi="Times New Roman" w:cs="Times New Roman"/>
          <w:i/>
        </w:rPr>
        <w:t>Act 1992</w:t>
      </w:r>
      <w:r>
        <w:rPr>
          <w:rFonts w:ascii="Times New Roman" w:hAnsi="Times New Roman" w:cs="Times New Roman"/>
        </w:rPr>
        <w:t xml:space="preserve"> (</w:t>
      </w:r>
      <w:r>
        <w:rPr>
          <w:rFonts w:ascii="Times New Roman" w:hAnsi="Times New Roman" w:cs="Times New Roman"/>
          <w:b/>
        </w:rPr>
        <w:t>the Act</w:t>
      </w:r>
      <w:r>
        <w:rPr>
          <w:rFonts w:ascii="Times New Roman" w:hAnsi="Times New Roman" w:cs="Times New Roman"/>
        </w:rPr>
        <w:t>).</w:t>
      </w:r>
    </w:p>
    <w:p w14:paraId="092F5492" w14:textId="5BCDC7C2" w:rsidR="004C58B9" w:rsidRDefault="004C58B9" w:rsidP="004C58B9">
      <w:pPr>
        <w:rPr>
          <w:rFonts w:ascii="Times New Roman" w:hAnsi="Times New Roman" w:cs="Times New Roman"/>
          <w:b/>
        </w:rPr>
      </w:pPr>
      <w:r>
        <w:rPr>
          <w:rFonts w:ascii="Times New Roman" w:hAnsi="Times New Roman" w:cs="Times New Roman"/>
          <w:b/>
        </w:rPr>
        <w:t xml:space="preserve">Section </w:t>
      </w:r>
      <w:r w:rsidR="003463BA">
        <w:rPr>
          <w:rFonts w:ascii="Times New Roman" w:hAnsi="Times New Roman" w:cs="Times New Roman"/>
          <w:b/>
        </w:rPr>
        <w:t>4</w:t>
      </w:r>
      <w:r>
        <w:rPr>
          <w:rFonts w:ascii="Times New Roman" w:hAnsi="Times New Roman" w:cs="Times New Roman"/>
          <w:b/>
        </w:rPr>
        <w:tab/>
        <w:t>Definitions</w:t>
      </w:r>
    </w:p>
    <w:p w14:paraId="77CC0EEC" w14:textId="68E3F19C" w:rsidR="004C58B9" w:rsidRDefault="004C58B9" w:rsidP="004C58B9">
      <w:pPr>
        <w:rPr>
          <w:rFonts w:ascii="Times New Roman" w:hAnsi="Times New Roman" w:cs="Times New Roman"/>
        </w:rPr>
      </w:pPr>
      <w:r>
        <w:rPr>
          <w:rFonts w:ascii="Times New Roman" w:hAnsi="Times New Roman" w:cs="Times New Roman"/>
        </w:rPr>
        <w:t xml:space="preserve">This section defines a number of key terms used throughout the instrument.  </w:t>
      </w:r>
      <w:r w:rsidR="00384BD6">
        <w:rPr>
          <w:rFonts w:ascii="Times New Roman" w:hAnsi="Times New Roman" w:cs="Times New Roman"/>
        </w:rPr>
        <w:t>It also provides that the range of numbers that identifies a frequency band includes the higher, but not the lower, number.</w:t>
      </w:r>
    </w:p>
    <w:p w14:paraId="6A65622D" w14:textId="77777777" w:rsidR="004C58B9" w:rsidRDefault="004C58B9" w:rsidP="004C58B9">
      <w:pPr>
        <w:rPr>
          <w:rFonts w:ascii="Times New Roman" w:hAnsi="Times New Roman" w:cs="Times New Roman"/>
        </w:rPr>
      </w:pPr>
      <w:r>
        <w:rPr>
          <w:rFonts w:ascii="Times New Roman" w:hAnsi="Times New Roman" w:cs="Times New Roman"/>
        </w:rPr>
        <w:t>A number of other expressions used in the instrument are defined in the Act.</w:t>
      </w:r>
    </w:p>
    <w:p w14:paraId="4E744EA9" w14:textId="0D26C7CB" w:rsidR="004C58B9" w:rsidRDefault="004C58B9" w:rsidP="004C58B9">
      <w:pPr>
        <w:rPr>
          <w:rFonts w:ascii="Times New Roman" w:hAnsi="Times New Roman" w:cs="Times New Roman"/>
          <w:b/>
        </w:rPr>
      </w:pPr>
      <w:r>
        <w:rPr>
          <w:rFonts w:ascii="Times New Roman" w:hAnsi="Times New Roman" w:cs="Times New Roman"/>
          <w:b/>
        </w:rPr>
        <w:t xml:space="preserve">Section </w:t>
      </w:r>
      <w:r w:rsidR="004C46F8">
        <w:rPr>
          <w:rFonts w:ascii="Times New Roman" w:hAnsi="Times New Roman" w:cs="Times New Roman"/>
          <w:b/>
        </w:rPr>
        <w:t>5</w:t>
      </w:r>
      <w:r>
        <w:rPr>
          <w:rFonts w:ascii="Times New Roman" w:hAnsi="Times New Roman" w:cs="Times New Roman"/>
          <w:b/>
        </w:rPr>
        <w:tab/>
        <w:t>References to other instruments</w:t>
      </w:r>
    </w:p>
    <w:p w14:paraId="5EFA7BF7" w14:textId="77777777" w:rsidR="004C58B9" w:rsidRDefault="004C58B9" w:rsidP="004C58B9">
      <w:pPr>
        <w:spacing w:after="40"/>
        <w:rPr>
          <w:rFonts w:ascii="Times New Roman" w:hAnsi="Times New Roman" w:cs="Times New Roman"/>
        </w:rPr>
      </w:pPr>
      <w:r>
        <w:rPr>
          <w:rFonts w:ascii="Times New Roman" w:hAnsi="Times New Roman" w:cs="Times New Roman"/>
        </w:rPr>
        <w:t>This section provides that in the instrument, unless the contrary intention appears:</w:t>
      </w:r>
    </w:p>
    <w:p w14:paraId="4A729303" w14:textId="77777777" w:rsidR="004C58B9" w:rsidRDefault="004C58B9" w:rsidP="004C58B9">
      <w:pPr>
        <w:pStyle w:val="ListParagraph"/>
        <w:numPr>
          <w:ilvl w:val="0"/>
          <w:numId w:val="15"/>
        </w:numPr>
        <w:rPr>
          <w:rFonts w:ascii="Times New Roman" w:hAnsi="Times New Roman" w:cs="Times New Roman"/>
        </w:rPr>
      </w:pPr>
      <w:r>
        <w:rPr>
          <w:rFonts w:ascii="Times New Roman" w:hAnsi="Times New Roman" w:cs="Times New Roman"/>
        </w:rPr>
        <w:t>a reference to any other legislative instrument is a reference to that other legislative instrument as in force from time to time; and</w:t>
      </w:r>
    </w:p>
    <w:p w14:paraId="0EB006E6" w14:textId="7CD95B5E" w:rsidR="00384BD6" w:rsidRPr="005638AF" w:rsidRDefault="004C58B9" w:rsidP="00384BD6">
      <w:pPr>
        <w:pStyle w:val="ListParagraph"/>
        <w:numPr>
          <w:ilvl w:val="0"/>
          <w:numId w:val="15"/>
        </w:numPr>
        <w:rPr>
          <w:rFonts w:ascii="Times New Roman" w:hAnsi="Times New Roman" w:cs="Times New Roman"/>
        </w:rPr>
      </w:pPr>
      <w:r>
        <w:rPr>
          <w:rFonts w:ascii="Times New Roman" w:hAnsi="Times New Roman" w:cs="Times New Roman"/>
        </w:rPr>
        <w:t>a reference to any other kind of instrument is a reference to that other instrument as in force from time to time</w:t>
      </w:r>
      <w:r w:rsidR="003463BA">
        <w:rPr>
          <w:rFonts w:ascii="Times New Roman" w:hAnsi="Times New Roman" w:cs="Times New Roman"/>
        </w:rPr>
        <w:t xml:space="preserve"> or existing from time to time</w:t>
      </w:r>
      <w:r>
        <w:rPr>
          <w:rFonts w:ascii="Times New Roman" w:hAnsi="Times New Roman" w:cs="Times New Roman"/>
        </w:rPr>
        <w:t>.</w:t>
      </w:r>
    </w:p>
    <w:p w14:paraId="16021B66" w14:textId="220A75F0" w:rsidR="004C46F8" w:rsidRDefault="004C46F8" w:rsidP="004C46F8">
      <w:pPr>
        <w:rPr>
          <w:rFonts w:ascii="Times New Roman" w:hAnsi="Times New Roman" w:cs="Times New Roman"/>
          <w:b/>
        </w:rPr>
      </w:pPr>
      <w:r>
        <w:rPr>
          <w:rFonts w:ascii="Times New Roman" w:hAnsi="Times New Roman" w:cs="Times New Roman"/>
          <w:b/>
        </w:rPr>
        <w:t>Section 6</w:t>
      </w:r>
      <w:r>
        <w:rPr>
          <w:rFonts w:ascii="Times New Roman" w:hAnsi="Times New Roman" w:cs="Times New Roman"/>
          <w:b/>
        </w:rPr>
        <w:tab/>
        <w:t>Emission designator</w:t>
      </w:r>
    </w:p>
    <w:p w14:paraId="474BCD06" w14:textId="025DAEF8" w:rsidR="004C46F8" w:rsidRPr="004F1D39" w:rsidRDefault="004F1D39" w:rsidP="004C46F8">
      <w:pPr>
        <w:rPr>
          <w:rFonts w:ascii="Times New Roman" w:hAnsi="Times New Roman" w:cs="Times New Roman"/>
        </w:rPr>
      </w:pPr>
      <w:r w:rsidRPr="004F1D39">
        <w:rPr>
          <w:rFonts w:ascii="Times New Roman" w:hAnsi="Times New Roman" w:cs="Times New Roman"/>
        </w:rPr>
        <w:t xml:space="preserve">This section </w:t>
      </w:r>
      <w:r w:rsidR="00A23AF2">
        <w:rPr>
          <w:rFonts w:ascii="Times New Roman" w:hAnsi="Times New Roman" w:cs="Times New Roman"/>
        </w:rPr>
        <w:t>provides</w:t>
      </w:r>
      <w:r w:rsidR="00A23AF2" w:rsidRPr="004F1D39">
        <w:rPr>
          <w:rFonts w:ascii="Times New Roman" w:hAnsi="Times New Roman" w:cs="Times New Roman"/>
        </w:rPr>
        <w:t xml:space="preserve"> </w:t>
      </w:r>
      <w:r w:rsidRPr="004F1D39">
        <w:rPr>
          <w:rFonts w:ascii="Times New Roman" w:hAnsi="Times New Roman" w:cs="Times New Roman"/>
        </w:rPr>
        <w:t xml:space="preserve">that </w:t>
      </w:r>
      <w:r w:rsidR="00A23AF2">
        <w:rPr>
          <w:rFonts w:ascii="Times New Roman" w:hAnsi="Times New Roman" w:cs="Times New Roman"/>
        </w:rPr>
        <w:t xml:space="preserve">the designation of a radiocommunications transmitter’s emission </w:t>
      </w:r>
      <w:r w:rsidR="006F513D">
        <w:rPr>
          <w:rFonts w:ascii="Times New Roman" w:hAnsi="Times New Roman" w:cs="Times New Roman"/>
        </w:rPr>
        <w:t xml:space="preserve">is to be worked out using the methods set out in the Radio Regulations, made by the ITU. It also provides that, </w:t>
      </w:r>
      <w:r w:rsidRPr="004F1D39">
        <w:rPr>
          <w:rFonts w:ascii="Times New Roman" w:hAnsi="Times New Roman" w:cs="Times New Roman"/>
        </w:rPr>
        <w:t xml:space="preserve">for the purposes of determining </w:t>
      </w:r>
      <w:r w:rsidR="006F513D">
        <w:rPr>
          <w:rFonts w:ascii="Times New Roman" w:hAnsi="Times New Roman" w:cs="Times New Roman"/>
        </w:rPr>
        <w:t>this</w:t>
      </w:r>
      <w:r w:rsidRPr="004F1D39">
        <w:rPr>
          <w:rFonts w:ascii="Times New Roman" w:hAnsi="Times New Roman" w:cs="Times New Roman"/>
        </w:rPr>
        <w:t xml:space="preserve"> designation, the occupied bandwidth of the transmitter should be used as the bandwidth. The designation of a radiocommunications transmitter’s emission is relevant for the coordination and identification of radio emissions and is also used when determining whether two or more fixed transmitters are a group of radiocommunications transmitters under section </w:t>
      </w:r>
      <w:r>
        <w:rPr>
          <w:rFonts w:ascii="Times New Roman" w:hAnsi="Times New Roman" w:cs="Times New Roman"/>
        </w:rPr>
        <w:t>7</w:t>
      </w:r>
      <w:r w:rsidR="006F513D">
        <w:rPr>
          <w:rFonts w:ascii="Times New Roman" w:hAnsi="Times New Roman" w:cs="Times New Roman"/>
        </w:rPr>
        <w:t xml:space="preserve"> of the instrument</w:t>
      </w:r>
      <w:r w:rsidRPr="004F1D39">
        <w:rPr>
          <w:rFonts w:ascii="Times New Roman" w:hAnsi="Times New Roman" w:cs="Times New Roman"/>
        </w:rPr>
        <w:t>.</w:t>
      </w:r>
    </w:p>
    <w:p w14:paraId="2ECADB63" w14:textId="4E497758" w:rsidR="004C46F8" w:rsidRDefault="004C46F8" w:rsidP="004C46F8">
      <w:pPr>
        <w:rPr>
          <w:rFonts w:ascii="Times New Roman" w:hAnsi="Times New Roman" w:cs="Times New Roman"/>
          <w:b/>
        </w:rPr>
      </w:pPr>
      <w:r>
        <w:rPr>
          <w:rFonts w:ascii="Times New Roman" w:hAnsi="Times New Roman" w:cs="Times New Roman"/>
          <w:b/>
        </w:rPr>
        <w:t>Section 7</w:t>
      </w:r>
      <w:r>
        <w:rPr>
          <w:rFonts w:ascii="Times New Roman" w:hAnsi="Times New Roman" w:cs="Times New Roman"/>
          <w:b/>
        </w:rPr>
        <w:tab/>
        <w:t>Group of radiocommunications transmitters</w:t>
      </w:r>
    </w:p>
    <w:p w14:paraId="6F769AFD" w14:textId="2C9038B5" w:rsidR="004C46F8" w:rsidRPr="004F1D39" w:rsidRDefault="004F1D39" w:rsidP="004C46F8">
      <w:pPr>
        <w:rPr>
          <w:rFonts w:ascii="Times New Roman" w:hAnsi="Times New Roman" w:cs="Times New Roman"/>
        </w:rPr>
      </w:pPr>
      <w:r w:rsidRPr="004F1D39">
        <w:rPr>
          <w:rFonts w:ascii="Times New Roman" w:hAnsi="Times New Roman" w:cs="Times New Roman"/>
        </w:rPr>
        <w:t xml:space="preserve">This section defines what ‘a group of radiocommunications transmitters’ is for the purpose of the </w:t>
      </w:r>
      <w:r>
        <w:rPr>
          <w:rFonts w:ascii="Times New Roman" w:hAnsi="Times New Roman" w:cs="Times New Roman"/>
        </w:rPr>
        <w:t>instrument</w:t>
      </w:r>
      <w:r w:rsidRPr="004F1D39">
        <w:rPr>
          <w:rFonts w:ascii="Times New Roman" w:hAnsi="Times New Roman" w:cs="Times New Roman"/>
        </w:rPr>
        <w:t xml:space="preserve">. A group of radiocommunications transmitters consists of two or more fixed transmitters at a common site that have common features. </w:t>
      </w:r>
      <w:r w:rsidR="006F513D">
        <w:rPr>
          <w:rFonts w:ascii="Times New Roman" w:hAnsi="Times New Roman" w:cs="Times New Roman"/>
        </w:rPr>
        <w:t>Including</w:t>
      </w:r>
      <w:r w:rsidRPr="004F1D39">
        <w:rPr>
          <w:rFonts w:ascii="Times New Roman" w:hAnsi="Times New Roman" w:cs="Times New Roman"/>
        </w:rPr>
        <w:t xml:space="preserve"> radiocommunications transmitters </w:t>
      </w:r>
      <w:r w:rsidR="006F513D">
        <w:rPr>
          <w:rFonts w:ascii="Times New Roman" w:hAnsi="Times New Roman" w:cs="Times New Roman"/>
        </w:rPr>
        <w:t>within</w:t>
      </w:r>
      <w:r w:rsidR="006F513D" w:rsidRPr="004F1D39">
        <w:rPr>
          <w:rFonts w:ascii="Times New Roman" w:hAnsi="Times New Roman" w:cs="Times New Roman"/>
        </w:rPr>
        <w:t xml:space="preserve"> </w:t>
      </w:r>
      <w:r w:rsidRPr="004F1D39">
        <w:rPr>
          <w:rFonts w:ascii="Times New Roman" w:hAnsi="Times New Roman" w:cs="Times New Roman"/>
        </w:rPr>
        <w:t>a group may make registration of devices easier for licensees.</w:t>
      </w:r>
    </w:p>
    <w:p w14:paraId="691CBC83" w14:textId="39B3BB59" w:rsidR="004C46F8" w:rsidRDefault="004C46F8" w:rsidP="004C46F8">
      <w:pPr>
        <w:rPr>
          <w:rFonts w:ascii="Times New Roman" w:hAnsi="Times New Roman" w:cs="Times New Roman"/>
          <w:b/>
        </w:rPr>
      </w:pPr>
      <w:r>
        <w:rPr>
          <w:rFonts w:ascii="Times New Roman" w:hAnsi="Times New Roman" w:cs="Times New Roman"/>
          <w:b/>
        </w:rPr>
        <w:lastRenderedPageBreak/>
        <w:t>Section 8</w:t>
      </w:r>
      <w:r>
        <w:rPr>
          <w:rFonts w:ascii="Times New Roman" w:hAnsi="Times New Roman" w:cs="Times New Roman"/>
          <w:b/>
        </w:rPr>
        <w:tab/>
        <w:t>Group of radiocommunications receivers</w:t>
      </w:r>
    </w:p>
    <w:p w14:paraId="16597056" w14:textId="421BCD13" w:rsidR="004C46F8" w:rsidRPr="004F1D39" w:rsidRDefault="004F1D39" w:rsidP="004C46F8">
      <w:pPr>
        <w:rPr>
          <w:rFonts w:ascii="Times New Roman" w:hAnsi="Times New Roman" w:cs="Times New Roman"/>
        </w:rPr>
      </w:pPr>
      <w:r w:rsidRPr="004F1D39">
        <w:rPr>
          <w:rFonts w:ascii="Times New Roman" w:hAnsi="Times New Roman" w:cs="Times New Roman"/>
        </w:rPr>
        <w:t xml:space="preserve">This section defines what ‘a group of radiocommunications receivers’ is for the purpose of the </w:t>
      </w:r>
      <w:r>
        <w:rPr>
          <w:rFonts w:ascii="Times New Roman" w:hAnsi="Times New Roman" w:cs="Times New Roman"/>
        </w:rPr>
        <w:t>instrument</w:t>
      </w:r>
      <w:r w:rsidRPr="004F1D39">
        <w:rPr>
          <w:rFonts w:ascii="Times New Roman" w:hAnsi="Times New Roman" w:cs="Times New Roman"/>
        </w:rPr>
        <w:t xml:space="preserve">.  A group of radiocommunications receivers consists of two or more fixed receivers, located at a common site, that have certain features in common. </w:t>
      </w:r>
      <w:r w:rsidR="006F513D">
        <w:rPr>
          <w:rFonts w:ascii="Times New Roman" w:hAnsi="Times New Roman" w:cs="Times New Roman"/>
        </w:rPr>
        <w:t>Inclusion</w:t>
      </w:r>
      <w:r w:rsidR="006F513D" w:rsidRPr="004F1D39">
        <w:rPr>
          <w:rFonts w:ascii="Times New Roman" w:hAnsi="Times New Roman" w:cs="Times New Roman"/>
        </w:rPr>
        <w:t xml:space="preserve"> </w:t>
      </w:r>
      <w:r w:rsidRPr="004F1D39">
        <w:rPr>
          <w:rFonts w:ascii="Times New Roman" w:hAnsi="Times New Roman" w:cs="Times New Roman"/>
        </w:rPr>
        <w:t xml:space="preserve">of radiocommunications receivers </w:t>
      </w:r>
      <w:r w:rsidR="006F513D">
        <w:rPr>
          <w:rFonts w:ascii="Times New Roman" w:hAnsi="Times New Roman" w:cs="Times New Roman"/>
        </w:rPr>
        <w:t>within</w:t>
      </w:r>
      <w:r w:rsidRPr="004F1D39">
        <w:rPr>
          <w:rFonts w:ascii="Times New Roman" w:hAnsi="Times New Roman" w:cs="Times New Roman"/>
        </w:rPr>
        <w:t xml:space="preserve"> a group may make registration of devices easier for licensees.</w:t>
      </w:r>
    </w:p>
    <w:p w14:paraId="42763689" w14:textId="0117BF5D" w:rsidR="004C46F8" w:rsidRDefault="004C46F8" w:rsidP="004C46F8">
      <w:pPr>
        <w:rPr>
          <w:rFonts w:ascii="Times New Roman" w:hAnsi="Times New Roman" w:cs="Times New Roman"/>
          <w:b/>
        </w:rPr>
      </w:pPr>
      <w:r>
        <w:rPr>
          <w:rFonts w:ascii="Times New Roman" w:hAnsi="Times New Roman" w:cs="Times New Roman"/>
          <w:b/>
        </w:rPr>
        <w:t>Section 9</w:t>
      </w:r>
      <w:r>
        <w:rPr>
          <w:rFonts w:ascii="Times New Roman" w:hAnsi="Times New Roman" w:cs="Times New Roman"/>
          <w:b/>
        </w:rPr>
        <w:tab/>
        <w:t>Unacceptable level of interference</w:t>
      </w:r>
    </w:p>
    <w:p w14:paraId="67061E04" w14:textId="37F9E9B7" w:rsidR="002D040C" w:rsidRPr="002D040C" w:rsidRDefault="002D040C" w:rsidP="002D040C">
      <w:pPr>
        <w:rPr>
          <w:rFonts w:ascii="Times New Roman" w:hAnsi="Times New Roman" w:cs="Times New Roman"/>
        </w:rPr>
      </w:pPr>
      <w:r w:rsidRPr="002D040C">
        <w:rPr>
          <w:rFonts w:ascii="Times New Roman" w:hAnsi="Times New Roman" w:cs="Times New Roman"/>
        </w:rPr>
        <w:t xml:space="preserve">This section provides the technical definition of what will be deemed unacceptable levels of interference for the purpose of interference management in the </w:t>
      </w:r>
      <w:r>
        <w:rPr>
          <w:rFonts w:ascii="Times New Roman" w:hAnsi="Times New Roman" w:cs="Times New Roman"/>
        </w:rPr>
        <w:t>26</w:t>
      </w:r>
      <w:r w:rsidRPr="002D040C">
        <w:rPr>
          <w:rFonts w:ascii="Times New Roman" w:hAnsi="Times New Roman" w:cs="Times New Roman"/>
        </w:rPr>
        <w:t xml:space="preserve"> GHz band. A radiocommunications transmitter producing emissions that are found to cause unacceptable levels of interference to other services will, in most circumstances, not be registered on the Register of Radiocommunications Licenses for operation under a spectrum licence in the band, in accordance with subsection 145(1) of the Act. Licensees who operate such devices without registration will be in breach of</w:t>
      </w:r>
      <w:r w:rsidR="006F513D">
        <w:rPr>
          <w:rFonts w:ascii="Times New Roman" w:hAnsi="Times New Roman" w:cs="Times New Roman"/>
        </w:rPr>
        <w:t xml:space="preserve"> the condition included in the licence because of</w:t>
      </w:r>
      <w:r w:rsidRPr="002D040C">
        <w:rPr>
          <w:rFonts w:ascii="Times New Roman" w:hAnsi="Times New Roman" w:cs="Times New Roman"/>
        </w:rPr>
        <w:t xml:space="preserve"> section 69 of the Act and may become subject to further compliance action under the Act.</w:t>
      </w:r>
    </w:p>
    <w:p w14:paraId="70BA5CE3" w14:textId="70410D86" w:rsidR="002D040C" w:rsidRPr="007C7251" w:rsidRDefault="002D040C" w:rsidP="007C7251">
      <w:pPr>
        <w:rPr>
          <w:rFonts w:ascii="Times New Roman" w:hAnsi="Times New Roman"/>
        </w:rPr>
      </w:pPr>
      <w:r w:rsidRPr="007C7251">
        <w:rPr>
          <w:rFonts w:ascii="Times New Roman" w:hAnsi="Times New Roman" w:cs="Times New Roman"/>
        </w:rPr>
        <w:t>Under section 9, a transmitter is taken to be causing unacceptable interference if:</w:t>
      </w:r>
    </w:p>
    <w:p w14:paraId="388A5DB6" w14:textId="65594BA2" w:rsidR="002D040C" w:rsidRPr="002D040C" w:rsidRDefault="002D040C" w:rsidP="002D040C">
      <w:pPr>
        <w:pStyle w:val="ListParagraph"/>
        <w:numPr>
          <w:ilvl w:val="0"/>
          <w:numId w:val="15"/>
        </w:numPr>
        <w:rPr>
          <w:rFonts w:ascii="Times New Roman" w:hAnsi="Times New Roman" w:cs="Times New Roman"/>
        </w:rPr>
      </w:pPr>
      <w:r w:rsidRPr="002D040C">
        <w:rPr>
          <w:rFonts w:ascii="Times New Roman" w:hAnsi="Times New Roman" w:cs="Times New Roman"/>
        </w:rPr>
        <w:t>the operation of the transmitter breaches the core conditions of the licence relating to the maximum permitted level of radio emissions from the radiocommunications transmitter outside the geographic and frequency boundaries of the licence; or</w:t>
      </w:r>
    </w:p>
    <w:p w14:paraId="2F39E2AA" w14:textId="263F7F06" w:rsidR="002D040C" w:rsidRPr="002D040C" w:rsidRDefault="00E25945" w:rsidP="002D040C">
      <w:pPr>
        <w:pStyle w:val="ListParagraph"/>
        <w:numPr>
          <w:ilvl w:val="0"/>
          <w:numId w:val="15"/>
        </w:numPr>
        <w:rPr>
          <w:rFonts w:ascii="Times New Roman" w:hAnsi="Times New Roman" w:cs="Times New Roman"/>
        </w:rPr>
      </w:pPr>
      <w:r>
        <w:rPr>
          <w:rFonts w:ascii="Times New Roman" w:hAnsi="Times New Roman" w:cs="Times New Roman"/>
        </w:rPr>
        <w:t xml:space="preserve">subject to the exceptions below, </w:t>
      </w:r>
      <w:r w:rsidR="002D040C" w:rsidRPr="002D040C">
        <w:rPr>
          <w:rFonts w:ascii="Times New Roman" w:hAnsi="Times New Roman" w:cs="Times New Roman"/>
        </w:rPr>
        <w:t xml:space="preserve">any part of the </w:t>
      </w:r>
      <w:r>
        <w:rPr>
          <w:rFonts w:ascii="Times New Roman" w:hAnsi="Times New Roman" w:cs="Times New Roman"/>
        </w:rPr>
        <w:t>‘</w:t>
      </w:r>
      <w:r w:rsidR="002D040C" w:rsidRPr="002D040C">
        <w:rPr>
          <w:rFonts w:ascii="Times New Roman" w:hAnsi="Times New Roman" w:cs="Times New Roman"/>
        </w:rPr>
        <w:t>device boundary</w:t>
      </w:r>
      <w:r>
        <w:rPr>
          <w:rFonts w:ascii="Times New Roman" w:hAnsi="Times New Roman" w:cs="Times New Roman"/>
        </w:rPr>
        <w:t>’</w:t>
      </w:r>
      <w:r w:rsidR="002D040C" w:rsidRPr="002D040C">
        <w:rPr>
          <w:rFonts w:ascii="Times New Roman" w:hAnsi="Times New Roman" w:cs="Times New Roman"/>
        </w:rPr>
        <w:t xml:space="preserve"> of the transmitter lies outside the geographic area of the licence. The ‘device boundary’ is a theoretical boundary calculated around the device using the methodology set out in the Schedules to the instrument; or</w:t>
      </w:r>
    </w:p>
    <w:p w14:paraId="5AB95B8A" w14:textId="2B8BE522" w:rsidR="002D040C" w:rsidRPr="002D040C" w:rsidRDefault="002D040C" w:rsidP="002D040C">
      <w:pPr>
        <w:pStyle w:val="ListParagraph"/>
        <w:numPr>
          <w:ilvl w:val="0"/>
          <w:numId w:val="15"/>
        </w:numPr>
        <w:rPr>
          <w:rFonts w:ascii="Times New Roman" w:hAnsi="Times New Roman" w:cs="Times New Roman"/>
        </w:rPr>
      </w:pPr>
      <w:r w:rsidRPr="002D040C">
        <w:rPr>
          <w:rFonts w:ascii="Times New Roman" w:hAnsi="Times New Roman" w:cs="Times New Roman"/>
        </w:rPr>
        <w:t xml:space="preserve">the device boundary of the transmitter cannot be calculated in accordance with </w:t>
      </w:r>
      <w:r w:rsidR="00E25945">
        <w:rPr>
          <w:rFonts w:ascii="Times New Roman" w:hAnsi="Times New Roman" w:cs="Times New Roman"/>
        </w:rPr>
        <w:t xml:space="preserve">Part 1 of </w:t>
      </w:r>
      <w:r w:rsidRPr="002D040C">
        <w:rPr>
          <w:rFonts w:ascii="Times New Roman" w:hAnsi="Times New Roman" w:cs="Times New Roman"/>
        </w:rPr>
        <w:t>Schedule 2 to the i</w:t>
      </w:r>
      <w:r>
        <w:rPr>
          <w:rFonts w:ascii="Times New Roman" w:hAnsi="Times New Roman" w:cs="Times New Roman"/>
        </w:rPr>
        <w:t>n</w:t>
      </w:r>
      <w:r w:rsidRPr="002D040C">
        <w:rPr>
          <w:rFonts w:ascii="Times New Roman" w:hAnsi="Times New Roman" w:cs="Times New Roman"/>
        </w:rPr>
        <w:t>strument</w:t>
      </w:r>
      <w:r>
        <w:rPr>
          <w:rFonts w:ascii="Times New Roman" w:hAnsi="Times New Roman" w:cs="Times New Roman"/>
        </w:rPr>
        <w:t>.</w:t>
      </w:r>
    </w:p>
    <w:p w14:paraId="2117C263" w14:textId="6F201948" w:rsidR="00E25945" w:rsidRDefault="002D040C" w:rsidP="00C87F05">
      <w:pPr>
        <w:rPr>
          <w:rFonts w:ascii="Times New Roman" w:hAnsi="Times New Roman" w:cs="Times New Roman"/>
        </w:rPr>
      </w:pPr>
      <w:r w:rsidRPr="00C87F05">
        <w:rPr>
          <w:rFonts w:ascii="Times New Roman" w:hAnsi="Times New Roman" w:cs="Times New Roman"/>
        </w:rPr>
        <w:t xml:space="preserve">Subsection </w:t>
      </w:r>
      <w:r w:rsidR="001B2DAA" w:rsidRPr="00C87F05">
        <w:rPr>
          <w:rFonts w:ascii="Times New Roman" w:hAnsi="Times New Roman" w:cs="Times New Roman"/>
        </w:rPr>
        <w:t>9</w:t>
      </w:r>
      <w:r w:rsidRPr="00C87F05">
        <w:rPr>
          <w:rFonts w:ascii="Times New Roman" w:hAnsi="Times New Roman" w:cs="Times New Roman"/>
        </w:rPr>
        <w:t xml:space="preserve">(2) provides </w:t>
      </w:r>
      <w:r w:rsidR="00E25945">
        <w:rPr>
          <w:rFonts w:ascii="Times New Roman" w:hAnsi="Times New Roman" w:cs="Times New Roman"/>
        </w:rPr>
        <w:t>for an exception in the case where:</w:t>
      </w:r>
    </w:p>
    <w:p w14:paraId="30329E0A" w14:textId="1B4ACE41" w:rsidR="00E25945" w:rsidRDefault="002D040C" w:rsidP="00E25945">
      <w:pPr>
        <w:pStyle w:val="ListParagraph"/>
        <w:numPr>
          <w:ilvl w:val="0"/>
          <w:numId w:val="20"/>
        </w:numPr>
        <w:rPr>
          <w:rFonts w:ascii="Times New Roman" w:hAnsi="Times New Roman" w:cs="Times New Roman"/>
        </w:rPr>
      </w:pPr>
      <w:r w:rsidRPr="007C7251">
        <w:rPr>
          <w:rFonts w:ascii="Times New Roman" w:hAnsi="Times New Roman" w:cs="Times New Roman"/>
        </w:rPr>
        <w:t xml:space="preserve"> the device boundary</w:t>
      </w:r>
      <w:r w:rsidR="00E25945" w:rsidRPr="007C7251">
        <w:rPr>
          <w:rFonts w:ascii="Times New Roman" w:hAnsi="Times New Roman" w:cs="Times New Roman"/>
        </w:rPr>
        <w:t xml:space="preserve"> is calculated to </w:t>
      </w:r>
      <w:r w:rsidR="00E25945">
        <w:rPr>
          <w:rFonts w:ascii="Times New Roman" w:hAnsi="Times New Roman" w:cs="Times New Roman"/>
        </w:rPr>
        <w:t>include</w:t>
      </w:r>
      <w:r w:rsidRPr="007C7251">
        <w:rPr>
          <w:rFonts w:ascii="Times New Roman" w:hAnsi="Times New Roman" w:cs="Times New Roman"/>
        </w:rPr>
        <w:t xml:space="preserve"> a point </w:t>
      </w:r>
      <w:r w:rsidR="00E25945" w:rsidRPr="007C7251">
        <w:rPr>
          <w:rFonts w:ascii="Times New Roman" w:hAnsi="Times New Roman" w:cs="Times New Roman"/>
        </w:rPr>
        <w:t xml:space="preserve">that </w:t>
      </w:r>
      <w:r w:rsidRPr="007C7251">
        <w:rPr>
          <w:rFonts w:ascii="Times New Roman" w:hAnsi="Times New Roman" w:cs="Times New Roman"/>
        </w:rPr>
        <w:t xml:space="preserve">lies outside the </w:t>
      </w:r>
      <w:r w:rsidR="00E25945" w:rsidRPr="007C7251">
        <w:rPr>
          <w:rFonts w:ascii="Times New Roman" w:hAnsi="Times New Roman" w:cs="Times New Roman"/>
        </w:rPr>
        <w:t>Australian Spectrum Map Grid (</w:t>
      </w:r>
      <w:r w:rsidRPr="007C7251">
        <w:rPr>
          <w:rFonts w:ascii="Times New Roman" w:hAnsi="Times New Roman" w:cs="Times New Roman"/>
          <w:b/>
          <w:bCs/>
        </w:rPr>
        <w:t>ASMG</w:t>
      </w:r>
      <w:r w:rsidR="00E25945" w:rsidRPr="007C7251">
        <w:rPr>
          <w:rFonts w:ascii="Times New Roman" w:hAnsi="Times New Roman" w:cs="Times New Roman"/>
        </w:rPr>
        <w:t>)</w:t>
      </w:r>
      <w:r w:rsidRPr="007C7251">
        <w:rPr>
          <w:rFonts w:ascii="Times New Roman" w:hAnsi="Times New Roman" w:cs="Times New Roman"/>
        </w:rPr>
        <w:t xml:space="preserve"> (</w:t>
      </w:r>
      <w:r w:rsidR="00E25945" w:rsidRPr="007C7251">
        <w:rPr>
          <w:rFonts w:ascii="Times New Roman" w:hAnsi="Times New Roman" w:cs="Times New Roman"/>
        </w:rPr>
        <w:t xml:space="preserve">that is, </w:t>
      </w:r>
      <w:r w:rsidRPr="007C7251">
        <w:rPr>
          <w:rFonts w:ascii="Times New Roman" w:hAnsi="Times New Roman" w:cs="Times New Roman"/>
        </w:rPr>
        <w:t>outside Australia)</w:t>
      </w:r>
      <w:r w:rsidR="00E25945">
        <w:rPr>
          <w:rFonts w:ascii="Times New Roman" w:hAnsi="Times New Roman" w:cs="Times New Roman"/>
        </w:rPr>
        <w:t>;</w:t>
      </w:r>
      <w:r w:rsidRPr="007C7251">
        <w:rPr>
          <w:rFonts w:ascii="Times New Roman" w:hAnsi="Times New Roman" w:cs="Times New Roman"/>
        </w:rPr>
        <w:t xml:space="preserve"> </w:t>
      </w:r>
      <w:r w:rsidR="00E25945" w:rsidRPr="007C7251">
        <w:rPr>
          <w:rFonts w:ascii="Times New Roman" w:hAnsi="Times New Roman" w:cs="Times New Roman"/>
        </w:rPr>
        <w:t xml:space="preserve">and </w:t>
      </w:r>
    </w:p>
    <w:p w14:paraId="44B4B375" w14:textId="4135B76F" w:rsidR="00E25945" w:rsidRDefault="00E25945" w:rsidP="00E25945">
      <w:pPr>
        <w:pStyle w:val="ListParagraph"/>
        <w:numPr>
          <w:ilvl w:val="0"/>
          <w:numId w:val="20"/>
        </w:numPr>
        <w:rPr>
          <w:rFonts w:ascii="Times New Roman" w:hAnsi="Times New Roman" w:cs="Times New Roman"/>
        </w:rPr>
      </w:pPr>
      <w:r w:rsidRPr="007C7251">
        <w:rPr>
          <w:rFonts w:ascii="Times New Roman" w:hAnsi="Times New Roman" w:cs="Times New Roman"/>
        </w:rPr>
        <w:t>a line from that point to the location of the relevant radiocommunications transmitter does not pass over the geographic area of another spectrum licence</w:t>
      </w:r>
      <w:r w:rsidR="00BE5038">
        <w:rPr>
          <w:rFonts w:ascii="Times New Roman" w:hAnsi="Times New Roman" w:cs="Times New Roman"/>
        </w:rPr>
        <w:t xml:space="preserve"> in the 26 GHz band</w:t>
      </w:r>
      <w:r>
        <w:rPr>
          <w:rFonts w:ascii="Times New Roman" w:hAnsi="Times New Roman" w:cs="Times New Roman"/>
        </w:rPr>
        <w:t>.</w:t>
      </w:r>
    </w:p>
    <w:p w14:paraId="59E86E6D" w14:textId="2CBBA98D" w:rsidR="00E25945" w:rsidRDefault="001B2DAA" w:rsidP="00C87F05">
      <w:pPr>
        <w:rPr>
          <w:rFonts w:ascii="Times New Roman" w:hAnsi="Times New Roman" w:cs="Times New Roman"/>
        </w:rPr>
      </w:pPr>
      <w:r w:rsidRPr="00C87F05">
        <w:rPr>
          <w:rFonts w:ascii="Times New Roman" w:hAnsi="Times New Roman" w:cs="Times New Roman"/>
        </w:rPr>
        <w:t xml:space="preserve">Subsection 9(3) provides </w:t>
      </w:r>
      <w:r w:rsidR="00E25945">
        <w:rPr>
          <w:rFonts w:ascii="Times New Roman" w:hAnsi="Times New Roman" w:cs="Times New Roman"/>
        </w:rPr>
        <w:t>for an exception in the case where:</w:t>
      </w:r>
    </w:p>
    <w:p w14:paraId="5B9191D3" w14:textId="3814E5E8" w:rsidR="00E25945" w:rsidRDefault="00E25945" w:rsidP="00E25945">
      <w:pPr>
        <w:pStyle w:val="ListParagraph"/>
        <w:numPr>
          <w:ilvl w:val="0"/>
          <w:numId w:val="22"/>
        </w:numPr>
        <w:rPr>
          <w:rFonts w:ascii="Times New Roman" w:hAnsi="Times New Roman" w:cs="Times New Roman"/>
        </w:rPr>
      </w:pPr>
      <w:r>
        <w:rPr>
          <w:rFonts w:ascii="Times New Roman" w:hAnsi="Times New Roman" w:cs="Times New Roman"/>
        </w:rPr>
        <w:t xml:space="preserve">the device boundary is calculated to include a point that </w:t>
      </w:r>
      <w:r w:rsidR="001B2DAA" w:rsidRPr="007C7251">
        <w:rPr>
          <w:rFonts w:ascii="Times New Roman" w:hAnsi="Times New Roman" w:cs="Times New Roman"/>
        </w:rPr>
        <w:t xml:space="preserve">lies </w:t>
      </w:r>
      <w:r w:rsidR="00282B05">
        <w:rPr>
          <w:rFonts w:ascii="Times New Roman" w:hAnsi="Times New Roman" w:cs="Times New Roman"/>
        </w:rPr>
        <w:t xml:space="preserve">outside the geographic area of the licence, but </w:t>
      </w:r>
      <w:r w:rsidR="001B2DAA" w:rsidRPr="007C7251">
        <w:rPr>
          <w:rFonts w:ascii="Times New Roman" w:hAnsi="Times New Roman" w:cs="Times New Roman"/>
        </w:rPr>
        <w:t>inside the</w:t>
      </w:r>
      <w:r>
        <w:rPr>
          <w:rFonts w:ascii="Times New Roman" w:hAnsi="Times New Roman" w:cs="Times New Roman"/>
        </w:rPr>
        <w:t xml:space="preserve"> part of the ASMG represented by the</w:t>
      </w:r>
      <w:r w:rsidR="001B2DAA" w:rsidRPr="007C7251">
        <w:rPr>
          <w:rFonts w:ascii="Times New Roman" w:hAnsi="Times New Roman" w:cs="Times New Roman"/>
        </w:rPr>
        <w:t xml:space="preserve"> identifier MW4H6</w:t>
      </w:r>
      <w:r>
        <w:rPr>
          <w:rFonts w:ascii="Times New Roman" w:hAnsi="Times New Roman" w:cs="Times New Roman"/>
        </w:rPr>
        <w:t>;</w:t>
      </w:r>
      <w:r w:rsidR="001B2DAA" w:rsidRPr="007C7251">
        <w:rPr>
          <w:rFonts w:ascii="Times New Roman" w:hAnsi="Times New Roman" w:cs="Times New Roman"/>
        </w:rPr>
        <w:t xml:space="preserve"> and </w:t>
      </w:r>
    </w:p>
    <w:p w14:paraId="16ECD00E" w14:textId="3F5BE4EF" w:rsidR="001B2DAA" w:rsidRPr="007C7251" w:rsidRDefault="00E25945" w:rsidP="007C7251">
      <w:pPr>
        <w:pStyle w:val="ListParagraph"/>
        <w:numPr>
          <w:ilvl w:val="0"/>
          <w:numId w:val="22"/>
        </w:numPr>
        <w:rPr>
          <w:rFonts w:ascii="Times New Roman" w:hAnsi="Times New Roman" w:cs="Times New Roman"/>
        </w:rPr>
      </w:pPr>
      <w:r>
        <w:rPr>
          <w:rFonts w:ascii="Times New Roman" w:hAnsi="Times New Roman" w:cs="Times New Roman"/>
        </w:rPr>
        <w:t>a line from that point to the location of the relevant radiocommunications transmitter does not pass over the geographic</w:t>
      </w:r>
      <w:r w:rsidR="001B2DAA" w:rsidRPr="007C7251">
        <w:rPr>
          <w:rFonts w:ascii="Times New Roman" w:hAnsi="Times New Roman" w:cs="Times New Roman"/>
        </w:rPr>
        <w:t xml:space="preserve"> area of another spectrum licen</w:t>
      </w:r>
      <w:r>
        <w:rPr>
          <w:rFonts w:ascii="Times New Roman" w:hAnsi="Times New Roman" w:cs="Times New Roman"/>
        </w:rPr>
        <w:t>ce</w:t>
      </w:r>
      <w:r w:rsidR="00BE5038">
        <w:rPr>
          <w:rFonts w:ascii="Times New Roman" w:hAnsi="Times New Roman" w:cs="Times New Roman"/>
        </w:rPr>
        <w:t xml:space="preserve"> in the 26 GHz band</w:t>
      </w:r>
      <w:r w:rsidR="001B2DAA" w:rsidRPr="007C7251">
        <w:rPr>
          <w:rFonts w:ascii="Times New Roman" w:hAnsi="Times New Roman" w:cs="Times New Roman"/>
        </w:rPr>
        <w:t xml:space="preserve">. </w:t>
      </w:r>
    </w:p>
    <w:p w14:paraId="73F29C29" w14:textId="42DD41F6" w:rsidR="001B2DAA" w:rsidRPr="00C87F05" w:rsidRDefault="001B2DAA" w:rsidP="00C87F05">
      <w:pPr>
        <w:rPr>
          <w:rFonts w:ascii="Times New Roman" w:hAnsi="Times New Roman" w:cs="Times New Roman"/>
        </w:rPr>
      </w:pPr>
      <w:r w:rsidRPr="00C87F05">
        <w:rPr>
          <w:rFonts w:ascii="Times New Roman" w:hAnsi="Times New Roman" w:cs="Times New Roman"/>
        </w:rPr>
        <w:t>Subsection 9(</w:t>
      </w:r>
      <w:r w:rsidR="00C87F05" w:rsidRPr="00C87F05">
        <w:rPr>
          <w:rFonts w:ascii="Times New Roman" w:hAnsi="Times New Roman" w:cs="Times New Roman"/>
        </w:rPr>
        <w:t>4</w:t>
      </w:r>
      <w:r w:rsidRPr="00C87F05">
        <w:rPr>
          <w:rFonts w:ascii="Times New Roman" w:hAnsi="Times New Roman" w:cs="Times New Roman"/>
        </w:rPr>
        <w:t>) provides that if, in the calculation of the device boundary, a point lies outside the geographic area of the licence and it</w:t>
      </w:r>
      <w:r w:rsidR="00C87F05" w:rsidRPr="00C87F05">
        <w:rPr>
          <w:rFonts w:ascii="Times New Roman" w:hAnsi="Times New Roman" w:cs="Times New Roman"/>
        </w:rPr>
        <w:t xml:space="preserve"> is</w:t>
      </w:r>
      <w:r w:rsidRPr="00C87F05">
        <w:rPr>
          <w:rFonts w:ascii="Times New Roman" w:hAnsi="Times New Roman" w:cs="Times New Roman"/>
        </w:rPr>
        <w:t xml:space="preserve"> connected to a radial (calculated in accordance with Schedule</w:t>
      </w:r>
      <w:r w:rsidR="004F5DD9">
        <w:rPr>
          <w:rFonts w:ascii="Times New Roman" w:hAnsi="Times New Roman" w:cs="Times New Roman"/>
        </w:rPr>
        <w:t> </w:t>
      </w:r>
      <w:r w:rsidRPr="00C87F05">
        <w:rPr>
          <w:rFonts w:ascii="Times New Roman" w:hAnsi="Times New Roman" w:cs="Times New Roman"/>
        </w:rPr>
        <w:t xml:space="preserve">2) that, when outside the geographic area of the licences, only crosses over water, then the device is not declared to be causing unacceptable interference. </w:t>
      </w:r>
    </w:p>
    <w:p w14:paraId="61B213DD" w14:textId="41946248" w:rsidR="00BE5038" w:rsidRDefault="00BE5038" w:rsidP="00C87F05">
      <w:pPr>
        <w:rPr>
          <w:rFonts w:ascii="Times New Roman" w:hAnsi="Times New Roman" w:cs="Times New Roman"/>
        </w:rPr>
      </w:pPr>
      <w:r>
        <w:rPr>
          <w:rFonts w:ascii="Times New Roman" w:hAnsi="Times New Roman" w:cs="Times New Roman"/>
        </w:rPr>
        <w:t>In each of these cases, the fact that the device boundary is located outside of the geographic area of the licence does not mean that the transmitter is taken to be causing unacceptable interference. (The transmitter may</w:t>
      </w:r>
      <w:r w:rsidR="004C438E">
        <w:rPr>
          <w:rFonts w:ascii="Times New Roman" w:hAnsi="Times New Roman" w:cs="Times New Roman"/>
        </w:rPr>
        <w:t>, however,</w:t>
      </w:r>
      <w:r>
        <w:rPr>
          <w:rFonts w:ascii="Times New Roman" w:hAnsi="Times New Roman" w:cs="Times New Roman"/>
        </w:rPr>
        <w:t xml:space="preserve"> be taken to be causing unacceptable interference for other reasons.)</w:t>
      </w:r>
    </w:p>
    <w:p w14:paraId="22DE745F" w14:textId="1F44FD47" w:rsidR="002D040C" w:rsidRPr="00C87F05" w:rsidRDefault="002D040C" w:rsidP="00C87F05">
      <w:pPr>
        <w:rPr>
          <w:rFonts w:ascii="Times New Roman" w:hAnsi="Times New Roman" w:cs="Times New Roman"/>
        </w:rPr>
      </w:pPr>
      <w:r w:rsidRPr="00C87F05">
        <w:rPr>
          <w:rFonts w:ascii="Times New Roman" w:hAnsi="Times New Roman" w:cs="Times New Roman"/>
        </w:rPr>
        <w:lastRenderedPageBreak/>
        <w:t xml:space="preserve">The ASMG is </w:t>
      </w:r>
      <w:r w:rsidR="00BE5038">
        <w:rPr>
          <w:rFonts w:ascii="Times New Roman" w:hAnsi="Times New Roman" w:cs="Times New Roman"/>
        </w:rPr>
        <w:t xml:space="preserve">set out in the Australian Spectrum Map Grid 2012, available from the ACMA’s website. It is </w:t>
      </w:r>
      <w:r w:rsidRPr="00C87F05">
        <w:rPr>
          <w:rFonts w:ascii="Times New Roman" w:hAnsi="Times New Roman" w:cs="Times New Roman"/>
        </w:rPr>
        <w:t xml:space="preserve">used to identify </w:t>
      </w:r>
      <w:r w:rsidR="00BE5038">
        <w:rPr>
          <w:rFonts w:ascii="Times New Roman" w:hAnsi="Times New Roman" w:cs="Times New Roman"/>
        </w:rPr>
        <w:t xml:space="preserve">the </w:t>
      </w:r>
      <w:r w:rsidRPr="00C87F05">
        <w:rPr>
          <w:rFonts w:ascii="Times New Roman" w:hAnsi="Times New Roman" w:cs="Times New Roman"/>
        </w:rPr>
        <w:t xml:space="preserve">geographic areas of spectrum licences. In accordance with paragraph 66(1)(c) of the Act, a condition specifying the geographic area within which operation of radiocommunications devices is permitted under the licence, is a core condition of a spectrum licence. </w:t>
      </w:r>
    </w:p>
    <w:p w14:paraId="4B2331CF" w14:textId="2D192206" w:rsidR="002D040C" w:rsidRPr="00C87F05" w:rsidRDefault="002D040C" w:rsidP="00C87F05">
      <w:pPr>
        <w:rPr>
          <w:rFonts w:ascii="Times New Roman" w:hAnsi="Times New Roman" w:cs="Times New Roman"/>
        </w:rPr>
      </w:pPr>
      <w:r w:rsidRPr="00C87F05">
        <w:rPr>
          <w:rFonts w:ascii="Times New Roman" w:hAnsi="Times New Roman" w:cs="Times New Roman"/>
        </w:rPr>
        <w:t>The ASMG provides a hierarchical cell identification scheme</w:t>
      </w:r>
      <w:r w:rsidR="00C87F05" w:rsidRPr="00C87F05">
        <w:rPr>
          <w:rFonts w:ascii="Times New Roman" w:hAnsi="Times New Roman" w:cs="Times New Roman"/>
        </w:rPr>
        <w:t xml:space="preserve"> (</w:t>
      </w:r>
      <w:r w:rsidR="00C87F05" w:rsidRPr="007C7251">
        <w:rPr>
          <w:rFonts w:ascii="Times New Roman" w:hAnsi="Times New Roman" w:cs="Times New Roman"/>
          <w:b/>
          <w:bCs/>
        </w:rPr>
        <w:t>HCIS</w:t>
      </w:r>
      <w:r w:rsidR="00C87F05" w:rsidRPr="00C87F05">
        <w:rPr>
          <w:rFonts w:ascii="Times New Roman" w:hAnsi="Times New Roman" w:cs="Times New Roman"/>
        </w:rPr>
        <w:t>)</w:t>
      </w:r>
      <w:r w:rsidRPr="00C87F05">
        <w:rPr>
          <w:rFonts w:ascii="Times New Roman" w:hAnsi="Times New Roman" w:cs="Times New Roman"/>
        </w:rPr>
        <w:t xml:space="preserve">, which is intended to provide greater clarity, </w:t>
      </w:r>
      <w:proofErr w:type="gramStart"/>
      <w:r w:rsidRPr="00C87F05">
        <w:rPr>
          <w:rFonts w:ascii="Times New Roman" w:hAnsi="Times New Roman" w:cs="Times New Roman"/>
        </w:rPr>
        <w:t>flexibility</w:t>
      </w:r>
      <w:proofErr w:type="gramEnd"/>
      <w:r w:rsidRPr="00C87F05">
        <w:rPr>
          <w:rFonts w:ascii="Times New Roman" w:hAnsi="Times New Roman" w:cs="Times New Roman"/>
        </w:rPr>
        <w:t xml:space="preserve"> and certainty in identifying the geographic area of spectrum licences for the purposes of issue or trading.</w:t>
      </w:r>
      <w:r w:rsidR="007E6F45">
        <w:rPr>
          <w:rFonts w:ascii="Times New Roman" w:hAnsi="Times New Roman" w:cs="Times New Roman"/>
        </w:rPr>
        <w:t xml:space="preserve"> The HCIS identifier included in subsection 9(3) covers an area in the Australian Capital Territory</w:t>
      </w:r>
      <w:r w:rsidR="0094596B">
        <w:rPr>
          <w:rFonts w:ascii="Times New Roman" w:hAnsi="Times New Roman" w:cs="Times New Roman"/>
        </w:rPr>
        <w:t xml:space="preserve"> west of Canberra</w:t>
      </w:r>
      <w:r w:rsidR="000D1DE9">
        <w:rPr>
          <w:rFonts w:ascii="Times New Roman" w:hAnsi="Times New Roman" w:cs="Times New Roman"/>
        </w:rPr>
        <w:t>, in which the Canberra Deep Space Communications Complex is located</w:t>
      </w:r>
      <w:r w:rsidR="007E6F45">
        <w:rPr>
          <w:rFonts w:ascii="Times New Roman" w:hAnsi="Times New Roman" w:cs="Times New Roman"/>
        </w:rPr>
        <w:t>.</w:t>
      </w:r>
    </w:p>
    <w:p w14:paraId="203AAF1D" w14:textId="653AFD02" w:rsidR="002D040C" w:rsidRPr="00C87F05" w:rsidRDefault="002D040C" w:rsidP="00C87F05">
      <w:pPr>
        <w:rPr>
          <w:rFonts w:ascii="Times New Roman" w:hAnsi="Times New Roman" w:cs="Times New Roman"/>
        </w:rPr>
      </w:pPr>
      <w:r w:rsidRPr="00C87F05">
        <w:rPr>
          <w:rFonts w:ascii="Times New Roman" w:hAnsi="Times New Roman" w:cs="Times New Roman"/>
        </w:rPr>
        <w:t xml:space="preserve">Further details about the ASMG can be found in the Australian </w:t>
      </w:r>
      <w:r w:rsidR="00C83271">
        <w:rPr>
          <w:rFonts w:ascii="Times New Roman" w:hAnsi="Times New Roman" w:cs="Times New Roman"/>
        </w:rPr>
        <w:t>S</w:t>
      </w:r>
      <w:r w:rsidR="00C83271" w:rsidRPr="00C87F05">
        <w:rPr>
          <w:rFonts w:ascii="Times New Roman" w:hAnsi="Times New Roman" w:cs="Times New Roman"/>
        </w:rPr>
        <w:t xml:space="preserve">pectrum </w:t>
      </w:r>
      <w:r w:rsidR="00C83271">
        <w:rPr>
          <w:rFonts w:ascii="Times New Roman" w:hAnsi="Times New Roman" w:cs="Times New Roman"/>
        </w:rPr>
        <w:t>M</w:t>
      </w:r>
      <w:r w:rsidR="00C83271" w:rsidRPr="00C87F05">
        <w:rPr>
          <w:rFonts w:ascii="Times New Roman" w:hAnsi="Times New Roman" w:cs="Times New Roman"/>
        </w:rPr>
        <w:t xml:space="preserve">ap </w:t>
      </w:r>
      <w:r w:rsidR="00C83271">
        <w:rPr>
          <w:rFonts w:ascii="Times New Roman" w:hAnsi="Times New Roman" w:cs="Times New Roman"/>
        </w:rPr>
        <w:t>G</w:t>
      </w:r>
      <w:r w:rsidR="00C83271" w:rsidRPr="00C87F05">
        <w:rPr>
          <w:rFonts w:ascii="Times New Roman" w:hAnsi="Times New Roman" w:cs="Times New Roman"/>
        </w:rPr>
        <w:t xml:space="preserve">rid </w:t>
      </w:r>
      <w:r w:rsidRPr="00C87F05">
        <w:rPr>
          <w:rFonts w:ascii="Times New Roman" w:hAnsi="Times New Roman" w:cs="Times New Roman"/>
        </w:rPr>
        <w:t>2012, available from the ACMA website</w:t>
      </w:r>
      <w:r w:rsidR="00AF7B27">
        <w:rPr>
          <w:rFonts w:ascii="Times New Roman" w:hAnsi="Times New Roman" w:cs="Times New Roman"/>
        </w:rPr>
        <w:t xml:space="preserve">: </w:t>
      </w:r>
      <w:hyperlink r:id="rId17" w:history="1">
        <w:r w:rsidR="00AF7B27" w:rsidRPr="001133E2">
          <w:rPr>
            <w:rStyle w:val="Hyperlink"/>
            <w:rFonts w:ascii="Times New Roman" w:hAnsi="Times New Roman" w:cs="Times New Roman"/>
          </w:rPr>
          <w:t>www.acma.gov.au</w:t>
        </w:r>
      </w:hyperlink>
      <w:r w:rsidR="00AF7B27">
        <w:rPr>
          <w:rFonts w:ascii="Times New Roman" w:hAnsi="Times New Roman" w:cs="Times New Roman"/>
        </w:rPr>
        <w:t>.</w:t>
      </w:r>
    </w:p>
    <w:p w14:paraId="23756531" w14:textId="37B05EBA" w:rsidR="004C46F8" w:rsidRDefault="004C46F8" w:rsidP="004C46F8">
      <w:pPr>
        <w:rPr>
          <w:rFonts w:ascii="Times New Roman" w:hAnsi="Times New Roman" w:cs="Times New Roman"/>
          <w:b/>
        </w:rPr>
      </w:pPr>
      <w:r>
        <w:rPr>
          <w:rFonts w:ascii="Times New Roman" w:hAnsi="Times New Roman" w:cs="Times New Roman"/>
          <w:b/>
        </w:rPr>
        <w:t>Section 10</w:t>
      </w:r>
      <w:r>
        <w:rPr>
          <w:rFonts w:ascii="Times New Roman" w:hAnsi="Times New Roman" w:cs="Times New Roman"/>
          <w:b/>
        </w:rPr>
        <w:tab/>
        <w:t>Accuracy</w:t>
      </w:r>
    </w:p>
    <w:p w14:paraId="6C52117A" w14:textId="6F512461" w:rsidR="004C46F8" w:rsidRPr="008976BB" w:rsidRDefault="008976BB" w:rsidP="004C46F8">
      <w:pPr>
        <w:rPr>
          <w:rFonts w:ascii="Times New Roman" w:hAnsi="Times New Roman" w:cs="Times New Roman"/>
        </w:rPr>
      </w:pPr>
      <w:r w:rsidRPr="008976BB">
        <w:rPr>
          <w:rFonts w:ascii="Times New Roman" w:hAnsi="Times New Roman" w:cs="Times New Roman"/>
        </w:rPr>
        <w:t xml:space="preserve">Section </w:t>
      </w:r>
      <w:r>
        <w:rPr>
          <w:rFonts w:ascii="Times New Roman" w:hAnsi="Times New Roman" w:cs="Times New Roman"/>
        </w:rPr>
        <w:t>10</w:t>
      </w:r>
      <w:r w:rsidRPr="008976BB">
        <w:rPr>
          <w:rFonts w:ascii="Times New Roman" w:hAnsi="Times New Roman" w:cs="Times New Roman"/>
        </w:rPr>
        <w:t xml:space="preserve"> specifies that values of parameters estimated for the purpose of Schedules 2 </w:t>
      </w:r>
      <w:r w:rsidR="00DD2B88">
        <w:rPr>
          <w:rFonts w:ascii="Times New Roman" w:hAnsi="Times New Roman" w:cs="Times New Roman"/>
        </w:rPr>
        <w:t>or</w:t>
      </w:r>
      <w:r w:rsidRPr="008976BB">
        <w:rPr>
          <w:rFonts w:ascii="Times New Roman" w:hAnsi="Times New Roman" w:cs="Times New Roman"/>
        </w:rPr>
        <w:t xml:space="preserve"> 3 must be estimated with a level of confidence of not less than 95 percent that the true or actual value of the parameter of a radiocommunications transmitter will be below the requirement specified in </w:t>
      </w:r>
      <w:r w:rsidR="00DD2B88" w:rsidRPr="008976BB">
        <w:rPr>
          <w:rFonts w:ascii="Times New Roman" w:hAnsi="Times New Roman" w:cs="Times New Roman"/>
        </w:rPr>
        <w:t>Schedules</w:t>
      </w:r>
      <w:r w:rsidR="00DD2B88">
        <w:rPr>
          <w:rFonts w:ascii="Times New Roman" w:hAnsi="Times New Roman" w:cs="Times New Roman"/>
        </w:rPr>
        <w:t> </w:t>
      </w:r>
      <w:r w:rsidRPr="008976BB">
        <w:rPr>
          <w:rFonts w:ascii="Times New Roman" w:hAnsi="Times New Roman" w:cs="Times New Roman"/>
        </w:rPr>
        <w:t xml:space="preserve">2 </w:t>
      </w:r>
      <w:r w:rsidR="00DD2B88">
        <w:rPr>
          <w:rFonts w:ascii="Times New Roman" w:hAnsi="Times New Roman" w:cs="Times New Roman"/>
        </w:rPr>
        <w:t>or</w:t>
      </w:r>
      <w:r w:rsidR="00DD2B88" w:rsidRPr="008976BB">
        <w:rPr>
          <w:rFonts w:ascii="Times New Roman" w:hAnsi="Times New Roman" w:cs="Times New Roman"/>
        </w:rPr>
        <w:t xml:space="preserve"> </w:t>
      </w:r>
      <w:r w:rsidRPr="008976BB">
        <w:rPr>
          <w:rFonts w:ascii="Times New Roman" w:hAnsi="Times New Roman" w:cs="Times New Roman"/>
        </w:rPr>
        <w:t>3. That is to say, an estimate must have a likelihood of 95 percent or greater of being within the requirement for the parameter.</w:t>
      </w:r>
    </w:p>
    <w:p w14:paraId="0270F511" w14:textId="2BDAA225" w:rsidR="004C46F8" w:rsidRDefault="000256ED" w:rsidP="004C46F8">
      <w:pPr>
        <w:rPr>
          <w:rFonts w:ascii="Times New Roman" w:hAnsi="Times New Roman" w:cs="Times New Roman"/>
          <w:b/>
        </w:rPr>
      </w:pPr>
      <w:r>
        <w:rPr>
          <w:rFonts w:ascii="Times New Roman" w:hAnsi="Times New Roman" w:cs="Times New Roman"/>
          <w:b/>
        </w:rPr>
        <w:t>Schedule 1 – Location of a transmitter</w:t>
      </w:r>
    </w:p>
    <w:p w14:paraId="5B8E06E6" w14:textId="32E2147A" w:rsidR="000256ED" w:rsidRPr="000256ED" w:rsidRDefault="000256ED" w:rsidP="000256ED">
      <w:pPr>
        <w:rPr>
          <w:rFonts w:ascii="Times New Roman" w:hAnsi="Times New Roman" w:cs="Times New Roman"/>
        </w:rPr>
      </w:pPr>
      <w:r w:rsidRPr="000256ED">
        <w:rPr>
          <w:rFonts w:ascii="Times New Roman" w:hAnsi="Times New Roman" w:cs="Times New Roman"/>
        </w:rPr>
        <w:t xml:space="preserve">This Schedule </w:t>
      </w:r>
      <w:r w:rsidR="007E6F45">
        <w:rPr>
          <w:rFonts w:ascii="Times New Roman" w:hAnsi="Times New Roman" w:cs="Times New Roman"/>
        </w:rPr>
        <w:t>sets out how to work out</w:t>
      </w:r>
      <w:r w:rsidR="007E6F45" w:rsidRPr="000256ED">
        <w:rPr>
          <w:rFonts w:ascii="Times New Roman" w:hAnsi="Times New Roman" w:cs="Times New Roman"/>
        </w:rPr>
        <w:t xml:space="preserve"> </w:t>
      </w:r>
      <w:r w:rsidRPr="000256ED">
        <w:rPr>
          <w:rFonts w:ascii="Times New Roman" w:hAnsi="Times New Roman" w:cs="Times New Roman"/>
        </w:rPr>
        <w:t xml:space="preserve">the location of a radiocommunications transmitter (and </w:t>
      </w:r>
      <w:r w:rsidR="007E6F45">
        <w:rPr>
          <w:rFonts w:ascii="Times New Roman" w:hAnsi="Times New Roman" w:cs="Times New Roman"/>
        </w:rPr>
        <w:t>the location of</w:t>
      </w:r>
      <w:r w:rsidR="007E6F45" w:rsidRPr="000256ED">
        <w:rPr>
          <w:rFonts w:ascii="Times New Roman" w:hAnsi="Times New Roman" w:cs="Times New Roman"/>
        </w:rPr>
        <w:t xml:space="preserve"> </w:t>
      </w:r>
      <w:r w:rsidRPr="000256ED">
        <w:rPr>
          <w:rFonts w:ascii="Times New Roman" w:hAnsi="Times New Roman" w:cs="Times New Roman"/>
        </w:rPr>
        <w:t>a group of radiocommunications transmitters)</w:t>
      </w:r>
      <w:r w:rsidR="007E6F45">
        <w:rPr>
          <w:rFonts w:ascii="Times New Roman" w:hAnsi="Times New Roman" w:cs="Times New Roman"/>
        </w:rPr>
        <w:t>,</w:t>
      </w:r>
      <w:r w:rsidRPr="000256ED">
        <w:rPr>
          <w:rFonts w:ascii="Times New Roman" w:hAnsi="Times New Roman" w:cs="Times New Roman"/>
        </w:rPr>
        <w:t xml:space="preserve"> in terms of the location of the centre of the antenna or antennas specified in latitude and longitude. </w:t>
      </w:r>
    </w:p>
    <w:p w14:paraId="435886F9" w14:textId="7D60CAE3" w:rsidR="000256ED" w:rsidRDefault="000256ED" w:rsidP="004C46F8">
      <w:pPr>
        <w:rPr>
          <w:rFonts w:ascii="Times New Roman" w:hAnsi="Times New Roman" w:cs="Times New Roman"/>
          <w:b/>
        </w:rPr>
      </w:pPr>
      <w:r>
        <w:rPr>
          <w:rFonts w:ascii="Times New Roman" w:hAnsi="Times New Roman" w:cs="Times New Roman"/>
          <w:b/>
        </w:rPr>
        <w:t>Schedule 2 – Device boundaries and device boundary criteria</w:t>
      </w:r>
    </w:p>
    <w:p w14:paraId="2367E44E" w14:textId="16ED8D2F" w:rsidR="00EC2B08" w:rsidRPr="00EC2B08" w:rsidRDefault="00EC2B08" w:rsidP="00EC2B08">
      <w:pPr>
        <w:rPr>
          <w:rFonts w:ascii="Times New Roman" w:hAnsi="Times New Roman" w:cs="Times New Roman"/>
        </w:rPr>
      </w:pPr>
      <w:r w:rsidRPr="00EC2B08">
        <w:rPr>
          <w:rFonts w:ascii="Times New Roman" w:hAnsi="Times New Roman" w:cs="Times New Roman"/>
        </w:rPr>
        <w:t xml:space="preserve">This Schedule sets out the technical procedure for calculating the device boundary of a radiocommunications transmitter or group of radiocommunications transmitters, which is relevant for the application of section </w:t>
      </w:r>
      <w:r>
        <w:rPr>
          <w:rFonts w:ascii="Times New Roman" w:hAnsi="Times New Roman" w:cs="Times New Roman"/>
        </w:rPr>
        <w:t>9</w:t>
      </w:r>
      <w:r w:rsidRPr="00EC2B08">
        <w:rPr>
          <w:rFonts w:ascii="Times New Roman" w:hAnsi="Times New Roman" w:cs="Times New Roman"/>
        </w:rPr>
        <w:t xml:space="preserve"> of the </w:t>
      </w:r>
      <w:r>
        <w:rPr>
          <w:rFonts w:ascii="Times New Roman" w:hAnsi="Times New Roman" w:cs="Times New Roman"/>
        </w:rPr>
        <w:t>instrument</w:t>
      </w:r>
      <w:r w:rsidRPr="00EC2B08">
        <w:rPr>
          <w:rFonts w:ascii="Times New Roman" w:hAnsi="Times New Roman" w:cs="Times New Roman"/>
        </w:rPr>
        <w:t xml:space="preserve">. Under paragraph </w:t>
      </w:r>
      <w:r>
        <w:rPr>
          <w:rFonts w:ascii="Times New Roman" w:hAnsi="Times New Roman" w:cs="Times New Roman"/>
        </w:rPr>
        <w:t>9</w:t>
      </w:r>
      <w:r w:rsidRPr="00EC2B08">
        <w:rPr>
          <w:rFonts w:ascii="Times New Roman" w:hAnsi="Times New Roman" w:cs="Times New Roman"/>
        </w:rPr>
        <w:t xml:space="preserve">(1)(b) of the </w:t>
      </w:r>
      <w:r>
        <w:rPr>
          <w:rFonts w:ascii="Times New Roman" w:hAnsi="Times New Roman" w:cs="Times New Roman"/>
        </w:rPr>
        <w:t>instrument</w:t>
      </w:r>
      <w:r w:rsidRPr="00EC2B08">
        <w:rPr>
          <w:rFonts w:ascii="Times New Roman" w:hAnsi="Times New Roman" w:cs="Times New Roman"/>
        </w:rPr>
        <w:t xml:space="preserve">, a transmitter is taken to cause an unacceptable level of interference if its device boundary </w:t>
      </w:r>
      <w:r>
        <w:rPr>
          <w:rFonts w:ascii="Times New Roman" w:hAnsi="Times New Roman" w:cs="Times New Roman"/>
        </w:rPr>
        <w:t>lies outside</w:t>
      </w:r>
      <w:r w:rsidRPr="00EC2B08">
        <w:rPr>
          <w:rFonts w:ascii="Times New Roman" w:hAnsi="Times New Roman" w:cs="Times New Roman"/>
        </w:rPr>
        <w:t xml:space="preserve"> the geographic </w:t>
      </w:r>
      <w:r w:rsidR="00282B05">
        <w:rPr>
          <w:rFonts w:ascii="Times New Roman" w:hAnsi="Times New Roman" w:cs="Times New Roman"/>
        </w:rPr>
        <w:t>area</w:t>
      </w:r>
      <w:r w:rsidRPr="00EC2B08">
        <w:rPr>
          <w:rFonts w:ascii="Times New Roman" w:hAnsi="Times New Roman" w:cs="Times New Roman"/>
        </w:rPr>
        <w:t xml:space="preserve"> of the spectrum licence</w:t>
      </w:r>
      <w:r w:rsidR="00A62714">
        <w:rPr>
          <w:rFonts w:ascii="Times New Roman" w:hAnsi="Times New Roman" w:cs="Times New Roman"/>
        </w:rPr>
        <w:t>, subject to some exceptions</w:t>
      </w:r>
      <w:r w:rsidRPr="00EC2B08">
        <w:rPr>
          <w:rFonts w:ascii="Times New Roman" w:hAnsi="Times New Roman" w:cs="Times New Roman"/>
        </w:rPr>
        <w:t xml:space="preserve">. Under paragraph </w:t>
      </w:r>
      <w:r>
        <w:rPr>
          <w:rFonts w:ascii="Times New Roman" w:hAnsi="Times New Roman" w:cs="Times New Roman"/>
        </w:rPr>
        <w:t>9</w:t>
      </w:r>
      <w:r w:rsidRPr="00EC2B08">
        <w:rPr>
          <w:rFonts w:ascii="Times New Roman" w:hAnsi="Times New Roman" w:cs="Times New Roman"/>
        </w:rPr>
        <w:t xml:space="preserve">(1)(c) of the </w:t>
      </w:r>
      <w:r>
        <w:rPr>
          <w:rFonts w:ascii="Times New Roman" w:hAnsi="Times New Roman" w:cs="Times New Roman"/>
        </w:rPr>
        <w:t>instrument</w:t>
      </w:r>
      <w:r w:rsidRPr="00EC2B08">
        <w:rPr>
          <w:rFonts w:ascii="Times New Roman" w:hAnsi="Times New Roman" w:cs="Times New Roman"/>
        </w:rPr>
        <w:t>, a transmitter is also taken to cause an unacceptable level of interference if the device boundary of the transmitter cannot be calculated in accordance with Part 1 of Schedule</w:t>
      </w:r>
      <w:r w:rsidR="00DD2B88">
        <w:rPr>
          <w:rFonts w:ascii="Times New Roman" w:hAnsi="Times New Roman" w:cs="Times New Roman"/>
        </w:rPr>
        <w:t xml:space="preserve"> 2</w:t>
      </w:r>
      <w:r w:rsidRPr="00EC2B08">
        <w:rPr>
          <w:rFonts w:ascii="Times New Roman" w:hAnsi="Times New Roman" w:cs="Times New Roman"/>
        </w:rPr>
        <w:t>.</w:t>
      </w:r>
    </w:p>
    <w:p w14:paraId="63AE4DD7" w14:textId="77777777" w:rsidR="00EC2B08" w:rsidRPr="00EC2B08" w:rsidRDefault="00EC2B08" w:rsidP="00EC2B08">
      <w:pPr>
        <w:rPr>
          <w:rFonts w:ascii="Times New Roman" w:hAnsi="Times New Roman" w:cs="Times New Roman"/>
          <w:i/>
          <w:iCs/>
        </w:rPr>
      </w:pPr>
      <w:r w:rsidRPr="00EC2B08">
        <w:rPr>
          <w:rFonts w:ascii="Times New Roman" w:hAnsi="Times New Roman" w:cs="Times New Roman"/>
          <w:i/>
          <w:iCs/>
        </w:rPr>
        <w:t>Part 1 of Schedule 2</w:t>
      </w:r>
    </w:p>
    <w:p w14:paraId="7FF30D52" w14:textId="609EE58F" w:rsidR="00A62714" w:rsidRDefault="00EC2B08" w:rsidP="00EC2B08">
      <w:pPr>
        <w:rPr>
          <w:rFonts w:ascii="Times New Roman" w:hAnsi="Times New Roman" w:cs="Times New Roman"/>
        </w:rPr>
      </w:pPr>
      <w:r w:rsidRPr="00EC2B08">
        <w:rPr>
          <w:rFonts w:ascii="Times New Roman" w:hAnsi="Times New Roman" w:cs="Times New Roman"/>
        </w:rPr>
        <w:t xml:space="preserve">Part 1 of the Schedule details the steps involved in calculating the device boundary. The calculation is an iterative process and involves testing whether the device boundary criterion specified in Part 2 is met at increasing distances (of </w:t>
      </w:r>
      <w:r>
        <w:rPr>
          <w:rFonts w:ascii="Times New Roman" w:hAnsi="Times New Roman" w:cs="Times New Roman"/>
        </w:rPr>
        <w:t>1</w:t>
      </w:r>
      <w:r w:rsidRPr="00EC2B08">
        <w:rPr>
          <w:rFonts w:ascii="Times New Roman" w:hAnsi="Times New Roman" w:cs="Times New Roman"/>
        </w:rPr>
        <w:t xml:space="preserve">00 metre increments) from the transmitter along </w:t>
      </w:r>
      <w:proofErr w:type="spellStart"/>
      <w:r w:rsidRPr="00EC2B08">
        <w:rPr>
          <w:rFonts w:ascii="Times New Roman" w:hAnsi="Times New Roman" w:cs="Times New Roman"/>
        </w:rPr>
        <w:t>radial</w:t>
      </w:r>
      <w:proofErr w:type="spellEnd"/>
      <w:r w:rsidRPr="00EC2B08">
        <w:rPr>
          <w:rFonts w:ascii="Times New Roman" w:hAnsi="Times New Roman" w:cs="Times New Roman"/>
        </w:rPr>
        <w:t xml:space="preserve"> lines spaced around the centre location of the transmitter</w:t>
      </w:r>
      <w:r w:rsidR="00A62714">
        <w:rPr>
          <w:rFonts w:ascii="Times New Roman" w:hAnsi="Times New Roman" w:cs="Times New Roman"/>
        </w:rPr>
        <w:t xml:space="preserve"> (worked out in accordance with Schedule 1)</w:t>
      </w:r>
      <w:r w:rsidRPr="00EC2B08">
        <w:rPr>
          <w:rFonts w:ascii="Times New Roman" w:hAnsi="Times New Roman" w:cs="Times New Roman"/>
        </w:rPr>
        <w:t xml:space="preserve">. The latitude and longitude of the first point on a radial where the device boundary criterion is less than or equal to zero is considered to be the furthest point of the device boundary on this radial. </w:t>
      </w:r>
      <w:r w:rsidR="00A62714">
        <w:rPr>
          <w:rFonts w:ascii="Times New Roman" w:hAnsi="Times New Roman" w:cs="Times New Roman"/>
        </w:rPr>
        <w:t>There are 360 radials for each transmitter, meaning there are 360 points that form the device boundary.</w:t>
      </w:r>
    </w:p>
    <w:p w14:paraId="30ED1237" w14:textId="52108901" w:rsidR="00EC2B08" w:rsidRPr="00EC2B08" w:rsidRDefault="00A62714" w:rsidP="00EC2B08">
      <w:pPr>
        <w:rPr>
          <w:rFonts w:ascii="Times New Roman" w:hAnsi="Times New Roman" w:cs="Times New Roman"/>
        </w:rPr>
      </w:pPr>
      <w:r>
        <w:rPr>
          <w:rFonts w:ascii="Times New Roman" w:hAnsi="Times New Roman" w:cs="Times New Roman"/>
        </w:rPr>
        <w:t xml:space="preserve">If </w:t>
      </w:r>
      <w:r w:rsidR="00D079BD">
        <w:rPr>
          <w:rFonts w:ascii="Times New Roman" w:hAnsi="Times New Roman" w:cs="Times New Roman"/>
        </w:rPr>
        <w:t xml:space="preserve">the </w:t>
      </w:r>
      <w:r w:rsidR="00EC2B08" w:rsidRPr="00EC2B08">
        <w:rPr>
          <w:rFonts w:ascii="Times New Roman" w:hAnsi="Times New Roman" w:cs="Times New Roman"/>
        </w:rPr>
        <w:t xml:space="preserve">end point of </w:t>
      </w:r>
      <w:r w:rsidR="00D079BD">
        <w:rPr>
          <w:rFonts w:ascii="Times New Roman" w:hAnsi="Times New Roman" w:cs="Times New Roman"/>
        </w:rPr>
        <w:t>any</w:t>
      </w:r>
      <w:r w:rsidR="00D079BD" w:rsidRPr="00EC2B08">
        <w:rPr>
          <w:rFonts w:ascii="Times New Roman" w:hAnsi="Times New Roman" w:cs="Times New Roman"/>
        </w:rPr>
        <w:t xml:space="preserve"> </w:t>
      </w:r>
      <w:r w:rsidR="00EC2B08" w:rsidRPr="00EC2B08">
        <w:rPr>
          <w:rFonts w:ascii="Times New Roman" w:hAnsi="Times New Roman" w:cs="Times New Roman"/>
        </w:rPr>
        <w:t xml:space="preserve">radial </w:t>
      </w:r>
      <w:r w:rsidR="00D079BD">
        <w:rPr>
          <w:rFonts w:ascii="Times New Roman" w:hAnsi="Times New Roman" w:cs="Times New Roman"/>
        </w:rPr>
        <w:t>in relation to a transmitter is outside</w:t>
      </w:r>
      <w:r w:rsidR="00EC2B08" w:rsidRPr="00EC2B08">
        <w:rPr>
          <w:rFonts w:ascii="Times New Roman" w:hAnsi="Times New Roman" w:cs="Times New Roman"/>
        </w:rPr>
        <w:t xml:space="preserve"> the geographic </w:t>
      </w:r>
      <w:r>
        <w:rPr>
          <w:rFonts w:ascii="Times New Roman" w:hAnsi="Times New Roman" w:cs="Times New Roman"/>
        </w:rPr>
        <w:t>area</w:t>
      </w:r>
      <w:r w:rsidR="00EC2B08" w:rsidRPr="00EC2B08">
        <w:rPr>
          <w:rFonts w:ascii="Times New Roman" w:hAnsi="Times New Roman" w:cs="Times New Roman"/>
        </w:rPr>
        <w:t xml:space="preserve"> of the licence</w:t>
      </w:r>
      <w:r w:rsidR="00D079BD">
        <w:rPr>
          <w:rFonts w:ascii="Times New Roman" w:hAnsi="Times New Roman" w:cs="Times New Roman"/>
        </w:rPr>
        <w:t xml:space="preserve">, then unless an exception applies, the transmitter will be taken </w:t>
      </w:r>
      <w:r w:rsidR="00EC2B08" w:rsidRPr="00EC2B08">
        <w:rPr>
          <w:rFonts w:ascii="Times New Roman" w:hAnsi="Times New Roman" w:cs="Times New Roman"/>
        </w:rPr>
        <w:t xml:space="preserve">to cause </w:t>
      </w:r>
      <w:r w:rsidR="00D079BD">
        <w:rPr>
          <w:rFonts w:ascii="Times New Roman" w:hAnsi="Times New Roman" w:cs="Times New Roman"/>
        </w:rPr>
        <w:t xml:space="preserve">an </w:t>
      </w:r>
      <w:r w:rsidR="00EC2B08" w:rsidRPr="00EC2B08">
        <w:rPr>
          <w:rFonts w:ascii="Times New Roman" w:hAnsi="Times New Roman" w:cs="Times New Roman"/>
        </w:rPr>
        <w:t xml:space="preserve">unacceptable </w:t>
      </w:r>
      <w:r w:rsidR="00D079BD">
        <w:rPr>
          <w:rFonts w:ascii="Times New Roman" w:hAnsi="Times New Roman" w:cs="Times New Roman"/>
        </w:rPr>
        <w:t xml:space="preserve">level of </w:t>
      </w:r>
      <w:r w:rsidR="00EC2B08" w:rsidRPr="00EC2B08">
        <w:rPr>
          <w:rFonts w:ascii="Times New Roman" w:hAnsi="Times New Roman" w:cs="Times New Roman"/>
        </w:rPr>
        <w:t>interference.</w:t>
      </w:r>
    </w:p>
    <w:p w14:paraId="7B733722" w14:textId="77777777" w:rsidR="00EC2B08" w:rsidRPr="00EC2B08" w:rsidRDefault="00EC2B08" w:rsidP="00DC69D7">
      <w:pPr>
        <w:keepNext/>
        <w:spacing w:line="257" w:lineRule="auto"/>
        <w:rPr>
          <w:rFonts w:ascii="Times New Roman" w:hAnsi="Times New Roman" w:cs="Times New Roman"/>
          <w:i/>
          <w:iCs/>
        </w:rPr>
      </w:pPr>
      <w:r w:rsidRPr="00EC2B08">
        <w:rPr>
          <w:rFonts w:ascii="Times New Roman" w:hAnsi="Times New Roman" w:cs="Times New Roman"/>
          <w:i/>
          <w:iCs/>
        </w:rPr>
        <w:lastRenderedPageBreak/>
        <w:t>Part 2 of Schedule 2</w:t>
      </w:r>
    </w:p>
    <w:p w14:paraId="0E1708D8" w14:textId="58909DCD" w:rsidR="00EC2B08" w:rsidRPr="00EC2B08" w:rsidRDefault="00EC2B08" w:rsidP="00EC2B08">
      <w:pPr>
        <w:rPr>
          <w:rFonts w:ascii="Times New Roman" w:hAnsi="Times New Roman" w:cs="Times New Roman"/>
        </w:rPr>
      </w:pPr>
      <w:r w:rsidRPr="00EC2B08">
        <w:rPr>
          <w:rFonts w:ascii="Times New Roman" w:hAnsi="Times New Roman" w:cs="Times New Roman"/>
        </w:rPr>
        <w:t>Part 2 provides the device boundary criterion</w:t>
      </w:r>
      <w:r w:rsidR="00282B05">
        <w:rPr>
          <w:rFonts w:ascii="Times New Roman" w:hAnsi="Times New Roman" w:cs="Times New Roman"/>
        </w:rPr>
        <w:t>,</w:t>
      </w:r>
      <w:r w:rsidRPr="00EC2B08">
        <w:rPr>
          <w:rFonts w:ascii="Times New Roman" w:hAnsi="Times New Roman" w:cs="Times New Roman"/>
        </w:rPr>
        <w:t xml:space="preserve"> which is the mathematical expression used to calculate a device boundary in accordance with Part 1 of this Schedule. The mathematical expression consists of the horizontally radiated power of </w:t>
      </w:r>
      <w:r w:rsidR="002C451C">
        <w:rPr>
          <w:rFonts w:ascii="Times New Roman" w:hAnsi="Times New Roman" w:cs="Times New Roman"/>
        </w:rPr>
        <w:t>a</w:t>
      </w:r>
      <w:r w:rsidR="002C451C" w:rsidRPr="00EC2B08">
        <w:rPr>
          <w:rFonts w:ascii="Times New Roman" w:hAnsi="Times New Roman" w:cs="Times New Roman"/>
        </w:rPr>
        <w:t xml:space="preserve"> </w:t>
      </w:r>
      <w:r w:rsidRPr="00EC2B08">
        <w:rPr>
          <w:rFonts w:ascii="Times New Roman" w:hAnsi="Times New Roman" w:cs="Times New Roman"/>
        </w:rPr>
        <w:t>device minus the path loss function. The device boundary criterion has function dependencies which include the horizontally radiated power, the receiver level of protection and the propagation loss set out in Part 3 of this Schedule</w:t>
      </w:r>
      <w:r w:rsidR="002C451C">
        <w:rPr>
          <w:rFonts w:ascii="Times New Roman" w:hAnsi="Times New Roman" w:cs="Times New Roman"/>
        </w:rPr>
        <w:t>,</w:t>
      </w:r>
      <w:r w:rsidRPr="00EC2B08">
        <w:rPr>
          <w:rFonts w:ascii="Times New Roman" w:hAnsi="Times New Roman" w:cs="Times New Roman"/>
        </w:rPr>
        <w:t xml:space="preserve"> for each segment along each radial.</w:t>
      </w:r>
    </w:p>
    <w:p w14:paraId="1250C062" w14:textId="75B39EAC" w:rsidR="00EC2B08" w:rsidRPr="00EC2B08" w:rsidRDefault="00EC2B08" w:rsidP="00EC2B08">
      <w:pPr>
        <w:rPr>
          <w:rFonts w:ascii="Times New Roman" w:hAnsi="Times New Roman" w:cs="Times New Roman"/>
          <w:i/>
          <w:iCs/>
        </w:rPr>
      </w:pPr>
      <w:r w:rsidRPr="00EC2B08">
        <w:rPr>
          <w:rFonts w:ascii="Times New Roman" w:hAnsi="Times New Roman" w:cs="Times New Roman"/>
          <w:i/>
          <w:iCs/>
        </w:rPr>
        <w:t>Part 3 of Schedule 2</w:t>
      </w:r>
    </w:p>
    <w:p w14:paraId="3EF119DD" w14:textId="0639A436" w:rsidR="00EC2B08" w:rsidRPr="00EC2B08" w:rsidRDefault="00EC2B08" w:rsidP="00EC2B08">
      <w:pPr>
        <w:rPr>
          <w:rFonts w:ascii="Times New Roman" w:hAnsi="Times New Roman" w:cs="Times New Roman"/>
        </w:rPr>
      </w:pPr>
      <w:r w:rsidRPr="00EC2B08">
        <w:rPr>
          <w:rFonts w:ascii="Times New Roman" w:hAnsi="Times New Roman" w:cs="Times New Roman"/>
        </w:rPr>
        <w:t xml:space="preserve">Part 3 provides the </w:t>
      </w:r>
      <w:r w:rsidR="00303F15">
        <w:rPr>
          <w:rFonts w:ascii="Times New Roman" w:hAnsi="Times New Roman" w:cs="Times New Roman"/>
        </w:rPr>
        <w:t xml:space="preserve">methodology for </w:t>
      </w:r>
      <w:r w:rsidRPr="00EC2B08">
        <w:rPr>
          <w:rFonts w:ascii="Times New Roman" w:hAnsi="Times New Roman" w:cs="Times New Roman"/>
        </w:rPr>
        <w:t xml:space="preserve">determining the propagation loss component for determining the device boundary criterion in Part 2. </w:t>
      </w:r>
      <w:r w:rsidR="007B57FE">
        <w:rPr>
          <w:rFonts w:ascii="Times New Roman" w:hAnsi="Times New Roman" w:cs="Times New Roman"/>
        </w:rPr>
        <w:t xml:space="preserve">This part refers to specific ITU-R </w:t>
      </w:r>
      <w:r w:rsidR="0042756B">
        <w:rPr>
          <w:rFonts w:ascii="Times New Roman" w:hAnsi="Times New Roman" w:cs="Times New Roman"/>
        </w:rPr>
        <w:t xml:space="preserve">Recommendations </w:t>
      </w:r>
      <w:r w:rsidR="007B57FE">
        <w:rPr>
          <w:rFonts w:ascii="Times New Roman" w:hAnsi="Times New Roman" w:cs="Times New Roman"/>
        </w:rPr>
        <w:t xml:space="preserve">which </w:t>
      </w:r>
      <w:r w:rsidR="003D48C6">
        <w:rPr>
          <w:rFonts w:ascii="Times New Roman" w:hAnsi="Times New Roman" w:cs="Times New Roman"/>
        </w:rPr>
        <w:t>detail the method and parameters to be used to calculate the propagation loss. This part also details how relevant parameters, which are used in the calculation of propagation loss, are to be determined.</w:t>
      </w:r>
    </w:p>
    <w:p w14:paraId="2C693BBA" w14:textId="630E72F9" w:rsidR="000256ED" w:rsidRDefault="000256ED" w:rsidP="004C46F8">
      <w:pPr>
        <w:rPr>
          <w:rFonts w:ascii="Times New Roman" w:hAnsi="Times New Roman" w:cs="Times New Roman"/>
          <w:b/>
        </w:rPr>
      </w:pPr>
      <w:r>
        <w:rPr>
          <w:rFonts w:ascii="Times New Roman" w:hAnsi="Times New Roman" w:cs="Times New Roman"/>
          <w:b/>
        </w:rPr>
        <w:t>Schedule 3 – Antenna height and average ground height</w:t>
      </w:r>
    </w:p>
    <w:p w14:paraId="7D842F1C" w14:textId="77777777" w:rsidR="0068444F" w:rsidRPr="0068444F" w:rsidRDefault="0068444F" w:rsidP="0068444F">
      <w:pPr>
        <w:rPr>
          <w:rFonts w:ascii="Times New Roman" w:hAnsi="Times New Roman" w:cs="Times New Roman"/>
          <w:i/>
          <w:iCs/>
        </w:rPr>
      </w:pPr>
      <w:r w:rsidRPr="0068444F">
        <w:rPr>
          <w:rFonts w:ascii="Times New Roman" w:hAnsi="Times New Roman" w:cs="Times New Roman"/>
          <w:i/>
          <w:iCs/>
        </w:rPr>
        <w:t>Part 1 of Schedule 3</w:t>
      </w:r>
    </w:p>
    <w:p w14:paraId="531036C3" w14:textId="727D13DF" w:rsidR="0068444F" w:rsidRPr="0068444F" w:rsidRDefault="0068444F" w:rsidP="0068444F">
      <w:pPr>
        <w:rPr>
          <w:rFonts w:ascii="Times New Roman" w:hAnsi="Times New Roman" w:cs="Times New Roman"/>
        </w:rPr>
      </w:pPr>
      <w:r w:rsidRPr="0068444F">
        <w:rPr>
          <w:rFonts w:ascii="Times New Roman" w:hAnsi="Times New Roman" w:cs="Times New Roman"/>
        </w:rPr>
        <w:t xml:space="preserve">Part 1 of this Schedule specifies the procedure for calculating effective antenna height for the purpose of the </w:t>
      </w:r>
      <w:r>
        <w:rPr>
          <w:rFonts w:ascii="Times New Roman" w:hAnsi="Times New Roman" w:cs="Times New Roman"/>
        </w:rPr>
        <w:t>instrument</w:t>
      </w:r>
      <w:r w:rsidRPr="0068444F">
        <w:rPr>
          <w:rFonts w:ascii="Times New Roman" w:hAnsi="Times New Roman" w:cs="Times New Roman"/>
        </w:rPr>
        <w:t xml:space="preserve">, taking account of average ground height above sea level and antenna height above ground. The effective antenna height of a spectrum-licensed radiocommunications device is used to calculate the propagation loss component of the device boundary criterion. The device boundary criterion is set out in Part 2 of Schedule 2. The device boundary criterion is the mathematical expression used to calculate a device boundary. The process for calculating a device boundary is set out in Part 1 of Schedule 2. </w:t>
      </w:r>
    </w:p>
    <w:p w14:paraId="3011BEC4" w14:textId="77777777" w:rsidR="0068444F" w:rsidRPr="0068444F" w:rsidRDefault="0068444F" w:rsidP="0068444F">
      <w:pPr>
        <w:rPr>
          <w:rFonts w:ascii="Times New Roman" w:hAnsi="Times New Roman" w:cs="Times New Roman"/>
          <w:i/>
          <w:iCs/>
        </w:rPr>
      </w:pPr>
      <w:r w:rsidRPr="0068444F">
        <w:rPr>
          <w:rFonts w:ascii="Times New Roman" w:hAnsi="Times New Roman" w:cs="Times New Roman"/>
          <w:i/>
          <w:iCs/>
        </w:rPr>
        <w:t>Part 2 of Schedule 3</w:t>
      </w:r>
    </w:p>
    <w:p w14:paraId="33D03C92" w14:textId="3178FD36" w:rsidR="0068444F" w:rsidRPr="0068444F" w:rsidRDefault="0068444F" w:rsidP="0068444F">
      <w:pPr>
        <w:rPr>
          <w:rFonts w:ascii="Times New Roman" w:hAnsi="Times New Roman" w:cs="Times New Roman"/>
        </w:rPr>
      </w:pPr>
      <w:r w:rsidRPr="0068444F">
        <w:rPr>
          <w:rFonts w:ascii="Times New Roman" w:hAnsi="Times New Roman" w:cs="Times New Roman"/>
        </w:rPr>
        <w:t>Part 2 of this Schedule sets out the procedure for calculating the average ground height</w:t>
      </w:r>
      <w:r w:rsidR="00A80434">
        <w:rPr>
          <w:rFonts w:ascii="Times New Roman" w:hAnsi="Times New Roman" w:cs="Times New Roman"/>
        </w:rPr>
        <w:t xml:space="preserve"> of a point on any radial from the location of a radiocommunications transmitter. It does so by</w:t>
      </w:r>
      <w:r w:rsidRPr="0068444F">
        <w:rPr>
          <w:rFonts w:ascii="Times New Roman" w:hAnsi="Times New Roman" w:cs="Times New Roman"/>
        </w:rPr>
        <w:t xml:space="preserve"> taking account of the height of the cell in the digital elevation model corresponding to </w:t>
      </w:r>
      <w:r w:rsidR="00A80434">
        <w:rPr>
          <w:rFonts w:ascii="Times New Roman" w:hAnsi="Times New Roman" w:cs="Times New Roman"/>
        </w:rPr>
        <w:t xml:space="preserve">that point, </w:t>
      </w:r>
      <w:r w:rsidRPr="0068444F">
        <w:rPr>
          <w:rFonts w:ascii="Times New Roman" w:hAnsi="Times New Roman" w:cs="Times New Roman"/>
        </w:rPr>
        <w:t>and the surrounding cells.</w:t>
      </w:r>
    </w:p>
    <w:p w14:paraId="56B07EEF" w14:textId="67613B54" w:rsidR="0068444F" w:rsidRPr="0068444F" w:rsidRDefault="0068444F" w:rsidP="0068444F">
      <w:pPr>
        <w:rPr>
          <w:rFonts w:ascii="Times New Roman" w:hAnsi="Times New Roman" w:cs="Times New Roman"/>
        </w:rPr>
      </w:pPr>
      <w:r w:rsidRPr="0068444F">
        <w:rPr>
          <w:rFonts w:ascii="Times New Roman" w:hAnsi="Times New Roman" w:cs="Times New Roman"/>
        </w:rPr>
        <w:t>These heights are calculated with reference to a digital elevation model sourced from Geoscience Australia</w:t>
      </w:r>
      <w:r>
        <w:rPr>
          <w:rFonts w:ascii="Times New Roman" w:hAnsi="Times New Roman" w:cs="Times New Roman"/>
        </w:rPr>
        <w:t>.</w:t>
      </w:r>
    </w:p>
    <w:p w14:paraId="4C02851E" w14:textId="77777777" w:rsidR="0068444F" w:rsidRPr="0068444F" w:rsidRDefault="0068444F" w:rsidP="0068444F">
      <w:pPr>
        <w:rPr>
          <w:rFonts w:ascii="Times New Roman" w:hAnsi="Times New Roman" w:cs="Times New Roman"/>
          <w:i/>
          <w:iCs/>
        </w:rPr>
      </w:pPr>
      <w:r w:rsidRPr="0068444F">
        <w:rPr>
          <w:rFonts w:ascii="Times New Roman" w:hAnsi="Times New Roman" w:cs="Times New Roman"/>
          <w:i/>
          <w:iCs/>
        </w:rPr>
        <w:t>Part 3 of Schedule 3</w:t>
      </w:r>
    </w:p>
    <w:p w14:paraId="17B9B820" w14:textId="5D548FC3" w:rsidR="0068444F" w:rsidRPr="0068444F" w:rsidRDefault="0068444F" w:rsidP="0068444F">
      <w:pPr>
        <w:rPr>
          <w:rFonts w:ascii="Times New Roman" w:hAnsi="Times New Roman" w:cs="Times New Roman"/>
        </w:rPr>
      </w:pPr>
      <w:r w:rsidRPr="0068444F">
        <w:rPr>
          <w:rFonts w:ascii="Times New Roman" w:hAnsi="Times New Roman" w:cs="Times New Roman"/>
        </w:rPr>
        <w:t xml:space="preserve">Part 3 provides the mathematical formula for </w:t>
      </w:r>
      <w:proofErr w:type="spellStart"/>
      <w:r w:rsidRPr="0068444F">
        <w:rPr>
          <w:rFonts w:ascii="Times New Roman" w:hAnsi="Times New Roman" w:cs="Times New Roman"/>
        </w:rPr>
        <w:t>Vincenty’s</w:t>
      </w:r>
      <w:proofErr w:type="spellEnd"/>
      <w:r w:rsidRPr="0068444F">
        <w:rPr>
          <w:rFonts w:ascii="Times New Roman" w:hAnsi="Times New Roman" w:cs="Times New Roman"/>
        </w:rPr>
        <w:t xml:space="preserve"> Formula, which is used in the calculation of the coordinates (in </w:t>
      </w:r>
      <w:r w:rsidR="00A80434">
        <w:rPr>
          <w:rFonts w:ascii="Times New Roman" w:hAnsi="Times New Roman" w:cs="Times New Roman"/>
        </w:rPr>
        <w:t>l</w:t>
      </w:r>
      <w:r w:rsidRPr="0068444F">
        <w:rPr>
          <w:rFonts w:ascii="Times New Roman" w:hAnsi="Times New Roman" w:cs="Times New Roman"/>
        </w:rPr>
        <w:t xml:space="preserve">atitude and </w:t>
      </w:r>
      <w:r w:rsidR="00A80434">
        <w:rPr>
          <w:rFonts w:ascii="Times New Roman" w:hAnsi="Times New Roman" w:cs="Times New Roman"/>
        </w:rPr>
        <w:t>l</w:t>
      </w:r>
      <w:r w:rsidRPr="0068444F">
        <w:rPr>
          <w:rFonts w:ascii="Times New Roman" w:hAnsi="Times New Roman" w:cs="Times New Roman"/>
        </w:rPr>
        <w:t xml:space="preserve">ongitude) of the points along the radials about the transmitter in Part 1. These coordinates are used in Part 2 to obtain the average ground height for that point for use in Part 1. This simplification of </w:t>
      </w:r>
      <w:proofErr w:type="spellStart"/>
      <w:r w:rsidRPr="0068444F">
        <w:rPr>
          <w:rFonts w:ascii="Times New Roman" w:hAnsi="Times New Roman" w:cs="Times New Roman"/>
        </w:rPr>
        <w:t>Vi</w:t>
      </w:r>
      <w:r w:rsidR="004C6D9E">
        <w:rPr>
          <w:rFonts w:ascii="Times New Roman" w:hAnsi="Times New Roman" w:cs="Times New Roman"/>
        </w:rPr>
        <w:t>n</w:t>
      </w:r>
      <w:r w:rsidRPr="0068444F">
        <w:rPr>
          <w:rFonts w:ascii="Times New Roman" w:hAnsi="Times New Roman" w:cs="Times New Roman"/>
        </w:rPr>
        <w:t>centy’s</w:t>
      </w:r>
      <w:proofErr w:type="spellEnd"/>
      <w:r w:rsidRPr="0068444F">
        <w:rPr>
          <w:rFonts w:ascii="Times New Roman" w:hAnsi="Times New Roman" w:cs="Times New Roman"/>
        </w:rPr>
        <w:t xml:space="preserve"> Formulae performs location calculations over the GRS80 ellipsoid as referenced by the </w:t>
      </w:r>
      <w:r w:rsidR="000E2051">
        <w:rPr>
          <w:rFonts w:ascii="Times New Roman" w:hAnsi="Times New Roman" w:cs="Times New Roman"/>
        </w:rPr>
        <w:t>GDA94</w:t>
      </w:r>
      <w:r w:rsidRPr="0068444F">
        <w:rPr>
          <w:rFonts w:ascii="Times New Roman" w:hAnsi="Times New Roman" w:cs="Times New Roman"/>
        </w:rPr>
        <w:t xml:space="preserve"> to a high degree of accuracy</w:t>
      </w:r>
      <w:r w:rsidR="00A80434">
        <w:rPr>
          <w:rFonts w:ascii="Times New Roman" w:hAnsi="Times New Roman" w:cs="Times New Roman"/>
        </w:rPr>
        <w:t>,</w:t>
      </w:r>
      <w:r w:rsidRPr="0068444F">
        <w:rPr>
          <w:rFonts w:ascii="Times New Roman" w:hAnsi="Times New Roman" w:cs="Times New Roman"/>
        </w:rPr>
        <w:t xml:space="preserve"> using an iterative routine. </w:t>
      </w:r>
    </w:p>
    <w:p w14:paraId="458AF617" w14:textId="77777777" w:rsidR="00025ACE" w:rsidRPr="004C58B9" w:rsidRDefault="00025ACE" w:rsidP="004C58B9"/>
    <w:sectPr w:rsidR="00025ACE" w:rsidRPr="004C58B9" w:rsidSect="00082354">
      <w:headerReference w:type="default" r:id="rId18"/>
      <w:footerReference w:type="defaul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1F1C1" w14:textId="77777777" w:rsidR="000741FA" w:rsidRDefault="000741FA" w:rsidP="00025ACE">
      <w:pPr>
        <w:spacing w:after="0" w:line="240" w:lineRule="auto"/>
      </w:pPr>
      <w:r>
        <w:separator/>
      </w:r>
    </w:p>
  </w:endnote>
  <w:endnote w:type="continuationSeparator" w:id="0">
    <w:p w14:paraId="36524C80" w14:textId="77777777" w:rsidR="000741FA" w:rsidRDefault="000741FA"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4710804"/>
      <w:docPartObj>
        <w:docPartGallery w:val="Page Numbers (Bottom of Page)"/>
        <w:docPartUnique/>
      </w:docPartObj>
    </w:sdtPr>
    <w:sdtEndPr>
      <w:rPr>
        <w:i/>
        <w:noProof/>
      </w:rPr>
    </w:sdtEndPr>
    <w:sdtContent>
      <w:p w14:paraId="1E27C0A2" w14:textId="05D82D38" w:rsidR="00AD3414" w:rsidRDefault="00AD3414" w:rsidP="00AD3414">
        <w:pPr>
          <w:pStyle w:val="Footer"/>
          <w:pBdr>
            <w:top w:val="single" w:sz="4" w:space="1" w:color="auto"/>
          </w:pBdr>
          <w:jc w:val="center"/>
        </w:pPr>
      </w:p>
      <w:p w14:paraId="7A9CDA51" w14:textId="5E1ADF7A" w:rsidR="00AD3414" w:rsidRPr="00AD3414" w:rsidRDefault="00AD3414"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B110A2">
          <w:rPr>
            <w:rFonts w:ascii="Times New Roman" w:hAnsi="Times New Roman" w:cs="Times New Roman"/>
            <w:i/>
            <w:iCs/>
          </w:rPr>
          <w:t>Radiocommunications (Unacceptable Levels of Interference – 26 GHz Band) Determination 2020</w:t>
        </w:r>
      </w:p>
      <w:p w14:paraId="556B0C98" w14:textId="77777777" w:rsidR="00AD3414" w:rsidRDefault="00AD3414">
        <w:pPr>
          <w:pStyle w:val="Footer"/>
          <w:jc w:val="right"/>
        </w:pPr>
      </w:p>
      <w:p w14:paraId="4E36910F" w14:textId="06CF02C2"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D23BD5">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43B51" w14:textId="77777777" w:rsidR="000741FA" w:rsidRDefault="000741FA" w:rsidP="00025ACE">
      <w:pPr>
        <w:spacing w:after="0" w:line="240" w:lineRule="auto"/>
      </w:pPr>
      <w:r>
        <w:separator/>
      </w:r>
    </w:p>
    <w:p w14:paraId="24C47ABA" w14:textId="77777777" w:rsidR="000741FA" w:rsidRDefault="000741FA"/>
    <w:p w14:paraId="20A5056B" w14:textId="77777777" w:rsidR="000741FA" w:rsidRDefault="000741FA" w:rsidP="00025ACE">
      <w:pPr>
        <w:spacing w:after="0" w:line="240" w:lineRule="auto"/>
      </w:pPr>
      <w:r>
        <w:continuationSeparator/>
      </w:r>
    </w:p>
    <w:p w14:paraId="75CD9729" w14:textId="77777777" w:rsidR="000741FA" w:rsidRDefault="000741FA"/>
    <w:p w14:paraId="6B2CF00F" w14:textId="77777777" w:rsidR="000741FA" w:rsidRDefault="000741FA" w:rsidP="00025ACE">
      <w:pPr>
        <w:spacing w:after="0" w:line="240" w:lineRule="auto"/>
      </w:pPr>
      <w:r>
        <w:separator/>
      </w:r>
    </w:p>
    <w:p w14:paraId="36026C81" w14:textId="77777777" w:rsidR="000741FA" w:rsidRDefault="000741FA"/>
    <w:p w14:paraId="160970D9" w14:textId="77777777" w:rsidR="000741FA" w:rsidRDefault="000741FA" w:rsidP="00025ACE">
      <w:pPr>
        <w:spacing w:after="0" w:line="240" w:lineRule="auto"/>
      </w:pPr>
      <w:r>
        <w:continuationSeparator/>
      </w:r>
    </w:p>
    <w:p w14:paraId="033B0276" w14:textId="77777777" w:rsidR="000741FA" w:rsidRDefault="000741FA"/>
    <w:p w14:paraId="09DA233D" w14:textId="77777777" w:rsidR="000741FA" w:rsidRDefault="000741FA">
      <w:pPr>
        <w:pStyle w:val="Header"/>
      </w:pPr>
    </w:p>
    <w:p w14:paraId="1086A1C0" w14:textId="77777777" w:rsidR="000741FA" w:rsidRDefault="000741FA"/>
    <w:p w14:paraId="17F7EAE8" w14:textId="77777777" w:rsidR="000741FA" w:rsidRDefault="000741FA">
      <w:pPr>
        <w:pStyle w:val="Header"/>
      </w:pPr>
    </w:p>
    <w:p w14:paraId="1CFB784C" w14:textId="77777777" w:rsidR="000741FA" w:rsidRPr="00AD3414" w:rsidRDefault="000741FA">
      <w:pPr>
        <w:pStyle w:val="Header"/>
        <w:rPr>
          <w:rFonts w:ascii="Times New Roman" w:hAnsi="Times New Roman" w:cs="Times New Roman"/>
        </w:rPr>
      </w:pPr>
    </w:p>
    <w:p w14:paraId="7642CBAB" w14:textId="77777777" w:rsidR="000741FA" w:rsidRDefault="000741FA"/>
    <w:p w14:paraId="7B8C4F53" w14:textId="77777777" w:rsidR="000741FA" w:rsidRDefault="000741FA">
      <w:pPr>
        <w:pStyle w:val="Footer"/>
      </w:pPr>
    </w:p>
    <w:p w14:paraId="50CC1079" w14:textId="77777777" w:rsidR="000741FA" w:rsidRDefault="000741FA"/>
    <w:sdt>
      <w:sdtPr>
        <w:id w:val="1291319105"/>
        <w:docPartObj>
          <w:docPartGallery w:val="Page Numbers (Bottom of Page)"/>
          <w:docPartUnique/>
        </w:docPartObj>
      </w:sdtPr>
      <w:sdtEndPr>
        <w:rPr>
          <w:i/>
          <w:noProof/>
        </w:rPr>
      </w:sdtEndPr>
      <w:sdtContent>
        <w:p w14:paraId="3FA0CC65" w14:textId="77777777" w:rsidR="000741FA" w:rsidRDefault="000741FA" w:rsidP="00AD3414">
          <w:pPr>
            <w:pStyle w:val="Footer"/>
            <w:pBdr>
              <w:top w:val="single" w:sz="4" w:space="1" w:color="auto"/>
            </w:pBdr>
            <w:jc w:val="center"/>
          </w:pPr>
        </w:p>
        <w:p w14:paraId="16CE21C0" w14:textId="77777777" w:rsidR="000741FA" w:rsidRPr="00AD3414" w:rsidRDefault="000741FA"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proofErr w:type="spellStart"/>
          <w:r>
            <w:rPr>
              <w:rFonts w:ascii="Times New Roman" w:hAnsi="Times New Roman" w:cs="Times New Roman"/>
              <w:i/>
            </w:rPr>
            <w:t>Radiocommunicaitons</w:t>
          </w:r>
          <w:proofErr w:type="spellEnd"/>
          <w:r>
            <w:rPr>
              <w:rFonts w:ascii="Times New Roman" w:hAnsi="Times New Roman" w:cs="Times New Roman"/>
              <w:i/>
            </w:rPr>
            <w:t xml:space="preserve"> </w:t>
          </w:r>
          <w:proofErr w:type="spellStart"/>
          <w:r>
            <w:rPr>
              <w:rFonts w:ascii="Times New Roman" w:hAnsi="Times New Roman" w:cs="Times New Roman"/>
              <w:i/>
            </w:rPr>
            <w:t>Unacceptable</w:t>
          </w:r>
          <w:r w:rsidRPr="00AD3414">
            <w:rPr>
              <w:rFonts w:ascii="Times New Roman" w:hAnsi="Times New Roman" w:cs="Times New Roman"/>
              <w:i/>
            </w:rPr>
            <w:t>Title</w:t>
          </w:r>
          <w:proofErr w:type="spellEnd"/>
          <w:r w:rsidRPr="00AD3414">
            <w:rPr>
              <w:rFonts w:ascii="Times New Roman" w:hAnsi="Times New Roman" w:cs="Times New Roman"/>
              <w:i/>
            </w:rPr>
            <w:t xml:space="preserve"> of instrument, including year of making]</w:t>
          </w:r>
        </w:p>
        <w:p w14:paraId="7CF17B2B" w14:textId="77777777" w:rsidR="000741FA" w:rsidRDefault="000741FA">
          <w:pPr>
            <w:pStyle w:val="Footer"/>
            <w:jc w:val="right"/>
          </w:pPr>
        </w:p>
        <w:p w14:paraId="570F1835" w14:textId="77777777" w:rsidR="000741FA" w:rsidRPr="00AD3414" w:rsidRDefault="000741FA">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Pr>
              <w:rFonts w:ascii="Times New Roman" w:hAnsi="Times New Roman" w:cs="Times New Roman"/>
              <w:i/>
              <w:noProof/>
            </w:rPr>
            <w:t>6</w:t>
          </w:r>
          <w:r w:rsidRPr="00A07A2F">
            <w:rPr>
              <w:rFonts w:ascii="Times New Roman" w:hAnsi="Times New Roman" w:cs="Times New Roman"/>
              <w:i/>
              <w:noProof/>
            </w:rPr>
            <w:fldChar w:fldCharType="end"/>
          </w:r>
        </w:p>
      </w:sdtContent>
    </w:sdt>
    <w:p w14:paraId="79207F32" w14:textId="77777777" w:rsidR="000741FA" w:rsidRPr="00AD3414" w:rsidRDefault="000741FA" w:rsidP="00AD3414">
      <w:pPr>
        <w:pStyle w:val="Footer"/>
        <w:jc w:val="center"/>
        <w:rPr>
          <w:rFonts w:ascii="Times New Roman" w:hAnsi="Times New Roman" w:cs="Times New Roman"/>
        </w:rPr>
      </w:pPr>
    </w:p>
  </w:footnote>
  <w:footnote w:type="continuationSeparator" w:id="0">
    <w:p w14:paraId="51BEB08D" w14:textId="77777777" w:rsidR="000741FA" w:rsidRDefault="000741FA" w:rsidP="00025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97789A"/>
    <w:multiLevelType w:val="hybridMultilevel"/>
    <w:tmpl w:val="FB4C3230"/>
    <w:lvl w:ilvl="0" w:tplc="410A89E0">
      <w:numFmt w:val="bullet"/>
      <w:lvlText w:val=""/>
      <w:lvlJc w:val="left"/>
      <w:pPr>
        <w:ind w:left="720" w:hanging="360"/>
      </w:pPr>
      <w:rPr>
        <w:rFonts w:ascii="Symbol" w:eastAsiaTheme="minorHAnsi" w:hAnsi="Symbol" w:cs="Times New Roman" w:hint="default"/>
      </w:rPr>
    </w:lvl>
    <w:lvl w:ilvl="1" w:tplc="410A89E0">
      <w:numFmt w:val="bullet"/>
      <w:lvlText w:val=""/>
      <w:lvlJc w:val="left"/>
      <w:pPr>
        <w:ind w:left="1800" w:hanging="720"/>
      </w:pPr>
      <w:rPr>
        <w:rFonts w:ascii="Symbol" w:eastAsiaTheme="minorHAns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F22DBB"/>
    <w:multiLevelType w:val="hybridMultilevel"/>
    <w:tmpl w:val="1D444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8851D0"/>
    <w:multiLevelType w:val="hybridMultilevel"/>
    <w:tmpl w:val="AF0A8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A13CF3"/>
    <w:multiLevelType w:val="hybridMultilevel"/>
    <w:tmpl w:val="EA6E0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5A097F"/>
    <w:multiLevelType w:val="hybridMultilevel"/>
    <w:tmpl w:val="0E5EAFB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
  </w:num>
  <w:num w:numId="4">
    <w:abstractNumId w:val="7"/>
  </w:num>
  <w:num w:numId="5">
    <w:abstractNumId w:val="6"/>
  </w:num>
  <w:num w:numId="6">
    <w:abstractNumId w:val="0"/>
  </w:num>
  <w:num w:numId="7">
    <w:abstractNumId w:val="4"/>
  </w:num>
  <w:num w:numId="8">
    <w:abstractNumId w:val="11"/>
  </w:num>
  <w:num w:numId="9">
    <w:abstractNumId w:val="1"/>
  </w:num>
  <w:num w:numId="10">
    <w:abstractNumId w:val="4"/>
  </w:num>
  <w:num w:numId="11">
    <w:abstractNumId w:val="7"/>
  </w:num>
  <w:num w:numId="12">
    <w:abstractNumId w:val="6"/>
  </w:num>
  <w:num w:numId="13">
    <w:abstractNumId w:val="11"/>
  </w:num>
  <w:num w:numId="14">
    <w:abstractNumId w:val="1"/>
  </w:num>
  <w:num w:numId="15">
    <w:abstractNumId w:val="4"/>
  </w:num>
  <w:num w:numId="16">
    <w:abstractNumId w:val="7"/>
  </w:num>
  <w:num w:numId="17">
    <w:abstractNumId w:val="6"/>
  </w:num>
  <w:num w:numId="18">
    <w:abstractNumId w:val="2"/>
  </w:num>
  <w:num w:numId="19">
    <w:abstractNumId w:val="10"/>
  </w:num>
  <w:num w:numId="20">
    <w:abstractNumId w:val="5"/>
  </w:num>
  <w:num w:numId="21">
    <w:abstractNumId w:val="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720"/>
    <w:rsid w:val="000124F9"/>
    <w:rsid w:val="00013079"/>
    <w:rsid w:val="00013E51"/>
    <w:rsid w:val="00020B5F"/>
    <w:rsid w:val="000256ED"/>
    <w:rsid w:val="00025ACE"/>
    <w:rsid w:val="00025D00"/>
    <w:rsid w:val="00037F0E"/>
    <w:rsid w:val="00070D91"/>
    <w:rsid w:val="00072137"/>
    <w:rsid w:val="000726C7"/>
    <w:rsid w:val="000741FA"/>
    <w:rsid w:val="00074A8D"/>
    <w:rsid w:val="00076879"/>
    <w:rsid w:val="00082354"/>
    <w:rsid w:val="00085AD8"/>
    <w:rsid w:val="00095AB3"/>
    <w:rsid w:val="000A3A94"/>
    <w:rsid w:val="000B0BA7"/>
    <w:rsid w:val="000B113E"/>
    <w:rsid w:val="000B33B6"/>
    <w:rsid w:val="000B4B6C"/>
    <w:rsid w:val="000C6436"/>
    <w:rsid w:val="000D1DE9"/>
    <w:rsid w:val="000D4ECE"/>
    <w:rsid w:val="000E2051"/>
    <w:rsid w:val="000E38C9"/>
    <w:rsid w:val="000E59E0"/>
    <w:rsid w:val="000E6D57"/>
    <w:rsid w:val="000E6F58"/>
    <w:rsid w:val="000F6255"/>
    <w:rsid w:val="00104130"/>
    <w:rsid w:val="00112987"/>
    <w:rsid w:val="00117351"/>
    <w:rsid w:val="00120DCD"/>
    <w:rsid w:val="00121B9E"/>
    <w:rsid w:val="00122072"/>
    <w:rsid w:val="00134705"/>
    <w:rsid w:val="00146A0C"/>
    <w:rsid w:val="00155FF9"/>
    <w:rsid w:val="00161C73"/>
    <w:rsid w:val="00175FDD"/>
    <w:rsid w:val="00185BDC"/>
    <w:rsid w:val="00192B5A"/>
    <w:rsid w:val="001948E9"/>
    <w:rsid w:val="001A2C58"/>
    <w:rsid w:val="001A571F"/>
    <w:rsid w:val="001B2DAA"/>
    <w:rsid w:val="001C4BF8"/>
    <w:rsid w:val="001C5421"/>
    <w:rsid w:val="001C5BEF"/>
    <w:rsid w:val="001D1730"/>
    <w:rsid w:val="001D2DE1"/>
    <w:rsid w:val="001D5C25"/>
    <w:rsid w:val="001E343E"/>
    <w:rsid w:val="001E6BC9"/>
    <w:rsid w:val="00211D99"/>
    <w:rsid w:val="00212847"/>
    <w:rsid w:val="002220C1"/>
    <w:rsid w:val="00223D30"/>
    <w:rsid w:val="002508F7"/>
    <w:rsid w:val="00260CF7"/>
    <w:rsid w:val="002674E7"/>
    <w:rsid w:val="002700D9"/>
    <w:rsid w:val="00275921"/>
    <w:rsid w:val="00282B05"/>
    <w:rsid w:val="00292138"/>
    <w:rsid w:val="00294177"/>
    <w:rsid w:val="0029763A"/>
    <w:rsid w:val="002B6699"/>
    <w:rsid w:val="002C2256"/>
    <w:rsid w:val="002C451C"/>
    <w:rsid w:val="002D040C"/>
    <w:rsid w:val="002E3B2A"/>
    <w:rsid w:val="002F36E0"/>
    <w:rsid w:val="002F6AA5"/>
    <w:rsid w:val="00301A32"/>
    <w:rsid w:val="00303F15"/>
    <w:rsid w:val="00341EEB"/>
    <w:rsid w:val="003434D4"/>
    <w:rsid w:val="00343665"/>
    <w:rsid w:val="003463BA"/>
    <w:rsid w:val="0036752E"/>
    <w:rsid w:val="00370620"/>
    <w:rsid w:val="00375F8B"/>
    <w:rsid w:val="00375FA7"/>
    <w:rsid w:val="00382BA8"/>
    <w:rsid w:val="00384BD6"/>
    <w:rsid w:val="00385EF1"/>
    <w:rsid w:val="003A3635"/>
    <w:rsid w:val="003A7407"/>
    <w:rsid w:val="003B3D92"/>
    <w:rsid w:val="003C2F82"/>
    <w:rsid w:val="003C44B4"/>
    <w:rsid w:val="003D0F6D"/>
    <w:rsid w:val="003D48C6"/>
    <w:rsid w:val="003D5638"/>
    <w:rsid w:val="003D74BE"/>
    <w:rsid w:val="003E3DAC"/>
    <w:rsid w:val="0041003E"/>
    <w:rsid w:val="00412326"/>
    <w:rsid w:val="00414AFB"/>
    <w:rsid w:val="00421632"/>
    <w:rsid w:val="0042756B"/>
    <w:rsid w:val="004362E3"/>
    <w:rsid w:val="00446CB7"/>
    <w:rsid w:val="00450F48"/>
    <w:rsid w:val="0045489F"/>
    <w:rsid w:val="00474889"/>
    <w:rsid w:val="004826DD"/>
    <w:rsid w:val="004971D6"/>
    <w:rsid w:val="004A1064"/>
    <w:rsid w:val="004B5AB4"/>
    <w:rsid w:val="004C438E"/>
    <w:rsid w:val="004C46F8"/>
    <w:rsid w:val="004C58B9"/>
    <w:rsid w:val="004C6D9E"/>
    <w:rsid w:val="004D2843"/>
    <w:rsid w:val="004E0B74"/>
    <w:rsid w:val="004E790E"/>
    <w:rsid w:val="004F1D39"/>
    <w:rsid w:val="004F5DD9"/>
    <w:rsid w:val="0050389F"/>
    <w:rsid w:val="0052687A"/>
    <w:rsid w:val="00531A32"/>
    <w:rsid w:val="00541636"/>
    <w:rsid w:val="005638AF"/>
    <w:rsid w:val="005708FF"/>
    <w:rsid w:val="00570974"/>
    <w:rsid w:val="0059171F"/>
    <w:rsid w:val="005958D6"/>
    <w:rsid w:val="005964CF"/>
    <w:rsid w:val="005A1B04"/>
    <w:rsid w:val="005B3220"/>
    <w:rsid w:val="005C132E"/>
    <w:rsid w:val="005C65EB"/>
    <w:rsid w:val="005D41C6"/>
    <w:rsid w:val="005E3C0A"/>
    <w:rsid w:val="005F5BE6"/>
    <w:rsid w:val="00603B3F"/>
    <w:rsid w:val="00606AC8"/>
    <w:rsid w:val="00610643"/>
    <w:rsid w:val="00621840"/>
    <w:rsid w:val="00630142"/>
    <w:rsid w:val="00641906"/>
    <w:rsid w:val="00663AF2"/>
    <w:rsid w:val="00664519"/>
    <w:rsid w:val="00670716"/>
    <w:rsid w:val="00671216"/>
    <w:rsid w:val="00681986"/>
    <w:rsid w:val="0068444F"/>
    <w:rsid w:val="00686F06"/>
    <w:rsid w:val="00687290"/>
    <w:rsid w:val="006940DB"/>
    <w:rsid w:val="00696659"/>
    <w:rsid w:val="006A0BDF"/>
    <w:rsid w:val="006A53BB"/>
    <w:rsid w:val="006C2113"/>
    <w:rsid w:val="006C59D5"/>
    <w:rsid w:val="006E28E6"/>
    <w:rsid w:val="006F32BF"/>
    <w:rsid w:val="006F513D"/>
    <w:rsid w:val="00705A31"/>
    <w:rsid w:val="00706F43"/>
    <w:rsid w:val="0072773A"/>
    <w:rsid w:val="0074078B"/>
    <w:rsid w:val="0074661C"/>
    <w:rsid w:val="00750397"/>
    <w:rsid w:val="00766475"/>
    <w:rsid w:val="0077364D"/>
    <w:rsid w:val="007770B4"/>
    <w:rsid w:val="00794C5F"/>
    <w:rsid w:val="007A0103"/>
    <w:rsid w:val="007A12DF"/>
    <w:rsid w:val="007A1CF3"/>
    <w:rsid w:val="007A2277"/>
    <w:rsid w:val="007B57FE"/>
    <w:rsid w:val="007C7251"/>
    <w:rsid w:val="007E1EC0"/>
    <w:rsid w:val="007E6F45"/>
    <w:rsid w:val="007F2F5E"/>
    <w:rsid w:val="00804E0D"/>
    <w:rsid w:val="00805358"/>
    <w:rsid w:val="008070A8"/>
    <w:rsid w:val="00810499"/>
    <w:rsid w:val="0081166D"/>
    <w:rsid w:val="0081203C"/>
    <w:rsid w:val="00821F3F"/>
    <w:rsid w:val="00830B25"/>
    <w:rsid w:val="008341E8"/>
    <w:rsid w:val="008441CF"/>
    <w:rsid w:val="0084470A"/>
    <w:rsid w:val="0087247A"/>
    <w:rsid w:val="0087707C"/>
    <w:rsid w:val="00891A22"/>
    <w:rsid w:val="008976BB"/>
    <w:rsid w:val="008A1FDF"/>
    <w:rsid w:val="008A285D"/>
    <w:rsid w:val="008A2AAB"/>
    <w:rsid w:val="008A432F"/>
    <w:rsid w:val="008C584E"/>
    <w:rsid w:val="008D0FAE"/>
    <w:rsid w:val="008D4835"/>
    <w:rsid w:val="008E2D01"/>
    <w:rsid w:val="008E3483"/>
    <w:rsid w:val="008E3778"/>
    <w:rsid w:val="008F4C58"/>
    <w:rsid w:val="008F6164"/>
    <w:rsid w:val="0090572C"/>
    <w:rsid w:val="0091080B"/>
    <w:rsid w:val="00924324"/>
    <w:rsid w:val="00926833"/>
    <w:rsid w:val="0094596B"/>
    <w:rsid w:val="009462BF"/>
    <w:rsid w:val="009670B7"/>
    <w:rsid w:val="009723D1"/>
    <w:rsid w:val="009732C1"/>
    <w:rsid w:val="00977705"/>
    <w:rsid w:val="00982122"/>
    <w:rsid w:val="00985212"/>
    <w:rsid w:val="009B0B0C"/>
    <w:rsid w:val="009D228C"/>
    <w:rsid w:val="009D5783"/>
    <w:rsid w:val="009D67A8"/>
    <w:rsid w:val="009E1D92"/>
    <w:rsid w:val="009E4F28"/>
    <w:rsid w:val="009F0F63"/>
    <w:rsid w:val="009F3B3B"/>
    <w:rsid w:val="009F7219"/>
    <w:rsid w:val="00A07A2F"/>
    <w:rsid w:val="00A1386A"/>
    <w:rsid w:val="00A17EAA"/>
    <w:rsid w:val="00A213A8"/>
    <w:rsid w:val="00A21F3E"/>
    <w:rsid w:val="00A23AF2"/>
    <w:rsid w:val="00A30B11"/>
    <w:rsid w:val="00A34402"/>
    <w:rsid w:val="00A62714"/>
    <w:rsid w:val="00A64EC4"/>
    <w:rsid w:val="00A7023B"/>
    <w:rsid w:val="00A72849"/>
    <w:rsid w:val="00A80434"/>
    <w:rsid w:val="00A8752D"/>
    <w:rsid w:val="00A903B4"/>
    <w:rsid w:val="00AA39D4"/>
    <w:rsid w:val="00AA6088"/>
    <w:rsid w:val="00AB65E7"/>
    <w:rsid w:val="00AD3414"/>
    <w:rsid w:val="00AD500F"/>
    <w:rsid w:val="00AE2CB4"/>
    <w:rsid w:val="00AE6898"/>
    <w:rsid w:val="00AF080D"/>
    <w:rsid w:val="00AF3256"/>
    <w:rsid w:val="00AF6545"/>
    <w:rsid w:val="00AF7B27"/>
    <w:rsid w:val="00B00FC3"/>
    <w:rsid w:val="00B078B3"/>
    <w:rsid w:val="00B110A2"/>
    <w:rsid w:val="00B125C6"/>
    <w:rsid w:val="00B20CB4"/>
    <w:rsid w:val="00B35723"/>
    <w:rsid w:val="00B44FD4"/>
    <w:rsid w:val="00B52584"/>
    <w:rsid w:val="00B52F5E"/>
    <w:rsid w:val="00B665E6"/>
    <w:rsid w:val="00B727F3"/>
    <w:rsid w:val="00B86E46"/>
    <w:rsid w:val="00B90F17"/>
    <w:rsid w:val="00B92A7B"/>
    <w:rsid w:val="00B94B30"/>
    <w:rsid w:val="00BA7D17"/>
    <w:rsid w:val="00BB076E"/>
    <w:rsid w:val="00BB1CF2"/>
    <w:rsid w:val="00BB7A25"/>
    <w:rsid w:val="00BC0A3C"/>
    <w:rsid w:val="00BC4DD1"/>
    <w:rsid w:val="00BC5916"/>
    <w:rsid w:val="00BC621F"/>
    <w:rsid w:val="00BE1F02"/>
    <w:rsid w:val="00BE5038"/>
    <w:rsid w:val="00BF2AEE"/>
    <w:rsid w:val="00C016EF"/>
    <w:rsid w:val="00C032F0"/>
    <w:rsid w:val="00C03503"/>
    <w:rsid w:val="00C10E3A"/>
    <w:rsid w:val="00C14388"/>
    <w:rsid w:val="00C20621"/>
    <w:rsid w:val="00C21933"/>
    <w:rsid w:val="00C341AA"/>
    <w:rsid w:val="00C40644"/>
    <w:rsid w:val="00C50F2A"/>
    <w:rsid w:val="00C52681"/>
    <w:rsid w:val="00C57E29"/>
    <w:rsid w:val="00C63E8C"/>
    <w:rsid w:val="00C659A7"/>
    <w:rsid w:val="00C6674A"/>
    <w:rsid w:val="00C71CAF"/>
    <w:rsid w:val="00C76FFC"/>
    <w:rsid w:val="00C83271"/>
    <w:rsid w:val="00C87F05"/>
    <w:rsid w:val="00C91B4E"/>
    <w:rsid w:val="00C9259F"/>
    <w:rsid w:val="00CA10B6"/>
    <w:rsid w:val="00CA3398"/>
    <w:rsid w:val="00CA40FA"/>
    <w:rsid w:val="00CA6926"/>
    <w:rsid w:val="00CA735C"/>
    <w:rsid w:val="00CB3AD5"/>
    <w:rsid w:val="00CC12E3"/>
    <w:rsid w:val="00CD0D86"/>
    <w:rsid w:val="00CD71EB"/>
    <w:rsid w:val="00CE1507"/>
    <w:rsid w:val="00CE3CC8"/>
    <w:rsid w:val="00CE5861"/>
    <w:rsid w:val="00D02BC5"/>
    <w:rsid w:val="00D079BD"/>
    <w:rsid w:val="00D13D39"/>
    <w:rsid w:val="00D1598B"/>
    <w:rsid w:val="00D23BD5"/>
    <w:rsid w:val="00D2518B"/>
    <w:rsid w:val="00D32E4E"/>
    <w:rsid w:val="00D35790"/>
    <w:rsid w:val="00D5385A"/>
    <w:rsid w:val="00D57387"/>
    <w:rsid w:val="00D96E3B"/>
    <w:rsid w:val="00DA0D39"/>
    <w:rsid w:val="00DA57FE"/>
    <w:rsid w:val="00DB2501"/>
    <w:rsid w:val="00DB4A50"/>
    <w:rsid w:val="00DC69D7"/>
    <w:rsid w:val="00DD2B88"/>
    <w:rsid w:val="00DE7022"/>
    <w:rsid w:val="00DF2758"/>
    <w:rsid w:val="00DF786F"/>
    <w:rsid w:val="00E13030"/>
    <w:rsid w:val="00E25945"/>
    <w:rsid w:val="00E71617"/>
    <w:rsid w:val="00E7169D"/>
    <w:rsid w:val="00E833DA"/>
    <w:rsid w:val="00EB0C79"/>
    <w:rsid w:val="00EC2B08"/>
    <w:rsid w:val="00EC54C3"/>
    <w:rsid w:val="00EC76A0"/>
    <w:rsid w:val="00ED3ED8"/>
    <w:rsid w:val="00EE5E7F"/>
    <w:rsid w:val="00EE6297"/>
    <w:rsid w:val="00F33BD8"/>
    <w:rsid w:val="00F406BB"/>
    <w:rsid w:val="00F4414D"/>
    <w:rsid w:val="00F449ED"/>
    <w:rsid w:val="00F47101"/>
    <w:rsid w:val="00F50A18"/>
    <w:rsid w:val="00F675AA"/>
    <w:rsid w:val="00F76815"/>
    <w:rsid w:val="00FB4437"/>
    <w:rsid w:val="00FC0BF3"/>
    <w:rsid w:val="00FC67DA"/>
    <w:rsid w:val="00FD6A58"/>
    <w:rsid w:val="00FD6B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mabodytext0">
    <w:name w:val="acmabodytext"/>
    <w:basedOn w:val="Normal"/>
    <w:rsid w:val="0007687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076879"/>
    <w:rPr>
      <w:color w:val="605E5C"/>
      <w:shd w:val="clear" w:color="auto" w:fill="E1DFDD"/>
    </w:rPr>
  </w:style>
  <w:style w:type="character" w:styleId="FootnoteReference">
    <w:name w:val="footnote reference"/>
    <w:basedOn w:val="DefaultParagraphFont"/>
    <w:uiPriority w:val="99"/>
    <w:semiHidden/>
    <w:unhideWhenUsed/>
    <w:rsid w:val="00A72849"/>
  </w:style>
  <w:style w:type="character" w:styleId="FollowedHyperlink">
    <w:name w:val="FollowedHyperlink"/>
    <w:basedOn w:val="DefaultParagraphFont"/>
    <w:uiPriority w:val="99"/>
    <w:semiHidden/>
    <w:unhideWhenUsed/>
    <w:rsid w:val="00ED3ED8"/>
    <w:rPr>
      <w:color w:val="954F72" w:themeColor="followedHyperlink"/>
      <w:u w:val="single"/>
    </w:rPr>
  </w:style>
  <w:style w:type="paragraph" w:styleId="Revision">
    <w:name w:val="Revision"/>
    <w:hidden/>
    <w:uiPriority w:val="99"/>
    <w:semiHidden/>
    <w:rsid w:val="00ED3E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08790">
      <w:bodyDiv w:val="1"/>
      <w:marLeft w:val="0"/>
      <w:marRight w:val="0"/>
      <w:marTop w:val="0"/>
      <w:marBottom w:val="0"/>
      <w:divBdr>
        <w:top w:val="none" w:sz="0" w:space="0" w:color="auto"/>
        <w:left w:val="none" w:sz="0" w:space="0" w:color="auto"/>
        <w:bottom w:val="none" w:sz="0" w:space="0" w:color="auto"/>
        <w:right w:val="none" w:sz="0" w:space="0" w:color="auto"/>
      </w:divBdr>
      <w:divsChild>
        <w:div w:id="1328941403">
          <w:marLeft w:val="0"/>
          <w:marRight w:val="0"/>
          <w:marTop w:val="0"/>
          <w:marBottom w:val="0"/>
          <w:divBdr>
            <w:top w:val="none" w:sz="0" w:space="0" w:color="auto"/>
            <w:left w:val="none" w:sz="0" w:space="0" w:color="auto"/>
            <w:bottom w:val="none" w:sz="0" w:space="0" w:color="auto"/>
            <w:right w:val="none" w:sz="0" w:space="0" w:color="auto"/>
          </w:divBdr>
          <w:divsChild>
            <w:div w:id="774522220">
              <w:marLeft w:val="0"/>
              <w:marRight w:val="0"/>
              <w:marTop w:val="0"/>
              <w:marBottom w:val="0"/>
              <w:divBdr>
                <w:top w:val="none" w:sz="0" w:space="0" w:color="auto"/>
                <w:left w:val="none" w:sz="0" w:space="0" w:color="auto"/>
                <w:bottom w:val="none" w:sz="0" w:space="0" w:color="auto"/>
                <w:right w:val="none" w:sz="0" w:space="0" w:color="auto"/>
              </w:divBdr>
              <w:divsChild>
                <w:div w:id="1172572005">
                  <w:marLeft w:val="0"/>
                  <w:marRight w:val="0"/>
                  <w:marTop w:val="0"/>
                  <w:marBottom w:val="0"/>
                  <w:divBdr>
                    <w:top w:val="none" w:sz="0" w:space="0" w:color="auto"/>
                    <w:left w:val="none" w:sz="0" w:space="0" w:color="auto"/>
                    <w:bottom w:val="none" w:sz="0" w:space="0" w:color="auto"/>
                    <w:right w:val="none" w:sz="0" w:space="0" w:color="auto"/>
                  </w:divBdr>
                  <w:divsChild>
                    <w:div w:id="1476992010">
                      <w:marLeft w:val="0"/>
                      <w:marRight w:val="0"/>
                      <w:marTop w:val="0"/>
                      <w:marBottom w:val="0"/>
                      <w:divBdr>
                        <w:top w:val="none" w:sz="0" w:space="0" w:color="auto"/>
                        <w:left w:val="none" w:sz="0" w:space="0" w:color="auto"/>
                        <w:bottom w:val="none" w:sz="0" w:space="0" w:color="auto"/>
                        <w:right w:val="none" w:sz="0" w:space="0" w:color="auto"/>
                      </w:divBdr>
                      <w:divsChild>
                        <w:div w:id="1865559956">
                          <w:marLeft w:val="0"/>
                          <w:marRight w:val="0"/>
                          <w:marTop w:val="0"/>
                          <w:marBottom w:val="0"/>
                          <w:divBdr>
                            <w:top w:val="none" w:sz="0" w:space="0" w:color="auto"/>
                            <w:left w:val="none" w:sz="0" w:space="0" w:color="auto"/>
                            <w:bottom w:val="none" w:sz="0" w:space="0" w:color="auto"/>
                            <w:right w:val="none" w:sz="0" w:space="0" w:color="auto"/>
                          </w:divBdr>
                          <w:divsChild>
                            <w:div w:id="991831969">
                              <w:marLeft w:val="0"/>
                              <w:marRight w:val="0"/>
                              <w:marTop w:val="0"/>
                              <w:marBottom w:val="0"/>
                              <w:divBdr>
                                <w:top w:val="none" w:sz="0" w:space="0" w:color="auto"/>
                                <w:left w:val="none" w:sz="0" w:space="0" w:color="auto"/>
                                <w:bottom w:val="none" w:sz="0" w:space="0" w:color="auto"/>
                                <w:right w:val="none" w:sz="0" w:space="0" w:color="auto"/>
                              </w:divBdr>
                              <w:divsChild>
                                <w:div w:id="846678723">
                                  <w:marLeft w:val="0"/>
                                  <w:marRight w:val="0"/>
                                  <w:marTop w:val="0"/>
                                  <w:marBottom w:val="0"/>
                                  <w:divBdr>
                                    <w:top w:val="none" w:sz="0" w:space="0" w:color="auto"/>
                                    <w:left w:val="none" w:sz="0" w:space="0" w:color="auto"/>
                                    <w:bottom w:val="none" w:sz="0" w:space="0" w:color="auto"/>
                                    <w:right w:val="none" w:sz="0" w:space="0" w:color="auto"/>
                                  </w:divBdr>
                                  <w:divsChild>
                                    <w:div w:id="221988610">
                                      <w:marLeft w:val="0"/>
                                      <w:marRight w:val="0"/>
                                      <w:marTop w:val="0"/>
                                      <w:marBottom w:val="0"/>
                                      <w:divBdr>
                                        <w:top w:val="none" w:sz="0" w:space="0" w:color="auto"/>
                                        <w:left w:val="none" w:sz="0" w:space="0" w:color="auto"/>
                                        <w:bottom w:val="none" w:sz="0" w:space="0" w:color="auto"/>
                                        <w:right w:val="none" w:sz="0" w:space="0" w:color="auto"/>
                                      </w:divBdr>
                                      <w:divsChild>
                                        <w:div w:id="600138803">
                                          <w:marLeft w:val="0"/>
                                          <w:marRight w:val="0"/>
                                          <w:marTop w:val="0"/>
                                          <w:marBottom w:val="0"/>
                                          <w:divBdr>
                                            <w:top w:val="none" w:sz="0" w:space="0" w:color="auto"/>
                                            <w:left w:val="none" w:sz="0" w:space="0" w:color="auto"/>
                                            <w:bottom w:val="none" w:sz="0" w:space="0" w:color="auto"/>
                                            <w:right w:val="none" w:sz="0" w:space="0" w:color="auto"/>
                                          </w:divBdr>
                                          <w:divsChild>
                                            <w:div w:id="142822503">
                                              <w:marLeft w:val="0"/>
                                              <w:marRight w:val="0"/>
                                              <w:marTop w:val="0"/>
                                              <w:marBottom w:val="0"/>
                                              <w:divBdr>
                                                <w:top w:val="none" w:sz="0" w:space="0" w:color="auto"/>
                                                <w:left w:val="none" w:sz="0" w:space="0" w:color="auto"/>
                                                <w:bottom w:val="none" w:sz="0" w:space="0" w:color="auto"/>
                                                <w:right w:val="none" w:sz="0" w:space="0" w:color="auto"/>
                                              </w:divBdr>
                                              <w:divsChild>
                                                <w:div w:id="1438137251">
                                                  <w:marLeft w:val="0"/>
                                                  <w:marRight w:val="0"/>
                                                  <w:marTop w:val="0"/>
                                                  <w:marBottom w:val="0"/>
                                                  <w:divBdr>
                                                    <w:top w:val="none" w:sz="0" w:space="0" w:color="auto"/>
                                                    <w:left w:val="none" w:sz="0" w:space="0" w:color="auto"/>
                                                    <w:bottom w:val="none" w:sz="0" w:space="0" w:color="auto"/>
                                                    <w:right w:val="none" w:sz="0" w:space="0" w:color="auto"/>
                                                  </w:divBdr>
                                                  <w:divsChild>
                                                    <w:div w:id="812529496">
                                                      <w:marLeft w:val="0"/>
                                                      <w:marRight w:val="0"/>
                                                      <w:marTop w:val="0"/>
                                                      <w:marBottom w:val="0"/>
                                                      <w:divBdr>
                                                        <w:top w:val="none" w:sz="0" w:space="0" w:color="auto"/>
                                                        <w:left w:val="none" w:sz="0" w:space="0" w:color="auto"/>
                                                        <w:bottom w:val="none" w:sz="0" w:space="0" w:color="auto"/>
                                                        <w:right w:val="none" w:sz="0" w:space="0" w:color="auto"/>
                                                      </w:divBdr>
                                                      <w:divsChild>
                                                        <w:div w:id="12997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3391086">
      <w:bodyDiv w:val="1"/>
      <w:marLeft w:val="0"/>
      <w:marRight w:val="0"/>
      <w:marTop w:val="0"/>
      <w:marBottom w:val="0"/>
      <w:divBdr>
        <w:top w:val="none" w:sz="0" w:space="0" w:color="auto"/>
        <w:left w:val="none" w:sz="0" w:space="0" w:color="auto"/>
        <w:bottom w:val="none" w:sz="0" w:space="0" w:color="auto"/>
        <w:right w:val="none" w:sz="0" w:space="0" w:color="auto"/>
      </w:divBdr>
      <w:divsChild>
        <w:div w:id="978413355">
          <w:marLeft w:val="0"/>
          <w:marRight w:val="0"/>
          <w:marTop w:val="0"/>
          <w:marBottom w:val="0"/>
          <w:divBdr>
            <w:top w:val="none" w:sz="0" w:space="0" w:color="auto"/>
            <w:left w:val="none" w:sz="0" w:space="0" w:color="auto"/>
            <w:bottom w:val="none" w:sz="0" w:space="0" w:color="auto"/>
            <w:right w:val="none" w:sz="0" w:space="0" w:color="auto"/>
          </w:divBdr>
          <w:divsChild>
            <w:div w:id="1909025367">
              <w:marLeft w:val="0"/>
              <w:marRight w:val="0"/>
              <w:marTop w:val="0"/>
              <w:marBottom w:val="0"/>
              <w:divBdr>
                <w:top w:val="none" w:sz="0" w:space="0" w:color="auto"/>
                <w:left w:val="none" w:sz="0" w:space="0" w:color="auto"/>
                <w:bottom w:val="none" w:sz="0" w:space="0" w:color="auto"/>
                <w:right w:val="none" w:sz="0" w:space="0" w:color="auto"/>
              </w:divBdr>
              <w:divsChild>
                <w:div w:id="2097749447">
                  <w:marLeft w:val="0"/>
                  <w:marRight w:val="0"/>
                  <w:marTop w:val="0"/>
                  <w:marBottom w:val="0"/>
                  <w:divBdr>
                    <w:top w:val="none" w:sz="0" w:space="0" w:color="auto"/>
                    <w:left w:val="none" w:sz="0" w:space="0" w:color="auto"/>
                    <w:bottom w:val="none" w:sz="0" w:space="0" w:color="auto"/>
                    <w:right w:val="none" w:sz="0" w:space="0" w:color="auto"/>
                  </w:divBdr>
                  <w:divsChild>
                    <w:div w:id="602301347">
                      <w:marLeft w:val="0"/>
                      <w:marRight w:val="0"/>
                      <w:marTop w:val="0"/>
                      <w:marBottom w:val="0"/>
                      <w:divBdr>
                        <w:top w:val="none" w:sz="0" w:space="0" w:color="auto"/>
                        <w:left w:val="none" w:sz="0" w:space="0" w:color="auto"/>
                        <w:bottom w:val="none" w:sz="0" w:space="0" w:color="auto"/>
                        <w:right w:val="none" w:sz="0" w:space="0" w:color="auto"/>
                      </w:divBdr>
                      <w:divsChild>
                        <w:div w:id="677853232">
                          <w:marLeft w:val="0"/>
                          <w:marRight w:val="0"/>
                          <w:marTop w:val="0"/>
                          <w:marBottom w:val="0"/>
                          <w:divBdr>
                            <w:top w:val="none" w:sz="0" w:space="0" w:color="auto"/>
                            <w:left w:val="none" w:sz="0" w:space="0" w:color="auto"/>
                            <w:bottom w:val="none" w:sz="0" w:space="0" w:color="auto"/>
                            <w:right w:val="none" w:sz="0" w:space="0" w:color="auto"/>
                          </w:divBdr>
                          <w:divsChild>
                            <w:div w:id="1533112562">
                              <w:marLeft w:val="0"/>
                              <w:marRight w:val="0"/>
                              <w:marTop w:val="0"/>
                              <w:marBottom w:val="0"/>
                              <w:divBdr>
                                <w:top w:val="none" w:sz="0" w:space="0" w:color="auto"/>
                                <w:left w:val="none" w:sz="0" w:space="0" w:color="auto"/>
                                <w:bottom w:val="none" w:sz="0" w:space="0" w:color="auto"/>
                                <w:right w:val="none" w:sz="0" w:space="0" w:color="auto"/>
                              </w:divBdr>
                              <w:divsChild>
                                <w:div w:id="146282854">
                                  <w:marLeft w:val="0"/>
                                  <w:marRight w:val="0"/>
                                  <w:marTop w:val="0"/>
                                  <w:marBottom w:val="0"/>
                                  <w:divBdr>
                                    <w:top w:val="none" w:sz="0" w:space="0" w:color="auto"/>
                                    <w:left w:val="none" w:sz="0" w:space="0" w:color="auto"/>
                                    <w:bottom w:val="none" w:sz="0" w:space="0" w:color="auto"/>
                                    <w:right w:val="none" w:sz="0" w:space="0" w:color="auto"/>
                                  </w:divBdr>
                                  <w:divsChild>
                                    <w:div w:id="376856489">
                                      <w:marLeft w:val="0"/>
                                      <w:marRight w:val="0"/>
                                      <w:marTop w:val="0"/>
                                      <w:marBottom w:val="0"/>
                                      <w:divBdr>
                                        <w:top w:val="none" w:sz="0" w:space="0" w:color="auto"/>
                                        <w:left w:val="none" w:sz="0" w:space="0" w:color="auto"/>
                                        <w:bottom w:val="none" w:sz="0" w:space="0" w:color="auto"/>
                                        <w:right w:val="none" w:sz="0" w:space="0" w:color="auto"/>
                                      </w:divBdr>
                                      <w:divsChild>
                                        <w:div w:id="1884708664">
                                          <w:marLeft w:val="0"/>
                                          <w:marRight w:val="0"/>
                                          <w:marTop w:val="0"/>
                                          <w:marBottom w:val="0"/>
                                          <w:divBdr>
                                            <w:top w:val="none" w:sz="0" w:space="0" w:color="auto"/>
                                            <w:left w:val="none" w:sz="0" w:space="0" w:color="auto"/>
                                            <w:bottom w:val="none" w:sz="0" w:space="0" w:color="auto"/>
                                            <w:right w:val="none" w:sz="0" w:space="0" w:color="auto"/>
                                          </w:divBdr>
                                          <w:divsChild>
                                            <w:div w:id="1515337344">
                                              <w:marLeft w:val="0"/>
                                              <w:marRight w:val="0"/>
                                              <w:marTop w:val="0"/>
                                              <w:marBottom w:val="0"/>
                                              <w:divBdr>
                                                <w:top w:val="none" w:sz="0" w:space="0" w:color="auto"/>
                                                <w:left w:val="none" w:sz="0" w:space="0" w:color="auto"/>
                                                <w:bottom w:val="none" w:sz="0" w:space="0" w:color="auto"/>
                                                <w:right w:val="none" w:sz="0" w:space="0" w:color="auto"/>
                                              </w:divBdr>
                                              <w:divsChild>
                                                <w:div w:id="111631555">
                                                  <w:marLeft w:val="0"/>
                                                  <w:marRight w:val="0"/>
                                                  <w:marTop w:val="0"/>
                                                  <w:marBottom w:val="0"/>
                                                  <w:divBdr>
                                                    <w:top w:val="none" w:sz="0" w:space="0" w:color="auto"/>
                                                    <w:left w:val="none" w:sz="0" w:space="0" w:color="auto"/>
                                                    <w:bottom w:val="none" w:sz="0" w:space="0" w:color="auto"/>
                                                    <w:right w:val="none" w:sz="0" w:space="0" w:color="auto"/>
                                                  </w:divBdr>
                                                  <w:divsChild>
                                                    <w:div w:id="1205363586">
                                                      <w:marLeft w:val="0"/>
                                                      <w:marRight w:val="0"/>
                                                      <w:marTop w:val="0"/>
                                                      <w:marBottom w:val="0"/>
                                                      <w:divBdr>
                                                        <w:top w:val="none" w:sz="0" w:space="0" w:color="auto"/>
                                                        <w:left w:val="none" w:sz="0" w:space="0" w:color="auto"/>
                                                        <w:bottom w:val="none" w:sz="0" w:space="0" w:color="auto"/>
                                                        <w:right w:val="none" w:sz="0" w:space="0" w:color="auto"/>
                                                      </w:divBdr>
                                                      <w:divsChild>
                                                        <w:div w:id="7948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468887833">
      <w:bodyDiv w:val="1"/>
      <w:marLeft w:val="0"/>
      <w:marRight w:val="0"/>
      <w:marTop w:val="0"/>
      <w:marBottom w:val="0"/>
      <w:divBdr>
        <w:top w:val="none" w:sz="0" w:space="0" w:color="auto"/>
        <w:left w:val="none" w:sz="0" w:space="0" w:color="auto"/>
        <w:bottom w:val="none" w:sz="0" w:space="0" w:color="auto"/>
        <w:right w:val="none" w:sz="0" w:space="0" w:color="auto"/>
      </w:divBdr>
      <w:divsChild>
        <w:div w:id="30343667">
          <w:marLeft w:val="0"/>
          <w:marRight w:val="0"/>
          <w:marTop w:val="0"/>
          <w:marBottom w:val="0"/>
          <w:divBdr>
            <w:top w:val="none" w:sz="0" w:space="0" w:color="auto"/>
            <w:left w:val="none" w:sz="0" w:space="0" w:color="auto"/>
            <w:bottom w:val="none" w:sz="0" w:space="0" w:color="auto"/>
            <w:right w:val="none" w:sz="0" w:space="0" w:color="auto"/>
          </w:divBdr>
          <w:divsChild>
            <w:div w:id="157843355">
              <w:marLeft w:val="0"/>
              <w:marRight w:val="0"/>
              <w:marTop w:val="0"/>
              <w:marBottom w:val="0"/>
              <w:divBdr>
                <w:top w:val="none" w:sz="0" w:space="0" w:color="auto"/>
                <w:left w:val="none" w:sz="0" w:space="0" w:color="auto"/>
                <w:bottom w:val="none" w:sz="0" w:space="0" w:color="auto"/>
                <w:right w:val="none" w:sz="0" w:space="0" w:color="auto"/>
              </w:divBdr>
              <w:divsChild>
                <w:div w:id="111634233">
                  <w:marLeft w:val="0"/>
                  <w:marRight w:val="0"/>
                  <w:marTop w:val="0"/>
                  <w:marBottom w:val="0"/>
                  <w:divBdr>
                    <w:top w:val="none" w:sz="0" w:space="0" w:color="auto"/>
                    <w:left w:val="none" w:sz="0" w:space="0" w:color="auto"/>
                    <w:bottom w:val="none" w:sz="0" w:space="0" w:color="auto"/>
                    <w:right w:val="none" w:sz="0" w:space="0" w:color="auto"/>
                  </w:divBdr>
                  <w:divsChild>
                    <w:div w:id="723263360">
                      <w:marLeft w:val="0"/>
                      <w:marRight w:val="0"/>
                      <w:marTop w:val="0"/>
                      <w:marBottom w:val="0"/>
                      <w:divBdr>
                        <w:top w:val="none" w:sz="0" w:space="0" w:color="auto"/>
                        <w:left w:val="none" w:sz="0" w:space="0" w:color="auto"/>
                        <w:bottom w:val="none" w:sz="0" w:space="0" w:color="auto"/>
                        <w:right w:val="none" w:sz="0" w:space="0" w:color="auto"/>
                      </w:divBdr>
                      <w:divsChild>
                        <w:div w:id="518473207">
                          <w:marLeft w:val="0"/>
                          <w:marRight w:val="0"/>
                          <w:marTop w:val="0"/>
                          <w:marBottom w:val="0"/>
                          <w:divBdr>
                            <w:top w:val="none" w:sz="0" w:space="0" w:color="auto"/>
                            <w:left w:val="none" w:sz="0" w:space="0" w:color="auto"/>
                            <w:bottom w:val="none" w:sz="0" w:space="0" w:color="auto"/>
                            <w:right w:val="none" w:sz="0" w:space="0" w:color="auto"/>
                          </w:divBdr>
                          <w:divsChild>
                            <w:div w:id="565453443">
                              <w:marLeft w:val="0"/>
                              <w:marRight w:val="0"/>
                              <w:marTop w:val="0"/>
                              <w:marBottom w:val="0"/>
                              <w:divBdr>
                                <w:top w:val="none" w:sz="0" w:space="0" w:color="auto"/>
                                <w:left w:val="none" w:sz="0" w:space="0" w:color="auto"/>
                                <w:bottom w:val="none" w:sz="0" w:space="0" w:color="auto"/>
                                <w:right w:val="none" w:sz="0" w:space="0" w:color="auto"/>
                              </w:divBdr>
                              <w:divsChild>
                                <w:div w:id="1857185963">
                                  <w:marLeft w:val="0"/>
                                  <w:marRight w:val="0"/>
                                  <w:marTop w:val="0"/>
                                  <w:marBottom w:val="0"/>
                                  <w:divBdr>
                                    <w:top w:val="none" w:sz="0" w:space="0" w:color="auto"/>
                                    <w:left w:val="none" w:sz="0" w:space="0" w:color="auto"/>
                                    <w:bottom w:val="none" w:sz="0" w:space="0" w:color="auto"/>
                                    <w:right w:val="none" w:sz="0" w:space="0" w:color="auto"/>
                                  </w:divBdr>
                                  <w:divsChild>
                                    <w:div w:id="1172796801">
                                      <w:marLeft w:val="0"/>
                                      <w:marRight w:val="0"/>
                                      <w:marTop w:val="0"/>
                                      <w:marBottom w:val="0"/>
                                      <w:divBdr>
                                        <w:top w:val="none" w:sz="0" w:space="0" w:color="auto"/>
                                        <w:left w:val="none" w:sz="0" w:space="0" w:color="auto"/>
                                        <w:bottom w:val="none" w:sz="0" w:space="0" w:color="auto"/>
                                        <w:right w:val="none" w:sz="0" w:space="0" w:color="auto"/>
                                      </w:divBdr>
                                      <w:divsChild>
                                        <w:div w:id="189686633">
                                          <w:marLeft w:val="0"/>
                                          <w:marRight w:val="0"/>
                                          <w:marTop w:val="0"/>
                                          <w:marBottom w:val="0"/>
                                          <w:divBdr>
                                            <w:top w:val="none" w:sz="0" w:space="0" w:color="auto"/>
                                            <w:left w:val="none" w:sz="0" w:space="0" w:color="auto"/>
                                            <w:bottom w:val="none" w:sz="0" w:space="0" w:color="auto"/>
                                            <w:right w:val="none" w:sz="0" w:space="0" w:color="auto"/>
                                          </w:divBdr>
                                          <w:divsChild>
                                            <w:div w:id="1775856024">
                                              <w:marLeft w:val="0"/>
                                              <w:marRight w:val="0"/>
                                              <w:marTop w:val="0"/>
                                              <w:marBottom w:val="0"/>
                                              <w:divBdr>
                                                <w:top w:val="none" w:sz="0" w:space="0" w:color="auto"/>
                                                <w:left w:val="none" w:sz="0" w:space="0" w:color="auto"/>
                                                <w:bottom w:val="none" w:sz="0" w:space="0" w:color="auto"/>
                                                <w:right w:val="none" w:sz="0" w:space="0" w:color="auto"/>
                                              </w:divBdr>
                                              <w:divsChild>
                                                <w:div w:id="774330127">
                                                  <w:marLeft w:val="0"/>
                                                  <w:marRight w:val="0"/>
                                                  <w:marTop w:val="0"/>
                                                  <w:marBottom w:val="0"/>
                                                  <w:divBdr>
                                                    <w:top w:val="none" w:sz="0" w:space="0" w:color="auto"/>
                                                    <w:left w:val="none" w:sz="0" w:space="0" w:color="auto"/>
                                                    <w:bottom w:val="none" w:sz="0" w:space="0" w:color="auto"/>
                                                    <w:right w:val="none" w:sz="0" w:space="0" w:color="auto"/>
                                                  </w:divBdr>
                                                  <w:divsChild>
                                                    <w:div w:id="325478865">
                                                      <w:marLeft w:val="0"/>
                                                      <w:marRight w:val="0"/>
                                                      <w:marTop w:val="0"/>
                                                      <w:marBottom w:val="0"/>
                                                      <w:divBdr>
                                                        <w:top w:val="none" w:sz="0" w:space="0" w:color="auto"/>
                                                        <w:left w:val="none" w:sz="0" w:space="0" w:color="auto"/>
                                                        <w:bottom w:val="none" w:sz="0" w:space="0" w:color="auto"/>
                                                        <w:right w:val="none" w:sz="0" w:space="0" w:color="auto"/>
                                                      </w:divBdr>
                                                      <w:divsChild>
                                                        <w:div w:id="15694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661111">
      <w:bodyDiv w:val="1"/>
      <w:marLeft w:val="0"/>
      <w:marRight w:val="0"/>
      <w:marTop w:val="0"/>
      <w:marBottom w:val="0"/>
      <w:divBdr>
        <w:top w:val="none" w:sz="0" w:space="0" w:color="auto"/>
        <w:left w:val="none" w:sz="0" w:space="0" w:color="auto"/>
        <w:bottom w:val="none" w:sz="0" w:space="0" w:color="auto"/>
        <w:right w:val="none" w:sz="0" w:space="0" w:color="auto"/>
      </w:divBdr>
    </w:div>
    <w:div w:id="1556624723">
      <w:bodyDiv w:val="1"/>
      <w:marLeft w:val="0"/>
      <w:marRight w:val="0"/>
      <w:marTop w:val="0"/>
      <w:marBottom w:val="0"/>
      <w:divBdr>
        <w:top w:val="none" w:sz="0" w:space="0" w:color="auto"/>
        <w:left w:val="none" w:sz="0" w:space="0" w:color="auto"/>
        <w:bottom w:val="none" w:sz="0" w:space="0" w:color="auto"/>
        <w:right w:val="none" w:sz="0" w:space="0" w:color="auto"/>
      </w:divBdr>
      <w:divsChild>
        <w:div w:id="467170521">
          <w:marLeft w:val="0"/>
          <w:marRight w:val="0"/>
          <w:marTop w:val="0"/>
          <w:marBottom w:val="0"/>
          <w:divBdr>
            <w:top w:val="none" w:sz="0" w:space="0" w:color="auto"/>
            <w:left w:val="none" w:sz="0" w:space="0" w:color="auto"/>
            <w:bottom w:val="none" w:sz="0" w:space="0" w:color="auto"/>
            <w:right w:val="none" w:sz="0" w:space="0" w:color="auto"/>
          </w:divBdr>
          <w:divsChild>
            <w:div w:id="720981015">
              <w:marLeft w:val="0"/>
              <w:marRight w:val="0"/>
              <w:marTop w:val="0"/>
              <w:marBottom w:val="0"/>
              <w:divBdr>
                <w:top w:val="none" w:sz="0" w:space="0" w:color="auto"/>
                <w:left w:val="none" w:sz="0" w:space="0" w:color="auto"/>
                <w:bottom w:val="none" w:sz="0" w:space="0" w:color="auto"/>
                <w:right w:val="none" w:sz="0" w:space="0" w:color="auto"/>
              </w:divBdr>
              <w:divsChild>
                <w:div w:id="57676382">
                  <w:marLeft w:val="0"/>
                  <w:marRight w:val="0"/>
                  <w:marTop w:val="0"/>
                  <w:marBottom w:val="0"/>
                  <w:divBdr>
                    <w:top w:val="none" w:sz="0" w:space="0" w:color="auto"/>
                    <w:left w:val="none" w:sz="0" w:space="0" w:color="auto"/>
                    <w:bottom w:val="none" w:sz="0" w:space="0" w:color="auto"/>
                    <w:right w:val="none" w:sz="0" w:space="0" w:color="auto"/>
                  </w:divBdr>
                  <w:divsChild>
                    <w:div w:id="1926986560">
                      <w:marLeft w:val="0"/>
                      <w:marRight w:val="0"/>
                      <w:marTop w:val="0"/>
                      <w:marBottom w:val="0"/>
                      <w:divBdr>
                        <w:top w:val="none" w:sz="0" w:space="0" w:color="auto"/>
                        <w:left w:val="none" w:sz="0" w:space="0" w:color="auto"/>
                        <w:bottom w:val="none" w:sz="0" w:space="0" w:color="auto"/>
                        <w:right w:val="none" w:sz="0" w:space="0" w:color="auto"/>
                      </w:divBdr>
                      <w:divsChild>
                        <w:div w:id="1058866603">
                          <w:marLeft w:val="0"/>
                          <w:marRight w:val="0"/>
                          <w:marTop w:val="0"/>
                          <w:marBottom w:val="0"/>
                          <w:divBdr>
                            <w:top w:val="none" w:sz="0" w:space="0" w:color="auto"/>
                            <w:left w:val="none" w:sz="0" w:space="0" w:color="auto"/>
                            <w:bottom w:val="none" w:sz="0" w:space="0" w:color="auto"/>
                            <w:right w:val="none" w:sz="0" w:space="0" w:color="auto"/>
                          </w:divBdr>
                          <w:divsChild>
                            <w:div w:id="2064987788">
                              <w:marLeft w:val="0"/>
                              <w:marRight w:val="0"/>
                              <w:marTop w:val="0"/>
                              <w:marBottom w:val="0"/>
                              <w:divBdr>
                                <w:top w:val="none" w:sz="0" w:space="0" w:color="auto"/>
                                <w:left w:val="none" w:sz="0" w:space="0" w:color="auto"/>
                                <w:bottom w:val="none" w:sz="0" w:space="0" w:color="auto"/>
                                <w:right w:val="none" w:sz="0" w:space="0" w:color="auto"/>
                              </w:divBdr>
                              <w:divsChild>
                                <w:div w:id="1759790268">
                                  <w:marLeft w:val="0"/>
                                  <w:marRight w:val="0"/>
                                  <w:marTop w:val="0"/>
                                  <w:marBottom w:val="0"/>
                                  <w:divBdr>
                                    <w:top w:val="none" w:sz="0" w:space="0" w:color="auto"/>
                                    <w:left w:val="none" w:sz="0" w:space="0" w:color="auto"/>
                                    <w:bottom w:val="none" w:sz="0" w:space="0" w:color="auto"/>
                                    <w:right w:val="none" w:sz="0" w:space="0" w:color="auto"/>
                                  </w:divBdr>
                                  <w:divsChild>
                                    <w:div w:id="509030429">
                                      <w:marLeft w:val="0"/>
                                      <w:marRight w:val="0"/>
                                      <w:marTop w:val="0"/>
                                      <w:marBottom w:val="0"/>
                                      <w:divBdr>
                                        <w:top w:val="none" w:sz="0" w:space="0" w:color="auto"/>
                                        <w:left w:val="none" w:sz="0" w:space="0" w:color="auto"/>
                                        <w:bottom w:val="none" w:sz="0" w:space="0" w:color="auto"/>
                                        <w:right w:val="none" w:sz="0" w:space="0" w:color="auto"/>
                                      </w:divBdr>
                                      <w:divsChild>
                                        <w:div w:id="1001468048">
                                          <w:marLeft w:val="0"/>
                                          <w:marRight w:val="0"/>
                                          <w:marTop w:val="0"/>
                                          <w:marBottom w:val="0"/>
                                          <w:divBdr>
                                            <w:top w:val="none" w:sz="0" w:space="0" w:color="auto"/>
                                            <w:left w:val="none" w:sz="0" w:space="0" w:color="auto"/>
                                            <w:bottom w:val="none" w:sz="0" w:space="0" w:color="auto"/>
                                            <w:right w:val="none" w:sz="0" w:space="0" w:color="auto"/>
                                          </w:divBdr>
                                          <w:divsChild>
                                            <w:div w:id="1590580832">
                                              <w:marLeft w:val="0"/>
                                              <w:marRight w:val="0"/>
                                              <w:marTop w:val="0"/>
                                              <w:marBottom w:val="0"/>
                                              <w:divBdr>
                                                <w:top w:val="none" w:sz="0" w:space="0" w:color="auto"/>
                                                <w:left w:val="none" w:sz="0" w:space="0" w:color="auto"/>
                                                <w:bottom w:val="none" w:sz="0" w:space="0" w:color="auto"/>
                                                <w:right w:val="none" w:sz="0" w:space="0" w:color="auto"/>
                                              </w:divBdr>
                                              <w:divsChild>
                                                <w:div w:id="652488937">
                                                  <w:marLeft w:val="0"/>
                                                  <w:marRight w:val="0"/>
                                                  <w:marTop w:val="0"/>
                                                  <w:marBottom w:val="0"/>
                                                  <w:divBdr>
                                                    <w:top w:val="none" w:sz="0" w:space="0" w:color="auto"/>
                                                    <w:left w:val="none" w:sz="0" w:space="0" w:color="auto"/>
                                                    <w:bottom w:val="none" w:sz="0" w:space="0" w:color="auto"/>
                                                    <w:right w:val="none" w:sz="0" w:space="0" w:color="auto"/>
                                                  </w:divBdr>
                                                  <w:divsChild>
                                                    <w:div w:id="286745911">
                                                      <w:marLeft w:val="0"/>
                                                      <w:marRight w:val="0"/>
                                                      <w:marTop w:val="0"/>
                                                      <w:marBottom w:val="0"/>
                                                      <w:divBdr>
                                                        <w:top w:val="none" w:sz="0" w:space="0" w:color="auto"/>
                                                        <w:left w:val="none" w:sz="0" w:space="0" w:color="auto"/>
                                                        <w:bottom w:val="none" w:sz="0" w:space="0" w:color="auto"/>
                                                        <w:right w:val="none" w:sz="0" w:space="0" w:color="auto"/>
                                                      </w:divBdr>
                                                      <w:divsChild>
                                                        <w:div w:id="84817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4102266">
      <w:bodyDiv w:val="1"/>
      <w:marLeft w:val="0"/>
      <w:marRight w:val="0"/>
      <w:marTop w:val="0"/>
      <w:marBottom w:val="0"/>
      <w:divBdr>
        <w:top w:val="none" w:sz="0" w:space="0" w:color="auto"/>
        <w:left w:val="none" w:sz="0" w:space="0" w:color="auto"/>
        <w:bottom w:val="none" w:sz="0" w:space="0" w:color="auto"/>
        <w:right w:val="none" w:sz="0" w:space="0" w:color="auto"/>
      </w:divBdr>
      <w:divsChild>
        <w:div w:id="1499735502">
          <w:marLeft w:val="0"/>
          <w:marRight w:val="0"/>
          <w:marTop w:val="0"/>
          <w:marBottom w:val="0"/>
          <w:divBdr>
            <w:top w:val="none" w:sz="0" w:space="0" w:color="auto"/>
            <w:left w:val="none" w:sz="0" w:space="0" w:color="auto"/>
            <w:bottom w:val="none" w:sz="0" w:space="0" w:color="auto"/>
            <w:right w:val="none" w:sz="0" w:space="0" w:color="auto"/>
          </w:divBdr>
          <w:divsChild>
            <w:div w:id="786581761">
              <w:marLeft w:val="0"/>
              <w:marRight w:val="0"/>
              <w:marTop w:val="0"/>
              <w:marBottom w:val="0"/>
              <w:divBdr>
                <w:top w:val="none" w:sz="0" w:space="0" w:color="auto"/>
                <w:left w:val="none" w:sz="0" w:space="0" w:color="auto"/>
                <w:bottom w:val="none" w:sz="0" w:space="0" w:color="auto"/>
                <w:right w:val="none" w:sz="0" w:space="0" w:color="auto"/>
              </w:divBdr>
              <w:divsChild>
                <w:div w:id="53820405">
                  <w:marLeft w:val="0"/>
                  <w:marRight w:val="0"/>
                  <w:marTop w:val="0"/>
                  <w:marBottom w:val="0"/>
                  <w:divBdr>
                    <w:top w:val="none" w:sz="0" w:space="0" w:color="auto"/>
                    <w:left w:val="none" w:sz="0" w:space="0" w:color="auto"/>
                    <w:bottom w:val="none" w:sz="0" w:space="0" w:color="auto"/>
                    <w:right w:val="none" w:sz="0" w:space="0" w:color="auto"/>
                  </w:divBdr>
                  <w:divsChild>
                    <w:div w:id="1584100063">
                      <w:marLeft w:val="0"/>
                      <w:marRight w:val="0"/>
                      <w:marTop w:val="0"/>
                      <w:marBottom w:val="0"/>
                      <w:divBdr>
                        <w:top w:val="none" w:sz="0" w:space="0" w:color="auto"/>
                        <w:left w:val="none" w:sz="0" w:space="0" w:color="auto"/>
                        <w:bottom w:val="none" w:sz="0" w:space="0" w:color="auto"/>
                        <w:right w:val="none" w:sz="0" w:space="0" w:color="auto"/>
                      </w:divBdr>
                      <w:divsChild>
                        <w:div w:id="1855224423">
                          <w:marLeft w:val="0"/>
                          <w:marRight w:val="0"/>
                          <w:marTop w:val="0"/>
                          <w:marBottom w:val="0"/>
                          <w:divBdr>
                            <w:top w:val="none" w:sz="0" w:space="0" w:color="auto"/>
                            <w:left w:val="none" w:sz="0" w:space="0" w:color="auto"/>
                            <w:bottom w:val="none" w:sz="0" w:space="0" w:color="auto"/>
                            <w:right w:val="none" w:sz="0" w:space="0" w:color="auto"/>
                          </w:divBdr>
                          <w:divsChild>
                            <w:div w:id="1343438775">
                              <w:marLeft w:val="0"/>
                              <w:marRight w:val="0"/>
                              <w:marTop w:val="0"/>
                              <w:marBottom w:val="0"/>
                              <w:divBdr>
                                <w:top w:val="none" w:sz="0" w:space="0" w:color="auto"/>
                                <w:left w:val="none" w:sz="0" w:space="0" w:color="auto"/>
                                <w:bottom w:val="none" w:sz="0" w:space="0" w:color="auto"/>
                                <w:right w:val="none" w:sz="0" w:space="0" w:color="auto"/>
                              </w:divBdr>
                              <w:divsChild>
                                <w:div w:id="512384682">
                                  <w:marLeft w:val="0"/>
                                  <w:marRight w:val="0"/>
                                  <w:marTop w:val="0"/>
                                  <w:marBottom w:val="0"/>
                                  <w:divBdr>
                                    <w:top w:val="none" w:sz="0" w:space="0" w:color="auto"/>
                                    <w:left w:val="none" w:sz="0" w:space="0" w:color="auto"/>
                                    <w:bottom w:val="none" w:sz="0" w:space="0" w:color="auto"/>
                                    <w:right w:val="none" w:sz="0" w:space="0" w:color="auto"/>
                                  </w:divBdr>
                                  <w:divsChild>
                                    <w:div w:id="912660255">
                                      <w:marLeft w:val="0"/>
                                      <w:marRight w:val="0"/>
                                      <w:marTop w:val="0"/>
                                      <w:marBottom w:val="0"/>
                                      <w:divBdr>
                                        <w:top w:val="none" w:sz="0" w:space="0" w:color="auto"/>
                                        <w:left w:val="none" w:sz="0" w:space="0" w:color="auto"/>
                                        <w:bottom w:val="none" w:sz="0" w:space="0" w:color="auto"/>
                                        <w:right w:val="none" w:sz="0" w:space="0" w:color="auto"/>
                                      </w:divBdr>
                                      <w:divsChild>
                                        <w:div w:id="2018190747">
                                          <w:marLeft w:val="0"/>
                                          <w:marRight w:val="0"/>
                                          <w:marTop w:val="0"/>
                                          <w:marBottom w:val="0"/>
                                          <w:divBdr>
                                            <w:top w:val="none" w:sz="0" w:space="0" w:color="auto"/>
                                            <w:left w:val="none" w:sz="0" w:space="0" w:color="auto"/>
                                            <w:bottom w:val="none" w:sz="0" w:space="0" w:color="auto"/>
                                            <w:right w:val="none" w:sz="0" w:space="0" w:color="auto"/>
                                          </w:divBdr>
                                          <w:divsChild>
                                            <w:div w:id="495192678">
                                              <w:marLeft w:val="0"/>
                                              <w:marRight w:val="0"/>
                                              <w:marTop w:val="0"/>
                                              <w:marBottom w:val="0"/>
                                              <w:divBdr>
                                                <w:top w:val="none" w:sz="0" w:space="0" w:color="auto"/>
                                                <w:left w:val="none" w:sz="0" w:space="0" w:color="auto"/>
                                                <w:bottom w:val="none" w:sz="0" w:space="0" w:color="auto"/>
                                                <w:right w:val="none" w:sz="0" w:space="0" w:color="auto"/>
                                              </w:divBdr>
                                              <w:divsChild>
                                                <w:div w:id="1541357500">
                                                  <w:marLeft w:val="0"/>
                                                  <w:marRight w:val="0"/>
                                                  <w:marTop w:val="0"/>
                                                  <w:marBottom w:val="0"/>
                                                  <w:divBdr>
                                                    <w:top w:val="none" w:sz="0" w:space="0" w:color="auto"/>
                                                    <w:left w:val="none" w:sz="0" w:space="0" w:color="auto"/>
                                                    <w:bottom w:val="none" w:sz="0" w:space="0" w:color="auto"/>
                                                    <w:right w:val="none" w:sz="0" w:space="0" w:color="auto"/>
                                                  </w:divBdr>
                                                  <w:divsChild>
                                                    <w:div w:id="1356424195">
                                                      <w:marLeft w:val="0"/>
                                                      <w:marRight w:val="0"/>
                                                      <w:marTop w:val="0"/>
                                                      <w:marBottom w:val="0"/>
                                                      <w:divBdr>
                                                        <w:top w:val="none" w:sz="0" w:space="0" w:color="auto"/>
                                                        <w:left w:val="none" w:sz="0" w:space="0" w:color="auto"/>
                                                        <w:bottom w:val="none" w:sz="0" w:space="0" w:color="auto"/>
                                                        <w:right w:val="none" w:sz="0" w:space="0" w:color="auto"/>
                                                      </w:divBdr>
                                                      <w:divsChild>
                                                        <w:div w:id="10669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882135430">
      <w:bodyDiv w:val="1"/>
      <w:marLeft w:val="0"/>
      <w:marRight w:val="0"/>
      <w:marTop w:val="0"/>
      <w:marBottom w:val="0"/>
      <w:divBdr>
        <w:top w:val="none" w:sz="0" w:space="0" w:color="auto"/>
        <w:left w:val="none" w:sz="0" w:space="0" w:color="auto"/>
        <w:bottom w:val="none" w:sz="0" w:space="0" w:color="auto"/>
        <w:right w:val="none" w:sz="0" w:space="0" w:color="auto"/>
      </w:divBdr>
      <w:divsChild>
        <w:div w:id="643043682">
          <w:marLeft w:val="0"/>
          <w:marRight w:val="0"/>
          <w:marTop w:val="0"/>
          <w:marBottom w:val="0"/>
          <w:divBdr>
            <w:top w:val="none" w:sz="0" w:space="0" w:color="auto"/>
            <w:left w:val="none" w:sz="0" w:space="0" w:color="auto"/>
            <w:bottom w:val="none" w:sz="0" w:space="0" w:color="auto"/>
            <w:right w:val="none" w:sz="0" w:space="0" w:color="auto"/>
          </w:divBdr>
          <w:divsChild>
            <w:div w:id="2005620396">
              <w:marLeft w:val="0"/>
              <w:marRight w:val="0"/>
              <w:marTop w:val="0"/>
              <w:marBottom w:val="0"/>
              <w:divBdr>
                <w:top w:val="none" w:sz="0" w:space="0" w:color="auto"/>
                <w:left w:val="none" w:sz="0" w:space="0" w:color="auto"/>
                <w:bottom w:val="none" w:sz="0" w:space="0" w:color="auto"/>
                <w:right w:val="none" w:sz="0" w:space="0" w:color="auto"/>
              </w:divBdr>
              <w:divsChild>
                <w:div w:id="305624612">
                  <w:marLeft w:val="0"/>
                  <w:marRight w:val="0"/>
                  <w:marTop w:val="0"/>
                  <w:marBottom w:val="0"/>
                  <w:divBdr>
                    <w:top w:val="none" w:sz="0" w:space="0" w:color="auto"/>
                    <w:left w:val="none" w:sz="0" w:space="0" w:color="auto"/>
                    <w:bottom w:val="none" w:sz="0" w:space="0" w:color="auto"/>
                    <w:right w:val="none" w:sz="0" w:space="0" w:color="auto"/>
                  </w:divBdr>
                  <w:divsChild>
                    <w:div w:id="453183512">
                      <w:marLeft w:val="0"/>
                      <w:marRight w:val="0"/>
                      <w:marTop w:val="0"/>
                      <w:marBottom w:val="0"/>
                      <w:divBdr>
                        <w:top w:val="none" w:sz="0" w:space="0" w:color="auto"/>
                        <w:left w:val="none" w:sz="0" w:space="0" w:color="auto"/>
                        <w:bottom w:val="none" w:sz="0" w:space="0" w:color="auto"/>
                        <w:right w:val="none" w:sz="0" w:space="0" w:color="auto"/>
                      </w:divBdr>
                      <w:divsChild>
                        <w:div w:id="479882532">
                          <w:marLeft w:val="0"/>
                          <w:marRight w:val="0"/>
                          <w:marTop w:val="0"/>
                          <w:marBottom w:val="0"/>
                          <w:divBdr>
                            <w:top w:val="none" w:sz="0" w:space="0" w:color="auto"/>
                            <w:left w:val="none" w:sz="0" w:space="0" w:color="auto"/>
                            <w:bottom w:val="none" w:sz="0" w:space="0" w:color="auto"/>
                            <w:right w:val="none" w:sz="0" w:space="0" w:color="auto"/>
                          </w:divBdr>
                          <w:divsChild>
                            <w:div w:id="187499037">
                              <w:marLeft w:val="0"/>
                              <w:marRight w:val="0"/>
                              <w:marTop w:val="0"/>
                              <w:marBottom w:val="0"/>
                              <w:divBdr>
                                <w:top w:val="none" w:sz="0" w:space="0" w:color="auto"/>
                                <w:left w:val="none" w:sz="0" w:space="0" w:color="auto"/>
                                <w:bottom w:val="none" w:sz="0" w:space="0" w:color="auto"/>
                                <w:right w:val="none" w:sz="0" w:space="0" w:color="auto"/>
                              </w:divBdr>
                              <w:divsChild>
                                <w:div w:id="263615193">
                                  <w:marLeft w:val="0"/>
                                  <w:marRight w:val="0"/>
                                  <w:marTop w:val="0"/>
                                  <w:marBottom w:val="0"/>
                                  <w:divBdr>
                                    <w:top w:val="none" w:sz="0" w:space="0" w:color="auto"/>
                                    <w:left w:val="none" w:sz="0" w:space="0" w:color="auto"/>
                                    <w:bottom w:val="none" w:sz="0" w:space="0" w:color="auto"/>
                                    <w:right w:val="none" w:sz="0" w:space="0" w:color="auto"/>
                                  </w:divBdr>
                                  <w:divsChild>
                                    <w:div w:id="1328897218">
                                      <w:marLeft w:val="0"/>
                                      <w:marRight w:val="0"/>
                                      <w:marTop w:val="0"/>
                                      <w:marBottom w:val="0"/>
                                      <w:divBdr>
                                        <w:top w:val="none" w:sz="0" w:space="0" w:color="auto"/>
                                        <w:left w:val="none" w:sz="0" w:space="0" w:color="auto"/>
                                        <w:bottom w:val="none" w:sz="0" w:space="0" w:color="auto"/>
                                        <w:right w:val="none" w:sz="0" w:space="0" w:color="auto"/>
                                      </w:divBdr>
                                      <w:divsChild>
                                        <w:div w:id="1292251782">
                                          <w:marLeft w:val="0"/>
                                          <w:marRight w:val="0"/>
                                          <w:marTop w:val="0"/>
                                          <w:marBottom w:val="0"/>
                                          <w:divBdr>
                                            <w:top w:val="none" w:sz="0" w:space="0" w:color="auto"/>
                                            <w:left w:val="none" w:sz="0" w:space="0" w:color="auto"/>
                                            <w:bottom w:val="none" w:sz="0" w:space="0" w:color="auto"/>
                                            <w:right w:val="none" w:sz="0" w:space="0" w:color="auto"/>
                                          </w:divBdr>
                                          <w:divsChild>
                                            <w:div w:id="1508060702">
                                              <w:marLeft w:val="0"/>
                                              <w:marRight w:val="0"/>
                                              <w:marTop w:val="0"/>
                                              <w:marBottom w:val="0"/>
                                              <w:divBdr>
                                                <w:top w:val="none" w:sz="0" w:space="0" w:color="auto"/>
                                                <w:left w:val="none" w:sz="0" w:space="0" w:color="auto"/>
                                                <w:bottom w:val="none" w:sz="0" w:space="0" w:color="auto"/>
                                                <w:right w:val="none" w:sz="0" w:space="0" w:color="auto"/>
                                              </w:divBdr>
                                              <w:divsChild>
                                                <w:div w:id="1734620146">
                                                  <w:marLeft w:val="0"/>
                                                  <w:marRight w:val="0"/>
                                                  <w:marTop w:val="0"/>
                                                  <w:marBottom w:val="0"/>
                                                  <w:divBdr>
                                                    <w:top w:val="none" w:sz="0" w:space="0" w:color="auto"/>
                                                    <w:left w:val="none" w:sz="0" w:space="0" w:color="auto"/>
                                                    <w:bottom w:val="none" w:sz="0" w:space="0" w:color="auto"/>
                                                    <w:right w:val="none" w:sz="0" w:space="0" w:color="auto"/>
                                                  </w:divBdr>
                                                  <w:divsChild>
                                                    <w:div w:id="930626310">
                                                      <w:marLeft w:val="0"/>
                                                      <w:marRight w:val="0"/>
                                                      <w:marTop w:val="0"/>
                                                      <w:marBottom w:val="0"/>
                                                      <w:divBdr>
                                                        <w:top w:val="none" w:sz="0" w:space="0" w:color="auto"/>
                                                        <w:left w:val="none" w:sz="0" w:space="0" w:color="auto"/>
                                                        <w:bottom w:val="none" w:sz="0" w:space="0" w:color="auto"/>
                                                        <w:right w:val="none" w:sz="0" w:space="0" w:color="auto"/>
                                                      </w:divBdr>
                                                      <w:divsChild>
                                                        <w:div w:id="11949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cma.gov.au" TargetMode="External"/><Relationship Id="rId17" Type="http://schemas.openxmlformats.org/officeDocument/2006/relationships/hyperlink" Target="http://www.acma.gov.au" TargetMode="Externa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a.gov.au" TargetMode="External"/><Relationship Id="rId5" Type="http://schemas.openxmlformats.org/officeDocument/2006/relationships/numbering" Target="numbering.xml"/><Relationship Id="rId15" Type="http://schemas.openxmlformats.org/officeDocument/2006/relationships/hyperlink" Target="http://www.legislation.gov.a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5A5086EF26D4CA4BE251424758475" ma:contentTypeVersion="12" ma:contentTypeDescription="Create a new document." ma:contentTypeScope="" ma:versionID="3783a9537d11613c96b654263e9f707a">
  <xsd:schema xmlns:xsd="http://www.w3.org/2001/XMLSchema" xmlns:xs="http://www.w3.org/2001/XMLSchema" xmlns:p="http://schemas.microsoft.com/office/2006/metadata/properties" xmlns:ns3="ffcaacd4-51b0-487d-9500-5676dac395a7" xmlns:ns4="fe763861-97b4-4142-9b42-ef40e7c6d928" targetNamespace="http://schemas.microsoft.com/office/2006/metadata/properties" ma:root="true" ma:fieldsID="2eeec387aa50df3d1e800dec52d4f4ab" ns3:_="" ns4:_="">
    <xsd:import namespace="ffcaacd4-51b0-487d-9500-5676dac395a7"/>
    <xsd:import namespace="fe763861-97b4-4142-9b42-ef40e7c6d9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acd4-51b0-487d-9500-5676dac39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63861-97b4-4142-9b42-ef40e7c6d9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A63F94-C7FB-4464-BD4D-8797296EA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acd4-51b0-487d-9500-5676dac395a7"/>
    <ds:schemaRef ds:uri="fe763861-97b4-4142-9b42-ef40e7c6d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86D54D-3E66-4AF7-B83C-EBEE5F4E5980}">
  <ds:schemaRefs>
    <ds:schemaRef ds:uri="http://schemas.openxmlformats.org/officeDocument/2006/bibliography"/>
  </ds:schemaRefs>
</ds:datastoreItem>
</file>

<file path=customXml/itemProps3.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4.xml><?xml version="1.0" encoding="utf-8"?>
<ds:datastoreItem xmlns:ds="http://schemas.openxmlformats.org/officeDocument/2006/customXml" ds:itemID="{D84A20D3-5249-4064-B676-33B74048141D}">
  <ds:schemaRef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elements/1.1/"/>
    <ds:schemaRef ds:uri="fe763861-97b4-4142-9b42-ef40e7c6d928"/>
    <ds:schemaRef ds:uri="http://purl.org/dc/terms/"/>
    <ds:schemaRef ds:uri="http://schemas.microsoft.com/office/infopath/2007/PartnerControls"/>
    <ds:schemaRef ds:uri="ffcaacd4-51b0-487d-9500-5676dac395a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3152</Words>
  <Characters>17968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21078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Patrick</cp:lastModifiedBy>
  <cp:revision>2</cp:revision>
  <cp:lastPrinted>2016-07-25T00:08:00Z</cp:lastPrinted>
  <dcterms:created xsi:type="dcterms:W3CDTF">2020-11-13T04:40:00Z</dcterms:created>
  <dcterms:modified xsi:type="dcterms:W3CDTF">2020-11-13T04:40:00Z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0x0101008555A5086EF26D4CA4BE251424758475</vt:lpwstr>
  </property>
  <property fmtid="{D5CDD505-2E9C-101B-9397-08002B2CF9AE}" pid="3" name="_dlc_DocIdItemGuid">
    <vt:lpwstr>c882b426-4a91-4c8b-b1f9-97df732ebb88</vt:lpwstr>
  </property>
</Properties>
</file>