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A13685" w:rsidRDefault="00FA6784" w:rsidP="00FA6784">
      <w:pPr>
        <w:pStyle w:val="H3"/>
        <w:jc w:val="center"/>
        <w:rPr>
          <w:sz w:val="24"/>
          <w:szCs w:val="24"/>
        </w:rPr>
      </w:pPr>
      <w:r w:rsidRPr="00A13685">
        <w:rPr>
          <w:sz w:val="24"/>
          <w:szCs w:val="24"/>
        </w:rPr>
        <w:t>EXPLANATORY STATEMENT</w:t>
      </w:r>
    </w:p>
    <w:p w14:paraId="2412D122" w14:textId="18553286" w:rsidR="00FA6784" w:rsidRPr="00A13685" w:rsidRDefault="00FA6784" w:rsidP="00945D58">
      <w:pPr>
        <w:rPr>
          <w:i/>
          <w:iCs/>
          <w:sz w:val="20"/>
        </w:rPr>
      </w:pPr>
    </w:p>
    <w:p w14:paraId="2412D123" w14:textId="77777777" w:rsidR="00FA6784" w:rsidRPr="00A13685" w:rsidRDefault="00FA6784" w:rsidP="00FA6784">
      <w:pPr>
        <w:jc w:val="center"/>
        <w:rPr>
          <w:i/>
          <w:iCs/>
        </w:rPr>
      </w:pPr>
      <w:r w:rsidRPr="00A13685">
        <w:rPr>
          <w:i/>
          <w:iCs/>
        </w:rPr>
        <w:t>Health Insurance Act 1973</w:t>
      </w:r>
    </w:p>
    <w:p w14:paraId="2412D124" w14:textId="77777777" w:rsidR="00A1739A" w:rsidRPr="00A13685" w:rsidRDefault="00A1739A" w:rsidP="00A1739A">
      <w:pPr>
        <w:rPr>
          <w:szCs w:val="24"/>
          <w:u w:val="single"/>
        </w:rPr>
      </w:pPr>
    </w:p>
    <w:p w14:paraId="052E97C1" w14:textId="6016791D" w:rsidR="00164A69" w:rsidRPr="00A13685" w:rsidRDefault="00945D58" w:rsidP="00945D58">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i/>
          <w:iCs/>
          <w:color w:val="000000" w:themeColor="text1"/>
        </w:rPr>
      </w:pPr>
      <w:r w:rsidRPr="00A13685">
        <w:rPr>
          <w:i/>
          <w:iCs/>
          <w:color w:val="000000" w:themeColor="text1"/>
        </w:rPr>
        <w:t>Health Insurance (Section 3C General Medical Services – Botox Injection) Amendment Determination 2020</w:t>
      </w:r>
    </w:p>
    <w:p w14:paraId="1683493E" w14:textId="77777777" w:rsidR="00945D58" w:rsidRPr="00A13685" w:rsidRDefault="00945D58" w:rsidP="00945D58">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color w:val="000000" w:themeColor="text1"/>
          <w:shd w:val="clear" w:color="auto" w:fill="FFFFFF"/>
        </w:rPr>
      </w:pPr>
    </w:p>
    <w:p w14:paraId="30CCE728" w14:textId="2FCD22B4" w:rsidR="00164A69" w:rsidRPr="00A13685"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A13685">
        <w:rPr>
          <w:color w:val="000000"/>
          <w:shd w:val="clear" w:color="auto" w:fill="FFFFFF"/>
        </w:rPr>
        <w:t xml:space="preserve">Subsection 3C(1) of the </w:t>
      </w:r>
      <w:r w:rsidRPr="00A13685">
        <w:rPr>
          <w:i/>
          <w:color w:val="000000"/>
          <w:shd w:val="clear" w:color="auto" w:fill="FFFFFF"/>
        </w:rPr>
        <w:t>Health Insurance Act 1973</w:t>
      </w:r>
      <w:r w:rsidRPr="00A13685">
        <w:rPr>
          <w:color w:val="000000"/>
          <w:shd w:val="clear" w:color="auto" w:fill="FFFFFF"/>
        </w:rPr>
        <w:t xml:space="preserve"> (the Act) </w:t>
      </w:r>
      <w:r w:rsidR="00477C74" w:rsidRPr="00A13685">
        <w:rPr>
          <w:color w:val="000000"/>
          <w:shd w:val="clear" w:color="auto" w:fill="FFFFFF"/>
        </w:rPr>
        <w:t>provide</w:t>
      </w:r>
      <w:r w:rsidR="002E5708" w:rsidRPr="00A13685">
        <w:rPr>
          <w:color w:val="000000"/>
          <w:shd w:val="clear" w:color="auto" w:fill="FFFFFF"/>
        </w:rPr>
        <w:t>s</w:t>
      </w:r>
      <w:r w:rsidR="00477C74" w:rsidRPr="00A13685">
        <w:rPr>
          <w:color w:val="000000"/>
          <w:shd w:val="clear" w:color="auto" w:fill="FFFFFF"/>
        </w:rPr>
        <w:t xml:space="preserve"> that</w:t>
      </w:r>
      <w:r w:rsidRPr="00A13685">
        <w:rPr>
          <w:color w:val="000000"/>
          <w:shd w:val="clear" w:color="auto" w:fill="FFFFFF"/>
        </w:rPr>
        <w:t xml:space="preserve"> the Minister </w:t>
      </w:r>
      <w:r w:rsidR="00477C74" w:rsidRPr="00A13685">
        <w:rPr>
          <w:color w:val="000000"/>
          <w:shd w:val="clear" w:color="auto" w:fill="FFFFFF"/>
        </w:rPr>
        <w:t>may</w:t>
      </w:r>
      <w:r w:rsidRPr="00A13685">
        <w:rPr>
          <w:color w:val="000000"/>
          <w:shd w:val="clear" w:color="auto" w:fill="FFFFFF"/>
        </w:rPr>
        <w:t xml:space="preserve">, by legislative instrument, determine that a health service not specified in an item in the </w:t>
      </w:r>
      <w:r w:rsidR="00945D58" w:rsidRPr="00A13685">
        <w:rPr>
          <w:color w:val="000000"/>
          <w:shd w:val="clear" w:color="auto" w:fill="FFFFFF"/>
        </w:rPr>
        <w:t>general medical</w:t>
      </w:r>
      <w:r w:rsidRPr="00A13685">
        <w:rPr>
          <w:color w:val="000000"/>
          <w:shd w:val="clear" w:color="auto" w:fill="FFFFFF"/>
        </w:rPr>
        <w:t xml:space="preserve"> services table </w:t>
      </w:r>
      <w:r w:rsidR="00D01D5A" w:rsidRPr="00A13685">
        <w:rPr>
          <w:color w:val="000000"/>
          <w:shd w:val="clear" w:color="auto" w:fill="FFFFFF"/>
        </w:rPr>
        <w:t xml:space="preserve">(the Table) </w:t>
      </w:r>
      <w:r w:rsidRPr="00A13685">
        <w:rPr>
          <w:color w:val="000000"/>
          <w:shd w:val="clear" w:color="auto" w:fill="FFFFFF"/>
        </w:rPr>
        <w:t xml:space="preserve">shall, in specified circumstances and for specified statutory provisions, be treated as if it were specified in the </w:t>
      </w:r>
      <w:r w:rsidR="00D01D5A" w:rsidRPr="00A13685">
        <w:rPr>
          <w:color w:val="000000"/>
          <w:shd w:val="clear" w:color="auto" w:fill="FFFFFF"/>
        </w:rPr>
        <w:t xml:space="preserve">Table. </w:t>
      </w:r>
      <w:r w:rsidRPr="00A13685">
        <w:rPr>
          <w:color w:val="FF0000"/>
          <w:shd w:val="clear" w:color="auto" w:fill="FFFFFF"/>
        </w:rPr>
        <w:t xml:space="preserve">  </w:t>
      </w:r>
    </w:p>
    <w:p w14:paraId="7DB18649" w14:textId="77777777" w:rsidR="00841EDA" w:rsidRPr="00A13685"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0CD04EE8" w14:textId="5AE7A811" w:rsidR="00050623" w:rsidRPr="00A13685"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rPr>
      </w:pPr>
      <w:r w:rsidRPr="00A13685">
        <w:t xml:space="preserve">The </w:t>
      </w:r>
      <w:r w:rsidR="00D01D5A" w:rsidRPr="00A13685">
        <w:t>Table</w:t>
      </w:r>
      <w:r w:rsidRPr="00A13685">
        <w:t xml:space="preserve"> is set out in the regulations made under subsection 4(1) of the Act</w:t>
      </w:r>
      <w:r w:rsidR="00945D58" w:rsidRPr="00A13685">
        <w:t>.</w:t>
      </w:r>
      <w:r w:rsidRPr="00A13685">
        <w:rPr>
          <w:color w:val="FF0000"/>
        </w:rPr>
        <w:t xml:space="preserve"> </w:t>
      </w:r>
    </w:p>
    <w:p w14:paraId="2E6FE463" w14:textId="77777777" w:rsidR="00050623" w:rsidRPr="00A13685"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A13685"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A13685">
        <w:t xml:space="preserve">This instrument relies on subsection 33(3) of the </w:t>
      </w:r>
      <w:r w:rsidRPr="00A13685">
        <w:rPr>
          <w:i/>
        </w:rPr>
        <w:t>Acts Interpretation Act 1901</w:t>
      </w:r>
      <w:r w:rsidRPr="00A13685">
        <w:t xml:space="preserve"> (AIA).  Subsection 33(3) of the AIA</w:t>
      </w:r>
      <w:r w:rsidRPr="00A13685">
        <w:rPr>
          <w:i/>
        </w:rPr>
        <w:t xml:space="preserve"> </w:t>
      </w:r>
      <w:r w:rsidRPr="00A13685">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A13685" w:rsidRDefault="008C5F1C" w:rsidP="00D33180">
      <w:pPr>
        <w:autoSpaceDE w:val="0"/>
        <w:autoSpaceDN w:val="0"/>
        <w:adjustRightInd w:val="0"/>
        <w:ind w:right="-483"/>
        <w:rPr>
          <w:szCs w:val="24"/>
        </w:rPr>
      </w:pPr>
    </w:p>
    <w:p w14:paraId="2412D12A" w14:textId="77777777" w:rsidR="00BB00BA" w:rsidRPr="00A13685" w:rsidRDefault="00A1739A" w:rsidP="00BB00BA">
      <w:pPr>
        <w:rPr>
          <w:b/>
          <w:szCs w:val="24"/>
          <w:lang w:val="en-US" w:eastAsia="en-US"/>
        </w:rPr>
      </w:pPr>
      <w:r w:rsidRPr="00A13685">
        <w:rPr>
          <w:b/>
          <w:szCs w:val="24"/>
          <w:lang w:val="en-US" w:eastAsia="en-US"/>
        </w:rPr>
        <w:t>Purpose</w:t>
      </w:r>
    </w:p>
    <w:p w14:paraId="30848641" w14:textId="1FB708C6" w:rsidR="00015748" w:rsidRPr="00A13685" w:rsidRDefault="00DC4609" w:rsidP="0002752C">
      <w:pPr>
        <w:ind w:right="-483"/>
        <w:rPr>
          <w:color w:val="000000" w:themeColor="text1"/>
          <w:szCs w:val="24"/>
        </w:rPr>
      </w:pPr>
      <w:r w:rsidRPr="00A13685">
        <w:rPr>
          <w:color w:val="000000" w:themeColor="text1"/>
          <w:szCs w:val="24"/>
        </w:rPr>
        <w:t>The purpose of the</w:t>
      </w:r>
      <w:r w:rsidRPr="00A13685">
        <w:rPr>
          <w:color w:val="000000" w:themeColor="text1"/>
        </w:rPr>
        <w:t xml:space="preserve"> </w:t>
      </w:r>
      <w:r w:rsidRPr="00A13685">
        <w:rPr>
          <w:i/>
          <w:color w:val="000000" w:themeColor="text1"/>
          <w:szCs w:val="24"/>
        </w:rPr>
        <w:t>Health Insurance (Section 3C General Medical Services – Botox Injection) Amendment Determination 2020</w:t>
      </w:r>
      <w:r w:rsidRPr="00A13685">
        <w:rPr>
          <w:color w:val="000000" w:themeColor="text1"/>
          <w:szCs w:val="24"/>
        </w:rPr>
        <w:t xml:space="preserve"> </w:t>
      </w:r>
      <w:r w:rsidR="00015748" w:rsidRPr="00A13685">
        <w:rPr>
          <w:color w:val="000000" w:themeColor="text1"/>
          <w:szCs w:val="24"/>
        </w:rPr>
        <w:t xml:space="preserve">(the Amendment Determination) </w:t>
      </w:r>
      <w:r w:rsidRPr="00A13685">
        <w:rPr>
          <w:color w:val="000000" w:themeColor="text1"/>
          <w:szCs w:val="24"/>
        </w:rPr>
        <w:t xml:space="preserve">is to amend the </w:t>
      </w:r>
      <w:r w:rsidRPr="00A13685">
        <w:rPr>
          <w:i/>
          <w:color w:val="000000" w:themeColor="text1"/>
          <w:szCs w:val="24"/>
        </w:rPr>
        <w:t>Health Insurance (Section 3C General Medical Services – Botox Injection) Determination 2020</w:t>
      </w:r>
      <w:r w:rsidRPr="00A13685">
        <w:rPr>
          <w:color w:val="000000" w:themeColor="text1"/>
          <w:szCs w:val="24"/>
        </w:rPr>
        <w:t xml:space="preserve"> </w:t>
      </w:r>
      <w:r w:rsidR="00015748" w:rsidRPr="00A13685">
        <w:rPr>
          <w:color w:val="000000" w:themeColor="text1"/>
          <w:szCs w:val="24"/>
        </w:rPr>
        <w:t xml:space="preserve">(the Principal Determination) from 1 </w:t>
      </w:r>
      <w:r w:rsidR="00F409B2" w:rsidRPr="00A13685">
        <w:rPr>
          <w:color w:val="000000" w:themeColor="text1"/>
          <w:szCs w:val="24"/>
        </w:rPr>
        <w:t>December</w:t>
      </w:r>
      <w:r w:rsidR="00015748" w:rsidRPr="00A13685">
        <w:rPr>
          <w:color w:val="000000" w:themeColor="text1"/>
          <w:szCs w:val="24"/>
        </w:rPr>
        <w:t xml:space="preserve"> 2020.</w:t>
      </w:r>
    </w:p>
    <w:p w14:paraId="3FD59135" w14:textId="77777777" w:rsidR="00015748" w:rsidRPr="00A13685" w:rsidRDefault="00015748" w:rsidP="0002752C">
      <w:pPr>
        <w:ind w:right="-483"/>
        <w:rPr>
          <w:color w:val="000000" w:themeColor="text1"/>
          <w:szCs w:val="24"/>
        </w:rPr>
      </w:pPr>
    </w:p>
    <w:p w14:paraId="34D6BC21" w14:textId="1DF82AE9" w:rsidR="00F409B2" w:rsidRPr="00A13685" w:rsidRDefault="00B62796" w:rsidP="0002752C">
      <w:pPr>
        <w:ind w:right="-483"/>
        <w:rPr>
          <w:color w:val="000000" w:themeColor="text1"/>
          <w:szCs w:val="24"/>
        </w:rPr>
      </w:pPr>
      <w:r w:rsidRPr="00A13685">
        <w:rPr>
          <w:color w:val="000000" w:themeColor="text1"/>
          <w:szCs w:val="24"/>
        </w:rPr>
        <w:t xml:space="preserve">Item 18361 commenced on 1 July 2011 for the injection of </w:t>
      </w:r>
      <w:r w:rsidR="00811B07" w:rsidRPr="00A13685">
        <w:rPr>
          <w:color w:val="000000" w:themeColor="text1"/>
          <w:szCs w:val="24"/>
        </w:rPr>
        <w:t>botulinum toxin (</w:t>
      </w:r>
      <w:r w:rsidRPr="00A13685">
        <w:rPr>
          <w:color w:val="000000" w:themeColor="text1"/>
          <w:szCs w:val="24"/>
        </w:rPr>
        <w:t>Botox</w:t>
      </w:r>
      <w:r w:rsidR="00811B07" w:rsidRPr="00A13685">
        <w:rPr>
          <w:color w:val="000000" w:themeColor="text1"/>
          <w:szCs w:val="24"/>
        </w:rPr>
        <w:t>)</w:t>
      </w:r>
      <w:r w:rsidRPr="00A13685">
        <w:rPr>
          <w:color w:val="000000" w:themeColor="text1"/>
          <w:szCs w:val="24"/>
        </w:rPr>
        <w:t xml:space="preserve"> for the treatment of moderate to severe upper limb spasticity due to cerebral palsy</w:t>
      </w:r>
      <w:r w:rsidR="00C27256" w:rsidRPr="00A13685">
        <w:rPr>
          <w:color w:val="000000" w:themeColor="text1"/>
          <w:szCs w:val="24"/>
        </w:rPr>
        <w:t xml:space="preserve">. This service can only be provided to </w:t>
      </w:r>
      <w:r w:rsidR="00E41996" w:rsidRPr="00A13685">
        <w:rPr>
          <w:color w:val="000000" w:themeColor="text1"/>
          <w:szCs w:val="24"/>
        </w:rPr>
        <w:t>patients who are at least 2 years of age. For patients who are at least 18 years old, it is a requirement that they</w:t>
      </w:r>
      <w:r w:rsidR="00BD663C" w:rsidRPr="00A13685">
        <w:rPr>
          <w:color w:val="000000" w:themeColor="text1"/>
          <w:szCs w:val="24"/>
        </w:rPr>
        <w:t xml:space="preserve"> have</w:t>
      </w:r>
      <w:r w:rsidR="00E41996" w:rsidRPr="00A13685">
        <w:rPr>
          <w:color w:val="000000" w:themeColor="text1"/>
          <w:szCs w:val="24"/>
        </w:rPr>
        <w:t xml:space="preserve"> commenced treatment for the spasticity with botulinum toxin supplied under the Pharmaceutical Benefits Scheme (PBS)</w:t>
      </w:r>
      <w:r w:rsidR="00C27256" w:rsidRPr="00A13685">
        <w:rPr>
          <w:color w:val="000000" w:themeColor="text1"/>
          <w:szCs w:val="24"/>
        </w:rPr>
        <w:t xml:space="preserve">. </w:t>
      </w:r>
    </w:p>
    <w:p w14:paraId="3440617D" w14:textId="77777777" w:rsidR="00F409B2" w:rsidRPr="00A13685" w:rsidRDefault="00F409B2" w:rsidP="0002752C">
      <w:pPr>
        <w:ind w:right="-483"/>
        <w:rPr>
          <w:color w:val="000000" w:themeColor="text1"/>
          <w:szCs w:val="24"/>
        </w:rPr>
      </w:pPr>
    </w:p>
    <w:p w14:paraId="0D31D8A5" w14:textId="7449DA85" w:rsidR="00C27256" w:rsidRPr="00A13685" w:rsidRDefault="00E41996" w:rsidP="0002752C">
      <w:pPr>
        <w:ind w:right="-483"/>
        <w:rPr>
          <w:color w:val="000000" w:themeColor="text1"/>
          <w:szCs w:val="24"/>
        </w:rPr>
      </w:pPr>
      <w:r w:rsidRPr="00A13685">
        <w:rPr>
          <w:color w:val="000000" w:themeColor="text1"/>
          <w:szCs w:val="24"/>
        </w:rPr>
        <w:t xml:space="preserve">The Amendment Determination will expand item 18361 to include Clostridium Botulinum Type A Toxin-Haemagglutinin Complex (Dysport®) as an acceptable alternative treatment, and </w:t>
      </w:r>
      <w:r w:rsidR="00C27256" w:rsidRPr="00A13685">
        <w:rPr>
          <w:color w:val="000000" w:themeColor="text1"/>
          <w:szCs w:val="24"/>
        </w:rPr>
        <w:t>will</w:t>
      </w:r>
      <w:r w:rsidRPr="00A13685">
        <w:rPr>
          <w:color w:val="000000" w:themeColor="text1"/>
          <w:szCs w:val="24"/>
        </w:rPr>
        <w:t xml:space="preserve"> remove the requirement for patients who are at least 18 years old to have commenced treatment for the spasticity with botulinum toxin supplied under the PBS</w:t>
      </w:r>
      <w:r w:rsidR="00811B07" w:rsidRPr="00A13685">
        <w:rPr>
          <w:color w:val="000000" w:themeColor="text1"/>
          <w:szCs w:val="24"/>
        </w:rPr>
        <w:t>, prior to them turning 18 years old</w:t>
      </w:r>
      <w:r w:rsidRPr="00A13685">
        <w:rPr>
          <w:color w:val="000000" w:themeColor="text1"/>
          <w:szCs w:val="24"/>
        </w:rPr>
        <w:t>.</w:t>
      </w:r>
      <w:r w:rsidR="00C27256" w:rsidRPr="00A13685">
        <w:rPr>
          <w:color w:val="000000" w:themeColor="text1"/>
          <w:szCs w:val="24"/>
        </w:rPr>
        <w:t xml:space="preserve"> </w:t>
      </w:r>
    </w:p>
    <w:p w14:paraId="6F622B37" w14:textId="77777777" w:rsidR="00C27256" w:rsidRPr="00A13685" w:rsidRDefault="00C27256" w:rsidP="0002752C">
      <w:pPr>
        <w:ind w:right="-483"/>
        <w:rPr>
          <w:color w:val="000000" w:themeColor="text1"/>
          <w:szCs w:val="24"/>
        </w:rPr>
      </w:pPr>
    </w:p>
    <w:p w14:paraId="4044922D" w14:textId="46C20F0C" w:rsidR="00F409B2" w:rsidRPr="00A13685" w:rsidRDefault="00C27256" w:rsidP="0002752C">
      <w:pPr>
        <w:ind w:right="-483"/>
        <w:rPr>
          <w:color w:val="000000" w:themeColor="text1"/>
          <w:szCs w:val="24"/>
        </w:rPr>
      </w:pPr>
      <w:r w:rsidRPr="00A13685">
        <w:rPr>
          <w:color w:val="000000" w:themeColor="text1"/>
          <w:szCs w:val="24"/>
        </w:rPr>
        <w:t>This change will align the delivery service of botulinum toxin for moderate to severe upper limb spasticity due to cerebral palsy with the criteria for the PBS listed medicines</w:t>
      </w:r>
      <w:r w:rsidR="00BD663C" w:rsidRPr="00A13685">
        <w:rPr>
          <w:color w:val="000000" w:themeColor="text1"/>
          <w:szCs w:val="24"/>
        </w:rPr>
        <w:t>,</w:t>
      </w:r>
      <w:r w:rsidRPr="00A13685">
        <w:rPr>
          <w:color w:val="000000" w:themeColor="text1"/>
          <w:szCs w:val="24"/>
        </w:rPr>
        <w:t xml:space="preserve"> and </w:t>
      </w:r>
      <w:r w:rsidR="00BD663C" w:rsidRPr="00A13685">
        <w:rPr>
          <w:color w:val="000000" w:themeColor="text1"/>
          <w:szCs w:val="24"/>
        </w:rPr>
        <w:t xml:space="preserve">will </w:t>
      </w:r>
      <w:r w:rsidRPr="00A13685">
        <w:rPr>
          <w:color w:val="000000" w:themeColor="text1"/>
          <w:szCs w:val="24"/>
        </w:rPr>
        <w:t>improve patient access</w:t>
      </w:r>
      <w:r w:rsidR="00F954A2" w:rsidRPr="00A13685">
        <w:rPr>
          <w:color w:val="000000" w:themeColor="text1"/>
          <w:szCs w:val="24"/>
        </w:rPr>
        <w:t xml:space="preserve"> to clinically proven medicines with </w:t>
      </w:r>
      <w:r w:rsidR="00811B07" w:rsidRPr="00A13685">
        <w:rPr>
          <w:color w:val="000000" w:themeColor="text1"/>
          <w:szCs w:val="24"/>
        </w:rPr>
        <w:t>appropriate</w:t>
      </w:r>
      <w:r w:rsidR="00F954A2" w:rsidRPr="00A13685">
        <w:rPr>
          <w:color w:val="000000" w:themeColor="text1"/>
          <w:szCs w:val="24"/>
        </w:rPr>
        <w:t xml:space="preserve"> restrictions</w:t>
      </w:r>
      <w:r w:rsidRPr="00A13685">
        <w:rPr>
          <w:color w:val="000000" w:themeColor="text1"/>
          <w:szCs w:val="24"/>
        </w:rPr>
        <w:t xml:space="preserve">.  </w:t>
      </w:r>
    </w:p>
    <w:p w14:paraId="260EBBED" w14:textId="2F1E53CC" w:rsidR="00E41996" w:rsidRPr="00A13685" w:rsidRDefault="00E41996" w:rsidP="0002752C">
      <w:pPr>
        <w:ind w:right="-483"/>
        <w:rPr>
          <w:color w:val="000000" w:themeColor="text1"/>
          <w:szCs w:val="24"/>
        </w:rPr>
      </w:pPr>
    </w:p>
    <w:p w14:paraId="55B8B62E" w14:textId="22BE0221" w:rsidR="00015748" w:rsidRPr="00A13685" w:rsidRDefault="00015748" w:rsidP="0002752C">
      <w:pPr>
        <w:shd w:val="clear" w:color="auto" w:fill="FFFFFF"/>
        <w:rPr>
          <w:color w:val="000000" w:themeColor="text1"/>
          <w:szCs w:val="24"/>
        </w:rPr>
      </w:pPr>
      <w:r w:rsidRPr="00A13685">
        <w:rPr>
          <w:color w:val="000000" w:themeColor="text1"/>
          <w:szCs w:val="24"/>
        </w:rPr>
        <w:t xml:space="preserve">This proposal was </w:t>
      </w:r>
      <w:r w:rsidR="00F32BEB" w:rsidRPr="00A13685">
        <w:rPr>
          <w:color w:val="000000" w:themeColor="text1"/>
          <w:szCs w:val="24"/>
        </w:rPr>
        <w:t>considered</w:t>
      </w:r>
      <w:r w:rsidRPr="00A13685">
        <w:rPr>
          <w:color w:val="000000" w:themeColor="text1"/>
          <w:szCs w:val="24"/>
        </w:rPr>
        <w:t xml:space="preserve"> by the Pharmaceutical</w:t>
      </w:r>
      <w:r w:rsidR="00F32BEB" w:rsidRPr="00A13685">
        <w:rPr>
          <w:color w:val="000000" w:themeColor="text1"/>
          <w:szCs w:val="24"/>
        </w:rPr>
        <w:t xml:space="preserve"> Benefits Advisory Committee </w:t>
      </w:r>
      <w:r w:rsidR="006B1DDD" w:rsidRPr="00A13685">
        <w:rPr>
          <w:color w:val="000000" w:themeColor="text1"/>
          <w:szCs w:val="24"/>
        </w:rPr>
        <w:t xml:space="preserve">(PBAC) </w:t>
      </w:r>
      <w:r w:rsidR="00F32BEB" w:rsidRPr="00A13685">
        <w:rPr>
          <w:color w:val="000000" w:themeColor="text1"/>
          <w:szCs w:val="24"/>
        </w:rPr>
        <w:t xml:space="preserve">at </w:t>
      </w:r>
      <w:r w:rsidR="00C27256" w:rsidRPr="00A13685">
        <w:rPr>
          <w:color w:val="000000" w:themeColor="text1"/>
          <w:szCs w:val="24"/>
        </w:rPr>
        <w:t>in July 2020</w:t>
      </w:r>
      <w:r w:rsidR="00F32BEB" w:rsidRPr="00A13685">
        <w:rPr>
          <w:color w:val="000000" w:themeColor="text1"/>
          <w:szCs w:val="24"/>
        </w:rPr>
        <w:t xml:space="preserve"> and supported by the Medical Services Advisory Committee (MSAC) in </w:t>
      </w:r>
      <w:r w:rsidR="00C27256" w:rsidRPr="00A13685">
        <w:rPr>
          <w:color w:val="000000" w:themeColor="text1"/>
          <w:szCs w:val="24"/>
        </w:rPr>
        <w:t>July 2020</w:t>
      </w:r>
      <w:r w:rsidRPr="00A13685">
        <w:rPr>
          <w:color w:val="000000" w:themeColor="text1"/>
          <w:szCs w:val="24"/>
        </w:rPr>
        <w:t>.</w:t>
      </w:r>
    </w:p>
    <w:p w14:paraId="603F81B4" w14:textId="77777777" w:rsidR="00811B07" w:rsidRPr="00A13685" w:rsidRDefault="00811B07">
      <w:pPr>
        <w:spacing w:after="200" w:line="276" w:lineRule="auto"/>
        <w:rPr>
          <w:b/>
        </w:rPr>
      </w:pPr>
      <w:r w:rsidRPr="00A13685">
        <w:rPr>
          <w:b/>
        </w:rPr>
        <w:br w:type="page"/>
      </w:r>
    </w:p>
    <w:p w14:paraId="77E835B2" w14:textId="12018B09" w:rsidR="00693A3E" w:rsidRPr="00A13685" w:rsidRDefault="00A1739A" w:rsidP="00693A3E">
      <w:pPr>
        <w:shd w:val="clear" w:color="auto" w:fill="FFFFFF"/>
        <w:spacing w:before="100" w:beforeAutospacing="1"/>
        <w:rPr>
          <w:b/>
        </w:rPr>
      </w:pPr>
      <w:r w:rsidRPr="00A13685">
        <w:rPr>
          <w:b/>
        </w:rPr>
        <w:lastRenderedPageBreak/>
        <w:t>Consultation</w:t>
      </w:r>
    </w:p>
    <w:p w14:paraId="142BA6B7" w14:textId="4D6481FD" w:rsidR="00BA7884" w:rsidRPr="00A13685" w:rsidRDefault="00617BBF" w:rsidP="00693A3E">
      <w:pPr>
        <w:shd w:val="clear" w:color="auto" w:fill="FFFFFF"/>
      </w:pPr>
      <w:r w:rsidRPr="00A13685">
        <w:t xml:space="preserve">Botulinum toxin items on the </w:t>
      </w:r>
      <w:r w:rsidR="006C427E" w:rsidRPr="00A13685">
        <w:t>Medicare Benefits Schedule (</w:t>
      </w:r>
      <w:r w:rsidRPr="00A13685">
        <w:t>MBS</w:t>
      </w:r>
      <w:r w:rsidR="006C427E" w:rsidRPr="00A13685">
        <w:t>)</w:t>
      </w:r>
      <w:r w:rsidRPr="00A13685">
        <w:t xml:space="preserve"> are co-dependant services as they can only be provided in accordance with the associated PBS criteria for the medicine. </w:t>
      </w:r>
      <w:r w:rsidR="00BA7884" w:rsidRPr="00A13685">
        <w:t>Approving the medicine (Boto</w:t>
      </w:r>
      <w:r w:rsidR="00CC389E" w:rsidRPr="00A13685">
        <w:t>x and</w:t>
      </w:r>
      <w:r w:rsidR="00BA7884" w:rsidRPr="00A13685">
        <w:t xml:space="preserve"> Dysport) and the injection </w:t>
      </w:r>
      <w:r w:rsidR="002D2D6D" w:rsidRPr="00A13685">
        <w:t xml:space="preserve">service to be provided </w:t>
      </w:r>
      <w:r w:rsidR="00BA7884" w:rsidRPr="00A13685">
        <w:rPr>
          <w:szCs w:val="24"/>
        </w:rPr>
        <w:t>therefore</w:t>
      </w:r>
      <w:r w:rsidR="00A6730E" w:rsidRPr="00A13685">
        <w:rPr>
          <w:szCs w:val="24"/>
        </w:rPr>
        <w:t xml:space="preserve"> requires support from both PBAC and MSAC.</w:t>
      </w:r>
      <w:r w:rsidRPr="00A13685">
        <w:t xml:space="preserve"> </w:t>
      </w:r>
    </w:p>
    <w:p w14:paraId="1920811D" w14:textId="77777777" w:rsidR="00BA7884" w:rsidRPr="00A13685" w:rsidRDefault="00BA7884" w:rsidP="00693A3E">
      <w:pPr>
        <w:shd w:val="clear" w:color="auto" w:fill="FFFFFF"/>
        <w:rPr>
          <w:color w:val="FF3399"/>
        </w:rPr>
      </w:pPr>
    </w:p>
    <w:p w14:paraId="74A3F7A0" w14:textId="77777777" w:rsidR="00AD3DBA" w:rsidRPr="00A13685" w:rsidRDefault="00AD3DBA" w:rsidP="00AD3DBA">
      <w:pPr>
        <w:shd w:val="clear" w:color="auto" w:fill="FFFFFF"/>
        <w:rPr>
          <w:color w:val="000000" w:themeColor="text1"/>
          <w:szCs w:val="24"/>
        </w:rPr>
      </w:pPr>
      <w:r w:rsidRPr="00A13685">
        <w:rPr>
          <w:color w:val="000000" w:themeColor="text1"/>
          <w:szCs w:val="24"/>
        </w:rPr>
        <w:t>PBAC reviews new or existing medicines, and the circumstances under which public funding should be supported through listing on the PBS.</w:t>
      </w:r>
    </w:p>
    <w:p w14:paraId="3928E58D" w14:textId="77777777" w:rsidR="009465EF" w:rsidRPr="00A13685" w:rsidRDefault="009465EF" w:rsidP="006B1DDD">
      <w:pPr>
        <w:shd w:val="clear" w:color="auto" w:fill="FFFFFF"/>
        <w:rPr>
          <w:color w:val="000000" w:themeColor="text1"/>
          <w:szCs w:val="24"/>
        </w:rPr>
      </w:pPr>
    </w:p>
    <w:p w14:paraId="5B106E45" w14:textId="2D0D8A9F" w:rsidR="00A6730E" w:rsidRPr="00A13685" w:rsidRDefault="00693A3E" w:rsidP="006B1DDD">
      <w:pPr>
        <w:shd w:val="clear" w:color="auto" w:fill="FFFFFF"/>
        <w:rPr>
          <w:color w:val="000000" w:themeColor="text1"/>
          <w:szCs w:val="24"/>
        </w:rPr>
      </w:pPr>
      <w:r w:rsidRPr="00A13685">
        <w:rPr>
          <w:color w:val="000000" w:themeColor="text1"/>
          <w:szCs w:val="24"/>
        </w:rPr>
        <w:t xml:space="preserve">As part of the </w:t>
      </w:r>
      <w:r w:rsidR="00667D76" w:rsidRPr="00A13685">
        <w:rPr>
          <w:color w:val="000000" w:themeColor="text1"/>
          <w:szCs w:val="24"/>
        </w:rPr>
        <w:t xml:space="preserve">PBAC </w:t>
      </w:r>
      <w:r w:rsidRPr="00A13685">
        <w:rPr>
          <w:color w:val="000000" w:themeColor="text1"/>
          <w:szCs w:val="24"/>
        </w:rPr>
        <w:t>process</w:t>
      </w:r>
      <w:r w:rsidR="00617BBF" w:rsidRPr="00A13685">
        <w:rPr>
          <w:color w:val="000000" w:themeColor="text1"/>
          <w:szCs w:val="24"/>
        </w:rPr>
        <w:t xml:space="preserve"> for the related medicine</w:t>
      </w:r>
      <w:r w:rsidR="00A6730E" w:rsidRPr="00A13685">
        <w:rPr>
          <w:color w:val="000000" w:themeColor="text1"/>
          <w:szCs w:val="24"/>
        </w:rPr>
        <w:t>s</w:t>
      </w:r>
      <w:r w:rsidRPr="00A13685">
        <w:rPr>
          <w:color w:val="000000" w:themeColor="text1"/>
          <w:szCs w:val="24"/>
        </w:rPr>
        <w:t xml:space="preserve">, consultation is undertaken with professional bodies, consumer groups, the public and clinical experts for proposals put forward for consideration by </w:t>
      </w:r>
      <w:r w:rsidR="00667D76" w:rsidRPr="00A13685">
        <w:rPr>
          <w:color w:val="000000" w:themeColor="text1"/>
          <w:szCs w:val="24"/>
        </w:rPr>
        <w:t>PBAC</w:t>
      </w:r>
      <w:r w:rsidRPr="00A13685">
        <w:rPr>
          <w:color w:val="000000" w:themeColor="text1"/>
          <w:szCs w:val="24"/>
        </w:rPr>
        <w:t>.</w:t>
      </w:r>
      <w:r w:rsidR="00A6730E" w:rsidRPr="00A13685">
        <w:rPr>
          <w:color w:val="000000" w:themeColor="text1"/>
          <w:szCs w:val="24"/>
        </w:rPr>
        <w:t xml:space="preserve"> </w:t>
      </w:r>
      <w:r w:rsidR="00811B07" w:rsidRPr="00A13685">
        <w:rPr>
          <w:color w:val="000000" w:themeColor="text1"/>
          <w:szCs w:val="24"/>
        </w:rPr>
        <w:t>Consultation on the changes to item 18361 was also undertaken with relevant medicine sponsors.</w:t>
      </w:r>
    </w:p>
    <w:p w14:paraId="1FA4A1DB" w14:textId="77777777" w:rsidR="00693A3E" w:rsidRPr="00A13685" w:rsidRDefault="00693A3E" w:rsidP="002806A1">
      <w:pPr>
        <w:shd w:val="clear" w:color="auto" w:fill="FFFFFF"/>
        <w:rPr>
          <w:color w:val="000000"/>
          <w:szCs w:val="24"/>
        </w:rPr>
      </w:pPr>
    </w:p>
    <w:p w14:paraId="2412D134" w14:textId="6A15222B" w:rsidR="00967E51" w:rsidRPr="00A13685" w:rsidRDefault="00A1739A" w:rsidP="000337CB">
      <w:pPr>
        <w:rPr>
          <w:szCs w:val="24"/>
        </w:rPr>
      </w:pPr>
      <w:r w:rsidRPr="00A13685">
        <w:rPr>
          <w:szCs w:val="24"/>
        </w:rPr>
        <w:t xml:space="preserve">Details of the </w:t>
      </w:r>
      <w:r w:rsidR="0002752C" w:rsidRPr="00A13685">
        <w:rPr>
          <w:szCs w:val="24"/>
        </w:rPr>
        <w:t xml:space="preserve">Amendment </w:t>
      </w:r>
      <w:r w:rsidR="00574E71" w:rsidRPr="00A13685">
        <w:rPr>
          <w:szCs w:val="24"/>
        </w:rPr>
        <w:t>Determination</w:t>
      </w:r>
      <w:r w:rsidRPr="00A13685">
        <w:rPr>
          <w:szCs w:val="24"/>
        </w:rPr>
        <w:t xml:space="preserve"> are set out in the </w:t>
      </w:r>
      <w:r w:rsidRPr="00A13685">
        <w:rPr>
          <w:szCs w:val="24"/>
          <w:u w:val="single"/>
        </w:rPr>
        <w:t>Attachment</w:t>
      </w:r>
      <w:r w:rsidRPr="00A13685">
        <w:rPr>
          <w:szCs w:val="24"/>
        </w:rPr>
        <w:t>.</w:t>
      </w:r>
    </w:p>
    <w:p w14:paraId="2412D135" w14:textId="66D0E454" w:rsidR="006C138D" w:rsidRPr="00A13685" w:rsidRDefault="00297AD0" w:rsidP="006C138D">
      <w:pPr>
        <w:tabs>
          <w:tab w:val="left" w:pos="567"/>
        </w:tabs>
        <w:spacing w:before="240"/>
        <w:rPr>
          <w:szCs w:val="24"/>
        </w:rPr>
      </w:pPr>
      <w:r w:rsidRPr="00A13685">
        <w:rPr>
          <w:szCs w:val="24"/>
        </w:rPr>
        <w:t xml:space="preserve">The </w:t>
      </w:r>
      <w:r w:rsidR="0002752C" w:rsidRPr="00A13685">
        <w:rPr>
          <w:szCs w:val="24"/>
        </w:rPr>
        <w:t xml:space="preserve">Amendment </w:t>
      </w:r>
      <w:r w:rsidR="00967E51" w:rsidRPr="00A13685">
        <w:rPr>
          <w:szCs w:val="24"/>
        </w:rPr>
        <w:t>Determination</w:t>
      </w:r>
      <w:r w:rsidRPr="00A13685">
        <w:rPr>
          <w:szCs w:val="24"/>
        </w:rPr>
        <w:t xml:space="preserve"> </w:t>
      </w:r>
      <w:r w:rsidR="007524B0" w:rsidRPr="00A13685">
        <w:rPr>
          <w:szCs w:val="24"/>
        </w:rPr>
        <w:t xml:space="preserve">commences </w:t>
      </w:r>
      <w:r w:rsidR="00C63FDC" w:rsidRPr="00A13685">
        <w:rPr>
          <w:szCs w:val="24"/>
        </w:rPr>
        <w:t xml:space="preserve">on </w:t>
      </w:r>
      <w:r w:rsidR="0002752C" w:rsidRPr="00A13685">
        <w:rPr>
          <w:szCs w:val="24"/>
        </w:rPr>
        <w:t xml:space="preserve">1 </w:t>
      </w:r>
      <w:r w:rsidR="00CC389E" w:rsidRPr="00A13685">
        <w:rPr>
          <w:szCs w:val="24"/>
        </w:rPr>
        <w:t>December</w:t>
      </w:r>
      <w:r w:rsidR="0002752C" w:rsidRPr="00A13685">
        <w:rPr>
          <w:szCs w:val="24"/>
        </w:rPr>
        <w:t xml:space="preserve"> 2020.</w:t>
      </w:r>
    </w:p>
    <w:p w14:paraId="2412D136" w14:textId="77777777" w:rsidR="00236DF2" w:rsidRPr="00A13685" w:rsidRDefault="00236DF2" w:rsidP="00574E71">
      <w:pPr>
        <w:rPr>
          <w:szCs w:val="24"/>
        </w:rPr>
      </w:pPr>
    </w:p>
    <w:p w14:paraId="2412D138" w14:textId="47B56DDA" w:rsidR="00574E71" w:rsidRPr="00A13685" w:rsidRDefault="0002728B" w:rsidP="00DE07E4">
      <w:pPr>
        <w:spacing w:after="200" w:line="276" w:lineRule="auto"/>
        <w:rPr>
          <w:szCs w:val="24"/>
        </w:rPr>
      </w:pPr>
      <w:r w:rsidRPr="00A13685">
        <w:rPr>
          <w:szCs w:val="24"/>
        </w:rPr>
        <w:t>T</w:t>
      </w:r>
      <w:r w:rsidR="00574E71" w:rsidRPr="00A13685">
        <w:rPr>
          <w:szCs w:val="24"/>
        </w:rPr>
        <w:t xml:space="preserve">he </w:t>
      </w:r>
      <w:r w:rsidR="0002752C" w:rsidRPr="00A13685">
        <w:rPr>
          <w:szCs w:val="24"/>
        </w:rPr>
        <w:t xml:space="preserve">Amendment </w:t>
      </w:r>
      <w:r w:rsidR="00574E71" w:rsidRPr="00A13685">
        <w:rPr>
          <w:szCs w:val="24"/>
        </w:rPr>
        <w:t xml:space="preserve">Determination is </w:t>
      </w:r>
      <w:r w:rsidR="004417A2" w:rsidRPr="00A13685">
        <w:rPr>
          <w:szCs w:val="24"/>
        </w:rPr>
        <w:t xml:space="preserve">a </w:t>
      </w:r>
      <w:r w:rsidR="00574E71" w:rsidRPr="00A13685">
        <w:rPr>
          <w:szCs w:val="24"/>
        </w:rPr>
        <w:t xml:space="preserve">legislative instrument for the purposes of the </w:t>
      </w:r>
      <w:r w:rsidR="00574E71" w:rsidRPr="00A13685">
        <w:rPr>
          <w:i/>
        </w:rPr>
        <w:t>Legislation Act 2003</w:t>
      </w:r>
      <w:r w:rsidR="00574E71" w:rsidRPr="00A13685">
        <w:rPr>
          <w:szCs w:val="24"/>
        </w:rPr>
        <w:t>.</w:t>
      </w:r>
    </w:p>
    <w:p w14:paraId="2412D139" w14:textId="77777777" w:rsidR="00A1739A" w:rsidRPr="00A13685" w:rsidRDefault="00A1739A" w:rsidP="000337CB">
      <w:pPr>
        <w:ind w:left="6663" w:hanging="3119"/>
        <w:rPr>
          <w:szCs w:val="24"/>
        </w:rPr>
      </w:pPr>
      <w:r w:rsidRPr="00A13685">
        <w:rPr>
          <w:szCs w:val="24"/>
        </w:rPr>
        <w:t xml:space="preserve">           </w:t>
      </w:r>
    </w:p>
    <w:p w14:paraId="2412D13A" w14:textId="77777777" w:rsidR="00A1739A" w:rsidRPr="00A13685" w:rsidRDefault="00A1739A" w:rsidP="000337CB">
      <w:pPr>
        <w:ind w:left="6663" w:hanging="3119"/>
        <w:rPr>
          <w:szCs w:val="24"/>
        </w:rPr>
      </w:pPr>
      <w:r w:rsidRPr="00A13685">
        <w:rPr>
          <w:szCs w:val="24"/>
          <w:u w:val="single"/>
        </w:rPr>
        <w:t>Authority</w:t>
      </w:r>
      <w:r w:rsidR="00967E51" w:rsidRPr="00A13685">
        <w:rPr>
          <w:szCs w:val="24"/>
        </w:rPr>
        <w:t xml:space="preserve">:     Subsection </w:t>
      </w:r>
      <w:r w:rsidRPr="00A13685">
        <w:rPr>
          <w:szCs w:val="24"/>
        </w:rPr>
        <w:t>3</w:t>
      </w:r>
      <w:r w:rsidR="00967E51" w:rsidRPr="00A13685">
        <w:rPr>
          <w:szCs w:val="24"/>
        </w:rPr>
        <w:t>C</w:t>
      </w:r>
      <w:r w:rsidRPr="00A13685">
        <w:rPr>
          <w:szCs w:val="24"/>
        </w:rPr>
        <w:t xml:space="preserve">(1) of the </w:t>
      </w:r>
    </w:p>
    <w:p w14:paraId="2412D13B" w14:textId="0596CD30" w:rsidR="00A1739A" w:rsidRPr="00A13685" w:rsidRDefault="00A1739A" w:rsidP="000337CB">
      <w:pPr>
        <w:tabs>
          <w:tab w:val="left" w:pos="4820"/>
        </w:tabs>
        <w:rPr>
          <w:szCs w:val="24"/>
        </w:rPr>
        <w:sectPr w:rsidR="00A1739A" w:rsidRPr="00A13685" w:rsidSect="00235B6C">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135" w:left="1800" w:header="708" w:footer="708" w:gutter="0"/>
          <w:pgNumType w:start="1"/>
          <w:cols w:space="708"/>
          <w:docGrid w:linePitch="360"/>
        </w:sectPr>
      </w:pPr>
      <w:r w:rsidRPr="00A13685">
        <w:rPr>
          <w:i/>
          <w:szCs w:val="24"/>
        </w:rPr>
        <w:tab/>
        <w:t>Health Insurance Act 1973</w:t>
      </w:r>
    </w:p>
    <w:p w14:paraId="2412D13D" w14:textId="77777777" w:rsidR="006D5816" w:rsidRPr="00A13685" w:rsidRDefault="006D5816" w:rsidP="000337CB">
      <w:pPr>
        <w:pStyle w:val="BodyText"/>
        <w:jc w:val="right"/>
        <w:rPr>
          <w:szCs w:val="24"/>
        </w:rPr>
      </w:pPr>
      <w:r w:rsidRPr="00A13685">
        <w:rPr>
          <w:szCs w:val="24"/>
        </w:rPr>
        <w:lastRenderedPageBreak/>
        <w:t>ATTACHMENT</w:t>
      </w:r>
    </w:p>
    <w:p w14:paraId="2412D13E" w14:textId="77777777" w:rsidR="006D5816" w:rsidRPr="00A13685" w:rsidRDefault="006D5816" w:rsidP="000337CB">
      <w:pPr>
        <w:pStyle w:val="BodyText"/>
        <w:rPr>
          <w:szCs w:val="24"/>
          <w:u w:val="single"/>
        </w:rPr>
      </w:pPr>
    </w:p>
    <w:p w14:paraId="7BBEB147" w14:textId="02077593" w:rsidR="00E70355" w:rsidRPr="00A13685" w:rsidRDefault="00A41364" w:rsidP="000337CB">
      <w:pPr>
        <w:pStyle w:val="BodyText"/>
        <w:rPr>
          <w:i/>
          <w:iCs/>
          <w:color w:val="000000" w:themeColor="text1"/>
        </w:rPr>
      </w:pPr>
      <w:r w:rsidRPr="00A13685">
        <w:rPr>
          <w:color w:val="000000" w:themeColor="text1"/>
          <w:szCs w:val="24"/>
        </w:rPr>
        <w:t xml:space="preserve">Details of the </w:t>
      </w:r>
      <w:r w:rsidR="00945D58" w:rsidRPr="00A13685">
        <w:rPr>
          <w:i/>
          <w:iCs/>
          <w:color w:val="000000" w:themeColor="text1"/>
        </w:rPr>
        <w:t>Health Insurance (Section 3C General Medical Services – Botox</w:t>
      </w:r>
      <w:r w:rsidR="00CC389E" w:rsidRPr="00A13685">
        <w:rPr>
          <w:i/>
          <w:iCs/>
          <w:color w:val="000000" w:themeColor="text1"/>
        </w:rPr>
        <w:t xml:space="preserve"> </w:t>
      </w:r>
      <w:r w:rsidR="00945D58" w:rsidRPr="00A13685">
        <w:rPr>
          <w:i/>
          <w:iCs/>
          <w:color w:val="000000" w:themeColor="text1"/>
        </w:rPr>
        <w:t>Injection) Amendment Determination 2020</w:t>
      </w:r>
    </w:p>
    <w:p w14:paraId="4D7C0240" w14:textId="77777777" w:rsidR="00945D58" w:rsidRPr="00A13685" w:rsidRDefault="00945D58" w:rsidP="000337CB">
      <w:pPr>
        <w:pStyle w:val="BodyText"/>
        <w:rPr>
          <w:b w:val="0"/>
          <w:i/>
          <w:szCs w:val="24"/>
        </w:rPr>
      </w:pPr>
    </w:p>
    <w:p w14:paraId="2412D141" w14:textId="7C34D5F4" w:rsidR="00FE02C2" w:rsidRPr="00A13685" w:rsidRDefault="001B0111" w:rsidP="000337CB">
      <w:pPr>
        <w:pStyle w:val="BodyText"/>
        <w:rPr>
          <w:b w:val="0"/>
          <w:szCs w:val="24"/>
          <w:u w:val="single"/>
        </w:rPr>
      </w:pPr>
      <w:r w:rsidRPr="00A13685">
        <w:rPr>
          <w:b w:val="0"/>
          <w:szCs w:val="24"/>
          <w:u w:val="single"/>
        </w:rPr>
        <w:t>Section 1 – Name</w:t>
      </w:r>
    </w:p>
    <w:p w14:paraId="2412D142" w14:textId="77777777" w:rsidR="00FE02C2" w:rsidRPr="00A13685" w:rsidRDefault="00FE02C2" w:rsidP="000337CB">
      <w:pPr>
        <w:pStyle w:val="BodyText"/>
        <w:rPr>
          <w:b w:val="0"/>
          <w:szCs w:val="24"/>
          <w:u w:val="single"/>
        </w:rPr>
      </w:pPr>
    </w:p>
    <w:p w14:paraId="68DAA207" w14:textId="4DA13242" w:rsidR="00FD602D" w:rsidRPr="00A13685" w:rsidRDefault="00BC7397" w:rsidP="00945D58">
      <w:pPr>
        <w:pStyle w:val="BodyText"/>
        <w:rPr>
          <w:b w:val="0"/>
          <w:color w:val="FF0000"/>
          <w:szCs w:val="24"/>
        </w:rPr>
      </w:pPr>
      <w:r w:rsidRPr="00A13685">
        <w:rPr>
          <w:b w:val="0"/>
          <w:szCs w:val="24"/>
        </w:rPr>
        <w:t>S</w:t>
      </w:r>
      <w:r w:rsidR="00FE02C2" w:rsidRPr="00A13685">
        <w:rPr>
          <w:b w:val="0"/>
          <w:szCs w:val="24"/>
        </w:rPr>
        <w:t xml:space="preserve">ection </w:t>
      </w:r>
      <w:r w:rsidRPr="00A13685">
        <w:rPr>
          <w:b w:val="0"/>
          <w:szCs w:val="24"/>
        </w:rPr>
        <w:t xml:space="preserve">1 </w:t>
      </w:r>
      <w:r w:rsidR="00FE02C2" w:rsidRPr="00A13685">
        <w:rPr>
          <w:b w:val="0"/>
          <w:szCs w:val="24"/>
        </w:rPr>
        <w:t>provides</w:t>
      </w:r>
      <w:r w:rsidR="008B683E" w:rsidRPr="00A13685">
        <w:rPr>
          <w:b w:val="0"/>
          <w:szCs w:val="24"/>
        </w:rPr>
        <w:t xml:space="preserve"> for the </w:t>
      </w:r>
      <w:r w:rsidR="008B2094" w:rsidRPr="00A13685">
        <w:rPr>
          <w:b w:val="0"/>
          <w:szCs w:val="24"/>
        </w:rPr>
        <w:t>Determination</w:t>
      </w:r>
      <w:r w:rsidR="00FE02C2" w:rsidRPr="00A13685">
        <w:rPr>
          <w:b w:val="0"/>
          <w:szCs w:val="24"/>
        </w:rPr>
        <w:t xml:space="preserve"> to be referred to as the </w:t>
      </w:r>
      <w:r w:rsidR="00945D58" w:rsidRPr="00A13685">
        <w:rPr>
          <w:b w:val="0"/>
          <w:i/>
          <w:color w:val="000000" w:themeColor="text1"/>
          <w:szCs w:val="24"/>
        </w:rPr>
        <w:t>Health Insurance (Section 3C General Medical Services – Botox Injection) Amendment Determination 2020</w:t>
      </w:r>
      <w:r w:rsidR="00945D58" w:rsidRPr="00A13685">
        <w:rPr>
          <w:b w:val="0"/>
          <w:color w:val="FF0000"/>
          <w:szCs w:val="24"/>
        </w:rPr>
        <w:t>.</w:t>
      </w:r>
    </w:p>
    <w:p w14:paraId="2F234107" w14:textId="77777777" w:rsidR="00945D58" w:rsidRPr="00A13685" w:rsidRDefault="00945D58" w:rsidP="00945D58">
      <w:pPr>
        <w:pStyle w:val="BodyText"/>
      </w:pPr>
    </w:p>
    <w:p w14:paraId="49D1E050" w14:textId="77777777" w:rsidR="007A4089" w:rsidRPr="00A13685" w:rsidRDefault="00FE02C2" w:rsidP="000337CB">
      <w:pPr>
        <w:pStyle w:val="BodyText"/>
        <w:rPr>
          <w:b w:val="0"/>
          <w:szCs w:val="24"/>
          <w:u w:val="single"/>
        </w:rPr>
      </w:pPr>
      <w:r w:rsidRPr="00A13685">
        <w:rPr>
          <w:b w:val="0"/>
          <w:szCs w:val="24"/>
          <w:u w:val="single"/>
        </w:rPr>
        <w:t xml:space="preserve">Section 2 – Commencement </w:t>
      </w:r>
    </w:p>
    <w:p w14:paraId="2DCE2ED0" w14:textId="77777777" w:rsidR="007A4089" w:rsidRPr="00A13685" w:rsidRDefault="007A4089" w:rsidP="000337CB">
      <w:pPr>
        <w:pStyle w:val="BodyText"/>
        <w:rPr>
          <w:b w:val="0"/>
          <w:szCs w:val="24"/>
          <w:u w:val="single"/>
        </w:rPr>
      </w:pPr>
    </w:p>
    <w:p w14:paraId="2412D148" w14:textId="526FE3BD" w:rsidR="00510A4F" w:rsidRPr="00A13685" w:rsidRDefault="00510A4F" w:rsidP="000337CB">
      <w:pPr>
        <w:pStyle w:val="BodyText"/>
        <w:rPr>
          <w:b w:val="0"/>
          <w:color w:val="FF0000"/>
          <w:szCs w:val="24"/>
        </w:rPr>
      </w:pPr>
      <w:r w:rsidRPr="00A13685">
        <w:rPr>
          <w:b w:val="0"/>
          <w:szCs w:val="24"/>
        </w:rPr>
        <w:t xml:space="preserve">Section 2 </w:t>
      </w:r>
      <w:r w:rsidR="00404F11" w:rsidRPr="00A13685">
        <w:rPr>
          <w:b w:val="0"/>
          <w:szCs w:val="24"/>
        </w:rPr>
        <w:t xml:space="preserve">provides that the </w:t>
      </w:r>
      <w:r w:rsidR="008B2094" w:rsidRPr="00A13685">
        <w:rPr>
          <w:b w:val="0"/>
          <w:color w:val="000000" w:themeColor="text1"/>
          <w:szCs w:val="24"/>
        </w:rPr>
        <w:t xml:space="preserve">Determination </w:t>
      </w:r>
      <w:r w:rsidR="00404F11" w:rsidRPr="00A13685">
        <w:rPr>
          <w:b w:val="0"/>
          <w:color w:val="000000" w:themeColor="text1"/>
          <w:szCs w:val="24"/>
        </w:rPr>
        <w:t xml:space="preserve">commences </w:t>
      </w:r>
      <w:r w:rsidR="00C63FDC" w:rsidRPr="00A13685">
        <w:rPr>
          <w:b w:val="0"/>
          <w:color w:val="000000" w:themeColor="text1"/>
          <w:szCs w:val="24"/>
        </w:rPr>
        <w:t xml:space="preserve">on </w:t>
      </w:r>
      <w:r w:rsidR="00945D58" w:rsidRPr="00A13685">
        <w:rPr>
          <w:b w:val="0"/>
          <w:color w:val="000000" w:themeColor="text1"/>
          <w:szCs w:val="24"/>
        </w:rPr>
        <w:t xml:space="preserve">1 </w:t>
      </w:r>
      <w:r w:rsidR="00CC389E" w:rsidRPr="00A13685">
        <w:rPr>
          <w:b w:val="0"/>
          <w:color w:val="000000" w:themeColor="text1"/>
          <w:szCs w:val="24"/>
        </w:rPr>
        <w:t>December</w:t>
      </w:r>
      <w:r w:rsidR="00945D58" w:rsidRPr="00A13685">
        <w:rPr>
          <w:b w:val="0"/>
          <w:color w:val="000000" w:themeColor="text1"/>
          <w:szCs w:val="24"/>
        </w:rPr>
        <w:t xml:space="preserve"> 2020</w:t>
      </w:r>
      <w:r w:rsidR="00C63FDC" w:rsidRPr="00A13685">
        <w:rPr>
          <w:b w:val="0"/>
          <w:color w:val="000000" w:themeColor="text1"/>
          <w:szCs w:val="24"/>
        </w:rPr>
        <w:t xml:space="preserve">. </w:t>
      </w:r>
    </w:p>
    <w:p w14:paraId="16C03200" w14:textId="77777777" w:rsidR="007E0017" w:rsidRPr="00A13685" w:rsidRDefault="007E0017" w:rsidP="000337CB">
      <w:pPr>
        <w:pStyle w:val="BodyText"/>
        <w:rPr>
          <w:b w:val="0"/>
          <w:szCs w:val="24"/>
        </w:rPr>
      </w:pPr>
    </w:p>
    <w:p w14:paraId="005D5660" w14:textId="77777777" w:rsidR="007A4089" w:rsidRPr="00A13685" w:rsidRDefault="00FE02C2" w:rsidP="000337CB">
      <w:pPr>
        <w:pStyle w:val="BodyText"/>
        <w:rPr>
          <w:b w:val="0"/>
          <w:szCs w:val="24"/>
          <w:u w:val="single"/>
        </w:rPr>
      </w:pPr>
      <w:r w:rsidRPr="00A13685">
        <w:rPr>
          <w:b w:val="0"/>
          <w:szCs w:val="24"/>
          <w:u w:val="single"/>
        </w:rPr>
        <w:t xml:space="preserve">Section 3 – </w:t>
      </w:r>
      <w:r w:rsidR="00E5798A" w:rsidRPr="00A13685">
        <w:rPr>
          <w:b w:val="0"/>
          <w:szCs w:val="24"/>
          <w:u w:val="single"/>
        </w:rPr>
        <w:t>Authority</w:t>
      </w:r>
    </w:p>
    <w:p w14:paraId="53BFA098" w14:textId="77777777" w:rsidR="007A4089" w:rsidRPr="00A13685" w:rsidRDefault="007A4089" w:rsidP="000337CB">
      <w:pPr>
        <w:pStyle w:val="BodyText"/>
        <w:rPr>
          <w:b w:val="0"/>
          <w:szCs w:val="24"/>
          <w:u w:val="single"/>
        </w:rPr>
      </w:pPr>
    </w:p>
    <w:p w14:paraId="2412D14B" w14:textId="60EB4E9C" w:rsidR="00FE02C2" w:rsidRPr="00A13685" w:rsidRDefault="00F83B6F" w:rsidP="000337CB">
      <w:pPr>
        <w:pStyle w:val="BodyText"/>
        <w:rPr>
          <w:b w:val="0"/>
        </w:rPr>
      </w:pPr>
      <w:r w:rsidRPr="00A13685">
        <w:rPr>
          <w:b w:val="0"/>
        </w:rPr>
        <w:t xml:space="preserve">Section 3 provides that the </w:t>
      </w:r>
      <w:r w:rsidR="008B2094" w:rsidRPr="00A13685">
        <w:rPr>
          <w:b w:val="0"/>
          <w:szCs w:val="24"/>
        </w:rPr>
        <w:t xml:space="preserve">Determination </w:t>
      </w:r>
      <w:r w:rsidR="00E5798A" w:rsidRPr="00A13685">
        <w:rPr>
          <w:b w:val="0"/>
        </w:rPr>
        <w:t xml:space="preserve">is made under </w:t>
      </w:r>
      <w:r w:rsidR="00367440" w:rsidRPr="00A13685">
        <w:rPr>
          <w:b w:val="0"/>
        </w:rPr>
        <w:t xml:space="preserve">subsection </w:t>
      </w:r>
      <w:r w:rsidR="00E5798A" w:rsidRPr="00A13685">
        <w:rPr>
          <w:b w:val="0"/>
        </w:rPr>
        <w:t xml:space="preserve">3C(1) of the </w:t>
      </w:r>
      <w:r w:rsidR="00E5798A" w:rsidRPr="00A13685">
        <w:rPr>
          <w:b w:val="0"/>
          <w:i/>
        </w:rPr>
        <w:t>Health Insurance Act 1973</w:t>
      </w:r>
      <w:r w:rsidR="00E5798A" w:rsidRPr="00A13685">
        <w:rPr>
          <w:b w:val="0"/>
        </w:rPr>
        <w:t>.</w:t>
      </w:r>
    </w:p>
    <w:p w14:paraId="0DBF1241" w14:textId="77777777" w:rsidR="00E70355" w:rsidRPr="00A13685" w:rsidRDefault="00E70355" w:rsidP="000337CB">
      <w:pPr>
        <w:pStyle w:val="BodyText"/>
        <w:rPr>
          <w:b w:val="0"/>
        </w:rPr>
      </w:pPr>
    </w:p>
    <w:p w14:paraId="20CBF84A" w14:textId="77777777" w:rsidR="00C63FDC" w:rsidRPr="00A13685" w:rsidRDefault="00C63FDC" w:rsidP="00C63FDC">
      <w:pPr>
        <w:pStyle w:val="BodyText"/>
        <w:rPr>
          <w:b w:val="0"/>
          <w:szCs w:val="24"/>
          <w:u w:val="single"/>
        </w:rPr>
      </w:pPr>
      <w:r w:rsidRPr="00A13685">
        <w:rPr>
          <w:b w:val="0"/>
          <w:szCs w:val="24"/>
          <w:u w:val="single"/>
        </w:rPr>
        <w:t>Section 4 – Schedules</w:t>
      </w:r>
    </w:p>
    <w:p w14:paraId="4C010161" w14:textId="77777777" w:rsidR="00C63FDC" w:rsidRPr="00A13685" w:rsidRDefault="00C63FDC" w:rsidP="00C63FDC">
      <w:pPr>
        <w:pStyle w:val="BodyText"/>
        <w:rPr>
          <w:b w:val="0"/>
          <w:szCs w:val="24"/>
          <w:u w:val="single"/>
        </w:rPr>
      </w:pPr>
    </w:p>
    <w:p w14:paraId="5D9EBF8D" w14:textId="77777777" w:rsidR="00C63FDC" w:rsidRPr="00A13685" w:rsidRDefault="00C63FDC" w:rsidP="00C63FDC">
      <w:pPr>
        <w:pStyle w:val="BodyText"/>
        <w:rPr>
          <w:b w:val="0"/>
          <w:szCs w:val="24"/>
        </w:rPr>
      </w:pPr>
      <w:r w:rsidRPr="00A13685">
        <w:rPr>
          <w:b w:val="0"/>
          <w:szCs w:val="24"/>
        </w:rPr>
        <w:t>Section 4 provides that each instrument that is specified in a Schedule to this Determination is amended or repealed as set out in the applicable items in the Schedule concerned, and any other item in a Schedule to this Determination has effect according to its terms.</w:t>
      </w:r>
    </w:p>
    <w:p w14:paraId="17D2CF69" w14:textId="77777777" w:rsidR="007E0017" w:rsidRPr="00A13685" w:rsidRDefault="007E0017" w:rsidP="00404F11">
      <w:pPr>
        <w:pStyle w:val="BodyText"/>
        <w:rPr>
          <w:b w:val="0"/>
          <w:szCs w:val="24"/>
        </w:rPr>
      </w:pPr>
    </w:p>
    <w:p w14:paraId="768D340E" w14:textId="77777777" w:rsidR="00C63FDC" w:rsidRPr="00A13685" w:rsidRDefault="00C63FDC" w:rsidP="00C63FDC">
      <w:pPr>
        <w:pStyle w:val="Header"/>
        <w:tabs>
          <w:tab w:val="num" w:pos="1080"/>
        </w:tabs>
        <w:rPr>
          <w:szCs w:val="24"/>
          <w:u w:val="single"/>
        </w:rPr>
      </w:pPr>
      <w:r w:rsidRPr="00A13685">
        <w:rPr>
          <w:szCs w:val="24"/>
          <w:u w:val="single"/>
        </w:rPr>
        <w:t>Schedule 1 – Amendments</w:t>
      </w:r>
    </w:p>
    <w:p w14:paraId="2212E577" w14:textId="77777777" w:rsidR="00C63FDC" w:rsidRPr="00A13685" w:rsidRDefault="00C63FDC" w:rsidP="00C63FDC">
      <w:pPr>
        <w:pStyle w:val="Header"/>
        <w:tabs>
          <w:tab w:val="num" w:pos="1080"/>
        </w:tabs>
        <w:rPr>
          <w:szCs w:val="24"/>
          <w:u w:val="single"/>
        </w:rPr>
      </w:pPr>
    </w:p>
    <w:p w14:paraId="0C7E649E" w14:textId="4D541C4E" w:rsidR="00C63FDC" w:rsidRPr="00A13685" w:rsidRDefault="00945D58" w:rsidP="00C63FDC">
      <w:pPr>
        <w:pStyle w:val="Header"/>
        <w:tabs>
          <w:tab w:val="num" w:pos="1080"/>
        </w:tabs>
        <w:rPr>
          <w:b/>
          <w:i/>
          <w:iCs/>
          <w:color w:val="000000" w:themeColor="text1"/>
        </w:rPr>
      </w:pPr>
      <w:r w:rsidRPr="00A13685">
        <w:rPr>
          <w:b/>
          <w:i/>
          <w:iCs/>
          <w:color w:val="000000" w:themeColor="text1"/>
        </w:rPr>
        <w:t>Health Insurance (Section 3C General Medical Services – Botox Injection) Determination 2020</w:t>
      </w:r>
    </w:p>
    <w:p w14:paraId="65C7352F" w14:textId="77777777" w:rsidR="00945D58" w:rsidRPr="00A13685" w:rsidRDefault="00945D58" w:rsidP="00C63FDC">
      <w:pPr>
        <w:pStyle w:val="Header"/>
        <w:tabs>
          <w:tab w:val="num" w:pos="1080"/>
        </w:tabs>
        <w:rPr>
          <w:i/>
          <w:szCs w:val="24"/>
        </w:rPr>
      </w:pPr>
    </w:p>
    <w:p w14:paraId="6FC23668" w14:textId="3E52455A" w:rsidR="00CC389E" w:rsidRPr="00A13685" w:rsidRDefault="00622B75" w:rsidP="00C63FDC">
      <w:pPr>
        <w:pStyle w:val="Header"/>
        <w:tabs>
          <w:tab w:val="num" w:pos="1080"/>
        </w:tabs>
        <w:rPr>
          <w:szCs w:val="24"/>
        </w:rPr>
      </w:pPr>
      <w:r w:rsidRPr="00A13685">
        <w:rPr>
          <w:szCs w:val="24"/>
        </w:rPr>
        <w:t xml:space="preserve">Item 1 </w:t>
      </w:r>
      <w:r w:rsidR="00CC389E" w:rsidRPr="00A13685">
        <w:rPr>
          <w:szCs w:val="24"/>
        </w:rPr>
        <w:t xml:space="preserve">repeals and replaces item 18361 to provide that the service can also include an injection of Clostridium Botulinum Type A Toxin-Haemagglutinin Complex (Dysport®) as an alternative treatment, and to remove the requirement </w:t>
      </w:r>
      <w:r w:rsidR="00797640" w:rsidRPr="00A13685">
        <w:rPr>
          <w:szCs w:val="24"/>
        </w:rPr>
        <w:t>for</w:t>
      </w:r>
      <w:r w:rsidR="00CC389E" w:rsidRPr="00A13685">
        <w:rPr>
          <w:szCs w:val="24"/>
        </w:rPr>
        <w:t xml:space="preserve"> patients who are at least 18 years old </w:t>
      </w:r>
      <w:r w:rsidR="00797640" w:rsidRPr="00A13685">
        <w:rPr>
          <w:szCs w:val="24"/>
        </w:rPr>
        <w:t>to</w:t>
      </w:r>
      <w:r w:rsidR="00CC389E" w:rsidRPr="00A13685">
        <w:rPr>
          <w:szCs w:val="24"/>
        </w:rPr>
        <w:t xml:space="preserve"> have commenced treatment for the spasticity with botulinum toxin supplied under the PBS</w:t>
      </w:r>
      <w:r w:rsidR="00811B07" w:rsidRPr="00A13685">
        <w:rPr>
          <w:szCs w:val="24"/>
        </w:rPr>
        <w:t>, prior to them turning 18 years old</w:t>
      </w:r>
      <w:r w:rsidR="00CC389E" w:rsidRPr="00A13685">
        <w:rPr>
          <w:szCs w:val="24"/>
        </w:rPr>
        <w:t>.</w:t>
      </w:r>
    </w:p>
    <w:p w14:paraId="11E6F4E3" w14:textId="77777777" w:rsidR="00CC389E" w:rsidRPr="00A13685" w:rsidRDefault="00CC389E" w:rsidP="00C63FDC">
      <w:pPr>
        <w:pStyle w:val="Header"/>
        <w:tabs>
          <w:tab w:val="num" w:pos="1080"/>
        </w:tabs>
        <w:rPr>
          <w:szCs w:val="24"/>
        </w:rPr>
      </w:pPr>
    </w:p>
    <w:p w14:paraId="21DF9DDC" w14:textId="1767E1F1" w:rsidR="00331752" w:rsidRPr="00A13685" w:rsidRDefault="00331752">
      <w:pPr>
        <w:spacing w:after="200" w:line="276" w:lineRule="auto"/>
        <w:rPr>
          <w:szCs w:val="24"/>
          <w:u w:val="single"/>
        </w:rPr>
      </w:pPr>
      <w:r w:rsidRPr="00A13685">
        <w:rPr>
          <w:szCs w:val="24"/>
          <w:u w:val="single"/>
        </w:rPr>
        <w:br w:type="page"/>
      </w:r>
    </w:p>
    <w:p w14:paraId="2412D14E" w14:textId="632B4BE9" w:rsidR="00A17F2C" w:rsidRPr="00A13685" w:rsidRDefault="00A17F2C" w:rsidP="008D136F">
      <w:pPr>
        <w:pStyle w:val="Header"/>
        <w:tabs>
          <w:tab w:val="num" w:pos="1080"/>
        </w:tabs>
        <w:jc w:val="center"/>
        <w:rPr>
          <w:b/>
          <w:sz w:val="28"/>
          <w:szCs w:val="28"/>
        </w:rPr>
      </w:pPr>
      <w:r w:rsidRPr="00A13685">
        <w:rPr>
          <w:b/>
          <w:sz w:val="28"/>
          <w:szCs w:val="28"/>
        </w:rPr>
        <w:lastRenderedPageBreak/>
        <w:t>Statement of Compatibility with Human Rights</w:t>
      </w:r>
    </w:p>
    <w:p w14:paraId="2412D14F" w14:textId="77777777" w:rsidR="00A17F2C" w:rsidRPr="00A13685" w:rsidRDefault="00A17F2C" w:rsidP="000337CB">
      <w:pPr>
        <w:spacing w:before="120" w:after="120"/>
        <w:jc w:val="center"/>
        <w:rPr>
          <w:szCs w:val="24"/>
        </w:rPr>
      </w:pPr>
      <w:r w:rsidRPr="00A13685">
        <w:rPr>
          <w:i/>
          <w:szCs w:val="24"/>
        </w:rPr>
        <w:t>Prepared in accordance with Part 3 of the Human Rights (Parliamentary Scrutiny) Act 2011</w:t>
      </w:r>
    </w:p>
    <w:p w14:paraId="751DE726" w14:textId="77777777" w:rsidR="002A6C77" w:rsidRPr="00A13685" w:rsidRDefault="002A6C77" w:rsidP="000337CB">
      <w:pPr>
        <w:tabs>
          <w:tab w:val="left" w:pos="1418"/>
        </w:tabs>
        <w:ind w:left="851"/>
        <w:jc w:val="center"/>
        <w:rPr>
          <w:b/>
          <w:i/>
          <w:iCs/>
        </w:rPr>
      </w:pPr>
    </w:p>
    <w:p w14:paraId="1BF56C38" w14:textId="076C72A0" w:rsidR="007708B3" w:rsidRPr="00A13685" w:rsidRDefault="0013004F" w:rsidP="000337CB">
      <w:pPr>
        <w:tabs>
          <w:tab w:val="left" w:pos="1418"/>
        </w:tabs>
        <w:ind w:left="851"/>
        <w:jc w:val="center"/>
        <w:rPr>
          <w:i/>
          <w:iCs/>
        </w:rPr>
      </w:pPr>
      <w:r w:rsidRPr="00A13685">
        <w:rPr>
          <w:i/>
          <w:iCs/>
        </w:rPr>
        <w:t>Health Insurance (Section 3C General Medical Services – Botox Injection) Amendment Determination 2020</w:t>
      </w:r>
    </w:p>
    <w:p w14:paraId="788F0FBF" w14:textId="77777777" w:rsidR="0013004F" w:rsidRPr="00A13685" w:rsidRDefault="0013004F" w:rsidP="000337CB">
      <w:pPr>
        <w:tabs>
          <w:tab w:val="left" w:pos="1418"/>
        </w:tabs>
        <w:ind w:left="851"/>
        <w:jc w:val="center"/>
        <w:rPr>
          <w:b/>
          <w:i/>
          <w:szCs w:val="24"/>
        </w:rPr>
      </w:pPr>
    </w:p>
    <w:p w14:paraId="2412D153" w14:textId="7AFD921D" w:rsidR="00A17F2C" w:rsidRPr="00A13685" w:rsidRDefault="00A17F2C" w:rsidP="000337CB">
      <w:pPr>
        <w:jc w:val="center"/>
        <w:rPr>
          <w:szCs w:val="24"/>
        </w:rPr>
      </w:pPr>
      <w:r w:rsidRPr="00A13685">
        <w:rPr>
          <w:szCs w:val="24"/>
        </w:rPr>
        <w:t xml:space="preserve">This </w:t>
      </w:r>
      <w:r w:rsidR="0046022A" w:rsidRPr="00A13685">
        <w:rPr>
          <w:szCs w:val="24"/>
        </w:rPr>
        <w:t>instrument</w:t>
      </w:r>
      <w:r w:rsidRPr="00A13685">
        <w:rPr>
          <w:szCs w:val="24"/>
        </w:rPr>
        <w:t xml:space="preserve"> is compatible with the human rights and freedoms recognised or declared in the international instruments listed in section 3 of the </w:t>
      </w:r>
      <w:r w:rsidRPr="00A13685">
        <w:rPr>
          <w:i/>
          <w:szCs w:val="24"/>
        </w:rPr>
        <w:t>Human Rights (Parliamentary Scrutiny) Act 2011</w:t>
      </w:r>
      <w:r w:rsidRPr="00A13685">
        <w:rPr>
          <w:szCs w:val="24"/>
        </w:rPr>
        <w:t>.</w:t>
      </w:r>
    </w:p>
    <w:p w14:paraId="7EDA9098" w14:textId="306A78E1" w:rsidR="006E6BBF" w:rsidRPr="00A13685" w:rsidRDefault="006E6BBF" w:rsidP="008734F5">
      <w:pPr>
        <w:spacing w:before="120" w:after="120"/>
        <w:rPr>
          <w:b/>
          <w:szCs w:val="24"/>
        </w:rPr>
      </w:pPr>
      <w:r w:rsidRPr="00A13685">
        <w:rPr>
          <w:b/>
          <w:szCs w:val="24"/>
        </w:rPr>
        <w:t xml:space="preserve">Overview of the </w:t>
      </w:r>
      <w:r w:rsidR="00B86A9F" w:rsidRPr="00A13685">
        <w:rPr>
          <w:b/>
          <w:szCs w:val="24"/>
        </w:rPr>
        <w:t>Determination</w:t>
      </w:r>
    </w:p>
    <w:p w14:paraId="7781DCEC" w14:textId="77777777" w:rsidR="00EE51B0" w:rsidRPr="00A13685" w:rsidRDefault="00EE51B0" w:rsidP="00EE51B0">
      <w:pPr>
        <w:ind w:right="-483"/>
        <w:rPr>
          <w:color w:val="000000" w:themeColor="text1"/>
          <w:szCs w:val="24"/>
        </w:rPr>
      </w:pPr>
      <w:r w:rsidRPr="00A13685">
        <w:rPr>
          <w:color w:val="000000" w:themeColor="text1"/>
          <w:szCs w:val="24"/>
        </w:rPr>
        <w:t>The purpose of the</w:t>
      </w:r>
      <w:r w:rsidRPr="00A13685">
        <w:rPr>
          <w:color w:val="000000" w:themeColor="text1"/>
        </w:rPr>
        <w:t xml:space="preserve"> </w:t>
      </w:r>
      <w:r w:rsidRPr="00A13685">
        <w:rPr>
          <w:i/>
          <w:color w:val="000000" w:themeColor="text1"/>
          <w:szCs w:val="24"/>
        </w:rPr>
        <w:t>Health Insurance (Section 3C General Medical Services – Botox Injection) Amendment Determination 2020</w:t>
      </w:r>
      <w:r w:rsidRPr="00A13685">
        <w:rPr>
          <w:color w:val="000000" w:themeColor="text1"/>
          <w:szCs w:val="24"/>
        </w:rPr>
        <w:t xml:space="preserve"> (the Amendment Determination) is to amend the </w:t>
      </w:r>
      <w:r w:rsidRPr="00A13685">
        <w:rPr>
          <w:i/>
          <w:color w:val="000000" w:themeColor="text1"/>
          <w:szCs w:val="24"/>
        </w:rPr>
        <w:t>Health Insurance (Section 3C General Medical Services – Botox Injection) Determination 2020</w:t>
      </w:r>
      <w:r w:rsidRPr="00A13685">
        <w:rPr>
          <w:color w:val="000000" w:themeColor="text1"/>
          <w:szCs w:val="24"/>
        </w:rPr>
        <w:t xml:space="preserve"> (the Principal Determination) from 1 December 2020.</w:t>
      </w:r>
    </w:p>
    <w:p w14:paraId="4C052EAA" w14:textId="77777777" w:rsidR="00EE51B0" w:rsidRPr="00A13685" w:rsidRDefault="00EE51B0" w:rsidP="00EE51B0">
      <w:pPr>
        <w:ind w:right="-483"/>
        <w:rPr>
          <w:color w:val="000000" w:themeColor="text1"/>
          <w:szCs w:val="24"/>
        </w:rPr>
      </w:pPr>
    </w:p>
    <w:p w14:paraId="7DDBFD01" w14:textId="77777777" w:rsidR="00EE51B0" w:rsidRPr="00A13685" w:rsidRDefault="00EE51B0" w:rsidP="00EE51B0">
      <w:pPr>
        <w:ind w:right="-483"/>
        <w:rPr>
          <w:color w:val="000000" w:themeColor="text1"/>
          <w:szCs w:val="24"/>
        </w:rPr>
      </w:pPr>
      <w:r w:rsidRPr="00A13685">
        <w:rPr>
          <w:color w:val="000000" w:themeColor="text1"/>
          <w:szCs w:val="24"/>
        </w:rPr>
        <w:t xml:space="preserve">Item 18361 commenced on 1 July 2011 for the injection of botulinum toxin (Botox) for the treatment of moderate to severe upper limb spasticity due to cerebral palsy. This service can only be provided to patients who are at least 2 years of age. For patients who are at least 18 years old, it is a requirement that they have commenced treatment for the spasticity with botulinum toxin supplied under the Pharmaceutical Benefits Scheme (PBS). </w:t>
      </w:r>
    </w:p>
    <w:p w14:paraId="7B8619FA" w14:textId="77777777" w:rsidR="00EE51B0" w:rsidRPr="00A13685" w:rsidRDefault="00EE51B0" w:rsidP="00EE51B0">
      <w:pPr>
        <w:ind w:right="-483"/>
        <w:rPr>
          <w:color w:val="000000" w:themeColor="text1"/>
          <w:szCs w:val="24"/>
        </w:rPr>
      </w:pPr>
    </w:p>
    <w:p w14:paraId="629F8D85" w14:textId="77777777" w:rsidR="00EE51B0" w:rsidRPr="00A13685" w:rsidRDefault="00EE51B0" w:rsidP="00EE51B0">
      <w:pPr>
        <w:ind w:right="-483"/>
        <w:rPr>
          <w:color w:val="000000" w:themeColor="text1"/>
          <w:szCs w:val="24"/>
        </w:rPr>
      </w:pPr>
      <w:r w:rsidRPr="00A13685">
        <w:rPr>
          <w:color w:val="000000" w:themeColor="text1"/>
          <w:szCs w:val="24"/>
        </w:rPr>
        <w:t xml:space="preserve">The Amendment Determination will expand item 18361 to include Clostridium Botulinum Type A Toxin-Haemagglutinin Complex (Dysport®) as an acceptable alternative treatment, and will remove the requirement for patients who are at least 18 years old to have commenced treatment for the spasticity with botulinum toxin supplied under the PBS, prior to them turning 18 years old. </w:t>
      </w:r>
    </w:p>
    <w:p w14:paraId="1E051158" w14:textId="77777777" w:rsidR="00EE51B0" w:rsidRPr="00A13685" w:rsidRDefault="00EE51B0" w:rsidP="00EE51B0">
      <w:pPr>
        <w:ind w:right="-483"/>
        <w:rPr>
          <w:color w:val="000000" w:themeColor="text1"/>
          <w:szCs w:val="24"/>
        </w:rPr>
      </w:pPr>
    </w:p>
    <w:p w14:paraId="43771145" w14:textId="77777777" w:rsidR="00EE51B0" w:rsidRPr="00A13685" w:rsidRDefault="00EE51B0" w:rsidP="00EE51B0">
      <w:pPr>
        <w:ind w:right="-483"/>
        <w:rPr>
          <w:color w:val="000000" w:themeColor="text1"/>
          <w:szCs w:val="24"/>
        </w:rPr>
      </w:pPr>
      <w:r w:rsidRPr="00A13685">
        <w:rPr>
          <w:color w:val="000000" w:themeColor="text1"/>
          <w:szCs w:val="24"/>
        </w:rPr>
        <w:t xml:space="preserve">This change will align the delivery service of botulinum toxin for moderate to severe upper limb spasticity due to cerebral palsy with the criteria for the PBS listed medicines, and will improve patient access to clinically proven medicines with appropriate restrictions.  </w:t>
      </w:r>
    </w:p>
    <w:p w14:paraId="49DE55AA" w14:textId="77777777" w:rsidR="00EE51B0" w:rsidRPr="00A13685" w:rsidRDefault="00EE51B0" w:rsidP="00EE51B0">
      <w:pPr>
        <w:ind w:right="-483"/>
        <w:rPr>
          <w:color w:val="000000" w:themeColor="text1"/>
          <w:szCs w:val="24"/>
        </w:rPr>
      </w:pPr>
    </w:p>
    <w:p w14:paraId="71892D2D" w14:textId="77777777" w:rsidR="00EE51B0" w:rsidRPr="00A13685" w:rsidRDefault="00EE51B0" w:rsidP="00EE51B0">
      <w:pPr>
        <w:shd w:val="clear" w:color="auto" w:fill="FFFFFF"/>
        <w:rPr>
          <w:color w:val="000000" w:themeColor="text1"/>
          <w:szCs w:val="24"/>
        </w:rPr>
      </w:pPr>
      <w:r w:rsidRPr="00A13685">
        <w:rPr>
          <w:color w:val="000000" w:themeColor="text1"/>
          <w:szCs w:val="24"/>
        </w:rPr>
        <w:t>This proposal was considered by the Pharmaceutical Benefits Advisory Committee (PBAC) at in July 2020 and supported by the Medical Services Advisory Committee (MSAC) in July 2020.</w:t>
      </w:r>
    </w:p>
    <w:p w14:paraId="2412D15C" w14:textId="367BED6D" w:rsidR="00A17F2C" w:rsidRPr="00A13685" w:rsidRDefault="006E0CA8" w:rsidP="006E0CA8">
      <w:pPr>
        <w:spacing w:before="120" w:after="120"/>
        <w:rPr>
          <w:b/>
          <w:szCs w:val="24"/>
        </w:rPr>
      </w:pPr>
      <w:r w:rsidRPr="00A13685">
        <w:rPr>
          <w:b/>
          <w:szCs w:val="24"/>
        </w:rPr>
        <w:t>H</w:t>
      </w:r>
      <w:r w:rsidR="00A17F2C" w:rsidRPr="00A13685">
        <w:rPr>
          <w:b/>
          <w:szCs w:val="24"/>
        </w:rPr>
        <w:t>uman rights implications</w:t>
      </w:r>
    </w:p>
    <w:p w14:paraId="449665F0" w14:textId="2ED3F54B" w:rsidR="00806020" w:rsidRPr="00A13685" w:rsidRDefault="00806020" w:rsidP="00806020">
      <w:pPr>
        <w:spacing w:before="120" w:after="120"/>
        <w:rPr>
          <w:szCs w:val="24"/>
        </w:rPr>
      </w:pPr>
      <w:r w:rsidRPr="00A13685">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A13685" w:rsidRDefault="00A17F2C" w:rsidP="00806020">
      <w:pPr>
        <w:spacing w:before="120" w:after="120"/>
        <w:rPr>
          <w:i/>
          <w:szCs w:val="24"/>
        </w:rPr>
      </w:pPr>
      <w:r w:rsidRPr="00A13685">
        <w:rPr>
          <w:i/>
          <w:szCs w:val="24"/>
        </w:rPr>
        <w:t>The Right to Health</w:t>
      </w:r>
    </w:p>
    <w:p w14:paraId="2412D15F" w14:textId="77777777" w:rsidR="00A17F2C" w:rsidRPr="00A13685" w:rsidRDefault="00A17F2C" w:rsidP="000337CB">
      <w:pPr>
        <w:spacing w:before="120" w:after="120"/>
        <w:rPr>
          <w:szCs w:val="24"/>
        </w:rPr>
      </w:pPr>
      <w:r w:rsidRPr="00A13685">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A13685" w:rsidRDefault="00A17F2C" w:rsidP="000337CB">
      <w:pPr>
        <w:spacing w:before="120" w:after="120"/>
        <w:rPr>
          <w:szCs w:val="24"/>
        </w:rPr>
      </w:pPr>
      <w:r w:rsidRPr="00A13685">
        <w:rPr>
          <w:szCs w:val="24"/>
        </w:rPr>
        <w:t xml:space="preserve">The Committee reports that the </w:t>
      </w:r>
      <w:r w:rsidRPr="00A13685">
        <w:rPr>
          <w:i/>
          <w:szCs w:val="24"/>
        </w:rPr>
        <w:t>‘highest attainable standard of health’</w:t>
      </w:r>
      <w:r w:rsidRPr="00A13685">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6FC665AD" w14:textId="77777777" w:rsidR="00F64434" w:rsidRPr="00A13685" w:rsidRDefault="00F64434">
      <w:pPr>
        <w:spacing w:after="200" w:line="276" w:lineRule="auto"/>
        <w:rPr>
          <w:i/>
          <w:szCs w:val="24"/>
        </w:rPr>
      </w:pPr>
      <w:r w:rsidRPr="00A13685">
        <w:rPr>
          <w:i/>
          <w:szCs w:val="24"/>
        </w:rPr>
        <w:br w:type="page"/>
      </w:r>
    </w:p>
    <w:p w14:paraId="2412D161" w14:textId="050D7176" w:rsidR="00A17F2C" w:rsidRPr="00A13685" w:rsidRDefault="00A17F2C" w:rsidP="000337CB">
      <w:pPr>
        <w:spacing w:before="120" w:after="120"/>
        <w:rPr>
          <w:i/>
          <w:szCs w:val="24"/>
        </w:rPr>
      </w:pPr>
      <w:r w:rsidRPr="00A13685">
        <w:rPr>
          <w:i/>
          <w:szCs w:val="24"/>
        </w:rPr>
        <w:lastRenderedPageBreak/>
        <w:t xml:space="preserve">The Right to Social Security </w:t>
      </w:r>
    </w:p>
    <w:p w14:paraId="2412D162" w14:textId="77777777" w:rsidR="00A17F2C" w:rsidRPr="00A13685" w:rsidRDefault="00A17F2C" w:rsidP="000337CB">
      <w:pPr>
        <w:spacing w:before="120" w:after="120"/>
        <w:rPr>
          <w:szCs w:val="24"/>
        </w:rPr>
      </w:pPr>
      <w:r w:rsidRPr="00A13685">
        <w:rPr>
          <w:szCs w:val="24"/>
        </w:rPr>
        <w:t>The right to social security is contained in Article 9 of the ICESCR. It requires that a country must, within its maximum available resources, ensure access to a social security scheme that</w:t>
      </w:r>
      <w:r w:rsidR="00BA69CB" w:rsidRPr="00A13685">
        <w:rPr>
          <w:szCs w:val="24"/>
        </w:rPr>
        <w:t xml:space="preserve"> </w:t>
      </w:r>
      <w:r w:rsidRPr="00A13685">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A13685" w:rsidRDefault="00A17F2C" w:rsidP="000337CB">
      <w:pPr>
        <w:spacing w:before="120" w:after="120"/>
        <w:rPr>
          <w:szCs w:val="24"/>
        </w:rPr>
      </w:pPr>
      <w:r w:rsidRPr="00A13685">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1BF78036" w:rsidR="00A17F2C" w:rsidRPr="00A13685" w:rsidRDefault="00A17F2C" w:rsidP="000337CB">
      <w:pPr>
        <w:spacing w:before="120" w:after="120"/>
        <w:rPr>
          <w:szCs w:val="24"/>
          <w:u w:val="single"/>
        </w:rPr>
      </w:pPr>
      <w:r w:rsidRPr="00A13685">
        <w:rPr>
          <w:szCs w:val="24"/>
          <w:u w:val="single"/>
        </w:rPr>
        <w:t xml:space="preserve">Analysis </w:t>
      </w:r>
    </w:p>
    <w:p w14:paraId="667984A8" w14:textId="2B11E3A2" w:rsidR="00F954A2" w:rsidRPr="00A13685" w:rsidRDefault="00806020" w:rsidP="00302F5C">
      <w:pPr>
        <w:rPr>
          <w:szCs w:val="24"/>
        </w:rPr>
      </w:pPr>
      <w:r w:rsidRPr="00A13685">
        <w:rPr>
          <w:szCs w:val="24"/>
        </w:rPr>
        <w:t xml:space="preserve">This instrument </w:t>
      </w:r>
      <w:r w:rsidR="00C1626C" w:rsidRPr="00A13685">
        <w:rPr>
          <w:szCs w:val="24"/>
        </w:rPr>
        <w:t xml:space="preserve">advances the right to health and social security by </w:t>
      </w:r>
      <w:r w:rsidR="00F954A2" w:rsidRPr="00A13685">
        <w:rPr>
          <w:szCs w:val="24"/>
        </w:rPr>
        <w:t xml:space="preserve">aligning the delivery service of botulinum toxin for moderate to severe upper limb spasticity due to cerebral palsy with the criteria for the PBS listed medicines, and by improving patient access to clinically proven medicines with </w:t>
      </w:r>
      <w:r w:rsidR="00EE51B0" w:rsidRPr="00A13685">
        <w:rPr>
          <w:szCs w:val="24"/>
        </w:rPr>
        <w:t>appropriate</w:t>
      </w:r>
      <w:r w:rsidR="00F954A2" w:rsidRPr="00A13685">
        <w:rPr>
          <w:szCs w:val="24"/>
        </w:rPr>
        <w:t xml:space="preserve"> restrictions.  </w:t>
      </w:r>
    </w:p>
    <w:p w14:paraId="2412D166" w14:textId="1973400E" w:rsidR="00A17F2C" w:rsidRPr="00A13685" w:rsidRDefault="00A17F2C" w:rsidP="004B7CB9">
      <w:pPr>
        <w:spacing w:before="120" w:after="120" w:line="276" w:lineRule="auto"/>
        <w:rPr>
          <w:rFonts w:eastAsia="Calibri"/>
          <w:b/>
          <w:szCs w:val="24"/>
          <w:lang w:eastAsia="en-US"/>
        </w:rPr>
      </w:pPr>
      <w:r w:rsidRPr="00A13685">
        <w:rPr>
          <w:rFonts w:eastAsia="Calibri"/>
          <w:b/>
          <w:szCs w:val="24"/>
          <w:lang w:eastAsia="en-US"/>
        </w:rPr>
        <w:t xml:space="preserve">Conclusion </w:t>
      </w:r>
    </w:p>
    <w:p w14:paraId="2412D167" w14:textId="41CB9515" w:rsidR="00A17F2C" w:rsidRPr="00A13685" w:rsidRDefault="006E6BBF" w:rsidP="000337CB">
      <w:pPr>
        <w:rPr>
          <w:color w:val="FF0000"/>
          <w:szCs w:val="24"/>
        </w:rPr>
      </w:pPr>
      <w:r w:rsidRPr="00A13685">
        <w:rPr>
          <w:szCs w:val="24"/>
        </w:rPr>
        <w:t xml:space="preserve">This </w:t>
      </w:r>
      <w:r w:rsidR="0046022A" w:rsidRPr="00A13685">
        <w:rPr>
          <w:szCs w:val="24"/>
        </w:rPr>
        <w:t>instrument</w:t>
      </w:r>
      <w:r w:rsidRPr="00A13685">
        <w:rPr>
          <w:szCs w:val="24"/>
        </w:rPr>
        <w:t xml:space="preserve"> </w:t>
      </w:r>
      <w:r w:rsidR="00F15284" w:rsidRPr="00A13685">
        <w:rPr>
          <w:szCs w:val="24"/>
        </w:rPr>
        <w:t xml:space="preserve">is compatible with human rights as it </w:t>
      </w:r>
      <w:r w:rsidR="00AD3DBA" w:rsidRPr="00A13685">
        <w:rPr>
          <w:szCs w:val="24"/>
        </w:rPr>
        <w:t xml:space="preserve">advances </w:t>
      </w:r>
      <w:r w:rsidR="007C7403" w:rsidRPr="00A13685">
        <w:rPr>
          <w:szCs w:val="24"/>
        </w:rPr>
        <w:t xml:space="preserve">the </w:t>
      </w:r>
      <w:r w:rsidR="00910EF6" w:rsidRPr="00A13685">
        <w:rPr>
          <w:szCs w:val="24"/>
        </w:rPr>
        <w:t>right to health and the right to social security.</w:t>
      </w:r>
      <w:r w:rsidR="001B6095" w:rsidRPr="00A13685">
        <w:rPr>
          <w:color w:val="FF0000"/>
          <w:szCs w:val="24"/>
        </w:rPr>
        <w:t xml:space="preserve"> </w:t>
      </w:r>
    </w:p>
    <w:p w14:paraId="2412D168" w14:textId="77777777" w:rsidR="00F15284" w:rsidRPr="00A13685" w:rsidRDefault="00F15284" w:rsidP="000337CB">
      <w:pPr>
        <w:rPr>
          <w:rFonts w:eastAsia="Calibri"/>
          <w:szCs w:val="24"/>
          <w:lang w:eastAsia="en-US"/>
        </w:rPr>
      </w:pPr>
    </w:p>
    <w:p w14:paraId="75A46380" w14:textId="77777777" w:rsidR="00C67BC7" w:rsidRPr="00A13685" w:rsidRDefault="00C67BC7" w:rsidP="000F2948">
      <w:pPr>
        <w:jc w:val="center"/>
        <w:rPr>
          <w:b/>
          <w:bCs/>
        </w:rPr>
      </w:pPr>
    </w:p>
    <w:p w14:paraId="60A0E5AF" w14:textId="48C27770" w:rsidR="00AC688A" w:rsidRPr="00A13685" w:rsidRDefault="006E0CA8" w:rsidP="00AC688A">
      <w:pPr>
        <w:shd w:val="clear" w:color="auto" w:fill="FFFFFF"/>
        <w:spacing w:line="240" w:lineRule="atLeast"/>
        <w:ind w:right="-23"/>
        <w:jc w:val="center"/>
        <w:rPr>
          <w:b/>
          <w:bCs/>
        </w:rPr>
      </w:pPr>
      <w:r w:rsidRPr="00A13685">
        <w:rPr>
          <w:b/>
          <w:bCs/>
        </w:rPr>
        <w:t>Paul McBride</w:t>
      </w:r>
    </w:p>
    <w:p w14:paraId="179865D6" w14:textId="39B8A36D" w:rsidR="00AC688A" w:rsidRPr="00A13685" w:rsidRDefault="006E0CA8" w:rsidP="00AC688A">
      <w:pPr>
        <w:shd w:val="clear" w:color="auto" w:fill="FFFFFF"/>
        <w:spacing w:line="240" w:lineRule="atLeast"/>
        <w:ind w:right="-23"/>
        <w:jc w:val="center"/>
        <w:rPr>
          <w:b/>
          <w:bCs/>
        </w:rPr>
      </w:pPr>
      <w:r w:rsidRPr="00A13685">
        <w:rPr>
          <w:b/>
          <w:bCs/>
        </w:rPr>
        <w:t>First</w:t>
      </w:r>
      <w:r w:rsidR="00AC688A" w:rsidRPr="00A13685">
        <w:rPr>
          <w:b/>
          <w:bCs/>
        </w:rPr>
        <w:t xml:space="preserve"> Assistant Secretary </w:t>
      </w:r>
    </w:p>
    <w:p w14:paraId="02A70157" w14:textId="77777777" w:rsidR="00AC688A" w:rsidRPr="00A13685" w:rsidRDefault="00AC688A" w:rsidP="00AC688A">
      <w:pPr>
        <w:shd w:val="clear" w:color="auto" w:fill="FFFFFF"/>
        <w:spacing w:line="240" w:lineRule="atLeast"/>
        <w:ind w:right="-23"/>
        <w:jc w:val="center"/>
        <w:rPr>
          <w:b/>
          <w:bCs/>
        </w:rPr>
      </w:pPr>
      <w:r w:rsidRPr="00A13685">
        <w:rPr>
          <w:b/>
          <w:bCs/>
        </w:rPr>
        <w:t xml:space="preserve">Medical Benefits Division </w:t>
      </w:r>
    </w:p>
    <w:p w14:paraId="5BEB1C1A" w14:textId="6E140021" w:rsidR="00AC688A" w:rsidRPr="00A13685" w:rsidRDefault="00AC688A" w:rsidP="00AC688A">
      <w:pPr>
        <w:shd w:val="clear" w:color="auto" w:fill="FFFFFF"/>
        <w:spacing w:line="240" w:lineRule="atLeast"/>
        <w:ind w:right="-23"/>
        <w:jc w:val="center"/>
        <w:rPr>
          <w:b/>
          <w:bCs/>
        </w:rPr>
      </w:pPr>
      <w:r w:rsidRPr="00A13685">
        <w:rPr>
          <w:b/>
          <w:bCs/>
        </w:rPr>
        <w:t xml:space="preserve">Health </w:t>
      </w:r>
      <w:r w:rsidR="006E0CA8" w:rsidRPr="00A13685">
        <w:rPr>
          <w:b/>
          <w:bCs/>
        </w:rPr>
        <w:t>Resourcing</w:t>
      </w:r>
      <w:r w:rsidRPr="00A13685">
        <w:rPr>
          <w:b/>
          <w:bCs/>
        </w:rPr>
        <w:t xml:space="preserve"> Group</w:t>
      </w:r>
    </w:p>
    <w:p w14:paraId="2412D16E" w14:textId="4102FE15" w:rsidR="00636C51" w:rsidRPr="0013004F" w:rsidRDefault="00AC688A" w:rsidP="001B6095">
      <w:pPr>
        <w:jc w:val="center"/>
        <w:rPr>
          <w:b/>
          <w:bCs/>
        </w:rPr>
      </w:pPr>
      <w:r w:rsidRPr="00A13685">
        <w:rPr>
          <w:b/>
          <w:bCs/>
        </w:rPr>
        <w:t>Department of Health</w:t>
      </w:r>
      <w:bookmarkStart w:id="0" w:name="_GoBack"/>
      <w:bookmarkEnd w:id="0"/>
    </w:p>
    <w:sectPr w:rsidR="00636C51" w:rsidRPr="0013004F" w:rsidSect="00B15781">
      <w:headerReference w:type="even" r:id="rId17"/>
      <w:headerReference w:type="default" r:id="rId18"/>
      <w:headerReference w:type="first" r:id="rId19"/>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2D0DD" w14:textId="77777777" w:rsidR="006E6401" w:rsidRDefault="006E6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6794A" w14:textId="77777777" w:rsidR="006E6401" w:rsidRDefault="006E64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36A3D" w14:textId="77777777" w:rsidR="006E6401" w:rsidRDefault="006E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FE181" w14:textId="77777777" w:rsidR="006E6401" w:rsidRDefault="006E64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4A14B9E6" w:rsidR="00A1739A" w:rsidRDefault="00A1739A" w:rsidP="00BD6F5F">
    <w:pPr>
      <w:pStyle w:val="Header"/>
      <w:jc w:val="center"/>
    </w:pPr>
    <w:r>
      <w:fldChar w:fldCharType="begin"/>
    </w:r>
    <w:r>
      <w:instrText xml:space="preserve"> PAGE  \* Arabic  \* MERGEFORMAT </w:instrText>
    </w:r>
    <w:r>
      <w:fldChar w:fldCharType="separate"/>
    </w:r>
    <w:r w:rsidR="00A13685">
      <w:rPr>
        <w:noProof/>
      </w:rPr>
      <w:t>1</w:t>
    </w:r>
    <w:r>
      <w:fldChar w:fldCharType="end"/>
    </w:r>
  </w:p>
  <w:p w14:paraId="2412D177" w14:textId="77777777" w:rsidR="00A1739A" w:rsidRDefault="00A17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1F2B7" w14:textId="77777777" w:rsidR="006E6401" w:rsidRDefault="006E64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7DF35075" w:rsidR="00E23B6B" w:rsidRDefault="00E23B6B">
        <w:pPr>
          <w:pStyle w:val="Header"/>
          <w:jc w:val="center"/>
        </w:pPr>
        <w:r>
          <w:fldChar w:fldCharType="begin"/>
        </w:r>
        <w:r>
          <w:instrText xml:space="preserve"> PAGE   \* MERGEFORMAT </w:instrText>
        </w:r>
        <w:r>
          <w:fldChar w:fldCharType="separate"/>
        </w:r>
        <w:r w:rsidR="00A13685">
          <w:rPr>
            <w:noProof/>
          </w:rPr>
          <w:t>5</w:t>
        </w:r>
        <w:r>
          <w:rPr>
            <w:noProof/>
          </w:rPr>
          <w:fldChar w:fldCharType="end"/>
        </w:r>
      </w:p>
    </w:sdtContent>
  </w:sdt>
  <w:p w14:paraId="2412D17B" w14:textId="77777777" w:rsidR="001C35BC" w:rsidRDefault="001C35BC" w:rsidP="00E23B6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4A05B717" w:rsidR="00E23B6B" w:rsidRDefault="00E23B6B">
        <w:pPr>
          <w:pStyle w:val="Header"/>
          <w:jc w:val="center"/>
        </w:pPr>
        <w:r>
          <w:fldChar w:fldCharType="begin"/>
        </w:r>
        <w:r>
          <w:instrText xml:space="preserve"> PAGE   \* MERGEFORMAT </w:instrText>
        </w:r>
        <w:r>
          <w:fldChar w:fldCharType="separate"/>
        </w:r>
        <w:r w:rsidR="00A13685">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9"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6"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2"/>
  </w:num>
  <w:num w:numId="4">
    <w:abstractNumId w:val="11"/>
  </w:num>
  <w:num w:numId="5">
    <w:abstractNumId w:val="17"/>
  </w:num>
  <w:num w:numId="6">
    <w:abstractNumId w:val="9"/>
  </w:num>
  <w:num w:numId="7">
    <w:abstractNumId w:val="28"/>
  </w:num>
  <w:num w:numId="8">
    <w:abstractNumId w:val="6"/>
  </w:num>
  <w:num w:numId="9">
    <w:abstractNumId w:val="5"/>
  </w:num>
  <w:num w:numId="10">
    <w:abstractNumId w:val="30"/>
  </w:num>
  <w:num w:numId="11">
    <w:abstractNumId w:val="27"/>
  </w:num>
  <w:num w:numId="12">
    <w:abstractNumId w:val="12"/>
  </w:num>
  <w:num w:numId="13">
    <w:abstractNumId w:val="14"/>
  </w:num>
  <w:num w:numId="14">
    <w:abstractNumId w:val="25"/>
  </w:num>
  <w:num w:numId="15">
    <w:abstractNumId w:val="7"/>
  </w:num>
  <w:num w:numId="16">
    <w:abstractNumId w:val="19"/>
  </w:num>
  <w:num w:numId="17">
    <w:abstractNumId w:val="22"/>
  </w:num>
  <w:num w:numId="18">
    <w:abstractNumId w:val="20"/>
  </w:num>
  <w:num w:numId="19">
    <w:abstractNumId w:val="3"/>
  </w:num>
  <w:num w:numId="20">
    <w:abstractNumId w:val="1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1"/>
  </w:num>
  <w:num w:numId="25">
    <w:abstractNumId w:val="8"/>
  </w:num>
  <w:num w:numId="26">
    <w:abstractNumId w:val="4"/>
  </w:num>
  <w:num w:numId="27">
    <w:abstractNumId w:val="15"/>
  </w:num>
  <w:num w:numId="28">
    <w:abstractNumId w:val="29"/>
  </w:num>
  <w:num w:numId="29">
    <w:abstractNumId w:val="16"/>
  </w:num>
  <w:num w:numId="30">
    <w:abstractNumId w:val="26"/>
  </w:num>
  <w:num w:numId="31">
    <w:abstractNumId w:val="13"/>
  </w:num>
  <w:num w:numId="3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5748"/>
    <w:rsid w:val="00016774"/>
    <w:rsid w:val="000203B4"/>
    <w:rsid w:val="00021EFA"/>
    <w:rsid w:val="00024158"/>
    <w:rsid w:val="00024A1D"/>
    <w:rsid w:val="00025F64"/>
    <w:rsid w:val="0002704E"/>
    <w:rsid w:val="0002728B"/>
    <w:rsid w:val="0002752C"/>
    <w:rsid w:val="00027830"/>
    <w:rsid w:val="000319EF"/>
    <w:rsid w:val="00033034"/>
    <w:rsid w:val="000337CB"/>
    <w:rsid w:val="0003591F"/>
    <w:rsid w:val="00041849"/>
    <w:rsid w:val="0004426E"/>
    <w:rsid w:val="00044A2A"/>
    <w:rsid w:val="00050623"/>
    <w:rsid w:val="000509BA"/>
    <w:rsid w:val="0005224B"/>
    <w:rsid w:val="00054F46"/>
    <w:rsid w:val="0005533C"/>
    <w:rsid w:val="00063242"/>
    <w:rsid w:val="000640CF"/>
    <w:rsid w:val="00064BA4"/>
    <w:rsid w:val="000678F0"/>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4E58"/>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5F4C"/>
    <w:rsid w:val="0010617D"/>
    <w:rsid w:val="00106763"/>
    <w:rsid w:val="00107F36"/>
    <w:rsid w:val="0011066E"/>
    <w:rsid w:val="00110D12"/>
    <w:rsid w:val="00113B2E"/>
    <w:rsid w:val="0011618F"/>
    <w:rsid w:val="00120766"/>
    <w:rsid w:val="00121189"/>
    <w:rsid w:val="00121A66"/>
    <w:rsid w:val="0013004F"/>
    <w:rsid w:val="00132087"/>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3BDF"/>
    <w:rsid w:val="001B5ED9"/>
    <w:rsid w:val="001B6095"/>
    <w:rsid w:val="001B66AF"/>
    <w:rsid w:val="001B7092"/>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2D6D"/>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155B"/>
    <w:rsid w:val="003239D0"/>
    <w:rsid w:val="00324908"/>
    <w:rsid w:val="003279A2"/>
    <w:rsid w:val="00331752"/>
    <w:rsid w:val="00332AF9"/>
    <w:rsid w:val="003332C9"/>
    <w:rsid w:val="003337A6"/>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659B"/>
    <w:rsid w:val="003775D7"/>
    <w:rsid w:val="00380CBA"/>
    <w:rsid w:val="00381278"/>
    <w:rsid w:val="0038127E"/>
    <w:rsid w:val="00384080"/>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17"/>
    <w:rsid w:val="003B366C"/>
    <w:rsid w:val="003B38C1"/>
    <w:rsid w:val="003B59A9"/>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494B"/>
    <w:rsid w:val="00475A85"/>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49B"/>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2758"/>
    <w:rsid w:val="005042B5"/>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78EB"/>
    <w:rsid w:val="0054004F"/>
    <w:rsid w:val="00540C67"/>
    <w:rsid w:val="00542913"/>
    <w:rsid w:val="005440E4"/>
    <w:rsid w:val="00545299"/>
    <w:rsid w:val="005452CD"/>
    <w:rsid w:val="0054588E"/>
    <w:rsid w:val="00546DB4"/>
    <w:rsid w:val="005474A5"/>
    <w:rsid w:val="00547D82"/>
    <w:rsid w:val="005504B4"/>
    <w:rsid w:val="00550DAB"/>
    <w:rsid w:val="00551DD9"/>
    <w:rsid w:val="00552105"/>
    <w:rsid w:val="0055354D"/>
    <w:rsid w:val="00554543"/>
    <w:rsid w:val="005555B8"/>
    <w:rsid w:val="005567CF"/>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6C6"/>
    <w:rsid w:val="00617BBF"/>
    <w:rsid w:val="00617F77"/>
    <w:rsid w:val="00620637"/>
    <w:rsid w:val="00622B75"/>
    <w:rsid w:val="00623004"/>
    <w:rsid w:val="006237CC"/>
    <w:rsid w:val="00627C91"/>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67D76"/>
    <w:rsid w:val="00670998"/>
    <w:rsid w:val="00672050"/>
    <w:rsid w:val="00673872"/>
    <w:rsid w:val="00674A34"/>
    <w:rsid w:val="00685515"/>
    <w:rsid w:val="0068642A"/>
    <w:rsid w:val="00693A3E"/>
    <w:rsid w:val="00694C76"/>
    <w:rsid w:val="00694F4A"/>
    <w:rsid w:val="006A029B"/>
    <w:rsid w:val="006A17A1"/>
    <w:rsid w:val="006A61C5"/>
    <w:rsid w:val="006B0F31"/>
    <w:rsid w:val="006B13BC"/>
    <w:rsid w:val="006B1DDD"/>
    <w:rsid w:val="006B32FE"/>
    <w:rsid w:val="006B3959"/>
    <w:rsid w:val="006B4B58"/>
    <w:rsid w:val="006B6925"/>
    <w:rsid w:val="006C026A"/>
    <w:rsid w:val="006C138D"/>
    <w:rsid w:val="006C3807"/>
    <w:rsid w:val="006C427E"/>
    <w:rsid w:val="006C6821"/>
    <w:rsid w:val="006C7491"/>
    <w:rsid w:val="006C761B"/>
    <w:rsid w:val="006C76B5"/>
    <w:rsid w:val="006D03ED"/>
    <w:rsid w:val="006D2B37"/>
    <w:rsid w:val="006D3D81"/>
    <w:rsid w:val="006D46A1"/>
    <w:rsid w:val="006D4AA4"/>
    <w:rsid w:val="006D54FB"/>
    <w:rsid w:val="006D5816"/>
    <w:rsid w:val="006D627E"/>
    <w:rsid w:val="006D62D4"/>
    <w:rsid w:val="006E0CA8"/>
    <w:rsid w:val="006E1A62"/>
    <w:rsid w:val="006E320C"/>
    <w:rsid w:val="006E3D84"/>
    <w:rsid w:val="006E527B"/>
    <w:rsid w:val="006E5C6B"/>
    <w:rsid w:val="006E6377"/>
    <w:rsid w:val="006E6401"/>
    <w:rsid w:val="006E6640"/>
    <w:rsid w:val="006E6BBF"/>
    <w:rsid w:val="006E7529"/>
    <w:rsid w:val="006F2E4F"/>
    <w:rsid w:val="006F5273"/>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753"/>
    <w:rsid w:val="00735CCC"/>
    <w:rsid w:val="007368DC"/>
    <w:rsid w:val="00736AC9"/>
    <w:rsid w:val="007416A4"/>
    <w:rsid w:val="00741A4E"/>
    <w:rsid w:val="00742E97"/>
    <w:rsid w:val="007452E0"/>
    <w:rsid w:val="00745BD4"/>
    <w:rsid w:val="00750378"/>
    <w:rsid w:val="007505FB"/>
    <w:rsid w:val="007524B0"/>
    <w:rsid w:val="00752997"/>
    <w:rsid w:val="007533EC"/>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1E91"/>
    <w:rsid w:val="00782D07"/>
    <w:rsid w:val="007859F8"/>
    <w:rsid w:val="00791384"/>
    <w:rsid w:val="0079191B"/>
    <w:rsid w:val="00791C27"/>
    <w:rsid w:val="0079239C"/>
    <w:rsid w:val="007934F3"/>
    <w:rsid w:val="00795A80"/>
    <w:rsid w:val="00796464"/>
    <w:rsid w:val="00796F15"/>
    <w:rsid w:val="00797640"/>
    <w:rsid w:val="007A0403"/>
    <w:rsid w:val="007A12F5"/>
    <w:rsid w:val="007A3C42"/>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6A"/>
    <w:rsid w:val="008061B8"/>
    <w:rsid w:val="008100CF"/>
    <w:rsid w:val="00811B07"/>
    <w:rsid w:val="008129B1"/>
    <w:rsid w:val="00817A12"/>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5A1D"/>
    <w:rsid w:val="008869CA"/>
    <w:rsid w:val="008870CD"/>
    <w:rsid w:val="008905BA"/>
    <w:rsid w:val="0089375C"/>
    <w:rsid w:val="0089513F"/>
    <w:rsid w:val="00895699"/>
    <w:rsid w:val="008A153F"/>
    <w:rsid w:val="008A54A9"/>
    <w:rsid w:val="008A6188"/>
    <w:rsid w:val="008A79C6"/>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F94"/>
    <w:rsid w:val="00925D98"/>
    <w:rsid w:val="00926DD3"/>
    <w:rsid w:val="00935308"/>
    <w:rsid w:val="009361FD"/>
    <w:rsid w:val="009406D2"/>
    <w:rsid w:val="00940F17"/>
    <w:rsid w:val="009414C5"/>
    <w:rsid w:val="009427F2"/>
    <w:rsid w:val="00944F64"/>
    <w:rsid w:val="00945CE1"/>
    <w:rsid w:val="00945D58"/>
    <w:rsid w:val="009465EF"/>
    <w:rsid w:val="009467A8"/>
    <w:rsid w:val="00951A0B"/>
    <w:rsid w:val="00952F3F"/>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49A0"/>
    <w:rsid w:val="00995A06"/>
    <w:rsid w:val="00996BF2"/>
    <w:rsid w:val="009A222A"/>
    <w:rsid w:val="009A26CA"/>
    <w:rsid w:val="009A6FE7"/>
    <w:rsid w:val="009B1BCA"/>
    <w:rsid w:val="009B1FD2"/>
    <w:rsid w:val="009B3AEB"/>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3685"/>
    <w:rsid w:val="00A14878"/>
    <w:rsid w:val="00A1707B"/>
    <w:rsid w:val="00A1739A"/>
    <w:rsid w:val="00A17694"/>
    <w:rsid w:val="00A17F2C"/>
    <w:rsid w:val="00A204B3"/>
    <w:rsid w:val="00A232B9"/>
    <w:rsid w:val="00A24F4B"/>
    <w:rsid w:val="00A3185E"/>
    <w:rsid w:val="00A33893"/>
    <w:rsid w:val="00A34C9A"/>
    <w:rsid w:val="00A34D89"/>
    <w:rsid w:val="00A3611E"/>
    <w:rsid w:val="00A41364"/>
    <w:rsid w:val="00A41F72"/>
    <w:rsid w:val="00A4278E"/>
    <w:rsid w:val="00A4292D"/>
    <w:rsid w:val="00A44A25"/>
    <w:rsid w:val="00A54891"/>
    <w:rsid w:val="00A54CA1"/>
    <w:rsid w:val="00A56516"/>
    <w:rsid w:val="00A62031"/>
    <w:rsid w:val="00A65D80"/>
    <w:rsid w:val="00A66849"/>
    <w:rsid w:val="00A672A7"/>
    <w:rsid w:val="00A6730E"/>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88A"/>
    <w:rsid w:val="00AC6FF1"/>
    <w:rsid w:val="00AD0F67"/>
    <w:rsid w:val="00AD1A30"/>
    <w:rsid w:val="00AD3DBA"/>
    <w:rsid w:val="00AD7E8E"/>
    <w:rsid w:val="00AE0487"/>
    <w:rsid w:val="00AE0F81"/>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772E"/>
    <w:rsid w:val="00B27A5B"/>
    <w:rsid w:val="00B316E7"/>
    <w:rsid w:val="00B3398C"/>
    <w:rsid w:val="00B34BDE"/>
    <w:rsid w:val="00B34EF9"/>
    <w:rsid w:val="00B3578F"/>
    <w:rsid w:val="00B35DAD"/>
    <w:rsid w:val="00B365AB"/>
    <w:rsid w:val="00B36EB3"/>
    <w:rsid w:val="00B40E17"/>
    <w:rsid w:val="00B41AE8"/>
    <w:rsid w:val="00B445D0"/>
    <w:rsid w:val="00B45C4D"/>
    <w:rsid w:val="00B50E59"/>
    <w:rsid w:val="00B53FF2"/>
    <w:rsid w:val="00B54620"/>
    <w:rsid w:val="00B55CDD"/>
    <w:rsid w:val="00B56E4F"/>
    <w:rsid w:val="00B62796"/>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640"/>
    <w:rsid w:val="00BA58AC"/>
    <w:rsid w:val="00BA67DC"/>
    <w:rsid w:val="00BA69CB"/>
    <w:rsid w:val="00BA7884"/>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663C"/>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26C"/>
    <w:rsid w:val="00C16694"/>
    <w:rsid w:val="00C16E23"/>
    <w:rsid w:val="00C17ED8"/>
    <w:rsid w:val="00C2082B"/>
    <w:rsid w:val="00C20DBA"/>
    <w:rsid w:val="00C23920"/>
    <w:rsid w:val="00C27256"/>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2750"/>
    <w:rsid w:val="00CA62C0"/>
    <w:rsid w:val="00CA73CB"/>
    <w:rsid w:val="00CA79BB"/>
    <w:rsid w:val="00CB4161"/>
    <w:rsid w:val="00CB43A2"/>
    <w:rsid w:val="00CB587B"/>
    <w:rsid w:val="00CB6DE1"/>
    <w:rsid w:val="00CB7730"/>
    <w:rsid w:val="00CC12A0"/>
    <w:rsid w:val="00CC26A8"/>
    <w:rsid w:val="00CC389E"/>
    <w:rsid w:val="00CC4CED"/>
    <w:rsid w:val="00CC6EBB"/>
    <w:rsid w:val="00CD4A21"/>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2BE0"/>
    <w:rsid w:val="00D7566A"/>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4609"/>
    <w:rsid w:val="00DC789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13833"/>
    <w:rsid w:val="00E17001"/>
    <w:rsid w:val="00E17406"/>
    <w:rsid w:val="00E20AE5"/>
    <w:rsid w:val="00E20F00"/>
    <w:rsid w:val="00E21297"/>
    <w:rsid w:val="00E23A38"/>
    <w:rsid w:val="00E23B6B"/>
    <w:rsid w:val="00E24721"/>
    <w:rsid w:val="00E25139"/>
    <w:rsid w:val="00E265A0"/>
    <w:rsid w:val="00E266DE"/>
    <w:rsid w:val="00E311F5"/>
    <w:rsid w:val="00E34BF8"/>
    <w:rsid w:val="00E35B1E"/>
    <w:rsid w:val="00E41996"/>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1B0"/>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405"/>
    <w:rsid w:val="00F2161A"/>
    <w:rsid w:val="00F21724"/>
    <w:rsid w:val="00F2198A"/>
    <w:rsid w:val="00F21A81"/>
    <w:rsid w:val="00F21CC1"/>
    <w:rsid w:val="00F22D61"/>
    <w:rsid w:val="00F2324D"/>
    <w:rsid w:val="00F240F2"/>
    <w:rsid w:val="00F2428F"/>
    <w:rsid w:val="00F25075"/>
    <w:rsid w:val="00F27444"/>
    <w:rsid w:val="00F317CA"/>
    <w:rsid w:val="00F319F3"/>
    <w:rsid w:val="00F31BFB"/>
    <w:rsid w:val="00F323E7"/>
    <w:rsid w:val="00F324D2"/>
    <w:rsid w:val="00F32A56"/>
    <w:rsid w:val="00F32BEB"/>
    <w:rsid w:val="00F335E4"/>
    <w:rsid w:val="00F35509"/>
    <w:rsid w:val="00F358C3"/>
    <w:rsid w:val="00F409B2"/>
    <w:rsid w:val="00F413D8"/>
    <w:rsid w:val="00F42100"/>
    <w:rsid w:val="00F42A9B"/>
    <w:rsid w:val="00F45470"/>
    <w:rsid w:val="00F464FE"/>
    <w:rsid w:val="00F465F9"/>
    <w:rsid w:val="00F47621"/>
    <w:rsid w:val="00F570AB"/>
    <w:rsid w:val="00F571A5"/>
    <w:rsid w:val="00F57A71"/>
    <w:rsid w:val="00F61C28"/>
    <w:rsid w:val="00F61E69"/>
    <w:rsid w:val="00F633B7"/>
    <w:rsid w:val="00F64434"/>
    <w:rsid w:val="00F645F1"/>
    <w:rsid w:val="00F6591A"/>
    <w:rsid w:val="00F70D35"/>
    <w:rsid w:val="00F7546C"/>
    <w:rsid w:val="00F77B00"/>
    <w:rsid w:val="00F83B6F"/>
    <w:rsid w:val="00F84470"/>
    <w:rsid w:val="00F857BC"/>
    <w:rsid w:val="00F90273"/>
    <w:rsid w:val="00F90BD0"/>
    <w:rsid w:val="00F91A5F"/>
    <w:rsid w:val="00F93ACB"/>
    <w:rsid w:val="00F93C4F"/>
    <w:rsid w:val="00F954A2"/>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7206">
      <w:bodyDiv w:val="1"/>
      <w:marLeft w:val="0"/>
      <w:marRight w:val="0"/>
      <w:marTop w:val="0"/>
      <w:marBottom w:val="0"/>
      <w:divBdr>
        <w:top w:val="none" w:sz="0" w:space="0" w:color="auto"/>
        <w:left w:val="none" w:sz="0" w:space="0" w:color="auto"/>
        <w:bottom w:val="none" w:sz="0" w:space="0" w:color="auto"/>
        <w:right w:val="none" w:sz="0" w:space="0" w:color="auto"/>
      </w:divBdr>
      <w:divsChild>
        <w:div w:id="1262031403">
          <w:marLeft w:val="0"/>
          <w:marRight w:val="0"/>
          <w:marTop w:val="0"/>
          <w:marBottom w:val="0"/>
          <w:divBdr>
            <w:top w:val="none" w:sz="0" w:space="0" w:color="auto"/>
            <w:left w:val="none" w:sz="0" w:space="0" w:color="auto"/>
            <w:bottom w:val="none" w:sz="0" w:space="0" w:color="auto"/>
            <w:right w:val="none" w:sz="0" w:space="0" w:color="auto"/>
          </w:divBdr>
          <w:divsChild>
            <w:div w:id="1949848343">
              <w:marLeft w:val="0"/>
              <w:marRight w:val="0"/>
              <w:marTop w:val="0"/>
              <w:marBottom w:val="0"/>
              <w:divBdr>
                <w:top w:val="none" w:sz="0" w:space="0" w:color="auto"/>
                <w:left w:val="none" w:sz="0" w:space="0" w:color="auto"/>
                <w:bottom w:val="none" w:sz="0" w:space="0" w:color="auto"/>
                <w:right w:val="none" w:sz="0" w:space="0" w:color="auto"/>
              </w:divBdr>
              <w:divsChild>
                <w:div w:id="1570732083">
                  <w:marLeft w:val="0"/>
                  <w:marRight w:val="0"/>
                  <w:marTop w:val="0"/>
                  <w:marBottom w:val="0"/>
                  <w:divBdr>
                    <w:top w:val="none" w:sz="0" w:space="0" w:color="auto"/>
                    <w:left w:val="none" w:sz="0" w:space="0" w:color="auto"/>
                    <w:bottom w:val="none" w:sz="0" w:space="0" w:color="auto"/>
                    <w:right w:val="none" w:sz="0" w:space="0" w:color="auto"/>
                  </w:divBdr>
                  <w:divsChild>
                    <w:div w:id="1428426779">
                      <w:marLeft w:val="0"/>
                      <w:marRight w:val="0"/>
                      <w:marTop w:val="0"/>
                      <w:marBottom w:val="0"/>
                      <w:divBdr>
                        <w:top w:val="none" w:sz="0" w:space="0" w:color="auto"/>
                        <w:left w:val="none" w:sz="0" w:space="0" w:color="auto"/>
                        <w:bottom w:val="none" w:sz="0" w:space="0" w:color="auto"/>
                        <w:right w:val="none" w:sz="0" w:space="0" w:color="auto"/>
                      </w:divBdr>
                      <w:divsChild>
                        <w:div w:id="1749695274">
                          <w:marLeft w:val="0"/>
                          <w:marRight w:val="0"/>
                          <w:marTop w:val="0"/>
                          <w:marBottom w:val="0"/>
                          <w:divBdr>
                            <w:top w:val="none" w:sz="0" w:space="0" w:color="auto"/>
                            <w:left w:val="none" w:sz="0" w:space="0" w:color="auto"/>
                            <w:bottom w:val="none" w:sz="0" w:space="0" w:color="auto"/>
                            <w:right w:val="none" w:sz="0" w:space="0" w:color="auto"/>
                          </w:divBdr>
                          <w:divsChild>
                            <w:div w:id="391346227">
                              <w:marLeft w:val="0"/>
                              <w:marRight w:val="0"/>
                              <w:marTop w:val="0"/>
                              <w:marBottom w:val="0"/>
                              <w:divBdr>
                                <w:top w:val="none" w:sz="0" w:space="0" w:color="auto"/>
                                <w:left w:val="none" w:sz="0" w:space="0" w:color="auto"/>
                                <w:bottom w:val="none" w:sz="0" w:space="0" w:color="auto"/>
                                <w:right w:val="none" w:sz="0" w:space="0" w:color="auto"/>
                              </w:divBdr>
                              <w:divsChild>
                                <w:div w:id="302002697">
                                  <w:marLeft w:val="0"/>
                                  <w:marRight w:val="0"/>
                                  <w:marTop w:val="0"/>
                                  <w:marBottom w:val="0"/>
                                  <w:divBdr>
                                    <w:top w:val="none" w:sz="0" w:space="0" w:color="auto"/>
                                    <w:left w:val="none" w:sz="0" w:space="0" w:color="auto"/>
                                    <w:bottom w:val="none" w:sz="0" w:space="0" w:color="auto"/>
                                    <w:right w:val="none" w:sz="0" w:space="0" w:color="auto"/>
                                  </w:divBdr>
                                  <w:divsChild>
                                    <w:div w:id="564603570">
                                      <w:marLeft w:val="0"/>
                                      <w:marRight w:val="0"/>
                                      <w:marTop w:val="0"/>
                                      <w:marBottom w:val="0"/>
                                      <w:divBdr>
                                        <w:top w:val="none" w:sz="0" w:space="0" w:color="auto"/>
                                        <w:left w:val="none" w:sz="0" w:space="0" w:color="auto"/>
                                        <w:bottom w:val="none" w:sz="0" w:space="0" w:color="auto"/>
                                        <w:right w:val="none" w:sz="0" w:space="0" w:color="auto"/>
                                      </w:divBdr>
                                      <w:divsChild>
                                        <w:div w:id="404840919">
                                          <w:marLeft w:val="0"/>
                                          <w:marRight w:val="0"/>
                                          <w:marTop w:val="0"/>
                                          <w:marBottom w:val="0"/>
                                          <w:divBdr>
                                            <w:top w:val="none" w:sz="0" w:space="0" w:color="auto"/>
                                            <w:left w:val="none" w:sz="0" w:space="0" w:color="auto"/>
                                            <w:bottom w:val="none" w:sz="0" w:space="0" w:color="auto"/>
                                            <w:right w:val="none" w:sz="0" w:space="0" w:color="auto"/>
                                          </w:divBdr>
                                          <w:divsChild>
                                            <w:div w:id="735394951">
                                              <w:marLeft w:val="0"/>
                                              <w:marRight w:val="0"/>
                                              <w:marTop w:val="0"/>
                                              <w:marBottom w:val="0"/>
                                              <w:divBdr>
                                                <w:top w:val="none" w:sz="0" w:space="0" w:color="auto"/>
                                                <w:left w:val="none" w:sz="0" w:space="0" w:color="auto"/>
                                                <w:bottom w:val="none" w:sz="0" w:space="0" w:color="auto"/>
                                                <w:right w:val="none" w:sz="0" w:space="0" w:color="auto"/>
                                              </w:divBdr>
                                              <w:divsChild>
                                                <w:div w:id="1627933022">
                                                  <w:marLeft w:val="0"/>
                                                  <w:marRight w:val="0"/>
                                                  <w:marTop w:val="0"/>
                                                  <w:marBottom w:val="0"/>
                                                  <w:divBdr>
                                                    <w:top w:val="none" w:sz="0" w:space="0" w:color="auto"/>
                                                    <w:left w:val="none" w:sz="0" w:space="0" w:color="auto"/>
                                                    <w:bottom w:val="none" w:sz="0" w:space="0" w:color="auto"/>
                                                    <w:right w:val="none" w:sz="0" w:space="0" w:color="auto"/>
                                                  </w:divBdr>
                                                  <w:divsChild>
                                                    <w:div w:id="599918498">
                                                      <w:marLeft w:val="0"/>
                                                      <w:marRight w:val="0"/>
                                                      <w:marTop w:val="0"/>
                                                      <w:marBottom w:val="0"/>
                                                      <w:divBdr>
                                                        <w:top w:val="none" w:sz="0" w:space="0" w:color="auto"/>
                                                        <w:left w:val="none" w:sz="0" w:space="0" w:color="auto"/>
                                                        <w:bottom w:val="none" w:sz="0" w:space="0" w:color="auto"/>
                                                        <w:right w:val="none" w:sz="0" w:space="0" w:color="auto"/>
                                                      </w:divBdr>
                                                      <w:divsChild>
                                                        <w:div w:id="15403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69329844">
      <w:bodyDiv w:val="1"/>
      <w:marLeft w:val="0"/>
      <w:marRight w:val="0"/>
      <w:marTop w:val="0"/>
      <w:marBottom w:val="0"/>
      <w:divBdr>
        <w:top w:val="none" w:sz="0" w:space="0" w:color="auto"/>
        <w:left w:val="none" w:sz="0" w:space="0" w:color="auto"/>
        <w:bottom w:val="none" w:sz="0" w:space="0" w:color="auto"/>
        <w:right w:val="none" w:sz="0" w:space="0" w:color="auto"/>
      </w:divBdr>
      <w:divsChild>
        <w:div w:id="1203439277">
          <w:marLeft w:val="0"/>
          <w:marRight w:val="0"/>
          <w:marTop w:val="0"/>
          <w:marBottom w:val="0"/>
          <w:divBdr>
            <w:top w:val="none" w:sz="0" w:space="0" w:color="auto"/>
            <w:left w:val="none" w:sz="0" w:space="0" w:color="auto"/>
            <w:bottom w:val="none" w:sz="0" w:space="0" w:color="auto"/>
            <w:right w:val="none" w:sz="0" w:space="0" w:color="auto"/>
          </w:divBdr>
          <w:divsChild>
            <w:div w:id="2095590685">
              <w:marLeft w:val="0"/>
              <w:marRight w:val="0"/>
              <w:marTop w:val="0"/>
              <w:marBottom w:val="0"/>
              <w:divBdr>
                <w:top w:val="none" w:sz="0" w:space="0" w:color="auto"/>
                <w:left w:val="none" w:sz="0" w:space="0" w:color="auto"/>
                <w:bottom w:val="none" w:sz="0" w:space="0" w:color="auto"/>
                <w:right w:val="none" w:sz="0" w:space="0" w:color="auto"/>
              </w:divBdr>
              <w:divsChild>
                <w:div w:id="714037945">
                  <w:marLeft w:val="0"/>
                  <w:marRight w:val="0"/>
                  <w:marTop w:val="0"/>
                  <w:marBottom w:val="0"/>
                  <w:divBdr>
                    <w:top w:val="none" w:sz="0" w:space="0" w:color="auto"/>
                    <w:left w:val="none" w:sz="0" w:space="0" w:color="auto"/>
                    <w:bottom w:val="none" w:sz="0" w:space="0" w:color="auto"/>
                    <w:right w:val="none" w:sz="0" w:space="0" w:color="auto"/>
                  </w:divBdr>
                  <w:divsChild>
                    <w:div w:id="765267937">
                      <w:marLeft w:val="0"/>
                      <w:marRight w:val="0"/>
                      <w:marTop w:val="0"/>
                      <w:marBottom w:val="0"/>
                      <w:divBdr>
                        <w:top w:val="none" w:sz="0" w:space="0" w:color="auto"/>
                        <w:left w:val="none" w:sz="0" w:space="0" w:color="auto"/>
                        <w:bottom w:val="none" w:sz="0" w:space="0" w:color="auto"/>
                        <w:right w:val="none" w:sz="0" w:space="0" w:color="auto"/>
                      </w:divBdr>
                      <w:divsChild>
                        <w:div w:id="1240989957">
                          <w:marLeft w:val="0"/>
                          <w:marRight w:val="0"/>
                          <w:marTop w:val="0"/>
                          <w:marBottom w:val="0"/>
                          <w:divBdr>
                            <w:top w:val="none" w:sz="0" w:space="0" w:color="auto"/>
                            <w:left w:val="none" w:sz="0" w:space="0" w:color="auto"/>
                            <w:bottom w:val="none" w:sz="0" w:space="0" w:color="auto"/>
                            <w:right w:val="none" w:sz="0" w:space="0" w:color="auto"/>
                          </w:divBdr>
                          <w:divsChild>
                            <w:div w:id="159349000">
                              <w:marLeft w:val="0"/>
                              <w:marRight w:val="0"/>
                              <w:marTop w:val="0"/>
                              <w:marBottom w:val="0"/>
                              <w:divBdr>
                                <w:top w:val="none" w:sz="0" w:space="0" w:color="auto"/>
                                <w:left w:val="none" w:sz="0" w:space="0" w:color="auto"/>
                                <w:bottom w:val="none" w:sz="0" w:space="0" w:color="auto"/>
                                <w:right w:val="none" w:sz="0" w:space="0" w:color="auto"/>
                              </w:divBdr>
                              <w:divsChild>
                                <w:div w:id="1686983476">
                                  <w:marLeft w:val="0"/>
                                  <w:marRight w:val="0"/>
                                  <w:marTop w:val="0"/>
                                  <w:marBottom w:val="0"/>
                                  <w:divBdr>
                                    <w:top w:val="none" w:sz="0" w:space="0" w:color="auto"/>
                                    <w:left w:val="none" w:sz="0" w:space="0" w:color="auto"/>
                                    <w:bottom w:val="none" w:sz="0" w:space="0" w:color="auto"/>
                                    <w:right w:val="none" w:sz="0" w:space="0" w:color="auto"/>
                                  </w:divBdr>
                                  <w:divsChild>
                                    <w:div w:id="1406029892">
                                      <w:marLeft w:val="0"/>
                                      <w:marRight w:val="0"/>
                                      <w:marTop w:val="0"/>
                                      <w:marBottom w:val="0"/>
                                      <w:divBdr>
                                        <w:top w:val="none" w:sz="0" w:space="0" w:color="auto"/>
                                        <w:left w:val="none" w:sz="0" w:space="0" w:color="auto"/>
                                        <w:bottom w:val="none" w:sz="0" w:space="0" w:color="auto"/>
                                        <w:right w:val="none" w:sz="0" w:space="0" w:color="auto"/>
                                      </w:divBdr>
                                      <w:divsChild>
                                        <w:div w:id="384918063">
                                          <w:marLeft w:val="0"/>
                                          <w:marRight w:val="0"/>
                                          <w:marTop w:val="0"/>
                                          <w:marBottom w:val="0"/>
                                          <w:divBdr>
                                            <w:top w:val="none" w:sz="0" w:space="0" w:color="auto"/>
                                            <w:left w:val="none" w:sz="0" w:space="0" w:color="auto"/>
                                            <w:bottom w:val="none" w:sz="0" w:space="0" w:color="auto"/>
                                            <w:right w:val="none" w:sz="0" w:space="0" w:color="auto"/>
                                          </w:divBdr>
                                          <w:divsChild>
                                            <w:div w:id="320737538">
                                              <w:marLeft w:val="0"/>
                                              <w:marRight w:val="0"/>
                                              <w:marTop w:val="0"/>
                                              <w:marBottom w:val="0"/>
                                              <w:divBdr>
                                                <w:top w:val="none" w:sz="0" w:space="0" w:color="auto"/>
                                                <w:left w:val="none" w:sz="0" w:space="0" w:color="auto"/>
                                                <w:bottom w:val="none" w:sz="0" w:space="0" w:color="auto"/>
                                                <w:right w:val="none" w:sz="0" w:space="0" w:color="auto"/>
                                              </w:divBdr>
                                              <w:divsChild>
                                                <w:div w:id="13311902">
                                                  <w:marLeft w:val="0"/>
                                                  <w:marRight w:val="0"/>
                                                  <w:marTop w:val="0"/>
                                                  <w:marBottom w:val="0"/>
                                                  <w:divBdr>
                                                    <w:top w:val="none" w:sz="0" w:space="0" w:color="auto"/>
                                                    <w:left w:val="none" w:sz="0" w:space="0" w:color="auto"/>
                                                    <w:bottom w:val="none" w:sz="0" w:space="0" w:color="auto"/>
                                                    <w:right w:val="none" w:sz="0" w:space="0" w:color="auto"/>
                                                  </w:divBdr>
                                                  <w:divsChild>
                                                    <w:div w:id="1164665609">
                                                      <w:marLeft w:val="0"/>
                                                      <w:marRight w:val="0"/>
                                                      <w:marTop w:val="0"/>
                                                      <w:marBottom w:val="0"/>
                                                      <w:divBdr>
                                                        <w:top w:val="none" w:sz="0" w:space="0" w:color="auto"/>
                                                        <w:left w:val="none" w:sz="0" w:space="0" w:color="auto"/>
                                                        <w:bottom w:val="none" w:sz="0" w:space="0" w:color="auto"/>
                                                        <w:right w:val="none" w:sz="0" w:space="0" w:color="auto"/>
                                                      </w:divBdr>
                                                      <w:divsChild>
                                                        <w:div w:id="17446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2.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3C29E-D991-4DB9-A13E-7C1AA632889D}">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8bd9498f-fa43-4ae2-8bb2-4c55a71680ad"/>
    <ds:schemaRef ds:uri="http://www.w3.org/XML/1998/namespace"/>
  </ds:schemaRefs>
</ds:datastoreItem>
</file>

<file path=customXml/itemProps4.xml><?xml version="1.0" encoding="utf-8"?>
<ds:datastoreItem xmlns:ds="http://schemas.openxmlformats.org/officeDocument/2006/customXml" ds:itemID="{7431D0C3-AA2D-4914-8E9B-97EEB5CA5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NG, Jason</cp:lastModifiedBy>
  <cp:revision>17</cp:revision>
  <cp:lastPrinted>2019-09-23T06:46:00Z</cp:lastPrinted>
  <dcterms:created xsi:type="dcterms:W3CDTF">2020-11-09T23:40:00Z</dcterms:created>
  <dcterms:modified xsi:type="dcterms:W3CDTF">2020-11-20T02:32:00Z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