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E0942" w14:textId="77777777" w:rsidR="005C07E5" w:rsidRDefault="005C07E5">
      <w:pPr>
        <w:pStyle w:val="Heading1"/>
        <w:spacing w:line="360" w:lineRule="auto"/>
      </w:pPr>
      <w:bookmarkStart w:id="0" w:name="_GoBack"/>
      <w:bookmarkEnd w:id="0"/>
      <w:r>
        <w:t>EXPLANATORY STATEMENT</w:t>
      </w:r>
    </w:p>
    <w:p w14:paraId="39762F06" w14:textId="77777777" w:rsidR="001D091B" w:rsidRDefault="001D091B" w:rsidP="001D091B">
      <w:pPr>
        <w:pStyle w:val="Heading2"/>
        <w:spacing w:before="120" w:after="360" w:line="360" w:lineRule="auto"/>
        <w:ind w:left="0" w:firstLine="0"/>
      </w:pPr>
      <w:r w:rsidRPr="00B70672">
        <w:rPr>
          <w:i/>
        </w:rPr>
        <w:t>Migration Regulations 1994</w:t>
      </w:r>
    </w:p>
    <w:p w14:paraId="76447FC1" w14:textId="77777777" w:rsidR="00567FA0" w:rsidRDefault="00567FA0" w:rsidP="00372BB0">
      <w:pPr>
        <w:spacing w:line="360" w:lineRule="auto"/>
        <w:ind w:hanging="23"/>
        <w:jc w:val="center"/>
        <w:rPr>
          <w:b/>
          <w:sz w:val="24"/>
        </w:rPr>
      </w:pPr>
      <w:r w:rsidRPr="00567FA0">
        <w:rPr>
          <w:b/>
          <w:sz w:val="24"/>
        </w:rPr>
        <w:t>Migration (Exemptions from Skill, Age and English Language Requirements for Subclass 186, 187 and 494 Visas) Amendment Instrument (LIN 20/189) 2020</w:t>
      </w:r>
      <w:r w:rsidRPr="00567FA0" w:rsidDel="00567FA0">
        <w:rPr>
          <w:b/>
          <w:sz w:val="24"/>
        </w:rPr>
        <w:t xml:space="preserve"> </w:t>
      </w:r>
    </w:p>
    <w:p w14:paraId="68CAFB55" w14:textId="08A3280F" w:rsidR="001D091B" w:rsidRPr="00E23C4D" w:rsidRDefault="001D091B" w:rsidP="00372BB0">
      <w:pPr>
        <w:spacing w:line="360" w:lineRule="auto"/>
        <w:ind w:hanging="23"/>
        <w:jc w:val="center"/>
        <w:rPr>
          <w:i/>
        </w:rPr>
      </w:pPr>
      <w:r w:rsidRPr="00E23C4D">
        <w:rPr>
          <w:i/>
        </w:rPr>
        <w:t>(</w:t>
      </w:r>
      <w:r w:rsidR="00E23C4D" w:rsidRPr="00E23C4D">
        <w:rPr>
          <w:i/>
        </w:rPr>
        <w:t>paragraphs 186.221(b) and 187.221(b) of Schedule 2</w:t>
      </w:r>
      <w:r w:rsidRPr="00E23C4D">
        <w:rPr>
          <w:i/>
        </w:rPr>
        <w:t>)</w:t>
      </w:r>
    </w:p>
    <w:p w14:paraId="4E18D334" w14:textId="77777777" w:rsidR="001D091B" w:rsidRDefault="00AB5757" w:rsidP="00327184">
      <w:pPr>
        <w:numPr>
          <w:ilvl w:val="0"/>
          <w:numId w:val="9"/>
        </w:numPr>
        <w:spacing w:before="240" w:line="360" w:lineRule="auto"/>
        <w:ind w:left="567" w:hanging="567"/>
        <w:jc w:val="both"/>
        <w:rPr>
          <w:sz w:val="24"/>
        </w:rPr>
      </w:pPr>
      <w:r>
        <w:rPr>
          <w:sz w:val="24"/>
        </w:rPr>
        <w:t>The</w:t>
      </w:r>
      <w:r w:rsidR="00DB634D">
        <w:rPr>
          <w:sz w:val="24"/>
        </w:rPr>
        <w:t xml:space="preserve"> i</w:t>
      </w:r>
      <w:r w:rsidR="001D091B">
        <w:rPr>
          <w:sz w:val="24"/>
        </w:rPr>
        <w:t>nstrument</w:t>
      </w:r>
      <w:r w:rsidR="00DB634D">
        <w:rPr>
          <w:sz w:val="24"/>
        </w:rPr>
        <w:t>,</w:t>
      </w:r>
      <w:r w:rsidR="001D091B">
        <w:rPr>
          <w:sz w:val="24"/>
        </w:rPr>
        <w:t xml:space="preserve"> </w:t>
      </w:r>
      <w:r w:rsidR="00DB634D" w:rsidRPr="007A7618">
        <w:rPr>
          <w:sz w:val="24"/>
        </w:rPr>
        <w:t>LIN</w:t>
      </w:r>
      <w:r w:rsidR="001D091B" w:rsidRPr="007A7618">
        <w:rPr>
          <w:sz w:val="24"/>
        </w:rPr>
        <w:t xml:space="preserve"> </w:t>
      </w:r>
      <w:r w:rsidR="007A7618" w:rsidRPr="007A7618">
        <w:rPr>
          <w:sz w:val="24"/>
        </w:rPr>
        <w:t>20/189</w:t>
      </w:r>
      <w:r w:rsidR="00DB634D">
        <w:rPr>
          <w:sz w:val="24"/>
        </w:rPr>
        <w:t>,</w:t>
      </w:r>
      <w:r w:rsidR="001D091B">
        <w:rPr>
          <w:sz w:val="24"/>
        </w:rPr>
        <w:t xml:space="preserve"> is made under </w:t>
      </w:r>
      <w:r w:rsidR="007A7618" w:rsidRPr="007A7618">
        <w:rPr>
          <w:sz w:val="24"/>
        </w:rPr>
        <w:t>paragraphs 186.221(b) and 187.221(b) of Schedule 2</w:t>
      </w:r>
      <w:r w:rsidR="001D091B" w:rsidRPr="007A7618">
        <w:rPr>
          <w:sz w:val="24"/>
        </w:rPr>
        <w:t xml:space="preserve"> o</w:t>
      </w:r>
      <w:r w:rsidR="001D091B">
        <w:rPr>
          <w:sz w:val="24"/>
        </w:rPr>
        <w:t xml:space="preserve">f the </w:t>
      </w:r>
      <w:r w:rsidR="001D091B" w:rsidRPr="007A7618">
        <w:rPr>
          <w:i/>
          <w:sz w:val="24"/>
        </w:rPr>
        <w:t>Migration Regulations 1994</w:t>
      </w:r>
      <w:r w:rsidR="001D091B" w:rsidRPr="007A7618">
        <w:rPr>
          <w:sz w:val="24"/>
        </w:rPr>
        <w:t xml:space="preserve"> (the Regulations).</w:t>
      </w:r>
    </w:p>
    <w:p w14:paraId="296B5E3D" w14:textId="1AA2F414" w:rsidR="001D091B" w:rsidRDefault="00327184" w:rsidP="00327184">
      <w:pPr>
        <w:numPr>
          <w:ilvl w:val="0"/>
          <w:numId w:val="9"/>
        </w:numPr>
        <w:spacing w:before="240" w:line="360" w:lineRule="auto"/>
        <w:ind w:left="567" w:hanging="567"/>
        <w:jc w:val="both"/>
        <w:rPr>
          <w:sz w:val="24"/>
        </w:rPr>
      </w:pPr>
      <w:r w:rsidRPr="00327184">
        <w:rPr>
          <w:sz w:val="24"/>
        </w:rPr>
        <w:t xml:space="preserve">In accordance with subsection 33(3) of the </w:t>
      </w:r>
      <w:r w:rsidRPr="00327184">
        <w:rPr>
          <w:i/>
          <w:sz w:val="24"/>
        </w:rPr>
        <w:t>Acts Interpretation Act 1901</w:t>
      </w:r>
      <w:r w:rsidRPr="00327184">
        <w:rPr>
          <w:sz w:val="24"/>
        </w:rPr>
        <w:t xml:space="preserve"> (the AIA), the instrument amends the </w:t>
      </w:r>
      <w:r w:rsidRPr="00327184">
        <w:rPr>
          <w:i/>
          <w:sz w:val="24"/>
        </w:rPr>
        <w:t>Migration (LIN 19/216: Exemptions from Skill, Age and English Language Requirements for Subclass 186, 187 and 494 Visas) Instrument 2019</w:t>
      </w:r>
      <w:r w:rsidRPr="00327184">
        <w:rPr>
          <w:sz w:val="24"/>
        </w:rPr>
        <w:t xml:space="preserve"> (</w:t>
      </w:r>
      <w:r w:rsidRPr="00327184">
        <w:rPr>
          <w:bCs/>
          <w:sz w:val="24"/>
        </w:rPr>
        <w:t>F2019L01404</w:t>
      </w:r>
      <w:r w:rsidRPr="00327184">
        <w:rPr>
          <w:sz w:val="24"/>
        </w:rPr>
        <w:t>). Subsection 33(3) of the AIA states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170B16AA" w14:textId="678ACB6A" w:rsidR="001D091B" w:rsidRPr="004C4B3E" w:rsidRDefault="00E655EF" w:rsidP="00372BB0">
      <w:pPr>
        <w:numPr>
          <w:ilvl w:val="0"/>
          <w:numId w:val="9"/>
        </w:numPr>
        <w:spacing w:before="240" w:line="360" w:lineRule="auto"/>
        <w:ind w:left="567" w:hanging="567"/>
        <w:jc w:val="both"/>
        <w:rPr>
          <w:sz w:val="24"/>
        </w:rPr>
      </w:pPr>
      <w:r>
        <w:rPr>
          <w:sz w:val="24"/>
        </w:rPr>
        <w:t xml:space="preserve">LIN 19/216 operates to </w:t>
      </w:r>
      <w:r w:rsidRPr="00E655EF">
        <w:rPr>
          <w:sz w:val="24"/>
        </w:rPr>
        <w:t>specify exemptions in relation to age, skills, employment history or English language requirements for the Subclass 186 (Employer Nomination Scheme) visa (Subclass 186), Subclass 187 (Regional Sponsored Migration Scheme) visa (Subclass 187) and Subclass 494 (Skilled Employer Sponsored Regional (Provisional)) visa (Subclass 494).</w:t>
      </w:r>
    </w:p>
    <w:p w14:paraId="178679FD" w14:textId="2A88C021" w:rsidR="009B45DA" w:rsidRDefault="005C07E5" w:rsidP="009B45DA">
      <w:pPr>
        <w:numPr>
          <w:ilvl w:val="0"/>
          <w:numId w:val="9"/>
        </w:numPr>
        <w:spacing w:before="240" w:line="360" w:lineRule="auto"/>
        <w:ind w:left="567" w:hanging="567"/>
        <w:jc w:val="both"/>
        <w:rPr>
          <w:sz w:val="24"/>
        </w:rPr>
      </w:pPr>
      <w:r w:rsidRPr="00193A68">
        <w:rPr>
          <w:sz w:val="24"/>
        </w:rPr>
        <w:t>The purpose of the</w:t>
      </w:r>
      <w:r w:rsidR="0050564E">
        <w:rPr>
          <w:sz w:val="24"/>
        </w:rPr>
        <w:t xml:space="preserve"> amending</w:t>
      </w:r>
      <w:r w:rsidRPr="00193A68">
        <w:rPr>
          <w:sz w:val="24"/>
        </w:rPr>
        <w:t xml:space="preserve"> </w:t>
      </w:r>
      <w:r w:rsidR="009D0462">
        <w:rPr>
          <w:sz w:val="24"/>
        </w:rPr>
        <w:t>i</w:t>
      </w:r>
      <w:r w:rsidRPr="00193A68">
        <w:rPr>
          <w:sz w:val="24"/>
        </w:rPr>
        <w:t>nstrument</w:t>
      </w:r>
      <w:r w:rsidR="0050564E">
        <w:rPr>
          <w:sz w:val="24"/>
        </w:rPr>
        <w:t>, LIN 20/189,</w:t>
      </w:r>
      <w:r w:rsidRPr="00193A68">
        <w:rPr>
          <w:sz w:val="24"/>
        </w:rPr>
        <w:t xml:space="preserve"> is to </w:t>
      </w:r>
      <w:r w:rsidR="00A63824" w:rsidRPr="00A63824">
        <w:rPr>
          <w:sz w:val="24"/>
        </w:rPr>
        <w:t>amend</w:t>
      </w:r>
      <w:r w:rsidR="00A63824">
        <w:rPr>
          <w:sz w:val="24"/>
        </w:rPr>
        <w:t xml:space="preserve"> LIN 19/216</w:t>
      </w:r>
      <w:r w:rsidR="00725C2F">
        <w:rPr>
          <w:sz w:val="24"/>
        </w:rPr>
        <w:t xml:space="preserve"> to ensure that LIN 19/216, amongst other things, </w:t>
      </w:r>
      <w:r w:rsidR="00E82D16">
        <w:rPr>
          <w:sz w:val="24"/>
        </w:rPr>
        <w:t>exempt</w:t>
      </w:r>
      <w:r w:rsidR="00567FA0">
        <w:rPr>
          <w:sz w:val="24"/>
        </w:rPr>
        <w:t>s</w:t>
      </w:r>
      <w:r w:rsidR="00E82D16">
        <w:rPr>
          <w:sz w:val="24"/>
        </w:rPr>
        <w:t xml:space="preserve"> certain applicants of the Subclass 186 and Subclass 187 visa</w:t>
      </w:r>
      <w:r w:rsidR="008A0D4A">
        <w:rPr>
          <w:sz w:val="24"/>
        </w:rPr>
        <w:t>s</w:t>
      </w:r>
      <w:r w:rsidR="00E82D16">
        <w:rPr>
          <w:sz w:val="24"/>
        </w:rPr>
        <w:t xml:space="preserve"> </w:t>
      </w:r>
      <w:r w:rsidR="00E82D16" w:rsidRPr="00E82D16">
        <w:rPr>
          <w:sz w:val="24"/>
        </w:rPr>
        <w:t xml:space="preserve">in the Temporary Residence Transition stream </w:t>
      </w:r>
      <w:r w:rsidR="00E82D16">
        <w:rPr>
          <w:sz w:val="24"/>
        </w:rPr>
        <w:t>from having</w:t>
      </w:r>
      <w:r w:rsidR="009B45DA">
        <w:rPr>
          <w:sz w:val="24"/>
        </w:rPr>
        <w:t xml:space="preserve"> to satisfy the age requirement</w:t>
      </w:r>
      <w:r w:rsidR="00E82D16">
        <w:rPr>
          <w:sz w:val="24"/>
        </w:rPr>
        <w:t xml:space="preserve"> at the time of application. </w:t>
      </w:r>
      <w:r w:rsidR="0050564E">
        <w:rPr>
          <w:sz w:val="24"/>
        </w:rPr>
        <w:t xml:space="preserve">Currently, </w:t>
      </w:r>
      <w:r w:rsidR="00D97336">
        <w:rPr>
          <w:sz w:val="24"/>
        </w:rPr>
        <w:t>under regulation 186.221 or 187.221 of Sched</w:t>
      </w:r>
      <w:r w:rsidR="008A0D4A">
        <w:rPr>
          <w:sz w:val="24"/>
        </w:rPr>
        <w:t>ule 2 to</w:t>
      </w:r>
      <w:r w:rsidR="00D97336">
        <w:rPr>
          <w:sz w:val="24"/>
        </w:rPr>
        <w:t xml:space="preserve"> the Regulations</w:t>
      </w:r>
      <w:r w:rsidR="0050564E">
        <w:rPr>
          <w:sz w:val="24"/>
        </w:rPr>
        <w:t>, an applicant for these visas must not have turned 45</w:t>
      </w:r>
      <w:r w:rsidR="00D97336">
        <w:rPr>
          <w:sz w:val="24"/>
        </w:rPr>
        <w:t xml:space="preserve"> at the time of their application</w:t>
      </w:r>
      <w:r w:rsidR="0050564E">
        <w:rPr>
          <w:sz w:val="24"/>
        </w:rPr>
        <w:t xml:space="preserve">. However, </w:t>
      </w:r>
      <w:r w:rsidR="00725C2F">
        <w:rPr>
          <w:sz w:val="24"/>
        </w:rPr>
        <w:t xml:space="preserve">subsections 6(1) and 7(1) of </w:t>
      </w:r>
      <w:r w:rsidR="0050564E">
        <w:rPr>
          <w:sz w:val="24"/>
        </w:rPr>
        <w:t>LIN</w:t>
      </w:r>
      <w:r w:rsidR="00725C2F">
        <w:rPr>
          <w:sz w:val="24"/>
        </w:rPr>
        <w:t> </w:t>
      </w:r>
      <w:r w:rsidR="0050564E">
        <w:rPr>
          <w:sz w:val="24"/>
        </w:rPr>
        <w:t>19/216 provides that applicants are exempt from satisfying this age requirement</w:t>
      </w:r>
      <w:r w:rsidR="00725C2F">
        <w:rPr>
          <w:sz w:val="24"/>
        </w:rPr>
        <w:t xml:space="preserve"> if they fall in a specified class of persons. One </w:t>
      </w:r>
      <w:r w:rsidR="00641B4E">
        <w:rPr>
          <w:sz w:val="24"/>
        </w:rPr>
        <w:t xml:space="preserve">such </w:t>
      </w:r>
      <w:r w:rsidR="00725C2F">
        <w:rPr>
          <w:sz w:val="24"/>
        </w:rPr>
        <w:t xml:space="preserve">class </w:t>
      </w:r>
      <w:r w:rsidR="00AE01BC">
        <w:rPr>
          <w:sz w:val="24"/>
        </w:rPr>
        <w:t>is</w:t>
      </w:r>
      <w:r w:rsidR="00725C2F">
        <w:rPr>
          <w:sz w:val="24"/>
        </w:rPr>
        <w:t xml:space="preserve"> </w:t>
      </w:r>
      <w:r w:rsidR="0050564E">
        <w:rPr>
          <w:sz w:val="24"/>
        </w:rPr>
        <w:t>Subclass 457/482 worker</w:t>
      </w:r>
      <w:r w:rsidR="00725C2F">
        <w:rPr>
          <w:sz w:val="24"/>
        </w:rPr>
        <w:t>s</w:t>
      </w:r>
      <w:r w:rsidR="0050564E">
        <w:rPr>
          <w:sz w:val="24"/>
        </w:rPr>
        <w:t xml:space="preserve">, </w:t>
      </w:r>
      <w:r w:rsidR="00725C2F">
        <w:rPr>
          <w:sz w:val="24"/>
        </w:rPr>
        <w:lastRenderedPageBreak/>
        <w:t xml:space="preserve">which is </w:t>
      </w:r>
      <w:r w:rsidR="0050564E">
        <w:rPr>
          <w:sz w:val="24"/>
        </w:rPr>
        <w:t>defined in section 5 of LIN</w:t>
      </w:r>
      <w:r w:rsidR="00D97336">
        <w:rPr>
          <w:sz w:val="24"/>
        </w:rPr>
        <w:t> </w:t>
      </w:r>
      <w:r w:rsidR="0050564E">
        <w:rPr>
          <w:sz w:val="24"/>
        </w:rPr>
        <w:t>19/216.</w:t>
      </w:r>
      <w:r w:rsidR="009B45DA">
        <w:rPr>
          <w:sz w:val="24"/>
        </w:rPr>
        <w:t xml:space="preserve"> </w:t>
      </w:r>
      <w:r w:rsidR="0050564E" w:rsidRPr="009B45DA">
        <w:rPr>
          <w:sz w:val="24"/>
        </w:rPr>
        <w:t xml:space="preserve">A Subclass 457/482 worker </w:t>
      </w:r>
      <w:r w:rsidR="009B45DA" w:rsidRPr="009B45DA">
        <w:rPr>
          <w:sz w:val="24"/>
        </w:rPr>
        <w:t>is defined as a person who</w:t>
      </w:r>
      <w:r w:rsidR="00B529D8">
        <w:rPr>
          <w:sz w:val="24"/>
        </w:rPr>
        <w:t xml:space="preserve">, </w:t>
      </w:r>
      <w:r w:rsidR="00725C2F">
        <w:rPr>
          <w:sz w:val="24"/>
        </w:rPr>
        <w:t xml:space="preserve">after </w:t>
      </w:r>
      <w:r w:rsidR="00B529D8">
        <w:rPr>
          <w:sz w:val="24"/>
        </w:rPr>
        <w:t>having worked for the nominating employer for 3 years,</w:t>
      </w:r>
      <w:r w:rsidR="009B45DA" w:rsidRPr="009B45DA">
        <w:rPr>
          <w:sz w:val="24"/>
        </w:rPr>
        <w:t xml:space="preserve"> has</w:t>
      </w:r>
      <w:r w:rsidR="0050564E" w:rsidRPr="009B45DA">
        <w:rPr>
          <w:sz w:val="24"/>
        </w:rPr>
        <w:t xml:space="preserve"> had earnings equal </w:t>
      </w:r>
      <w:r w:rsidR="009B45DA" w:rsidRPr="009B45DA">
        <w:rPr>
          <w:sz w:val="24"/>
        </w:rPr>
        <w:t>to</w:t>
      </w:r>
      <w:r w:rsidR="0050564E" w:rsidRPr="009B45DA">
        <w:rPr>
          <w:sz w:val="24"/>
        </w:rPr>
        <w:t xml:space="preserve">, or greater than, the high income threshold for </w:t>
      </w:r>
      <w:r w:rsidR="00637B60">
        <w:rPr>
          <w:sz w:val="24"/>
        </w:rPr>
        <w:t xml:space="preserve">each of </w:t>
      </w:r>
      <w:r w:rsidR="0050564E" w:rsidRPr="009B45DA">
        <w:rPr>
          <w:sz w:val="24"/>
        </w:rPr>
        <w:t xml:space="preserve">the three years prior to making their application for a </w:t>
      </w:r>
      <w:r w:rsidR="00081718">
        <w:rPr>
          <w:sz w:val="24"/>
        </w:rPr>
        <w:t>visa that this instrument applies to.</w:t>
      </w:r>
    </w:p>
    <w:p w14:paraId="02548FFE" w14:textId="3D489233" w:rsidR="00D97336" w:rsidRPr="009B45DA" w:rsidRDefault="00D97336" w:rsidP="009B45DA">
      <w:pPr>
        <w:numPr>
          <w:ilvl w:val="0"/>
          <w:numId w:val="9"/>
        </w:numPr>
        <w:spacing w:before="240" w:line="360" w:lineRule="auto"/>
        <w:ind w:left="567" w:hanging="567"/>
        <w:jc w:val="both"/>
        <w:rPr>
          <w:sz w:val="24"/>
        </w:rPr>
      </w:pPr>
      <w:r w:rsidRPr="009B45DA">
        <w:rPr>
          <w:sz w:val="24"/>
        </w:rPr>
        <w:t xml:space="preserve">Due to the COVID-19 pandemic, there has been significant disruption to the Australian labour market. Many workers who are employed by businesses operating in Australia </w:t>
      </w:r>
      <w:r w:rsidR="009B45DA">
        <w:rPr>
          <w:sz w:val="24"/>
        </w:rPr>
        <w:t>have had their earnings impacted by the COVID-19 pandemic</w:t>
      </w:r>
      <w:r w:rsidR="00855FBA">
        <w:rPr>
          <w:sz w:val="24"/>
        </w:rPr>
        <w:t>. This includes if an employee</w:t>
      </w:r>
      <w:r w:rsidR="009B45DA">
        <w:rPr>
          <w:sz w:val="24"/>
        </w:rPr>
        <w:t xml:space="preserve"> </w:t>
      </w:r>
      <w:r w:rsidR="00855FBA">
        <w:rPr>
          <w:sz w:val="24"/>
        </w:rPr>
        <w:t>has</w:t>
      </w:r>
      <w:r w:rsidR="007964F6">
        <w:rPr>
          <w:sz w:val="24"/>
        </w:rPr>
        <w:t xml:space="preserve"> been stood down,</w:t>
      </w:r>
      <w:r w:rsidR="009927C4">
        <w:rPr>
          <w:sz w:val="24"/>
        </w:rPr>
        <w:t xml:space="preserve"> </w:t>
      </w:r>
      <w:r w:rsidR="00855FBA">
        <w:rPr>
          <w:sz w:val="24"/>
        </w:rPr>
        <w:t>ha</w:t>
      </w:r>
      <w:r w:rsidR="009927C4">
        <w:rPr>
          <w:sz w:val="24"/>
        </w:rPr>
        <w:t>s</w:t>
      </w:r>
      <w:r w:rsidR="00855FBA">
        <w:rPr>
          <w:sz w:val="24"/>
        </w:rPr>
        <w:t xml:space="preserve"> had </w:t>
      </w:r>
      <w:r w:rsidRPr="009B45DA">
        <w:rPr>
          <w:sz w:val="24"/>
        </w:rPr>
        <w:t xml:space="preserve">their hours reduced or </w:t>
      </w:r>
      <w:r w:rsidR="00855FBA">
        <w:rPr>
          <w:sz w:val="24"/>
        </w:rPr>
        <w:t xml:space="preserve">has </w:t>
      </w:r>
      <w:r w:rsidRPr="009B45DA">
        <w:rPr>
          <w:sz w:val="24"/>
        </w:rPr>
        <w:t xml:space="preserve">been required to work at a reduced salary. As a result, </w:t>
      </w:r>
      <w:r w:rsidR="009B45DA">
        <w:rPr>
          <w:sz w:val="24"/>
        </w:rPr>
        <w:t xml:space="preserve">these </w:t>
      </w:r>
      <w:r w:rsidRPr="009B45DA">
        <w:rPr>
          <w:sz w:val="24"/>
        </w:rPr>
        <w:t>applicants</w:t>
      </w:r>
      <w:r w:rsidR="00F716FC">
        <w:rPr>
          <w:sz w:val="24"/>
        </w:rPr>
        <w:t xml:space="preserve"> (</w:t>
      </w:r>
      <w:r w:rsidRPr="009B45DA">
        <w:rPr>
          <w:sz w:val="24"/>
        </w:rPr>
        <w:t xml:space="preserve">who </w:t>
      </w:r>
      <w:r w:rsidR="009B45DA">
        <w:rPr>
          <w:sz w:val="24"/>
        </w:rPr>
        <w:t xml:space="preserve">may have </w:t>
      </w:r>
      <w:r w:rsidRPr="009B45DA">
        <w:rPr>
          <w:sz w:val="24"/>
        </w:rPr>
        <w:t>ordinarily fallen under the definition of a Subclass 457/482 worker</w:t>
      </w:r>
      <w:r w:rsidR="00F716FC">
        <w:rPr>
          <w:sz w:val="24"/>
        </w:rPr>
        <w:t xml:space="preserve"> by having earnings equal to, or greater than the high income threshold)</w:t>
      </w:r>
      <w:r w:rsidR="009B45DA">
        <w:rPr>
          <w:sz w:val="24"/>
        </w:rPr>
        <w:t xml:space="preserve"> may </w:t>
      </w:r>
      <w:r w:rsidRPr="009B45DA">
        <w:rPr>
          <w:sz w:val="24"/>
        </w:rPr>
        <w:t>no longer</w:t>
      </w:r>
      <w:r w:rsidR="00F716FC">
        <w:rPr>
          <w:sz w:val="24"/>
        </w:rPr>
        <w:t xml:space="preserve"> be exempt from satisfying the age requirement</w:t>
      </w:r>
      <w:r w:rsidRPr="009B45DA">
        <w:rPr>
          <w:sz w:val="24"/>
        </w:rPr>
        <w:t>.</w:t>
      </w:r>
    </w:p>
    <w:p w14:paraId="594ADEB4" w14:textId="5B50CB0A" w:rsidR="00855FBA" w:rsidRPr="00855FBA" w:rsidRDefault="00D97336" w:rsidP="00855FBA">
      <w:pPr>
        <w:numPr>
          <w:ilvl w:val="0"/>
          <w:numId w:val="9"/>
        </w:numPr>
        <w:spacing w:before="240" w:line="360" w:lineRule="auto"/>
        <w:ind w:left="567" w:hanging="567"/>
        <w:jc w:val="both"/>
        <w:rPr>
          <w:sz w:val="24"/>
        </w:rPr>
      </w:pPr>
      <w:r>
        <w:rPr>
          <w:sz w:val="24"/>
        </w:rPr>
        <w:t xml:space="preserve">To ensure that this class of persons will continue to be exempt from </w:t>
      </w:r>
      <w:r w:rsidR="00F716FC">
        <w:rPr>
          <w:sz w:val="24"/>
        </w:rPr>
        <w:t>satisfying</w:t>
      </w:r>
      <w:r>
        <w:rPr>
          <w:sz w:val="24"/>
        </w:rPr>
        <w:t xml:space="preserve"> the age requirement at the time of their application for a Subclass 186 or 187 visa in the Temporary Residence Transition stream, LIN 20/189 introduces a new class of persons who are specified as exempt from having to satisfy the age requirement. </w:t>
      </w:r>
    </w:p>
    <w:p w14:paraId="37F292D7" w14:textId="687ED944" w:rsidR="00F716FC" w:rsidRDefault="009B45DA" w:rsidP="00D97336">
      <w:pPr>
        <w:numPr>
          <w:ilvl w:val="0"/>
          <w:numId w:val="9"/>
        </w:numPr>
        <w:spacing w:before="240" w:line="360" w:lineRule="auto"/>
        <w:ind w:left="567" w:hanging="567"/>
        <w:jc w:val="both"/>
        <w:rPr>
          <w:sz w:val="24"/>
        </w:rPr>
      </w:pPr>
      <w:r>
        <w:rPr>
          <w:sz w:val="24"/>
        </w:rPr>
        <w:t>This new class of persons, defined as Subclass 457/482 coronavirus concession workers, includes workers who</w:t>
      </w:r>
      <w:r w:rsidR="00F716FC">
        <w:rPr>
          <w:sz w:val="24"/>
        </w:rPr>
        <w:t>:</w:t>
      </w:r>
    </w:p>
    <w:p w14:paraId="72C7BFBB" w14:textId="745F5D0A" w:rsidR="004B7FDC" w:rsidRDefault="004B7FDC" w:rsidP="00F716FC">
      <w:pPr>
        <w:numPr>
          <w:ilvl w:val="1"/>
          <w:numId w:val="9"/>
        </w:numPr>
        <w:spacing w:before="40" w:line="360" w:lineRule="auto"/>
        <w:ind w:left="1434" w:hanging="357"/>
        <w:jc w:val="both"/>
        <w:rPr>
          <w:sz w:val="24"/>
        </w:rPr>
      </w:pPr>
      <w:r>
        <w:rPr>
          <w:sz w:val="24"/>
        </w:rPr>
        <w:t>would ordinarily be Subclass 457/482 workers, but for the requirement to satisfy the high income threshold; and</w:t>
      </w:r>
    </w:p>
    <w:p w14:paraId="748DB1A0" w14:textId="7743468D" w:rsidR="00F716FC" w:rsidRDefault="009B45DA" w:rsidP="00F716FC">
      <w:pPr>
        <w:numPr>
          <w:ilvl w:val="1"/>
          <w:numId w:val="9"/>
        </w:numPr>
        <w:spacing w:before="40" w:line="360" w:lineRule="auto"/>
        <w:ind w:left="1434" w:hanging="357"/>
        <w:jc w:val="both"/>
        <w:rPr>
          <w:sz w:val="24"/>
        </w:rPr>
      </w:pPr>
      <w:r>
        <w:rPr>
          <w:sz w:val="24"/>
        </w:rPr>
        <w:t xml:space="preserve">have had their employment affected by the COVID-19 pandemic </w:t>
      </w:r>
      <w:r w:rsidR="00EB563C">
        <w:rPr>
          <w:sz w:val="24"/>
        </w:rPr>
        <w:t>during the concession period (as mentioned in subregulation 1.15N(1) of the Regulations)</w:t>
      </w:r>
      <w:r w:rsidR="00F716FC">
        <w:rPr>
          <w:sz w:val="24"/>
        </w:rPr>
        <w:t xml:space="preserve">; </w:t>
      </w:r>
      <w:r>
        <w:rPr>
          <w:sz w:val="24"/>
        </w:rPr>
        <w:t>and</w:t>
      </w:r>
    </w:p>
    <w:p w14:paraId="46657B68" w14:textId="2519763F" w:rsidR="004B7FDC" w:rsidRPr="00567FA0" w:rsidRDefault="004B7FDC" w:rsidP="00567FA0">
      <w:pPr>
        <w:numPr>
          <w:ilvl w:val="1"/>
          <w:numId w:val="9"/>
        </w:numPr>
        <w:spacing w:before="40" w:line="360" w:lineRule="auto"/>
        <w:jc w:val="both"/>
        <w:rPr>
          <w:sz w:val="24"/>
          <w:szCs w:val="24"/>
        </w:rPr>
      </w:pPr>
      <w:r>
        <w:rPr>
          <w:sz w:val="24"/>
        </w:rPr>
        <w:t xml:space="preserve">have earnings that are equal to, or greater than, a </w:t>
      </w:r>
      <w:r w:rsidR="009B45DA" w:rsidRPr="00567FA0">
        <w:rPr>
          <w:sz w:val="24"/>
        </w:rPr>
        <w:t>pro-rata threshold (instead of the high income threshold) for earnings of any year that was impacted by the COVID-19 pandemic</w:t>
      </w:r>
      <w:r w:rsidR="00081718" w:rsidRPr="00567FA0">
        <w:rPr>
          <w:sz w:val="24"/>
        </w:rPr>
        <w:t xml:space="preserve"> (</w:t>
      </w:r>
      <w:r w:rsidR="00567FA0" w:rsidRPr="00567FA0">
        <w:rPr>
          <w:sz w:val="24"/>
          <w:szCs w:val="24"/>
        </w:rPr>
        <w:t>excluding any</w:t>
      </w:r>
      <w:r w:rsidR="00567FA0">
        <w:rPr>
          <w:sz w:val="24"/>
          <w:szCs w:val="24"/>
        </w:rPr>
        <w:t xml:space="preserve"> </w:t>
      </w:r>
      <w:r w:rsidR="00567FA0" w:rsidRPr="00567FA0">
        <w:rPr>
          <w:sz w:val="24"/>
          <w:szCs w:val="24"/>
        </w:rPr>
        <w:t xml:space="preserve">earnings in a week when the person’s employment was affected by </w:t>
      </w:r>
      <w:r w:rsidR="00567FA0">
        <w:rPr>
          <w:sz w:val="24"/>
          <w:szCs w:val="24"/>
        </w:rPr>
        <w:t>the COVID-19 pandemic</w:t>
      </w:r>
      <w:r w:rsidR="00081718" w:rsidRPr="00567FA0">
        <w:rPr>
          <w:sz w:val="24"/>
          <w:szCs w:val="24"/>
        </w:rPr>
        <w:t>)</w:t>
      </w:r>
      <w:r w:rsidRPr="00567FA0">
        <w:rPr>
          <w:sz w:val="24"/>
        </w:rPr>
        <w:t>; and</w:t>
      </w:r>
    </w:p>
    <w:p w14:paraId="33941AB3" w14:textId="5CDFC00B" w:rsidR="00D97336" w:rsidRDefault="004B7FDC" w:rsidP="00F716FC">
      <w:pPr>
        <w:numPr>
          <w:ilvl w:val="1"/>
          <w:numId w:val="9"/>
        </w:numPr>
        <w:spacing w:before="40" w:line="360" w:lineRule="auto"/>
        <w:ind w:left="1434" w:hanging="357"/>
        <w:jc w:val="both"/>
        <w:rPr>
          <w:sz w:val="24"/>
        </w:rPr>
      </w:pPr>
      <w:r>
        <w:rPr>
          <w:sz w:val="24"/>
        </w:rPr>
        <w:t>have earnings that are equal to, or greater than, the high income threshold for earnings of any year that were not impacted by the COVID-19 pandemic</w:t>
      </w:r>
      <w:r w:rsidR="009B45DA">
        <w:rPr>
          <w:sz w:val="24"/>
        </w:rPr>
        <w:t>.</w:t>
      </w:r>
    </w:p>
    <w:p w14:paraId="486C520C" w14:textId="60764B0B" w:rsidR="009B45DA" w:rsidRDefault="009B45DA" w:rsidP="0009231F">
      <w:pPr>
        <w:keepNext/>
        <w:keepLines/>
        <w:numPr>
          <w:ilvl w:val="0"/>
          <w:numId w:val="9"/>
        </w:numPr>
        <w:spacing w:before="240"/>
        <w:ind w:left="567" w:hanging="567"/>
        <w:jc w:val="both"/>
        <w:rPr>
          <w:sz w:val="24"/>
        </w:rPr>
      </w:pPr>
      <w:r>
        <w:rPr>
          <w:sz w:val="24"/>
        </w:rPr>
        <w:lastRenderedPageBreak/>
        <w:t>The pro-rata threshold is calculated by the following formula:</w:t>
      </w:r>
    </w:p>
    <w:p w14:paraId="1BBC4789" w14:textId="551879AD" w:rsidR="00F86A82" w:rsidRPr="009B45DA" w:rsidRDefault="00F86A82" w:rsidP="00E37E66">
      <w:pPr>
        <w:keepNext/>
        <w:keepLines/>
        <w:spacing w:before="240" w:line="360" w:lineRule="auto"/>
        <w:ind w:left="567"/>
        <w:jc w:val="both"/>
        <w:rPr>
          <w:sz w:val="24"/>
          <w:szCs w:val="24"/>
        </w:rPr>
      </w:pPr>
      <w:r w:rsidRPr="00F86A82">
        <w:rPr>
          <w:noProof/>
          <w:sz w:val="24"/>
          <w:szCs w:val="24"/>
        </w:rPr>
        <w:drawing>
          <wp:inline distT="0" distB="0" distL="0" distR="0" wp14:anchorId="212257F0" wp14:editId="1E88EED2">
            <wp:extent cx="5400675" cy="1151890"/>
            <wp:effectExtent l="0" t="0" r="9525" b="0"/>
            <wp:docPr id="1" name="Picture 1" descr="C:\Users\PRHNCE\AppData\Local\Microsoft\Windows\INetCache\Content.Outlook\KPBQTKJW\Formula LIN 2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HNCE\AppData\Local\Microsoft\Windows\INetCache\Content.Outlook\KPBQTKJW\Formula LIN 201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871" cy="1152145"/>
                    </a:xfrm>
                    <a:prstGeom prst="rect">
                      <a:avLst/>
                    </a:prstGeom>
                    <a:noFill/>
                    <a:ln>
                      <a:noFill/>
                    </a:ln>
                  </pic:spPr>
                </pic:pic>
              </a:graphicData>
            </a:graphic>
          </wp:inline>
        </w:drawing>
      </w:r>
    </w:p>
    <w:p w14:paraId="65CE66B6" w14:textId="78AD194E" w:rsidR="00F716FC" w:rsidRPr="00F716FC" w:rsidRDefault="0050564E" w:rsidP="0009231F">
      <w:pPr>
        <w:numPr>
          <w:ilvl w:val="0"/>
          <w:numId w:val="9"/>
        </w:numPr>
        <w:spacing w:line="360" w:lineRule="auto"/>
        <w:ind w:left="567" w:hanging="567"/>
        <w:jc w:val="both"/>
        <w:rPr>
          <w:sz w:val="24"/>
        </w:rPr>
      </w:pPr>
      <w:r>
        <w:rPr>
          <w:sz w:val="24"/>
        </w:rPr>
        <w:t>A</w:t>
      </w:r>
      <w:r w:rsidR="00F716FC">
        <w:rPr>
          <w:sz w:val="24"/>
        </w:rPr>
        <w:t>s such, a</w:t>
      </w:r>
      <w:r>
        <w:rPr>
          <w:sz w:val="24"/>
        </w:rPr>
        <w:t>pplicants who are holders of a Subclass 457 (Temporary Work (Skilled) visa or a Subclass 482 (Temporary Skill Shortage) visa and have been affected by a coronavirus employment change can a</w:t>
      </w:r>
      <w:r w:rsidR="00F716FC">
        <w:rPr>
          <w:sz w:val="24"/>
        </w:rPr>
        <w:t>pply the</w:t>
      </w:r>
      <w:r>
        <w:rPr>
          <w:sz w:val="24"/>
        </w:rPr>
        <w:t xml:space="preserve"> pro-rata income threshold </w:t>
      </w:r>
      <w:r w:rsidR="00F716FC">
        <w:rPr>
          <w:sz w:val="24"/>
        </w:rPr>
        <w:t xml:space="preserve">instead of the high income threshold for </w:t>
      </w:r>
      <w:r w:rsidR="004B7FDC">
        <w:rPr>
          <w:sz w:val="24"/>
        </w:rPr>
        <w:t>the year impacted by the COVID-19 pandemic</w:t>
      </w:r>
      <w:r w:rsidR="00F716FC">
        <w:rPr>
          <w:sz w:val="24"/>
        </w:rPr>
        <w:t xml:space="preserve">. For any years that were not impacted by the COVID-19 pandemic, the person’s earnings </w:t>
      </w:r>
      <w:r w:rsidR="00C762C4">
        <w:rPr>
          <w:sz w:val="24"/>
        </w:rPr>
        <w:t xml:space="preserve">for the year </w:t>
      </w:r>
      <w:r w:rsidR="00F716FC">
        <w:rPr>
          <w:sz w:val="24"/>
        </w:rPr>
        <w:t>will continue to be assessed against the high income threshold.</w:t>
      </w:r>
    </w:p>
    <w:p w14:paraId="363D6E5F" w14:textId="38FC7D3C" w:rsidR="009B34EC" w:rsidRPr="00A63824" w:rsidRDefault="007F1DD7" w:rsidP="00A63824">
      <w:pPr>
        <w:numPr>
          <w:ilvl w:val="0"/>
          <w:numId w:val="9"/>
        </w:numPr>
        <w:spacing w:before="240" w:line="360" w:lineRule="auto"/>
        <w:ind w:left="567" w:hanging="567"/>
        <w:jc w:val="both"/>
        <w:rPr>
          <w:sz w:val="24"/>
        </w:rPr>
      </w:pPr>
      <w:r>
        <w:rPr>
          <w:sz w:val="24"/>
        </w:rPr>
        <w:t xml:space="preserve">The amendments made by LIN 20/189 will apply to </w:t>
      </w:r>
      <w:r w:rsidR="00A61B55">
        <w:rPr>
          <w:sz w:val="24"/>
        </w:rPr>
        <w:t xml:space="preserve">all </w:t>
      </w:r>
      <w:r>
        <w:rPr>
          <w:sz w:val="24"/>
        </w:rPr>
        <w:t>applications made on or after the day of commencement of LIN 20/189.</w:t>
      </w:r>
      <w:r w:rsidR="00A61B55">
        <w:rPr>
          <w:sz w:val="24"/>
        </w:rPr>
        <w:t xml:space="preserve"> However, for the purposes of these amendments, a person’s earnings </w:t>
      </w:r>
      <w:r w:rsidR="00864823">
        <w:rPr>
          <w:sz w:val="24"/>
        </w:rPr>
        <w:t>will</w:t>
      </w:r>
      <w:r w:rsidR="00A61B55">
        <w:rPr>
          <w:sz w:val="24"/>
        </w:rPr>
        <w:t xml:space="preserve"> only </w:t>
      </w:r>
      <w:r w:rsidR="00864823">
        <w:rPr>
          <w:sz w:val="24"/>
        </w:rPr>
        <w:t xml:space="preserve">be considered to have been </w:t>
      </w:r>
      <w:r w:rsidR="00A61B55">
        <w:rPr>
          <w:sz w:val="24"/>
        </w:rPr>
        <w:t xml:space="preserve">impacted by the COVID-19 </w:t>
      </w:r>
      <w:r w:rsidR="00A61B55" w:rsidRPr="00567FA0">
        <w:rPr>
          <w:sz w:val="24"/>
        </w:rPr>
        <w:t>pandemic</w:t>
      </w:r>
      <w:r w:rsidR="00081718" w:rsidRPr="00567FA0">
        <w:rPr>
          <w:sz w:val="24"/>
          <w:szCs w:val="24"/>
        </w:rPr>
        <w:t xml:space="preserve"> if their employment was affected by </w:t>
      </w:r>
      <w:r w:rsidR="00EB563C">
        <w:rPr>
          <w:sz w:val="24"/>
          <w:szCs w:val="24"/>
        </w:rPr>
        <w:t xml:space="preserve">the </w:t>
      </w:r>
      <w:r w:rsidR="00081718" w:rsidRPr="00567FA0">
        <w:rPr>
          <w:sz w:val="24"/>
          <w:szCs w:val="24"/>
        </w:rPr>
        <w:t xml:space="preserve">COVID-19 </w:t>
      </w:r>
      <w:r w:rsidR="00EB563C">
        <w:rPr>
          <w:sz w:val="24"/>
          <w:szCs w:val="24"/>
        </w:rPr>
        <w:t xml:space="preserve">pandemic </w:t>
      </w:r>
      <w:r w:rsidR="00A61B55" w:rsidRPr="00567FA0">
        <w:rPr>
          <w:sz w:val="24"/>
        </w:rPr>
        <w:t xml:space="preserve">during the </w:t>
      </w:r>
      <w:r w:rsidR="00EB563C">
        <w:rPr>
          <w:sz w:val="24"/>
        </w:rPr>
        <w:t>concession period</w:t>
      </w:r>
      <w:r w:rsidR="00A61B55">
        <w:rPr>
          <w:sz w:val="24"/>
        </w:rPr>
        <w:t>.</w:t>
      </w:r>
      <w:r w:rsidR="007440C9">
        <w:rPr>
          <w:sz w:val="24"/>
        </w:rPr>
        <w:t xml:space="preserve"> The concession period is defined in subregulation 1.15N(1) of the Regulations as the period that commences on 1 February 2020 and ends on a day specified by the Minister.</w:t>
      </w:r>
    </w:p>
    <w:p w14:paraId="5012F304" w14:textId="3715D080" w:rsidR="00193A68" w:rsidRPr="00B92D31" w:rsidRDefault="00A24251" w:rsidP="002E6395">
      <w:pPr>
        <w:numPr>
          <w:ilvl w:val="0"/>
          <w:numId w:val="9"/>
        </w:numPr>
        <w:spacing w:before="240" w:line="360" w:lineRule="auto"/>
        <w:ind w:left="567" w:hanging="567"/>
        <w:jc w:val="both"/>
        <w:rPr>
          <w:i/>
          <w:sz w:val="24"/>
          <w:szCs w:val="24"/>
        </w:rPr>
      </w:pPr>
      <w:r w:rsidRPr="002E6395">
        <w:rPr>
          <w:sz w:val="24"/>
          <w:szCs w:val="24"/>
        </w:rPr>
        <w:t>Section</w:t>
      </w:r>
      <w:r w:rsidRPr="00A24251">
        <w:rPr>
          <w:sz w:val="24"/>
          <w:szCs w:val="24"/>
        </w:rPr>
        <w:t xml:space="preserve"> 17 of the </w:t>
      </w:r>
      <w:r w:rsidRPr="00A24251">
        <w:rPr>
          <w:i/>
          <w:iCs/>
          <w:sz w:val="24"/>
          <w:szCs w:val="24"/>
        </w:rPr>
        <w:t>Legislation Act 2003</w:t>
      </w:r>
      <w:r w:rsidR="002E6395">
        <w:rPr>
          <w:sz w:val="24"/>
          <w:szCs w:val="24"/>
        </w:rPr>
        <w:t xml:space="preserve"> requires consultation</w:t>
      </w:r>
      <w:r w:rsidRPr="00A24251">
        <w:rPr>
          <w:sz w:val="24"/>
          <w:szCs w:val="24"/>
        </w:rPr>
        <w:t xml:space="preserve"> which </w:t>
      </w:r>
      <w:r w:rsidR="002E6395">
        <w:rPr>
          <w:sz w:val="24"/>
          <w:szCs w:val="24"/>
        </w:rPr>
        <w:t>is</w:t>
      </w:r>
      <w:r w:rsidRPr="00A24251">
        <w:rPr>
          <w:sz w:val="24"/>
          <w:szCs w:val="24"/>
        </w:rPr>
        <w:t xml:space="preserve"> appropriate and reasonably practicable to be undertaken</w:t>
      </w:r>
      <w:r w:rsidR="00B826ED">
        <w:rPr>
          <w:sz w:val="24"/>
          <w:szCs w:val="24"/>
        </w:rPr>
        <w:t>.</w:t>
      </w:r>
      <w:r w:rsidR="006C22B0" w:rsidRPr="00193A68">
        <w:rPr>
          <w:sz w:val="24"/>
          <w:szCs w:val="24"/>
        </w:rPr>
        <w:t xml:space="preserve"> </w:t>
      </w:r>
      <w:r w:rsidR="002E6395" w:rsidRPr="002E6395">
        <w:rPr>
          <w:sz w:val="24"/>
          <w:szCs w:val="24"/>
        </w:rPr>
        <w:t xml:space="preserve">Consultation was undertaken with </w:t>
      </w:r>
      <w:r w:rsidR="002C651D">
        <w:rPr>
          <w:sz w:val="24"/>
          <w:szCs w:val="24"/>
        </w:rPr>
        <w:t xml:space="preserve">a range of stakeholders and </w:t>
      </w:r>
      <w:r w:rsidR="002E6395" w:rsidRPr="002E6395">
        <w:rPr>
          <w:sz w:val="24"/>
          <w:szCs w:val="24"/>
        </w:rPr>
        <w:t>Commonwealth Departments as part of the whole of government response to the COVID-19 pandemic.</w:t>
      </w:r>
      <w:r w:rsidR="00B92D31">
        <w:rPr>
          <w:sz w:val="24"/>
          <w:szCs w:val="24"/>
        </w:rPr>
        <w:t xml:space="preserve"> </w:t>
      </w:r>
    </w:p>
    <w:p w14:paraId="7D0FE518" w14:textId="588E39B1" w:rsidR="00193A68" w:rsidRPr="001841F7" w:rsidRDefault="00546F77" w:rsidP="007964F6">
      <w:pPr>
        <w:numPr>
          <w:ilvl w:val="0"/>
          <w:numId w:val="9"/>
        </w:numPr>
        <w:spacing w:before="240" w:line="360" w:lineRule="auto"/>
        <w:ind w:left="567" w:hanging="567"/>
        <w:jc w:val="both"/>
        <w:rPr>
          <w:i/>
          <w:sz w:val="24"/>
          <w:szCs w:val="24"/>
        </w:rPr>
      </w:pPr>
      <w:r w:rsidRPr="00193A68">
        <w:rPr>
          <w:sz w:val="24"/>
          <w:szCs w:val="24"/>
        </w:rPr>
        <w:t xml:space="preserve">The </w:t>
      </w:r>
      <w:r w:rsidRPr="00047B6E">
        <w:rPr>
          <w:sz w:val="24"/>
        </w:rPr>
        <w:t>Office</w:t>
      </w:r>
      <w:r w:rsidRPr="00193A68">
        <w:rPr>
          <w:sz w:val="24"/>
          <w:szCs w:val="24"/>
        </w:rPr>
        <w:t xml:space="preserve"> of Best Practice Regulation </w:t>
      </w:r>
      <w:r w:rsidR="000D246E">
        <w:rPr>
          <w:sz w:val="24"/>
          <w:szCs w:val="24"/>
        </w:rPr>
        <w:t>(OBPR</w:t>
      </w:r>
      <w:r w:rsidR="000D246E" w:rsidRPr="00567FA0">
        <w:rPr>
          <w:sz w:val="24"/>
          <w:szCs w:val="24"/>
        </w:rPr>
        <w:t xml:space="preserve">) </w:t>
      </w:r>
      <w:r w:rsidRPr="00567FA0">
        <w:rPr>
          <w:sz w:val="24"/>
          <w:szCs w:val="24"/>
        </w:rPr>
        <w:t>has advised that a Regulat</w:t>
      </w:r>
      <w:r w:rsidR="00911D5A" w:rsidRPr="00567FA0">
        <w:rPr>
          <w:sz w:val="24"/>
          <w:szCs w:val="24"/>
        </w:rPr>
        <w:t>ory</w:t>
      </w:r>
      <w:r w:rsidRPr="00567FA0">
        <w:rPr>
          <w:sz w:val="24"/>
          <w:szCs w:val="24"/>
        </w:rPr>
        <w:t xml:space="preserve"> Impact Statement is not required (OBPR Reference </w:t>
      </w:r>
      <w:r w:rsidR="006677ED" w:rsidRPr="00567FA0">
        <w:rPr>
          <w:sz w:val="24"/>
          <w:szCs w:val="24"/>
        </w:rPr>
        <w:t>42656</w:t>
      </w:r>
      <w:r w:rsidRPr="00567FA0">
        <w:rPr>
          <w:sz w:val="24"/>
          <w:szCs w:val="24"/>
        </w:rPr>
        <w:t>)</w:t>
      </w:r>
      <w:r w:rsidR="000B29BF" w:rsidRPr="00567FA0">
        <w:rPr>
          <w:sz w:val="24"/>
          <w:szCs w:val="24"/>
        </w:rPr>
        <w:t>.</w:t>
      </w:r>
      <w:r w:rsidR="002D41C8" w:rsidRPr="001841F7">
        <w:rPr>
          <w:i/>
          <w:sz w:val="24"/>
          <w:szCs w:val="24"/>
        </w:rPr>
        <w:t xml:space="preserve"> </w:t>
      </w:r>
    </w:p>
    <w:p w14:paraId="2C8D345A" w14:textId="77777777" w:rsidR="002A06A8" w:rsidRPr="00666922" w:rsidRDefault="002A06A8" w:rsidP="00372BB0">
      <w:pPr>
        <w:numPr>
          <w:ilvl w:val="0"/>
          <w:numId w:val="9"/>
        </w:numPr>
        <w:tabs>
          <w:tab w:val="left" w:pos="567"/>
        </w:tabs>
        <w:spacing w:before="240" w:line="360" w:lineRule="auto"/>
        <w:ind w:left="567" w:hanging="567"/>
        <w:jc w:val="both"/>
        <w:rPr>
          <w:i/>
          <w:sz w:val="24"/>
          <w:szCs w:val="24"/>
        </w:rPr>
      </w:pPr>
      <w:r w:rsidRPr="00666922">
        <w:rPr>
          <w:sz w:val="24"/>
          <w:szCs w:val="24"/>
        </w:rPr>
        <w:t xml:space="preserve">Under section 10 of the </w:t>
      </w:r>
      <w:r w:rsidRPr="00666922">
        <w:rPr>
          <w:i/>
          <w:sz w:val="24"/>
          <w:szCs w:val="24"/>
        </w:rPr>
        <w:t>Legislation (Exemptions and Other Matters) Regulation 2015</w:t>
      </w:r>
      <w:r w:rsidRPr="00666922">
        <w:rPr>
          <w:sz w:val="24"/>
          <w:szCs w:val="24"/>
        </w:rPr>
        <w:t xml:space="preserve">, the </w:t>
      </w:r>
      <w:r w:rsidR="005F686B" w:rsidRPr="00666922">
        <w:rPr>
          <w:sz w:val="24"/>
          <w:szCs w:val="24"/>
        </w:rPr>
        <w:t>i</w:t>
      </w:r>
      <w:r w:rsidRPr="00666922">
        <w:rPr>
          <w:sz w:val="24"/>
          <w:szCs w:val="24"/>
        </w:rPr>
        <w:t>nstrument is exempt from disallowance and therefore a Statement of Compatibility with Human Rights is not required.</w:t>
      </w:r>
    </w:p>
    <w:p w14:paraId="4E9B503A" w14:textId="55F4F735" w:rsidR="005C07E5" w:rsidRPr="00666922" w:rsidRDefault="00A63824" w:rsidP="00666922">
      <w:pPr>
        <w:numPr>
          <w:ilvl w:val="0"/>
          <w:numId w:val="9"/>
        </w:numPr>
        <w:tabs>
          <w:tab w:val="left" w:pos="567"/>
        </w:tabs>
        <w:spacing w:before="240" w:line="360" w:lineRule="auto"/>
        <w:ind w:left="567" w:hanging="567"/>
        <w:jc w:val="both"/>
        <w:rPr>
          <w:sz w:val="24"/>
          <w:szCs w:val="24"/>
        </w:rPr>
      </w:pPr>
      <w:r w:rsidRPr="00666922">
        <w:rPr>
          <w:sz w:val="24"/>
          <w:szCs w:val="24"/>
        </w:rPr>
        <w:lastRenderedPageBreak/>
        <w:t xml:space="preserve">The </w:t>
      </w:r>
      <w:r w:rsidRPr="00666922">
        <w:rPr>
          <w:sz w:val="24"/>
        </w:rPr>
        <w:t>instrument</w:t>
      </w:r>
      <w:r w:rsidRPr="00666922">
        <w:rPr>
          <w:sz w:val="24"/>
          <w:szCs w:val="24"/>
        </w:rPr>
        <w:t xml:space="preserve"> commences on the day after registration on the Federal Register of Legislation.</w:t>
      </w:r>
    </w:p>
    <w:sectPr w:rsidR="005C07E5" w:rsidRPr="00666922" w:rsidSect="00C85D16">
      <w:headerReference w:type="even" r:id="rId8"/>
      <w:headerReference w:type="default" r:id="rId9"/>
      <w:footerReference w:type="even" r:id="rId10"/>
      <w:footerReference w:type="default" r:id="rId11"/>
      <w:headerReference w:type="first" r:id="rId12"/>
      <w:footerReference w:type="first" r:id="rId13"/>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EA9C" w14:textId="77777777" w:rsidR="00342666" w:rsidRDefault="00342666">
      <w:r>
        <w:separator/>
      </w:r>
    </w:p>
  </w:endnote>
  <w:endnote w:type="continuationSeparator" w:id="0">
    <w:p w14:paraId="486D7F85" w14:textId="77777777" w:rsidR="00342666" w:rsidRDefault="0034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817B" w14:textId="77777777" w:rsidR="00495C73" w:rsidRDefault="0049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21C1" w14:textId="77777777" w:rsidR="00ED38A5" w:rsidRDefault="00ED38A5" w:rsidP="00ED38A5">
    <w:pPr>
      <w:pStyle w:val="Footer"/>
      <w:pBdr>
        <w:bottom w:val="single" w:sz="12" w:space="1" w:color="auto"/>
      </w:pBdr>
      <w:jc w:val="center"/>
    </w:pPr>
  </w:p>
  <w:p w14:paraId="6325BBE8" w14:textId="0C84E2EB" w:rsidR="00ED38A5" w:rsidRDefault="00725C2F" w:rsidP="00ED38A5">
    <w:pPr>
      <w:pStyle w:val="Footer"/>
      <w:spacing w:before="240"/>
      <w:jc w:val="center"/>
      <w:rPr>
        <w:i/>
      </w:rPr>
    </w:pPr>
    <w:r>
      <w:t xml:space="preserve">Explanatory Statement for </w:t>
    </w:r>
    <w:r w:rsidRPr="00725C2F">
      <w:rPr>
        <w:i/>
      </w:rPr>
      <w:t>Migration (Exemptions from Skill, Age and English Language Requirements for Subclass 186, 187 and 494 Visas) Amendment Instrument (LIN 20/189) 2020</w:t>
    </w:r>
  </w:p>
  <w:p w14:paraId="39A6A878" w14:textId="175666F1" w:rsidR="00ED38A5" w:rsidRDefault="00ED38A5" w:rsidP="00ED38A5">
    <w:pPr>
      <w:pStyle w:val="Footer"/>
      <w:jc w:val="right"/>
    </w:pPr>
    <w:r>
      <w:fldChar w:fldCharType="begin"/>
    </w:r>
    <w:r>
      <w:instrText xml:space="preserve"> PAGE   \* MERGEFORMAT </w:instrText>
    </w:r>
    <w:r>
      <w:fldChar w:fldCharType="separate"/>
    </w:r>
    <w:r w:rsidR="0006007E">
      <w:rPr>
        <w:noProof/>
      </w:rPr>
      <w:t>2</w:t>
    </w:r>
    <w:r>
      <w:rPr>
        <w:noProof/>
      </w:rPr>
      <w:fldChar w:fldCharType="end"/>
    </w:r>
  </w:p>
  <w:p w14:paraId="4999E0BB" w14:textId="77777777" w:rsidR="00ED38A5" w:rsidRDefault="00ED38A5" w:rsidP="00ED38A5">
    <w:pPr>
      <w:pStyle w:val="Footer"/>
      <w:jc w:val="center"/>
    </w:pPr>
  </w:p>
  <w:p w14:paraId="2F4F374F" w14:textId="77777777" w:rsidR="00ED38A5" w:rsidRDefault="00ED3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DCA3" w14:textId="77777777" w:rsidR="00495C73" w:rsidRDefault="0049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A401D" w14:textId="77777777" w:rsidR="00342666" w:rsidRDefault="00342666">
      <w:r>
        <w:separator/>
      </w:r>
    </w:p>
  </w:footnote>
  <w:footnote w:type="continuationSeparator" w:id="0">
    <w:p w14:paraId="06CD2987" w14:textId="77777777" w:rsidR="00342666" w:rsidRDefault="0034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56D1" w14:textId="68246D34" w:rsidR="00495C73" w:rsidRDefault="0049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1CDC" w14:textId="7547A0E3" w:rsidR="00495C73" w:rsidRDefault="00495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B284" w14:textId="24623F55" w:rsidR="00495C73" w:rsidRDefault="0049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FFC"/>
    <w:multiLevelType w:val="hybridMultilevel"/>
    <w:tmpl w:val="40A20E04"/>
    <w:lvl w:ilvl="0" w:tplc="0C09000F">
      <w:start w:val="1"/>
      <w:numFmt w:val="decimal"/>
      <w:lvlText w:val="%1."/>
      <w:lvlJc w:val="left"/>
      <w:pPr>
        <w:tabs>
          <w:tab w:val="num" w:pos="720"/>
        </w:tabs>
        <w:ind w:left="720" w:hanging="360"/>
      </w:pPr>
    </w:lvl>
    <w:lvl w:ilvl="1" w:tplc="FFB2E388">
      <w:start w:val="1"/>
      <w:numFmt w:val="lowerLetter"/>
      <w:lvlText w:val="%2."/>
      <w:lvlJc w:val="left"/>
      <w:pPr>
        <w:tabs>
          <w:tab w:val="num" w:pos="1440"/>
        </w:tabs>
        <w:ind w:left="1440" w:hanging="36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532FA0"/>
    <w:multiLevelType w:val="multilevel"/>
    <w:tmpl w:val="68840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F3EB4"/>
    <w:multiLevelType w:val="hybridMultilevel"/>
    <w:tmpl w:val="5D18D96A"/>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5B3044"/>
    <w:multiLevelType w:val="hybridMultilevel"/>
    <w:tmpl w:val="C6B47CE4"/>
    <w:lvl w:ilvl="0" w:tplc="EEB68044">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0C0A8D"/>
    <w:multiLevelType w:val="hybridMultilevel"/>
    <w:tmpl w:val="03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6A4E24"/>
    <w:multiLevelType w:val="hybridMultilevel"/>
    <w:tmpl w:val="F20AF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730128"/>
    <w:multiLevelType w:val="hybridMultilevel"/>
    <w:tmpl w:val="FC4EDDB6"/>
    <w:lvl w:ilvl="0" w:tplc="0C09000F">
      <w:start w:val="1"/>
      <w:numFmt w:val="decimal"/>
      <w:lvlText w:val="%1."/>
      <w:lvlJc w:val="left"/>
      <w:pPr>
        <w:tabs>
          <w:tab w:val="num" w:pos="698"/>
        </w:tabs>
        <w:ind w:left="698" w:hanging="360"/>
      </w:pPr>
    </w:lvl>
    <w:lvl w:ilvl="1" w:tplc="0C090019" w:tentative="1">
      <w:start w:val="1"/>
      <w:numFmt w:val="lowerLetter"/>
      <w:lvlText w:val="%2."/>
      <w:lvlJc w:val="left"/>
      <w:pPr>
        <w:tabs>
          <w:tab w:val="num" w:pos="1418"/>
        </w:tabs>
        <w:ind w:left="1418" w:hanging="360"/>
      </w:pPr>
    </w:lvl>
    <w:lvl w:ilvl="2" w:tplc="0C09001B" w:tentative="1">
      <w:start w:val="1"/>
      <w:numFmt w:val="lowerRoman"/>
      <w:lvlText w:val="%3."/>
      <w:lvlJc w:val="right"/>
      <w:pPr>
        <w:tabs>
          <w:tab w:val="num" w:pos="2138"/>
        </w:tabs>
        <w:ind w:left="2138" w:hanging="180"/>
      </w:pPr>
    </w:lvl>
    <w:lvl w:ilvl="3" w:tplc="0C09000F" w:tentative="1">
      <w:start w:val="1"/>
      <w:numFmt w:val="decimal"/>
      <w:lvlText w:val="%4."/>
      <w:lvlJc w:val="left"/>
      <w:pPr>
        <w:tabs>
          <w:tab w:val="num" w:pos="2858"/>
        </w:tabs>
        <w:ind w:left="2858" w:hanging="360"/>
      </w:pPr>
    </w:lvl>
    <w:lvl w:ilvl="4" w:tplc="0C090019" w:tentative="1">
      <w:start w:val="1"/>
      <w:numFmt w:val="lowerLetter"/>
      <w:lvlText w:val="%5."/>
      <w:lvlJc w:val="left"/>
      <w:pPr>
        <w:tabs>
          <w:tab w:val="num" w:pos="3578"/>
        </w:tabs>
        <w:ind w:left="3578" w:hanging="360"/>
      </w:pPr>
    </w:lvl>
    <w:lvl w:ilvl="5" w:tplc="0C09001B" w:tentative="1">
      <w:start w:val="1"/>
      <w:numFmt w:val="lowerRoman"/>
      <w:lvlText w:val="%6."/>
      <w:lvlJc w:val="right"/>
      <w:pPr>
        <w:tabs>
          <w:tab w:val="num" w:pos="4298"/>
        </w:tabs>
        <w:ind w:left="4298" w:hanging="180"/>
      </w:pPr>
    </w:lvl>
    <w:lvl w:ilvl="6" w:tplc="0C09000F" w:tentative="1">
      <w:start w:val="1"/>
      <w:numFmt w:val="decimal"/>
      <w:lvlText w:val="%7."/>
      <w:lvlJc w:val="left"/>
      <w:pPr>
        <w:tabs>
          <w:tab w:val="num" w:pos="5018"/>
        </w:tabs>
        <w:ind w:left="5018" w:hanging="360"/>
      </w:pPr>
    </w:lvl>
    <w:lvl w:ilvl="7" w:tplc="0C090019" w:tentative="1">
      <w:start w:val="1"/>
      <w:numFmt w:val="lowerLetter"/>
      <w:lvlText w:val="%8."/>
      <w:lvlJc w:val="left"/>
      <w:pPr>
        <w:tabs>
          <w:tab w:val="num" w:pos="5738"/>
        </w:tabs>
        <w:ind w:left="5738" w:hanging="360"/>
      </w:pPr>
    </w:lvl>
    <w:lvl w:ilvl="8" w:tplc="0C09001B" w:tentative="1">
      <w:start w:val="1"/>
      <w:numFmt w:val="lowerRoman"/>
      <w:lvlText w:val="%9."/>
      <w:lvlJc w:val="right"/>
      <w:pPr>
        <w:tabs>
          <w:tab w:val="num" w:pos="6458"/>
        </w:tabs>
        <w:ind w:left="6458" w:hanging="180"/>
      </w:pPr>
    </w:lvl>
  </w:abstractNum>
  <w:abstractNum w:abstractNumId="7" w15:restartNumberingAfterBreak="0">
    <w:nsid w:val="4E513158"/>
    <w:multiLevelType w:val="hybridMultilevel"/>
    <w:tmpl w:val="99ACD5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02B51D1"/>
    <w:multiLevelType w:val="hybridMultilevel"/>
    <w:tmpl w:val="C5361C08"/>
    <w:lvl w:ilvl="0" w:tplc="D05AAA88">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51D92E6A"/>
    <w:multiLevelType w:val="hybridMultilevel"/>
    <w:tmpl w:val="A1E8D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8D7949"/>
    <w:multiLevelType w:val="hybridMultilevel"/>
    <w:tmpl w:val="8DC07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CE1E26"/>
    <w:multiLevelType w:val="hybridMultilevel"/>
    <w:tmpl w:val="8504845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15:restartNumberingAfterBreak="0">
    <w:nsid w:val="6CB7796A"/>
    <w:multiLevelType w:val="singleLevel"/>
    <w:tmpl w:val="3E6ACC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F2D692E"/>
    <w:multiLevelType w:val="hybridMultilevel"/>
    <w:tmpl w:val="A42E21F4"/>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F619F9"/>
    <w:multiLevelType w:val="hybridMultilevel"/>
    <w:tmpl w:val="53D68F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9723E"/>
    <w:multiLevelType w:val="singleLevel"/>
    <w:tmpl w:val="0ED8E5EC"/>
    <w:lvl w:ilvl="0">
      <w:start w:val="4"/>
      <w:numFmt w:val="decimal"/>
      <w:lvlText w:val="(%1)"/>
      <w:lvlJc w:val="left"/>
      <w:pPr>
        <w:tabs>
          <w:tab w:val="num" w:pos="720"/>
        </w:tabs>
        <w:ind w:left="720" w:hanging="720"/>
      </w:pPr>
      <w:rPr>
        <w:rFonts w:hint="default"/>
      </w:rPr>
    </w:lvl>
  </w:abstractNum>
  <w:num w:numId="1">
    <w:abstractNumId w:val="15"/>
  </w:num>
  <w:num w:numId="2">
    <w:abstractNumId w:val="12"/>
  </w:num>
  <w:num w:numId="3">
    <w:abstractNumId w:val="6"/>
  </w:num>
  <w:num w:numId="4">
    <w:abstractNumId w:val="0"/>
  </w:num>
  <w:num w:numId="5">
    <w:abstractNumId w:val="1"/>
  </w:num>
  <w:num w:numId="6">
    <w:abstractNumId w:val="7"/>
  </w:num>
  <w:num w:numId="7">
    <w:abstractNumId w:val="13"/>
  </w:num>
  <w:num w:numId="8">
    <w:abstractNumId w:val="2"/>
  </w:num>
  <w:num w:numId="9">
    <w:abstractNumId w:val="3"/>
  </w:num>
  <w:num w:numId="10">
    <w:abstractNumId w:val="11"/>
  </w:num>
  <w:num w:numId="11">
    <w:abstractNumId w:val="10"/>
  </w:num>
  <w:num w:numId="12">
    <w:abstractNumId w:val="9"/>
  </w:num>
  <w:num w:numId="13">
    <w:abstractNumId w:val="14"/>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034F6"/>
    <w:rsid w:val="00012DE8"/>
    <w:rsid w:val="00025B5D"/>
    <w:rsid w:val="000371B3"/>
    <w:rsid w:val="00047B6E"/>
    <w:rsid w:val="0006007E"/>
    <w:rsid w:val="0008110A"/>
    <w:rsid w:val="00081718"/>
    <w:rsid w:val="000904AF"/>
    <w:rsid w:val="0009231F"/>
    <w:rsid w:val="000B29BF"/>
    <w:rsid w:val="000D1E10"/>
    <w:rsid w:val="000D246E"/>
    <w:rsid w:val="000E442C"/>
    <w:rsid w:val="000F0A84"/>
    <w:rsid w:val="000F4BFC"/>
    <w:rsid w:val="00114889"/>
    <w:rsid w:val="00115919"/>
    <w:rsid w:val="00162BD5"/>
    <w:rsid w:val="001841F7"/>
    <w:rsid w:val="00193A68"/>
    <w:rsid w:val="001C5BF3"/>
    <w:rsid w:val="001D091B"/>
    <w:rsid w:val="001D0DD5"/>
    <w:rsid w:val="001D2FBD"/>
    <w:rsid w:val="001E219C"/>
    <w:rsid w:val="001F04E7"/>
    <w:rsid w:val="001F4EC7"/>
    <w:rsid w:val="00215DF3"/>
    <w:rsid w:val="00231FFD"/>
    <w:rsid w:val="00236827"/>
    <w:rsid w:val="00244AA0"/>
    <w:rsid w:val="00253CAF"/>
    <w:rsid w:val="0026747D"/>
    <w:rsid w:val="0027119B"/>
    <w:rsid w:val="002A06A8"/>
    <w:rsid w:val="002B7AF6"/>
    <w:rsid w:val="002C1AFB"/>
    <w:rsid w:val="002C53C4"/>
    <w:rsid w:val="002C651D"/>
    <w:rsid w:val="002D41C8"/>
    <w:rsid w:val="002E6395"/>
    <w:rsid w:val="00302251"/>
    <w:rsid w:val="003128C7"/>
    <w:rsid w:val="00327184"/>
    <w:rsid w:val="00330F55"/>
    <w:rsid w:val="003348B8"/>
    <w:rsid w:val="00341016"/>
    <w:rsid w:val="00342666"/>
    <w:rsid w:val="0036537A"/>
    <w:rsid w:val="00372BB0"/>
    <w:rsid w:val="00397982"/>
    <w:rsid w:val="003A53F3"/>
    <w:rsid w:val="003C5137"/>
    <w:rsid w:val="003F7505"/>
    <w:rsid w:val="00417400"/>
    <w:rsid w:val="00430906"/>
    <w:rsid w:val="00465BCD"/>
    <w:rsid w:val="00474812"/>
    <w:rsid w:val="00495C73"/>
    <w:rsid w:val="004B7FDC"/>
    <w:rsid w:val="004C4B3E"/>
    <w:rsid w:val="004C6E73"/>
    <w:rsid w:val="004D6A29"/>
    <w:rsid w:val="004F5740"/>
    <w:rsid w:val="0050564E"/>
    <w:rsid w:val="00511E03"/>
    <w:rsid w:val="00542D46"/>
    <w:rsid w:val="00546F77"/>
    <w:rsid w:val="00554524"/>
    <w:rsid w:val="00567814"/>
    <w:rsid w:val="00567FA0"/>
    <w:rsid w:val="005B2BF1"/>
    <w:rsid w:val="005C07E5"/>
    <w:rsid w:val="005C44A2"/>
    <w:rsid w:val="005E22A3"/>
    <w:rsid w:val="005F686B"/>
    <w:rsid w:val="00610658"/>
    <w:rsid w:val="006146DA"/>
    <w:rsid w:val="00637B60"/>
    <w:rsid w:val="00641022"/>
    <w:rsid w:val="00641B4E"/>
    <w:rsid w:val="0064639B"/>
    <w:rsid w:val="00666922"/>
    <w:rsid w:val="006677ED"/>
    <w:rsid w:val="00671004"/>
    <w:rsid w:val="006C1428"/>
    <w:rsid w:val="006C22B0"/>
    <w:rsid w:val="006C508E"/>
    <w:rsid w:val="0070010D"/>
    <w:rsid w:val="007030F4"/>
    <w:rsid w:val="0071413D"/>
    <w:rsid w:val="00715E24"/>
    <w:rsid w:val="00725C2F"/>
    <w:rsid w:val="007369BE"/>
    <w:rsid w:val="007440C9"/>
    <w:rsid w:val="0075079C"/>
    <w:rsid w:val="007964F6"/>
    <w:rsid w:val="007A7618"/>
    <w:rsid w:val="007E0AFF"/>
    <w:rsid w:val="007F1DD7"/>
    <w:rsid w:val="0080660D"/>
    <w:rsid w:val="00843107"/>
    <w:rsid w:val="00854256"/>
    <w:rsid w:val="00855FBA"/>
    <w:rsid w:val="00864823"/>
    <w:rsid w:val="008A0D4A"/>
    <w:rsid w:val="008C3954"/>
    <w:rsid w:val="00911D5A"/>
    <w:rsid w:val="0094678B"/>
    <w:rsid w:val="009826AD"/>
    <w:rsid w:val="009927C4"/>
    <w:rsid w:val="009B2428"/>
    <w:rsid w:val="009B34EC"/>
    <w:rsid w:val="009B45DA"/>
    <w:rsid w:val="009D0462"/>
    <w:rsid w:val="009E3B49"/>
    <w:rsid w:val="00A03F71"/>
    <w:rsid w:val="00A24251"/>
    <w:rsid w:val="00A31178"/>
    <w:rsid w:val="00A31276"/>
    <w:rsid w:val="00A40F42"/>
    <w:rsid w:val="00A4261F"/>
    <w:rsid w:val="00A61B55"/>
    <w:rsid w:val="00A63824"/>
    <w:rsid w:val="00A905C6"/>
    <w:rsid w:val="00A9347E"/>
    <w:rsid w:val="00AB5757"/>
    <w:rsid w:val="00AE01BC"/>
    <w:rsid w:val="00AE1E20"/>
    <w:rsid w:val="00AE32B0"/>
    <w:rsid w:val="00AE3D02"/>
    <w:rsid w:val="00B529D8"/>
    <w:rsid w:val="00B70672"/>
    <w:rsid w:val="00B70E55"/>
    <w:rsid w:val="00B826ED"/>
    <w:rsid w:val="00B92D31"/>
    <w:rsid w:val="00B95124"/>
    <w:rsid w:val="00B97255"/>
    <w:rsid w:val="00BC008B"/>
    <w:rsid w:val="00BC3AFA"/>
    <w:rsid w:val="00BD29BA"/>
    <w:rsid w:val="00BE62F6"/>
    <w:rsid w:val="00BF2A49"/>
    <w:rsid w:val="00BF3D6A"/>
    <w:rsid w:val="00BF4868"/>
    <w:rsid w:val="00BF6A03"/>
    <w:rsid w:val="00C048BE"/>
    <w:rsid w:val="00C058DF"/>
    <w:rsid w:val="00C6050B"/>
    <w:rsid w:val="00C762C4"/>
    <w:rsid w:val="00C83127"/>
    <w:rsid w:val="00C85D16"/>
    <w:rsid w:val="00CB5977"/>
    <w:rsid w:val="00CD3E97"/>
    <w:rsid w:val="00D22275"/>
    <w:rsid w:val="00D263E5"/>
    <w:rsid w:val="00D60CC8"/>
    <w:rsid w:val="00D83092"/>
    <w:rsid w:val="00D838FF"/>
    <w:rsid w:val="00D85646"/>
    <w:rsid w:val="00D97336"/>
    <w:rsid w:val="00DA476A"/>
    <w:rsid w:val="00DA4B5B"/>
    <w:rsid w:val="00DB634D"/>
    <w:rsid w:val="00DC344E"/>
    <w:rsid w:val="00E1110E"/>
    <w:rsid w:val="00E2158B"/>
    <w:rsid w:val="00E23C4D"/>
    <w:rsid w:val="00E3263F"/>
    <w:rsid w:val="00E3297D"/>
    <w:rsid w:val="00E32FDC"/>
    <w:rsid w:val="00E37E66"/>
    <w:rsid w:val="00E472C4"/>
    <w:rsid w:val="00E655EF"/>
    <w:rsid w:val="00E82D16"/>
    <w:rsid w:val="00E8404A"/>
    <w:rsid w:val="00EB563C"/>
    <w:rsid w:val="00EC0201"/>
    <w:rsid w:val="00EC2CC3"/>
    <w:rsid w:val="00ED27C4"/>
    <w:rsid w:val="00ED38A5"/>
    <w:rsid w:val="00EE315E"/>
    <w:rsid w:val="00EF4C7D"/>
    <w:rsid w:val="00F20E05"/>
    <w:rsid w:val="00F21AD8"/>
    <w:rsid w:val="00F336E2"/>
    <w:rsid w:val="00F418FD"/>
    <w:rsid w:val="00F64AC1"/>
    <w:rsid w:val="00F716FC"/>
    <w:rsid w:val="00F85B02"/>
    <w:rsid w:val="00F86A82"/>
    <w:rsid w:val="00FE0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170F8A7"/>
  <w15:chartTrackingRefBased/>
  <w15:docId w15:val="{6E5A040A-EAD2-481E-AB77-9D73E64F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ind w:left="1440" w:hanging="1440"/>
      <w:jc w:val="center"/>
      <w:outlineLvl w:val="1"/>
    </w:pPr>
    <w:rPr>
      <w:sz w:val="24"/>
    </w:rPr>
  </w:style>
  <w:style w:type="paragraph" w:styleId="Heading3">
    <w:name w:val="heading 3"/>
    <w:basedOn w:val="Normal"/>
    <w:next w:val="Normal"/>
    <w:qFormat/>
    <w:pPr>
      <w:keepNext/>
      <w:ind w:left="1440" w:hanging="144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pPr>
      <w:tabs>
        <w:tab w:val="center" w:pos="4320"/>
        <w:tab w:val="right" w:pos="8640"/>
      </w:tabs>
    </w:pPr>
    <w:rPr>
      <w:rFonts w:ascii="Arial" w:hAnsi="Arial"/>
      <w:sz w:val="24"/>
    </w:rPr>
  </w:style>
  <w:style w:type="paragraph" w:styleId="BalloonText">
    <w:name w:val="Balloon Text"/>
    <w:basedOn w:val="Normal"/>
    <w:semiHidden/>
    <w:rsid w:val="001D0DD5"/>
    <w:rPr>
      <w:rFonts w:ascii="Tahoma" w:hAnsi="Tahoma" w:cs="Tahoma"/>
      <w:sz w:val="16"/>
      <w:szCs w:val="16"/>
    </w:rPr>
  </w:style>
  <w:style w:type="paragraph" w:styleId="Footer">
    <w:name w:val="footer"/>
    <w:basedOn w:val="Normal"/>
    <w:link w:val="FooterChar"/>
    <w:uiPriority w:val="99"/>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rsid w:val="001D091B"/>
    <w:rPr>
      <w:rFonts w:ascii="Arial" w:hAnsi="Arial"/>
      <w:sz w:val="24"/>
    </w:rPr>
  </w:style>
  <w:style w:type="character" w:customStyle="1" w:styleId="FooterChar">
    <w:name w:val="Footer Char"/>
    <w:link w:val="Footer"/>
    <w:uiPriority w:val="99"/>
    <w:rsid w:val="00ED38A5"/>
  </w:style>
  <w:style w:type="character" w:styleId="CommentReference">
    <w:name w:val="annotation reference"/>
    <w:basedOn w:val="DefaultParagraphFont"/>
    <w:uiPriority w:val="99"/>
    <w:semiHidden/>
    <w:unhideWhenUsed/>
    <w:rsid w:val="007A7618"/>
    <w:rPr>
      <w:sz w:val="16"/>
      <w:szCs w:val="16"/>
    </w:rPr>
  </w:style>
  <w:style w:type="paragraph" w:styleId="CommentText">
    <w:name w:val="annotation text"/>
    <w:basedOn w:val="Normal"/>
    <w:link w:val="CommentTextChar"/>
    <w:uiPriority w:val="99"/>
    <w:semiHidden/>
    <w:unhideWhenUsed/>
    <w:rsid w:val="007A7618"/>
  </w:style>
  <w:style w:type="character" w:customStyle="1" w:styleId="CommentTextChar">
    <w:name w:val="Comment Text Char"/>
    <w:basedOn w:val="DefaultParagraphFont"/>
    <w:link w:val="CommentText"/>
    <w:uiPriority w:val="99"/>
    <w:semiHidden/>
    <w:rsid w:val="007A7618"/>
  </w:style>
  <w:style w:type="paragraph" w:styleId="CommentSubject">
    <w:name w:val="annotation subject"/>
    <w:basedOn w:val="CommentText"/>
    <w:next w:val="CommentText"/>
    <w:link w:val="CommentSubjectChar"/>
    <w:uiPriority w:val="99"/>
    <w:semiHidden/>
    <w:unhideWhenUsed/>
    <w:rsid w:val="007A7618"/>
    <w:rPr>
      <w:b/>
      <w:bCs/>
    </w:rPr>
  </w:style>
  <w:style w:type="character" w:customStyle="1" w:styleId="CommentSubjectChar">
    <w:name w:val="Comment Subject Char"/>
    <w:basedOn w:val="CommentTextChar"/>
    <w:link w:val="CommentSubject"/>
    <w:uiPriority w:val="99"/>
    <w:semiHidden/>
    <w:rsid w:val="007A7618"/>
    <w:rPr>
      <w:b/>
      <w:bCs/>
    </w:rPr>
  </w:style>
  <w:style w:type="paragraph" w:styleId="ListParagraph">
    <w:name w:val="List Paragraph"/>
    <w:basedOn w:val="Normal"/>
    <w:uiPriority w:val="34"/>
    <w:qFormat/>
    <w:rsid w:val="00B92D31"/>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4359">
      <w:bodyDiv w:val="1"/>
      <w:marLeft w:val="0"/>
      <w:marRight w:val="0"/>
      <w:marTop w:val="0"/>
      <w:marBottom w:val="0"/>
      <w:divBdr>
        <w:top w:val="none" w:sz="0" w:space="0" w:color="auto"/>
        <w:left w:val="none" w:sz="0" w:space="0" w:color="auto"/>
        <w:bottom w:val="none" w:sz="0" w:space="0" w:color="auto"/>
        <w:right w:val="none" w:sz="0" w:space="0" w:color="auto"/>
      </w:divBdr>
    </w:div>
    <w:div w:id="241843295">
      <w:bodyDiv w:val="1"/>
      <w:marLeft w:val="0"/>
      <w:marRight w:val="0"/>
      <w:marTop w:val="0"/>
      <w:marBottom w:val="0"/>
      <w:divBdr>
        <w:top w:val="none" w:sz="0" w:space="0" w:color="auto"/>
        <w:left w:val="none" w:sz="0" w:space="0" w:color="auto"/>
        <w:bottom w:val="none" w:sz="0" w:space="0" w:color="auto"/>
        <w:right w:val="none" w:sz="0" w:space="0" w:color="auto"/>
      </w:divBdr>
    </w:div>
    <w:div w:id="826898098">
      <w:bodyDiv w:val="1"/>
      <w:marLeft w:val="0"/>
      <w:marRight w:val="0"/>
      <w:marTop w:val="0"/>
      <w:marBottom w:val="0"/>
      <w:divBdr>
        <w:top w:val="none" w:sz="0" w:space="0" w:color="auto"/>
        <w:left w:val="none" w:sz="0" w:space="0" w:color="auto"/>
        <w:bottom w:val="none" w:sz="0" w:space="0" w:color="auto"/>
        <w:right w:val="none" w:sz="0" w:space="0" w:color="auto"/>
      </w:divBdr>
    </w:div>
    <w:div w:id="968165879">
      <w:bodyDiv w:val="1"/>
      <w:marLeft w:val="0"/>
      <w:marRight w:val="0"/>
      <w:marTop w:val="0"/>
      <w:marBottom w:val="0"/>
      <w:divBdr>
        <w:top w:val="none" w:sz="0" w:space="0" w:color="auto"/>
        <w:left w:val="none" w:sz="0" w:space="0" w:color="auto"/>
        <w:bottom w:val="none" w:sz="0" w:space="0" w:color="auto"/>
        <w:right w:val="none" w:sz="0" w:space="0" w:color="auto"/>
      </w:divBdr>
    </w:div>
    <w:div w:id="18749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cp:lastModifiedBy>Hannah HU</cp:lastModifiedBy>
  <cp:revision>2</cp:revision>
  <cp:lastPrinted>2005-01-12T05:51:00Z</cp:lastPrinted>
  <dcterms:created xsi:type="dcterms:W3CDTF">2020-11-19T01:14:00Z</dcterms:created>
  <dcterms:modified xsi:type="dcterms:W3CDTF">2020-11-19T01:14:00Z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