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62F87" w14:textId="77777777" w:rsidR="00715914" w:rsidRPr="00071C02" w:rsidRDefault="00DA186E" w:rsidP="00715914">
      <w:pPr>
        <w:rPr>
          <w:sz w:val="28"/>
        </w:rPr>
      </w:pPr>
      <w:r w:rsidRPr="00071C02">
        <w:rPr>
          <w:noProof/>
          <w:lang w:eastAsia="en-AU"/>
        </w:rPr>
        <w:drawing>
          <wp:inline distT="0" distB="0" distL="0" distR="0" wp14:anchorId="3AB3D9E6" wp14:editId="20BB1C8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FFB9" w14:textId="77777777" w:rsidR="00715914" w:rsidRPr="00071C02" w:rsidRDefault="00715914" w:rsidP="00715914">
      <w:pPr>
        <w:rPr>
          <w:sz w:val="19"/>
        </w:rPr>
      </w:pPr>
    </w:p>
    <w:p w14:paraId="76542017" w14:textId="430899B0" w:rsidR="00554826" w:rsidRPr="00071C02" w:rsidRDefault="009841B4" w:rsidP="00554826">
      <w:pPr>
        <w:pStyle w:val="ShortT"/>
      </w:pPr>
      <w:r w:rsidRPr="00071C02">
        <w:t>Health Insurance (Extended Medicare Safety Net</w:t>
      </w:r>
      <w:r w:rsidR="006B1337" w:rsidRPr="00071C02">
        <w:t xml:space="preserve">) Amendment </w:t>
      </w:r>
      <w:r w:rsidR="002A12D7" w:rsidRPr="00071C02">
        <w:t xml:space="preserve">(Indexation) </w:t>
      </w:r>
      <w:r w:rsidR="006E4395" w:rsidRPr="00071C02">
        <w:t>Determination</w:t>
      </w:r>
      <w:r w:rsidRPr="00071C02">
        <w:t xml:space="preserve"> 20</w:t>
      </w:r>
      <w:r w:rsidR="00702A06" w:rsidRPr="00071C02">
        <w:t>2</w:t>
      </w:r>
      <w:r w:rsidR="002A12D7" w:rsidRPr="00071C02">
        <w:t>0</w:t>
      </w:r>
      <w:r w:rsidRPr="00071C02">
        <w:t xml:space="preserve"> </w:t>
      </w:r>
    </w:p>
    <w:p w14:paraId="146001ED" w14:textId="77777777" w:rsidR="00554826" w:rsidRPr="00071C02" w:rsidRDefault="00554826" w:rsidP="00554826">
      <w:pPr>
        <w:pStyle w:val="SignCoverPageStart"/>
        <w:spacing w:before="240"/>
        <w:ind w:right="91"/>
        <w:rPr>
          <w:szCs w:val="22"/>
        </w:rPr>
      </w:pPr>
      <w:r w:rsidRPr="00071C02">
        <w:rPr>
          <w:szCs w:val="22"/>
        </w:rPr>
        <w:t xml:space="preserve">I, </w:t>
      </w:r>
      <w:r w:rsidR="009841B4" w:rsidRPr="00071C02">
        <w:rPr>
          <w:szCs w:val="22"/>
        </w:rPr>
        <w:t>GREG HUNT</w:t>
      </w:r>
      <w:r w:rsidRPr="00071C02">
        <w:rPr>
          <w:szCs w:val="22"/>
        </w:rPr>
        <w:t xml:space="preserve">, </w:t>
      </w:r>
      <w:r w:rsidR="009841B4" w:rsidRPr="00071C02">
        <w:rPr>
          <w:szCs w:val="22"/>
        </w:rPr>
        <w:t xml:space="preserve">Minister for Health, </w:t>
      </w:r>
      <w:r w:rsidRPr="00071C02">
        <w:rPr>
          <w:szCs w:val="22"/>
        </w:rPr>
        <w:t xml:space="preserve">make the following </w:t>
      </w:r>
      <w:r w:rsidR="009841B4" w:rsidRPr="00071C02">
        <w:rPr>
          <w:szCs w:val="22"/>
        </w:rPr>
        <w:t>Determination</w:t>
      </w:r>
      <w:r w:rsidRPr="00071C02">
        <w:rPr>
          <w:szCs w:val="22"/>
        </w:rPr>
        <w:t>.</w:t>
      </w:r>
    </w:p>
    <w:p w14:paraId="4236A668" w14:textId="458F7203" w:rsidR="00554826" w:rsidRPr="00071C02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071C02">
        <w:rPr>
          <w:szCs w:val="22"/>
        </w:rPr>
        <w:t>Dated</w:t>
      </w:r>
      <w:r w:rsidRPr="00071C02">
        <w:rPr>
          <w:szCs w:val="22"/>
        </w:rPr>
        <w:tab/>
      </w:r>
      <w:r w:rsidR="00F76CA3" w:rsidRPr="00071C02">
        <w:rPr>
          <w:szCs w:val="22"/>
        </w:rPr>
        <w:t xml:space="preserve"> </w:t>
      </w:r>
      <w:r w:rsidR="00071C02" w:rsidRPr="00071C02">
        <w:rPr>
          <w:szCs w:val="22"/>
        </w:rPr>
        <w:t>19 November 2020</w:t>
      </w:r>
      <w:r w:rsidRPr="00071C02">
        <w:rPr>
          <w:szCs w:val="22"/>
        </w:rPr>
        <w:tab/>
      </w:r>
      <w:r w:rsidRPr="00071C02">
        <w:rPr>
          <w:szCs w:val="22"/>
        </w:rPr>
        <w:tab/>
      </w:r>
    </w:p>
    <w:p w14:paraId="459ABE4B" w14:textId="77777777" w:rsidR="00554826" w:rsidRPr="00071C02" w:rsidRDefault="009841B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071C02">
        <w:rPr>
          <w:szCs w:val="22"/>
        </w:rPr>
        <w:t>Greg Hunt</w:t>
      </w:r>
    </w:p>
    <w:p w14:paraId="5C832D45" w14:textId="77777777" w:rsidR="00554826" w:rsidRPr="00071C02" w:rsidRDefault="009841B4" w:rsidP="00554826">
      <w:pPr>
        <w:pStyle w:val="SignCoverPageEnd"/>
        <w:ind w:right="91"/>
        <w:rPr>
          <w:sz w:val="22"/>
        </w:rPr>
      </w:pPr>
      <w:r w:rsidRPr="00071C02">
        <w:rPr>
          <w:sz w:val="22"/>
        </w:rPr>
        <w:t>Minister for Health</w:t>
      </w:r>
    </w:p>
    <w:p w14:paraId="2F6C8ABB" w14:textId="77777777" w:rsidR="00554826" w:rsidRPr="00071C02" w:rsidRDefault="00554826" w:rsidP="00554826"/>
    <w:p w14:paraId="7212F987" w14:textId="77777777" w:rsidR="00554826" w:rsidRPr="00071C02" w:rsidRDefault="00554826" w:rsidP="00554826"/>
    <w:p w14:paraId="5CFBA8D3" w14:textId="77777777" w:rsidR="00F6696E" w:rsidRPr="00071C02" w:rsidRDefault="00F6696E" w:rsidP="00F6696E"/>
    <w:p w14:paraId="6FF5883D" w14:textId="77777777" w:rsidR="00F6696E" w:rsidRPr="00071C02" w:rsidRDefault="00F6696E" w:rsidP="00F6696E">
      <w:pPr>
        <w:sectPr w:rsidR="00F6696E" w:rsidRPr="00071C02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9786EFE" w14:textId="77777777" w:rsidR="007500C8" w:rsidRPr="00071C02" w:rsidRDefault="00715914" w:rsidP="00715914">
      <w:pPr>
        <w:outlineLvl w:val="0"/>
        <w:rPr>
          <w:sz w:val="36"/>
        </w:rPr>
      </w:pPr>
      <w:r w:rsidRPr="00071C02">
        <w:rPr>
          <w:sz w:val="36"/>
        </w:rPr>
        <w:lastRenderedPageBreak/>
        <w:t>Contents</w:t>
      </w:r>
    </w:p>
    <w:p w14:paraId="52C5D150" w14:textId="7E9C7680" w:rsidR="00071C0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71C02">
        <w:fldChar w:fldCharType="begin"/>
      </w:r>
      <w:r w:rsidRPr="00071C02">
        <w:instrText xml:space="preserve"> TOC \o "1-9" </w:instrText>
      </w:r>
      <w:r w:rsidRPr="00071C02">
        <w:fldChar w:fldCharType="separate"/>
      </w:r>
      <w:bookmarkStart w:id="0" w:name="_GoBack"/>
      <w:bookmarkEnd w:id="0"/>
      <w:r w:rsidR="00071C02">
        <w:rPr>
          <w:noProof/>
        </w:rPr>
        <w:t>1  Name</w:t>
      </w:r>
      <w:r w:rsidR="00071C02">
        <w:rPr>
          <w:noProof/>
        </w:rPr>
        <w:tab/>
      </w:r>
      <w:r w:rsidR="00071C02">
        <w:rPr>
          <w:noProof/>
        </w:rPr>
        <w:fldChar w:fldCharType="begin"/>
      </w:r>
      <w:r w:rsidR="00071C02">
        <w:rPr>
          <w:noProof/>
        </w:rPr>
        <w:instrText xml:space="preserve"> PAGEREF _Toc56766417 \h </w:instrText>
      </w:r>
      <w:r w:rsidR="00071C02">
        <w:rPr>
          <w:noProof/>
        </w:rPr>
      </w:r>
      <w:r w:rsidR="00071C02">
        <w:rPr>
          <w:noProof/>
        </w:rPr>
        <w:fldChar w:fldCharType="separate"/>
      </w:r>
      <w:r w:rsidR="00071C02">
        <w:rPr>
          <w:noProof/>
        </w:rPr>
        <w:t>1</w:t>
      </w:r>
      <w:r w:rsidR="00071C02">
        <w:rPr>
          <w:noProof/>
        </w:rPr>
        <w:fldChar w:fldCharType="end"/>
      </w:r>
    </w:p>
    <w:p w14:paraId="09FBD032" w14:textId="502B1DE8" w:rsidR="00071C02" w:rsidRDefault="00071C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_Toc56766418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C6EB162" w14:textId="397EC569" w:rsidR="00071C02" w:rsidRDefault="00071C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_Toc56766419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97BE50" w14:textId="71F40883" w:rsidR="00071C02" w:rsidRDefault="00071C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_Toc56766420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6CE85E" w14:textId="698361DB" w:rsidR="00071C02" w:rsidRDefault="00071C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_Toc56766421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2B85A55" w14:textId="3DBB3AA6" w:rsidR="00F6696E" w:rsidRPr="00071C02" w:rsidRDefault="00B418CB" w:rsidP="00F6696E">
      <w:pPr>
        <w:outlineLvl w:val="0"/>
      </w:pPr>
      <w:r w:rsidRPr="00071C02">
        <w:fldChar w:fldCharType="end"/>
      </w:r>
    </w:p>
    <w:p w14:paraId="556E4F16" w14:textId="77777777" w:rsidR="00F6696E" w:rsidRPr="00071C02" w:rsidRDefault="00F6696E" w:rsidP="00F6696E">
      <w:pPr>
        <w:outlineLvl w:val="0"/>
        <w:rPr>
          <w:sz w:val="20"/>
        </w:rPr>
      </w:pPr>
    </w:p>
    <w:p w14:paraId="21ADDF54" w14:textId="77777777" w:rsidR="00F6696E" w:rsidRPr="00071C02" w:rsidRDefault="00F6696E" w:rsidP="00F6696E">
      <w:pPr>
        <w:sectPr w:rsidR="00F6696E" w:rsidRPr="00071C02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5D63C5" w14:textId="77777777" w:rsidR="00554826" w:rsidRPr="00071C02" w:rsidRDefault="00554826" w:rsidP="00554826">
      <w:pPr>
        <w:pStyle w:val="ActHead5"/>
      </w:pPr>
      <w:bookmarkStart w:id="1" w:name="_Toc56766417"/>
      <w:proofErr w:type="gramStart"/>
      <w:r w:rsidRPr="00071C02">
        <w:lastRenderedPageBreak/>
        <w:t>1  Name</w:t>
      </w:r>
      <w:bookmarkEnd w:id="1"/>
      <w:proofErr w:type="gramEnd"/>
    </w:p>
    <w:p w14:paraId="67C956A1" w14:textId="2928C1F9" w:rsidR="00554826" w:rsidRPr="00071C02" w:rsidRDefault="00554826" w:rsidP="00554826">
      <w:pPr>
        <w:pStyle w:val="subsection"/>
      </w:pPr>
      <w:r w:rsidRPr="00071C02">
        <w:tab/>
      </w:r>
      <w:r w:rsidRPr="00071C02">
        <w:tab/>
        <w:t xml:space="preserve">This instrument is the </w:t>
      </w:r>
      <w:bookmarkStart w:id="2" w:name="BKCheck15B_3"/>
      <w:bookmarkEnd w:id="2"/>
      <w:r w:rsidR="009D4587" w:rsidRPr="00071C02">
        <w:rPr>
          <w:i/>
        </w:rPr>
        <w:t>Health Insurance (Extended Medicare Safety Net</w:t>
      </w:r>
      <w:r w:rsidR="006B1337" w:rsidRPr="00071C02">
        <w:rPr>
          <w:i/>
        </w:rPr>
        <w:t>) Amendment</w:t>
      </w:r>
      <w:r w:rsidR="009D4587" w:rsidRPr="00071C02">
        <w:rPr>
          <w:i/>
        </w:rPr>
        <w:t xml:space="preserve"> </w:t>
      </w:r>
      <w:r w:rsidR="00A01A76" w:rsidRPr="00071C02">
        <w:rPr>
          <w:i/>
        </w:rPr>
        <w:t xml:space="preserve">(Indexation) </w:t>
      </w:r>
      <w:r w:rsidR="009D4587" w:rsidRPr="00071C02">
        <w:rPr>
          <w:i/>
        </w:rPr>
        <w:t>Determination 20</w:t>
      </w:r>
      <w:r w:rsidR="008466ED" w:rsidRPr="00071C02">
        <w:rPr>
          <w:i/>
        </w:rPr>
        <w:t>20</w:t>
      </w:r>
      <w:r w:rsidR="009D4587" w:rsidRPr="00071C02">
        <w:t>.</w:t>
      </w:r>
    </w:p>
    <w:p w14:paraId="320D4511" w14:textId="77777777" w:rsidR="00554826" w:rsidRPr="00071C02" w:rsidRDefault="00554826" w:rsidP="00554826">
      <w:pPr>
        <w:pStyle w:val="ActHead5"/>
      </w:pPr>
      <w:bookmarkStart w:id="3" w:name="_Toc56766418"/>
      <w:proofErr w:type="gramStart"/>
      <w:r w:rsidRPr="00071C02">
        <w:t>2  Commencement</w:t>
      </w:r>
      <w:bookmarkEnd w:id="3"/>
      <w:proofErr w:type="gramEnd"/>
    </w:p>
    <w:p w14:paraId="421F6A34" w14:textId="77777777" w:rsidR="00E144E9" w:rsidRPr="00071C02" w:rsidRDefault="00E144E9" w:rsidP="00E144E9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071C02">
        <w:rPr>
          <w:rFonts w:eastAsia="Times New Roman" w:cs="Times New Roman"/>
          <w:lang w:eastAsia="en-AU"/>
        </w:rPr>
        <w:tab/>
        <w:t>(1)</w:t>
      </w:r>
      <w:r w:rsidRPr="00071C02">
        <w:rPr>
          <w:rFonts w:eastAsia="Times New Roman" w:cs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3A1C3D" w14:textId="77777777" w:rsidR="00E144E9" w:rsidRPr="00071C02" w:rsidRDefault="00E144E9" w:rsidP="00E144E9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854"/>
        <w:gridCol w:w="1383"/>
      </w:tblGrid>
      <w:tr w:rsidR="00E144E9" w:rsidRPr="00071C02" w14:paraId="4A181C01" w14:textId="77777777" w:rsidTr="00F61E8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25A37B6" w14:textId="77777777" w:rsidR="00E144E9" w:rsidRPr="00071C02" w:rsidRDefault="00E144E9" w:rsidP="00E144E9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E144E9" w:rsidRPr="00071C02" w14:paraId="7EC6AAE1" w14:textId="77777777" w:rsidTr="00F61E8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F738DE" w14:textId="77777777" w:rsidR="00E144E9" w:rsidRPr="00071C02" w:rsidRDefault="00E144E9" w:rsidP="00E144E9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4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C4D62B5" w14:textId="77777777" w:rsidR="00E144E9" w:rsidRPr="00071C02" w:rsidRDefault="00E144E9" w:rsidP="00E144E9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FD08D38" w14:textId="77777777" w:rsidR="00E144E9" w:rsidRPr="00071C02" w:rsidRDefault="00E144E9" w:rsidP="00E144E9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b/>
                <w:sz w:val="20"/>
                <w:lang w:eastAsia="en-AU"/>
              </w:rPr>
              <w:t>Column 3</w:t>
            </w:r>
          </w:p>
        </w:tc>
      </w:tr>
      <w:tr w:rsidR="00E144E9" w:rsidRPr="00071C02" w14:paraId="2EC6BBC5" w14:textId="77777777" w:rsidTr="00F61E8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967E97" w14:textId="77777777" w:rsidR="00E144E9" w:rsidRPr="00071C02" w:rsidRDefault="00E144E9" w:rsidP="00E144E9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48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6831C47" w14:textId="77777777" w:rsidR="00E144E9" w:rsidRPr="00071C02" w:rsidRDefault="00E144E9" w:rsidP="00E144E9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E0BD31" w14:textId="77777777" w:rsidR="00E144E9" w:rsidRPr="00071C02" w:rsidRDefault="00E144E9" w:rsidP="00E144E9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b/>
                <w:sz w:val="20"/>
                <w:lang w:eastAsia="en-AU"/>
              </w:rPr>
              <w:t>Date/Details</w:t>
            </w:r>
          </w:p>
        </w:tc>
      </w:tr>
      <w:tr w:rsidR="008A1D2A" w:rsidRPr="00071C02" w14:paraId="567E6C9D" w14:textId="77777777" w:rsidTr="008466ED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1E4C89" w14:textId="77777777" w:rsidR="008A1D2A" w:rsidRPr="00071C02" w:rsidRDefault="008A1D2A" w:rsidP="008A1D2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>1.  Sections 1 to 4 and anything in this instrument not elsewhere covered by this table</w:t>
            </w:r>
          </w:p>
        </w:tc>
        <w:tc>
          <w:tcPr>
            <w:tcW w:w="485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6AE0B0" w14:textId="77777777" w:rsidR="008A1D2A" w:rsidRPr="00071C02" w:rsidRDefault="008A1D2A" w:rsidP="008A1D2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>The later of:</w:t>
            </w:r>
          </w:p>
          <w:p w14:paraId="313A8D44" w14:textId="77777777" w:rsidR="008A1D2A" w:rsidRPr="00071C02" w:rsidRDefault="008A1D2A" w:rsidP="008A1D2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>(a) the day after this instrument is registered; and</w:t>
            </w:r>
          </w:p>
          <w:p w14:paraId="2E4A2E90" w14:textId="77777777" w:rsidR="008A1D2A" w:rsidRPr="00071C02" w:rsidRDefault="008A1D2A" w:rsidP="008A1D2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 xml:space="preserve">(b) </w:t>
            </w:r>
            <w:proofErr w:type="gramStart"/>
            <w:r w:rsidRPr="00071C02">
              <w:rPr>
                <w:rFonts w:eastAsia="Times New Roman" w:cs="Times New Roman"/>
                <w:sz w:val="20"/>
                <w:lang w:eastAsia="en-AU"/>
              </w:rPr>
              <w:t>the</w:t>
            </w:r>
            <w:proofErr w:type="gramEnd"/>
            <w:r w:rsidRPr="00071C02">
              <w:rPr>
                <w:rFonts w:eastAsia="Times New Roman" w:cs="Times New Roman"/>
                <w:sz w:val="20"/>
                <w:lang w:eastAsia="en-AU"/>
              </w:rPr>
              <w:t xml:space="preserve"> day after this instrument has been approved by each House of Parliament</w:t>
            </w:r>
            <w:r w:rsidR="0070716F" w:rsidRPr="00071C02">
              <w:rPr>
                <w:rFonts w:eastAsia="Times New Roman" w:cs="Times New Roman"/>
                <w:sz w:val="20"/>
                <w:lang w:eastAsia="en-AU"/>
              </w:rPr>
              <w:t>.</w:t>
            </w:r>
          </w:p>
          <w:p w14:paraId="6EE92160" w14:textId="77777777" w:rsidR="008A1D2A" w:rsidRPr="00071C02" w:rsidRDefault="008A1D2A" w:rsidP="008A1D2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>However, the provisions do not commence at all if the event mentioned in paragraph (b) does not occur.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00B262A1" w14:textId="77777777" w:rsidR="008A1D2A" w:rsidRPr="00071C02" w:rsidRDefault="008A1D2A" w:rsidP="008A1D2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</w:p>
        </w:tc>
      </w:tr>
      <w:tr w:rsidR="007E6FBB" w:rsidRPr="00071C02" w14:paraId="5B0BB218" w14:textId="77777777" w:rsidTr="008466ED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79D1557" w14:textId="6B332D48" w:rsidR="007E6FBB" w:rsidRPr="00071C02" w:rsidRDefault="00F946DB" w:rsidP="00F946D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>2</w:t>
            </w:r>
            <w:r w:rsidR="007E6FBB" w:rsidRPr="00071C02">
              <w:rPr>
                <w:rFonts w:eastAsia="Times New Roman" w:cs="Times New Roman"/>
                <w:sz w:val="20"/>
                <w:lang w:eastAsia="en-AU"/>
              </w:rPr>
              <w:t xml:space="preserve">.  Schedule </w:t>
            </w:r>
            <w:r w:rsidRPr="00071C02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48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A285E35" w14:textId="77777777" w:rsidR="007E6FBB" w:rsidRPr="00071C02" w:rsidRDefault="007E6FBB" w:rsidP="007E6FB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>The later of:</w:t>
            </w:r>
          </w:p>
          <w:p w14:paraId="59B2FA9C" w14:textId="6D57724B" w:rsidR="007E6FBB" w:rsidRPr="00071C02" w:rsidRDefault="007E6FBB" w:rsidP="007E6FB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 xml:space="preserve">(a) </w:t>
            </w:r>
            <w:r w:rsidR="00F946DB" w:rsidRPr="00071C02">
              <w:rPr>
                <w:rFonts w:eastAsia="Times New Roman" w:cs="Times New Roman"/>
                <w:sz w:val="20"/>
                <w:lang w:eastAsia="en-AU"/>
              </w:rPr>
              <w:t xml:space="preserve">1 </w:t>
            </w:r>
            <w:r w:rsidR="00A01A76" w:rsidRPr="00071C02">
              <w:rPr>
                <w:rFonts w:eastAsia="Times New Roman" w:cs="Times New Roman"/>
                <w:sz w:val="20"/>
                <w:lang w:eastAsia="en-AU"/>
              </w:rPr>
              <w:t>January 2021</w:t>
            </w:r>
            <w:r w:rsidR="00F946DB" w:rsidRPr="00071C02">
              <w:rPr>
                <w:rFonts w:eastAsia="Times New Roman" w:cs="Times New Roman"/>
                <w:sz w:val="20"/>
                <w:lang w:eastAsia="en-AU"/>
              </w:rPr>
              <w:t xml:space="preserve">; </w:t>
            </w:r>
            <w:r w:rsidRPr="00071C02">
              <w:rPr>
                <w:rFonts w:eastAsia="Times New Roman" w:cs="Times New Roman"/>
                <w:sz w:val="20"/>
                <w:lang w:eastAsia="en-AU"/>
              </w:rPr>
              <w:t>and</w:t>
            </w:r>
          </w:p>
          <w:p w14:paraId="0048784F" w14:textId="424506F7" w:rsidR="007E6FBB" w:rsidRPr="00071C02" w:rsidRDefault="007E6FBB" w:rsidP="007E6FB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071C02">
              <w:rPr>
                <w:rFonts w:eastAsia="Times New Roman" w:cs="Times New Roman"/>
                <w:sz w:val="20"/>
                <w:lang w:eastAsia="en-AU"/>
              </w:rPr>
              <w:t>(b) the day after this instrument has been approved by each House of Parliament</w:t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73C3009" w14:textId="77777777" w:rsidR="007E6FBB" w:rsidRPr="00071C02" w:rsidRDefault="007E6FBB" w:rsidP="007E6FB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</w:p>
        </w:tc>
      </w:tr>
    </w:tbl>
    <w:p w14:paraId="7D2F2663" w14:textId="77777777" w:rsidR="00E144E9" w:rsidRPr="00071C02" w:rsidRDefault="00E144E9" w:rsidP="00E144E9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071C02">
        <w:rPr>
          <w:rFonts w:eastAsia="Times New Roman" w:cs="Times New Roman"/>
          <w:snapToGrid w:val="0"/>
          <w:sz w:val="18"/>
        </w:rPr>
        <w:t>Note:</w:t>
      </w:r>
      <w:r w:rsidRPr="00071C02">
        <w:rPr>
          <w:rFonts w:eastAsia="Times New Roman" w:cs="Times New Roman"/>
          <w:snapToGrid w:val="0"/>
          <w:sz w:val="18"/>
        </w:rPr>
        <w:tab/>
        <w:t xml:space="preserve">This table relates only to the provisions of this </w:t>
      </w:r>
      <w:r w:rsidRPr="00071C02">
        <w:rPr>
          <w:rFonts w:eastAsia="Times New Roman" w:cs="Times New Roman"/>
          <w:sz w:val="18"/>
          <w:lang w:eastAsia="en-AU"/>
        </w:rPr>
        <w:t xml:space="preserve">instrument </w:t>
      </w:r>
      <w:r w:rsidRPr="00071C02">
        <w:rPr>
          <w:rFonts w:eastAsia="Times New Roman" w:cs="Times New Roman"/>
          <w:snapToGrid w:val="0"/>
          <w:sz w:val="18"/>
        </w:rPr>
        <w:t xml:space="preserve">as originally made. It will not be amended to deal with any later amendments of this </w:t>
      </w:r>
      <w:r w:rsidRPr="00071C02">
        <w:rPr>
          <w:rFonts w:eastAsia="Times New Roman" w:cs="Times New Roman"/>
          <w:sz w:val="18"/>
          <w:lang w:eastAsia="en-AU"/>
        </w:rPr>
        <w:t>instrument</w:t>
      </w:r>
      <w:r w:rsidRPr="00071C02">
        <w:rPr>
          <w:rFonts w:eastAsia="Times New Roman" w:cs="Times New Roman"/>
          <w:snapToGrid w:val="0"/>
          <w:sz w:val="18"/>
        </w:rPr>
        <w:t>.</w:t>
      </w:r>
    </w:p>
    <w:p w14:paraId="14E09423" w14:textId="77777777" w:rsidR="00E144E9" w:rsidRPr="00071C02" w:rsidRDefault="00E144E9" w:rsidP="00E144E9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071C02">
        <w:rPr>
          <w:rFonts w:eastAsia="Times New Roman" w:cs="Times New Roman"/>
          <w:lang w:eastAsia="en-AU"/>
        </w:rPr>
        <w:tab/>
        <w:t>(2)</w:t>
      </w:r>
      <w:r w:rsidRPr="00071C02">
        <w:rPr>
          <w:rFonts w:eastAsia="Times New Roman" w:cs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69FB30C" w14:textId="77777777" w:rsidR="00554826" w:rsidRPr="00071C02" w:rsidRDefault="00554826" w:rsidP="00554826">
      <w:pPr>
        <w:pStyle w:val="ActHead5"/>
      </w:pPr>
      <w:bookmarkStart w:id="4" w:name="_Toc56766419"/>
      <w:proofErr w:type="gramStart"/>
      <w:r w:rsidRPr="00071C02">
        <w:t>3  Authority</w:t>
      </w:r>
      <w:bookmarkEnd w:id="4"/>
      <w:proofErr w:type="gramEnd"/>
    </w:p>
    <w:p w14:paraId="37A48CE8" w14:textId="77777777" w:rsidR="00554826" w:rsidRPr="00071C02" w:rsidRDefault="00554826" w:rsidP="00554826">
      <w:pPr>
        <w:pStyle w:val="subsection"/>
      </w:pPr>
      <w:r w:rsidRPr="00071C02">
        <w:tab/>
      </w:r>
      <w:r w:rsidRPr="00071C02">
        <w:tab/>
        <w:t xml:space="preserve">This instrument is made under </w:t>
      </w:r>
      <w:r w:rsidR="009D4587" w:rsidRPr="00071C02">
        <w:t xml:space="preserve">section 10B of the </w:t>
      </w:r>
      <w:r w:rsidR="009D4587" w:rsidRPr="00071C02">
        <w:rPr>
          <w:i/>
        </w:rPr>
        <w:t>Health Insurance Act 1973</w:t>
      </w:r>
      <w:r w:rsidR="009D4587" w:rsidRPr="00071C02">
        <w:t>.</w:t>
      </w:r>
    </w:p>
    <w:p w14:paraId="3EBE66F0" w14:textId="77777777" w:rsidR="00554826" w:rsidRPr="00071C02" w:rsidRDefault="00495AF2" w:rsidP="00554826">
      <w:pPr>
        <w:pStyle w:val="ActHead5"/>
      </w:pPr>
      <w:bookmarkStart w:id="5" w:name="_Toc454781205"/>
      <w:bookmarkStart w:id="6" w:name="_Toc56766420"/>
      <w:proofErr w:type="gramStart"/>
      <w:r w:rsidRPr="00071C02">
        <w:t>4</w:t>
      </w:r>
      <w:r w:rsidR="00554826" w:rsidRPr="00071C02">
        <w:t xml:space="preserve">  Schedules</w:t>
      </w:r>
      <w:bookmarkEnd w:id="5"/>
      <w:bookmarkEnd w:id="6"/>
      <w:proofErr w:type="gramEnd"/>
    </w:p>
    <w:p w14:paraId="297FEA0B" w14:textId="77777777" w:rsidR="00554826" w:rsidRPr="00071C02" w:rsidRDefault="00554826" w:rsidP="00554826">
      <w:pPr>
        <w:pStyle w:val="subsection"/>
      </w:pPr>
      <w:r w:rsidRPr="00071C02">
        <w:tab/>
      </w:r>
      <w:r w:rsidRPr="00071C0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B426E35" w14:textId="77777777" w:rsidR="00554826" w:rsidRPr="00071C02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071C02">
        <w:br w:type="page"/>
      </w:r>
    </w:p>
    <w:p w14:paraId="2E8AA24C" w14:textId="370F8546" w:rsidR="00D6537E" w:rsidRPr="00071C02" w:rsidRDefault="004E1307" w:rsidP="00B763B0">
      <w:pPr>
        <w:pStyle w:val="ActHead6"/>
        <w:ind w:left="0" w:firstLine="0"/>
      </w:pPr>
      <w:bookmarkStart w:id="7" w:name="_Toc56766421"/>
      <w:r w:rsidRPr="00071C02">
        <w:lastRenderedPageBreak/>
        <w:t xml:space="preserve">Schedule </w:t>
      </w:r>
      <w:r w:rsidR="00D6537E" w:rsidRPr="00071C02">
        <w:t>1—</w:t>
      </w:r>
      <w:r w:rsidR="009D4587" w:rsidRPr="00071C02">
        <w:t xml:space="preserve"> Amendment</w:t>
      </w:r>
      <w:r w:rsidR="00F946DB" w:rsidRPr="00071C02">
        <w:t>s</w:t>
      </w:r>
      <w:bookmarkEnd w:id="7"/>
      <w:r w:rsidR="00B763B0" w:rsidRPr="00071C02">
        <w:t xml:space="preserve"> </w:t>
      </w:r>
    </w:p>
    <w:p w14:paraId="17811C8C" w14:textId="77777777" w:rsidR="009D4587" w:rsidRPr="00071C02" w:rsidRDefault="009D4587" w:rsidP="00D6537E">
      <w:pPr>
        <w:pStyle w:val="ItemHead"/>
        <w:rPr>
          <w:rFonts w:ascii="Times New Roman" w:hAnsi="Times New Roman"/>
          <w:i/>
          <w:sz w:val="28"/>
        </w:rPr>
      </w:pPr>
      <w:r w:rsidRPr="00071C02">
        <w:rPr>
          <w:rFonts w:ascii="Times New Roman" w:hAnsi="Times New Roman"/>
          <w:i/>
          <w:sz w:val="28"/>
        </w:rPr>
        <w:t>Health Insurance (Extended Medicare Safety Net) Determination 2017</w:t>
      </w:r>
    </w:p>
    <w:p w14:paraId="65ACB369" w14:textId="77777777" w:rsidR="002B10E6" w:rsidRPr="00071C02" w:rsidRDefault="002B10E6" w:rsidP="002B10E6">
      <w:pPr>
        <w:pStyle w:val="ItemHead"/>
        <w:rPr>
          <w:lang w:eastAsia="en-US"/>
        </w:rPr>
      </w:pPr>
      <w:r w:rsidRPr="00071C02">
        <w:rPr>
          <w:lang w:eastAsia="en-US"/>
        </w:rPr>
        <w:t>1 Subsection 4(1) (table)</w:t>
      </w:r>
    </w:p>
    <w:p w14:paraId="2D6B9DE2" w14:textId="77777777" w:rsidR="002B10E6" w:rsidRPr="00071C02" w:rsidRDefault="002B10E6" w:rsidP="002B10E6">
      <w:pPr>
        <w:pStyle w:val="Item"/>
        <w:rPr>
          <w:lang w:eastAsia="en-US"/>
        </w:rPr>
      </w:pPr>
      <w:r w:rsidRPr="00071C02">
        <w:rPr>
          <w:lang w:eastAsia="en-US"/>
        </w:rPr>
        <w:t xml:space="preserve">Repeal the table, substitute: </w:t>
      </w:r>
    </w:p>
    <w:p w14:paraId="1494BFAB" w14:textId="77777777" w:rsidR="002B10E6" w:rsidRPr="00071C02" w:rsidRDefault="002B10E6" w:rsidP="002B10E6">
      <w:pPr>
        <w:spacing w:after="120" w:line="240" w:lineRule="auto"/>
      </w:pPr>
    </w:p>
    <w:tbl>
      <w:tblPr>
        <w:tblW w:w="4667" w:type="dxa"/>
        <w:tblInd w:w="1449" w:type="dxa"/>
        <w:tblLook w:val="0000" w:firstRow="0" w:lastRow="0" w:firstColumn="0" w:lastColumn="0" w:noHBand="0" w:noVBand="0"/>
      </w:tblPr>
      <w:tblGrid>
        <w:gridCol w:w="2311"/>
        <w:gridCol w:w="2356"/>
      </w:tblGrid>
      <w:tr w:rsidR="002B10E6" w:rsidRPr="00071C02" w14:paraId="0E62F4DD" w14:textId="77777777" w:rsidTr="00D1433F">
        <w:trPr>
          <w:trHeight w:val="270"/>
          <w:tblHeader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D16C" w14:textId="77777777" w:rsidR="002B10E6" w:rsidRPr="00071C02" w:rsidRDefault="002B10E6" w:rsidP="00D1433F">
            <w:pPr>
              <w:pStyle w:val="TableColHead"/>
              <w:ind w:left="819"/>
            </w:pPr>
            <w:r w:rsidRPr="00071C02">
              <w:t>Item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EF5" w14:textId="77777777" w:rsidR="002B10E6" w:rsidRPr="00071C02" w:rsidRDefault="002B10E6" w:rsidP="00D1433F">
            <w:pPr>
              <w:pStyle w:val="TableColHead"/>
              <w:jc w:val="center"/>
            </w:pPr>
            <w:r w:rsidRPr="00071C02">
              <w:t>Maximum increase ($)</w:t>
            </w:r>
          </w:p>
        </w:tc>
      </w:tr>
      <w:tr w:rsidR="002B10E6" w:rsidRPr="00071C02" w14:paraId="27F1ED28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7D2F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1EB6" w14:textId="28E8E19D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1,714.20</w:t>
            </w:r>
          </w:p>
        </w:tc>
      </w:tr>
      <w:tr w:rsidR="002B10E6" w:rsidRPr="00071C02" w14:paraId="53D20E45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E47D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1316E" w14:textId="4289A2C7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2,488.35</w:t>
            </w:r>
          </w:p>
        </w:tc>
      </w:tr>
      <w:tr w:rsidR="002B10E6" w:rsidRPr="00071C02" w14:paraId="67C13A0B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A4795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8E2CA" w14:textId="54E18E10" w:rsidR="002B10E6" w:rsidRPr="00071C02" w:rsidRDefault="002B10E6" w:rsidP="002B10E6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66.45</w:t>
            </w:r>
          </w:p>
        </w:tc>
      </w:tr>
      <w:tr w:rsidR="002B10E6" w:rsidRPr="00071C02" w14:paraId="4BEA53F2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AFF4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1C6C" w14:textId="084749BB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110.65</w:t>
            </w:r>
          </w:p>
        </w:tc>
      </w:tr>
      <w:tr w:rsidR="002B10E6" w:rsidRPr="00071C02" w14:paraId="2AF79A8E" w14:textId="77777777" w:rsidTr="00D1433F">
        <w:trPr>
          <w:trHeight w:val="31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365D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8A9E" w14:textId="63213654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66.45</w:t>
            </w:r>
          </w:p>
        </w:tc>
      </w:tr>
      <w:tr w:rsidR="002B10E6" w:rsidRPr="00071C02" w14:paraId="7C14CA1F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0F42D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6432" w14:textId="07A2AAA4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11.15</w:t>
            </w:r>
          </w:p>
        </w:tc>
      </w:tr>
      <w:tr w:rsidR="002B10E6" w:rsidRPr="00071C02" w14:paraId="55E79AE4" w14:textId="77777777" w:rsidTr="00D1433F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B001F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13210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607EA8" w14:textId="60F865EF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5.45</w:t>
            </w:r>
          </w:p>
        </w:tc>
      </w:tr>
      <w:tr w:rsidR="002B10E6" w:rsidRPr="00071C02" w14:paraId="53BA7CB6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0EF2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25E4" w14:textId="102C700C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72.00</w:t>
            </w:r>
          </w:p>
        </w:tc>
      </w:tr>
      <w:tr w:rsidR="002B10E6" w:rsidRPr="00071C02" w14:paraId="5AB59300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26A3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10DB" w14:textId="07DDF185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49.85</w:t>
            </w:r>
          </w:p>
        </w:tc>
      </w:tr>
      <w:tr w:rsidR="002B10E6" w:rsidRPr="00071C02" w14:paraId="70190477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40FE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0985" w14:textId="0A1BEC54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718.90</w:t>
            </w:r>
          </w:p>
        </w:tc>
      </w:tr>
      <w:tr w:rsidR="002B10E6" w:rsidRPr="00071C02" w14:paraId="10C9422B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2F36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13221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E655" w14:textId="5627BCAD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22.20</w:t>
            </w:r>
          </w:p>
        </w:tc>
      </w:tr>
      <w:tr w:rsidR="002B10E6" w:rsidRPr="00071C02" w14:paraId="4299D2E2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25B2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13251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C85F" w14:textId="6E6E01E3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110.65</w:t>
            </w:r>
          </w:p>
        </w:tc>
      </w:tr>
      <w:tr w:rsidR="002B10E6" w:rsidRPr="00071C02" w14:paraId="63C01AEA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F0EF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13260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C994" w14:textId="77777777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65 percent of the Schedule fee for the item</w:t>
            </w:r>
          </w:p>
        </w:tc>
      </w:tr>
      <w:tr w:rsidR="002B10E6" w:rsidRPr="00071C02" w14:paraId="36AA4620" w14:textId="77777777" w:rsidTr="00D1433F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6F6D" w14:textId="77777777" w:rsidR="002B10E6" w:rsidRPr="00071C02" w:rsidRDefault="002B10E6" w:rsidP="00D1433F">
            <w:pPr>
              <w:pStyle w:val="TableText0"/>
              <w:keepNext/>
              <w:keepLines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14201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20A26F" w14:textId="77777777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15 percent of the Schedule fee for the item</w:t>
            </w:r>
          </w:p>
          <w:p w14:paraId="4D043D23" w14:textId="77777777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</w:p>
        </w:tc>
      </w:tr>
      <w:tr w:rsidR="002B10E6" w:rsidRPr="00071C02" w14:paraId="63F08FBE" w14:textId="77777777" w:rsidTr="00D1433F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0E5F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14202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A116B2" w14:textId="77777777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15 percent of the Schedule fee for the item</w:t>
            </w:r>
          </w:p>
        </w:tc>
      </w:tr>
      <w:tr w:rsidR="002B10E6" w:rsidRPr="00071C02" w14:paraId="626E9888" w14:textId="77777777" w:rsidTr="00D1433F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74723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16399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00DEC2" w14:textId="6F06B2EF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24.65</w:t>
            </w:r>
          </w:p>
        </w:tc>
      </w:tr>
      <w:tr w:rsidR="002B10E6" w:rsidRPr="00071C02" w14:paraId="1B266004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945D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16400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9066" w14:textId="0775BF65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11.35</w:t>
            </w:r>
          </w:p>
        </w:tc>
      </w:tr>
      <w:tr w:rsidR="002B10E6" w:rsidRPr="00071C02" w14:paraId="17506EFA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2D74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16401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973B" w14:textId="77FA78A5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56.20</w:t>
            </w:r>
          </w:p>
        </w:tc>
      </w:tr>
      <w:tr w:rsidR="002B10E6" w:rsidRPr="00071C02" w14:paraId="147A29B0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3DAC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16404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A296" w14:textId="1DB02611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33.75</w:t>
            </w:r>
          </w:p>
        </w:tc>
      </w:tr>
      <w:tr w:rsidR="002B10E6" w:rsidRPr="00071C02" w14:paraId="10561EB1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0C92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16406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0965" w14:textId="0CA6A0C6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110.65</w:t>
            </w:r>
          </w:p>
        </w:tc>
      </w:tr>
      <w:tr w:rsidR="002B10E6" w:rsidRPr="00071C02" w14:paraId="708914F8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2C37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16407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1180" w14:textId="77777777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t>65 percent of the Schedule fee for the item</w:t>
            </w:r>
          </w:p>
        </w:tc>
      </w:tr>
      <w:tr w:rsidR="002B10E6" w:rsidRPr="00071C02" w14:paraId="347AA672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5425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lastRenderedPageBreak/>
              <w:t>16408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F890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65 percent of the Schedule fee for the item</w:t>
            </w:r>
          </w:p>
        </w:tc>
      </w:tr>
      <w:tr w:rsidR="002B10E6" w:rsidRPr="00071C02" w14:paraId="090059C2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4019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F360" w14:textId="051FF213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33.75</w:t>
            </w:r>
          </w:p>
        </w:tc>
      </w:tr>
      <w:tr w:rsidR="002B10E6" w:rsidRPr="00071C02" w14:paraId="5A6E710F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1D93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86C7" w14:textId="30BC599D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67.40</w:t>
            </w:r>
          </w:p>
        </w:tc>
      </w:tr>
      <w:tr w:rsidR="002B10E6" w:rsidRPr="00071C02" w14:paraId="23FD6C50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3473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FE1E" w14:textId="52A3A028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22.50</w:t>
            </w:r>
          </w:p>
        </w:tc>
      </w:tr>
      <w:tr w:rsidR="002B10E6" w:rsidRPr="00071C02" w14:paraId="344D24D5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015E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57DB" w14:textId="72650575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22.50</w:t>
            </w:r>
          </w:p>
        </w:tc>
      </w:tr>
      <w:tr w:rsidR="002B10E6" w:rsidRPr="00071C02" w14:paraId="4334F0C1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C2AB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D1F0" w14:textId="301F92B4" w:rsidR="002B10E6" w:rsidRPr="00071C02" w:rsidRDefault="002B10E6" w:rsidP="00D1433F">
            <w:pPr>
              <w:keepNext/>
              <w:keepLines/>
              <w:ind w:left="68"/>
              <w:jc w:val="center"/>
              <w:rPr>
                <w:bCs/>
                <w:szCs w:val="22"/>
                <w:lang w:val="en-US"/>
              </w:rPr>
            </w:pPr>
            <w:r w:rsidRPr="00071C02">
              <w:rPr>
                <w:bCs/>
                <w:szCs w:val="22"/>
                <w:lang w:val="en-US"/>
              </w:rPr>
              <w:t>22.50</w:t>
            </w:r>
          </w:p>
        </w:tc>
      </w:tr>
      <w:tr w:rsidR="002B10E6" w:rsidRPr="00071C02" w14:paraId="073F8303" w14:textId="77777777" w:rsidTr="00D1433F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ECA9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F35A" w14:textId="3A2927DB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22.50</w:t>
            </w:r>
          </w:p>
        </w:tc>
      </w:tr>
      <w:tr w:rsidR="002B10E6" w:rsidRPr="00071C02" w14:paraId="61E26F7F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D039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DF525" w14:textId="05DC0109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112.30</w:t>
            </w:r>
          </w:p>
        </w:tc>
      </w:tr>
      <w:tr w:rsidR="002B10E6" w:rsidRPr="00071C02" w14:paraId="628403F2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39EC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E3F6" w14:textId="356B1F50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33.75</w:t>
            </w:r>
          </w:p>
        </w:tc>
      </w:tr>
      <w:tr w:rsidR="002B10E6" w:rsidRPr="00071C02" w14:paraId="5469D859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41DD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AB27" w14:textId="36EB9A5D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16.90</w:t>
            </w:r>
          </w:p>
        </w:tc>
      </w:tr>
      <w:tr w:rsidR="002B10E6" w:rsidRPr="00071C02" w14:paraId="47649496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BEB9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AABA" w14:textId="370472E3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179.65</w:t>
            </w:r>
          </w:p>
        </w:tc>
      </w:tr>
      <w:tr w:rsidR="002B10E6" w:rsidRPr="00071C02" w14:paraId="21885AD3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116F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D272" w14:textId="62EEEA22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179.65</w:t>
            </w:r>
          </w:p>
        </w:tc>
      </w:tr>
      <w:tr w:rsidR="002B10E6" w:rsidRPr="00071C02" w14:paraId="5AF6E699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0A6D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ACCC" w14:textId="752053DF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336.75</w:t>
            </w:r>
          </w:p>
        </w:tc>
      </w:tr>
      <w:tr w:rsidR="002B10E6" w:rsidRPr="00071C02" w14:paraId="5820F7B2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6947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9FA3" w14:textId="107D3D72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336.75</w:t>
            </w:r>
          </w:p>
        </w:tc>
      </w:tr>
      <w:tr w:rsidR="002B10E6" w:rsidRPr="00071C02" w14:paraId="282E9C33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C72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070A8" w14:textId="0813BA83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179.65</w:t>
            </w:r>
          </w:p>
        </w:tc>
      </w:tr>
      <w:tr w:rsidR="002B10E6" w:rsidRPr="00071C02" w14:paraId="35A27DC6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08BA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83E3" w14:textId="51C2C86D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336.75</w:t>
            </w:r>
          </w:p>
        </w:tc>
      </w:tr>
      <w:tr w:rsidR="002B10E6" w:rsidRPr="00071C02" w14:paraId="19F7DD0A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D465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FAC3" w14:textId="77777777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t>65 percent of the Schedule fee for the item</w:t>
            </w:r>
          </w:p>
        </w:tc>
      </w:tr>
      <w:tr w:rsidR="002B10E6" w:rsidRPr="00071C02" w14:paraId="55AEAE51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8613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5EA5" w14:textId="66694F81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224.50</w:t>
            </w:r>
          </w:p>
        </w:tc>
      </w:tr>
      <w:tr w:rsidR="002B10E6" w:rsidRPr="00071C02" w14:paraId="0AF72D7D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331E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C9A2" w14:textId="353A9DDB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224.50</w:t>
            </w:r>
          </w:p>
        </w:tc>
      </w:tr>
      <w:tr w:rsidR="002B10E6" w:rsidRPr="00071C02" w14:paraId="5656D525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8BB86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D67A" w14:textId="58E5C0D6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224.50</w:t>
            </w:r>
          </w:p>
        </w:tc>
      </w:tr>
      <w:tr w:rsidR="002B10E6" w:rsidRPr="00071C02" w14:paraId="2DF89698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C993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0422" w14:textId="1E0032D2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224.50</w:t>
            </w:r>
          </w:p>
        </w:tc>
      </w:tr>
      <w:tr w:rsidR="002B10E6" w:rsidRPr="00071C02" w14:paraId="13194F70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2401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16573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0B96" w14:textId="441AC5AD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224.50</w:t>
            </w:r>
          </w:p>
        </w:tc>
      </w:tr>
      <w:tr w:rsidR="002B10E6" w:rsidRPr="00071C02" w14:paraId="7E54F9B7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3C46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394B" w14:textId="54B9FF73" w:rsidR="002B10E6" w:rsidRPr="00071C02" w:rsidRDefault="002B10E6" w:rsidP="002B10E6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224.50</w:t>
            </w:r>
          </w:p>
        </w:tc>
      </w:tr>
      <w:tr w:rsidR="002B10E6" w:rsidRPr="00071C02" w14:paraId="23F61363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CCAE8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16591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EFA3" w14:textId="15E16A38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112.30</w:t>
            </w:r>
          </w:p>
        </w:tc>
      </w:tr>
      <w:tr w:rsidR="002B10E6" w:rsidRPr="00071C02" w14:paraId="4A58CBD4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8845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16600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8799" w14:textId="2EB5FB13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33.75</w:t>
            </w:r>
          </w:p>
        </w:tc>
      </w:tr>
      <w:tr w:rsidR="002B10E6" w:rsidRPr="00071C02" w14:paraId="0B1625DF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5649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16603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194A" w14:textId="2EA5ED3B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67.40</w:t>
            </w:r>
          </w:p>
        </w:tc>
      </w:tr>
      <w:tr w:rsidR="002B10E6" w:rsidRPr="00071C02" w14:paraId="2C71475A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8465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16606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1338" w14:textId="66BEDB43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134.80</w:t>
            </w:r>
          </w:p>
        </w:tc>
      </w:tr>
      <w:tr w:rsidR="002B10E6" w:rsidRPr="00071C02" w14:paraId="4161F3DF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12DA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16609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EFCA" w14:textId="729DC0E4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258.25</w:t>
            </w:r>
          </w:p>
        </w:tc>
      </w:tr>
      <w:tr w:rsidR="002B10E6" w:rsidRPr="00071C02" w14:paraId="3BDD632D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58388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16618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EA39" w14:textId="3569BF67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106.70</w:t>
            </w:r>
          </w:p>
        </w:tc>
      </w:tr>
      <w:tr w:rsidR="002B10E6" w:rsidRPr="00071C02" w14:paraId="7A978335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805A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t>16624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CFB8" w14:textId="0964F9D4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145.95</w:t>
            </w:r>
          </w:p>
        </w:tc>
      </w:tr>
      <w:tr w:rsidR="002B10E6" w:rsidRPr="00071C02" w14:paraId="1BDFC4B6" w14:textId="77777777" w:rsidTr="00D1433F">
        <w:trPr>
          <w:trHeight w:val="285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7F64" w14:textId="77777777" w:rsidR="002B10E6" w:rsidRPr="00071C02" w:rsidRDefault="002B10E6" w:rsidP="00D1433F">
            <w:pPr>
              <w:pStyle w:val="TableText0"/>
              <w:ind w:left="252" w:right="850"/>
              <w:jc w:val="right"/>
              <w:rPr>
                <w:szCs w:val="22"/>
              </w:rPr>
            </w:pPr>
            <w:r w:rsidRPr="00071C02">
              <w:rPr>
                <w:szCs w:val="22"/>
              </w:rPr>
              <w:lastRenderedPageBreak/>
              <w:t>16627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F1F9" w14:textId="123A117D" w:rsidR="002B10E6" w:rsidRPr="00071C02" w:rsidRDefault="002B10E6" w:rsidP="00D1433F">
            <w:pPr>
              <w:keepNext/>
              <w:keepLines/>
              <w:ind w:left="68"/>
              <w:jc w:val="center"/>
              <w:rPr>
                <w:szCs w:val="22"/>
              </w:rPr>
            </w:pPr>
            <w:r w:rsidRPr="00071C02">
              <w:rPr>
                <w:szCs w:val="22"/>
              </w:rPr>
              <w:t>314.35</w:t>
            </w:r>
          </w:p>
        </w:tc>
      </w:tr>
      <w:tr w:rsidR="002B10E6" w:rsidRPr="00071C02" w14:paraId="1ABF4462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3921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32500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DFA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110 percent of the Schedule fee for the item</w:t>
            </w:r>
          </w:p>
        </w:tc>
      </w:tr>
      <w:tr w:rsidR="002B10E6" w:rsidRPr="00071C02" w14:paraId="03980A52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1ECC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32520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3E9D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15 percent of the Schedule fee for the item</w:t>
            </w:r>
          </w:p>
        </w:tc>
      </w:tr>
      <w:tr w:rsidR="002B10E6" w:rsidRPr="00071C02" w14:paraId="7723EE08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93DF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32522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D909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10 percent of the Schedule fee for the item</w:t>
            </w:r>
          </w:p>
        </w:tc>
      </w:tr>
      <w:tr w:rsidR="002B10E6" w:rsidRPr="00071C02" w14:paraId="5393FD53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98DA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32523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A50F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15 percent of the Schedule fee for the item</w:t>
            </w:r>
          </w:p>
        </w:tc>
      </w:tr>
      <w:tr w:rsidR="002B10E6" w:rsidRPr="00071C02" w14:paraId="58870BF7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40ED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32526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B3E4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10 percent of the Schedule fee for the item</w:t>
            </w:r>
          </w:p>
        </w:tc>
      </w:tr>
      <w:tr w:rsidR="002B10E6" w:rsidRPr="00071C02" w14:paraId="41104EC0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F046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32528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9CB3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15 percent of the Schedule fee for the item</w:t>
            </w:r>
          </w:p>
        </w:tc>
      </w:tr>
      <w:tr w:rsidR="002B10E6" w:rsidRPr="00071C02" w14:paraId="4AA81C90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FFC8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32529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61F0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10 percent of the Schedule fee for the item</w:t>
            </w:r>
          </w:p>
        </w:tc>
      </w:tr>
      <w:tr w:rsidR="002B10E6" w:rsidRPr="00071C02" w14:paraId="684B2AF6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9B34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42504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ADA08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15 percent of the Schedule fee for the item</w:t>
            </w:r>
          </w:p>
        </w:tc>
      </w:tr>
      <w:tr w:rsidR="002B10E6" w:rsidRPr="00071C02" w14:paraId="6D64F7CC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1934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42505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A0B5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15 percent of the Schedule fee for the item</w:t>
            </w:r>
          </w:p>
        </w:tc>
      </w:tr>
      <w:tr w:rsidR="002B10E6" w:rsidRPr="00071C02" w14:paraId="5DFF0FFE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4837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42702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509B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15 percent of the Schedule fee for the item</w:t>
            </w:r>
          </w:p>
        </w:tc>
      </w:tr>
      <w:tr w:rsidR="002B10E6" w:rsidRPr="00071C02" w14:paraId="1C8859CD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5A45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42705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4B81F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15 percent of the Schedule fee for the item</w:t>
            </w:r>
          </w:p>
        </w:tc>
      </w:tr>
      <w:tr w:rsidR="002B10E6" w:rsidRPr="00071C02" w14:paraId="620C8668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CD76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45560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065A" w14:textId="77777777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35 percent of the Schedule fee for the item</w:t>
            </w:r>
          </w:p>
        </w:tc>
      </w:tr>
      <w:tr w:rsidR="002B10E6" w:rsidRPr="00071C02" w14:paraId="0355AF59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2A36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82100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18B4" w14:textId="48C2BB0E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22.20</w:t>
            </w:r>
          </w:p>
        </w:tc>
      </w:tr>
      <w:tr w:rsidR="002B10E6" w:rsidRPr="00071C02" w14:paraId="76EF0D7C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A9C6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82105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CC7F" w14:textId="227DCA82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16.65</w:t>
            </w:r>
          </w:p>
        </w:tc>
      </w:tr>
      <w:tr w:rsidR="002B10E6" w:rsidRPr="00071C02" w14:paraId="17093B54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36B9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82110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279B" w14:textId="127CDC91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22.20</w:t>
            </w:r>
          </w:p>
        </w:tc>
      </w:tr>
      <w:tr w:rsidR="002B10E6" w:rsidRPr="00071C02" w14:paraId="2ECF2D01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CD12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82115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174A" w14:textId="1DAA2C3A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55.35</w:t>
            </w:r>
          </w:p>
        </w:tc>
      </w:tr>
      <w:tr w:rsidR="002B10E6" w:rsidRPr="00071C02" w14:paraId="00A4CB15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3EE7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82130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FEF5" w14:textId="2DE883D9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16.65</w:t>
            </w:r>
          </w:p>
        </w:tc>
      </w:tr>
      <w:tr w:rsidR="002B10E6" w:rsidRPr="00071C02" w14:paraId="4F790973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A272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t>82135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C3A2" w14:textId="2DCDBE70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22.20</w:t>
            </w:r>
          </w:p>
        </w:tc>
      </w:tr>
      <w:tr w:rsidR="002B10E6" w:rsidRPr="00071C02" w14:paraId="65959A43" w14:textId="77777777" w:rsidTr="00D1433F">
        <w:trPr>
          <w:trHeight w:val="28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5452" w14:textId="77777777" w:rsidR="002B10E6" w:rsidRPr="00071C02" w:rsidRDefault="002B10E6" w:rsidP="00D1433F">
            <w:pPr>
              <w:pStyle w:val="TableText0"/>
              <w:ind w:left="252" w:right="850"/>
              <w:jc w:val="right"/>
            </w:pPr>
            <w:r w:rsidRPr="00071C02">
              <w:lastRenderedPageBreak/>
              <w:t>82140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BBEF" w14:textId="06E46B7F" w:rsidR="002B10E6" w:rsidRPr="00071C02" w:rsidRDefault="002B10E6" w:rsidP="00D1433F">
            <w:pPr>
              <w:keepNext/>
              <w:keepLines/>
              <w:ind w:left="68"/>
              <w:jc w:val="center"/>
            </w:pPr>
            <w:r w:rsidRPr="00071C02">
              <w:t>16.65</w:t>
            </w:r>
          </w:p>
        </w:tc>
      </w:tr>
    </w:tbl>
    <w:p w14:paraId="7D2D8E15" w14:textId="7AA69609" w:rsidR="002B10E6" w:rsidRPr="00071C02" w:rsidRDefault="002B10E6" w:rsidP="002B10E6">
      <w:pPr>
        <w:pStyle w:val="ItemHead"/>
        <w:ind w:left="0" w:firstLine="0"/>
        <w:rPr>
          <w:lang w:eastAsia="en-US"/>
        </w:rPr>
      </w:pPr>
    </w:p>
    <w:p w14:paraId="4B730958" w14:textId="3F25D433" w:rsidR="00930E3E" w:rsidRPr="00071C02" w:rsidRDefault="002B10E6" w:rsidP="00930E3E">
      <w:pPr>
        <w:pStyle w:val="ItemHead"/>
        <w:rPr>
          <w:lang w:eastAsia="en-US"/>
        </w:rPr>
      </w:pPr>
      <w:r w:rsidRPr="00071C02">
        <w:rPr>
          <w:lang w:eastAsia="en-US"/>
        </w:rPr>
        <w:t>2</w:t>
      </w:r>
      <w:r w:rsidR="00930E3E" w:rsidRPr="00071C02">
        <w:rPr>
          <w:lang w:eastAsia="en-US"/>
        </w:rPr>
        <w:t xml:space="preserve"> Paragraph 4(2</w:t>
      </w:r>
      <w:proofErr w:type="gramStart"/>
      <w:r w:rsidR="00930E3E" w:rsidRPr="00071C02">
        <w:rPr>
          <w:lang w:eastAsia="en-US"/>
        </w:rPr>
        <w:t>)(</w:t>
      </w:r>
      <w:proofErr w:type="gramEnd"/>
      <w:r w:rsidR="00930E3E" w:rsidRPr="00071C02">
        <w:rPr>
          <w:lang w:eastAsia="en-US"/>
        </w:rPr>
        <w:t>a)</w:t>
      </w:r>
    </w:p>
    <w:p w14:paraId="43088782" w14:textId="16A4E9E6" w:rsidR="00930E3E" w:rsidRPr="00071C02" w:rsidRDefault="00930E3E" w:rsidP="00930E3E">
      <w:pPr>
        <w:pStyle w:val="Item"/>
        <w:rPr>
          <w:lang w:eastAsia="en-US"/>
        </w:rPr>
      </w:pPr>
      <w:r w:rsidRPr="00071C02">
        <w:rPr>
          <w:lang w:eastAsia="en-US"/>
        </w:rPr>
        <w:t>Repeal the paragraph, substitute:</w:t>
      </w:r>
    </w:p>
    <w:p w14:paraId="4FADCC0F" w14:textId="77777777" w:rsidR="00930E3E" w:rsidRPr="00071C02" w:rsidRDefault="00930E3E" w:rsidP="00930E3E">
      <w:pPr>
        <w:pStyle w:val="ItemHead"/>
        <w:spacing w:before="0"/>
        <w:rPr>
          <w:lang w:eastAsia="en-US"/>
        </w:rPr>
      </w:pPr>
    </w:p>
    <w:p w14:paraId="2E9ACFDE" w14:textId="55AE05B6" w:rsidR="00930E3E" w:rsidRPr="00071C02" w:rsidRDefault="00930E3E" w:rsidP="00D82B78">
      <w:pPr>
        <w:pStyle w:val="P1"/>
        <w:numPr>
          <w:ilvl w:val="0"/>
          <w:numId w:val="18"/>
        </w:numPr>
        <w:spacing w:before="0" w:line="240" w:lineRule="auto"/>
      </w:pPr>
      <w:r w:rsidRPr="00071C02">
        <w:t xml:space="preserve">subsections 10ACA(7A) and 10ADA(8A) apply to item </w:t>
      </w:r>
      <w:r w:rsidR="006D10B6" w:rsidRPr="00071C02">
        <w:t>11704</w:t>
      </w:r>
      <w:r w:rsidR="000A3D8D" w:rsidRPr="00071C02">
        <w:t xml:space="preserve">, </w:t>
      </w:r>
      <w:r w:rsidRPr="00071C02">
        <w:t>14100, 20142, 30071, 31560, 32504, 32507, 34106, 37619, 42590, 42738, 42739, 42740, 45003, 45025, 45026, 45200, 45203, 45206, 45545, 45614, 45617, 45620, 45623, 45624, 45632, 45635 and 45652 of the general medical services table; and</w:t>
      </w:r>
    </w:p>
    <w:p w14:paraId="26525E76" w14:textId="71061A04" w:rsidR="00D82B78" w:rsidRPr="00071C02" w:rsidRDefault="00D82B78" w:rsidP="00D82B78">
      <w:pPr>
        <w:pStyle w:val="P1"/>
        <w:spacing w:before="0" w:line="240" w:lineRule="auto"/>
      </w:pPr>
    </w:p>
    <w:p w14:paraId="62388BBE" w14:textId="7FC6E9E7" w:rsidR="00D82B78" w:rsidRPr="00071C02" w:rsidRDefault="002B10E6" w:rsidP="00D82B78">
      <w:pPr>
        <w:pStyle w:val="ItemHead"/>
        <w:rPr>
          <w:lang w:eastAsia="en-US"/>
        </w:rPr>
      </w:pPr>
      <w:r w:rsidRPr="00071C02">
        <w:rPr>
          <w:lang w:eastAsia="en-US"/>
        </w:rPr>
        <w:t>3</w:t>
      </w:r>
      <w:r w:rsidR="00D82B78" w:rsidRPr="00071C02">
        <w:rPr>
          <w:lang w:eastAsia="en-US"/>
        </w:rPr>
        <w:t xml:space="preserve"> Paragraph 4(3) (table)</w:t>
      </w:r>
    </w:p>
    <w:p w14:paraId="778B1E5D" w14:textId="109A4D9E" w:rsidR="00D82B78" w:rsidRPr="00071C02" w:rsidRDefault="00D82B78" w:rsidP="002B10E6">
      <w:pPr>
        <w:pStyle w:val="Item"/>
        <w:rPr>
          <w:lang w:eastAsia="en-US"/>
        </w:rPr>
      </w:pPr>
      <w:r w:rsidRPr="00071C02">
        <w:rPr>
          <w:lang w:eastAsia="en-US"/>
        </w:rPr>
        <w:t>Repeal the table, substitute:</w:t>
      </w:r>
    </w:p>
    <w:p w14:paraId="0AA06AD0" w14:textId="77777777" w:rsidR="002B10E6" w:rsidRPr="00071C02" w:rsidRDefault="002B10E6" w:rsidP="002B10E6">
      <w:pPr>
        <w:pStyle w:val="ItemHead"/>
        <w:spacing w:before="0"/>
        <w:rPr>
          <w:lang w:eastAsia="en-US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</w:tblGrid>
      <w:tr w:rsidR="00D82B78" w:rsidRPr="00071C02" w14:paraId="675776C3" w14:textId="77777777" w:rsidTr="002B10E6">
        <w:trPr>
          <w:tblHeader/>
        </w:trPr>
        <w:tc>
          <w:tcPr>
            <w:tcW w:w="1275" w:type="dxa"/>
            <w:shd w:val="clear" w:color="auto" w:fill="auto"/>
          </w:tcPr>
          <w:p w14:paraId="2F18D95C" w14:textId="77777777" w:rsidR="00D82B78" w:rsidRPr="00071C02" w:rsidRDefault="00D82B78" w:rsidP="00D1433F">
            <w:pPr>
              <w:keepNext/>
              <w:keepLines/>
              <w:rPr>
                <w:b/>
              </w:rPr>
            </w:pPr>
            <w:r w:rsidRPr="00071C02">
              <w:rPr>
                <w:b/>
              </w:rPr>
              <w:t>Group</w:t>
            </w:r>
          </w:p>
        </w:tc>
      </w:tr>
      <w:tr w:rsidR="00D82B78" w:rsidRPr="00071C02" w14:paraId="78C82AAA" w14:textId="77777777" w:rsidTr="002B10E6">
        <w:tc>
          <w:tcPr>
            <w:tcW w:w="1275" w:type="dxa"/>
            <w:shd w:val="clear" w:color="auto" w:fill="auto"/>
          </w:tcPr>
          <w:p w14:paraId="2173F69A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</w:t>
            </w:r>
          </w:p>
        </w:tc>
      </w:tr>
      <w:tr w:rsidR="00D82B78" w:rsidRPr="00071C02" w14:paraId="1D6F9F05" w14:textId="77777777" w:rsidTr="002B10E6">
        <w:tc>
          <w:tcPr>
            <w:tcW w:w="1275" w:type="dxa"/>
            <w:shd w:val="clear" w:color="auto" w:fill="auto"/>
          </w:tcPr>
          <w:p w14:paraId="3219A8DB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</w:t>
            </w:r>
          </w:p>
        </w:tc>
      </w:tr>
      <w:tr w:rsidR="00D82B78" w:rsidRPr="00071C02" w14:paraId="164433B4" w14:textId="77777777" w:rsidTr="002B10E6">
        <w:tc>
          <w:tcPr>
            <w:tcW w:w="1275" w:type="dxa"/>
            <w:shd w:val="clear" w:color="auto" w:fill="auto"/>
          </w:tcPr>
          <w:p w14:paraId="5E3444E7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A3</w:t>
            </w:r>
          </w:p>
        </w:tc>
      </w:tr>
      <w:tr w:rsidR="00D82B78" w:rsidRPr="00071C02" w14:paraId="3E8EFA9B" w14:textId="77777777" w:rsidTr="002B10E6">
        <w:tc>
          <w:tcPr>
            <w:tcW w:w="1275" w:type="dxa"/>
            <w:shd w:val="clear" w:color="auto" w:fill="auto"/>
          </w:tcPr>
          <w:p w14:paraId="51803570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A4</w:t>
            </w:r>
          </w:p>
        </w:tc>
      </w:tr>
      <w:tr w:rsidR="00D82B78" w:rsidRPr="00071C02" w14:paraId="03704333" w14:textId="77777777" w:rsidTr="002B10E6">
        <w:tc>
          <w:tcPr>
            <w:tcW w:w="1275" w:type="dxa"/>
            <w:shd w:val="clear" w:color="auto" w:fill="auto"/>
          </w:tcPr>
          <w:p w14:paraId="0E30DBE3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A5</w:t>
            </w:r>
          </w:p>
        </w:tc>
      </w:tr>
      <w:tr w:rsidR="00D82B78" w:rsidRPr="00071C02" w14:paraId="066A7E91" w14:textId="77777777" w:rsidTr="002B10E6">
        <w:tc>
          <w:tcPr>
            <w:tcW w:w="1275" w:type="dxa"/>
            <w:shd w:val="clear" w:color="auto" w:fill="auto"/>
          </w:tcPr>
          <w:p w14:paraId="04CEA3B1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A6</w:t>
            </w:r>
          </w:p>
        </w:tc>
      </w:tr>
      <w:tr w:rsidR="00D82B78" w:rsidRPr="00071C02" w14:paraId="3EBF2001" w14:textId="77777777" w:rsidTr="002B10E6">
        <w:tc>
          <w:tcPr>
            <w:tcW w:w="1275" w:type="dxa"/>
            <w:shd w:val="clear" w:color="auto" w:fill="auto"/>
          </w:tcPr>
          <w:p w14:paraId="3E863C2B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A7</w:t>
            </w:r>
          </w:p>
        </w:tc>
      </w:tr>
      <w:tr w:rsidR="00D82B78" w:rsidRPr="00071C02" w14:paraId="18953E10" w14:textId="77777777" w:rsidTr="002B10E6">
        <w:tc>
          <w:tcPr>
            <w:tcW w:w="1275" w:type="dxa"/>
            <w:shd w:val="clear" w:color="auto" w:fill="auto"/>
          </w:tcPr>
          <w:p w14:paraId="453B8CCC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A8</w:t>
            </w:r>
          </w:p>
        </w:tc>
      </w:tr>
      <w:tr w:rsidR="00D82B78" w:rsidRPr="00071C02" w14:paraId="6A26D819" w14:textId="77777777" w:rsidTr="002B10E6">
        <w:tc>
          <w:tcPr>
            <w:tcW w:w="1275" w:type="dxa"/>
            <w:shd w:val="clear" w:color="auto" w:fill="auto"/>
          </w:tcPr>
          <w:p w14:paraId="307A9805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A9</w:t>
            </w:r>
          </w:p>
        </w:tc>
      </w:tr>
      <w:tr w:rsidR="00D82B78" w:rsidRPr="00071C02" w14:paraId="1717C461" w14:textId="77777777" w:rsidTr="002B10E6">
        <w:tc>
          <w:tcPr>
            <w:tcW w:w="1275" w:type="dxa"/>
            <w:shd w:val="clear" w:color="auto" w:fill="auto"/>
          </w:tcPr>
          <w:p w14:paraId="6F3D2094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A10</w:t>
            </w:r>
          </w:p>
        </w:tc>
      </w:tr>
      <w:tr w:rsidR="00D82B78" w:rsidRPr="00071C02" w14:paraId="6B6B4A75" w14:textId="77777777" w:rsidTr="002B10E6">
        <w:tc>
          <w:tcPr>
            <w:tcW w:w="1275" w:type="dxa"/>
            <w:shd w:val="clear" w:color="auto" w:fill="auto"/>
          </w:tcPr>
          <w:p w14:paraId="05D58566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A11</w:t>
            </w:r>
          </w:p>
        </w:tc>
      </w:tr>
      <w:tr w:rsidR="00D82B78" w:rsidRPr="00071C02" w14:paraId="3C82DF37" w14:textId="77777777" w:rsidTr="002B10E6">
        <w:tc>
          <w:tcPr>
            <w:tcW w:w="1275" w:type="dxa"/>
            <w:shd w:val="clear" w:color="auto" w:fill="auto"/>
          </w:tcPr>
          <w:p w14:paraId="0E145162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A12</w:t>
            </w:r>
          </w:p>
        </w:tc>
      </w:tr>
      <w:tr w:rsidR="00D82B78" w:rsidRPr="00071C02" w14:paraId="12A43E7E" w14:textId="77777777" w:rsidTr="002B10E6">
        <w:tc>
          <w:tcPr>
            <w:tcW w:w="1275" w:type="dxa"/>
            <w:shd w:val="clear" w:color="auto" w:fill="auto"/>
          </w:tcPr>
          <w:p w14:paraId="03BA06D1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A13</w:t>
            </w:r>
          </w:p>
        </w:tc>
      </w:tr>
      <w:tr w:rsidR="00D82B78" w:rsidRPr="00071C02" w14:paraId="50422B90" w14:textId="77777777" w:rsidTr="002B10E6">
        <w:tc>
          <w:tcPr>
            <w:tcW w:w="1275" w:type="dxa"/>
            <w:shd w:val="clear" w:color="auto" w:fill="auto"/>
          </w:tcPr>
          <w:p w14:paraId="41FE34F3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A14</w:t>
            </w:r>
          </w:p>
        </w:tc>
      </w:tr>
      <w:tr w:rsidR="00D82B78" w:rsidRPr="00071C02" w14:paraId="066D3967" w14:textId="77777777" w:rsidTr="002B10E6">
        <w:tc>
          <w:tcPr>
            <w:tcW w:w="1275" w:type="dxa"/>
            <w:shd w:val="clear" w:color="auto" w:fill="auto"/>
          </w:tcPr>
          <w:p w14:paraId="158E12A0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A15</w:t>
            </w:r>
          </w:p>
        </w:tc>
      </w:tr>
      <w:tr w:rsidR="00D82B78" w:rsidRPr="00071C02" w14:paraId="5821D42A" w14:textId="77777777" w:rsidTr="002B10E6">
        <w:tc>
          <w:tcPr>
            <w:tcW w:w="1275" w:type="dxa"/>
            <w:shd w:val="clear" w:color="auto" w:fill="auto"/>
          </w:tcPr>
          <w:p w14:paraId="273FDD84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A17</w:t>
            </w:r>
          </w:p>
        </w:tc>
      </w:tr>
      <w:tr w:rsidR="00D82B78" w:rsidRPr="00071C02" w14:paraId="2031DA48" w14:textId="77777777" w:rsidTr="002B10E6">
        <w:tc>
          <w:tcPr>
            <w:tcW w:w="1275" w:type="dxa"/>
            <w:shd w:val="clear" w:color="auto" w:fill="auto"/>
          </w:tcPr>
          <w:p w14:paraId="24D5267A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A18</w:t>
            </w:r>
          </w:p>
        </w:tc>
      </w:tr>
      <w:tr w:rsidR="00D82B78" w:rsidRPr="00071C02" w14:paraId="2E9E99FE" w14:textId="77777777" w:rsidTr="002B10E6">
        <w:tc>
          <w:tcPr>
            <w:tcW w:w="1275" w:type="dxa"/>
            <w:shd w:val="clear" w:color="auto" w:fill="auto"/>
          </w:tcPr>
          <w:p w14:paraId="338FCC55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A19</w:t>
            </w:r>
          </w:p>
        </w:tc>
      </w:tr>
      <w:tr w:rsidR="00D82B78" w:rsidRPr="00071C02" w14:paraId="62E4376C" w14:textId="77777777" w:rsidTr="002B10E6">
        <w:tc>
          <w:tcPr>
            <w:tcW w:w="1275" w:type="dxa"/>
            <w:shd w:val="clear" w:color="auto" w:fill="auto"/>
          </w:tcPr>
          <w:p w14:paraId="15867932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A20</w:t>
            </w:r>
          </w:p>
        </w:tc>
      </w:tr>
      <w:tr w:rsidR="00D82B78" w:rsidRPr="00071C02" w14:paraId="71769F25" w14:textId="77777777" w:rsidTr="002B10E6">
        <w:tc>
          <w:tcPr>
            <w:tcW w:w="1275" w:type="dxa"/>
            <w:shd w:val="clear" w:color="auto" w:fill="auto"/>
          </w:tcPr>
          <w:p w14:paraId="682F1647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A21</w:t>
            </w:r>
          </w:p>
        </w:tc>
      </w:tr>
      <w:tr w:rsidR="00D82B78" w:rsidRPr="00071C02" w14:paraId="7B60493D" w14:textId="77777777" w:rsidTr="002B10E6">
        <w:tc>
          <w:tcPr>
            <w:tcW w:w="1275" w:type="dxa"/>
            <w:shd w:val="clear" w:color="auto" w:fill="auto"/>
          </w:tcPr>
          <w:p w14:paraId="6EC44A38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lastRenderedPageBreak/>
              <w:t>A22</w:t>
            </w:r>
          </w:p>
        </w:tc>
      </w:tr>
      <w:tr w:rsidR="00D82B78" w:rsidRPr="00071C02" w14:paraId="28DF10CF" w14:textId="77777777" w:rsidTr="002B10E6">
        <w:tc>
          <w:tcPr>
            <w:tcW w:w="1275" w:type="dxa"/>
            <w:shd w:val="clear" w:color="auto" w:fill="auto"/>
          </w:tcPr>
          <w:p w14:paraId="37E6B5F4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A23</w:t>
            </w:r>
          </w:p>
        </w:tc>
      </w:tr>
      <w:tr w:rsidR="00D82B78" w:rsidRPr="00071C02" w14:paraId="2E013E60" w14:textId="77777777" w:rsidTr="002B10E6">
        <w:tc>
          <w:tcPr>
            <w:tcW w:w="1275" w:type="dxa"/>
            <w:shd w:val="clear" w:color="auto" w:fill="auto"/>
          </w:tcPr>
          <w:p w14:paraId="10948D66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A24</w:t>
            </w:r>
          </w:p>
        </w:tc>
      </w:tr>
      <w:tr w:rsidR="00D82B78" w:rsidRPr="00071C02" w14:paraId="4639CBC1" w14:textId="77777777" w:rsidTr="002B10E6">
        <w:tc>
          <w:tcPr>
            <w:tcW w:w="1275" w:type="dxa"/>
            <w:shd w:val="clear" w:color="auto" w:fill="auto"/>
          </w:tcPr>
          <w:p w14:paraId="00C2A4D2" w14:textId="77777777" w:rsidR="00D82B78" w:rsidRPr="00071C02" w:rsidRDefault="00D82B78" w:rsidP="00D1433F">
            <w:pPr>
              <w:pStyle w:val="TableText0"/>
              <w:keepNext/>
              <w:keepLines/>
              <w:spacing w:before="40"/>
            </w:pPr>
            <w:r w:rsidRPr="00071C02">
              <w:t>A26</w:t>
            </w:r>
          </w:p>
        </w:tc>
      </w:tr>
      <w:tr w:rsidR="00D82B78" w:rsidRPr="00071C02" w14:paraId="6EFE0BBB" w14:textId="77777777" w:rsidTr="002B10E6">
        <w:tc>
          <w:tcPr>
            <w:tcW w:w="1275" w:type="dxa"/>
            <w:shd w:val="clear" w:color="auto" w:fill="auto"/>
          </w:tcPr>
          <w:p w14:paraId="324A7F2F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A27</w:t>
            </w:r>
          </w:p>
        </w:tc>
      </w:tr>
      <w:tr w:rsidR="00D82B78" w:rsidRPr="00071C02" w14:paraId="78BD9E19" w14:textId="77777777" w:rsidTr="002B10E6">
        <w:tc>
          <w:tcPr>
            <w:tcW w:w="1275" w:type="dxa"/>
            <w:shd w:val="clear" w:color="auto" w:fill="auto"/>
          </w:tcPr>
          <w:p w14:paraId="23150716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A28</w:t>
            </w:r>
          </w:p>
        </w:tc>
      </w:tr>
      <w:tr w:rsidR="00D82B78" w:rsidRPr="00071C02" w14:paraId="15793C73" w14:textId="77777777" w:rsidTr="002B10E6">
        <w:tc>
          <w:tcPr>
            <w:tcW w:w="1275" w:type="dxa"/>
            <w:shd w:val="clear" w:color="auto" w:fill="auto"/>
          </w:tcPr>
          <w:p w14:paraId="1D670D62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A29</w:t>
            </w:r>
          </w:p>
        </w:tc>
      </w:tr>
      <w:tr w:rsidR="00D82B78" w:rsidRPr="00071C02" w14:paraId="09650D59" w14:textId="77777777" w:rsidTr="002B10E6">
        <w:tc>
          <w:tcPr>
            <w:tcW w:w="1275" w:type="dxa"/>
            <w:shd w:val="clear" w:color="auto" w:fill="auto"/>
          </w:tcPr>
          <w:p w14:paraId="6710C511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A30</w:t>
            </w:r>
          </w:p>
        </w:tc>
      </w:tr>
      <w:tr w:rsidR="00D82B78" w:rsidRPr="00071C02" w14:paraId="7E6BB66E" w14:textId="77777777" w:rsidTr="002B10E6">
        <w:tc>
          <w:tcPr>
            <w:tcW w:w="1275" w:type="dxa"/>
            <w:shd w:val="clear" w:color="auto" w:fill="auto"/>
          </w:tcPr>
          <w:p w14:paraId="04BDBF97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A31</w:t>
            </w:r>
          </w:p>
        </w:tc>
      </w:tr>
      <w:tr w:rsidR="00D82B78" w:rsidRPr="00071C02" w14:paraId="64DF4912" w14:textId="77777777" w:rsidTr="002B10E6">
        <w:tc>
          <w:tcPr>
            <w:tcW w:w="1275" w:type="dxa"/>
            <w:shd w:val="clear" w:color="auto" w:fill="auto"/>
          </w:tcPr>
          <w:p w14:paraId="05428B1B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A32</w:t>
            </w:r>
          </w:p>
        </w:tc>
      </w:tr>
      <w:tr w:rsidR="00D82B78" w:rsidRPr="00071C02" w14:paraId="472AE972" w14:textId="77777777" w:rsidTr="002B10E6">
        <w:tc>
          <w:tcPr>
            <w:tcW w:w="1275" w:type="dxa"/>
            <w:shd w:val="clear" w:color="auto" w:fill="auto"/>
          </w:tcPr>
          <w:p w14:paraId="65033591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A33</w:t>
            </w:r>
          </w:p>
        </w:tc>
      </w:tr>
      <w:tr w:rsidR="006A5FEB" w:rsidRPr="00071C02" w14:paraId="75F2EA74" w14:textId="77777777" w:rsidTr="002B10E6">
        <w:tc>
          <w:tcPr>
            <w:tcW w:w="1275" w:type="dxa"/>
            <w:shd w:val="clear" w:color="auto" w:fill="auto"/>
          </w:tcPr>
          <w:p w14:paraId="02EA6A0B" w14:textId="3C630B3D" w:rsidR="006A5FEB" w:rsidRPr="00071C02" w:rsidRDefault="006A5FEB" w:rsidP="00D1433F">
            <w:pPr>
              <w:pStyle w:val="TableText0"/>
              <w:spacing w:before="40"/>
            </w:pPr>
            <w:r w:rsidRPr="00071C02">
              <w:t>A35</w:t>
            </w:r>
          </w:p>
        </w:tc>
      </w:tr>
      <w:tr w:rsidR="00D82B78" w:rsidRPr="00071C02" w14:paraId="6DA0CB38" w14:textId="77777777" w:rsidTr="002B10E6">
        <w:tc>
          <w:tcPr>
            <w:tcW w:w="1275" w:type="dxa"/>
            <w:shd w:val="clear" w:color="auto" w:fill="auto"/>
          </w:tcPr>
          <w:p w14:paraId="12CA1553" w14:textId="77777777" w:rsidR="00D82B78" w:rsidRPr="00071C02" w:rsidRDefault="00D82B78" w:rsidP="00D1433F">
            <w:pPr>
              <w:pStyle w:val="TableText0"/>
              <w:spacing w:before="40"/>
            </w:pPr>
            <w:r w:rsidRPr="00071C02">
              <w:t>A36</w:t>
            </w:r>
          </w:p>
        </w:tc>
      </w:tr>
      <w:tr w:rsidR="00D82B78" w:rsidRPr="00071C02" w14:paraId="5B8D32D0" w14:textId="77777777" w:rsidTr="002B10E6">
        <w:tc>
          <w:tcPr>
            <w:tcW w:w="1275" w:type="dxa"/>
            <w:shd w:val="clear" w:color="auto" w:fill="auto"/>
          </w:tcPr>
          <w:p w14:paraId="4CA11AC7" w14:textId="77777777" w:rsidR="00D82B78" w:rsidRPr="00071C02" w:rsidRDefault="00D82B78" w:rsidP="00D1433F">
            <w:pPr>
              <w:pStyle w:val="TableText0"/>
              <w:spacing w:before="0"/>
            </w:pPr>
            <w:r w:rsidRPr="00071C02">
              <w:t>A39</w:t>
            </w:r>
          </w:p>
        </w:tc>
      </w:tr>
      <w:tr w:rsidR="00D82B78" w:rsidRPr="00071C02" w14:paraId="70287964" w14:textId="77777777" w:rsidTr="002B10E6">
        <w:tc>
          <w:tcPr>
            <w:tcW w:w="1275" w:type="dxa"/>
            <w:shd w:val="clear" w:color="auto" w:fill="auto"/>
          </w:tcPr>
          <w:p w14:paraId="52E32C54" w14:textId="77777777" w:rsidR="00D82B78" w:rsidRPr="00071C02" w:rsidRDefault="00D82B78" w:rsidP="00D1433F">
            <w:pPr>
              <w:pStyle w:val="TableText0"/>
              <w:spacing w:before="0"/>
            </w:pPr>
            <w:r w:rsidRPr="00071C02">
              <w:t>A40</w:t>
            </w:r>
          </w:p>
        </w:tc>
      </w:tr>
      <w:tr w:rsidR="00D82B78" w:rsidRPr="00071C02" w14:paraId="5051C84C" w14:textId="77777777" w:rsidTr="002B10E6">
        <w:tc>
          <w:tcPr>
            <w:tcW w:w="1275" w:type="dxa"/>
            <w:shd w:val="clear" w:color="auto" w:fill="auto"/>
          </w:tcPr>
          <w:p w14:paraId="5BC5DA3A" w14:textId="77777777" w:rsidR="00D82B78" w:rsidRPr="00071C02" w:rsidRDefault="00D82B78" w:rsidP="00D1433F">
            <w:pPr>
              <w:pStyle w:val="TableText0"/>
              <w:spacing w:before="0"/>
            </w:pPr>
            <w:r w:rsidRPr="00071C02">
              <w:t>A41</w:t>
            </w:r>
          </w:p>
        </w:tc>
      </w:tr>
      <w:tr w:rsidR="00D82B78" w:rsidRPr="00071C02" w14:paraId="36004EA1" w14:textId="77777777" w:rsidTr="002B10E6">
        <w:tc>
          <w:tcPr>
            <w:tcW w:w="1275" w:type="dxa"/>
            <w:shd w:val="clear" w:color="auto" w:fill="auto"/>
          </w:tcPr>
          <w:p w14:paraId="64D76310" w14:textId="77777777" w:rsidR="00D82B78" w:rsidRPr="00071C02" w:rsidRDefault="00D82B78" w:rsidP="00D1433F">
            <w:pPr>
              <w:pStyle w:val="TableText0"/>
              <w:spacing w:before="0"/>
            </w:pPr>
            <w:r w:rsidRPr="00071C02">
              <w:t>T6</w:t>
            </w:r>
          </w:p>
        </w:tc>
      </w:tr>
    </w:tbl>
    <w:p w14:paraId="7E608216" w14:textId="77777777" w:rsidR="00D82B78" w:rsidRPr="00071C02" w:rsidRDefault="00D82B78" w:rsidP="00D82B78">
      <w:pPr>
        <w:pStyle w:val="ItemHead"/>
        <w:spacing w:before="0"/>
        <w:rPr>
          <w:lang w:eastAsia="en-US"/>
        </w:rPr>
      </w:pPr>
    </w:p>
    <w:p w14:paraId="74D39D03" w14:textId="77777777" w:rsidR="00D27743" w:rsidRPr="00071C02" w:rsidRDefault="00D27743" w:rsidP="00D82B78">
      <w:pPr>
        <w:pStyle w:val="ItemHead"/>
        <w:spacing w:before="0"/>
        <w:rPr>
          <w:lang w:eastAsia="en-US"/>
        </w:rPr>
      </w:pPr>
    </w:p>
    <w:p w14:paraId="2FD80959" w14:textId="0174B1BF" w:rsidR="00D82B78" w:rsidRPr="00071C02" w:rsidRDefault="002B10E6" w:rsidP="00D82B78">
      <w:pPr>
        <w:pStyle w:val="ItemHead"/>
        <w:spacing w:before="0"/>
        <w:rPr>
          <w:lang w:eastAsia="en-US"/>
        </w:rPr>
      </w:pPr>
      <w:r w:rsidRPr="00071C02">
        <w:rPr>
          <w:lang w:eastAsia="en-US"/>
        </w:rPr>
        <w:t>4</w:t>
      </w:r>
      <w:r w:rsidR="00D82B78" w:rsidRPr="00071C02">
        <w:rPr>
          <w:lang w:eastAsia="en-US"/>
        </w:rPr>
        <w:t xml:space="preserve"> Paragraph 4(4) (table)</w:t>
      </w:r>
    </w:p>
    <w:p w14:paraId="0DEB7387" w14:textId="525199F6" w:rsidR="00D82B78" w:rsidRPr="00071C02" w:rsidRDefault="00D82B78" w:rsidP="00D82B78">
      <w:pPr>
        <w:pStyle w:val="Item"/>
        <w:rPr>
          <w:lang w:eastAsia="en-US"/>
        </w:rPr>
      </w:pPr>
      <w:r w:rsidRPr="00071C02">
        <w:rPr>
          <w:lang w:eastAsia="en-US"/>
        </w:rPr>
        <w:t>Repeal the table, substitute:</w:t>
      </w:r>
    </w:p>
    <w:p w14:paraId="4168FC49" w14:textId="77777777" w:rsidR="00D82B78" w:rsidRPr="00071C02" w:rsidRDefault="00D82B78" w:rsidP="002B10E6">
      <w:pPr>
        <w:pStyle w:val="ItemHead"/>
        <w:spacing w:before="0"/>
        <w:rPr>
          <w:lang w:eastAsia="en-US"/>
        </w:rPr>
      </w:pPr>
      <w:r w:rsidRPr="00071C02">
        <w:rPr>
          <w:lang w:eastAsia="en-US"/>
        </w:rPr>
        <w:tab/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</w:tblGrid>
      <w:tr w:rsidR="00D82B78" w:rsidRPr="00071C02" w14:paraId="5A96EBB7" w14:textId="77777777" w:rsidTr="002B10E6">
        <w:trPr>
          <w:tblHeader/>
        </w:trPr>
        <w:tc>
          <w:tcPr>
            <w:tcW w:w="1275" w:type="dxa"/>
            <w:shd w:val="clear" w:color="auto" w:fill="auto"/>
          </w:tcPr>
          <w:p w14:paraId="73A34B91" w14:textId="77777777" w:rsidR="00D82B78" w:rsidRPr="00071C02" w:rsidRDefault="00D82B78" w:rsidP="00D1433F">
            <w:pPr>
              <w:pStyle w:val="R2"/>
              <w:rPr>
                <w:b/>
              </w:rPr>
            </w:pPr>
            <w:r w:rsidRPr="00071C02">
              <w:rPr>
                <w:b/>
              </w:rPr>
              <w:t>Group</w:t>
            </w:r>
          </w:p>
        </w:tc>
      </w:tr>
      <w:tr w:rsidR="00D82B78" w:rsidRPr="00071C02" w14:paraId="56C26DF0" w14:textId="77777777" w:rsidTr="002B10E6">
        <w:tc>
          <w:tcPr>
            <w:tcW w:w="1275" w:type="dxa"/>
            <w:shd w:val="clear" w:color="auto" w:fill="auto"/>
          </w:tcPr>
          <w:p w14:paraId="6ADDB700" w14:textId="77777777" w:rsidR="00D82B78" w:rsidRPr="00071C02" w:rsidRDefault="00D82B78" w:rsidP="00D1433F">
            <w:pPr>
              <w:pStyle w:val="R2"/>
            </w:pPr>
            <w:r w:rsidRPr="00071C02">
              <w:t>M3</w:t>
            </w:r>
          </w:p>
        </w:tc>
      </w:tr>
      <w:tr w:rsidR="00D82B78" w:rsidRPr="00071C02" w14:paraId="3A9F35CC" w14:textId="77777777" w:rsidTr="002B10E6">
        <w:tc>
          <w:tcPr>
            <w:tcW w:w="1275" w:type="dxa"/>
            <w:shd w:val="clear" w:color="auto" w:fill="auto"/>
          </w:tcPr>
          <w:p w14:paraId="7C00829A" w14:textId="77777777" w:rsidR="00D82B78" w:rsidRPr="00071C02" w:rsidRDefault="00D82B78" w:rsidP="00D1433F">
            <w:pPr>
              <w:pStyle w:val="R2"/>
            </w:pPr>
            <w:r w:rsidRPr="00071C02">
              <w:t>M6</w:t>
            </w:r>
          </w:p>
        </w:tc>
      </w:tr>
      <w:tr w:rsidR="00D82B78" w:rsidRPr="00071C02" w14:paraId="069647FD" w14:textId="77777777" w:rsidTr="002B10E6">
        <w:tc>
          <w:tcPr>
            <w:tcW w:w="1275" w:type="dxa"/>
            <w:shd w:val="clear" w:color="auto" w:fill="auto"/>
          </w:tcPr>
          <w:p w14:paraId="08DFA3A9" w14:textId="77777777" w:rsidR="00D82B78" w:rsidRPr="00071C02" w:rsidRDefault="00D82B78" w:rsidP="00D1433F">
            <w:pPr>
              <w:pStyle w:val="R2"/>
            </w:pPr>
            <w:r w:rsidRPr="00071C02">
              <w:t>M7</w:t>
            </w:r>
          </w:p>
        </w:tc>
      </w:tr>
      <w:tr w:rsidR="00D82B78" w:rsidRPr="00071C02" w14:paraId="18FB9B35" w14:textId="77777777" w:rsidTr="002B10E6">
        <w:tc>
          <w:tcPr>
            <w:tcW w:w="1275" w:type="dxa"/>
            <w:shd w:val="clear" w:color="auto" w:fill="auto"/>
          </w:tcPr>
          <w:p w14:paraId="4E547439" w14:textId="77777777" w:rsidR="00D82B78" w:rsidRPr="00071C02" w:rsidRDefault="00D82B78" w:rsidP="00D1433F">
            <w:pPr>
              <w:pStyle w:val="R2"/>
            </w:pPr>
            <w:r w:rsidRPr="00071C02">
              <w:t>M8</w:t>
            </w:r>
          </w:p>
        </w:tc>
      </w:tr>
      <w:tr w:rsidR="00D82B78" w:rsidRPr="00071C02" w14:paraId="06131D93" w14:textId="77777777" w:rsidTr="002B10E6">
        <w:tc>
          <w:tcPr>
            <w:tcW w:w="1275" w:type="dxa"/>
            <w:shd w:val="clear" w:color="auto" w:fill="auto"/>
          </w:tcPr>
          <w:p w14:paraId="077DF455" w14:textId="77777777" w:rsidR="00D82B78" w:rsidRPr="00071C02" w:rsidRDefault="00D82B78" w:rsidP="00D1433F">
            <w:pPr>
              <w:pStyle w:val="R2"/>
            </w:pPr>
            <w:r w:rsidRPr="00071C02">
              <w:t>M9</w:t>
            </w:r>
          </w:p>
        </w:tc>
      </w:tr>
      <w:tr w:rsidR="00D82B78" w:rsidRPr="00071C02" w14:paraId="239097E0" w14:textId="77777777" w:rsidTr="002B10E6">
        <w:tc>
          <w:tcPr>
            <w:tcW w:w="1275" w:type="dxa"/>
            <w:shd w:val="clear" w:color="auto" w:fill="auto"/>
          </w:tcPr>
          <w:p w14:paraId="266248D3" w14:textId="77777777" w:rsidR="00D82B78" w:rsidRPr="00071C02" w:rsidRDefault="00D82B78" w:rsidP="00D1433F">
            <w:pPr>
              <w:pStyle w:val="R2"/>
            </w:pPr>
            <w:r w:rsidRPr="00071C02">
              <w:t>M10</w:t>
            </w:r>
          </w:p>
        </w:tc>
      </w:tr>
      <w:tr w:rsidR="00D82B78" w:rsidRPr="00071C02" w14:paraId="33400461" w14:textId="77777777" w:rsidTr="002B10E6">
        <w:tc>
          <w:tcPr>
            <w:tcW w:w="1275" w:type="dxa"/>
            <w:shd w:val="clear" w:color="auto" w:fill="auto"/>
          </w:tcPr>
          <w:p w14:paraId="7D1F4250" w14:textId="77777777" w:rsidR="00D82B78" w:rsidRPr="00071C02" w:rsidRDefault="00D82B78" w:rsidP="00D1433F">
            <w:pPr>
              <w:pStyle w:val="R2"/>
            </w:pPr>
            <w:r w:rsidRPr="00071C02">
              <w:t>M11</w:t>
            </w:r>
          </w:p>
        </w:tc>
      </w:tr>
      <w:tr w:rsidR="00D82B78" w:rsidRPr="00071C02" w14:paraId="7E7F07DE" w14:textId="77777777" w:rsidTr="002B10E6">
        <w:tc>
          <w:tcPr>
            <w:tcW w:w="1275" w:type="dxa"/>
            <w:shd w:val="clear" w:color="auto" w:fill="auto"/>
          </w:tcPr>
          <w:p w14:paraId="39F4C6E5" w14:textId="77777777" w:rsidR="00D82B78" w:rsidRPr="00071C02" w:rsidRDefault="00D82B78" w:rsidP="00D1433F">
            <w:pPr>
              <w:pStyle w:val="R2"/>
            </w:pPr>
            <w:r w:rsidRPr="00071C02">
              <w:t>M12</w:t>
            </w:r>
          </w:p>
        </w:tc>
      </w:tr>
      <w:tr w:rsidR="00D82B78" w:rsidRPr="00071C02" w14:paraId="2D156345" w14:textId="77777777" w:rsidTr="002B10E6">
        <w:tc>
          <w:tcPr>
            <w:tcW w:w="1275" w:type="dxa"/>
            <w:shd w:val="clear" w:color="auto" w:fill="auto"/>
          </w:tcPr>
          <w:p w14:paraId="6A5DD731" w14:textId="77777777" w:rsidR="00D82B78" w:rsidRPr="00071C02" w:rsidRDefault="00D82B78" w:rsidP="00D1433F">
            <w:pPr>
              <w:pStyle w:val="R2"/>
            </w:pPr>
            <w:r w:rsidRPr="00071C02">
              <w:t>M14</w:t>
            </w:r>
          </w:p>
        </w:tc>
      </w:tr>
      <w:tr w:rsidR="00D82B78" w:rsidRPr="00071C02" w14:paraId="6E8FB89E" w14:textId="77777777" w:rsidTr="002B10E6">
        <w:tc>
          <w:tcPr>
            <w:tcW w:w="1275" w:type="dxa"/>
            <w:shd w:val="clear" w:color="auto" w:fill="auto"/>
          </w:tcPr>
          <w:p w14:paraId="288E1A32" w14:textId="77777777" w:rsidR="00D82B78" w:rsidRPr="00071C02" w:rsidRDefault="00D82B78" w:rsidP="00D1433F">
            <w:pPr>
              <w:pStyle w:val="R2"/>
            </w:pPr>
            <w:r w:rsidRPr="00071C02">
              <w:t>M15</w:t>
            </w:r>
          </w:p>
        </w:tc>
      </w:tr>
      <w:tr w:rsidR="00D82B78" w:rsidRPr="00071C02" w14:paraId="18CBEE2D" w14:textId="77777777" w:rsidTr="002B10E6">
        <w:tc>
          <w:tcPr>
            <w:tcW w:w="1275" w:type="dxa"/>
            <w:shd w:val="clear" w:color="auto" w:fill="auto"/>
          </w:tcPr>
          <w:p w14:paraId="1AAA780B" w14:textId="77777777" w:rsidR="00D82B78" w:rsidRPr="00071C02" w:rsidRDefault="00D82B78" w:rsidP="00D1433F">
            <w:pPr>
              <w:pStyle w:val="R2"/>
            </w:pPr>
            <w:r w:rsidRPr="00071C02">
              <w:lastRenderedPageBreak/>
              <w:t>M16</w:t>
            </w:r>
          </w:p>
        </w:tc>
      </w:tr>
      <w:tr w:rsidR="00D82B78" w:rsidRPr="00071C02" w14:paraId="716846B0" w14:textId="77777777" w:rsidTr="002B10E6">
        <w:tc>
          <w:tcPr>
            <w:tcW w:w="1275" w:type="dxa"/>
            <w:shd w:val="clear" w:color="auto" w:fill="auto"/>
          </w:tcPr>
          <w:p w14:paraId="627D0651" w14:textId="77777777" w:rsidR="00D82B78" w:rsidRPr="00071C02" w:rsidRDefault="00D82B78" w:rsidP="00D1433F">
            <w:pPr>
              <w:pStyle w:val="R2"/>
            </w:pPr>
            <w:r w:rsidRPr="00071C02">
              <w:t>M17</w:t>
            </w:r>
          </w:p>
        </w:tc>
      </w:tr>
      <w:tr w:rsidR="00D82B78" w:rsidRPr="00071C02" w14:paraId="0CF71D40" w14:textId="77777777" w:rsidTr="002B10E6">
        <w:tc>
          <w:tcPr>
            <w:tcW w:w="1275" w:type="dxa"/>
            <w:shd w:val="clear" w:color="auto" w:fill="auto"/>
          </w:tcPr>
          <w:p w14:paraId="486CB20B" w14:textId="77777777" w:rsidR="00D82B78" w:rsidRPr="00071C02" w:rsidRDefault="00D82B78" w:rsidP="00D1433F">
            <w:pPr>
              <w:pStyle w:val="R2"/>
            </w:pPr>
            <w:r w:rsidRPr="00071C02">
              <w:t>M18</w:t>
            </w:r>
          </w:p>
        </w:tc>
      </w:tr>
      <w:tr w:rsidR="00D82B78" w:rsidRPr="00071C02" w14:paraId="043BE645" w14:textId="77777777" w:rsidTr="002B10E6">
        <w:tc>
          <w:tcPr>
            <w:tcW w:w="1275" w:type="dxa"/>
            <w:shd w:val="clear" w:color="auto" w:fill="auto"/>
          </w:tcPr>
          <w:p w14:paraId="7F29DE23" w14:textId="77777777" w:rsidR="00D82B78" w:rsidRPr="00071C02" w:rsidRDefault="00D82B78" w:rsidP="00D1433F">
            <w:pPr>
              <w:pStyle w:val="R2"/>
            </w:pPr>
            <w:r w:rsidRPr="00071C02">
              <w:t>M19</w:t>
            </w:r>
          </w:p>
        </w:tc>
      </w:tr>
      <w:tr w:rsidR="00B46BAA" w:rsidRPr="00071C02" w14:paraId="1428561D" w14:textId="77777777" w:rsidTr="002B10E6">
        <w:tc>
          <w:tcPr>
            <w:tcW w:w="1275" w:type="dxa"/>
            <w:shd w:val="clear" w:color="auto" w:fill="auto"/>
          </w:tcPr>
          <w:p w14:paraId="7823E580" w14:textId="78E98177" w:rsidR="00B46BAA" w:rsidRPr="00071C02" w:rsidRDefault="00B46BAA" w:rsidP="00D1433F">
            <w:pPr>
              <w:pStyle w:val="R2"/>
            </w:pPr>
            <w:r w:rsidRPr="00071C02">
              <w:t>O1</w:t>
            </w:r>
          </w:p>
        </w:tc>
      </w:tr>
    </w:tbl>
    <w:p w14:paraId="141085EC" w14:textId="77777777" w:rsidR="002B10E6" w:rsidRPr="00071C02" w:rsidRDefault="002B10E6" w:rsidP="002B10E6">
      <w:pPr>
        <w:pStyle w:val="ItemHead"/>
        <w:spacing w:before="0"/>
        <w:rPr>
          <w:lang w:eastAsia="en-US"/>
        </w:rPr>
      </w:pPr>
    </w:p>
    <w:p w14:paraId="7078F07B" w14:textId="77777777" w:rsidR="00D27743" w:rsidRPr="00071C02" w:rsidRDefault="00D27743" w:rsidP="00D1433F">
      <w:pPr>
        <w:pStyle w:val="ItemHead"/>
        <w:spacing w:before="0"/>
        <w:rPr>
          <w:lang w:eastAsia="en-US"/>
        </w:rPr>
      </w:pPr>
    </w:p>
    <w:p w14:paraId="1322252F" w14:textId="4BC0E582" w:rsidR="00D1433F" w:rsidRPr="00071C02" w:rsidRDefault="00D1433F" w:rsidP="00D1433F">
      <w:pPr>
        <w:pStyle w:val="ItemHead"/>
        <w:spacing w:before="0"/>
        <w:rPr>
          <w:lang w:eastAsia="en-US"/>
        </w:rPr>
      </w:pPr>
      <w:r w:rsidRPr="00071C02">
        <w:rPr>
          <w:lang w:eastAsia="en-US"/>
        </w:rPr>
        <w:t>5 Paragraph 4(5</w:t>
      </w:r>
      <w:proofErr w:type="gramStart"/>
      <w:r w:rsidRPr="00071C02">
        <w:rPr>
          <w:lang w:eastAsia="en-US"/>
        </w:rPr>
        <w:t>)</w:t>
      </w:r>
      <w:r w:rsidR="00B623E5" w:rsidRPr="00071C02">
        <w:rPr>
          <w:lang w:eastAsia="en-US"/>
        </w:rPr>
        <w:t>(</w:t>
      </w:r>
      <w:proofErr w:type="gramEnd"/>
      <w:r w:rsidR="00B623E5" w:rsidRPr="00071C02">
        <w:rPr>
          <w:lang w:eastAsia="en-US"/>
        </w:rPr>
        <w:t>a)</w:t>
      </w:r>
    </w:p>
    <w:p w14:paraId="0661FD6A" w14:textId="419F940E" w:rsidR="00D1433F" w:rsidRPr="00071C02" w:rsidRDefault="00D1433F" w:rsidP="00D3344A">
      <w:pPr>
        <w:pStyle w:val="Item"/>
        <w:rPr>
          <w:lang w:eastAsia="en-US"/>
        </w:rPr>
      </w:pPr>
      <w:r w:rsidRPr="00071C02">
        <w:rPr>
          <w:lang w:eastAsia="en-US"/>
        </w:rPr>
        <w:t>Repeal the paragraph, substitute:</w:t>
      </w:r>
    </w:p>
    <w:p w14:paraId="29628C7C" w14:textId="77777777" w:rsidR="00B623E5" w:rsidRPr="00071C02" w:rsidRDefault="00B623E5">
      <w:pPr>
        <w:pStyle w:val="ItemHead"/>
        <w:spacing w:before="0"/>
        <w:rPr>
          <w:lang w:eastAsia="en-US"/>
        </w:rPr>
      </w:pPr>
    </w:p>
    <w:p w14:paraId="6085BD99" w14:textId="2E5A8663" w:rsidR="00D1433F" w:rsidRPr="00071C02" w:rsidRDefault="00D1433F" w:rsidP="00D3344A">
      <w:pPr>
        <w:tabs>
          <w:tab w:val="right" w:pos="1191"/>
        </w:tabs>
        <w:spacing w:line="240" w:lineRule="auto"/>
        <w:ind w:left="1418" w:hanging="1418"/>
        <w:jc w:val="both"/>
        <w:rPr>
          <w:rFonts w:eastAsia="Calibri" w:cs="Times New Roman"/>
          <w:b/>
        </w:rPr>
      </w:pPr>
      <w:r w:rsidRPr="00071C02">
        <w:rPr>
          <w:rFonts w:eastAsia="Calibri" w:cs="Times New Roman"/>
        </w:rPr>
        <w:tab/>
        <w:t>(a)</w:t>
      </w:r>
      <w:r w:rsidRPr="00071C02">
        <w:rPr>
          <w:rFonts w:eastAsia="Calibri" w:cs="Times New Roman"/>
        </w:rPr>
        <w:tab/>
        <w:t xml:space="preserve">subsections 10ACA(7A) and 10ADA(8A) apply to items 13899 of the general medical services table and items </w:t>
      </w:r>
      <w:r w:rsidR="005647AA" w:rsidRPr="00071C02">
        <w:rPr>
          <w:rFonts w:eastAsia="Calibri" w:cs="Times New Roman"/>
        </w:rPr>
        <w:t xml:space="preserve">75001, 75004, 75150, 75153, </w:t>
      </w:r>
      <w:r w:rsidR="00877F78" w:rsidRPr="00071C02">
        <w:rPr>
          <w:rFonts w:eastAsia="Calibri" w:cs="Times New Roman"/>
        </w:rPr>
        <w:t>82150, 82151,</w:t>
      </w:r>
      <w:r w:rsidRPr="00071C02">
        <w:rPr>
          <w:rFonts w:eastAsia="Calibri" w:cs="Times New Roman"/>
        </w:rPr>
        <w:t xml:space="preserve"> 82152</w:t>
      </w:r>
      <w:r w:rsidR="00877F78" w:rsidRPr="00071C02">
        <w:rPr>
          <w:rFonts w:eastAsia="Calibri" w:cs="Times New Roman"/>
        </w:rPr>
        <w:t>,</w:t>
      </w:r>
      <w:r w:rsidRPr="00071C02">
        <w:rPr>
          <w:rFonts w:eastAsia="Calibri" w:cs="Times New Roman"/>
        </w:rPr>
        <w:t xml:space="preserve"> </w:t>
      </w:r>
      <w:r w:rsidR="00877F78" w:rsidRPr="00071C02">
        <w:rPr>
          <w:rFonts w:eastAsia="Calibri" w:cs="Times New Roman"/>
        </w:rPr>
        <w:t xml:space="preserve">90183, 90188, 90202 and 90212 </w:t>
      </w:r>
      <w:r w:rsidRPr="00071C02">
        <w:rPr>
          <w:rFonts w:eastAsia="Calibri" w:cs="Times New Roman"/>
        </w:rPr>
        <w:t>in a determination made under subsection 3C(1) of the Act; and</w:t>
      </w:r>
    </w:p>
    <w:p w14:paraId="05C78F38" w14:textId="4D4497CF" w:rsidR="00D1433F" w:rsidRPr="00071C02" w:rsidRDefault="00D1433F" w:rsidP="00D1433F">
      <w:pPr>
        <w:tabs>
          <w:tab w:val="right" w:pos="1191"/>
        </w:tabs>
        <w:spacing w:before="60" w:line="260" w:lineRule="exact"/>
        <w:ind w:left="1418" w:hanging="1418"/>
        <w:jc w:val="both"/>
        <w:rPr>
          <w:rFonts w:eastAsia="Calibri" w:cs="Times New Roman"/>
        </w:rPr>
      </w:pPr>
      <w:r w:rsidRPr="00071C02">
        <w:rPr>
          <w:rFonts w:eastAsia="Calibri" w:cs="Times New Roman"/>
        </w:rPr>
        <w:tab/>
      </w:r>
    </w:p>
    <w:p w14:paraId="68A15F30" w14:textId="77777777" w:rsidR="00D1433F" w:rsidRPr="00071C02" w:rsidRDefault="00D1433F" w:rsidP="002B10E6">
      <w:pPr>
        <w:pStyle w:val="ItemHead"/>
        <w:spacing w:before="0"/>
        <w:rPr>
          <w:lang w:eastAsia="en-US"/>
        </w:rPr>
      </w:pPr>
    </w:p>
    <w:p w14:paraId="0478B92F" w14:textId="21D4CF74" w:rsidR="002B10E6" w:rsidRPr="00071C02" w:rsidRDefault="00D1433F" w:rsidP="002B10E6">
      <w:pPr>
        <w:pStyle w:val="ItemHead"/>
        <w:spacing w:before="0"/>
        <w:rPr>
          <w:lang w:eastAsia="en-US"/>
        </w:rPr>
      </w:pPr>
      <w:r w:rsidRPr="00071C02">
        <w:rPr>
          <w:lang w:eastAsia="en-US"/>
        </w:rPr>
        <w:t>6</w:t>
      </w:r>
      <w:r w:rsidR="002B10E6" w:rsidRPr="00071C02">
        <w:rPr>
          <w:lang w:eastAsia="en-US"/>
        </w:rPr>
        <w:t xml:space="preserve"> Paragraph 4(6) (table)</w:t>
      </w:r>
    </w:p>
    <w:p w14:paraId="2664E251" w14:textId="77777777" w:rsidR="002B10E6" w:rsidRPr="00071C02" w:rsidRDefault="002B10E6" w:rsidP="002B10E6">
      <w:pPr>
        <w:pStyle w:val="Item"/>
        <w:rPr>
          <w:lang w:eastAsia="en-US"/>
        </w:rPr>
      </w:pPr>
      <w:r w:rsidRPr="00071C02">
        <w:rPr>
          <w:lang w:eastAsia="en-US"/>
        </w:rPr>
        <w:t>Repeal the table, substitute:</w:t>
      </w:r>
    </w:p>
    <w:p w14:paraId="074B17A5" w14:textId="77777777" w:rsidR="002B10E6" w:rsidRPr="00071C02" w:rsidRDefault="002B10E6" w:rsidP="008C5543">
      <w:pPr>
        <w:pStyle w:val="ItemHead"/>
        <w:spacing w:before="0"/>
        <w:rPr>
          <w:lang w:eastAsia="en-US"/>
        </w:rPr>
      </w:pPr>
    </w:p>
    <w:tbl>
      <w:tblPr>
        <w:tblW w:w="4592" w:type="dxa"/>
        <w:tblInd w:w="1413" w:type="dxa"/>
        <w:tblLook w:val="0000" w:firstRow="0" w:lastRow="0" w:firstColumn="0" w:lastColumn="0" w:noHBand="0" w:noVBand="0"/>
      </w:tblPr>
      <w:tblGrid>
        <w:gridCol w:w="2296"/>
        <w:gridCol w:w="2296"/>
      </w:tblGrid>
      <w:tr w:rsidR="002B10E6" w:rsidRPr="00071C02" w14:paraId="125B60F2" w14:textId="77777777" w:rsidTr="002B10E6">
        <w:trPr>
          <w:trHeight w:val="270"/>
          <w:tblHeader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BCBA" w14:textId="77777777" w:rsidR="002B10E6" w:rsidRPr="00071C02" w:rsidRDefault="002B10E6" w:rsidP="00D1433F">
            <w:pPr>
              <w:pStyle w:val="TableColHead"/>
              <w:keepLines/>
              <w:ind w:left="819"/>
            </w:pPr>
            <w:r w:rsidRPr="00071C02">
              <w:t>Item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16B7" w14:textId="77777777" w:rsidR="002B10E6" w:rsidRPr="00071C02" w:rsidRDefault="002B10E6" w:rsidP="008C5543">
            <w:pPr>
              <w:pStyle w:val="TableColHead"/>
              <w:keepLines/>
              <w:jc w:val="center"/>
            </w:pPr>
            <w:r w:rsidRPr="00071C02">
              <w:t>Maximum increase ($)</w:t>
            </w:r>
          </w:p>
        </w:tc>
      </w:tr>
      <w:tr w:rsidR="002B10E6" w:rsidRPr="00071C02" w14:paraId="12CB4EA9" w14:textId="77777777" w:rsidTr="002B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2296" w:type="dxa"/>
            <w:shd w:val="clear" w:color="auto" w:fill="auto"/>
          </w:tcPr>
          <w:p w14:paraId="56A2DE0F" w14:textId="77777777" w:rsidR="002B10E6" w:rsidRPr="00071C02" w:rsidRDefault="002B10E6" w:rsidP="00D1433F">
            <w:pPr>
              <w:pStyle w:val="TableText0"/>
              <w:keepNext/>
              <w:keepLines/>
              <w:ind w:left="470" w:right="744"/>
              <w:jc w:val="right"/>
              <w:rPr>
                <w:b/>
              </w:rPr>
            </w:pPr>
            <w:r w:rsidRPr="00071C02">
              <w:t>55054</w:t>
            </w:r>
          </w:p>
        </w:tc>
        <w:tc>
          <w:tcPr>
            <w:tcW w:w="2296" w:type="dxa"/>
            <w:shd w:val="clear" w:color="auto" w:fill="auto"/>
          </w:tcPr>
          <w:p w14:paraId="412DBD7D" w14:textId="77777777" w:rsidR="002B10E6" w:rsidRPr="00071C02" w:rsidRDefault="002B10E6" w:rsidP="008C5543">
            <w:pPr>
              <w:keepNext/>
              <w:keepLines/>
              <w:ind w:left="68"/>
              <w:jc w:val="center"/>
              <w:rPr>
                <w:b/>
              </w:rPr>
            </w:pPr>
            <w:r w:rsidRPr="00071C02">
              <w:t xml:space="preserve">80 </w:t>
            </w:r>
            <w:r w:rsidRPr="00071C02">
              <w:rPr>
                <w:bCs/>
                <w:lang w:val="en-US"/>
              </w:rPr>
              <w:t>percent</w:t>
            </w:r>
            <w:r w:rsidRPr="00071C02">
              <w:t xml:space="preserve"> of the Schedule fee for the item.</w:t>
            </w:r>
          </w:p>
        </w:tc>
      </w:tr>
      <w:tr w:rsidR="002B10E6" w:rsidRPr="00071C02" w14:paraId="1DD00F42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5729A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5A432E" w14:textId="765C25B8" w:rsidR="002B10E6" w:rsidRPr="00071C02" w:rsidRDefault="002B10E6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33.20</w:t>
            </w:r>
          </w:p>
        </w:tc>
      </w:tr>
      <w:tr w:rsidR="002B10E6" w:rsidRPr="00071C02" w14:paraId="46407E52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61EC2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36D2C5" w14:textId="627FBB00" w:rsidR="002B10E6" w:rsidRPr="00071C02" w:rsidRDefault="002B10E6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16.65</w:t>
            </w:r>
          </w:p>
        </w:tc>
      </w:tr>
      <w:tr w:rsidR="002B10E6" w:rsidRPr="00071C02" w14:paraId="5219A60A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AF6D1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1B8065" w14:textId="16053B38" w:rsidR="002B10E6" w:rsidRPr="00071C02" w:rsidRDefault="002B10E6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38.75</w:t>
            </w:r>
          </w:p>
        </w:tc>
      </w:tr>
      <w:tr w:rsidR="002B10E6" w:rsidRPr="00071C02" w14:paraId="6F7AE47A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3B782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A3C2F4" w14:textId="3CE64C0A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16.65</w:t>
            </w:r>
          </w:p>
        </w:tc>
      </w:tr>
      <w:tr w:rsidR="002B10E6" w:rsidRPr="00071C02" w14:paraId="1B7A89BF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C145B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C5C098" w14:textId="5C22CADD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55.30</w:t>
            </w:r>
          </w:p>
        </w:tc>
      </w:tr>
      <w:tr w:rsidR="002B10E6" w:rsidRPr="00071C02" w14:paraId="0A2CCAC8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3280C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242F05" w14:textId="78067CD9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38.75</w:t>
            </w:r>
          </w:p>
        </w:tc>
      </w:tr>
      <w:tr w:rsidR="002B10E6" w:rsidRPr="00071C02" w14:paraId="4C3DCC78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C06B6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4A6CD4" w14:textId="73E37B93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16.65</w:t>
            </w:r>
          </w:p>
        </w:tc>
      </w:tr>
      <w:tr w:rsidR="002B10E6" w:rsidRPr="00071C02" w14:paraId="53A27305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9EE0F" w14:textId="77777777" w:rsidR="002B10E6" w:rsidRPr="00071C02" w:rsidRDefault="002B10E6" w:rsidP="00D1433F">
            <w:pPr>
              <w:pStyle w:val="TableText0"/>
              <w:keepNext/>
              <w:keepLines/>
              <w:ind w:left="470" w:right="744"/>
              <w:jc w:val="right"/>
            </w:pPr>
            <w:r w:rsidRPr="00071C02">
              <w:t>55709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8EA6D1" w14:textId="7C90DFDC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22.15</w:t>
            </w:r>
          </w:p>
        </w:tc>
      </w:tr>
      <w:tr w:rsidR="002B10E6" w:rsidRPr="00071C02" w14:paraId="4B328A2E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37184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6A19A" w14:textId="787D0B4F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66.35</w:t>
            </w:r>
          </w:p>
        </w:tc>
      </w:tr>
      <w:tr w:rsidR="002B10E6" w:rsidRPr="00071C02" w14:paraId="07289E7D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BDC80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719E1" w14:textId="1FCC571B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22.15</w:t>
            </w:r>
          </w:p>
        </w:tc>
      </w:tr>
      <w:tr w:rsidR="002B10E6" w:rsidRPr="00071C02" w14:paraId="13E64698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4DB68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71EEE3" w14:textId="02F258D0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55.30</w:t>
            </w:r>
          </w:p>
        </w:tc>
      </w:tr>
      <w:tr w:rsidR="002B10E6" w:rsidRPr="00071C02" w14:paraId="74467C04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EFDAE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6A221" w14:textId="2D7D3780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66.35</w:t>
            </w:r>
          </w:p>
        </w:tc>
      </w:tr>
      <w:tr w:rsidR="002B10E6" w:rsidRPr="00071C02" w14:paraId="3A814799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08FDA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lastRenderedPageBreak/>
              <w:t>55723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6B7556" w14:textId="708601A9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22.15</w:t>
            </w:r>
          </w:p>
        </w:tc>
      </w:tr>
      <w:tr w:rsidR="002B10E6" w:rsidRPr="00071C02" w14:paraId="3D5EA3C3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48CE1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BD547B" w14:textId="5A6F58E9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22.15</w:t>
            </w:r>
          </w:p>
        </w:tc>
      </w:tr>
      <w:tr w:rsidR="002B10E6" w:rsidRPr="00071C02" w14:paraId="71177BFC" w14:textId="77777777" w:rsidTr="002B10E6">
        <w:trPr>
          <w:trHeight w:val="3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D48B4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9B0B90" w14:textId="3A15685E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16.65</w:t>
            </w:r>
          </w:p>
        </w:tc>
      </w:tr>
      <w:tr w:rsidR="002B10E6" w:rsidRPr="00071C02" w14:paraId="3113DD83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C693C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5DF1D8" w14:textId="2E3EB7AE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33.20</w:t>
            </w:r>
          </w:p>
        </w:tc>
      </w:tr>
      <w:tr w:rsidR="002B10E6" w:rsidRPr="00071C02" w14:paraId="3B1BFFA3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5AF99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CE6596" w14:textId="0462E39E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88.45</w:t>
            </w:r>
          </w:p>
        </w:tc>
      </w:tr>
      <w:tr w:rsidR="002B10E6" w:rsidRPr="00071C02" w14:paraId="484AEEDA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AE961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480DEC" w14:textId="021D04D1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33.20</w:t>
            </w:r>
          </w:p>
        </w:tc>
      </w:tr>
      <w:tr w:rsidR="002B10E6" w:rsidRPr="00071C02" w14:paraId="2CE491F5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9EC0C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A173CE" w14:textId="35731A9E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83.00</w:t>
            </w:r>
          </w:p>
        </w:tc>
      </w:tr>
      <w:tr w:rsidR="002B10E6" w:rsidRPr="00071C02" w14:paraId="36B65374" w14:textId="77777777" w:rsidTr="002B10E6">
        <w:trPr>
          <w:trHeight w:val="3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041F6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F7208" w14:textId="2EA9493B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33.20</w:t>
            </w:r>
          </w:p>
        </w:tc>
      </w:tr>
      <w:tr w:rsidR="002B10E6" w:rsidRPr="00071C02" w14:paraId="368835D4" w14:textId="77777777" w:rsidTr="002B10E6">
        <w:trPr>
          <w:trHeight w:val="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C6BF9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B6F955" w14:textId="5CF02C34" w:rsidR="002B10E6" w:rsidRPr="00071C02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88.45</w:t>
            </w:r>
          </w:p>
        </w:tc>
      </w:tr>
      <w:tr w:rsidR="002B10E6" w:rsidRPr="00164C0D" w14:paraId="2473B20B" w14:textId="77777777" w:rsidTr="002B10E6">
        <w:trPr>
          <w:trHeight w:val="2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5DAE9" w14:textId="77777777" w:rsidR="002B10E6" w:rsidRPr="00071C02" w:rsidRDefault="002B10E6" w:rsidP="00D1433F">
            <w:pPr>
              <w:pStyle w:val="TableText0"/>
              <w:ind w:left="470" w:right="744"/>
              <w:jc w:val="right"/>
            </w:pPr>
            <w:r w:rsidRPr="00071C02">
              <w:t>55774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2BEEC5" w14:textId="27B3B425" w:rsidR="002B10E6" w:rsidRPr="00164C0D" w:rsidRDefault="008C5543" w:rsidP="008C5543">
            <w:pPr>
              <w:pStyle w:val="TableText0"/>
              <w:tabs>
                <w:tab w:val="left" w:pos="1550"/>
              </w:tabs>
              <w:ind w:right="579"/>
              <w:jc w:val="center"/>
            </w:pPr>
            <w:r w:rsidRPr="00071C02">
              <w:t>38.75</w:t>
            </w:r>
          </w:p>
        </w:tc>
      </w:tr>
    </w:tbl>
    <w:p w14:paraId="68CAEE58" w14:textId="77777777" w:rsidR="007141BF" w:rsidRPr="007141BF" w:rsidRDefault="007141BF" w:rsidP="00280516">
      <w:pPr>
        <w:pStyle w:val="ItemHead"/>
        <w:rPr>
          <w:lang w:eastAsia="en-US"/>
        </w:rPr>
      </w:pPr>
    </w:p>
    <w:sectPr w:rsidR="007141BF" w:rsidRPr="007141BF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EA6C9" w14:textId="77777777" w:rsidR="00D1433F" w:rsidRDefault="00D1433F" w:rsidP="00715914">
      <w:pPr>
        <w:spacing w:line="240" w:lineRule="auto"/>
      </w:pPr>
      <w:r>
        <w:separator/>
      </w:r>
    </w:p>
  </w:endnote>
  <w:endnote w:type="continuationSeparator" w:id="0">
    <w:p w14:paraId="7E911866" w14:textId="77777777" w:rsidR="00D1433F" w:rsidRDefault="00D1433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1F1B" w14:textId="77777777" w:rsidR="00D1433F" w:rsidRPr="00E33C1C" w:rsidRDefault="00D1433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433F" w14:paraId="5BFD5FF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693430" w14:textId="77777777" w:rsidR="00D1433F" w:rsidRDefault="00D1433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03E623" w14:textId="6ABBE0D1" w:rsidR="00D1433F" w:rsidRPr="004E1307" w:rsidRDefault="00D1433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E1914">
            <w:rPr>
              <w:i/>
              <w:noProof/>
              <w:sz w:val="18"/>
            </w:rPr>
            <w:t>Health Insurance (Extended Medicare Safety Net) Amendment (Indexation)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A0983D" w14:textId="77777777" w:rsidR="00D1433F" w:rsidRDefault="00D1433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1433F" w14:paraId="048C758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572754" w14:textId="77777777" w:rsidR="00D1433F" w:rsidRDefault="00D1433F" w:rsidP="00A369E3">
          <w:pPr>
            <w:jc w:val="right"/>
            <w:rPr>
              <w:sz w:val="18"/>
            </w:rPr>
          </w:pPr>
        </w:p>
      </w:tc>
    </w:tr>
  </w:tbl>
  <w:p w14:paraId="1B85250B" w14:textId="77777777" w:rsidR="00D1433F" w:rsidRPr="00ED79B6" w:rsidRDefault="00D1433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25FC" w14:textId="77777777" w:rsidR="00D1433F" w:rsidRPr="00E33C1C" w:rsidRDefault="00D1433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433F" w14:paraId="4C00C29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37E7A5" w14:textId="77777777" w:rsidR="00D1433F" w:rsidRDefault="00D1433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BEA080" w14:textId="305CEC1C" w:rsidR="00D1433F" w:rsidRDefault="00D1433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E1914">
            <w:rPr>
              <w:i/>
              <w:noProof/>
              <w:sz w:val="18"/>
            </w:rPr>
            <w:t>Health Insurance (Extended Medicare Safety Net) Amendment (Indexation)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201635" w14:textId="77777777" w:rsidR="00D1433F" w:rsidRDefault="00D1433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433F" w14:paraId="1DE32C3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355AA4" w14:textId="77777777" w:rsidR="00D1433F" w:rsidRDefault="00D1433F" w:rsidP="00A369E3">
          <w:pPr>
            <w:rPr>
              <w:sz w:val="18"/>
            </w:rPr>
          </w:pPr>
        </w:p>
      </w:tc>
    </w:tr>
  </w:tbl>
  <w:p w14:paraId="2F24A76E" w14:textId="77777777" w:rsidR="00D1433F" w:rsidRPr="00ED79B6" w:rsidRDefault="00D1433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B5037" w14:textId="77777777" w:rsidR="00D1433F" w:rsidRPr="00E33C1C" w:rsidRDefault="00D1433F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1433F" w14:paraId="46B380F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0123D9" w14:textId="77777777" w:rsidR="00D1433F" w:rsidRDefault="00D1433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C92748" w14:textId="77777777" w:rsidR="00D1433F" w:rsidRDefault="00D1433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F4BAEB" w14:textId="77777777" w:rsidR="00D1433F" w:rsidRDefault="00D1433F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F677B63" w14:textId="77777777" w:rsidR="00D1433F" w:rsidRPr="00ED79B6" w:rsidRDefault="00D1433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96F57" w14:textId="77777777" w:rsidR="00D1433F" w:rsidRPr="002B0EA5" w:rsidRDefault="00D1433F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D1433F" w14:paraId="4F3253D4" w14:textId="77777777" w:rsidTr="000E05F9">
      <w:tc>
        <w:tcPr>
          <w:tcW w:w="365" w:type="pct"/>
        </w:tcPr>
        <w:p w14:paraId="24A156F7" w14:textId="77777777" w:rsidR="00D1433F" w:rsidRDefault="00D1433F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C920CF5" w14:textId="1D7D40AE" w:rsidR="00D1433F" w:rsidRDefault="00D1433F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E1914">
            <w:rPr>
              <w:i/>
              <w:noProof/>
              <w:sz w:val="18"/>
            </w:rPr>
            <w:t>Health Insurance (Extended Medicare Safety Net) Amendment (Indexation)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A07FAED" w14:textId="77777777" w:rsidR="00D1433F" w:rsidRDefault="00D1433F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D1433F" w14:paraId="5B7081F0" w14:textId="77777777" w:rsidTr="000E05F9">
      <w:tc>
        <w:tcPr>
          <w:tcW w:w="5000" w:type="pct"/>
          <w:gridSpan w:val="3"/>
        </w:tcPr>
        <w:p w14:paraId="58C6BDE9" w14:textId="77777777" w:rsidR="00D1433F" w:rsidRDefault="00D1433F" w:rsidP="000E05F9">
          <w:pPr>
            <w:jc w:val="right"/>
            <w:rPr>
              <w:sz w:val="18"/>
            </w:rPr>
          </w:pPr>
        </w:p>
      </w:tc>
    </w:tr>
  </w:tbl>
  <w:p w14:paraId="0635BC6B" w14:textId="77777777" w:rsidR="00D1433F" w:rsidRPr="00ED79B6" w:rsidRDefault="00D1433F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DC662" w14:textId="77777777" w:rsidR="00D1433F" w:rsidRPr="002B0EA5" w:rsidRDefault="00D1433F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1433F" w14:paraId="31A9D496" w14:textId="77777777" w:rsidTr="000E05F9">
      <w:tc>
        <w:tcPr>
          <w:tcW w:w="947" w:type="pct"/>
        </w:tcPr>
        <w:p w14:paraId="223040AC" w14:textId="77777777" w:rsidR="00D1433F" w:rsidRDefault="00D1433F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02DBA43" w14:textId="7B750567" w:rsidR="00D1433F" w:rsidRDefault="00D1433F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1C02">
            <w:rPr>
              <w:i/>
              <w:noProof/>
              <w:sz w:val="18"/>
            </w:rPr>
            <w:t>Health Insurance (Extended Medicare Safety Net) Amendment (Indexation)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54F6385" w14:textId="3C81DA21" w:rsidR="00D1433F" w:rsidRDefault="00D1433F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1C0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433F" w14:paraId="3FBE7803" w14:textId="77777777" w:rsidTr="000E05F9">
      <w:tc>
        <w:tcPr>
          <w:tcW w:w="5000" w:type="pct"/>
          <w:gridSpan w:val="3"/>
        </w:tcPr>
        <w:p w14:paraId="5B4D4E37" w14:textId="77777777" w:rsidR="00D1433F" w:rsidRDefault="00D1433F" w:rsidP="000E05F9">
          <w:pPr>
            <w:rPr>
              <w:sz w:val="18"/>
            </w:rPr>
          </w:pPr>
        </w:p>
      </w:tc>
    </w:tr>
  </w:tbl>
  <w:p w14:paraId="090ED160" w14:textId="77777777" w:rsidR="00D1433F" w:rsidRPr="00ED79B6" w:rsidRDefault="00D1433F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A5AB" w14:textId="77777777" w:rsidR="00D1433F" w:rsidRPr="002B0EA5" w:rsidRDefault="00D1433F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1433F" w14:paraId="46B381E3" w14:textId="77777777" w:rsidTr="000E05F9">
      <w:tc>
        <w:tcPr>
          <w:tcW w:w="365" w:type="pct"/>
        </w:tcPr>
        <w:p w14:paraId="713F70BA" w14:textId="27E7986B" w:rsidR="00D1433F" w:rsidRDefault="00D1433F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1C0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D48715" w14:textId="73102E84" w:rsidR="00D1433F" w:rsidRDefault="00D1433F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1C02">
            <w:rPr>
              <w:i/>
              <w:noProof/>
              <w:sz w:val="18"/>
            </w:rPr>
            <w:t>Health Insurance (Extended Medicare Safety Net) Amendment (Indexation)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94EFFAD" w14:textId="77777777" w:rsidR="00D1433F" w:rsidRDefault="00D1433F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D1433F" w14:paraId="3AE112BF" w14:textId="77777777" w:rsidTr="000E05F9">
      <w:tc>
        <w:tcPr>
          <w:tcW w:w="5000" w:type="pct"/>
          <w:gridSpan w:val="3"/>
        </w:tcPr>
        <w:p w14:paraId="6F8ACCD6" w14:textId="77777777" w:rsidR="00D1433F" w:rsidRDefault="00D1433F" w:rsidP="000E05F9">
          <w:pPr>
            <w:jc w:val="right"/>
            <w:rPr>
              <w:sz w:val="18"/>
            </w:rPr>
          </w:pPr>
        </w:p>
      </w:tc>
    </w:tr>
  </w:tbl>
  <w:p w14:paraId="6798FD87" w14:textId="77777777" w:rsidR="00D1433F" w:rsidRPr="00ED79B6" w:rsidRDefault="00D1433F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77B8" w14:textId="77777777" w:rsidR="00D1433F" w:rsidRPr="002B0EA5" w:rsidRDefault="00D1433F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1433F" w14:paraId="68EF2743" w14:textId="77777777" w:rsidTr="000E05F9">
      <w:tc>
        <w:tcPr>
          <w:tcW w:w="947" w:type="pct"/>
        </w:tcPr>
        <w:p w14:paraId="4CD5CC66" w14:textId="77777777" w:rsidR="00D1433F" w:rsidRDefault="00D1433F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0F36F4" w14:textId="74CC8FA6" w:rsidR="00D1433F" w:rsidRDefault="00D1433F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1C02">
            <w:rPr>
              <w:i/>
              <w:noProof/>
              <w:sz w:val="18"/>
            </w:rPr>
            <w:t>Health Insurance (Extended Medicare Safety Net) Amendment (Indexation)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FBBF691" w14:textId="7EA03E98" w:rsidR="00D1433F" w:rsidRDefault="00D1433F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1C0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433F" w14:paraId="689E7D69" w14:textId="77777777" w:rsidTr="000E05F9">
      <w:tc>
        <w:tcPr>
          <w:tcW w:w="5000" w:type="pct"/>
          <w:gridSpan w:val="3"/>
        </w:tcPr>
        <w:p w14:paraId="39C228A8" w14:textId="77777777" w:rsidR="00D1433F" w:rsidRDefault="00D1433F" w:rsidP="000E05F9">
          <w:pPr>
            <w:rPr>
              <w:sz w:val="18"/>
            </w:rPr>
          </w:pPr>
        </w:p>
      </w:tc>
    </w:tr>
  </w:tbl>
  <w:p w14:paraId="233E10D2" w14:textId="77777777" w:rsidR="00D1433F" w:rsidRPr="00ED79B6" w:rsidRDefault="00D1433F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7FC71" w14:textId="77777777" w:rsidR="00D1433F" w:rsidRDefault="00D1433F" w:rsidP="00715914">
      <w:pPr>
        <w:spacing w:line="240" w:lineRule="auto"/>
      </w:pPr>
      <w:r>
        <w:separator/>
      </w:r>
    </w:p>
  </w:footnote>
  <w:footnote w:type="continuationSeparator" w:id="0">
    <w:p w14:paraId="763C3EB5" w14:textId="77777777" w:rsidR="00D1433F" w:rsidRDefault="00D1433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67E2A" w14:textId="77777777" w:rsidR="00D1433F" w:rsidRPr="005F1388" w:rsidRDefault="00D1433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419A" w14:textId="77777777" w:rsidR="00D1433F" w:rsidRPr="005F1388" w:rsidRDefault="00D1433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A60C" w14:textId="77777777" w:rsidR="00D1433F" w:rsidRPr="00ED79B6" w:rsidRDefault="00D1433F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73748" w14:textId="77777777" w:rsidR="00D1433F" w:rsidRPr="00ED79B6" w:rsidRDefault="00D1433F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0C46" w14:textId="77777777" w:rsidR="00D1433F" w:rsidRPr="00ED79B6" w:rsidRDefault="00D1433F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618E" w14:textId="77777777" w:rsidR="00D1433F" w:rsidRDefault="00D1433F" w:rsidP="00715914">
    <w:pPr>
      <w:rPr>
        <w:sz w:val="20"/>
      </w:rPr>
    </w:pPr>
  </w:p>
  <w:p w14:paraId="6E917CD8" w14:textId="77777777" w:rsidR="00D1433F" w:rsidRDefault="00D1433F" w:rsidP="00715914">
    <w:pPr>
      <w:rPr>
        <w:sz w:val="20"/>
      </w:rPr>
    </w:pPr>
  </w:p>
  <w:p w14:paraId="5E6F58D6" w14:textId="77777777" w:rsidR="00D1433F" w:rsidRPr="007A1328" w:rsidRDefault="00D1433F" w:rsidP="00715914">
    <w:pPr>
      <w:rPr>
        <w:sz w:val="20"/>
      </w:rPr>
    </w:pPr>
  </w:p>
  <w:p w14:paraId="70AFF902" w14:textId="77777777" w:rsidR="00D1433F" w:rsidRPr="007A1328" w:rsidRDefault="00D1433F" w:rsidP="00715914">
    <w:pPr>
      <w:rPr>
        <w:b/>
        <w:sz w:val="24"/>
      </w:rPr>
    </w:pPr>
  </w:p>
  <w:p w14:paraId="29F0B7D1" w14:textId="77777777" w:rsidR="00D1433F" w:rsidRPr="007A1328" w:rsidRDefault="00D1433F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9AF81" w14:textId="77777777" w:rsidR="00D1433F" w:rsidRPr="007A1328" w:rsidRDefault="00D1433F" w:rsidP="00715914">
    <w:pPr>
      <w:jc w:val="right"/>
      <w:rPr>
        <w:sz w:val="20"/>
      </w:rPr>
    </w:pPr>
  </w:p>
  <w:p w14:paraId="014EA9E1" w14:textId="77777777" w:rsidR="00D1433F" w:rsidRPr="007A1328" w:rsidRDefault="00D1433F" w:rsidP="00715914">
    <w:pPr>
      <w:jc w:val="right"/>
      <w:rPr>
        <w:sz w:val="20"/>
      </w:rPr>
    </w:pPr>
  </w:p>
  <w:p w14:paraId="41D7D130" w14:textId="77777777" w:rsidR="00D1433F" w:rsidRPr="007A1328" w:rsidRDefault="00D1433F" w:rsidP="00715914">
    <w:pPr>
      <w:jc w:val="right"/>
      <w:rPr>
        <w:sz w:val="20"/>
      </w:rPr>
    </w:pPr>
  </w:p>
  <w:p w14:paraId="0F80FDFA" w14:textId="77777777" w:rsidR="00D1433F" w:rsidRPr="007A1328" w:rsidRDefault="00D1433F" w:rsidP="00715914">
    <w:pPr>
      <w:jc w:val="right"/>
      <w:rPr>
        <w:b/>
        <w:sz w:val="24"/>
      </w:rPr>
    </w:pPr>
  </w:p>
  <w:p w14:paraId="629C0F19" w14:textId="77777777" w:rsidR="00D1433F" w:rsidRPr="007A1328" w:rsidRDefault="00D1433F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061D68"/>
    <w:multiLevelType w:val="hybridMultilevel"/>
    <w:tmpl w:val="2200B4E0"/>
    <w:lvl w:ilvl="0" w:tplc="C47C46C2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934002"/>
    <w:multiLevelType w:val="hybridMultilevel"/>
    <w:tmpl w:val="F7FC04B2"/>
    <w:lvl w:ilvl="0" w:tplc="C47C46C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87A6EEF"/>
    <w:multiLevelType w:val="hybridMultilevel"/>
    <w:tmpl w:val="2200B4E0"/>
    <w:lvl w:ilvl="0" w:tplc="C47C46C2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6B7F48"/>
    <w:multiLevelType w:val="hybridMultilevel"/>
    <w:tmpl w:val="2200B4E0"/>
    <w:lvl w:ilvl="0" w:tplc="C47C46C2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ECE6F3F"/>
    <w:multiLevelType w:val="hybridMultilevel"/>
    <w:tmpl w:val="4C4C7002"/>
    <w:lvl w:ilvl="0" w:tplc="46A48734">
      <w:start w:val="1"/>
      <w:numFmt w:val="lowerLetter"/>
      <w:lvlText w:val="(%1)"/>
      <w:lvlJc w:val="left"/>
      <w:pPr>
        <w:ind w:left="993" w:firstLine="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0"/>
  </w:num>
  <w:num w:numId="15">
    <w:abstractNumId w:val="15"/>
  </w:num>
  <w:num w:numId="16">
    <w:abstractNumId w:val="12"/>
  </w:num>
  <w:num w:numId="17">
    <w:abstractNumId w:val="21"/>
  </w:num>
  <w:num w:numId="18">
    <w:abstractNumId w:val="16"/>
  </w:num>
  <w:num w:numId="19">
    <w:abstractNumId w:val="17"/>
  </w:num>
  <w:num w:numId="20">
    <w:abstractNumId w:val="20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16"/>
    <w:rsid w:val="00004174"/>
    <w:rsid w:val="00004470"/>
    <w:rsid w:val="000136AF"/>
    <w:rsid w:val="00015AC7"/>
    <w:rsid w:val="000258B1"/>
    <w:rsid w:val="00031C8E"/>
    <w:rsid w:val="00037A04"/>
    <w:rsid w:val="00040A89"/>
    <w:rsid w:val="000437C1"/>
    <w:rsid w:val="0004455A"/>
    <w:rsid w:val="0005365D"/>
    <w:rsid w:val="000614BF"/>
    <w:rsid w:val="0006709C"/>
    <w:rsid w:val="00071C02"/>
    <w:rsid w:val="00074376"/>
    <w:rsid w:val="00074D4F"/>
    <w:rsid w:val="000872E3"/>
    <w:rsid w:val="000978F5"/>
    <w:rsid w:val="000A3D8D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239"/>
    <w:rsid w:val="001E7407"/>
    <w:rsid w:val="001F5D5E"/>
    <w:rsid w:val="001F6219"/>
    <w:rsid w:val="001F6CD4"/>
    <w:rsid w:val="00206C4D"/>
    <w:rsid w:val="00214497"/>
    <w:rsid w:val="00215AF1"/>
    <w:rsid w:val="002321E8"/>
    <w:rsid w:val="00232984"/>
    <w:rsid w:val="0024010F"/>
    <w:rsid w:val="00240749"/>
    <w:rsid w:val="00240D55"/>
    <w:rsid w:val="00243018"/>
    <w:rsid w:val="002564A4"/>
    <w:rsid w:val="00263356"/>
    <w:rsid w:val="0026736C"/>
    <w:rsid w:val="00280516"/>
    <w:rsid w:val="00280E43"/>
    <w:rsid w:val="00281308"/>
    <w:rsid w:val="00284719"/>
    <w:rsid w:val="002971F8"/>
    <w:rsid w:val="00297ECB"/>
    <w:rsid w:val="002A12D7"/>
    <w:rsid w:val="002A7BCF"/>
    <w:rsid w:val="002B10E6"/>
    <w:rsid w:val="002B2069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55B22"/>
    <w:rsid w:val="00360459"/>
    <w:rsid w:val="0038049F"/>
    <w:rsid w:val="003820E6"/>
    <w:rsid w:val="003B0A72"/>
    <w:rsid w:val="003C170F"/>
    <w:rsid w:val="003C6231"/>
    <w:rsid w:val="003C7827"/>
    <w:rsid w:val="003D0BFE"/>
    <w:rsid w:val="003D5700"/>
    <w:rsid w:val="003E341B"/>
    <w:rsid w:val="003E4D00"/>
    <w:rsid w:val="0040393C"/>
    <w:rsid w:val="004116CD"/>
    <w:rsid w:val="00417EB9"/>
    <w:rsid w:val="00424CA9"/>
    <w:rsid w:val="004276DF"/>
    <w:rsid w:val="00431E9B"/>
    <w:rsid w:val="00435C66"/>
    <w:rsid w:val="004379E3"/>
    <w:rsid w:val="0044015E"/>
    <w:rsid w:val="0044291A"/>
    <w:rsid w:val="004435DD"/>
    <w:rsid w:val="00445B38"/>
    <w:rsid w:val="00464DA4"/>
    <w:rsid w:val="00467661"/>
    <w:rsid w:val="00472DBE"/>
    <w:rsid w:val="00474A19"/>
    <w:rsid w:val="00477830"/>
    <w:rsid w:val="00487764"/>
    <w:rsid w:val="00495AF2"/>
    <w:rsid w:val="00496F97"/>
    <w:rsid w:val="004A438A"/>
    <w:rsid w:val="004B1C06"/>
    <w:rsid w:val="004B344C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289A"/>
    <w:rsid w:val="00554826"/>
    <w:rsid w:val="00562877"/>
    <w:rsid w:val="005647AA"/>
    <w:rsid w:val="00564D92"/>
    <w:rsid w:val="005673E8"/>
    <w:rsid w:val="00584811"/>
    <w:rsid w:val="00585784"/>
    <w:rsid w:val="00587DEE"/>
    <w:rsid w:val="00593AA6"/>
    <w:rsid w:val="00594161"/>
    <w:rsid w:val="00594749"/>
    <w:rsid w:val="005A4B62"/>
    <w:rsid w:val="005A65D5"/>
    <w:rsid w:val="005B200C"/>
    <w:rsid w:val="005B3F55"/>
    <w:rsid w:val="005B4067"/>
    <w:rsid w:val="005C3F41"/>
    <w:rsid w:val="005D1D92"/>
    <w:rsid w:val="005D2D09"/>
    <w:rsid w:val="005E1914"/>
    <w:rsid w:val="005E4F7F"/>
    <w:rsid w:val="00600219"/>
    <w:rsid w:val="00604F2A"/>
    <w:rsid w:val="00606F09"/>
    <w:rsid w:val="00610ED1"/>
    <w:rsid w:val="0061707B"/>
    <w:rsid w:val="00620076"/>
    <w:rsid w:val="00624631"/>
    <w:rsid w:val="00627E0A"/>
    <w:rsid w:val="0065488B"/>
    <w:rsid w:val="00670EA1"/>
    <w:rsid w:val="00677CC2"/>
    <w:rsid w:val="0068744B"/>
    <w:rsid w:val="006905DE"/>
    <w:rsid w:val="0069207B"/>
    <w:rsid w:val="006A0839"/>
    <w:rsid w:val="006A154F"/>
    <w:rsid w:val="006A437B"/>
    <w:rsid w:val="006A5FEB"/>
    <w:rsid w:val="006B1337"/>
    <w:rsid w:val="006B5789"/>
    <w:rsid w:val="006C30C5"/>
    <w:rsid w:val="006C7F8C"/>
    <w:rsid w:val="006D10B6"/>
    <w:rsid w:val="006E2E1C"/>
    <w:rsid w:val="006E4395"/>
    <w:rsid w:val="006E6246"/>
    <w:rsid w:val="006E69C2"/>
    <w:rsid w:val="006E6DCC"/>
    <w:rsid w:val="006F318F"/>
    <w:rsid w:val="006F7B1F"/>
    <w:rsid w:val="0070017E"/>
    <w:rsid w:val="00700B2C"/>
    <w:rsid w:val="00702A06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1009"/>
    <w:rsid w:val="007D7911"/>
    <w:rsid w:val="007E163D"/>
    <w:rsid w:val="007E3640"/>
    <w:rsid w:val="007E667A"/>
    <w:rsid w:val="007E6FBB"/>
    <w:rsid w:val="007F0A88"/>
    <w:rsid w:val="007F28C9"/>
    <w:rsid w:val="007F51B2"/>
    <w:rsid w:val="008040DD"/>
    <w:rsid w:val="008117E9"/>
    <w:rsid w:val="008164C8"/>
    <w:rsid w:val="0082443C"/>
    <w:rsid w:val="00824498"/>
    <w:rsid w:val="00826BD1"/>
    <w:rsid w:val="008466ED"/>
    <w:rsid w:val="00854D0B"/>
    <w:rsid w:val="00856A31"/>
    <w:rsid w:val="00860B4E"/>
    <w:rsid w:val="00867B37"/>
    <w:rsid w:val="0087329B"/>
    <w:rsid w:val="008754D0"/>
    <w:rsid w:val="00875D13"/>
    <w:rsid w:val="00877F78"/>
    <w:rsid w:val="008855C9"/>
    <w:rsid w:val="00886456"/>
    <w:rsid w:val="00896176"/>
    <w:rsid w:val="008A1D2A"/>
    <w:rsid w:val="008A46E1"/>
    <w:rsid w:val="008A4F43"/>
    <w:rsid w:val="008B2706"/>
    <w:rsid w:val="008C2EAC"/>
    <w:rsid w:val="008C35A1"/>
    <w:rsid w:val="008C5543"/>
    <w:rsid w:val="008C71DB"/>
    <w:rsid w:val="008D0EE0"/>
    <w:rsid w:val="008E0027"/>
    <w:rsid w:val="008E6067"/>
    <w:rsid w:val="008F54E7"/>
    <w:rsid w:val="00903422"/>
    <w:rsid w:val="009254C3"/>
    <w:rsid w:val="00930E3E"/>
    <w:rsid w:val="00932377"/>
    <w:rsid w:val="00934BE0"/>
    <w:rsid w:val="00941236"/>
    <w:rsid w:val="00943FD5"/>
    <w:rsid w:val="00947D5A"/>
    <w:rsid w:val="009532A5"/>
    <w:rsid w:val="009545BD"/>
    <w:rsid w:val="00964CF0"/>
    <w:rsid w:val="00977806"/>
    <w:rsid w:val="00982242"/>
    <w:rsid w:val="009841B4"/>
    <w:rsid w:val="00985F9D"/>
    <w:rsid w:val="009868E9"/>
    <w:rsid w:val="009900A3"/>
    <w:rsid w:val="009A2865"/>
    <w:rsid w:val="009C1523"/>
    <w:rsid w:val="009C3413"/>
    <w:rsid w:val="009D4587"/>
    <w:rsid w:val="00A01A76"/>
    <w:rsid w:val="00A02D0E"/>
    <w:rsid w:val="00A0441E"/>
    <w:rsid w:val="00A12128"/>
    <w:rsid w:val="00A22C98"/>
    <w:rsid w:val="00A231E2"/>
    <w:rsid w:val="00A369E3"/>
    <w:rsid w:val="00A42093"/>
    <w:rsid w:val="00A55339"/>
    <w:rsid w:val="00A57600"/>
    <w:rsid w:val="00A606F0"/>
    <w:rsid w:val="00A64912"/>
    <w:rsid w:val="00A70A74"/>
    <w:rsid w:val="00A75FE9"/>
    <w:rsid w:val="00AD53CC"/>
    <w:rsid w:val="00AD5641"/>
    <w:rsid w:val="00AF06CF"/>
    <w:rsid w:val="00AF4B09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1DA"/>
    <w:rsid w:val="00B418CB"/>
    <w:rsid w:val="00B46BAA"/>
    <w:rsid w:val="00B47004"/>
    <w:rsid w:val="00B47444"/>
    <w:rsid w:val="00B50ADC"/>
    <w:rsid w:val="00B566B1"/>
    <w:rsid w:val="00B623E5"/>
    <w:rsid w:val="00B63834"/>
    <w:rsid w:val="00B70216"/>
    <w:rsid w:val="00B763B0"/>
    <w:rsid w:val="00B80199"/>
    <w:rsid w:val="00B81FC4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7573B"/>
    <w:rsid w:val="00C86CA3"/>
    <w:rsid w:val="00C97A54"/>
    <w:rsid w:val="00CA5B23"/>
    <w:rsid w:val="00CB602E"/>
    <w:rsid w:val="00CB7E90"/>
    <w:rsid w:val="00CE051D"/>
    <w:rsid w:val="00CE1335"/>
    <w:rsid w:val="00CE493D"/>
    <w:rsid w:val="00CE7D0F"/>
    <w:rsid w:val="00CF07FA"/>
    <w:rsid w:val="00CF0BB2"/>
    <w:rsid w:val="00CF3EE8"/>
    <w:rsid w:val="00D06296"/>
    <w:rsid w:val="00D062B4"/>
    <w:rsid w:val="00D133BE"/>
    <w:rsid w:val="00D13441"/>
    <w:rsid w:val="00D1433F"/>
    <w:rsid w:val="00D150E7"/>
    <w:rsid w:val="00D26508"/>
    <w:rsid w:val="00D27743"/>
    <w:rsid w:val="00D3344A"/>
    <w:rsid w:val="00D50EB1"/>
    <w:rsid w:val="00D52DC2"/>
    <w:rsid w:val="00D53BCC"/>
    <w:rsid w:val="00D54C9E"/>
    <w:rsid w:val="00D6537E"/>
    <w:rsid w:val="00D70122"/>
    <w:rsid w:val="00D70DFB"/>
    <w:rsid w:val="00D73ACE"/>
    <w:rsid w:val="00D766DF"/>
    <w:rsid w:val="00D8206C"/>
    <w:rsid w:val="00D82B78"/>
    <w:rsid w:val="00D91F10"/>
    <w:rsid w:val="00DA186E"/>
    <w:rsid w:val="00DA4116"/>
    <w:rsid w:val="00DB251C"/>
    <w:rsid w:val="00DB4630"/>
    <w:rsid w:val="00DC4F88"/>
    <w:rsid w:val="00DD2A46"/>
    <w:rsid w:val="00DD397B"/>
    <w:rsid w:val="00DE107C"/>
    <w:rsid w:val="00DE33D1"/>
    <w:rsid w:val="00DF2388"/>
    <w:rsid w:val="00E03E29"/>
    <w:rsid w:val="00E03EF2"/>
    <w:rsid w:val="00E05704"/>
    <w:rsid w:val="00E144E9"/>
    <w:rsid w:val="00E213F2"/>
    <w:rsid w:val="00E338EF"/>
    <w:rsid w:val="00E36DD3"/>
    <w:rsid w:val="00E544BB"/>
    <w:rsid w:val="00E70D71"/>
    <w:rsid w:val="00E72953"/>
    <w:rsid w:val="00E73CE5"/>
    <w:rsid w:val="00E748AB"/>
    <w:rsid w:val="00E74DC7"/>
    <w:rsid w:val="00E8075A"/>
    <w:rsid w:val="00E8079E"/>
    <w:rsid w:val="00E940D8"/>
    <w:rsid w:val="00E94D5E"/>
    <w:rsid w:val="00EA7100"/>
    <w:rsid w:val="00EA7F9F"/>
    <w:rsid w:val="00EB1274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0554"/>
    <w:rsid w:val="00F41FE5"/>
    <w:rsid w:val="00F4350D"/>
    <w:rsid w:val="00F479C4"/>
    <w:rsid w:val="00F565F1"/>
    <w:rsid w:val="00F567F7"/>
    <w:rsid w:val="00F61E8A"/>
    <w:rsid w:val="00F6696E"/>
    <w:rsid w:val="00F73BD6"/>
    <w:rsid w:val="00F76CA3"/>
    <w:rsid w:val="00F823E1"/>
    <w:rsid w:val="00F83989"/>
    <w:rsid w:val="00F85099"/>
    <w:rsid w:val="00F9379C"/>
    <w:rsid w:val="00F946DB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A9AFC69"/>
  <w15:docId w15:val="{78CC742E-E057-4ACF-8964-0A35A99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customStyle="1" w:styleId="R2">
    <w:name w:val="R2"/>
    <w:aliases w:val="(2)"/>
    <w:basedOn w:val="Normal"/>
    <w:rsid w:val="00D82B7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p10">
    <w:name w:val="p1"/>
    <w:basedOn w:val="Normal"/>
    <w:rsid w:val="00D06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8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09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788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F726A9171C07498C983DFD2C76218A" ma:contentTypeVersion="" ma:contentTypeDescription="PDMS Document Site Content Type" ma:contentTypeScope="" ma:versionID="956b3a9f179d9fd14195e4528b824f34">
  <xsd:schema xmlns:xsd="http://www.w3.org/2001/XMLSchema" xmlns:xs="http://www.w3.org/2001/XMLSchema" xmlns:p="http://schemas.microsoft.com/office/2006/metadata/properties" xmlns:ns2="33FFF400-49FC-4342-9C33-7E44461758CF" targetNamespace="http://schemas.microsoft.com/office/2006/metadata/properties" ma:root="true" ma:fieldsID="3f1527bf92dbafb94d851700a2576dce" ns2:_="">
    <xsd:import namespace="33FFF400-49FC-4342-9C33-7E44461758C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F400-49FC-4342-9C33-7E44461758C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3FFF400-49FC-4342-9C33-7E44461758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5885-12F5-4E3D-A327-66E5432C6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F400-49FC-4342-9C33-7E4446175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EA425-4F69-43CC-B94E-79AF5CBAFF1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33FFF400-49FC-4342-9C33-7E44461758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735419-ED0D-4F59-84F0-018E44CB2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69703-4D23-4D13-B9F1-6CCC2641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9</TotalTime>
  <Pages>12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3</cp:revision>
  <dcterms:created xsi:type="dcterms:W3CDTF">2020-11-20T00:25:00Z</dcterms:created>
  <dcterms:modified xsi:type="dcterms:W3CDTF">2020-11-20T01:15:00Z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0x010100266966F133664895A6EE3632470D45F500CBF726A9171C07498C983DFD2C76218A</vt:lpwstr>
  </property>
</Properties>
</file>