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269A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5D12F51" wp14:editId="0511177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AEFE" w14:textId="77777777" w:rsidR="005E317F" w:rsidRDefault="005E317F" w:rsidP="005E317F">
      <w:pPr>
        <w:rPr>
          <w:sz w:val="19"/>
        </w:rPr>
      </w:pPr>
      <w:bookmarkStart w:id="0" w:name="_GoBack"/>
      <w:bookmarkEnd w:id="0"/>
    </w:p>
    <w:p w14:paraId="4CD2395D" w14:textId="77777777" w:rsidR="005E317F" w:rsidRPr="00E500D4" w:rsidRDefault="00DC54CD" w:rsidP="005E317F">
      <w:pPr>
        <w:pStyle w:val="ShortT"/>
      </w:pPr>
      <w:r>
        <w:t>Other Grants Guidelines (Research)</w:t>
      </w:r>
      <w:r w:rsidR="005E317F" w:rsidRPr="00DA182D">
        <w:t xml:space="preserve"> </w:t>
      </w:r>
      <w:r w:rsidR="005E317F">
        <w:t>Amendment (</w:t>
      </w:r>
      <w:r>
        <w:t>No.</w:t>
      </w:r>
      <w:r w:rsidR="00F277D4">
        <w:t xml:space="preserve"> </w:t>
      </w:r>
      <w:r>
        <w:t>2</w:t>
      </w:r>
      <w:r w:rsidR="005E317F">
        <w:t xml:space="preserve">) </w:t>
      </w:r>
      <w:r>
        <w:t>2020</w:t>
      </w:r>
    </w:p>
    <w:p w14:paraId="37EF7EA0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DC54CD">
        <w:rPr>
          <w:szCs w:val="22"/>
        </w:rPr>
        <w:t>Dan Tehan</w:t>
      </w:r>
      <w:r w:rsidRPr="00DA182D">
        <w:rPr>
          <w:szCs w:val="22"/>
        </w:rPr>
        <w:t xml:space="preserve">, </w:t>
      </w:r>
      <w:r w:rsidR="00DC54CD">
        <w:rPr>
          <w:szCs w:val="22"/>
        </w:rPr>
        <w:t>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DC54CD">
        <w:rPr>
          <w:szCs w:val="22"/>
        </w:rPr>
        <w:t xml:space="preserve"> instrument.</w:t>
      </w:r>
    </w:p>
    <w:p w14:paraId="79D991CB" w14:textId="3509CB73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0827C0">
        <w:rPr>
          <w:szCs w:val="22"/>
        </w:rPr>
        <w:t>15 November 2020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ABB1880" w14:textId="77777777" w:rsidR="005E317F" w:rsidRDefault="00DC54C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Dan Tehan</w:t>
      </w:r>
      <w:r w:rsidR="005E317F" w:rsidRPr="00A75FE9">
        <w:rPr>
          <w:szCs w:val="22"/>
        </w:rPr>
        <w:t xml:space="preserve"> </w:t>
      </w:r>
    </w:p>
    <w:p w14:paraId="66A7B4CC" w14:textId="77777777" w:rsidR="005E317F" w:rsidRPr="000D3FB9" w:rsidRDefault="00DC54CD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Education </w:t>
      </w:r>
    </w:p>
    <w:p w14:paraId="4ACFEF31" w14:textId="77777777" w:rsidR="00B20990" w:rsidRDefault="00B20990" w:rsidP="00B20990"/>
    <w:p w14:paraId="26181906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584B614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F49C7E6" w14:textId="647D429D" w:rsidR="008C1C0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8C1C08">
        <w:rPr>
          <w:noProof/>
        </w:rPr>
        <w:t>1  Name</w:t>
      </w:r>
      <w:r w:rsidR="008C1C08">
        <w:rPr>
          <w:noProof/>
        </w:rPr>
        <w:tab/>
      </w:r>
      <w:r w:rsidR="008C1C08">
        <w:rPr>
          <w:noProof/>
        </w:rPr>
        <w:fldChar w:fldCharType="begin"/>
      </w:r>
      <w:r w:rsidR="008C1C08">
        <w:rPr>
          <w:noProof/>
        </w:rPr>
        <w:instrText xml:space="preserve"> PAGEREF _Toc51663041 \h </w:instrText>
      </w:r>
      <w:r w:rsidR="008C1C08">
        <w:rPr>
          <w:noProof/>
        </w:rPr>
      </w:r>
      <w:r w:rsidR="008C1C08">
        <w:rPr>
          <w:noProof/>
        </w:rPr>
        <w:fldChar w:fldCharType="separate"/>
      </w:r>
      <w:r w:rsidR="00111389">
        <w:rPr>
          <w:noProof/>
        </w:rPr>
        <w:t>1</w:t>
      </w:r>
      <w:r w:rsidR="008C1C08">
        <w:rPr>
          <w:noProof/>
        </w:rPr>
        <w:fldChar w:fldCharType="end"/>
      </w:r>
    </w:p>
    <w:p w14:paraId="5C86A9F4" w14:textId="7F612AE2" w:rsidR="008C1C08" w:rsidRDefault="008C1C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_Toc51663042 \h </w:instrText>
      </w:r>
      <w:r>
        <w:rPr>
          <w:noProof/>
        </w:rPr>
      </w:r>
      <w:r>
        <w:rPr>
          <w:noProof/>
        </w:rPr>
        <w:fldChar w:fldCharType="separate"/>
      </w:r>
      <w:r w:rsidR="00111389">
        <w:rPr>
          <w:noProof/>
        </w:rPr>
        <w:t>1</w:t>
      </w:r>
      <w:r>
        <w:rPr>
          <w:noProof/>
        </w:rPr>
        <w:fldChar w:fldCharType="end"/>
      </w:r>
    </w:p>
    <w:p w14:paraId="3532E8F5" w14:textId="05312428" w:rsidR="008C1C08" w:rsidRDefault="008C1C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_Toc51663043 \h </w:instrText>
      </w:r>
      <w:r>
        <w:rPr>
          <w:noProof/>
        </w:rPr>
      </w:r>
      <w:r>
        <w:rPr>
          <w:noProof/>
        </w:rPr>
        <w:fldChar w:fldCharType="separate"/>
      </w:r>
      <w:r w:rsidR="00111389">
        <w:rPr>
          <w:noProof/>
        </w:rPr>
        <w:t>1</w:t>
      </w:r>
      <w:r>
        <w:rPr>
          <w:noProof/>
        </w:rPr>
        <w:fldChar w:fldCharType="end"/>
      </w:r>
    </w:p>
    <w:p w14:paraId="7D1FC762" w14:textId="6DC933C4" w:rsidR="008C1C08" w:rsidRDefault="008C1C08">
      <w:pPr>
        <w:pStyle w:val="TOC5"/>
        <w:rPr>
          <w:noProof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_Toc51663044 \h </w:instrText>
      </w:r>
      <w:r>
        <w:rPr>
          <w:noProof/>
        </w:rPr>
      </w:r>
      <w:r>
        <w:rPr>
          <w:noProof/>
        </w:rPr>
        <w:fldChar w:fldCharType="separate"/>
      </w:r>
      <w:r w:rsidR="00111389">
        <w:rPr>
          <w:noProof/>
        </w:rPr>
        <w:t>1</w:t>
      </w:r>
      <w:r>
        <w:rPr>
          <w:noProof/>
        </w:rPr>
        <w:fldChar w:fldCharType="end"/>
      </w:r>
    </w:p>
    <w:p w14:paraId="44442401" w14:textId="0EDECE16" w:rsidR="0027484C" w:rsidRDefault="0027484C" w:rsidP="0027484C">
      <w:pPr>
        <w:pStyle w:val="TOC5"/>
        <w:rPr>
          <w:noProof/>
        </w:rPr>
      </w:pPr>
      <w:r>
        <w:rPr>
          <w:noProof/>
        </w:rPr>
        <w:t>5  Saving</w:t>
      </w:r>
      <w:r w:rsidR="008E40A8">
        <w:rPr>
          <w:noProof/>
        </w:rPr>
        <w:t>s</w:t>
      </w:r>
      <w:r>
        <w:rPr>
          <w:noProof/>
        </w:rPr>
        <w:t xml:space="preserve"> provision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_Toc51663044 \h </w:instrText>
      </w:r>
      <w:r>
        <w:rPr>
          <w:noProof/>
        </w:rPr>
      </w:r>
      <w:r>
        <w:rPr>
          <w:noProof/>
        </w:rPr>
        <w:fldChar w:fldCharType="separate"/>
      </w:r>
      <w:r w:rsidR="00111389">
        <w:rPr>
          <w:noProof/>
        </w:rPr>
        <w:t>1</w:t>
      </w:r>
      <w:r>
        <w:rPr>
          <w:noProof/>
        </w:rPr>
        <w:fldChar w:fldCharType="end"/>
      </w:r>
    </w:p>
    <w:p w14:paraId="6175CDEF" w14:textId="33BC3474" w:rsidR="0027484C" w:rsidRPr="0043672B" w:rsidRDefault="0027484C" w:rsidP="008E40A8"/>
    <w:p w14:paraId="4730E646" w14:textId="2C07D731" w:rsidR="008C1C08" w:rsidRDefault="008C1C0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_Toc51663045 \h </w:instrText>
      </w:r>
      <w:r>
        <w:rPr>
          <w:noProof/>
        </w:rPr>
      </w:r>
      <w:r>
        <w:rPr>
          <w:noProof/>
        </w:rPr>
        <w:fldChar w:fldCharType="separate"/>
      </w:r>
      <w:r w:rsidR="00111389">
        <w:rPr>
          <w:noProof/>
        </w:rPr>
        <w:t>2</w:t>
      </w:r>
      <w:r>
        <w:rPr>
          <w:noProof/>
        </w:rPr>
        <w:fldChar w:fldCharType="end"/>
      </w:r>
    </w:p>
    <w:p w14:paraId="39FEE605" w14:textId="323188F4" w:rsidR="008C1C08" w:rsidRDefault="008C1C0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Other Grants Guidelines (Research)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_Toc51663046 \h </w:instrText>
      </w:r>
      <w:r>
        <w:rPr>
          <w:noProof/>
        </w:rPr>
      </w:r>
      <w:r>
        <w:rPr>
          <w:noProof/>
        </w:rPr>
        <w:fldChar w:fldCharType="separate"/>
      </w:r>
      <w:r w:rsidR="00111389">
        <w:rPr>
          <w:noProof/>
        </w:rPr>
        <w:t>2</w:t>
      </w:r>
      <w:r>
        <w:rPr>
          <w:noProof/>
        </w:rPr>
        <w:fldChar w:fldCharType="end"/>
      </w:r>
    </w:p>
    <w:p w14:paraId="02CB1873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4475A3F5" w14:textId="77777777" w:rsidR="00B20990" w:rsidRDefault="00B20990" w:rsidP="00B20990"/>
    <w:p w14:paraId="701FBFFA" w14:textId="77777777" w:rsidR="00B20990" w:rsidRDefault="00B20990" w:rsidP="00B20990">
      <w:pPr>
        <w:sectPr w:rsidR="00B20990" w:rsidSect="00B675D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14BFBA" w14:textId="77777777" w:rsidR="005E317F" w:rsidRPr="009C2562" w:rsidRDefault="005E317F" w:rsidP="005E317F">
      <w:pPr>
        <w:pStyle w:val="ActHead5"/>
      </w:pPr>
      <w:bookmarkStart w:id="2" w:name="_Toc51663041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700BF73E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951617">
        <w:rPr>
          <w:i/>
        </w:rPr>
        <w:t>Other Grants Guidelines (Research) Amendment (No.</w:t>
      </w:r>
      <w:r w:rsidR="00F277D4">
        <w:rPr>
          <w:i/>
        </w:rPr>
        <w:t xml:space="preserve"> </w:t>
      </w:r>
      <w:r w:rsidR="00951617">
        <w:rPr>
          <w:i/>
        </w:rPr>
        <w:t xml:space="preserve">2) 2020. </w:t>
      </w:r>
    </w:p>
    <w:p w14:paraId="1618F9F7" w14:textId="77777777" w:rsidR="005E317F" w:rsidRDefault="005E317F" w:rsidP="005E317F">
      <w:pPr>
        <w:pStyle w:val="ActHead5"/>
      </w:pPr>
      <w:bookmarkStart w:id="4" w:name="_Toc51663042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573A36B2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F512CD1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36445D19" w14:textId="77777777" w:rsidTr="00B675D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8314C2F" w14:textId="77777777" w:rsidR="00002BCC" w:rsidRPr="003422B4" w:rsidRDefault="00002BCC" w:rsidP="00B675DC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2010713B" w14:textId="77777777" w:rsidTr="00B675D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B4607F" w14:textId="77777777" w:rsidR="00002BCC" w:rsidRPr="003422B4" w:rsidRDefault="00002BCC" w:rsidP="00B675DC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E6CEDD" w14:textId="77777777" w:rsidR="00002BCC" w:rsidRPr="003422B4" w:rsidRDefault="00002BCC" w:rsidP="00B675DC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9ACF52" w14:textId="77777777" w:rsidR="00002BCC" w:rsidRPr="003422B4" w:rsidRDefault="00002BCC" w:rsidP="00B675DC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54C9178A" w14:textId="77777777" w:rsidTr="00B675D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D4A267" w14:textId="77777777" w:rsidR="00002BCC" w:rsidRPr="003422B4" w:rsidRDefault="00002BCC" w:rsidP="00B675DC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670536" w14:textId="77777777" w:rsidR="00002BCC" w:rsidRPr="003422B4" w:rsidRDefault="00002BCC" w:rsidP="00B675DC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3FC083" w14:textId="77777777" w:rsidR="00002BCC" w:rsidRPr="003422B4" w:rsidRDefault="00002BCC" w:rsidP="00B675DC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5D541BC1" w14:textId="77777777" w:rsidTr="00B675D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198DA95" w14:textId="77777777" w:rsidR="00002BCC" w:rsidRPr="003A6229" w:rsidRDefault="00002BCC" w:rsidP="00FF067C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FF067C">
              <w:rPr>
                <w:i/>
              </w:rPr>
              <w:t xml:space="preserve">The whole of this instrument.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064A9E" w14:textId="77777777" w:rsidR="00002BCC" w:rsidRPr="008C1C08" w:rsidRDefault="00FF067C" w:rsidP="00B675DC">
            <w:pPr>
              <w:pStyle w:val="Tabletext"/>
            </w:pPr>
            <w:r w:rsidRPr="008C1C08">
              <w:t>on the day after this instrument is registered</w:t>
            </w:r>
            <w:r w:rsidR="00651E4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6943A0" w14:textId="77777777" w:rsidR="00002BCC" w:rsidRPr="00B43C50" w:rsidRDefault="00002BCC" w:rsidP="00B675DC">
            <w:pPr>
              <w:pStyle w:val="Tabletext"/>
              <w:rPr>
                <w:i/>
              </w:rPr>
            </w:pPr>
          </w:p>
        </w:tc>
      </w:tr>
    </w:tbl>
    <w:p w14:paraId="7EB991A7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3015AC01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A74716A" w14:textId="77777777" w:rsidR="005E317F" w:rsidRPr="009C2562" w:rsidRDefault="005E317F" w:rsidP="005E317F">
      <w:pPr>
        <w:pStyle w:val="ActHead5"/>
      </w:pPr>
      <w:bookmarkStart w:id="5" w:name="_Toc51663043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702FBB2F" w14:textId="071AB71A" w:rsidR="005E317F" w:rsidRPr="00FF067C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F067C">
        <w:t xml:space="preserve">section 238-10 of the </w:t>
      </w:r>
      <w:r w:rsidR="00FF067C">
        <w:rPr>
          <w:i/>
        </w:rPr>
        <w:t>Higher Education Support Act 2003</w:t>
      </w:r>
      <w:r w:rsidR="00B11E51">
        <w:rPr>
          <w:i/>
        </w:rPr>
        <w:t xml:space="preserve">, </w:t>
      </w:r>
      <w:r w:rsidR="00B11E51">
        <w:rPr>
          <w:iCs/>
        </w:rPr>
        <w:t>for the purposes of Part 2-3</w:t>
      </w:r>
      <w:r w:rsidR="00FF067C">
        <w:t>.</w:t>
      </w:r>
    </w:p>
    <w:p w14:paraId="722CE572" w14:textId="77777777" w:rsidR="005E317F" w:rsidRPr="006065DA" w:rsidRDefault="005E317F" w:rsidP="005E317F">
      <w:pPr>
        <w:pStyle w:val="ActHead5"/>
      </w:pPr>
      <w:bookmarkStart w:id="6" w:name="_Toc51663044"/>
      <w:r w:rsidRPr="006065DA">
        <w:t>4  Schedules</w:t>
      </w:r>
      <w:bookmarkEnd w:id="6"/>
    </w:p>
    <w:p w14:paraId="3F6B2B7E" w14:textId="5A6888B2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5F4243B" w14:textId="20F2308F" w:rsidR="00B11E51" w:rsidRPr="006065DA" w:rsidRDefault="0027484C" w:rsidP="00B11E51">
      <w:pPr>
        <w:pStyle w:val="ActHead5"/>
      </w:pPr>
      <w:r>
        <w:t>5</w:t>
      </w:r>
      <w:r w:rsidR="00B11E51" w:rsidRPr="006065DA">
        <w:t xml:space="preserve">  S</w:t>
      </w:r>
      <w:r w:rsidR="00B11E51">
        <w:t>aving</w:t>
      </w:r>
      <w:r w:rsidR="008E40A8">
        <w:t>s</w:t>
      </w:r>
      <w:r w:rsidR="00B11E51">
        <w:t xml:space="preserve"> provision</w:t>
      </w:r>
    </w:p>
    <w:p w14:paraId="6615E14D" w14:textId="7F065E44" w:rsidR="00B11E51" w:rsidRPr="00B11E51" w:rsidRDefault="00B11E51" w:rsidP="0043672B">
      <w:pPr>
        <w:pStyle w:val="subsection"/>
      </w:pPr>
      <w:r w:rsidRPr="006065DA">
        <w:tab/>
      </w:r>
      <w:r w:rsidRPr="006065DA">
        <w:tab/>
      </w:r>
      <w:bookmarkStart w:id="7" w:name="_Hlk54711506"/>
      <w:r>
        <w:t xml:space="preserve">Despite the repeal of section 1.4 of the </w:t>
      </w:r>
      <w:r w:rsidRPr="0043672B">
        <w:rPr>
          <w:i/>
          <w:iCs/>
        </w:rPr>
        <w:t>Other Grants Guidelines (Research) 2017</w:t>
      </w:r>
      <w:r>
        <w:t xml:space="preserve"> made by Part 1 of this instrument, that section, as in force immediately before the commencement of this Part, continues to apply on and after that commencement in relation to a </w:t>
      </w:r>
      <w:r w:rsidRPr="00111389">
        <w:rPr>
          <w:i/>
          <w:iCs/>
        </w:rPr>
        <w:t>RSP</w:t>
      </w:r>
      <w:r w:rsidRPr="0043672B">
        <w:t xml:space="preserve"> </w:t>
      </w:r>
      <w:r w:rsidRPr="00B11E51">
        <w:t>grant</w:t>
      </w:r>
      <w:r w:rsidRPr="00023441">
        <w:t xml:space="preserve"> </w:t>
      </w:r>
      <w:r w:rsidRPr="00DE0A9F">
        <w:t xml:space="preserve">to be determined for a </w:t>
      </w:r>
      <w:r w:rsidRPr="00111389">
        <w:rPr>
          <w:i/>
          <w:iCs/>
        </w:rPr>
        <w:t>HEP</w:t>
      </w:r>
      <w:r w:rsidRPr="00DE0A9F">
        <w:t xml:space="preserve"> </w:t>
      </w:r>
      <w:r>
        <w:t xml:space="preserve">for the 2020 </w:t>
      </w:r>
      <w:r w:rsidRPr="00111389">
        <w:rPr>
          <w:i/>
          <w:iCs/>
        </w:rPr>
        <w:t>Grant Year</w:t>
      </w:r>
      <w:bookmarkEnd w:id="7"/>
      <w:r w:rsidRPr="0043672B">
        <w:t>.</w:t>
      </w:r>
    </w:p>
    <w:p w14:paraId="7750EC7A" w14:textId="77777777" w:rsidR="00B11E51" w:rsidRDefault="00B11E51" w:rsidP="005E317F">
      <w:pPr>
        <w:pStyle w:val="subsection"/>
      </w:pPr>
    </w:p>
    <w:p w14:paraId="0D705BF7" w14:textId="77777777" w:rsidR="005E317F" w:rsidRDefault="005E317F" w:rsidP="005E317F">
      <w:pPr>
        <w:pStyle w:val="ActHead6"/>
        <w:pageBreakBefore/>
      </w:pPr>
      <w:bookmarkStart w:id="8" w:name="_Toc5166304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</w:p>
    <w:p w14:paraId="2A84C861" w14:textId="77777777" w:rsidR="00FF067C" w:rsidRPr="006E4B6C" w:rsidRDefault="00FF067C" w:rsidP="00FF067C">
      <w:pPr>
        <w:pStyle w:val="ActHead9"/>
      </w:pPr>
      <w:bookmarkStart w:id="9" w:name="_Toc51663046"/>
      <w:r w:rsidRPr="006E4B6C">
        <w:t>Other Grants Guidelines (Research) 2017</w:t>
      </w:r>
      <w:bookmarkEnd w:id="9"/>
    </w:p>
    <w:p w14:paraId="43080D2D" w14:textId="77777777" w:rsidR="00023441" w:rsidRDefault="00023441" w:rsidP="00C93C47">
      <w:pPr>
        <w:pStyle w:val="ItemHead"/>
      </w:pPr>
      <w:r>
        <w:t xml:space="preserve">Part 1 – Amendments </w:t>
      </w:r>
    </w:p>
    <w:p w14:paraId="26EE4C51" w14:textId="28231A37" w:rsidR="00C93C47" w:rsidRDefault="005E317F" w:rsidP="00C93C47">
      <w:pPr>
        <w:pStyle w:val="ItemHead"/>
      </w:pPr>
      <w:r>
        <w:t xml:space="preserve">1 </w:t>
      </w:r>
      <w:r w:rsidR="002E0A12">
        <w:t xml:space="preserve">Paragraph </w:t>
      </w:r>
      <w:r w:rsidR="00C93C47">
        <w:t>i.v</w:t>
      </w:r>
      <w:r w:rsidR="002E0A12">
        <w:t>.ii</w:t>
      </w:r>
      <w:r w:rsidR="00C93C47">
        <w:t xml:space="preserve"> Interpretation</w:t>
      </w:r>
    </w:p>
    <w:p w14:paraId="5BD1D8AB" w14:textId="60FA5048" w:rsidR="006B5964" w:rsidRDefault="00C93C47">
      <w:pPr>
        <w:pStyle w:val="Item"/>
      </w:pPr>
      <w:r>
        <w:t>Ins</w:t>
      </w:r>
      <w:r w:rsidR="006B5964">
        <w:t>ert</w:t>
      </w:r>
      <w:r w:rsidR="00A13292">
        <w:t xml:space="preserve"> the following definitions so that the resulting list remains</w:t>
      </w:r>
      <w:r w:rsidR="006B5964">
        <w:t xml:space="preserve"> </w:t>
      </w:r>
      <w:r w:rsidR="008911CC">
        <w:t>in alphabetical order</w:t>
      </w:r>
      <w:r w:rsidR="006B5964">
        <w:t xml:space="preserve">: </w:t>
      </w:r>
    </w:p>
    <w:p w14:paraId="1C71F45C" w14:textId="77777777" w:rsidR="001558F5" w:rsidRPr="001558F5" w:rsidRDefault="001558F5" w:rsidP="001558F5">
      <w:pPr>
        <w:pStyle w:val="ItemHead"/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111"/>
      </w:tblGrid>
      <w:tr w:rsidR="001558F5" w14:paraId="48BB2BE5" w14:textId="77777777" w:rsidTr="001558F5">
        <w:tc>
          <w:tcPr>
            <w:tcW w:w="2972" w:type="dxa"/>
          </w:tcPr>
          <w:p w14:paraId="5AB837E6" w14:textId="77777777" w:rsidR="001558F5" w:rsidRDefault="001558F5" w:rsidP="001558F5">
            <w:pPr>
              <w:pStyle w:val="Item"/>
              <w:ind w:left="0"/>
            </w:pPr>
            <w:r>
              <w:rPr>
                <w:i/>
                <w:iCs/>
              </w:rPr>
              <w:t>AAHMS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</w:p>
        </w:tc>
        <w:tc>
          <w:tcPr>
            <w:tcW w:w="4111" w:type="dxa"/>
          </w:tcPr>
          <w:p w14:paraId="68456185" w14:textId="77777777" w:rsidR="001558F5" w:rsidRPr="001558F5" w:rsidRDefault="001558F5" w:rsidP="001558F5">
            <w:pPr>
              <w:pStyle w:val="Item"/>
              <w:ind w:left="0"/>
            </w:pPr>
            <w:r>
              <w:t>Australian Academy of Health and Medical Sciences</w:t>
            </w:r>
          </w:p>
        </w:tc>
      </w:tr>
      <w:tr w:rsidR="001558F5" w14:paraId="1BE98E21" w14:textId="77777777" w:rsidTr="001558F5">
        <w:tc>
          <w:tcPr>
            <w:tcW w:w="2972" w:type="dxa"/>
          </w:tcPr>
          <w:p w14:paraId="4F8FBE57" w14:textId="76446E3D" w:rsidR="001558F5" w:rsidRDefault="001558F5" w:rsidP="001558F5">
            <w:pPr>
              <w:pStyle w:val="Item"/>
              <w:ind w:left="0"/>
              <w:rPr>
                <w:i/>
                <w:iCs/>
              </w:rPr>
            </w:pPr>
            <w:r w:rsidRPr="00C93C47">
              <w:rPr>
                <w:i/>
                <w:iCs/>
              </w:rPr>
              <w:t xml:space="preserve">COVID-19 </w:t>
            </w:r>
            <w:r>
              <w:rPr>
                <w:i/>
                <w:iCs/>
              </w:rPr>
              <w:t xml:space="preserve">Supplementary </w:t>
            </w:r>
          </w:p>
          <w:p w14:paraId="25858243" w14:textId="77777777" w:rsidR="001558F5" w:rsidRDefault="001558F5" w:rsidP="001558F5">
            <w:pPr>
              <w:pStyle w:val="Item"/>
              <w:ind w:left="0"/>
              <w:rPr>
                <w:i/>
                <w:iCs/>
              </w:rPr>
            </w:pPr>
            <w:r w:rsidRPr="00C93C47">
              <w:rPr>
                <w:i/>
                <w:iCs/>
              </w:rPr>
              <w:t>Funding Pool</w:t>
            </w:r>
          </w:p>
          <w:p w14:paraId="21316B97" w14:textId="77777777" w:rsidR="00134248" w:rsidRDefault="00134248" w:rsidP="00134248">
            <w:pPr>
              <w:pStyle w:val="Item"/>
              <w:ind w:left="0"/>
              <w:rPr>
                <w:i/>
                <w:iCs/>
              </w:rPr>
            </w:pPr>
          </w:p>
          <w:p w14:paraId="7C103DC9" w14:textId="1610E517" w:rsidR="002E039F" w:rsidRPr="00B11E51" w:rsidRDefault="002E039F" w:rsidP="0043672B">
            <w:pPr>
              <w:pStyle w:val="Item"/>
              <w:ind w:left="0"/>
              <w:rPr>
                <w:i/>
                <w:iCs/>
              </w:rPr>
            </w:pPr>
            <w:r w:rsidRPr="00134248">
              <w:rPr>
                <w:i/>
                <w:iCs/>
              </w:rPr>
              <w:t>COVID</w:t>
            </w:r>
            <w:r w:rsidR="00134248" w:rsidRPr="00134248">
              <w:rPr>
                <w:i/>
                <w:iCs/>
              </w:rPr>
              <w:t xml:space="preserve">-19 Supplementary </w:t>
            </w:r>
            <w:r w:rsidR="00134248" w:rsidRPr="00033D2B">
              <w:rPr>
                <w:i/>
                <w:iCs/>
              </w:rPr>
              <w:t>Gran</w:t>
            </w:r>
            <w:r w:rsidR="00134248" w:rsidRPr="00B11E51">
              <w:rPr>
                <w:i/>
                <w:iCs/>
              </w:rPr>
              <w:t xml:space="preserve">t Amount </w:t>
            </w:r>
          </w:p>
          <w:p w14:paraId="5885FAC0" w14:textId="10FE2575" w:rsidR="002E039F" w:rsidRPr="002E039F" w:rsidRDefault="002E039F" w:rsidP="0043672B">
            <w:pPr>
              <w:pStyle w:val="ItemHead"/>
            </w:pPr>
            <w:r w:rsidRPr="002E039F">
              <w:rPr>
                <w:rFonts w:ascii="Times New Roman" w:hAnsi="Times New Roman"/>
                <w:b w:val="0"/>
                <w:i/>
                <w:iCs/>
                <w:kern w:val="0"/>
                <w:sz w:val="22"/>
              </w:rPr>
              <w:t xml:space="preserve">RSP </w:t>
            </w:r>
            <w:r w:rsidR="00727E9E">
              <w:rPr>
                <w:rFonts w:ascii="Times New Roman" w:hAnsi="Times New Roman"/>
                <w:b w:val="0"/>
                <w:i/>
                <w:iCs/>
                <w:kern w:val="0"/>
                <w:sz w:val="22"/>
              </w:rPr>
              <w:t>Base Grant Amount</w:t>
            </w:r>
          </w:p>
        </w:tc>
        <w:tc>
          <w:tcPr>
            <w:tcW w:w="4111" w:type="dxa"/>
          </w:tcPr>
          <w:p w14:paraId="57974603" w14:textId="050F6C36" w:rsidR="002E039F" w:rsidRPr="002E039F" w:rsidRDefault="001558F5" w:rsidP="00B11E51">
            <w:pPr>
              <w:pStyle w:val="Item"/>
              <w:ind w:left="0"/>
            </w:pPr>
            <w:r w:rsidRPr="006E1F16">
              <w:t xml:space="preserve">is </w:t>
            </w:r>
            <w:r w:rsidR="002E7998">
              <w:t>$1,000,000,000</w:t>
            </w:r>
            <w:r>
              <w:rPr>
                <w:i/>
                <w:iCs/>
              </w:rPr>
              <w:t xml:space="preserve"> </w:t>
            </w:r>
            <w:r w:rsidRPr="006E1F16">
              <w:t xml:space="preserve">for the 2021 </w:t>
            </w:r>
            <w:r w:rsidRPr="006324D3">
              <w:rPr>
                <w:i/>
                <w:iCs/>
              </w:rPr>
              <w:t>Grant Year</w:t>
            </w:r>
            <w:r w:rsidRPr="006E1F16">
              <w:t xml:space="preserve"> only</w:t>
            </w:r>
          </w:p>
          <w:p w14:paraId="56730380" w14:textId="77777777" w:rsidR="00134248" w:rsidRDefault="00134248" w:rsidP="00134248">
            <w:pPr>
              <w:pStyle w:val="Item"/>
              <w:ind w:left="0"/>
            </w:pPr>
          </w:p>
          <w:p w14:paraId="6E4EA8B8" w14:textId="3102E0B3" w:rsidR="00134248" w:rsidRDefault="00134248" w:rsidP="00134248">
            <w:pPr>
              <w:pStyle w:val="Item"/>
              <w:ind w:left="0"/>
            </w:pPr>
            <w:r w:rsidRPr="002E039F">
              <w:t>is the amount</w:t>
            </w:r>
            <w:r>
              <w:t xml:space="preserve"> determined under paragraph 1.4.30 </w:t>
            </w:r>
          </w:p>
          <w:p w14:paraId="26F18E37" w14:textId="50B785DC" w:rsidR="00134248" w:rsidRPr="00134248" w:rsidRDefault="00134248" w:rsidP="00134248">
            <w:pPr>
              <w:pStyle w:val="Item"/>
              <w:ind w:left="0"/>
            </w:pPr>
            <w:r>
              <w:t>is the amount determined under paragraph 1.4.15</w:t>
            </w:r>
          </w:p>
        </w:tc>
      </w:tr>
      <w:tr w:rsidR="001558F5" w14:paraId="1A872AEF" w14:textId="77777777" w:rsidTr="001558F5">
        <w:tc>
          <w:tcPr>
            <w:tcW w:w="2972" w:type="dxa"/>
          </w:tcPr>
          <w:p w14:paraId="69FE39AA" w14:textId="77777777" w:rsidR="001558F5" w:rsidRDefault="0038246A">
            <w:pPr>
              <w:pStyle w:val="Item"/>
              <w:ind w:left="0"/>
            </w:pPr>
            <w:r>
              <w:rPr>
                <w:i/>
                <w:iCs/>
              </w:rPr>
              <w:t xml:space="preserve">RSP </w:t>
            </w:r>
            <w:r w:rsidR="001558F5">
              <w:rPr>
                <w:i/>
                <w:iCs/>
              </w:rPr>
              <w:t>Funding Pool</w:t>
            </w:r>
          </w:p>
        </w:tc>
        <w:tc>
          <w:tcPr>
            <w:tcW w:w="4111" w:type="dxa"/>
          </w:tcPr>
          <w:p w14:paraId="58F71901" w14:textId="0326865A" w:rsidR="001558F5" w:rsidRDefault="001558F5">
            <w:pPr>
              <w:pStyle w:val="Item"/>
              <w:ind w:left="0"/>
            </w:pPr>
            <w:r>
              <w:t xml:space="preserve">is the total amount of funding for a given </w:t>
            </w:r>
            <w:r>
              <w:rPr>
                <w:i/>
                <w:iCs/>
              </w:rPr>
              <w:t xml:space="preserve">Grant Year </w:t>
            </w:r>
            <w:r>
              <w:t xml:space="preserve">for the </w:t>
            </w:r>
            <w:r w:rsidRPr="006E1F16">
              <w:rPr>
                <w:i/>
              </w:rPr>
              <w:t>RSP</w:t>
            </w:r>
            <w:r>
              <w:t xml:space="preserve"> minus the </w:t>
            </w:r>
            <w:r>
              <w:rPr>
                <w:i/>
                <w:iCs/>
              </w:rPr>
              <w:t>COVID-19 Supplementary Funding Pool</w:t>
            </w:r>
          </w:p>
        </w:tc>
      </w:tr>
    </w:tbl>
    <w:p w14:paraId="4E86D80F" w14:textId="3DDFDFC5" w:rsidR="006E1F16" w:rsidRDefault="006E1F16" w:rsidP="006E1F16">
      <w:pPr>
        <w:pStyle w:val="ItemHead"/>
      </w:pPr>
      <w:r>
        <w:t xml:space="preserve">2 </w:t>
      </w:r>
      <w:r w:rsidR="00A13292">
        <w:t xml:space="preserve">Paragraph </w:t>
      </w:r>
      <w:r>
        <w:t>i.v</w:t>
      </w:r>
      <w:r w:rsidR="00A13292">
        <w:t>.ii</w:t>
      </w:r>
      <w:r>
        <w:t xml:space="preserve"> Interpretation</w:t>
      </w:r>
    </w:p>
    <w:p w14:paraId="09B0206C" w14:textId="7A037E6D" w:rsidR="006B5964" w:rsidRPr="007C533D" w:rsidRDefault="006B5964" w:rsidP="007C533D">
      <w:pPr>
        <w:pStyle w:val="Item"/>
      </w:pPr>
      <w:r>
        <w:t xml:space="preserve">Omit the definitions for </w:t>
      </w:r>
      <w:r w:rsidR="00CA2C46">
        <w:t>“</w:t>
      </w:r>
      <w:r w:rsidR="00CA2C46" w:rsidRPr="007C0342">
        <w:rPr>
          <w:i/>
          <w:iCs/>
        </w:rPr>
        <w:t>Funding Pool</w:t>
      </w:r>
      <w:r w:rsidR="00CA2C46">
        <w:t xml:space="preserve">”, </w:t>
      </w:r>
      <w:r>
        <w:t>“</w:t>
      </w:r>
      <w:r w:rsidRPr="00FF2E85">
        <w:rPr>
          <w:i/>
          <w:iCs/>
        </w:rPr>
        <w:t>Funding Pool A</w:t>
      </w:r>
      <w:r>
        <w:rPr>
          <w:i/>
          <w:iCs/>
        </w:rPr>
        <w:t>”</w:t>
      </w:r>
      <w:r>
        <w:t xml:space="preserve"> and “</w:t>
      </w:r>
      <w:r w:rsidRPr="00FF2E85">
        <w:rPr>
          <w:i/>
          <w:iCs/>
        </w:rPr>
        <w:t>Funding Pool B</w:t>
      </w:r>
      <w:r>
        <w:rPr>
          <w:i/>
          <w:iCs/>
        </w:rPr>
        <w:t xml:space="preserve">”. </w:t>
      </w:r>
      <w:r>
        <w:t xml:space="preserve"> </w:t>
      </w:r>
    </w:p>
    <w:p w14:paraId="44D88329" w14:textId="384D1932" w:rsidR="00C93C47" w:rsidRDefault="006E1F16" w:rsidP="00C93C47">
      <w:pPr>
        <w:pStyle w:val="ItemHead"/>
      </w:pPr>
      <w:r>
        <w:t>3</w:t>
      </w:r>
      <w:r w:rsidR="00C93C47">
        <w:t xml:space="preserve"> </w:t>
      </w:r>
      <w:r w:rsidR="004B2EE2">
        <w:t>Section 1.4 Grant Amounts</w:t>
      </w:r>
    </w:p>
    <w:p w14:paraId="412C9103" w14:textId="77777777" w:rsidR="004B2EE2" w:rsidRDefault="007C533D" w:rsidP="004B2EE2">
      <w:pPr>
        <w:pStyle w:val="Item"/>
      </w:pPr>
      <w:r>
        <w:t xml:space="preserve">Repeal </w:t>
      </w:r>
      <w:r w:rsidR="004B2EE2">
        <w:t>section 1.4, substitute</w:t>
      </w:r>
      <w:r>
        <w:t>:</w:t>
      </w:r>
    </w:p>
    <w:p w14:paraId="65C4071D" w14:textId="77777777" w:rsidR="003264EF" w:rsidRPr="00FF2E85" w:rsidRDefault="003264EF" w:rsidP="003264EF">
      <w:pPr>
        <w:pStyle w:val="Heading2"/>
        <w:spacing w:after="240"/>
        <w:rPr>
          <w:rStyle w:val="Heading2CharChar1"/>
          <w:rFonts w:cs="Times New Roman"/>
          <w:iCs w:val="0"/>
          <w:color w:val="auto"/>
          <w:sz w:val="27"/>
          <w:szCs w:val="27"/>
        </w:rPr>
      </w:pPr>
      <w:bookmarkStart w:id="10" w:name="_Toc51079483"/>
      <w:bookmarkStart w:id="11" w:name="_Toc51058865"/>
      <w:bookmarkStart w:id="12" w:name="_Toc458775485"/>
      <w:bookmarkStart w:id="13" w:name="_Toc450223510"/>
      <w:bookmarkStart w:id="14" w:name="_Toc450212591"/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1.4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  <w:t>Grant Amounts</w:t>
      </w:r>
      <w:bookmarkEnd w:id="10"/>
      <w:bookmarkEnd w:id="11"/>
      <w:bookmarkEnd w:id="12"/>
      <w:bookmarkEnd w:id="13"/>
      <w:bookmarkEnd w:id="14"/>
    </w:p>
    <w:p w14:paraId="2C51DA5F" w14:textId="77777777" w:rsidR="003264EF" w:rsidRPr="00FF2E85" w:rsidRDefault="003264EF" w:rsidP="003264EF">
      <w:pPr>
        <w:pStyle w:val="Heading2"/>
        <w:spacing w:after="240"/>
        <w:rPr>
          <w:rStyle w:val="Heading2CharChar1"/>
          <w:rFonts w:cs="Times New Roman"/>
          <w:bCs/>
          <w:color w:val="auto"/>
          <w:sz w:val="27"/>
          <w:szCs w:val="27"/>
        </w:rPr>
      </w:pPr>
      <w:bookmarkStart w:id="15" w:name="_Toc51079484"/>
      <w:bookmarkStart w:id="16" w:name="_Toc51058866"/>
      <w:bookmarkStart w:id="17" w:name="_Toc458775486"/>
      <w:bookmarkStart w:id="18" w:name="_Toc450223511"/>
      <w:bookmarkStart w:id="19" w:name="_Toc450212592"/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1.4.1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  <w:t>Determination of Grants and Indexation</w:t>
      </w:r>
      <w:bookmarkEnd w:id="15"/>
      <w:bookmarkEnd w:id="16"/>
      <w:bookmarkEnd w:id="17"/>
      <w:bookmarkEnd w:id="18"/>
      <w:bookmarkEnd w:id="19"/>
    </w:p>
    <w:p w14:paraId="5B334B7F" w14:textId="5A3056F0" w:rsidR="003264EF" w:rsidRDefault="00931E22" w:rsidP="003264EF">
      <w:pPr>
        <w:tabs>
          <w:tab w:val="left" w:pos="840"/>
        </w:tabs>
        <w:rPr>
          <w:sz w:val="24"/>
          <w:szCs w:val="24"/>
          <w:lang w:eastAsia="en-AU"/>
        </w:rPr>
      </w:pPr>
      <w:r>
        <w:t>For the purposes of</w:t>
      </w:r>
      <w:r w:rsidR="003264EF">
        <w:t xml:space="preserve"> </w:t>
      </w:r>
      <w:r>
        <w:t xml:space="preserve">paragraph </w:t>
      </w:r>
      <w:r w:rsidR="003264EF">
        <w:t xml:space="preserve">41-30(a) of </w:t>
      </w:r>
      <w:r w:rsidR="003264EF">
        <w:rPr>
          <w:i/>
        </w:rPr>
        <w:t>the Act</w:t>
      </w:r>
      <w:r w:rsidR="003264EF">
        <w:t xml:space="preserve">, the </w:t>
      </w:r>
      <w:r w:rsidR="003264EF">
        <w:rPr>
          <w:i/>
        </w:rPr>
        <w:t>RSP</w:t>
      </w:r>
      <w:r w:rsidR="003264EF">
        <w:t xml:space="preserve"> Grant Amounts </w:t>
      </w:r>
      <w:r w:rsidR="00CA2C46">
        <w:t>are</w:t>
      </w:r>
      <w:r w:rsidR="003264EF">
        <w:t xml:space="preserve"> determined in accordance with the method set out in paragraph 1.4.5 of these </w:t>
      </w:r>
      <w:r w:rsidR="003264EF">
        <w:rPr>
          <w:i/>
        </w:rPr>
        <w:t>Guidelines</w:t>
      </w:r>
      <w:r w:rsidR="003264EF">
        <w:t xml:space="preserve">. </w:t>
      </w:r>
    </w:p>
    <w:p w14:paraId="59E430EF" w14:textId="77777777" w:rsidR="003264EF" w:rsidRDefault="003264EF" w:rsidP="003264EF">
      <w:pPr>
        <w:tabs>
          <w:tab w:val="left" w:pos="840"/>
        </w:tabs>
      </w:pPr>
    </w:p>
    <w:p w14:paraId="22362CF3" w14:textId="13A25E91" w:rsidR="005C66CE" w:rsidRPr="007C0342" w:rsidRDefault="00931E22" w:rsidP="005C66CE">
      <w:pPr>
        <w:tabs>
          <w:tab w:val="left" w:pos="851"/>
        </w:tabs>
        <w:rPr>
          <w:sz w:val="20"/>
        </w:rPr>
      </w:pPr>
      <w:r w:rsidRPr="007C0342">
        <w:rPr>
          <w:sz w:val="20"/>
        </w:rPr>
        <w:t xml:space="preserve">Note: </w:t>
      </w:r>
      <w:r w:rsidR="003264EF" w:rsidRPr="007C0342">
        <w:rPr>
          <w:sz w:val="20"/>
        </w:rPr>
        <w:t xml:space="preserve">The </w:t>
      </w:r>
      <w:r w:rsidR="003264EF" w:rsidRPr="007C0342">
        <w:rPr>
          <w:i/>
          <w:sz w:val="20"/>
        </w:rPr>
        <w:t>RSP</w:t>
      </w:r>
      <w:r w:rsidR="003264EF" w:rsidRPr="007C0342">
        <w:rPr>
          <w:sz w:val="20"/>
        </w:rPr>
        <w:t xml:space="preserve"> </w:t>
      </w:r>
      <w:r w:rsidR="003264EF" w:rsidRPr="007C0342">
        <w:rPr>
          <w:i/>
          <w:sz w:val="20"/>
        </w:rPr>
        <w:t>Funding Pool</w:t>
      </w:r>
      <w:r w:rsidR="003264EF" w:rsidRPr="007C0342">
        <w:rPr>
          <w:sz w:val="20"/>
        </w:rPr>
        <w:t xml:space="preserve"> is</w:t>
      </w:r>
      <w:r w:rsidR="00A13292">
        <w:rPr>
          <w:sz w:val="20"/>
        </w:rPr>
        <w:t xml:space="preserve"> to be</w:t>
      </w:r>
      <w:r w:rsidR="003264EF" w:rsidRPr="007C0342">
        <w:rPr>
          <w:sz w:val="20"/>
        </w:rPr>
        <w:t xml:space="preserve"> indexed in </w:t>
      </w:r>
      <w:r w:rsidR="00A13292">
        <w:rPr>
          <w:sz w:val="20"/>
        </w:rPr>
        <w:t>the same way as amounts are indexed</w:t>
      </w:r>
      <w:r w:rsidR="00A13292" w:rsidRPr="007C0342">
        <w:rPr>
          <w:sz w:val="20"/>
        </w:rPr>
        <w:t xml:space="preserve"> </w:t>
      </w:r>
      <w:r w:rsidR="002E039F">
        <w:rPr>
          <w:sz w:val="20"/>
        </w:rPr>
        <w:t>under</w:t>
      </w:r>
      <w:r w:rsidR="002E039F" w:rsidRPr="007C0342">
        <w:rPr>
          <w:sz w:val="20"/>
        </w:rPr>
        <w:t xml:space="preserve"> </w:t>
      </w:r>
      <w:r w:rsidR="003264EF" w:rsidRPr="007C0342">
        <w:rPr>
          <w:sz w:val="20"/>
        </w:rPr>
        <w:t xml:space="preserve">Part 5-6 of </w:t>
      </w:r>
      <w:r w:rsidR="003264EF" w:rsidRPr="007C0342">
        <w:rPr>
          <w:i/>
          <w:sz w:val="20"/>
        </w:rPr>
        <w:t>the Act</w:t>
      </w:r>
      <w:r w:rsidR="003264EF" w:rsidRPr="007C0342">
        <w:rPr>
          <w:sz w:val="20"/>
        </w:rPr>
        <w:t xml:space="preserve">. </w:t>
      </w:r>
      <w:bookmarkStart w:id="20" w:name="_Toc51079485"/>
      <w:bookmarkStart w:id="21" w:name="_Toc51058867"/>
      <w:bookmarkStart w:id="22" w:name="_Toc27038309"/>
      <w:bookmarkStart w:id="23" w:name="_Toc458775487"/>
      <w:bookmarkStart w:id="24" w:name="_Toc450223512"/>
      <w:bookmarkStart w:id="25" w:name="_Toc450212593"/>
    </w:p>
    <w:p w14:paraId="75F1EBAB" w14:textId="0B842DFA" w:rsidR="003264EF" w:rsidRDefault="003264EF" w:rsidP="00973557">
      <w:pPr>
        <w:pStyle w:val="Heading2"/>
        <w:spacing w:after="240"/>
        <w:rPr>
          <w:lang w:eastAsia="en-AU"/>
        </w:rPr>
      </w:pP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1.4.5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  <w:t>How Grant Amounts are Determined</w:t>
      </w:r>
      <w:bookmarkEnd w:id="20"/>
      <w:bookmarkEnd w:id="21"/>
      <w:bookmarkEnd w:id="22"/>
    </w:p>
    <w:p w14:paraId="5CEB0265" w14:textId="6B133E94" w:rsidR="003264EF" w:rsidRDefault="003264EF" w:rsidP="003264EF">
      <w:pPr>
        <w:tabs>
          <w:tab w:val="left" w:pos="851"/>
        </w:tabs>
        <w:ind w:left="720" w:hanging="720"/>
      </w:pPr>
      <w:r>
        <w:t xml:space="preserve">(1) </w:t>
      </w:r>
      <w:r>
        <w:tab/>
        <w:t>Subject to any adjustment that may be made under paragraph 1.4.</w:t>
      </w:r>
      <w:r w:rsidR="00B52897">
        <w:t>40</w:t>
      </w:r>
      <w:r>
        <w:t xml:space="preserve">, the </w:t>
      </w:r>
      <w:r>
        <w:rPr>
          <w:i/>
        </w:rPr>
        <w:t>RSP</w:t>
      </w:r>
      <w:r>
        <w:t xml:space="preserve"> Grant Amount </w:t>
      </w:r>
      <w:r w:rsidR="002E039F">
        <w:t xml:space="preserve">paid </w:t>
      </w:r>
      <w:r>
        <w:t>to a</w:t>
      </w:r>
      <w:r>
        <w:rPr>
          <w:i/>
        </w:rPr>
        <w:t xml:space="preserve"> HEP</w:t>
      </w:r>
      <w:r>
        <w:t xml:space="preserve"> for the </w:t>
      </w:r>
      <w:r>
        <w:rPr>
          <w:i/>
        </w:rPr>
        <w:t>Grant Year</w:t>
      </w:r>
      <w:r>
        <w:t xml:space="preserve"> </w:t>
      </w:r>
      <w:r w:rsidR="005B4C15">
        <w:t xml:space="preserve">is </w:t>
      </w:r>
      <w:r>
        <w:t>the sum of:</w:t>
      </w:r>
    </w:p>
    <w:p w14:paraId="3EC7BF86" w14:textId="77777777" w:rsidR="003264EF" w:rsidRDefault="003264EF" w:rsidP="003264EF">
      <w:pPr>
        <w:tabs>
          <w:tab w:val="left" w:pos="851"/>
        </w:tabs>
      </w:pPr>
    </w:p>
    <w:p w14:paraId="100B4190" w14:textId="4C62F2D8" w:rsidR="003264EF" w:rsidRDefault="003264EF" w:rsidP="003264EF">
      <w:pPr>
        <w:tabs>
          <w:tab w:val="left" w:pos="851"/>
        </w:tabs>
        <w:ind w:left="1440" w:hanging="1440"/>
        <w:rPr>
          <w:color w:val="000000"/>
        </w:rPr>
      </w:pPr>
      <w:r>
        <w:rPr>
          <w:color w:val="000000"/>
        </w:rPr>
        <w:tab/>
      </w:r>
      <w:r w:rsidR="00FA57E6">
        <w:rPr>
          <w:color w:val="000000"/>
        </w:rPr>
        <w:t>(</w:t>
      </w:r>
      <w:r>
        <w:rPr>
          <w:color w:val="000000"/>
        </w:rPr>
        <w:t>a)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HEP’s</w:t>
      </w:r>
      <w:r>
        <w:rPr>
          <w:color w:val="000000"/>
        </w:rPr>
        <w:t xml:space="preserve"> </w:t>
      </w:r>
      <w:r>
        <w:rPr>
          <w:i/>
          <w:color w:val="000000"/>
        </w:rPr>
        <w:t>RSP</w:t>
      </w:r>
      <w:r>
        <w:rPr>
          <w:color w:val="000000"/>
        </w:rPr>
        <w:t xml:space="preserve"> </w:t>
      </w:r>
      <w:r w:rsidRPr="00C878D8">
        <w:rPr>
          <w:i/>
          <w:iCs/>
          <w:color w:val="000000"/>
        </w:rPr>
        <w:t>Bas</w:t>
      </w:r>
      <w:r w:rsidR="005B4C15" w:rsidRPr="00C878D8">
        <w:rPr>
          <w:i/>
          <w:iCs/>
          <w:color w:val="000000"/>
        </w:rPr>
        <w:t>e</w:t>
      </w:r>
      <w:r w:rsidRPr="00C878D8">
        <w:rPr>
          <w:i/>
          <w:iCs/>
          <w:color w:val="000000"/>
        </w:rPr>
        <w:t xml:space="preserve"> Grant Amount</w:t>
      </w:r>
      <w:r>
        <w:rPr>
          <w:color w:val="000000"/>
        </w:rPr>
        <w:t xml:space="preserve"> calculated </w:t>
      </w:r>
      <w:r w:rsidR="005B4C15">
        <w:rPr>
          <w:color w:val="000000"/>
        </w:rPr>
        <w:t>under</w:t>
      </w:r>
      <w:r w:rsidR="00923901">
        <w:rPr>
          <w:color w:val="000000"/>
        </w:rPr>
        <w:t xml:space="preserve"> </w:t>
      </w:r>
      <w:r>
        <w:rPr>
          <w:color w:val="000000"/>
        </w:rPr>
        <w:t>paragraph 1.4.1</w:t>
      </w:r>
      <w:r w:rsidR="00841DE3">
        <w:rPr>
          <w:color w:val="000000"/>
        </w:rPr>
        <w:t>5</w:t>
      </w:r>
      <w:r>
        <w:rPr>
          <w:color w:val="000000"/>
        </w:rPr>
        <w:t xml:space="preserve"> and any changes made through the application of the transitional safety net calculated </w:t>
      </w:r>
      <w:r w:rsidR="0069614B">
        <w:rPr>
          <w:color w:val="000000"/>
        </w:rPr>
        <w:t>under</w:t>
      </w:r>
      <w:r>
        <w:rPr>
          <w:color w:val="000000"/>
        </w:rPr>
        <w:t xml:space="preserve"> paragraph 1.4.</w:t>
      </w:r>
      <w:r w:rsidR="00841DE3">
        <w:rPr>
          <w:color w:val="000000"/>
        </w:rPr>
        <w:t>20</w:t>
      </w:r>
      <w:r>
        <w:rPr>
          <w:color w:val="000000"/>
        </w:rPr>
        <w:t xml:space="preserve"> (if applicable), and</w:t>
      </w:r>
    </w:p>
    <w:p w14:paraId="1ADEE88A" w14:textId="77777777" w:rsidR="003264EF" w:rsidRDefault="003264EF" w:rsidP="003264EF">
      <w:pPr>
        <w:tabs>
          <w:tab w:val="left" w:pos="851"/>
          <w:tab w:val="left" w:pos="1440"/>
        </w:tabs>
        <w:ind w:left="851" w:hanging="851"/>
        <w:rPr>
          <w:color w:val="000000"/>
        </w:rPr>
      </w:pPr>
    </w:p>
    <w:p w14:paraId="748BA496" w14:textId="47328B39" w:rsidR="003264EF" w:rsidRDefault="003264EF" w:rsidP="003264EF">
      <w:pPr>
        <w:tabs>
          <w:tab w:val="left" w:pos="851"/>
        </w:tabs>
        <w:ind w:left="1440" w:hanging="1440"/>
        <w:rPr>
          <w:color w:val="000000"/>
        </w:rPr>
      </w:pPr>
      <w:r>
        <w:rPr>
          <w:color w:val="000000"/>
        </w:rPr>
        <w:lastRenderedPageBreak/>
        <w:tab/>
      </w:r>
      <w:r w:rsidR="00FA57E6">
        <w:rPr>
          <w:color w:val="000000"/>
        </w:rPr>
        <w:t>(</w:t>
      </w:r>
      <w:r>
        <w:rPr>
          <w:color w:val="000000"/>
        </w:rPr>
        <w:t>b)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HEP’s</w:t>
      </w:r>
      <w:r>
        <w:rPr>
          <w:color w:val="000000"/>
        </w:rPr>
        <w:t xml:space="preserve"> </w:t>
      </w:r>
      <w:r w:rsidRPr="00C878D8">
        <w:rPr>
          <w:i/>
          <w:iCs/>
          <w:color w:val="000000"/>
        </w:rPr>
        <w:t>COVID-19 Supplementary Grant Amount</w:t>
      </w:r>
      <w:r>
        <w:rPr>
          <w:color w:val="000000"/>
        </w:rPr>
        <w:t xml:space="preserve"> calculated </w:t>
      </w:r>
      <w:r w:rsidR="0069614B">
        <w:rPr>
          <w:color w:val="000000"/>
        </w:rPr>
        <w:t>under</w:t>
      </w:r>
      <w:r>
        <w:rPr>
          <w:color w:val="000000"/>
        </w:rPr>
        <w:t xml:space="preserve"> paragraph 1.4.</w:t>
      </w:r>
      <w:r w:rsidR="0065346D">
        <w:rPr>
          <w:color w:val="000000"/>
        </w:rPr>
        <w:t>3</w:t>
      </w:r>
      <w:r w:rsidR="00B52897">
        <w:rPr>
          <w:color w:val="000000"/>
        </w:rPr>
        <w:t>0</w:t>
      </w:r>
      <w:r>
        <w:rPr>
          <w:color w:val="000000"/>
        </w:rPr>
        <w:t xml:space="preserve"> (if applicable),</w:t>
      </w:r>
    </w:p>
    <w:p w14:paraId="2C360003" w14:textId="77777777" w:rsidR="003264EF" w:rsidRDefault="003264EF" w:rsidP="003264EF">
      <w:pPr>
        <w:tabs>
          <w:tab w:val="left" w:pos="851"/>
          <w:tab w:val="left" w:pos="1440"/>
        </w:tabs>
        <w:ind w:left="840" w:hanging="840"/>
        <w:rPr>
          <w:color w:val="000000"/>
        </w:rPr>
      </w:pPr>
    </w:p>
    <w:p w14:paraId="2EAB2DC3" w14:textId="77777777" w:rsidR="003264EF" w:rsidRDefault="00B675DC" w:rsidP="003264EF">
      <w:pPr>
        <w:tabs>
          <w:tab w:val="left" w:pos="851"/>
        </w:tabs>
        <w:rPr>
          <w:color w:val="000000"/>
        </w:rPr>
      </w:pPr>
      <w:r>
        <w:rPr>
          <w:color w:val="000000"/>
        </w:rPr>
        <w:tab/>
      </w:r>
      <w:r w:rsidR="003264EF">
        <w:rPr>
          <w:color w:val="000000"/>
        </w:rPr>
        <w:t>as rounded in accordance with paragraph 1.4.</w:t>
      </w:r>
      <w:r w:rsidR="00B52897">
        <w:rPr>
          <w:color w:val="000000"/>
        </w:rPr>
        <w:t>3</w:t>
      </w:r>
      <w:r w:rsidR="003264EF">
        <w:rPr>
          <w:color w:val="000000"/>
        </w:rPr>
        <w:t>5</w:t>
      </w:r>
      <w:r w:rsidR="00923901">
        <w:rPr>
          <w:color w:val="000000"/>
        </w:rPr>
        <w:t>.</w:t>
      </w:r>
    </w:p>
    <w:p w14:paraId="78074DEE" w14:textId="77777777" w:rsidR="003264EF" w:rsidRPr="00FF2E85" w:rsidRDefault="003264EF" w:rsidP="003264EF">
      <w:pPr>
        <w:pStyle w:val="Heading2"/>
        <w:spacing w:after="240"/>
        <w:rPr>
          <w:rStyle w:val="Heading2CharChar1"/>
          <w:rFonts w:cs="Times New Roman"/>
          <w:color w:val="auto"/>
          <w:sz w:val="27"/>
          <w:szCs w:val="27"/>
        </w:rPr>
      </w:pPr>
      <w:bookmarkStart w:id="26" w:name="_Toc51079486"/>
      <w:bookmarkStart w:id="27" w:name="_Toc51058868"/>
      <w:bookmarkStart w:id="28" w:name="_Toc458775488"/>
      <w:bookmarkStart w:id="29" w:name="_Toc450223513"/>
      <w:bookmarkStart w:id="30" w:name="_Toc450212594"/>
      <w:bookmarkEnd w:id="23"/>
      <w:bookmarkEnd w:id="24"/>
      <w:bookmarkEnd w:id="25"/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1.4.10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  <w:t>Percentage Share</w:t>
      </w:r>
      <w:bookmarkEnd w:id="26"/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 xml:space="preserve"> of Competitive and Engagement Income</w:t>
      </w:r>
    </w:p>
    <w:p w14:paraId="4B45973A" w14:textId="77777777" w:rsidR="003264EF" w:rsidRDefault="003264EF" w:rsidP="003264EF">
      <w:r>
        <w:t xml:space="preserve">The formula for calculating each </w:t>
      </w:r>
      <w:r w:rsidRPr="00FF2E85">
        <w:rPr>
          <w:i/>
          <w:iCs/>
        </w:rPr>
        <w:t>HEP’s</w:t>
      </w:r>
      <w:r>
        <w:t xml:space="preserve"> relative percentage share of competitive and engagement income is as follows:</w:t>
      </w:r>
    </w:p>
    <w:p w14:paraId="47C757F9" w14:textId="77777777" w:rsidR="005C66CE" w:rsidRDefault="005C66CE" w:rsidP="003264EF">
      <w:pPr>
        <w:rPr>
          <w:sz w:val="24"/>
          <w:szCs w:val="24"/>
        </w:rPr>
      </w:pPr>
    </w:p>
    <w:tbl>
      <w:tblPr>
        <w:tblW w:w="8760" w:type="dxa"/>
        <w:tblLayout w:type="fixed"/>
        <w:tblLook w:val="01E0" w:firstRow="1" w:lastRow="1" w:firstColumn="1" w:lastColumn="1" w:noHBand="0" w:noVBand="0"/>
      </w:tblPr>
      <w:tblGrid>
        <w:gridCol w:w="1952"/>
        <w:gridCol w:w="268"/>
        <w:gridCol w:w="6540"/>
      </w:tblGrid>
      <w:tr w:rsidR="003264EF" w14:paraId="2CE2C64A" w14:textId="77777777" w:rsidTr="003264EF">
        <w:trPr>
          <w:trHeight w:val="397"/>
        </w:trPr>
        <w:tc>
          <w:tcPr>
            <w:tcW w:w="1951" w:type="dxa"/>
            <w:vAlign w:val="center"/>
            <w:hideMark/>
          </w:tcPr>
          <w:p w14:paraId="4586C55F" w14:textId="7913DA54" w:rsidR="003264EF" w:rsidRPr="0033099A" w:rsidRDefault="00B0106F">
            <w:pPr>
              <w:jc w:val="right"/>
              <w:rPr>
                <w:iCs/>
                <w:szCs w:val="22"/>
                <w:lang w:eastAsia="en-AU"/>
              </w:rPr>
            </w:pPr>
            <w:r w:rsidRPr="0043672B">
              <w:rPr>
                <w:rFonts w:eastAsia="Times New Roman" w:cs="Times New Roman"/>
                <w:i/>
                <w:szCs w:val="22"/>
              </w:rPr>
              <w:t>COMPETITIVE</w:t>
            </w:r>
            <w:r w:rsidRPr="0043672B">
              <w:rPr>
                <w:rFonts w:eastAsia="Times New Roman" w:cs="Times New Roman"/>
                <w:i/>
                <w:szCs w:val="22"/>
                <w:vertAlign w:val="subscript"/>
              </w:rPr>
              <w:t>i</w:t>
            </w:r>
          </w:p>
        </w:tc>
        <w:tc>
          <w:tcPr>
            <w:tcW w:w="268" w:type="dxa"/>
            <w:vAlign w:val="center"/>
            <w:hideMark/>
          </w:tcPr>
          <w:p w14:paraId="5E4EA626" w14:textId="77777777" w:rsidR="003264EF" w:rsidRPr="0043672B" w:rsidRDefault="003264EF">
            <w:pPr>
              <w:rPr>
                <w:szCs w:val="22"/>
              </w:rPr>
            </w:pPr>
            <w:r w:rsidRPr="0043672B">
              <w:rPr>
                <w:szCs w:val="22"/>
              </w:rPr>
              <w:t>=</w:t>
            </w:r>
          </w:p>
        </w:tc>
        <w:tc>
          <w:tcPr>
            <w:tcW w:w="6536" w:type="dxa"/>
            <w:vAlign w:val="center"/>
            <w:hideMark/>
          </w:tcPr>
          <w:p w14:paraId="0A48FB71" w14:textId="60153C96" w:rsidR="007B3784" w:rsidRPr="0043672B" w:rsidRDefault="003264EF">
            <w:pPr>
              <w:rPr>
                <w:rFonts w:eastAsia="Calibri"/>
                <w:szCs w:val="22"/>
              </w:rPr>
            </w:pPr>
            <w:r w:rsidRPr="0043672B">
              <w:rPr>
                <w:rFonts w:eastAsia="Calibri"/>
                <w:szCs w:val="22"/>
              </w:rPr>
              <w:t xml:space="preserve">Share of </w:t>
            </w:r>
            <w:r w:rsidRPr="0043672B">
              <w:rPr>
                <w:rFonts w:eastAsia="Calibri"/>
                <w:i/>
                <w:iCs/>
                <w:szCs w:val="22"/>
              </w:rPr>
              <w:t>Category 1</w:t>
            </w:r>
            <w:r w:rsidRPr="0043672B">
              <w:rPr>
                <w:rFonts w:eastAsia="Calibri"/>
                <w:iCs/>
                <w:szCs w:val="22"/>
              </w:rPr>
              <w:t xml:space="preserve"> income </w:t>
            </w:r>
            <w:r w:rsidRPr="0043672B">
              <w:rPr>
                <w:rFonts w:eastAsia="Calibri"/>
                <w:szCs w:val="22"/>
              </w:rPr>
              <w:t xml:space="preserve">for </w:t>
            </w:r>
            <w:r w:rsidR="0033099A" w:rsidRPr="0033099A">
              <w:rPr>
                <w:rFonts w:eastAsia="Calibri"/>
                <w:i/>
                <w:iCs/>
                <w:szCs w:val="22"/>
              </w:rPr>
              <w:t>H</w:t>
            </w:r>
            <w:r w:rsidR="0033099A" w:rsidRPr="0043672B">
              <w:rPr>
                <w:rFonts w:eastAsia="Calibri"/>
                <w:i/>
                <w:iCs/>
                <w:szCs w:val="22"/>
              </w:rPr>
              <w:t>EP i</w:t>
            </w:r>
            <w:r w:rsidRPr="0043672B">
              <w:rPr>
                <w:rFonts w:eastAsia="Calibri"/>
                <w:szCs w:val="22"/>
              </w:rPr>
              <w:t xml:space="preserve"> calculated according to the following formula:</w:t>
            </w:r>
          </w:p>
        </w:tc>
      </w:tr>
      <w:tr w:rsidR="003264EF" w14:paraId="41F07D90" w14:textId="77777777" w:rsidTr="003264EF">
        <w:trPr>
          <w:trHeight w:val="397"/>
        </w:trPr>
        <w:tc>
          <w:tcPr>
            <w:tcW w:w="1951" w:type="dxa"/>
            <w:vAlign w:val="center"/>
          </w:tcPr>
          <w:p w14:paraId="12DDCD1E" w14:textId="77777777" w:rsidR="003264EF" w:rsidRPr="0033099A" w:rsidRDefault="003264EF">
            <w:pPr>
              <w:jc w:val="right"/>
              <w:rPr>
                <w:iCs/>
                <w:szCs w:val="22"/>
              </w:rPr>
            </w:pPr>
          </w:p>
        </w:tc>
        <w:tc>
          <w:tcPr>
            <w:tcW w:w="268" w:type="dxa"/>
            <w:vAlign w:val="center"/>
          </w:tcPr>
          <w:p w14:paraId="6212AF45" w14:textId="715C0077" w:rsidR="003264EF" w:rsidRPr="0043672B" w:rsidRDefault="007B3784">
            <w:pPr>
              <w:rPr>
                <w:szCs w:val="22"/>
              </w:rPr>
            </w:pPr>
            <w:r w:rsidRPr="0043672B">
              <w:rPr>
                <w:szCs w:val="22"/>
              </w:rPr>
              <w:t xml:space="preserve"> </w:t>
            </w:r>
          </w:p>
        </w:tc>
        <w:tc>
          <w:tcPr>
            <w:tcW w:w="6536" w:type="dxa"/>
            <w:vAlign w:val="center"/>
            <w:hideMark/>
          </w:tcPr>
          <w:p w14:paraId="01DACCD3" w14:textId="17753915" w:rsidR="003264EF" w:rsidRPr="0033099A" w:rsidRDefault="007B3784">
            <w:pPr>
              <w:rPr>
                <w:rFonts w:eastAsia="Calibri"/>
                <w:szCs w:val="22"/>
              </w:rPr>
            </w:pPr>
            <w:bookmarkStart w:id="31" w:name="_Hlk54695225"/>
            <w:r w:rsidRPr="0033099A">
              <w:rPr>
                <w:noProof/>
                <w:szCs w:val="22"/>
              </w:rPr>
              <w:drawing>
                <wp:inline distT="0" distB="0" distL="0" distR="0" wp14:anchorId="7A1C68C5" wp14:editId="08F0DBD5">
                  <wp:extent cx="1953158" cy="484562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708" cy="497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1"/>
          </w:p>
        </w:tc>
      </w:tr>
      <w:tr w:rsidR="003264EF" w14:paraId="326BC916" w14:textId="77777777" w:rsidTr="003264EF">
        <w:trPr>
          <w:trHeight w:val="397"/>
        </w:trPr>
        <w:tc>
          <w:tcPr>
            <w:tcW w:w="1951" w:type="dxa"/>
            <w:vAlign w:val="center"/>
            <w:hideMark/>
          </w:tcPr>
          <w:p w14:paraId="420DDF06" w14:textId="09ABB371" w:rsidR="003264EF" w:rsidRPr="0033099A" w:rsidRDefault="00B0106F">
            <w:pPr>
              <w:jc w:val="right"/>
              <w:rPr>
                <w:rFonts w:eastAsia="Times New Roman"/>
                <w:iCs/>
                <w:szCs w:val="22"/>
              </w:rPr>
            </w:pPr>
            <w:r w:rsidRPr="0043672B">
              <w:rPr>
                <w:rFonts w:eastAsia="Times New Roman" w:cs="Times New Roman"/>
                <w:i/>
                <w:szCs w:val="22"/>
              </w:rPr>
              <w:t>ENGAGEMENT</w:t>
            </w:r>
            <w:r w:rsidRPr="0043672B">
              <w:rPr>
                <w:rFonts w:eastAsia="Times New Roman" w:cs="Times New Roman"/>
                <w:i/>
                <w:szCs w:val="22"/>
                <w:vertAlign w:val="subscript"/>
              </w:rPr>
              <w:t>i</w:t>
            </w:r>
          </w:p>
        </w:tc>
        <w:tc>
          <w:tcPr>
            <w:tcW w:w="268" w:type="dxa"/>
            <w:vAlign w:val="center"/>
            <w:hideMark/>
          </w:tcPr>
          <w:p w14:paraId="2931AE44" w14:textId="77777777" w:rsidR="003264EF" w:rsidRPr="0043672B" w:rsidRDefault="003264EF">
            <w:pPr>
              <w:rPr>
                <w:szCs w:val="22"/>
              </w:rPr>
            </w:pPr>
            <w:r w:rsidRPr="0043672B">
              <w:rPr>
                <w:szCs w:val="22"/>
              </w:rPr>
              <w:t>=</w:t>
            </w:r>
          </w:p>
        </w:tc>
        <w:tc>
          <w:tcPr>
            <w:tcW w:w="6536" w:type="dxa"/>
            <w:vAlign w:val="center"/>
            <w:hideMark/>
          </w:tcPr>
          <w:p w14:paraId="79BCC50A" w14:textId="77777777" w:rsidR="007B3784" w:rsidRPr="0043672B" w:rsidRDefault="007B3784">
            <w:pPr>
              <w:rPr>
                <w:rFonts w:eastAsia="Calibri"/>
                <w:szCs w:val="22"/>
              </w:rPr>
            </w:pPr>
          </w:p>
          <w:p w14:paraId="71F72C4F" w14:textId="1CF3608A" w:rsidR="003264EF" w:rsidRPr="0043672B" w:rsidRDefault="003264EF">
            <w:pPr>
              <w:rPr>
                <w:iCs/>
                <w:szCs w:val="22"/>
              </w:rPr>
            </w:pPr>
            <w:r w:rsidRPr="0043672B">
              <w:rPr>
                <w:rFonts w:eastAsia="Calibri"/>
                <w:szCs w:val="22"/>
              </w:rPr>
              <w:t xml:space="preserve">Share of </w:t>
            </w:r>
            <w:r w:rsidRPr="0043672B">
              <w:rPr>
                <w:rFonts w:eastAsia="Calibri"/>
                <w:i/>
                <w:iCs/>
                <w:szCs w:val="22"/>
              </w:rPr>
              <w:t>Category 2, Category 3 and Category 4</w:t>
            </w:r>
            <w:r w:rsidRPr="0043672B">
              <w:rPr>
                <w:rFonts w:eastAsia="Calibri"/>
                <w:iCs/>
                <w:szCs w:val="22"/>
              </w:rPr>
              <w:t xml:space="preserve"> income </w:t>
            </w:r>
            <w:r w:rsidRPr="0043672B">
              <w:rPr>
                <w:rFonts w:eastAsia="Calibri"/>
                <w:szCs w:val="22"/>
              </w:rPr>
              <w:t xml:space="preserve">for </w:t>
            </w:r>
            <w:r w:rsidR="0033099A" w:rsidRPr="0033099A">
              <w:rPr>
                <w:rFonts w:eastAsia="Calibri"/>
                <w:i/>
                <w:iCs/>
                <w:szCs w:val="22"/>
              </w:rPr>
              <w:t>HE</w:t>
            </w:r>
            <w:r w:rsidR="0033099A" w:rsidRPr="0043672B">
              <w:rPr>
                <w:rFonts w:eastAsia="Calibri"/>
                <w:i/>
                <w:iCs/>
                <w:szCs w:val="22"/>
              </w:rPr>
              <w:t>P i</w:t>
            </w:r>
            <w:r w:rsidRPr="0043672B">
              <w:rPr>
                <w:rFonts w:eastAsia="Calibri"/>
                <w:szCs w:val="22"/>
              </w:rPr>
              <w:t xml:space="preserve"> calculated according to the following formula:</w:t>
            </w:r>
          </w:p>
        </w:tc>
      </w:tr>
      <w:tr w:rsidR="003264EF" w14:paraId="404DF8C4" w14:textId="77777777" w:rsidTr="003264EF">
        <w:trPr>
          <w:trHeight w:val="397"/>
        </w:trPr>
        <w:tc>
          <w:tcPr>
            <w:tcW w:w="1951" w:type="dxa"/>
            <w:vAlign w:val="center"/>
          </w:tcPr>
          <w:p w14:paraId="6C0E2A87" w14:textId="77777777" w:rsidR="003264EF" w:rsidRPr="0033099A" w:rsidRDefault="003264EF" w:rsidP="0043672B">
            <w:pPr>
              <w:rPr>
                <w:iCs/>
                <w:szCs w:val="22"/>
              </w:rPr>
            </w:pPr>
          </w:p>
        </w:tc>
        <w:tc>
          <w:tcPr>
            <w:tcW w:w="268" w:type="dxa"/>
            <w:vAlign w:val="center"/>
          </w:tcPr>
          <w:p w14:paraId="76827F91" w14:textId="414A63C8" w:rsidR="003264EF" w:rsidRPr="0043672B" w:rsidRDefault="003264EF">
            <w:pPr>
              <w:rPr>
                <w:szCs w:val="22"/>
              </w:rPr>
            </w:pPr>
          </w:p>
        </w:tc>
        <w:tc>
          <w:tcPr>
            <w:tcW w:w="6536" w:type="dxa"/>
            <w:vAlign w:val="center"/>
            <w:hideMark/>
          </w:tcPr>
          <w:p w14:paraId="0764C7B4" w14:textId="337DCC42" w:rsidR="003264EF" w:rsidRPr="0033099A" w:rsidRDefault="007B3784" w:rsidP="0043672B">
            <w:pPr>
              <w:jc w:val="both"/>
              <w:rPr>
                <w:iCs/>
                <w:szCs w:val="22"/>
              </w:rPr>
            </w:pPr>
            <w:bookmarkStart w:id="32" w:name="_Hlk54695353"/>
            <w:r w:rsidRPr="0033099A">
              <w:rPr>
                <w:noProof/>
                <w:szCs w:val="22"/>
              </w:rPr>
              <w:drawing>
                <wp:inline distT="0" distB="0" distL="0" distR="0" wp14:anchorId="4282BC29" wp14:editId="26793FAE">
                  <wp:extent cx="2311603" cy="449277"/>
                  <wp:effectExtent l="0" t="0" r="0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48" cy="46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2"/>
          </w:p>
        </w:tc>
      </w:tr>
      <w:tr w:rsidR="003264EF" w14:paraId="0900155F" w14:textId="77777777" w:rsidTr="003264EF">
        <w:trPr>
          <w:trHeight w:val="397"/>
        </w:trPr>
        <w:tc>
          <w:tcPr>
            <w:tcW w:w="1951" w:type="dxa"/>
            <w:vAlign w:val="center"/>
            <w:hideMark/>
          </w:tcPr>
          <w:p w14:paraId="0A4D4FC6" w14:textId="26902566" w:rsidR="003264EF" w:rsidRPr="0033099A" w:rsidRDefault="003264EF">
            <w:pPr>
              <w:rPr>
                <w:iCs/>
                <w:szCs w:val="22"/>
              </w:rPr>
            </w:pPr>
            <w:r w:rsidRPr="0033099A">
              <w:rPr>
                <w:iCs/>
                <w:szCs w:val="22"/>
              </w:rPr>
              <w:t>where:</w:t>
            </w:r>
          </w:p>
        </w:tc>
        <w:tc>
          <w:tcPr>
            <w:tcW w:w="268" w:type="dxa"/>
            <w:vAlign w:val="center"/>
          </w:tcPr>
          <w:p w14:paraId="52FA06DE" w14:textId="77777777" w:rsidR="003264EF" w:rsidRPr="0043672B" w:rsidRDefault="003264EF">
            <w:pPr>
              <w:rPr>
                <w:szCs w:val="22"/>
              </w:rPr>
            </w:pPr>
          </w:p>
        </w:tc>
        <w:tc>
          <w:tcPr>
            <w:tcW w:w="6536" w:type="dxa"/>
            <w:vAlign w:val="center"/>
          </w:tcPr>
          <w:p w14:paraId="5CE6455E" w14:textId="77777777" w:rsidR="003264EF" w:rsidRPr="0043672B" w:rsidRDefault="003264EF">
            <w:pPr>
              <w:rPr>
                <w:rFonts w:eastAsia="Calibri"/>
                <w:szCs w:val="22"/>
              </w:rPr>
            </w:pPr>
          </w:p>
        </w:tc>
      </w:tr>
      <w:tr w:rsidR="003264EF" w14:paraId="5ABFBC9D" w14:textId="77777777" w:rsidTr="003264EF">
        <w:trPr>
          <w:trHeight w:val="397"/>
        </w:trPr>
        <w:tc>
          <w:tcPr>
            <w:tcW w:w="1951" w:type="dxa"/>
            <w:vAlign w:val="center"/>
            <w:hideMark/>
          </w:tcPr>
          <w:p w14:paraId="63409867" w14:textId="09A58901" w:rsidR="003264EF" w:rsidRPr="0033099A" w:rsidRDefault="00BE7836">
            <w:pPr>
              <w:jc w:val="right"/>
              <w:rPr>
                <w:rFonts w:eastAsia="Times New Roman"/>
                <w:iCs/>
                <w:szCs w:val="22"/>
              </w:rPr>
            </w:pPr>
            <w:r w:rsidRPr="0043672B">
              <w:rPr>
                <w:rFonts w:eastAsia="Times New Roman" w:cs="Times New Roman"/>
                <w:i/>
                <w:szCs w:val="22"/>
              </w:rPr>
              <w:t>y</w:t>
            </w:r>
          </w:p>
        </w:tc>
        <w:tc>
          <w:tcPr>
            <w:tcW w:w="268" w:type="dxa"/>
            <w:vAlign w:val="center"/>
            <w:hideMark/>
          </w:tcPr>
          <w:p w14:paraId="40239EC7" w14:textId="77777777" w:rsidR="003264EF" w:rsidRPr="0043672B" w:rsidRDefault="003264EF">
            <w:pPr>
              <w:rPr>
                <w:szCs w:val="22"/>
              </w:rPr>
            </w:pPr>
            <w:r w:rsidRPr="0043672B">
              <w:rPr>
                <w:szCs w:val="22"/>
              </w:rPr>
              <w:t>=</w:t>
            </w:r>
          </w:p>
        </w:tc>
        <w:tc>
          <w:tcPr>
            <w:tcW w:w="6536" w:type="dxa"/>
            <w:vAlign w:val="center"/>
            <w:hideMark/>
          </w:tcPr>
          <w:p w14:paraId="318F1FB2" w14:textId="7CFD00EF" w:rsidR="003264EF" w:rsidRPr="0043672B" w:rsidRDefault="007B3784">
            <w:pPr>
              <w:rPr>
                <w:iCs/>
                <w:szCs w:val="22"/>
              </w:rPr>
            </w:pPr>
            <w:r w:rsidRPr="0043672B">
              <w:rPr>
                <w:rFonts w:eastAsia="Calibri"/>
                <w:szCs w:val="22"/>
              </w:rPr>
              <w:t>y</w:t>
            </w:r>
            <w:r w:rsidR="003264EF" w:rsidRPr="0043672B">
              <w:rPr>
                <w:rFonts w:eastAsia="Calibri"/>
                <w:szCs w:val="22"/>
              </w:rPr>
              <w:t>ear for which the grant is given</w:t>
            </w:r>
          </w:p>
        </w:tc>
      </w:tr>
      <w:tr w:rsidR="003264EF" w14:paraId="758A048B" w14:textId="77777777" w:rsidTr="003264EF">
        <w:trPr>
          <w:trHeight w:val="397"/>
        </w:trPr>
        <w:tc>
          <w:tcPr>
            <w:tcW w:w="1951" w:type="dxa"/>
            <w:vAlign w:val="center"/>
            <w:hideMark/>
          </w:tcPr>
          <w:p w14:paraId="08B3C1C8" w14:textId="096E9361" w:rsidR="003264EF" w:rsidRPr="0033099A" w:rsidRDefault="00BE7836">
            <w:pPr>
              <w:jc w:val="right"/>
              <w:rPr>
                <w:iCs/>
                <w:szCs w:val="22"/>
              </w:rPr>
            </w:pPr>
            <w:r w:rsidRPr="0043672B">
              <w:rPr>
                <w:rFonts w:eastAsia="Times New Roman" w:cs="Times New Roman"/>
                <w:i/>
                <w:szCs w:val="22"/>
              </w:rPr>
              <w:t>y</w:t>
            </w:r>
            <w:r w:rsidRPr="0043672B">
              <w:rPr>
                <w:rFonts w:eastAsia="Times New Roman" w:cs="Times New Roman"/>
                <w:iCs/>
                <w:szCs w:val="22"/>
              </w:rPr>
              <w:t>1,</w:t>
            </w:r>
            <w:r w:rsidRPr="0043672B">
              <w:rPr>
                <w:rFonts w:eastAsia="Times New Roman" w:cs="Times New Roman"/>
                <w:i/>
                <w:szCs w:val="22"/>
              </w:rPr>
              <w:t>y</w:t>
            </w:r>
            <w:r w:rsidRPr="0043672B">
              <w:rPr>
                <w:rFonts w:eastAsia="Times New Roman" w:cs="Times New Roman"/>
                <w:iCs/>
                <w:szCs w:val="22"/>
              </w:rPr>
              <w:t>2</w:t>
            </w:r>
          </w:p>
        </w:tc>
        <w:tc>
          <w:tcPr>
            <w:tcW w:w="268" w:type="dxa"/>
            <w:vAlign w:val="center"/>
            <w:hideMark/>
          </w:tcPr>
          <w:p w14:paraId="731DDAF6" w14:textId="77777777" w:rsidR="003264EF" w:rsidRPr="0043672B" w:rsidRDefault="003264EF">
            <w:pPr>
              <w:rPr>
                <w:szCs w:val="22"/>
              </w:rPr>
            </w:pPr>
            <w:r w:rsidRPr="0043672B">
              <w:rPr>
                <w:szCs w:val="22"/>
              </w:rPr>
              <w:t>=</w:t>
            </w:r>
          </w:p>
        </w:tc>
        <w:tc>
          <w:tcPr>
            <w:tcW w:w="6536" w:type="dxa"/>
            <w:vAlign w:val="center"/>
            <w:hideMark/>
          </w:tcPr>
          <w:p w14:paraId="5B66103E" w14:textId="77777777" w:rsidR="003264EF" w:rsidRPr="0033099A" w:rsidRDefault="003264EF">
            <w:pPr>
              <w:rPr>
                <w:iCs/>
                <w:szCs w:val="22"/>
              </w:rPr>
            </w:pPr>
            <w:r w:rsidRPr="0043672B">
              <w:rPr>
                <w:rFonts w:eastAsia="Calibri"/>
                <w:iCs/>
                <w:szCs w:val="22"/>
              </w:rPr>
              <w:t>the most recent (</w:t>
            </w:r>
            <w:r w:rsidRPr="0043672B">
              <w:rPr>
                <w:rFonts w:eastAsia="Calibri"/>
                <w:i/>
                <w:szCs w:val="22"/>
              </w:rPr>
              <w:t>y</w:t>
            </w:r>
            <w:r w:rsidRPr="0033099A">
              <w:rPr>
                <w:rFonts w:eastAsia="Calibri"/>
                <w:iCs/>
                <w:szCs w:val="22"/>
              </w:rPr>
              <w:t>1) and second most recent (</w:t>
            </w:r>
            <w:r w:rsidRPr="0043672B">
              <w:rPr>
                <w:rFonts w:eastAsia="Calibri"/>
                <w:i/>
                <w:szCs w:val="22"/>
              </w:rPr>
              <w:t>y</w:t>
            </w:r>
            <w:r w:rsidRPr="0033099A">
              <w:rPr>
                <w:rFonts w:eastAsia="Calibri"/>
                <w:iCs/>
                <w:szCs w:val="22"/>
              </w:rPr>
              <w:t>2) years for which data is available</w:t>
            </w:r>
          </w:p>
        </w:tc>
      </w:tr>
      <w:tr w:rsidR="003264EF" w14:paraId="7DA8C51B" w14:textId="77777777" w:rsidTr="003264EF">
        <w:trPr>
          <w:trHeight w:val="397"/>
        </w:trPr>
        <w:tc>
          <w:tcPr>
            <w:tcW w:w="1951" w:type="dxa"/>
            <w:vAlign w:val="center"/>
            <w:hideMark/>
          </w:tcPr>
          <w:p w14:paraId="4ADD4986" w14:textId="368E2373" w:rsidR="003264EF" w:rsidRPr="0033099A" w:rsidRDefault="00DF1F27">
            <w:pPr>
              <w:jc w:val="right"/>
              <w:rPr>
                <w:iCs/>
                <w:szCs w:val="22"/>
              </w:rPr>
            </w:pPr>
            <w:r w:rsidRPr="0043672B">
              <w:rPr>
                <w:rFonts w:eastAsia="Times New Roman" w:cs="Times New Roman"/>
                <w:i/>
                <w:szCs w:val="22"/>
              </w:rPr>
              <w:t>i</w:t>
            </w:r>
          </w:p>
        </w:tc>
        <w:tc>
          <w:tcPr>
            <w:tcW w:w="268" w:type="dxa"/>
            <w:vAlign w:val="center"/>
            <w:hideMark/>
          </w:tcPr>
          <w:p w14:paraId="265A6B6E" w14:textId="77777777" w:rsidR="003264EF" w:rsidRPr="0043672B" w:rsidRDefault="003264EF">
            <w:pPr>
              <w:rPr>
                <w:szCs w:val="22"/>
              </w:rPr>
            </w:pPr>
            <w:r w:rsidRPr="0043672B">
              <w:rPr>
                <w:rFonts w:eastAsia="Calibri"/>
                <w:szCs w:val="22"/>
              </w:rPr>
              <w:t>=</w:t>
            </w:r>
          </w:p>
        </w:tc>
        <w:tc>
          <w:tcPr>
            <w:tcW w:w="6536" w:type="dxa"/>
            <w:vAlign w:val="center"/>
            <w:hideMark/>
          </w:tcPr>
          <w:p w14:paraId="75D814F4" w14:textId="2D4BDC39" w:rsidR="003264EF" w:rsidRPr="0033099A" w:rsidRDefault="00DF1F27">
            <w:pPr>
              <w:rPr>
                <w:rFonts w:eastAsia="Calibri"/>
                <w:iCs/>
                <w:szCs w:val="22"/>
              </w:rPr>
            </w:pPr>
            <w:r w:rsidRPr="0043672B">
              <w:rPr>
                <w:rFonts w:eastAsia="Calibri"/>
                <w:i/>
                <w:iCs/>
                <w:szCs w:val="22"/>
              </w:rPr>
              <w:t>HEP</w:t>
            </w:r>
            <w:r w:rsidRPr="0033099A">
              <w:rPr>
                <w:rFonts w:eastAsia="Calibri"/>
                <w:szCs w:val="22"/>
              </w:rPr>
              <w:t xml:space="preserve"> </w:t>
            </w:r>
            <w:r w:rsidR="003264EF" w:rsidRPr="0033099A">
              <w:rPr>
                <w:rFonts w:eastAsia="Calibri"/>
                <w:szCs w:val="22"/>
              </w:rPr>
              <w:t>1</w:t>
            </w:r>
            <w:r w:rsidR="00BE7836" w:rsidRPr="0043672B">
              <w:rPr>
                <w:rFonts w:eastAsia="Calibri"/>
                <w:szCs w:val="22"/>
              </w:rPr>
              <w:t xml:space="preserve"> to </w:t>
            </w:r>
            <w:r w:rsidR="003264EF" w:rsidRPr="0043672B">
              <w:rPr>
                <w:rFonts w:eastAsia="Calibri"/>
                <w:i/>
                <w:iCs/>
                <w:szCs w:val="22"/>
              </w:rPr>
              <w:t>n</w:t>
            </w:r>
            <w:r w:rsidR="003264EF" w:rsidRPr="0033099A">
              <w:rPr>
                <w:rFonts w:eastAsia="Calibri"/>
                <w:szCs w:val="22"/>
              </w:rPr>
              <w:t xml:space="preserve">, where </w:t>
            </w:r>
            <w:r w:rsidR="003264EF" w:rsidRPr="0043672B">
              <w:rPr>
                <w:rFonts w:eastAsia="Calibri"/>
                <w:i/>
                <w:iCs/>
                <w:szCs w:val="22"/>
              </w:rPr>
              <w:t>n</w:t>
            </w:r>
            <w:r w:rsidR="003264EF" w:rsidRPr="0033099A">
              <w:rPr>
                <w:rFonts w:eastAsia="Calibri"/>
                <w:szCs w:val="22"/>
              </w:rPr>
              <w:t xml:space="preserve"> is the total number of </w:t>
            </w:r>
            <w:r w:rsidR="003264EF" w:rsidRPr="0033099A">
              <w:rPr>
                <w:rFonts w:eastAsia="Calibri"/>
                <w:i/>
                <w:szCs w:val="22"/>
              </w:rPr>
              <w:t>HEPs</w:t>
            </w:r>
          </w:p>
        </w:tc>
      </w:tr>
      <w:tr w:rsidR="00DF1F27" w14:paraId="5E19A3F9" w14:textId="77777777" w:rsidTr="003264EF">
        <w:trPr>
          <w:trHeight w:val="397"/>
        </w:trPr>
        <w:tc>
          <w:tcPr>
            <w:tcW w:w="1951" w:type="dxa"/>
            <w:vAlign w:val="center"/>
          </w:tcPr>
          <w:p w14:paraId="28FE0937" w14:textId="0FC6B941" w:rsidR="00DF1F27" w:rsidRPr="0043672B" w:rsidRDefault="00DF1F27">
            <w:pPr>
              <w:jc w:val="right"/>
              <w:rPr>
                <w:rFonts w:eastAsia="Times New Roman" w:cs="Times New Roman"/>
                <w:i/>
                <w:szCs w:val="22"/>
              </w:rPr>
            </w:pPr>
            <w:r w:rsidRPr="0043672B">
              <w:rPr>
                <w:rFonts w:eastAsia="Times New Roman" w:cs="Times New Roman"/>
                <w:i/>
                <w:szCs w:val="22"/>
              </w:rPr>
              <w:t>j</w:t>
            </w:r>
          </w:p>
        </w:tc>
        <w:tc>
          <w:tcPr>
            <w:tcW w:w="268" w:type="dxa"/>
            <w:vAlign w:val="center"/>
          </w:tcPr>
          <w:p w14:paraId="34B45CAC" w14:textId="1E36B50D" w:rsidR="00DF1F27" w:rsidRPr="0033099A" w:rsidRDefault="00DF1F27">
            <w:pPr>
              <w:rPr>
                <w:rFonts w:eastAsia="Calibri"/>
                <w:szCs w:val="22"/>
              </w:rPr>
            </w:pPr>
            <w:r w:rsidRPr="0033099A">
              <w:rPr>
                <w:rFonts w:eastAsia="Calibri"/>
                <w:szCs w:val="22"/>
              </w:rPr>
              <w:t>=</w:t>
            </w:r>
          </w:p>
        </w:tc>
        <w:tc>
          <w:tcPr>
            <w:tcW w:w="6536" w:type="dxa"/>
            <w:vAlign w:val="center"/>
          </w:tcPr>
          <w:p w14:paraId="0653F639" w14:textId="3D298DD4" w:rsidR="00DF1F27" w:rsidRPr="0033099A" w:rsidRDefault="00DF1F27">
            <w:pPr>
              <w:rPr>
                <w:rFonts w:eastAsia="Calibri"/>
                <w:szCs w:val="22"/>
              </w:rPr>
            </w:pPr>
            <w:r w:rsidRPr="0043672B">
              <w:rPr>
                <w:rFonts w:eastAsia="Calibri"/>
                <w:i/>
                <w:iCs/>
                <w:szCs w:val="22"/>
              </w:rPr>
              <w:t>HEP</w:t>
            </w:r>
            <w:r w:rsidRPr="0033099A">
              <w:rPr>
                <w:rFonts w:eastAsia="Calibri"/>
                <w:szCs w:val="22"/>
              </w:rPr>
              <w:t xml:space="preserve"> 1</w:t>
            </w:r>
            <w:r w:rsidR="00BE7836" w:rsidRPr="0033099A">
              <w:rPr>
                <w:rFonts w:eastAsia="Calibri"/>
                <w:szCs w:val="22"/>
              </w:rPr>
              <w:t xml:space="preserve"> </w:t>
            </w:r>
            <w:r w:rsidR="00BE7836" w:rsidRPr="0043672B">
              <w:rPr>
                <w:rFonts w:eastAsia="Calibri"/>
                <w:szCs w:val="22"/>
              </w:rPr>
              <w:t xml:space="preserve">to </w:t>
            </w:r>
            <w:r w:rsidRPr="0043672B">
              <w:rPr>
                <w:rFonts w:eastAsia="Calibri"/>
                <w:i/>
                <w:iCs/>
                <w:szCs w:val="22"/>
              </w:rPr>
              <w:t>n</w:t>
            </w:r>
            <w:r w:rsidRPr="0033099A">
              <w:rPr>
                <w:rFonts w:eastAsia="Calibri"/>
                <w:szCs w:val="22"/>
              </w:rPr>
              <w:t>, w</w:t>
            </w:r>
            <w:r w:rsidRPr="0043672B">
              <w:rPr>
                <w:rFonts w:eastAsia="Calibri"/>
                <w:szCs w:val="22"/>
              </w:rPr>
              <w:t xml:space="preserve">here </w:t>
            </w:r>
            <w:r w:rsidRPr="0043672B">
              <w:rPr>
                <w:rFonts w:eastAsia="Calibri"/>
                <w:i/>
                <w:iCs/>
                <w:szCs w:val="22"/>
              </w:rPr>
              <w:t>n</w:t>
            </w:r>
            <w:r w:rsidRPr="0033099A">
              <w:rPr>
                <w:rFonts w:eastAsia="Calibri"/>
                <w:szCs w:val="22"/>
              </w:rPr>
              <w:t xml:space="preserve"> is</w:t>
            </w:r>
            <w:r w:rsidRPr="0043672B">
              <w:rPr>
                <w:rFonts w:eastAsia="Calibri"/>
                <w:szCs w:val="22"/>
              </w:rPr>
              <w:t xml:space="preserve"> the total number of </w:t>
            </w:r>
            <w:r w:rsidRPr="0043672B">
              <w:rPr>
                <w:rFonts w:eastAsia="Calibri"/>
                <w:i/>
                <w:iCs/>
                <w:szCs w:val="22"/>
              </w:rPr>
              <w:t>HEPs</w:t>
            </w:r>
          </w:p>
        </w:tc>
      </w:tr>
    </w:tbl>
    <w:p w14:paraId="4E9E8F60" w14:textId="1FEF557D" w:rsidR="003264EF" w:rsidRPr="00FF2E85" w:rsidRDefault="003264EF" w:rsidP="003264EF">
      <w:pPr>
        <w:pStyle w:val="Heading2"/>
        <w:spacing w:after="240"/>
        <w:rPr>
          <w:rStyle w:val="Heading2CharChar1"/>
          <w:rFonts w:cs="Times New Roman"/>
          <w:color w:val="auto"/>
          <w:sz w:val="27"/>
          <w:szCs w:val="27"/>
        </w:rPr>
      </w:pPr>
      <w:bookmarkStart w:id="33" w:name="_Toc51079487"/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1.4.1</w:t>
      </w:r>
      <w:r w:rsidR="00841DE3">
        <w:rPr>
          <w:rStyle w:val="Heading2CharChar1"/>
          <w:rFonts w:cs="Times New Roman"/>
          <w:b/>
          <w:bCs/>
          <w:color w:val="auto"/>
          <w:sz w:val="27"/>
          <w:szCs w:val="27"/>
        </w:rPr>
        <w:t>5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="00134248" w:rsidRPr="00134248">
        <w:rPr>
          <w:rStyle w:val="Heading2CharChar1"/>
          <w:rFonts w:cs="Times New Roman"/>
          <w:b/>
          <w:bCs/>
          <w:i/>
          <w:iCs w:val="0"/>
          <w:color w:val="auto"/>
          <w:sz w:val="27"/>
          <w:szCs w:val="27"/>
        </w:rPr>
        <w:t xml:space="preserve">RSP </w:t>
      </w:r>
      <w:r w:rsidR="002B29C6" w:rsidRPr="00134248">
        <w:rPr>
          <w:rStyle w:val="Heading2CharChar1"/>
          <w:rFonts w:cs="Times New Roman"/>
          <w:b/>
          <w:bCs/>
          <w:i/>
          <w:iCs w:val="0"/>
          <w:color w:val="auto"/>
          <w:sz w:val="27"/>
          <w:szCs w:val="27"/>
        </w:rPr>
        <w:t xml:space="preserve">Base </w:t>
      </w:r>
      <w:r w:rsidRPr="00134248">
        <w:rPr>
          <w:rStyle w:val="Heading2CharChar1"/>
          <w:rFonts w:cs="Times New Roman"/>
          <w:b/>
          <w:bCs/>
          <w:i/>
          <w:iCs w:val="0"/>
          <w:color w:val="auto"/>
          <w:sz w:val="27"/>
          <w:szCs w:val="27"/>
        </w:rPr>
        <w:t>Grant Amounts</w:t>
      </w:r>
      <w:bookmarkEnd w:id="27"/>
      <w:bookmarkEnd w:id="28"/>
      <w:bookmarkEnd w:id="29"/>
      <w:bookmarkEnd w:id="30"/>
      <w:bookmarkEnd w:id="33"/>
    </w:p>
    <w:p w14:paraId="7879A2FF" w14:textId="77777777" w:rsidR="003264EF" w:rsidRDefault="003264EF" w:rsidP="003264EF">
      <w:pPr>
        <w:tabs>
          <w:tab w:val="left" w:pos="851"/>
        </w:tabs>
      </w:pPr>
    </w:p>
    <w:p w14:paraId="6D6F09A5" w14:textId="455DC456" w:rsidR="003264EF" w:rsidRDefault="003264EF" w:rsidP="003264EF">
      <w:pPr>
        <w:tabs>
          <w:tab w:val="left" w:pos="851"/>
        </w:tabs>
      </w:pPr>
      <w:r>
        <w:t xml:space="preserve">The formula for calculating each </w:t>
      </w:r>
      <w:r>
        <w:rPr>
          <w:i/>
        </w:rPr>
        <w:t xml:space="preserve">HEP’s </w:t>
      </w:r>
      <w:r w:rsidR="00134248">
        <w:rPr>
          <w:i/>
        </w:rPr>
        <w:t xml:space="preserve">RSP </w:t>
      </w:r>
      <w:r w:rsidR="002B29C6" w:rsidRPr="00033D2B">
        <w:rPr>
          <w:i/>
          <w:iCs/>
        </w:rPr>
        <w:t xml:space="preserve">Base </w:t>
      </w:r>
      <w:r w:rsidRPr="00033D2B">
        <w:rPr>
          <w:i/>
          <w:iCs/>
        </w:rPr>
        <w:t>Grant Amount</w:t>
      </w:r>
      <w:r>
        <w:t xml:space="preserve"> for the </w:t>
      </w:r>
      <w:r>
        <w:rPr>
          <w:i/>
        </w:rPr>
        <w:t>Grant Year</w:t>
      </w:r>
      <w:r>
        <w:t xml:space="preserve"> is:</w:t>
      </w:r>
    </w:p>
    <w:p w14:paraId="57D1E644" w14:textId="77777777" w:rsidR="003264EF" w:rsidRDefault="003264EF" w:rsidP="003264EF">
      <w:pPr>
        <w:tabs>
          <w:tab w:val="left" w:pos="851"/>
        </w:tabs>
        <w:ind w:left="360"/>
      </w:pPr>
    </w:p>
    <w:p w14:paraId="57278FFA" w14:textId="31E3F1CE" w:rsidR="00BE7836" w:rsidRPr="0043672B" w:rsidRDefault="00BE7836" w:rsidP="003264EF">
      <w:pPr>
        <w:tabs>
          <w:tab w:val="left" w:pos="851"/>
        </w:tabs>
        <w:rPr>
          <w:rFonts w:eastAsiaTheme="minorEastAsia"/>
          <w:i/>
          <w:iCs/>
          <w:szCs w:val="22"/>
        </w:rPr>
      </w:pPr>
      <w:r w:rsidRPr="0043672B">
        <w:rPr>
          <w:rFonts w:eastAsiaTheme="minorEastAsia"/>
          <w:i/>
          <w:iCs/>
          <w:szCs w:val="22"/>
        </w:rPr>
        <w:t>BGA</w:t>
      </w:r>
      <w:r w:rsidRPr="0043672B">
        <w:rPr>
          <w:rFonts w:eastAsiaTheme="minorEastAsia"/>
          <w:i/>
          <w:iCs/>
          <w:szCs w:val="22"/>
          <w:vertAlign w:val="subscript"/>
        </w:rPr>
        <w:t>i,y</w:t>
      </w:r>
      <w:r w:rsidRPr="0043672B">
        <w:rPr>
          <w:rFonts w:eastAsiaTheme="minorEastAsia"/>
          <w:i/>
          <w:iCs/>
          <w:szCs w:val="22"/>
        </w:rPr>
        <w:t xml:space="preserve"> = (COMPETITIVE</w:t>
      </w:r>
      <w:r w:rsidRPr="0043672B">
        <w:rPr>
          <w:rFonts w:eastAsiaTheme="minorEastAsia"/>
          <w:i/>
          <w:iCs/>
          <w:szCs w:val="22"/>
          <w:vertAlign w:val="subscript"/>
        </w:rPr>
        <w:t>i</w:t>
      </w:r>
      <w:r w:rsidRPr="0043672B">
        <w:rPr>
          <w:rFonts w:eastAsiaTheme="minorEastAsia"/>
          <w:i/>
          <w:iCs/>
          <w:szCs w:val="22"/>
        </w:rPr>
        <w:t xml:space="preserve"> </w:t>
      </w:r>
      <w:r w:rsidRPr="0043672B">
        <w:rPr>
          <w:rFonts w:eastAsiaTheme="minorEastAsia" w:cs="Times New Roman"/>
          <w:i/>
          <w:iCs/>
          <w:szCs w:val="22"/>
        </w:rPr>
        <w:t>×</w:t>
      </w:r>
      <w:r w:rsidRPr="0043672B">
        <w:rPr>
          <w:rFonts w:eastAsiaTheme="minorEastAsia"/>
          <w:i/>
          <w:iCs/>
          <w:szCs w:val="22"/>
        </w:rPr>
        <w:t xml:space="preserve"> A</w:t>
      </w:r>
      <w:r w:rsidRPr="0043672B">
        <w:rPr>
          <w:rFonts w:eastAsiaTheme="minorEastAsia"/>
          <w:i/>
          <w:iCs/>
          <w:szCs w:val="22"/>
          <w:vertAlign w:val="subscript"/>
        </w:rPr>
        <w:t>y</w:t>
      </w:r>
      <w:r w:rsidRPr="0043672B">
        <w:rPr>
          <w:rFonts w:eastAsiaTheme="minorEastAsia"/>
          <w:i/>
          <w:iCs/>
          <w:szCs w:val="22"/>
        </w:rPr>
        <w:t xml:space="preserve"> </w:t>
      </w:r>
      <w:r w:rsidRPr="0043672B">
        <w:rPr>
          <w:rFonts w:eastAsiaTheme="minorEastAsia" w:cs="Times New Roman"/>
          <w:i/>
          <w:iCs/>
          <w:szCs w:val="22"/>
        </w:rPr>
        <w:t>×</w:t>
      </w:r>
      <w:r w:rsidRPr="0043672B">
        <w:rPr>
          <w:rFonts w:eastAsiaTheme="minorEastAsia"/>
          <w:i/>
          <w:iCs/>
          <w:szCs w:val="22"/>
        </w:rPr>
        <w:t xml:space="preserve"> 47%) + (ENGAGEMENT</w:t>
      </w:r>
      <w:r w:rsidRPr="0043672B">
        <w:rPr>
          <w:rFonts w:eastAsiaTheme="minorEastAsia"/>
          <w:i/>
          <w:iCs/>
          <w:szCs w:val="22"/>
          <w:vertAlign w:val="subscript"/>
        </w:rPr>
        <w:t>i</w:t>
      </w:r>
      <w:r w:rsidRPr="0043672B">
        <w:rPr>
          <w:rFonts w:eastAsiaTheme="minorEastAsia"/>
          <w:i/>
          <w:iCs/>
          <w:szCs w:val="22"/>
        </w:rPr>
        <w:t xml:space="preserve"> </w:t>
      </w:r>
      <w:r w:rsidRPr="0043672B">
        <w:rPr>
          <w:rFonts w:eastAsiaTheme="minorEastAsia" w:cs="Times New Roman"/>
          <w:i/>
          <w:iCs/>
          <w:szCs w:val="22"/>
        </w:rPr>
        <w:t>×</w:t>
      </w:r>
      <w:r w:rsidRPr="0043672B">
        <w:rPr>
          <w:rFonts w:eastAsiaTheme="minorEastAsia"/>
          <w:i/>
          <w:iCs/>
          <w:szCs w:val="22"/>
        </w:rPr>
        <w:t xml:space="preserve"> A</w:t>
      </w:r>
      <w:r w:rsidRPr="0043672B">
        <w:rPr>
          <w:rFonts w:eastAsiaTheme="minorEastAsia"/>
          <w:i/>
          <w:iCs/>
          <w:szCs w:val="22"/>
          <w:vertAlign w:val="subscript"/>
        </w:rPr>
        <w:t>y</w:t>
      </w:r>
      <w:r w:rsidRPr="0043672B">
        <w:rPr>
          <w:rFonts w:eastAsiaTheme="minorEastAsia"/>
          <w:i/>
          <w:iCs/>
          <w:szCs w:val="22"/>
        </w:rPr>
        <w:t xml:space="preserve"> </w:t>
      </w:r>
      <w:r w:rsidRPr="0043672B">
        <w:rPr>
          <w:rFonts w:eastAsiaTheme="minorEastAsia" w:cs="Times New Roman"/>
          <w:i/>
          <w:iCs/>
          <w:szCs w:val="22"/>
        </w:rPr>
        <w:t>×</w:t>
      </w:r>
      <w:r w:rsidRPr="0043672B">
        <w:rPr>
          <w:rFonts w:eastAsiaTheme="minorEastAsia"/>
          <w:i/>
          <w:iCs/>
          <w:szCs w:val="22"/>
        </w:rPr>
        <w:t xml:space="preserve"> 53%)</w:t>
      </w:r>
    </w:p>
    <w:p w14:paraId="6560BE18" w14:textId="77777777" w:rsidR="003264EF" w:rsidRPr="0033099A" w:rsidRDefault="003264EF" w:rsidP="003264EF">
      <w:pPr>
        <w:tabs>
          <w:tab w:val="left" w:pos="851"/>
        </w:tabs>
        <w:rPr>
          <w:rFonts w:cs="Times New Roman"/>
          <w:color w:val="000000"/>
          <w:szCs w:val="22"/>
        </w:rPr>
      </w:pPr>
    </w:p>
    <w:tbl>
      <w:tblPr>
        <w:tblW w:w="8760" w:type="dxa"/>
        <w:tblLayout w:type="fixed"/>
        <w:tblLook w:val="01E0" w:firstRow="1" w:lastRow="1" w:firstColumn="1" w:lastColumn="1" w:noHBand="0" w:noVBand="0"/>
      </w:tblPr>
      <w:tblGrid>
        <w:gridCol w:w="1952"/>
        <w:gridCol w:w="268"/>
        <w:gridCol w:w="6540"/>
      </w:tblGrid>
      <w:tr w:rsidR="007B3784" w:rsidRPr="0033099A" w14:paraId="5C268427" w14:textId="77777777" w:rsidTr="0033099A">
        <w:trPr>
          <w:trHeight w:val="397"/>
        </w:trPr>
        <w:tc>
          <w:tcPr>
            <w:tcW w:w="1952" w:type="dxa"/>
            <w:vAlign w:val="center"/>
            <w:hideMark/>
          </w:tcPr>
          <w:p w14:paraId="5B71D0EA" w14:textId="77777777" w:rsidR="007B3784" w:rsidRPr="0033099A" w:rsidRDefault="007B3784" w:rsidP="0082061B">
            <w:pPr>
              <w:rPr>
                <w:iCs/>
                <w:szCs w:val="22"/>
              </w:rPr>
            </w:pPr>
            <w:r w:rsidRPr="0043672B">
              <w:rPr>
                <w:iCs/>
                <w:szCs w:val="22"/>
              </w:rPr>
              <w:t>where</w:t>
            </w:r>
            <w:r w:rsidRPr="0033099A">
              <w:rPr>
                <w:iCs/>
                <w:szCs w:val="22"/>
              </w:rPr>
              <w:t>:</w:t>
            </w:r>
          </w:p>
        </w:tc>
        <w:tc>
          <w:tcPr>
            <w:tcW w:w="268" w:type="dxa"/>
            <w:vAlign w:val="center"/>
          </w:tcPr>
          <w:p w14:paraId="38688E1B" w14:textId="77777777" w:rsidR="007B3784" w:rsidRPr="0043672B" w:rsidRDefault="007B3784" w:rsidP="0082061B">
            <w:pPr>
              <w:rPr>
                <w:szCs w:val="22"/>
              </w:rPr>
            </w:pPr>
          </w:p>
        </w:tc>
        <w:tc>
          <w:tcPr>
            <w:tcW w:w="6540" w:type="dxa"/>
            <w:vAlign w:val="center"/>
          </w:tcPr>
          <w:p w14:paraId="1E206745" w14:textId="77777777" w:rsidR="007B3784" w:rsidRPr="0043672B" w:rsidRDefault="007B3784" w:rsidP="0082061B">
            <w:pPr>
              <w:rPr>
                <w:rFonts w:eastAsia="Calibri"/>
                <w:szCs w:val="22"/>
              </w:rPr>
            </w:pPr>
          </w:p>
        </w:tc>
      </w:tr>
      <w:tr w:rsidR="007B3784" w:rsidRPr="0033099A" w14:paraId="60693F35" w14:textId="77777777" w:rsidTr="0033099A">
        <w:trPr>
          <w:trHeight w:val="397"/>
        </w:trPr>
        <w:tc>
          <w:tcPr>
            <w:tcW w:w="1952" w:type="dxa"/>
            <w:vAlign w:val="center"/>
            <w:hideMark/>
          </w:tcPr>
          <w:p w14:paraId="4CA8ADF3" w14:textId="7CC313A7" w:rsidR="007B3784" w:rsidRPr="0033099A" w:rsidRDefault="007B3784" w:rsidP="0082061B">
            <w:pPr>
              <w:jc w:val="right"/>
              <w:rPr>
                <w:rFonts w:eastAsia="Times New Roman"/>
                <w:iCs/>
                <w:szCs w:val="22"/>
              </w:rPr>
            </w:pPr>
            <w:r w:rsidRPr="0033099A">
              <w:rPr>
                <w:rFonts w:cs="Times New Roman"/>
                <w:i/>
                <w:iCs/>
                <w:szCs w:val="22"/>
              </w:rPr>
              <w:t>COMPETITIVE</w:t>
            </w:r>
            <w:r w:rsidRPr="0043672B">
              <w:rPr>
                <w:rFonts w:cs="Times New Roman"/>
                <w:i/>
                <w:iCs/>
                <w:szCs w:val="22"/>
                <w:vertAlign w:val="subscript"/>
              </w:rPr>
              <w:t>i</w:t>
            </w:r>
          </w:p>
        </w:tc>
        <w:tc>
          <w:tcPr>
            <w:tcW w:w="268" w:type="dxa"/>
            <w:vAlign w:val="center"/>
            <w:hideMark/>
          </w:tcPr>
          <w:p w14:paraId="7E261EB0" w14:textId="77777777" w:rsidR="007B3784" w:rsidRPr="0043672B" w:rsidRDefault="007B3784" w:rsidP="0082061B">
            <w:pPr>
              <w:rPr>
                <w:szCs w:val="22"/>
              </w:rPr>
            </w:pPr>
            <w:r w:rsidRPr="0043672B">
              <w:rPr>
                <w:szCs w:val="22"/>
              </w:rPr>
              <w:t>=</w:t>
            </w:r>
          </w:p>
        </w:tc>
        <w:tc>
          <w:tcPr>
            <w:tcW w:w="6540" w:type="dxa"/>
            <w:vAlign w:val="center"/>
            <w:hideMark/>
          </w:tcPr>
          <w:p w14:paraId="177436DB" w14:textId="27F2E65E" w:rsidR="007B3784" w:rsidRPr="0043672B" w:rsidRDefault="007B3784" w:rsidP="0082061B">
            <w:pPr>
              <w:rPr>
                <w:iCs/>
                <w:szCs w:val="22"/>
              </w:rPr>
            </w:pPr>
            <w:r w:rsidRPr="0033099A">
              <w:rPr>
                <w:rFonts w:eastAsiaTheme="minorEastAsia" w:cs="Times New Roman"/>
                <w:szCs w:val="22"/>
              </w:rPr>
              <w:t xml:space="preserve">the percentage share of competitive income determined under paragraph 1.4.10 for </w:t>
            </w:r>
            <w:r w:rsidRPr="0033099A">
              <w:rPr>
                <w:rFonts w:eastAsiaTheme="minorEastAsia" w:cs="Times New Roman"/>
                <w:i/>
                <w:iCs/>
                <w:szCs w:val="22"/>
              </w:rPr>
              <w:t>HEP</w:t>
            </w:r>
            <w:r w:rsidRPr="0033099A">
              <w:rPr>
                <w:rFonts w:eastAsiaTheme="minorEastAsia" w:cs="Times New Roman"/>
                <w:szCs w:val="22"/>
              </w:rPr>
              <w:t xml:space="preserve"> </w:t>
            </w:r>
            <w:r w:rsidRPr="0033099A">
              <w:rPr>
                <w:rFonts w:eastAsiaTheme="minorEastAsia" w:cs="Times New Roman"/>
                <w:i/>
                <w:iCs/>
                <w:szCs w:val="22"/>
              </w:rPr>
              <w:t>i</w:t>
            </w:r>
          </w:p>
        </w:tc>
      </w:tr>
      <w:tr w:rsidR="007B3784" w:rsidRPr="0033099A" w14:paraId="1D1EDACA" w14:textId="77777777" w:rsidTr="0033099A">
        <w:trPr>
          <w:trHeight w:val="397"/>
        </w:trPr>
        <w:tc>
          <w:tcPr>
            <w:tcW w:w="1952" w:type="dxa"/>
            <w:vAlign w:val="center"/>
            <w:hideMark/>
          </w:tcPr>
          <w:p w14:paraId="40AAB151" w14:textId="0818B3F8" w:rsidR="007B3784" w:rsidRPr="0033099A" w:rsidRDefault="007B3784" w:rsidP="0082061B">
            <w:pPr>
              <w:jc w:val="right"/>
              <w:rPr>
                <w:iCs/>
                <w:szCs w:val="22"/>
              </w:rPr>
            </w:pPr>
            <w:r w:rsidRPr="0033099A">
              <w:rPr>
                <w:rFonts w:eastAsiaTheme="minorEastAsia"/>
                <w:i/>
                <w:iCs/>
                <w:szCs w:val="22"/>
              </w:rPr>
              <w:t>ENGAGEMENT</w:t>
            </w:r>
            <w:r w:rsidRPr="0043672B">
              <w:rPr>
                <w:rFonts w:eastAsiaTheme="minorEastAsia"/>
                <w:i/>
                <w:iCs/>
                <w:szCs w:val="22"/>
                <w:vertAlign w:val="subscript"/>
              </w:rPr>
              <w:t>i</w:t>
            </w:r>
          </w:p>
        </w:tc>
        <w:tc>
          <w:tcPr>
            <w:tcW w:w="268" w:type="dxa"/>
            <w:vAlign w:val="center"/>
            <w:hideMark/>
          </w:tcPr>
          <w:p w14:paraId="6F613AD4" w14:textId="77777777" w:rsidR="007B3784" w:rsidRPr="0043672B" w:rsidRDefault="007B3784" w:rsidP="0082061B">
            <w:pPr>
              <w:rPr>
                <w:szCs w:val="22"/>
              </w:rPr>
            </w:pPr>
            <w:r w:rsidRPr="0043672B">
              <w:rPr>
                <w:szCs w:val="22"/>
              </w:rPr>
              <w:t>=</w:t>
            </w:r>
          </w:p>
        </w:tc>
        <w:tc>
          <w:tcPr>
            <w:tcW w:w="6540" w:type="dxa"/>
            <w:vAlign w:val="center"/>
            <w:hideMark/>
          </w:tcPr>
          <w:p w14:paraId="001ABF05" w14:textId="1634774C" w:rsidR="007B3784" w:rsidRPr="0033099A" w:rsidRDefault="007B3784" w:rsidP="0082061B">
            <w:pPr>
              <w:rPr>
                <w:iCs/>
                <w:szCs w:val="22"/>
              </w:rPr>
            </w:pPr>
            <w:r w:rsidRPr="0033099A">
              <w:rPr>
                <w:rFonts w:eastAsiaTheme="minorEastAsia"/>
                <w:szCs w:val="22"/>
              </w:rPr>
              <w:t xml:space="preserve">the percentage share of engagement income determined under paragraph 1.4.10 for </w:t>
            </w:r>
            <w:r w:rsidRPr="0033099A">
              <w:rPr>
                <w:rFonts w:eastAsiaTheme="minorEastAsia"/>
                <w:i/>
                <w:iCs/>
                <w:szCs w:val="22"/>
              </w:rPr>
              <w:t>HEP</w:t>
            </w:r>
            <w:r w:rsidRPr="0033099A">
              <w:rPr>
                <w:rFonts w:eastAsiaTheme="minorEastAsia"/>
                <w:szCs w:val="22"/>
              </w:rPr>
              <w:t xml:space="preserve"> </w:t>
            </w:r>
            <w:r w:rsidRPr="0033099A">
              <w:rPr>
                <w:rFonts w:eastAsiaTheme="minorEastAsia"/>
                <w:i/>
                <w:iCs/>
                <w:szCs w:val="22"/>
              </w:rPr>
              <w:t>i</w:t>
            </w:r>
            <w:r w:rsidRPr="0033099A">
              <w:rPr>
                <w:rFonts w:eastAsia="Calibri"/>
                <w:iCs/>
                <w:szCs w:val="22"/>
              </w:rPr>
              <w:t xml:space="preserve"> </w:t>
            </w:r>
          </w:p>
        </w:tc>
      </w:tr>
      <w:tr w:rsidR="007B3784" w:rsidRPr="0033099A" w14:paraId="081B5414" w14:textId="77777777" w:rsidTr="0033099A">
        <w:trPr>
          <w:trHeight w:val="397"/>
        </w:trPr>
        <w:tc>
          <w:tcPr>
            <w:tcW w:w="1952" w:type="dxa"/>
            <w:vAlign w:val="center"/>
            <w:hideMark/>
          </w:tcPr>
          <w:p w14:paraId="43BC4529" w14:textId="6D31CB1C" w:rsidR="007B3784" w:rsidRPr="0033099A" w:rsidRDefault="007B3784" w:rsidP="0082061B">
            <w:pPr>
              <w:jc w:val="right"/>
              <w:rPr>
                <w:iCs/>
                <w:szCs w:val="22"/>
              </w:rPr>
            </w:pPr>
            <w:r w:rsidRPr="0043672B">
              <w:rPr>
                <w:rFonts w:eastAsia="Times New Roman" w:cs="Times New Roman"/>
                <w:i/>
                <w:iCs/>
                <w:szCs w:val="22"/>
              </w:rPr>
              <w:t>BGA</w:t>
            </w:r>
            <w:r w:rsidRPr="0043672B">
              <w:rPr>
                <w:rFonts w:eastAsia="Times New Roman" w:cs="Times New Roman"/>
                <w:i/>
                <w:iCs/>
                <w:szCs w:val="22"/>
                <w:vertAlign w:val="subscript"/>
              </w:rPr>
              <w:t>i,y</w:t>
            </w:r>
          </w:p>
        </w:tc>
        <w:tc>
          <w:tcPr>
            <w:tcW w:w="268" w:type="dxa"/>
            <w:vAlign w:val="center"/>
            <w:hideMark/>
          </w:tcPr>
          <w:p w14:paraId="28B60C97" w14:textId="77777777" w:rsidR="007B3784" w:rsidRPr="0043672B" w:rsidRDefault="007B3784" w:rsidP="0082061B">
            <w:pPr>
              <w:rPr>
                <w:szCs w:val="22"/>
              </w:rPr>
            </w:pPr>
            <w:r w:rsidRPr="0043672B">
              <w:rPr>
                <w:rFonts w:eastAsia="Calibri"/>
                <w:szCs w:val="22"/>
              </w:rPr>
              <w:t>=</w:t>
            </w:r>
          </w:p>
        </w:tc>
        <w:tc>
          <w:tcPr>
            <w:tcW w:w="6540" w:type="dxa"/>
            <w:vAlign w:val="center"/>
            <w:hideMark/>
          </w:tcPr>
          <w:p w14:paraId="6B0DB666" w14:textId="182D7685" w:rsidR="007B3784" w:rsidRPr="0033099A" w:rsidRDefault="007B3784" w:rsidP="0082061B">
            <w:pPr>
              <w:rPr>
                <w:rFonts w:eastAsia="Calibri"/>
                <w:iCs/>
                <w:szCs w:val="22"/>
              </w:rPr>
            </w:pPr>
            <w:r w:rsidRPr="0043672B">
              <w:rPr>
                <w:rFonts w:eastAsia="Calibri"/>
                <w:i/>
                <w:iCs/>
                <w:szCs w:val="22"/>
              </w:rPr>
              <w:t>RSP</w:t>
            </w:r>
            <w:r w:rsidRPr="0043672B">
              <w:rPr>
                <w:rFonts w:eastAsia="Calibri"/>
                <w:szCs w:val="22"/>
              </w:rPr>
              <w:t xml:space="preserve"> </w:t>
            </w:r>
            <w:r w:rsidRPr="0043672B">
              <w:rPr>
                <w:rFonts w:eastAsia="Calibri"/>
                <w:i/>
                <w:iCs/>
                <w:szCs w:val="22"/>
              </w:rPr>
              <w:t>Base Grant Amount</w:t>
            </w:r>
            <w:r w:rsidRPr="0043672B">
              <w:rPr>
                <w:rFonts w:eastAsia="Calibri"/>
                <w:szCs w:val="22"/>
              </w:rPr>
              <w:t xml:space="preserve"> for </w:t>
            </w:r>
            <w:r w:rsidRPr="0043672B">
              <w:rPr>
                <w:rFonts w:eastAsia="Calibri"/>
                <w:i/>
                <w:szCs w:val="22"/>
              </w:rPr>
              <w:t>HEP</w:t>
            </w:r>
            <w:r w:rsidRPr="0043672B">
              <w:rPr>
                <w:rFonts w:eastAsia="Calibri"/>
                <w:szCs w:val="22"/>
              </w:rPr>
              <w:t xml:space="preserve"> </w:t>
            </w:r>
            <w:r w:rsidR="0033099A" w:rsidRPr="0043672B">
              <w:rPr>
                <w:rFonts w:eastAsia="Calibri"/>
                <w:i/>
                <w:iCs/>
                <w:szCs w:val="22"/>
              </w:rPr>
              <w:t>i</w:t>
            </w:r>
            <w:r w:rsidR="0033099A" w:rsidRPr="0033099A">
              <w:rPr>
                <w:rFonts w:eastAsia="Calibri"/>
                <w:szCs w:val="22"/>
              </w:rPr>
              <w:t xml:space="preserve"> </w:t>
            </w:r>
            <w:r w:rsidRPr="0033099A">
              <w:rPr>
                <w:rFonts w:eastAsia="Calibri"/>
                <w:szCs w:val="22"/>
              </w:rPr>
              <w:t xml:space="preserve">in year </w:t>
            </w:r>
            <w:r w:rsidRPr="0033099A">
              <w:rPr>
                <w:rFonts w:eastAsia="Calibri"/>
                <w:i/>
                <w:iCs/>
                <w:szCs w:val="22"/>
              </w:rPr>
              <w:t xml:space="preserve">y </w:t>
            </w:r>
          </w:p>
        </w:tc>
      </w:tr>
      <w:tr w:rsidR="007B3784" w:rsidRPr="0033099A" w14:paraId="60F41B65" w14:textId="77777777" w:rsidTr="0033099A">
        <w:trPr>
          <w:trHeight w:val="397"/>
        </w:trPr>
        <w:tc>
          <w:tcPr>
            <w:tcW w:w="1952" w:type="dxa"/>
            <w:vAlign w:val="center"/>
          </w:tcPr>
          <w:p w14:paraId="1B7541D5" w14:textId="23EDC25D" w:rsidR="007B3784" w:rsidRPr="0043672B" w:rsidRDefault="007B3784" w:rsidP="0082061B">
            <w:pPr>
              <w:jc w:val="right"/>
              <w:rPr>
                <w:rFonts w:eastAsia="Times New Roman" w:cs="Times New Roman"/>
                <w:i/>
                <w:szCs w:val="22"/>
              </w:rPr>
            </w:pPr>
            <w:r w:rsidRPr="0043672B">
              <w:rPr>
                <w:rFonts w:eastAsia="Times New Roman" w:cs="Times New Roman"/>
                <w:i/>
                <w:szCs w:val="22"/>
              </w:rPr>
              <w:t>A</w:t>
            </w:r>
            <w:r w:rsidRPr="0043672B">
              <w:rPr>
                <w:rFonts w:eastAsia="Times New Roman" w:cs="Times New Roman"/>
                <w:i/>
                <w:szCs w:val="22"/>
                <w:vertAlign w:val="subscript"/>
              </w:rPr>
              <w:t>y</w:t>
            </w:r>
          </w:p>
        </w:tc>
        <w:tc>
          <w:tcPr>
            <w:tcW w:w="268" w:type="dxa"/>
            <w:vAlign w:val="center"/>
          </w:tcPr>
          <w:p w14:paraId="7C6B558D" w14:textId="77777777" w:rsidR="007B3784" w:rsidRPr="0033099A" w:rsidRDefault="007B3784" w:rsidP="0082061B">
            <w:pPr>
              <w:rPr>
                <w:rFonts w:eastAsia="Calibri"/>
                <w:szCs w:val="22"/>
              </w:rPr>
            </w:pPr>
            <w:r w:rsidRPr="0033099A">
              <w:rPr>
                <w:rFonts w:eastAsia="Calibri"/>
                <w:szCs w:val="22"/>
              </w:rPr>
              <w:t>=</w:t>
            </w:r>
          </w:p>
        </w:tc>
        <w:tc>
          <w:tcPr>
            <w:tcW w:w="6540" w:type="dxa"/>
            <w:vAlign w:val="center"/>
          </w:tcPr>
          <w:p w14:paraId="3CBE05DF" w14:textId="36377CA9" w:rsidR="007B3784" w:rsidRPr="0043672B" w:rsidRDefault="007B3784" w:rsidP="0082061B">
            <w:pPr>
              <w:rPr>
                <w:rFonts w:eastAsia="Calibri"/>
                <w:szCs w:val="22"/>
              </w:rPr>
            </w:pPr>
            <w:r w:rsidRPr="0043672B">
              <w:rPr>
                <w:i/>
                <w:iCs/>
                <w:szCs w:val="22"/>
              </w:rPr>
              <w:t>RSP Funding Pool</w:t>
            </w:r>
            <w:r w:rsidRPr="0043672B">
              <w:rPr>
                <w:iCs/>
                <w:szCs w:val="22"/>
              </w:rPr>
              <w:t xml:space="preserve"> in year </w:t>
            </w:r>
            <w:r w:rsidRPr="0043672B">
              <w:rPr>
                <w:i/>
                <w:iCs/>
                <w:szCs w:val="22"/>
              </w:rPr>
              <w:t>y</w:t>
            </w:r>
          </w:p>
        </w:tc>
      </w:tr>
      <w:tr w:rsidR="0033099A" w:rsidRPr="0033099A" w14:paraId="6807D63C" w14:textId="77777777" w:rsidTr="0033099A">
        <w:trPr>
          <w:trHeight w:val="397"/>
        </w:trPr>
        <w:tc>
          <w:tcPr>
            <w:tcW w:w="1952" w:type="dxa"/>
            <w:vAlign w:val="center"/>
          </w:tcPr>
          <w:p w14:paraId="0A1D1CFE" w14:textId="2834252D" w:rsidR="0033099A" w:rsidRPr="0033099A" w:rsidRDefault="0033099A" w:rsidP="0033099A">
            <w:pPr>
              <w:jc w:val="right"/>
              <w:rPr>
                <w:rFonts w:eastAsia="Times New Roman" w:cs="Times New Roman"/>
                <w:i/>
                <w:szCs w:val="22"/>
              </w:rPr>
            </w:pPr>
            <w:r w:rsidRPr="0082061B">
              <w:rPr>
                <w:rFonts w:eastAsia="Times New Roman" w:cs="Times New Roman"/>
                <w:i/>
                <w:szCs w:val="22"/>
              </w:rPr>
              <w:t>y</w:t>
            </w:r>
          </w:p>
        </w:tc>
        <w:tc>
          <w:tcPr>
            <w:tcW w:w="268" w:type="dxa"/>
            <w:vAlign w:val="center"/>
          </w:tcPr>
          <w:p w14:paraId="19EDF6DF" w14:textId="7382FB19" w:rsidR="0033099A" w:rsidRPr="0033099A" w:rsidRDefault="0033099A" w:rsidP="0033099A">
            <w:pPr>
              <w:rPr>
                <w:rFonts w:eastAsia="Calibri"/>
                <w:szCs w:val="22"/>
              </w:rPr>
            </w:pPr>
            <w:r w:rsidRPr="0082061B">
              <w:rPr>
                <w:szCs w:val="22"/>
              </w:rPr>
              <w:t>=</w:t>
            </w:r>
          </w:p>
        </w:tc>
        <w:tc>
          <w:tcPr>
            <w:tcW w:w="6540" w:type="dxa"/>
            <w:vAlign w:val="center"/>
          </w:tcPr>
          <w:p w14:paraId="59247E22" w14:textId="02E7E06D" w:rsidR="0033099A" w:rsidRPr="0033099A" w:rsidRDefault="0033099A" w:rsidP="0033099A">
            <w:pPr>
              <w:rPr>
                <w:i/>
                <w:iCs/>
                <w:szCs w:val="22"/>
              </w:rPr>
            </w:pPr>
            <w:r w:rsidRPr="0082061B">
              <w:rPr>
                <w:rFonts w:eastAsia="Calibri"/>
                <w:szCs w:val="22"/>
              </w:rPr>
              <w:t>year for which the grant is given</w:t>
            </w:r>
          </w:p>
        </w:tc>
      </w:tr>
      <w:tr w:rsidR="0033099A" w:rsidRPr="0033099A" w14:paraId="0AB3C15E" w14:textId="77777777" w:rsidTr="0033099A">
        <w:trPr>
          <w:trHeight w:val="397"/>
        </w:trPr>
        <w:tc>
          <w:tcPr>
            <w:tcW w:w="1952" w:type="dxa"/>
            <w:vAlign w:val="center"/>
          </w:tcPr>
          <w:p w14:paraId="266424F9" w14:textId="5577DCCC" w:rsidR="0033099A" w:rsidRPr="0082061B" w:rsidRDefault="0033099A" w:rsidP="0033099A">
            <w:pPr>
              <w:jc w:val="right"/>
              <w:rPr>
                <w:rFonts w:eastAsia="Times New Roman" w:cs="Times New Roman"/>
                <w:i/>
                <w:szCs w:val="22"/>
              </w:rPr>
            </w:pPr>
            <w:r w:rsidRPr="0082061B">
              <w:rPr>
                <w:rFonts w:eastAsia="Times New Roman" w:cs="Times New Roman"/>
                <w:i/>
                <w:szCs w:val="22"/>
              </w:rPr>
              <w:t>i</w:t>
            </w:r>
          </w:p>
        </w:tc>
        <w:tc>
          <w:tcPr>
            <w:tcW w:w="268" w:type="dxa"/>
            <w:vAlign w:val="center"/>
          </w:tcPr>
          <w:p w14:paraId="6AEB18D4" w14:textId="725E51F4" w:rsidR="0033099A" w:rsidRPr="0082061B" w:rsidRDefault="0033099A" w:rsidP="0033099A">
            <w:pPr>
              <w:rPr>
                <w:rFonts w:eastAsia="Calibri"/>
                <w:szCs w:val="22"/>
              </w:rPr>
            </w:pPr>
            <w:r w:rsidRPr="0082061B">
              <w:rPr>
                <w:rFonts w:eastAsia="Calibri"/>
                <w:szCs w:val="22"/>
              </w:rPr>
              <w:t>=</w:t>
            </w:r>
          </w:p>
        </w:tc>
        <w:tc>
          <w:tcPr>
            <w:tcW w:w="6540" w:type="dxa"/>
            <w:vAlign w:val="center"/>
          </w:tcPr>
          <w:p w14:paraId="58247BF1" w14:textId="3021EA91" w:rsidR="0033099A" w:rsidRPr="0082061B" w:rsidRDefault="0033099A" w:rsidP="0033099A">
            <w:pPr>
              <w:rPr>
                <w:rFonts w:eastAsia="Calibri"/>
                <w:i/>
                <w:iCs/>
                <w:szCs w:val="22"/>
              </w:rPr>
            </w:pPr>
            <w:r w:rsidRPr="0082061B">
              <w:rPr>
                <w:rFonts w:eastAsia="Calibri"/>
                <w:i/>
                <w:iCs/>
                <w:szCs w:val="22"/>
              </w:rPr>
              <w:t>HEP</w:t>
            </w:r>
            <w:r w:rsidRPr="0082061B">
              <w:rPr>
                <w:rFonts w:eastAsia="Calibri"/>
                <w:szCs w:val="22"/>
              </w:rPr>
              <w:t xml:space="preserve"> 1 to </w:t>
            </w:r>
            <w:r w:rsidRPr="0082061B">
              <w:rPr>
                <w:rFonts w:eastAsia="Calibri"/>
                <w:i/>
                <w:iCs/>
                <w:szCs w:val="22"/>
              </w:rPr>
              <w:t>n</w:t>
            </w:r>
            <w:r w:rsidRPr="0082061B">
              <w:rPr>
                <w:rFonts w:eastAsia="Calibri"/>
                <w:szCs w:val="22"/>
              </w:rPr>
              <w:t xml:space="preserve">, where </w:t>
            </w:r>
            <w:r w:rsidRPr="0082061B">
              <w:rPr>
                <w:rFonts w:eastAsia="Calibri"/>
                <w:i/>
                <w:iCs/>
                <w:szCs w:val="22"/>
              </w:rPr>
              <w:t>n</w:t>
            </w:r>
            <w:r w:rsidRPr="0082061B">
              <w:rPr>
                <w:rFonts w:eastAsia="Calibri"/>
                <w:szCs w:val="22"/>
              </w:rPr>
              <w:t xml:space="preserve"> is the total number of </w:t>
            </w:r>
            <w:r w:rsidRPr="0082061B">
              <w:rPr>
                <w:rFonts w:eastAsia="Calibri"/>
                <w:i/>
                <w:szCs w:val="22"/>
              </w:rPr>
              <w:t>HEPs</w:t>
            </w:r>
          </w:p>
        </w:tc>
      </w:tr>
    </w:tbl>
    <w:p w14:paraId="7432C923" w14:textId="77777777" w:rsidR="003264EF" w:rsidRPr="00FF2E85" w:rsidRDefault="003264EF" w:rsidP="003264EF">
      <w:pPr>
        <w:pStyle w:val="Heading2"/>
        <w:spacing w:after="240"/>
        <w:rPr>
          <w:rStyle w:val="Heading2CharChar1"/>
          <w:rFonts w:cs="Times New Roman"/>
          <w:color w:val="auto"/>
          <w:sz w:val="27"/>
          <w:szCs w:val="27"/>
        </w:rPr>
      </w:pPr>
      <w:bookmarkStart w:id="34" w:name="_Toc51079488"/>
      <w:bookmarkStart w:id="35" w:name="_Toc51058869"/>
      <w:bookmarkStart w:id="36" w:name="_Toc458775489"/>
      <w:bookmarkStart w:id="37" w:name="_Toc450223514"/>
      <w:bookmarkStart w:id="38" w:name="_Toc450212595"/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lastRenderedPageBreak/>
        <w:t>1.4.</w:t>
      </w:r>
      <w:r w:rsidR="00841DE3">
        <w:rPr>
          <w:rStyle w:val="Heading2CharChar1"/>
          <w:rFonts w:cs="Times New Roman"/>
          <w:b/>
          <w:bCs/>
          <w:color w:val="auto"/>
          <w:sz w:val="27"/>
          <w:szCs w:val="27"/>
        </w:rPr>
        <w:t>20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  <w:t>Transitional Safety Net</w:t>
      </w:r>
      <w:bookmarkEnd w:id="34"/>
      <w:bookmarkEnd w:id="35"/>
      <w:bookmarkEnd w:id="36"/>
      <w:bookmarkEnd w:id="37"/>
      <w:bookmarkEnd w:id="38"/>
    </w:p>
    <w:p w14:paraId="5B5B2A24" w14:textId="13D3BC2E" w:rsidR="003264EF" w:rsidRDefault="003264EF" w:rsidP="003264EF">
      <w:pPr>
        <w:tabs>
          <w:tab w:val="left" w:pos="840"/>
        </w:tabs>
        <w:rPr>
          <w:sz w:val="24"/>
          <w:szCs w:val="24"/>
          <w:lang w:eastAsia="en-AU"/>
        </w:rPr>
      </w:pPr>
      <w:r>
        <w:t xml:space="preserve">For the </w:t>
      </w:r>
      <w:r w:rsidR="0069614B">
        <w:t xml:space="preserve">2021 </w:t>
      </w:r>
      <w:r>
        <w:rPr>
          <w:i/>
        </w:rPr>
        <w:t>Grant Year</w:t>
      </w:r>
      <w:r>
        <w:t xml:space="preserve">, </w:t>
      </w:r>
      <w:r>
        <w:rPr>
          <w:color w:val="000000"/>
        </w:rPr>
        <w:t>a</w:t>
      </w:r>
      <w:r>
        <w:t xml:space="preserve"> transitional safety net is applied to ensure that no </w:t>
      </w:r>
      <w:r>
        <w:rPr>
          <w:i/>
        </w:rPr>
        <w:t>HEP’s</w:t>
      </w:r>
      <w:r>
        <w:t xml:space="preserve"> </w:t>
      </w:r>
      <w:r>
        <w:rPr>
          <w:i/>
        </w:rPr>
        <w:t>RSP</w:t>
      </w:r>
      <w:r>
        <w:t xml:space="preserve"> </w:t>
      </w:r>
      <w:r w:rsidR="002B29C6" w:rsidRPr="00111389">
        <w:rPr>
          <w:i/>
          <w:iCs/>
        </w:rPr>
        <w:t xml:space="preserve">Base </w:t>
      </w:r>
      <w:r w:rsidRPr="00111389">
        <w:rPr>
          <w:i/>
          <w:iCs/>
        </w:rPr>
        <w:t>Grant Amount</w:t>
      </w:r>
      <w:r>
        <w:t xml:space="preserve"> for the </w:t>
      </w:r>
      <w:r>
        <w:rPr>
          <w:i/>
        </w:rPr>
        <w:t>Grant Year</w:t>
      </w:r>
      <w:r>
        <w:t xml:space="preserve"> will fall below 95 per cent of that </w:t>
      </w:r>
      <w:r>
        <w:rPr>
          <w:i/>
        </w:rPr>
        <w:t>HEP’s</w:t>
      </w:r>
      <w:r>
        <w:t xml:space="preserve"> indexed </w:t>
      </w:r>
      <w:r>
        <w:rPr>
          <w:i/>
        </w:rPr>
        <w:t>RSP</w:t>
      </w:r>
      <w:r>
        <w:t xml:space="preserve"> Grant Amount for the previous </w:t>
      </w:r>
      <w:r>
        <w:rPr>
          <w:i/>
        </w:rPr>
        <w:t>Grant Year</w:t>
      </w:r>
      <w:r>
        <w:t xml:space="preserve">. </w:t>
      </w:r>
    </w:p>
    <w:p w14:paraId="536C8C9B" w14:textId="77777777" w:rsidR="003264EF" w:rsidRDefault="003264EF" w:rsidP="003264EF">
      <w:pPr>
        <w:tabs>
          <w:tab w:val="left" w:pos="840"/>
        </w:tabs>
      </w:pPr>
    </w:p>
    <w:p w14:paraId="065AF4DF" w14:textId="77777777" w:rsidR="003264EF" w:rsidRDefault="003264EF" w:rsidP="003264EF">
      <w:pPr>
        <w:tabs>
          <w:tab w:val="left" w:pos="840"/>
        </w:tabs>
      </w:pPr>
      <w:r>
        <w:t>The transitional safety net is applied as follows:</w:t>
      </w:r>
    </w:p>
    <w:p w14:paraId="6A70CB54" w14:textId="77777777" w:rsidR="003264EF" w:rsidRDefault="003264EF" w:rsidP="003264EF">
      <w:pPr>
        <w:tabs>
          <w:tab w:val="left" w:pos="840"/>
        </w:tabs>
      </w:pPr>
    </w:p>
    <w:p w14:paraId="043537D3" w14:textId="7E1C71CD" w:rsidR="003264EF" w:rsidRDefault="003264EF" w:rsidP="003264EF">
      <w:pPr>
        <w:tabs>
          <w:tab w:val="left" w:pos="851"/>
          <w:tab w:val="left" w:pos="1440"/>
        </w:tabs>
        <w:ind w:left="839" w:hanging="839"/>
        <w:rPr>
          <w:color w:val="000000"/>
        </w:rPr>
      </w:pPr>
      <w:r>
        <w:rPr>
          <w:color w:val="000000"/>
        </w:rPr>
        <w:t>(1)</w:t>
      </w:r>
      <w:r>
        <w:rPr>
          <w:color w:val="000000"/>
        </w:rPr>
        <w:tab/>
        <w:t xml:space="preserve">Each </w:t>
      </w:r>
      <w:r>
        <w:rPr>
          <w:i/>
          <w:color w:val="000000"/>
        </w:rPr>
        <w:t>HEP’s</w:t>
      </w:r>
      <w:r>
        <w:rPr>
          <w:color w:val="000000"/>
        </w:rPr>
        <w:t xml:space="preserve"> </w:t>
      </w:r>
      <w:r>
        <w:rPr>
          <w:i/>
          <w:color w:val="000000"/>
        </w:rPr>
        <w:t>RSP</w:t>
      </w:r>
      <w:r>
        <w:rPr>
          <w:color w:val="000000"/>
        </w:rPr>
        <w:t xml:space="preserve"> Grant Amount for the previous </w:t>
      </w:r>
      <w:r>
        <w:rPr>
          <w:i/>
          <w:color w:val="000000"/>
        </w:rPr>
        <w:t>Grant Year</w:t>
      </w:r>
      <w:r>
        <w:rPr>
          <w:color w:val="000000"/>
        </w:rPr>
        <w:t xml:space="preserve"> is indexed by multiplying that amount by the indexation component. The indexation component is determined by dividing the </w:t>
      </w:r>
      <w:r w:rsidR="006E1F16">
        <w:rPr>
          <w:i/>
          <w:color w:val="000000"/>
        </w:rPr>
        <w:t xml:space="preserve">RSP </w:t>
      </w:r>
      <w:r>
        <w:rPr>
          <w:i/>
          <w:color w:val="000000"/>
        </w:rPr>
        <w:t>Funding Pool</w:t>
      </w:r>
      <w:r>
        <w:rPr>
          <w:color w:val="000000"/>
        </w:rPr>
        <w:t xml:space="preserve"> for the </w:t>
      </w:r>
      <w:r>
        <w:rPr>
          <w:i/>
          <w:color w:val="000000"/>
        </w:rPr>
        <w:t>Grant Year</w:t>
      </w:r>
      <w:r>
        <w:rPr>
          <w:color w:val="000000"/>
        </w:rPr>
        <w:t xml:space="preserve"> by the </w:t>
      </w:r>
      <w:r w:rsidR="006E1F16">
        <w:rPr>
          <w:i/>
          <w:color w:val="000000"/>
        </w:rPr>
        <w:t xml:space="preserve">RSP </w:t>
      </w:r>
      <w:r>
        <w:rPr>
          <w:i/>
          <w:color w:val="000000"/>
        </w:rPr>
        <w:t>Funding Pool</w:t>
      </w:r>
      <w:r>
        <w:rPr>
          <w:color w:val="000000"/>
        </w:rPr>
        <w:t xml:space="preserve"> for the previous </w:t>
      </w:r>
      <w:r>
        <w:rPr>
          <w:i/>
          <w:color w:val="000000"/>
        </w:rPr>
        <w:t>Grant Year</w:t>
      </w:r>
      <w:r>
        <w:rPr>
          <w:color w:val="000000"/>
        </w:rPr>
        <w:t>.</w:t>
      </w:r>
    </w:p>
    <w:p w14:paraId="115D28AF" w14:textId="77777777" w:rsidR="003264EF" w:rsidRDefault="003264EF" w:rsidP="003264EF">
      <w:pPr>
        <w:tabs>
          <w:tab w:val="left" w:pos="851"/>
        </w:tabs>
        <w:rPr>
          <w:color w:val="000000"/>
        </w:rPr>
      </w:pPr>
    </w:p>
    <w:p w14:paraId="3DEE6996" w14:textId="01625063" w:rsidR="003264EF" w:rsidRDefault="003264EF" w:rsidP="003264EF">
      <w:pPr>
        <w:tabs>
          <w:tab w:val="left" w:pos="851"/>
          <w:tab w:val="left" w:pos="1440"/>
        </w:tabs>
        <w:ind w:left="851" w:hanging="851"/>
        <w:rPr>
          <w:color w:val="000000"/>
        </w:rPr>
      </w:pPr>
      <w:r>
        <w:rPr>
          <w:color w:val="000000"/>
        </w:rPr>
        <w:t>(2)</w:t>
      </w:r>
      <w:r>
        <w:rPr>
          <w:color w:val="000000"/>
        </w:rPr>
        <w:tab/>
        <w:t xml:space="preserve">For each </w:t>
      </w:r>
      <w:r>
        <w:rPr>
          <w:i/>
          <w:color w:val="000000"/>
        </w:rPr>
        <w:t>HEP</w:t>
      </w:r>
      <w:r>
        <w:rPr>
          <w:color w:val="000000"/>
        </w:rPr>
        <w:t xml:space="preserve"> whose </w:t>
      </w:r>
      <w:r w:rsidR="00033D2B" w:rsidRPr="00A33D16">
        <w:rPr>
          <w:i/>
          <w:iCs/>
          <w:color w:val="000000"/>
        </w:rPr>
        <w:t xml:space="preserve">RSP </w:t>
      </w:r>
      <w:r w:rsidRPr="00A33D16">
        <w:rPr>
          <w:i/>
          <w:iCs/>
          <w:color w:val="000000"/>
        </w:rPr>
        <w:t>Bas</w:t>
      </w:r>
      <w:r w:rsidR="0069614B" w:rsidRPr="00A33D16">
        <w:rPr>
          <w:i/>
          <w:iCs/>
          <w:color w:val="000000"/>
        </w:rPr>
        <w:t>e</w:t>
      </w:r>
      <w:r w:rsidRPr="00A33D16">
        <w:rPr>
          <w:i/>
          <w:iCs/>
          <w:color w:val="000000"/>
        </w:rPr>
        <w:t xml:space="preserve"> Grant Amount</w:t>
      </w:r>
      <w:r>
        <w:rPr>
          <w:color w:val="000000"/>
        </w:rPr>
        <w:t xml:space="preserve"> calculated </w:t>
      </w:r>
      <w:r w:rsidR="0069614B">
        <w:rPr>
          <w:color w:val="000000"/>
        </w:rPr>
        <w:t>under</w:t>
      </w:r>
      <w:r>
        <w:rPr>
          <w:color w:val="000000"/>
        </w:rPr>
        <w:t xml:space="preserve"> paragraph 1.4.1</w:t>
      </w:r>
      <w:r w:rsidR="00841DE3">
        <w:rPr>
          <w:color w:val="000000"/>
        </w:rPr>
        <w:t>5</w:t>
      </w:r>
      <w:r>
        <w:rPr>
          <w:color w:val="000000"/>
        </w:rPr>
        <w:t xml:space="preserve"> is greater than the indexed amount calculated </w:t>
      </w:r>
      <w:r w:rsidR="0069614B">
        <w:rPr>
          <w:color w:val="000000"/>
        </w:rPr>
        <w:t>under</w:t>
      </w:r>
      <w:r>
        <w:rPr>
          <w:color w:val="000000"/>
        </w:rPr>
        <w:t xml:space="preserve"> subparagraph 1.4.</w:t>
      </w:r>
      <w:r w:rsidR="00841DE3">
        <w:rPr>
          <w:color w:val="000000"/>
        </w:rPr>
        <w:t>20</w:t>
      </w:r>
      <w:r>
        <w:rPr>
          <w:color w:val="000000"/>
        </w:rPr>
        <w:t xml:space="preserve">(1), the difference between the two amounts is </w:t>
      </w:r>
      <w:r w:rsidR="00D07F6D">
        <w:rPr>
          <w:color w:val="000000"/>
        </w:rPr>
        <w:t>included in what would be</w:t>
      </w:r>
      <w:r>
        <w:rPr>
          <w:color w:val="000000"/>
        </w:rPr>
        <w:t xml:space="preserve"> </w:t>
      </w:r>
      <w:r w:rsidR="00D07F6D">
        <w:rPr>
          <w:color w:val="000000"/>
        </w:rPr>
        <w:t xml:space="preserve">a notional </w:t>
      </w:r>
      <w:r>
        <w:rPr>
          <w:color w:val="000000"/>
        </w:rPr>
        <w:t>safety net pool.</w:t>
      </w:r>
    </w:p>
    <w:p w14:paraId="7E55792E" w14:textId="77777777" w:rsidR="003264EF" w:rsidRDefault="003264EF" w:rsidP="003264EF">
      <w:pPr>
        <w:tabs>
          <w:tab w:val="left" w:pos="851"/>
        </w:tabs>
        <w:rPr>
          <w:color w:val="000000"/>
        </w:rPr>
      </w:pPr>
    </w:p>
    <w:p w14:paraId="3016C3D0" w14:textId="073FE640" w:rsidR="003264EF" w:rsidRDefault="003264EF" w:rsidP="003264EF">
      <w:pPr>
        <w:tabs>
          <w:tab w:val="left" w:pos="851"/>
          <w:tab w:val="left" w:pos="1440"/>
        </w:tabs>
        <w:ind w:left="851" w:hanging="851"/>
        <w:rPr>
          <w:color w:val="000000"/>
        </w:rPr>
      </w:pPr>
      <w:r>
        <w:rPr>
          <w:color w:val="000000"/>
        </w:rPr>
        <w:t>(3)</w:t>
      </w:r>
      <w:r>
        <w:rPr>
          <w:color w:val="000000"/>
        </w:rPr>
        <w:tab/>
        <w:t xml:space="preserve">For each </w:t>
      </w:r>
      <w:r>
        <w:rPr>
          <w:i/>
          <w:color w:val="000000"/>
        </w:rPr>
        <w:t>HEP</w:t>
      </w:r>
      <w:r>
        <w:rPr>
          <w:color w:val="000000"/>
        </w:rPr>
        <w:t xml:space="preserve"> whose </w:t>
      </w:r>
      <w:r w:rsidR="00994FA5" w:rsidRPr="00C878D8">
        <w:rPr>
          <w:i/>
          <w:iCs/>
          <w:color w:val="000000"/>
        </w:rPr>
        <w:t xml:space="preserve">RSP </w:t>
      </w:r>
      <w:r w:rsidRPr="00C878D8">
        <w:rPr>
          <w:i/>
          <w:iCs/>
          <w:color w:val="000000"/>
        </w:rPr>
        <w:t>Bas</w:t>
      </w:r>
      <w:r w:rsidR="0069614B" w:rsidRPr="00C878D8">
        <w:rPr>
          <w:i/>
          <w:iCs/>
          <w:color w:val="000000"/>
        </w:rPr>
        <w:t>e</w:t>
      </w:r>
      <w:r w:rsidRPr="00C878D8">
        <w:rPr>
          <w:i/>
          <w:iCs/>
          <w:color w:val="000000"/>
        </w:rPr>
        <w:t xml:space="preserve"> Grant Amount</w:t>
      </w:r>
      <w:r>
        <w:rPr>
          <w:color w:val="000000"/>
        </w:rPr>
        <w:t xml:space="preserve"> calculated </w:t>
      </w:r>
      <w:r w:rsidR="0069614B">
        <w:rPr>
          <w:color w:val="000000"/>
        </w:rPr>
        <w:t>under</w:t>
      </w:r>
      <w:r>
        <w:rPr>
          <w:color w:val="000000"/>
        </w:rPr>
        <w:t xml:space="preserve"> paragraph 1.4.1</w:t>
      </w:r>
      <w:r w:rsidR="00841DE3">
        <w:rPr>
          <w:color w:val="000000"/>
        </w:rPr>
        <w:t>5</w:t>
      </w:r>
      <w:r>
        <w:rPr>
          <w:color w:val="000000"/>
        </w:rPr>
        <w:t xml:space="preserve"> is less than 95 per cent of the indexed amount calculated </w:t>
      </w:r>
      <w:r w:rsidR="0069614B">
        <w:rPr>
          <w:color w:val="000000"/>
        </w:rPr>
        <w:t>under</w:t>
      </w:r>
      <w:r>
        <w:rPr>
          <w:color w:val="000000"/>
        </w:rPr>
        <w:t xml:space="preserve"> subparagraph 1.4.</w:t>
      </w:r>
      <w:r w:rsidR="00841DE3">
        <w:rPr>
          <w:color w:val="000000"/>
        </w:rPr>
        <w:t>20</w:t>
      </w:r>
      <w:r>
        <w:rPr>
          <w:color w:val="000000"/>
        </w:rPr>
        <w:t>(1), funds are taken from the</w:t>
      </w:r>
      <w:r w:rsidR="00D07F6D">
        <w:rPr>
          <w:color w:val="000000"/>
        </w:rPr>
        <w:t xml:space="preserve"> notional</w:t>
      </w:r>
      <w:r>
        <w:rPr>
          <w:color w:val="000000"/>
        </w:rPr>
        <w:t xml:space="preserve"> safety net pool created in subparagraph 1.4.</w:t>
      </w:r>
      <w:r w:rsidR="00841DE3">
        <w:rPr>
          <w:color w:val="000000"/>
        </w:rPr>
        <w:t>20</w:t>
      </w:r>
      <w:r>
        <w:rPr>
          <w:color w:val="000000"/>
        </w:rPr>
        <w:t xml:space="preserve">(2) to top up the </w:t>
      </w:r>
      <w:r>
        <w:rPr>
          <w:i/>
          <w:color w:val="000000"/>
        </w:rPr>
        <w:t>HEP’s</w:t>
      </w:r>
      <w:r>
        <w:rPr>
          <w:color w:val="000000"/>
        </w:rPr>
        <w:t xml:space="preserve"> </w:t>
      </w:r>
      <w:r>
        <w:rPr>
          <w:i/>
          <w:color w:val="000000"/>
        </w:rPr>
        <w:t>RSP</w:t>
      </w:r>
      <w:r>
        <w:rPr>
          <w:color w:val="000000"/>
        </w:rPr>
        <w:t xml:space="preserve"> </w:t>
      </w:r>
      <w:r w:rsidRPr="0043672B">
        <w:rPr>
          <w:i/>
          <w:iCs/>
          <w:color w:val="000000"/>
        </w:rPr>
        <w:t>Bas</w:t>
      </w:r>
      <w:r w:rsidR="0069614B" w:rsidRPr="0043672B">
        <w:rPr>
          <w:i/>
          <w:iCs/>
          <w:color w:val="000000"/>
        </w:rPr>
        <w:t>e</w:t>
      </w:r>
      <w:r w:rsidRPr="0043672B">
        <w:rPr>
          <w:i/>
          <w:iCs/>
          <w:color w:val="000000"/>
        </w:rPr>
        <w:t xml:space="preserve"> Grant Amount</w:t>
      </w:r>
      <w:r>
        <w:rPr>
          <w:color w:val="000000"/>
        </w:rPr>
        <w:t xml:space="preserve"> to 95 per cent of that </w:t>
      </w:r>
      <w:r>
        <w:rPr>
          <w:i/>
          <w:color w:val="000000"/>
        </w:rPr>
        <w:t xml:space="preserve">HEP’s </w:t>
      </w:r>
      <w:r>
        <w:rPr>
          <w:color w:val="000000"/>
        </w:rPr>
        <w:t>indexed</w:t>
      </w:r>
      <w:r>
        <w:rPr>
          <w:i/>
          <w:color w:val="000000"/>
        </w:rPr>
        <w:t xml:space="preserve"> RSP</w:t>
      </w:r>
      <w:r>
        <w:rPr>
          <w:color w:val="000000"/>
        </w:rPr>
        <w:t xml:space="preserve"> </w:t>
      </w:r>
      <w:r w:rsidRPr="0043672B">
        <w:rPr>
          <w:i/>
          <w:iCs/>
          <w:color w:val="000000"/>
        </w:rPr>
        <w:t>Grant Amount</w:t>
      </w:r>
      <w:r>
        <w:rPr>
          <w:color w:val="000000"/>
        </w:rPr>
        <w:t xml:space="preserve"> for the previous </w:t>
      </w:r>
      <w:r>
        <w:rPr>
          <w:i/>
          <w:color w:val="000000"/>
        </w:rPr>
        <w:t>Grant Year</w:t>
      </w:r>
      <w:r>
        <w:rPr>
          <w:color w:val="000000"/>
        </w:rPr>
        <w:t xml:space="preserve">. </w:t>
      </w:r>
    </w:p>
    <w:p w14:paraId="7462BDD4" w14:textId="77777777" w:rsidR="003264EF" w:rsidRDefault="003264EF" w:rsidP="003264EF">
      <w:pPr>
        <w:tabs>
          <w:tab w:val="left" w:pos="851"/>
        </w:tabs>
        <w:rPr>
          <w:color w:val="000000"/>
        </w:rPr>
      </w:pPr>
    </w:p>
    <w:p w14:paraId="0B1961DC" w14:textId="314B5FD3" w:rsidR="003264EF" w:rsidRDefault="003264EF" w:rsidP="003264EF">
      <w:pPr>
        <w:tabs>
          <w:tab w:val="left" w:pos="851"/>
          <w:tab w:val="left" w:pos="1440"/>
        </w:tabs>
        <w:ind w:left="851" w:hanging="851"/>
        <w:rPr>
          <w:color w:val="000000"/>
        </w:rPr>
      </w:pPr>
      <w:r>
        <w:rPr>
          <w:color w:val="000000"/>
        </w:rPr>
        <w:t>(4)</w:t>
      </w:r>
      <w:r>
        <w:rPr>
          <w:color w:val="000000"/>
        </w:rPr>
        <w:tab/>
        <w:t>After the calculation at subparagraph 1.4.</w:t>
      </w:r>
      <w:r w:rsidR="00841DE3">
        <w:rPr>
          <w:color w:val="000000"/>
        </w:rPr>
        <w:t>20</w:t>
      </w:r>
      <w:r>
        <w:rPr>
          <w:color w:val="000000"/>
        </w:rPr>
        <w:t xml:space="preserve">(3), any funds remaining in the </w:t>
      </w:r>
      <w:r w:rsidR="00D07F6D">
        <w:rPr>
          <w:color w:val="000000"/>
        </w:rPr>
        <w:t xml:space="preserve">notional </w:t>
      </w:r>
      <w:r>
        <w:rPr>
          <w:color w:val="000000"/>
        </w:rPr>
        <w:t xml:space="preserve">safety net pool are then returned to </w:t>
      </w:r>
      <w:r>
        <w:rPr>
          <w:i/>
          <w:color w:val="000000"/>
        </w:rPr>
        <w:t>HEPs</w:t>
      </w:r>
      <w:r>
        <w:rPr>
          <w:color w:val="000000"/>
        </w:rPr>
        <w:t xml:space="preserve"> that </w:t>
      </w:r>
      <w:r w:rsidR="006C71B4">
        <w:rPr>
          <w:color w:val="000000"/>
        </w:rPr>
        <w:t xml:space="preserve">added </w:t>
      </w:r>
      <w:r>
        <w:rPr>
          <w:color w:val="000000"/>
        </w:rPr>
        <w:t xml:space="preserve">to the </w:t>
      </w:r>
      <w:r w:rsidR="00D07F6D">
        <w:rPr>
          <w:color w:val="000000"/>
        </w:rPr>
        <w:t xml:space="preserve">notional </w:t>
      </w:r>
      <w:r>
        <w:rPr>
          <w:color w:val="000000"/>
        </w:rPr>
        <w:t xml:space="preserve">safety net pool </w:t>
      </w:r>
      <w:r w:rsidR="0069614B">
        <w:rPr>
          <w:color w:val="000000"/>
        </w:rPr>
        <w:t>under</w:t>
      </w:r>
      <w:r>
        <w:rPr>
          <w:color w:val="000000"/>
        </w:rPr>
        <w:t xml:space="preserve"> subparagraph 1.4.</w:t>
      </w:r>
      <w:r w:rsidR="00841DE3">
        <w:rPr>
          <w:color w:val="000000"/>
        </w:rPr>
        <w:t>20</w:t>
      </w:r>
      <w:r>
        <w:rPr>
          <w:color w:val="000000"/>
        </w:rPr>
        <w:t>(2), based on their percentage contribution to the safety net pool.</w:t>
      </w:r>
    </w:p>
    <w:p w14:paraId="67CBE181" w14:textId="682E8F93" w:rsidR="003264EF" w:rsidRPr="00FF2E85" w:rsidRDefault="003264EF" w:rsidP="003264EF">
      <w:pPr>
        <w:pStyle w:val="Heading2"/>
        <w:spacing w:after="240"/>
        <w:rPr>
          <w:rStyle w:val="Heading2CharChar1"/>
          <w:rFonts w:cs="Times New Roman"/>
          <w:i/>
          <w:color w:val="auto"/>
          <w:sz w:val="27"/>
          <w:szCs w:val="27"/>
        </w:rPr>
      </w:pPr>
      <w:bookmarkStart w:id="39" w:name="_Toc51079489"/>
      <w:bookmarkStart w:id="40" w:name="_Toc51058870"/>
      <w:bookmarkStart w:id="41" w:name="_Toc27038311"/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1.4.2</w:t>
      </w:r>
      <w:r w:rsidR="00B52897">
        <w:rPr>
          <w:rStyle w:val="Heading2CharChar1"/>
          <w:rFonts w:cs="Times New Roman"/>
          <w:b/>
          <w:bCs/>
          <w:color w:val="auto"/>
          <w:sz w:val="27"/>
          <w:szCs w:val="27"/>
        </w:rPr>
        <w:t>5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 xml:space="preserve"> 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="00994FA5" w:rsidRPr="00C878D8">
        <w:rPr>
          <w:rStyle w:val="Heading2CharChar1"/>
          <w:rFonts w:cs="Times New Roman"/>
          <w:b/>
          <w:bCs/>
          <w:i/>
          <w:iCs w:val="0"/>
          <w:color w:val="auto"/>
          <w:sz w:val="27"/>
          <w:szCs w:val="27"/>
        </w:rPr>
        <w:t xml:space="preserve">RSP </w:t>
      </w:r>
      <w:r w:rsidR="002B29C6" w:rsidRPr="00C878D8">
        <w:rPr>
          <w:rStyle w:val="Heading2CharChar1"/>
          <w:rFonts w:cs="Times New Roman"/>
          <w:b/>
          <w:bCs/>
          <w:i/>
          <w:iCs w:val="0"/>
          <w:color w:val="auto"/>
          <w:sz w:val="27"/>
          <w:szCs w:val="27"/>
        </w:rPr>
        <w:t xml:space="preserve">Base </w:t>
      </w:r>
      <w:r w:rsidRPr="00C878D8">
        <w:rPr>
          <w:rStyle w:val="Heading2CharChar1"/>
          <w:rFonts w:cs="Times New Roman"/>
          <w:b/>
          <w:bCs/>
          <w:i/>
          <w:iCs w:val="0"/>
          <w:color w:val="auto"/>
          <w:sz w:val="27"/>
          <w:szCs w:val="27"/>
        </w:rPr>
        <w:t>Grant Amounts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 xml:space="preserve"> for 2022 and future </w:t>
      </w:r>
      <w:r w:rsidRPr="00FF2E85">
        <w:rPr>
          <w:rStyle w:val="Heading2CharChar1"/>
          <w:rFonts w:cs="Times New Roman"/>
          <w:b/>
          <w:bCs/>
          <w:i/>
          <w:color w:val="auto"/>
          <w:sz w:val="27"/>
          <w:szCs w:val="27"/>
        </w:rPr>
        <w:t>Grant Years</w:t>
      </w:r>
      <w:bookmarkEnd w:id="39"/>
      <w:bookmarkEnd w:id="40"/>
      <w:bookmarkEnd w:id="41"/>
    </w:p>
    <w:p w14:paraId="1396EEA1" w14:textId="279D2D2A" w:rsidR="003264EF" w:rsidRDefault="003264EF" w:rsidP="003264EF">
      <w:pPr>
        <w:rPr>
          <w:sz w:val="24"/>
          <w:szCs w:val="24"/>
          <w:lang w:eastAsia="en-AU"/>
        </w:rPr>
      </w:pPr>
      <w:r>
        <w:t xml:space="preserve">For 2022 and future </w:t>
      </w:r>
      <w:r>
        <w:rPr>
          <w:i/>
        </w:rPr>
        <w:t>Grant Years</w:t>
      </w:r>
      <w:r>
        <w:t>, the transitional safety net as specified in paragraph 1.4.</w:t>
      </w:r>
      <w:r w:rsidR="00841DE3">
        <w:t>20</w:t>
      </w:r>
      <w:r>
        <w:t xml:space="preserve"> is not applied to </w:t>
      </w:r>
      <w:r>
        <w:rPr>
          <w:i/>
        </w:rPr>
        <w:t>RSP</w:t>
      </w:r>
      <w:r>
        <w:t xml:space="preserve"> </w:t>
      </w:r>
      <w:r w:rsidR="0038246A" w:rsidRPr="0043672B">
        <w:rPr>
          <w:i/>
          <w:iCs/>
        </w:rPr>
        <w:t xml:space="preserve">Base </w:t>
      </w:r>
      <w:r w:rsidRPr="0043672B">
        <w:rPr>
          <w:i/>
          <w:iCs/>
        </w:rPr>
        <w:t>Grant Amounts</w:t>
      </w:r>
      <w:r>
        <w:t xml:space="preserve">. </w:t>
      </w:r>
    </w:p>
    <w:p w14:paraId="204D4505" w14:textId="77777777" w:rsidR="003264EF" w:rsidRPr="00FF2E85" w:rsidRDefault="003264EF" w:rsidP="003264EF">
      <w:pPr>
        <w:pStyle w:val="Heading2"/>
        <w:spacing w:after="240"/>
        <w:rPr>
          <w:rStyle w:val="Heading2CharChar1"/>
          <w:rFonts w:cs="Times New Roman"/>
          <w:color w:val="auto"/>
          <w:sz w:val="27"/>
          <w:szCs w:val="27"/>
        </w:rPr>
      </w:pPr>
      <w:bookmarkStart w:id="42" w:name="_Toc51079490"/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1.4.</w:t>
      </w:r>
      <w:r w:rsidR="00B52897"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30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Pr="00111389">
        <w:rPr>
          <w:rStyle w:val="Heading2CharChar1"/>
          <w:rFonts w:cs="Times New Roman"/>
          <w:b/>
          <w:bCs/>
          <w:i/>
          <w:iCs w:val="0"/>
          <w:color w:val="auto"/>
          <w:sz w:val="27"/>
          <w:szCs w:val="27"/>
        </w:rPr>
        <w:t>COVID-19 Supplementary Grant Amount</w:t>
      </w:r>
      <w:bookmarkStart w:id="43" w:name="_Toc51058871"/>
      <w:r w:rsidRPr="00111389">
        <w:rPr>
          <w:rStyle w:val="Heading2CharChar1"/>
          <w:rFonts w:cs="Times New Roman"/>
          <w:b/>
          <w:bCs/>
          <w:i/>
          <w:iCs w:val="0"/>
          <w:color w:val="auto"/>
          <w:sz w:val="27"/>
          <w:szCs w:val="27"/>
        </w:rPr>
        <w:t>s</w:t>
      </w:r>
      <w:bookmarkEnd w:id="42"/>
      <w:bookmarkEnd w:id="43"/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 xml:space="preserve"> </w:t>
      </w:r>
    </w:p>
    <w:p w14:paraId="7405A3EE" w14:textId="133F15EB" w:rsidR="00960649" w:rsidRPr="002603A6" w:rsidRDefault="0069614B" w:rsidP="00960649">
      <w:pPr>
        <w:autoSpaceDE w:val="0"/>
        <w:autoSpaceDN w:val="0"/>
        <w:spacing w:line="240" w:lineRule="auto"/>
        <w:rPr>
          <w:szCs w:val="22"/>
        </w:rPr>
      </w:pPr>
      <w:r w:rsidRPr="0043672B">
        <w:rPr>
          <w:szCs w:val="22"/>
        </w:rPr>
        <w:t xml:space="preserve">For the 2021 </w:t>
      </w:r>
      <w:r w:rsidRPr="0043672B">
        <w:rPr>
          <w:i/>
          <w:szCs w:val="22"/>
        </w:rPr>
        <w:t xml:space="preserve">Grant Year, </w:t>
      </w:r>
      <w:r w:rsidRPr="0043672B">
        <w:rPr>
          <w:szCs w:val="22"/>
        </w:rPr>
        <w:t>the</w:t>
      </w:r>
      <w:r w:rsidR="003264EF" w:rsidRPr="0043672B">
        <w:rPr>
          <w:szCs w:val="22"/>
        </w:rPr>
        <w:t xml:space="preserve"> </w:t>
      </w:r>
      <w:r w:rsidR="003264EF" w:rsidRPr="002603A6">
        <w:rPr>
          <w:i/>
          <w:iCs/>
          <w:szCs w:val="22"/>
        </w:rPr>
        <w:t>COVID-19 Supplementary Grant Amount</w:t>
      </w:r>
      <w:r w:rsidRPr="002603A6">
        <w:rPr>
          <w:szCs w:val="22"/>
        </w:rPr>
        <w:t xml:space="preserve"> for a </w:t>
      </w:r>
      <w:r w:rsidRPr="002603A6">
        <w:rPr>
          <w:i/>
          <w:szCs w:val="22"/>
        </w:rPr>
        <w:t>HEP</w:t>
      </w:r>
      <w:r w:rsidR="003264EF" w:rsidRPr="002603A6">
        <w:rPr>
          <w:szCs w:val="22"/>
        </w:rPr>
        <w:t xml:space="preserve"> </w:t>
      </w:r>
      <w:r w:rsidR="00960649" w:rsidRPr="002603A6">
        <w:rPr>
          <w:rFonts w:cs="Times New Roman"/>
          <w:szCs w:val="22"/>
        </w:rPr>
        <w:t xml:space="preserve">will be calculated using the </w:t>
      </w:r>
      <w:r w:rsidR="007C0342" w:rsidRPr="002603A6">
        <w:rPr>
          <w:rFonts w:cs="Times New Roman"/>
          <w:szCs w:val="22"/>
        </w:rPr>
        <w:t xml:space="preserve">same </w:t>
      </w:r>
      <w:r w:rsidR="00960649" w:rsidRPr="002603A6">
        <w:rPr>
          <w:rFonts w:cs="Times New Roman"/>
          <w:szCs w:val="22"/>
        </w:rPr>
        <w:t xml:space="preserve">method </w:t>
      </w:r>
      <w:r w:rsidR="007C0342" w:rsidRPr="002603A6">
        <w:rPr>
          <w:rFonts w:cs="Times New Roman"/>
          <w:szCs w:val="22"/>
        </w:rPr>
        <w:t xml:space="preserve">for calculating </w:t>
      </w:r>
      <w:proofErr w:type="gramStart"/>
      <w:r w:rsidR="007C0342" w:rsidRPr="002603A6">
        <w:rPr>
          <w:rFonts w:cs="Times New Roman"/>
          <w:szCs w:val="22"/>
        </w:rPr>
        <w:t>a</w:t>
      </w:r>
      <w:proofErr w:type="gramEnd"/>
      <w:r w:rsidR="007C0342" w:rsidRPr="002603A6">
        <w:rPr>
          <w:rFonts w:cs="Times New Roman"/>
          <w:szCs w:val="22"/>
        </w:rPr>
        <w:t xml:space="preserve"> </w:t>
      </w:r>
      <w:r w:rsidR="00994FA5" w:rsidRPr="002603A6">
        <w:rPr>
          <w:rFonts w:cs="Times New Roman"/>
          <w:i/>
          <w:iCs/>
          <w:szCs w:val="22"/>
        </w:rPr>
        <w:t xml:space="preserve">RSP </w:t>
      </w:r>
      <w:r w:rsidR="007C0342" w:rsidRPr="002603A6">
        <w:rPr>
          <w:rFonts w:cs="Times New Roman"/>
          <w:i/>
          <w:iCs/>
          <w:szCs w:val="22"/>
        </w:rPr>
        <w:t>Base Grant Amount</w:t>
      </w:r>
      <w:r w:rsidR="007C0342" w:rsidRPr="002603A6">
        <w:rPr>
          <w:rFonts w:cs="Times New Roman"/>
          <w:szCs w:val="22"/>
        </w:rPr>
        <w:t xml:space="preserve"> </w:t>
      </w:r>
      <w:r w:rsidR="00960649" w:rsidRPr="002603A6">
        <w:rPr>
          <w:rFonts w:cs="Times New Roman"/>
          <w:szCs w:val="22"/>
        </w:rPr>
        <w:t>specified in paragraph 1.4.15</w:t>
      </w:r>
      <w:r w:rsidR="00330E84">
        <w:rPr>
          <w:rFonts w:cs="Times New Roman"/>
          <w:szCs w:val="22"/>
        </w:rPr>
        <w:t xml:space="preserve"> </w:t>
      </w:r>
      <w:r w:rsidR="00330E84" w:rsidRPr="00330E84">
        <w:t xml:space="preserve">with the </w:t>
      </w:r>
      <w:r w:rsidR="00330E84" w:rsidRPr="00330E84">
        <w:rPr>
          <w:i/>
          <w:iCs/>
        </w:rPr>
        <w:t xml:space="preserve">RSP Funding Pool </w:t>
      </w:r>
      <w:r w:rsidR="00330E84" w:rsidRPr="00330E84">
        <w:t>substituted with the</w:t>
      </w:r>
      <w:r w:rsidR="00330E84" w:rsidRPr="00330E84">
        <w:rPr>
          <w:i/>
          <w:iCs/>
        </w:rPr>
        <w:t xml:space="preserve"> COVID-19 Supplementary Funding Pool</w:t>
      </w:r>
      <w:r w:rsidR="00960649" w:rsidRPr="00330E84">
        <w:rPr>
          <w:rFonts w:cs="Times New Roman"/>
          <w:szCs w:val="22"/>
        </w:rPr>
        <w:t>. T</w:t>
      </w:r>
      <w:r w:rsidR="00960649" w:rsidRPr="002603A6">
        <w:rPr>
          <w:rFonts w:cs="Times New Roman"/>
          <w:szCs w:val="22"/>
        </w:rPr>
        <w:t xml:space="preserve">he Transitional Safety Net outlined in paragraph 1.4.20 will not </w:t>
      </w:r>
      <w:r w:rsidR="00B0106F" w:rsidRPr="002603A6">
        <w:rPr>
          <w:rFonts w:cs="Times New Roman"/>
          <w:szCs w:val="22"/>
        </w:rPr>
        <w:t xml:space="preserve">be </w:t>
      </w:r>
      <w:r w:rsidR="00960649" w:rsidRPr="002603A6">
        <w:rPr>
          <w:rFonts w:cs="Times New Roman"/>
          <w:szCs w:val="22"/>
        </w:rPr>
        <w:t>appl</w:t>
      </w:r>
      <w:r w:rsidR="00B0106F" w:rsidRPr="002603A6">
        <w:rPr>
          <w:rFonts w:cs="Times New Roman"/>
          <w:szCs w:val="22"/>
        </w:rPr>
        <w:t>ied</w:t>
      </w:r>
      <w:r w:rsidR="00960649" w:rsidRPr="002603A6">
        <w:rPr>
          <w:rFonts w:cs="Times New Roman"/>
          <w:szCs w:val="22"/>
        </w:rPr>
        <w:t xml:space="preserve"> to </w:t>
      </w:r>
      <w:r w:rsidR="00960649" w:rsidRPr="002603A6">
        <w:rPr>
          <w:rFonts w:cs="Times New Roman"/>
          <w:i/>
          <w:iCs/>
          <w:szCs w:val="22"/>
        </w:rPr>
        <w:t>COVID-19 Supplementary Grant Amounts</w:t>
      </w:r>
      <w:r w:rsidR="00960649" w:rsidRPr="002603A6">
        <w:rPr>
          <w:rFonts w:cs="Times New Roman"/>
          <w:szCs w:val="22"/>
        </w:rPr>
        <w:t>.</w:t>
      </w:r>
    </w:p>
    <w:p w14:paraId="02282117" w14:textId="083D437A" w:rsidR="003264EF" w:rsidRPr="00FF2E85" w:rsidRDefault="00960649" w:rsidP="003264EF">
      <w:pPr>
        <w:pStyle w:val="Heading2"/>
        <w:spacing w:after="240"/>
        <w:rPr>
          <w:rStyle w:val="Heading2CharChar1"/>
          <w:rFonts w:cs="Times New Roman"/>
          <w:color w:val="auto"/>
          <w:sz w:val="27"/>
          <w:szCs w:val="27"/>
        </w:rPr>
      </w:pPr>
      <w:r w:rsidDel="0069614B">
        <w:t xml:space="preserve"> </w:t>
      </w:r>
      <w:r w:rsidR="00DE0A9F">
        <w:t xml:space="preserve"> </w:t>
      </w:r>
      <w:r w:rsidR="003264EF" w:rsidRPr="00FF2E85">
        <w:rPr>
          <w:b w:val="0"/>
          <w:bCs w:val="0"/>
          <w:iCs/>
          <w:color w:val="auto"/>
        </w:rPr>
        <w:fldChar w:fldCharType="begin"/>
      </w:r>
      <w:r w:rsidR="003264EF" w:rsidRPr="00FF2E85">
        <w:rPr>
          <w:b w:val="0"/>
          <w:bCs w:val="0"/>
          <w:iCs/>
          <w:color w:val="auto"/>
        </w:rPr>
        <w:fldChar w:fldCharType="end"/>
      </w:r>
      <w:r w:rsidR="003264EF" w:rsidRPr="00FF2E85">
        <w:rPr>
          <w:b w:val="0"/>
          <w:bCs w:val="0"/>
          <w:iCs/>
          <w:color w:val="auto"/>
        </w:rPr>
        <w:fldChar w:fldCharType="begin"/>
      </w:r>
      <w:r w:rsidR="003264EF" w:rsidRPr="00FF2E85">
        <w:rPr>
          <w:b w:val="0"/>
          <w:bCs w:val="0"/>
          <w:iCs/>
          <w:color w:val="auto"/>
        </w:rPr>
        <w:fldChar w:fldCharType="end"/>
      </w:r>
      <w:r w:rsidR="003264EF" w:rsidRPr="00FF2E85">
        <w:rPr>
          <w:b w:val="0"/>
          <w:bCs w:val="0"/>
          <w:iCs/>
          <w:color w:val="auto"/>
        </w:rPr>
        <w:fldChar w:fldCharType="begin"/>
      </w:r>
      <w:r w:rsidR="003264EF" w:rsidRPr="00FF2E85">
        <w:rPr>
          <w:b w:val="0"/>
          <w:bCs w:val="0"/>
          <w:iCs/>
          <w:color w:val="auto"/>
        </w:rPr>
        <w:fldChar w:fldCharType="end"/>
      </w:r>
      <w:r w:rsidR="003264EF" w:rsidRPr="00FF2E85">
        <w:rPr>
          <w:b w:val="0"/>
          <w:bCs w:val="0"/>
          <w:iCs/>
          <w:color w:val="auto"/>
        </w:rPr>
        <w:fldChar w:fldCharType="begin"/>
      </w:r>
      <w:r w:rsidR="003264EF" w:rsidRPr="00FF2E85">
        <w:rPr>
          <w:b w:val="0"/>
          <w:bCs w:val="0"/>
          <w:iCs/>
          <w:color w:val="auto"/>
        </w:rPr>
        <w:fldChar w:fldCharType="end"/>
      </w:r>
      <w:r w:rsidR="003264EF" w:rsidRPr="00FF2E85">
        <w:rPr>
          <w:b w:val="0"/>
          <w:bCs w:val="0"/>
          <w:iCs/>
          <w:color w:val="auto"/>
        </w:rPr>
        <w:fldChar w:fldCharType="begin"/>
      </w:r>
      <w:r w:rsidR="003264EF" w:rsidRPr="00FF2E85">
        <w:rPr>
          <w:b w:val="0"/>
          <w:bCs w:val="0"/>
          <w:iCs/>
          <w:color w:val="auto"/>
        </w:rPr>
        <w:fldChar w:fldCharType="end"/>
      </w:r>
      <w:bookmarkStart w:id="44" w:name="_Toc51079491"/>
      <w:bookmarkStart w:id="45" w:name="_Toc51058872"/>
      <w:r w:rsidR="003264EF"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1.4.</w:t>
      </w:r>
      <w:r w:rsidR="00B52897"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35</w:t>
      </w:r>
      <w:r w:rsidR="003264EF"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="003264EF"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  <w:t>Rounding Process</w:t>
      </w:r>
      <w:bookmarkEnd w:id="44"/>
      <w:bookmarkEnd w:id="45"/>
    </w:p>
    <w:p w14:paraId="588A2228" w14:textId="77777777" w:rsidR="003264EF" w:rsidRDefault="003264EF" w:rsidP="003264EF">
      <w:pPr>
        <w:tabs>
          <w:tab w:val="left" w:pos="851"/>
        </w:tabs>
        <w:rPr>
          <w:sz w:val="24"/>
          <w:szCs w:val="24"/>
          <w:lang w:eastAsia="en-AU"/>
        </w:rPr>
      </w:pPr>
      <w:r>
        <w:t xml:space="preserve">The rounding process for </w:t>
      </w:r>
      <w:r>
        <w:rPr>
          <w:i/>
        </w:rPr>
        <w:t>RSP</w:t>
      </w:r>
      <w:r>
        <w:t xml:space="preserve"> Grant Amounts is as follows:</w:t>
      </w:r>
    </w:p>
    <w:p w14:paraId="464D43B7" w14:textId="77777777" w:rsidR="003264EF" w:rsidRDefault="003264EF" w:rsidP="003264EF">
      <w:pPr>
        <w:tabs>
          <w:tab w:val="left" w:pos="851"/>
        </w:tabs>
      </w:pPr>
    </w:p>
    <w:p w14:paraId="1D2B9348" w14:textId="77777777" w:rsidR="003264EF" w:rsidRDefault="003264EF" w:rsidP="003264EF">
      <w:pPr>
        <w:tabs>
          <w:tab w:val="left" w:pos="851"/>
        </w:tabs>
        <w:ind w:left="839" w:hanging="839"/>
      </w:pPr>
      <w:r>
        <w:t>(1)</w:t>
      </w:r>
      <w:r>
        <w:tab/>
        <w:t xml:space="preserve">The </w:t>
      </w:r>
      <w:bookmarkStart w:id="46" w:name="_Hlk54793149"/>
      <w:r>
        <w:t xml:space="preserve">Grant Amount calculated for each </w:t>
      </w:r>
      <w:r>
        <w:rPr>
          <w:i/>
        </w:rPr>
        <w:t>HEP</w:t>
      </w:r>
      <w:r>
        <w:t xml:space="preserve"> under paragraph 1.4.5 is rounded down to the nearest whole dollar. The difference in cents between a </w:t>
      </w:r>
      <w:r>
        <w:rPr>
          <w:i/>
        </w:rPr>
        <w:t>HEP’s</w:t>
      </w:r>
      <w:r>
        <w:t xml:space="preserve"> rounded and unrounded </w:t>
      </w:r>
      <w:r>
        <w:rPr>
          <w:i/>
        </w:rPr>
        <w:t>RSP</w:t>
      </w:r>
      <w:r>
        <w:t xml:space="preserve"> Grant Amount is its Remainder. The sum of all Remainders is the Unallocated Dollars</w:t>
      </w:r>
      <w:bookmarkEnd w:id="46"/>
      <w:r>
        <w:t>.</w:t>
      </w:r>
    </w:p>
    <w:p w14:paraId="2BBDF5CB" w14:textId="77777777" w:rsidR="003264EF" w:rsidRDefault="003264EF" w:rsidP="003264EF">
      <w:pPr>
        <w:pStyle w:val="ListParagraph"/>
        <w:tabs>
          <w:tab w:val="left" w:pos="851"/>
        </w:tabs>
        <w:ind w:left="839"/>
      </w:pPr>
    </w:p>
    <w:p w14:paraId="318B2EE9" w14:textId="608C8FA1" w:rsidR="003264EF" w:rsidRDefault="003264EF" w:rsidP="003264EF">
      <w:pPr>
        <w:tabs>
          <w:tab w:val="left" w:pos="851"/>
        </w:tabs>
        <w:ind w:left="839" w:hanging="839"/>
      </w:pPr>
      <w:r>
        <w:lastRenderedPageBreak/>
        <w:t>(2)</w:t>
      </w:r>
      <w:r>
        <w:tab/>
        <w:t xml:space="preserve">Each </w:t>
      </w:r>
      <w:r>
        <w:rPr>
          <w:i/>
        </w:rPr>
        <w:t>HEP</w:t>
      </w:r>
      <w:r>
        <w:t xml:space="preserve"> is ranked in descending order based on</w:t>
      </w:r>
      <w:r w:rsidR="00B441BF">
        <w:t xml:space="preserve"> how close the </w:t>
      </w:r>
      <w:r w:rsidR="00B441BF" w:rsidRPr="00111389">
        <w:rPr>
          <w:i/>
          <w:iCs/>
        </w:rPr>
        <w:t>HEP</w:t>
      </w:r>
      <w:r w:rsidR="00B441BF">
        <w:t>’s remainder is</w:t>
      </w:r>
      <w:r>
        <w:t xml:space="preserve"> to one hundred</w:t>
      </w:r>
      <w:r w:rsidR="00FA57E6">
        <w:t xml:space="preserve"> </w:t>
      </w:r>
      <w:r w:rsidR="002B29C6">
        <w:t>cents</w:t>
      </w:r>
      <w:r>
        <w:t xml:space="preserve">. One dollar is </w:t>
      </w:r>
      <w:r w:rsidR="00B441BF">
        <w:t xml:space="preserve">paid </w:t>
      </w:r>
      <w:r>
        <w:t xml:space="preserve">to each </w:t>
      </w:r>
      <w:r>
        <w:rPr>
          <w:i/>
        </w:rPr>
        <w:t>HEP</w:t>
      </w:r>
      <w:r>
        <w:t xml:space="preserve"> in order of ranking until all Unallocated Dollars are </w:t>
      </w:r>
      <w:r w:rsidR="00B441BF">
        <w:t>paid</w:t>
      </w:r>
      <w:r>
        <w:t>.</w:t>
      </w:r>
    </w:p>
    <w:p w14:paraId="43936308" w14:textId="77777777" w:rsidR="003264EF" w:rsidRDefault="003264EF" w:rsidP="003264EF">
      <w:pPr>
        <w:pStyle w:val="ListParagraph"/>
        <w:tabs>
          <w:tab w:val="left" w:pos="851"/>
        </w:tabs>
        <w:ind w:left="839"/>
      </w:pPr>
    </w:p>
    <w:p w14:paraId="084B0134" w14:textId="3ED4A70F" w:rsidR="003264EF" w:rsidRDefault="003264EF" w:rsidP="003264EF">
      <w:pPr>
        <w:tabs>
          <w:tab w:val="left" w:pos="851"/>
        </w:tabs>
        <w:ind w:left="839" w:hanging="839"/>
      </w:pPr>
      <w:r>
        <w:t>(3)</w:t>
      </w:r>
      <w:r>
        <w:tab/>
        <w:t xml:space="preserve">Each </w:t>
      </w:r>
      <w:r>
        <w:rPr>
          <w:i/>
        </w:rPr>
        <w:t>HEP’s</w:t>
      </w:r>
      <w:r>
        <w:t xml:space="preserve"> </w:t>
      </w:r>
      <w:r>
        <w:rPr>
          <w:i/>
        </w:rPr>
        <w:t>RSP</w:t>
      </w:r>
      <w:r>
        <w:t xml:space="preserve"> Grant Amount is equal to the rounded amount calculated </w:t>
      </w:r>
      <w:r w:rsidR="0069614B">
        <w:t>under</w:t>
      </w:r>
      <w:r w:rsidR="00023441">
        <w:t xml:space="preserve"> </w:t>
      </w:r>
      <w:r>
        <w:t>subparagraph 1.4.</w:t>
      </w:r>
      <w:r w:rsidR="00B52897">
        <w:t>3</w:t>
      </w:r>
      <w:r>
        <w:t>5(1) plus any whole dollars assigned in subparagraph 1.4.</w:t>
      </w:r>
      <w:r w:rsidR="00B52897">
        <w:t>3</w:t>
      </w:r>
      <w:r>
        <w:t>5(2).</w:t>
      </w:r>
    </w:p>
    <w:p w14:paraId="4079CC75" w14:textId="77777777" w:rsidR="003264EF" w:rsidRPr="00FF2E85" w:rsidRDefault="003264EF" w:rsidP="003264EF">
      <w:pPr>
        <w:pStyle w:val="Heading2"/>
        <w:spacing w:after="240"/>
        <w:rPr>
          <w:rStyle w:val="Heading2CharChar1"/>
          <w:rFonts w:cs="Times New Roman"/>
          <w:color w:val="auto"/>
          <w:sz w:val="27"/>
          <w:szCs w:val="27"/>
        </w:rPr>
      </w:pPr>
      <w:bookmarkStart w:id="47" w:name="_Toc51079492"/>
      <w:bookmarkStart w:id="48" w:name="_Toc51058873"/>
      <w:bookmarkStart w:id="49" w:name="_Toc27038313"/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1.4.</w:t>
      </w:r>
      <w:r w:rsidR="00B52897"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40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  <w:t>Adjustments</w:t>
      </w:r>
      <w:bookmarkEnd w:id="47"/>
      <w:bookmarkEnd w:id="48"/>
      <w:bookmarkEnd w:id="49"/>
    </w:p>
    <w:p w14:paraId="1BA5708F" w14:textId="77777777" w:rsidR="003264EF" w:rsidRDefault="003264EF" w:rsidP="003264EF">
      <w:pPr>
        <w:tabs>
          <w:tab w:val="left" w:pos="851"/>
        </w:tabs>
        <w:ind w:left="851" w:hanging="851"/>
        <w:rPr>
          <w:sz w:val="24"/>
          <w:szCs w:val="24"/>
          <w:lang w:eastAsia="en-AU"/>
        </w:rPr>
      </w:pPr>
      <w:r>
        <w:t>(1)</w:t>
      </w:r>
      <w:r>
        <w:tab/>
        <w:t xml:space="preserve">If a </w:t>
      </w:r>
      <w:r>
        <w:rPr>
          <w:i/>
        </w:rPr>
        <w:t>HEP</w:t>
      </w:r>
      <w:r>
        <w:t xml:space="preserve"> provides incorrect </w:t>
      </w:r>
      <w:r>
        <w:rPr>
          <w:i/>
        </w:rPr>
        <w:t>HERDC</w:t>
      </w:r>
      <w:r>
        <w:t xml:space="preserve"> data used to calculate the </w:t>
      </w:r>
      <w:r>
        <w:rPr>
          <w:i/>
        </w:rPr>
        <w:t>HEP</w:t>
      </w:r>
      <w:r>
        <w:t>’s</w:t>
      </w:r>
      <w:r w:rsidRPr="00FF2E85">
        <w:rPr>
          <w:i/>
          <w:iCs/>
        </w:rPr>
        <w:t xml:space="preserve"> RSP</w:t>
      </w:r>
      <w:r>
        <w:t xml:space="preserve"> Grant Amount for a </w:t>
      </w:r>
      <w:r>
        <w:rPr>
          <w:i/>
        </w:rPr>
        <w:t>Grant Year</w:t>
      </w:r>
      <w:r>
        <w:t xml:space="preserve">, the </w:t>
      </w:r>
      <w:r>
        <w:rPr>
          <w:i/>
        </w:rPr>
        <w:t>HEP</w:t>
      </w:r>
      <w:r>
        <w:t xml:space="preserve"> must correct the information provided to </w:t>
      </w:r>
      <w:r w:rsidRPr="00FF2E85">
        <w:rPr>
          <w:i/>
          <w:iCs/>
        </w:rPr>
        <w:t xml:space="preserve">the </w:t>
      </w:r>
      <w:r>
        <w:rPr>
          <w:i/>
        </w:rPr>
        <w:t>department</w:t>
      </w:r>
      <w:r>
        <w:t xml:space="preserve"> (‘corrected data’).</w:t>
      </w:r>
    </w:p>
    <w:p w14:paraId="34DBDF70" w14:textId="77777777" w:rsidR="003264EF" w:rsidRDefault="003264EF" w:rsidP="003264EF">
      <w:pPr>
        <w:tabs>
          <w:tab w:val="left" w:pos="851"/>
        </w:tabs>
      </w:pPr>
    </w:p>
    <w:p w14:paraId="72179C15" w14:textId="77777777" w:rsidR="003264EF" w:rsidRDefault="003264EF" w:rsidP="003264EF">
      <w:pPr>
        <w:tabs>
          <w:tab w:val="left" w:pos="851"/>
        </w:tabs>
        <w:ind w:left="851" w:hanging="851"/>
      </w:pPr>
      <w:r>
        <w:t>(2)</w:t>
      </w:r>
      <w:r>
        <w:tab/>
        <w:t xml:space="preserve">If the </w:t>
      </w:r>
      <w:r>
        <w:rPr>
          <w:i/>
        </w:rPr>
        <w:t>HEP</w:t>
      </w:r>
      <w:r>
        <w:t xml:space="preserve"> provides corrected data on or before 1 October in the year the data was first provided</w:t>
      </w:r>
      <w:r w:rsidR="00D93DD3">
        <w:t xml:space="preserve">, </w:t>
      </w:r>
      <w:r w:rsidRPr="00FF2E85">
        <w:rPr>
          <w:i/>
          <w:iCs/>
        </w:rPr>
        <w:t xml:space="preserve">the </w:t>
      </w:r>
      <w:r>
        <w:rPr>
          <w:i/>
        </w:rPr>
        <w:t>department</w:t>
      </w:r>
      <w:r>
        <w:t xml:space="preserve"> will take into account the corrected data when calculating </w:t>
      </w:r>
      <w:r>
        <w:rPr>
          <w:i/>
        </w:rPr>
        <w:t>RSP</w:t>
      </w:r>
      <w:r>
        <w:t xml:space="preserve"> Grant Amounts under paragraph 1.4.5. </w:t>
      </w:r>
    </w:p>
    <w:p w14:paraId="0ECBCE03" w14:textId="77777777" w:rsidR="003264EF" w:rsidRDefault="003264EF" w:rsidP="003264EF">
      <w:pPr>
        <w:pStyle w:val="ListParagraph"/>
        <w:tabs>
          <w:tab w:val="left" w:pos="851"/>
        </w:tabs>
        <w:ind w:left="851"/>
      </w:pPr>
    </w:p>
    <w:p w14:paraId="3BAB10A6" w14:textId="77777777" w:rsidR="003264EF" w:rsidRDefault="003264EF" w:rsidP="003264EF">
      <w:pPr>
        <w:tabs>
          <w:tab w:val="left" w:pos="851"/>
        </w:tabs>
        <w:ind w:left="851" w:hanging="851"/>
      </w:pPr>
      <w:r>
        <w:t>(3)</w:t>
      </w:r>
      <w:r>
        <w:tab/>
        <w:t>Subject to subparagraph 1.4.</w:t>
      </w:r>
      <w:r w:rsidR="00B52897">
        <w:t>40</w:t>
      </w:r>
      <w:r>
        <w:t xml:space="preserve">(4), if a </w:t>
      </w:r>
      <w:r>
        <w:rPr>
          <w:i/>
        </w:rPr>
        <w:t>HEP</w:t>
      </w:r>
      <w:r>
        <w:t xml:space="preserve"> provides corrected data after 1 October in the year the data was first provided, the corrected data will not be used to calculate, or adjust, the </w:t>
      </w:r>
      <w:r>
        <w:rPr>
          <w:i/>
        </w:rPr>
        <w:t>HEP’s</w:t>
      </w:r>
      <w:r>
        <w:t xml:space="preserve"> </w:t>
      </w:r>
      <w:r>
        <w:rPr>
          <w:i/>
        </w:rPr>
        <w:t>RSP</w:t>
      </w:r>
      <w:r>
        <w:t xml:space="preserve"> Grant Amount for a </w:t>
      </w:r>
      <w:r>
        <w:rPr>
          <w:i/>
        </w:rPr>
        <w:t>Grant Year</w:t>
      </w:r>
      <w:r>
        <w:t xml:space="preserve">. </w:t>
      </w:r>
    </w:p>
    <w:p w14:paraId="2CAA75B1" w14:textId="77777777" w:rsidR="003264EF" w:rsidRDefault="003264EF" w:rsidP="003264EF">
      <w:pPr>
        <w:tabs>
          <w:tab w:val="left" w:pos="851"/>
        </w:tabs>
      </w:pPr>
    </w:p>
    <w:p w14:paraId="2271C26C" w14:textId="77777777" w:rsidR="003264EF" w:rsidRDefault="003264EF" w:rsidP="003264EF">
      <w:pPr>
        <w:tabs>
          <w:tab w:val="left" w:pos="851"/>
        </w:tabs>
        <w:ind w:left="851" w:hanging="851"/>
      </w:pPr>
      <w:r>
        <w:t>(4)</w:t>
      </w:r>
      <w:r>
        <w:tab/>
        <w:t>Where corrected data is provided in accordance with subparagraph 1.4.</w:t>
      </w:r>
      <w:r w:rsidR="00B52897">
        <w:t>40</w:t>
      </w:r>
      <w:r>
        <w:t xml:space="preserve">(3), </w:t>
      </w:r>
      <w:r w:rsidRPr="00FF2E85">
        <w:rPr>
          <w:i/>
          <w:iCs/>
        </w:rPr>
        <w:t xml:space="preserve">the </w:t>
      </w:r>
      <w:r>
        <w:rPr>
          <w:i/>
        </w:rPr>
        <w:t>department</w:t>
      </w:r>
      <w:r>
        <w:t xml:space="preserve"> will use the method specified in paragraph 1.4.5 to determine the Grant Amount the </w:t>
      </w:r>
      <w:r>
        <w:rPr>
          <w:i/>
        </w:rPr>
        <w:t>HEP</w:t>
      </w:r>
      <w:r>
        <w:t xml:space="preserve"> would have been paid for the </w:t>
      </w:r>
      <w:r>
        <w:rPr>
          <w:i/>
        </w:rPr>
        <w:t>Grant Year</w:t>
      </w:r>
      <w:r>
        <w:t xml:space="preserve"> if the corrected data had been used. If </w:t>
      </w:r>
      <w:r w:rsidRPr="00FF2E85">
        <w:rPr>
          <w:i/>
          <w:iCs/>
        </w:rPr>
        <w:t>the</w:t>
      </w:r>
      <w:r>
        <w:t xml:space="preserve"> </w:t>
      </w:r>
      <w:r>
        <w:rPr>
          <w:i/>
        </w:rPr>
        <w:t>department</w:t>
      </w:r>
      <w:r>
        <w:t xml:space="preserve"> determines that the </w:t>
      </w:r>
      <w:r>
        <w:rPr>
          <w:i/>
        </w:rPr>
        <w:t>HEP</w:t>
      </w:r>
      <w:r>
        <w:t xml:space="preserve"> has received an overpayment in respect of the </w:t>
      </w:r>
      <w:r>
        <w:rPr>
          <w:i/>
        </w:rPr>
        <w:t>Grant Year</w:t>
      </w:r>
      <w:r>
        <w:t xml:space="preserve">, the </w:t>
      </w:r>
      <w:r>
        <w:rPr>
          <w:i/>
        </w:rPr>
        <w:t>HEP</w:t>
      </w:r>
      <w:r>
        <w:t xml:space="preserve"> must repay the amount of the overpayment to </w:t>
      </w:r>
      <w:r w:rsidRPr="00FF2E85">
        <w:rPr>
          <w:i/>
          <w:iCs/>
        </w:rPr>
        <w:t xml:space="preserve">the </w:t>
      </w:r>
      <w:r>
        <w:rPr>
          <w:i/>
        </w:rPr>
        <w:t>department</w:t>
      </w:r>
      <w:r>
        <w:t>.</w:t>
      </w:r>
    </w:p>
    <w:p w14:paraId="013C68C7" w14:textId="77777777" w:rsidR="003264EF" w:rsidRPr="00FF2E85" w:rsidRDefault="003264EF" w:rsidP="003264EF">
      <w:pPr>
        <w:pStyle w:val="Heading2"/>
        <w:spacing w:after="240"/>
        <w:rPr>
          <w:rStyle w:val="Heading2CharChar1"/>
          <w:rFonts w:cs="Times New Roman"/>
          <w:color w:val="auto"/>
          <w:sz w:val="27"/>
          <w:szCs w:val="27"/>
        </w:rPr>
      </w:pPr>
      <w:bookmarkStart w:id="50" w:name="_Toc51079493"/>
      <w:bookmarkStart w:id="51" w:name="_Toc51058874"/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>1.4.</w:t>
      </w:r>
      <w:r w:rsidR="00D93DD3">
        <w:rPr>
          <w:rStyle w:val="Heading2CharChar1"/>
          <w:rFonts w:cs="Times New Roman"/>
          <w:b/>
          <w:bCs/>
          <w:color w:val="auto"/>
          <w:sz w:val="27"/>
          <w:szCs w:val="27"/>
        </w:rPr>
        <w:t>45</w:t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</w:r>
      <w:r w:rsidRPr="00FF2E85">
        <w:rPr>
          <w:rStyle w:val="Heading2CharChar1"/>
          <w:rFonts w:cs="Times New Roman"/>
          <w:b/>
          <w:bCs/>
          <w:color w:val="auto"/>
          <w:sz w:val="27"/>
          <w:szCs w:val="27"/>
        </w:rPr>
        <w:tab/>
        <w:t>Rollover of Grant Amounts</w:t>
      </w:r>
      <w:bookmarkEnd w:id="50"/>
      <w:bookmarkEnd w:id="51"/>
    </w:p>
    <w:p w14:paraId="72BE4E2B" w14:textId="7F19AD5B" w:rsidR="006A1998" w:rsidRPr="000572F3" w:rsidRDefault="003264EF" w:rsidP="00FF2E85">
      <w:pPr>
        <w:tabs>
          <w:tab w:val="left" w:pos="851"/>
        </w:tabs>
        <w:rPr>
          <w:szCs w:val="24"/>
        </w:rPr>
      </w:pPr>
      <w:r>
        <w:t xml:space="preserve">A </w:t>
      </w:r>
      <w:r>
        <w:rPr>
          <w:i/>
        </w:rPr>
        <w:t xml:space="preserve">RSP </w:t>
      </w:r>
      <w:r>
        <w:t xml:space="preserve">grant is made in respect of the relevant </w:t>
      </w:r>
      <w:r>
        <w:rPr>
          <w:i/>
        </w:rPr>
        <w:t>Grant Year</w:t>
      </w:r>
      <w:r>
        <w:t xml:space="preserve"> for the purpose of section 41-40 of </w:t>
      </w:r>
      <w:r>
        <w:rPr>
          <w:i/>
        </w:rPr>
        <w:t>the Act</w:t>
      </w:r>
      <w:r>
        <w:t>.</w:t>
      </w:r>
    </w:p>
    <w:p w14:paraId="09C9B74D" w14:textId="171C8422" w:rsidR="005E317F" w:rsidRDefault="006E1F16" w:rsidP="00C93C47">
      <w:pPr>
        <w:pStyle w:val="ItemHead"/>
      </w:pPr>
      <w:r>
        <w:t>4</w:t>
      </w:r>
      <w:r w:rsidR="005C66CE">
        <w:t xml:space="preserve"> </w:t>
      </w:r>
      <w:r w:rsidR="007B1EF7">
        <w:t xml:space="preserve">Before </w:t>
      </w:r>
      <w:r w:rsidR="00B82C77">
        <w:t>sub-</w:t>
      </w:r>
      <w:r w:rsidR="007B1EF7">
        <w:t>s</w:t>
      </w:r>
      <w:r w:rsidR="0067313E">
        <w:t>ubparagraph 2.5(3)</w:t>
      </w:r>
      <w:r w:rsidR="007B1EF7">
        <w:t>(a)</w:t>
      </w:r>
      <w:r w:rsidR="0067313E">
        <w:t xml:space="preserve"> </w:t>
      </w:r>
    </w:p>
    <w:p w14:paraId="1A89B9F3" w14:textId="77777777" w:rsidR="007B1EF7" w:rsidRDefault="007B1EF7" w:rsidP="005E317F">
      <w:pPr>
        <w:pStyle w:val="Item"/>
      </w:pPr>
      <w:r>
        <w:t xml:space="preserve">Insert: </w:t>
      </w:r>
    </w:p>
    <w:p w14:paraId="30AF62DD" w14:textId="77777777" w:rsidR="005E317F" w:rsidRDefault="007B1EF7" w:rsidP="005E317F">
      <w:pPr>
        <w:pStyle w:val="Item"/>
      </w:pPr>
      <w:r>
        <w:t>(aa) Australian Academy of Health and Medical Science</w:t>
      </w:r>
      <w:r w:rsidR="00451F17">
        <w:t>s</w:t>
      </w:r>
      <w:r>
        <w:t xml:space="preserve"> (</w:t>
      </w:r>
      <w:r w:rsidRPr="007B1EF7">
        <w:rPr>
          <w:i/>
        </w:rPr>
        <w:t>AAHMS</w:t>
      </w:r>
      <w:r>
        <w:t>);</w:t>
      </w:r>
    </w:p>
    <w:p w14:paraId="53708BFB" w14:textId="3C05BA6F" w:rsidR="005E317F" w:rsidRDefault="006E1F16" w:rsidP="005E317F">
      <w:pPr>
        <w:pStyle w:val="ItemHead"/>
      </w:pPr>
      <w:r>
        <w:t>5</w:t>
      </w:r>
      <w:r w:rsidR="005C66CE">
        <w:t xml:space="preserve">  </w:t>
      </w:r>
      <w:r w:rsidR="007B1EF7">
        <w:t>Subparagraph 2.15(2)</w:t>
      </w:r>
    </w:p>
    <w:p w14:paraId="1FB6F1E7" w14:textId="77777777" w:rsidR="002841AE" w:rsidRPr="002841AE" w:rsidRDefault="002841AE" w:rsidP="002841AE">
      <w:pPr>
        <w:pStyle w:val="ItemHead"/>
        <w:ind w:left="141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Omit “four” (wherever occurring), substitute “five”.  </w:t>
      </w:r>
    </w:p>
    <w:p w14:paraId="486AFCF7" w14:textId="42CE0300" w:rsidR="005E317F" w:rsidRDefault="006E1F16" w:rsidP="005E317F">
      <w:pPr>
        <w:pStyle w:val="ItemHead"/>
      </w:pPr>
      <w:r>
        <w:t>6</w:t>
      </w:r>
      <w:r w:rsidR="005C66CE">
        <w:t xml:space="preserve">  </w:t>
      </w:r>
      <w:r w:rsidR="00B82C77">
        <w:t>Sub-subparagraph 2.15(3</w:t>
      </w:r>
      <w:r w:rsidR="002841AE">
        <w:t xml:space="preserve">)(a) </w:t>
      </w:r>
    </w:p>
    <w:p w14:paraId="4B776599" w14:textId="77777777" w:rsidR="003F6F52" w:rsidRDefault="002841AE" w:rsidP="002841AE">
      <w:pPr>
        <w:pStyle w:val="Item"/>
        <w:rPr>
          <w:i/>
        </w:rPr>
      </w:pPr>
      <w:r>
        <w:t xml:space="preserve">Omit “and </w:t>
      </w:r>
      <w:r w:rsidRPr="002841AE">
        <w:rPr>
          <w:i/>
        </w:rPr>
        <w:t>ASSA</w:t>
      </w:r>
      <w:r>
        <w:t>”, substitute “</w:t>
      </w:r>
      <w:r>
        <w:rPr>
          <w:i/>
        </w:rPr>
        <w:t xml:space="preserve">ASSA </w:t>
      </w:r>
      <w:r>
        <w:t xml:space="preserve">and </w:t>
      </w:r>
      <w:r>
        <w:rPr>
          <w:i/>
        </w:rPr>
        <w:t xml:space="preserve">AAHMS”. </w:t>
      </w:r>
    </w:p>
    <w:p w14:paraId="3E817E91" w14:textId="77777777" w:rsidR="00023441" w:rsidRDefault="00023441" w:rsidP="00C878D8">
      <w:pPr>
        <w:pStyle w:val="Item"/>
        <w:ind w:left="0"/>
        <w:rPr>
          <w:rFonts w:ascii="Arial" w:hAnsi="Arial"/>
          <w:b/>
          <w:kern w:val="28"/>
          <w:sz w:val="24"/>
        </w:rPr>
      </w:pPr>
    </w:p>
    <w:p w14:paraId="143EA657" w14:textId="6E3745BC" w:rsidR="00023441" w:rsidRPr="000572F3" w:rsidRDefault="00023441" w:rsidP="00023441">
      <w:pPr>
        <w:tabs>
          <w:tab w:val="left" w:pos="851"/>
        </w:tabs>
        <w:rPr>
          <w:szCs w:val="24"/>
        </w:rPr>
      </w:pPr>
    </w:p>
    <w:p w14:paraId="42800F21" w14:textId="77777777" w:rsidR="00023441" w:rsidRPr="00023441" w:rsidRDefault="00023441" w:rsidP="00E874CA">
      <w:pPr>
        <w:pStyle w:val="ItemHead"/>
      </w:pPr>
    </w:p>
    <w:sectPr w:rsidR="00023441" w:rsidRPr="00023441" w:rsidSect="00B20990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223A3" w14:textId="77777777" w:rsidR="002E7998" w:rsidRDefault="002E7998" w:rsidP="0048364F">
      <w:pPr>
        <w:spacing w:line="240" w:lineRule="auto"/>
      </w:pPr>
      <w:r>
        <w:separator/>
      </w:r>
    </w:p>
  </w:endnote>
  <w:endnote w:type="continuationSeparator" w:id="0">
    <w:p w14:paraId="4AA5A7E8" w14:textId="77777777" w:rsidR="002E7998" w:rsidRDefault="002E799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1" w:subsetted="1" w:fontKey="{B3BA7DF2-185B-4100-8891-1303E0E070B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E7998" w14:paraId="0C3C24F3" w14:textId="77777777" w:rsidTr="00B675DC">
      <w:tc>
        <w:tcPr>
          <w:tcW w:w="5000" w:type="pct"/>
        </w:tcPr>
        <w:p w14:paraId="7EE40260" w14:textId="77777777" w:rsidR="002E7998" w:rsidRDefault="002E7998" w:rsidP="00B675DC">
          <w:pPr>
            <w:rPr>
              <w:sz w:val="18"/>
            </w:rPr>
          </w:pPr>
          <w:r>
            <w:rPr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4384" behindDoc="0" locked="1" layoutInCell="0" allowOverlap="1" wp14:anchorId="7B95CADB" wp14:editId="3C941F15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align>center</wp:align>
                    </wp:positionV>
                    <wp:extent cx="1129665" cy="273050"/>
                    <wp:effectExtent l="0" t="0" r="0" b="0"/>
                    <wp:wrapNone/>
                    <wp:docPr id="7" name="janusSEAL SC F_EvenPag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2966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405312" w14:textId="21053A45" w:rsidR="002E7998" w:rsidRPr="008141C7" w:rsidRDefault="002E7998" w:rsidP="008141C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instrText xml:space="preserve"> DOCPROPERTY PM_ProtectiveMarkingValue_Footer \* MERGEFORMAT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separate"/>
                                </w:r>
                                <w:r w:rsidR="00111389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t>PROTECTED CABINET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95CADB"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F_EvenPage" o:spid="_x0000_s1028" type="#_x0000_t202" style="position:absolute;margin-left:0;margin-top:0;width:88.95pt;height:21.5pt;z-index:25166438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" o:allowincell="f" filled="f" stroked="f" strokeweight=".5pt">
                    <v:textbox style="mso-fit-shape-to-text:t">
                      <w:txbxContent>
                        <w:p w14:paraId="6A405312" w14:textId="21053A45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1138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PROTECTED CABINET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</w:tc>
    </w:tr>
  </w:tbl>
  <w:p w14:paraId="7A622C5B" w14:textId="77777777" w:rsidR="002E7998" w:rsidRPr="005F1388" w:rsidRDefault="002E799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E7998" w14:paraId="11992D84" w14:textId="77777777" w:rsidTr="00B675DC">
      <w:tc>
        <w:tcPr>
          <w:tcW w:w="5000" w:type="pct"/>
        </w:tcPr>
        <w:p w14:paraId="4BDA526E" w14:textId="77777777" w:rsidR="002E7998" w:rsidRDefault="002E7998" w:rsidP="00B675DC">
          <w:pPr>
            <w:rPr>
              <w:sz w:val="18"/>
            </w:rPr>
          </w:pPr>
          <w:r>
            <w:rPr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2336" behindDoc="0" locked="1" layoutInCell="0" allowOverlap="1" wp14:anchorId="19793549" wp14:editId="59FDDE07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align>center</wp:align>
                    </wp:positionV>
                    <wp:extent cx="1129665" cy="273050"/>
                    <wp:effectExtent l="0" t="0" r="0" b="0"/>
                    <wp:wrapNone/>
                    <wp:docPr id="5" name="janusSEAL SC Foote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2966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253ECB" w14:textId="6F10B956" w:rsidR="002E7998" w:rsidRPr="008141C7" w:rsidRDefault="002E7998" w:rsidP="008141C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instrText xml:space="preserve"> DOCPROPERTY PM_ProtectiveMarkingValue_Footer \* MERGEFORMAT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separate"/>
                                </w:r>
                                <w:r w:rsidR="00111389"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t>PROTECTED CABINET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9793549"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Footer" o:spid="_x0000_s1029" type="#_x0000_t202" style="position:absolute;margin-left:0;margin-top:0;width:88.95pt;height:21.5pt;z-index:25166233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" o:allowincell="f" filled="f" stroked="f" strokeweight=".5pt">
                    <v:textbox style="mso-fit-shape-to-text:t">
                      <w:txbxContent>
                        <w:p w14:paraId="1B253ECB" w14:textId="6F10B956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1138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PROTECTED CABINET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</w:tc>
    </w:tr>
  </w:tbl>
  <w:p w14:paraId="3C73D57A" w14:textId="77777777" w:rsidR="002E7998" w:rsidRPr="006D3667" w:rsidRDefault="002E7998" w:rsidP="00B675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8C5D2" w14:textId="77777777" w:rsidR="002E7998" w:rsidRDefault="002E7998" w:rsidP="00B675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727DC9B8" wp14:editId="5EB09E9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129665" cy="273050"/>
              <wp:effectExtent l="0" t="0" r="0" b="0"/>
              <wp:wrapNone/>
              <wp:docPr id="6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D2C631" w14:textId="77777777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DC9B8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0" type="#_x0000_t202" style="position:absolute;margin-left:0;margin-top:0;width:88.95pt;height:21.5pt;z-index:25166336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" o:allowincell="f" filled="f" stroked="f" strokeweight=".5pt">
              <v:textbox style="mso-fit-shape-to-text:t">
                <w:txbxContent>
                  <w:p w14:paraId="6AD2C631" w14:textId="77777777" w:rsidR="002E7998" w:rsidRPr="008141C7" w:rsidRDefault="002E7998" w:rsidP="008141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E7998" w14:paraId="4C945CCD" w14:textId="77777777" w:rsidTr="00B675DC">
      <w:tc>
        <w:tcPr>
          <w:tcW w:w="5000" w:type="pct"/>
        </w:tcPr>
        <w:p w14:paraId="2AF9CF59" w14:textId="77777777" w:rsidR="002E7998" w:rsidRDefault="002E7998" w:rsidP="00B675DC">
          <w:pPr>
            <w:rPr>
              <w:sz w:val="18"/>
            </w:rPr>
          </w:pPr>
        </w:p>
      </w:tc>
    </w:tr>
  </w:tbl>
  <w:p w14:paraId="72B90BA5" w14:textId="77777777" w:rsidR="002E7998" w:rsidRPr="00486382" w:rsidRDefault="002E7998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F4D54" w14:textId="77777777" w:rsidR="002E7998" w:rsidRPr="00E33C1C" w:rsidRDefault="002E7998" w:rsidP="00B675D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42ABF3B6" wp14:editId="59B174A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129665" cy="273050"/>
              <wp:effectExtent l="0" t="0" r="0" b="0"/>
              <wp:wrapNone/>
              <wp:docPr id="11" name="janusSEAL SC F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567AB9" w14:textId="2886ED7D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1138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PROTECTED CABINET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BF3B6" id="_x0000_t202" coordsize="21600,21600" o:spt="202" path="m,l,21600r21600,l21600,xe">
              <v:stroke joinstyle="miter"/>
              <v:path gradientshapeok="t" o:connecttype="rect"/>
            </v:shapetype>
            <v:shape id="janusSEAL SC F_EvenPage_S_2" o:spid="_x0000_s1032" type="#_x0000_t202" style="position:absolute;margin-left:0;margin-top:0;width:88.95pt;height:21.5pt;z-index:25166848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" o:allowincell="f" filled="f" stroked="f" strokeweight=".5pt">
              <v:textbox style="mso-fit-shape-to-text:t">
                <w:txbxContent>
                  <w:p w14:paraId="12567AB9" w14:textId="2886ED7D" w:rsidR="002E7998" w:rsidRPr="008141C7" w:rsidRDefault="002E7998" w:rsidP="008141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1138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PROTECTED CABINET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E7998" w14:paraId="5CD9A725" w14:textId="77777777" w:rsidTr="00B675DC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91696C4" w14:textId="77777777" w:rsidR="002E7998" w:rsidRDefault="002E7998" w:rsidP="00B675D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2A28B6F" w14:textId="36443942" w:rsidR="002E7998" w:rsidRDefault="002E7998" w:rsidP="00B675D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11389">
            <w:rPr>
              <w:i/>
              <w:noProof/>
              <w:sz w:val="18"/>
            </w:rPr>
            <w:t>Other Grants Guidelines (Research) Amendment (No. 2)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0CBFDEF" w14:textId="77777777" w:rsidR="002E7998" w:rsidRDefault="002E7998" w:rsidP="00B675DC">
          <w:pPr>
            <w:spacing w:line="0" w:lineRule="atLeast"/>
            <w:jc w:val="right"/>
            <w:rPr>
              <w:sz w:val="18"/>
            </w:rPr>
          </w:pPr>
        </w:p>
      </w:tc>
    </w:tr>
    <w:tr w:rsidR="002E7998" w14:paraId="5C0A6ACB" w14:textId="77777777" w:rsidTr="00B675D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4EE10E2" w14:textId="77777777" w:rsidR="002E7998" w:rsidRDefault="002E7998" w:rsidP="00B675DC">
          <w:pPr>
            <w:jc w:val="right"/>
            <w:rPr>
              <w:sz w:val="18"/>
            </w:rPr>
          </w:pPr>
        </w:p>
      </w:tc>
    </w:tr>
  </w:tbl>
  <w:p w14:paraId="16AFCC89" w14:textId="77777777" w:rsidR="002E7998" w:rsidRPr="00ED79B6" w:rsidRDefault="002E7998" w:rsidP="00B675D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34C6F" w14:textId="77777777" w:rsidR="002E7998" w:rsidRPr="00E33C1C" w:rsidRDefault="002E7998" w:rsidP="00B675D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07D59F03" wp14:editId="2941F63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129665" cy="273050"/>
              <wp:effectExtent l="0" t="0" r="0" b="0"/>
              <wp:wrapNone/>
              <wp:docPr id="10" name="janusSEAL SC Footer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CA91C4" w14:textId="77777777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59F03" id="_x0000_t202" coordsize="21600,21600" o:spt="202" path="m,l,21600r21600,l21600,xe">
              <v:stroke joinstyle="miter"/>
              <v:path gradientshapeok="t" o:connecttype="rect"/>
            </v:shapetype>
            <v:shape id="janusSEAL SC Footer_S_2" o:spid="_x0000_s1033" type="#_x0000_t202" style="position:absolute;margin-left:0;margin-top:0;width:88.95pt;height:21.5pt;z-index:25166745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" o:allowincell="f" filled="f" stroked="f" strokeweight=".5pt">
              <v:textbox style="mso-fit-shape-to-text:t">
                <w:txbxContent>
                  <w:p w14:paraId="3CCA91C4" w14:textId="77777777" w:rsidR="002E7998" w:rsidRPr="008141C7" w:rsidRDefault="002E7998" w:rsidP="008141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E7998" w14:paraId="2CC10009" w14:textId="77777777" w:rsidTr="00B675DC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DD7FEFC" w14:textId="77777777" w:rsidR="002E7998" w:rsidRDefault="002E7998" w:rsidP="00B675D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25E0062" w14:textId="5AD4F5AA" w:rsidR="002E7998" w:rsidRPr="00B20990" w:rsidRDefault="002E7998" w:rsidP="00B675D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705E">
            <w:rPr>
              <w:i/>
              <w:noProof/>
              <w:sz w:val="18"/>
            </w:rPr>
            <w:t>Other Grants Guidelines (Research) Amendment (No. 2)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418CBD" w14:textId="186D45F4" w:rsidR="002E7998" w:rsidRDefault="002E7998" w:rsidP="00B675D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E7998" w14:paraId="2715FBBB" w14:textId="77777777" w:rsidTr="00B675D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32B16CA" w14:textId="77777777" w:rsidR="002E7998" w:rsidRDefault="002E7998" w:rsidP="00B675DC">
          <w:pPr>
            <w:rPr>
              <w:sz w:val="18"/>
            </w:rPr>
          </w:pPr>
        </w:p>
      </w:tc>
    </w:tr>
  </w:tbl>
  <w:p w14:paraId="1166FF31" w14:textId="77777777" w:rsidR="002E7998" w:rsidRPr="00ED79B6" w:rsidRDefault="002E7998" w:rsidP="00B675D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D0F6" w14:textId="77777777" w:rsidR="002E7998" w:rsidRPr="00E33C1C" w:rsidRDefault="002E799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0" allowOverlap="1" wp14:anchorId="53F7D76E" wp14:editId="66108182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129665" cy="273050"/>
              <wp:effectExtent l="0" t="0" r="0" b="0"/>
              <wp:wrapNone/>
              <wp:docPr id="15" name="janusSEAL SC F_EvenPage_S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5F1F12" w14:textId="77777777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7D76E" id="_x0000_t202" coordsize="21600,21600" o:spt="202" path="m,l,21600r21600,l21600,xe">
              <v:stroke joinstyle="miter"/>
              <v:path gradientshapeok="t" o:connecttype="rect"/>
            </v:shapetype>
            <v:shape id="janusSEAL SC F_EvenPage_S_3" o:spid="_x0000_s1036" type="#_x0000_t202" style="position:absolute;margin-left:0;margin-top:0;width:88.95pt;height:21.5pt;z-index:25167257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" o:allowincell="f" filled="f" stroked="f" strokeweight=".5pt">
              <v:textbox style="mso-fit-shape-to-text:t">
                <w:txbxContent>
                  <w:p w14:paraId="295F1F12" w14:textId="77777777" w:rsidR="002E7998" w:rsidRPr="008141C7" w:rsidRDefault="002E7998" w:rsidP="008141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E7998" w14:paraId="2BA82D9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177511" w14:textId="28BCBCFA" w:rsidR="002E7998" w:rsidRDefault="002E799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F2BEDB" w14:textId="38227797" w:rsidR="002E7998" w:rsidRDefault="002E7998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705E">
            <w:rPr>
              <w:i/>
              <w:noProof/>
              <w:sz w:val="18"/>
            </w:rPr>
            <w:t>Other Grants Guidelines (Research) Amendment (No. 2)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909B72" w14:textId="77777777" w:rsidR="002E7998" w:rsidRDefault="002E799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2E7998" w14:paraId="6952972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EAF1FE" w14:textId="77777777" w:rsidR="002E7998" w:rsidRDefault="002E7998" w:rsidP="00EE57E8">
          <w:pPr>
            <w:jc w:val="right"/>
            <w:rPr>
              <w:sz w:val="18"/>
            </w:rPr>
          </w:pPr>
        </w:p>
      </w:tc>
    </w:tr>
  </w:tbl>
  <w:p w14:paraId="207EADEF" w14:textId="77777777" w:rsidR="002E7998" w:rsidRPr="00ED79B6" w:rsidRDefault="002E799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BB7D7" w14:textId="77777777" w:rsidR="002E7998" w:rsidRPr="00E33C1C" w:rsidRDefault="002E799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1552" behindDoc="0" locked="1" layoutInCell="0" allowOverlap="1" wp14:anchorId="22453D4F" wp14:editId="554DB473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129665" cy="273050"/>
              <wp:effectExtent l="0" t="0" r="0" b="0"/>
              <wp:wrapNone/>
              <wp:docPr id="14" name="janusSEAL SC Footer_S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FF263A" w14:textId="77777777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53D4F" id="_x0000_t202" coordsize="21600,21600" o:spt="202" path="m,l,21600r21600,l21600,xe">
              <v:stroke joinstyle="miter"/>
              <v:path gradientshapeok="t" o:connecttype="rect"/>
            </v:shapetype>
            <v:shape id="janusSEAL SC Footer_S_3" o:spid="_x0000_s1037" type="#_x0000_t202" style="position:absolute;margin-left:0;margin-top:0;width:88.95pt;height:21.5pt;z-index:25167155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" o:allowincell="f" filled="f" stroked="f" strokeweight=".5pt">
              <v:textbox style="mso-fit-shape-to-text:t">
                <w:txbxContent>
                  <w:p w14:paraId="12FF263A" w14:textId="77777777" w:rsidR="002E7998" w:rsidRPr="008141C7" w:rsidRDefault="002E7998" w:rsidP="008141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E7998" w14:paraId="1D3FC10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E89A83" w14:textId="77777777" w:rsidR="002E7998" w:rsidRDefault="002E799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7C3A2D" w14:textId="6DF22242" w:rsidR="002E7998" w:rsidRDefault="002E7998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705E">
            <w:rPr>
              <w:i/>
              <w:noProof/>
              <w:sz w:val="18"/>
            </w:rPr>
            <w:t>Other Grants Guidelines (Research) Amendment (No. 2)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D0BF19" w14:textId="793BFB72" w:rsidR="002E7998" w:rsidRDefault="002E799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E7998" w14:paraId="06F18E1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DD040F" w14:textId="77777777" w:rsidR="002E7998" w:rsidRDefault="002E7998" w:rsidP="00EE57E8">
          <w:pPr>
            <w:rPr>
              <w:sz w:val="18"/>
            </w:rPr>
          </w:pPr>
        </w:p>
      </w:tc>
    </w:tr>
  </w:tbl>
  <w:p w14:paraId="7BE5C021" w14:textId="77777777" w:rsidR="002E7998" w:rsidRPr="00ED79B6" w:rsidRDefault="002E799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4047" w14:textId="77777777" w:rsidR="002E7998" w:rsidRPr="00E33C1C" w:rsidRDefault="002E799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E7998" w14:paraId="2F071FA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8AAF2D" w14:textId="77777777" w:rsidR="002E7998" w:rsidRDefault="002E799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6EFA7C" w14:textId="54ED37C2" w:rsidR="002E7998" w:rsidRDefault="002E799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38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8C362C" w14:textId="77777777" w:rsidR="002E7998" w:rsidRDefault="002E799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E7998" w14:paraId="4A85077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556809" w14:textId="5811C71E" w:rsidR="002E7998" w:rsidRDefault="002E799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11389">
            <w:rPr>
              <w:i/>
              <w:noProof/>
              <w:sz w:val="18"/>
            </w:rPr>
            <w:t>https://education.pws.gov.au/workspaces/05/01/SupportingDocuments/MS/2020/313/MS20-002313/Attachment A - Other Grants Guidelines -Research- Amendment -No. 2-.docx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827C0">
            <w:rPr>
              <w:i/>
              <w:noProof/>
              <w:sz w:val="18"/>
            </w:rPr>
            <w:t>16/11/2020 2:28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7C7D81" w14:textId="77777777" w:rsidR="002E7998" w:rsidRPr="00ED79B6" w:rsidRDefault="002E799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6F529" w14:textId="77777777" w:rsidR="002E7998" w:rsidRDefault="002E7998" w:rsidP="0048364F">
      <w:pPr>
        <w:spacing w:line="240" w:lineRule="auto"/>
      </w:pPr>
      <w:r>
        <w:separator/>
      </w:r>
    </w:p>
  </w:footnote>
  <w:footnote w:type="continuationSeparator" w:id="0">
    <w:p w14:paraId="0C00C316" w14:textId="77777777" w:rsidR="002E7998" w:rsidRDefault="002E799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4716C" w14:textId="77777777" w:rsidR="002E7998" w:rsidRPr="005F1388" w:rsidRDefault="002E79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4F1E2442" wp14:editId="5261D12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129665" cy="273050"/>
              <wp:effectExtent l="0" t="0" r="0" b="0"/>
              <wp:wrapNone/>
              <wp:docPr id="4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1074D3" w14:textId="50FB259C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1138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PROTECTED CABINET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E2442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88.95pt;height:21.5pt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" o:allowincell="f" filled="f" stroked="f" strokeweight=".5pt">
              <v:textbox style="mso-fit-shape-to-text:t">
                <w:txbxContent>
                  <w:p w14:paraId="211074D3" w14:textId="50FB259C" w:rsidR="002E7998" w:rsidRPr="008141C7" w:rsidRDefault="002E7998" w:rsidP="008141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1138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PROTECTED CABINET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7220F" w14:textId="77777777" w:rsidR="002E7998" w:rsidRPr="005F1388" w:rsidRDefault="002E79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0DA131C4" wp14:editId="7BFEDDF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129665" cy="273050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D536ED" w14:textId="723B7433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1138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PROTECTED CABINET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131C4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88.95pt;height:21.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" o:allowincell="f" filled="f" stroked="f" strokeweight=".5pt">
              <v:textbox style="mso-fit-shape-to-text:t">
                <w:txbxContent>
                  <w:p w14:paraId="36D536ED" w14:textId="723B7433" w:rsidR="002E7998" w:rsidRPr="008141C7" w:rsidRDefault="002E7998" w:rsidP="008141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1138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PROTECTED CABINET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57B5" w14:textId="1E6D0C25" w:rsidR="002E7998" w:rsidRPr="005F1388" w:rsidRDefault="002E799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AEA39" w14:textId="77777777" w:rsidR="002E7998" w:rsidRPr="00ED79B6" w:rsidRDefault="002E7998" w:rsidP="00B675DC">
    <w:pPr>
      <w:pBdr>
        <w:bottom w:val="single" w:sz="4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38BFEAEE" wp14:editId="35A48687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129665" cy="273050"/>
              <wp:effectExtent l="0" t="0" r="0" b="0"/>
              <wp:wrapNone/>
              <wp:docPr id="9" name="janusSEAL SC H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DF20B3" w14:textId="5B448952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11389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PROTECTED CABINET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FEAEE" id="_x0000_t202" coordsize="21600,21600" o:spt="202" path="m,l,21600r21600,l21600,xe">
              <v:stroke joinstyle="miter"/>
              <v:path gradientshapeok="t" o:connecttype="rect"/>
            </v:shapetype>
            <v:shape id="janusSEAL SC H_EvenPage_S_2" o:spid="_x0000_s1031" type="#_x0000_t202" style="position:absolute;margin-left:0;margin-top:0;width:88.95pt;height:21.5pt;z-index:25166643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" o:allowincell="f" filled="f" stroked="f" strokeweight=".5pt">
              <v:textbox style="mso-fit-shape-to-text:t">
                <w:txbxContent>
                  <w:p w14:paraId="29DF20B3" w14:textId="5B448952" w:rsidR="002E7998" w:rsidRPr="008141C7" w:rsidRDefault="002E7998" w:rsidP="008141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11389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PROTECTED CABINET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3DDD7" w14:textId="5D5F3A0F" w:rsidR="002E7998" w:rsidRPr="00ED79B6" w:rsidRDefault="002E7998" w:rsidP="00B675DC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DC35F" w14:textId="77777777" w:rsidR="002E7998" w:rsidRPr="00ED79B6" w:rsidRDefault="002E799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E39D9" w14:textId="77777777" w:rsidR="002E7998" w:rsidRPr="00A961C4" w:rsidRDefault="002E7998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0" locked="1" layoutInCell="0" allowOverlap="1" wp14:anchorId="628FFB7D" wp14:editId="48AFE43E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129665" cy="273050"/>
              <wp:effectExtent l="0" t="0" r="0" b="0"/>
              <wp:wrapNone/>
              <wp:docPr id="13" name="janusSEAL SC H_EvenPage_S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9B6C35" w14:textId="77777777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FFB7D" id="_x0000_t202" coordsize="21600,21600" o:spt="202" path="m,l,21600r21600,l21600,xe">
              <v:stroke joinstyle="miter"/>
              <v:path gradientshapeok="t" o:connecttype="rect"/>
            </v:shapetype>
            <v:shape id="janusSEAL SC H_EvenPage_S_3" o:spid="_x0000_s1034" type="#_x0000_t202" style="position:absolute;margin-left:0;margin-top:0;width:88.95pt;height:21.5pt;z-index:25167052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" o:allowincell="f" filled="f" stroked="f" strokeweight=".5pt">
              <v:textbox style="mso-fit-shape-to-text:t">
                <w:txbxContent>
                  <w:p w14:paraId="319B6C35" w14:textId="77777777" w:rsidR="002E7998" w:rsidRPr="008141C7" w:rsidRDefault="002E7998" w:rsidP="008141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8FDF40E" w14:textId="77777777" w:rsidR="002E7998" w:rsidRPr="00A961C4" w:rsidRDefault="002E7998" w:rsidP="0048364F">
    <w:pPr>
      <w:rPr>
        <w:b/>
        <w:sz w:val="20"/>
      </w:rPr>
    </w:pPr>
  </w:p>
  <w:p w14:paraId="618875BB" w14:textId="77777777" w:rsidR="002E7998" w:rsidRPr="00A961C4" w:rsidRDefault="002E799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9C865" w14:textId="77777777" w:rsidR="002E7998" w:rsidRPr="00A961C4" w:rsidRDefault="002E79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0" locked="1" layoutInCell="0" allowOverlap="1" wp14:anchorId="1ED405B4" wp14:editId="46EB827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129665" cy="273050"/>
              <wp:effectExtent l="0" t="0" r="0" b="0"/>
              <wp:wrapNone/>
              <wp:docPr id="12" name="janusSEAL SC Header_S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6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83F564" w14:textId="77777777" w:rsidR="002E7998" w:rsidRPr="008141C7" w:rsidRDefault="002E7998" w:rsidP="00814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405B4" id="_x0000_t202" coordsize="21600,21600" o:spt="202" path="m,l,21600r21600,l21600,xe">
              <v:stroke joinstyle="miter"/>
              <v:path gradientshapeok="t" o:connecttype="rect"/>
            </v:shapetype>
            <v:shape id="janusSEAL SC Header_S_3" o:spid="_x0000_s1035" type="#_x0000_t202" style="position:absolute;left:0;text-align:left;margin-left:0;margin-top:0;width:88.95pt;height:21.5pt;z-index:25166950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" o:allowincell="f" filled="f" stroked="f" strokeweight=".5pt">
              <v:textbox style="mso-fit-shape-to-text:t">
                <w:txbxContent>
                  <w:p w14:paraId="4D83F564" w14:textId="77777777" w:rsidR="002E7998" w:rsidRPr="008141C7" w:rsidRDefault="002E7998" w:rsidP="008141C7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40098C67" w14:textId="77777777" w:rsidR="002E7998" w:rsidRPr="00A961C4" w:rsidRDefault="002E7998" w:rsidP="0048364F">
    <w:pPr>
      <w:jc w:val="right"/>
      <w:rPr>
        <w:b/>
        <w:sz w:val="20"/>
      </w:rPr>
    </w:pPr>
  </w:p>
  <w:p w14:paraId="495C30B9" w14:textId="77777777" w:rsidR="002E7998" w:rsidRPr="00A961C4" w:rsidRDefault="002E799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CD"/>
    <w:rsid w:val="00000263"/>
    <w:rsid w:val="00002BCC"/>
    <w:rsid w:val="000113BC"/>
    <w:rsid w:val="000136AF"/>
    <w:rsid w:val="000229D5"/>
    <w:rsid w:val="00023441"/>
    <w:rsid w:val="000314C3"/>
    <w:rsid w:val="00033D2B"/>
    <w:rsid w:val="0004044E"/>
    <w:rsid w:val="0005120E"/>
    <w:rsid w:val="00053CC9"/>
    <w:rsid w:val="00054577"/>
    <w:rsid w:val="000572F3"/>
    <w:rsid w:val="000614BF"/>
    <w:rsid w:val="0007169C"/>
    <w:rsid w:val="00077593"/>
    <w:rsid w:val="000827C0"/>
    <w:rsid w:val="00083F48"/>
    <w:rsid w:val="000A11EB"/>
    <w:rsid w:val="000A479A"/>
    <w:rsid w:val="000A7DF9"/>
    <w:rsid w:val="000A7E9D"/>
    <w:rsid w:val="000D05EF"/>
    <w:rsid w:val="000D3711"/>
    <w:rsid w:val="000D3FB9"/>
    <w:rsid w:val="000D5485"/>
    <w:rsid w:val="000D77D1"/>
    <w:rsid w:val="000E598E"/>
    <w:rsid w:val="000E5A3D"/>
    <w:rsid w:val="000F0ADA"/>
    <w:rsid w:val="000F21C1"/>
    <w:rsid w:val="0010745C"/>
    <w:rsid w:val="00111389"/>
    <w:rsid w:val="001122FF"/>
    <w:rsid w:val="00134248"/>
    <w:rsid w:val="001558F5"/>
    <w:rsid w:val="00160BD7"/>
    <w:rsid w:val="001643C9"/>
    <w:rsid w:val="00165568"/>
    <w:rsid w:val="00166082"/>
    <w:rsid w:val="00166C2F"/>
    <w:rsid w:val="001716C9"/>
    <w:rsid w:val="00183DEA"/>
    <w:rsid w:val="00184261"/>
    <w:rsid w:val="00193461"/>
    <w:rsid w:val="001939E1"/>
    <w:rsid w:val="0019452E"/>
    <w:rsid w:val="00195382"/>
    <w:rsid w:val="001A1C84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06565"/>
    <w:rsid w:val="0021153A"/>
    <w:rsid w:val="00223552"/>
    <w:rsid w:val="002245A6"/>
    <w:rsid w:val="002302EA"/>
    <w:rsid w:val="00237614"/>
    <w:rsid w:val="00240749"/>
    <w:rsid w:val="00245479"/>
    <w:rsid w:val="002468D7"/>
    <w:rsid w:val="00247E97"/>
    <w:rsid w:val="00256C81"/>
    <w:rsid w:val="002603A6"/>
    <w:rsid w:val="0027484C"/>
    <w:rsid w:val="00276590"/>
    <w:rsid w:val="002841AE"/>
    <w:rsid w:val="00285CDD"/>
    <w:rsid w:val="00291167"/>
    <w:rsid w:val="0029489E"/>
    <w:rsid w:val="00297ECB"/>
    <w:rsid w:val="002A0941"/>
    <w:rsid w:val="002B29C6"/>
    <w:rsid w:val="002C152A"/>
    <w:rsid w:val="002D043A"/>
    <w:rsid w:val="002D55AA"/>
    <w:rsid w:val="002E039F"/>
    <w:rsid w:val="002E0A12"/>
    <w:rsid w:val="002E5D39"/>
    <w:rsid w:val="002E7998"/>
    <w:rsid w:val="002F3DA0"/>
    <w:rsid w:val="00307FA8"/>
    <w:rsid w:val="00316AE8"/>
    <w:rsid w:val="0031713F"/>
    <w:rsid w:val="003222D1"/>
    <w:rsid w:val="00323C82"/>
    <w:rsid w:val="00324B0F"/>
    <w:rsid w:val="003264EF"/>
    <w:rsid w:val="0032750F"/>
    <w:rsid w:val="0033099A"/>
    <w:rsid w:val="00330E84"/>
    <w:rsid w:val="003415D3"/>
    <w:rsid w:val="003442F6"/>
    <w:rsid w:val="003443A0"/>
    <w:rsid w:val="00346335"/>
    <w:rsid w:val="00352B0F"/>
    <w:rsid w:val="003551CB"/>
    <w:rsid w:val="003561B0"/>
    <w:rsid w:val="0038246A"/>
    <w:rsid w:val="00397893"/>
    <w:rsid w:val="003A15AC"/>
    <w:rsid w:val="003A18B4"/>
    <w:rsid w:val="003B0627"/>
    <w:rsid w:val="003C5F2B"/>
    <w:rsid w:val="003C7D35"/>
    <w:rsid w:val="003D0BFE"/>
    <w:rsid w:val="003D5700"/>
    <w:rsid w:val="003F6F52"/>
    <w:rsid w:val="0040136A"/>
    <w:rsid w:val="004022CA"/>
    <w:rsid w:val="004116CD"/>
    <w:rsid w:val="00414ADE"/>
    <w:rsid w:val="00424CA9"/>
    <w:rsid w:val="00424E15"/>
    <w:rsid w:val="004257BB"/>
    <w:rsid w:val="0043672B"/>
    <w:rsid w:val="0044291A"/>
    <w:rsid w:val="00451F17"/>
    <w:rsid w:val="004600B0"/>
    <w:rsid w:val="00460499"/>
    <w:rsid w:val="00460FBA"/>
    <w:rsid w:val="0046350C"/>
    <w:rsid w:val="00474835"/>
    <w:rsid w:val="004819C7"/>
    <w:rsid w:val="00481CA5"/>
    <w:rsid w:val="0048364F"/>
    <w:rsid w:val="004877FC"/>
    <w:rsid w:val="00490F2E"/>
    <w:rsid w:val="00496F97"/>
    <w:rsid w:val="004A53EA"/>
    <w:rsid w:val="004B2EE2"/>
    <w:rsid w:val="004B35E7"/>
    <w:rsid w:val="004F1A0B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2EC"/>
    <w:rsid w:val="00543469"/>
    <w:rsid w:val="00546FA3"/>
    <w:rsid w:val="00557C7A"/>
    <w:rsid w:val="00562A58"/>
    <w:rsid w:val="005653E0"/>
    <w:rsid w:val="0056541A"/>
    <w:rsid w:val="00581211"/>
    <w:rsid w:val="00584811"/>
    <w:rsid w:val="00593AA6"/>
    <w:rsid w:val="00594161"/>
    <w:rsid w:val="00594749"/>
    <w:rsid w:val="00594956"/>
    <w:rsid w:val="005B1555"/>
    <w:rsid w:val="005B1E87"/>
    <w:rsid w:val="005B4067"/>
    <w:rsid w:val="005B4C15"/>
    <w:rsid w:val="005C3F41"/>
    <w:rsid w:val="005C4EF0"/>
    <w:rsid w:val="005C66CE"/>
    <w:rsid w:val="005D5EA1"/>
    <w:rsid w:val="005E098C"/>
    <w:rsid w:val="005E1F8D"/>
    <w:rsid w:val="005E317F"/>
    <w:rsid w:val="005E61D3"/>
    <w:rsid w:val="00600219"/>
    <w:rsid w:val="00604E6A"/>
    <w:rsid w:val="006065DA"/>
    <w:rsid w:val="00606AA4"/>
    <w:rsid w:val="006324D3"/>
    <w:rsid w:val="00637F81"/>
    <w:rsid w:val="00640402"/>
    <w:rsid w:val="00640F78"/>
    <w:rsid w:val="00647B1C"/>
    <w:rsid w:val="00651E41"/>
    <w:rsid w:val="0065346D"/>
    <w:rsid w:val="00655D6A"/>
    <w:rsid w:val="00656DE9"/>
    <w:rsid w:val="00672876"/>
    <w:rsid w:val="006730E1"/>
    <w:rsid w:val="0067313E"/>
    <w:rsid w:val="00677CC2"/>
    <w:rsid w:val="00685F42"/>
    <w:rsid w:val="0069207B"/>
    <w:rsid w:val="00694328"/>
    <w:rsid w:val="0069614B"/>
    <w:rsid w:val="006A1998"/>
    <w:rsid w:val="006A304E"/>
    <w:rsid w:val="006B5964"/>
    <w:rsid w:val="006B7006"/>
    <w:rsid w:val="006C71B4"/>
    <w:rsid w:val="006C7DB8"/>
    <w:rsid w:val="006C7F8C"/>
    <w:rsid w:val="006D7AB9"/>
    <w:rsid w:val="006E1F16"/>
    <w:rsid w:val="006F311E"/>
    <w:rsid w:val="00700B2C"/>
    <w:rsid w:val="00713084"/>
    <w:rsid w:val="00717463"/>
    <w:rsid w:val="00720FC2"/>
    <w:rsid w:val="00722E89"/>
    <w:rsid w:val="00725245"/>
    <w:rsid w:val="00727E9E"/>
    <w:rsid w:val="00731E00"/>
    <w:rsid w:val="007339C7"/>
    <w:rsid w:val="007440B7"/>
    <w:rsid w:val="00747993"/>
    <w:rsid w:val="0075236E"/>
    <w:rsid w:val="007634AD"/>
    <w:rsid w:val="007715C9"/>
    <w:rsid w:val="00774EDD"/>
    <w:rsid w:val="007757EC"/>
    <w:rsid w:val="007A6863"/>
    <w:rsid w:val="007B1EF7"/>
    <w:rsid w:val="007B3784"/>
    <w:rsid w:val="007C0342"/>
    <w:rsid w:val="007C32BA"/>
    <w:rsid w:val="007C533D"/>
    <w:rsid w:val="007C78B4"/>
    <w:rsid w:val="007E32B6"/>
    <w:rsid w:val="007E486B"/>
    <w:rsid w:val="007E7D4A"/>
    <w:rsid w:val="007F48ED"/>
    <w:rsid w:val="007F5E3F"/>
    <w:rsid w:val="00812F45"/>
    <w:rsid w:val="008141C7"/>
    <w:rsid w:val="00823607"/>
    <w:rsid w:val="00836FE9"/>
    <w:rsid w:val="00840FF0"/>
    <w:rsid w:val="0084172C"/>
    <w:rsid w:val="00841DE3"/>
    <w:rsid w:val="0085147D"/>
    <w:rsid w:val="0085175E"/>
    <w:rsid w:val="00856A31"/>
    <w:rsid w:val="008754D0"/>
    <w:rsid w:val="00877C69"/>
    <w:rsid w:val="00877D48"/>
    <w:rsid w:val="0088345B"/>
    <w:rsid w:val="008911CC"/>
    <w:rsid w:val="008A16A5"/>
    <w:rsid w:val="008A5C57"/>
    <w:rsid w:val="008B1D62"/>
    <w:rsid w:val="008C0629"/>
    <w:rsid w:val="008C1C08"/>
    <w:rsid w:val="008D0EE0"/>
    <w:rsid w:val="008D5F95"/>
    <w:rsid w:val="008D7A27"/>
    <w:rsid w:val="008E0769"/>
    <w:rsid w:val="008E40A8"/>
    <w:rsid w:val="008E4702"/>
    <w:rsid w:val="008E69AA"/>
    <w:rsid w:val="008F4F1C"/>
    <w:rsid w:val="008F6C07"/>
    <w:rsid w:val="009069AD"/>
    <w:rsid w:val="00910E64"/>
    <w:rsid w:val="00922764"/>
    <w:rsid w:val="00923901"/>
    <w:rsid w:val="009278C1"/>
    <w:rsid w:val="00931E22"/>
    <w:rsid w:val="00932377"/>
    <w:rsid w:val="009346E3"/>
    <w:rsid w:val="0094523D"/>
    <w:rsid w:val="00951617"/>
    <w:rsid w:val="00960649"/>
    <w:rsid w:val="0096705E"/>
    <w:rsid w:val="00973557"/>
    <w:rsid w:val="00976A63"/>
    <w:rsid w:val="009919F6"/>
    <w:rsid w:val="00994FA5"/>
    <w:rsid w:val="009B2490"/>
    <w:rsid w:val="009B50E5"/>
    <w:rsid w:val="009C3431"/>
    <w:rsid w:val="009C5989"/>
    <w:rsid w:val="009C6A32"/>
    <w:rsid w:val="009D08DA"/>
    <w:rsid w:val="009E74BB"/>
    <w:rsid w:val="009E75A0"/>
    <w:rsid w:val="00A06860"/>
    <w:rsid w:val="00A13292"/>
    <w:rsid w:val="00A136F5"/>
    <w:rsid w:val="00A231E2"/>
    <w:rsid w:val="00A2550D"/>
    <w:rsid w:val="00A33D16"/>
    <w:rsid w:val="00A3512E"/>
    <w:rsid w:val="00A379BB"/>
    <w:rsid w:val="00A4169B"/>
    <w:rsid w:val="00A50D55"/>
    <w:rsid w:val="00A52FDA"/>
    <w:rsid w:val="00A62502"/>
    <w:rsid w:val="00A64912"/>
    <w:rsid w:val="00A70A74"/>
    <w:rsid w:val="00A74811"/>
    <w:rsid w:val="00A9231A"/>
    <w:rsid w:val="00A95BC7"/>
    <w:rsid w:val="00AA0343"/>
    <w:rsid w:val="00AA78CE"/>
    <w:rsid w:val="00AA7933"/>
    <w:rsid w:val="00AA7B26"/>
    <w:rsid w:val="00AC767C"/>
    <w:rsid w:val="00AD3467"/>
    <w:rsid w:val="00AD5641"/>
    <w:rsid w:val="00AF33DB"/>
    <w:rsid w:val="00AF6360"/>
    <w:rsid w:val="00B0106F"/>
    <w:rsid w:val="00B032D8"/>
    <w:rsid w:val="00B05D72"/>
    <w:rsid w:val="00B11E51"/>
    <w:rsid w:val="00B159CE"/>
    <w:rsid w:val="00B20990"/>
    <w:rsid w:val="00B23FAF"/>
    <w:rsid w:val="00B33B3C"/>
    <w:rsid w:val="00B40D74"/>
    <w:rsid w:val="00B42649"/>
    <w:rsid w:val="00B441BF"/>
    <w:rsid w:val="00B46467"/>
    <w:rsid w:val="00B52663"/>
    <w:rsid w:val="00B52897"/>
    <w:rsid w:val="00B56DCB"/>
    <w:rsid w:val="00B61728"/>
    <w:rsid w:val="00B675DC"/>
    <w:rsid w:val="00B770D2"/>
    <w:rsid w:val="00B82C77"/>
    <w:rsid w:val="00B93516"/>
    <w:rsid w:val="00B96776"/>
    <w:rsid w:val="00B973E5"/>
    <w:rsid w:val="00BA47A3"/>
    <w:rsid w:val="00BA5026"/>
    <w:rsid w:val="00BA7B5B"/>
    <w:rsid w:val="00BB6E79"/>
    <w:rsid w:val="00BC04C5"/>
    <w:rsid w:val="00BE42C5"/>
    <w:rsid w:val="00BE719A"/>
    <w:rsid w:val="00BE720A"/>
    <w:rsid w:val="00BE7836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5147D"/>
    <w:rsid w:val="00C72D10"/>
    <w:rsid w:val="00C7573B"/>
    <w:rsid w:val="00C76CF3"/>
    <w:rsid w:val="00C878D8"/>
    <w:rsid w:val="00C93205"/>
    <w:rsid w:val="00C93C47"/>
    <w:rsid w:val="00C945DC"/>
    <w:rsid w:val="00CA2C46"/>
    <w:rsid w:val="00CA7844"/>
    <w:rsid w:val="00CB58EF"/>
    <w:rsid w:val="00CE0A93"/>
    <w:rsid w:val="00CF0BB2"/>
    <w:rsid w:val="00CF5174"/>
    <w:rsid w:val="00D07F6D"/>
    <w:rsid w:val="00D12B0D"/>
    <w:rsid w:val="00D13441"/>
    <w:rsid w:val="00D243A3"/>
    <w:rsid w:val="00D33440"/>
    <w:rsid w:val="00D4660A"/>
    <w:rsid w:val="00D52EFE"/>
    <w:rsid w:val="00D56A0D"/>
    <w:rsid w:val="00D63A49"/>
    <w:rsid w:val="00D63EF6"/>
    <w:rsid w:val="00D66518"/>
    <w:rsid w:val="00D70DFB"/>
    <w:rsid w:val="00D71EEA"/>
    <w:rsid w:val="00D735CD"/>
    <w:rsid w:val="00D73DD0"/>
    <w:rsid w:val="00D766DF"/>
    <w:rsid w:val="00D81277"/>
    <w:rsid w:val="00D838A1"/>
    <w:rsid w:val="00D90841"/>
    <w:rsid w:val="00D93DD3"/>
    <w:rsid w:val="00D947F7"/>
    <w:rsid w:val="00DA2439"/>
    <w:rsid w:val="00DA6F05"/>
    <w:rsid w:val="00DB64FC"/>
    <w:rsid w:val="00DC53C1"/>
    <w:rsid w:val="00DC54CD"/>
    <w:rsid w:val="00DE0A9F"/>
    <w:rsid w:val="00DE149E"/>
    <w:rsid w:val="00DE33AC"/>
    <w:rsid w:val="00DF1F27"/>
    <w:rsid w:val="00DF228A"/>
    <w:rsid w:val="00E034DB"/>
    <w:rsid w:val="00E05704"/>
    <w:rsid w:val="00E12F1A"/>
    <w:rsid w:val="00E22935"/>
    <w:rsid w:val="00E326B3"/>
    <w:rsid w:val="00E54292"/>
    <w:rsid w:val="00E60191"/>
    <w:rsid w:val="00E70C8E"/>
    <w:rsid w:val="00E74DC7"/>
    <w:rsid w:val="00E874CA"/>
    <w:rsid w:val="00E87699"/>
    <w:rsid w:val="00E87990"/>
    <w:rsid w:val="00E925BE"/>
    <w:rsid w:val="00E92E27"/>
    <w:rsid w:val="00E9586B"/>
    <w:rsid w:val="00E97334"/>
    <w:rsid w:val="00EB02D6"/>
    <w:rsid w:val="00EB3A99"/>
    <w:rsid w:val="00EB65F8"/>
    <w:rsid w:val="00EB7FA7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3678"/>
    <w:rsid w:val="00F277D4"/>
    <w:rsid w:val="00F32FCB"/>
    <w:rsid w:val="00F33523"/>
    <w:rsid w:val="00F4215C"/>
    <w:rsid w:val="00F677A9"/>
    <w:rsid w:val="00F8049E"/>
    <w:rsid w:val="00F8121C"/>
    <w:rsid w:val="00F84CF5"/>
    <w:rsid w:val="00F8612E"/>
    <w:rsid w:val="00F94583"/>
    <w:rsid w:val="00FA11D1"/>
    <w:rsid w:val="00FA420B"/>
    <w:rsid w:val="00FA57E6"/>
    <w:rsid w:val="00FB6AEE"/>
    <w:rsid w:val="00FB6EFE"/>
    <w:rsid w:val="00FC0D73"/>
    <w:rsid w:val="00FC3EAC"/>
    <w:rsid w:val="00FF067C"/>
    <w:rsid w:val="00FF2E85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C9E466F"/>
  <w15:docId w15:val="{1E7013F7-3B5E-4C6C-8BEE-26E36E48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2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C7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C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C77"/>
    <w:rPr>
      <w:b/>
      <w:bCs/>
    </w:rPr>
  </w:style>
  <w:style w:type="character" w:customStyle="1" w:styleId="ListParagraphChar">
    <w:name w:val="List Paragraph Char"/>
    <w:aliases w:val="List Paragraph1 Char,Recommendation Char,List Paragraph11 Char,L Char,bullet point list Char,0Bullet Char,Bullet point Char,Bullets Char,Content descriptions Char,DDM Gen Text Char,Dot point 1.5 line spacing Char,NAST Quote Char"/>
    <w:basedOn w:val="DefaultParagraphFont"/>
    <w:link w:val="ListParagraph"/>
    <w:uiPriority w:val="34"/>
    <w:locked/>
    <w:rsid w:val="003264EF"/>
    <w:rPr>
      <w:sz w:val="24"/>
      <w:szCs w:val="24"/>
    </w:rPr>
  </w:style>
  <w:style w:type="paragraph" w:styleId="ListParagraph">
    <w:name w:val="List Paragraph"/>
    <w:aliases w:val="List Paragraph1,Recommendation,List Paragraph11,L,bullet point list,0Bullet,Bullet point,Bullets,Content descriptions,DDM Gen Text,Dot point 1.5 line spacing,List Paragraph - bullets,List Paragraph Number,NAST Quote,NFP GP Bulleted List"/>
    <w:basedOn w:val="Normal"/>
    <w:link w:val="ListParagraphChar"/>
    <w:uiPriority w:val="34"/>
    <w:qFormat/>
    <w:rsid w:val="003264EF"/>
    <w:pPr>
      <w:spacing w:line="240" w:lineRule="auto"/>
      <w:ind w:left="720"/>
      <w:contextualSpacing/>
    </w:pPr>
    <w:rPr>
      <w:sz w:val="24"/>
      <w:szCs w:val="24"/>
    </w:rPr>
  </w:style>
  <w:style w:type="character" w:customStyle="1" w:styleId="Heading2CharChar1">
    <w:name w:val="Heading 2 Char Char1"/>
    <w:aliases w:val="Heading 2 Char1 Char Char1,Heading 2 Char Char Char Char1,Heading 2 Char3 Char Char Char Char,Heading 2 Char2 Char Char Char Char Char,Heading 2 Char1 Char Char Char Char Char Char,Heading 2 Char Char Char Char Char Char Char Char"/>
    <w:rsid w:val="003264EF"/>
    <w:rPr>
      <w:rFonts w:ascii="Times New Roman" w:hAnsi="Times New Roman" w:cs="Arial" w:hint="default"/>
      <w:b/>
      <w:bCs/>
      <w:iCs/>
      <w:sz w:val="26"/>
      <w:szCs w:val="28"/>
      <w:lang w:val="en-AU" w:eastAsia="en-US" w:bidi="ar-SA"/>
    </w:rPr>
  </w:style>
  <w:style w:type="paragraph" w:styleId="Revision">
    <w:name w:val="Revision"/>
    <w:hidden/>
    <w:uiPriority w:val="99"/>
    <w:semiHidden/>
    <w:rsid w:val="0092390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B37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2.png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3939.NATION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9" ma:contentTypeDescription="Create a new document." ma:contentTypeScope="" ma:versionID="f50128df08676190c35b8c72b223f3a7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147bd07ca496132c8bbee0990c892af0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46A4A-5C3B-440D-AB04-2B651E668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9D2EB-5C2B-4A15-8332-AC5477BBF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25F9D-68CA-4BC5-BDF0-15C48152727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0fd65f7-4e73-4983-bb21-592ea7224115"/>
  </ds:schemaRefs>
</ds:datastoreItem>
</file>

<file path=customXml/itemProps4.xml><?xml version="1.0" encoding="utf-8"?>
<ds:datastoreItem xmlns:ds="http://schemas.openxmlformats.org/officeDocument/2006/customXml" ds:itemID="{6A267600-625C-43E7-9D48-32640C49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(1).dotx</Template>
  <TotalTime>0</TotalTime>
  <Pages>9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MULQUINEY,Joy</dc:creator>
  <cp:keywords>[SEC=PROTECTED, CAVEAT=SpecialHandling:CABINET]</cp:keywords>
  <cp:lastModifiedBy>BAKER,Fiona</cp:lastModifiedBy>
  <cp:revision>4</cp:revision>
  <cp:lastPrinted>2020-11-04T04:16:00Z</cp:lastPrinted>
  <dcterms:created xsi:type="dcterms:W3CDTF">2020-11-16T03:22:00Z</dcterms:created>
  <dcterms:modified xsi:type="dcterms:W3CDTF">2020-11-16T03:28:00Z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PROTECTED, SH_CAVEAT=CABINET</vt:lpwstr>
  </property>
  <property fmtid="{D5CDD505-2E9C-101B-9397-08002B2CF9AE}" pid="5" name="PM_Qualifier">
    <vt:lpwstr/>
  </property>
  <property fmtid="{D5CDD505-2E9C-101B-9397-08002B2CF9AE}" pid="6" name="PM_SecurityClassification">
    <vt:lpwstr>PROTECTED</vt:lpwstr>
  </property>
  <property fmtid="{D5CDD505-2E9C-101B-9397-08002B2CF9AE}" pid="7" name="PM_InsertionValue">
    <vt:lpwstr>PROTECTED</vt:lpwstr>
  </property>
  <property fmtid="{D5CDD505-2E9C-101B-9397-08002B2CF9AE}" pid="8" name="PM_Originating_FileId">
    <vt:lpwstr>9499776E110F4252A6265FAFA5935DDA</vt:lpwstr>
  </property>
  <property fmtid="{D5CDD505-2E9C-101B-9397-08002B2CF9AE}" pid="9" name="PM_ProtectiveMarkingValue_Footer">
    <vt:lpwstr>PROTECTED CABINET</vt:lpwstr>
  </property>
  <property fmtid="{D5CDD505-2E9C-101B-9397-08002B2CF9AE}" pid="10" name="PM_Originator_Hash_SHA1">
    <vt:lpwstr>E2E03F228E7835353B0742D83540160E0468BFB0</vt:lpwstr>
  </property>
  <property fmtid="{D5CDD505-2E9C-101B-9397-08002B2CF9AE}" pid="11" name="PM_OriginationTimeStamp">
    <vt:lpwstr>2020-10-07T06:40:45Z</vt:lpwstr>
  </property>
  <property fmtid="{D5CDD505-2E9C-101B-9397-08002B2CF9AE}" pid="12" name="PM_ProtectiveMarkingValue_Header">
    <vt:lpwstr>PROTECTED CABINET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/>
  </property>
  <property fmtid="{D5CDD505-2E9C-101B-9397-08002B2CF9AE}" pid="15" name="PM_Version">
    <vt:lpwstr/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2C866B517DDAA4FAC448985E62E3ADE2</vt:lpwstr>
  </property>
  <property fmtid="{D5CDD505-2E9C-101B-9397-08002B2CF9AE}" pid="20" name="PM_Hash_Salt">
    <vt:lpwstr>DC2B280F9CCA023B7D2FA5A7A788625C</vt:lpwstr>
  </property>
  <property fmtid="{D5CDD505-2E9C-101B-9397-08002B2CF9AE}" pid="21" name="PM_Hash_SHA1">
    <vt:lpwstr>73F6DCEFCC9638F0650267E6367940FF642D7601</vt:lpwstr>
  </property>
  <property fmtid="{D5CDD505-2E9C-101B-9397-08002B2CF9AE}" pid="22" name="PM_SpecialHandlingCaveat">
    <vt:lpwstr>CABINET</vt:lpwstr>
  </property>
  <property fmtid="{D5CDD505-2E9C-101B-9397-08002B2CF9AE}" pid="23" name="PM_SecurityClassification_Prev">
    <vt:lpwstr>PROTECTED</vt:lpwstr>
  </property>
  <property fmtid="{D5CDD505-2E9C-101B-9397-08002B2CF9AE}" pid="24" name="PM_Qualifier_Prev">
    <vt:lpwstr/>
  </property>
  <property fmtid="{D5CDD505-2E9C-101B-9397-08002B2CF9AE}" pid="25" name="ContentTypeId">
    <vt:lpwstr>0x0101001F02C9804508E848925AE7F7B9687CB2</vt:lpwstr>
  </property>
</Properties>
</file>