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64F" w:rsidRPr="007C604B" w:rsidRDefault="00193461" w:rsidP="0048364F">
      <w:pPr>
        <w:rPr>
          <w:sz w:val="28"/>
        </w:rPr>
      </w:pPr>
      <w:r w:rsidRPr="007C604B">
        <w:rPr>
          <w:noProof/>
          <w:lang w:eastAsia="en-AU"/>
        </w:rPr>
        <w:drawing>
          <wp:inline distT="0" distB="0" distL="0" distR="0" wp14:anchorId="561D9B52" wp14:editId="48DC69B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7C604B" w:rsidRDefault="0048364F" w:rsidP="0048364F">
      <w:pPr>
        <w:rPr>
          <w:sz w:val="19"/>
        </w:rPr>
      </w:pPr>
    </w:p>
    <w:p w:rsidR="0048364F" w:rsidRPr="007C604B" w:rsidRDefault="0048364F" w:rsidP="0048364F">
      <w:pPr>
        <w:pStyle w:val="Header"/>
        <w:tabs>
          <w:tab w:val="clear" w:pos="4150"/>
          <w:tab w:val="clear" w:pos="8307"/>
        </w:tabs>
      </w:pPr>
      <w:r w:rsidRPr="007C604B">
        <w:rPr>
          <w:rStyle w:val="CharAmSchNo"/>
        </w:rPr>
        <w:t xml:space="preserve"> </w:t>
      </w:r>
      <w:r w:rsidRPr="007C604B">
        <w:rPr>
          <w:rStyle w:val="CharAmSchText"/>
        </w:rPr>
        <w:t xml:space="preserve"> </w:t>
      </w:r>
    </w:p>
    <w:p w:rsidR="00F85464" w:rsidRPr="00ED745F" w:rsidRDefault="00AB414A" w:rsidP="00F85464">
      <w:pPr>
        <w:rPr>
          <w:b/>
          <w:sz w:val="40"/>
          <w:szCs w:val="40"/>
        </w:rPr>
      </w:pPr>
      <w:r>
        <w:rPr>
          <w:b/>
          <w:sz w:val="40"/>
          <w:szCs w:val="40"/>
        </w:rPr>
        <w:t xml:space="preserve">Australian Medical Research and Innovation </w:t>
      </w:r>
      <w:r w:rsidR="0028045A">
        <w:rPr>
          <w:b/>
          <w:sz w:val="40"/>
          <w:szCs w:val="40"/>
        </w:rPr>
        <w:t>Priorities</w:t>
      </w:r>
      <w:r>
        <w:rPr>
          <w:b/>
          <w:sz w:val="40"/>
          <w:szCs w:val="40"/>
        </w:rPr>
        <w:t xml:space="preserve"> </w:t>
      </w:r>
      <w:r w:rsidR="00400C05">
        <w:rPr>
          <w:b/>
          <w:sz w:val="40"/>
          <w:szCs w:val="40"/>
        </w:rPr>
        <w:t>2020</w:t>
      </w:r>
      <w:r w:rsidR="009F6934">
        <w:rPr>
          <w:b/>
          <w:sz w:val="40"/>
          <w:szCs w:val="40"/>
        </w:rPr>
        <w:t xml:space="preserve"> </w:t>
      </w:r>
      <w:r>
        <w:rPr>
          <w:b/>
          <w:sz w:val="40"/>
          <w:szCs w:val="40"/>
        </w:rPr>
        <w:t xml:space="preserve">– </w:t>
      </w:r>
      <w:r w:rsidR="00400C05">
        <w:rPr>
          <w:b/>
          <w:sz w:val="40"/>
          <w:szCs w:val="40"/>
        </w:rPr>
        <w:t>2022</w:t>
      </w:r>
      <w:r w:rsidR="009F6934">
        <w:rPr>
          <w:b/>
          <w:sz w:val="40"/>
          <w:szCs w:val="40"/>
        </w:rPr>
        <w:t xml:space="preserve"> </w:t>
      </w:r>
      <w:r w:rsidR="007A086F">
        <w:rPr>
          <w:b/>
          <w:sz w:val="40"/>
          <w:szCs w:val="40"/>
        </w:rPr>
        <w:t>Determination</w:t>
      </w:r>
      <w:r w:rsidR="00512A81">
        <w:rPr>
          <w:b/>
          <w:sz w:val="40"/>
          <w:szCs w:val="40"/>
        </w:rPr>
        <w:t xml:space="preserve"> </w:t>
      </w:r>
      <w:r w:rsidR="00400C05">
        <w:rPr>
          <w:b/>
          <w:sz w:val="40"/>
          <w:szCs w:val="40"/>
        </w:rPr>
        <w:t>2020</w:t>
      </w:r>
    </w:p>
    <w:p w:rsidR="00F85464" w:rsidRDefault="00F85464" w:rsidP="00F85464"/>
    <w:p w:rsidR="00F85464" w:rsidRPr="009C14E0" w:rsidRDefault="00F85464" w:rsidP="00F85464">
      <w:pPr>
        <w:pStyle w:val="SignCoverPageStart"/>
        <w:rPr>
          <w:sz w:val="24"/>
          <w:szCs w:val="24"/>
        </w:rPr>
      </w:pPr>
      <w:r w:rsidRPr="009C14E0">
        <w:rPr>
          <w:sz w:val="24"/>
          <w:szCs w:val="24"/>
        </w:rPr>
        <w:t xml:space="preserve">I, </w:t>
      </w:r>
      <w:r w:rsidR="00AB414A">
        <w:rPr>
          <w:sz w:val="24"/>
          <w:szCs w:val="24"/>
        </w:rPr>
        <w:t>Ian Frazer</w:t>
      </w:r>
      <w:r w:rsidRPr="009C14E0">
        <w:rPr>
          <w:sz w:val="24"/>
          <w:szCs w:val="24"/>
        </w:rPr>
        <w:t xml:space="preserve">, </w:t>
      </w:r>
      <w:r w:rsidR="00AB414A">
        <w:rPr>
          <w:sz w:val="24"/>
          <w:szCs w:val="24"/>
        </w:rPr>
        <w:t>Chair of the Australian Medical Research Advisory Board</w:t>
      </w:r>
      <w:r w:rsidRPr="009C14E0">
        <w:rPr>
          <w:sz w:val="24"/>
          <w:szCs w:val="24"/>
        </w:rPr>
        <w:t xml:space="preserve">, make the following instrument </w:t>
      </w:r>
      <w:r w:rsidR="00D646E2">
        <w:rPr>
          <w:sz w:val="24"/>
          <w:szCs w:val="24"/>
        </w:rPr>
        <w:t xml:space="preserve">on behalf of the </w:t>
      </w:r>
      <w:r w:rsidR="006272D7">
        <w:rPr>
          <w:sz w:val="24"/>
          <w:szCs w:val="24"/>
        </w:rPr>
        <w:t xml:space="preserve">Advisory </w:t>
      </w:r>
      <w:r w:rsidR="00D646E2">
        <w:rPr>
          <w:sz w:val="24"/>
          <w:szCs w:val="24"/>
        </w:rPr>
        <w:t xml:space="preserve">Board, </w:t>
      </w:r>
      <w:r w:rsidRPr="009C14E0">
        <w:rPr>
          <w:sz w:val="24"/>
          <w:szCs w:val="24"/>
        </w:rPr>
        <w:t>under subsection </w:t>
      </w:r>
      <w:r w:rsidR="00AB414A" w:rsidRPr="00D646E2">
        <w:rPr>
          <w:sz w:val="24"/>
          <w:szCs w:val="24"/>
        </w:rPr>
        <w:t>32</w:t>
      </w:r>
      <w:r w:rsidR="0028045A" w:rsidRPr="00D646E2">
        <w:rPr>
          <w:sz w:val="24"/>
          <w:szCs w:val="24"/>
        </w:rPr>
        <w:t>E</w:t>
      </w:r>
      <w:r w:rsidR="00AB414A" w:rsidRPr="00D646E2">
        <w:rPr>
          <w:sz w:val="24"/>
          <w:szCs w:val="24"/>
        </w:rPr>
        <w:t>(</w:t>
      </w:r>
      <w:r w:rsidR="0028045A" w:rsidRPr="00D646E2">
        <w:rPr>
          <w:sz w:val="24"/>
          <w:szCs w:val="24"/>
        </w:rPr>
        <w:t>1</w:t>
      </w:r>
      <w:r w:rsidRPr="00D646E2">
        <w:rPr>
          <w:sz w:val="24"/>
          <w:szCs w:val="24"/>
        </w:rPr>
        <w:t>)</w:t>
      </w:r>
      <w:r w:rsidRPr="009C14E0">
        <w:rPr>
          <w:sz w:val="24"/>
          <w:szCs w:val="24"/>
        </w:rPr>
        <w:t xml:space="preserve"> of the </w:t>
      </w:r>
      <w:r w:rsidR="00AB414A">
        <w:rPr>
          <w:i/>
          <w:sz w:val="24"/>
          <w:szCs w:val="24"/>
        </w:rPr>
        <w:t>Medical Research Future Fund Act 2015</w:t>
      </w:r>
      <w:r w:rsidRPr="009C14E0">
        <w:rPr>
          <w:sz w:val="24"/>
          <w:szCs w:val="24"/>
        </w:rPr>
        <w:t>.</w:t>
      </w:r>
    </w:p>
    <w:p w:rsidR="00F85464" w:rsidRDefault="00F85464" w:rsidP="00F85464">
      <w:pPr>
        <w:keepNext/>
        <w:spacing w:before="300" w:line="240" w:lineRule="atLeast"/>
        <w:ind w:right="397"/>
        <w:jc w:val="both"/>
      </w:pPr>
    </w:p>
    <w:p w:rsidR="00F85464" w:rsidRPr="009C14E0" w:rsidRDefault="00F85464" w:rsidP="00F85464">
      <w:pPr>
        <w:keepNext/>
        <w:spacing w:before="300" w:line="240" w:lineRule="atLeast"/>
        <w:ind w:right="397"/>
        <w:jc w:val="both"/>
      </w:pPr>
      <w:r w:rsidRPr="009C14E0">
        <w:t>Dated:</w:t>
      </w:r>
      <w:bookmarkStart w:id="0" w:name="BKCheck15B_1"/>
      <w:bookmarkEnd w:id="0"/>
      <w:r w:rsidR="009049B9">
        <w:t xml:space="preserve"> </w:t>
      </w:r>
      <w:r w:rsidR="00F405B6">
        <w:tab/>
      </w:r>
      <w:r w:rsidR="00F405B6">
        <w:tab/>
      </w:r>
      <w:r w:rsidR="007C6254">
        <w:t>3 November 2020</w:t>
      </w:r>
    </w:p>
    <w:p w:rsidR="00F85464" w:rsidRPr="009C14E0" w:rsidRDefault="00D45A6F" w:rsidP="00F85464">
      <w:pPr>
        <w:keepNext/>
        <w:tabs>
          <w:tab w:val="left" w:pos="3402"/>
        </w:tabs>
        <w:spacing w:before="1440" w:line="300" w:lineRule="atLeast"/>
        <w:ind w:right="397"/>
        <w:rPr>
          <w:b/>
        </w:rPr>
      </w:pPr>
      <w:r>
        <w:rPr>
          <w:b/>
        </w:rPr>
        <w:t xml:space="preserve">Professor </w:t>
      </w:r>
      <w:r w:rsidR="00AB414A">
        <w:rPr>
          <w:b/>
        </w:rPr>
        <w:t>Ian Frazer, AC</w:t>
      </w:r>
    </w:p>
    <w:p w:rsidR="00F85464" w:rsidRDefault="00AB414A" w:rsidP="00F85464">
      <w:pPr>
        <w:pStyle w:val="SignCoverPageEnd"/>
        <w:rPr>
          <w:szCs w:val="24"/>
        </w:rPr>
      </w:pPr>
      <w:r>
        <w:rPr>
          <w:szCs w:val="24"/>
        </w:rPr>
        <w:t>Chair, Australian Medical Research Advisory Board</w:t>
      </w:r>
    </w:p>
    <w:p w:rsidR="00F85464" w:rsidRDefault="00F85464" w:rsidP="00F85464"/>
    <w:p w:rsidR="00D646E2" w:rsidRDefault="0048364F" w:rsidP="00150853">
      <w:pPr>
        <w:pStyle w:val="Header"/>
        <w:tabs>
          <w:tab w:val="clear" w:pos="4150"/>
          <w:tab w:val="clear" w:pos="8307"/>
        </w:tabs>
        <w:rPr>
          <w:rStyle w:val="CharAmPartText"/>
        </w:rPr>
      </w:pPr>
      <w:r w:rsidRPr="007C604B">
        <w:rPr>
          <w:rStyle w:val="CharAmPartNo"/>
        </w:rPr>
        <w:t xml:space="preserve"> </w:t>
      </w:r>
      <w:r w:rsidRPr="007C604B">
        <w:rPr>
          <w:rStyle w:val="CharAmPartText"/>
        </w:rPr>
        <w:t xml:space="preserve"> </w:t>
      </w:r>
    </w:p>
    <w:p w:rsidR="00D646E2" w:rsidRDefault="00D646E2">
      <w:pPr>
        <w:spacing w:line="240" w:lineRule="auto"/>
        <w:rPr>
          <w:rStyle w:val="CharAmPartText"/>
          <w:rFonts w:eastAsia="Times New Roman" w:cs="Times New Roman"/>
          <w:sz w:val="16"/>
          <w:lang w:eastAsia="en-AU"/>
        </w:rPr>
      </w:pPr>
      <w:r>
        <w:rPr>
          <w:rStyle w:val="CharAmPartText"/>
        </w:rPr>
        <w:br w:type="page"/>
      </w:r>
    </w:p>
    <w:p w:rsidR="00D646E2" w:rsidRDefault="00D646E2" w:rsidP="00D646E2">
      <w:pPr>
        <w:rPr>
          <w:sz w:val="36"/>
        </w:rPr>
      </w:pPr>
    </w:p>
    <w:p w:rsidR="00D646E2" w:rsidRPr="007C604B" w:rsidRDefault="00D646E2" w:rsidP="00D646E2">
      <w:pPr>
        <w:rPr>
          <w:sz w:val="36"/>
        </w:rPr>
      </w:pPr>
      <w:r w:rsidRPr="007C604B">
        <w:rPr>
          <w:sz w:val="36"/>
        </w:rPr>
        <w:t>Contents</w:t>
      </w:r>
    </w:p>
    <w:bookmarkStart w:id="1" w:name="BKCheck15B_2"/>
    <w:bookmarkEnd w:id="1"/>
    <w:p w:rsidR="00D979E6" w:rsidRDefault="00D646E2">
      <w:pPr>
        <w:pStyle w:val="TOC5"/>
        <w:tabs>
          <w:tab w:val="left" w:pos="2183"/>
        </w:tabs>
        <w:rPr>
          <w:rFonts w:asciiTheme="minorHAnsi" w:eastAsiaTheme="minorEastAsia" w:hAnsiTheme="minorHAnsi" w:cstheme="minorBidi"/>
          <w:noProof/>
          <w:kern w:val="0"/>
          <w:sz w:val="22"/>
          <w:szCs w:val="22"/>
        </w:rPr>
      </w:pPr>
      <w:r w:rsidRPr="007C604B">
        <w:fldChar w:fldCharType="begin" w:fldLock="1"/>
      </w:r>
      <w:r w:rsidRPr="007C604B">
        <w:instrText xml:space="preserve"> TOC \o "1-9" </w:instrText>
      </w:r>
      <w:r w:rsidRPr="007C604B">
        <w:fldChar w:fldCharType="separate"/>
      </w:r>
      <w:r w:rsidR="00D979E6">
        <w:rPr>
          <w:noProof/>
        </w:rPr>
        <w:t>1.</w:t>
      </w:r>
      <w:r w:rsidR="00D979E6">
        <w:rPr>
          <w:rFonts w:asciiTheme="minorHAnsi" w:eastAsiaTheme="minorEastAsia" w:hAnsiTheme="minorHAnsi" w:cstheme="minorBidi"/>
          <w:noProof/>
          <w:kern w:val="0"/>
          <w:sz w:val="22"/>
          <w:szCs w:val="22"/>
        </w:rPr>
        <w:tab/>
      </w:r>
      <w:r w:rsidR="00D979E6">
        <w:rPr>
          <w:noProof/>
        </w:rPr>
        <w:t>Name of Instrument</w:t>
      </w:r>
      <w:r w:rsidR="00D979E6">
        <w:rPr>
          <w:noProof/>
        </w:rPr>
        <w:tab/>
      </w:r>
      <w:r w:rsidR="00D979E6">
        <w:rPr>
          <w:noProof/>
        </w:rPr>
        <w:fldChar w:fldCharType="begin" w:fldLock="1"/>
      </w:r>
      <w:r w:rsidR="00D979E6">
        <w:rPr>
          <w:noProof/>
        </w:rPr>
        <w:instrText xml:space="preserve"> PAGEREF _Toc466301054 \h </w:instrText>
      </w:r>
      <w:r w:rsidR="00D979E6">
        <w:rPr>
          <w:noProof/>
        </w:rPr>
      </w:r>
      <w:r w:rsidR="00D979E6">
        <w:rPr>
          <w:noProof/>
        </w:rPr>
        <w:fldChar w:fldCharType="separate"/>
      </w:r>
      <w:r w:rsidR="004F35B2">
        <w:rPr>
          <w:noProof/>
        </w:rPr>
        <w:t>3</w:t>
      </w:r>
      <w:r w:rsidR="00D979E6">
        <w:rPr>
          <w:noProof/>
        </w:rPr>
        <w:fldChar w:fldCharType="end"/>
      </w:r>
    </w:p>
    <w:p w:rsidR="00D979E6" w:rsidRDefault="00D979E6">
      <w:pPr>
        <w:pStyle w:val="TOC5"/>
        <w:tabs>
          <w:tab w:val="left" w:pos="2183"/>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fldLock="1"/>
      </w:r>
      <w:r>
        <w:rPr>
          <w:noProof/>
        </w:rPr>
        <w:instrText xml:space="preserve"> PAGEREF _Toc466301055 \h </w:instrText>
      </w:r>
      <w:r>
        <w:rPr>
          <w:noProof/>
        </w:rPr>
      </w:r>
      <w:r>
        <w:rPr>
          <w:noProof/>
        </w:rPr>
        <w:fldChar w:fldCharType="separate"/>
      </w:r>
      <w:r w:rsidR="004F35B2">
        <w:rPr>
          <w:noProof/>
        </w:rPr>
        <w:t>3</w:t>
      </w:r>
      <w:r>
        <w:rPr>
          <w:noProof/>
        </w:rPr>
        <w:fldChar w:fldCharType="end"/>
      </w:r>
    </w:p>
    <w:p w:rsidR="00D979E6" w:rsidRDefault="00D979E6">
      <w:pPr>
        <w:pStyle w:val="TOC5"/>
        <w:tabs>
          <w:tab w:val="left" w:pos="2183"/>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Cessation</w:t>
      </w:r>
      <w:r>
        <w:rPr>
          <w:noProof/>
        </w:rPr>
        <w:tab/>
      </w:r>
      <w:r>
        <w:rPr>
          <w:noProof/>
        </w:rPr>
        <w:fldChar w:fldCharType="begin" w:fldLock="1"/>
      </w:r>
      <w:r>
        <w:rPr>
          <w:noProof/>
        </w:rPr>
        <w:instrText xml:space="preserve"> PAGEREF _Toc466301056 \h </w:instrText>
      </w:r>
      <w:r>
        <w:rPr>
          <w:noProof/>
        </w:rPr>
      </w:r>
      <w:r>
        <w:rPr>
          <w:noProof/>
        </w:rPr>
        <w:fldChar w:fldCharType="separate"/>
      </w:r>
      <w:r w:rsidR="004F35B2">
        <w:rPr>
          <w:noProof/>
        </w:rPr>
        <w:t>3</w:t>
      </w:r>
      <w:r>
        <w:rPr>
          <w:noProof/>
        </w:rPr>
        <w:fldChar w:fldCharType="end"/>
      </w:r>
    </w:p>
    <w:p w:rsidR="00D979E6" w:rsidRDefault="00D979E6">
      <w:pPr>
        <w:pStyle w:val="TOC5"/>
        <w:tabs>
          <w:tab w:val="left" w:pos="2183"/>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Authority</w:t>
      </w:r>
      <w:bookmarkStart w:id="2" w:name="_GoBack"/>
      <w:bookmarkEnd w:id="2"/>
      <w:r>
        <w:rPr>
          <w:noProof/>
        </w:rPr>
        <w:tab/>
      </w:r>
      <w:r>
        <w:rPr>
          <w:noProof/>
        </w:rPr>
        <w:fldChar w:fldCharType="begin" w:fldLock="1"/>
      </w:r>
      <w:r>
        <w:rPr>
          <w:noProof/>
        </w:rPr>
        <w:instrText xml:space="preserve"> PAGEREF _Toc466301057 \h </w:instrText>
      </w:r>
      <w:r>
        <w:rPr>
          <w:noProof/>
        </w:rPr>
      </w:r>
      <w:r>
        <w:rPr>
          <w:noProof/>
        </w:rPr>
        <w:fldChar w:fldCharType="separate"/>
      </w:r>
      <w:r w:rsidR="004F35B2">
        <w:rPr>
          <w:noProof/>
        </w:rPr>
        <w:t>3</w:t>
      </w:r>
      <w:r>
        <w:rPr>
          <w:noProof/>
        </w:rPr>
        <w:fldChar w:fldCharType="end"/>
      </w:r>
    </w:p>
    <w:p w:rsidR="00D979E6" w:rsidRDefault="00D979E6">
      <w:pPr>
        <w:pStyle w:val="TOC5"/>
        <w:tabs>
          <w:tab w:val="left" w:pos="2183"/>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Schedules</w:t>
      </w:r>
      <w:r>
        <w:rPr>
          <w:noProof/>
        </w:rPr>
        <w:tab/>
      </w:r>
      <w:r>
        <w:rPr>
          <w:noProof/>
        </w:rPr>
        <w:fldChar w:fldCharType="begin" w:fldLock="1"/>
      </w:r>
      <w:r>
        <w:rPr>
          <w:noProof/>
        </w:rPr>
        <w:instrText xml:space="preserve"> PAGEREF _Toc466301058 \h </w:instrText>
      </w:r>
      <w:r>
        <w:rPr>
          <w:noProof/>
        </w:rPr>
      </w:r>
      <w:r>
        <w:rPr>
          <w:noProof/>
        </w:rPr>
        <w:fldChar w:fldCharType="separate"/>
      </w:r>
      <w:r w:rsidR="004F35B2">
        <w:rPr>
          <w:noProof/>
        </w:rPr>
        <w:t>3</w:t>
      </w:r>
      <w:r>
        <w:rPr>
          <w:noProof/>
        </w:rPr>
        <w:fldChar w:fldCharType="end"/>
      </w:r>
    </w:p>
    <w:p w:rsidR="00D979E6" w:rsidRDefault="00D979E6">
      <w:pPr>
        <w:pStyle w:val="TOC5"/>
        <w:rPr>
          <w:rFonts w:asciiTheme="minorHAnsi" w:eastAsiaTheme="minorEastAsia" w:hAnsiTheme="minorHAnsi" w:cstheme="minorBidi"/>
          <w:noProof/>
          <w:kern w:val="0"/>
          <w:sz w:val="22"/>
          <w:szCs w:val="22"/>
        </w:rPr>
      </w:pPr>
      <w:r>
        <w:rPr>
          <w:noProof/>
        </w:rPr>
        <w:t>Schedule 1</w:t>
      </w:r>
      <w:r>
        <w:rPr>
          <w:noProof/>
        </w:rPr>
        <w:tab/>
      </w:r>
      <w:r>
        <w:rPr>
          <w:noProof/>
        </w:rPr>
        <w:fldChar w:fldCharType="begin" w:fldLock="1"/>
      </w:r>
      <w:r>
        <w:rPr>
          <w:noProof/>
        </w:rPr>
        <w:instrText xml:space="preserve"> PAGEREF _Toc466301059 \h </w:instrText>
      </w:r>
      <w:r>
        <w:rPr>
          <w:noProof/>
        </w:rPr>
      </w:r>
      <w:r>
        <w:rPr>
          <w:noProof/>
        </w:rPr>
        <w:fldChar w:fldCharType="separate"/>
      </w:r>
      <w:r w:rsidR="004F35B2">
        <w:rPr>
          <w:noProof/>
        </w:rPr>
        <w:t>4</w:t>
      </w:r>
      <w:r>
        <w:rPr>
          <w:noProof/>
        </w:rPr>
        <w:fldChar w:fldCharType="end"/>
      </w:r>
    </w:p>
    <w:p w:rsidR="006340D3" w:rsidRDefault="00D646E2" w:rsidP="00D646E2">
      <w:r w:rsidRPr="007C604B">
        <w:fldChar w:fldCharType="end"/>
      </w:r>
      <w:r w:rsidR="006340D3">
        <w:br w:type="page"/>
      </w:r>
    </w:p>
    <w:p w:rsidR="00D646E2" w:rsidRPr="007C604B" w:rsidRDefault="00D646E2" w:rsidP="00D646E2">
      <w:pPr>
        <w:pStyle w:val="ActHead5"/>
        <w:numPr>
          <w:ilvl w:val="0"/>
          <w:numId w:val="13"/>
        </w:numPr>
        <w:ind w:left="426" w:hanging="426"/>
      </w:pPr>
      <w:bookmarkStart w:id="3" w:name="_Toc466301054"/>
      <w:r w:rsidRPr="007C604B">
        <w:lastRenderedPageBreak/>
        <w:t xml:space="preserve">Name of </w:t>
      </w:r>
      <w:r>
        <w:t>I</w:t>
      </w:r>
      <w:r w:rsidRPr="007C604B">
        <w:t>nstrument</w:t>
      </w:r>
      <w:bookmarkEnd w:id="3"/>
    </w:p>
    <w:p w:rsidR="00D646E2" w:rsidRPr="00ED745F" w:rsidRDefault="00D646E2" w:rsidP="00D646E2">
      <w:pPr>
        <w:pStyle w:val="subsection"/>
        <w:rPr>
          <w:i/>
        </w:rPr>
      </w:pPr>
      <w:r w:rsidRPr="007C604B">
        <w:tab/>
      </w:r>
      <w:r w:rsidRPr="007C604B">
        <w:tab/>
        <w:t>This instrument is the</w:t>
      </w:r>
      <w:r>
        <w:t xml:space="preserve"> </w:t>
      </w:r>
      <w:r w:rsidRPr="00826622">
        <w:rPr>
          <w:i/>
        </w:rPr>
        <w:t xml:space="preserve">Australian Medical Research and Innovation </w:t>
      </w:r>
      <w:r w:rsidRPr="00D646E2">
        <w:rPr>
          <w:i/>
        </w:rPr>
        <w:t xml:space="preserve">Priorities </w:t>
      </w:r>
      <w:r w:rsidR="009F6934" w:rsidRPr="00D646E2">
        <w:rPr>
          <w:i/>
        </w:rPr>
        <w:t>20</w:t>
      </w:r>
      <w:r w:rsidR="00400C05">
        <w:rPr>
          <w:i/>
        </w:rPr>
        <w:t>20</w:t>
      </w:r>
      <w:r w:rsidR="009F6934" w:rsidRPr="00D646E2">
        <w:rPr>
          <w:i/>
        </w:rPr>
        <w:t xml:space="preserve"> </w:t>
      </w:r>
      <w:r w:rsidRPr="00D646E2">
        <w:rPr>
          <w:i/>
        </w:rPr>
        <w:t xml:space="preserve">– </w:t>
      </w:r>
      <w:r w:rsidR="009F6934" w:rsidRPr="00D646E2">
        <w:rPr>
          <w:i/>
        </w:rPr>
        <w:t>20</w:t>
      </w:r>
      <w:r w:rsidR="009F6934">
        <w:rPr>
          <w:i/>
        </w:rPr>
        <w:t>2</w:t>
      </w:r>
      <w:r w:rsidR="00400C05">
        <w:rPr>
          <w:i/>
        </w:rPr>
        <w:t>2</w:t>
      </w:r>
      <w:r w:rsidR="009F6934" w:rsidRPr="007A086F">
        <w:t xml:space="preserve"> </w:t>
      </w:r>
      <w:r w:rsidR="007A086F" w:rsidRPr="007A086F">
        <w:rPr>
          <w:i/>
        </w:rPr>
        <w:t>Determination</w:t>
      </w:r>
      <w:r w:rsidR="00A50A49">
        <w:rPr>
          <w:i/>
        </w:rPr>
        <w:t xml:space="preserve"> </w:t>
      </w:r>
      <w:r w:rsidR="00400C05">
        <w:rPr>
          <w:i/>
        </w:rPr>
        <w:t>2020</w:t>
      </w:r>
      <w:r>
        <w:rPr>
          <w:i/>
        </w:rPr>
        <w:t>.</w:t>
      </w:r>
    </w:p>
    <w:p w:rsidR="00D646E2" w:rsidRPr="007C604B" w:rsidRDefault="00D646E2" w:rsidP="00D646E2">
      <w:pPr>
        <w:pStyle w:val="ActHead5"/>
        <w:numPr>
          <w:ilvl w:val="0"/>
          <w:numId w:val="13"/>
        </w:numPr>
        <w:ind w:left="426" w:hanging="426"/>
      </w:pPr>
      <w:bookmarkStart w:id="4" w:name="_Toc466301055"/>
      <w:r w:rsidRPr="007C604B">
        <w:t>Commencement</w:t>
      </w:r>
      <w:bookmarkEnd w:id="4"/>
    </w:p>
    <w:p w:rsidR="00D646E2" w:rsidRDefault="00D646E2" w:rsidP="00D646E2">
      <w:pPr>
        <w:pStyle w:val="subsection"/>
      </w:pPr>
      <w:r w:rsidRPr="007C604B">
        <w:tab/>
      </w:r>
      <w:r w:rsidRPr="007C604B">
        <w:tab/>
        <w:t>This instrument commences on the day after it is registered.</w:t>
      </w:r>
    </w:p>
    <w:p w:rsidR="00D646E2" w:rsidRDefault="00D646E2" w:rsidP="00D646E2">
      <w:pPr>
        <w:pStyle w:val="ActHead5"/>
        <w:numPr>
          <w:ilvl w:val="0"/>
          <w:numId w:val="13"/>
        </w:numPr>
        <w:ind w:left="426" w:hanging="426"/>
      </w:pPr>
      <w:bookmarkStart w:id="5" w:name="_Toc466301056"/>
      <w:r w:rsidRPr="00EC2482">
        <w:t>Cessation</w:t>
      </w:r>
      <w:bookmarkEnd w:id="5"/>
    </w:p>
    <w:p w:rsidR="00D646E2" w:rsidRPr="00EC2482" w:rsidRDefault="00D646E2" w:rsidP="00D646E2">
      <w:pPr>
        <w:pStyle w:val="subsection"/>
      </w:pPr>
      <w:r>
        <w:tab/>
      </w:r>
      <w:r>
        <w:tab/>
      </w:r>
      <w:r w:rsidRPr="00EC2482">
        <w:t xml:space="preserve">This </w:t>
      </w:r>
      <w:r>
        <w:t>instrument</w:t>
      </w:r>
      <w:r w:rsidRPr="00EC2482">
        <w:t xml:space="preserve"> will cease to be in force as if repealed at the end of </w:t>
      </w:r>
      <w:r w:rsidR="002C3397">
        <w:t xml:space="preserve">two </w:t>
      </w:r>
      <w:r w:rsidRPr="00EC2482">
        <w:t xml:space="preserve">years after the </w:t>
      </w:r>
      <w:r>
        <w:t>instrument</w:t>
      </w:r>
      <w:r w:rsidRPr="00EC2482">
        <w:t xml:space="preserve"> is </w:t>
      </w:r>
      <w:r>
        <w:t>registered</w:t>
      </w:r>
      <w:r w:rsidRPr="00EC2482">
        <w:t>.</w:t>
      </w:r>
    </w:p>
    <w:p w:rsidR="00D646E2" w:rsidRPr="00EC2482" w:rsidRDefault="00D646E2" w:rsidP="00D646E2">
      <w:pPr>
        <w:pStyle w:val="ActHead5"/>
        <w:numPr>
          <w:ilvl w:val="0"/>
          <w:numId w:val="13"/>
        </w:numPr>
        <w:ind w:left="426" w:hanging="426"/>
      </w:pPr>
      <w:bookmarkStart w:id="6" w:name="_Toc466301057"/>
      <w:r w:rsidRPr="00EC2482">
        <w:t>Authority</w:t>
      </w:r>
      <w:bookmarkEnd w:id="6"/>
    </w:p>
    <w:p w:rsidR="00D646E2" w:rsidRPr="002E1C1A" w:rsidRDefault="00D646E2" w:rsidP="00D646E2">
      <w:pPr>
        <w:pStyle w:val="subsection"/>
      </w:pPr>
      <w:r w:rsidRPr="007C604B">
        <w:tab/>
      </w:r>
      <w:r w:rsidRPr="007C604B">
        <w:tab/>
      </w:r>
      <w:r w:rsidR="00195DA2" w:rsidRPr="00195DA2">
        <w:t>This instrument is made under subsection 32</w:t>
      </w:r>
      <w:r w:rsidR="00195DA2">
        <w:t>E</w:t>
      </w:r>
      <w:r w:rsidR="00195DA2" w:rsidRPr="00195DA2">
        <w:t xml:space="preserve">(1) of the </w:t>
      </w:r>
      <w:r w:rsidR="00195DA2" w:rsidRPr="00512A81">
        <w:rPr>
          <w:i/>
        </w:rPr>
        <w:t>Medical Research Future Fund Act 2015</w:t>
      </w:r>
      <w:r w:rsidR="00195DA2" w:rsidRPr="00195DA2">
        <w:t>.</w:t>
      </w:r>
    </w:p>
    <w:p w:rsidR="00D646E2" w:rsidRPr="002E1C1A" w:rsidRDefault="00D646E2" w:rsidP="00D646E2">
      <w:pPr>
        <w:pStyle w:val="ActHead5"/>
        <w:numPr>
          <w:ilvl w:val="0"/>
          <w:numId w:val="13"/>
        </w:numPr>
        <w:ind w:left="426" w:hanging="426"/>
      </w:pPr>
      <w:bookmarkStart w:id="7" w:name="_Toc466301058"/>
      <w:r w:rsidRPr="002E1C1A">
        <w:t>Schedule</w:t>
      </w:r>
      <w:r w:rsidR="00512A81">
        <w:t>s</w:t>
      </w:r>
      <w:bookmarkEnd w:id="7"/>
    </w:p>
    <w:p w:rsidR="00D646E2" w:rsidRDefault="00D646E2" w:rsidP="00D646E2">
      <w:pPr>
        <w:spacing w:line="240" w:lineRule="auto"/>
        <w:ind w:left="1134"/>
      </w:pPr>
    </w:p>
    <w:p w:rsidR="00D646E2" w:rsidRDefault="00D646E2" w:rsidP="00D646E2">
      <w:pPr>
        <w:spacing w:line="240" w:lineRule="auto"/>
        <w:ind w:left="1134"/>
      </w:pPr>
      <w:r>
        <w:t>Schedule</w:t>
      </w:r>
      <w:r w:rsidR="001745A6">
        <w:t xml:space="preserve"> </w:t>
      </w:r>
      <w:r w:rsidR="00512A81">
        <w:t xml:space="preserve">1 </w:t>
      </w:r>
      <w:r w:rsidR="001745A6">
        <w:t xml:space="preserve">to this </w:t>
      </w:r>
      <w:r w:rsidR="00476F21">
        <w:t>d</w:t>
      </w:r>
      <w:r w:rsidR="00476F21" w:rsidRPr="00476F21">
        <w:t xml:space="preserve">etermination </w:t>
      </w:r>
      <w:r>
        <w:t xml:space="preserve">contains the </w:t>
      </w:r>
      <w:r w:rsidRPr="00826622">
        <w:rPr>
          <w:i/>
        </w:rPr>
        <w:t xml:space="preserve">Australian Medical Research and Innovation </w:t>
      </w:r>
      <w:r w:rsidR="001745A6" w:rsidRPr="001745A6">
        <w:rPr>
          <w:i/>
        </w:rPr>
        <w:t xml:space="preserve">Priorities </w:t>
      </w:r>
      <w:r w:rsidR="009F6934" w:rsidRPr="001745A6">
        <w:rPr>
          <w:i/>
        </w:rPr>
        <w:t>20</w:t>
      </w:r>
      <w:r w:rsidR="00400C05">
        <w:rPr>
          <w:i/>
        </w:rPr>
        <w:t>20</w:t>
      </w:r>
      <w:r w:rsidR="009F6934" w:rsidRPr="001745A6">
        <w:rPr>
          <w:i/>
        </w:rPr>
        <w:t xml:space="preserve"> </w:t>
      </w:r>
      <w:r w:rsidR="001745A6" w:rsidRPr="001745A6">
        <w:rPr>
          <w:i/>
        </w:rPr>
        <w:t xml:space="preserve">– </w:t>
      </w:r>
      <w:r w:rsidR="009F6934" w:rsidRPr="001745A6">
        <w:rPr>
          <w:i/>
        </w:rPr>
        <w:t>20</w:t>
      </w:r>
      <w:r w:rsidR="00400C05">
        <w:rPr>
          <w:i/>
        </w:rPr>
        <w:t>22</w:t>
      </w:r>
      <w:r w:rsidR="001745A6" w:rsidRPr="001745A6">
        <w:rPr>
          <w:i/>
        </w:rPr>
        <w:t>.</w:t>
      </w:r>
    </w:p>
    <w:p w:rsidR="00D646E2" w:rsidRDefault="00D646E2" w:rsidP="00D646E2">
      <w:pPr>
        <w:spacing w:line="240" w:lineRule="auto"/>
      </w:pPr>
      <w:r>
        <w:br w:type="page"/>
      </w:r>
    </w:p>
    <w:p w:rsidR="00D646E2" w:rsidRPr="007C604B" w:rsidRDefault="00D646E2" w:rsidP="00D646E2">
      <w:pPr>
        <w:sectPr w:rsidR="00D646E2" w:rsidRPr="007C604B" w:rsidSect="006340D3">
          <w:headerReference w:type="even" r:id="rId9"/>
          <w:headerReference w:type="default" r:id="rId10"/>
          <w:footerReference w:type="even" r:id="rId11"/>
          <w:footerReference w:type="default" r:id="rId12"/>
          <w:headerReference w:type="first" r:id="rId13"/>
          <w:pgSz w:w="11907" w:h="16839"/>
          <w:pgMar w:top="2093" w:right="1797" w:bottom="1440" w:left="1797" w:header="720" w:footer="857" w:gutter="0"/>
          <w:pgNumType w:start="1"/>
          <w:cols w:space="708"/>
          <w:titlePg/>
          <w:docGrid w:linePitch="360"/>
        </w:sectPr>
      </w:pPr>
    </w:p>
    <w:p w:rsidR="00CC4AC4" w:rsidRDefault="00D646E2" w:rsidP="00D979E6">
      <w:pPr>
        <w:pStyle w:val="ActHead5"/>
        <w:rPr>
          <w:rStyle w:val="CharAmSchNo"/>
        </w:rPr>
      </w:pPr>
      <w:bookmarkStart w:id="8" w:name="_Toc466301059"/>
      <w:r w:rsidRPr="007C604B">
        <w:rPr>
          <w:rStyle w:val="CharAmSchNo"/>
        </w:rPr>
        <w:lastRenderedPageBreak/>
        <w:t>Schedule </w:t>
      </w:r>
      <w:r w:rsidR="0067238D">
        <w:rPr>
          <w:rStyle w:val="CharAmSchNo"/>
        </w:rPr>
        <w:t>1</w:t>
      </w:r>
      <w:bookmarkEnd w:id="8"/>
    </w:p>
    <w:p w:rsidR="00364B56" w:rsidRDefault="00364B56" w:rsidP="000D4BBF">
      <w:pPr>
        <w:spacing w:before="120" w:after="120" w:line="240" w:lineRule="auto"/>
        <w:contextualSpacing/>
        <w:outlineLvl w:val="0"/>
      </w:pPr>
    </w:p>
    <w:p w:rsidR="00564BDE" w:rsidRDefault="00564BDE" w:rsidP="000D4BBF">
      <w:pPr>
        <w:spacing w:before="120" w:after="120" w:line="240" w:lineRule="auto"/>
        <w:contextualSpacing/>
        <w:outlineLvl w:val="0"/>
      </w:pPr>
    </w:p>
    <w:p w:rsidR="00564BDE" w:rsidRDefault="00564BDE" w:rsidP="000D4BBF">
      <w:pPr>
        <w:spacing w:before="120" w:after="120" w:line="240" w:lineRule="auto"/>
        <w:contextualSpacing/>
        <w:outlineLvl w:val="0"/>
      </w:pPr>
    </w:p>
    <w:p w:rsidR="00564BDE" w:rsidRDefault="00564BDE" w:rsidP="000D4BBF">
      <w:pPr>
        <w:spacing w:before="120" w:after="120" w:line="240" w:lineRule="auto"/>
        <w:contextualSpacing/>
        <w:outlineLvl w:val="0"/>
      </w:pPr>
    </w:p>
    <w:p w:rsidR="00564BDE" w:rsidRDefault="00564BDE" w:rsidP="000D4BBF">
      <w:pPr>
        <w:spacing w:before="120" w:after="120" w:line="240" w:lineRule="auto"/>
        <w:contextualSpacing/>
        <w:outlineLvl w:val="0"/>
      </w:pPr>
    </w:p>
    <w:p w:rsidR="00564BDE" w:rsidRDefault="00564BDE" w:rsidP="000D4BBF">
      <w:pPr>
        <w:spacing w:before="120" w:after="120" w:line="240" w:lineRule="auto"/>
        <w:contextualSpacing/>
        <w:outlineLvl w:val="0"/>
      </w:pPr>
    </w:p>
    <w:p w:rsidR="00564BDE" w:rsidRDefault="00564BDE" w:rsidP="000D4BBF">
      <w:pPr>
        <w:spacing w:before="120" w:after="120" w:line="240" w:lineRule="auto"/>
        <w:contextualSpacing/>
        <w:outlineLvl w:val="0"/>
        <w:sectPr w:rsidR="00564BDE" w:rsidSect="00BF7404">
          <w:headerReference w:type="even" r:id="rId14"/>
          <w:headerReference w:type="default" r:id="rId15"/>
          <w:headerReference w:type="first" r:id="rId16"/>
          <w:pgSz w:w="11907" w:h="16839"/>
          <w:pgMar w:top="301" w:right="851" w:bottom="1134" w:left="851" w:header="720" w:footer="709" w:gutter="0"/>
          <w:pgNumType w:start="1"/>
          <w:cols w:space="708"/>
          <w:docGrid w:linePitch="360"/>
        </w:sectPr>
      </w:pPr>
    </w:p>
    <w:p w:rsidR="00564BDE" w:rsidRDefault="00564BDE" w:rsidP="00564BDE">
      <w:pPr>
        <w:pStyle w:val="Title"/>
        <w:jc w:val="right"/>
        <w:rPr>
          <w:rStyle w:val="Strong"/>
          <w:rFonts w:eastAsia="Times New Roman" w:cs="Times New Roman"/>
        </w:rPr>
        <w:sectPr w:rsidR="00564BDE" w:rsidSect="0090109B">
          <w:headerReference w:type="even" r:id="rId17"/>
          <w:headerReference w:type="default" r:id="rId18"/>
          <w:footerReference w:type="default" r:id="rId19"/>
          <w:headerReference w:type="first" r:id="rId20"/>
          <w:pgSz w:w="11907" w:h="16839"/>
          <w:pgMar w:top="13183" w:right="1797" w:bottom="1440" w:left="1797" w:header="720" w:footer="709" w:gutter="0"/>
          <w:pgNumType w:fmt="lowerRoman" w:start="1"/>
          <w:cols w:space="708"/>
          <w:docGrid w:linePitch="360"/>
        </w:sectPr>
      </w:pPr>
      <w:bookmarkStart w:id="9" w:name="_Toc466300928"/>
      <w:bookmarkStart w:id="10" w:name="_Toc466301060"/>
      <w:r w:rsidRPr="00046F42">
        <w:rPr>
          <w:rFonts w:eastAsia="Times New Roman"/>
          <w:noProof/>
          <w:lang w:eastAsia="en-AU"/>
        </w:rPr>
        <w:lastRenderedPageBreak/>
        <w:drawing>
          <wp:anchor distT="0" distB="0" distL="114300" distR="114300" simplePos="0" relativeHeight="251659264" behindDoc="1" locked="0" layoutInCell="1" allowOverlap="1" wp14:anchorId="38B5817B" wp14:editId="2635218E">
            <wp:simplePos x="0" y="0"/>
            <wp:positionH relativeFrom="page">
              <wp:posOffset>0</wp:posOffset>
            </wp:positionH>
            <wp:positionV relativeFrom="page">
              <wp:posOffset>0</wp:posOffset>
            </wp:positionV>
            <wp:extent cx="7559675" cy="10691495"/>
            <wp:effectExtent l="0" t="0" r="3175" b="0"/>
            <wp:wrapNone/>
            <wp:docPr id="30" name="Picture 30" descr="Australian Government Crest and the text Medical Research Future Fund. This image also contains decorative hexagons in the colours blue and red." title="Front cover iam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FF cover dummy.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page">
              <wp14:pctWidth>0</wp14:pctWidth>
            </wp14:sizeRelH>
            <wp14:sizeRelV relativeFrom="page">
              <wp14:pctHeight>0</wp14:pctHeight>
            </wp14:sizeRelV>
          </wp:anchor>
        </w:drawing>
      </w:r>
      <w:r w:rsidRPr="00F774B0">
        <w:rPr>
          <w:rStyle w:val="Strong"/>
          <w:rFonts w:eastAsia="Times New Roman" w:cs="Times New Roman"/>
          <w:caps/>
        </w:rPr>
        <w:t xml:space="preserve">Australian Medical Research </w:t>
      </w:r>
      <w:r w:rsidRPr="00F774B0">
        <w:rPr>
          <w:rStyle w:val="Strong"/>
          <w:rFonts w:eastAsia="Times New Roman" w:cs="Times New Roman"/>
          <w:caps/>
        </w:rPr>
        <w:br/>
        <w:t xml:space="preserve">and Innovation Priorities </w:t>
      </w:r>
      <w:r>
        <w:rPr>
          <w:rStyle w:val="Strong"/>
          <w:rFonts w:eastAsia="Times New Roman" w:cs="Times New Roman"/>
        </w:rPr>
        <w:br/>
        <w:t>2020</w:t>
      </w:r>
      <w:r w:rsidRPr="002555EF">
        <w:rPr>
          <w:rStyle w:val="Strong"/>
          <w:rFonts w:eastAsia="Times New Roman" w:cs="Times New Roman"/>
        </w:rPr>
        <w:t>-20</w:t>
      </w:r>
      <w:r>
        <w:rPr>
          <w:rStyle w:val="Strong"/>
          <w:rFonts w:eastAsia="Times New Roman" w:cs="Times New Roman"/>
        </w:rPr>
        <w:t>2</w:t>
      </w:r>
      <w:bookmarkEnd w:id="9"/>
      <w:bookmarkEnd w:id="10"/>
      <w:r>
        <w:rPr>
          <w:rStyle w:val="Strong"/>
          <w:rFonts w:eastAsia="Times New Roman" w:cs="Times New Roman"/>
        </w:rPr>
        <w:t>2</w:t>
      </w:r>
    </w:p>
    <w:p w:rsidR="00564BDE" w:rsidRDefault="00564BDE" w:rsidP="00564BDE">
      <w:pPr>
        <w:pStyle w:val="Heading1"/>
        <w:spacing w:before="120"/>
        <w:rPr>
          <w:rFonts w:ascii="Arial" w:hAnsi="Arial" w:cs="Arial"/>
          <w:i/>
          <w:sz w:val="30"/>
          <w:szCs w:val="30"/>
        </w:rPr>
      </w:pPr>
      <w:bookmarkStart w:id="11" w:name="_Toc466301061"/>
      <w:r w:rsidRPr="0046236F">
        <w:rPr>
          <w:rFonts w:ascii="Arial" w:hAnsi="Arial" w:cs="Arial"/>
          <w:i/>
          <w:sz w:val="30"/>
          <w:szCs w:val="30"/>
        </w:rPr>
        <w:lastRenderedPageBreak/>
        <w:t xml:space="preserve">Australian Medical Research and Innovation Priorities </w:t>
      </w:r>
      <w:r>
        <w:rPr>
          <w:rFonts w:ascii="Arial" w:hAnsi="Arial" w:cs="Arial"/>
          <w:i/>
          <w:sz w:val="30"/>
          <w:szCs w:val="30"/>
        </w:rPr>
        <w:t>2020-2022</w:t>
      </w:r>
      <w:bookmarkEnd w:id="11"/>
      <w:r w:rsidRPr="0046236F">
        <w:rPr>
          <w:rFonts w:ascii="Arial" w:hAnsi="Arial" w:cs="Arial"/>
          <w:i/>
          <w:sz w:val="30"/>
          <w:szCs w:val="30"/>
        </w:rPr>
        <w:t xml:space="preserve"> </w:t>
      </w:r>
    </w:p>
    <w:p w:rsidR="00564BDE" w:rsidRPr="00FD7F2A" w:rsidRDefault="00564BDE" w:rsidP="00564BDE">
      <w:pPr>
        <w:spacing w:before="240" w:after="240"/>
        <w:rPr>
          <w:rFonts w:ascii="Arial" w:eastAsiaTheme="majorEastAsia" w:hAnsi="Arial" w:cs="Arial"/>
          <w:i/>
          <w:color w:val="13223E"/>
          <w:spacing w:val="4"/>
          <w:sz w:val="24"/>
          <w:szCs w:val="24"/>
          <w:lang w:eastAsia="en-AU"/>
        </w:rPr>
      </w:pPr>
      <w:r w:rsidRPr="00FD7F2A">
        <w:rPr>
          <w:rFonts w:ascii="Arial" w:eastAsiaTheme="majorEastAsia" w:hAnsi="Arial" w:cs="Arial"/>
          <w:i/>
          <w:color w:val="13223E"/>
          <w:spacing w:val="4"/>
          <w:sz w:val="24"/>
          <w:szCs w:val="24"/>
          <w:lang w:eastAsia="en-AU"/>
        </w:rPr>
        <w:t>Preamble</w:t>
      </w:r>
    </w:p>
    <w:p w:rsidR="00564BDE" w:rsidRPr="00FD7F2A" w:rsidRDefault="00564BDE" w:rsidP="00564BDE">
      <w:pPr>
        <w:spacing w:before="240" w:after="240"/>
        <w:rPr>
          <w:rFonts w:ascii="Arial" w:hAnsi="Arial" w:cs="Arial"/>
          <w:lang w:eastAsia="en-AU"/>
        </w:rPr>
      </w:pPr>
      <w:r w:rsidRPr="00FD7F2A">
        <w:rPr>
          <w:rFonts w:ascii="Arial" w:hAnsi="Arial" w:cs="Arial"/>
          <w:lang w:eastAsia="en-AU"/>
        </w:rPr>
        <w:t xml:space="preserve">In accordance with the </w:t>
      </w:r>
      <w:r w:rsidRPr="00FD7F2A">
        <w:rPr>
          <w:rFonts w:ascii="Arial" w:hAnsi="Arial" w:cs="Arial"/>
          <w:i/>
          <w:lang w:eastAsia="en-AU"/>
        </w:rPr>
        <w:t>Medical Research Future Fund Act 2015</w:t>
      </w:r>
      <w:r>
        <w:rPr>
          <w:rFonts w:ascii="Arial" w:hAnsi="Arial" w:cs="Arial"/>
          <w:lang w:eastAsia="en-AU"/>
        </w:rPr>
        <w:t xml:space="preserve"> (the Act),</w:t>
      </w:r>
      <w:r w:rsidRPr="00FD7F2A">
        <w:rPr>
          <w:rFonts w:ascii="Arial" w:hAnsi="Arial" w:cs="Arial"/>
          <w:lang w:eastAsia="en-AU"/>
        </w:rPr>
        <w:t xml:space="preserve"> the independent Australian Medical Research Advisory Board (AMRAB) must develop a five-year </w:t>
      </w:r>
      <w:r w:rsidRPr="00FD7F2A">
        <w:rPr>
          <w:rFonts w:ascii="Arial" w:hAnsi="Arial" w:cs="Arial"/>
          <w:i/>
          <w:lang w:eastAsia="en-AU"/>
        </w:rPr>
        <w:t>Australian Medical Research and Innovation Strategy</w:t>
      </w:r>
      <w:r w:rsidRPr="00FD7F2A">
        <w:rPr>
          <w:rFonts w:ascii="Arial" w:hAnsi="Arial" w:cs="Arial"/>
          <w:lang w:eastAsia="en-AU"/>
        </w:rPr>
        <w:t xml:space="preserve"> and a set of related </w:t>
      </w:r>
      <w:r w:rsidRPr="00FD7F2A">
        <w:rPr>
          <w:rFonts w:ascii="Arial" w:hAnsi="Arial" w:cs="Arial"/>
          <w:i/>
          <w:lang w:eastAsia="en-AU"/>
        </w:rPr>
        <w:t>Australian Medical Research and Innovation</w:t>
      </w:r>
      <w:r w:rsidRPr="00FD7F2A">
        <w:rPr>
          <w:rFonts w:ascii="Arial" w:hAnsi="Arial" w:cs="Arial"/>
          <w:lang w:eastAsia="en-AU"/>
        </w:rPr>
        <w:t xml:space="preserve"> </w:t>
      </w:r>
      <w:r w:rsidRPr="00FD7F2A">
        <w:rPr>
          <w:rFonts w:ascii="Arial" w:hAnsi="Arial" w:cs="Arial"/>
          <w:i/>
          <w:lang w:eastAsia="en-AU"/>
        </w:rPr>
        <w:t>Priorities</w:t>
      </w:r>
      <w:r w:rsidRPr="00FD7F2A">
        <w:rPr>
          <w:rFonts w:ascii="Arial" w:hAnsi="Arial" w:cs="Arial"/>
          <w:lang w:eastAsia="en-AU"/>
        </w:rPr>
        <w:t xml:space="preserve"> (Priorities) to be in force for two years. The inaugural Medical Research Future Fund (MRFF) Strategy 2016-2021 </w:t>
      </w:r>
      <w:r>
        <w:rPr>
          <w:rFonts w:ascii="Arial" w:hAnsi="Arial" w:cs="Arial"/>
          <w:lang w:eastAsia="en-AU"/>
        </w:rPr>
        <w:t>was</w:t>
      </w:r>
      <w:r w:rsidRPr="00FD7F2A">
        <w:rPr>
          <w:rFonts w:ascii="Arial" w:hAnsi="Arial" w:cs="Arial"/>
          <w:lang w:eastAsia="en-AU"/>
        </w:rPr>
        <w:t xml:space="preserve"> delivered to Government in </w:t>
      </w:r>
      <w:r>
        <w:rPr>
          <w:rFonts w:ascii="Arial" w:hAnsi="Arial" w:cs="Arial"/>
          <w:lang w:eastAsia="en-AU"/>
        </w:rPr>
        <w:t xml:space="preserve">early </w:t>
      </w:r>
      <w:r w:rsidRPr="00FD7F2A">
        <w:rPr>
          <w:rFonts w:ascii="Arial" w:hAnsi="Arial" w:cs="Arial"/>
          <w:lang w:eastAsia="en-AU"/>
        </w:rPr>
        <w:t>November 2016</w:t>
      </w:r>
      <w:r>
        <w:rPr>
          <w:rFonts w:ascii="Arial" w:hAnsi="Arial" w:cs="Arial"/>
          <w:lang w:eastAsia="en-AU"/>
        </w:rPr>
        <w:t xml:space="preserve"> with the second set of Priorities 2018-2020 delivered in early November 2018</w:t>
      </w:r>
      <w:r w:rsidRPr="00FD7F2A">
        <w:rPr>
          <w:rFonts w:ascii="Arial" w:hAnsi="Arial" w:cs="Arial"/>
          <w:lang w:eastAsia="en-AU"/>
        </w:rPr>
        <w:t xml:space="preserve">. </w:t>
      </w:r>
    </w:p>
    <w:p w:rsidR="00564BDE" w:rsidRPr="00FD7F2A" w:rsidRDefault="00564BDE" w:rsidP="00564BDE">
      <w:pPr>
        <w:spacing w:before="240" w:after="240"/>
        <w:rPr>
          <w:rFonts w:ascii="Arial" w:hAnsi="Arial" w:cs="Arial"/>
          <w:lang w:eastAsia="en-AU"/>
        </w:rPr>
      </w:pPr>
      <w:r w:rsidRPr="00FD7F2A">
        <w:rPr>
          <w:rFonts w:ascii="Arial" w:hAnsi="Arial" w:cs="Arial"/>
          <w:lang w:eastAsia="en-AU"/>
        </w:rPr>
        <w:t xml:space="preserve">This document comprises the </w:t>
      </w:r>
      <w:r>
        <w:rPr>
          <w:rFonts w:ascii="Arial" w:hAnsi="Arial" w:cs="Arial"/>
          <w:lang w:eastAsia="en-AU"/>
        </w:rPr>
        <w:t>third</w:t>
      </w:r>
      <w:r w:rsidRPr="00FD7F2A">
        <w:rPr>
          <w:rFonts w:ascii="Arial" w:hAnsi="Arial" w:cs="Arial"/>
          <w:lang w:eastAsia="en-AU"/>
        </w:rPr>
        <w:t xml:space="preserve"> set of MRFF Priorities spanning the period </w:t>
      </w:r>
      <w:r>
        <w:rPr>
          <w:rFonts w:ascii="Arial" w:hAnsi="Arial" w:cs="Arial"/>
          <w:lang w:eastAsia="en-AU"/>
        </w:rPr>
        <w:t>2020-2022</w:t>
      </w:r>
      <w:r w:rsidRPr="00FD7F2A">
        <w:rPr>
          <w:rFonts w:ascii="Arial" w:hAnsi="Arial" w:cs="Arial"/>
          <w:lang w:eastAsia="en-AU"/>
        </w:rPr>
        <w:t>.</w:t>
      </w:r>
    </w:p>
    <w:p w:rsidR="00564BDE" w:rsidRPr="00FD7F2A" w:rsidRDefault="00564BDE" w:rsidP="00564BDE">
      <w:pPr>
        <w:spacing w:before="240" w:after="240"/>
        <w:rPr>
          <w:rFonts w:ascii="Arial" w:hAnsi="Arial" w:cs="Arial"/>
          <w:sz w:val="19"/>
          <w:lang w:eastAsia="en-AU"/>
        </w:rPr>
      </w:pPr>
      <w:r w:rsidRPr="00FD7F2A">
        <w:rPr>
          <w:rFonts w:ascii="Arial" w:hAnsi="Arial" w:cs="Arial"/>
          <w:lang w:eastAsia="en-AU"/>
        </w:rPr>
        <w:t xml:space="preserve">The Act requires AMRAB to take into account the following when determining the Priorities: </w:t>
      </w:r>
    </w:p>
    <w:p w:rsidR="00564BDE" w:rsidRPr="00FD7F2A" w:rsidRDefault="00564BDE" w:rsidP="00564BDE">
      <w:pPr>
        <w:pStyle w:val="ListParagraph"/>
        <w:numPr>
          <w:ilvl w:val="0"/>
          <w:numId w:val="16"/>
        </w:numPr>
        <w:spacing w:before="240" w:after="240"/>
        <w:rPr>
          <w:rFonts w:cs="Arial"/>
          <w:sz w:val="22"/>
          <w:szCs w:val="22"/>
        </w:rPr>
      </w:pPr>
      <w:r w:rsidRPr="00FD7F2A">
        <w:rPr>
          <w:rFonts w:cs="Arial"/>
          <w:sz w:val="22"/>
          <w:szCs w:val="22"/>
        </w:rPr>
        <w:t xml:space="preserve">the burden of disease on the Australian community; </w:t>
      </w:r>
    </w:p>
    <w:p w:rsidR="00564BDE" w:rsidRPr="00FD7F2A" w:rsidRDefault="00564BDE" w:rsidP="00564BDE">
      <w:pPr>
        <w:pStyle w:val="ListParagraph"/>
        <w:numPr>
          <w:ilvl w:val="0"/>
          <w:numId w:val="16"/>
        </w:numPr>
        <w:spacing w:before="240" w:after="240"/>
        <w:rPr>
          <w:rFonts w:cs="Arial"/>
          <w:sz w:val="22"/>
          <w:szCs w:val="22"/>
        </w:rPr>
      </w:pPr>
      <w:r w:rsidRPr="00FD7F2A">
        <w:rPr>
          <w:rFonts w:cs="Arial"/>
          <w:sz w:val="22"/>
          <w:szCs w:val="22"/>
        </w:rPr>
        <w:t>how to deliver practical benefits from medical research and medical innovation to as many Australians as possible;</w:t>
      </w:r>
    </w:p>
    <w:p w:rsidR="00564BDE" w:rsidRPr="00FD7F2A" w:rsidRDefault="00564BDE" w:rsidP="00564BDE">
      <w:pPr>
        <w:pStyle w:val="ListParagraph"/>
        <w:numPr>
          <w:ilvl w:val="0"/>
          <w:numId w:val="16"/>
        </w:numPr>
        <w:spacing w:before="240" w:after="240"/>
        <w:rPr>
          <w:rFonts w:cs="Arial"/>
          <w:sz w:val="22"/>
          <w:szCs w:val="22"/>
        </w:rPr>
      </w:pPr>
      <w:r w:rsidRPr="00FD7F2A">
        <w:rPr>
          <w:rFonts w:cs="Arial"/>
          <w:sz w:val="22"/>
          <w:szCs w:val="22"/>
        </w:rPr>
        <w:t xml:space="preserve">how to ensure that financial assistance provided under the MRFF complements and enhances other financial assistance provided for medical research and innovation; and </w:t>
      </w:r>
    </w:p>
    <w:p w:rsidR="00564BDE" w:rsidRPr="00FD7F2A" w:rsidRDefault="00564BDE" w:rsidP="00564BDE">
      <w:pPr>
        <w:pStyle w:val="ListParagraph"/>
        <w:numPr>
          <w:ilvl w:val="0"/>
          <w:numId w:val="16"/>
        </w:numPr>
        <w:spacing w:before="240" w:after="240"/>
        <w:rPr>
          <w:rFonts w:cs="Arial"/>
          <w:sz w:val="22"/>
          <w:szCs w:val="22"/>
        </w:rPr>
      </w:pPr>
      <w:r w:rsidRPr="00FD7F2A">
        <w:rPr>
          <w:rFonts w:cs="Arial"/>
          <w:sz w:val="22"/>
          <w:szCs w:val="22"/>
        </w:rPr>
        <w:t>any other relevant matters.</w:t>
      </w:r>
    </w:p>
    <w:p w:rsidR="00564BDE" w:rsidRDefault="00564BDE" w:rsidP="00564BDE">
      <w:pPr>
        <w:spacing w:before="240" w:after="240"/>
        <w:rPr>
          <w:rFonts w:ascii="Arial" w:hAnsi="Arial" w:cs="Arial"/>
          <w:lang w:eastAsia="en-AU"/>
        </w:rPr>
      </w:pPr>
      <w:r w:rsidRPr="00FD7F2A">
        <w:rPr>
          <w:rFonts w:ascii="Arial" w:hAnsi="Arial" w:cs="Arial"/>
          <w:lang w:eastAsia="en-AU"/>
        </w:rPr>
        <w:t xml:space="preserve">The Priorities for </w:t>
      </w:r>
      <w:r>
        <w:rPr>
          <w:rFonts w:ascii="Arial" w:hAnsi="Arial" w:cs="Arial"/>
          <w:lang w:eastAsia="en-AU"/>
        </w:rPr>
        <w:t>2020-2022</w:t>
      </w:r>
      <w:r w:rsidRPr="00FD7F2A">
        <w:rPr>
          <w:rFonts w:ascii="Arial" w:hAnsi="Arial" w:cs="Arial"/>
          <w:lang w:eastAsia="en-AU"/>
        </w:rPr>
        <w:t xml:space="preserve"> were developed by AMRAB following a comprehensive national consultation process. </w:t>
      </w:r>
      <w:r w:rsidRPr="00FD7F2A">
        <w:rPr>
          <w:rFonts w:ascii="Arial" w:hAnsi="Arial" w:cs="Arial"/>
        </w:rPr>
        <w:t xml:space="preserve">Community </w:t>
      </w:r>
      <w:r>
        <w:rPr>
          <w:rFonts w:ascii="Arial" w:hAnsi="Arial" w:cs="Arial"/>
        </w:rPr>
        <w:t xml:space="preserve">and sector </w:t>
      </w:r>
      <w:r w:rsidRPr="00FD7F2A">
        <w:rPr>
          <w:rFonts w:ascii="Arial" w:hAnsi="Arial" w:cs="Arial"/>
        </w:rPr>
        <w:t xml:space="preserve">engagement on the development of the Priorities is critically important as the Priorities serve to inform future Government decisions on MRFF initiatives and investments. The </w:t>
      </w:r>
      <w:r>
        <w:rPr>
          <w:rFonts w:ascii="Arial" w:hAnsi="Arial" w:cs="Arial"/>
        </w:rPr>
        <w:t>2020 consultation</w:t>
      </w:r>
      <w:r w:rsidRPr="00FD7F2A">
        <w:rPr>
          <w:rFonts w:ascii="Arial" w:hAnsi="Arial" w:cs="Arial"/>
        </w:rPr>
        <w:t xml:space="preserve"> engaged the Australian public, organisations with expertise in health and medical research and innovation, consumer representatives, clinicians and health services managers. </w:t>
      </w:r>
      <w:r w:rsidRPr="00FD7F2A">
        <w:rPr>
          <w:rFonts w:ascii="Arial" w:hAnsi="Arial" w:cs="Arial"/>
          <w:lang w:eastAsia="en-AU"/>
        </w:rPr>
        <w:t xml:space="preserve">Full information about the national consultation, including the analysis of submissions, forums and roundtables, can be found at </w:t>
      </w:r>
      <w:hyperlink r:id="rId22" w:history="1">
        <w:r w:rsidRPr="001524E3">
          <w:rPr>
            <w:rStyle w:val="Hyperlink"/>
            <w:rFonts w:cs="Arial"/>
            <w:color w:val="auto"/>
            <w:lang w:eastAsia="en-AU"/>
          </w:rPr>
          <w:t>www.health.gov.au/mrff</w:t>
        </w:r>
      </w:hyperlink>
      <w:r w:rsidRPr="001524E3">
        <w:rPr>
          <w:rFonts w:ascii="Arial" w:hAnsi="Arial" w:cs="Arial"/>
          <w:lang w:eastAsia="en-AU"/>
        </w:rPr>
        <w:t>.</w:t>
      </w:r>
      <w:r w:rsidRPr="00FD7F2A">
        <w:rPr>
          <w:rFonts w:ascii="Arial" w:hAnsi="Arial" w:cs="Arial"/>
          <w:lang w:eastAsia="en-AU"/>
        </w:rPr>
        <w:t xml:space="preserve"> </w:t>
      </w:r>
    </w:p>
    <w:p w:rsidR="00564BDE" w:rsidRDefault="00564BDE" w:rsidP="00564BDE">
      <w:pPr>
        <w:spacing w:before="240" w:after="240"/>
        <w:rPr>
          <w:rFonts w:ascii="Arial" w:hAnsi="Arial" w:cs="Arial"/>
        </w:rPr>
      </w:pPr>
      <w:r w:rsidRPr="00DE05D2">
        <w:rPr>
          <w:rFonts w:ascii="Arial" w:hAnsi="Arial" w:cs="Arial"/>
        </w:rPr>
        <w:t>Australia has faced unprecedented challenges</w:t>
      </w:r>
      <w:r>
        <w:rPr>
          <w:rFonts w:ascii="Arial" w:hAnsi="Arial" w:cs="Arial"/>
        </w:rPr>
        <w:t xml:space="preserve"> in the past year</w:t>
      </w:r>
      <w:r w:rsidRPr="00DE05D2">
        <w:rPr>
          <w:rFonts w:ascii="Arial" w:hAnsi="Arial" w:cs="Arial"/>
        </w:rPr>
        <w:t xml:space="preserve">, including the devastating effects of bushfires and the COVID-19 pandemic. The Australian health system and medical research sector </w:t>
      </w:r>
      <w:r>
        <w:rPr>
          <w:rFonts w:ascii="Arial" w:hAnsi="Arial" w:cs="Arial"/>
        </w:rPr>
        <w:t>have</w:t>
      </w:r>
      <w:r w:rsidRPr="00DE05D2">
        <w:rPr>
          <w:rFonts w:ascii="Arial" w:hAnsi="Arial" w:cs="Arial"/>
        </w:rPr>
        <w:t xml:space="preserve"> demonstrated </w:t>
      </w:r>
      <w:r>
        <w:rPr>
          <w:rFonts w:ascii="Arial" w:hAnsi="Arial" w:cs="Arial"/>
        </w:rPr>
        <w:t>their</w:t>
      </w:r>
      <w:r w:rsidRPr="00DE05D2">
        <w:rPr>
          <w:rFonts w:ascii="Arial" w:hAnsi="Arial" w:cs="Arial"/>
        </w:rPr>
        <w:t xml:space="preserve"> immense ability and capacity to innovate and respond to these challenges</w:t>
      </w:r>
      <w:r>
        <w:rPr>
          <w:rFonts w:ascii="Arial" w:hAnsi="Arial" w:cs="Arial"/>
        </w:rPr>
        <w:t>. At the same time, research has continued on the</w:t>
      </w:r>
      <w:r w:rsidRPr="00DE05D2">
        <w:rPr>
          <w:rFonts w:ascii="Arial" w:hAnsi="Arial" w:cs="Arial"/>
        </w:rPr>
        <w:t xml:space="preserve"> priorities that are critical to ongoing improvements in health care and health outcomes, </w:t>
      </w:r>
      <w:r>
        <w:rPr>
          <w:rFonts w:ascii="Arial" w:hAnsi="Arial" w:cs="Arial"/>
        </w:rPr>
        <w:t xml:space="preserve">and to Australia’s </w:t>
      </w:r>
      <w:r w:rsidRPr="00DE05D2">
        <w:rPr>
          <w:rFonts w:ascii="Arial" w:hAnsi="Arial" w:cs="Arial"/>
        </w:rPr>
        <w:t>prepare</w:t>
      </w:r>
      <w:r>
        <w:rPr>
          <w:rFonts w:ascii="Arial" w:hAnsi="Arial" w:cs="Arial"/>
        </w:rPr>
        <w:t>dness</w:t>
      </w:r>
      <w:r w:rsidRPr="00DE05D2">
        <w:rPr>
          <w:rFonts w:ascii="Arial" w:hAnsi="Arial" w:cs="Arial"/>
        </w:rPr>
        <w:t xml:space="preserve"> for future health crises</w:t>
      </w:r>
      <w:r>
        <w:rPr>
          <w:rFonts w:ascii="Arial" w:hAnsi="Arial" w:cs="Arial"/>
        </w:rPr>
        <w:t xml:space="preserve">. </w:t>
      </w:r>
      <w:r w:rsidRPr="00DE05D2">
        <w:rPr>
          <w:rFonts w:ascii="Arial" w:hAnsi="Arial" w:cs="Arial"/>
        </w:rPr>
        <w:t xml:space="preserve"> </w:t>
      </w:r>
    </w:p>
    <w:p w:rsidR="00564BDE" w:rsidRPr="00FD7F2A" w:rsidRDefault="00564BDE" w:rsidP="00564BDE">
      <w:pPr>
        <w:spacing w:before="240" w:after="240"/>
        <w:rPr>
          <w:rFonts w:ascii="Arial" w:hAnsi="Arial" w:cs="Arial"/>
          <w:lang w:eastAsia="en-AU"/>
        </w:rPr>
      </w:pPr>
      <w:r w:rsidRPr="00DE05D2">
        <w:rPr>
          <w:rFonts w:ascii="Arial" w:hAnsi="Arial" w:cs="Arial"/>
        </w:rPr>
        <w:t xml:space="preserve">The current Strategy (2016-2021) and accompanying Priorities (2018-2020) have provided a wide-ranging platform that has allowed the MRFF to be responsive to the current health challenges, while continuing to funding projects that stimulate health and medical research across the entire research pipeline </w:t>
      </w:r>
      <w:r>
        <w:rPr>
          <w:rFonts w:ascii="Arial" w:hAnsi="Arial" w:cs="Arial"/>
        </w:rPr>
        <w:t>to</w:t>
      </w:r>
      <w:r w:rsidRPr="00DE05D2">
        <w:rPr>
          <w:rFonts w:ascii="Arial" w:hAnsi="Arial" w:cs="Arial"/>
        </w:rPr>
        <w:t xml:space="preserve"> achieve the MRFF’s strategic objectives. </w:t>
      </w:r>
      <w:r w:rsidRPr="00FD7F2A">
        <w:rPr>
          <w:rFonts w:ascii="Arial" w:hAnsi="Arial" w:cs="Arial"/>
          <w:lang w:eastAsia="en-AU"/>
        </w:rPr>
        <w:t xml:space="preserve">These Priorities </w:t>
      </w:r>
      <w:r>
        <w:rPr>
          <w:rFonts w:ascii="Arial" w:hAnsi="Arial" w:cs="Arial"/>
          <w:lang w:eastAsia="en-AU"/>
        </w:rPr>
        <w:t xml:space="preserve">maintain this adaptive approach. They will ensure investment in research is flexible and meets the needs of the changing health and medical landscape. They also support continued funding of national health priorities that improve research effectiveness, efficacy, quality and safety to deliver better health outcomes and a sustainable health system for all Australians. </w:t>
      </w:r>
      <w:r w:rsidRPr="00FD7F2A">
        <w:rPr>
          <w:rFonts w:ascii="Arial" w:hAnsi="Arial" w:cs="Arial"/>
          <w:lang w:eastAsia="en-AU"/>
        </w:rPr>
        <w:t xml:space="preserve">They remain consistent with the vision, aim, objectives and six strategic platforms identified in the MRFF Strategy 2016-2021. </w:t>
      </w:r>
    </w:p>
    <w:p w:rsidR="00564BDE" w:rsidRPr="00942459" w:rsidRDefault="00564BDE" w:rsidP="00564BDE">
      <w:pPr>
        <w:rPr>
          <w:rFonts w:ascii="Arial" w:hAnsi="Arial" w:cs="Arial"/>
          <w:szCs w:val="22"/>
        </w:rPr>
      </w:pPr>
      <w:r w:rsidRPr="00FD7F2A">
        <w:rPr>
          <w:rFonts w:ascii="Arial" w:hAnsi="Arial" w:cs="Arial"/>
          <w:lang w:eastAsia="en-AU"/>
        </w:rPr>
        <w:t>The Act requires that the MRFF’s Priorities are refreshed every two years. The identification of new priorities does not impact initiative funding already committed by Government and yet to be the subject of an approach to market or contracted as grants.</w:t>
      </w:r>
      <w:r w:rsidRPr="005E2CD7">
        <w:rPr>
          <w:rFonts w:ascii="Arial" w:hAnsi="Arial" w:cs="Arial"/>
          <w:lang w:eastAsia="en-AU"/>
        </w:rPr>
        <w:t xml:space="preserve"> </w:t>
      </w:r>
    </w:p>
    <w:p w:rsidR="00564BDE" w:rsidRPr="00FD7F2A" w:rsidRDefault="00564BDE" w:rsidP="00564BDE">
      <w:pPr>
        <w:spacing w:before="240" w:after="240"/>
        <w:rPr>
          <w:rFonts w:ascii="Arial" w:hAnsi="Arial" w:cs="Arial"/>
        </w:rPr>
      </w:pPr>
      <w:r w:rsidRPr="00FD7F2A">
        <w:rPr>
          <w:rFonts w:ascii="Arial" w:hAnsi="Arial" w:cs="Arial"/>
          <w:lang w:eastAsia="en-AU"/>
        </w:rPr>
        <w:t>MRFF Priorities are designed in accordance with the</w:t>
      </w:r>
      <w:r>
        <w:rPr>
          <w:rFonts w:ascii="Arial" w:hAnsi="Arial" w:cs="Arial"/>
          <w:lang w:eastAsia="en-AU"/>
        </w:rPr>
        <w:t xml:space="preserve"> Act</w:t>
      </w:r>
      <w:r w:rsidRPr="00FD7F2A">
        <w:rPr>
          <w:rFonts w:ascii="Arial" w:hAnsi="Arial" w:cs="Arial"/>
          <w:lang w:eastAsia="en-AU"/>
        </w:rPr>
        <w:t xml:space="preserve"> with the purpose of informing Government decision-making on</w:t>
      </w:r>
      <w:r>
        <w:rPr>
          <w:rFonts w:ascii="Arial" w:hAnsi="Arial" w:cs="Arial"/>
          <w:lang w:eastAsia="en-AU"/>
        </w:rPr>
        <w:t xml:space="preserve"> future</w:t>
      </w:r>
      <w:r w:rsidRPr="00FD7F2A">
        <w:rPr>
          <w:rFonts w:ascii="Arial" w:hAnsi="Arial" w:cs="Arial"/>
          <w:lang w:eastAsia="en-AU"/>
        </w:rPr>
        <w:t xml:space="preserve"> </w:t>
      </w:r>
      <w:r>
        <w:rPr>
          <w:rFonts w:ascii="Arial" w:hAnsi="Arial" w:cs="Arial"/>
          <w:lang w:eastAsia="en-AU"/>
        </w:rPr>
        <w:t>initiatives</w:t>
      </w:r>
      <w:r w:rsidRPr="00FD7F2A">
        <w:rPr>
          <w:rFonts w:ascii="Arial" w:hAnsi="Arial" w:cs="Arial"/>
          <w:lang w:eastAsia="en-AU"/>
        </w:rPr>
        <w:t xml:space="preserve">. While Government must take the MRFF Priorities into consideration when making these decisions, they are not required to address each and every priority. </w:t>
      </w:r>
    </w:p>
    <w:p w:rsidR="00564BDE" w:rsidRDefault="00564BDE" w:rsidP="00564BDE">
      <w:pPr>
        <w:spacing w:before="240" w:after="240"/>
        <w:rPr>
          <w:rFonts w:ascii="Arial" w:hAnsi="Arial" w:cs="Arial"/>
          <w:lang w:eastAsia="en-AU"/>
        </w:rPr>
      </w:pPr>
      <w:r w:rsidRPr="00FD7F2A">
        <w:rPr>
          <w:rFonts w:ascii="Arial" w:hAnsi="Arial" w:cs="Arial"/>
          <w:lang w:eastAsia="en-AU"/>
        </w:rPr>
        <w:lastRenderedPageBreak/>
        <w:t xml:space="preserve">These new Priorities reaffirm that funding from the MRFF is complementary to, and does not duplicate, the effort of the National Health and Medical Research Council (NHMRC), Australia’s premier health and medical research funding body. The Priorities are </w:t>
      </w:r>
      <w:r>
        <w:rPr>
          <w:rFonts w:ascii="Arial" w:hAnsi="Arial" w:cs="Arial"/>
          <w:lang w:eastAsia="en-AU"/>
        </w:rPr>
        <w:t xml:space="preserve">also </w:t>
      </w:r>
      <w:r w:rsidRPr="00FD7F2A">
        <w:rPr>
          <w:rFonts w:ascii="Arial" w:hAnsi="Arial" w:cs="Arial"/>
          <w:lang w:eastAsia="en-AU"/>
        </w:rPr>
        <w:t>designed to harness the Commonwealth’s significant investment in science, innovation and technology and align with the National Science Priorities</w:t>
      </w:r>
      <w:r>
        <w:rPr>
          <w:rFonts w:ascii="Arial" w:hAnsi="Arial" w:cs="Arial"/>
          <w:lang w:eastAsia="en-AU"/>
        </w:rPr>
        <w:t xml:space="preserve"> and the </w:t>
      </w:r>
      <w:r w:rsidRPr="00FD7F2A">
        <w:rPr>
          <w:rFonts w:ascii="Arial" w:hAnsi="Arial" w:cs="Arial"/>
          <w:lang w:eastAsia="en-AU"/>
        </w:rPr>
        <w:t>National Innovation and Science Agenda</w:t>
      </w:r>
      <w:r>
        <w:rPr>
          <w:rFonts w:ascii="Arial" w:hAnsi="Arial" w:cs="Arial"/>
          <w:lang w:eastAsia="en-AU"/>
        </w:rPr>
        <w:t>. They are</w:t>
      </w:r>
      <w:r w:rsidRPr="00FD7F2A">
        <w:rPr>
          <w:rFonts w:ascii="Arial" w:hAnsi="Arial" w:cs="Arial"/>
          <w:lang w:eastAsia="en-AU"/>
        </w:rPr>
        <w:t xml:space="preserve"> intended to complement investments by state and territory governments, and private and not-for-profit sectors in Australian health and medical research.</w:t>
      </w:r>
    </w:p>
    <w:p w:rsidR="00564BDE" w:rsidRDefault="00564BDE" w:rsidP="00564BDE">
      <w:pPr>
        <w:spacing w:before="240" w:after="240"/>
        <w:rPr>
          <w:rFonts w:ascii="Arial" w:hAnsi="Arial" w:cs="Arial"/>
          <w:lang w:eastAsia="en-AU"/>
        </w:rPr>
      </w:pPr>
      <w:r>
        <w:rPr>
          <w:rFonts w:ascii="Arial" w:hAnsi="Arial" w:cs="Arial"/>
          <w:lang w:eastAsia="en-AU"/>
        </w:rPr>
        <w:t xml:space="preserve">The </w:t>
      </w:r>
      <w:r w:rsidRPr="00FD7F2A">
        <w:rPr>
          <w:rFonts w:ascii="Arial" w:hAnsi="Arial" w:cs="Arial"/>
          <w:lang w:eastAsia="en-AU"/>
        </w:rPr>
        <w:t>National Collaborative Research Infrastructure S</w:t>
      </w:r>
      <w:r>
        <w:rPr>
          <w:rFonts w:ascii="Arial" w:hAnsi="Arial" w:cs="Arial"/>
          <w:lang w:eastAsia="en-AU"/>
        </w:rPr>
        <w:t xml:space="preserve">trategy </w:t>
      </w:r>
      <w:r w:rsidRPr="00FD7F2A">
        <w:rPr>
          <w:rFonts w:ascii="Arial" w:hAnsi="Arial" w:cs="Arial"/>
          <w:lang w:eastAsia="en-AU"/>
        </w:rPr>
        <w:t>(NCRIS)</w:t>
      </w:r>
      <w:r>
        <w:rPr>
          <w:rFonts w:ascii="Arial" w:hAnsi="Arial" w:cs="Arial"/>
          <w:lang w:eastAsia="en-AU"/>
        </w:rPr>
        <w:t xml:space="preserve"> network continues to play an important </w:t>
      </w:r>
      <w:r w:rsidRPr="00DD7089">
        <w:rPr>
          <w:rFonts w:ascii="Arial" w:hAnsi="Arial" w:cs="Arial"/>
          <w:lang w:eastAsia="en-AU"/>
        </w:rPr>
        <w:t xml:space="preserve">support role </w:t>
      </w:r>
      <w:r>
        <w:rPr>
          <w:rFonts w:ascii="Arial" w:hAnsi="Arial" w:cs="Arial"/>
          <w:lang w:eastAsia="en-AU"/>
        </w:rPr>
        <w:t xml:space="preserve">for future research under the Priorities, </w:t>
      </w:r>
      <w:r w:rsidRPr="00DD7089">
        <w:rPr>
          <w:rFonts w:ascii="Arial" w:hAnsi="Arial" w:cs="Arial"/>
          <w:lang w:eastAsia="en-AU"/>
        </w:rPr>
        <w:t>and early collaboration</w:t>
      </w:r>
      <w:r>
        <w:rPr>
          <w:rFonts w:ascii="Arial" w:hAnsi="Arial" w:cs="Arial"/>
          <w:lang w:eastAsia="en-AU"/>
        </w:rPr>
        <w:t xml:space="preserve"> and ongoing partnerships</w:t>
      </w:r>
      <w:r w:rsidRPr="00DD7089">
        <w:rPr>
          <w:rFonts w:ascii="Arial" w:hAnsi="Arial" w:cs="Arial"/>
          <w:lang w:eastAsia="en-AU"/>
        </w:rPr>
        <w:t xml:space="preserve"> will be required to ensure </w:t>
      </w:r>
      <w:r>
        <w:rPr>
          <w:rFonts w:ascii="Arial" w:hAnsi="Arial" w:cs="Arial"/>
          <w:lang w:eastAsia="en-AU"/>
        </w:rPr>
        <w:t xml:space="preserve">that </w:t>
      </w:r>
      <w:r w:rsidRPr="00DD7089">
        <w:rPr>
          <w:rFonts w:ascii="Arial" w:hAnsi="Arial" w:cs="Arial"/>
          <w:lang w:eastAsia="en-AU"/>
        </w:rPr>
        <w:t xml:space="preserve">facilities can plan for </w:t>
      </w:r>
      <w:r>
        <w:rPr>
          <w:rFonts w:ascii="Arial" w:hAnsi="Arial" w:cs="Arial"/>
          <w:lang w:eastAsia="en-AU"/>
        </w:rPr>
        <w:t>d</w:t>
      </w:r>
      <w:r w:rsidRPr="00DD7089">
        <w:rPr>
          <w:rFonts w:ascii="Arial" w:hAnsi="Arial" w:cs="Arial"/>
          <w:lang w:eastAsia="en-AU"/>
        </w:rPr>
        <w:t>emand</w:t>
      </w:r>
      <w:r>
        <w:rPr>
          <w:rFonts w:ascii="Arial" w:hAnsi="Arial" w:cs="Arial"/>
          <w:lang w:eastAsia="en-AU"/>
        </w:rPr>
        <w:t>, and to avoid duplication of investment.</w:t>
      </w:r>
    </w:p>
    <w:p w:rsidR="00564BDE" w:rsidRDefault="00564BDE" w:rsidP="00564BDE">
      <w:pPr>
        <w:spacing w:before="240" w:after="240"/>
        <w:rPr>
          <w:rFonts w:ascii="Arial" w:eastAsia="Times New Roman" w:hAnsi="Arial" w:cs="Times New Roman"/>
          <w:spacing w:val="4"/>
          <w:szCs w:val="22"/>
          <w:lang w:eastAsia="en-AU"/>
        </w:rPr>
      </w:pPr>
      <w:r>
        <w:rPr>
          <w:rFonts w:ascii="Arial" w:eastAsia="Arial" w:hAnsi="Arial" w:cs="Times New Roman"/>
          <w:spacing w:val="4"/>
          <w:szCs w:val="22"/>
        </w:rPr>
        <w:t xml:space="preserve">The MRFF continues to provide a significant opportunity to transform health and medical research to improve lives and contribute to health system sustainability. Better integration of </w:t>
      </w:r>
      <w:r w:rsidRPr="00046F42">
        <w:rPr>
          <w:rFonts w:ascii="Arial" w:eastAsia="Times New Roman" w:hAnsi="Arial" w:cs="Times New Roman"/>
          <w:spacing w:val="4"/>
          <w:szCs w:val="22"/>
          <w:lang w:eastAsia="en-AU"/>
        </w:rPr>
        <w:t xml:space="preserve">consumer </w:t>
      </w:r>
      <w:r>
        <w:rPr>
          <w:rFonts w:ascii="Arial" w:eastAsia="Times New Roman" w:hAnsi="Arial" w:cs="Times New Roman"/>
          <w:spacing w:val="4"/>
          <w:szCs w:val="22"/>
          <w:lang w:eastAsia="en-AU"/>
        </w:rPr>
        <w:t xml:space="preserve">involvement </w:t>
      </w:r>
      <w:r w:rsidRPr="00046F42">
        <w:rPr>
          <w:rFonts w:ascii="Arial" w:eastAsia="Times New Roman" w:hAnsi="Arial" w:cs="Times New Roman"/>
          <w:spacing w:val="4"/>
          <w:szCs w:val="22"/>
          <w:lang w:eastAsia="en-AU"/>
        </w:rPr>
        <w:t>and collaboration acr</w:t>
      </w:r>
      <w:r>
        <w:rPr>
          <w:rFonts w:ascii="Arial" w:eastAsia="Times New Roman" w:hAnsi="Arial" w:cs="Times New Roman"/>
          <w:spacing w:val="4"/>
          <w:szCs w:val="22"/>
          <w:lang w:eastAsia="en-AU"/>
        </w:rPr>
        <w:t>oss the research pipeline will play a key role in the</w:t>
      </w:r>
      <w:r w:rsidRPr="00046F42">
        <w:rPr>
          <w:rFonts w:ascii="Arial" w:eastAsia="Times New Roman" w:hAnsi="Arial" w:cs="Times New Roman"/>
          <w:spacing w:val="4"/>
          <w:szCs w:val="22"/>
          <w:lang w:eastAsia="en-AU"/>
        </w:rPr>
        <w:t xml:space="preserve"> success</w:t>
      </w:r>
      <w:r>
        <w:rPr>
          <w:rFonts w:ascii="Arial" w:eastAsia="Times New Roman" w:hAnsi="Arial" w:cs="Times New Roman"/>
          <w:spacing w:val="4"/>
          <w:szCs w:val="22"/>
          <w:lang w:eastAsia="en-AU"/>
        </w:rPr>
        <w:t>ful</w:t>
      </w:r>
      <w:r w:rsidRPr="00046F42">
        <w:rPr>
          <w:rFonts w:ascii="Arial" w:eastAsia="Times New Roman" w:hAnsi="Arial" w:cs="Times New Roman"/>
          <w:spacing w:val="4"/>
          <w:szCs w:val="22"/>
          <w:lang w:eastAsia="en-AU"/>
        </w:rPr>
        <w:t xml:space="preserve"> </w:t>
      </w:r>
      <w:r>
        <w:rPr>
          <w:rFonts w:ascii="Arial" w:eastAsia="Times New Roman" w:hAnsi="Arial" w:cs="Times New Roman"/>
          <w:spacing w:val="4"/>
          <w:szCs w:val="22"/>
          <w:lang w:eastAsia="en-AU"/>
        </w:rPr>
        <w:t xml:space="preserve">translation of </w:t>
      </w:r>
      <w:r w:rsidRPr="00046F42">
        <w:rPr>
          <w:rFonts w:ascii="Arial" w:eastAsia="Times New Roman" w:hAnsi="Arial" w:cs="Times New Roman"/>
          <w:spacing w:val="4"/>
          <w:szCs w:val="22"/>
          <w:lang w:eastAsia="en-AU"/>
        </w:rPr>
        <w:t>research outcome</w:t>
      </w:r>
      <w:r>
        <w:rPr>
          <w:rFonts w:ascii="Arial" w:eastAsia="Times New Roman" w:hAnsi="Arial" w:cs="Times New Roman"/>
          <w:spacing w:val="4"/>
          <w:szCs w:val="22"/>
          <w:lang w:eastAsia="en-AU"/>
        </w:rPr>
        <w:t>s</w:t>
      </w:r>
      <w:r w:rsidRPr="00046F42">
        <w:rPr>
          <w:rFonts w:ascii="Arial" w:eastAsia="Times New Roman" w:hAnsi="Arial" w:cs="Times New Roman"/>
          <w:spacing w:val="4"/>
          <w:szCs w:val="22"/>
          <w:lang w:eastAsia="en-AU"/>
        </w:rPr>
        <w:t xml:space="preserve"> into clinical practice.</w:t>
      </w:r>
      <w:r>
        <w:rPr>
          <w:rFonts w:ascii="Arial" w:eastAsia="Times New Roman" w:hAnsi="Arial" w:cs="Times New Roman"/>
          <w:spacing w:val="4"/>
          <w:szCs w:val="22"/>
          <w:lang w:eastAsia="en-AU"/>
        </w:rPr>
        <w:t xml:space="preserve"> This should be embedded in all MRFF programs and grant opportunities. </w:t>
      </w:r>
    </w:p>
    <w:p w:rsidR="00564BDE" w:rsidRPr="00DE05D2" w:rsidRDefault="00564BDE" w:rsidP="00564BDE">
      <w:pPr>
        <w:spacing w:before="240" w:after="240"/>
        <w:rPr>
          <w:rFonts w:ascii="Arial" w:hAnsi="Arial" w:cs="Arial"/>
        </w:rPr>
      </w:pPr>
      <w:r>
        <w:rPr>
          <w:rFonts w:ascii="Arial" w:eastAsia="Arial" w:hAnsi="Arial" w:cs="Times New Roman"/>
          <w:spacing w:val="4"/>
          <w:szCs w:val="22"/>
        </w:rPr>
        <w:t xml:space="preserve">The ongoing development of the MRFF Monitoring and Evaluation Strategy </w:t>
      </w:r>
      <w:r w:rsidRPr="00046F42">
        <w:rPr>
          <w:rFonts w:ascii="Arial" w:eastAsia="Arial" w:hAnsi="Arial" w:cs="Times New Roman"/>
          <w:spacing w:val="4"/>
          <w:szCs w:val="22"/>
        </w:rPr>
        <w:t xml:space="preserve">will </w:t>
      </w:r>
      <w:r>
        <w:rPr>
          <w:rFonts w:ascii="Arial" w:eastAsia="Arial" w:hAnsi="Arial" w:cs="Times New Roman"/>
          <w:spacing w:val="4"/>
          <w:szCs w:val="22"/>
        </w:rPr>
        <w:t xml:space="preserve">also </w:t>
      </w:r>
      <w:r w:rsidRPr="00046F42">
        <w:rPr>
          <w:rFonts w:ascii="Arial" w:eastAsia="Arial" w:hAnsi="Arial" w:cs="Times New Roman"/>
          <w:spacing w:val="4"/>
          <w:szCs w:val="22"/>
        </w:rPr>
        <w:t>be critical to determine the difference the MRFF has made</w:t>
      </w:r>
      <w:r>
        <w:rPr>
          <w:rFonts w:ascii="Arial" w:eastAsia="Arial" w:hAnsi="Arial" w:cs="Times New Roman"/>
          <w:spacing w:val="4"/>
          <w:szCs w:val="22"/>
        </w:rPr>
        <w:t xml:space="preserve"> and supports </w:t>
      </w:r>
      <w:r w:rsidRPr="00003E95">
        <w:rPr>
          <w:rFonts w:ascii="Arial" w:eastAsia="Arial" w:hAnsi="Arial" w:cs="Times New Roman"/>
          <w:spacing w:val="4"/>
          <w:szCs w:val="22"/>
        </w:rPr>
        <w:t>continuous refinement and improvement of MRFF initiatives</w:t>
      </w:r>
      <w:r w:rsidRPr="00046F42">
        <w:rPr>
          <w:rFonts w:ascii="Arial" w:eastAsia="Arial" w:hAnsi="Arial" w:cs="Times New Roman"/>
          <w:spacing w:val="4"/>
          <w:szCs w:val="22"/>
        </w:rPr>
        <w:t>.</w:t>
      </w:r>
    </w:p>
    <w:p w:rsidR="00564BDE" w:rsidRPr="00FD7F2A" w:rsidRDefault="00564BDE" w:rsidP="00564BDE">
      <w:pPr>
        <w:spacing w:before="240" w:after="240"/>
        <w:rPr>
          <w:rFonts w:ascii="Arial" w:hAnsi="Arial" w:cs="Arial"/>
        </w:rPr>
      </w:pPr>
    </w:p>
    <w:p w:rsidR="00564BDE" w:rsidRDefault="00564BDE" w:rsidP="00564BDE">
      <w:pPr>
        <w:spacing w:line="240" w:lineRule="auto"/>
        <w:rPr>
          <w:rFonts w:ascii="Arial" w:hAnsi="Arial" w:cs="Arial"/>
          <w:lang w:eastAsia="en-AU"/>
        </w:rPr>
      </w:pPr>
    </w:p>
    <w:p w:rsidR="00564BDE" w:rsidRPr="00FD7F2A" w:rsidRDefault="00564BDE" w:rsidP="00564BDE">
      <w:pPr>
        <w:rPr>
          <w:rFonts w:ascii="Arial" w:eastAsiaTheme="majorEastAsia" w:hAnsi="Arial" w:cs="Arial"/>
          <w:i/>
          <w:color w:val="13223E"/>
          <w:spacing w:val="4"/>
          <w:sz w:val="24"/>
          <w:szCs w:val="24"/>
          <w:lang w:eastAsia="en-AU"/>
        </w:rPr>
      </w:pPr>
      <w:r>
        <w:rPr>
          <w:rFonts w:ascii="Arial" w:eastAsiaTheme="majorEastAsia" w:hAnsi="Arial" w:cs="Arial"/>
          <w:i/>
          <w:color w:val="13223E"/>
          <w:spacing w:val="4"/>
          <w:sz w:val="24"/>
          <w:szCs w:val="24"/>
          <w:lang w:eastAsia="en-AU"/>
        </w:rPr>
        <w:t>The 2020-2022 Priorities</w:t>
      </w:r>
    </w:p>
    <w:p w:rsidR="00564BDE" w:rsidRPr="00FD7F2A" w:rsidRDefault="00564BDE" w:rsidP="00564BDE">
      <w:pPr>
        <w:spacing w:before="240" w:after="360"/>
        <w:rPr>
          <w:rFonts w:ascii="Arial" w:hAnsi="Arial" w:cs="Arial"/>
          <w:sz w:val="19"/>
          <w:lang w:eastAsia="en-AU"/>
        </w:rPr>
      </w:pPr>
      <w:r w:rsidRPr="00FD7F2A">
        <w:rPr>
          <w:rFonts w:ascii="Arial" w:hAnsi="Arial" w:cs="Arial"/>
          <w:lang w:eastAsia="en-AU"/>
        </w:rPr>
        <w:t xml:space="preserve">The MRFF Priorities for </w:t>
      </w:r>
      <w:r>
        <w:rPr>
          <w:rFonts w:ascii="Arial" w:hAnsi="Arial" w:cs="Arial"/>
          <w:lang w:eastAsia="en-AU"/>
        </w:rPr>
        <w:t>2020-2022</w:t>
      </w:r>
      <w:r w:rsidRPr="00FD7F2A">
        <w:rPr>
          <w:rFonts w:ascii="Arial" w:hAnsi="Arial" w:cs="Arial"/>
          <w:lang w:eastAsia="en-AU"/>
        </w:rPr>
        <w:t xml:space="preserve"> under each Strategic Platform are presented below. In determining each of the Priorities for </w:t>
      </w:r>
      <w:r>
        <w:rPr>
          <w:rFonts w:ascii="Arial" w:hAnsi="Arial" w:cs="Arial"/>
          <w:lang w:eastAsia="en-AU"/>
        </w:rPr>
        <w:t>2020-2022</w:t>
      </w:r>
      <w:r w:rsidRPr="00FD7F2A">
        <w:rPr>
          <w:rFonts w:ascii="Arial" w:hAnsi="Arial" w:cs="Arial"/>
          <w:lang w:eastAsia="en-AU"/>
        </w:rPr>
        <w:t xml:space="preserve">, AMRAB has considered </w:t>
      </w:r>
      <w:r>
        <w:rPr>
          <w:rFonts w:ascii="Arial" w:hAnsi="Arial" w:cs="Arial"/>
          <w:lang w:eastAsia="en-AU"/>
        </w:rPr>
        <w:t xml:space="preserve">their ongoing appropriateness to guide MRFF investments whilst they operate under the current Australian Medical Research and Innovation Strategy. This is explored in </w:t>
      </w:r>
      <w:r w:rsidRPr="00FD7F2A">
        <w:rPr>
          <w:rFonts w:ascii="Arial" w:hAnsi="Arial" w:cs="Arial"/>
          <w:i/>
          <w:lang w:eastAsia="en-AU"/>
        </w:rPr>
        <w:t>Why</w:t>
      </w:r>
      <w:r w:rsidRPr="00FD7F2A">
        <w:rPr>
          <w:rFonts w:ascii="Arial" w:hAnsi="Arial" w:cs="Arial"/>
          <w:lang w:eastAsia="en-AU"/>
        </w:rPr>
        <w:t xml:space="preserve"> the priority is or remains important as well as </w:t>
      </w:r>
      <w:r w:rsidRPr="00FD7F2A">
        <w:rPr>
          <w:rFonts w:ascii="Arial" w:hAnsi="Arial" w:cs="Arial"/>
          <w:i/>
          <w:lang w:eastAsia="en-AU"/>
        </w:rPr>
        <w:t>How</w:t>
      </w:r>
      <w:r w:rsidRPr="00FD7F2A">
        <w:rPr>
          <w:rFonts w:ascii="Arial" w:hAnsi="Arial" w:cs="Arial"/>
          <w:lang w:eastAsia="en-AU"/>
        </w:rPr>
        <w:t xml:space="preserve"> the priority might be addressed through initiative implementation.</w:t>
      </w:r>
    </w:p>
    <w:p w:rsidR="00564BDE" w:rsidRPr="00F77F67" w:rsidRDefault="00564BDE" w:rsidP="00564BDE">
      <w:pPr>
        <w:pStyle w:val="Heading2"/>
        <w:rPr>
          <w:szCs w:val="22"/>
        </w:rPr>
      </w:pPr>
      <w:r w:rsidRPr="00F77F67">
        <w:t xml:space="preserve">Strategic and </w:t>
      </w:r>
      <w:r>
        <w:t>I</w:t>
      </w:r>
      <w:r w:rsidRPr="00F77F67">
        <w:t xml:space="preserve">nternational </w:t>
      </w:r>
      <w:r>
        <w:t>H</w:t>
      </w:r>
      <w:r w:rsidRPr="00F77F67">
        <w:t>orizons</w:t>
      </w:r>
    </w:p>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orities under the Strategic and international horizons platform"/>
      </w:tblPr>
      <w:tblGrid>
        <w:gridCol w:w="3021"/>
        <w:gridCol w:w="3643"/>
        <w:gridCol w:w="3331"/>
      </w:tblGrid>
      <w:tr w:rsidR="00564BDE" w:rsidRPr="000F717D" w:rsidTr="00CD74AB">
        <w:trPr>
          <w:cantSplit/>
          <w:trHeight w:val="358"/>
          <w:tblHeader/>
        </w:trPr>
        <w:tc>
          <w:tcPr>
            <w:tcW w:w="1511" w:type="pct"/>
            <w:shd w:val="clear" w:color="auto" w:fill="17365D" w:themeFill="text2" w:themeFillShade="BF"/>
            <w:vAlign w:val="center"/>
          </w:tcPr>
          <w:p w:rsidR="00564BDE" w:rsidRPr="00631A27" w:rsidRDefault="00564BDE" w:rsidP="00CD74AB">
            <w:pPr>
              <w:pStyle w:val="ItemHead"/>
              <w:spacing w:before="60" w:after="60" w:line="257" w:lineRule="auto"/>
              <w:ind w:left="0" w:firstLine="0"/>
              <w:jc w:val="center"/>
              <w:rPr>
                <w:rFonts w:cs="Arial"/>
                <w:color w:val="FFFFFF" w:themeColor="background1"/>
                <w:sz w:val="22"/>
                <w:szCs w:val="22"/>
              </w:rPr>
            </w:pPr>
            <w:r w:rsidRPr="00631A27">
              <w:rPr>
                <w:rFonts w:cs="Arial"/>
                <w:color w:val="FFFFFF" w:themeColor="background1"/>
                <w:sz w:val="22"/>
                <w:szCs w:val="22"/>
              </w:rPr>
              <w:t>Priority</w:t>
            </w:r>
          </w:p>
        </w:tc>
        <w:tc>
          <w:tcPr>
            <w:tcW w:w="1822" w:type="pct"/>
            <w:shd w:val="clear" w:color="auto" w:fill="17365D" w:themeFill="text2" w:themeFillShade="BF"/>
            <w:vAlign w:val="center"/>
          </w:tcPr>
          <w:p w:rsidR="00564BDE" w:rsidRPr="00631A27" w:rsidRDefault="00564BDE" w:rsidP="00CD74AB">
            <w:pPr>
              <w:pStyle w:val="ItemHead"/>
              <w:spacing w:before="60" w:after="60" w:line="257" w:lineRule="auto"/>
              <w:ind w:left="0" w:firstLine="0"/>
              <w:jc w:val="center"/>
              <w:rPr>
                <w:rFonts w:cs="Arial"/>
                <w:color w:val="FFFFFF" w:themeColor="background1"/>
                <w:sz w:val="22"/>
                <w:szCs w:val="22"/>
              </w:rPr>
            </w:pPr>
            <w:r w:rsidRPr="00631A27">
              <w:rPr>
                <w:rFonts w:cs="Arial"/>
                <w:color w:val="FFFFFF" w:themeColor="background1"/>
                <w:sz w:val="22"/>
                <w:szCs w:val="22"/>
              </w:rPr>
              <w:t>WHY action is needed</w:t>
            </w:r>
          </w:p>
        </w:tc>
        <w:tc>
          <w:tcPr>
            <w:tcW w:w="1666" w:type="pct"/>
            <w:shd w:val="clear" w:color="auto" w:fill="17365D" w:themeFill="text2" w:themeFillShade="BF"/>
            <w:vAlign w:val="center"/>
          </w:tcPr>
          <w:p w:rsidR="00564BDE" w:rsidRPr="00631A27" w:rsidRDefault="00564BDE" w:rsidP="00CD74AB">
            <w:pPr>
              <w:pStyle w:val="ItemHead"/>
              <w:spacing w:before="60" w:after="60" w:line="257" w:lineRule="auto"/>
              <w:ind w:left="0" w:firstLine="0"/>
              <w:jc w:val="center"/>
              <w:rPr>
                <w:rFonts w:cs="Arial"/>
                <w:color w:val="FFFFFF" w:themeColor="background1"/>
                <w:sz w:val="22"/>
                <w:szCs w:val="22"/>
              </w:rPr>
            </w:pPr>
            <w:r w:rsidRPr="00631A27">
              <w:rPr>
                <w:rFonts w:cs="Arial"/>
                <w:color w:val="FFFFFF" w:themeColor="background1"/>
                <w:sz w:val="22"/>
                <w:szCs w:val="22"/>
              </w:rPr>
              <w:t>HOW best addressed</w:t>
            </w:r>
          </w:p>
        </w:tc>
      </w:tr>
      <w:tr w:rsidR="00564BDE" w:rsidRPr="000F717D" w:rsidTr="00CD74AB">
        <w:trPr>
          <w:cantSplit/>
        </w:trPr>
        <w:tc>
          <w:tcPr>
            <w:tcW w:w="1511" w:type="pct"/>
            <w:vAlign w:val="center"/>
          </w:tcPr>
          <w:p w:rsidR="00564BDE" w:rsidRPr="003C1DEF" w:rsidRDefault="00564BDE" w:rsidP="00CD74AB">
            <w:pPr>
              <w:pStyle w:val="TableNText"/>
              <w:spacing w:before="120" w:after="120" w:line="252" w:lineRule="auto"/>
              <w:rPr>
                <w:rFonts w:ascii="Arial" w:hAnsi="Arial" w:cs="Arial"/>
                <w:b/>
                <w:sz w:val="22"/>
              </w:rPr>
            </w:pPr>
            <w:r w:rsidRPr="003C1DEF">
              <w:rPr>
                <w:rFonts w:ascii="Arial" w:hAnsi="Arial" w:cs="Arial"/>
                <w:b/>
                <w:sz w:val="22"/>
              </w:rPr>
              <w:t>One Health – Antimicrobial Resistance</w:t>
            </w:r>
          </w:p>
          <w:p w:rsidR="00564BDE" w:rsidRPr="003C1DEF" w:rsidRDefault="00564BDE" w:rsidP="00CD74AB">
            <w:pPr>
              <w:spacing w:before="120" w:after="120" w:line="252" w:lineRule="auto"/>
              <w:rPr>
                <w:rFonts w:ascii="Arial" w:hAnsi="Arial" w:cs="Arial"/>
                <w:b/>
                <w:szCs w:val="22"/>
              </w:rPr>
            </w:pPr>
            <w:r w:rsidRPr="003C1DEF">
              <w:rPr>
                <w:rFonts w:ascii="Arial" w:hAnsi="Arial" w:cs="Arial"/>
                <w:szCs w:val="22"/>
                <w:lang w:eastAsia="en-AU"/>
              </w:rPr>
              <w:t>There are no borders between human and animal health when it comes to antimicrobial resistance (AMR). Research into stewardship practices, diagnostic</w:t>
            </w:r>
            <w:r>
              <w:rPr>
                <w:rFonts w:ascii="Arial" w:hAnsi="Arial" w:cs="Arial"/>
                <w:szCs w:val="22"/>
                <w:lang w:eastAsia="en-AU"/>
              </w:rPr>
              <w:t xml:space="preserve"> and treatment</w:t>
            </w:r>
            <w:r w:rsidRPr="003C1DEF">
              <w:rPr>
                <w:rFonts w:ascii="Arial" w:hAnsi="Arial" w:cs="Arial"/>
                <w:szCs w:val="22"/>
                <w:lang w:eastAsia="en-AU"/>
              </w:rPr>
              <w:t xml:space="preserve"> tools</w:t>
            </w:r>
            <w:r>
              <w:rPr>
                <w:rFonts w:ascii="Arial" w:hAnsi="Arial" w:cs="Arial"/>
                <w:szCs w:val="22"/>
                <w:lang w:eastAsia="en-AU"/>
              </w:rPr>
              <w:t>, preventative measures,</w:t>
            </w:r>
            <w:r w:rsidRPr="003C1DEF">
              <w:rPr>
                <w:rFonts w:ascii="Arial" w:hAnsi="Arial" w:cs="Arial"/>
                <w:szCs w:val="22"/>
                <w:lang w:eastAsia="en-AU"/>
              </w:rPr>
              <w:t xml:space="preserve"> and new </w:t>
            </w:r>
            <w:r>
              <w:rPr>
                <w:rFonts w:ascii="Arial" w:hAnsi="Arial" w:cs="Arial"/>
                <w:szCs w:val="22"/>
                <w:lang w:eastAsia="en-AU"/>
              </w:rPr>
              <w:t xml:space="preserve">or novel </w:t>
            </w:r>
            <w:r w:rsidRPr="003C1DEF">
              <w:rPr>
                <w:rFonts w:ascii="Arial" w:hAnsi="Arial" w:cs="Arial"/>
                <w:szCs w:val="22"/>
                <w:lang w:eastAsia="en-AU"/>
              </w:rPr>
              <w:t>antimicrobials and vaccines that spans this divide is critical.</w:t>
            </w:r>
          </w:p>
        </w:tc>
        <w:tc>
          <w:tcPr>
            <w:tcW w:w="1822" w:type="pct"/>
            <w:vAlign w:val="center"/>
          </w:tcPr>
          <w:p w:rsidR="00564BDE" w:rsidRPr="003C1DEF" w:rsidRDefault="00564BDE" w:rsidP="00CD74AB">
            <w:pPr>
              <w:spacing w:before="120" w:after="120" w:line="252" w:lineRule="auto"/>
              <w:rPr>
                <w:rFonts w:ascii="Arial" w:hAnsi="Arial" w:cs="Arial"/>
                <w:b/>
                <w:szCs w:val="22"/>
              </w:rPr>
            </w:pPr>
            <w:r w:rsidRPr="003C1DEF">
              <w:rPr>
                <w:rFonts w:ascii="Arial" w:hAnsi="Arial" w:cs="Arial"/>
                <w:szCs w:val="22"/>
              </w:rPr>
              <w:t xml:space="preserve">Australia has one of the highest rates of antibiotic use in the world. High rates of antibiotic use are associated with increasing rates of antibiotic resistance. </w:t>
            </w:r>
            <w:r>
              <w:rPr>
                <w:rFonts w:ascii="Arial" w:hAnsi="Arial" w:cs="Arial"/>
                <w:i/>
                <w:szCs w:val="22"/>
              </w:rPr>
              <w:t xml:space="preserve">Australia’s National AMR Strategy-2020 and Beyond </w:t>
            </w:r>
            <w:r w:rsidRPr="003C1DEF">
              <w:rPr>
                <w:rFonts w:ascii="Arial" w:eastAsia="Calibri" w:hAnsi="Arial" w:cs="Arial"/>
                <w:szCs w:val="22"/>
              </w:rPr>
              <w:t>recognise</w:t>
            </w:r>
            <w:r>
              <w:rPr>
                <w:rFonts w:ascii="Arial" w:eastAsia="Calibri" w:hAnsi="Arial" w:cs="Arial"/>
                <w:szCs w:val="22"/>
              </w:rPr>
              <w:t>s</w:t>
            </w:r>
            <w:r w:rsidRPr="003C1DEF">
              <w:rPr>
                <w:rFonts w:ascii="Arial" w:eastAsia="Calibri" w:hAnsi="Arial" w:cs="Arial"/>
                <w:szCs w:val="22"/>
              </w:rPr>
              <w:t xml:space="preserve"> that AMR is a One Health issue that requires a coordinated response in all sectors including the human health, animal health, food and agriculture sectors</w:t>
            </w:r>
            <w:r>
              <w:rPr>
                <w:rFonts w:ascii="Arial" w:eastAsia="Calibri" w:hAnsi="Arial" w:cs="Arial"/>
                <w:szCs w:val="22"/>
              </w:rPr>
              <w:t>, as well as close coordination with global action</w:t>
            </w:r>
            <w:r w:rsidRPr="003C1DEF">
              <w:rPr>
                <w:rFonts w:ascii="Arial" w:eastAsia="Calibri" w:hAnsi="Arial" w:cs="Arial"/>
                <w:szCs w:val="22"/>
              </w:rPr>
              <w:t>.</w:t>
            </w:r>
          </w:p>
        </w:tc>
        <w:tc>
          <w:tcPr>
            <w:tcW w:w="1666" w:type="pct"/>
            <w:vAlign w:val="center"/>
          </w:tcPr>
          <w:p w:rsidR="00564BDE" w:rsidRPr="003C1DEF" w:rsidRDefault="00564BDE" w:rsidP="00CD74AB">
            <w:pPr>
              <w:spacing w:before="120" w:after="120" w:line="252" w:lineRule="auto"/>
              <w:rPr>
                <w:rFonts w:ascii="Arial" w:hAnsi="Arial" w:cs="Arial"/>
                <w:b/>
                <w:szCs w:val="22"/>
              </w:rPr>
            </w:pPr>
            <w:r w:rsidRPr="003C1DEF">
              <w:rPr>
                <w:rFonts w:ascii="Arial" w:hAnsi="Arial" w:cs="Arial"/>
                <w:szCs w:val="22"/>
              </w:rPr>
              <w:t xml:space="preserve">Provision of research grant opportunities that focus on collaborative multidisciplinary research to achieve better public health outcomes through the understanding of mechanisms of microbe transfer between animals and humans and by the development of strategies to reduce </w:t>
            </w:r>
            <w:r>
              <w:rPr>
                <w:rFonts w:ascii="Arial" w:hAnsi="Arial" w:cs="Arial"/>
                <w:szCs w:val="22"/>
              </w:rPr>
              <w:t xml:space="preserve">inappropriate </w:t>
            </w:r>
            <w:r w:rsidRPr="003C1DEF">
              <w:rPr>
                <w:rFonts w:ascii="Arial" w:hAnsi="Arial" w:cs="Arial"/>
                <w:szCs w:val="22"/>
              </w:rPr>
              <w:t>antibiotic use and apply novel therapeutic solutions.</w:t>
            </w:r>
          </w:p>
        </w:tc>
      </w:tr>
      <w:tr w:rsidR="00564BDE" w:rsidRPr="000F717D" w:rsidTr="00CD74AB">
        <w:trPr>
          <w:cantSplit/>
        </w:trPr>
        <w:tc>
          <w:tcPr>
            <w:tcW w:w="1511" w:type="pct"/>
            <w:shd w:val="clear" w:color="auto" w:fill="auto"/>
            <w:vAlign w:val="center"/>
          </w:tcPr>
          <w:p w:rsidR="00564BDE" w:rsidRPr="003C1DEF" w:rsidRDefault="00564BDE" w:rsidP="00CD74AB">
            <w:pPr>
              <w:pStyle w:val="TableNText"/>
              <w:spacing w:before="120" w:after="120" w:line="252" w:lineRule="auto"/>
              <w:rPr>
                <w:rFonts w:ascii="Arial" w:hAnsi="Arial" w:cs="Arial"/>
                <w:b/>
                <w:sz w:val="22"/>
              </w:rPr>
            </w:pPr>
            <w:r w:rsidRPr="003C1DEF">
              <w:rPr>
                <w:rFonts w:ascii="Arial" w:hAnsi="Arial" w:cs="Arial"/>
                <w:b/>
                <w:sz w:val="22"/>
              </w:rPr>
              <w:lastRenderedPageBreak/>
              <w:t>Global Health and Health Security</w:t>
            </w:r>
          </w:p>
          <w:p w:rsidR="00564BDE" w:rsidRPr="003C1DEF" w:rsidRDefault="00564BDE" w:rsidP="00CD74AB">
            <w:pPr>
              <w:spacing w:before="120" w:after="120" w:line="252" w:lineRule="auto"/>
              <w:rPr>
                <w:rFonts w:ascii="Arial" w:hAnsi="Arial" w:cs="Arial"/>
                <w:b/>
                <w:szCs w:val="22"/>
              </w:rPr>
            </w:pPr>
            <w:r w:rsidRPr="003C1DEF">
              <w:rPr>
                <w:rFonts w:ascii="Arial" w:hAnsi="Arial" w:cs="Arial"/>
                <w:szCs w:val="22"/>
                <w:lang w:eastAsia="en-AU"/>
              </w:rPr>
              <w:t xml:space="preserve">Global health challenges including health emergencies and pandemic preparedness, </w:t>
            </w:r>
            <w:r>
              <w:rPr>
                <w:rFonts w:ascii="Arial" w:hAnsi="Arial" w:cs="Arial"/>
                <w:szCs w:val="22"/>
                <w:lang w:eastAsia="en-AU"/>
              </w:rPr>
              <w:t xml:space="preserve">the impact of climate and environmental change on health, and </w:t>
            </w:r>
            <w:r w:rsidRPr="003C1DEF">
              <w:rPr>
                <w:rFonts w:ascii="Arial" w:hAnsi="Arial" w:cs="Arial"/>
                <w:szCs w:val="22"/>
                <w:lang w:eastAsia="en-AU"/>
              </w:rPr>
              <w:t>the development and implementation of low technology preventative, diagnostic and treatment solutions are best addressed through international research collaboration.</w:t>
            </w:r>
          </w:p>
        </w:tc>
        <w:tc>
          <w:tcPr>
            <w:tcW w:w="1822" w:type="pct"/>
            <w:shd w:val="clear" w:color="auto" w:fill="auto"/>
            <w:vAlign w:val="center"/>
          </w:tcPr>
          <w:p w:rsidR="00564BDE" w:rsidRPr="003C1DEF" w:rsidRDefault="00564BDE" w:rsidP="00CD74AB">
            <w:pPr>
              <w:pStyle w:val="TableNText"/>
              <w:spacing w:before="120" w:after="120" w:line="252" w:lineRule="auto"/>
              <w:rPr>
                <w:rFonts w:ascii="Arial" w:hAnsi="Arial" w:cs="Arial"/>
                <w:sz w:val="22"/>
                <w:lang w:val="en-US"/>
              </w:rPr>
            </w:pPr>
            <w:r w:rsidRPr="003C1DEF">
              <w:rPr>
                <w:rFonts w:ascii="Arial" w:hAnsi="Arial" w:cs="Arial"/>
                <w:sz w:val="22"/>
                <w:lang w:val="en-US" w:eastAsia="en-AU"/>
              </w:rPr>
              <w:t>Health is a global effort and today’s world is highly interconnected.</w:t>
            </w:r>
            <w:r>
              <w:rPr>
                <w:rFonts w:ascii="Arial" w:hAnsi="Arial" w:cs="Arial"/>
                <w:sz w:val="22"/>
                <w:lang w:val="en-US" w:eastAsia="en-AU"/>
              </w:rPr>
              <w:t xml:space="preserve"> The emergence and response to COVID-19 has highlighted the interconnectedness of health.  </w:t>
            </w:r>
            <w:r w:rsidRPr="003C1DEF">
              <w:rPr>
                <w:rFonts w:ascii="Arial" w:hAnsi="Arial" w:cs="Arial"/>
                <w:sz w:val="22"/>
                <w:lang w:val="en-US" w:eastAsia="en-AU"/>
              </w:rPr>
              <w:t xml:space="preserve">Australians can benefit from research that addresses </w:t>
            </w:r>
            <w:r>
              <w:rPr>
                <w:rFonts w:ascii="Arial" w:hAnsi="Arial" w:cs="Arial"/>
                <w:sz w:val="22"/>
                <w:lang w:val="en-US" w:eastAsia="en-AU"/>
              </w:rPr>
              <w:t xml:space="preserve">both identified and </w:t>
            </w:r>
            <w:r w:rsidRPr="003C1DEF">
              <w:rPr>
                <w:rFonts w:ascii="Arial" w:hAnsi="Arial" w:cs="Arial"/>
                <w:sz w:val="22"/>
                <w:lang w:val="en-US" w:eastAsia="en-AU"/>
              </w:rPr>
              <w:t>emerging</w:t>
            </w:r>
            <w:r>
              <w:rPr>
                <w:rFonts w:ascii="Arial" w:hAnsi="Arial" w:cs="Arial"/>
                <w:sz w:val="22"/>
                <w:lang w:val="en-US" w:eastAsia="en-AU"/>
              </w:rPr>
              <w:t xml:space="preserve"> (unspecified)</w:t>
            </w:r>
            <w:r w:rsidRPr="003C1DEF">
              <w:rPr>
                <w:rFonts w:ascii="Arial" w:hAnsi="Arial" w:cs="Arial"/>
                <w:sz w:val="22"/>
                <w:lang w:val="en-US" w:eastAsia="en-AU"/>
              </w:rPr>
              <w:t xml:space="preserve"> global threats</w:t>
            </w:r>
            <w:r>
              <w:rPr>
                <w:rFonts w:ascii="Arial" w:hAnsi="Arial" w:cs="Arial"/>
                <w:sz w:val="22"/>
                <w:lang w:val="en-US" w:eastAsia="en-AU"/>
              </w:rPr>
              <w:t>, the ongoing effects on health and the health system, such as mental health care,</w:t>
            </w:r>
            <w:r w:rsidRPr="003C1DEF">
              <w:rPr>
                <w:rFonts w:ascii="Arial" w:hAnsi="Arial" w:cs="Arial"/>
                <w:sz w:val="22"/>
                <w:lang w:val="en-US" w:eastAsia="en-AU"/>
              </w:rPr>
              <w:t xml:space="preserve"> and delivers fit-for-purpose healthcare innovations that can </w:t>
            </w:r>
            <w:r>
              <w:rPr>
                <w:rFonts w:ascii="Arial" w:hAnsi="Arial" w:cs="Arial"/>
                <w:sz w:val="22"/>
                <w:lang w:val="en-US" w:eastAsia="en-AU"/>
              </w:rPr>
              <w:t xml:space="preserve">also benefit </w:t>
            </w:r>
            <w:r w:rsidRPr="003C1DEF">
              <w:rPr>
                <w:rFonts w:ascii="Arial" w:hAnsi="Arial" w:cs="Arial"/>
                <w:sz w:val="22"/>
                <w:lang w:val="en-US" w:eastAsia="en-AU"/>
              </w:rPr>
              <w:t xml:space="preserve">other nations. It is important that Australian researchers think and work globally to address shared challenges. </w:t>
            </w:r>
          </w:p>
        </w:tc>
        <w:tc>
          <w:tcPr>
            <w:tcW w:w="1666" w:type="pct"/>
            <w:shd w:val="clear" w:color="auto" w:fill="auto"/>
            <w:vAlign w:val="center"/>
          </w:tcPr>
          <w:p w:rsidR="00564BDE" w:rsidRPr="003C1DEF" w:rsidRDefault="00564BDE" w:rsidP="00CD74AB">
            <w:pPr>
              <w:spacing w:before="120" w:after="120" w:line="252" w:lineRule="auto"/>
              <w:rPr>
                <w:rFonts w:ascii="Arial" w:hAnsi="Arial" w:cs="Arial"/>
                <w:szCs w:val="22"/>
                <w:lang w:eastAsia="en-AU"/>
              </w:rPr>
            </w:pPr>
            <w:r>
              <w:rPr>
                <w:rFonts w:ascii="Arial" w:hAnsi="Arial" w:cs="Arial"/>
                <w:szCs w:val="22"/>
                <w:lang w:eastAsia="en-AU"/>
              </w:rPr>
              <w:t xml:space="preserve">Focus on investments that </w:t>
            </w:r>
            <w:r w:rsidRPr="003C1DEF">
              <w:rPr>
                <w:rFonts w:ascii="Arial" w:hAnsi="Arial" w:cs="Arial"/>
                <w:szCs w:val="22"/>
                <w:lang w:eastAsia="en-AU"/>
              </w:rPr>
              <w:t>purposefully stimulate public good research that addresses global health and health security issues of relevance to Australia</w:t>
            </w:r>
            <w:r>
              <w:rPr>
                <w:rFonts w:ascii="Arial" w:hAnsi="Arial" w:cs="Arial"/>
                <w:szCs w:val="22"/>
                <w:lang w:eastAsia="en-AU"/>
              </w:rPr>
              <w:t xml:space="preserve"> including preparedness for both identified and emerging global threats</w:t>
            </w:r>
            <w:r w:rsidRPr="003C1DEF">
              <w:rPr>
                <w:rFonts w:ascii="Arial" w:hAnsi="Arial" w:cs="Arial"/>
                <w:szCs w:val="22"/>
                <w:lang w:eastAsia="en-AU"/>
              </w:rPr>
              <w:t xml:space="preserve">. </w:t>
            </w:r>
          </w:p>
        </w:tc>
      </w:tr>
      <w:tr w:rsidR="00564BDE" w:rsidRPr="000F717D" w:rsidTr="00CD74AB">
        <w:trPr>
          <w:cantSplit/>
        </w:trPr>
        <w:tc>
          <w:tcPr>
            <w:tcW w:w="1511" w:type="pct"/>
            <w:vAlign w:val="center"/>
          </w:tcPr>
          <w:p w:rsidR="00564BDE" w:rsidRPr="003C1DEF" w:rsidRDefault="00564BDE" w:rsidP="00CD74AB">
            <w:pPr>
              <w:pStyle w:val="TableNText"/>
              <w:spacing w:before="120" w:after="120" w:line="252" w:lineRule="auto"/>
              <w:rPr>
                <w:rFonts w:ascii="Arial" w:hAnsi="Arial" w:cs="Arial"/>
                <w:b/>
                <w:sz w:val="22"/>
              </w:rPr>
            </w:pPr>
            <w:r w:rsidRPr="003C1DEF">
              <w:rPr>
                <w:rFonts w:ascii="Arial" w:hAnsi="Arial" w:cs="Arial"/>
                <w:b/>
                <w:sz w:val="22"/>
              </w:rPr>
              <w:t xml:space="preserve">Aboriginal and Torres Strait Islander Health </w:t>
            </w:r>
          </w:p>
          <w:p w:rsidR="00564BDE" w:rsidRPr="003C1DEF" w:rsidRDefault="00564BDE" w:rsidP="00CD74AB">
            <w:pPr>
              <w:spacing w:before="120" w:after="120" w:line="252" w:lineRule="auto"/>
              <w:rPr>
                <w:rFonts w:ascii="Arial" w:hAnsi="Arial" w:cs="Arial"/>
                <w:b/>
                <w:szCs w:val="22"/>
              </w:rPr>
            </w:pPr>
            <w:r w:rsidRPr="003C1DEF">
              <w:rPr>
                <w:rFonts w:ascii="Arial" w:hAnsi="Arial" w:cs="Arial"/>
                <w:szCs w:val="22"/>
                <w:lang w:eastAsia="en-AU"/>
              </w:rPr>
              <w:t>Indigenous leadership and Indigenous-led priority setting to drive health-related research to improve the health of Aboriginal and Torres Strait Islander Australians and to close the gap on health mortality and morbidity.</w:t>
            </w:r>
          </w:p>
        </w:tc>
        <w:tc>
          <w:tcPr>
            <w:tcW w:w="1822" w:type="pct"/>
            <w:vAlign w:val="center"/>
          </w:tcPr>
          <w:p w:rsidR="00564BDE" w:rsidRPr="003C1DEF" w:rsidRDefault="00564BDE" w:rsidP="00CD74AB">
            <w:pPr>
              <w:pStyle w:val="ListBullet-Number"/>
              <w:numPr>
                <w:ilvl w:val="0"/>
                <w:numId w:val="0"/>
              </w:numPr>
              <w:spacing w:before="120" w:after="120" w:line="252" w:lineRule="auto"/>
              <w:rPr>
                <w:rFonts w:cs="Arial"/>
                <w:b/>
                <w:sz w:val="22"/>
                <w:szCs w:val="22"/>
              </w:rPr>
            </w:pPr>
            <w:r w:rsidRPr="003C1DEF">
              <w:rPr>
                <w:rFonts w:cs="Arial"/>
                <w:sz w:val="22"/>
                <w:szCs w:val="22"/>
              </w:rPr>
              <w:t>Health and social equity for Indigenous Australians remains one of Australia’s most enduring challenges. The gap between Indigenous and other Australians in life expectancy, mortality and wellbeing remains large and unacceptable. Indigenous health research investment to date has been fragmented and not always prioritised or led by communities. In line with</w:t>
            </w:r>
            <w:r>
              <w:rPr>
                <w:rFonts w:cs="Arial"/>
                <w:sz w:val="22"/>
                <w:szCs w:val="22"/>
              </w:rPr>
              <w:t xml:space="preserve"> the</w:t>
            </w:r>
            <w:r w:rsidRPr="003C1DEF">
              <w:rPr>
                <w:rFonts w:cs="Arial"/>
                <w:sz w:val="22"/>
                <w:szCs w:val="22"/>
              </w:rPr>
              <w:t xml:space="preserve"> </w:t>
            </w:r>
            <w:r>
              <w:rPr>
                <w:rFonts w:cs="Arial"/>
                <w:i/>
                <w:sz w:val="22"/>
                <w:szCs w:val="22"/>
              </w:rPr>
              <w:t xml:space="preserve">National Agreement on </w:t>
            </w:r>
            <w:r w:rsidRPr="003C1DEF">
              <w:rPr>
                <w:rFonts w:cs="Arial"/>
                <w:i/>
                <w:sz w:val="22"/>
                <w:szCs w:val="22"/>
              </w:rPr>
              <w:t>Closing the Gap</w:t>
            </w:r>
            <w:r w:rsidRPr="003C1DEF">
              <w:rPr>
                <w:rFonts w:cs="Arial"/>
                <w:sz w:val="22"/>
                <w:szCs w:val="22"/>
              </w:rPr>
              <w:t>, enhancing Indigenous research capacity is essential.</w:t>
            </w:r>
          </w:p>
        </w:tc>
        <w:tc>
          <w:tcPr>
            <w:tcW w:w="1666" w:type="pct"/>
            <w:vAlign w:val="center"/>
          </w:tcPr>
          <w:p w:rsidR="00564BDE" w:rsidRPr="003C1DEF" w:rsidRDefault="00564BDE" w:rsidP="00CD74AB">
            <w:pPr>
              <w:pStyle w:val="ListBullet-Number"/>
              <w:numPr>
                <w:ilvl w:val="0"/>
                <w:numId w:val="0"/>
              </w:numPr>
              <w:spacing w:before="120" w:after="120" w:line="252" w:lineRule="auto"/>
              <w:rPr>
                <w:rFonts w:cs="Arial"/>
                <w:b/>
                <w:sz w:val="22"/>
                <w:szCs w:val="22"/>
              </w:rPr>
            </w:pPr>
            <w:r>
              <w:rPr>
                <w:rFonts w:cs="Arial"/>
                <w:sz w:val="22"/>
                <w:szCs w:val="22"/>
              </w:rPr>
              <w:t xml:space="preserve">Continued </w:t>
            </w:r>
            <w:r w:rsidRPr="003C1DEF">
              <w:rPr>
                <w:rFonts w:cs="Arial"/>
                <w:sz w:val="22"/>
                <w:szCs w:val="22"/>
              </w:rPr>
              <w:t xml:space="preserve">investment is required </w:t>
            </w:r>
            <w:r>
              <w:rPr>
                <w:rFonts w:cs="Arial"/>
                <w:sz w:val="22"/>
                <w:szCs w:val="22"/>
              </w:rPr>
              <w:t xml:space="preserve">that </w:t>
            </w:r>
            <w:r w:rsidRPr="003C1DEF">
              <w:rPr>
                <w:rFonts w:cs="Arial"/>
                <w:sz w:val="22"/>
                <w:szCs w:val="22"/>
              </w:rPr>
              <w:t>focus</w:t>
            </w:r>
            <w:r>
              <w:rPr>
                <w:rFonts w:cs="Arial"/>
                <w:sz w:val="22"/>
                <w:szCs w:val="22"/>
              </w:rPr>
              <w:t>es</w:t>
            </w:r>
            <w:r w:rsidRPr="003C1DEF">
              <w:rPr>
                <w:rFonts w:cs="Arial"/>
                <w:sz w:val="22"/>
                <w:szCs w:val="22"/>
              </w:rPr>
              <w:t xml:space="preserve"> on Indigenous leadership, agency and community empowerment, the promotion of health equity, elimination of discrimination and the strengthening of Indigenous research capacity. </w:t>
            </w:r>
            <w:r>
              <w:rPr>
                <w:rFonts w:cs="Arial"/>
                <w:sz w:val="22"/>
                <w:szCs w:val="22"/>
              </w:rPr>
              <w:t>Investment should continue to be driven t</w:t>
            </w:r>
            <w:r w:rsidRPr="003C1DEF">
              <w:rPr>
                <w:rFonts w:cs="Arial"/>
                <w:sz w:val="22"/>
                <w:szCs w:val="22"/>
              </w:rPr>
              <w:t>hrough Aboriginal and Torres Strait Islander governance and with regard to the social and cultural determinants of health</w:t>
            </w:r>
            <w:r>
              <w:rPr>
                <w:rFonts w:cs="Arial"/>
                <w:sz w:val="22"/>
                <w:szCs w:val="22"/>
              </w:rPr>
              <w:t xml:space="preserve"> and the four priority reforms of the </w:t>
            </w:r>
            <w:r>
              <w:rPr>
                <w:rFonts w:cs="Arial"/>
                <w:i/>
                <w:sz w:val="22"/>
                <w:szCs w:val="22"/>
              </w:rPr>
              <w:t>Closing the Gap Agreement.</w:t>
            </w:r>
          </w:p>
        </w:tc>
      </w:tr>
      <w:tr w:rsidR="00564BDE" w:rsidRPr="000F717D" w:rsidTr="00CD74AB">
        <w:trPr>
          <w:cantSplit/>
        </w:trPr>
        <w:tc>
          <w:tcPr>
            <w:tcW w:w="1511" w:type="pct"/>
            <w:shd w:val="clear" w:color="auto" w:fill="auto"/>
            <w:vAlign w:val="center"/>
          </w:tcPr>
          <w:p w:rsidR="00564BDE" w:rsidRPr="003C1DEF" w:rsidRDefault="00564BDE" w:rsidP="00CD74AB">
            <w:pPr>
              <w:pStyle w:val="TableNText"/>
              <w:spacing w:before="120" w:after="120" w:line="252" w:lineRule="auto"/>
              <w:rPr>
                <w:rFonts w:ascii="Arial" w:hAnsi="Arial" w:cs="Arial"/>
                <w:b/>
                <w:sz w:val="22"/>
              </w:rPr>
            </w:pPr>
            <w:r w:rsidRPr="003C1DEF">
              <w:rPr>
                <w:rFonts w:ascii="Arial" w:hAnsi="Arial" w:cs="Arial"/>
                <w:b/>
                <w:sz w:val="22"/>
              </w:rPr>
              <w:t xml:space="preserve">Ageing and Aged Care </w:t>
            </w:r>
          </w:p>
          <w:p w:rsidR="00564BDE" w:rsidRPr="003C1DEF" w:rsidRDefault="00564BDE" w:rsidP="00CD74AB">
            <w:pPr>
              <w:pStyle w:val="TableNText"/>
              <w:spacing w:before="120" w:after="120" w:line="252" w:lineRule="auto"/>
              <w:rPr>
                <w:rFonts w:ascii="Arial" w:hAnsi="Arial" w:cs="Arial"/>
                <w:b/>
                <w:sz w:val="22"/>
              </w:rPr>
            </w:pPr>
            <w:r w:rsidRPr="003C1DEF">
              <w:rPr>
                <w:rFonts w:ascii="Arial" w:hAnsi="Arial" w:cs="Arial"/>
                <w:sz w:val="22"/>
                <w:lang w:eastAsia="en-AU"/>
              </w:rPr>
              <w:t>Research into the diseases of ageing and the means to prolong quality of life, including tackling cognitive decline and dementia, and compressing the period of intense morbidity in later years through biomedical discovery and health service innovation</w:t>
            </w:r>
            <w:r>
              <w:rPr>
                <w:rFonts w:ascii="Arial" w:hAnsi="Arial" w:cs="Arial"/>
                <w:sz w:val="22"/>
                <w:lang w:eastAsia="en-AU"/>
              </w:rPr>
              <w:t xml:space="preserve"> in residential and home care</w:t>
            </w:r>
            <w:r w:rsidRPr="003C1DEF">
              <w:rPr>
                <w:rFonts w:ascii="Arial" w:hAnsi="Arial" w:cs="Arial"/>
                <w:sz w:val="22"/>
                <w:lang w:eastAsia="en-AU"/>
              </w:rPr>
              <w:t>.</w:t>
            </w:r>
          </w:p>
        </w:tc>
        <w:tc>
          <w:tcPr>
            <w:tcW w:w="1822" w:type="pct"/>
            <w:shd w:val="clear" w:color="auto" w:fill="auto"/>
            <w:vAlign w:val="center"/>
          </w:tcPr>
          <w:p w:rsidR="00564BDE" w:rsidRPr="003C1DEF" w:rsidRDefault="00564BDE" w:rsidP="00CD74AB">
            <w:pPr>
              <w:pStyle w:val="ListBullet-Number"/>
              <w:numPr>
                <w:ilvl w:val="0"/>
                <w:numId w:val="0"/>
              </w:numPr>
              <w:spacing w:before="120" w:after="120" w:line="252" w:lineRule="auto"/>
              <w:rPr>
                <w:rFonts w:cs="Arial"/>
                <w:b/>
                <w:sz w:val="22"/>
                <w:szCs w:val="22"/>
              </w:rPr>
            </w:pPr>
            <w:r w:rsidRPr="003C1DEF">
              <w:rPr>
                <w:rFonts w:cs="Arial"/>
                <w:sz w:val="22"/>
                <w:szCs w:val="22"/>
              </w:rPr>
              <w:t xml:space="preserve">The intergenerational </w:t>
            </w:r>
            <w:r>
              <w:rPr>
                <w:rFonts w:cs="Arial"/>
                <w:sz w:val="22"/>
                <w:szCs w:val="22"/>
              </w:rPr>
              <w:t xml:space="preserve">redistribution </w:t>
            </w:r>
            <w:r w:rsidRPr="003C1DEF">
              <w:rPr>
                <w:rFonts w:cs="Arial"/>
                <w:sz w:val="22"/>
                <w:szCs w:val="22"/>
              </w:rPr>
              <w:t xml:space="preserve">ahead requires a concerted research focus on </w:t>
            </w:r>
            <w:r>
              <w:rPr>
                <w:rFonts w:cs="Arial"/>
                <w:sz w:val="22"/>
                <w:szCs w:val="22"/>
              </w:rPr>
              <w:t>ageing</w:t>
            </w:r>
            <w:r w:rsidRPr="003C1DEF">
              <w:rPr>
                <w:rFonts w:cs="Arial"/>
                <w:sz w:val="22"/>
                <w:szCs w:val="22"/>
              </w:rPr>
              <w:t xml:space="preserve"> Australians. Optimising the physical and cognitive health and wellbeing of older Australians is one of society’s greatest challenges. It requires a multidisciplinary understanding of prevention, behaviour, biomarkers, disability and mobility, co-morbidity</w:t>
            </w:r>
            <w:r w:rsidRPr="001524E3">
              <w:rPr>
                <w:rFonts w:cs="Arial"/>
                <w:sz w:val="22"/>
                <w:szCs w:val="22"/>
              </w:rPr>
              <w:t>, models of care</w:t>
            </w:r>
            <w:r w:rsidRPr="0002218C">
              <w:rPr>
                <w:rFonts w:cs="Arial"/>
                <w:sz w:val="22"/>
                <w:szCs w:val="22"/>
              </w:rPr>
              <w:t>,</w:t>
            </w:r>
            <w:r w:rsidRPr="003C1DEF">
              <w:rPr>
                <w:rFonts w:cs="Arial"/>
                <w:sz w:val="22"/>
                <w:szCs w:val="22"/>
              </w:rPr>
              <w:t xml:space="preserve"> consumer choice and care needs. </w:t>
            </w:r>
          </w:p>
        </w:tc>
        <w:tc>
          <w:tcPr>
            <w:tcW w:w="1666" w:type="pct"/>
            <w:shd w:val="clear" w:color="auto" w:fill="auto"/>
            <w:vAlign w:val="center"/>
          </w:tcPr>
          <w:p w:rsidR="00564BDE" w:rsidRPr="003C1DEF" w:rsidRDefault="00564BDE" w:rsidP="00CD74AB">
            <w:pPr>
              <w:pStyle w:val="TableNText"/>
              <w:spacing w:before="120" w:after="120" w:line="252" w:lineRule="auto"/>
              <w:rPr>
                <w:rFonts w:ascii="Arial" w:hAnsi="Arial" w:cs="Arial"/>
                <w:sz w:val="22"/>
                <w:lang w:val="en-US"/>
              </w:rPr>
            </w:pPr>
            <w:r>
              <w:rPr>
                <w:rFonts w:ascii="Arial" w:hAnsi="Arial" w:cs="Arial"/>
                <w:sz w:val="22"/>
                <w:lang w:val="en-US" w:eastAsia="en-AU"/>
              </w:rPr>
              <w:t>Continued</w:t>
            </w:r>
            <w:r w:rsidRPr="003C1DEF">
              <w:rPr>
                <w:rFonts w:ascii="Arial" w:hAnsi="Arial" w:cs="Arial"/>
                <w:sz w:val="22"/>
                <w:lang w:val="en-US" w:eastAsia="en-AU"/>
              </w:rPr>
              <w:t xml:space="preserve"> investment t</w:t>
            </w:r>
            <w:r>
              <w:rPr>
                <w:rFonts w:ascii="Arial" w:hAnsi="Arial" w:cs="Arial"/>
                <w:sz w:val="22"/>
                <w:lang w:val="en-US" w:eastAsia="en-AU"/>
              </w:rPr>
              <w:t>hat</w:t>
            </w:r>
            <w:r w:rsidRPr="003C1DEF">
              <w:rPr>
                <w:rFonts w:ascii="Arial" w:hAnsi="Arial" w:cs="Arial"/>
                <w:sz w:val="22"/>
                <w:lang w:val="en-US" w:eastAsia="en-AU"/>
              </w:rPr>
              <w:t xml:space="preserve"> boost</w:t>
            </w:r>
            <w:r>
              <w:rPr>
                <w:rFonts w:ascii="Arial" w:hAnsi="Arial" w:cs="Arial"/>
                <w:sz w:val="22"/>
                <w:lang w:val="en-US" w:eastAsia="en-AU"/>
              </w:rPr>
              <w:t>s</w:t>
            </w:r>
            <w:r w:rsidRPr="003C1DEF">
              <w:rPr>
                <w:rFonts w:ascii="Arial" w:hAnsi="Arial" w:cs="Arial"/>
                <w:sz w:val="22"/>
                <w:lang w:val="en-US" w:eastAsia="en-AU"/>
              </w:rPr>
              <w:t xml:space="preserve"> efforts in biomedical, medical technology and health services research into ageing and aged care. </w:t>
            </w:r>
            <w:r>
              <w:rPr>
                <w:rFonts w:ascii="Arial" w:hAnsi="Arial" w:cs="Arial"/>
                <w:sz w:val="22"/>
                <w:lang w:val="en-US" w:eastAsia="en-AU"/>
              </w:rPr>
              <w:t>Investment focus</w:t>
            </w:r>
            <w:r w:rsidRPr="003C1DEF">
              <w:rPr>
                <w:rFonts w:ascii="Arial" w:hAnsi="Arial" w:cs="Arial"/>
                <w:sz w:val="22"/>
                <w:lang w:val="en-US" w:eastAsia="en-AU"/>
              </w:rPr>
              <w:t xml:space="preserve"> need</w:t>
            </w:r>
            <w:r>
              <w:rPr>
                <w:rFonts w:ascii="Arial" w:hAnsi="Arial" w:cs="Arial"/>
                <w:sz w:val="22"/>
                <w:lang w:val="en-US" w:eastAsia="en-AU"/>
              </w:rPr>
              <w:t>s</w:t>
            </w:r>
            <w:r w:rsidRPr="003C1DEF">
              <w:rPr>
                <w:rFonts w:ascii="Arial" w:hAnsi="Arial" w:cs="Arial"/>
                <w:sz w:val="22"/>
                <w:lang w:val="en-US" w:eastAsia="en-AU"/>
              </w:rPr>
              <w:t xml:space="preserve"> to be responsive to any research-relevant outcomes from the Royal Commission into Aged Care Quality and Safety</w:t>
            </w:r>
            <w:r>
              <w:rPr>
                <w:rFonts w:ascii="Arial" w:hAnsi="Arial" w:cs="Arial"/>
                <w:sz w:val="22"/>
                <w:lang w:val="en-US" w:eastAsia="en-AU"/>
              </w:rPr>
              <w:t xml:space="preserve"> Final Report</w:t>
            </w:r>
            <w:r w:rsidRPr="003C1DEF">
              <w:rPr>
                <w:rFonts w:ascii="Arial" w:hAnsi="Arial" w:cs="Arial"/>
                <w:sz w:val="22"/>
                <w:lang w:val="en-US" w:eastAsia="en-AU"/>
              </w:rPr>
              <w:t xml:space="preserve">, due in </w:t>
            </w:r>
            <w:r>
              <w:rPr>
                <w:rFonts w:ascii="Arial" w:hAnsi="Arial" w:cs="Arial"/>
                <w:sz w:val="22"/>
                <w:lang w:val="en-US" w:eastAsia="en-AU"/>
              </w:rPr>
              <w:t>February 2021</w:t>
            </w:r>
            <w:r w:rsidRPr="003C1DEF">
              <w:rPr>
                <w:rFonts w:ascii="Arial" w:hAnsi="Arial" w:cs="Arial"/>
                <w:sz w:val="22"/>
                <w:lang w:val="en-US" w:eastAsia="en-AU"/>
              </w:rPr>
              <w:t>.</w:t>
            </w:r>
          </w:p>
        </w:tc>
      </w:tr>
    </w:tbl>
    <w:p w:rsidR="00564BDE" w:rsidRDefault="00564BDE" w:rsidP="00564BDE">
      <w:pPr>
        <w:pStyle w:val="Heading2"/>
      </w:pPr>
      <w:r w:rsidRPr="0046236F">
        <w:lastRenderedPageBreak/>
        <w:t xml:space="preserve">Data and </w:t>
      </w:r>
      <w:r>
        <w:t>I</w:t>
      </w:r>
      <w:r w:rsidRPr="0046236F">
        <w:t>nfrastructure</w:t>
      </w:r>
    </w:p>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orities under the Strategic and international horizons platform"/>
      </w:tblPr>
      <w:tblGrid>
        <w:gridCol w:w="3021"/>
        <w:gridCol w:w="3643"/>
        <w:gridCol w:w="3331"/>
      </w:tblGrid>
      <w:tr w:rsidR="00564BDE" w:rsidRPr="00FB3C7B" w:rsidTr="00CD74AB">
        <w:trPr>
          <w:trHeight w:val="358"/>
          <w:tblHeader/>
        </w:trPr>
        <w:tc>
          <w:tcPr>
            <w:tcW w:w="1511" w:type="pct"/>
            <w:shd w:val="clear" w:color="auto" w:fill="17365D" w:themeFill="text2" w:themeFillShade="BF"/>
            <w:vAlign w:val="center"/>
          </w:tcPr>
          <w:p w:rsidR="00564BDE" w:rsidRPr="00631A27" w:rsidRDefault="00564BDE" w:rsidP="00CD74AB">
            <w:pPr>
              <w:pStyle w:val="ItemHead"/>
              <w:spacing w:before="60" w:after="60" w:line="257" w:lineRule="auto"/>
              <w:ind w:left="0" w:firstLine="0"/>
              <w:jc w:val="center"/>
              <w:rPr>
                <w:rFonts w:cs="Arial"/>
                <w:color w:val="FFFFFF" w:themeColor="background1"/>
                <w:sz w:val="22"/>
                <w:szCs w:val="22"/>
              </w:rPr>
            </w:pPr>
            <w:r w:rsidRPr="00631A27">
              <w:rPr>
                <w:rFonts w:cs="Arial"/>
                <w:color w:val="FFFFFF" w:themeColor="background1"/>
                <w:sz w:val="22"/>
                <w:szCs w:val="22"/>
              </w:rPr>
              <w:t xml:space="preserve"> Priority</w:t>
            </w:r>
          </w:p>
        </w:tc>
        <w:tc>
          <w:tcPr>
            <w:tcW w:w="1822" w:type="pct"/>
            <w:shd w:val="clear" w:color="auto" w:fill="17365D" w:themeFill="text2" w:themeFillShade="BF"/>
            <w:vAlign w:val="center"/>
          </w:tcPr>
          <w:p w:rsidR="00564BDE" w:rsidRPr="00631A27" w:rsidRDefault="00564BDE" w:rsidP="00CD74AB">
            <w:pPr>
              <w:pStyle w:val="ItemHead"/>
              <w:spacing w:before="60" w:after="60" w:line="257" w:lineRule="auto"/>
              <w:ind w:left="0" w:firstLine="0"/>
              <w:jc w:val="center"/>
              <w:rPr>
                <w:rFonts w:cs="Arial"/>
                <w:color w:val="FFFFFF" w:themeColor="background1"/>
                <w:sz w:val="22"/>
                <w:szCs w:val="22"/>
              </w:rPr>
            </w:pPr>
            <w:r w:rsidRPr="00631A27">
              <w:rPr>
                <w:rFonts w:cs="Arial"/>
                <w:color w:val="FFFFFF" w:themeColor="background1"/>
                <w:sz w:val="22"/>
                <w:szCs w:val="22"/>
              </w:rPr>
              <w:t>WHY action is needed</w:t>
            </w:r>
          </w:p>
        </w:tc>
        <w:tc>
          <w:tcPr>
            <w:tcW w:w="1666" w:type="pct"/>
            <w:shd w:val="clear" w:color="auto" w:fill="17365D" w:themeFill="text2" w:themeFillShade="BF"/>
            <w:vAlign w:val="center"/>
          </w:tcPr>
          <w:p w:rsidR="00564BDE" w:rsidRPr="00631A27" w:rsidRDefault="00564BDE" w:rsidP="00CD74AB">
            <w:pPr>
              <w:pStyle w:val="ItemHead"/>
              <w:spacing w:before="60" w:after="60" w:line="257" w:lineRule="auto"/>
              <w:ind w:left="0" w:firstLine="0"/>
              <w:jc w:val="center"/>
              <w:rPr>
                <w:rFonts w:cs="Arial"/>
                <w:color w:val="FFFFFF" w:themeColor="background1"/>
                <w:sz w:val="22"/>
                <w:szCs w:val="22"/>
              </w:rPr>
            </w:pPr>
            <w:r w:rsidRPr="00631A27">
              <w:rPr>
                <w:rFonts w:cs="Arial"/>
                <w:color w:val="FFFFFF" w:themeColor="background1"/>
                <w:sz w:val="22"/>
                <w:szCs w:val="22"/>
              </w:rPr>
              <w:t>HOW best addressed</w:t>
            </w:r>
          </w:p>
        </w:tc>
      </w:tr>
      <w:tr w:rsidR="00564BDE" w:rsidRPr="00FB3C7B" w:rsidTr="00CD74AB">
        <w:tc>
          <w:tcPr>
            <w:tcW w:w="1511" w:type="pct"/>
            <w:vAlign w:val="center"/>
          </w:tcPr>
          <w:p w:rsidR="00564BDE" w:rsidRPr="00FB3C7B" w:rsidRDefault="00564BDE" w:rsidP="00CD74AB">
            <w:pPr>
              <w:pStyle w:val="TableNText"/>
              <w:spacing w:before="120" w:after="120" w:line="252" w:lineRule="auto"/>
              <w:rPr>
                <w:rFonts w:ascii="Arial" w:hAnsi="Arial" w:cs="Arial"/>
                <w:b/>
                <w:sz w:val="22"/>
              </w:rPr>
            </w:pPr>
            <w:r w:rsidRPr="00FB3C7B">
              <w:rPr>
                <w:rFonts w:ascii="Arial" w:hAnsi="Arial" w:cs="Arial"/>
                <w:b/>
                <w:sz w:val="22"/>
              </w:rPr>
              <w:t>Digital Health Intelligence</w:t>
            </w:r>
          </w:p>
          <w:p w:rsidR="00564BDE" w:rsidRPr="00FB3C7B" w:rsidRDefault="00564BDE" w:rsidP="00CD74AB">
            <w:pPr>
              <w:spacing w:before="120" w:after="120" w:line="252" w:lineRule="auto"/>
              <w:rPr>
                <w:rFonts w:ascii="Arial" w:hAnsi="Arial" w:cs="Arial"/>
                <w:b/>
                <w:szCs w:val="22"/>
              </w:rPr>
            </w:pPr>
            <w:r w:rsidRPr="00FB3C7B">
              <w:rPr>
                <w:rFonts w:ascii="Arial" w:hAnsi="Arial" w:cs="Arial"/>
                <w:szCs w:val="22"/>
                <w:lang w:eastAsia="en-AU"/>
              </w:rPr>
              <w:t>Data science, informatics, advanced clinical decision making tools, wearables and artificial intelligence research</w:t>
            </w:r>
            <w:r>
              <w:rPr>
                <w:rFonts w:ascii="Arial" w:hAnsi="Arial" w:cs="Arial"/>
                <w:szCs w:val="22"/>
                <w:lang w:eastAsia="en-AU"/>
              </w:rPr>
              <w:t xml:space="preserve"> and other emerging innovative technologies</w:t>
            </w:r>
            <w:r w:rsidRPr="00FB3C7B">
              <w:rPr>
                <w:rFonts w:ascii="Arial" w:hAnsi="Arial" w:cs="Arial"/>
                <w:szCs w:val="22"/>
                <w:lang w:eastAsia="en-AU"/>
              </w:rPr>
              <w:t xml:space="preserve"> are the key to realising the benefits of healthcare digitalisation.</w:t>
            </w:r>
          </w:p>
        </w:tc>
        <w:tc>
          <w:tcPr>
            <w:tcW w:w="1822" w:type="pct"/>
            <w:vAlign w:val="center"/>
          </w:tcPr>
          <w:p w:rsidR="00564BDE" w:rsidRPr="00FB3C7B" w:rsidRDefault="00564BDE" w:rsidP="00CD74AB">
            <w:pPr>
              <w:spacing w:before="120" w:after="120" w:line="252" w:lineRule="auto"/>
              <w:rPr>
                <w:rFonts w:ascii="Arial" w:hAnsi="Arial" w:cs="Arial"/>
                <w:b/>
                <w:szCs w:val="22"/>
              </w:rPr>
            </w:pPr>
            <w:r w:rsidRPr="00FB3C7B">
              <w:rPr>
                <w:rFonts w:ascii="Arial" w:hAnsi="Arial" w:cs="Arial"/>
                <w:szCs w:val="22"/>
                <w:lang w:eastAsia="en-AU"/>
              </w:rPr>
              <w:t>Digital health uses information technology to support and enhance clinical safety</w:t>
            </w:r>
            <w:r>
              <w:rPr>
                <w:rFonts w:ascii="Arial" w:hAnsi="Arial" w:cs="Arial"/>
                <w:szCs w:val="22"/>
                <w:lang w:eastAsia="en-AU"/>
              </w:rPr>
              <w:t>, improve productivity and efficiency</w:t>
            </w:r>
            <w:r w:rsidRPr="00FB3C7B">
              <w:rPr>
                <w:rFonts w:ascii="Arial" w:hAnsi="Arial" w:cs="Arial"/>
                <w:szCs w:val="22"/>
                <w:lang w:eastAsia="en-AU"/>
              </w:rPr>
              <w:t xml:space="preserve"> and connect the health system. The potential for improved prevention, patient care, behavioural change and care compliance is enormous</w:t>
            </w:r>
            <w:r w:rsidRPr="001524E3">
              <w:rPr>
                <w:rFonts w:ascii="Arial" w:hAnsi="Arial" w:cs="Arial"/>
                <w:szCs w:val="22"/>
                <w:lang w:eastAsia="en-AU"/>
              </w:rPr>
              <w:t xml:space="preserve">, as articulated in Australia’s </w:t>
            </w:r>
            <w:r w:rsidRPr="001524E3">
              <w:rPr>
                <w:rFonts w:ascii="Arial" w:hAnsi="Arial" w:cs="Arial"/>
                <w:i/>
                <w:szCs w:val="22"/>
                <w:lang w:eastAsia="en-AU"/>
              </w:rPr>
              <w:t>National Digital Health Strategy</w:t>
            </w:r>
            <w:r w:rsidRPr="001524E3">
              <w:rPr>
                <w:rFonts w:ascii="Arial" w:hAnsi="Arial" w:cs="Arial"/>
                <w:szCs w:val="22"/>
                <w:lang w:eastAsia="en-AU"/>
              </w:rPr>
              <w:t>, which is agreed by all governments.</w:t>
            </w:r>
            <w:r w:rsidRPr="00FB3C7B">
              <w:rPr>
                <w:rFonts w:ascii="Arial" w:hAnsi="Arial" w:cs="Arial"/>
                <w:szCs w:val="22"/>
                <w:lang w:eastAsia="en-AU"/>
              </w:rPr>
              <w:t xml:space="preserve"> Australia is </w:t>
            </w:r>
            <w:r>
              <w:rPr>
                <w:rFonts w:ascii="Arial" w:hAnsi="Arial" w:cs="Arial"/>
                <w:szCs w:val="22"/>
                <w:lang w:eastAsia="en-AU"/>
              </w:rPr>
              <w:t xml:space="preserve">undergoing </w:t>
            </w:r>
            <w:r w:rsidRPr="00FB3C7B">
              <w:rPr>
                <w:rFonts w:ascii="Arial" w:hAnsi="Arial" w:cs="Arial"/>
                <w:szCs w:val="22"/>
                <w:lang w:eastAsia="en-AU"/>
              </w:rPr>
              <w:t>an eHealth revolution and research is critical in harnessing the potential of My Health Record</w:t>
            </w:r>
            <w:r>
              <w:rPr>
                <w:rFonts w:ascii="Arial" w:hAnsi="Arial" w:cs="Arial"/>
                <w:szCs w:val="22"/>
                <w:lang w:eastAsia="en-AU"/>
              </w:rPr>
              <w:t xml:space="preserve"> and other digital tools</w:t>
            </w:r>
            <w:r w:rsidRPr="00FB3C7B">
              <w:rPr>
                <w:rFonts w:ascii="Arial" w:hAnsi="Arial" w:cs="Arial"/>
                <w:szCs w:val="22"/>
                <w:lang w:eastAsia="en-AU"/>
              </w:rPr>
              <w:t xml:space="preserve"> to improve health outcomes.</w:t>
            </w:r>
          </w:p>
        </w:tc>
        <w:tc>
          <w:tcPr>
            <w:tcW w:w="1666" w:type="pct"/>
            <w:vAlign w:val="center"/>
          </w:tcPr>
          <w:p w:rsidR="00564BDE" w:rsidRPr="00FB3C7B" w:rsidRDefault="00564BDE" w:rsidP="00CD74AB">
            <w:pPr>
              <w:spacing w:before="120" w:after="120" w:line="252" w:lineRule="auto"/>
              <w:rPr>
                <w:rFonts w:ascii="Arial" w:hAnsi="Arial" w:cs="Arial"/>
                <w:b/>
                <w:szCs w:val="22"/>
              </w:rPr>
            </w:pPr>
            <w:r w:rsidRPr="00FB3C7B">
              <w:rPr>
                <w:rFonts w:ascii="Arial" w:hAnsi="Arial" w:cs="Arial"/>
                <w:szCs w:val="22"/>
                <w:lang w:eastAsia="en-AU"/>
              </w:rPr>
              <w:t xml:space="preserve">Work with the Australian Digital Health </w:t>
            </w:r>
            <w:r>
              <w:rPr>
                <w:rFonts w:ascii="Arial" w:hAnsi="Arial" w:cs="Arial"/>
                <w:szCs w:val="22"/>
                <w:lang w:eastAsia="en-AU"/>
              </w:rPr>
              <w:t>Agency, states and territories and key industry players to define and then</w:t>
            </w:r>
            <w:r w:rsidRPr="00FB3C7B">
              <w:rPr>
                <w:rFonts w:ascii="Arial" w:hAnsi="Arial" w:cs="Arial"/>
                <w:szCs w:val="22"/>
                <w:lang w:eastAsia="en-AU"/>
              </w:rPr>
              <w:t xml:space="preserve"> conduct a series of thematic research grant opportunities that advance data</w:t>
            </w:r>
            <w:r>
              <w:rPr>
                <w:rFonts w:ascii="Arial" w:hAnsi="Arial" w:cs="Arial"/>
                <w:szCs w:val="22"/>
                <w:lang w:eastAsia="en-AU"/>
              </w:rPr>
              <w:t xml:space="preserve"> platforms, </w:t>
            </w:r>
            <w:r w:rsidRPr="00FB3C7B">
              <w:rPr>
                <w:rFonts w:ascii="Arial" w:hAnsi="Arial" w:cs="Arial"/>
                <w:szCs w:val="22"/>
                <w:lang w:eastAsia="en-AU"/>
              </w:rPr>
              <w:t>linkage and analytics</w:t>
            </w:r>
            <w:r>
              <w:rPr>
                <w:rFonts w:ascii="Arial" w:hAnsi="Arial" w:cs="Arial"/>
                <w:szCs w:val="22"/>
                <w:lang w:eastAsia="en-AU"/>
              </w:rPr>
              <w:t>;</w:t>
            </w:r>
            <w:r w:rsidRPr="00FB3C7B">
              <w:rPr>
                <w:rFonts w:ascii="Arial" w:hAnsi="Arial" w:cs="Arial"/>
                <w:szCs w:val="22"/>
                <w:lang w:eastAsia="en-AU"/>
              </w:rPr>
              <w:t xml:space="preserve"> end-user digital utility</w:t>
            </w:r>
            <w:r>
              <w:rPr>
                <w:rFonts w:ascii="Arial" w:hAnsi="Arial" w:cs="Arial"/>
                <w:szCs w:val="22"/>
                <w:lang w:eastAsia="en-AU"/>
              </w:rPr>
              <w:t>;</w:t>
            </w:r>
            <w:r w:rsidRPr="00FB3C7B">
              <w:rPr>
                <w:rFonts w:ascii="Arial" w:hAnsi="Arial" w:cs="Arial"/>
                <w:szCs w:val="22"/>
                <w:lang w:eastAsia="en-AU"/>
              </w:rPr>
              <w:t xml:space="preserve"> the development of novel decision tools</w:t>
            </w:r>
            <w:r>
              <w:rPr>
                <w:rFonts w:ascii="Arial" w:hAnsi="Arial" w:cs="Arial"/>
                <w:szCs w:val="22"/>
                <w:lang w:eastAsia="en-AU"/>
              </w:rPr>
              <w:t>;</w:t>
            </w:r>
            <w:r w:rsidRPr="00FB3C7B">
              <w:rPr>
                <w:rFonts w:ascii="Arial" w:hAnsi="Arial" w:cs="Arial"/>
                <w:szCs w:val="22"/>
                <w:lang w:eastAsia="en-AU"/>
              </w:rPr>
              <w:t xml:space="preserve"> and applied artificial intelligence.</w:t>
            </w:r>
            <w:r>
              <w:rPr>
                <w:rFonts w:ascii="Arial" w:hAnsi="Arial" w:cs="Arial"/>
                <w:szCs w:val="22"/>
                <w:lang w:eastAsia="en-AU"/>
              </w:rPr>
              <w:t xml:space="preserve"> </w:t>
            </w:r>
            <w:r w:rsidRPr="00596217">
              <w:rPr>
                <w:rFonts w:ascii="Arial" w:hAnsi="Arial" w:cs="Arial"/>
                <w:szCs w:val="22"/>
                <w:lang w:eastAsia="en-AU"/>
              </w:rPr>
              <w:t xml:space="preserve">Opportunity to align with the emerging </w:t>
            </w:r>
            <w:r w:rsidRPr="00596217">
              <w:rPr>
                <w:rFonts w:ascii="Arial" w:hAnsi="Arial" w:cs="Arial"/>
                <w:i/>
                <w:szCs w:val="22"/>
                <w:lang w:eastAsia="en-AU"/>
              </w:rPr>
              <w:t>National Framework for Clinical Quality Registries</w:t>
            </w:r>
            <w:r w:rsidRPr="00596217">
              <w:rPr>
                <w:rFonts w:ascii="Arial" w:hAnsi="Arial" w:cs="Arial"/>
                <w:szCs w:val="22"/>
                <w:lang w:eastAsia="en-AU"/>
              </w:rPr>
              <w:t xml:space="preserve"> should be </w:t>
            </w:r>
            <w:r>
              <w:rPr>
                <w:rFonts w:ascii="Arial" w:hAnsi="Arial" w:cs="Arial"/>
                <w:szCs w:val="22"/>
                <w:lang w:eastAsia="en-AU"/>
              </w:rPr>
              <w:t>further explored</w:t>
            </w:r>
            <w:r w:rsidRPr="00596217">
              <w:rPr>
                <w:rFonts w:ascii="Arial" w:hAnsi="Arial" w:cs="Arial"/>
                <w:szCs w:val="22"/>
                <w:lang w:eastAsia="en-AU"/>
              </w:rPr>
              <w:t>.</w:t>
            </w:r>
          </w:p>
        </w:tc>
      </w:tr>
    </w:tbl>
    <w:p w:rsidR="00564BDE" w:rsidRDefault="00564BDE" w:rsidP="00564BDE">
      <w:pPr>
        <w:spacing w:line="240" w:lineRule="auto"/>
        <w:rPr>
          <w:rFonts w:ascii="Arial" w:eastAsiaTheme="majorEastAsia" w:hAnsi="Arial" w:cstheme="majorBidi"/>
          <w:b/>
          <w:bCs/>
          <w:color w:val="244061" w:themeColor="accent1" w:themeShade="80"/>
          <w:sz w:val="24"/>
          <w:szCs w:val="24"/>
        </w:rPr>
      </w:pPr>
    </w:p>
    <w:p w:rsidR="00564BDE" w:rsidRDefault="00564BDE" w:rsidP="00564BDE">
      <w:pPr>
        <w:pStyle w:val="Heading2"/>
      </w:pPr>
      <w:r w:rsidRPr="0046236F">
        <w:t xml:space="preserve">Health </w:t>
      </w:r>
      <w:r>
        <w:t>S</w:t>
      </w:r>
      <w:r w:rsidRPr="0046236F">
        <w:t xml:space="preserve">ervices and </w:t>
      </w:r>
      <w:r>
        <w:t>S</w:t>
      </w:r>
      <w:r w:rsidRPr="0046236F">
        <w:t>ystems</w:t>
      </w:r>
    </w:p>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orities under the Strategic and international horizons platform"/>
      </w:tblPr>
      <w:tblGrid>
        <w:gridCol w:w="3021"/>
        <w:gridCol w:w="3643"/>
        <w:gridCol w:w="3331"/>
      </w:tblGrid>
      <w:tr w:rsidR="00564BDE" w:rsidRPr="00FB3C7B" w:rsidTr="00CD74AB">
        <w:trPr>
          <w:trHeight w:val="358"/>
          <w:tblHeader/>
        </w:trPr>
        <w:tc>
          <w:tcPr>
            <w:tcW w:w="1511" w:type="pct"/>
            <w:shd w:val="clear" w:color="auto" w:fill="17365D" w:themeFill="text2" w:themeFillShade="BF"/>
            <w:vAlign w:val="center"/>
          </w:tcPr>
          <w:p w:rsidR="00564BDE" w:rsidRPr="00FA3715" w:rsidRDefault="00564BDE" w:rsidP="00CD74AB">
            <w:pPr>
              <w:pStyle w:val="ItemHead"/>
              <w:spacing w:before="60" w:after="60" w:line="257" w:lineRule="auto"/>
              <w:ind w:left="0" w:firstLine="0"/>
              <w:jc w:val="center"/>
              <w:rPr>
                <w:rFonts w:cs="Arial"/>
                <w:color w:val="FFFFFF" w:themeColor="background1"/>
                <w:sz w:val="22"/>
                <w:szCs w:val="22"/>
              </w:rPr>
            </w:pPr>
            <w:r w:rsidRPr="00FA3715">
              <w:rPr>
                <w:rFonts w:cs="Arial"/>
                <w:color w:val="FFFFFF" w:themeColor="background1"/>
                <w:sz w:val="22"/>
                <w:szCs w:val="22"/>
              </w:rPr>
              <w:t>Priority</w:t>
            </w:r>
          </w:p>
        </w:tc>
        <w:tc>
          <w:tcPr>
            <w:tcW w:w="1822" w:type="pct"/>
            <w:shd w:val="clear" w:color="auto" w:fill="17365D" w:themeFill="text2" w:themeFillShade="BF"/>
            <w:vAlign w:val="center"/>
          </w:tcPr>
          <w:p w:rsidR="00564BDE" w:rsidRPr="00FA3715" w:rsidRDefault="00564BDE" w:rsidP="00CD74AB">
            <w:pPr>
              <w:pStyle w:val="ItemHead"/>
              <w:spacing w:before="60" w:after="60" w:line="257" w:lineRule="auto"/>
              <w:ind w:left="0" w:firstLine="0"/>
              <w:jc w:val="center"/>
              <w:rPr>
                <w:rFonts w:cs="Arial"/>
                <w:color w:val="FFFFFF" w:themeColor="background1"/>
                <w:sz w:val="22"/>
                <w:szCs w:val="22"/>
              </w:rPr>
            </w:pPr>
            <w:r w:rsidRPr="00FA3715">
              <w:rPr>
                <w:rFonts w:cs="Arial"/>
                <w:color w:val="FFFFFF" w:themeColor="background1"/>
                <w:sz w:val="22"/>
                <w:szCs w:val="22"/>
              </w:rPr>
              <w:t>WHY action is needed</w:t>
            </w:r>
          </w:p>
        </w:tc>
        <w:tc>
          <w:tcPr>
            <w:tcW w:w="1666" w:type="pct"/>
            <w:shd w:val="clear" w:color="auto" w:fill="17365D" w:themeFill="text2" w:themeFillShade="BF"/>
            <w:vAlign w:val="center"/>
          </w:tcPr>
          <w:p w:rsidR="00564BDE" w:rsidRPr="00FA3715" w:rsidRDefault="00564BDE" w:rsidP="00CD74AB">
            <w:pPr>
              <w:pStyle w:val="ItemHead"/>
              <w:spacing w:before="60" w:after="60" w:line="257" w:lineRule="auto"/>
              <w:ind w:left="0" w:firstLine="0"/>
              <w:jc w:val="center"/>
              <w:rPr>
                <w:rFonts w:cs="Arial"/>
                <w:color w:val="FFFFFF" w:themeColor="background1"/>
                <w:sz w:val="22"/>
                <w:szCs w:val="22"/>
              </w:rPr>
            </w:pPr>
            <w:r w:rsidRPr="00FA3715">
              <w:rPr>
                <w:rFonts w:cs="Arial"/>
                <w:color w:val="FFFFFF" w:themeColor="background1"/>
                <w:sz w:val="22"/>
                <w:szCs w:val="22"/>
              </w:rPr>
              <w:t>HOW best addressed</w:t>
            </w:r>
          </w:p>
        </w:tc>
      </w:tr>
      <w:tr w:rsidR="00564BDE" w:rsidRPr="00FB3C7B" w:rsidTr="00CD74AB">
        <w:tc>
          <w:tcPr>
            <w:tcW w:w="1511" w:type="pct"/>
            <w:vAlign w:val="center"/>
          </w:tcPr>
          <w:p w:rsidR="00564BDE" w:rsidRPr="001524E3" w:rsidRDefault="00564BDE" w:rsidP="00CD74AB">
            <w:pPr>
              <w:pStyle w:val="TableNText"/>
              <w:spacing w:before="120" w:after="120" w:line="252" w:lineRule="auto"/>
              <w:rPr>
                <w:rFonts w:ascii="Arial" w:hAnsi="Arial" w:cs="Arial"/>
                <w:b/>
                <w:sz w:val="22"/>
              </w:rPr>
            </w:pPr>
            <w:r w:rsidRPr="001524E3">
              <w:rPr>
                <w:rFonts w:ascii="Arial" w:hAnsi="Arial" w:cs="Arial"/>
                <w:b/>
                <w:sz w:val="22"/>
              </w:rPr>
              <w:t>Comparative Effectiveness Research</w:t>
            </w:r>
          </w:p>
          <w:p w:rsidR="00564BDE" w:rsidRPr="001524E3" w:rsidRDefault="00564BDE" w:rsidP="00CD74AB">
            <w:pPr>
              <w:spacing w:before="120" w:after="120" w:line="252" w:lineRule="auto"/>
              <w:rPr>
                <w:rFonts w:ascii="Arial" w:hAnsi="Arial" w:cs="Arial"/>
                <w:b/>
                <w:szCs w:val="22"/>
              </w:rPr>
            </w:pPr>
            <w:r w:rsidRPr="001524E3">
              <w:rPr>
                <w:rFonts w:ascii="Arial" w:hAnsi="Arial" w:cs="Arial"/>
                <w:szCs w:val="22"/>
              </w:rPr>
              <w:t xml:space="preserve">Support systematic evaluation and demonstration of the comparative value of health interventions to better inform the decisions </w:t>
            </w:r>
            <w:r>
              <w:rPr>
                <w:rFonts w:ascii="Arial" w:hAnsi="Arial" w:cs="Arial"/>
                <w:szCs w:val="22"/>
              </w:rPr>
              <w:t xml:space="preserve">policy makers, </w:t>
            </w:r>
            <w:r w:rsidRPr="001524E3">
              <w:rPr>
                <w:rFonts w:ascii="Arial" w:hAnsi="Arial" w:cs="Arial"/>
                <w:szCs w:val="22"/>
              </w:rPr>
              <w:t>clinicians and consumers make in healthcare.</w:t>
            </w:r>
          </w:p>
        </w:tc>
        <w:tc>
          <w:tcPr>
            <w:tcW w:w="1822" w:type="pct"/>
            <w:vAlign w:val="center"/>
          </w:tcPr>
          <w:p w:rsidR="00564BDE" w:rsidRPr="001524E3" w:rsidRDefault="00564BDE" w:rsidP="00CD74AB">
            <w:pPr>
              <w:spacing w:before="120" w:after="120" w:line="252" w:lineRule="auto"/>
              <w:rPr>
                <w:rFonts w:ascii="Arial" w:hAnsi="Arial" w:cs="Arial"/>
                <w:b/>
                <w:szCs w:val="22"/>
              </w:rPr>
            </w:pPr>
            <w:r w:rsidRPr="001524E3">
              <w:rPr>
                <w:rFonts w:ascii="Arial" w:hAnsi="Arial" w:cs="Arial"/>
                <w:szCs w:val="22"/>
              </w:rPr>
              <w:t xml:space="preserve">Healthcare is about choices – this treatment </w:t>
            </w:r>
            <w:r>
              <w:rPr>
                <w:rFonts w:ascii="Arial" w:hAnsi="Arial" w:cs="Arial"/>
                <w:szCs w:val="22"/>
              </w:rPr>
              <w:t xml:space="preserve">or policy </w:t>
            </w:r>
            <w:r w:rsidRPr="001524E3">
              <w:rPr>
                <w:rFonts w:ascii="Arial" w:hAnsi="Arial" w:cs="Arial"/>
                <w:szCs w:val="22"/>
              </w:rPr>
              <w:t>over that, essentially ‘what works best’. Knowledge of the benefits and harms of alternative means to prevent, diagnose, treat, and to monitor care, can transform health outcomes. It is important to close the gap between efficacy and effectiveness. Evidence generated by comparative effectiveness research improves treatment and informs decision making about investment and divestment.</w:t>
            </w:r>
          </w:p>
        </w:tc>
        <w:tc>
          <w:tcPr>
            <w:tcW w:w="1666" w:type="pct"/>
            <w:shd w:val="clear" w:color="auto" w:fill="auto"/>
            <w:vAlign w:val="center"/>
          </w:tcPr>
          <w:p w:rsidR="00564BDE" w:rsidRPr="001524E3" w:rsidRDefault="00564BDE" w:rsidP="00CD74AB">
            <w:pPr>
              <w:pStyle w:val="TableNText"/>
              <w:spacing w:before="120" w:after="120" w:line="252" w:lineRule="auto"/>
            </w:pPr>
            <w:r w:rsidRPr="001524E3">
              <w:rPr>
                <w:rFonts w:ascii="Arial" w:hAnsi="Arial" w:cs="Arial"/>
                <w:sz w:val="22"/>
                <w:lang w:val="en-US" w:eastAsia="en-AU"/>
              </w:rPr>
              <w:t>Develop a program to drive prioritised targeted grant opportunities to conduct research that engages patient populations that are typical in primary and acute care settings in randomised control trials; data, observational, service model and behavioural economic studies; and decision analysis research</w:t>
            </w:r>
            <w:r>
              <w:rPr>
                <w:rFonts w:ascii="Arial" w:hAnsi="Arial" w:cs="Arial"/>
                <w:sz w:val="22"/>
                <w:lang w:val="en-US" w:eastAsia="en-AU"/>
              </w:rPr>
              <w:t xml:space="preserve"> including patient benefit or cost effectiveness</w:t>
            </w:r>
            <w:r w:rsidRPr="001524E3">
              <w:rPr>
                <w:rFonts w:ascii="Arial" w:hAnsi="Arial" w:cs="Arial"/>
                <w:sz w:val="22"/>
                <w:lang w:val="en-US" w:eastAsia="en-AU"/>
              </w:rPr>
              <w:t>. Priorities need to be driven by clinicians, consumers and policy makers.</w:t>
            </w:r>
          </w:p>
        </w:tc>
      </w:tr>
      <w:tr w:rsidR="00564BDE" w:rsidRPr="00FB3C7B" w:rsidTr="00CD74AB">
        <w:tc>
          <w:tcPr>
            <w:tcW w:w="1511" w:type="pct"/>
            <w:vAlign w:val="center"/>
          </w:tcPr>
          <w:p w:rsidR="00564BDE" w:rsidRPr="00FB3C7B" w:rsidRDefault="00564BDE" w:rsidP="00CD74AB">
            <w:pPr>
              <w:pStyle w:val="TableNText"/>
              <w:spacing w:before="120" w:after="120" w:line="252" w:lineRule="auto"/>
              <w:rPr>
                <w:rFonts w:ascii="Arial" w:hAnsi="Arial" w:cs="Arial"/>
                <w:b/>
                <w:sz w:val="22"/>
                <w:lang w:val="en-US"/>
              </w:rPr>
            </w:pPr>
            <w:r w:rsidRPr="00FB3C7B">
              <w:rPr>
                <w:rFonts w:ascii="Arial" w:hAnsi="Arial" w:cs="Arial"/>
                <w:b/>
                <w:sz w:val="22"/>
                <w:lang w:val="en-US"/>
              </w:rPr>
              <w:t>Primary Care Research</w:t>
            </w:r>
          </w:p>
          <w:p w:rsidR="00564BDE" w:rsidRPr="00FB3C7B" w:rsidRDefault="00564BDE" w:rsidP="00CD74AB">
            <w:pPr>
              <w:spacing w:before="120" w:after="120" w:line="252" w:lineRule="auto"/>
              <w:rPr>
                <w:rFonts w:ascii="Arial" w:hAnsi="Arial" w:cs="Arial"/>
                <w:b/>
                <w:szCs w:val="22"/>
              </w:rPr>
            </w:pPr>
            <w:r w:rsidRPr="00FB3C7B">
              <w:rPr>
                <w:rFonts w:ascii="Arial" w:hAnsi="Arial" w:cs="Arial"/>
                <w:szCs w:val="22"/>
                <w:lang w:val="en-US"/>
              </w:rPr>
              <w:t>Address the capacity and production gap in primary care research with an emphasis on multi-disciplinary, adaptive research methodologies</w:t>
            </w:r>
            <w:r>
              <w:rPr>
                <w:rFonts w:ascii="Arial" w:hAnsi="Arial" w:cs="Arial"/>
                <w:szCs w:val="22"/>
                <w:lang w:val="en-US"/>
              </w:rPr>
              <w:t>, innovative models of care</w:t>
            </w:r>
            <w:r w:rsidRPr="00FB3C7B">
              <w:rPr>
                <w:rFonts w:ascii="Arial" w:hAnsi="Arial" w:cs="Arial"/>
                <w:szCs w:val="22"/>
                <w:lang w:val="en-US"/>
              </w:rPr>
              <w:t xml:space="preserve"> and clinician capability support.</w:t>
            </w:r>
          </w:p>
        </w:tc>
        <w:tc>
          <w:tcPr>
            <w:tcW w:w="1822" w:type="pct"/>
            <w:vAlign w:val="center"/>
          </w:tcPr>
          <w:p w:rsidR="00564BDE" w:rsidRPr="001524E3" w:rsidRDefault="00564BDE" w:rsidP="00CD74AB">
            <w:pPr>
              <w:pStyle w:val="TableNText"/>
              <w:spacing w:before="120" w:after="120" w:line="252" w:lineRule="auto"/>
              <w:rPr>
                <w:rFonts w:ascii="Arial" w:hAnsi="Arial" w:cs="Arial"/>
                <w:sz w:val="22"/>
                <w:lang w:val="en-US"/>
              </w:rPr>
            </w:pPr>
            <w:r w:rsidRPr="001524E3">
              <w:rPr>
                <w:rFonts w:ascii="Arial" w:hAnsi="Arial" w:cs="Arial"/>
                <w:sz w:val="22"/>
                <w:lang w:val="en-US" w:eastAsia="en-AU"/>
              </w:rPr>
              <w:t xml:space="preserve">While most healthcare occurs in the community, most research occurs in tertiary or specialist settings. In primary care patients typically present early with undifferentiated disease and multiple co-morbidities. The increasing complexity of care environments make practitioner and care team decisions increasingly difficult. The business reality of general and allied health </w:t>
            </w:r>
            <w:r w:rsidRPr="001524E3">
              <w:rPr>
                <w:rFonts w:ascii="Arial" w:hAnsi="Arial" w:cs="Arial"/>
                <w:sz w:val="22"/>
                <w:lang w:val="en-US" w:eastAsia="en-AU"/>
              </w:rPr>
              <w:lastRenderedPageBreak/>
              <w:t>practice also leaves little time for research translation. The growth in chronic and complex diseases, particularly in cohorts with low socioeconomic status, calls for a more concerted effort in primary care research that is geographically relevant and</w:t>
            </w:r>
            <w:r>
              <w:rPr>
                <w:rFonts w:ascii="Arial" w:hAnsi="Arial" w:cs="Arial"/>
                <w:sz w:val="22"/>
                <w:lang w:val="en-US" w:eastAsia="en-AU"/>
              </w:rPr>
              <w:t>,</w:t>
            </w:r>
            <w:r w:rsidRPr="001524E3">
              <w:rPr>
                <w:rFonts w:ascii="Arial" w:hAnsi="Arial" w:cs="Arial"/>
                <w:sz w:val="22"/>
                <w:lang w:val="en-US" w:eastAsia="en-AU"/>
              </w:rPr>
              <w:t xml:space="preserve"> where possible</w:t>
            </w:r>
            <w:r>
              <w:rPr>
                <w:rFonts w:ascii="Arial" w:hAnsi="Arial" w:cs="Arial"/>
                <w:sz w:val="22"/>
                <w:lang w:val="en-US" w:eastAsia="en-AU"/>
              </w:rPr>
              <w:t>,</w:t>
            </w:r>
            <w:r w:rsidRPr="001524E3">
              <w:rPr>
                <w:rFonts w:ascii="Arial" w:hAnsi="Arial" w:cs="Arial"/>
                <w:sz w:val="22"/>
                <w:lang w:val="en-US" w:eastAsia="en-AU"/>
              </w:rPr>
              <w:t xml:space="preserve"> scalable nationally to maximise impact. </w:t>
            </w:r>
          </w:p>
        </w:tc>
        <w:tc>
          <w:tcPr>
            <w:tcW w:w="1666" w:type="pct"/>
            <w:vAlign w:val="center"/>
          </w:tcPr>
          <w:p w:rsidR="00564BDE" w:rsidRPr="001524E3" w:rsidRDefault="00564BDE" w:rsidP="00CD74AB">
            <w:pPr>
              <w:pStyle w:val="TableNText"/>
              <w:spacing w:before="120" w:after="120" w:line="252" w:lineRule="auto"/>
              <w:rPr>
                <w:rFonts w:ascii="Arial" w:hAnsi="Arial" w:cs="Arial"/>
                <w:b/>
                <w:sz w:val="22"/>
              </w:rPr>
            </w:pPr>
            <w:r>
              <w:rPr>
                <w:rFonts w:ascii="Arial" w:hAnsi="Arial" w:cs="Arial"/>
                <w:sz w:val="22"/>
                <w:lang w:eastAsia="en-AU"/>
              </w:rPr>
              <w:lastRenderedPageBreak/>
              <w:t xml:space="preserve">Advance primary health care research including Indigenous primary health care, through mechanisms including Practice-Based Research Networks , </w:t>
            </w:r>
            <w:r w:rsidRPr="001524E3">
              <w:rPr>
                <w:rFonts w:ascii="Arial" w:hAnsi="Arial" w:cs="Arial"/>
                <w:sz w:val="22"/>
                <w:lang w:eastAsia="en-AU"/>
              </w:rPr>
              <w:t xml:space="preserve">Advanced Health Research and Translation Centres </w:t>
            </w:r>
            <w:r>
              <w:rPr>
                <w:rFonts w:ascii="Arial" w:hAnsi="Arial" w:cs="Arial"/>
                <w:sz w:val="22"/>
                <w:lang w:eastAsia="en-AU"/>
              </w:rPr>
              <w:t>,</w:t>
            </w:r>
            <w:r w:rsidRPr="001524E3">
              <w:rPr>
                <w:rFonts w:ascii="Arial" w:hAnsi="Arial" w:cs="Arial"/>
                <w:sz w:val="22"/>
                <w:lang w:eastAsia="en-AU"/>
              </w:rPr>
              <w:t xml:space="preserve"> Centres for Innovation in Regional Health , and the Australian Clinical Trials Alliance</w:t>
            </w:r>
            <w:r>
              <w:rPr>
                <w:rFonts w:ascii="Arial" w:hAnsi="Arial" w:cs="Arial"/>
                <w:sz w:val="22"/>
                <w:lang w:eastAsia="en-AU"/>
              </w:rPr>
              <w:t xml:space="preserve"> </w:t>
            </w:r>
            <w:r w:rsidRPr="001524E3">
              <w:rPr>
                <w:rFonts w:ascii="Arial" w:hAnsi="Arial" w:cs="Arial"/>
                <w:sz w:val="22"/>
                <w:lang w:eastAsia="en-AU"/>
              </w:rPr>
              <w:t>to conduct prioritis</w:t>
            </w:r>
            <w:r>
              <w:rPr>
                <w:rFonts w:ascii="Arial" w:hAnsi="Arial" w:cs="Arial"/>
                <w:sz w:val="22"/>
                <w:lang w:eastAsia="en-AU"/>
              </w:rPr>
              <w:t>ed primary care research that is</w:t>
            </w:r>
            <w:r w:rsidRPr="001524E3">
              <w:rPr>
                <w:rFonts w:ascii="Arial" w:hAnsi="Arial" w:cs="Arial"/>
                <w:sz w:val="22"/>
                <w:lang w:eastAsia="en-AU"/>
              </w:rPr>
              <w:t xml:space="preserve"> led by </w:t>
            </w:r>
            <w:r w:rsidRPr="001524E3">
              <w:rPr>
                <w:rFonts w:ascii="Arial" w:hAnsi="Arial" w:cs="Arial"/>
                <w:sz w:val="22"/>
                <w:lang w:eastAsia="en-AU"/>
              </w:rPr>
              <w:lastRenderedPageBreak/>
              <w:t>clinicians, can permeate daily practice and has potential for scalability.</w:t>
            </w:r>
            <w:r>
              <w:rPr>
                <w:rFonts w:ascii="Arial" w:hAnsi="Arial" w:cs="Arial"/>
                <w:sz w:val="22"/>
                <w:lang w:eastAsia="en-AU"/>
              </w:rPr>
              <w:t xml:space="preserve"> </w:t>
            </w:r>
          </w:p>
        </w:tc>
      </w:tr>
    </w:tbl>
    <w:p w:rsidR="00564BDE" w:rsidRDefault="00564BDE" w:rsidP="00564BDE">
      <w:pPr>
        <w:spacing w:line="240" w:lineRule="auto"/>
        <w:rPr>
          <w:rFonts w:ascii="Arial" w:eastAsiaTheme="majorEastAsia" w:hAnsi="Arial" w:cstheme="majorBidi"/>
          <w:b/>
          <w:bCs/>
          <w:color w:val="244061" w:themeColor="accent1" w:themeShade="80"/>
          <w:sz w:val="24"/>
          <w:szCs w:val="24"/>
        </w:rPr>
      </w:pPr>
      <w:r>
        <w:lastRenderedPageBreak/>
        <w:br w:type="page"/>
      </w:r>
    </w:p>
    <w:p w:rsidR="00564BDE" w:rsidRDefault="00564BDE" w:rsidP="00564BDE">
      <w:pPr>
        <w:pStyle w:val="Heading2"/>
      </w:pPr>
      <w:r w:rsidRPr="0046236F">
        <w:lastRenderedPageBreak/>
        <w:t xml:space="preserve">Capacity and </w:t>
      </w:r>
      <w:r>
        <w:t>C</w:t>
      </w:r>
      <w:r w:rsidRPr="0046236F">
        <w:t>ollaboration</w:t>
      </w:r>
    </w:p>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orities under the Strategic and international horizons platform"/>
      </w:tblPr>
      <w:tblGrid>
        <w:gridCol w:w="3021"/>
        <w:gridCol w:w="3643"/>
        <w:gridCol w:w="3331"/>
      </w:tblGrid>
      <w:tr w:rsidR="00564BDE" w:rsidRPr="00BC484F" w:rsidTr="00CD74AB">
        <w:trPr>
          <w:trHeight w:val="358"/>
          <w:tblHeader/>
        </w:trPr>
        <w:tc>
          <w:tcPr>
            <w:tcW w:w="1511" w:type="pct"/>
            <w:shd w:val="clear" w:color="auto" w:fill="17365D" w:themeFill="text2" w:themeFillShade="BF"/>
            <w:vAlign w:val="center"/>
          </w:tcPr>
          <w:p w:rsidR="00564BDE" w:rsidRPr="00DB5794" w:rsidRDefault="00564BDE" w:rsidP="00CD74AB">
            <w:pPr>
              <w:pStyle w:val="ItemHead"/>
              <w:spacing w:before="60" w:after="60" w:line="257" w:lineRule="auto"/>
              <w:ind w:left="0" w:firstLine="0"/>
              <w:jc w:val="center"/>
              <w:rPr>
                <w:rFonts w:cs="Arial"/>
                <w:color w:val="FFFFFF" w:themeColor="background1"/>
                <w:sz w:val="22"/>
                <w:szCs w:val="22"/>
              </w:rPr>
            </w:pPr>
            <w:r w:rsidRPr="00DB5794">
              <w:rPr>
                <w:rFonts w:cs="Arial"/>
                <w:color w:val="FFFFFF" w:themeColor="background1"/>
                <w:sz w:val="22"/>
                <w:szCs w:val="22"/>
              </w:rPr>
              <w:t>Priority</w:t>
            </w:r>
          </w:p>
        </w:tc>
        <w:tc>
          <w:tcPr>
            <w:tcW w:w="1822" w:type="pct"/>
            <w:shd w:val="clear" w:color="auto" w:fill="17365D" w:themeFill="text2" w:themeFillShade="BF"/>
            <w:vAlign w:val="center"/>
          </w:tcPr>
          <w:p w:rsidR="00564BDE" w:rsidRPr="00DB5794" w:rsidRDefault="00564BDE" w:rsidP="00CD74AB">
            <w:pPr>
              <w:pStyle w:val="ItemHead"/>
              <w:spacing w:before="60" w:after="60" w:line="257" w:lineRule="auto"/>
              <w:ind w:left="0" w:firstLine="0"/>
              <w:jc w:val="center"/>
              <w:rPr>
                <w:rFonts w:cs="Arial"/>
                <w:color w:val="FFFFFF" w:themeColor="background1"/>
                <w:sz w:val="22"/>
                <w:szCs w:val="22"/>
              </w:rPr>
            </w:pPr>
            <w:r w:rsidRPr="00DB5794">
              <w:rPr>
                <w:rFonts w:cs="Arial"/>
                <w:color w:val="FFFFFF" w:themeColor="background1"/>
                <w:sz w:val="22"/>
                <w:szCs w:val="22"/>
              </w:rPr>
              <w:t>WHY action is needed</w:t>
            </w:r>
          </w:p>
        </w:tc>
        <w:tc>
          <w:tcPr>
            <w:tcW w:w="1666" w:type="pct"/>
            <w:shd w:val="clear" w:color="auto" w:fill="17365D" w:themeFill="text2" w:themeFillShade="BF"/>
            <w:vAlign w:val="center"/>
          </w:tcPr>
          <w:p w:rsidR="00564BDE" w:rsidRPr="00DB5794" w:rsidRDefault="00564BDE" w:rsidP="00CD74AB">
            <w:pPr>
              <w:pStyle w:val="ItemHead"/>
              <w:spacing w:before="60" w:after="60" w:line="257" w:lineRule="auto"/>
              <w:ind w:left="0" w:firstLine="0"/>
              <w:jc w:val="center"/>
              <w:rPr>
                <w:rFonts w:cs="Arial"/>
                <w:color w:val="FFFFFF" w:themeColor="background1"/>
                <w:sz w:val="22"/>
                <w:szCs w:val="22"/>
              </w:rPr>
            </w:pPr>
            <w:r w:rsidRPr="00DB5794">
              <w:rPr>
                <w:rFonts w:cs="Arial"/>
                <w:color w:val="FFFFFF" w:themeColor="background1"/>
                <w:sz w:val="22"/>
                <w:szCs w:val="22"/>
              </w:rPr>
              <w:t>HOW best addressed</w:t>
            </w:r>
          </w:p>
        </w:tc>
      </w:tr>
      <w:tr w:rsidR="00564BDE" w:rsidRPr="00BC484F" w:rsidTr="00CD74AB">
        <w:tc>
          <w:tcPr>
            <w:tcW w:w="1511" w:type="pct"/>
            <w:vAlign w:val="center"/>
          </w:tcPr>
          <w:p w:rsidR="00564BDE" w:rsidRPr="00BC484F" w:rsidRDefault="00564BDE" w:rsidP="00CD74AB">
            <w:pPr>
              <w:pStyle w:val="TableNText"/>
              <w:spacing w:before="120" w:after="120" w:line="252" w:lineRule="auto"/>
              <w:rPr>
                <w:rFonts w:ascii="Arial" w:hAnsi="Arial" w:cs="Arial"/>
                <w:b/>
                <w:sz w:val="22"/>
              </w:rPr>
            </w:pPr>
            <w:r w:rsidRPr="00BC484F">
              <w:rPr>
                <w:rFonts w:ascii="Arial" w:hAnsi="Arial" w:cs="Arial"/>
                <w:b/>
                <w:sz w:val="22"/>
              </w:rPr>
              <w:t>Clinical Researcher Capacity</w:t>
            </w:r>
          </w:p>
          <w:p w:rsidR="00564BDE" w:rsidRPr="00BC484F" w:rsidRDefault="00564BDE" w:rsidP="00CD74AB">
            <w:pPr>
              <w:spacing w:before="120" w:after="120" w:line="252" w:lineRule="auto"/>
              <w:rPr>
                <w:rFonts w:ascii="Arial" w:hAnsi="Arial" w:cs="Arial"/>
                <w:b/>
                <w:szCs w:val="22"/>
              </w:rPr>
            </w:pPr>
            <w:r w:rsidRPr="00BC484F">
              <w:rPr>
                <w:rFonts w:ascii="Arial" w:hAnsi="Arial" w:cs="Arial"/>
                <w:szCs w:val="22"/>
              </w:rPr>
              <w:t xml:space="preserve">Continue to </w:t>
            </w:r>
            <w:r>
              <w:rPr>
                <w:rFonts w:ascii="Arial" w:hAnsi="Arial" w:cs="Arial"/>
                <w:szCs w:val="22"/>
              </w:rPr>
              <w:t xml:space="preserve">support and </w:t>
            </w:r>
            <w:r w:rsidRPr="00BC484F">
              <w:rPr>
                <w:rFonts w:ascii="Arial" w:hAnsi="Arial" w:cs="Arial"/>
                <w:szCs w:val="22"/>
              </w:rPr>
              <w:t>enhance Australian clinical researcher capacity with a focus on next generation fellowships that target multidisciplinary engagement</w:t>
            </w:r>
            <w:r>
              <w:rPr>
                <w:rFonts w:ascii="Arial" w:hAnsi="Arial" w:cs="Arial"/>
                <w:szCs w:val="22"/>
              </w:rPr>
              <w:t xml:space="preserve">, </w:t>
            </w:r>
            <w:r w:rsidRPr="00BC484F">
              <w:rPr>
                <w:rFonts w:ascii="Arial" w:hAnsi="Arial" w:cs="Arial"/>
                <w:szCs w:val="22"/>
              </w:rPr>
              <w:t xml:space="preserve">fields of emerging scientific effort </w:t>
            </w:r>
            <w:r>
              <w:rPr>
                <w:rFonts w:ascii="Arial" w:hAnsi="Arial" w:cs="Arial"/>
                <w:szCs w:val="22"/>
              </w:rPr>
              <w:t xml:space="preserve">that have healthcare application potential </w:t>
            </w:r>
            <w:r w:rsidRPr="00BC484F">
              <w:rPr>
                <w:rFonts w:ascii="Arial" w:hAnsi="Arial" w:cs="Arial"/>
                <w:szCs w:val="22"/>
              </w:rPr>
              <w:t>and primary care.</w:t>
            </w:r>
            <w:r>
              <w:rPr>
                <w:rFonts w:ascii="Arial" w:hAnsi="Arial" w:cs="Arial"/>
                <w:szCs w:val="22"/>
              </w:rPr>
              <w:t xml:space="preserve"> Overarching responsibility to increase capacity and capability sits within individual MRFF programs. </w:t>
            </w:r>
          </w:p>
        </w:tc>
        <w:tc>
          <w:tcPr>
            <w:tcW w:w="1822" w:type="pct"/>
            <w:vAlign w:val="center"/>
          </w:tcPr>
          <w:p w:rsidR="00564BDE" w:rsidRPr="00BC484F" w:rsidRDefault="00564BDE" w:rsidP="00CD74AB">
            <w:pPr>
              <w:spacing w:before="120" w:after="120" w:line="252" w:lineRule="auto"/>
              <w:rPr>
                <w:rFonts w:ascii="Arial" w:hAnsi="Arial" w:cs="Arial"/>
                <w:b/>
                <w:szCs w:val="22"/>
              </w:rPr>
            </w:pPr>
            <w:r w:rsidRPr="0058426B">
              <w:rPr>
                <w:rFonts w:ascii="Arial" w:hAnsi="Arial" w:cs="Arial"/>
                <w:lang w:eastAsia="en-AU"/>
              </w:rPr>
              <w:t>Clinically active researchers bring a practice perspective that aids research translation.</w:t>
            </w:r>
            <w:r>
              <w:rPr>
                <w:rFonts w:ascii="Arial" w:hAnsi="Arial" w:cs="Arial"/>
                <w:szCs w:val="22"/>
                <w:lang w:eastAsia="en-AU"/>
              </w:rPr>
              <w:t xml:space="preserve"> </w:t>
            </w:r>
            <w:r w:rsidRPr="00F95D4A">
              <w:rPr>
                <w:rFonts w:ascii="Arial" w:hAnsi="Arial" w:cs="Arial"/>
                <w:szCs w:val="22"/>
                <w:lang w:eastAsia="en-AU"/>
              </w:rPr>
              <w:t xml:space="preserve">Sufficient and </w:t>
            </w:r>
            <w:r>
              <w:rPr>
                <w:rFonts w:ascii="Arial" w:hAnsi="Arial" w:cs="Arial"/>
                <w:szCs w:val="22"/>
                <w:lang w:eastAsia="en-AU"/>
              </w:rPr>
              <w:t>sustained</w:t>
            </w:r>
            <w:r w:rsidRPr="00BC484F">
              <w:rPr>
                <w:rFonts w:ascii="Arial" w:hAnsi="Arial" w:cs="Arial"/>
                <w:szCs w:val="22"/>
                <w:lang w:eastAsia="en-AU"/>
              </w:rPr>
              <w:t xml:space="preserve"> investment is required </w:t>
            </w:r>
            <w:r>
              <w:rPr>
                <w:rFonts w:ascii="Arial" w:hAnsi="Arial" w:cs="Arial"/>
                <w:szCs w:val="22"/>
                <w:lang w:eastAsia="en-AU"/>
              </w:rPr>
              <w:t xml:space="preserve">to ensure Australia maintains its reputation for medical research excellence. This attention must </w:t>
            </w:r>
            <w:r w:rsidRPr="00BC484F">
              <w:rPr>
                <w:rFonts w:ascii="Arial" w:hAnsi="Arial" w:cs="Arial"/>
                <w:szCs w:val="22"/>
                <w:lang w:eastAsia="en-AU"/>
              </w:rPr>
              <w:t xml:space="preserve">traverse career stages </w:t>
            </w:r>
            <w:r>
              <w:rPr>
                <w:rFonts w:ascii="Arial" w:hAnsi="Arial" w:cs="Arial"/>
                <w:szCs w:val="22"/>
                <w:lang w:eastAsia="en-AU"/>
              </w:rPr>
              <w:t xml:space="preserve">with a clear focus on </w:t>
            </w:r>
            <w:r w:rsidRPr="00BC484F">
              <w:rPr>
                <w:rFonts w:ascii="Arial" w:hAnsi="Arial" w:cs="Arial"/>
                <w:szCs w:val="22"/>
                <w:lang w:eastAsia="en-AU"/>
              </w:rPr>
              <w:t>early and mid</w:t>
            </w:r>
            <w:r>
              <w:rPr>
                <w:rFonts w:ascii="Arial" w:hAnsi="Arial" w:cs="Arial"/>
                <w:szCs w:val="22"/>
                <w:lang w:eastAsia="en-AU"/>
              </w:rPr>
              <w:t xml:space="preserve">-career required to ensure the viability of the next generation of researchers. It must also </w:t>
            </w:r>
            <w:r w:rsidRPr="00BC484F">
              <w:rPr>
                <w:rFonts w:ascii="Arial" w:hAnsi="Arial" w:cs="Arial"/>
                <w:szCs w:val="22"/>
                <w:lang w:eastAsia="en-AU"/>
              </w:rPr>
              <w:t xml:space="preserve">draw on the increasing diversity of disciplines intersecting with healthcare innovation and engage with the end-user of research – </w:t>
            </w:r>
            <w:r>
              <w:rPr>
                <w:rFonts w:ascii="Arial" w:hAnsi="Arial" w:cs="Arial"/>
                <w:szCs w:val="22"/>
                <w:lang w:eastAsia="en-AU"/>
              </w:rPr>
              <w:t xml:space="preserve">the </w:t>
            </w:r>
            <w:r w:rsidRPr="00BC484F">
              <w:rPr>
                <w:rFonts w:ascii="Arial" w:hAnsi="Arial" w:cs="Arial"/>
                <w:szCs w:val="22"/>
                <w:lang w:eastAsia="en-AU"/>
              </w:rPr>
              <w:t>clinician and consumer.</w:t>
            </w:r>
          </w:p>
        </w:tc>
        <w:tc>
          <w:tcPr>
            <w:tcW w:w="1666" w:type="pct"/>
            <w:vAlign w:val="center"/>
          </w:tcPr>
          <w:p w:rsidR="00564BDE" w:rsidRPr="00BC484F" w:rsidRDefault="00564BDE" w:rsidP="00CD74AB">
            <w:pPr>
              <w:pStyle w:val="TableNText"/>
              <w:spacing w:before="120" w:after="120" w:line="252" w:lineRule="auto"/>
              <w:rPr>
                <w:rFonts w:ascii="Arial" w:hAnsi="Arial" w:cs="Arial"/>
                <w:sz w:val="22"/>
                <w:lang w:val="en-US"/>
              </w:rPr>
            </w:pPr>
            <w:r w:rsidRPr="00BC484F">
              <w:rPr>
                <w:rFonts w:ascii="Arial" w:hAnsi="Arial" w:cs="Arial"/>
                <w:sz w:val="22"/>
                <w:lang w:val="en-US" w:eastAsia="en-AU"/>
              </w:rPr>
              <w:t xml:space="preserve">Continue to </w:t>
            </w:r>
            <w:r>
              <w:rPr>
                <w:rFonts w:ascii="Arial" w:hAnsi="Arial" w:cs="Arial"/>
                <w:sz w:val="22"/>
                <w:lang w:val="en-US" w:eastAsia="en-AU"/>
              </w:rPr>
              <w:t>invest in</w:t>
            </w:r>
            <w:r w:rsidRPr="00BC484F">
              <w:rPr>
                <w:rFonts w:ascii="Arial" w:hAnsi="Arial" w:cs="Arial"/>
                <w:sz w:val="22"/>
                <w:lang w:val="en-US" w:eastAsia="en-AU"/>
              </w:rPr>
              <w:t xml:space="preserve"> </w:t>
            </w:r>
            <w:r>
              <w:rPr>
                <w:rFonts w:ascii="Arial" w:hAnsi="Arial" w:cs="Arial"/>
                <w:sz w:val="22"/>
                <w:lang w:val="en-US" w:eastAsia="en-AU"/>
              </w:rPr>
              <w:t>capacity development</w:t>
            </w:r>
            <w:r w:rsidRPr="00BC484F">
              <w:rPr>
                <w:rFonts w:ascii="Arial" w:hAnsi="Arial" w:cs="Arial"/>
                <w:sz w:val="22"/>
                <w:lang w:val="en-US" w:eastAsia="en-AU"/>
              </w:rPr>
              <w:t xml:space="preserve"> </w:t>
            </w:r>
            <w:r>
              <w:rPr>
                <w:rFonts w:ascii="Arial" w:hAnsi="Arial" w:cs="Arial"/>
                <w:sz w:val="22"/>
                <w:lang w:val="en-US" w:eastAsia="en-AU"/>
              </w:rPr>
              <w:t>with a focus on priority areas including early and mid-career researchers</w:t>
            </w:r>
            <w:r w:rsidRPr="00BC484F">
              <w:rPr>
                <w:rFonts w:ascii="Arial" w:hAnsi="Arial" w:cs="Arial"/>
                <w:sz w:val="22"/>
                <w:lang w:val="en-US" w:eastAsia="en-AU"/>
              </w:rPr>
              <w:t xml:space="preserve">. Explore opportunities </w:t>
            </w:r>
            <w:r>
              <w:rPr>
                <w:rFonts w:ascii="Arial" w:hAnsi="Arial" w:cs="Arial"/>
                <w:sz w:val="22"/>
                <w:lang w:val="en-US" w:eastAsia="en-AU"/>
              </w:rPr>
              <w:t xml:space="preserve">to </w:t>
            </w:r>
            <w:r w:rsidRPr="00BC484F">
              <w:rPr>
                <w:rFonts w:ascii="Arial" w:hAnsi="Arial" w:cs="Arial"/>
                <w:sz w:val="22"/>
                <w:lang w:val="en-US" w:eastAsia="en-AU"/>
              </w:rPr>
              <w:t xml:space="preserve">work in </w:t>
            </w:r>
            <w:r>
              <w:rPr>
                <w:rFonts w:ascii="Arial" w:hAnsi="Arial" w:cs="Arial"/>
                <w:sz w:val="22"/>
                <w:lang w:val="en-US" w:eastAsia="en-AU"/>
              </w:rPr>
              <w:t xml:space="preserve">partnership </w:t>
            </w:r>
            <w:r w:rsidRPr="00BC484F">
              <w:rPr>
                <w:rFonts w:ascii="Arial" w:hAnsi="Arial" w:cs="Arial"/>
                <w:sz w:val="22"/>
                <w:lang w:val="en-US" w:eastAsia="en-AU"/>
              </w:rPr>
              <w:t xml:space="preserve">with professional colleges </w:t>
            </w:r>
            <w:r>
              <w:rPr>
                <w:rFonts w:ascii="Arial" w:hAnsi="Arial" w:cs="Arial"/>
                <w:sz w:val="22"/>
                <w:lang w:val="en-US" w:eastAsia="en-AU"/>
              </w:rPr>
              <w:t xml:space="preserve">and industry </w:t>
            </w:r>
            <w:r w:rsidRPr="00BC484F">
              <w:rPr>
                <w:rFonts w:ascii="Arial" w:hAnsi="Arial" w:cs="Arial"/>
                <w:sz w:val="22"/>
                <w:lang w:val="en-US" w:eastAsia="en-AU"/>
              </w:rPr>
              <w:t>to enhance access to PhD scholarships for general practice and allied health.</w:t>
            </w:r>
          </w:p>
        </w:tc>
      </w:tr>
      <w:tr w:rsidR="00564BDE" w:rsidRPr="00BC484F" w:rsidTr="00CD74AB">
        <w:tc>
          <w:tcPr>
            <w:tcW w:w="1511" w:type="pct"/>
            <w:vAlign w:val="center"/>
          </w:tcPr>
          <w:p w:rsidR="00564BDE" w:rsidRPr="00BC484F" w:rsidRDefault="00564BDE" w:rsidP="00CD74AB">
            <w:pPr>
              <w:pStyle w:val="TableNText"/>
              <w:spacing w:before="120" w:after="120" w:line="252" w:lineRule="auto"/>
              <w:rPr>
                <w:rFonts w:ascii="Arial" w:hAnsi="Arial" w:cs="Arial"/>
                <w:b/>
                <w:sz w:val="22"/>
              </w:rPr>
            </w:pPr>
            <w:r w:rsidRPr="00BC484F">
              <w:rPr>
                <w:rFonts w:ascii="Arial" w:hAnsi="Arial" w:cs="Arial"/>
                <w:b/>
                <w:sz w:val="22"/>
              </w:rPr>
              <w:t>Consumer-Driven Research</w:t>
            </w:r>
          </w:p>
          <w:p w:rsidR="00564BDE" w:rsidRPr="00BC484F" w:rsidRDefault="00564BDE" w:rsidP="00CD74AB">
            <w:pPr>
              <w:spacing w:before="120" w:after="120" w:line="252" w:lineRule="auto"/>
              <w:rPr>
                <w:rFonts w:ascii="Arial" w:hAnsi="Arial" w:cs="Arial"/>
                <w:b/>
                <w:szCs w:val="22"/>
              </w:rPr>
            </w:pPr>
            <w:r w:rsidRPr="00BC484F">
              <w:rPr>
                <w:rFonts w:ascii="Arial" w:hAnsi="Arial" w:cs="Arial"/>
                <w:szCs w:val="22"/>
              </w:rPr>
              <w:t>Conduct research that is driven by crowdsourc</w:t>
            </w:r>
            <w:r>
              <w:rPr>
                <w:rFonts w:ascii="Arial" w:hAnsi="Arial" w:cs="Arial"/>
                <w:szCs w:val="22"/>
              </w:rPr>
              <w:t>ing</w:t>
            </w:r>
            <w:r w:rsidRPr="00BC484F">
              <w:rPr>
                <w:rFonts w:ascii="Arial" w:hAnsi="Arial" w:cs="Arial"/>
                <w:szCs w:val="22"/>
              </w:rPr>
              <w:t xml:space="preserve"> consumer priorities and purposefully connect</w:t>
            </w:r>
            <w:r>
              <w:rPr>
                <w:rFonts w:ascii="Arial" w:hAnsi="Arial" w:cs="Arial"/>
                <w:szCs w:val="22"/>
              </w:rPr>
              <w:t>ing</w:t>
            </w:r>
            <w:r w:rsidRPr="00BC484F">
              <w:rPr>
                <w:rFonts w:ascii="Arial" w:hAnsi="Arial" w:cs="Arial"/>
                <w:szCs w:val="22"/>
              </w:rPr>
              <w:t xml:space="preserve"> researchers to consumers with the intent of enhancing evidence translation</w:t>
            </w:r>
            <w:r>
              <w:rPr>
                <w:rFonts w:ascii="Arial" w:hAnsi="Arial" w:cs="Arial"/>
                <w:szCs w:val="22"/>
              </w:rPr>
              <w:t xml:space="preserve"> into every day clinical practice</w:t>
            </w:r>
            <w:r w:rsidRPr="00BC484F">
              <w:rPr>
                <w:rFonts w:ascii="Arial" w:hAnsi="Arial" w:cs="Arial"/>
                <w:szCs w:val="22"/>
              </w:rPr>
              <w:t>.</w:t>
            </w:r>
          </w:p>
        </w:tc>
        <w:tc>
          <w:tcPr>
            <w:tcW w:w="1822" w:type="pct"/>
            <w:vAlign w:val="center"/>
          </w:tcPr>
          <w:p w:rsidR="00564BDE" w:rsidRPr="00BC484F" w:rsidRDefault="00564BDE" w:rsidP="00CD74AB">
            <w:pPr>
              <w:spacing w:before="120" w:after="120" w:line="252" w:lineRule="auto"/>
              <w:rPr>
                <w:rFonts w:ascii="Arial" w:hAnsi="Arial" w:cs="Arial"/>
                <w:b/>
                <w:szCs w:val="22"/>
              </w:rPr>
            </w:pPr>
            <w:r w:rsidRPr="00BC484F">
              <w:rPr>
                <w:rFonts w:ascii="Arial" w:hAnsi="Arial" w:cs="Arial"/>
                <w:szCs w:val="22"/>
              </w:rPr>
              <w:t>Sometimes there is a mismatch between what researchers want to research and the lived experiences, values and priorities of consumers, carers and clinicians. Partnerships in research design and practice can increase the translation of research evidence and illuminate new discoveries, transforming the healthcare experience and maximising the impact of research investment.</w:t>
            </w:r>
          </w:p>
        </w:tc>
        <w:tc>
          <w:tcPr>
            <w:tcW w:w="1666" w:type="pct"/>
            <w:vAlign w:val="center"/>
          </w:tcPr>
          <w:p w:rsidR="00564BDE" w:rsidRPr="00BC484F" w:rsidRDefault="00564BDE" w:rsidP="00CD74AB">
            <w:pPr>
              <w:spacing w:before="120" w:after="120" w:line="252" w:lineRule="auto"/>
              <w:rPr>
                <w:rFonts w:ascii="Arial" w:hAnsi="Arial" w:cs="Arial"/>
                <w:b/>
                <w:szCs w:val="22"/>
              </w:rPr>
            </w:pPr>
            <w:r>
              <w:rPr>
                <w:rFonts w:ascii="Arial" w:hAnsi="Arial" w:cs="Arial"/>
                <w:szCs w:val="22"/>
              </w:rPr>
              <w:t xml:space="preserve">Embed partnerships in research grant opportunities that drive meaningful consumer involvement, </w:t>
            </w:r>
            <w:r w:rsidRPr="00BC484F">
              <w:rPr>
                <w:rFonts w:ascii="Arial" w:hAnsi="Arial" w:cs="Arial"/>
                <w:szCs w:val="22"/>
              </w:rPr>
              <w:t>pair</w:t>
            </w:r>
            <w:r>
              <w:rPr>
                <w:rFonts w:ascii="Arial" w:hAnsi="Arial" w:cs="Arial"/>
                <w:szCs w:val="22"/>
              </w:rPr>
              <w:t>ing</w:t>
            </w:r>
            <w:r w:rsidRPr="00BC484F">
              <w:rPr>
                <w:rFonts w:ascii="Arial" w:hAnsi="Arial" w:cs="Arial"/>
                <w:szCs w:val="22"/>
              </w:rPr>
              <w:t xml:space="preserve"> researchers to consumers, carers and clinicians through a </w:t>
            </w:r>
            <w:r>
              <w:rPr>
                <w:rFonts w:ascii="Arial" w:hAnsi="Arial" w:cs="Arial"/>
                <w:szCs w:val="22"/>
              </w:rPr>
              <w:t xml:space="preserve">joint </w:t>
            </w:r>
            <w:r w:rsidRPr="00BC484F">
              <w:rPr>
                <w:rFonts w:ascii="Arial" w:hAnsi="Arial" w:cs="Arial"/>
                <w:szCs w:val="22"/>
              </w:rPr>
              <w:t xml:space="preserve">priority setting methodology </w:t>
            </w:r>
            <w:r>
              <w:rPr>
                <w:rFonts w:ascii="Arial" w:hAnsi="Arial" w:cs="Arial"/>
                <w:szCs w:val="22"/>
              </w:rPr>
              <w:t>that enables and supports consumer-driven</w:t>
            </w:r>
            <w:r w:rsidRPr="00BC484F">
              <w:rPr>
                <w:rFonts w:ascii="Arial" w:hAnsi="Arial" w:cs="Arial"/>
                <w:szCs w:val="22"/>
              </w:rPr>
              <w:t xml:space="preserve"> targeted research.</w:t>
            </w:r>
            <w:r>
              <w:rPr>
                <w:rFonts w:ascii="Arial" w:hAnsi="Arial" w:cs="Arial"/>
                <w:szCs w:val="22"/>
              </w:rPr>
              <w:t xml:space="preserve"> </w:t>
            </w:r>
          </w:p>
        </w:tc>
      </w:tr>
    </w:tbl>
    <w:p w:rsidR="00564BDE" w:rsidRDefault="00564BDE" w:rsidP="00564BDE">
      <w:pPr>
        <w:spacing w:line="240" w:lineRule="auto"/>
        <w:rPr>
          <w:rFonts w:ascii="Arial" w:eastAsiaTheme="majorEastAsia" w:hAnsi="Arial" w:cstheme="majorBidi"/>
          <w:b/>
          <w:bCs/>
          <w:color w:val="244061" w:themeColor="accent1" w:themeShade="80"/>
          <w:sz w:val="24"/>
          <w:szCs w:val="24"/>
        </w:rPr>
      </w:pPr>
      <w:r>
        <w:br w:type="page"/>
      </w:r>
    </w:p>
    <w:p w:rsidR="00564BDE" w:rsidRDefault="00564BDE" w:rsidP="00564BDE">
      <w:pPr>
        <w:pStyle w:val="Heading2"/>
      </w:pPr>
      <w:r w:rsidRPr="0046236F">
        <w:lastRenderedPageBreak/>
        <w:t xml:space="preserve">Trials and </w:t>
      </w:r>
      <w:r>
        <w:t>T</w:t>
      </w:r>
      <w:r w:rsidRPr="0046236F">
        <w:t>ranslation</w:t>
      </w:r>
    </w:p>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orities under the Strategic and international horizons platform"/>
      </w:tblPr>
      <w:tblGrid>
        <w:gridCol w:w="3021"/>
        <w:gridCol w:w="3643"/>
        <w:gridCol w:w="3331"/>
      </w:tblGrid>
      <w:tr w:rsidR="00564BDE" w:rsidRPr="00AD54A2" w:rsidTr="00CD74AB">
        <w:trPr>
          <w:trHeight w:val="358"/>
          <w:tblHeader/>
        </w:trPr>
        <w:tc>
          <w:tcPr>
            <w:tcW w:w="1511" w:type="pct"/>
            <w:shd w:val="clear" w:color="auto" w:fill="17365D" w:themeFill="text2" w:themeFillShade="BF"/>
            <w:vAlign w:val="center"/>
          </w:tcPr>
          <w:p w:rsidR="00564BDE" w:rsidRPr="009175B3" w:rsidRDefault="00564BDE" w:rsidP="00CD74AB">
            <w:pPr>
              <w:pStyle w:val="ItemHead"/>
              <w:spacing w:before="60" w:after="60" w:line="257" w:lineRule="auto"/>
              <w:ind w:left="0" w:firstLine="0"/>
              <w:rPr>
                <w:rFonts w:cs="Arial"/>
                <w:color w:val="FFFFFF" w:themeColor="background1"/>
                <w:sz w:val="22"/>
                <w:szCs w:val="22"/>
              </w:rPr>
            </w:pPr>
            <w:r w:rsidRPr="009175B3">
              <w:rPr>
                <w:rFonts w:cs="Arial"/>
                <w:color w:val="FFFFFF" w:themeColor="background1"/>
                <w:sz w:val="22"/>
                <w:szCs w:val="22"/>
              </w:rPr>
              <w:t>Priority</w:t>
            </w:r>
          </w:p>
        </w:tc>
        <w:tc>
          <w:tcPr>
            <w:tcW w:w="1822" w:type="pct"/>
            <w:shd w:val="clear" w:color="auto" w:fill="17365D" w:themeFill="text2" w:themeFillShade="BF"/>
            <w:vAlign w:val="center"/>
          </w:tcPr>
          <w:p w:rsidR="00564BDE" w:rsidRPr="009175B3" w:rsidRDefault="00564BDE" w:rsidP="00CD74AB">
            <w:pPr>
              <w:pStyle w:val="ItemHead"/>
              <w:spacing w:before="60" w:after="60" w:line="257" w:lineRule="auto"/>
              <w:ind w:left="0" w:firstLine="0"/>
              <w:rPr>
                <w:rFonts w:cs="Arial"/>
                <w:color w:val="FFFFFF" w:themeColor="background1"/>
                <w:sz w:val="22"/>
                <w:szCs w:val="22"/>
              </w:rPr>
            </w:pPr>
            <w:r w:rsidRPr="009175B3">
              <w:rPr>
                <w:rFonts w:cs="Arial"/>
                <w:color w:val="FFFFFF" w:themeColor="background1"/>
                <w:sz w:val="22"/>
                <w:szCs w:val="22"/>
              </w:rPr>
              <w:t>WHY action is needed</w:t>
            </w:r>
          </w:p>
        </w:tc>
        <w:tc>
          <w:tcPr>
            <w:tcW w:w="1666" w:type="pct"/>
            <w:shd w:val="clear" w:color="auto" w:fill="17365D" w:themeFill="text2" w:themeFillShade="BF"/>
            <w:vAlign w:val="center"/>
          </w:tcPr>
          <w:p w:rsidR="00564BDE" w:rsidRPr="009175B3" w:rsidRDefault="00564BDE" w:rsidP="00CD74AB">
            <w:pPr>
              <w:pStyle w:val="ItemHead"/>
              <w:spacing w:before="60" w:after="60" w:line="257" w:lineRule="auto"/>
              <w:ind w:left="0" w:firstLine="0"/>
              <w:rPr>
                <w:rFonts w:cs="Arial"/>
                <w:color w:val="FFFFFF" w:themeColor="background1"/>
                <w:sz w:val="22"/>
                <w:szCs w:val="22"/>
              </w:rPr>
            </w:pPr>
            <w:r w:rsidRPr="009175B3">
              <w:rPr>
                <w:rFonts w:cs="Arial"/>
                <w:color w:val="FFFFFF" w:themeColor="background1"/>
                <w:sz w:val="22"/>
                <w:szCs w:val="22"/>
              </w:rPr>
              <w:t>HOW best addressed</w:t>
            </w:r>
          </w:p>
        </w:tc>
      </w:tr>
      <w:tr w:rsidR="00564BDE" w:rsidRPr="0019569A" w:rsidTr="00CD74AB">
        <w:tc>
          <w:tcPr>
            <w:tcW w:w="1511" w:type="pct"/>
            <w:vAlign w:val="center"/>
          </w:tcPr>
          <w:p w:rsidR="00564BDE" w:rsidRPr="0019569A" w:rsidRDefault="00564BDE" w:rsidP="00CD74AB">
            <w:pPr>
              <w:pStyle w:val="TableNText"/>
              <w:spacing w:before="120" w:after="120" w:line="252" w:lineRule="auto"/>
              <w:rPr>
                <w:rFonts w:ascii="Arial" w:hAnsi="Arial" w:cs="Arial"/>
                <w:b/>
                <w:sz w:val="22"/>
              </w:rPr>
            </w:pPr>
            <w:r w:rsidRPr="0019569A">
              <w:rPr>
                <w:rFonts w:ascii="Arial" w:hAnsi="Arial" w:cs="Arial"/>
                <w:b/>
                <w:sz w:val="22"/>
              </w:rPr>
              <w:t>Drug Repurposing</w:t>
            </w:r>
          </w:p>
          <w:p w:rsidR="00564BDE" w:rsidRPr="0019569A" w:rsidRDefault="00564BDE" w:rsidP="00CD74AB">
            <w:pPr>
              <w:spacing w:before="120" w:after="120" w:line="252" w:lineRule="auto"/>
              <w:rPr>
                <w:rFonts w:ascii="Arial" w:hAnsi="Arial" w:cs="Arial"/>
                <w:b/>
                <w:szCs w:val="22"/>
              </w:rPr>
            </w:pPr>
            <w:r w:rsidRPr="0019569A">
              <w:rPr>
                <w:rFonts w:ascii="Arial" w:hAnsi="Arial" w:cs="Arial"/>
                <w:szCs w:val="22"/>
                <w:lang w:eastAsia="en-AU"/>
              </w:rPr>
              <w:t>Partner with industry to foster an enduring partnership to systematically identify drugs with repurposed therapeutic potential for investigative research.</w:t>
            </w:r>
          </w:p>
        </w:tc>
        <w:tc>
          <w:tcPr>
            <w:tcW w:w="1822" w:type="pct"/>
            <w:vAlign w:val="center"/>
          </w:tcPr>
          <w:p w:rsidR="00564BDE" w:rsidRPr="0019569A" w:rsidRDefault="00564BDE" w:rsidP="00CD74AB">
            <w:pPr>
              <w:spacing w:before="120" w:after="120" w:line="252" w:lineRule="auto"/>
              <w:rPr>
                <w:rFonts w:ascii="Arial" w:hAnsi="Arial" w:cs="Arial"/>
                <w:b/>
                <w:szCs w:val="22"/>
              </w:rPr>
            </w:pPr>
            <w:r w:rsidRPr="0019569A">
              <w:rPr>
                <w:rFonts w:ascii="Arial" w:hAnsi="Arial" w:cs="Arial"/>
                <w:szCs w:val="22"/>
                <w:lang w:eastAsia="en-AU"/>
              </w:rPr>
              <w:t xml:space="preserve">The application of an existing therapeutic to a new disease indication is attractive in terms of </w:t>
            </w:r>
            <w:r>
              <w:rPr>
                <w:rFonts w:ascii="Arial" w:hAnsi="Arial" w:cs="Arial"/>
                <w:szCs w:val="22"/>
                <w:lang w:eastAsia="en-AU"/>
              </w:rPr>
              <w:t>decreasing development</w:t>
            </w:r>
            <w:r w:rsidRPr="0019569A">
              <w:rPr>
                <w:rFonts w:ascii="Arial" w:hAnsi="Arial" w:cs="Arial"/>
                <w:szCs w:val="22"/>
                <w:lang w:eastAsia="en-AU"/>
              </w:rPr>
              <w:t xml:space="preserve"> costs and </w:t>
            </w:r>
            <w:r>
              <w:rPr>
                <w:rFonts w:ascii="Arial" w:hAnsi="Arial" w:cs="Arial"/>
                <w:szCs w:val="22"/>
                <w:lang w:eastAsia="en-AU"/>
              </w:rPr>
              <w:t>decreasing the time needed to deliver new therapies</w:t>
            </w:r>
            <w:r w:rsidRPr="0019569A">
              <w:rPr>
                <w:rFonts w:ascii="Arial" w:hAnsi="Arial" w:cs="Arial"/>
                <w:szCs w:val="22"/>
                <w:lang w:eastAsia="en-AU"/>
              </w:rPr>
              <w:t xml:space="preserve"> to </w:t>
            </w:r>
            <w:r>
              <w:rPr>
                <w:rFonts w:ascii="Arial" w:hAnsi="Arial" w:cs="Arial"/>
                <w:szCs w:val="22"/>
                <w:lang w:eastAsia="en-AU"/>
              </w:rPr>
              <w:t xml:space="preserve">the </w:t>
            </w:r>
            <w:r w:rsidRPr="0019569A">
              <w:rPr>
                <w:rFonts w:ascii="Arial" w:hAnsi="Arial" w:cs="Arial"/>
                <w:szCs w:val="22"/>
                <w:lang w:eastAsia="en-AU"/>
              </w:rPr>
              <w:t>patient. De novo drug development can take well over a decade. Currently</w:t>
            </w:r>
            <w:r>
              <w:rPr>
                <w:rFonts w:ascii="Arial" w:hAnsi="Arial" w:cs="Arial"/>
                <w:szCs w:val="22"/>
                <w:lang w:eastAsia="en-AU"/>
              </w:rPr>
              <w:t>,</w:t>
            </w:r>
            <w:r w:rsidRPr="0019569A">
              <w:rPr>
                <w:rFonts w:ascii="Arial" w:hAnsi="Arial" w:cs="Arial"/>
                <w:szCs w:val="22"/>
                <w:lang w:eastAsia="en-AU"/>
              </w:rPr>
              <w:t xml:space="preserve"> </w:t>
            </w:r>
            <w:r>
              <w:rPr>
                <w:rFonts w:ascii="Arial" w:hAnsi="Arial" w:cs="Arial"/>
                <w:szCs w:val="22"/>
                <w:lang w:eastAsia="en-AU"/>
              </w:rPr>
              <w:t xml:space="preserve">repurposing of drugs is difficult and achieved </w:t>
            </w:r>
            <w:r w:rsidRPr="0019569A">
              <w:rPr>
                <w:rFonts w:ascii="Arial" w:hAnsi="Arial" w:cs="Arial"/>
                <w:szCs w:val="22"/>
                <w:lang w:eastAsia="en-AU"/>
              </w:rPr>
              <w:t>by access to comprehensive libraries of clinical compounds. New technologies and advances in experimental methods can accelerate the identification</w:t>
            </w:r>
            <w:r>
              <w:rPr>
                <w:rFonts w:ascii="Arial" w:hAnsi="Arial" w:cs="Arial"/>
                <w:szCs w:val="22"/>
                <w:lang w:eastAsia="en-AU"/>
              </w:rPr>
              <w:t xml:space="preserve"> and access to</w:t>
            </w:r>
            <w:r w:rsidRPr="0019569A">
              <w:rPr>
                <w:rFonts w:ascii="Arial" w:hAnsi="Arial" w:cs="Arial"/>
                <w:szCs w:val="22"/>
                <w:lang w:eastAsia="en-AU"/>
              </w:rPr>
              <w:t xml:space="preserve"> drugs of interest.</w:t>
            </w:r>
          </w:p>
        </w:tc>
        <w:tc>
          <w:tcPr>
            <w:tcW w:w="1666" w:type="pct"/>
            <w:vAlign w:val="center"/>
          </w:tcPr>
          <w:p w:rsidR="00564BDE" w:rsidRPr="0019569A" w:rsidRDefault="00564BDE" w:rsidP="00CD74AB">
            <w:pPr>
              <w:spacing w:before="120" w:after="120" w:line="252" w:lineRule="auto"/>
              <w:rPr>
                <w:rFonts w:ascii="Arial" w:hAnsi="Arial" w:cs="Arial"/>
                <w:b/>
                <w:szCs w:val="22"/>
              </w:rPr>
            </w:pPr>
            <w:r>
              <w:rPr>
                <w:rFonts w:ascii="Arial" w:hAnsi="Arial" w:cs="Arial"/>
                <w:szCs w:val="22"/>
                <w:lang w:eastAsia="en-AU"/>
              </w:rPr>
              <w:t>C</w:t>
            </w:r>
            <w:r w:rsidRPr="0019569A">
              <w:rPr>
                <w:rFonts w:ascii="Arial" w:hAnsi="Arial" w:cs="Arial"/>
                <w:szCs w:val="22"/>
                <w:lang w:eastAsia="en-AU"/>
              </w:rPr>
              <w:t xml:space="preserve">reate </w:t>
            </w:r>
            <w:r>
              <w:rPr>
                <w:rFonts w:ascii="Arial" w:hAnsi="Arial" w:cs="Arial"/>
                <w:szCs w:val="22"/>
                <w:lang w:eastAsia="en-AU"/>
              </w:rPr>
              <w:t xml:space="preserve">and </w:t>
            </w:r>
            <w:r w:rsidRPr="0019569A">
              <w:rPr>
                <w:rFonts w:ascii="Arial" w:hAnsi="Arial" w:cs="Arial"/>
                <w:szCs w:val="22"/>
                <w:lang w:eastAsia="en-AU"/>
              </w:rPr>
              <w:t>invest</w:t>
            </w:r>
            <w:r>
              <w:rPr>
                <w:rFonts w:ascii="Arial" w:hAnsi="Arial" w:cs="Arial"/>
                <w:szCs w:val="22"/>
                <w:lang w:eastAsia="en-AU"/>
              </w:rPr>
              <w:t xml:space="preserve"> in</w:t>
            </w:r>
            <w:r w:rsidRPr="0019569A">
              <w:rPr>
                <w:rFonts w:ascii="Arial" w:hAnsi="Arial" w:cs="Arial"/>
                <w:szCs w:val="22"/>
                <w:lang w:eastAsia="en-AU"/>
              </w:rPr>
              <w:t xml:space="preserve"> program</w:t>
            </w:r>
            <w:r>
              <w:rPr>
                <w:rFonts w:ascii="Arial" w:hAnsi="Arial" w:cs="Arial"/>
                <w:szCs w:val="22"/>
                <w:lang w:eastAsia="en-AU"/>
              </w:rPr>
              <w:t>s</w:t>
            </w:r>
            <w:r w:rsidRPr="0019569A">
              <w:rPr>
                <w:rFonts w:ascii="Arial" w:hAnsi="Arial" w:cs="Arial"/>
                <w:szCs w:val="22"/>
                <w:lang w:eastAsia="en-AU"/>
              </w:rPr>
              <w:t xml:space="preserve"> to identify and research drugs with repurposing potential</w:t>
            </w:r>
            <w:r>
              <w:rPr>
                <w:rFonts w:ascii="Arial" w:hAnsi="Arial" w:cs="Arial"/>
                <w:szCs w:val="22"/>
                <w:lang w:eastAsia="en-AU"/>
              </w:rPr>
              <w:t>, with a focus on supporting timely access for patients.</w:t>
            </w:r>
          </w:p>
        </w:tc>
      </w:tr>
      <w:tr w:rsidR="00564BDE" w:rsidRPr="0019569A" w:rsidTr="00CD74AB">
        <w:tc>
          <w:tcPr>
            <w:tcW w:w="1511" w:type="pct"/>
            <w:vAlign w:val="center"/>
          </w:tcPr>
          <w:p w:rsidR="00564BDE" w:rsidRPr="0019569A" w:rsidRDefault="00564BDE" w:rsidP="00CD74AB">
            <w:pPr>
              <w:pStyle w:val="TableNText"/>
              <w:spacing w:before="120" w:after="120" w:line="252" w:lineRule="auto"/>
              <w:rPr>
                <w:rFonts w:ascii="Arial" w:hAnsi="Arial" w:cs="Arial"/>
                <w:b/>
                <w:sz w:val="22"/>
              </w:rPr>
            </w:pPr>
            <w:r w:rsidRPr="0019569A">
              <w:rPr>
                <w:rFonts w:ascii="Arial" w:hAnsi="Arial" w:cs="Arial"/>
                <w:b/>
                <w:sz w:val="22"/>
              </w:rPr>
              <w:t xml:space="preserve">Public </w:t>
            </w:r>
            <w:r>
              <w:rPr>
                <w:rFonts w:ascii="Arial" w:hAnsi="Arial" w:cs="Arial"/>
                <w:b/>
                <w:sz w:val="22"/>
              </w:rPr>
              <w:t>H</w:t>
            </w:r>
            <w:r w:rsidRPr="0019569A">
              <w:rPr>
                <w:rFonts w:ascii="Arial" w:hAnsi="Arial" w:cs="Arial"/>
                <w:b/>
                <w:sz w:val="22"/>
              </w:rPr>
              <w:t xml:space="preserve">ealth </w:t>
            </w:r>
            <w:r>
              <w:rPr>
                <w:rFonts w:ascii="Arial" w:hAnsi="Arial" w:cs="Arial"/>
                <w:b/>
                <w:sz w:val="22"/>
              </w:rPr>
              <w:t>I</w:t>
            </w:r>
            <w:r w:rsidRPr="0019569A">
              <w:rPr>
                <w:rFonts w:ascii="Arial" w:hAnsi="Arial" w:cs="Arial"/>
                <w:b/>
                <w:sz w:val="22"/>
              </w:rPr>
              <w:t>nterventions</w:t>
            </w:r>
          </w:p>
          <w:p w:rsidR="00564BDE" w:rsidRPr="0019569A" w:rsidRDefault="00564BDE" w:rsidP="00CD74AB">
            <w:pPr>
              <w:spacing w:before="120" w:after="120" w:line="252" w:lineRule="auto"/>
              <w:rPr>
                <w:rFonts w:ascii="Arial" w:hAnsi="Arial" w:cs="Arial"/>
                <w:b/>
                <w:szCs w:val="22"/>
              </w:rPr>
            </w:pPr>
            <w:r w:rsidRPr="0019569A">
              <w:rPr>
                <w:rFonts w:ascii="Arial" w:hAnsi="Arial" w:cs="Arial"/>
                <w:szCs w:val="22"/>
              </w:rPr>
              <w:t>Targeted research to test innovative public health approaches to addressing modifiable risk factors that are at the heart of the rise of chronic</w:t>
            </w:r>
            <w:r>
              <w:rPr>
                <w:rFonts w:ascii="Arial" w:hAnsi="Arial" w:cs="Arial"/>
                <w:szCs w:val="22"/>
              </w:rPr>
              <w:t xml:space="preserve"> </w:t>
            </w:r>
            <w:r w:rsidRPr="0019569A">
              <w:rPr>
                <w:rFonts w:ascii="Arial" w:hAnsi="Arial" w:cs="Arial"/>
                <w:szCs w:val="22"/>
              </w:rPr>
              <w:t xml:space="preserve">and complex disease </w:t>
            </w:r>
            <w:r>
              <w:rPr>
                <w:rFonts w:ascii="Arial" w:hAnsi="Arial" w:cs="Arial"/>
                <w:szCs w:val="22"/>
              </w:rPr>
              <w:t xml:space="preserve">prevalence and persistence </w:t>
            </w:r>
            <w:r w:rsidRPr="0019569A">
              <w:rPr>
                <w:rFonts w:ascii="Arial" w:hAnsi="Arial" w:cs="Arial"/>
                <w:szCs w:val="22"/>
              </w:rPr>
              <w:t>in Australia.</w:t>
            </w:r>
            <w:r>
              <w:rPr>
                <w:rFonts w:ascii="Arial" w:hAnsi="Arial" w:cs="Arial"/>
                <w:szCs w:val="22"/>
              </w:rPr>
              <w:t xml:space="preserve"> Equity of access to healthcare will benefit with a focus on the increased role of remote care interventions through mobile, telehealth and digital health. </w:t>
            </w:r>
          </w:p>
        </w:tc>
        <w:tc>
          <w:tcPr>
            <w:tcW w:w="1822" w:type="pct"/>
            <w:vAlign w:val="center"/>
          </w:tcPr>
          <w:p w:rsidR="00564BDE" w:rsidRPr="0019569A" w:rsidRDefault="00564BDE" w:rsidP="00CD74AB">
            <w:pPr>
              <w:spacing w:before="120" w:after="120" w:line="252" w:lineRule="auto"/>
              <w:rPr>
                <w:rFonts w:ascii="Arial" w:hAnsi="Arial" w:cs="Arial"/>
                <w:b/>
                <w:szCs w:val="22"/>
              </w:rPr>
            </w:pPr>
            <w:r>
              <w:rPr>
                <w:rFonts w:ascii="Arial" w:hAnsi="Arial" w:cs="Arial"/>
                <w:szCs w:val="22"/>
                <w:lang w:eastAsia="en-AU"/>
              </w:rPr>
              <w:t xml:space="preserve">Investment in public health brings economic benefit. </w:t>
            </w:r>
            <w:r w:rsidRPr="0019569A">
              <w:rPr>
                <w:rFonts w:ascii="Arial" w:hAnsi="Arial" w:cs="Arial"/>
                <w:szCs w:val="22"/>
                <w:lang w:eastAsia="en-AU"/>
              </w:rPr>
              <w:t xml:space="preserve">Chronic conditions are the leading cause of illness, disability and death in Australia. </w:t>
            </w:r>
            <w:r>
              <w:rPr>
                <w:rFonts w:ascii="Arial" w:hAnsi="Arial" w:cs="Arial"/>
                <w:szCs w:val="22"/>
                <w:lang w:eastAsia="en-AU"/>
              </w:rPr>
              <w:t xml:space="preserve">They </w:t>
            </w:r>
            <w:r w:rsidRPr="0019569A">
              <w:rPr>
                <w:rFonts w:ascii="Arial" w:hAnsi="Arial" w:cs="Arial"/>
                <w:szCs w:val="22"/>
                <w:lang w:eastAsia="en-AU"/>
              </w:rPr>
              <w:t xml:space="preserve">are prevalent, persistent and </w:t>
            </w:r>
            <w:r>
              <w:rPr>
                <w:rFonts w:ascii="Arial" w:hAnsi="Arial" w:cs="Arial"/>
                <w:szCs w:val="22"/>
                <w:lang w:eastAsia="en-AU"/>
              </w:rPr>
              <w:t xml:space="preserve">can </w:t>
            </w:r>
            <w:r w:rsidRPr="0019569A">
              <w:rPr>
                <w:rFonts w:ascii="Arial" w:hAnsi="Arial" w:cs="Arial"/>
                <w:szCs w:val="22"/>
                <w:lang w:eastAsia="en-AU"/>
              </w:rPr>
              <w:t>gradually lead to a deterioration of health and loss of independence. Primary causes are typically known (behavioural and biomedical) and modifiable. There is great potential for integrating prevention and public health interventions with healthcare to keep Australians health</w:t>
            </w:r>
            <w:r>
              <w:rPr>
                <w:rFonts w:ascii="Arial" w:hAnsi="Arial" w:cs="Arial"/>
                <w:szCs w:val="22"/>
                <w:lang w:eastAsia="en-AU"/>
              </w:rPr>
              <w:t>y</w:t>
            </w:r>
            <w:r w:rsidRPr="0019569A">
              <w:rPr>
                <w:rFonts w:ascii="Arial" w:hAnsi="Arial" w:cs="Arial"/>
                <w:szCs w:val="22"/>
                <w:lang w:eastAsia="en-AU"/>
              </w:rPr>
              <w:t xml:space="preserve"> for as long as possible.</w:t>
            </w:r>
          </w:p>
        </w:tc>
        <w:tc>
          <w:tcPr>
            <w:tcW w:w="1666" w:type="pct"/>
            <w:vAlign w:val="center"/>
          </w:tcPr>
          <w:p w:rsidR="00564BDE" w:rsidRPr="0019569A" w:rsidRDefault="00564BDE" w:rsidP="00CD74AB">
            <w:pPr>
              <w:spacing w:before="120" w:after="120" w:line="252" w:lineRule="auto"/>
              <w:rPr>
                <w:rFonts w:ascii="Arial" w:hAnsi="Arial" w:cs="Arial"/>
                <w:b/>
                <w:szCs w:val="22"/>
              </w:rPr>
            </w:pPr>
            <w:r>
              <w:rPr>
                <w:rFonts w:ascii="Arial" w:hAnsi="Arial" w:cs="Arial"/>
                <w:szCs w:val="22"/>
              </w:rPr>
              <w:t>Continued investment in</w:t>
            </w:r>
            <w:r w:rsidRPr="0019569A">
              <w:rPr>
                <w:rFonts w:ascii="Arial" w:hAnsi="Arial" w:cs="Arial"/>
                <w:szCs w:val="22"/>
              </w:rPr>
              <w:t xml:space="preserve"> research grant opportunities for multidisciplinary </w:t>
            </w:r>
            <w:r>
              <w:rPr>
                <w:rFonts w:ascii="Arial" w:hAnsi="Arial" w:cs="Arial"/>
                <w:szCs w:val="22"/>
              </w:rPr>
              <w:t xml:space="preserve">collaborative </w:t>
            </w:r>
            <w:r w:rsidRPr="0019569A">
              <w:rPr>
                <w:rFonts w:ascii="Arial" w:hAnsi="Arial" w:cs="Arial"/>
                <w:szCs w:val="22"/>
              </w:rPr>
              <w:t xml:space="preserve">teams to test the viability of  innovations </w:t>
            </w:r>
            <w:r>
              <w:rPr>
                <w:rFonts w:ascii="Arial" w:hAnsi="Arial" w:cs="Arial"/>
                <w:szCs w:val="22"/>
              </w:rPr>
              <w:t xml:space="preserve">in prevention </w:t>
            </w:r>
            <w:r w:rsidRPr="0019569A">
              <w:rPr>
                <w:rFonts w:ascii="Arial" w:hAnsi="Arial" w:cs="Arial"/>
                <w:szCs w:val="22"/>
              </w:rPr>
              <w:t>and public health interventions</w:t>
            </w:r>
            <w:r>
              <w:rPr>
                <w:rFonts w:ascii="Arial" w:hAnsi="Arial" w:cs="Arial"/>
                <w:szCs w:val="22"/>
              </w:rPr>
              <w:t>. This includes interventions</w:t>
            </w:r>
            <w:r w:rsidRPr="0019569A">
              <w:rPr>
                <w:rFonts w:ascii="Arial" w:hAnsi="Arial" w:cs="Arial"/>
                <w:szCs w:val="22"/>
              </w:rPr>
              <w:t xml:space="preserve"> </w:t>
            </w:r>
            <w:r>
              <w:rPr>
                <w:rFonts w:ascii="Arial" w:hAnsi="Arial" w:cs="Arial"/>
                <w:szCs w:val="22"/>
              </w:rPr>
              <w:t>that consider health inequities such as geographic place, socio-economic vulnerabilities and groups with greater health needs</w:t>
            </w:r>
            <w:r>
              <w:rPr>
                <w:rStyle w:val="FootnoteReference"/>
                <w:rFonts w:ascii="Arial" w:hAnsi="Arial" w:cs="Arial"/>
                <w:szCs w:val="22"/>
              </w:rPr>
              <w:footnoteReference w:id="1"/>
            </w:r>
            <w:r>
              <w:rPr>
                <w:rFonts w:ascii="Arial" w:hAnsi="Arial" w:cs="Arial"/>
                <w:szCs w:val="22"/>
              </w:rPr>
              <w:t xml:space="preserve"> and apply sound implementation science approaches. </w:t>
            </w:r>
          </w:p>
        </w:tc>
      </w:tr>
    </w:tbl>
    <w:p w:rsidR="00564BDE" w:rsidRDefault="00564BDE" w:rsidP="00564BDE">
      <w:pPr>
        <w:spacing w:line="240" w:lineRule="auto"/>
        <w:rPr>
          <w:rFonts w:ascii="Arial" w:eastAsiaTheme="majorEastAsia" w:hAnsi="Arial" w:cstheme="majorBidi"/>
          <w:b/>
          <w:bCs/>
          <w:color w:val="244061" w:themeColor="accent1" w:themeShade="80"/>
          <w:sz w:val="24"/>
          <w:szCs w:val="24"/>
        </w:rPr>
      </w:pPr>
      <w:r>
        <w:br w:type="page"/>
      </w:r>
    </w:p>
    <w:p w:rsidR="00564BDE" w:rsidRDefault="00564BDE" w:rsidP="00564BDE">
      <w:pPr>
        <w:pStyle w:val="Heading2"/>
      </w:pPr>
      <w:r w:rsidRPr="00BF7404">
        <w:lastRenderedPageBreak/>
        <w:t>Commercialisation</w:t>
      </w:r>
    </w:p>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orities under the Strategic and international horizons platform"/>
      </w:tblPr>
      <w:tblGrid>
        <w:gridCol w:w="3021"/>
        <w:gridCol w:w="3643"/>
        <w:gridCol w:w="3331"/>
      </w:tblGrid>
      <w:tr w:rsidR="00564BDE" w:rsidRPr="0019569A" w:rsidTr="00CD74AB">
        <w:trPr>
          <w:trHeight w:val="358"/>
          <w:tblHeader/>
        </w:trPr>
        <w:tc>
          <w:tcPr>
            <w:tcW w:w="1511" w:type="pct"/>
            <w:shd w:val="clear" w:color="auto" w:fill="17365D" w:themeFill="text2" w:themeFillShade="BF"/>
            <w:vAlign w:val="center"/>
          </w:tcPr>
          <w:p w:rsidR="00564BDE" w:rsidRPr="00AD54A2" w:rsidRDefault="00564BDE" w:rsidP="00CD74AB">
            <w:pPr>
              <w:pStyle w:val="ItemHead"/>
              <w:spacing w:before="60" w:after="60" w:line="257" w:lineRule="auto"/>
              <w:ind w:left="0" w:firstLine="0"/>
              <w:jc w:val="center"/>
              <w:rPr>
                <w:rFonts w:cs="Arial"/>
                <w:color w:val="FFFFFF" w:themeColor="background1"/>
                <w:sz w:val="22"/>
                <w:szCs w:val="22"/>
              </w:rPr>
            </w:pPr>
            <w:r w:rsidRPr="00AD54A2">
              <w:rPr>
                <w:rFonts w:cs="Arial"/>
                <w:color w:val="FFFFFF" w:themeColor="background1"/>
                <w:sz w:val="22"/>
                <w:szCs w:val="22"/>
              </w:rPr>
              <w:t>Priority</w:t>
            </w:r>
          </w:p>
        </w:tc>
        <w:tc>
          <w:tcPr>
            <w:tcW w:w="1822" w:type="pct"/>
            <w:shd w:val="clear" w:color="auto" w:fill="17365D" w:themeFill="text2" w:themeFillShade="BF"/>
            <w:vAlign w:val="center"/>
          </w:tcPr>
          <w:p w:rsidR="00564BDE" w:rsidRPr="00AD54A2" w:rsidRDefault="00564BDE" w:rsidP="00CD74AB">
            <w:pPr>
              <w:pStyle w:val="ItemHead"/>
              <w:spacing w:before="60" w:after="60" w:line="257" w:lineRule="auto"/>
              <w:ind w:left="0" w:firstLine="0"/>
              <w:jc w:val="center"/>
              <w:rPr>
                <w:rFonts w:cs="Arial"/>
                <w:color w:val="FFFFFF" w:themeColor="background1"/>
                <w:sz w:val="22"/>
                <w:szCs w:val="22"/>
              </w:rPr>
            </w:pPr>
            <w:r w:rsidRPr="00AD54A2">
              <w:rPr>
                <w:rFonts w:cs="Arial"/>
                <w:color w:val="FFFFFF" w:themeColor="background1"/>
                <w:sz w:val="22"/>
                <w:szCs w:val="22"/>
              </w:rPr>
              <w:t>WHY action is needed</w:t>
            </w:r>
          </w:p>
        </w:tc>
        <w:tc>
          <w:tcPr>
            <w:tcW w:w="1666" w:type="pct"/>
            <w:shd w:val="clear" w:color="auto" w:fill="17365D" w:themeFill="text2" w:themeFillShade="BF"/>
            <w:vAlign w:val="center"/>
          </w:tcPr>
          <w:p w:rsidR="00564BDE" w:rsidRPr="00AD54A2" w:rsidRDefault="00564BDE" w:rsidP="00CD74AB">
            <w:pPr>
              <w:pStyle w:val="ItemHead"/>
              <w:spacing w:before="60" w:after="60" w:line="257" w:lineRule="auto"/>
              <w:ind w:left="0" w:firstLine="0"/>
              <w:jc w:val="center"/>
              <w:rPr>
                <w:rFonts w:cs="Arial"/>
                <w:color w:val="FFFFFF" w:themeColor="background1"/>
                <w:sz w:val="22"/>
                <w:szCs w:val="22"/>
              </w:rPr>
            </w:pPr>
            <w:r w:rsidRPr="00AD54A2">
              <w:rPr>
                <w:rFonts w:cs="Arial"/>
                <w:color w:val="FFFFFF" w:themeColor="background1"/>
                <w:sz w:val="22"/>
                <w:szCs w:val="22"/>
              </w:rPr>
              <w:t>HOW best addressed</w:t>
            </w:r>
          </w:p>
        </w:tc>
      </w:tr>
      <w:tr w:rsidR="00564BDE" w:rsidRPr="0019569A" w:rsidTr="00CD74AB">
        <w:tc>
          <w:tcPr>
            <w:tcW w:w="1511" w:type="pct"/>
            <w:vAlign w:val="center"/>
          </w:tcPr>
          <w:p w:rsidR="00564BDE" w:rsidRPr="0019569A" w:rsidRDefault="00564BDE" w:rsidP="00CD74AB">
            <w:pPr>
              <w:pStyle w:val="TableNText"/>
              <w:spacing w:before="120" w:after="120" w:line="252" w:lineRule="auto"/>
              <w:rPr>
                <w:rFonts w:ascii="Arial" w:hAnsi="Arial" w:cs="Arial"/>
                <w:b/>
                <w:sz w:val="22"/>
              </w:rPr>
            </w:pPr>
            <w:r w:rsidRPr="0019569A">
              <w:rPr>
                <w:rFonts w:ascii="Arial" w:hAnsi="Arial" w:cs="Arial"/>
                <w:b/>
                <w:sz w:val="22"/>
              </w:rPr>
              <w:t>Translational Research Infrastructure</w:t>
            </w:r>
          </w:p>
          <w:p w:rsidR="00564BDE" w:rsidRPr="0019569A" w:rsidRDefault="00564BDE" w:rsidP="00CD74AB">
            <w:pPr>
              <w:pStyle w:val="TableNText"/>
              <w:spacing w:before="120" w:after="120" w:line="252" w:lineRule="auto"/>
              <w:rPr>
                <w:rFonts w:ascii="Arial" w:hAnsi="Arial" w:cs="Arial"/>
                <w:sz w:val="22"/>
              </w:rPr>
            </w:pPr>
            <w:r w:rsidRPr="0019569A">
              <w:rPr>
                <w:rFonts w:ascii="Arial" w:hAnsi="Arial" w:cs="Arial"/>
                <w:sz w:val="22"/>
              </w:rPr>
              <w:t xml:space="preserve">Address gaps in early biomedical </w:t>
            </w:r>
            <w:r>
              <w:rPr>
                <w:rFonts w:ascii="Arial" w:hAnsi="Arial" w:cs="Arial"/>
                <w:sz w:val="22"/>
              </w:rPr>
              <w:t>and</w:t>
            </w:r>
            <w:r w:rsidRPr="0019569A">
              <w:rPr>
                <w:rFonts w:ascii="Arial" w:hAnsi="Arial" w:cs="Arial"/>
                <w:sz w:val="22"/>
              </w:rPr>
              <w:t xml:space="preserve"> </w:t>
            </w:r>
            <w:r>
              <w:rPr>
                <w:rFonts w:ascii="Arial" w:hAnsi="Arial" w:cs="Arial"/>
                <w:sz w:val="22"/>
              </w:rPr>
              <w:t xml:space="preserve">medical technology </w:t>
            </w:r>
            <w:r w:rsidRPr="0019569A">
              <w:rPr>
                <w:rFonts w:ascii="Arial" w:hAnsi="Arial" w:cs="Arial"/>
                <w:sz w:val="22"/>
              </w:rPr>
              <w:t>product development by supporting access to expertise and infrastructure in partnership with industry that seeks to accelerate rapid pre-clinical work and evaluation</w:t>
            </w:r>
            <w:r>
              <w:rPr>
                <w:rFonts w:ascii="Arial" w:hAnsi="Arial" w:cs="Arial"/>
                <w:sz w:val="22"/>
              </w:rPr>
              <w:t xml:space="preserve"> and build sustainability in the sector</w:t>
            </w:r>
            <w:r w:rsidRPr="0019569A">
              <w:rPr>
                <w:rFonts w:ascii="Arial" w:hAnsi="Arial" w:cs="Arial"/>
                <w:sz w:val="22"/>
              </w:rPr>
              <w:t>.</w:t>
            </w:r>
          </w:p>
          <w:p w:rsidR="00564BDE" w:rsidRPr="0019569A" w:rsidRDefault="00564BDE" w:rsidP="00CD74AB">
            <w:pPr>
              <w:spacing w:before="120" w:after="120" w:line="252" w:lineRule="auto"/>
              <w:rPr>
                <w:rFonts w:ascii="Arial" w:hAnsi="Arial" w:cs="Arial"/>
                <w:b/>
                <w:szCs w:val="22"/>
              </w:rPr>
            </w:pPr>
          </w:p>
        </w:tc>
        <w:tc>
          <w:tcPr>
            <w:tcW w:w="1822" w:type="pct"/>
            <w:vAlign w:val="center"/>
          </w:tcPr>
          <w:p w:rsidR="00564BDE" w:rsidRPr="0019569A" w:rsidRDefault="00564BDE" w:rsidP="00CD74AB">
            <w:pPr>
              <w:spacing w:before="120" w:after="120" w:line="252" w:lineRule="auto"/>
              <w:rPr>
                <w:rFonts w:ascii="Arial" w:hAnsi="Arial" w:cs="Arial"/>
                <w:b/>
                <w:szCs w:val="22"/>
              </w:rPr>
            </w:pPr>
            <w:r w:rsidRPr="0019569A">
              <w:rPr>
                <w:rFonts w:ascii="Arial" w:hAnsi="Arial" w:cs="Arial"/>
                <w:szCs w:val="22"/>
              </w:rPr>
              <w:t xml:space="preserve">Early drug or device development </w:t>
            </w:r>
            <w:r>
              <w:rPr>
                <w:rFonts w:ascii="Arial" w:hAnsi="Arial" w:cs="Arial"/>
                <w:szCs w:val="22"/>
              </w:rPr>
              <w:t xml:space="preserve">across all stages of the pipeline </w:t>
            </w:r>
            <w:r w:rsidRPr="0019569A">
              <w:rPr>
                <w:rFonts w:ascii="Arial" w:hAnsi="Arial" w:cs="Arial"/>
                <w:szCs w:val="22"/>
              </w:rPr>
              <w:t xml:space="preserve">can suffer from a lack of sufficient threshold evidence critical to attracting future private capital. </w:t>
            </w:r>
            <w:r>
              <w:rPr>
                <w:rFonts w:ascii="Arial" w:hAnsi="Arial" w:cs="Arial"/>
                <w:szCs w:val="22"/>
              </w:rPr>
              <w:t xml:space="preserve">For Australian innovation this sometimes means research needs to ‘go back, before it can go forward’ creating a loss in opportunity. </w:t>
            </w:r>
            <w:r w:rsidRPr="0019569A">
              <w:rPr>
                <w:rFonts w:ascii="Arial" w:hAnsi="Arial" w:cs="Arial"/>
                <w:szCs w:val="22"/>
              </w:rPr>
              <w:t>Research must be rigorous and reproducible to demonstrate investment merit. Better integration with and access to NCRIS support and advanced biomedical translation assets is required to ensure that discoveries are converted to new drug candidates, devices and treatments</w:t>
            </w:r>
            <w:r>
              <w:rPr>
                <w:rFonts w:ascii="Arial" w:hAnsi="Arial" w:cs="Arial"/>
                <w:szCs w:val="22"/>
              </w:rPr>
              <w:t xml:space="preserve"> with quality data and speed</w:t>
            </w:r>
            <w:r w:rsidRPr="0019569A">
              <w:rPr>
                <w:rFonts w:ascii="Arial" w:hAnsi="Arial" w:cs="Arial"/>
                <w:szCs w:val="22"/>
              </w:rPr>
              <w:t>.</w:t>
            </w:r>
            <w:r>
              <w:rPr>
                <w:rFonts w:ascii="Arial" w:hAnsi="Arial" w:cs="Arial"/>
                <w:szCs w:val="22"/>
              </w:rPr>
              <w:t xml:space="preserve"> This will make Australian research more ‘investable’.</w:t>
            </w:r>
          </w:p>
        </w:tc>
        <w:tc>
          <w:tcPr>
            <w:tcW w:w="1666" w:type="pct"/>
            <w:vAlign w:val="center"/>
          </w:tcPr>
          <w:p w:rsidR="00564BDE" w:rsidRDefault="00564BDE" w:rsidP="00CD74AB">
            <w:pPr>
              <w:pStyle w:val="TableNText"/>
              <w:spacing w:before="120" w:after="120" w:line="252" w:lineRule="auto"/>
              <w:rPr>
                <w:rFonts w:ascii="Arial" w:hAnsi="Arial" w:cs="Arial"/>
                <w:sz w:val="22"/>
                <w:lang w:val="en-US"/>
              </w:rPr>
            </w:pPr>
            <w:r>
              <w:rPr>
                <w:rFonts w:ascii="Arial" w:hAnsi="Arial" w:cs="Arial"/>
                <w:sz w:val="22"/>
                <w:lang w:val="en-US"/>
              </w:rPr>
              <w:t>Continue</w:t>
            </w:r>
            <w:r w:rsidRPr="0019569A">
              <w:rPr>
                <w:rFonts w:ascii="Arial" w:hAnsi="Arial" w:cs="Arial"/>
                <w:sz w:val="22"/>
                <w:lang w:val="en-US"/>
              </w:rPr>
              <w:t xml:space="preserve"> investment that complements the MRFF’s existing proof-of-concept supporting programs by provid</w:t>
            </w:r>
            <w:r>
              <w:rPr>
                <w:rFonts w:ascii="Arial" w:hAnsi="Arial" w:cs="Arial"/>
                <w:sz w:val="22"/>
                <w:lang w:val="en-US"/>
              </w:rPr>
              <w:t>ing</w:t>
            </w:r>
            <w:r w:rsidRPr="0019569A">
              <w:rPr>
                <w:rFonts w:ascii="Arial" w:hAnsi="Arial" w:cs="Arial"/>
                <w:sz w:val="22"/>
                <w:lang w:val="en-US"/>
              </w:rPr>
              <w:t xml:space="preserve"> timely and strategic access to expertise and infrastructure</w:t>
            </w:r>
            <w:r>
              <w:rPr>
                <w:rFonts w:ascii="Arial" w:hAnsi="Arial" w:cs="Arial"/>
                <w:sz w:val="22"/>
                <w:lang w:val="en-US"/>
              </w:rPr>
              <w:t xml:space="preserve"> that </w:t>
            </w:r>
            <w:r w:rsidRPr="00AD54A2">
              <w:rPr>
                <w:rFonts w:ascii="Arial" w:hAnsi="Arial" w:cs="Arial"/>
                <w:bCs/>
                <w:sz w:val="22"/>
                <w:lang w:val="en-US"/>
              </w:rPr>
              <w:t>facilitates research into novel biomedical technologies to enable their translation into clinical practice.</w:t>
            </w:r>
            <w:r>
              <w:rPr>
                <w:rFonts w:ascii="Arial" w:hAnsi="Arial" w:cs="Arial"/>
                <w:sz w:val="22"/>
                <w:lang w:val="en-US"/>
              </w:rPr>
              <w:t xml:space="preserve"> </w:t>
            </w:r>
          </w:p>
          <w:p w:rsidR="00564BDE" w:rsidRPr="0019569A" w:rsidRDefault="00564BDE" w:rsidP="00CD74AB">
            <w:pPr>
              <w:pStyle w:val="TableNText"/>
              <w:spacing w:before="120" w:after="120" w:line="252" w:lineRule="auto"/>
              <w:rPr>
                <w:rFonts w:ascii="Arial" w:hAnsi="Arial" w:cs="Arial"/>
                <w:sz w:val="22"/>
                <w:lang w:val="en-US"/>
              </w:rPr>
            </w:pPr>
            <w:r>
              <w:rPr>
                <w:rFonts w:ascii="Arial" w:hAnsi="Arial" w:cs="Arial"/>
                <w:sz w:val="22"/>
                <w:lang w:val="en-US"/>
              </w:rPr>
              <w:t xml:space="preserve">Emphasis should also be placed on building capacity and capability, including through collaboration and partnerships, for example with the philanthropic sector, and links with other Government activities such as initiatives to support advanced manufacturing. </w:t>
            </w:r>
          </w:p>
        </w:tc>
      </w:tr>
    </w:tbl>
    <w:p w:rsidR="00564BDE" w:rsidRPr="00F77F67" w:rsidRDefault="00564BDE" w:rsidP="00564BDE">
      <w:pPr>
        <w:pStyle w:val="ItemHead"/>
        <w:ind w:left="0" w:firstLine="0"/>
      </w:pPr>
    </w:p>
    <w:p w:rsidR="00564BDE" w:rsidRPr="00364B56" w:rsidRDefault="00564BDE" w:rsidP="000D4BBF">
      <w:pPr>
        <w:spacing w:before="120" w:after="120" w:line="240" w:lineRule="auto"/>
        <w:contextualSpacing/>
        <w:outlineLvl w:val="0"/>
      </w:pPr>
    </w:p>
    <w:sectPr w:rsidR="00564BDE" w:rsidRPr="00364B56" w:rsidSect="00BF7404">
      <w:headerReference w:type="even" r:id="rId23"/>
      <w:headerReference w:type="default" r:id="rId24"/>
      <w:headerReference w:type="first" r:id="rId25"/>
      <w:pgSz w:w="11907" w:h="16839"/>
      <w:pgMar w:top="301" w:right="851" w:bottom="1134" w:left="851"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273" w:rsidRDefault="00852273" w:rsidP="0048364F">
      <w:pPr>
        <w:spacing w:line="240" w:lineRule="auto"/>
      </w:pPr>
      <w:r>
        <w:separator/>
      </w:r>
    </w:p>
  </w:endnote>
  <w:endnote w:type="continuationSeparator" w:id="0">
    <w:p w:rsidR="00852273" w:rsidRDefault="0085227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E2" w:rsidRPr="00DE58B3" w:rsidRDefault="00D646E2" w:rsidP="009452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D646E2" w:rsidRPr="00DE58B3" w:rsidTr="007C604B">
      <w:tc>
        <w:tcPr>
          <w:tcW w:w="709" w:type="dxa"/>
          <w:tcBorders>
            <w:top w:val="nil"/>
            <w:left w:val="nil"/>
            <w:bottom w:val="nil"/>
            <w:right w:val="nil"/>
          </w:tcBorders>
        </w:tcPr>
        <w:p w:rsidR="00D646E2" w:rsidRPr="00DE58B3" w:rsidRDefault="00D646E2" w:rsidP="00830B62">
          <w:pPr>
            <w:spacing w:line="0" w:lineRule="atLeast"/>
            <w:rPr>
              <w:rFonts w:cs="Times New Roman"/>
              <w:i/>
              <w:sz w:val="18"/>
            </w:rPr>
          </w:pPr>
          <w:r w:rsidRPr="00DE58B3">
            <w:rPr>
              <w:rFonts w:cs="Times New Roman"/>
              <w:i/>
              <w:sz w:val="18"/>
            </w:rPr>
            <w:fldChar w:fldCharType="begin"/>
          </w:r>
          <w:r w:rsidRPr="00DE58B3">
            <w:rPr>
              <w:rFonts w:cs="Times New Roman"/>
              <w:i/>
              <w:sz w:val="18"/>
            </w:rPr>
            <w:instrText xml:space="preserve"> PAGE </w:instrText>
          </w:r>
          <w:r w:rsidRPr="00DE58B3">
            <w:rPr>
              <w:rFonts w:cs="Times New Roman"/>
              <w:i/>
              <w:sz w:val="18"/>
            </w:rPr>
            <w:fldChar w:fldCharType="separate"/>
          </w:r>
          <w:r w:rsidR="006340D3">
            <w:rPr>
              <w:rFonts w:cs="Times New Roman"/>
              <w:i/>
              <w:noProof/>
              <w:sz w:val="18"/>
            </w:rPr>
            <w:t>ii</w:t>
          </w:r>
          <w:r w:rsidRPr="00DE58B3">
            <w:rPr>
              <w:rFonts w:cs="Times New Roman"/>
              <w:i/>
              <w:sz w:val="18"/>
            </w:rPr>
            <w:fldChar w:fldCharType="end"/>
          </w:r>
        </w:p>
      </w:tc>
      <w:tc>
        <w:tcPr>
          <w:tcW w:w="6379" w:type="dxa"/>
          <w:tcBorders>
            <w:top w:val="nil"/>
            <w:left w:val="nil"/>
            <w:bottom w:val="nil"/>
            <w:right w:val="nil"/>
          </w:tcBorders>
        </w:tcPr>
        <w:p w:rsidR="00D646E2" w:rsidRPr="00DE58B3" w:rsidRDefault="00D646E2" w:rsidP="0019798A">
          <w:pPr>
            <w:spacing w:line="0" w:lineRule="atLeast"/>
            <w:jc w:val="right"/>
            <w:rPr>
              <w:rFonts w:cs="Times New Roman"/>
              <w:i/>
              <w:sz w:val="18"/>
            </w:rPr>
          </w:pPr>
          <w:r w:rsidRPr="00DE58B3">
            <w:rPr>
              <w:rFonts w:cs="Times New Roman"/>
              <w:i/>
              <w:sz w:val="18"/>
            </w:rPr>
            <w:fldChar w:fldCharType="begin"/>
          </w:r>
          <w:r w:rsidRPr="00DE58B3">
            <w:rPr>
              <w:rFonts w:cs="Times New Roman"/>
              <w:i/>
              <w:sz w:val="18"/>
            </w:rPr>
            <w:instrText xml:space="preserve"> DOCPROPERTY ShortT </w:instrText>
          </w:r>
          <w:r w:rsidRPr="00DE58B3">
            <w:rPr>
              <w:rFonts w:cs="Times New Roman"/>
              <w:i/>
              <w:sz w:val="18"/>
            </w:rPr>
            <w:fldChar w:fldCharType="separate"/>
          </w:r>
          <w:r w:rsidR="004F35B2">
            <w:rPr>
              <w:rFonts w:cs="Times New Roman"/>
              <w:i/>
              <w:sz w:val="18"/>
            </w:rPr>
            <w:t>National Health Security (National Notifiable Disease List) Amendment (Vectorborne Diseases) Instrument 2014</w:t>
          </w:r>
          <w:r w:rsidRPr="00DE58B3">
            <w:rPr>
              <w:rFonts w:cs="Times New Roman"/>
              <w:i/>
              <w:sz w:val="18"/>
            </w:rPr>
            <w:fldChar w:fldCharType="end"/>
          </w:r>
        </w:p>
      </w:tc>
      <w:tc>
        <w:tcPr>
          <w:tcW w:w="1384" w:type="dxa"/>
          <w:tcBorders>
            <w:top w:val="nil"/>
            <w:left w:val="nil"/>
            <w:bottom w:val="nil"/>
            <w:right w:val="nil"/>
          </w:tcBorders>
        </w:tcPr>
        <w:p w:rsidR="00D646E2" w:rsidRPr="00DE58B3" w:rsidRDefault="00D646E2" w:rsidP="00830B62">
          <w:pPr>
            <w:spacing w:line="0" w:lineRule="atLeast"/>
            <w:jc w:val="right"/>
            <w:rPr>
              <w:rFonts w:cs="Times New Roman"/>
              <w:i/>
              <w:sz w:val="18"/>
            </w:rPr>
          </w:pPr>
        </w:p>
      </w:tc>
    </w:tr>
  </w:tbl>
  <w:p w:rsidR="00D646E2" w:rsidRPr="00DE58B3" w:rsidRDefault="00D646E2" w:rsidP="00DE58B3">
    <w:pPr>
      <w:rPr>
        <w:rFonts w:cs="Times New Roman"/>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E2" w:rsidRPr="00E33C1C" w:rsidRDefault="00D646E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D646E2" w:rsidTr="007C604B">
      <w:tc>
        <w:tcPr>
          <w:tcW w:w="1383" w:type="dxa"/>
          <w:tcBorders>
            <w:top w:val="nil"/>
            <w:left w:val="nil"/>
            <w:bottom w:val="nil"/>
            <w:right w:val="nil"/>
          </w:tcBorders>
        </w:tcPr>
        <w:p w:rsidR="00D646E2" w:rsidRDefault="00D646E2" w:rsidP="00830B62">
          <w:pPr>
            <w:spacing w:line="0" w:lineRule="atLeast"/>
            <w:rPr>
              <w:sz w:val="18"/>
            </w:rPr>
          </w:pPr>
        </w:p>
      </w:tc>
      <w:tc>
        <w:tcPr>
          <w:tcW w:w="6379" w:type="dxa"/>
          <w:tcBorders>
            <w:top w:val="nil"/>
            <w:left w:val="nil"/>
            <w:bottom w:val="nil"/>
            <w:right w:val="nil"/>
          </w:tcBorders>
        </w:tcPr>
        <w:p w:rsidR="00D646E2" w:rsidRDefault="001745A6" w:rsidP="009F6934">
          <w:pPr>
            <w:spacing w:line="0" w:lineRule="atLeast"/>
            <w:jc w:val="center"/>
            <w:rPr>
              <w:sz w:val="18"/>
            </w:rPr>
          </w:pPr>
          <w:r w:rsidRPr="001745A6">
            <w:rPr>
              <w:i/>
              <w:sz w:val="18"/>
            </w:rPr>
            <w:t xml:space="preserve">Australian Medical Research and Innovation Priorities </w:t>
          </w:r>
          <w:r w:rsidR="009F6934" w:rsidRPr="001745A6">
            <w:rPr>
              <w:i/>
              <w:sz w:val="18"/>
            </w:rPr>
            <w:t>20</w:t>
          </w:r>
          <w:r w:rsidR="00400C05">
            <w:rPr>
              <w:i/>
              <w:sz w:val="18"/>
            </w:rPr>
            <w:t>20</w:t>
          </w:r>
          <w:r w:rsidR="009F6934" w:rsidRPr="001745A6">
            <w:rPr>
              <w:i/>
              <w:sz w:val="18"/>
            </w:rPr>
            <w:t xml:space="preserve"> </w:t>
          </w:r>
          <w:r w:rsidRPr="001745A6">
            <w:rPr>
              <w:i/>
              <w:sz w:val="18"/>
            </w:rPr>
            <w:t xml:space="preserve">– </w:t>
          </w:r>
          <w:r w:rsidR="009F6934" w:rsidRPr="001745A6">
            <w:rPr>
              <w:i/>
              <w:sz w:val="18"/>
            </w:rPr>
            <w:t>20</w:t>
          </w:r>
          <w:r w:rsidR="00400C05">
            <w:rPr>
              <w:i/>
              <w:sz w:val="18"/>
            </w:rPr>
            <w:t>22</w:t>
          </w:r>
        </w:p>
      </w:tc>
      <w:tc>
        <w:tcPr>
          <w:tcW w:w="710" w:type="dxa"/>
          <w:tcBorders>
            <w:top w:val="nil"/>
            <w:left w:val="nil"/>
            <w:bottom w:val="nil"/>
            <w:right w:val="nil"/>
          </w:tcBorders>
        </w:tcPr>
        <w:p w:rsidR="00D646E2" w:rsidRDefault="00D979E6" w:rsidP="00830B62">
          <w:pPr>
            <w:spacing w:line="0" w:lineRule="atLeast"/>
            <w:jc w:val="right"/>
            <w:rPr>
              <w:sz w:val="18"/>
            </w:rPr>
          </w:pPr>
          <w:r w:rsidRPr="00D979E6">
            <w:rPr>
              <w:sz w:val="18"/>
            </w:rPr>
            <w:fldChar w:fldCharType="begin"/>
          </w:r>
          <w:r w:rsidRPr="00D979E6">
            <w:rPr>
              <w:sz w:val="18"/>
            </w:rPr>
            <w:instrText xml:space="preserve"> PAGE   \* MERGEFORMAT </w:instrText>
          </w:r>
          <w:r w:rsidRPr="00D979E6">
            <w:rPr>
              <w:sz w:val="18"/>
            </w:rPr>
            <w:fldChar w:fldCharType="separate"/>
          </w:r>
          <w:r w:rsidR="00D96ADF">
            <w:rPr>
              <w:noProof/>
              <w:sz w:val="18"/>
            </w:rPr>
            <w:t>1</w:t>
          </w:r>
          <w:r w:rsidRPr="00D979E6">
            <w:rPr>
              <w:noProof/>
              <w:sz w:val="18"/>
            </w:rPr>
            <w:fldChar w:fldCharType="end"/>
          </w:r>
        </w:p>
      </w:tc>
    </w:tr>
  </w:tbl>
  <w:p w:rsidR="00D646E2" w:rsidRPr="00ED79B6" w:rsidRDefault="00D646E2" w:rsidP="00F85464">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DE" w:rsidRDefault="00564BDE" w:rsidP="0046236F">
    <w:pPr>
      <w:tabs>
        <w:tab w:val="center" w:pos="4513"/>
        <w:tab w:val="right" w:pos="9923"/>
      </w:tabs>
      <w:spacing w:before="120" w:line="240" w:lineRule="auto"/>
      <w:jc w:val="right"/>
      <w:rPr>
        <w:rFonts w:ascii="Arial" w:eastAsia="Times New Roman" w:hAnsi="Arial" w:cs="Times New Roman"/>
        <w:spacing w:val="4"/>
        <w:sz w:val="18"/>
        <w:szCs w:val="24"/>
        <w:lang w:eastAsia="en-AU"/>
      </w:rPr>
    </w:pPr>
  </w:p>
  <w:p w:rsidR="00564BDE" w:rsidRPr="0046236F" w:rsidRDefault="00564BDE" w:rsidP="0046236F">
    <w:pPr>
      <w:tabs>
        <w:tab w:val="center" w:pos="4513"/>
        <w:tab w:val="right" w:pos="9923"/>
      </w:tabs>
      <w:spacing w:before="120" w:line="240" w:lineRule="auto"/>
      <w:jc w:val="right"/>
      <w:rPr>
        <w:rFonts w:ascii="Arial" w:eastAsia="Times New Roman" w:hAnsi="Arial" w:cs="Times New Roman"/>
        <w:spacing w:val="4"/>
        <w:sz w:val="24"/>
        <w:szCs w:val="24"/>
        <w:lang w:eastAsia="en-AU"/>
      </w:rPr>
    </w:pPr>
    <w:r>
      <w:rPr>
        <w:noProof/>
        <w:lang w:eastAsia="en-AU"/>
      </w:rPr>
      <w:drawing>
        <wp:anchor distT="0" distB="0" distL="114300" distR="114300" simplePos="0" relativeHeight="251656192" behindDoc="1" locked="0" layoutInCell="0" allowOverlap="1" wp14:anchorId="5F94E7D7" wp14:editId="6E8F02DC">
          <wp:simplePos x="0" y="0"/>
          <wp:positionH relativeFrom="margin">
            <wp:posOffset>3979545</wp:posOffset>
          </wp:positionH>
          <wp:positionV relativeFrom="margin">
            <wp:posOffset>6691630</wp:posOffset>
          </wp:positionV>
          <wp:extent cx="2231390" cy="2195830"/>
          <wp:effectExtent l="0" t="0" r="0" b="0"/>
          <wp:wrapNone/>
          <wp:docPr id="9" name="Picture 9" descr="hex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x cr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21958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eastAsia="Times New Roman" w:hAnsi="Arial" w:cs="Times New Roman"/>
          <w:spacing w:val="4"/>
          <w:sz w:val="18"/>
          <w:szCs w:val="24"/>
          <w:lang w:eastAsia="en-AU"/>
        </w:rPr>
        <w:id w:val="-939683205"/>
        <w:docPartObj>
          <w:docPartGallery w:val="Page Numbers (Bottom of Page)"/>
          <w:docPartUnique/>
        </w:docPartObj>
      </w:sdtPr>
      <w:sdtEndPr>
        <w:rPr>
          <w:noProof/>
        </w:rPr>
      </w:sdtEndPr>
      <w:sdtContent>
        <w:r w:rsidRPr="0046236F">
          <w:rPr>
            <w:rFonts w:ascii="Arial" w:eastAsia="Times New Roman" w:hAnsi="Arial" w:cs="Times New Roman"/>
            <w:spacing w:val="4"/>
            <w:sz w:val="18"/>
            <w:szCs w:val="24"/>
            <w:lang w:eastAsia="en-AU"/>
          </w:rPr>
          <w:t xml:space="preserve">Australian Medical Research and Innovation Priorities </w:t>
        </w:r>
        <w:r>
          <w:rPr>
            <w:rFonts w:ascii="Arial" w:eastAsia="Times New Roman" w:hAnsi="Arial" w:cs="Times New Roman"/>
            <w:spacing w:val="4"/>
            <w:sz w:val="18"/>
            <w:szCs w:val="24"/>
            <w:lang w:eastAsia="en-AU"/>
          </w:rPr>
          <w:t>2020-2022</w:t>
        </w:r>
        <w:r w:rsidRPr="0046236F">
          <w:rPr>
            <w:rFonts w:ascii="Arial" w:eastAsia="Times New Roman" w:hAnsi="Arial" w:cs="Times New Roman"/>
            <w:spacing w:val="4"/>
            <w:sz w:val="18"/>
            <w:szCs w:val="24"/>
            <w:lang w:eastAsia="en-AU"/>
          </w:rPr>
          <w:tab/>
        </w:r>
        <w:r w:rsidRPr="0046236F">
          <w:rPr>
            <w:rFonts w:ascii="Arial" w:eastAsia="Times New Roman" w:hAnsi="Arial" w:cs="Times New Roman"/>
            <w:spacing w:val="4"/>
            <w:sz w:val="18"/>
            <w:szCs w:val="24"/>
            <w:lang w:eastAsia="en-AU"/>
          </w:rPr>
          <w:fldChar w:fldCharType="begin"/>
        </w:r>
        <w:r w:rsidRPr="0046236F">
          <w:rPr>
            <w:rFonts w:ascii="Arial" w:eastAsia="Times New Roman" w:hAnsi="Arial" w:cs="Times New Roman"/>
            <w:spacing w:val="4"/>
            <w:sz w:val="18"/>
            <w:szCs w:val="24"/>
            <w:lang w:eastAsia="en-AU"/>
          </w:rPr>
          <w:instrText xml:space="preserve"> PAGE   \* MERGEFORMAT </w:instrText>
        </w:r>
        <w:r w:rsidRPr="0046236F">
          <w:rPr>
            <w:rFonts w:ascii="Arial" w:eastAsia="Times New Roman" w:hAnsi="Arial" w:cs="Times New Roman"/>
            <w:spacing w:val="4"/>
            <w:sz w:val="18"/>
            <w:szCs w:val="24"/>
            <w:lang w:eastAsia="en-AU"/>
          </w:rPr>
          <w:fldChar w:fldCharType="separate"/>
        </w:r>
        <w:r w:rsidR="00D96ADF">
          <w:rPr>
            <w:rFonts w:ascii="Arial" w:eastAsia="Times New Roman" w:hAnsi="Arial" w:cs="Times New Roman"/>
            <w:noProof/>
            <w:spacing w:val="4"/>
            <w:sz w:val="18"/>
            <w:szCs w:val="24"/>
            <w:lang w:eastAsia="en-AU"/>
          </w:rPr>
          <w:t>8</w:t>
        </w:r>
        <w:r w:rsidRPr="0046236F">
          <w:rPr>
            <w:rFonts w:ascii="Arial" w:eastAsia="Times New Roman" w:hAnsi="Arial" w:cs="Times New Roman"/>
            <w:noProof/>
            <w:spacing w:val="4"/>
            <w:sz w:val="18"/>
            <w:szCs w:val="24"/>
            <w:lang w:eastAsia="en-AU"/>
          </w:rPr>
          <w:fldChar w:fldCharType="end"/>
        </w:r>
      </w:sdtContent>
    </w:sdt>
  </w:p>
  <w:p w:rsidR="00564BDE" w:rsidRPr="0046236F" w:rsidRDefault="00564BDE" w:rsidP="00462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273" w:rsidRDefault="00852273" w:rsidP="0048364F">
      <w:pPr>
        <w:spacing w:line="240" w:lineRule="auto"/>
      </w:pPr>
      <w:r>
        <w:separator/>
      </w:r>
    </w:p>
  </w:footnote>
  <w:footnote w:type="continuationSeparator" w:id="0">
    <w:p w:rsidR="00852273" w:rsidRDefault="00852273" w:rsidP="0048364F">
      <w:pPr>
        <w:spacing w:line="240" w:lineRule="auto"/>
      </w:pPr>
      <w:r>
        <w:continuationSeparator/>
      </w:r>
    </w:p>
  </w:footnote>
  <w:footnote w:id="1">
    <w:p w:rsidR="00564BDE" w:rsidRDefault="00564BDE" w:rsidP="00564BDE">
      <w:pPr>
        <w:pStyle w:val="FootnoteText"/>
      </w:pPr>
      <w:r>
        <w:rPr>
          <w:rStyle w:val="FootnoteReference"/>
        </w:rPr>
        <w:footnoteRef/>
      </w:r>
      <w:r>
        <w:t xml:space="preserve"> includes Aboriginal and Torres Strait Islander people; those living in rural and remote areas; people with disability; lesbian, gay, bisexual, transgender and intersex people (LGBTI); and those from culturally and linguistically diverse backgrounds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E2" w:rsidRPr="00ED79B6" w:rsidRDefault="00D96ADF" w:rsidP="00220A0C">
    <w:pPr>
      <w:pBdr>
        <w:bottom w:val="single" w:sz="6" w:space="1" w:color="auto"/>
      </w:pBdr>
      <w:spacing w:before="1000"/>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0" type="#_x0000_t75" style="position:absolute;margin-left:0;margin-top:0;width:175.7pt;height:172.9pt;z-index:-251655168;mso-position-horizontal:center;mso-position-horizontal-relative:margin;mso-position-vertical:center;mso-position-vertical-relative:margin" o:allowincell="f">
          <v:imagedata r:id="rId1" o:title="hex crop"/>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B3" w:rsidRDefault="005F3531">
    <w:pPr>
      <w:pStyle w:val="Header"/>
    </w:pPr>
    <w:r>
      <w:rPr>
        <w:noProof/>
      </w:rPr>
      <w:drawing>
        <wp:anchor distT="0" distB="0" distL="114300" distR="114300" simplePos="0" relativeHeight="251659264" behindDoc="1" locked="0" layoutInCell="0" allowOverlap="1" wp14:anchorId="5D00ED58" wp14:editId="079E3432">
          <wp:simplePos x="0" y="0"/>
          <wp:positionH relativeFrom="margin">
            <wp:align>center</wp:align>
          </wp:positionH>
          <wp:positionV relativeFrom="margin">
            <wp:align>center</wp:align>
          </wp:positionV>
          <wp:extent cx="2231390" cy="2195830"/>
          <wp:effectExtent l="0" t="0" r="0" b="0"/>
          <wp:wrapNone/>
          <wp:docPr id="2" name="Picture 2" descr="hex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x cr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21958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2A" w:rsidRPr="00436231" w:rsidRDefault="00D96ADF" w:rsidP="0043623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B3" w:rsidRDefault="005F3531">
    <w:pPr>
      <w:pStyle w:val="Header"/>
    </w:pPr>
    <w:r>
      <w:rPr>
        <w:noProof/>
      </w:rPr>
      <w:drawing>
        <wp:anchor distT="0" distB="0" distL="114300" distR="114300" simplePos="0" relativeHeight="251657216" behindDoc="1" locked="0" layoutInCell="0" allowOverlap="1" wp14:anchorId="5B4512DE" wp14:editId="03F1AB0A">
          <wp:simplePos x="0" y="0"/>
          <wp:positionH relativeFrom="margin">
            <wp:align>center</wp:align>
          </wp:positionH>
          <wp:positionV relativeFrom="margin">
            <wp:align>center</wp:align>
          </wp:positionV>
          <wp:extent cx="2231390" cy="2195830"/>
          <wp:effectExtent l="0" t="0" r="0" b="0"/>
          <wp:wrapNone/>
          <wp:docPr id="3" name="Picture 3" descr="hex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x cr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21958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E2" w:rsidRPr="00ED79B6" w:rsidRDefault="00D646E2" w:rsidP="00220A0C">
    <w:pPr>
      <w:pBdr>
        <w:bottom w:val="single" w:sz="6"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E2" w:rsidRPr="00ED79B6" w:rsidRDefault="00D646E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B3" w:rsidRDefault="000D4BBF">
    <w:pPr>
      <w:pStyle w:val="Header"/>
    </w:pPr>
    <w:r>
      <w:rPr>
        <w:noProof/>
      </w:rPr>
      <w:drawing>
        <wp:anchor distT="0" distB="0" distL="114300" distR="114300" simplePos="0" relativeHeight="251655168" behindDoc="1" locked="0" layoutInCell="0" allowOverlap="1" wp14:anchorId="7F2B52D5" wp14:editId="3C15B2E2">
          <wp:simplePos x="0" y="0"/>
          <wp:positionH relativeFrom="margin">
            <wp:align>center</wp:align>
          </wp:positionH>
          <wp:positionV relativeFrom="margin">
            <wp:align>center</wp:align>
          </wp:positionV>
          <wp:extent cx="2231390" cy="2195830"/>
          <wp:effectExtent l="0" t="0" r="0" b="0"/>
          <wp:wrapNone/>
          <wp:docPr id="4" name="Picture 4" descr="hex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x cr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21958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2A" w:rsidRPr="00436231" w:rsidRDefault="00D96ADF" w:rsidP="004362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B3" w:rsidRDefault="000D4BBF">
    <w:pPr>
      <w:pStyle w:val="Header"/>
    </w:pPr>
    <w:r>
      <w:rPr>
        <w:noProof/>
      </w:rPr>
      <w:drawing>
        <wp:anchor distT="0" distB="0" distL="114300" distR="114300" simplePos="0" relativeHeight="251654144" behindDoc="1" locked="0" layoutInCell="0" allowOverlap="1" wp14:anchorId="0756CA8F" wp14:editId="27A57B09">
          <wp:simplePos x="0" y="0"/>
          <wp:positionH relativeFrom="margin">
            <wp:align>center</wp:align>
          </wp:positionH>
          <wp:positionV relativeFrom="margin">
            <wp:align>center</wp:align>
          </wp:positionV>
          <wp:extent cx="2231390" cy="2195830"/>
          <wp:effectExtent l="0" t="0" r="0" b="0"/>
          <wp:wrapNone/>
          <wp:docPr id="5" name="Picture 5" descr="hex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x cr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21958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DE" w:rsidRDefault="00564BDE">
    <w:pPr>
      <w:pStyle w:val="Header"/>
    </w:pPr>
    <w:r>
      <w:rPr>
        <w:noProof/>
      </w:rPr>
      <w:drawing>
        <wp:anchor distT="0" distB="0" distL="114300" distR="114300" simplePos="0" relativeHeight="251660288" behindDoc="1" locked="0" layoutInCell="0" allowOverlap="1" wp14:anchorId="78DC00D1" wp14:editId="2B185580">
          <wp:simplePos x="0" y="0"/>
          <wp:positionH relativeFrom="margin">
            <wp:align>center</wp:align>
          </wp:positionH>
          <wp:positionV relativeFrom="margin">
            <wp:align>center</wp:align>
          </wp:positionV>
          <wp:extent cx="2231390" cy="2195830"/>
          <wp:effectExtent l="0" t="0" r="0" b="0"/>
          <wp:wrapNone/>
          <wp:docPr id="6" name="Picture 6" descr="hex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x cr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21958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DE" w:rsidRPr="00A961C4" w:rsidRDefault="00564BD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t>Schedule</w:t>
    </w:r>
  </w:p>
  <w:p w:rsidR="00564BDE" w:rsidRPr="00A961C4" w:rsidRDefault="00564BD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D96ADF">
      <w:rPr>
        <w:noProof/>
        <w:sz w:val="20"/>
      </w:rPr>
      <w:cr/>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64BDE" w:rsidRPr="00A961C4" w:rsidRDefault="00564BDE"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DE" w:rsidRDefault="00564BDE">
    <w:pPr>
      <w:pStyle w:val="Header"/>
    </w:pPr>
    <w:r>
      <w:rPr>
        <w:noProof/>
      </w:rPr>
      <w:drawing>
        <wp:anchor distT="0" distB="0" distL="114300" distR="114300" simplePos="0" relativeHeight="251658240" behindDoc="1" locked="0" layoutInCell="0" allowOverlap="1" wp14:anchorId="7F6DB75E" wp14:editId="2F207E52">
          <wp:simplePos x="0" y="0"/>
          <wp:positionH relativeFrom="margin">
            <wp:align>center</wp:align>
          </wp:positionH>
          <wp:positionV relativeFrom="margin">
            <wp:align>center</wp:align>
          </wp:positionV>
          <wp:extent cx="2231390" cy="2195830"/>
          <wp:effectExtent l="0" t="0" r="0" b="0"/>
          <wp:wrapNone/>
          <wp:docPr id="13" name="Picture 13" descr="hex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x cr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21958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E8EC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DC3F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3E1F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E41A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8229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E4A7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82F0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5A55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4C1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1038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6537F"/>
    <w:multiLevelType w:val="hybridMultilevel"/>
    <w:tmpl w:val="AD8EC278"/>
    <w:lvl w:ilvl="0" w:tplc="921EFE20">
      <w:start w:val="1"/>
      <w:numFmt w:val="decimal"/>
      <w:pStyle w:val="ListBullet-Number"/>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EC03A5"/>
    <w:multiLevelType w:val="hybridMultilevel"/>
    <w:tmpl w:val="DBFCF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CD9148F"/>
    <w:multiLevelType w:val="hybridMultilevel"/>
    <w:tmpl w:val="BF1E77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FAA4874"/>
    <w:multiLevelType w:val="hybridMultilevel"/>
    <w:tmpl w:val="A38A7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4"/>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DB"/>
    <w:rsid w:val="00000263"/>
    <w:rsid w:val="000113BC"/>
    <w:rsid w:val="00011B2F"/>
    <w:rsid w:val="000136AF"/>
    <w:rsid w:val="00014EB4"/>
    <w:rsid w:val="00015339"/>
    <w:rsid w:val="0004044E"/>
    <w:rsid w:val="0004209E"/>
    <w:rsid w:val="0005120E"/>
    <w:rsid w:val="00054577"/>
    <w:rsid w:val="000561B3"/>
    <w:rsid w:val="000614BF"/>
    <w:rsid w:val="0007169C"/>
    <w:rsid w:val="00077593"/>
    <w:rsid w:val="00083F48"/>
    <w:rsid w:val="000A7DF9"/>
    <w:rsid w:val="000C144F"/>
    <w:rsid w:val="000C5410"/>
    <w:rsid w:val="000D05EF"/>
    <w:rsid w:val="000D4BBF"/>
    <w:rsid w:val="000D5485"/>
    <w:rsid w:val="000E6496"/>
    <w:rsid w:val="000F21C1"/>
    <w:rsid w:val="0010745C"/>
    <w:rsid w:val="00107BC8"/>
    <w:rsid w:val="00117277"/>
    <w:rsid w:val="001202DB"/>
    <w:rsid w:val="00150853"/>
    <w:rsid w:val="00160BD7"/>
    <w:rsid w:val="001643C9"/>
    <w:rsid w:val="00165568"/>
    <w:rsid w:val="00166082"/>
    <w:rsid w:val="00166C2F"/>
    <w:rsid w:val="001716C9"/>
    <w:rsid w:val="0017205C"/>
    <w:rsid w:val="001745A6"/>
    <w:rsid w:val="00184261"/>
    <w:rsid w:val="00193461"/>
    <w:rsid w:val="001939E1"/>
    <w:rsid w:val="00195382"/>
    <w:rsid w:val="00195DA2"/>
    <w:rsid w:val="0019798A"/>
    <w:rsid w:val="001A3B9F"/>
    <w:rsid w:val="001A422B"/>
    <w:rsid w:val="001A4DBE"/>
    <w:rsid w:val="001A65C0"/>
    <w:rsid w:val="001B6456"/>
    <w:rsid w:val="001B7A5D"/>
    <w:rsid w:val="001C69C4"/>
    <w:rsid w:val="001D3A23"/>
    <w:rsid w:val="001D4554"/>
    <w:rsid w:val="001D6F69"/>
    <w:rsid w:val="001E0A8D"/>
    <w:rsid w:val="001E3590"/>
    <w:rsid w:val="001E7407"/>
    <w:rsid w:val="001F33A0"/>
    <w:rsid w:val="001F4CC6"/>
    <w:rsid w:val="00201D27"/>
    <w:rsid w:val="00211382"/>
    <w:rsid w:val="00220A0C"/>
    <w:rsid w:val="00223E4A"/>
    <w:rsid w:val="002302EA"/>
    <w:rsid w:val="00240749"/>
    <w:rsid w:val="002468D7"/>
    <w:rsid w:val="00253A13"/>
    <w:rsid w:val="0027371F"/>
    <w:rsid w:val="0028045A"/>
    <w:rsid w:val="00285CDD"/>
    <w:rsid w:val="00291167"/>
    <w:rsid w:val="00297ECB"/>
    <w:rsid w:val="002A3A7B"/>
    <w:rsid w:val="002C152A"/>
    <w:rsid w:val="002C3397"/>
    <w:rsid w:val="002D043A"/>
    <w:rsid w:val="002D279A"/>
    <w:rsid w:val="002D2B9C"/>
    <w:rsid w:val="002E1C1A"/>
    <w:rsid w:val="00307F04"/>
    <w:rsid w:val="0031713F"/>
    <w:rsid w:val="00332E0D"/>
    <w:rsid w:val="003415D3"/>
    <w:rsid w:val="00346335"/>
    <w:rsid w:val="00352B0F"/>
    <w:rsid w:val="003561B0"/>
    <w:rsid w:val="00364B56"/>
    <w:rsid w:val="0037740C"/>
    <w:rsid w:val="00391E0E"/>
    <w:rsid w:val="003A15AC"/>
    <w:rsid w:val="003A1645"/>
    <w:rsid w:val="003B0627"/>
    <w:rsid w:val="003C0EA1"/>
    <w:rsid w:val="003C5F2B"/>
    <w:rsid w:val="003D0BFE"/>
    <w:rsid w:val="003D4D79"/>
    <w:rsid w:val="003D5700"/>
    <w:rsid w:val="003E7D7A"/>
    <w:rsid w:val="003F0F5A"/>
    <w:rsid w:val="00400A30"/>
    <w:rsid w:val="00400C05"/>
    <w:rsid w:val="004022CA"/>
    <w:rsid w:val="004079A3"/>
    <w:rsid w:val="004116CD"/>
    <w:rsid w:val="00414ADE"/>
    <w:rsid w:val="00424CA9"/>
    <w:rsid w:val="004257BB"/>
    <w:rsid w:val="004351BC"/>
    <w:rsid w:val="0044291A"/>
    <w:rsid w:val="00460499"/>
    <w:rsid w:val="0046236F"/>
    <w:rsid w:val="004632BE"/>
    <w:rsid w:val="00474835"/>
    <w:rsid w:val="00476F21"/>
    <w:rsid w:val="004819C7"/>
    <w:rsid w:val="0048364F"/>
    <w:rsid w:val="00490F2E"/>
    <w:rsid w:val="00492F51"/>
    <w:rsid w:val="00496F97"/>
    <w:rsid w:val="004A53EA"/>
    <w:rsid w:val="004D7A48"/>
    <w:rsid w:val="004F1FAC"/>
    <w:rsid w:val="004F35B2"/>
    <w:rsid w:val="004F676E"/>
    <w:rsid w:val="00512A81"/>
    <w:rsid w:val="00516B8D"/>
    <w:rsid w:val="0052756C"/>
    <w:rsid w:val="00530230"/>
    <w:rsid w:val="00530CC9"/>
    <w:rsid w:val="00537FBC"/>
    <w:rsid w:val="00541D73"/>
    <w:rsid w:val="00543469"/>
    <w:rsid w:val="00546FA3"/>
    <w:rsid w:val="00554243"/>
    <w:rsid w:val="00557C7A"/>
    <w:rsid w:val="00562A58"/>
    <w:rsid w:val="00564BDE"/>
    <w:rsid w:val="00577A49"/>
    <w:rsid w:val="00581211"/>
    <w:rsid w:val="00584811"/>
    <w:rsid w:val="00590AD0"/>
    <w:rsid w:val="00591D84"/>
    <w:rsid w:val="00593AA6"/>
    <w:rsid w:val="00594161"/>
    <w:rsid w:val="00594749"/>
    <w:rsid w:val="005B4067"/>
    <w:rsid w:val="005C3F41"/>
    <w:rsid w:val="005D5EA1"/>
    <w:rsid w:val="005D6DD1"/>
    <w:rsid w:val="005E427C"/>
    <w:rsid w:val="005E61D3"/>
    <w:rsid w:val="005F0303"/>
    <w:rsid w:val="005F3531"/>
    <w:rsid w:val="005F7738"/>
    <w:rsid w:val="00600219"/>
    <w:rsid w:val="0060106E"/>
    <w:rsid w:val="006158AC"/>
    <w:rsid w:val="00625FCA"/>
    <w:rsid w:val="006272D7"/>
    <w:rsid w:val="00632BE8"/>
    <w:rsid w:val="006340D3"/>
    <w:rsid w:val="00640402"/>
    <w:rsid w:val="00640F78"/>
    <w:rsid w:val="00646E7B"/>
    <w:rsid w:val="00655B25"/>
    <w:rsid w:val="00655D6A"/>
    <w:rsid w:val="00656DE9"/>
    <w:rsid w:val="0067238D"/>
    <w:rsid w:val="00677CC2"/>
    <w:rsid w:val="00685F42"/>
    <w:rsid w:val="006866A1"/>
    <w:rsid w:val="0069207B"/>
    <w:rsid w:val="006949B2"/>
    <w:rsid w:val="00695090"/>
    <w:rsid w:val="006A4309"/>
    <w:rsid w:val="006B2EEB"/>
    <w:rsid w:val="006B7006"/>
    <w:rsid w:val="006C3C53"/>
    <w:rsid w:val="006C7F8C"/>
    <w:rsid w:val="006D4D28"/>
    <w:rsid w:val="006D7AB9"/>
    <w:rsid w:val="00700B2C"/>
    <w:rsid w:val="00707C5D"/>
    <w:rsid w:val="00713084"/>
    <w:rsid w:val="00720FC2"/>
    <w:rsid w:val="007264F3"/>
    <w:rsid w:val="0072746A"/>
    <w:rsid w:val="00731E00"/>
    <w:rsid w:val="00732E9D"/>
    <w:rsid w:val="007336CC"/>
    <w:rsid w:val="0073491A"/>
    <w:rsid w:val="00740569"/>
    <w:rsid w:val="007440B7"/>
    <w:rsid w:val="00747993"/>
    <w:rsid w:val="007634AD"/>
    <w:rsid w:val="007715C9"/>
    <w:rsid w:val="00774EDD"/>
    <w:rsid w:val="007757EC"/>
    <w:rsid w:val="0079596D"/>
    <w:rsid w:val="007A086F"/>
    <w:rsid w:val="007A35E6"/>
    <w:rsid w:val="007A493C"/>
    <w:rsid w:val="007A6863"/>
    <w:rsid w:val="007C4423"/>
    <w:rsid w:val="007C604B"/>
    <w:rsid w:val="007C6254"/>
    <w:rsid w:val="007D45C1"/>
    <w:rsid w:val="007E7D4A"/>
    <w:rsid w:val="007F48ED"/>
    <w:rsid w:val="007F7947"/>
    <w:rsid w:val="00806795"/>
    <w:rsid w:val="008124AA"/>
    <w:rsid w:val="00812F45"/>
    <w:rsid w:val="00817662"/>
    <w:rsid w:val="00840EA5"/>
    <w:rsid w:val="0084172C"/>
    <w:rsid w:val="00844B4F"/>
    <w:rsid w:val="00852273"/>
    <w:rsid w:val="00853C21"/>
    <w:rsid w:val="00856A31"/>
    <w:rsid w:val="008754D0"/>
    <w:rsid w:val="0087608F"/>
    <w:rsid w:val="00877C3B"/>
    <w:rsid w:val="00877D48"/>
    <w:rsid w:val="0088345B"/>
    <w:rsid w:val="008A16A5"/>
    <w:rsid w:val="008B1497"/>
    <w:rsid w:val="008C7C82"/>
    <w:rsid w:val="008D0EE0"/>
    <w:rsid w:val="008D5B99"/>
    <w:rsid w:val="008D7A27"/>
    <w:rsid w:val="008E1B57"/>
    <w:rsid w:val="008E4455"/>
    <w:rsid w:val="008E4702"/>
    <w:rsid w:val="008E69AA"/>
    <w:rsid w:val="008F4F1C"/>
    <w:rsid w:val="009049B9"/>
    <w:rsid w:val="00922764"/>
    <w:rsid w:val="00932377"/>
    <w:rsid w:val="00940373"/>
    <w:rsid w:val="0094523D"/>
    <w:rsid w:val="00976A63"/>
    <w:rsid w:val="00983419"/>
    <w:rsid w:val="009929BC"/>
    <w:rsid w:val="00994D71"/>
    <w:rsid w:val="009C3431"/>
    <w:rsid w:val="009C5989"/>
    <w:rsid w:val="009D08DA"/>
    <w:rsid w:val="009F5463"/>
    <w:rsid w:val="009F6934"/>
    <w:rsid w:val="00A06860"/>
    <w:rsid w:val="00A136F5"/>
    <w:rsid w:val="00A231E2"/>
    <w:rsid w:val="00A2550D"/>
    <w:rsid w:val="00A4169B"/>
    <w:rsid w:val="00A50A49"/>
    <w:rsid w:val="00A50D55"/>
    <w:rsid w:val="00A5165B"/>
    <w:rsid w:val="00A52FDA"/>
    <w:rsid w:val="00A56535"/>
    <w:rsid w:val="00A64912"/>
    <w:rsid w:val="00A70A74"/>
    <w:rsid w:val="00A73D0B"/>
    <w:rsid w:val="00A73E56"/>
    <w:rsid w:val="00A74A77"/>
    <w:rsid w:val="00A87C8C"/>
    <w:rsid w:val="00AA0343"/>
    <w:rsid w:val="00AB414A"/>
    <w:rsid w:val="00AD3467"/>
    <w:rsid w:val="00AD5641"/>
    <w:rsid w:val="00AE0F9B"/>
    <w:rsid w:val="00AF3249"/>
    <w:rsid w:val="00AF55FF"/>
    <w:rsid w:val="00B032D8"/>
    <w:rsid w:val="00B04ED3"/>
    <w:rsid w:val="00B071A8"/>
    <w:rsid w:val="00B10038"/>
    <w:rsid w:val="00B136DA"/>
    <w:rsid w:val="00B321DB"/>
    <w:rsid w:val="00B33B3C"/>
    <w:rsid w:val="00B40D74"/>
    <w:rsid w:val="00B52663"/>
    <w:rsid w:val="00B56DCB"/>
    <w:rsid w:val="00B770D2"/>
    <w:rsid w:val="00BA47A3"/>
    <w:rsid w:val="00BA5026"/>
    <w:rsid w:val="00BB2E50"/>
    <w:rsid w:val="00BB6E79"/>
    <w:rsid w:val="00BE3B31"/>
    <w:rsid w:val="00BE6BC8"/>
    <w:rsid w:val="00BE719A"/>
    <w:rsid w:val="00BE720A"/>
    <w:rsid w:val="00BF6650"/>
    <w:rsid w:val="00C067E5"/>
    <w:rsid w:val="00C07598"/>
    <w:rsid w:val="00C164CA"/>
    <w:rsid w:val="00C42BF8"/>
    <w:rsid w:val="00C460AE"/>
    <w:rsid w:val="00C50043"/>
    <w:rsid w:val="00C50A0F"/>
    <w:rsid w:val="00C5370A"/>
    <w:rsid w:val="00C61F0A"/>
    <w:rsid w:val="00C7573B"/>
    <w:rsid w:val="00C76CF3"/>
    <w:rsid w:val="00C9028F"/>
    <w:rsid w:val="00CA6F73"/>
    <w:rsid w:val="00CA7844"/>
    <w:rsid w:val="00CB58EF"/>
    <w:rsid w:val="00CB76AA"/>
    <w:rsid w:val="00CC4AC4"/>
    <w:rsid w:val="00CD5BEF"/>
    <w:rsid w:val="00CD6D7C"/>
    <w:rsid w:val="00CE7D64"/>
    <w:rsid w:val="00CF0BB2"/>
    <w:rsid w:val="00CF2A9D"/>
    <w:rsid w:val="00D13441"/>
    <w:rsid w:val="00D243A3"/>
    <w:rsid w:val="00D24459"/>
    <w:rsid w:val="00D3200B"/>
    <w:rsid w:val="00D33440"/>
    <w:rsid w:val="00D45A6F"/>
    <w:rsid w:val="00D52EFE"/>
    <w:rsid w:val="00D56A0D"/>
    <w:rsid w:val="00D6384D"/>
    <w:rsid w:val="00D63EF6"/>
    <w:rsid w:val="00D646E2"/>
    <w:rsid w:val="00D66518"/>
    <w:rsid w:val="00D70DFB"/>
    <w:rsid w:val="00D71EEA"/>
    <w:rsid w:val="00D735CD"/>
    <w:rsid w:val="00D766DF"/>
    <w:rsid w:val="00D7769D"/>
    <w:rsid w:val="00D90DE2"/>
    <w:rsid w:val="00D95891"/>
    <w:rsid w:val="00D96ADF"/>
    <w:rsid w:val="00D979E6"/>
    <w:rsid w:val="00DA4FE4"/>
    <w:rsid w:val="00DB5CB4"/>
    <w:rsid w:val="00DE149E"/>
    <w:rsid w:val="00DE58B3"/>
    <w:rsid w:val="00E004C7"/>
    <w:rsid w:val="00E00654"/>
    <w:rsid w:val="00E012A6"/>
    <w:rsid w:val="00E03E44"/>
    <w:rsid w:val="00E05704"/>
    <w:rsid w:val="00E12F1A"/>
    <w:rsid w:val="00E21CFB"/>
    <w:rsid w:val="00E22935"/>
    <w:rsid w:val="00E54292"/>
    <w:rsid w:val="00E60191"/>
    <w:rsid w:val="00E74DC7"/>
    <w:rsid w:val="00E87699"/>
    <w:rsid w:val="00E87AB1"/>
    <w:rsid w:val="00E92E27"/>
    <w:rsid w:val="00E95451"/>
    <w:rsid w:val="00E9586B"/>
    <w:rsid w:val="00E97334"/>
    <w:rsid w:val="00E9748F"/>
    <w:rsid w:val="00E97867"/>
    <w:rsid w:val="00ED4928"/>
    <w:rsid w:val="00EE6190"/>
    <w:rsid w:val="00EF2E3A"/>
    <w:rsid w:val="00EF6402"/>
    <w:rsid w:val="00F020DF"/>
    <w:rsid w:val="00F047E2"/>
    <w:rsid w:val="00F04D57"/>
    <w:rsid w:val="00F078DC"/>
    <w:rsid w:val="00F13E86"/>
    <w:rsid w:val="00F32FCB"/>
    <w:rsid w:val="00F4041A"/>
    <w:rsid w:val="00F405B6"/>
    <w:rsid w:val="00F41D3F"/>
    <w:rsid w:val="00F46741"/>
    <w:rsid w:val="00F62651"/>
    <w:rsid w:val="00F651CF"/>
    <w:rsid w:val="00F66264"/>
    <w:rsid w:val="00F677A9"/>
    <w:rsid w:val="00F72F6C"/>
    <w:rsid w:val="00F732EA"/>
    <w:rsid w:val="00F84CF5"/>
    <w:rsid w:val="00F85464"/>
    <w:rsid w:val="00F8612E"/>
    <w:rsid w:val="00F95372"/>
    <w:rsid w:val="00FA420B"/>
    <w:rsid w:val="00FC0064"/>
    <w:rsid w:val="00FC25E2"/>
    <w:rsid w:val="00FD4DEE"/>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604B"/>
    <w:pPr>
      <w:spacing w:line="260" w:lineRule="atLeast"/>
    </w:pPr>
    <w:rPr>
      <w:sz w:val="22"/>
    </w:rPr>
  </w:style>
  <w:style w:type="paragraph" w:styleId="Heading1">
    <w:name w:val="heading 1"/>
    <w:basedOn w:val="Normal"/>
    <w:next w:val="Normal"/>
    <w:link w:val="Heading1Char"/>
    <w:uiPriority w:val="2"/>
    <w:qFormat/>
    <w:rsid w:val="0046236F"/>
    <w:pPr>
      <w:spacing w:before="360" w:after="120" w:line="240" w:lineRule="auto"/>
      <w:contextualSpacing/>
      <w:outlineLvl w:val="0"/>
    </w:pPr>
    <w:rPr>
      <w:rFonts w:asciiTheme="minorHAnsi" w:eastAsiaTheme="majorEastAsia" w:hAnsiTheme="minorHAnsi" w:cstheme="majorBidi"/>
      <w:color w:val="13223E"/>
      <w:spacing w:val="4"/>
      <w:sz w:val="36"/>
      <w:szCs w:val="36"/>
      <w:lang w:eastAsia="en-AU"/>
    </w:rPr>
  </w:style>
  <w:style w:type="paragraph" w:styleId="Heading2">
    <w:name w:val="heading 2"/>
    <w:basedOn w:val="Normal"/>
    <w:next w:val="Normal"/>
    <w:link w:val="Heading2Char"/>
    <w:uiPriority w:val="9"/>
    <w:semiHidden/>
    <w:unhideWhenUsed/>
    <w:qFormat/>
    <w:rsid w:val="006B2EEB"/>
    <w:pPr>
      <w:keepNext/>
      <w:keepLines/>
      <w:spacing w:before="200"/>
      <w:outlineLvl w:val="1"/>
    </w:pPr>
    <w:rPr>
      <w:rFonts w:ascii="Arial" w:eastAsiaTheme="majorEastAsia" w:hAnsi="Arial" w:cstheme="majorBidi"/>
      <w:b/>
      <w:bCs/>
      <w:color w:val="244061" w:themeColor="accent1" w:themeShade="8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C604B"/>
  </w:style>
  <w:style w:type="paragraph" w:customStyle="1" w:styleId="OPCParaBase">
    <w:name w:val="OPCParaBase"/>
    <w:qFormat/>
    <w:rsid w:val="007C604B"/>
    <w:pPr>
      <w:spacing w:line="260" w:lineRule="atLeast"/>
    </w:pPr>
    <w:rPr>
      <w:rFonts w:eastAsia="Times New Roman" w:cs="Times New Roman"/>
      <w:sz w:val="22"/>
      <w:lang w:eastAsia="en-AU"/>
    </w:rPr>
  </w:style>
  <w:style w:type="paragraph" w:customStyle="1" w:styleId="ShortT">
    <w:name w:val="ShortT"/>
    <w:basedOn w:val="OPCParaBase"/>
    <w:next w:val="Normal"/>
    <w:qFormat/>
    <w:rsid w:val="007C604B"/>
    <w:pPr>
      <w:spacing w:line="240" w:lineRule="auto"/>
    </w:pPr>
    <w:rPr>
      <w:b/>
      <w:sz w:val="40"/>
    </w:rPr>
  </w:style>
  <w:style w:type="paragraph" w:customStyle="1" w:styleId="ActHead1">
    <w:name w:val="ActHead 1"/>
    <w:aliases w:val="c"/>
    <w:basedOn w:val="OPCParaBase"/>
    <w:next w:val="Normal"/>
    <w:qFormat/>
    <w:rsid w:val="007C604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C604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C604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C604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C604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604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604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604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604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C604B"/>
  </w:style>
  <w:style w:type="paragraph" w:customStyle="1" w:styleId="Blocks">
    <w:name w:val="Blocks"/>
    <w:aliases w:val="bb"/>
    <w:basedOn w:val="OPCParaBase"/>
    <w:qFormat/>
    <w:rsid w:val="007C604B"/>
    <w:pPr>
      <w:spacing w:line="240" w:lineRule="auto"/>
    </w:pPr>
    <w:rPr>
      <w:sz w:val="24"/>
    </w:rPr>
  </w:style>
  <w:style w:type="paragraph" w:customStyle="1" w:styleId="BoxText">
    <w:name w:val="BoxText"/>
    <w:aliases w:val="bt"/>
    <w:basedOn w:val="OPCParaBase"/>
    <w:qFormat/>
    <w:rsid w:val="007C604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604B"/>
    <w:rPr>
      <w:b/>
    </w:rPr>
  </w:style>
  <w:style w:type="paragraph" w:customStyle="1" w:styleId="BoxHeadItalic">
    <w:name w:val="BoxHeadItalic"/>
    <w:aliases w:val="bhi"/>
    <w:basedOn w:val="BoxText"/>
    <w:next w:val="BoxStep"/>
    <w:qFormat/>
    <w:rsid w:val="007C604B"/>
    <w:rPr>
      <w:i/>
    </w:rPr>
  </w:style>
  <w:style w:type="paragraph" w:customStyle="1" w:styleId="BoxList">
    <w:name w:val="BoxList"/>
    <w:aliases w:val="bl"/>
    <w:basedOn w:val="BoxText"/>
    <w:qFormat/>
    <w:rsid w:val="007C604B"/>
    <w:pPr>
      <w:ind w:left="1559" w:hanging="425"/>
    </w:pPr>
  </w:style>
  <w:style w:type="paragraph" w:customStyle="1" w:styleId="BoxNote">
    <w:name w:val="BoxNote"/>
    <w:aliases w:val="bn"/>
    <w:basedOn w:val="BoxText"/>
    <w:qFormat/>
    <w:rsid w:val="007C604B"/>
    <w:pPr>
      <w:tabs>
        <w:tab w:val="left" w:pos="1985"/>
      </w:tabs>
      <w:spacing w:before="122" w:line="198" w:lineRule="exact"/>
      <w:ind w:left="2948" w:hanging="1814"/>
    </w:pPr>
    <w:rPr>
      <w:sz w:val="18"/>
    </w:rPr>
  </w:style>
  <w:style w:type="paragraph" w:customStyle="1" w:styleId="BoxPara">
    <w:name w:val="BoxPara"/>
    <w:aliases w:val="bp"/>
    <w:basedOn w:val="BoxText"/>
    <w:qFormat/>
    <w:rsid w:val="007C604B"/>
    <w:pPr>
      <w:tabs>
        <w:tab w:val="right" w:pos="2268"/>
      </w:tabs>
      <w:ind w:left="2552" w:hanging="1418"/>
    </w:pPr>
  </w:style>
  <w:style w:type="paragraph" w:customStyle="1" w:styleId="BoxStep">
    <w:name w:val="BoxStep"/>
    <w:aliases w:val="bs"/>
    <w:basedOn w:val="BoxText"/>
    <w:qFormat/>
    <w:rsid w:val="007C604B"/>
    <w:pPr>
      <w:ind w:left="1985" w:hanging="851"/>
    </w:pPr>
  </w:style>
  <w:style w:type="character" w:customStyle="1" w:styleId="CharAmPartNo">
    <w:name w:val="CharAmPartNo"/>
    <w:basedOn w:val="OPCCharBase"/>
    <w:qFormat/>
    <w:rsid w:val="007C604B"/>
  </w:style>
  <w:style w:type="character" w:customStyle="1" w:styleId="CharAmPartText">
    <w:name w:val="CharAmPartText"/>
    <w:basedOn w:val="OPCCharBase"/>
    <w:qFormat/>
    <w:rsid w:val="007C604B"/>
  </w:style>
  <w:style w:type="character" w:customStyle="1" w:styleId="CharAmSchNo">
    <w:name w:val="CharAmSchNo"/>
    <w:basedOn w:val="OPCCharBase"/>
    <w:qFormat/>
    <w:rsid w:val="007C604B"/>
  </w:style>
  <w:style w:type="character" w:customStyle="1" w:styleId="CharAmSchText">
    <w:name w:val="CharAmSchText"/>
    <w:basedOn w:val="OPCCharBase"/>
    <w:qFormat/>
    <w:rsid w:val="007C604B"/>
  </w:style>
  <w:style w:type="character" w:customStyle="1" w:styleId="CharBoldItalic">
    <w:name w:val="CharBoldItalic"/>
    <w:basedOn w:val="OPCCharBase"/>
    <w:uiPriority w:val="1"/>
    <w:qFormat/>
    <w:rsid w:val="007C604B"/>
    <w:rPr>
      <w:b/>
      <w:i/>
    </w:rPr>
  </w:style>
  <w:style w:type="character" w:customStyle="1" w:styleId="CharChapNo">
    <w:name w:val="CharChapNo"/>
    <w:basedOn w:val="OPCCharBase"/>
    <w:uiPriority w:val="1"/>
    <w:qFormat/>
    <w:rsid w:val="007C604B"/>
  </w:style>
  <w:style w:type="character" w:customStyle="1" w:styleId="CharChapText">
    <w:name w:val="CharChapText"/>
    <w:basedOn w:val="OPCCharBase"/>
    <w:uiPriority w:val="1"/>
    <w:qFormat/>
    <w:rsid w:val="007C604B"/>
  </w:style>
  <w:style w:type="character" w:customStyle="1" w:styleId="CharDivNo">
    <w:name w:val="CharDivNo"/>
    <w:basedOn w:val="OPCCharBase"/>
    <w:uiPriority w:val="1"/>
    <w:qFormat/>
    <w:rsid w:val="007C604B"/>
  </w:style>
  <w:style w:type="character" w:customStyle="1" w:styleId="CharDivText">
    <w:name w:val="CharDivText"/>
    <w:basedOn w:val="OPCCharBase"/>
    <w:uiPriority w:val="1"/>
    <w:qFormat/>
    <w:rsid w:val="007C604B"/>
  </w:style>
  <w:style w:type="character" w:customStyle="1" w:styleId="CharItalic">
    <w:name w:val="CharItalic"/>
    <w:basedOn w:val="OPCCharBase"/>
    <w:uiPriority w:val="1"/>
    <w:qFormat/>
    <w:rsid w:val="007C604B"/>
    <w:rPr>
      <w:i/>
    </w:rPr>
  </w:style>
  <w:style w:type="character" w:customStyle="1" w:styleId="CharPartNo">
    <w:name w:val="CharPartNo"/>
    <w:basedOn w:val="OPCCharBase"/>
    <w:uiPriority w:val="1"/>
    <w:qFormat/>
    <w:rsid w:val="007C604B"/>
  </w:style>
  <w:style w:type="character" w:customStyle="1" w:styleId="CharPartText">
    <w:name w:val="CharPartText"/>
    <w:basedOn w:val="OPCCharBase"/>
    <w:uiPriority w:val="1"/>
    <w:qFormat/>
    <w:rsid w:val="007C604B"/>
  </w:style>
  <w:style w:type="character" w:customStyle="1" w:styleId="CharSectno">
    <w:name w:val="CharSectno"/>
    <w:basedOn w:val="OPCCharBase"/>
    <w:qFormat/>
    <w:rsid w:val="007C604B"/>
  </w:style>
  <w:style w:type="character" w:customStyle="1" w:styleId="CharSubdNo">
    <w:name w:val="CharSubdNo"/>
    <w:basedOn w:val="OPCCharBase"/>
    <w:uiPriority w:val="1"/>
    <w:qFormat/>
    <w:rsid w:val="007C604B"/>
  </w:style>
  <w:style w:type="character" w:customStyle="1" w:styleId="CharSubdText">
    <w:name w:val="CharSubdText"/>
    <w:basedOn w:val="OPCCharBase"/>
    <w:uiPriority w:val="1"/>
    <w:qFormat/>
    <w:rsid w:val="007C604B"/>
  </w:style>
  <w:style w:type="paragraph" w:customStyle="1" w:styleId="CTA--">
    <w:name w:val="CTA --"/>
    <w:basedOn w:val="OPCParaBase"/>
    <w:next w:val="Normal"/>
    <w:rsid w:val="007C604B"/>
    <w:pPr>
      <w:spacing w:before="60" w:line="240" w:lineRule="atLeast"/>
      <w:ind w:left="142" w:hanging="142"/>
    </w:pPr>
    <w:rPr>
      <w:sz w:val="20"/>
    </w:rPr>
  </w:style>
  <w:style w:type="paragraph" w:customStyle="1" w:styleId="CTA-">
    <w:name w:val="CTA -"/>
    <w:basedOn w:val="OPCParaBase"/>
    <w:rsid w:val="007C604B"/>
    <w:pPr>
      <w:spacing w:before="60" w:line="240" w:lineRule="atLeast"/>
      <w:ind w:left="85" w:hanging="85"/>
    </w:pPr>
    <w:rPr>
      <w:sz w:val="20"/>
    </w:rPr>
  </w:style>
  <w:style w:type="paragraph" w:customStyle="1" w:styleId="CTA---">
    <w:name w:val="CTA ---"/>
    <w:basedOn w:val="OPCParaBase"/>
    <w:next w:val="Normal"/>
    <w:rsid w:val="007C604B"/>
    <w:pPr>
      <w:spacing w:before="60" w:line="240" w:lineRule="atLeast"/>
      <w:ind w:left="198" w:hanging="198"/>
    </w:pPr>
    <w:rPr>
      <w:sz w:val="20"/>
    </w:rPr>
  </w:style>
  <w:style w:type="paragraph" w:customStyle="1" w:styleId="CTA----">
    <w:name w:val="CTA ----"/>
    <w:basedOn w:val="OPCParaBase"/>
    <w:next w:val="Normal"/>
    <w:rsid w:val="007C604B"/>
    <w:pPr>
      <w:spacing w:before="60" w:line="240" w:lineRule="atLeast"/>
      <w:ind w:left="255" w:hanging="255"/>
    </w:pPr>
    <w:rPr>
      <w:sz w:val="20"/>
    </w:rPr>
  </w:style>
  <w:style w:type="paragraph" w:customStyle="1" w:styleId="CTA1a">
    <w:name w:val="CTA 1(a)"/>
    <w:basedOn w:val="OPCParaBase"/>
    <w:rsid w:val="007C604B"/>
    <w:pPr>
      <w:tabs>
        <w:tab w:val="right" w:pos="414"/>
      </w:tabs>
      <w:spacing w:before="40" w:line="240" w:lineRule="atLeast"/>
      <w:ind w:left="675" w:hanging="675"/>
    </w:pPr>
    <w:rPr>
      <w:sz w:val="20"/>
    </w:rPr>
  </w:style>
  <w:style w:type="paragraph" w:customStyle="1" w:styleId="CTA1ai">
    <w:name w:val="CTA 1(a)(i)"/>
    <w:basedOn w:val="OPCParaBase"/>
    <w:rsid w:val="007C604B"/>
    <w:pPr>
      <w:tabs>
        <w:tab w:val="right" w:pos="1004"/>
      </w:tabs>
      <w:spacing w:before="40" w:line="240" w:lineRule="atLeast"/>
      <w:ind w:left="1253" w:hanging="1253"/>
    </w:pPr>
    <w:rPr>
      <w:sz w:val="20"/>
    </w:rPr>
  </w:style>
  <w:style w:type="paragraph" w:customStyle="1" w:styleId="CTA2a">
    <w:name w:val="CTA 2(a)"/>
    <w:basedOn w:val="OPCParaBase"/>
    <w:rsid w:val="007C604B"/>
    <w:pPr>
      <w:tabs>
        <w:tab w:val="right" w:pos="482"/>
      </w:tabs>
      <w:spacing w:before="40" w:line="240" w:lineRule="atLeast"/>
      <w:ind w:left="748" w:hanging="748"/>
    </w:pPr>
    <w:rPr>
      <w:sz w:val="20"/>
    </w:rPr>
  </w:style>
  <w:style w:type="paragraph" w:customStyle="1" w:styleId="CTA2ai">
    <w:name w:val="CTA 2(a)(i)"/>
    <w:basedOn w:val="OPCParaBase"/>
    <w:rsid w:val="007C604B"/>
    <w:pPr>
      <w:tabs>
        <w:tab w:val="right" w:pos="1089"/>
      </w:tabs>
      <w:spacing w:before="40" w:line="240" w:lineRule="atLeast"/>
      <w:ind w:left="1327" w:hanging="1327"/>
    </w:pPr>
    <w:rPr>
      <w:sz w:val="20"/>
    </w:rPr>
  </w:style>
  <w:style w:type="paragraph" w:customStyle="1" w:styleId="CTA3a">
    <w:name w:val="CTA 3(a)"/>
    <w:basedOn w:val="OPCParaBase"/>
    <w:rsid w:val="007C604B"/>
    <w:pPr>
      <w:tabs>
        <w:tab w:val="right" w:pos="556"/>
      </w:tabs>
      <w:spacing w:before="40" w:line="240" w:lineRule="atLeast"/>
      <w:ind w:left="805" w:hanging="805"/>
    </w:pPr>
    <w:rPr>
      <w:sz w:val="20"/>
    </w:rPr>
  </w:style>
  <w:style w:type="paragraph" w:customStyle="1" w:styleId="CTA3ai">
    <w:name w:val="CTA 3(a)(i)"/>
    <w:basedOn w:val="OPCParaBase"/>
    <w:rsid w:val="007C604B"/>
    <w:pPr>
      <w:tabs>
        <w:tab w:val="right" w:pos="1140"/>
      </w:tabs>
      <w:spacing w:before="40" w:line="240" w:lineRule="atLeast"/>
      <w:ind w:left="1361" w:hanging="1361"/>
    </w:pPr>
    <w:rPr>
      <w:sz w:val="20"/>
    </w:rPr>
  </w:style>
  <w:style w:type="paragraph" w:customStyle="1" w:styleId="CTA4a">
    <w:name w:val="CTA 4(a)"/>
    <w:basedOn w:val="OPCParaBase"/>
    <w:rsid w:val="007C604B"/>
    <w:pPr>
      <w:tabs>
        <w:tab w:val="right" w:pos="624"/>
      </w:tabs>
      <w:spacing w:before="40" w:line="240" w:lineRule="atLeast"/>
      <w:ind w:left="873" w:hanging="873"/>
    </w:pPr>
    <w:rPr>
      <w:sz w:val="20"/>
    </w:rPr>
  </w:style>
  <w:style w:type="paragraph" w:customStyle="1" w:styleId="CTA4ai">
    <w:name w:val="CTA 4(a)(i)"/>
    <w:basedOn w:val="OPCParaBase"/>
    <w:rsid w:val="007C604B"/>
    <w:pPr>
      <w:tabs>
        <w:tab w:val="right" w:pos="1213"/>
      </w:tabs>
      <w:spacing w:before="40" w:line="240" w:lineRule="atLeast"/>
      <w:ind w:left="1452" w:hanging="1452"/>
    </w:pPr>
    <w:rPr>
      <w:sz w:val="20"/>
    </w:rPr>
  </w:style>
  <w:style w:type="paragraph" w:customStyle="1" w:styleId="CTACAPS">
    <w:name w:val="CTA CAPS"/>
    <w:basedOn w:val="OPCParaBase"/>
    <w:rsid w:val="007C604B"/>
    <w:pPr>
      <w:spacing w:before="60" w:line="240" w:lineRule="atLeast"/>
    </w:pPr>
    <w:rPr>
      <w:sz w:val="20"/>
    </w:rPr>
  </w:style>
  <w:style w:type="paragraph" w:customStyle="1" w:styleId="CTAright">
    <w:name w:val="CTA right"/>
    <w:basedOn w:val="OPCParaBase"/>
    <w:rsid w:val="007C604B"/>
    <w:pPr>
      <w:spacing w:before="60" w:line="240" w:lineRule="auto"/>
      <w:jc w:val="right"/>
    </w:pPr>
    <w:rPr>
      <w:sz w:val="20"/>
    </w:rPr>
  </w:style>
  <w:style w:type="paragraph" w:customStyle="1" w:styleId="subsection">
    <w:name w:val="subsection"/>
    <w:aliases w:val="ss"/>
    <w:basedOn w:val="OPCParaBase"/>
    <w:rsid w:val="007C604B"/>
    <w:pPr>
      <w:tabs>
        <w:tab w:val="right" w:pos="1021"/>
      </w:tabs>
      <w:spacing w:before="180" w:line="240" w:lineRule="auto"/>
      <w:ind w:left="1134" w:hanging="1134"/>
    </w:pPr>
  </w:style>
  <w:style w:type="paragraph" w:customStyle="1" w:styleId="Definition">
    <w:name w:val="Definition"/>
    <w:aliases w:val="dd"/>
    <w:basedOn w:val="OPCParaBase"/>
    <w:rsid w:val="007C604B"/>
    <w:pPr>
      <w:spacing w:before="180" w:line="240" w:lineRule="auto"/>
      <w:ind w:left="1134"/>
    </w:pPr>
  </w:style>
  <w:style w:type="paragraph" w:customStyle="1" w:styleId="ETAsubitem">
    <w:name w:val="ETA(subitem)"/>
    <w:basedOn w:val="OPCParaBase"/>
    <w:rsid w:val="007C604B"/>
    <w:pPr>
      <w:tabs>
        <w:tab w:val="right" w:pos="340"/>
      </w:tabs>
      <w:spacing w:before="60" w:line="240" w:lineRule="auto"/>
      <w:ind w:left="454" w:hanging="454"/>
    </w:pPr>
    <w:rPr>
      <w:sz w:val="20"/>
    </w:rPr>
  </w:style>
  <w:style w:type="paragraph" w:customStyle="1" w:styleId="ETApara">
    <w:name w:val="ETA(para)"/>
    <w:basedOn w:val="OPCParaBase"/>
    <w:rsid w:val="007C604B"/>
    <w:pPr>
      <w:tabs>
        <w:tab w:val="right" w:pos="754"/>
      </w:tabs>
      <w:spacing w:before="60" w:line="240" w:lineRule="auto"/>
      <w:ind w:left="828" w:hanging="828"/>
    </w:pPr>
    <w:rPr>
      <w:sz w:val="20"/>
    </w:rPr>
  </w:style>
  <w:style w:type="paragraph" w:customStyle="1" w:styleId="ETAsubpara">
    <w:name w:val="ETA(subpara)"/>
    <w:basedOn w:val="OPCParaBase"/>
    <w:rsid w:val="007C604B"/>
    <w:pPr>
      <w:tabs>
        <w:tab w:val="right" w:pos="1083"/>
      </w:tabs>
      <w:spacing w:before="60" w:line="240" w:lineRule="auto"/>
      <w:ind w:left="1191" w:hanging="1191"/>
    </w:pPr>
    <w:rPr>
      <w:sz w:val="20"/>
    </w:rPr>
  </w:style>
  <w:style w:type="paragraph" w:customStyle="1" w:styleId="ETAsub-subpara">
    <w:name w:val="ETA(sub-subpara)"/>
    <w:basedOn w:val="OPCParaBase"/>
    <w:rsid w:val="007C604B"/>
    <w:pPr>
      <w:tabs>
        <w:tab w:val="right" w:pos="1412"/>
      </w:tabs>
      <w:spacing w:before="60" w:line="240" w:lineRule="auto"/>
      <w:ind w:left="1525" w:hanging="1525"/>
    </w:pPr>
    <w:rPr>
      <w:sz w:val="20"/>
    </w:rPr>
  </w:style>
  <w:style w:type="paragraph" w:customStyle="1" w:styleId="Formula">
    <w:name w:val="Formula"/>
    <w:basedOn w:val="OPCParaBase"/>
    <w:rsid w:val="007C604B"/>
    <w:pPr>
      <w:spacing w:line="240" w:lineRule="auto"/>
      <w:ind w:left="1134"/>
    </w:pPr>
    <w:rPr>
      <w:sz w:val="20"/>
    </w:rPr>
  </w:style>
  <w:style w:type="paragraph" w:styleId="Header">
    <w:name w:val="header"/>
    <w:basedOn w:val="OPCParaBase"/>
    <w:link w:val="HeaderChar"/>
    <w:uiPriority w:val="99"/>
    <w:unhideWhenUsed/>
    <w:rsid w:val="007C604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7C604B"/>
    <w:rPr>
      <w:rFonts w:eastAsia="Times New Roman" w:cs="Times New Roman"/>
      <w:sz w:val="16"/>
      <w:lang w:eastAsia="en-AU"/>
    </w:rPr>
  </w:style>
  <w:style w:type="paragraph" w:customStyle="1" w:styleId="House">
    <w:name w:val="House"/>
    <w:basedOn w:val="OPCParaBase"/>
    <w:rsid w:val="007C604B"/>
    <w:pPr>
      <w:spacing w:line="240" w:lineRule="auto"/>
    </w:pPr>
    <w:rPr>
      <w:sz w:val="28"/>
    </w:rPr>
  </w:style>
  <w:style w:type="paragraph" w:customStyle="1" w:styleId="Item">
    <w:name w:val="Item"/>
    <w:aliases w:val="i"/>
    <w:basedOn w:val="OPCParaBase"/>
    <w:next w:val="ItemHead"/>
    <w:rsid w:val="007C604B"/>
    <w:pPr>
      <w:keepLines/>
      <w:spacing w:before="80" w:line="240" w:lineRule="auto"/>
      <w:ind w:left="709"/>
    </w:pPr>
  </w:style>
  <w:style w:type="paragraph" w:customStyle="1" w:styleId="ItemHead">
    <w:name w:val="ItemHead"/>
    <w:aliases w:val="ih"/>
    <w:basedOn w:val="OPCParaBase"/>
    <w:next w:val="Item"/>
    <w:rsid w:val="007C604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C604B"/>
    <w:pPr>
      <w:spacing w:line="240" w:lineRule="auto"/>
    </w:pPr>
    <w:rPr>
      <w:b/>
      <w:sz w:val="32"/>
    </w:rPr>
  </w:style>
  <w:style w:type="paragraph" w:customStyle="1" w:styleId="notedraft">
    <w:name w:val="note(draft)"/>
    <w:aliases w:val="nd"/>
    <w:basedOn w:val="OPCParaBase"/>
    <w:rsid w:val="007C604B"/>
    <w:pPr>
      <w:spacing w:before="240" w:line="240" w:lineRule="auto"/>
      <w:ind w:left="284" w:hanging="284"/>
    </w:pPr>
    <w:rPr>
      <w:i/>
      <w:sz w:val="24"/>
    </w:rPr>
  </w:style>
  <w:style w:type="paragraph" w:customStyle="1" w:styleId="notemargin">
    <w:name w:val="note(margin)"/>
    <w:aliases w:val="nm"/>
    <w:basedOn w:val="OPCParaBase"/>
    <w:rsid w:val="007C604B"/>
    <w:pPr>
      <w:tabs>
        <w:tab w:val="left" w:pos="709"/>
      </w:tabs>
      <w:spacing w:before="122" w:line="198" w:lineRule="exact"/>
      <w:ind w:left="709" w:hanging="709"/>
    </w:pPr>
    <w:rPr>
      <w:sz w:val="18"/>
    </w:rPr>
  </w:style>
  <w:style w:type="paragraph" w:customStyle="1" w:styleId="noteToPara">
    <w:name w:val="noteToPara"/>
    <w:aliases w:val="ntp"/>
    <w:basedOn w:val="OPCParaBase"/>
    <w:rsid w:val="007C604B"/>
    <w:pPr>
      <w:spacing w:before="122" w:line="198" w:lineRule="exact"/>
      <w:ind w:left="2353" w:hanging="709"/>
    </w:pPr>
    <w:rPr>
      <w:sz w:val="18"/>
    </w:rPr>
  </w:style>
  <w:style w:type="paragraph" w:customStyle="1" w:styleId="noteParlAmend">
    <w:name w:val="note(ParlAmend)"/>
    <w:aliases w:val="npp"/>
    <w:basedOn w:val="OPCParaBase"/>
    <w:next w:val="ParlAmend"/>
    <w:rsid w:val="007C604B"/>
    <w:pPr>
      <w:spacing w:line="240" w:lineRule="auto"/>
      <w:jc w:val="right"/>
    </w:pPr>
    <w:rPr>
      <w:rFonts w:ascii="Arial" w:hAnsi="Arial"/>
      <w:b/>
      <w:i/>
    </w:rPr>
  </w:style>
  <w:style w:type="paragraph" w:customStyle="1" w:styleId="Page1">
    <w:name w:val="Page1"/>
    <w:basedOn w:val="OPCParaBase"/>
    <w:rsid w:val="007C604B"/>
    <w:pPr>
      <w:spacing w:before="5600" w:line="240" w:lineRule="auto"/>
    </w:pPr>
    <w:rPr>
      <w:b/>
      <w:sz w:val="32"/>
    </w:rPr>
  </w:style>
  <w:style w:type="paragraph" w:customStyle="1" w:styleId="PageBreak">
    <w:name w:val="PageBreak"/>
    <w:aliases w:val="pb"/>
    <w:basedOn w:val="OPCParaBase"/>
    <w:rsid w:val="007C604B"/>
    <w:pPr>
      <w:spacing w:line="240" w:lineRule="auto"/>
    </w:pPr>
    <w:rPr>
      <w:sz w:val="20"/>
    </w:rPr>
  </w:style>
  <w:style w:type="paragraph" w:customStyle="1" w:styleId="paragraphsub">
    <w:name w:val="paragraph(sub)"/>
    <w:aliases w:val="aa"/>
    <w:basedOn w:val="OPCParaBase"/>
    <w:rsid w:val="007C604B"/>
    <w:pPr>
      <w:tabs>
        <w:tab w:val="right" w:pos="1985"/>
      </w:tabs>
      <w:spacing w:before="40" w:line="240" w:lineRule="auto"/>
      <w:ind w:left="2098" w:hanging="2098"/>
    </w:pPr>
  </w:style>
  <w:style w:type="paragraph" w:customStyle="1" w:styleId="paragraphsub-sub">
    <w:name w:val="paragraph(sub-sub)"/>
    <w:aliases w:val="aaa"/>
    <w:basedOn w:val="OPCParaBase"/>
    <w:rsid w:val="007C604B"/>
    <w:pPr>
      <w:tabs>
        <w:tab w:val="right" w:pos="2722"/>
      </w:tabs>
      <w:spacing w:before="40" w:line="240" w:lineRule="auto"/>
      <w:ind w:left="2835" w:hanging="2835"/>
    </w:pPr>
  </w:style>
  <w:style w:type="paragraph" w:customStyle="1" w:styleId="paragraph">
    <w:name w:val="paragraph"/>
    <w:aliases w:val="a"/>
    <w:basedOn w:val="OPCParaBase"/>
    <w:rsid w:val="007C604B"/>
    <w:pPr>
      <w:tabs>
        <w:tab w:val="right" w:pos="1531"/>
      </w:tabs>
      <w:spacing w:before="40" w:line="240" w:lineRule="auto"/>
      <w:ind w:left="1644" w:hanging="1644"/>
    </w:pPr>
  </w:style>
  <w:style w:type="paragraph" w:customStyle="1" w:styleId="ParlAmend">
    <w:name w:val="ParlAmend"/>
    <w:aliases w:val="pp"/>
    <w:basedOn w:val="OPCParaBase"/>
    <w:rsid w:val="007C604B"/>
    <w:pPr>
      <w:spacing w:before="240" w:line="240" w:lineRule="atLeast"/>
      <w:ind w:hanging="567"/>
    </w:pPr>
    <w:rPr>
      <w:sz w:val="24"/>
    </w:rPr>
  </w:style>
  <w:style w:type="paragraph" w:customStyle="1" w:styleId="Penalty">
    <w:name w:val="Penalty"/>
    <w:basedOn w:val="OPCParaBase"/>
    <w:rsid w:val="007C604B"/>
    <w:pPr>
      <w:tabs>
        <w:tab w:val="left" w:pos="2977"/>
      </w:tabs>
      <w:spacing w:before="180" w:line="240" w:lineRule="auto"/>
      <w:ind w:left="1985" w:hanging="851"/>
    </w:pPr>
  </w:style>
  <w:style w:type="paragraph" w:customStyle="1" w:styleId="Portfolio">
    <w:name w:val="Portfolio"/>
    <w:basedOn w:val="OPCParaBase"/>
    <w:rsid w:val="007C604B"/>
    <w:pPr>
      <w:spacing w:line="240" w:lineRule="auto"/>
    </w:pPr>
    <w:rPr>
      <w:i/>
      <w:sz w:val="20"/>
    </w:rPr>
  </w:style>
  <w:style w:type="paragraph" w:customStyle="1" w:styleId="Preamble">
    <w:name w:val="Preamble"/>
    <w:basedOn w:val="OPCParaBase"/>
    <w:next w:val="Normal"/>
    <w:rsid w:val="007C604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604B"/>
    <w:pPr>
      <w:spacing w:line="240" w:lineRule="auto"/>
    </w:pPr>
    <w:rPr>
      <w:i/>
      <w:sz w:val="20"/>
    </w:rPr>
  </w:style>
  <w:style w:type="paragraph" w:customStyle="1" w:styleId="Session">
    <w:name w:val="Session"/>
    <w:basedOn w:val="OPCParaBase"/>
    <w:rsid w:val="007C604B"/>
    <w:pPr>
      <w:spacing w:line="240" w:lineRule="auto"/>
    </w:pPr>
    <w:rPr>
      <w:sz w:val="28"/>
    </w:rPr>
  </w:style>
  <w:style w:type="paragraph" w:customStyle="1" w:styleId="Sponsor">
    <w:name w:val="Sponsor"/>
    <w:basedOn w:val="OPCParaBase"/>
    <w:rsid w:val="007C604B"/>
    <w:pPr>
      <w:spacing w:line="240" w:lineRule="auto"/>
    </w:pPr>
    <w:rPr>
      <w:i/>
    </w:rPr>
  </w:style>
  <w:style w:type="paragraph" w:customStyle="1" w:styleId="Subitem">
    <w:name w:val="Subitem"/>
    <w:aliases w:val="iss"/>
    <w:basedOn w:val="OPCParaBase"/>
    <w:rsid w:val="007C604B"/>
    <w:pPr>
      <w:spacing w:before="180" w:line="240" w:lineRule="auto"/>
      <w:ind w:left="709" w:hanging="709"/>
    </w:pPr>
  </w:style>
  <w:style w:type="paragraph" w:customStyle="1" w:styleId="SubitemHead">
    <w:name w:val="SubitemHead"/>
    <w:aliases w:val="issh"/>
    <w:basedOn w:val="OPCParaBase"/>
    <w:rsid w:val="007C604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C604B"/>
    <w:pPr>
      <w:spacing w:before="40" w:line="240" w:lineRule="auto"/>
      <w:ind w:left="1134"/>
    </w:pPr>
  </w:style>
  <w:style w:type="paragraph" w:customStyle="1" w:styleId="SubsectionHead">
    <w:name w:val="SubsectionHead"/>
    <w:aliases w:val="ssh"/>
    <w:basedOn w:val="OPCParaBase"/>
    <w:next w:val="subsection"/>
    <w:rsid w:val="007C604B"/>
    <w:pPr>
      <w:keepNext/>
      <w:keepLines/>
      <w:spacing w:before="240" w:line="240" w:lineRule="auto"/>
      <w:ind w:left="1134"/>
    </w:pPr>
    <w:rPr>
      <w:i/>
    </w:rPr>
  </w:style>
  <w:style w:type="paragraph" w:customStyle="1" w:styleId="Tablea">
    <w:name w:val="Table(a)"/>
    <w:aliases w:val="ta"/>
    <w:basedOn w:val="OPCParaBase"/>
    <w:rsid w:val="007C604B"/>
    <w:pPr>
      <w:spacing w:before="60" w:line="240" w:lineRule="auto"/>
      <w:ind w:left="284" w:hanging="284"/>
    </w:pPr>
    <w:rPr>
      <w:sz w:val="20"/>
    </w:rPr>
  </w:style>
  <w:style w:type="paragraph" w:customStyle="1" w:styleId="TableAA">
    <w:name w:val="Table(AA)"/>
    <w:aliases w:val="taaa"/>
    <w:basedOn w:val="OPCParaBase"/>
    <w:rsid w:val="007C604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C604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C604B"/>
    <w:pPr>
      <w:spacing w:before="60" w:line="240" w:lineRule="atLeast"/>
    </w:pPr>
    <w:rPr>
      <w:sz w:val="20"/>
    </w:rPr>
  </w:style>
  <w:style w:type="paragraph" w:customStyle="1" w:styleId="TLPBoxTextnote">
    <w:name w:val="TLPBoxText(note"/>
    <w:aliases w:val="right)"/>
    <w:basedOn w:val="OPCParaBase"/>
    <w:rsid w:val="007C604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C604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C604B"/>
    <w:pPr>
      <w:spacing w:before="122" w:line="198" w:lineRule="exact"/>
      <w:ind w:left="1985" w:hanging="851"/>
      <w:jc w:val="right"/>
    </w:pPr>
    <w:rPr>
      <w:sz w:val="18"/>
    </w:rPr>
  </w:style>
  <w:style w:type="paragraph" w:customStyle="1" w:styleId="TLPTableBullet">
    <w:name w:val="TLPTableBullet"/>
    <w:aliases w:val="ttb"/>
    <w:basedOn w:val="OPCParaBase"/>
    <w:rsid w:val="007C604B"/>
    <w:pPr>
      <w:spacing w:line="240" w:lineRule="exact"/>
      <w:ind w:left="284" w:hanging="284"/>
    </w:pPr>
    <w:rPr>
      <w:sz w:val="20"/>
    </w:rPr>
  </w:style>
  <w:style w:type="paragraph" w:styleId="TOC1">
    <w:name w:val="toc 1"/>
    <w:basedOn w:val="OPCParaBase"/>
    <w:next w:val="Normal"/>
    <w:uiPriority w:val="39"/>
    <w:unhideWhenUsed/>
    <w:rsid w:val="007C604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7C604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7C604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7C604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7C604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7C604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C604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C604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C604B"/>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C604B"/>
    <w:pPr>
      <w:keepLines/>
      <w:spacing w:before="240" w:after="120" w:line="240" w:lineRule="auto"/>
      <w:ind w:left="794"/>
    </w:pPr>
    <w:rPr>
      <w:b/>
      <w:kern w:val="28"/>
      <w:sz w:val="20"/>
    </w:rPr>
  </w:style>
  <w:style w:type="paragraph" w:customStyle="1" w:styleId="TofSectsHeading">
    <w:name w:val="TofSects(Heading)"/>
    <w:basedOn w:val="OPCParaBase"/>
    <w:rsid w:val="007C604B"/>
    <w:pPr>
      <w:spacing w:before="240" w:after="120" w:line="240" w:lineRule="auto"/>
    </w:pPr>
    <w:rPr>
      <w:b/>
      <w:sz w:val="24"/>
    </w:rPr>
  </w:style>
  <w:style w:type="paragraph" w:customStyle="1" w:styleId="TofSectsSection">
    <w:name w:val="TofSects(Section)"/>
    <w:basedOn w:val="OPCParaBase"/>
    <w:rsid w:val="007C604B"/>
    <w:pPr>
      <w:keepLines/>
      <w:spacing w:before="40" w:line="240" w:lineRule="auto"/>
      <w:ind w:left="1588" w:hanging="794"/>
    </w:pPr>
    <w:rPr>
      <w:kern w:val="28"/>
      <w:sz w:val="18"/>
    </w:rPr>
  </w:style>
  <w:style w:type="paragraph" w:customStyle="1" w:styleId="TofSectsSubdiv">
    <w:name w:val="TofSects(Subdiv)"/>
    <w:basedOn w:val="OPCParaBase"/>
    <w:rsid w:val="007C604B"/>
    <w:pPr>
      <w:keepLines/>
      <w:spacing w:before="80" w:line="240" w:lineRule="auto"/>
      <w:ind w:left="1588" w:hanging="794"/>
    </w:pPr>
    <w:rPr>
      <w:kern w:val="28"/>
    </w:rPr>
  </w:style>
  <w:style w:type="paragraph" w:customStyle="1" w:styleId="WRStyle">
    <w:name w:val="WR Style"/>
    <w:aliases w:val="WR"/>
    <w:basedOn w:val="OPCParaBase"/>
    <w:rsid w:val="007C604B"/>
    <w:pPr>
      <w:spacing w:before="240" w:line="240" w:lineRule="auto"/>
      <w:ind w:left="284" w:hanging="284"/>
    </w:pPr>
    <w:rPr>
      <w:b/>
      <w:i/>
      <w:kern w:val="28"/>
      <w:sz w:val="24"/>
    </w:rPr>
  </w:style>
  <w:style w:type="paragraph" w:customStyle="1" w:styleId="notepara">
    <w:name w:val="note(para)"/>
    <w:aliases w:val="na"/>
    <w:basedOn w:val="OPCParaBase"/>
    <w:rsid w:val="007C604B"/>
    <w:pPr>
      <w:spacing w:before="40" w:line="198" w:lineRule="exact"/>
      <w:ind w:left="2354" w:hanging="369"/>
    </w:pPr>
    <w:rPr>
      <w:sz w:val="18"/>
    </w:rPr>
  </w:style>
  <w:style w:type="paragraph" w:styleId="Footer">
    <w:name w:val="footer"/>
    <w:link w:val="FooterChar"/>
    <w:rsid w:val="007C604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C604B"/>
    <w:rPr>
      <w:rFonts w:eastAsia="Times New Roman" w:cs="Times New Roman"/>
      <w:sz w:val="22"/>
      <w:szCs w:val="24"/>
      <w:lang w:eastAsia="en-AU"/>
    </w:rPr>
  </w:style>
  <w:style w:type="character" w:styleId="LineNumber">
    <w:name w:val="line number"/>
    <w:basedOn w:val="OPCCharBase"/>
    <w:uiPriority w:val="99"/>
    <w:semiHidden/>
    <w:unhideWhenUsed/>
    <w:rsid w:val="007C604B"/>
    <w:rPr>
      <w:sz w:val="16"/>
    </w:rPr>
  </w:style>
  <w:style w:type="table" w:customStyle="1" w:styleId="CFlag">
    <w:name w:val="CFlag"/>
    <w:basedOn w:val="TableNormal"/>
    <w:uiPriority w:val="99"/>
    <w:rsid w:val="007C604B"/>
    <w:rPr>
      <w:rFonts w:eastAsia="Times New Roman" w:cs="Times New Roman"/>
      <w:lang w:eastAsia="en-AU"/>
    </w:rPr>
    <w:tblPr/>
  </w:style>
  <w:style w:type="paragraph" w:styleId="BalloonText">
    <w:name w:val="Balloon Text"/>
    <w:basedOn w:val="Normal"/>
    <w:link w:val="BalloonTextChar"/>
    <w:uiPriority w:val="99"/>
    <w:semiHidden/>
    <w:unhideWhenUsed/>
    <w:rsid w:val="007C60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04B"/>
    <w:rPr>
      <w:rFonts w:ascii="Tahoma" w:hAnsi="Tahoma" w:cs="Tahoma"/>
      <w:sz w:val="16"/>
      <w:szCs w:val="16"/>
    </w:rPr>
  </w:style>
  <w:style w:type="table" w:styleId="TableGrid">
    <w:name w:val="Table Grid"/>
    <w:basedOn w:val="TableNormal"/>
    <w:rsid w:val="007C6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C604B"/>
    <w:rPr>
      <w:b/>
      <w:sz w:val="28"/>
      <w:szCs w:val="32"/>
    </w:rPr>
  </w:style>
  <w:style w:type="paragraph" w:customStyle="1" w:styleId="LegislationMadeUnder">
    <w:name w:val="LegislationMadeUnder"/>
    <w:basedOn w:val="OPCParaBase"/>
    <w:next w:val="Normal"/>
    <w:rsid w:val="007C604B"/>
    <w:rPr>
      <w:i/>
      <w:sz w:val="32"/>
      <w:szCs w:val="32"/>
    </w:rPr>
  </w:style>
  <w:style w:type="paragraph" w:customStyle="1" w:styleId="SignCoverPageEnd">
    <w:name w:val="SignCoverPageEnd"/>
    <w:basedOn w:val="OPCParaBase"/>
    <w:next w:val="Normal"/>
    <w:rsid w:val="007C604B"/>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7C604B"/>
    <w:pPr>
      <w:pBdr>
        <w:top w:val="single" w:sz="4" w:space="1" w:color="auto"/>
      </w:pBdr>
      <w:spacing w:before="360"/>
      <w:ind w:right="397"/>
      <w:jc w:val="both"/>
    </w:pPr>
  </w:style>
  <w:style w:type="paragraph" w:customStyle="1" w:styleId="NotesHeading1">
    <w:name w:val="NotesHeading 1"/>
    <w:basedOn w:val="OPCParaBase"/>
    <w:next w:val="Normal"/>
    <w:rsid w:val="007C604B"/>
    <w:rPr>
      <w:b/>
      <w:sz w:val="28"/>
      <w:szCs w:val="28"/>
    </w:rPr>
  </w:style>
  <w:style w:type="paragraph" w:customStyle="1" w:styleId="NotesHeading2">
    <w:name w:val="NotesHeading 2"/>
    <w:basedOn w:val="OPCParaBase"/>
    <w:next w:val="Normal"/>
    <w:rsid w:val="007C604B"/>
    <w:rPr>
      <w:b/>
      <w:sz w:val="28"/>
      <w:szCs w:val="28"/>
    </w:rPr>
  </w:style>
  <w:style w:type="paragraph" w:customStyle="1" w:styleId="ENotesText">
    <w:name w:val="ENotesText"/>
    <w:aliases w:val="Ent"/>
    <w:basedOn w:val="OPCParaBase"/>
    <w:next w:val="Normal"/>
    <w:rsid w:val="007C604B"/>
    <w:pPr>
      <w:spacing w:before="120"/>
    </w:pPr>
  </w:style>
  <w:style w:type="paragraph" w:customStyle="1" w:styleId="CompiledActNo">
    <w:name w:val="CompiledActNo"/>
    <w:basedOn w:val="OPCParaBase"/>
    <w:next w:val="Normal"/>
    <w:rsid w:val="007C604B"/>
    <w:rPr>
      <w:b/>
      <w:sz w:val="24"/>
      <w:szCs w:val="24"/>
    </w:rPr>
  </w:style>
  <w:style w:type="paragraph" w:customStyle="1" w:styleId="CompiledMadeUnder">
    <w:name w:val="CompiledMadeUnder"/>
    <w:basedOn w:val="OPCParaBase"/>
    <w:next w:val="Normal"/>
    <w:rsid w:val="007C604B"/>
    <w:rPr>
      <w:i/>
      <w:sz w:val="24"/>
      <w:szCs w:val="24"/>
    </w:rPr>
  </w:style>
  <w:style w:type="paragraph" w:customStyle="1" w:styleId="Paragraphsub-sub-sub">
    <w:name w:val="Paragraph(sub-sub-sub)"/>
    <w:aliases w:val="aaaa"/>
    <w:basedOn w:val="OPCParaBase"/>
    <w:rsid w:val="007C604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604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604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604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604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C604B"/>
    <w:pPr>
      <w:spacing w:before="60" w:line="240" w:lineRule="auto"/>
    </w:pPr>
    <w:rPr>
      <w:rFonts w:cs="Arial"/>
      <w:sz w:val="20"/>
      <w:szCs w:val="22"/>
    </w:rPr>
  </w:style>
  <w:style w:type="paragraph" w:customStyle="1" w:styleId="NoteToSubpara">
    <w:name w:val="NoteToSubpara"/>
    <w:aliases w:val="nts"/>
    <w:basedOn w:val="OPCParaBase"/>
    <w:rsid w:val="007C604B"/>
    <w:pPr>
      <w:spacing w:before="40" w:line="198" w:lineRule="exact"/>
      <w:ind w:left="2835" w:hanging="709"/>
    </w:pPr>
    <w:rPr>
      <w:sz w:val="18"/>
    </w:rPr>
  </w:style>
  <w:style w:type="paragraph" w:customStyle="1" w:styleId="ENoteTableHeading">
    <w:name w:val="ENoteTableHeading"/>
    <w:aliases w:val="enth"/>
    <w:basedOn w:val="OPCParaBase"/>
    <w:rsid w:val="007C604B"/>
    <w:pPr>
      <w:keepNext/>
      <w:spacing w:before="60" w:line="240" w:lineRule="atLeast"/>
    </w:pPr>
    <w:rPr>
      <w:rFonts w:ascii="Arial" w:hAnsi="Arial"/>
      <w:b/>
      <w:sz w:val="16"/>
    </w:rPr>
  </w:style>
  <w:style w:type="paragraph" w:customStyle="1" w:styleId="ENoteTTi">
    <w:name w:val="ENoteTTi"/>
    <w:aliases w:val="entti"/>
    <w:basedOn w:val="OPCParaBase"/>
    <w:rsid w:val="007C604B"/>
    <w:pPr>
      <w:keepNext/>
      <w:spacing w:before="60" w:line="240" w:lineRule="atLeast"/>
      <w:ind w:left="170"/>
    </w:pPr>
    <w:rPr>
      <w:sz w:val="16"/>
    </w:rPr>
  </w:style>
  <w:style w:type="paragraph" w:customStyle="1" w:styleId="ENotesHeading1">
    <w:name w:val="ENotesHeading 1"/>
    <w:aliases w:val="Enh1"/>
    <w:basedOn w:val="OPCParaBase"/>
    <w:next w:val="Normal"/>
    <w:rsid w:val="007C604B"/>
    <w:pPr>
      <w:spacing w:before="120"/>
      <w:outlineLvl w:val="1"/>
    </w:pPr>
    <w:rPr>
      <w:b/>
      <w:sz w:val="28"/>
      <w:szCs w:val="28"/>
    </w:rPr>
  </w:style>
  <w:style w:type="paragraph" w:customStyle="1" w:styleId="ENotesHeading2">
    <w:name w:val="ENotesHeading 2"/>
    <w:aliases w:val="Enh2"/>
    <w:basedOn w:val="OPCParaBase"/>
    <w:next w:val="Normal"/>
    <w:rsid w:val="007C604B"/>
    <w:pPr>
      <w:spacing w:before="120" w:after="120"/>
      <w:outlineLvl w:val="2"/>
    </w:pPr>
    <w:rPr>
      <w:b/>
      <w:sz w:val="24"/>
      <w:szCs w:val="28"/>
    </w:rPr>
  </w:style>
  <w:style w:type="paragraph" w:customStyle="1" w:styleId="ENoteTTIndentHeading">
    <w:name w:val="ENoteTTIndentHeading"/>
    <w:aliases w:val="enTTHi"/>
    <w:basedOn w:val="OPCParaBase"/>
    <w:rsid w:val="007C604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604B"/>
    <w:pPr>
      <w:spacing w:before="60" w:line="240" w:lineRule="atLeast"/>
    </w:pPr>
    <w:rPr>
      <w:sz w:val="16"/>
    </w:rPr>
  </w:style>
  <w:style w:type="paragraph" w:customStyle="1" w:styleId="MadeunderText">
    <w:name w:val="MadeunderText"/>
    <w:basedOn w:val="OPCParaBase"/>
    <w:next w:val="CompiledMadeUnder"/>
    <w:rsid w:val="007C604B"/>
    <w:pPr>
      <w:spacing w:before="240"/>
    </w:pPr>
    <w:rPr>
      <w:sz w:val="24"/>
      <w:szCs w:val="24"/>
    </w:rPr>
  </w:style>
  <w:style w:type="paragraph" w:customStyle="1" w:styleId="ENotesHeading3">
    <w:name w:val="ENotesHeading 3"/>
    <w:aliases w:val="Enh3"/>
    <w:basedOn w:val="OPCParaBase"/>
    <w:next w:val="Normal"/>
    <w:rsid w:val="007C604B"/>
    <w:pPr>
      <w:keepNext/>
      <w:spacing w:before="120" w:line="240" w:lineRule="auto"/>
      <w:outlineLvl w:val="4"/>
    </w:pPr>
    <w:rPr>
      <w:b/>
      <w:szCs w:val="24"/>
    </w:rPr>
  </w:style>
  <w:style w:type="paragraph" w:customStyle="1" w:styleId="SubPartCASA">
    <w:name w:val="SubPart(CASA)"/>
    <w:aliases w:val="csp"/>
    <w:basedOn w:val="OPCParaBase"/>
    <w:next w:val="ActHead3"/>
    <w:rsid w:val="007C604B"/>
    <w:pPr>
      <w:keepNext/>
      <w:keepLines/>
      <w:spacing w:before="280"/>
      <w:outlineLvl w:val="1"/>
    </w:pPr>
    <w:rPr>
      <w:b/>
      <w:kern w:val="28"/>
      <w:sz w:val="32"/>
    </w:rPr>
  </w:style>
  <w:style w:type="character" w:customStyle="1" w:styleId="CharSubPartTextCASA">
    <w:name w:val="CharSubPartText(CASA)"/>
    <w:basedOn w:val="OPCCharBase"/>
    <w:uiPriority w:val="1"/>
    <w:rsid w:val="007C604B"/>
  </w:style>
  <w:style w:type="character" w:customStyle="1" w:styleId="CharSubPartNoCASA">
    <w:name w:val="CharSubPartNo(CASA)"/>
    <w:basedOn w:val="OPCCharBase"/>
    <w:uiPriority w:val="1"/>
    <w:rsid w:val="007C604B"/>
  </w:style>
  <w:style w:type="paragraph" w:customStyle="1" w:styleId="ENoteTTIndentHeadingSub">
    <w:name w:val="ENoteTTIndentHeadingSub"/>
    <w:aliases w:val="enTTHis"/>
    <w:basedOn w:val="OPCParaBase"/>
    <w:rsid w:val="007C604B"/>
    <w:pPr>
      <w:keepNext/>
      <w:spacing w:before="60" w:line="240" w:lineRule="atLeast"/>
      <w:ind w:left="340"/>
    </w:pPr>
    <w:rPr>
      <w:b/>
      <w:sz w:val="16"/>
    </w:rPr>
  </w:style>
  <w:style w:type="paragraph" w:customStyle="1" w:styleId="ENoteTTiSub">
    <w:name w:val="ENoteTTiSub"/>
    <w:aliases w:val="enttis"/>
    <w:basedOn w:val="OPCParaBase"/>
    <w:rsid w:val="007C604B"/>
    <w:pPr>
      <w:keepNext/>
      <w:spacing w:before="60" w:line="240" w:lineRule="atLeast"/>
      <w:ind w:left="340"/>
    </w:pPr>
    <w:rPr>
      <w:sz w:val="16"/>
    </w:rPr>
  </w:style>
  <w:style w:type="paragraph" w:customStyle="1" w:styleId="SubDivisionMigration">
    <w:name w:val="SubDivisionMigration"/>
    <w:aliases w:val="sdm"/>
    <w:basedOn w:val="OPCParaBase"/>
    <w:rsid w:val="007C604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604B"/>
    <w:pPr>
      <w:keepNext/>
      <w:keepLines/>
      <w:spacing w:before="240" w:line="240" w:lineRule="auto"/>
      <w:ind w:left="1134" w:hanging="1134"/>
    </w:pPr>
    <w:rPr>
      <w:b/>
      <w:sz w:val="28"/>
    </w:rPr>
  </w:style>
  <w:style w:type="paragraph" w:customStyle="1" w:styleId="notetext">
    <w:name w:val="note(text)"/>
    <w:aliases w:val="n"/>
    <w:basedOn w:val="OPCParaBase"/>
    <w:rsid w:val="007C604B"/>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7C604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C604B"/>
    <w:rPr>
      <w:sz w:val="22"/>
    </w:rPr>
  </w:style>
  <w:style w:type="paragraph" w:customStyle="1" w:styleId="SOTextNote">
    <w:name w:val="SO TextNote"/>
    <w:aliases w:val="sont"/>
    <w:basedOn w:val="SOText"/>
    <w:qFormat/>
    <w:rsid w:val="007C604B"/>
    <w:pPr>
      <w:spacing w:before="122" w:line="198" w:lineRule="exact"/>
      <w:ind w:left="1843" w:hanging="709"/>
    </w:pPr>
    <w:rPr>
      <w:sz w:val="18"/>
    </w:rPr>
  </w:style>
  <w:style w:type="paragraph" w:customStyle="1" w:styleId="SOPara">
    <w:name w:val="SO Para"/>
    <w:aliases w:val="soa"/>
    <w:basedOn w:val="SOText"/>
    <w:link w:val="SOParaChar"/>
    <w:qFormat/>
    <w:rsid w:val="007C604B"/>
    <w:pPr>
      <w:tabs>
        <w:tab w:val="right" w:pos="1786"/>
      </w:tabs>
      <w:spacing w:before="40"/>
      <w:ind w:left="2070" w:hanging="936"/>
    </w:pPr>
  </w:style>
  <w:style w:type="character" w:customStyle="1" w:styleId="SOParaChar">
    <w:name w:val="SO Para Char"/>
    <w:aliases w:val="soa Char"/>
    <w:basedOn w:val="DefaultParagraphFont"/>
    <w:link w:val="SOPara"/>
    <w:rsid w:val="007C604B"/>
    <w:rPr>
      <w:sz w:val="22"/>
    </w:rPr>
  </w:style>
  <w:style w:type="paragraph" w:customStyle="1" w:styleId="FileName">
    <w:name w:val="FileName"/>
    <w:basedOn w:val="Normal"/>
    <w:rsid w:val="007C604B"/>
  </w:style>
  <w:style w:type="paragraph" w:customStyle="1" w:styleId="TableHeading">
    <w:name w:val="TableHeading"/>
    <w:aliases w:val="th"/>
    <w:basedOn w:val="OPCParaBase"/>
    <w:next w:val="Tabletext"/>
    <w:rsid w:val="007C604B"/>
    <w:pPr>
      <w:keepNext/>
      <w:spacing w:before="60" w:line="240" w:lineRule="atLeast"/>
    </w:pPr>
    <w:rPr>
      <w:b/>
      <w:sz w:val="20"/>
    </w:rPr>
  </w:style>
  <w:style w:type="paragraph" w:customStyle="1" w:styleId="SOHeadBold">
    <w:name w:val="SO HeadBold"/>
    <w:aliases w:val="sohb"/>
    <w:basedOn w:val="SOText"/>
    <w:next w:val="SOText"/>
    <w:link w:val="SOHeadBoldChar"/>
    <w:qFormat/>
    <w:rsid w:val="007C604B"/>
    <w:rPr>
      <w:b/>
    </w:rPr>
  </w:style>
  <w:style w:type="character" w:customStyle="1" w:styleId="SOHeadBoldChar">
    <w:name w:val="SO HeadBold Char"/>
    <w:aliases w:val="sohb Char"/>
    <w:basedOn w:val="DefaultParagraphFont"/>
    <w:link w:val="SOHeadBold"/>
    <w:rsid w:val="007C604B"/>
    <w:rPr>
      <w:b/>
      <w:sz w:val="22"/>
    </w:rPr>
  </w:style>
  <w:style w:type="paragraph" w:customStyle="1" w:styleId="SOHeadItalic">
    <w:name w:val="SO HeadItalic"/>
    <w:aliases w:val="sohi"/>
    <w:basedOn w:val="SOText"/>
    <w:next w:val="SOText"/>
    <w:link w:val="SOHeadItalicChar"/>
    <w:qFormat/>
    <w:rsid w:val="007C604B"/>
    <w:rPr>
      <w:i/>
    </w:rPr>
  </w:style>
  <w:style w:type="character" w:customStyle="1" w:styleId="SOHeadItalicChar">
    <w:name w:val="SO HeadItalic Char"/>
    <w:aliases w:val="sohi Char"/>
    <w:basedOn w:val="DefaultParagraphFont"/>
    <w:link w:val="SOHeadItalic"/>
    <w:rsid w:val="007C604B"/>
    <w:rPr>
      <w:i/>
      <w:sz w:val="22"/>
    </w:rPr>
  </w:style>
  <w:style w:type="paragraph" w:customStyle="1" w:styleId="SOBullet">
    <w:name w:val="SO Bullet"/>
    <w:aliases w:val="sotb"/>
    <w:basedOn w:val="SOText"/>
    <w:link w:val="SOBulletChar"/>
    <w:qFormat/>
    <w:rsid w:val="007C604B"/>
    <w:pPr>
      <w:ind w:left="1559" w:hanging="425"/>
    </w:pPr>
  </w:style>
  <w:style w:type="character" w:customStyle="1" w:styleId="SOBulletChar">
    <w:name w:val="SO Bullet Char"/>
    <w:aliases w:val="sotb Char"/>
    <w:basedOn w:val="DefaultParagraphFont"/>
    <w:link w:val="SOBullet"/>
    <w:rsid w:val="007C604B"/>
    <w:rPr>
      <w:sz w:val="22"/>
    </w:rPr>
  </w:style>
  <w:style w:type="paragraph" w:customStyle="1" w:styleId="SOBulletNote">
    <w:name w:val="SO BulletNote"/>
    <w:aliases w:val="sonb"/>
    <w:basedOn w:val="SOTextNote"/>
    <w:link w:val="SOBulletNoteChar"/>
    <w:qFormat/>
    <w:rsid w:val="007C604B"/>
    <w:pPr>
      <w:tabs>
        <w:tab w:val="left" w:pos="1560"/>
      </w:tabs>
      <w:ind w:left="2268" w:hanging="1134"/>
    </w:pPr>
  </w:style>
  <w:style w:type="character" w:customStyle="1" w:styleId="SOBulletNoteChar">
    <w:name w:val="SO BulletNote Char"/>
    <w:aliases w:val="sonb Char"/>
    <w:basedOn w:val="DefaultParagraphFont"/>
    <w:link w:val="SOBulletNote"/>
    <w:rsid w:val="007C604B"/>
    <w:rPr>
      <w:sz w:val="18"/>
    </w:rPr>
  </w:style>
  <w:style w:type="paragraph" w:customStyle="1" w:styleId="SOText2">
    <w:name w:val="SO Text2"/>
    <w:aliases w:val="sot2"/>
    <w:basedOn w:val="Normal"/>
    <w:next w:val="SOText"/>
    <w:link w:val="SOText2Char"/>
    <w:rsid w:val="007C604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604B"/>
    <w:rPr>
      <w:sz w:val="22"/>
    </w:rPr>
  </w:style>
  <w:style w:type="character" w:customStyle="1" w:styleId="Heading1Char">
    <w:name w:val="Heading 1 Char"/>
    <w:basedOn w:val="DefaultParagraphFont"/>
    <w:link w:val="Heading1"/>
    <w:uiPriority w:val="2"/>
    <w:rsid w:val="0046236F"/>
    <w:rPr>
      <w:rFonts w:asciiTheme="minorHAnsi" w:eastAsiaTheme="majorEastAsia" w:hAnsiTheme="minorHAnsi" w:cstheme="majorBidi"/>
      <w:color w:val="13223E"/>
      <w:spacing w:val="4"/>
      <w:sz w:val="36"/>
      <w:szCs w:val="36"/>
      <w:lang w:eastAsia="en-AU"/>
    </w:rPr>
  </w:style>
  <w:style w:type="character" w:styleId="Strong">
    <w:name w:val="Strong"/>
    <w:aliases w:val="Bold"/>
    <w:uiPriority w:val="22"/>
    <w:qFormat/>
    <w:rsid w:val="0046236F"/>
    <w:rPr>
      <w:b/>
      <w:bCs/>
    </w:rPr>
  </w:style>
  <w:style w:type="paragraph" w:styleId="ListParagraph">
    <w:name w:val="List Paragraph"/>
    <w:aliases w:val="Recommendation,L,List Paragraph1,List Paragraph11,bullet point list,1 heading,Bullet point,Dot point 1.5 line spacing,List Paragraph - bullets,NFP GP Bulleted List,List Paragraph2,FooterText,Bullet List,numbered,Paragraphe de liste1,列出段落"/>
    <w:basedOn w:val="Normal"/>
    <w:link w:val="ListParagraphChar"/>
    <w:uiPriority w:val="34"/>
    <w:qFormat/>
    <w:rsid w:val="0046236F"/>
    <w:pPr>
      <w:spacing w:before="120" w:after="180" w:line="280" w:lineRule="atLeast"/>
      <w:ind w:left="720"/>
      <w:contextualSpacing/>
    </w:pPr>
    <w:rPr>
      <w:rFonts w:ascii="Arial" w:eastAsia="Times New Roman" w:hAnsi="Arial" w:cs="Times New Roman"/>
      <w:spacing w:val="4"/>
      <w:sz w:val="24"/>
      <w:szCs w:val="24"/>
      <w:lang w:eastAsia="en-AU"/>
    </w:rPr>
  </w:style>
  <w:style w:type="character" w:customStyle="1" w:styleId="ListParagraphChar">
    <w:name w:val="List Paragraph Char"/>
    <w:aliases w:val="Recommendation Char,L Char,List Paragraph1 Char,List Paragraph11 Char,bullet point list Char,1 heading Char,Bullet point Char,Dot point 1.5 line spacing Char,List Paragraph - bullets Char,NFP GP Bulleted List Char,FooterText Char"/>
    <w:basedOn w:val="DefaultParagraphFont"/>
    <w:link w:val="ListParagraph"/>
    <w:uiPriority w:val="34"/>
    <w:qFormat/>
    <w:locked/>
    <w:rsid w:val="0046236F"/>
    <w:rPr>
      <w:rFonts w:ascii="Arial" w:eastAsia="Times New Roman" w:hAnsi="Arial" w:cs="Times New Roman"/>
      <w:spacing w:val="4"/>
      <w:sz w:val="24"/>
      <w:szCs w:val="24"/>
      <w:lang w:eastAsia="en-AU"/>
    </w:rPr>
  </w:style>
  <w:style w:type="paragraph" w:customStyle="1" w:styleId="ListBullet-Number">
    <w:name w:val="List Bullet - Number"/>
    <w:basedOn w:val="ListBullet"/>
    <w:qFormat/>
    <w:rsid w:val="0046236F"/>
    <w:pPr>
      <w:numPr>
        <w:numId w:val="14"/>
      </w:numPr>
      <w:tabs>
        <w:tab w:val="left" w:pos="170"/>
      </w:tabs>
      <w:spacing w:before="60" w:after="60" w:line="280" w:lineRule="atLeast"/>
      <w:contextualSpacing w:val="0"/>
    </w:pPr>
    <w:rPr>
      <w:rFonts w:ascii="Arial" w:eastAsia="Times New Roman" w:hAnsi="Arial" w:cs="Times New Roman"/>
      <w:spacing w:val="4"/>
      <w:sz w:val="24"/>
      <w:szCs w:val="24"/>
      <w:lang w:eastAsia="en-AU"/>
    </w:rPr>
  </w:style>
  <w:style w:type="paragraph" w:styleId="ListBullet">
    <w:name w:val="List Bullet"/>
    <w:basedOn w:val="Normal"/>
    <w:uiPriority w:val="99"/>
    <w:semiHidden/>
    <w:unhideWhenUsed/>
    <w:rsid w:val="0046236F"/>
    <w:pPr>
      <w:numPr>
        <w:numId w:val="1"/>
      </w:numPr>
      <w:contextualSpacing/>
    </w:pPr>
  </w:style>
  <w:style w:type="character" w:styleId="CommentReference">
    <w:name w:val="annotation reference"/>
    <w:basedOn w:val="DefaultParagraphFont"/>
    <w:uiPriority w:val="99"/>
    <w:semiHidden/>
    <w:unhideWhenUsed/>
    <w:rsid w:val="00FC25E2"/>
    <w:rPr>
      <w:sz w:val="16"/>
      <w:szCs w:val="16"/>
    </w:rPr>
  </w:style>
  <w:style w:type="paragraph" w:styleId="CommentText">
    <w:name w:val="annotation text"/>
    <w:basedOn w:val="Normal"/>
    <w:link w:val="CommentTextChar"/>
    <w:uiPriority w:val="99"/>
    <w:semiHidden/>
    <w:unhideWhenUsed/>
    <w:rsid w:val="00FC25E2"/>
    <w:pPr>
      <w:spacing w:line="240" w:lineRule="auto"/>
    </w:pPr>
    <w:rPr>
      <w:sz w:val="20"/>
    </w:rPr>
  </w:style>
  <w:style w:type="character" w:customStyle="1" w:styleId="CommentTextChar">
    <w:name w:val="Comment Text Char"/>
    <w:basedOn w:val="DefaultParagraphFont"/>
    <w:link w:val="CommentText"/>
    <w:uiPriority w:val="99"/>
    <w:semiHidden/>
    <w:rsid w:val="00FC25E2"/>
  </w:style>
  <w:style w:type="paragraph" w:styleId="CommentSubject">
    <w:name w:val="annotation subject"/>
    <w:basedOn w:val="CommentText"/>
    <w:next w:val="CommentText"/>
    <w:link w:val="CommentSubjectChar"/>
    <w:uiPriority w:val="99"/>
    <w:semiHidden/>
    <w:unhideWhenUsed/>
    <w:rsid w:val="00FC25E2"/>
    <w:rPr>
      <w:b/>
      <w:bCs/>
    </w:rPr>
  </w:style>
  <w:style w:type="character" w:customStyle="1" w:styleId="CommentSubjectChar">
    <w:name w:val="Comment Subject Char"/>
    <w:basedOn w:val="CommentTextChar"/>
    <w:link w:val="CommentSubject"/>
    <w:uiPriority w:val="99"/>
    <w:semiHidden/>
    <w:rsid w:val="00FC25E2"/>
    <w:rPr>
      <w:b/>
      <w:bCs/>
    </w:rPr>
  </w:style>
  <w:style w:type="paragraph" w:styleId="Revision">
    <w:name w:val="Revision"/>
    <w:hidden/>
    <w:uiPriority w:val="99"/>
    <w:semiHidden/>
    <w:rsid w:val="00FC25E2"/>
    <w:rPr>
      <w:sz w:val="22"/>
    </w:rPr>
  </w:style>
  <w:style w:type="character" w:customStyle="1" w:styleId="Heading2Char">
    <w:name w:val="Heading 2 Char"/>
    <w:basedOn w:val="DefaultParagraphFont"/>
    <w:link w:val="Heading2"/>
    <w:uiPriority w:val="9"/>
    <w:semiHidden/>
    <w:rsid w:val="006B2EEB"/>
    <w:rPr>
      <w:rFonts w:ascii="Arial" w:eastAsiaTheme="majorEastAsia" w:hAnsi="Arial" w:cstheme="majorBidi"/>
      <w:b/>
      <w:bCs/>
      <w:color w:val="244061" w:themeColor="accent1" w:themeShade="80"/>
      <w:sz w:val="24"/>
      <w:szCs w:val="26"/>
    </w:rPr>
  </w:style>
  <w:style w:type="paragraph" w:customStyle="1" w:styleId="TableNText">
    <w:name w:val="Table N Text"/>
    <w:basedOn w:val="Normal"/>
    <w:uiPriority w:val="2"/>
    <w:qFormat/>
    <w:rsid w:val="009F6934"/>
    <w:pPr>
      <w:spacing w:before="60" w:after="60" w:line="256" w:lineRule="auto"/>
    </w:pPr>
    <w:rPr>
      <w:rFonts w:ascii="Segoe UI" w:hAnsi="Segoe UI"/>
      <w:sz w:val="17"/>
      <w:szCs w:val="22"/>
    </w:rPr>
  </w:style>
  <w:style w:type="character" w:styleId="Hyperlink">
    <w:name w:val="Hyperlink"/>
    <w:basedOn w:val="DefaultParagraphFont"/>
    <w:uiPriority w:val="99"/>
    <w:unhideWhenUsed/>
    <w:rsid w:val="000D4BBF"/>
    <w:rPr>
      <w:color w:val="0000FF" w:themeColor="hyperlink"/>
      <w:u w:val="single"/>
    </w:rPr>
  </w:style>
  <w:style w:type="paragraph" w:styleId="Title">
    <w:name w:val="Title"/>
    <w:basedOn w:val="Normal"/>
    <w:next w:val="Normal"/>
    <w:link w:val="TitleChar"/>
    <w:uiPriority w:val="10"/>
    <w:qFormat/>
    <w:rsid w:val="00564BDE"/>
    <w:pPr>
      <w:pBdr>
        <w:bottom w:val="single" w:sz="8" w:space="4" w:color="4F81BD" w:themeColor="accent1"/>
      </w:pBdr>
      <w:spacing w:after="300" w:line="240" w:lineRule="auto"/>
      <w:contextualSpacing/>
    </w:pPr>
    <w:rPr>
      <w:rFonts w:ascii="Arial" w:eastAsiaTheme="majorEastAsia" w:hAnsi="Arial" w:cstheme="majorBidi"/>
      <w:color w:val="FFFFFF" w:themeColor="background1"/>
      <w:spacing w:val="5"/>
      <w:kern w:val="28"/>
      <w:sz w:val="36"/>
      <w:szCs w:val="52"/>
    </w:rPr>
  </w:style>
  <w:style w:type="character" w:customStyle="1" w:styleId="TitleChar">
    <w:name w:val="Title Char"/>
    <w:basedOn w:val="DefaultParagraphFont"/>
    <w:link w:val="Title"/>
    <w:uiPriority w:val="10"/>
    <w:rsid w:val="00564BDE"/>
    <w:rPr>
      <w:rFonts w:ascii="Arial" w:eastAsiaTheme="majorEastAsia" w:hAnsi="Arial" w:cstheme="majorBidi"/>
      <w:color w:val="FFFFFF" w:themeColor="background1"/>
      <w:spacing w:val="5"/>
      <w:kern w:val="28"/>
      <w:sz w:val="36"/>
      <w:szCs w:val="52"/>
    </w:rPr>
  </w:style>
  <w:style w:type="paragraph" w:styleId="FootnoteText">
    <w:name w:val="footnote text"/>
    <w:basedOn w:val="Normal"/>
    <w:link w:val="FootnoteTextChar"/>
    <w:uiPriority w:val="99"/>
    <w:semiHidden/>
    <w:unhideWhenUsed/>
    <w:rsid w:val="00564BDE"/>
    <w:pPr>
      <w:spacing w:line="240" w:lineRule="auto"/>
    </w:pPr>
    <w:rPr>
      <w:sz w:val="20"/>
    </w:rPr>
  </w:style>
  <w:style w:type="character" w:customStyle="1" w:styleId="FootnoteTextChar">
    <w:name w:val="Footnote Text Char"/>
    <w:basedOn w:val="DefaultParagraphFont"/>
    <w:link w:val="FootnoteText"/>
    <w:uiPriority w:val="99"/>
    <w:semiHidden/>
    <w:rsid w:val="00564BDE"/>
  </w:style>
  <w:style w:type="character" w:styleId="FootnoteReference">
    <w:name w:val="footnote reference"/>
    <w:basedOn w:val="DefaultParagraphFont"/>
    <w:uiPriority w:val="99"/>
    <w:semiHidden/>
    <w:unhideWhenUsed/>
    <w:rsid w:val="00564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24617">
      <w:bodyDiv w:val="1"/>
      <w:marLeft w:val="0"/>
      <w:marRight w:val="0"/>
      <w:marTop w:val="0"/>
      <w:marBottom w:val="0"/>
      <w:divBdr>
        <w:top w:val="none" w:sz="0" w:space="0" w:color="auto"/>
        <w:left w:val="none" w:sz="0" w:space="0" w:color="auto"/>
        <w:bottom w:val="none" w:sz="0" w:space="0" w:color="auto"/>
        <w:right w:val="none" w:sz="0" w:space="0" w:color="auto"/>
      </w:divBdr>
    </w:div>
    <w:div w:id="122167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beta.health.gov.au/initiatives-and-programs/medical-research-future-fund"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21BFF-8116-48D2-9131-828529E1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13</Pages>
  <Words>3183</Words>
  <Characters>18146</Characters>
  <Application>Microsoft Office Word</Application>
  <DocSecurity>0</DocSecurity>
  <PresentationFormat/>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2013-07-15T03:46:00Z</cp:lastPrinted>
  <dcterms:created xsi:type="dcterms:W3CDTF">2020-10-22T22:01:00Z</dcterms:created>
  <dcterms:modified xsi:type="dcterms:W3CDTF">2020-11-03T00:56:00Z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Security (National Notifiable Disease List) Amendment (Vectorborne Diseases) Instrument 2014</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OPC60485</vt:lpwstr>
  </property>
  <property fmtid="{D5CDD505-2E9C-101B-9397-08002B2CF9AE}" pid="10" name="Classification">
    <vt:lpwstr> </vt:lpwstr>
  </property>
  <property fmtid="{D5CDD505-2E9C-101B-9397-08002B2CF9AE}" pid="11" name="DLM">
    <vt:lpwstr> </vt:lpwstr>
  </property>
  <property fmtid="{D5CDD505-2E9C-101B-9397-08002B2CF9AE}" pid="12" name="ActMadeUnder">
    <vt:lpwstr>subsection 11(3) of the National Health Security Act 2007</vt:lpwstr>
  </property>
  <property fmtid="{D5CDD505-2E9C-101B-9397-08002B2CF9AE}" pid="13" name="NonLegInst">
    <vt:lpwstr>0</vt:lpwstr>
  </property>
  <property fmtid="{D5CDD505-2E9C-101B-9397-08002B2CF9AE}" pid="14" name="Number">
    <vt:lpwstr>A</vt:lpwstr>
  </property>
  <property fmtid="{D5CDD505-2E9C-101B-9397-08002B2CF9AE}" pid="15" name="CounterSign">
    <vt:lpwstr/>
  </property>
  <property fmtid="{D5CDD505-2E9C-101B-9397-08002B2CF9AE}" pid="16" name="DateMade">
    <vt:lpwstr>24 June 2014</vt:lpwstr>
  </property>
</Properties>
</file>