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32075F" w:rsidRDefault="00DA186E" w:rsidP="00715914">
      <w:pPr>
        <w:rPr>
          <w:color w:val="008000"/>
          <w:sz w:val="28"/>
        </w:rPr>
      </w:pPr>
      <w:r w:rsidRPr="0032075F"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2075F" w:rsidRDefault="00715914" w:rsidP="00715914">
      <w:pPr>
        <w:rPr>
          <w:sz w:val="19"/>
        </w:rPr>
      </w:pPr>
    </w:p>
    <w:p w:rsidR="00554826" w:rsidRPr="0032075F" w:rsidRDefault="00AF0198" w:rsidP="00554826">
      <w:pPr>
        <w:pStyle w:val="ShortT"/>
      </w:pPr>
      <w:r w:rsidRPr="0032075F">
        <w:t>Competition and Consumer</w:t>
      </w:r>
      <w:r w:rsidR="00554826" w:rsidRPr="0032075F">
        <w:t xml:space="preserve"> (</w:t>
      </w:r>
      <w:r w:rsidR="0002655B" w:rsidRPr="0032075F">
        <w:t>Class Exemption—Collective Bargaining</w:t>
      </w:r>
      <w:r w:rsidR="00554826" w:rsidRPr="0032075F">
        <w:t xml:space="preserve">) </w:t>
      </w:r>
      <w:r w:rsidRPr="0032075F">
        <w:t xml:space="preserve">Determination </w:t>
      </w:r>
      <w:r w:rsidR="00993467" w:rsidRPr="0032075F">
        <w:t>2020</w:t>
      </w:r>
    </w:p>
    <w:p w:rsidR="00554826" w:rsidRPr="0032075F" w:rsidRDefault="00AF0198" w:rsidP="00554826">
      <w:pPr>
        <w:pStyle w:val="SignCoverPageStart"/>
        <w:spacing w:before="240"/>
        <w:ind w:right="91"/>
        <w:rPr>
          <w:szCs w:val="22"/>
        </w:rPr>
      </w:pPr>
      <w:r w:rsidRPr="0032075F">
        <w:rPr>
          <w:szCs w:val="22"/>
        </w:rPr>
        <w:t>The Australian Competition and Consumer Commission</w:t>
      </w:r>
      <w:r w:rsidR="00554826" w:rsidRPr="0032075F">
        <w:rPr>
          <w:szCs w:val="22"/>
        </w:rPr>
        <w:t xml:space="preserve"> make</w:t>
      </w:r>
      <w:r w:rsidRPr="0032075F">
        <w:rPr>
          <w:szCs w:val="22"/>
        </w:rPr>
        <w:t>s</w:t>
      </w:r>
      <w:r w:rsidR="00554826" w:rsidRPr="0032075F">
        <w:rPr>
          <w:szCs w:val="22"/>
        </w:rPr>
        <w:t xml:space="preserve"> the following </w:t>
      </w:r>
      <w:r w:rsidRPr="0032075F">
        <w:rPr>
          <w:szCs w:val="22"/>
        </w:rPr>
        <w:t>determination</w:t>
      </w:r>
      <w:r w:rsidR="00554826" w:rsidRPr="0032075F">
        <w:rPr>
          <w:szCs w:val="22"/>
        </w:rPr>
        <w:t>.</w:t>
      </w:r>
    </w:p>
    <w:p w:rsidR="0032075F" w:rsidRPr="0032075F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2075F">
        <w:rPr>
          <w:szCs w:val="22"/>
        </w:rPr>
        <w:t>Dated</w:t>
      </w:r>
    </w:p>
    <w:p w:rsidR="0032075F" w:rsidRPr="0032075F" w:rsidRDefault="0032075F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2075F">
        <w:rPr>
          <w:szCs w:val="22"/>
        </w:rPr>
        <w:t>19 October 2020</w:t>
      </w:r>
    </w:p>
    <w:p w:rsidR="00554826" w:rsidRPr="0032075F" w:rsidRDefault="00554826" w:rsidP="0032075F">
      <w:pPr>
        <w:keepNext/>
        <w:spacing w:before="300" w:line="240" w:lineRule="atLeast"/>
        <w:ind w:right="397"/>
        <w:jc w:val="both"/>
        <w:rPr>
          <w:szCs w:val="22"/>
        </w:rPr>
      </w:pPr>
      <w:r w:rsidRPr="0032075F">
        <w:rPr>
          <w:szCs w:val="22"/>
        </w:rPr>
        <w:tab/>
      </w:r>
    </w:p>
    <w:p w:rsidR="0032075F" w:rsidRPr="0032075F" w:rsidRDefault="0032075F" w:rsidP="0032075F">
      <w:pPr>
        <w:keepNext/>
        <w:spacing w:before="300" w:line="240" w:lineRule="atLeast"/>
        <w:ind w:right="397"/>
        <w:jc w:val="both"/>
        <w:rPr>
          <w:szCs w:val="22"/>
        </w:rPr>
      </w:pPr>
    </w:p>
    <w:p w:rsidR="00554826" w:rsidRPr="0032075F" w:rsidRDefault="00AF0198" w:rsidP="00554826">
      <w:pPr>
        <w:pStyle w:val="SignCoverPageEnd"/>
        <w:ind w:right="91"/>
        <w:rPr>
          <w:sz w:val="22"/>
        </w:rPr>
      </w:pPr>
      <w:r w:rsidRPr="0032075F">
        <w:rPr>
          <w:sz w:val="22"/>
        </w:rPr>
        <w:t>The Australian Competition and Consumer Commission</w:t>
      </w:r>
    </w:p>
    <w:p w:rsidR="00554826" w:rsidRPr="0032075F" w:rsidRDefault="00554826" w:rsidP="00554826"/>
    <w:p w:rsidR="00554826" w:rsidRPr="0032075F" w:rsidRDefault="00554826" w:rsidP="00554826"/>
    <w:p w:rsidR="00F6696E" w:rsidRPr="0032075F" w:rsidRDefault="00F6696E" w:rsidP="00F6696E"/>
    <w:p w:rsidR="00F6696E" w:rsidRPr="0032075F" w:rsidRDefault="00F6696E" w:rsidP="00F6696E">
      <w:pPr>
        <w:sectPr w:rsidR="00F6696E" w:rsidRPr="0032075F" w:rsidSect="004F1B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Pr="0032075F" w:rsidRDefault="00715914" w:rsidP="00715914">
      <w:pPr>
        <w:outlineLvl w:val="0"/>
        <w:rPr>
          <w:sz w:val="36"/>
        </w:rPr>
      </w:pPr>
      <w:r w:rsidRPr="0032075F">
        <w:rPr>
          <w:sz w:val="36"/>
        </w:rPr>
        <w:lastRenderedPageBreak/>
        <w:t>Contents</w:t>
      </w:r>
    </w:p>
    <w:p w:rsidR="006D094F" w:rsidRPr="0032075F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2075F">
        <w:rPr>
          <w:sz w:val="18"/>
        </w:rPr>
        <w:fldChar w:fldCharType="begin"/>
      </w:r>
      <w:r w:rsidRPr="0032075F">
        <w:instrText xml:space="preserve"> TOC \o "1-9" </w:instrText>
      </w:r>
      <w:r w:rsidRPr="0032075F">
        <w:rPr>
          <w:sz w:val="18"/>
        </w:rPr>
        <w:fldChar w:fldCharType="separate"/>
      </w:r>
      <w:r w:rsidR="006D094F" w:rsidRPr="0032075F">
        <w:rPr>
          <w:noProof/>
        </w:rPr>
        <w:t>Part 1—Preliminary</w:t>
      </w:r>
      <w:r w:rsidR="006D094F" w:rsidRPr="0032075F">
        <w:rPr>
          <w:noProof/>
        </w:rPr>
        <w:tab/>
      </w:r>
      <w:r w:rsidR="006D094F" w:rsidRPr="0032075F">
        <w:rPr>
          <w:noProof/>
        </w:rPr>
        <w:fldChar w:fldCharType="begin"/>
      </w:r>
      <w:r w:rsidR="006D094F" w:rsidRPr="0032075F">
        <w:rPr>
          <w:noProof/>
        </w:rPr>
        <w:instrText xml:space="preserve"> PAGEREF _Toc53673422 \h </w:instrText>
      </w:r>
      <w:r w:rsidR="006D094F" w:rsidRPr="0032075F">
        <w:rPr>
          <w:noProof/>
        </w:rPr>
      </w:r>
      <w:r w:rsidR="006D094F" w:rsidRPr="0032075F">
        <w:rPr>
          <w:noProof/>
        </w:rPr>
        <w:fldChar w:fldCharType="separate"/>
      </w:r>
      <w:r w:rsidR="006D094F" w:rsidRPr="0032075F">
        <w:rPr>
          <w:noProof/>
        </w:rPr>
        <w:t>1</w:t>
      </w:r>
      <w:r w:rsidR="006D094F"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1  Name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_Toc53673423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1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2  Commencement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_Toc53673424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1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3  Authority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_Toc53673425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1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4  Period for which determination is in force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_Toc53673426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1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5  Definitions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_Toc53673427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1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 xml:space="preserve">6  Meaning of </w:t>
      </w:r>
      <w:r w:rsidRPr="0032075F">
        <w:rPr>
          <w:i/>
          <w:noProof/>
        </w:rPr>
        <w:t>initial contract</w:t>
      </w:r>
      <w:r w:rsidRPr="0032075F">
        <w:rPr>
          <w:noProof/>
        </w:rPr>
        <w:t xml:space="preserve">, </w:t>
      </w:r>
      <w:r w:rsidRPr="0032075F">
        <w:rPr>
          <w:i/>
          <w:noProof/>
        </w:rPr>
        <w:t xml:space="preserve">contracting parties </w:t>
      </w:r>
      <w:r w:rsidRPr="0032075F">
        <w:rPr>
          <w:noProof/>
        </w:rPr>
        <w:t xml:space="preserve">and </w:t>
      </w:r>
      <w:r w:rsidRPr="0032075F">
        <w:rPr>
          <w:i/>
          <w:noProof/>
        </w:rPr>
        <w:t>target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_Toc53673428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3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2075F">
        <w:rPr>
          <w:noProof/>
        </w:rPr>
        <w:t>Part 2—Class exemption—collective bargaining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_Toc53673429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4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32075F">
        <w:rPr>
          <w:noProof/>
        </w:rPr>
        <w:t>Division 1—Class exemption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_Toc53673430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4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7  Class exemption—collective bargaining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_Toc53673431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4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32075F">
        <w:rPr>
          <w:noProof/>
        </w:rPr>
        <w:t>Division 2—Limitations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_Toc53673432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5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8  Exemption does not apply to collectively refusing to contract with target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_Toc53673433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5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9  Collective bargaining class exemption notice must be given to the Commission within 14 days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_Toc53673434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5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10  Copy of collective bargaining class exemption notice must be given to target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_Toc53673435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5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11  Corporation must have reasonable expectation of contracting with target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_Toc53673436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6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12  Class exemption does not apply in relation to certain initial contracts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_Toc53673437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6</w:t>
      </w:r>
      <w:r w:rsidRPr="0032075F">
        <w:rPr>
          <w:noProof/>
        </w:rPr>
        <w:fldChar w:fldCharType="end"/>
      </w:r>
    </w:p>
    <w:p w:rsidR="006D094F" w:rsidRPr="0032075F" w:rsidRDefault="006D09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2075F">
        <w:rPr>
          <w:noProof/>
        </w:rPr>
        <w:t>13  Sharing of information permitted only when reasonably necessary</w:t>
      </w:r>
      <w:r w:rsidRPr="0032075F">
        <w:rPr>
          <w:noProof/>
        </w:rPr>
        <w:tab/>
      </w:r>
      <w:r w:rsidRPr="0032075F">
        <w:rPr>
          <w:noProof/>
        </w:rPr>
        <w:fldChar w:fldCharType="begin"/>
      </w:r>
      <w:r w:rsidRPr="0032075F">
        <w:rPr>
          <w:noProof/>
        </w:rPr>
        <w:instrText xml:space="preserve"> PAGEREF _Toc53673438 \h </w:instrText>
      </w:r>
      <w:r w:rsidRPr="0032075F">
        <w:rPr>
          <w:noProof/>
        </w:rPr>
      </w:r>
      <w:r w:rsidRPr="0032075F">
        <w:rPr>
          <w:noProof/>
        </w:rPr>
        <w:fldChar w:fldCharType="separate"/>
      </w:r>
      <w:r w:rsidRPr="0032075F">
        <w:rPr>
          <w:noProof/>
        </w:rPr>
        <w:t>7</w:t>
      </w:r>
      <w:r w:rsidRPr="0032075F">
        <w:rPr>
          <w:noProof/>
        </w:rPr>
        <w:fldChar w:fldCharType="end"/>
      </w:r>
    </w:p>
    <w:p w:rsidR="00F6696E" w:rsidRPr="0032075F" w:rsidRDefault="00B418CB" w:rsidP="00F6696E">
      <w:pPr>
        <w:outlineLvl w:val="0"/>
      </w:pPr>
      <w:r w:rsidRPr="0032075F">
        <w:fldChar w:fldCharType="end"/>
      </w:r>
    </w:p>
    <w:p w:rsidR="008B1BE1" w:rsidRPr="0032075F" w:rsidRDefault="008B1BE1" w:rsidP="008B1BE1">
      <w:pPr>
        <w:rPr>
          <w:b/>
        </w:rPr>
      </w:pPr>
    </w:p>
    <w:p w:rsidR="00F6696E" w:rsidRPr="0032075F" w:rsidRDefault="008B1BE1" w:rsidP="008B1BE1">
      <w:pPr>
        <w:tabs>
          <w:tab w:val="center" w:pos="4156"/>
        </w:tabs>
        <w:sectPr w:rsidR="00F6696E" w:rsidRPr="0032075F" w:rsidSect="00674CB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2075F">
        <w:tab/>
      </w:r>
    </w:p>
    <w:p w:rsidR="00746704" w:rsidRPr="0032075F" w:rsidRDefault="006B5CA6" w:rsidP="00746704">
      <w:pPr>
        <w:pStyle w:val="ActHead2"/>
      </w:pPr>
      <w:bookmarkStart w:id="0" w:name="_Toc456608637"/>
      <w:bookmarkStart w:id="1" w:name="_Toc53673422"/>
      <w:r w:rsidRPr="0032075F">
        <w:lastRenderedPageBreak/>
        <w:t>Part 1</w:t>
      </w:r>
      <w:r w:rsidR="00746704" w:rsidRPr="0032075F">
        <w:t>—</w:t>
      </w:r>
      <w:bookmarkStart w:id="2" w:name="_Toc405889304"/>
      <w:r w:rsidR="00746704" w:rsidRPr="0032075F">
        <w:t>Preliminary</w:t>
      </w:r>
      <w:bookmarkEnd w:id="0"/>
      <w:bookmarkEnd w:id="1"/>
      <w:bookmarkEnd w:id="2"/>
    </w:p>
    <w:p w:rsidR="00554826" w:rsidRPr="0032075F" w:rsidRDefault="006B5CA6" w:rsidP="001D0A72">
      <w:pPr>
        <w:pStyle w:val="ActHead5"/>
      </w:pPr>
      <w:bookmarkStart w:id="3" w:name="_Toc53673423"/>
      <w:r w:rsidRPr="0032075F">
        <w:t>1</w:t>
      </w:r>
      <w:r w:rsidR="001D0A72" w:rsidRPr="0032075F">
        <w:t xml:space="preserve">  </w:t>
      </w:r>
      <w:r w:rsidR="00554826" w:rsidRPr="0032075F">
        <w:t>Name</w:t>
      </w:r>
      <w:bookmarkEnd w:id="3"/>
    </w:p>
    <w:p w:rsidR="00554826" w:rsidRPr="0032075F" w:rsidRDefault="00554826" w:rsidP="00554826">
      <w:pPr>
        <w:pStyle w:val="subsection"/>
      </w:pPr>
      <w:r w:rsidRPr="0032075F">
        <w:tab/>
      </w:r>
      <w:r w:rsidRPr="0032075F">
        <w:tab/>
        <w:t xml:space="preserve">This instrument is the </w:t>
      </w:r>
      <w:r w:rsidR="006B5CA6" w:rsidRPr="0032075F">
        <w:rPr>
          <w:i/>
          <w:noProof/>
        </w:rPr>
        <w:t>Competition and Consumer (Class Exemption—Collective Bargaining) Determination 2020</w:t>
      </w:r>
      <w:r w:rsidRPr="0032075F">
        <w:t>.</w:t>
      </w:r>
    </w:p>
    <w:p w:rsidR="00554826" w:rsidRPr="0032075F" w:rsidRDefault="006B5CA6" w:rsidP="00314493">
      <w:pPr>
        <w:pStyle w:val="ActHead5"/>
      </w:pPr>
      <w:bookmarkStart w:id="4" w:name="_Toc53673424"/>
      <w:r w:rsidRPr="0032075F">
        <w:t>2</w:t>
      </w:r>
      <w:r w:rsidR="00314493" w:rsidRPr="0032075F">
        <w:t xml:space="preserve">  </w:t>
      </w:r>
      <w:r w:rsidR="00554826" w:rsidRPr="0032075F">
        <w:t>Commencement</w:t>
      </w:r>
      <w:bookmarkEnd w:id="4"/>
    </w:p>
    <w:p w:rsidR="00E67AE3" w:rsidRPr="0032075F" w:rsidRDefault="00E67AE3" w:rsidP="00E67AE3">
      <w:pPr>
        <w:pStyle w:val="subsection"/>
      </w:pPr>
      <w:r w:rsidRPr="0032075F">
        <w:tab/>
      </w:r>
      <w:r w:rsidR="006B5CA6" w:rsidRPr="0032075F">
        <w:t>(1)</w:t>
      </w:r>
      <w:r w:rsidRPr="0032075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67AE3" w:rsidRPr="0032075F" w:rsidRDefault="00E67AE3" w:rsidP="00E67AE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67AE3" w:rsidRPr="0032075F" w:rsidTr="00674CB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Commencement information</w:t>
            </w:r>
          </w:p>
        </w:tc>
      </w:tr>
      <w:tr w:rsidR="00E67AE3" w:rsidRPr="0032075F" w:rsidTr="00674CB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Column 3</w:t>
            </w:r>
          </w:p>
        </w:tc>
      </w:tr>
      <w:tr w:rsidR="00E67AE3" w:rsidRPr="0032075F" w:rsidTr="00192732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67AE3" w:rsidRPr="0032075F" w:rsidRDefault="00E67AE3" w:rsidP="00674CB3">
            <w:pPr>
              <w:pStyle w:val="TableHeading"/>
            </w:pPr>
            <w:r w:rsidRPr="0032075F">
              <w:t>Date/Details</w:t>
            </w:r>
          </w:p>
        </w:tc>
      </w:tr>
      <w:tr w:rsidR="00E67AE3" w:rsidRPr="0032075F" w:rsidTr="0019273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67AE3" w:rsidRPr="0032075F" w:rsidRDefault="008A020F" w:rsidP="00674CB3">
            <w:pPr>
              <w:pStyle w:val="Tabletext"/>
            </w:pPr>
            <w:r w:rsidRPr="0032075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67AE3" w:rsidRPr="0032075F" w:rsidRDefault="001B7ED6" w:rsidP="001B7ED6">
            <w:pPr>
              <w:pStyle w:val="Tabletext"/>
            </w:pPr>
            <w:r w:rsidRPr="0032075F">
              <w:t>A single day to be fixed by the Commission by notifiable instrument.</w:t>
            </w:r>
          </w:p>
          <w:p w:rsidR="001B7ED6" w:rsidRPr="0032075F" w:rsidRDefault="001B7ED6" w:rsidP="00533F11">
            <w:pPr>
              <w:pStyle w:val="Tabletext"/>
            </w:pPr>
            <w:r w:rsidRPr="0032075F">
              <w:t xml:space="preserve">However, if the provisions do not commence within the period of </w:t>
            </w:r>
            <w:r w:rsidR="000F5579" w:rsidRPr="0032075F">
              <w:t>12</w:t>
            </w:r>
            <w:r w:rsidRPr="0032075F">
              <w:t> months beginning on the day this instrument is registered, they commence</w:t>
            </w:r>
            <w:r w:rsidR="00533F11" w:rsidRPr="0032075F">
              <w:t xml:space="preserve"> </w:t>
            </w:r>
            <w:r w:rsidRPr="0032075F">
              <w:t>on the da</w:t>
            </w:r>
            <w:r w:rsidR="00E01E84" w:rsidRPr="0032075F">
              <w:t>y after the end of that period.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AE3" w:rsidRPr="0032075F" w:rsidRDefault="001B5C53" w:rsidP="00674CB3">
            <w:pPr>
              <w:pStyle w:val="Tabletext"/>
            </w:pPr>
            <w:r>
              <w:t>3 June 2021 (F2021N00106)</w:t>
            </w:r>
            <w:bookmarkStart w:id="5" w:name="_GoBack"/>
            <w:bookmarkEnd w:id="5"/>
          </w:p>
        </w:tc>
      </w:tr>
    </w:tbl>
    <w:p w:rsidR="00E67AE3" w:rsidRPr="0032075F" w:rsidRDefault="00E67AE3" w:rsidP="00E67AE3">
      <w:pPr>
        <w:pStyle w:val="notetext"/>
        <w:rPr>
          <w:snapToGrid w:val="0"/>
          <w:lang w:eastAsia="en-US"/>
        </w:rPr>
      </w:pPr>
      <w:r w:rsidRPr="0032075F">
        <w:rPr>
          <w:snapToGrid w:val="0"/>
          <w:lang w:eastAsia="en-US"/>
        </w:rPr>
        <w:t>Note:</w:t>
      </w:r>
      <w:r w:rsidRPr="0032075F">
        <w:rPr>
          <w:snapToGrid w:val="0"/>
          <w:lang w:eastAsia="en-US"/>
        </w:rPr>
        <w:tab/>
        <w:t>This table relates only to the provisions of this instrument</w:t>
      </w:r>
      <w:r w:rsidRPr="0032075F">
        <w:t xml:space="preserve"> </w:t>
      </w:r>
      <w:r w:rsidRPr="0032075F">
        <w:rPr>
          <w:snapToGrid w:val="0"/>
          <w:lang w:eastAsia="en-US"/>
        </w:rPr>
        <w:t>as originally made. It will not be amended to deal with any later amendments of this instrument.</w:t>
      </w:r>
    </w:p>
    <w:p w:rsidR="00E67AE3" w:rsidRPr="0032075F" w:rsidRDefault="00E67AE3" w:rsidP="00E67AE3">
      <w:pPr>
        <w:pStyle w:val="subsection"/>
      </w:pPr>
      <w:r w:rsidRPr="0032075F">
        <w:tab/>
      </w:r>
      <w:r w:rsidR="006B5CA6" w:rsidRPr="0032075F">
        <w:t>(2)</w:t>
      </w:r>
      <w:r w:rsidRPr="0032075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32075F" w:rsidRDefault="006B5CA6" w:rsidP="00056495">
      <w:pPr>
        <w:pStyle w:val="ActHead5"/>
      </w:pPr>
      <w:bookmarkStart w:id="6" w:name="_Toc53673425"/>
      <w:r w:rsidRPr="0032075F">
        <w:t>3</w:t>
      </w:r>
      <w:r w:rsidR="00056495" w:rsidRPr="0032075F">
        <w:t xml:space="preserve">  </w:t>
      </w:r>
      <w:r w:rsidR="00554826" w:rsidRPr="0032075F">
        <w:t>Authority</w:t>
      </w:r>
      <w:bookmarkEnd w:id="6"/>
    </w:p>
    <w:p w:rsidR="00794725" w:rsidRPr="0032075F" w:rsidRDefault="00554826" w:rsidP="00E67AE3">
      <w:pPr>
        <w:pStyle w:val="subsection"/>
      </w:pPr>
      <w:r w:rsidRPr="0032075F">
        <w:tab/>
      </w:r>
      <w:r w:rsidRPr="0032075F">
        <w:tab/>
        <w:t>This instrument is made under</w:t>
      </w:r>
      <w:r w:rsidR="00794725" w:rsidRPr="0032075F">
        <w:t>:</w:t>
      </w:r>
    </w:p>
    <w:p w:rsidR="00794725" w:rsidRPr="0032075F" w:rsidRDefault="00794725" w:rsidP="00794725">
      <w:pPr>
        <w:pStyle w:val="paragraph"/>
      </w:pPr>
      <w:r w:rsidRPr="0032075F">
        <w:tab/>
      </w:r>
      <w:r w:rsidR="006B5CA6" w:rsidRPr="0032075F">
        <w:t>(a)</w:t>
      </w:r>
      <w:r w:rsidRPr="0032075F">
        <w:tab/>
      </w:r>
      <w:r w:rsidR="00847D06" w:rsidRPr="0032075F">
        <w:t xml:space="preserve">section 95AA of the </w:t>
      </w:r>
      <w:r w:rsidR="00847D06" w:rsidRPr="0032075F">
        <w:rPr>
          <w:i/>
        </w:rPr>
        <w:t>Competition and Consumer Act 2010</w:t>
      </w:r>
      <w:r w:rsidRPr="0032075F">
        <w:t>; and</w:t>
      </w:r>
    </w:p>
    <w:p w:rsidR="00986AA6" w:rsidRPr="0032075F" w:rsidRDefault="00794725" w:rsidP="00794725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section 95AA of the </w:t>
      </w:r>
      <w:r w:rsidR="005E7F25" w:rsidRPr="0032075F">
        <w:t>Competition Code</w:t>
      </w:r>
      <w:r w:rsidR="00986AA6" w:rsidRPr="0032075F">
        <w:t>.</w:t>
      </w:r>
    </w:p>
    <w:p w:rsidR="00D11F1F" w:rsidRPr="0032075F" w:rsidRDefault="006B5CA6" w:rsidP="00D11F1F">
      <w:pPr>
        <w:pStyle w:val="ActHead5"/>
      </w:pPr>
      <w:bookmarkStart w:id="7" w:name="_Toc53673426"/>
      <w:r w:rsidRPr="0032075F">
        <w:t>4</w:t>
      </w:r>
      <w:r w:rsidR="00D11F1F" w:rsidRPr="0032075F">
        <w:t xml:space="preserve">  Period for which determination is in force</w:t>
      </w:r>
      <w:bookmarkEnd w:id="7"/>
    </w:p>
    <w:p w:rsidR="00D11F1F" w:rsidRPr="0032075F" w:rsidRDefault="00D11F1F" w:rsidP="00D11F1F">
      <w:pPr>
        <w:pStyle w:val="subsection"/>
      </w:pPr>
      <w:r w:rsidRPr="0032075F">
        <w:tab/>
      </w:r>
      <w:r w:rsidRPr="0032075F">
        <w:tab/>
        <w:t>For subsection 95AA(3) of the Act, this determination is in force for the period that:</w:t>
      </w:r>
    </w:p>
    <w:p w:rsidR="00D11F1F" w:rsidRPr="0032075F" w:rsidRDefault="00D11F1F" w:rsidP="00D11F1F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begins on the commencement date referred to in section </w:t>
      </w:r>
      <w:r w:rsidR="006B5CA6" w:rsidRPr="0032075F">
        <w:t>2</w:t>
      </w:r>
      <w:r w:rsidRPr="0032075F">
        <w:t>; and</w:t>
      </w:r>
    </w:p>
    <w:p w:rsidR="00D11F1F" w:rsidRPr="0032075F" w:rsidRDefault="00D11F1F" w:rsidP="00D11F1F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ends on</w:t>
      </w:r>
      <w:r w:rsidR="00993467" w:rsidRPr="0032075F">
        <w:t xml:space="preserve"> </w:t>
      </w:r>
      <w:r w:rsidR="00D06B30" w:rsidRPr="0032075F">
        <w:t>30 June 2030</w:t>
      </w:r>
      <w:r w:rsidRPr="0032075F">
        <w:t>.</w:t>
      </w:r>
    </w:p>
    <w:p w:rsidR="00D11F1F" w:rsidRPr="0032075F" w:rsidRDefault="00D11F1F" w:rsidP="00D11F1F">
      <w:pPr>
        <w:pStyle w:val="notetext"/>
      </w:pPr>
      <w:r w:rsidRPr="0032075F">
        <w:t>Note:</w:t>
      </w:r>
      <w:r w:rsidRPr="0032075F">
        <w:tab/>
        <w:t>Despite this section, this determination could be revoked sooner than the end of this period. S</w:t>
      </w:r>
      <w:r w:rsidR="00766142" w:rsidRPr="0032075F">
        <w:t>ee subparagraph 95AA(</w:t>
      </w:r>
      <w:r w:rsidRPr="0032075F">
        <w:t>4)(b)(i) of the Act.</w:t>
      </w:r>
    </w:p>
    <w:p w:rsidR="00554826" w:rsidRPr="0032075F" w:rsidRDefault="006B5CA6" w:rsidP="001D0A72">
      <w:pPr>
        <w:pStyle w:val="ActHead5"/>
      </w:pPr>
      <w:bookmarkStart w:id="8" w:name="_Toc53673427"/>
      <w:r w:rsidRPr="0032075F">
        <w:t>5</w:t>
      </w:r>
      <w:r w:rsidR="001D0A72" w:rsidRPr="0032075F">
        <w:t xml:space="preserve">  </w:t>
      </w:r>
      <w:r w:rsidR="00554826" w:rsidRPr="0032075F">
        <w:t>Definitions</w:t>
      </w:r>
      <w:bookmarkEnd w:id="8"/>
    </w:p>
    <w:p w:rsidR="00554826" w:rsidRPr="0032075F" w:rsidRDefault="00554826" w:rsidP="00554826">
      <w:pPr>
        <w:pStyle w:val="notetext"/>
      </w:pPr>
      <w:r w:rsidRPr="0032075F">
        <w:t>Note</w:t>
      </w:r>
      <w:r w:rsidR="007812B0" w:rsidRPr="0032075F">
        <w:t xml:space="preserve"> 1</w:t>
      </w:r>
      <w:r w:rsidRPr="0032075F">
        <w:t>:</w:t>
      </w:r>
      <w:r w:rsidRPr="0032075F">
        <w:tab/>
        <w:t xml:space="preserve">A number of expressions used in this instrument are defined in </w:t>
      </w:r>
      <w:r w:rsidR="002B7EEA" w:rsidRPr="0032075F">
        <w:t>section 4</w:t>
      </w:r>
      <w:r w:rsidR="00A24139" w:rsidRPr="0032075F">
        <w:t xml:space="preserve"> </w:t>
      </w:r>
      <w:r w:rsidR="002B7EEA" w:rsidRPr="0032075F">
        <w:t xml:space="preserve">of </w:t>
      </w:r>
      <w:r w:rsidRPr="0032075F">
        <w:t>the Act, including the following:</w:t>
      </w:r>
    </w:p>
    <w:p w:rsidR="00643BFD" w:rsidRPr="0032075F" w:rsidRDefault="00643BFD" w:rsidP="00643BFD">
      <w:pPr>
        <w:pStyle w:val="notepara"/>
      </w:pPr>
      <w:r w:rsidRPr="0032075F">
        <w:lastRenderedPageBreak/>
        <w:t>•</w:t>
      </w:r>
      <w:r w:rsidRPr="0032075F">
        <w:tab/>
        <w:t>acquire;</w:t>
      </w:r>
    </w:p>
    <w:p w:rsidR="00A24139" w:rsidRPr="0032075F" w:rsidRDefault="00A24139" w:rsidP="00A24139">
      <w:pPr>
        <w:pStyle w:val="notepara"/>
      </w:pPr>
      <w:r w:rsidRPr="0032075F">
        <w:t>•</w:t>
      </w:r>
      <w:r w:rsidRPr="0032075F">
        <w:tab/>
        <w:t>authorisation;</w:t>
      </w:r>
    </w:p>
    <w:p w:rsidR="00AE1D47" w:rsidRPr="0032075F" w:rsidRDefault="00AE1D47" w:rsidP="00AE1D47">
      <w:pPr>
        <w:pStyle w:val="notepara"/>
      </w:pPr>
      <w:r w:rsidRPr="0032075F">
        <w:t>•</w:t>
      </w:r>
      <w:r w:rsidRPr="0032075F">
        <w:tab/>
        <w:t>Commission;</w:t>
      </w:r>
    </w:p>
    <w:p w:rsidR="00643BFD" w:rsidRPr="0032075F" w:rsidRDefault="00643BFD" w:rsidP="00643BFD">
      <w:pPr>
        <w:pStyle w:val="notepara"/>
      </w:pPr>
      <w:r w:rsidRPr="0032075F">
        <w:t>•</w:t>
      </w:r>
      <w:r w:rsidRPr="0032075F">
        <w:tab/>
        <w:t>contract;</w:t>
      </w:r>
    </w:p>
    <w:p w:rsidR="00643BFD" w:rsidRPr="0032075F" w:rsidRDefault="00643BFD" w:rsidP="00643BFD">
      <w:pPr>
        <w:pStyle w:val="notepara"/>
      </w:pPr>
      <w:r w:rsidRPr="0032075F">
        <w:t>•</w:t>
      </w:r>
      <w:r w:rsidRPr="0032075F">
        <w:tab/>
        <w:t>corporation;</w:t>
      </w:r>
    </w:p>
    <w:p w:rsidR="00FA3A44" w:rsidRPr="0032075F" w:rsidRDefault="00E950EC" w:rsidP="00554826">
      <w:pPr>
        <w:pStyle w:val="notepara"/>
      </w:pPr>
      <w:r w:rsidRPr="0032075F">
        <w:t>•</w:t>
      </w:r>
      <w:r w:rsidRPr="0032075F">
        <w:tab/>
      </w:r>
      <w:r w:rsidR="00FA3A44" w:rsidRPr="0032075F">
        <w:t>give effect to;</w:t>
      </w:r>
    </w:p>
    <w:p w:rsidR="00643BFD" w:rsidRPr="0032075F" w:rsidRDefault="00643BFD" w:rsidP="00643BFD">
      <w:pPr>
        <w:pStyle w:val="notepara"/>
      </w:pPr>
      <w:r w:rsidRPr="0032075F">
        <w:t>•</w:t>
      </w:r>
      <w:r w:rsidRPr="0032075F">
        <w:tab/>
        <w:t>goods;</w:t>
      </w:r>
    </w:p>
    <w:p w:rsidR="00643BFD" w:rsidRPr="0032075F" w:rsidRDefault="00643BFD" w:rsidP="00643BFD">
      <w:pPr>
        <w:pStyle w:val="notepara"/>
      </w:pPr>
      <w:r w:rsidRPr="0032075F">
        <w:t>•</w:t>
      </w:r>
      <w:r w:rsidRPr="0032075F">
        <w:tab/>
        <w:t>party;</w:t>
      </w:r>
    </w:p>
    <w:p w:rsidR="00643BFD" w:rsidRPr="0032075F" w:rsidRDefault="00643BFD" w:rsidP="00643BFD">
      <w:pPr>
        <w:pStyle w:val="notepara"/>
      </w:pPr>
      <w:r w:rsidRPr="0032075F">
        <w:t>•</w:t>
      </w:r>
      <w:r w:rsidRPr="0032075F">
        <w:tab/>
        <w:t>services;</w:t>
      </w:r>
    </w:p>
    <w:p w:rsidR="00A24139" w:rsidRPr="0032075F" w:rsidRDefault="00643BFD" w:rsidP="00554826">
      <w:pPr>
        <w:pStyle w:val="notepara"/>
      </w:pPr>
      <w:r w:rsidRPr="0032075F">
        <w:t>•</w:t>
      </w:r>
      <w:r w:rsidRPr="0032075F">
        <w:tab/>
        <w:t>supply</w:t>
      </w:r>
      <w:r w:rsidR="00A24139" w:rsidRPr="0032075F">
        <w:t>;</w:t>
      </w:r>
    </w:p>
    <w:p w:rsidR="00554826" w:rsidRPr="0032075F" w:rsidRDefault="00A24139" w:rsidP="00554826">
      <w:pPr>
        <w:pStyle w:val="notepara"/>
      </w:pPr>
      <w:r w:rsidRPr="0032075F">
        <w:t>•</w:t>
      </w:r>
      <w:r w:rsidRPr="0032075F">
        <w:tab/>
        <w:t>Tribunal</w:t>
      </w:r>
      <w:r w:rsidR="00554826" w:rsidRPr="0032075F">
        <w:t>.</w:t>
      </w:r>
    </w:p>
    <w:p w:rsidR="007812B0" w:rsidRPr="0032075F" w:rsidRDefault="007812B0" w:rsidP="007812B0">
      <w:pPr>
        <w:pStyle w:val="notetext"/>
      </w:pPr>
      <w:r w:rsidRPr="0032075F">
        <w:t>Note 2:</w:t>
      </w:r>
      <w:r w:rsidRPr="0032075F">
        <w:tab/>
        <w:t>For the meaning of references to the “Competition Code”, see Part XIA of the Act.</w:t>
      </w:r>
    </w:p>
    <w:p w:rsidR="00554826" w:rsidRPr="0032075F" w:rsidRDefault="00554826" w:rsidP="00554826">
      <w:pPr>
        <w:pStyle w:val="subsection"/>
      </w:pPr>
      <w:r w:rsidRPr="0032075F">
        <w:tab/>
      </w:r>
      <w:r w:rsidRPr="0032075F">
        <w:tab/>
        <w:t xml:space="preserve">In this </w:t>
      </w:r>
      <w:r w:rsidR="003C14AA" w:rsidRPr="0032075F">
        <w:t>determination</w:t>
      </w:r>
      <w:r w:rsidRPr="0032075F">
        <w:t>:</w:t>
      </w:r>
    </w:p>
    <w:p w:rsidR="00554826" w:rsidRPr="0032075F" w:rsidRDefault="00554826" w:rsidP="00554826">
      <w:pPr>
        <w:pStyle w:val="Definition"/>
      </w:pPr>
      <w:r w:rsidRPr="0032075F">
        <w:rPr>
          <w:b/>
          <w:i/>
        </w:rPr>
        <w:t>Act</w:t>
      </w:r>
      <w:r w:rsidRPr="0032075F">
        <w:t xml:space="preserve"> means the </w:t>
      </w:r>
      <w:r w:rsidR="00847D06" w:rsidRPr="0032075F">
        <w:rPr>
          <w:i/>
        </w:rPr>
        <w:t>Competition and Consumer Act 2010</w:t>
      </w:r>
      <w:r w:rsidR="003843E9" w:rsidRPr="0032075F">
        <w:rPr>
          <w:i/>
        </w:rPr>
        <w:t xml:space="preserve"> </w:t>
      </w:r>
      <w:r w:rsidR="00E3435B" w:rsidRPr="0032075F">
        <w:t>or</w:t>
      </w:r>
      <w:r w:rsidR="003843E9" w:rsidRPr="0032075F">
        <w:t xml:space="preserve"> the Competition Code</w:t>
      </w:r>
      <w:r w:rsidR="00E3435B" w:rsidRPr="0032075F">
        <w:t>, as appropriate</w:t>
      </w:r>
      <w:r w:rsidRPr="0032075F">
        <w:t>.</w:t>
      </w:r>
    </w:p>
    <w:p w:rsidR="002B7EEA" w:rsidRPr="0032075F" w:rsidRDefault="0071414A" w:rsidP="008130A3">
      <w:pPr>
        <w:pStyle w:val="Definition"/>
      </w:pPr>
      <w:r w:rsidRPr="0032075F">
        <w:rPr>
          <w:b/>
          <w:i/>
        </w:rPr>
        <w:t>aggregated turnover</w:t>
      </w:r>
      <w:r w:rsidR="002B7EEA" w:rsidRPr="0032075F">
        <w:t>, of a corporation, means the corporation</w:t>
      </w:r>
      <w:r w:rsidR="00E81796" w:rsidRPr="0032075F">
        <w:t>’</w:t>
      </w:r>
      <w:r w:rsidR="002B7EEA" w:rsidRPr="0032075F">
        <w:t>s aggregated turnover as calculated in accordance with section 328</w:t>
      </w:r>
      <w:r w:rsidR="002B7EEA" w:rsidRPr="0032075F">
        <w:noBreakHyphen/>
        <w:t xml:space="preserve">115 </w:t>
      </w:r>
      <w:r w:rsidRPr="0032075F">
        <w:t xml:space="preserve">of the </w:t>
      </w:r>
      <w:r w:rsidRPr="0032075F">
        <w:rPr>
          <w:i/>
        </w:rPr>
        <w:t>Income Tax Assessment Act 1997</w:t>
      </w:r>
      <w:r w:rsidR="002B7EEA" w:rsidRPr="0032075F">
        <w:t>.</w:t>
      </w:r>
    </w:p>
    <w:p w:rsidR="00711EE3" w:rsidRPr="0032075F" w:rsidRDefault="00711EE3" w:rsidP="00FB672D">
      <w:pPr>
        <w:pStyle w:val="Definition"/>
      </w:pPr>
      <w:r w:rsidRPr="0032075F">
        <w:rPr>
          <w:b/>
          <w:i/>
        </w:rPr>
        <w:t xml:space="preserve">collective bargaining </w:t>
      </w:r>
      <w:r w:rsidR="00351156" w:rsidRPr="0032075F">
        <w:rPr>
          <w:b/>
          <w:i/>
        </w:rPr>
        <w:t xml:space="preserve">class </w:t>
      </w:r>
      <w:r w:rsidRPr="0032075F">
        <w:rPr>
          <w:b/>
          <w:i/>
        </w:rPr>
        <w:t xml:space="preserve">exemption notice </w:t>
      </w:r>
      <w:r w:rsidRPr="0032075F">
        <w:t>has the meaning given by section </w:t>
      </w:r>
      <w:r w:rsidR="006B5CA6" w:rsidRPr="0032075F">
        <w:t>9</w:t>
      </w:r>
      <w:r w:rsidRPr="0032075F">
        <w:t>.</w:t>
      </w:r>
    </w:p>
    <w:p w:rsidR="00351156" w:rsidRPr="0032075F" w:rsidRDefault="00351156" w:rsidP="00FB672D">
      <w:pPr>
        <w:pStyle w:val="Definition"/>
      </w:pPr>
      <w:r w:rsidRPr="0032075F">
        <w:rPr>
          <w:b/>
          <w:i/>
        </w:rPr>
        <w:t xml:space="preserve">collective bargaining notice </w:t>
      </w:r>
      <w:r w:rsidRPr="0032075F">
        <w:t>has the meaning given by section 93AA of the Act.</w:t>
      </w:r>
    </w:p>
    <w:p w:rsidR="00533F11" w:rsidRPr="0032075F" w:rsidRDefault="00533F11" w:rsidP="00FB672D">
      <w:pPr>
        <w:pStyle w:val="Definition"/>
      </w:pPr>
      <w:r w:rsidRPr="0032075F">
        <w:rPr>
          <w:b/>
          <w:i/>
        </w:rPr>
        <w:t xml:space="preserve">commence </w:t>
      </w:r>
      <w:r w:rsidRPr="0032075F">
        <w:t>includes enter into force.</w:t>
      </w:r>
    </w:p>
    <w:p w:rsidR="005B640B" w:rsidRPr="0032075F" w:rsidRDefault="005B640B" w:rsidP="00FB672D">
      <w:pPr>
        <w:pStyle w:val="Definition"/>
      </w:pPr>
      <w:r w:rsidRPr="0032075F">
        <w:rPr>
          <w:b/>
          <w:i/>
        </w:rPr>
        <w:t xml:space="preserve">contract </w:t>
      </w:r>
      <w:r w:rsidRPr="0032075F">
        <w:t>means a contract, arrangement or understanding.</w:t>
      </w:r>
    </w:p>
    <w:p w:rsidR="00157FB1" w:rsidRPr="0032075F" w:rsidRDefault="00157FB1" w:rsidP="002B7EEA">
      <w:pPr>
        <w:pStyle w:val="Definition"/>
        <w:rPr>
          <w:b/>
          <w:bCs/>
          <w:i/>
          <w:iCs/>
        </w:rPr>
      </w:pPr>
      <w:r w:rsidRPr="0032075F">
        <w:rPr>
          <w:b/>
          <w:bCs/>
          <w:i/>
          <w:iCs/>
        </w:rPr>
        <w:t xml:space="preserve">contracting parties </w:t>
      </w:r>
      <w:r w:rsidRPr="0032075F">
        <w:t>has the meaning given by section </w:t>
      </w:r>
      <w:r w:rsidR="006B5CA6" w:rsidRPr="0032075F">
        <w:t>6</w:t>
      </w:r>
      <w:r w:rsidRPr="0032075F">
        <w:t>.</w:t>
      </w:r>
    </w:p>
    <w:p w:rsidR="00BD2F99" w:rsidRPr="0032075F" w:rsidRDefault="00BD2F99" w:rsidP="002B7EEA">
      <w:pPr>
        <w:pStyle w:val="Definition"/>
      </w:pPr>
      <w:r w:rsidRPr="0032075F">
        <w:rPr>
          <w:b/>
          <w:bCs/>
          <w:i/>
          <w:iCs/>
        </w:rPr>
        <w:t>eligible corporation</w:t>
      </w:r>
      <w:r w:rsidRPr="0032075F">
        <w:t xml:space="preserve">: a corporation is an </w:t>
      </w:r>
      <w:r w:rsidRPr="0032075F">
        <w:rPr>
          <w:b/>
          <w:bCs/>
          <w:i/>
          <w:iCs/>
        </w:rPr>
        <w:t xml:space="preserve">eligible corporation </w:t>
      </w:r>
      <w:r w:rsidRPr="0032075F">
        <w:t>in a particular financial year if</w:t>
      </w:r>
      <w:r w:rsidR="003B07AF" w:rsidRPr="0032075F">
        <w:t xml:space="preserve"> it reasonably believes that</w:t>
      </w:r>
      <w:r w:rsidRPr="0032075F">
        <w:t>, in the previous financial year</w:t>
      </w:r>
      <w:r w:rsidR="002B7EEA" w:rsidRPr="0032075F">
        <w:t xml:space="preserve">, </w:t>
      </w:r>
      <w:r w:rsidRPr="0032075F">
        <w:t>its aggregated turnover was less than $10 million</w:t>
      </w:r>
      <w:r w:rsidR="002B7EEA" w:rsidRPr="0032075F">
        <w:t>.</w:t>
      </w:r>
    </w:p>
    <w:p w:rsidR="007E56CD" w:rsidRPr="0032075F" w:rsidRDefault="007E56CD" w:rsidP="007E56CD">
      <w:pPr>
        <w:pStyle w:val="notetext"/>
      </w:pPr>
      <w:r w:rsidRPr="0032075F">
        <w:t xml:space="preserve">Note </w:t>
      </w:r>
      <w:r w:rsidR="00BD2F99" w:rsidRPr="0032075F">
        <w:t>1</w:t>
      </w:r>
      <w:r w:rsidRPr="0032075F">
        <w:t>:</w:t>
      </w:r>
      <w:r w:rsidRPr="0032075F">
        <w:tab/>
        <w:t xml:space="preserve">In the circumstances provided for in the Act, a reference in this instrument to a corporation includes a reference to a person that is not a corporation: see section 6 of the Act and paragraph 13(1)(b) of the </w:t>
      </w:r>
      <w:r w:rsidRPr="0032075F">
        <w:rPr>
          <w:i/>
        </w:rPr>
        <w:t>Legislation Act 2003</w:t>
      </w:r>
      <w:r w:rsidRPr="0032075F">
        <w:t>.</w:t>
      </w:r>
    </w:p>
    <w:p w:rsidR="007E56CD" w:rsidRPr="0032075F" w:rsidRDefault="007E56CD" w:rsidP="007E56CD">
      <w:pPr>
        <w:pStyle w:val="notetext"/>
      </w:pPr>
      <w:r w:rsidRPr="0032075F">
        <w:t xml:space="preserve">Note </w:t>
      </w:r>
      <w:r w:rsidR="00BD2F99" w:rsidRPr="0032075F">
        <w:t>2</w:t>
      </w:r>
      <w:r w:rsidRPr="0032075F">
        <w:t>:</w:t>
      </w:r>
      <w:r w:rsidRPr="0032075F">
        <w:tab/>
        <w:t>For the purposes of the Competition Code</w:t>
      </w:r>
      <w:r w:rsidR="00F5253A" w:rsidRPr="0032075F">
        <w:t xml:space="preserve"> (see Part XIA of the Act)</w:t>
      </w:r>
      <w:r w:rsidRPr="0032075F">
        <w:t>, a reference in this instrument to a corporation will also include a reference to a person that is not a corporation: see subsection 150C(2) of the Act.</w:t>
      </w:r>
    </w:p>
    <w:p w:rsidR="009035A4" w:rsidRPr="0032075F" w:rsidRDefault="009035A4" w:rsidP="00C66542">
      <w:pPr>
        <w:pStyle w:val="Definition"/>
      </w:pPr>
      <w:r w:rsidRPr="0032075F">
        <w:rPr>
          <w:b/>
          <w:i/>
        </w:rPr>
        <w:t xml:space="preserve">franchise agreement </w:t>
      </w:r>
      <w:r w:rsidRPr="0032075F">
        <w:t>has the meaning given by the Franchising Code.</w:t>
      </w:r>
    </w:p>
    <w:p w:rsidR="00C66542" w:rsidRPr="0032075F" w:rsidRDefault="00F13A35" w:rsidP="00C66542">
      <w:pPr>
        <w:pStyle w:val="Definition"/>
      </w:pPr>
      <w:r w:rsidRPr="0032075F">
        <w:rPr>
          <w:b/>
          <w:i/>
        </w:rPr>
        <w:t>franchisee</w:t>
      </w:r>
      <w:r w:rsidR="000F62B2" w:rsidRPr="0032075F">
        <w:t xml:space="preserve"> has </w:t>
      </w:r>
      <w:r w:rsidR="00AB6ACF" w:rsidRPr="0032075F">
        <w:t>a</w:t>
      </w:r>
      <w:r w:rsidR="000F62B2" w:rsidRPr="0032075F">
        <w:t xml:space="preserve"> meaning </w:t>
      </w:r>
      <w:r w:rsidR="009035A4" w:rsidRPr="0032075F">
        <w:t xml:space="preserve">affected </w:t>
      </w:r>
      <w:r w:rsidR="000F62B2" w:rsidRPr="0032075F">
        <w:t>by</w:t>
      </w:r>
      <w:r w:rsidR="00F1557C" w:rsidRPr="0032075F">
        <w:t xml:space="preserve"> the Franchising Code</w:t>
      </w:r>
      <w:r w:rsidR="00C66542" w:rsidRPr="0032075F">
        <w:t>.</w:t>
      </w:r>
    </w:p>
    <w:p w:rsidR="00F1557C" w:rsidRPr="0032075F" w:rsidRDefault="00F1557C" w:rsidP="00C66542">
      <w:pPr>
        <w:pStyle w:val="Definition"/>
      </w:pPr>
      <w:r w:rsidRPr="0032075F">
        <w:rPr>
          <w:b/>
          <w:i/>
        </w:rPr>
        <w:t xml:space="preserve">Franchising Code </w:t>
      </w:r>
      <w:r w:rsidRPr="0032075F">
        <w:t xml:space="preserve">means Schedule 1 to the </w:t>
      </w:r>
      <w:r w:rsidRPr="0032075F">
        <w:rPr>
          <w:i/>
        </w:rPr>
        <w:t>Competition and Consumer (Industry Codes—Franchising) Regulation 2014</w:t>
      </w:r>
      <w:r w:rsidRPr="0032075F">
        <w:t>, as in force from time to time.</w:t>
      </w:r>
    </w:p>
    <w:p w:rsidR="00592301" w:rsidRPr="0032075F" w:rsidRDefault="00592301" w:rsidP="00592301">
      <w:pPr>
        <w:pStyle w:val="Definition"/>
      </w:pPr>
      <w:r w:rsidRPr="0032075F">
        <w:rPr>
          <w:b/>
          <w:i/>
        </w:rPr>
        <w:t>franchisor</w:t>
      </w:r>
      <w:r w:rsidR="000F62B2" w:rsidRPr="0032075F">
        <w:t xml:space="preserve"> has </w:t>
      </w:r>
      <w:r w:rsidR="00AB6ACF" w:rsidRPr="0032075F">
        <w:t xml:space="preserve">a </w:t>
      </w:r>
      <w:r w:rsidR="000F62B2" w:rsidRPr="0032075F">
        <w:t xml:space="preserve">meaning </w:t>
      </w:r>
      <w:r w:rsidR="009035A4" w:rsidRPr="0032075F">
        <w:t>affected</w:t>
      </w:r>
      <w:r w:rsidR="000F62B2" w:rsidRPr="0032075F">
        <w:t xml:space="preserve"> by </w:t>
      </w:r>
      <w:r w:rsidR="00F1557C" w:rsidRPr="0032075F">
        <w:t>the Franchising Code</w:t>
      </w:r>
      <w:r w:rsidR="00C66542" w:rsidRPr="0032075F">
        <w:t>.</w:t>
      </w:r>
    </w:p>
    <w:p w:rsidR="00E56711" w:rsidRPr="0032075F" w:rsidRDefault="00E56711" w:rsidP="00FB672D">
      <w:pPr>
        <w:pStyle w:val="Definition"/>
      </w:pPr>
      <w:r w:rsidRPr="0032075F">
        <w:rPr>
          <w:b/>
          <w:i/>
        </w:rPr>
        <w:t>fuel re</w:t>
      </w:r>
      <w:r w:rsidRPr="0032075F">
        <w:rPr>
          <w:b/>
          <w:i/>
        </w:rPr>
        <w:noBreakHyphen/>
        <w:t xml:space="preserve">selling agreement </w:t>
      </w:r>
      <w:r w:rsidRPr="0032075F">
        <w:t>has the meaning given by the Oil Code.</w:t>
      </w:r>
    </w:p>
    <w:p w:rsidR="00C66542" w:rsidRPr="0032075F" w:rsidRDefault="00533B87" w:rsidP="00FB672D">
      <w:pPr>
        <w:pStyle w:val="Definition"/>
      </w:pPr>
      <w:r w:rsidRPr="0032075F">
        <w:rPr>
          <w:b/>
          <w:i/>
        </w:rPr>
        <w:t xml:space="preserve">fuel </w:t>
      </w:r>
      <w:r w:rsidR="005E7E70" w:rsidRPr="0032075F">
        <w:rPr>
          <w:b/>
          <w:i/>
        </w:rPr>
        <w:t>retailer</w:t>
      </w:r>
      <w:r w:rsidR="000F62B2" w:rsidRPr="0032075F">
        <w:t xml:space="preserve"> </w:t>
      </w:r>
      <w:r w:rsidR="00C66542" w:rsidRPr="0032075F">
        <w:t xml:space="preserve">means </w:t>
      </w:r>
      <w:r w:rsidR="00F117D2" w:rsidRPr="0032075F">
        <w:t>person who is a retailer under a fuel re</w:t>
      </w:r>
      <w:r w:rsidR="00F117D2" w:rsidRPr="0032075F">
        <w:noBreakHyphen/>
        <w:t>selling agreement</w:t>
      </w:r>
      <w:r w:rsidR="00C66542" w:rsidRPr="0032075F">
        <w:t>.</w:t>
      </w:r>
    </w:p>
    <w:p w:rsidR="00F1557C" w:rsidRPr="0032075F" w:rsidRDefault="00F1557C" w:rsidP="00F1557C">
      <w:pPr>
        <w:pStyle w:val="notetext"/>
      </w:pPr>
      <w:r w:rsidRPr="0032075F">
        <w:lastRenderedPageBreak/>
        <w:t>Note:</w:t>
      </w:r>
      <w:r w:rsidRPr="0032075F">
        <w:tab/>
        <w:t>This definition covers paragraph (b) of the definition of “retailer” in the Oil Code. It does not cover paragraph (a) or paragraph (c) of that definition.</w:t>
      </w:r>
    </w:p>
    <w:p w:rsidR="007E56CD" w:rsidRPr="0032075F" w:rsidRDefault="007E56CD" w:rsidP="007E56CD">
      <w:pPr>
        <w:pStyle w:val="Definition"/>
      </w:pPr>
      <w:r w:rsidRPr="0032075F">
        <w:rPr>
          <w:b/>
          <w:i/>
        </w:rPr>
        <w:t>fuel wholesaler</w:t>
      </w:r>
      <w:r w:rsidRPr="0032075F">
        <w:t xml:space="preserve"> means a supplier within the meaning of</w:t>
      </w:r>
      <w:r w:rsidR="0033160C" w:rsidRPr="0032075F">
        <w:t xml:space="preserve"> the Oil Code</w:t>
      </w:r>
      <w:r w:rsidRPr="0032075F">
        <w:t>.</w:t>
      </w:r>
    </w:p>
    <w:p w:rsidR="00061214" w:rsidRPr="0032075F" w:rsidRDefault="00061214" w:rsidP="00CD1657">
      <w:pPr>
        <w:pStyle w:val="Definition"/>
      </w:pPr>
      <w:r w:rsidRPr="0032075F">
        <w:rPr>
          <w:b/>
          <w:i/>
        </w:rPr>
        <w:t>initial</w:t>
      </w:r>
      <w:r w:rsidR="00244C87" w:rsidRPr="0032075F">
        <w:rPr>
          <w:b/>
          <w:i/>
        </w:rPr>
        <w:t xml:space="preserve"> contract</w:t>
      </w:r>
      <w:r w:rsidR="00244C87" w:rsidRPr="0032075F">
        <w:t xml:space="preserve"> has the meaning given by section </w:t>
      </w:r>
      <w:r w:rsidR="006B5CA6" w:rsidRPr="0032075F">
        <w:t>6</w:t>
      </w:r>
      <w:r w:rsidR="00244C87" w:rsidRPr="0032075F">
        <w:t>.</w:t>
      </w:r>
    </w:p>
    <w:p w:rsidR="002825B9" w:rsidRPr="0032075F" w:rsidRDefault="002825B9" w:rsidP="00CD1657">
      <w:pPr>
        <w:pStyle w:val="Definition"/>
      </w:pPr>
      <w:r w:rsidRPr="0032075F">
        <w:rPr>
          <w:b/>
          <w:i/>
        </w:rPr>
        <w:t xml:space="preserve">objection notice </w:t>
      </w:r>
      <w:r w:rsidRPr="0032075F">
        <w:t>has the meaning given by section 93AA of the Act.</w:t>
      </w:r>
    </w:p>
    <w:p w:rsidR="00F1557C" w:rsidRPr="0032075F" w:rsidRDefault="00F1557C" w:rsidP="00CD1657">
      <w:pPr>
        <w:pStyle w:val="Definition"/>
      </w:pPr>
      <w:r w:rsidRPr="0032075F">
        <w:rPr>
          <w:b/>
          <w:i/>
        </w:rPr>
        <w:t xml:space="preserve">Oil Code </w:t>
      </w:r>
      <w:r w:rsidRPr="0032075F">
        <w:t xml:space="preserve">means Schedule 1 to the </w:t>
      </w:r>
      <w:r w:rsidRPr="0032075F">
        <w:rPr>
          <w:i/>
        </w:rPr>
        <w:t>Competition and Consumer (Industry Codes—Oil) Regulations 2017</w:t>
      </w:r>
      <w:r w:rsidRPr="0032075F">
        <w:t>, as in force from time to time.</w:t>
      </w:r>
    </w:p>
    <w:p w:rsidR="000F763E" w:rsidRPr="0032075F" w:rsidRDefault="000F763E" w:rsidP="001E1AA5">
      <w:pPr>
        <w:pStyle w:val="Definition"/>
      </w:pPr>
      <w:r w:rsidRPr="0032075F">
        <w:rPr>
          <w:b/>
          <w:i/>
        </w:rPr>
        <w:t>related fuel retailers</w:t>
      </w:r>
      <w:r w:rsidRPr="0032075F">
        <w:t xml:space="preserve">: two fuel retailers are </w:t>
      </w:r>
      <w:r w:rsidRPr="0032075F">
        <w:rPr>
          <w:b/>
          <w:i/>
        </w:rPr>
        <w:t xml:space="preserve">related fuel retailers </w:t>
      </w:r>
      <w:r w:rsidRPr="0032075F">
        <w:t>if:</w:t>
      </w:r>
    </w:p>
    <w:p w:rsidR="000F763E" w:rsidRPr="0032075F" w:rsidRDefault="000F763E" w:rsidP="000F763E">
      <w:pPr>
        <w:pStyle w:val="paragraph"/>
      </w:pPr>
      <w:r w:rsidRPr="0032075F">
        <w:tab/>
        <w:t>(a)</w:t>
      </w:r>
      <w:r w:rsidRPr="0032075F">
        <w:tab/>
        <w:t xml:space="preserve">both </w:t>
      </w:r>
      <w:r w:rsidR="00E56711" w:rsidRPr="0032075F">
        <w:t>have a fuel re</w:t>
      </w:r>
      <w:r w:rsidR="00E56711" w:rsidRPr="0032075F">
        <w:noBreakHyphen/>
        <w:t>selling agreement with the same fuel wholesaler; and</w:t>
      </w:r>
    </w:p>
    <w:p w:rsidR="00E56711" w:rsidRPr="0032075F" w:rsidRDefault="00E56711" w:rsidP="00E56711">
      <w:pPr>
        <w:pStyle w:val="paragraph"/>
      </w:pPr>
      <w:r w:rsidRPr="0032075F">
        <w:tab/>
        <w:t>(b)</w:t>
      </w:r>
      <w:r w:rsidRPr="0032075F">
        <w:tab/>
      </w:r>
      <w:r w:rsidR="00B065B8" w:rsidRPr="0032075F">
        <w:t xml:space="preserve">those elements of </w:t>
      </w:r>
      <w:r w:rsidR="00CE0AC1" w:rsidRPr="0032075F">
        <w:t>the system or marketing plan</w:t>
      </w:r>
      <w:r w:rsidR="00F601A6" w:rsidRPr="0032075F">
        <w:t xml:space="preserve"> under </w:t>
      </w:r>
      <w:r w:rsidR="00046FE6" w:rsidRPr="0032075F">
        <w:t xml:space="preserve">which </w:t>
      </w:r>
      <w:r w:rsidR="00B065B8" w:rsidRPr="0032075F">
        <w:t xml:space="preserve">they </w:t>
      </w:r>
      <w:r w:rsidR="00F601A6" w:rsidRPr="0032075F">
        <w:t>offer, supply or distribute motor fuel in Australia</w:t>
      </w:r>
      <w:r w:rsidR="00B065B8" w:rsidRPr="0032075F">
        <w:t xml:space="preserve"> that were </w:t>
      </w:r>
      <w:r w:rsidR="00CE0AC1" w:rsidRPr="0032075F">
        <w:t xml:space="preserve">determined, controlled or suggested </w:t>
      </w:r>
      <w:r w:rsidR="00F601A6" w:rsidRPr="0032075F">
        <w:t xml:space="preserve">by </w:t>
      </w:r>
      <w:r w:rsidRPr="0032075F">
        <w:t>the fuel wholesaler or an associate of the fuel wholesaler</w:t>
      </w:r>
      <w:r w:rsidR="00F601A6" w:rsidRPr="0032075F">
        <w:t xml:space="preserve"> </w:t>
      </w:r>
      <w:r w:rsidR="00B065B8" w:rsidRPr="0032075F">
        <w:t xml:space="preserve">are </w:t>
      </w:r>
      <w:r w:rsidR="00F601A6" w:rsidRPr="0032075F">
        <w:t>the same.</w:t>
      </w:r>
    </w:p>
    <w:p w:rsidR="00244C87" w:rsidRPr="0032075F" w:rsidRDefault="001E1AA5" w:rsidP="001E1AA5">
      <w:pPr>
        <w:pStyle w:val="Definition"/>
      </w:pPr>
      <w:r w:rsidRPr="0032075F">
        <w:rPr>
          <w:b/>
          <w:i/>
        </w:rPr>
        <w:t>target</w:t>
      </w:r>
      <w:r w:rsidR="00244C87" w:rsidRPr="0032075F">
        <w:t xml:space="preserve"> has the meaning given by section </w:t>
      </w:r>
      <w:r w:rsidR="006B5CA6" w:rsidRPr="0032075F">
        <w:t>6</w:t>
      </w:r>
      <w:r w:rsidR="00244C87" w:rsidRPr="0032075F">
        <w:t>.</w:t>
      </w:r>
    </w:p>
    <w:p w:rsidR="00F74FF0" w:rsidRPr="0032075F" w:rsidRDefault="00F74FF0" w:rsidP="001E1AA5">
      <w:pPr>
        <w:pStyle w:val="Definition"/>
      </w:pPr>
      <w:r w:rsidRPr="0032075F">
        <w:rPr>
          <w:b/>
          <w:i/>
        </w:rPr>
        <w:t>trade union</w:t>
      </w:r>
      <w:r w:rsidRPr="0032075F">
        <w:rPr>
          <w:i/>
        </w:rPr>
        <w:t xml:space="preserve"> </w:t>
      </w:r>
      <w:r w:rsidRPr="0032075F">
        <w:t xml:space="preserve">has the meaning </w:t>
      </w:r>
      <w:r w:rsidR="00191FB3" w:rsidRPr="0032075F">
        <w:t xml:space="preserve">given by </w:t>
      </w:r>
      <w:r w:rsidRPr="0032075F">
        <w:t>subsection 93AB(</w:t>
      </w:r>
      <w:r w:rsidR="0033160C" w:rsidRPr="0032075F">
        <w:t>11</w:t>
      </w:r>
      <w:r w:rsidRPr="0032075F">
        <w:t>) of the Act.</w:t>
      </w:r>
    </w:p>
    <w:p w:rsidR="00BD4A53" w:rsidRPr="0032075F" w:rsidRDefault="006B5CA6" w:rsidP="00BD4A53">
      <w:pPr>
        <w:pStyle w:val="ActHead5"/>
        <w:rPr>
          <w:b w:val="0"/>
          <w:i/>
        </w:rPr>
      </w:pPr>
      <w:bookmarkStart w:id="9" w:name="_Toc53673428"/>
      <w:r w:rsidRPr="0032075F">
        <w:t>6</w:t>
      </w:r>
      <w:r w:rsidR="00BD4A53" w:rsidRPr="0032075F">
        <w:t xml:space="preserve">  Meaning of </w:t>
      </w:r>
      <w:r w:rsidR="00BD4A53" w:rsidRPr="0032075F">
        <w:rPr>
          <w:i/>
        </w:rPr>
        <w:t>initial contract</w:t>
      </w:r>
      <w:r w:rsidR="00C7405F" w:rsidRPr="0032075F">
        <w:t xml:space="preserve">, </w:t>
      </w:r>
      <w:r w:rsidR="00C7405F" w:rsidRPr="0032075F">
        <w:rPr>
          <w:i/>
        </w:rPr>
        <w:t>contracting parties</w:t>
      </w:r>
      <w:r w:rsidR="00BD4A53" w:rsidRPr="0032075F">
        <w:rPr>
          <w:i/>
        </w:rPr>
        <w:t xml:space="preserve"> </w:t>
      </w:r>
      <w:r w:rsidR="00BD4A53" w:rsidRPr="0032075F">
        <w:t xml:space="preserve">and </w:t>
      </w:r>
      <w:r w:rsidR="00BD4A53" w:rsidRPr="0032075F">
        <w:rPr>
          <w:i/>
        </w:rPr>
        <w:t>target</w:t>
      </w:r>
      <w:bookmarkEnd w:id="9"/>
    </w:p>
    <w:p w:rsidR="00795223" w:rsidRPr="0032075F" w:rsidRDefault="00DF16E2" w:rsidP="00DF16E2">
      <w:pPr>
        <w:pStyle w:val="subsection"/>
      </w:pPr>
      <w:r w:rsidRPr="0032075F">
        <w:tab/>
      </w:r>
      <w:r w:rsidR="006B5CA6" w:rsidRPr="0032075F">
        <w:t>(1)</w:t>
      </w:r>
      <w:r w:rsidRPr="0032075F">
        <w:tab/>
      </w:r>
      <w:r w:rsidR="00E01E84" w:rsidRPr="0032075F">
        <w:t xml:space="preserve">For this determination, a contract </w:t>
      </w:r>
      <w:r w:rsidR="00AC1F4D" w:rsidRPr="0032075F">
        <w:t xml:space="preserve">or a proposed contract </w:t>
      </w:r>
      <w:r w:rsidR="00E01E84" w:rsidRPr="0032075F">
        <w:t xml:space="preserve">between a corporation and 1 or more other persons (the </w:t>
      </w:r>
      <w:r w:rsidR="00E01E84" w:rsidRPr="0032075F">
        <w:rPr>
          <w:b/>
          <w:i/>
        </w:rPr>
        <w:t>contracting parties</w:t>
      </w:r>
      <w:r w:rsidR="00E01E84" w:rsidRPr="0032075F">
        <w:t xml:space="preserve">) is an </w:t>
      </w:r>
      <w:r w:rsidR="00E01E84" w:rsidRPr="0032075F">
        <w:rPr>
          <w:b/>
          <w:i/>
        </w:rPr>
        <w:t xml:space="preserve">initial contract </w:t>
      </w:r>
      <w:r w:rsidR="00E01E84" w:rsidRPr="0032075F">
        <w:t>if</w:t>
      </w:r>
      <w:r w:rsidR="00795223" w:rsidRPr="0032075F">
        <w:t>:</w:t>
      </w:r>
    </w:p>
    <w:p w:rsidR="00E01E84" w:rsidRPr="0032075F" w:rsidRDefault="00795223" w:rsidP="00795223">
      <w:pPr>
        <w:pStyle w:val="paragraph"/>
      </w:pPr>
      <w:r w:rsidRPr="0032075F">
        <w:tab/>
      </w:r>
      <w:r w:rsidR="006B5CA6" w:rsidRPr="0032075F">
        <w:t>(a)</w:t>
      </w:r>
      <w:r w:rsidRPr="0032075F">
        <w:tab/>
      </w:r>
      <w:r w:rsidR="00AC1F4D" w:rsidRPr="0032075F">
        <w:t xml:space="preserve">it </w:t>
      </w:r>
      <w:r w:rsidR="00E01E84" w:rsidRPr="0032075F">
        <w:t>is about:</w:t>
      </w:r>
    </w:p>
    <w:p w:rsidR="00E01E84" w:rsidRPr="0032075F" w:rsidRDefault="00795223" w:rsidP="00795223">
      <w:pPr>
        <w:pStyle w:val="paragraphsub"/>
      </w:pPr>
      <w:r w:rsidRPr="0032075F">
        <w:tab/>
      </w:r>
      <w:r w:rsidR="006B5CA6" w:rsidRPr="0032075F">
        <w:t>(i)</w:t>
      </w:r>
      <w:r w:rsidRPr="0032075F">
        <w:tab/>
      </w:r>
      <w:r w:rsidR="00E01E84" w:rsidRPr="0032075F">
        <w:t>the supply of particular goods or services to; or</w:t>
      </w:r>
    </w:p>
    <w:p w:rsidR="00E01E84" w:rsidRPr="0032075F" w:rsidRDefault="00795223" w:rsidP="00795223">
      <w:pPr>
        <w:pStyle w:val="paragraphsub"/>
      </w:pPr>
      <w:r w:rsidRPr="0032075F">
        <w:tab/>
      </w:r>
      <w:r w:rsidR="006B5CA6" w:rsidRPr="0032075F">
        <w:t>(ii)</w:t>
      </w:r>
      <w:r w:rsidRPr="0032075F">
        <w:tab/>
      </w:r>
      <w:r w:rsidR="00E01E84" w:rsidRPr="0032075F">
        <w:t>the acquisition of particular goods or services from;</w:t>
      </w:r>
    </w:p>
    <w:p w:rsidR="00E01E84" w:rsidRPr="0032075F" w:rsidRDefault="00795223" w:rsidP="00795223">
      <w:pPr>
        <w:pStyle w:val="paragraph"/>
      </w:pPr>
      <w:r w:rsidRPr="0032075F">
        <w:tab/>
      </w:r>
      <w:r w:rsidRPr="0032075F">
        <w:tab/>
      </w:r>
      <w:r w:rsidR="00E01E84" w:rsidRPr="0032075F">
        <w:t xml:space="preserve">one or more other persons (the </w:t>
      </w:r>
      <w:r w:rsidR="00E01E84" w:rsidRPr="0032075F">
        <w:rPr>
          <w:b/>
          <w:i/>
        </w:rPr>
        <w:t xml:space="preserve">target </w:t>
      </w:r>
      <w:r w:rsidR="00E01E84" w:rsidRPr="0032075F">
        <w:t xml:space="preserve">or </w:t>
      </w:r>
      <w:r w:rsidR="00E01E84" w:rsidRPr="0032075F">
        <w:rPr>
          <w:b/>
          <w:i/>
        </w:rPr>
        <w:t>targets</w:t>
      </w:r>
      <w:r w:rsidR="00E01E84" w:rsidRPr="0032075F">
        <w:t>) by the corporat</w:t>
      </w:r>
      <w:r w:rsidRPr="0032075F">
        <w:t>ion and the contracting parties; and</w:t>
      </w:r>
    </w:p>
    <w:p w:rsidR="00795223" w:rsidRPr="0032075F" w:rsidRDefault="00795223" w:rsidP="00795223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the corporation and the contracting parties </w:t>
      </w:r>
      <w:r w:rsidR="000F763E" w:rsidRPr="0032075F">
        <w:t xml:space="preserve">made the contract for the purpose of collectively negotiating </w:t>
      </w:r>
      <w:r w:rsidRPr="0032075F">
        <w:t>one or more contracts with the target or targets.</w:t>
      </w:r>
    </w:p>
    <w:p w:rsidR="000F763E" w:rsidRPr="0032075F" w:rsidRDefault="000F763E" w:rsidP="000F763E">
      <w:pPr>
        <w:pStyle w:val="notetext"/>
      </w:pPr>
      <w:r w:rsidRPr="0032075F">
        <w:t>Note:</w:t>
      </w:r>
      <w:r w:rsidRPr="0032075F">
        <w:tab/>
        <w:t>See section 4F of the Act</w:t>
      </w:r>
      <w:r w:rsidR="00F5253A" w:rsidRPr="0032075F">
        <w:t xml:space="preserve"> for the interpretation of references to “purpose”</w:t>
      </w:r>
      <w:r w:rsidRPr="0032075F">
        <w:t>.</w:t>
      </w:r>
    </w:p>
    <w:p w:rsidR="00DF16E2" w:rsidRPr="0032075F" w:rsidRDefault="00DF16E2" w:rsidP="00DF16E2">
      <w:pPr>
        <w:pStyle w:val="subsection"/>
      </w:pPr>
      <w:r w:rsidRPr="0032075F">
        <w:tab/>
      </w:r>
      <w:r w:rsidR="006B5CA6" w:rsidRPr="0032075F">
        <w:t>(2)</w:t>
      </w:r>
      <w:r w:rsidRPr="0032075F">
        <w:tab/>
        <w:t xml:space="preserve">However, a contract </w:t>
      </w:r>
      <w:r w:rsidR="00DE5B60" w:rsidRPr="0032075F">
        <w:t xml:space="preserve">or a proposed contract </w:t>
      </w:r>
      <w:r w:rsidRPr="0032075F">
        <w:t xml:space="preserve">is not an </w:t>
      </w:r>
      <w:r w:rsidRPr="0032075F">
        <w:rPr>
          <w:b/>
          <w:i/>
        </w:rPr>
        <w:t xml:space="preserve">initial contract </w:t>
      </w:r>
      <w:r w:rsidRPr="0032075F">
        <w:t>if it is about the supply of goods or services to a target or targets for personal, domestic or household use by the target or targets.</w:t>
      </w:r>
    </w:p>
    <w:p w:rsidR="002A2C9B" w:rsidRPr="0032075F" w:rsidRDefault="002A2C9B" w:rsidP="0033160C">
      <w:pPr>
        <w:pStyle w:val="paragraph"/>
      </w:pPr>
    </w:p>
    <w:p w:rsidR="00F91A56" w:rsidRPr="0032075F" w:rsidRDefault="006B5CA6" w:rsidP="00F91A56">
      <w:pPr>
        <w:pStyle w:val="ActHead2"/>
      </w:pPr>
      <w:bookmarkStart w:id="10" w:name="_Toc53673429"/>
      <w:r w:rsidRPr="0032075F">
        <w:lastRenderedPageBreak/>
        <w:t>Part 2</w:t>
      </w:r>
      <w:r w:rsidR="00F91A56" w:rsidRPr="0032075F">
        <w:t>—</w:t>
      </w:r>
      <w:r w:rsidR="00847D06" w:rsidRPr="0032075F">
        <w:t>Class exemption—</w:t>
      </w:r>
      <w:r w:rsidR="0002655B" w:rsidRPr="0032075F">
        <w:t>collective bargaining</w:t>
      </w:r>
      <w:bookmarkEnd w:id="10"/>
    </w:p>
    <w:p w:rsidR="004B2670" w:rsidRPr="0032075F" w:rsidRDefault="006B5CA6" w:rsidP="004B2670">
      <w:pPr>
        <w:pStyle w:val="ActHead3"/>
      </w:pPr>
      <w:bookmarkStart w:id="11" w:name="_Toc53673430"/>
      <w:r w:rsidRPr="0032075F">
        <w:t>Division 1</w:t>
      </w:r>
      <w:r w:rsidR="004B2670" w:rsidRPr="0032075F">
        <w:t>—Class exemption</w:t>
      </w:r>
      <w:bookmarkEnd w:id="11"/>
    </w:p>
    <w:p w:rsidR="001552FE" w:rsidRPr="0032075F" w:rsidRDefault="006B5CA6" w:rsidP="001552FE">
      <w:pPr>
        <w:pStyle w:val="ActHead5"/>
      </w:pPr>
      <w:bookmarkStart w:id="12" w:name="_Toc53673431"/>
      <w:r w:rsidRPr="0032075F">
        <w:t>7</w:t>
      </w:r>
      <w:r w:rsidR="001552FE" w:rsidRPr="0032075F">
        <w:t xml:space="preserve">  Class exemption—collective bargaining</w:t>
      </w:r>
      <w:bookmarkEnd w:id="12"/>
      <w:r w:rsidR="000E6B81" w:rsidRPr="0032075F">
        <w:t xml:space="preserve"> </w:t>
      </w:r>
    </w:p>
    <w:p w:rsidR="00B5630E" w:rsidRPr="0032075F" w:rsidRDefault="003B07AF" w:rsidP="00B5630E">
      <w:pPr>
        <w:pStyle w:val="subsection"/>
      </w:pPr>
      <w:r w:rsidRPr="0032075F">
        <w:tab/>
      </w:r>
      <w:r w:rsidR="006B5CA6" w:rsidRPr="0032075F">
        <w:t>(1)</w:t>
      </w:r>
      <w:r w:rsidRPr="0032075F">
        <w:tab/>
      </w:r>
      <w:r w:rsidR="001552FE" w:rsidRPr="0032075F">
        <w:t xml:space="preserve">Subject to the limitations specified in </w:t>
      </w:r>
      <w:r w:rsidR="006B5CA6" w:rsidRPr="0032075F">
        <w:t>Division 2</w:t>
      </w:r>
      <w:r w:rsidR="001552FE" w:rsidRPr="0032075F">
        <w:t>, sections 45AF, 45AG, 45AJ, 45AK and 45 of the Act do not apply to</w:t>
      </w:r>
      <w:r w:rsidR="00B5630E" w:rsidRPr="0032075F">
        <w:t xml:space="preserve"> a corporation engaging in:</w:t>
      </w:r>
    </w:p>
    <w:p w:rsidR="00B5630E" w:rsidRPr="0032075F" w:rsidRDefault="00B5630E" w:rsidP="00B5630E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eligible corporation collective bargaining conduct; or</w:t>
      </w:r>
    </w:p>
    <w:p w:rsidR="00B5630E" w:rsidRPr="0032075F" w:rsidRDefault="00B5630E" w:rsidP="00B5630E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franchisee collective bargaining conduct; or</w:t>
      </w:r>
    </w:p>
    <w:p w:rsidR="001552FE" w:rsidRPr="0032075F" w:rsidRDefault="00B5630E" w:rsidP="00B5630E">
      <w:pPr>
        <w:pStyle w:val="paragraph"/>
      </w:pPr>
      <w:r w:rsidRPr="0032075F">
        <w:tab/>
      </w:r>
      <w:r w:rsidR="006B5CA6" w:rsidRPr="0032075F">
        <w:t>(c)</w:t>
      </w:r>
      <w:r w:rsidRPr="0032075F">
        <w:tab/>
        <w:t>fuel retailer collective bargaining conduct.</w:t>
      </w:r>
      <w:r w:rsidR="003B07AF" w:rsidRPr="0032075F">
        <w:t xml:space="preserve"> </w:t>
      </w:r>
    </w:p>
    <w:p w:rsidR="00427AC8" w:rsidRPr="0032075F" w:rsidRDefault="003B07AF" w:rsidP="00427AC8">
      <w:pPr>
        <w:pStyle w:val="notetext"/>
        <w:rPr>
          <w:szCs w:val="18"/>
          <w:shd w:val="clear" w:color="auto" w:fill="FFFFFF"/>
        </w:rPr>
      </w:pPr>
      <w:r w:rsidRPr="0032075F">
        <w:t>Note:</w:t>
      </w:r>
      <w:r w:rsidRPr="0032075F">
        <w:tab/>
        <w:t xml:space="preserve">Sections 45AF, 45AG, 45AJ and 45AK of the Act are offence and civil penalty provisions that deal with making a contract containing a cartel provision, and with giving effect to a cartel provision. </w:t>
      </w:r>
      <w:r w:rsidRPr="0032075F">
        <w:rPr>
          <w:szCs w:val="18"/>
          <w:shd w:val="clear" w:color="auto" w:fill="FFFFFF"/>
        </w:rPr>
        <w:t>Section 45 of the Act deals with contracts that restrict dealings or affect competition.</w:t>
      </w:r>
    </w:p>
    <w:p w:rsidR="00766142" w:rsidRPr="0032075F" w:rsidRDefault="00766142" w:rsidP="00766142">
      <w:pPr>
        <w:pStyle w:val="subsection"/>
      </w:pPr>
      <w:r w:rsidRPr="0032075F">
        <w:tab/>
      </w:r>
      <w:r w:rsidR="006B5CA6" w:rsidRPr="0032075F">
        <w:t>(2)</w:t>
      </w:r>
      <w:r w:rsidRPr="0032075F">
        <w:tab/>
      </w:r>
      <w:r w:rsidR="00B5630E" w:rsidRPr="0032075F">
        <w:t xml:space="preserve">A corporation engages in </w:t>
      </w:r>
      <w:r w:rsidR="00B5630E" w:rsidRPr="0032075F">
        <w:rPr>
          <w:b/>
          <w:i/>
        </w:rPr>
        <w:t xml:space="preserve">eligible corporation collective bargaining conduct </w:t>
      </w:r>
      <w:r w:rsidR="00B5630E" w:rsidRPr="0032075F">
        <w:t>if</w:t>
      </w:r>
      <w:r w:rsidRPr="0032075F">
        <w:t>:</w:t>
      </w:r>
    </w:p>
    <w:p w:rsidR="000F763E" w:rsidRPr="0032075F" w:rsidRDefault="000F763E" w:rsidP="000F763E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while it is an eligible corporation, it:</w:t>
      </w:r>
    </w:p>
    <w:p w:rsidR="000F763E" w:rsidRPr="0032075F" w:rsidRDefault="000F763E" w:rsidP="000F763E">
      <w:pPr>
        <w:pStyle w:val="paragraphsub"/>
      </w:pPr>
      <w:r w:rsidRPr="0032075F">
        <w:tab/>
      </w:r>
      <w:r w:rsidR="006B5CA6" w:rsidRPr="0032075F">
        <w:t>(i)</w:t>
      </w:r>
      <w:r w:rsidRPr="0032075F">
        <w:tab/>
        <w:t>makes an initial contract; or</w:t>
      </w:r>
    </w:p>
    <w:p w:rsidR="000F763E" w:rsidRPr="0032075F" w:rsidRDefault="000F763E" w:rsidP="000F763E">
      <w:pPr>
        <w:pStyle w:val="paragraphsub"/>
      </w:pPr>
      <w:r w:rsidRPr="0032075F">
        <w:tab/>
      </w:r>
      <w:r w:rsidR="006B5CA6" w:rsidRPr="0032075F">
        <w:t>(ii)</w:t>
      </w:r>
      <w:r w:rsidRPr="0032075F">
        <w:tab/>
        <w:t>engages with one or more persons in a concerted practice in relation to an initial contract; or</w:t>
      </w:r>
    </w:p>
    <w:p w:rsidR="000F763E" w:rsidRPr="0032075F" w:rsidRDefault="000F763E" w:rsidP="00B93EC4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it gives effect to an initial contract that it made while it was an eligible corporation.</w:t>
      </w:r>
    </w:p>
    <w:p w:rsidR="001552FE" w:rsidRPr="0032075F" w:rsidRDefault="003B07AF" w:rsidP="003B07AF">
      <w:pPr>
        <w:pStyle w:val="subsection"/>
      </w:pPr>
      <w:r w:rsidRPr="0032075F">
        <w:tab/>
      </w:r>
      <w:r w:rsidR="006B5CA6" w:rsidRPr="0032075F">
        <w:t>(3)</w:t>
      </w:r>
      <w:r w:rsidRPr="0032075F">
        <w:tab/>
      </w:r>
      <w:r w:rsidR="00B5630E" w:rsidRPr="0032075F">
        <w:t xml:space="preserve">A corporation engages in </w:t>
      </w:r>
      <w:r w:rsidR="00B5630E" w:rsidRPr="0032075F">
        <w:rPr>
          <w:b/>
          <w:i/>
        </w:rPr>
        <w:t>franchisee collective bargaining conduct</w:t>
      </w:r>
      <w:r w:rsidR="00B5630E" w:rsidRPr="0032075F">
        <w:t xml:space="preserve"> if</w:t>
      </w:r>
      <w:r w:rsidR="00202FF6" w:rsidRPr="0032075F">
        <w:t xml:space="preserve"> the corporation is a franchisee of a particular franchisor and</w:t>
      </w:r>
      <w:r w:rsidR="001552FE" w:rsidRPr="0032075F">
        <w:t>:</w:t>
      </w:r>
    </w:p>
    <w:p w:rsidR="00B93EC4" w:rsidRPr="0032075F" w:rsidRDefault="00B93EC4" w:rsidP="00202FF6">
      <w:pPr>
        <w:pStyle w:val="paragraph"/>
      </w:pPr>
      <w:r w:rsidRPr="0032075F">
        <w:tab/>
      </w:r>
      <w:r w:rsidR="006B5CA6" w:rsidRPr="0032075F">
        <w:t>(a)</w:t>
      </w:r>
      <w:r w:rsidRPr="0032075F">
        <w:tab/>
      </w:r>
      <w:r w:rsidR="006D604C" w:rsidRPr="0032075F">
        <w:t xml:space="preserve">it </w:t>
      </w:r>
      <w:r w:rsidR="00B5630E" w:rsidRPr="0032075F">
        <w:t>makes</w:t>
      </w:r>
      <w:r w:rsidRPr="0032075F">
        <w:t xml:space="preserve"> an initial contract in which</w:t>
      </w:r>
      <w:r w:rsidR="00202FF6" w:rsidRPr="0032075F">
        <w:t xml:space="preserve"> </w:t>
      </w:r>
      <w:r w:rsidR="00371CB1" w:rsidRPr="0032075F">
        <w:t xml:space="preserve">the target is </w:t>
      </w:r>
      <w:r w:rsidR="00202FF6" w:rsidRPr="0032075F">
        <w:t xml:space="preserve">a </w:t>
      </w:r>
      <w:r w:rsidR="00371CB1" w:rsidRPr="0032075F">
        <w:t xml:space="preserve">franchisor </w:t>
      </w:r>
      <w:r w:rsidR="00202FF6" w:rsidRPr="0032075F">
        <w:t xml:space="preserve">and </w:t>
      </w:r>
      <w:r w:rsidRPr="0032075F">
        <w:t>the other contracting parties are</w:t>
      </w:r>
      <w:r w:rsidR="00CF2052" w:rsidRPr="0032075F">
        <w:t xml:space="preserve"> </w:t>
      </w:r>
      <w:r w:rsidR="009A1A2D" w:rsidRPr="0032075F">
        <w:t>franchisees</w:t>
      </w:r>
      <w:r w:rsidR="00CF2052" w:rsidRPr="0032075F">
        <w:t xml:space="preserve"> who have a franchise agreement with that franchisor</w:t>
      </w:r>
      <w:r w:rsidRPr="0032075F">
        <w:t>;</w:t>
      </w:r>
      <w:r w:rsidR="00371CB1" w:rsidRPr="0032075F">
        <w:t xml:space="preserve"> </w:t>
      </w:r>
      <w:r w:rsidRPr="0032075F">
        <w:t>or</w:t>
      </w:r>
    </w:p>
    <w:p w:rsidR="000F763E" w:rsidRPr="0032075F" w:rsidRDefault="000F763E" w:rsidP="000F763E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it engages with one or more such franchisees in a concerted practice in connection with making such an initial contract; or</w:t>
      </w:r>
    </w:p>
    <w:p w:rsidR="000F763E" w:rsidRPr="0032075F" w:rsidRDefault="003B07AF" w:rsidP="003B07AF">
      <w:pPr>
        <w:pStyle w:val="paragraph"/>
      </w:pPr>
      <w:r w:rsidRPr="0032075F">
        <w:tab/>
      </w:r>
      <w:r w:rsidR="006B5CA6" w:rsidRPr="0032075F">
        <w:t>(c)</w:t>
      </w:r>
      <w:r w:rsidRPr="0032075F">
        <w:tab/>
      </w:r>
      <w:r w:rsidR="00B5630E" w:rsidRPr="0032075F">
        <w:t xml:space="preserve">it gives </w:t>
      </w:r>
      <w:r w:rsidRPr="0032075F">
        <w:t>effect to such an initial contract</w:t>
      </w:r>
      <w:r w:rsidR="000F763E" w:rsidRPr="0032075F">
        <w:t>.</w:t>
      </w:r>
    </w:p>
    <w:p w:rsidR="003B07AF" w:rsidRPr="0032075F" w:rsidRDefault="003B07AF" w:rsidP="003B07AF">
      <w:pPr>
        <w:pStyle w:val="subsection"/>
      </w:pPr>
      <w:r w:rsidRPr="0032075F">
        <w:tab/>
      </w:r>
      <w:r w:rsidR="006B5CA6" w:rsidRPr="0032075F">
        <w:t>(4)</w:t>
      </w:r>
      <w:r w:rsidRPr="0032075F">
        <w:tab/>
      </w:r>
      <w:r w:rsidR="00B5630E" w:rsidRPr="0032075F">
        <w:t xml:space="preserve">A corporation engages in </w:t>
      </w:r>
      <w:r w:rsidR="00B5630E" w:rsidRPr="0032075F">
        <w:rPr>
          <w:b/>
          <w:i/>
        </w:rPr>
        <w:t xml:space="preserve">fuel retailer collective bargaining conduct </w:t>
      </w:r>
      <w:r w:rsidR="00B5630E" w:rsidRPr="0032075F">
        <w:t>if</w:t>
      </w:r>
      <w:r w:rsidR="00202FF6" w:rsidRPr="0032075F">
        <w:t xml:space="preserve"> it </w:t>
      </w:r>
      <w:r w:rsidR="00E56711" w:rsidRPr="0032075F">
        <w:t>has a fuel re</w:t>
      </w:r>
      <w:r w:rsidR="00E56711" w:rsidRPr="0032075F">
        <w:noBreakHyphen/>
        <w:t xml:space="preserve">selling agreement with </w:t>
      </w:r>
      <w:r w:rsidR="00202FF6" w:rsidRPr="0032075F">
        <w:t>a particular fuel wholesaler and</w:t>
      </w:r>
      <w:r w:rsidRPr="0032075F">
        <w:t>:</w:t>
      </w:r>
    </w:p>
    <w:p w:rsidR="00E56711" w:rsidRPr="0032075F" w:rsidRDefault="00CF63D8" w:rsidP="00202FF6">
      <w:pPr>
        <w:pStyle w:val="paragraph"/>
      </w:pPr>
      <w:r w:rsidRPr="0032075F">
        <w:tab/>
      </w:r>
      <w:r w:rsidR="006B5CA6" w:rsidRPr="0032075F">
        <w:t>(a)</w:t>
      </w:r>
      <w:r w:rsidRPr="0032075F">
        <w:tab/>
      </w:r>
      <w:r w:rsidR="00501E0E" w:rsidRPr="0032075F">
        <w:t xml:space="preserve">it makes </w:t>
      </w:r>
      <w:r w:rsidRPr="0032075F">
        <w:t xml:space="preserve">an initial contract </w:t>
      </w:r>
      <w:r w:rsidR="00E93D47" w:rsidRPr="0032075F">
        <w:t>in which</w:t>
      </w:r>
      <w:r w:rsidR="00202FF6" w:rsidRPr="0032075F">
        <w:t xml:space="preserve"> </w:t>
      </w:r>
      <w:r w:rsidR="00371CB1" w:rsidRPr="0032075F">
        <w:t xml:space="preserve">the target is </w:t>
      </w:r>
      <w:r w:rsidR="00E56711" w:rsidRPr="0032075F">
        <w:t xml:space="preserve">the </w:t>
      </w:r>
      <w:r w:rsidR="00371CB1" w:rsidRPr="0032075F">
        <w:t xml:space="preserve">fuel wholesaler </w:t>
      </w:r>
      <w:r w:rsidR="00202FF6" w:rsidRPr="0032075F">
        <w:t xml:space="preserve">and </w:t>
      </w:r>
      <w:r w:rsidR="00E93D47" w:rsidRPr="0032075F">
        <w:t xml:space="preserve">the other contracting parties are </w:t>
      </w:r>
      <w:r w:rsidR="00E56711" w:rsidRPr="0032075F">
        <w:t xml:space="preserve">related </w:t>
      </w:r>
      <w:r w:rsidR="00E93D47" w:rsidRPr="0032075F">
        <w:t>fuel retailers</w:t>
      </w:r>
      <w:r w:rsidR="00E56711" w:rsidRPr="0032075F">
        <w:t xml:space="preserve">; </w:t>
      </w:r>
      <w:r w:rsidR="000E0E39" w:rsidRPr="0032075F">
        <w:t>or</w:t>
      </w:r>
    </w:p>
    <w:p w:rsidR="000F763E" w:rsidRPr="0032075F" w:rsidRDefault="000F763E" w:rsidP="000F763E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it engages with one or more </w:t>
      </w:r>
      <w:r w:rsidR="000E0E39" w:rsidRPr="0032075F">
        <w:t xml:space="preserve">related </w:t>
      </w:r>
      <w:r w:rsidRPr="0032075F">
        <w:t>fuel retailers in a concerted practice in connection with making such an initial contract; or</w:t>
      </w:r>
    </w:p>
    <w:p w:rsidR="000F763E" w:rsidRPr="0032075F" w:rsidRDefault="003B07AF" w:rsidP="003B07AF">
      <w:pPr>
        <w:pStyle w:val="paragraph"/>
      </w:pPr>
      <w:r w:rsidRPr="0032075F">
        <w:tab/>
      </w:r>
      <w:r w:rsidR="006B5CA6" w:rsidRPr="0032075F">
        <w:t>(c)</w:t>
      </w:r>
      <w:r w:rsidRPr="0032075F">
        <w:tab/>
      </w:r>
      <w:r w:rsidR="00501E0E" w:rsidRPr="0032075F">
        <w:t>it gives</w:t>
      </w:r>
      <w:r w:rsidRPr="0032075F">
        <w:t xml:space="preserve"> effect to such an initial contra</w:t>
      </w:r>
      <w:r w:rsidR="00E7083C" w:rsidRPr="0032075F">
        <w:t>ct</w:t>
      </w:r>
      <w:r w:rsidR="000F763E" w:rsidRPr="0032075F">
        <w:t>.</w:t>
      </w:r>
    </w:p>
    <w:p w:rsidR="004B2670" w:rsidRPr="0032075F" w:rsidRDefault="006B5CA6" w:rsidP="004B2670">
      <w:pPr>
        <w:pStyle w:val="ActHead3"/>
        <w:pageBreakBefore/>
      </w:pPr>
      <w:bookmarkStart w:id="13" w:name="_Toc53673432"/>
      <w:r w:rsidRPr="0032075F">
        <w:lastRenderedPageBreak/>
        <w:t>Division 2</w:t>
      </w:r>
      <w:r w:rsidR="004B2670" w:rsidRPr="0032075F">
        <w:t>—Limitations</w:t>
      </w:r>
      <w:bookmarkEnd w:id="13"/>
    </w:p>
    <w:p w:rsidR="0086477C" w:rsidRPr="0032075F" w:rsidRDefault="006B5CA6" w:rsidP="0086477C">
      <w:pPr>
        <w:pStyle w:val="ActHead5"/>
      </w:pPr>
      <w:bookmarkStart w:id="14" w:name="_Toc53673433"/>
      <w:r w:rsidRPr="0032075F">
        <w:t>8</w:t>
      </w:r>
      <w:r w:rsidR="0086477C" w:rsidRPr="0032075F">
        <w:t xml:space="preserve">  </w:t>
      </w:r>
      <w:r w:rsidR="004B2670" w:rsidRPr="0032075F">
        <w:t>E</w:t>
      </w:r>
      <w:r w:rsidR="0086477C" w:rsidRPr="0032075F">
        <w:t xml:space="preserve">xemption does not apply to </w:t>
      </w:r>
      <w:r w:rsidR="000F763E" w:rsidRPr="0032075F">
        <w:t xml:space="preserve">collectively </w:t>
      </w:r>
      <w:r w:rsidR="00E11907" w:rsidRPr="0032075F">
        <w:t>refusing to contract with target</w:t>
      </w:r>
      <w:bookmarkEnd w:id="14"/>
    </w:p>
    <w:p w:rsidR="00AE078B" w:rsidRPr="0032075F" w:rsidRDefault="00AE078B" w:rsidP="00AE078B">
      <w:pPr>
        <w:pStyle w:val="subsection"/>
      </w:pPr>
      <w:r w:rsidRPr="0032075F">
        <w:tab/>
      </w:r>
      <w:r w:rsidR="006B5CA6" w:rsidRPr="0032075F">
        <w:t>(1)</w:t>
      </w:r>
      <w:r w:rsidRPr="0032075F">
        <w:tab/>
      </w:r>
      <w:r w:rsidR="00D37EBD" w:rsidRPr="0032075F">
        <w:t xml:space="preserve">Section </w:t>
      </w:r>
      <w:r w:rsidR="006B5CA6" w:rsidRPr="0032075F">
        <w:t>7</w:t>
      </w:r>
      <w:r w:rsidR="00D37EBD" w:rsidRPr="0032075F">
        <w:t xml:space="preserve"> does not apply in respect of an initial contract that contains a </w:t>
      </w:r>
      <w:r w:rsidR="0077469C" w:rsidRPr="0032075F">
        <w:t>prohibited</w:t>
      </w:r>
      <w:r w:rsidRPr="0032075F">
        <w:t xml:space="preserve"> boycott provision.</w:t>
      </w:r>
    </w:p>
    <w:p w:rsidR="00D37EBD" w:rsidRPr="0032075F" w:rsidRDefault="00AE078B" w:rsidP="00AE078B">
      <w:pPr>
        <w:pStyle w:val="subsection"/>
      </w:pPr>
      <w:r w:rsidRPr="0032075F">
        <w:tab/>
      </w:r>
      <w:r w:rsidR="006B5CA6" w:rsidRPr="0032075F">
        <w:t>(2)</w:t>
      </w:r>
      <w:r w:rsidRPr="0032075F">
        <w:tab/>
        <w:t xml:space="preserve">For this section, </w:t>
      </w:r>
      <w:r w:rsidR="000E6B81" w:rsidRPr="0032075F">
        <w:t xml:space="preserve">a </w:t>
      </w:r>
      <w:r w:rsidR="0077469C" w:rsidRPr="0032075F">
        <w:rPr>
          <w:b/>
          <w:i/>
        </w:rPr>
        <w:t xml:space="preserve">prohibited </w:t>
      </w:r>
      <w:r w:rsidRPr="0032075F">
        <w:rPr>
          <w:b/>
          <w:i/>
        </w:rPr>
        <w:t xml:space="preserve">boycott provision </w:t>
      </w:r>
      <w:r w:rsidR="00860870" w:rsidRPr="0032075F">
        <w:t xml:space="preserve">of an initial contract </w:t>
      </w:r>
      <w:r w:rsidRPr="0032075F">
        <w:t xml:space="preserve">is a </w:t>
      </w:r>
      <w:r w:rsidR="00D37EBD" w:rsidRPr="0032075F">
        <w:t>provision that has the purpose of preventing, restricting or limiting</w:t>
      </w:r>
      <w:r w:rsidR="009E3936" w:rsidRPr="0032075F">
        <w:t>, directly or indirectly</w:t>
      </w:r>
      <w:r w:rsidR="00D37EBD" w:rsidRPr="0032075F">
        <w:t>:</w:t>
      </w:r>
    </w:p>
    <w:p w:rsidR="00D37EBD" w:rsidRPr="0032075F" w:rsidRDefault="00D37EBD" w:rsidP="00D37EBD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the supply of goods or services to a target or targets; or</w:t>
      </w:r>
    </w:p>
    <w:p w:rsidR="00D37EBD" w:rsidRPr="0032075F" w:rsidRDefault="00D37EBD" w:rsidP="00D37EBD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the acquisition of goods or services from a target or targets</w:t>
      </w:r>
      <w:r w:rsidR="00371CB1" w:rsidRPr="0032075F">
        <w:t>;</w:t>
      </w:r>
    </w:p>
    <w:p w:rsidR="00D37EBD" w:rsidRPr="0032075F" w:rsidRDefault="00D37EBD" w:rsidP="00C83D51">
      <w:pPr>
        <w:pStyle w:val="subsection"/>
        <w:spacing w:before="40"/>
      </w:pPr>
      <w:r w:rsidRPr="0032075F">
        <w:tab/>
      </w:r>
      <w:r w:rsidRPr="0032075F">
        <w:tab/>
        <w:t>by the corporation or one or more contracting parties</w:t>
      </w:r>
      <w:r w:rsidR="00427AC8" w:rsidRPr="0032075F">
        <w:t>.</w:t>
      </w:r>
    </w:p>
    <w:p w:rsidR="00597279" w:rsidRPr="0032075F" w:rsidRDefault="00597279" w:rsidP="00597279">
      <w:pPr>
        <w:pStyle w:val="notetext"/>
      </w:pPr>
      <w:r w:rsidRPr="0032075F">
        <w:t>Note:</w:t>
      </w:r>
      <w:r w:rsidRPr="0032075F">
        <w:tab/>
        <w:t>See section 4F of the Act for the interpretation of references to “purpose”.</w:t>
      </w:r>
    </w:p>
    <w:p w:rsidR="00C15D33" w:rsidRPr="0032075F" w:rsidRDefault="006B5CA6" w:rsidP="008B13D0">
      <w:pPr>
        <w:pStyle w:val="ActHead5"/>
      </w:pPr>
      <w:bookmarkStart w:id="15" w:name="_Toc53673434"/>
      <w:r w:rsidRPr="0032075F">
        <w:t>9</w:t>
      </w:r>
      <w:r w:rsidR="008B13D0" w:rsidRPr="0032075F">
        <w:t xml:space="preserve">  </w:t>
      </w:r>
      <w:r w:rsidR="004B2670" w:rsidRPr="0032075F">
        <w:t>C</w:t>
      </w:r>
      <w:r w:rsidR="00E11907" w:rsidRPr="0032075F">
        <w:t>ollective bargaining class exemption notice</w:t>
      </w:r>
      <w:r w:rsidR="003E7CCA" w:rsidRPr="0032075F">
        <w:t xml:space="preserve"> </w:t>
      </w:r>
      <w:r w:rsidR="004B2670" w:rsidRPr="0032075F">
        <w:t xml:space="preserve">must be </w:t>
      </w:r>
      <w:r w:rsidR="003E7CCA" w:rsidRPr="0032075F">
        <w:t>given to the Commission</w:t>
      </w:r>
      <w:r w:rsidR="000F12C2" w:rsidRPr="0032075F">
        <w:t xml:space="preserve"> within 14 days</w:t>
      </w:r>
      <w:bookmarkEnd w:id="15"/>
    </w:p>
    <w:p w:rsidR="00711EE3" w:rsidRPr="0032075F" w:rsidRDefault="00711EE3" w:rsidP="00711EE3">
      <w:pPr>
        <w:pStyle w:val="subsection"/>
      </w:pPr>
      <w:r w:rsidRPr="0032075F">
        <w:tab/>
      </w:r>
      <w:r w:rsidR="006B5CA6" w:rsidRPr="0032075F">
        <w:t>(1)</w:t>
      </w:r>
      <w:r w:rsidRPr="0032075F">
        <w:tab/>
      </w:r>
      <w:r w:rsidR="009E3936" w:rsidRPr="0032075F">
        <w:t>S</w:t>
      </w:r>
      <w:r w:rsidR="00371CB1" w:rsidRPr="0032075F">
        <w:t>ection </w:t>
      </w:r>
      <w:r w:rsidR="006B5CA6" w:rsidRPr="0032075F">
        <w:t>7</w:t>
      </w:r>
      <w:r w:rsidR="00371CB1" w:rsidRPr="0032075F">
        <w:t xml:space="preserve"> applies </w:t>
      </w:r>
      <w:r w:rsidR="009E3936" w:rsidRPr="0032075F">
        <w:t xml:space="preserve">in relation to a particular initial contract </w:t>
      </w:r>
      <w:r w:rsidR="00280011" w:rsidRPr="0032075F">
        <w:t xml:space="preserve">only </w:t>
      </w:r>
      <w:r w:rsidRPr="0032075F">
        <w:t xml:space="preserve">if a notice (a </w:t>
      </w:r>
      <w:r w:rsidRPr="0032075F">
        <w:rPr>
          <w:b/>
          <w:i/>
        </w:rPr>
        <w:t>collective bargaining class exemption notice</w:t>
      </w:r>
      <w:r w:rsidRPr="0032075F">
        <w:t>)</w:t>
      </w:r>
      <w:r w:rsidR="0062563A" w:rsidRPr="0032075F">
        <w:t xml:space="preserve"> relating to th</w:t>
      </w:r>
      <w:r w:rsidR="009E3936" w:rsidRPr="0032075F">
        <w:t>at</w:t>
      </w:r>
      <w:r w:rsidR="0062563A" w:rsidRPr="0032075F">
        <w:t xml:space="preserve"> initial contract</w:t>
      </w:r>
      <w:r w:rsidRPr="0032075F">
        <w:t xml:space="preserve"> has </w:t>
      </w:r>
      <w:r w:rsidR="00371CB1" w:rsidRPr="0032075F">
        <w:t xml:space="preserve">been </w:t>
      </w:r>
      <w:r w:rsidRPr="0032075F">
        <w:t>given to the Commission in accordance with this section.</w:t>
      </w:r>
    </w:p>
    <w:p w:rsidR="00204FAE" w:rsidRPr="0032075F" w:rsidRDefault="00204FAE" w:rsidP="00204FAE">
      <w:pPr>
        <w:pStyle w:val="subsection"/>
      </w:pPr>
      <w:r w:rsidRPr="0032075F">
        <w:tab/>
      </w:r>
      <w:r w:rsidR="006B5CA6" w:rsidRPr="0032075F">
        <w:t>(2)</w:t>
      </w:r>
      <w:r w:rsidRPr="0032075F">
        <w:tab/>
        <w:t xml:space="preserve">The collective bargaining class </w:t>
      </w:r>
      <w:r w:rsidR="005D5D5A" w:rsidRPr="0032075F">
        <w:t xml:space="preserve">exemption </w:t>
      </w:r>
      <w:r w:rsidRPr="0032075F">
        <w:t>notice:</w:t>
      </w:r>
    </w:p>
    <w:p w:rsidR="00204FAE" w:rsidRPr="0032075F" w:rsidRDefault="00204FAE" w:rsidP="00204FAE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must be in the form approved by the Commission and contain all of the information that is required by that form; and</w:t>
      </w:r>
    </w:p>
    <w:p w:rsidR="00204FAE" w:rsidRPr="0032075F" w:rsidRDefault="00204FAE" w:rsidP="00204FAE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may be given to the Commission by, or on behalf of, the corporation or any of the other contracting parties; and</w:t>
      </w:r>
    </w:p>
    <w:p w:rsidR="00204FAE" w:rsidRPr="0032075F" w:rsidRDefault="00204FAE" w:rsidP="00204FAE">
      <w:pPr>
        <w:pStyle w:val="paragraph"/>
      </w:pPr>
      <w:r w:rsidRPr="0032075F">
        <w:tab/>
      </w:r>
      <w:r w:rsidR="006B5CA6" w:rsidRPr="0032075F">
        <w:t>(c)</w:t>
      </w:r>
      <w:r w:rsidRPr="0032075F">
        <w:tab/>
        <w:t>must not be given to the Commission on behalf of any of those persons by:</w:t>
      </w:r>
    </w:p>
    <w:p w:rsidR="00204FAE" w:rsidRPr="0032075F" w:rsidRDefault="00204FAE" w:rsidP="00204FAE">
      <w:pPr>
        <w:pStyle w:val="paragraphsub"/>
      </w:pPr>
      <w:r w:rsidRPr="0032075F">
        <w:tab/>
      </w:r>
      <w:r w:rsidR="006B5CA6" w:rsidRPr="0032075F">
        <w:t>(i)</w:t>
      </w:r>
      <w:r w:rsidRPr="0032075F">
        <w:tab/>
        <w:t>a trade union; or</w:t>
      </w:r>
    </w:p>
    <w:p w:rsidR="00204FAE" w:rsidRPr="0032075F" w:rsidRDefault="00204FAE" w:rsidP="00204FAE">
      <w:pPr>
        <w:pStyle w:val="paragraphsub"/>
      </w:pPr>
      <w:r w:rsidRPr="0032075F">
        <w:tab/>
      </w:r>
      <w:r w:rsidR="006B5CA6" w:rsidRPr="0032075F">
        <w:t>(ii)</w:t>
      </w:r>
      <w:r w:rsidRPr="0032075F">
        <w:tab/>
        <w:t>an officer of a trade union; or</w:t>
      </w:r>
    </w:p>
    <w:p w:rsidR="00204FAE" w:rsidRPr="0032075F" w:rsidRDefault="00204FAE" w:rsidP="00204FAE">
      <w:pPr>
        <w:pStyle w:val="paragraphsub"/>
      </w:pPr>
      <w:r w:rsidRPr="0032075F">
        <w:tab/>
      </w:r>
      <w:r w:rsidR="006B5CA6" w:rsidRPr="0032075F">
        <w:t>(iii)</w:t>
      </w:r>
      <w:r w:rsidRPr="0032075F">
        <w:tab/>
        <w:t>a person acting on the direction of a trade union.</w:t>
      </w:r>
    </w:p>
    <w:p w:rsidR="00BF6E0E" w:rsidRPr="0032075F" w:rsidRDefault="00BF6E0E" w:rsidP="00BF6E0E">
      <w:pPr>
        <w:pStyle w:val="subsection"/>
      </w:pPr>
      <w:r w:rsidRPr="0032075F">
        <w:tab/>
      </w:r>
      <w:r w:rsidR="006B5CA6" w:rsidRPr="0032075F">
        <w:t>(3)</w:t>
      </w:r>
      <w:r w:rsidRPr="0032075F">
        <w:tab/>
        <w:t>Section </w:t>
      </w:r>
      <w:r w:rsidR="006B5CA6" w:rsidRPr="0032075F">
        <w:t>7</w:t>
      </w:r>
      <w:r w:rsidRPr="0032075F">
        <w:t xml:space="preserve"> applies to conduct specified in that section </w:t>
      </w:r>
      <w:r w:rsidR="006D604C" w:rsidRPr="0032075F">
        <w:t>in relation</w:t>
      </w:r>
      <w:r w:rsidRPr="0032075F">
        <w:t xml:space="preserve"> to that initial contract </w:t>
      </w:r>
      <w:r w:rsidR="000E1FDD" w:rsidRPr="0032075F">
        <w:t xml:space="preserve">only </w:t>
      </w:r>
      <w:r w:rsidRPr="0032075F">
        <w:t>if the conduct was engaged in:</w:t>
      </w:r>
    </w:p>
    <w:p w:rsidR="00BF6E0E" w:rsidRPr="0032075F" w:rsidRDefault="00BF6E0E" w:rsidP="00BF6E0E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 xml:space="preserve">on or after the </w:t>
      </w:r>
      <w:r w:rsidR="001D79DA" w:rsidRPr="0032075F">
        <w:t>date the notice was given to the Commission</w:t>
      </w:r>
      <w:r w:rsidRPr="0032075F">
        <w:t>; or</w:t>
      </w:r>
    </w:p>
    <w:p w:rsidR="00BF6E0E" w:rsidRPr="0032075F" w:rsidRDefault="00BF6E0E" w:rsidP="00BF6E0E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no more than 14 days before </w:t>
      </w:r>
      <w:r w:rsidR="001D79DA" w:rsidRPr="0032075F">
        <w:t>that</w:t>
      </w:r>
      <w:r w:rsidRPr="0032075F">
        <w:t xml:space="preserve"> date.</w:t>
      </w:r>
    </w:p>
    <w:p w:rsidR="003E7CCA" w:rsidRPr="0032075F" w:rsidRDefault="006B5CA6" w:rsidP="003E7CCA">
      <w:pPr>
        <w:pStyle w:val="ActHead5"/>
      </w:pPr>
      <w:bookmarkStart w:id="16" w:name="_Toc53673435"/>
      <w:r w:rsidRPr="0032075F">
        <w:t>10</w:t>
      </w:r>
      <w:r w:rsidR="003E7CCA" w:rsidRPr="0032075F">
        <w:t xml:space="preserve">  </w:t>
      </w:r>
      <w:r w:rsidR="004B2670" w:rsidRPr="0032075F">
        <w:t>C</w:t>
      </w:r>
      <w:r w:rsidR="003E7CCA" w:rsidRPr="0032075F">
        <w:t>opy of collective bargaining class exemption notice must be given to target</w:t>
      </w:r>
      <w:bookmarkEnd w:id="16"/>
    </w:p>
    <w:p w:rsidR="003D3281" w:rsidRPr="0032075F" w:rsidRDefault="003D3281" w:rsidP="003D3281">
      <w:pPr>
        <w:pStyle w:val="subsection"/>
      </w:pPr>
      <w:r w:rsidRPr="0032075F">
        <w:tab/>
      </w:r>
      <w:r w:rsidRPr="0032075F">
        <w:tab/>
        <w:t>Section </w:t>
      </w:r>
      <w:r w:rsidR="006B5CA6" w:rsidRPr="0032075F">
        <w:t>7</w:t>
      </w:r>
      <w:r w:rsidRPr="0032075F">
        <w:t xml:space="preserve"> applies to giving effect to an initial contract by:</w:t>
      </w:r>
    </w:p>
    <w:p w:rsidR="003D3281" w:rsidRPr="0032075F" w:rsidRDefault="003D3281" w:rsidP="003D3281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negotiating a contract with 1 or more targets; or</w:t>
      </w:r>
    </w:p>
    <w:p w:rsidR="003D3281" w:rsidRPr="0032075F" w:rsidRDefault="003D3281" w:rsidP="003D3281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making such a contract; or</w:t>
      </w:r>
    </w:p>
    <w:p w:rsidR="003D3281" w:rsidRPr="0032075F" w:rsidRDefault="003D3281" w:rsidP="003D3281">
      <w:pPr>
        <w:pStyle w:val="paragraph"/>
        <w:rPr>
          <w:u w:val="single"/>
        </w:rPr>
      </w:pPr>
      <w:r w:rsidRPr="0032075F">
        <w:tab/>
      </w:r>
      <w:r w:rsidR="006B5CA6" w:rsidRPr="0032075F">
        <w:t>(c)</w:t>
      </w:r>
      <w:r w:rsidRPr="0032075F">
        <w:tab/>
        <w:t>giving effect to such a contract;</w:t>
      </w:r>
    </w:p>
    <w:p w:rsidR="003D3281" w:rsidRPr="0032075F" w:rsidRDefault="003D3281" w:rsidP="003D3281">
      <w:pPr>
        <w:pStyle w:val="subsection"/>
        <w:spacing w:before="40"/>
      </w:pPr>
      <w:r w:rsidRPr="0032075F">
        <w:tab/>
      </w:r>
      <w:r w:rsidRPr="0032075F">
        <w:tab/>
        <w:t xml:space="preserve">only if a copy of the collective bargaining </w:t>
      </w:r>
      <w:r w:rsidR="00D73D95" w:rsidRPr="0032075F">
        <w:t xml:space="preserve">class </w:t>
      </w:r>
      <w:r w:rsidRPr="0032075F">
        <w:t>exemption notice that relates to the initial contract has been given to the target or those targets.</w:t>
      </w:r>
    </w:p>
    <w:p w:rsidR="00B33474" w:rsidRPr="0032075F" w:rsidRDefault="00B33474" w:rsidP="00B33474">
      <w:pPr>
        <w:pStyle w:val="notetext"/>
      </w:pPr>
      <w:r w:rsidRPr="0032075F">
        <w:t>Note:</w:t>
      </w:r>
      <w:r w:rsidRPr="0032075F">
        <w:tab/>
        <w:t xml:space="preserve">The copy of the collective bargaining </w:t>
      </w:r>
      <w:r w:rsidR="00D73D95" w:rsidRPr="0032075F">
        <w:t xml:space="preserve">class </w:t>
      </w:r>
      <w:r w:rsidRPr="0032075F">
        <w:t>exemption notice could be given to the target by the corporation or by any of the other contracting parties.</w:t>
      </w:r>
    </w:p>
    <w:p w:rsidR="007F4290" w:rsidRPr="0032075F" w:rsidRDefault="006B5CA6" w:rsidP="006C4E15">
      <w:pPr>
        <w:pStyle w:val="ActHead5"/>
      </w:pPr>
      <w:bookmarkStart w:id="17" w:name="_Toc53673436"/>
      <w:r w:rsidRPr="0032075F">
        <w:lastRenderedPageBreak/>
        <w:t>11</w:t>
      </w:r>
      <w:r w:rsidR="006C4E15" w:rsidRPr="0032075F">
        <w:t xml:space="preserve">  </w:t>
      </w:r>
      <w:r w:rsidR="004B2670" w:rsidRPr="0032075F">
        <w:t xml:space="preserve">Corporation must have </w:t>
      </w:r>
      <w:r w:rsidR="006C4E15" w:rsidRPr="0032075F">
        <w:t>reasonable expectation of contracting with target</w:t>
      </w:r>
      <w:bookmarkEnd w:id="17"/>
    </w:p>
    <w:p w:rsidR="00000601" w:rsidRPr="0032075F" w:rsidRDefault="00000601" w:rsidP="00000601">
      <w:pPr>
        <w:pStyle w:val="subsection"/>
      </w:pPr>
      <w:r w:rsidRPr="0032075F">
        <w:tab/>
      </w:r>
      <w:r w:rsidRPr="0032075F">
        <w:tab/>
      </w:r>
      <w:r w:rsidR="00C671FD" w:rsidRPr="0032075F">
        <w:t>Subsection </w:t>
      </w:r>
      <w:r w:rsidR="006B5CA6" w:rsidRPr="0032075F">
        <w:t>7(2)</w:t>
      </w:r>
      <w:r w:rsidR="00C671FD" w:rsidRPr="0032075F">
        <w:t xml:space="preserve"> applies </w:t>
      </w:r>
      <w:r w:rsidR="00684ABE" w:rsidRPr="0032075F">
        <w:t xml:space="preserve">to a corporation </w:t>
      </w:r>
      <w:r w:rsidRPr="0032075F">
        <w:t xml:space="preserve">only if, when </w:t>
      </w:r>
      <w:r w:rsidR="0069093E" w:rsidRPr="0032075F">
        <w:t>engag</w:t>
      </w:r>
      <w:r w:rsidR="002A47BA" w:rsidRPr="0032075F">
        <w:t>ing</w:t>
      </w:r>
      <w:r w:rsidR="0069093E" w:rsidRPr="0032075F">
        <w:t xml:space="preserve"> in the </w:t>
      </w:r>
      <w:r w:rsidR="003E7CCA" w:rsidRPr="0032075F">
        <w:t xml:space="preserve">kind of </w:t>
      </w:r>
      <w:r w:rsidR="0069093E" w:rsidRPr="0032075F">
        <w:t>conduct</w:t>
      </w:r>
      <w:r w:rsidR="00684ABE" w:rsidRPr="0032075F">
        <w:t xml:space="preserve"> </w:t>
      </w:r>
      <w:r w:rsidR="00942500" w:rsidRPr="0032075F">
        <w:t>specified</w:t>
      </w:r>
      <w:r w:rsidR="00684ABE" w:rsidRPr="0032075F">
        <w:t xml:space="preserve"> to in </w:t>
      </w:r>
      <w:r w:rsidR="001D79DA" w:rsidRPr="0032075F">
        <w:t>that subsection</w:t>
      </w:r>
      <w:r w:rsidR="0069093E" w:rsidRPr="0032075F">
        <w:t xml:space="preserve">, </w:t>
      </w:r>
      <w:r w:rsidRPr="0032075F">
        <w:t xml:space="preserve">it </w:t>
      </w:r>
      <w:r w:rsidR="00DE5AD0" w:rsidRPr="0032075F">
        <w:t>reasonably</w:t>
      </w:r>
      <w:r w:rsidRPr="0032075F">
        <w:t xml:space="preserve"> expect</w:t>
      </w:r>
      <w:r w:rsidR="002A47BA" w:rsidRPr="0032075F">
        <w:t>s</w:t>
      </w:r>
      <w:r w:rsidRPr="0032075F">
        <w:t xml:space="preserve"> that it </w:t>
      </w:r>
      <w:r w:rsidR="002A47BA" w:rsidRPr="0032075F">
        <w:t>will</w:t>
      </w:r>
      <w:r w:rsidRPr="0032075F">
        <w:t xml:space="preserve"> make 1 or more contracts with </w:t>
      </w:r>
      <w:r w:rsidR="007748B4" w:rsidRPr="0032075F">
        <w:t xml:space="preserve">1 </w:t>
      </w:r>
      <w:r w:rsidRPr="0032075F">
        <w:t>or more of the targets, about:</w:t>
      </w:r>
    </w:p>
    <w:p w:rsidR="00000601" w:rsidRPr="0032075F" w:rsidRDefault="00000601" w:rsidP="00000601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 xml:space="preserve">the supply </w:t>
      </w:r>
      <w:r w:rsidR="005D4C3C" w:rsidRPr="0032075F">
        <w:t xml:space="preserve">to that target or those targets </w:t>
      </w:r>
      <w:r w:rsidRPr="0032075F">
        <w:t>of 1 or more of the goods or services to</w:t>
      </w:r>
      <w:r w:rsidR="007748B4" w:rsidRPr="0032075F">
        <w:t xml:space="preserve"> which the initial contract relates</w:t>
      </w:r>
      <w:r w:rsidRPr="0032075F">
        <w:t>; or</w:t>
      </w:r>
    </w:p>
    <w:p w:rsidR="00000601" w:rsidRPr="0032075F" w:rsidRDefault="00000601" w:rsidP="00000601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the acquisition </w:t>
      </w:r>
      <w:r w:rsidR="005D4C3C" w:rsidRPr="0032075F">
        <w:t xml:space="preserve">from that target or those targets </w:t>
      </w:r>
      <w:r w:rsidRPr="0032075F">
        <w:t>of 1 or more of those goods or services</w:t>
      </w:r>
      <w:r w:rsidR="005D4C3C" w:rsidRPr="0032075F">
        <w:t>.</w:t>
      </w:r>
    </w:p>
    <w:p w:rsidR="006C4E15" w:rsidRPr="0032075F" w:rsidRDefault="006B5CA6" w:rsidP="006C4E15">
      <w:pPr>
        <w:pStyle w:val="ActHead5"/>
      </w:pPr>
      <w:bookmarkStart w:id="18" w:name="_Toc53673437"/>
      <w:r w:rsidRPr="0032075F">
        <w:t>12</w:t>
      </w:r>
      <w:r w:rsidR="006C4E15" w:rsidRPr="0032075F">
        <w:t xml:space="preserve">  </w:t>
      </w:r>
      <w:r w:rsidR="0077469C" w:rsidRPr="0032075F">
        <w:t xml:space="preserve">Class exemption does not apply in relation to certain </w:t>
      </w:r>
      <w:r w:rsidR="00B57AA6" w:rsidRPr="0032075F">
        <w:t>initial contracts</w:t>
      </w:r>
      <w:bookmarkEnd w:id="18"/>
    </w:p>
    <w:p w:rsidR="00540E59" w:rsidRPr="0032075F" w:rsidRDefault="00540E59" w:rsidP="00540E59">
      <w:pPr>
        <w:pStyle w:val="subsection"/>
      </w:pPr>
      <w:r w:rsidRPr="0032075F">
        <w:tab/>
      </w:r>
      <w:r w:rsidR="006B5CA6" w:rsidRPr="0032075F">
        <w:t>(1)</w:t>
      </w:r>
      <w:r w:rsidRPr="0032075F">
        <w:tab/>
        <w:t>If any of subsections </w:t>
      </w:r>
      <w:r w:rsidR="006B5CA6" w:rsidRPr="0032075F">
        <w:t>(2)</w:t>
      </w:r>
      <w:r w:rsidR="00970B39" w:rsidRPr="0032075F">
        <w:t xml:space="preserve">, </w:t>
      </w:r>
      <w:r w:rsidR="006B5CA6" w:rsidRPr="0032075F">
        <w:t>(3)</w:t>
      </w:r>
      <w:r w:rsidRPr="0032075F">
        <w:t xml:space="preserve">, </w:t>
      </w:r>
      <w:r w:rsidR="006B5CA6" w:rsidRPr="0032075F">
        <w:t>(4)</w:t>
      </w:r>
      <w:r w:rsidRPr="0032075F">
        <w:t xml:space="preserve"> or </w:t>
      </w:r>
      <w:r w:rsidR="006B5CA6" w:rsidRPr="0032075F">
        <w:t>(5)</w:t>
      </w:r>
      <w:r w:rsidRPr="0032075F">
        <w:t xml:space="preserve"> applies to an initial contract, section </w:t>
      </w:r>
      <w:r w:rsidR="006B5CA6" w:rsidRPr="0032075F">
        <w:t>7</w:t>
      </w:r>
      <w:r w:rsidRPr="0032075F">
        <w:t xml:space="preserve"> does not apply to engaging in the conduct specified in that section in relation to the initial contract.</w:t>
      </w:r>
    </w:p>
    <w:p w:rsidR="003615EB" w:rsidRPr="0032075F" w:rsidRDefault="003615EB" w:rsidP="003615EB">
      <w:pPr>
        <w:pStyle w:val="SubsectionHead"/>
      </w:pPr>
      <w:r w:rsidRPr="0032075F">
        <w:t>Applications for authorisations</w:t>
      </w:r>
    </w:p>
    <w:p w:rsidR="009400DC" w:rsidRPr="0032075F" w:rsidRDefault="009400DC" w:rsidP="009400DC">
      <w:pPr>
        <w:pStyle w:val="subsection"/>
      </w:pPr>
      <w:r w:rsidRPr="0032075F">
        <w:tab/>
      </w:r>
      <w:r w:rsidR="006B5CA6" w:rsidRPr="0032075F">
        <w:t>(2)</w:t>
      </w:r>
      <w:r w:rsidRPr="0032075F">
        <w:tab/>
        <w:t xml:space="preserve">This subsection applies to </w:t>
      </w:r>
      <w:r w:rsidR="0018172D" w:rsidRPr="0032075F">
        <w:t>an</w:t>
      </w:r>
      <w:r w:rsidRPr="0032075F">
        <w:t xml:space="preserve"> initial contract if:</w:t>
      </w:r>
    </w:p>
    <w:p w:rsidR="00B57AA6" w:rsidRPr="0032075F" w:rsidRDefault="009400DC" w:rsidP="009400DC">
      <w:pPr>
        <w:pStyle w:val="paragraph"/>
      </w:pPr>
      <w:r w:rsidRPr="0032075F">
        <w:tab/>
      </w:r>
      <w:r w:rsidR="006B5CA6" w:rsidRPr="0032075F">
        <w:t>(a)</w:t>
      </w:r>
      <w:r w:rsidRPr="0032075F">
        <w:tab/>
      </w:r>
      <w:r w:rsidR="00B57AA6" w:rsidRPr="0032075F">
        <w:t xml:space="preserve">a person </w:t>
      </w:r>
      <w:r w:rsidR="00A24139" w:rsidRPr="0032075F">
        <w:t xml:space="preserve">has </w:t>
      </w:r>
      <w:r w:rsidR="00B57AA6" w:rsidRPr="0032075F">
        <w:t>applied for an authorisation in relation to th</w:t>
      </w:r>
      <w:r w:rsidRPr="0032075F">
        <w:t>e</w:t>
      </w:r>
      <w:r w:rsidR="00B57AA6" w:rsidRPr="0032075F">
        <w:t xml:space="preserve"> initial contract; and</w:t>
      </w:r>
    </w:p>
    <w:p w:rsidR="00B57AA6" w:rsidRPr="0032075F" w:rsidRDefault="00B57AA6" w:rsidP="00B57AA6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the Commission </w:t>
      </w:r>
      <w:r w:rsidR="00A24139" w:rsidRPr="0032075F">
        <w:t xml:space="preserve">has </w:t>
      </w:r>
      <w:r w:rsidRPr="0032075F">
        <w:t>made a determination:</w:t>
      </w:r>
    </w:p>
    <w:p w:rsidR="00B57AA6" w:rsidRPr="0032075F" w:rsidRDefault="00B57AA6" w:rsidP="00B57AA6">
      <w:pPr>
        <w:pStyle w:val="paragraphsub"/>
      </w:pPr>
      <w:r w:rsidRPr="0032075F">
        <w:tab/>
      </w:r>
      <w:r w:rsidR="006B5CA6" w:rsidRPr="0032075F">
        <w:t>(i)</w:t>
      </w:r>
      <w:r w:rsidRPr="0032075F">
        <w:tab/>
        <w:t>dismissing the application; or</w:t>
      </w:r>
    </w:p>
    <w:p w:rsidR="00B57AA6" w:rsidRPr="0032075F" w:rsidRDefault="00B57AA6" w:rsidP="00B57AA6">
      <w:pPr>
        <w:pStyle w:val="paragraphsub"/>
      </w:pPr>
      <w:r w:rsidRPr="0032075F">
        <w:tab/>
      </w:r>
      <w:r w:rsidR="006B5CA6" w:rsidRPr="0032075F">
        <w:t>(ii)</w:t>
      </w:r>
      <w:r w:rsidRPr="0032075F">
        <w:tab/>
        <w:t>revoking the authorisation; and</w:t>
      </w:r>
    </w:p>
    <w:p w:rsidR="00B57AA6" w:rsidRPr="0032075F" w:rsidRDefault="00B57AA6" w:rsidP="00B57AA6">
      <w:pPr>
        <w:pStyle w:val="paragraph"/>
      </w:pPr>
      <w:r w:rsidRPr="0032075F">
        <w:tab/>
      </w:r>
      <w:r w:rsidR="006B5CA6" w:rsidRPr="0032075F">
        <w:t>(c)</w:t>
      </w:r>
      <w:r w:rsidRPr="0032075F">
        <w:tab/>
        <w:t>either:</w:t>
      </w:r>
    </w:p>
    <w:p w:rsidR="00B57AA6" w:rsidRPr="0032075F" w:rsidRDefault="00B57AA6" w:rsidP="00B57AA6">
      <w:pPr>
        <w:pStyle w:val="paragraphsub"/>
      </w:pPr>
      <w:r w:rsidRPr="0032075F">
        <w:tab/>
      </w:r>
      <w:r w:rsidR="006B5CA6" w:rsidRPr="0032075F">
        <w:t>(i)</w:t>
      </w:r>
      <w:r w:rsidRPr="0032075F">
        <w:tab/>
      </w:r>
      <w:r w:rsidR="00E81796" w:rsidRPr="0032075F">
        <w:t xml:space="preserve">the Tribunal </w:t>
      </w:r>
      <w:r w:rsidR="00871B5D" w:rsidRPr="0032075F">
        <w:t xml:space="preserve">has </w:t>
      </w:r>
      <w:r w:rsidR="00E81796" w:rsidRPr="0032075F">
        <w:t>made a determination affirming or varying</w:t>
      </w:r>
      <w:r w:rsidR="00E800B5" w:rsidRPr="0032075F">
        <w:t xml:space="preserve"> (but not setting aside)</w:t>
      </w:r>
      <w:r w:rsidR="00E81796" w:rsidRPr="0032075F">
        <w:t xml:space="preserve"> the Commission’s determination</w:t>
      </w:r>
      <w:r w:rsidRPr="0032075F">
        <w:t>; or</w:t>
      </w:r>
    </w:p>
    <w:p w:rsidR="00B57AA6" w:rsidRPr="0032075F" w:rsidRDefault="00B57AA6" w:rsidP="00B57AA6">
      <w:pPr>
        <w:pStyle w:val="paragraphsub"/>
      </w:pPr>
      <w:r w:rsidRPr="0032075F">
        <w:tab/>
      </w:r>
      <w:r w:rsidR="006B5CA6" w:rsidRPr="0032075F">
        <w:t>(ii)</w:t>
      </w:r>
      <w:r w:rsidRPr="0032075F">
        <w:tab/>
        <w:t xml:space="preserve">the time for making an application for review </w:t>
      </w:r>
      <w:r w:rsidR="00A24139" w:rsidRPr="0032075F">
        <w:t xml:space="preserve">of the Commission’s determination </w:t>
      </w:r>
      <w:r w:rsidRPr="0032075F">
        <w:t>has ended without the making of an application.</w:t>
      </w:r>
    </w:p>
    <w:p w:rsidR="003404EE" w:rsidRPr="0032075F" w:rsidRDefault="003404EE" w:rsidP="003404EE">
      <w:pPr>
        <w:pStyle w:val="notetext"/>
      </w:pPr>
      <w:r w:rsidRPr="0032075F">
        <w:t>Note:</w:t>
      </w:r>
      <w:r w:rsidRPr="0032075F">
        <w:tab/>
        <w:t>Applications for authorisations are made under Division 1 of Part VII of the Act. For dismissal of applications, see section 90</w:t>
      </w:r>
      <w:r w:rsidR="00871B5D" w:rsidRPr="0032075F">
        <w:t xml:space="preserve"> </w:t>
      </w:r>
      <w:r w:rsidRPr="0032075F">
        <w:t>of the Act.</w:t>
      </w:r>
      <w:r w:rsidR="00871B5D" w:rsidRPr="0032075F">
        <w:t xml:space="preserve"> For revocation of authorisations, see section 91B of the Act. For review of determinations of the Commission, see </w:t>
      </w:r>
      <w:r w:rsidR="009F65E1" w:rsidRPr="0032075F">
        <w:t>Part IX</w:t>
      </w:r>
      <w:r w:rsidR="00871B5D" w:rsidRPr="0032075F">
        <w:t xml:space="preserve"> of the Act.</w:t>
      </w:r>
    </w:p>
    <w:p w:rsidR="00D767F9" w:rsidRPr="0032075F" w:rsidRDefault="00A715BC" w:rsidP="00A715BC">
      <w:pPr>
        <w:pStyle w:val="subsection"/>
      </w:pPr>
      <w:r w:rsidRPr="0032075F">
        <w:tab/>
      </w:r>
      <w:r w:rsidR="006B5CA6" w:rsidRPr="0032075F">
        <w:t>(3)</w:t>
      </w:r>
      <w:r w:rsidRPr="0032075F">
        <w:tab/>
      </w:r>
      <w:r w:rsidR="00D767F9" w:rsidRPr="0032075F">
        <w:t>This subsection applies to an initial contract if:</w:t>
      </w:r>
    </w:p>
    <w:p w:rsidR="00D767F9" w:rsidRPr="0032075F" w:rsidRDefault="00D767F9" w:rsidP="00D767F9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a person has applied for an authorisation in relation to the initial contract; and</w:t>
      </w:r>
    </w:p>
    <w:p w:rsidR="00D767F9" w:rsidRPr="0032075F" w:rsidRDefault="00D767F9" w:rsidP="00D767F9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 xml:space="preserve">the Commission has </w:t>
      </w:r>
      <w:r w:rsidR="00416E72" w:rsidRPr="0032075F">
        <w:t>prepared</w:t>
      </w:r>
      <w:r w:rsidRPr="0032075F">
        <w:t xml:space="preserve"> a draft determination proposing to deny the application; and</w:t>
      </w:r>
    </w:p>
    <w:p w:rsidR="00D767F9" w:rsidRPr="0032075F" w:rsidRDefault="00D767F9" w:rsidP="00D767F9">
      <w:pPr>
        <w:pStyle w:val="paragraph"/>
      </w:pPr>
      <w:r w:rsidRPr="0032075F">
        <w:tab/>
      </w:r>
      <w:r w:rsidR="006B5CA6" w:rsidRPr="0032075F">
        <w:t>(c)</w:t>
      </w:r>
      <w:r w:rsidRPr="0032075F">
        <w:tab/>
        <w:t>the application is withdrawn.</w:t>
      </w:r>
    </w:p>
    <w:p w:rsidR="00761A0F" w:rsidRPr="0032075F" w:rsidRDefault="00761A0F" w:rsidP="00761A0F">
      <w:pPr>
        <w:pStyle w:val="notetext"/>
      </w:pPr>
      <w:r w:rsidRPr="0032075F">
        <w:t>Note:</w:t>
      </w:r>
      <w:r w:rsidRPr="0032075F">
        <w:tab/>
        <w:t>Applications for authorisations are made under Division 1 of Part VII of the Act. For draft determinations, see section </w:t>
      </w:r>
      <w:r w:rsidR="003615EB" w:rsidRPr="0032075F">
        <w:t>90A</w:t>
      </w:r>
      <w:r w:rsidRPr="0032075F">
        <w:t xml:space="preserve"> of the Act. For withdrawal </w:t>
      </w:r>
      <w:r w:rsidR="003615EB" w:rsidRPr="0032075F">
        <w:t>of applications</w:t>
      </w:r>
      <w:r w:rsidRPr="0032075F">
        <w:t xml:space="preserve">, see </w:t>
      </w:r>
      <w:r w:rsidR="003615EB" w:rsidRPr="0032075F">
        <w:t>sub</w:t>
      </w:r>
      <w:r w:rsidRPr="0032075F">
        <w:t>section </w:t>
      </w:r>
      <w:r w:rsidR="003615EB" w:rsidRPr="0032075F">
        <w:t>88(7)</w:t>
      </w:r>
      <w:r w:rsidRPr="0032075F">
        <w:t xml:space="preserve"> of the Act.</w:t>
      </w:r>
    </w:p>
    <w:p w:rsidR="003615EB" w:rsidRPr="0032075F" w:rsidRDefault="003615EB" w:rsidP="003615EB">
      <w:pPr>
        <w:pStyle w:val="SubsectionHead"/>
      </w:pPr>
      <w:r w:rsidRPr="0032075F">
        <w:t>Collective bargaining notices</w:t>
      </w:r>
    </w:p>
    <w:p w:rsidR="00B57AA6" w:rsidRPr="0032075F" w:rsidRDefault="00B57AA6" w:rsidP="00B57AA6">
      <w:pPr>
        <w:pStyle w:val="subsection"/>
      </w:pPr>
      <w:r w:rsidRPr="0032075F">
        <w:tab/>
      </w:r>
      <w:r w:rsidR="006B5CA6" w:rsidRPr="0032075F">
        <w:t>(4)</w:t>
      </w:r>
      <w:r w:rsidRPr="0032075F">
        <w:tab/>
      </w:r>
      <w:r w:rsidR="00A24139" w:rsidRPr="0032075F">
        <w:t xml:space="preserve">This subsection applies to </w:t>
      </w:r>
      <w:r w:rsidR="0018172D" w:rsidRPr="0032075F">
        <w:t>an</w:t>
      </w:r>
      <w:r w:rsidR="00A24139" w:rsidRPr="0032075F">
        <w:t xml:space="preserve"> initial contract if</w:t>
      </w:r>
      <w:r w:rsidRPr="0032075F">
        <w:t>:</w:t>
      </w:r>
    </w:p>
    <w:p w:rsidR="00B57AA6" w:rsidRPr="0032075F" w:rsidRDefault="00B57AA6" w:rsidP="00B57AA6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a corporation has given the Commission a collective bargaining notice in relation to th</w:t>
      </w:r>
      <w:r w:rsidR="00A24139" w:rsidRPr="0032075F">
        <w:t>e</w:t>
      </w:r>
      <w:r w:rsidRPr="0032075F">
        <w:t xml:space="preserve"> initial contract; and</w:t>
      </w:r>
    </w:p>
    <w:p w:rsidR="003404EE" w:rsidRPr="0032075F" w:rsidRDefault="00B57AA6" w:rsidP="00C24833">
      <w:pPr>
        <w:pStyle w:val="paragraph"/>
      </w:pPr>
      <w:r w:rsidRPr="0032075F">
        <w:lastRenderedPageBreak/>
        <w:tab/>
      </w:r>
      <w:r w:rsidR="006B5CA6" w:rsidRPr="0032075F">
        <w:t>(b)</w:t>
      </w:r>
      <w:r w:rsidRPr="0032075F">
        <w:tab/>
        <w:t xml:space="preserve">the Commission has given an objection notice in relation to the collective bargaining notice; </w:t>
      </w:r>
      <w:r w:rsidR="00C24833" w:rsidRPr="0032075F">
        <w:t>and</w:t>
      </w:r>
    </w:p>
    <w:p w:rsidR="003404EE" w:rsidRPr="0032075F" w:rsidRDefault="003404EE" w:rsidP="003404EE">
      <w:pPr>
        <w:pStyle w:val="paragraph"/>
      </w:pPr>
      <w:r w:rsidRPr="0032075F">
        <w:tab/>
      </w:r>
      <w:r w:rsidR="006B5CA6" w:rsidRPr="0032075F">
        <w:t>(c)</w:t>
      </w:r>
      <w:r w:rsidRPr="0032075F">
        <w:tab/>
      </w:r>
      <w:r w:rsidR="00C24833" w:rsidRPr="0032075F">
        <w:t>either</w:t>
      </w:r>
      <w:r w:rsidRPr="0032075F">
        <w:t>:</w:t>
      </w:r>
    </w:p>
    <w:p w:rsidR="003404EE" w:rsidRPr="0032075F" w:rsidRDefault="003404EE" w:rsidP="003404EE">
      <w:pPr>
        <w:pStyle w:val="paragraphsub"/>
      </w:pPr>
      <w:r w:rsidRPr="0032075F">
        <w:tab/>
      </w:r>
      <w:r w:rsidR="006B5CA6" w:rsidRPr="0032075F">
        <w:t>(i)</w:t>
      </w:r>
      <w:r w:rsidRPr="0032075F">
        <w:tab/>
      </w:r>
      <w:r w:rsidR="00E81796" w:rsidRPr="0032075F">
        <w:t xml:space="preserve">the Tribunal has made a determination affirming the </w:t>
      </w:r>
      <w:r w:rsidR="00E800B5" w:rsidRPr="0032075F">
        <w:t>objection notice</w:t>
      </w:r>
      <w:r w:rsidRPr="0032075F">
        <w:t>; or</w:t>
      </w:r>
    </w:p>
    <w:p w:rsidR="003404EE" w:rsidRPr="0032075F" w:rsidRDefault="003404EE" w:rsidP="003404EE">
      <w:pPr>
        <w:pStyle w:val="paragraphsub"/>
      </w:pPr>
      <w:r w:rsidRPr="0032075F">
        <w:tab/>
      </w:r>
      <w:r w:rsidR="006B5CA6" w:rsidRPr="0032075F">
        <w:t>(ii)</w:t>
      </w:r>
      <w:r w:rsidRPr="0032075F">
        <w:tab/>
        <w:t>the time for making an application for review</w:t>
      </w:r>
      <w:r w:rsidR="00A24139" w:rsidRPr="0032075F">
        <w:t xml:space="preserve"> of the </w:t>
      </w:r>
      <w:r w:rsidR="00E800B5" w:rsidRPr="0032075F">
        <w:t xml:space="preserve">objection </w:t>
      </w:r>
      <w:r w:rsidR="00A24139" w:rsidRPr="0032075F">
        <w:t>notice</w:t>
      </w:r>
      <w:r w:rsidRPr="0032075F">
        <w:t xml:space="preserve"> has ended without the making of an application.</w:t>
      </w:r>
    </w:p>
    <w:p w:rsidR="00C24833" w:rsidRPr="0032075F" w:rsidRDefault="00C24833" w:rsidP="00C24833">
      <w:pPr>
        <w:pStyle w:val="notetext"/>
      </w:pPr>
      <w:r w:rsidRPr="0032075F">
        <w:t>Note:</w:t>
      </w:r>
      <w:r w:rsidRPr="0032075F">
        <w:tab/>
        <w:t>Collective bargaining notices are given under Division 2 of Part VII of the Act. For objection notices, see section 93AC of the Act.</w:t>
      </w:r>
      <w:r w:rsidR="00871B5D" w:rsidRPr="0032075F">
        <w:t xml:space="preserve"> For review of objection notices, see </w:t>
      </w:r>
      <w:r w:rsidR="009F65E1" w:rsidRPr="0032075F">
        <w:t>Part IX of the Act</w:t>
      </w:r>
      <w:r w:rsidR="00871B5D" w:rsidRPr="0032075F">
        <w:t>.</w:t>
      </w:r>
    </w:p>
    <w:p w:rsidR="00C24833" w:rsidRPr="0032075F" w:rsidRDefault="00C24833" w:rsidP="00C24833">
      <w:pPr>
        <w:pStyle w:val="subsection"/>
      </w:pPr>
      <w:r w:rsidRPr="0032075F">
        <w:tab/>
      </w:r>
      <w:r w:rsidR="006B5CA6" w:rsidRPr="0032075F">
        <w:t>(5)</w:t>
      </w:r>
      <w:r w:rsidRPr="0032075F">
        <w:tab/>
      </w:r>
      <w:r w:rsidR="00A24139" w:rsidRPr="0032075F">
        <w:t xml:space="preserve">This subsection applies to </w:t>
      </w:r>
      <w:r w:rsidR="0018172D" w:rsidRPr="0032075F">
        <w:t>an</w:t>
      </w:r>
      <w:r w:rsidR="00A24139" w:rsidRPr="0032075F">
        <w:t xml:space="preserve"> initial contract if</w:t>
      </w:r>
      <w:r w:rsidRPr="0032075F">
        <w:t>:</w:t>
      </w:r>
    </w:p>
    <w:p w:rsidR="00C24833" w:rsidRPr="0032075F" w:rsidRDefault="00C24833" w:rsidP="00C24833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a corporation has given the Commission a collective bargaining notice in relation to th</w:t>
      </w:r>
      <w:r w:rsidR="0018172D" w:rsidRPr="0032075F">
        <w:t>e</w:t>
      </w:r>
      <w:r w:rsidRPr="0032075F">
        <w:t xml:space="preserve"> initial contract; and</w:t>
      </w:r>
    </w:p>
    <w:p w:rsidR="00C24833" w:rsidRPr="0032075F" w:rsidRDefault="00C24833" w:rsidP="00C24833">
      <w:pPr>
        <w:pStyle w:val="paragraph"/>
      </w:pPr>
      <w:r w:rsidRPr="0032075F">
        <w:tab/>
      </w:r>
      <w:r w:rsidR="006B5CA6" w:rsidRPr="0032075F">
        <w:t>(b)</w:t>
      </w:r>
      <w:r w:rsidRPr="0032075F">
        <w:tab/>
        <w:t>the collective bargaining notice is taken to have been withdrawn.</w:t>
      </w:r>
    </w:p>
    <w:p w:rsidR="00C24833" w:rsidRPr="0032075F" w:rsidRDefault="00C24833" w:rsidP="00C24833">
      <w:pPr>
        <w:pStyle w:val="notetext"/>
      </w:pPr>
      <w:r w:rsidRPr="0032075F">
        <w:t>Note:</w:t>
      </w:r>
      <w:r w:rsidRPr="0032075F">
        <w:tab/>
        <w:t>Collective bargaining notices are given under Division 2 of Part VII of the Act. For deemed withdrawal, see section 93AE of the Act.</w:t>
      </w:r>
    </w:p>
    <w:p w:rsidR="006F1804" w:rsidRPr="0032075F" w:rsidRDefault="006B5CA6" w:rsidP="006F1804">
      <w:pPr>
        <w:pStyle w:val="ActHead5"/>
      </w:pPr>
      <w:bookmarkStart w:id="19" w:name="_Toc53673438"/>
      <w:r w:rsidRPr="0032075F">
        <w:t>13</w:t>
      </w:r>
      <w:r w:rsidR="001F4219" w:rsidRPr="0032075F">
        <w:t xml:space="preserve"> </w:t>
      </w:r>
      <w:r w:rsidR="00054386" w:rsidRPr="0032075F">
        <w:t xml:space="preserve"> </w:t>
      </w:r>
      <w:r w:rsidR="004B2670" w:rsidRPr="0032075F">
        <w:t>S</w:t>
      </w:r>
      <w:r w:rsidR="006F1804" w:rsidRPr="0032075F">
        <w:t>haring of information</w:t>
      </w:r>
      <w:r w:rsidR="00E9173B" w:rsidRPr="0032075F">
        <w:t xml:space="preserve"> </w:t>
      </w:r>
      <w:r w:rsidR="004B2670" w:rsidRPr="0032075F">
        <w:t xml:space="preserve">permitted only when </w:t>
      </w:r>
      <w:r w:rsidR="006D094F" w:rsidRPr="0032075F">
        <w:t xml:space="preserve">reasonably </w:t>
      </w:r>
      <w:r w:rsidR="004B2670" w:rsidRPr="0032075F">
        <w:t>necessary</w:t>
      </w:r>
      <w:bookmarkEnd w:id="19"/>
    </w:p>
    <w:p w:rsidR="00342330" w:rsidRPr="0032075F" w:rsidRDefault="006F1804" w:rsidP="00342330">
      <w:pPr>
        <w:pStyle w:val="subsection"/>
      </w:pPr>
      <w:r w:rsidRPr="0032075F">
        <w:tab/>
      </w:r>
      <w:r w:rsidRPr="0032075F">
        <w:tab/>
      </w:r>
      <w:r w:rsidR="00CE31C1" w:rsidRPr="0032075F">
        <w:t>Section </w:t>
      </w:r>
      <w:r w:rsidR="006B5CA6" w:rsidRPr="0032075F">
        <w:t>7</w:t>
      </w:r>
      <w:r w:rsidR="00CE31C1" w:rsidRPr="0032075F">
        <w:t xml:space="preserve"> appl</w:t>
      </w:r>
      <w:r w:rsidR="00BA7A09" w:rsidRPr="0032075F">
        <w:t>ies</w:t>
      </w:r>
      <w:r w:rsidR="00CE31C1" w:rsidRPr="0032075F">
        <w:t xml:space="preserve"> to </w:t>
      </w:r>
      <w:r w:rsidR="00D24A85" w:rsidRPr="0032075F">
        <w:t>a</w:t>
      </w:r>
      <w:r w:rsidR="00427146" w:rsidRPr="0032075F">
        <w:t xml:space="preserve"> corporation </w:t>
      </w:r>
      <w:r w:rsidR="00342330" w:rsidRPr="0032075F">
        <w:t>shar</w:t>
      </w:r>
      <w:r w:rsidR="00CE31C1" w:rsidRPr="0032075F">
        <w:t xml:space="preserve">ing </w:t>
      </w:r>
      <w:r w:rsidR="002E325B" w:rsidRPr="0032075F">
        <w:t>information</w:t>
      </w:r>
      <w:r w:rsidR="00C46C9A" w:rsidRPr="0032075F">
        <w:t xml:space="preserve"> with, </w:t>
      </w:r>
      <w:r w:rsidR="00187308" w:rsidRPr="0032075F">
        <w:t xml:space="preserve">or </w:t>
      </w:r>
      <w:r w:rsidR="00427146" w:rsidRPr="0032075F">
        <w:t xml:space="preserve">using </w:t>
      </w:r>
      <w:r w:rsidR="006A3C1F" w:rsidRPr="0032075F">
        <w:t>information that has been</w:t>
      </w:r>
      <w:r w:rsidR="00187308" w:rsidRPr="0032075F">
        <w:t xml:space="preserve"> shared </w:t>
      </w:r>
      <w:r w:rsidR="006A3C1F" w:rsidRPr="0032075F">
        <w:t>by</w:t>
      </w:r>
      <w:r w:rsidR="00C46C9A" w:rsidRPr="0032075F">
        <w:t>,</w:t>
      </w:r>
      <w:r w:rsidR="006A3C1F" w:rsidRPr="0032075F">
        <w:t xml:space="preserve"> other contracting parties </w:t>
      </w:r>
      <w:r w:rsidR="00D11F1F" w:rsidRPr="0032075F">
        <w:t xml:space="preserve">only </w:t>
      </w:r>
      <w:r w:rsidR="00BA7A09" w:rsidRPr="0032075F">
        <w:t>if</w:t>
      </w:r>
      <w:r w:rsidR="00342330" w:rsidRPr="0032075F">
        <w:t>:</w:t>
      </w:r>
    </w:p>
    <w:p w:rsidR="00187308" w:rsidRPr="0032075F" w:rsidRDefault="00342330" w:rsidP="00342330">
      <w:pPr>
        <w:pStyle w:val="paragraph"/>
      </w:pPr>
      <w:r w:rsidRPr="0032075F">
        <w:tab/>
      </w:r>
      <w:r w:rsidR="006B5CA6" w:rsidRPr="0032075F">
        <w:t>(a)</w:t>
      </w:r>
      <w:r w:rsidRPr="0032075F">
        <w:tab/>
        <w:t>the information is shared or used</w:t>
      </w:r>
      <w:r w:rsidR="00187308" w:rsidRPr="0032075F">
        <w:t xml:space="preserve"> </w:t>
      </w:r>
      <w:r w:rsidR="006A3C1F" w:rsidRPr="0032075F">
        <w:t>by the corporation to</w:t>
      </w:r>
      <w:r w:rsidR="003C3524" w:rsidRPr="0032075F">
        <w:t xml:space="preserve"> engage in the conduct </w:t>
      </w:r>
      <w:r w:rsidR="00D24A85" w:rsidRPr="0032075F">
        <w:t>specified</w:t>
      </w:r>
      <w:r w:rsidR="003C3524" w:rsidRPr="0032075F">
        <w:t xml:space="preserve"> in section </w:t>
      </w:r>
      <w:r w:rsidR="006B5CA6" w:rsidRPr="0032075F">
        <w:t>7</w:t>
      </w:r>
      <w:r w:rsidR="003C3524" w:rsidRPr="0032075F">
        <w:t>;</w:t>
      </w:r>
      <w:r w:rsidR="004B2670" w:rsidRPr="0032075F">
        <w:t xml:space="preserve"> and</w:t>
      </w:r>
    </w:p>
    <w:p w:rsidR="00E15A8F" w:rsidRPr="00054386" w:rsidRDefault="00C757F1" w:rsidP="00054386">
      <w:pPr>
        <w:pStyle w:val="paragraph"/>
      </w:pPr>
      <w:r w:rsidRPr="0032075F">
        <w:tab/>
      </w:r>
      <w:r w:rsidR="006B5CA6" w:rsidRPr="0032075F">
        <w:t>(b)</w:t>
      </w:r>
      <w:r w:rsidRPr="0032075F">
        <w:tab/>
      </w:r>
      <w:r w:rsidR="00882E32" w:rsidRPr="0032075F">
        <w:t xml:space="preserve">the corporation </w:t>
      </w:r>
      <w:r w:rsidR="006C4E15" w:rsidRPr="0032075F">
        <w:t>believes that</w:t>
      </w:r>
      <w:r w:rsidR="00556C93" w:rsidRPr="0032075F">
        <w:t xml:space="preserve"> it is </w:t>
      </w:r>
      <w:r w:rsidR="00652F97" w:rsidRPr="0032075F">
        <w:t xml:space="preserve">reasonably </w:t>
      </w:r>
      <w:r w:rsidR="00556C93" w:rsidRPr="0032075F">
        <w:t>necessary to share or use that information in order to facilitate it engaging in that conduct</w:t>
      </w:r>
      <w:r w:rsidR="003C3524" w:rsidRPr="0032075F">
        <w:t>.</w:t>
      </w:r>
    </w:p>
    <w:sectPr w:rsidR="00E15A8F" w:rsidRPr="0005438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93" w:rsidRDefault="00B92B93" w:rsidP="00715914">
      <w:pPr>
        <w:spacing w:line="240" w:lineRule="auto"/>
      </w:pPr>
      <w:r>
        <w:separator/>
      </w:r>
    </w:p>
  </w:endnote>
  <w:endnote w:type="continuationSeparator" w:id="0">
    <w:p w:rsidR="00B92B93" w:rsidRDefault="00B92B9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E33C1C" w:rsidRDefault="00533F1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3F11" w:rsidTr="004F1B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3F11" w:rsidRPr="004E1307" w:rsidRDefault="00533F1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Competition and Consumer (Class Exemption— Collective Bargaining)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533F11" w:rsidRPr="00ED79B6" w:rsidRDefault="00533F1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E33C1C" w:rsidRDefault="00533F1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533F11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Competition and Consumer (Class Exemption— Collective Bargaining)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33F11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33F11" w:rsidRDefault="00533F11" w:rsidP="00A369E3">
          <w:pPr>
            <w:rPr>
              <w:sz w:val="18"/>
            </w:rPr>
          </w:pPr>
        </w:p>
      </w:tc>
    </w:tr>
  </w:tbl>
  <w:p w:rsidR="00533F11" w:rsidRPr="00ED79B6" w:rsidRDefault="00533F1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E33C1C" w:rsidRDefault="00533F1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33F11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3F11" w:rsidRDefault="00533F1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533F11" w:rsidRDefault="00533F1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2B0EA5" w:rsidRDefault="00533F11" w:rsidP="00674CB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33F11" w:rsidTr="00674CB3">
      <w:tc>
        <w:tcPr>
          <w:tcW w:w="365" w:type="pct"/>
        </w:tcPr>
        <w:p w:rsidR="00533F11" w:rsidRDefault="00533F11" w:rsidP="00674CB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33F11" w:rsidRDefault="00533F11" w:rsidP="00674CB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Competition and Consumer (Class Exemption— Collective Bargaining)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33F11" w:rsidRDefault="00533F11" w:rsidP="00674CB3">
          <w:pPr>
            <w:spacing w:line="0" w:lineRule="atLeast"/>
            <w:jc w:val="right"/>
            <w:rPr>
              <w:sz w:val="18"/>
            </w:rPr>
          </w:pPr>
        </w:p>
      </w:tc>
    </w:tr>
    <w:tr w:rsidR="00533F11" w:rsidTr="00674CB3">
      <w:tc>
        <w:tcPr>
          <w:tcW w:w="5000" w:type="pct"/>
          <w:gridSpan w:val="3"/>
        </w:tcPr>
        <w:p w:rsidR="00533F11" w:rsidRDefault="00533F11" w:rsidP="00674CB3">
          <w:pPr>
            <w:jc w:val="right"/>
            <w:rPr>
              <w:sz w:val="18"/>
            </w:rPr>
          </w:pPr>
        </w:p>
      </w:tc>
    </w:tr>
  </w:tbl>
  <w:p w:rsidR="00533F11" w:rsidRPr="00ED79B6" w:rsidRDefault="00533F11" w:rsidP="00674CB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2B0EA5" w:rsidRDefault="00533F11" w:rsidP="00674CB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33F11" w:rsidTr="00674CB3">
      <w:tc>
        <w:tcPr>
          <w:tcW w:w="947" w:type="pct"/>
        </w:tcPr>
        <w:p w:rsidR="00533F11" w:rsidRDefault="00533F11" w:rsidP="00674CB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33F11" w:rsidRDefault="00533F11" w:rsidP="00674CB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B5C53">
            <w:rPr>
              <w:i/>
              <w:noProof/>
              <w:sz w:val="18"/>
            </w:rPr>
            <w:t>Competition and Consumer (Class Exemption—Collective Bargaining)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33F11" w:rsidRDefault="00533F11" w:rsidP="00674C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62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3F11" w:rsidRDefault="00533F11" w:rsidP="001B269E">
    <w:pPr>
      <w:tabs>
        <w:tab w:val="center" w:pos="3969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1B5C5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100318">
      <w:rPr>
        <w:b/>
        <w:noProof/>
        <w:color w:val="0000FF"/>
        <w:sz w:val="32"/>
        <w:szCs w:val="32"/>
      </w:rPr>
      <w:instrText>DRAFT v 3.2</w:instrText>
    </w:r>
    <w:r w:rsidR="00100318">
      <w:rPr>
        <w:b/>
        <w:noProof/>
        <w:color w:val="0000FF"/>
        <w:sz w:val="32"/>
        <w:szCs w:val="32"/>
      </w:rPr>
      <w:tab/>
      <w:instrText>Sensitive:Legal</w:instrText>
    </w:r>
    <w:r w:rsidR="00100318">
      <w:rPr>
        <w:b/>
        <w:noProof/>
        <w:color w:val="0000FF"/>
        <w:sz w:val="32"/>
        <w:szCs w:val="32"/>
      </w:rPr>
      <w:tab/>
      <w:instrText>15 October 2020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2B0EA5" w:rsidRDefault="00533F11" w:rsidP="00674CB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33F11" w:rsidTr="00674CB3">
      <w:tc>
        <w:tcPr>
          <w:tcW w:w="365" w:type="pct"/>
        </w:tcPr>
        <w:p w:rsidR="00533F11" w:rsidRDefault="00533F11" w:rsidP="00674CB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33F11" w:rsidRDefault="00533F11" w:rsidP="00674CB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Competition and Consumer (Class Exemption— Collective Bargaining)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33F11" w:rsidRDefault="00533F11" w:rsidP="00674CB3">
          <w:pPr>
            <w:spacing w:line="0" w:lineRule="atLeast"/>
            <w:jc w:val="right"/>
            <w:rPr>
              <w:sz w:val="18"/>
            </w:rPr>
          </w:pPr>
        </w:p>
      </w:tc>
    </w:tr>
    <w:tr w:rsidR="00533F11" w:rsidTr="00674CB3">
      <w:tc>
        <w:tcPr>
          <w:tcW w:w="5000" w:type="pct"/>
          <w:gridSpan w:val="3"/>
        </w:tcPr>
        <w:p w:rsidR="00533F11" w:rsidRDefault="00533F11" w:rsidP="00674CB3">
          <w:pPr>
            <w:jc w:val="right"/>
            <w:rPr>
              <w:sz w:val="18"/>
            </w:rPr>
          </w:pPr>
        </w:p>
      </w:tc>
    </w:tr>
  </w:tbl>
  <w:p w:rsidR="00533F11" w:rsidRPr="00ED79B6" w:rsidRDefault="00533F11" w:rsidP="00674CB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2B0EA5" w:rsidRDefault="00533F11" w:rsidP="00674CB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33F11" w:rsidTr="00674CB3">
      <w:tc>
        <w:tcPr>
          <w:tcW w:w="947" w:type="pct"/>
        </w:tcPr>
        <w:p w:rsidR="00533F11" w:rsidRDefault="00533F11" w:rsidP="00674CB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33F11" w:rsidRDefault="00533F11" w:rsidP="00674CB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B5C53">
            <w:rPr>
              <w:i/>
              <w:noProof/>
              <w:sz w:val="18"/>
            </w:rPr>
            <w:t>Competition and Consumer (Class Exemption—Collective Bargaining)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33F11" w:rsidRDefault="00533F11" w:rsidP="00674C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62F7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3F11" w:rsidRDefault="00533F11" w:rsidP="00D04705">
    <w:pPr>
      <w:tabs>
        <w:tab w:val="center" w:pos="3969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1B5C5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100318">
      <w:rPr>
        <w:b/>
        <w:noProof/>
        <w:color w:val="0000FF"/>
        <w:sz w:val="32"/>
        <w:szCs w:val="32"/>
      </w:rPr>
      <w:instrText>DRAFT v 3.2</w:instrText>
    </w:r>
    <w:r w:rsidR="00100318">
      <w:rPr>
        <w:b/>
        <w:noProof/>
        <w:color w:val="0000FF"/>
        <w:sz w:val="32"/>
        <w:szCs w:val="32"/>
      </w:rPr>
      <w:tab/>
      <w:instrText>Sensitive:Legal</w:instrText>
    </w:r>
    <w:r w:rsidR="00100318">
      <w:rPr>
        <w:b/>
        <w:noProof/>
        <w:color w:val="0000FF"/>
        <w:sz w:val="32"/>
        <w:szCs w:val="32"/>
      </w:rPr>
      <w:tab/>
      <w:instrText>15 October 2020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93" w:rsidRDefault="00B92B93" w:rsidP="00715914">
      <w:pPr>
        <w:spacing w:line="240" w:lineRule="auto"/>
      </w:pPr>
      <w:r>
        <w:separator/>
      </w:r>
    </w:p>
  </w:footnote>
  <w:footnote w:type="continuationSeparator" w:id="0">
    <w:p w:rsidR="00B92B93" w:rsidRDefault="00B92B9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5F1388" w:rsidRDefault="00533F1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5F1388" w:rsidRDefault="00533F1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318" w:rsidRDefault="001003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ED79B6" w:rsidRDefault="00533F11" w:rsidP="00674CB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ED79B6" w:rsidRDefault="00533F11" w:rsidP="00674CB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ED79B6" w:rsidRDefault="00533F1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Default="00533F11" w:rsidP="00715914">
    <w:pPr>
      <w:rPr>
        <w:sz w:val="20"/>
      </w:rPr>
    </w:pPr>
  </w:p>
  <w:p w:rsidR="00533F11" w:rsidRDefault="00533F11" w:rsidP="00715914">
    <w:pPr>
      <w:rPr>
        <w:sz w:val="20"/>
      </w:rPr>
    </w:pPr>
  </w:p>
  <w:p w:rsidR="00533F11" w:rsidRPr="007A1328" w:rsidRDefault="00533F11" w:rsidP="00715914">
    <w:pPr>
      <w:rPr>
        <w:sz w:val="20"/>
      </w:rPr>
    </w:pPr>
  </w:p>
  <w:p w:rsidR="00533F11" w:rsidRPr="007A1328" w:rsidRDefault="00533F11" w:rsidP="00715914">
    <w:pPr>
      <w:rPr>
        <w:b/>
        <w:sz w:val="24"/>
      </w:rPr>
    </w:pPr>
  </w:p>
  <w:p w:rsidR="00533F11" w:rsidRPr="007A1328" w:rsidRDefault="00533F11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11" w:rsidRPr="007A1328" w:rsidRDefault="00533F11" w:rsidP="00715914">
    <w:pPr>
      <w:jc w:val="right"/>
      <w:rPr>
        <w:sz w:val="20"/>
      </w:rPr>
    </w:pPr>
  </w:p>
  <w:p w:rsidR="00533F11" w:rsidRPr="007A1328" w:rsidRDefault="00533F11" w:rsidP="00715914">
    <w:pPr>
      <w:jc w:val="right"/>
      <w:rPr>
        <w:sz w:val="20"/>
      </w:rPr>
    </w:pPr>
  </w:p>
  <w:p w:rsidR="00533F11" w:rsidRPr="007A1328" w:rsidRDefault="00533F11" w:rsidP="00715914">
    <w:pPr>
      <w:jc w:val="right"/>
      <w:rPr>
        <w:b/>
        <w:sz w:val="24"/>
      </w:rPr>
    </w:pPr>
  </w:p>
  <w:p w:rsidR="00533F11" w:rsidRPr="007A1328" w:rsidRDefault="00533F11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10EF6"/>
    <w:multiLevelType w:val="hybridMultilevel"/>
    <w:tmpl w:val="48AC4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D4A17"/>
    <w:multiLevelType w:val="hybridMultilevel"/>
    <w:tmpl w:val="23A49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0E7B27"/>
    <w:multiLevelType w:val="hybridMultilevel"/>
    <w:tmpl w:val="C3BA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429B3"/>
    <w:multiLevelType w:val="hybridMultilevel"/>
    <w:tmpl w:val="FB8CE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E79BE"/>
    <w:multiLevelType w:val="hybridMultilevel"/>
    <w:tmpl w:val="75BE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611"/>
    <w:multiLevelType w:val="hybridMultilevel"/>
    <w:tmpl w:val="CB60A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C304869"/>
    <w:multiLevelType w:val="hybridMultilevel"/>
    <w:tmpl w:val="11F06FBC"/>
    <w:lvl w:ilvl="0" w:tplc="2FCE4A6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C4497"/>
    <w:multiLevelType w:val="hybridMultilevel"/>
    <w:tmpl w:val="343EAEA6"/>
    <w:lvl w:ilvl="0" w:tplc="9C723190">
      <w:start w:val="1"/>
      <w:numFmt w:val="lowerLetter"/>
      <w:lvlText w:val="(%1)"/>
      <w:lvlJc w:val="left"/>
      <w:pPr>
        <w:ind w:left="783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52CC2FE1"/>
    <w:multiLevelType w:val="hybridMultilevel"/>
    <w:tmpl w:val="0212B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416C6"/>
    <w:multiLevelType w:val="hybridMultilevel"/>
    <w:tmpl w:val="DBEED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50F24"/>
    <w:multiLevelType w:val="hybridMultilevel"/>
    <w:tmpl w:val="10FE2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F2722"/>
    <w:multiLevelType w:val="hybridMultilevel"/>
    <w:tmpl w:val="A2F03A90"/>
    <w:lvl w:ilvl="0" w:tplc="894CBED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A0C3B"/>
    <w:multiLevelType w:val="hybridMultilevel"/>
    <w:tmpl w:val="CDE8D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18"/>
  </w:num>
  <w:num w:numId="15">
    <w:abstractNumId w:val="24"/>
  </w:num>
  <w:num w:numId="16">
    <w:abstractNumId w:val="26"/>
  </w:num>
  <w:num w:numId="17">
    <w:abstractNumId w:val="23"/>
  </w:num>
  <w:num w:numId="18">
    <w:abstractNumId w:val="17"/>
  </w:num>
  <w:num w:numId="19">
    <w:abstractNumId w:val="14"/>
  </w:num>
  <w:num w:numId="20">
    <w:abstractNumId w:val="12"/>
  </w:num>
  <w:num w:numId="21">
    <w:abstractNumId w:val="22"/>
  </w:num>
  <w:num w:numId="22">
    <w:abstractNumId w:val="10"/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98"/>
    <w:rsid w:val="00000601"/>
    <w:rsid w:val="00004174"/>
    <w:rsid w:val="00004470"/>
    <w:rsid w:val="00007015"/>
    <w:rsid w:val="000136AF"/>
    <w:rsid w:val="00023180"/>
    <w:rsid w:val="000258B1"/>
    <w:rsid w:val="0002655B"/>
    <w:rsid w:val="0003121B"/>
    <w:rsid w:val="00040A89"/>
    <w:rsid w:val="000437C1"/>
    <w:rsid w:val="000443D5"/>
    <w:rsid w:val="0004455A"/>
    <w:rsid w:val="00046D20"/>
    <w:rsid w:val="00046FE6"/>
    <w:rsid w:val="0005365D"/>
    <w:rsid w:val="00054386"/>
    <w:rsid w:val="00054546"/>
    <w:rsid w:val="00054752"/>
    <w:rsid w:val="00056495"/>
    <w:rsid w:val="000579B0"/>
    <w:rsid w:val="00060352"/>
    <w:rsid w:val="00061004"/>
    <w:rsid w:val="00061214"/>
    <w:rsid w:val="000614BF"/>
    <w:rsid w:val="00066983"/>
    <w:rsid w:val="0006709C"/>
    <w:rsid w:val="00071255"/>
    <w:rsid w:val="00074376"/>
    <w:rsid w:val="00083854"/>
    <w:rsid w:val="00094385"/>
    <w:rsid w:val="000978F5"/>
    <w:rsid w:val="000A0735"/>
    <w:rsid w:val="000A50E3"/>
    <w:rsid w:val="000B15CD"/>
    <w:rsid w:val="000B35EB"/>
    <w:rsid w:val="000B7D55"/>
    <w:rsid w:val="000C2D36"/>
    <w:rsid w:val="000D05EF"/>
    <w:rsid w:val="000D228B"/>
    <w:rsid w:val="000E0E39"/>
    <w:rsid w:val="000E1FDD"/>
    <w:rsid w:val="000E2261"/>
    <w:rsid w:val="000E6B81"/>
    <w:rsid w:val="000E78B7"/>
    <w:rsid w:val="000F12C2"/>
    <w:rsid w:val="000F21C1"/>
    <w:rsid w:val="000F5579"/>
    <w:rsid w:val="000F62B2"/>
    <w:rsid w:val="000F763E"/>
    <w:rsid w:val="00100318"/>
    <w:rsid w:val="00102866"/>
    <w:rsid w:val="0010745C"/>
    <w:rsid w:val="00114A9A"/>
    <w:rsid w:val="001150BB"/>
    <w:rsid w:val="00121D86"/>
    <w:rsid w:val="001255EA"/>
    <w:rsid w:val="001278A1"/>
    <w:rsid w:val="00132CEB"/>
    <w:rsid w:val="00132E91"/>
    <w:rsid w:val="001339B0"/>
    <w:rsid w:val="00136C6D"/>
    <w:rsid w:val="00142B62"/>
    <w:rsid w:val="001441B7"/>
    <w:rsid w:val="00146221"/>
    <w:rsid w:val="001516CB"/>
    <w:rsid w:val="00151D80"/>
    <w:rsid w:val="00152336"/>
    <w:rsid w:val="001552FE"/>
    <w:rsid w:val="00157B8B"/>
    <w:rsid w:val="00157FB1"/>
    <w:rsid w:val="001609C4"/>
    <w:rsid w:val="00166C2F"/>
    <w:rsid w:val="001709CE"/>
    <w:rsid w:val="001809D7"/>
    <w:rsid w:val="00180FFB"/>
    <w:rsid w:val="0018172D"/>
    <w:rsid w:val="00183468"/>
    <w:rsid w:val="00187308"/>
    <w:rsid w:val="00191FB3"/>
    <w:rsid w:val="00192732"/>
    <w:rsid w:val="001939E1"/>
    <w:rsid w:val="00193AE0"/>
    <w:rsid w:val="00194C3E"/>
    <w:rsid w:val="00195382"/>
    <w:rsid w:val="0019680F"/>
    <w:rsid w:val="001A1641"/>
    <w:rsid w:val="001A3ADA"/>
    <w:rsid w:val="001A4E57"/>
    <w:rsid w:val="001B269E"/>
    <w:rsid w:val="001B2CB6"/>
    <w:rsid w:val="001B5C53"/>
    <w:rsid w:val="001B6DFD"/>
    <w:rsid w:val="001B7ED6"/>
    <w:rsid w:val="001C00E8"/>
    <w:rsid w:val="001C61C5"/>
    <w:rsid w:val="001C69C4"/>
    <w:rsid w:val="001D0A72"/>
    <w:rsid w:val="001D0BFB"/>
    <w:rsid w:val="001D247A"/>
    <w:rsid w:val="001D37EF"/>
    <w:rsid w:val="001D4DF7"/>
    <w:rsid w:val="001D79DA"/>
    <w:rsid w:val="001E1AA5"/>
    <w:rsid w:val="001E3590"/>
    <w:rsid w:val="001E7407"/>
    <w:rsid w:val="001F282C"/>
    <w:rsid w:val="001F41E6"/>
    <w:rsid w:val="001F4219"/>
    <w:rsid w:val="001F5D5E"/>
    <w:rsid w:val="001F6219"/>
    <w:rsid w:val="001F6CD4"/>
    <w:rsid w:val="00202FF6"/>
    <w:rsid w:val="00204FAE"/>
    <w:rsid w:val="00205244"/>
    <w:rsid w:val="00206C4D"/>
    <w:rsid w:val="00211EAA"/>
    <w:rsid w:val="00215671"/>
    <w:rsid w:val="00215AF1"/>
    <w:rsid w:val="00224CE7"/>
    <w:rsid w:val="00225175"/>
    <w:rsid w:val="002317B8"/>
    <w:rsid w:val="00231CF3"/>
    <w:rsid w:val="002321E8"/>
    <w:rsid w:val="00232984"/>
    <w:rsid w:val="00232BBD"/>
    <w:rsid w:val="0024010F"/>
    <w:rsid w:val="00240749"/>
    <w:rsid w:val="00243018"/>
    <w:rsid w:val="00244C87"/>
    <w:rsid w:val="002562C7"/>
    <w:rsid w:val="002564A4"/>
    <w:rsid w:val="00260C62"/>
    <w:rsid w:val="00263087"/>
    <w:rsid w:val="002639B3"/>
    <w:rsid w:val="0026736C"/>
    <w:rsid w:val="002705DE"/>
    <w:rsid w:val="00275D44"/>
    <w:rsid w:val="00276A3F"/>
    <w:rsid w:val="00280011"/>
    <w:rsid w:val="00281308"/>
    <w:rsid w:val="00281BA2"/>
    <w:rsid w:val="002825B9"/>
    <w:rsid w:val="00284719"/>
    <w:rsid w:val="002944DA"/>
    <w:rsid w:val="00296B55"/>
    <w:rsid w:val="00297ECB"/>
    <w:rsid w:val="002A2C9B"/>
    <w:rsid w:val="002A47BA"/>
    <w:rsid w:val="002A49AE"/>
    <w:rsid w:val="002A7BCF"/>
    <w:rsid w:val="002A7F37"/>
    <w:rsid w:val="002B13C9"/>
    <w:rsid w:val="002B2D23"/>
    <w:rsid w:val="002B3FF4"/>
    <w:rsid w:val="002B40E6"/>
    <w:rsid w:val="002B6DF7"/>
    <w:rsid w:val="002B7EEA"/>
    <w:rsid w:val="002C3FD1"/>
    <w:rsid w:val="002C68B3"/>
    <w:rsid w:val="002D043A"/>
    <w:rsid w:val="002D266B"/>
    <w:rsid w:val="002D2CFC"/>
    <w:rsid w:val="002D61D5"/>
    <w:rsid w:val="002D6224"/>
    <w:rsid w:val="002E0154"/>
    <w:rsid w:val="002E17AA"/>
    <w:rsid w:val="002E325B"/>
    <w:rsid w:val="002E7ECE"/>
    <w:rsid w:val="002F243C"/>
    <w:rsid w:val="00304F8B"/>
    <w:rsid w:val="00312AAB"/>
    <w:rsid w:val="00314493"/>
    <w:rsid w:val="00317976"/>
    <w:rsid w:val="0032075F"/>
    <w:rsid w:val="00322213"/>
    <w:rsid w:val="0033160C"/>
    <w:rsid w:val="00335BC6"/>
    <w:rsid w:val="00335DD7"/>
    <w:rsid w:val="00336299"/>
    <w:rsid w:val="003375FA"/>
    <w:rsid w:val="003404EE"/>
    <w:rsid w:val="00340694"/>
    <w:rsid w:val="003415D3"/>
    <w:rsid w:val="00342330"/>
    <w:rsid w:val="0034299A"/>
    <w:rsid w:val="00344338"/>
    <w:rsid w:val="00344701"/>
    <w:rsid w:val="00351156"/>
    <w:rsid w:val="00352B0F"/>
    <w:rsid w:val="003547D9"/>
    <w:rsid w:val="00360459"/>
    <w:rsid w:val="00361313"/>
    <w:rsid w:val="003615EB"/>
    <w:rsid w:val="00366876"/>
    <w:rsid w:val="00371CB1"/>
    <w:rsid w:val="00372BFE"/>
    <w:rsid w:val="00375D84"/>
    <w:rsid w:val="0038049F"/>
    <w:rsid w:val="0038145F"/>
    <w:rsid w:val="003843E9"/>
    <w:rsid w:val="00391DC9"/>
    <w:rsid w:val="00392F78"/>
    <w:rsid w:val="003969FC"/>
    <w:rsid w:val="003A190C"/>
    <w:rsid w:val="003A544F"/>
    <w:rsid w:val="003B07AF"/>
    <w:rsid w:val="003B19D8"/>
    <w:rsid w:val="003B30C8"/>
    <w:rsid w:val="003B4E74"/>
    <w:rsid w:val="003B555D"/>
    <w:rsid w:val="003C14AA"/>
    <w:rsid w:val="003C1ACC"/>
    <w:rsid w:val="003C1C60"/>
    <w:rsid w:val="003C3524"/>
    <w:rsid w:val="003C3999"/>
    <w:rsid w:val="003C6231"/>
    <w:rsid w:val="003D0BFE"/>
    <w:rsid w:val="003D0DA0"/>
    <w:rsid w:val="003D0F59"/>
    <w:rsid w:val="003D164A"/>
    <w:rsid w:val="003D3281"/>
    <w:rsid w:val="003D5700"/>
    <w:rsid w:val="003D6B60"/>
    <w:rsid w:val="003E0417"/>
    <w:rsid w:val="003E2787"/>
    <w:rsid w:val="003E341B"/>
    <w:rsid w:val="003E4D00"/>
    <w:rsid w:val="003E5B30"/>
    <w:rsid w:val="003E7CCA"/>
    <w:rsid w:val="003F0B6F"/>
    <w:rsid w:val="003F1FFE"/>
    <w:rsid w:val="003F42C7"/>
    <w:rsid w:val="00406EE0"/>
    <w:rsid w:val="004116CD"/>
    <w:rsid w:val="00411CB4"/>
    <w:rsid w:val="004127D3"/>
    <w:rsid w:val="0041681C"/>
    <w:rsid w:val="00416D20"/>
    <w:rsid w:val="00416E72"/>
    <w:rsid w:val="00417EB9"/>
    <w:rsid w:val="00422D25"/>
    <w:rsid w:val="00424CA9"/>
    <w:rsid w:val="00427146"/>
    <w:rsid w:val="004276DF"/>
    <w:rsid w:val="00427AC8"/>
    <w:rsid w:val="00431E9B"/>
    <w:rsid w:val="004379E3"/>
    <w:rsid w:val="00437FD2"/>
    <w:rsid w:val="0044015E"/>
    <w:rsid w:val="0044291A"/>
    <w:rsid w:val="0044384B"/>
    <w:rsid w:val="004460AE"/>
    <w:rsid w:val="00451E7F"/>
    <w:rsid w:val="004538A3"/>
    <w:rsid w:val="00467661"/>
    <w:rsid w:val="0047191C"/>
    <w:rsid w:val="0047251D"/>
    <w:rsid w:val="00472DBE"/>
    <w:rsid w:val="00474A19"/>
    <w:rsid w:val="0047623B"/>
    <w:rsid w:val="00477830"/>
    <w:rsid w:val="00486848"/>
    <w:rsid w:val="00487764"/>
    <w:rsid w:val="00493C22"/>
    <w:rsid w:val="00496F97"/>
    <w:rsid w:val="004A1E71"/>
    <w:rsid w:val="004A7F5E"/>
    <w:rsid w:val="004B2670"/>
    <w:rsid w:val="004B376D"/>
    <w:rsid w:val="004B5B6A"/>
    <w:rsid w:val="004B6C48"/>
    <w:rsid w:val="004C32B6"/>
    <w:rsid w:val="004C4E59"/>
    <w:rsid w:val="004C65B0"/>
    <w:rsid w:val="004C6809"/>
    <w:rsid w:val="004C6AA6"/>
    <w:rsid w:val="004D36FE"/>
    <w:rsid w:val="004D3EEB"/>
    <w:rsid w:val="004D3F7E"/>
    <w:rsid w:val="004E063A"/>
    <w:rsid w:val="004E1307"/>
    <w:rsid w:val="004E308F"/>
    <w:rsid w:val="004E7BEC"/>
    <w:rsid w:val="004F1BE1"/>
    <w:rsid w:val="00501E0E"/>
    <w:rsid w:val="00505A25"/>
    <w:rsid w:val="00505D3D"/>
    <w:rsid w:val="00506AF6"/>
    <w:rsid w:val="00506FBF"/>
    <w:rsid w:val="00507BC6"/>
    <w:rsid w:val="00510DDB"/>
    <w:rsid w:val="00510E92"/>
    <w:rsid w:val="0051522D"/>
    <w:rsid w:val="00516B8D"/>
    <w:rsid w:val="00522927"/>
    <w:rsid w:val="0052494C"/>
    <w:rsid w:val="005303C8"/>
    <w:rsid w:val="0053052E"/>
    <w:rsid w:val="00533463"/>
    <w:rsid w:val="00533B87"/>
    <w:rsid w:val="00533F11"/>
    <w:rsid w:val="00537FBC"/>
    <w:rsid w:val="00540E59"/>
    <w:rsid w:val="005507ED"/>
    <w:rsid w:val="00554826"/>
    <w:rsid w:val="00554A14"/>
    <w:rsid w:val="00556C93"/>
    <w:rsid w:val="00562113"/>
    <w:rsid w:val="00566521"/>
    <w:rsid w:val="00573F11"/>
    <w:rsid w:val="00583999"/>
    <w:rsid w:val="00584811"/>
    <w:rsid w:val="00585784"/>
    <w:rsid w:val="0058644A"/>
    <w:rsid w:val="0059132D"/>
    <w:rsid w:val="00592301"/>
    <w:rsid w:val="005936EC"/>
    <w:rsid w:val="00593AA6"/>
    <w:rsid w:val="00594161"/>
    <w:rsid w:val="00594749"/>
    <w:rsid w:val="00594CD3"/>
    <w:rsid w:val="00597279"/>
    <w:rsid w:val="005A2A53"/>
    <w:rsid w:val="005A3AA6"/>
    <w:rsid w:val="005A65D5"/>
    <w:rsid w:val="005A7F93"/>
    <w:rsid w:val="005B4067"/>
    <w:rsid w:val="005B640B"/>
    <w:rsid w:val="005C3F41"/>
    <w:rsid w:val="005D1D92"/>
    <w:rsid w:val="005D2D09"/>
    <w:rsid w:val="005D4C3C"/>
    <w:rsid w:val="005D549F"/>
    <w:rsid w:val="005D5D5A"/>
    <w:rsid w:val="005E618C"/>
    <w:rsid w:val="005E7E70"/>
    <w:rsid w:val="005E7F25"/>
    <w:rsid w:val="005F46F3"/>
    <w:rsid w:val="00600219"/>
    <w:rsid w:val="00604F2A"/>
    <w:rsid w:val="0060559F"/>
    <w:rsid w:val="00613D60"/>
    <w:rsid w:val="00617494"/>
    <w:rsid w:val="00620076"/>
    <w:rsid w:val="0062089A"/>
    <w:rsid w:val="00620D36"/>
    <w:rsid w:val="00622290"/>
    <w:rsid w:val="0062563A"/>
    <w:rsid w:val="00627E0A"/>
    <w:rsid w:val="00636298"/>
    <w:rsid w:val="0064030C"/>
    <w:rsid w:val="00643BFD"/>
    <w:rsid w:val="00644B6E"/>
    <w:rsid w:val="006461FA"/>
    <w:rsid w:val="00652F97"/>
    <w:rsid w:val="0065488B"/>
    <w:rsid w:val="00656D1F"/>
    <w:rsid w:val="006618AC"/>
    <w:rsid w:val="00670484"/>
    <w:rsid w:val="00670EA1"/>
    <w:rsid w:val="00674CB3"/>
    <w:rsid w:val="0067743C"/>
    <w:rsid w:val="00677CC2"/>
    <w:rsid w:val="006839D0"/>
    <w:rsid w:val="00684ABE"/>
    <w:rsid w:val="00684D5D"/>
    <w:rsid w:val="00686D94"/>
    <w:rsid w:val="0068744B"/>
    <w:rsid w:val="006905DE"/>
    <w:rsid w:val="0069093E"/>
    <w:rsid w:val="00691CC7"/>
    <w:rsid w:val="00691E70"/>
    <w:rsid w:val="0069207B"/>
    <w:rsid w:val="006927EF"/>
    <w:rsid w:val="00695479"/>
    <w:rsid w:val="0069744C"/>
    <w:rsid w:val="0069755F"/>
    <w:rsid w:val="006A154F"/>
    <w:rsid w:val="006A1D3D"/>
    <w:rsid w:val="006A2481"/>
    <w:rsid w:val="006A284C"/>
    <w:rsid w:val="006A29C5"/>
    <w:rsid w:val="006A3C1F"/>
    <w:rsid w:val="006A437B"/>
    <w:rsid w:val="006B1CFF"/>
    <w:rsid w:val="006B3877"/>
    <w:rsid w:val="006B5789"/>
    <w:rsid w:val="006B5CA6"/>
    <w:rsid w:val="006C2F34"/>
    <w:rsid w:val="006C30C5"/>
    <w:rsid w:val="006C4E15"/>
    <w:rsid w:val="006C7F8C"/>
    <w:rsid w:val="006D094F"/>
    <w:rsid w:val="006D2EC0"/>
    <w:rsid w:val="006D5E18"/>
    <w:rsid w:val="006D604C"/>
    <w:rsid w:val="006D7EEB"/>
    <w:rsid w:val="006E2E1C"/>
    <w:rsid w:val="006E6246"/>
    <w:rsid w:val="006E69C2"/>
    <w:rsid w:val="006E6B60"/>
    <w:rsid w:val="006E6DCC"/>
    <w:rsid w:val="006E77B1"/>
    <w:rsid w:val="006F1804"/>
    <w:rsid w:val="006F318F"/>
    <w:rsid w:val="006F329E"/>
    <w:rsid w:val="0070017E"/>
    <w:rsid w:val="00700B2C"/>
    <w:rsid w:val="0070122B"/>
    <w:rsid w:val="00701919"/>
    <w:rsid w:val="007050A2"/>
    <w:rsid w:val="00707485"/>
    <w:rsid w:val="00707F79"/>
    <w:rsid w:val="00711EE3"/>
    <w:rsid w:val="00713084"/>
    <w:rsid w:val="0071414A"/>
    <w:rsid w:val="00714F20"/>
    <w:rsid w:val="0071590F"/>
    <w:rsid w:val="00715914"/>
    <w:rsid w:val="0072147A"/>
    <w:rsid w:val="00723791"/>
    <w:rsid w:val="00726F60"/>
    <w:rsid w:val="00731E00"/>
    <w:rsid w:val="00735437"/>
    <w:rsid w:val="007440B7"/>
    <w:rsid w:val="0074507B"/>
    <w:rsid w:val="00746704"/>
    <w:rsid w:val="007473DD"/>
    <w:rsid w:val="007500C8"/>
    <w:rsid w:val="007532F3"/>
    <w:rsid w:val="00754FA5"/>
    <w:rsid w:val="00756272"/>
    <w:rsid w:val="00756FEC"/>
    <w:rsid w:val="00761A0F"/>
    <w:rsid w:val="00762D38"/>
    <w:rsid w:val="00766142"/>
    <w:rsid w:val="007715C9"/>
    <w:rsid w:val="00771613"/>
    <w:rsid w:val="00773D1A"/>
    <w:rsid w:val="0077469C"/>
    <w:rsid w:val="007748B4"/>
    <w:rsid w:val="00774EDD"/>
    <w:rsid w:val="007757EC"/>
    <w:rsid w:val="007812B0"/>
    <w:rsid w:val="00783E14"/>
    <w:rsid w:val="00783E89"/>
    <w:rsid w:val="007863B8"/>
    <w:rsid w:val="0079387F"/>
    <w:rsid w:val="00793915"/>
    <w:rsid w:val="00794725"/>
    <w:rsid w:val="00795223"/>
    <w:rsid w:val="00795BBF"/>
    <w:rsid w:val="007A0C26"/>
    <w:rsid w:val="007B32EB"/>
    <w:rsid w:val="007C2253"/>
    <w:rsid w:val="007C3D89"/>
    <w:rsid w:val="007C4C71"/>
    <w:rsid w:val="007C6952"/>
    <w:rsid w:val="007C6E31"/>
    <w:rsid w:val="007D7911"/>
    <w:rsid w:val="007E163D"/>
    <w:rsid w:val="007E1C4A"/>
    <w:rsid w:val="007E56CD"/>
    <w:rsid w:val="007E5CFE"/>
    <w:rsid w:val="007E667A"/>
    <w:rsid w:val="007F28C9"/>
    <w:rsid w:val="007F4290"/>
    <w:rsid w:val="007F51B2"/>
    <w:rsid w:val="007F5377"/>
    <w:rsid w:val="008009ED"/>
    <w:rsid w:val="008040DD"/>
    <w:rsid w:val="00804482"/>
    <w:rsid w:val="00804885"/>
    <w:rsid w:val="00807C1E"/>
    <w:rsid w:val="00810A5B"/>
    <w:rsid w:val="008117E9"/>
    <w:rsid w:val="008130A3"/>
    <w:rsid w:val="00821251"/>
    <w:rsid w:val="00824498"/>
    <w:rsid w:val="00826BD1"/>
    <w:rsid w:val="00826E66"/>
    <w:rsid w:val="00830AEF"/>
    <w:rsid w:val="008317A7"/>
    <w:rsid w:val="00832544"/>
    <w:rsid w:val="00845FC6"/>
    <w:rsid w:val="0084718D"/>
    <w:rsid w:val="00847D06"/>
    <w:rsid w:val="00853DD3"/>
    <w:rsid w:val="00854D0B"/>
    <w:rsid w:val="00856A31"/>
    <w:rsid w:val="00860870"/>
    <w:rsid w:val="00860B4E"/>
    <w:rsid w:val="00864653"/>
    <w:rsid w:val="0086477C"/>
    <w:rsid w:val="00867B37"/>
    <w:rsid w:val="00871B5D"/>
    <w:rsid w:val="008754D0"/>
    <w:rsid w:val="00875D13"/>
    <w:rsid w:val="00882B2A"/>
    <w:rsid w:val="00882E32"/>
    <w:rsid w:val="008855C9"/>
    <w:rsid w:val="00886456"/>
    <w:rsid w:val="00886EB5"/>
    <w:rsid w:val="00887607"/>
    <w:rsid w:val="00896176"/>
    <w:rsid w:val="008A020F"/>
    <w:rsid w:val="008A1279"/>
    <w:rsid w:val="008A135D"/>
    <w:rsid w:val="008A3C2F"/>
    <w:rsid w:val="008A46E1"/>
    <w:rsid w:val="008A4F43"/>
    <w:rsid w:val="008B13D0"/>
    <w:rsid w:val="008B163F"/>
    <w:rsid w:val="008B1BE1"/>
    <w:rsid w:val="008B2706"/>
    <w:rsid w:val="008B4920"/>
    <w:rsid w:val="008C1D54"/>
    <w:rsid w:val="008C2EAC"/>
    <w:rsid w:val="008C567A"/>
    <w:rsid w:val="008D0EE0"/>
    <w:rsid w:val="008E0027"/>
    <w:rsid w:val="008E015C"/>
    <w:rsid w:val="008E6067"/>
    <w:rsid w:val="008E6BFF"/>
    <w:rsid w:val="008F4E63"/>
    <w:rsid w:val="008F54E7"/>
    <w:rsid w:val="008F71F3"/>
    <w:rsid w:val="009004AA"/>
    <w:rsid w:val="00903422"/>
    <w:rsid w:val="009035A4"/>
    <w:rsid w:val="00904054"/>
    <w:rsid w:val="0090491B"/>
    <w:rsid w:val="00912711"/>
    <w:rsid w:val="00921823"/>
    <w:rsid w:val="009254C3"/>
    <w:rsid w:val="009264C8"/>
    <w:rsid w:val="00932377"/>
    <w:rsid w:val="00934866"/>
    <w:rsid w:val="009400DC"/>
    <w:rsid w:val="00941236"/>
    <w:rsid w:val="00942500"/>
    <w:rsid w:val="00943FD5"/>
    <w:rsid w:val="009450F8"/>
    <w:rsid w:val="00945566"/>
    <w:rsid w:val="00947D5A"/>
    <w:rsid w:val="009532A5"/>
    <w:rsid w:val="009545BD"/>
    <w:rsid w:val="00962695"/>
    <w:rsid w:val="009626C2"/>
    <w:rsid w:val="00964CF0"/>
    <w:rsid w:val="00970B39"/>
    <w:rsid w:val="009736F9"/>
    <w:rsid w:val="00977806"/>
    <w:rsid w:val="00981DDE"/>
    <w:rsid w:val="00982242"/>
    <w:rsid w:val="00984F15"/>
    <w:rsid w:val="009857E6"/>
    <w:rsid w:val="009868E9"/>
    <w:rsid w:val="00986AA6"/>
    <w:rsid w:val="009900A3"/>
    <w:rsid w:val="00993467"/>
    <w:rsid w:val="00995117"/>
    <w:rsid w:val="00996D22"/>
    <w:rsid w:val="009A1A2D"/>
    <w:rsid w:val="009A48B8"/>
    <w:rsid w:val="009A62F7"/>
    <w:rsid w:val="009A6B6F"/>
    <w:rsid w:val="009B3BE9"/>
    <w:rsid w:val="009C3413"/>
    <w:rsid w:val="009C39A0"/>
    <w:rsid w:val="009C52D0"/>
    <w:rsid w:val="009D6349"/>
    <w:rsid w:val="009E3936"/>
    <w:rsid w:val="009E6A51"/>
    <w:rsid w:val="009F2500"/>
    <w:rsid w:val="009F65E1"/>
    <w:rsid w:val="00A040F2"/>
    <w:rsid w:val="00A0441E"/>
    <w:rsid w:val="00A05198"/>
    <w:rsid w:val="00A07AE1"/>
    <w:rsid w:val="00A11752"/>
    <w:rsid w:val="00A120BE"/>
    <w:rsid w:val="00A12128"/>
    <w:rsid w:val="00A1373A"/>
    <w:rsid w:val="00A13C06"/>
    <w:rsid w:val="00A154D9"/>
    <w:rsid w:val="00A21BA9"/>
    <w:rsid w:val="00A22C98"/>
    <w:rsid w:val="00A22CF1"/>
    <w:rsid w:val="00A22EAB"/>
    <w:rsid w:val="00A231E2"/>
    <w:rsid w:val="00A23862"/>
    <w:rsid w:val="00A24139"/>
    <w:rsid w:val="00A31C80"/>
    <w:rsid w:val="00A31FFA"/>
    <w:rsid w:val="00A369E3"/>
    <w:rsid w:val="00A44D92"/>
    <w:rsid w:val="00A4702A"/>
    <w:rsid w:val="00A47A64"/>
    <w:rsid w:val="00A54D2C"/>
    <w:rsid w:val="00A553F8"/>
    <w:rsid w:val="00A57600"/>
    <w:rsid w:val="00A57A61"/>
    <w:rsid w:val="00A6114D"/>
    <w:rsid w:val="00A64912"/>
    <w:rsid w:val="00A70A74"/>
    <w:rsid w:val="00A70BB0"/>
    <w:rsid w:val="00A715BC"/>
    <w:rsid w:val="00A74B1A"/>
    <w:rsid w:val="00A74C6C"/>
    <w:rsid w:val="00A755A3"/>
    <w:rsid w:val="00A75886"/>
    <w:rsid w:val="00A75FE9"/>
    <w:rsid w:val="00A8468B"/>
    <w:rsid w:val="00A85EAE"/>
    <w:rsid w:val="00A86983"/>
    <w:rsid w:val="00A971A5"/>
    <w:rsid w:val="00A979B7"/>
    <w:rsid w:val="00AA1B78"/>
    <w:rsid w:val="00AB6ACF"/>
    <w:rsid w:val="00AC1F4D"/>
    <w:rsid w:val="00AD53CC"/>
    <w:rsid w:val="00AD5641"/>
    <w:rsid w:val="00AD7DF0"/>
    <w:rsid w:val="00AE078B"/>
    <w:rsid w:val="00AE1D47"/>
    <w:rsid w:val="00AE46A3"/>
    <w:rsid w:val="00AF0198"/>
    <w:rsid w:val="00AF06CF"/>
    <w:rsid w:val="00AF3B6E"/>
    <w:rsid w:val="00B065B8"/>
    <w:rsid w:val="00B076DC"/>
    <w:rsid w:val="00B07CDB"/>
    <w:rsid w:val="00B15417"/>
    <w:rsid w:val="00B16A31"/>
    <w:rsid w:val="00B17DFD"/>
    <w:rsid w:val="00B25306"/>
    <w:rsid w:val="00B27831"/>
    <w:rsid w:val="00B308FE"/>
    <w:rsid w:val="00B33474"/>
    <w:rsid w:val="00B33709"/>
    <w:rsid w:val="00B33B3C"/>
    <w:rsid w:val="00B36392"/>
    <w:rsid w:val="00B3646A"/>
    <w:rsid w:val="00B418CB"/>
    <w:rsid w:val="00B452BE"/>
    <w:rsid w:val="00B4560B"/>
    <w:rsid w:val="00B45611"/>
    <w:rsid w:val="00B470C0"/>
    <w:rsid w:val="00B47444"/>
    <w:rsid w:val="00B50ADC"/>
    <w:rsid w:val="00B5630E"/>
    <w:rsid w:val="00B566B1"/>
    <w:rsid w:val="00B5734D"/>
    <w:rsid w:val="00B57AA6"/>
    <w:rsid w:val="00B57D90"/>
    <w:rsid w:val="00B63834"/>
    <w:rsid w:val="00B70CEA"/>
    <w:rsid w:val="00B70FFE"/>
    <w:rsid w:val="00B72482"/>
    <w:rsid w:val="00B74ED1"/>
    <w:rsid w:val="00B77707"/>
    <w:rsid w:val="00B80199"/>
    <w:rsid w:val="00B83204"/>
    <w:rsid w:val="00B856E7"/>
    <w:rsid w:val="00B8657E"/>
    <w:rsid w:val="00B90927"/>
    <w:rsid w:val="00B92B93"/>
    <w:rsid w:val="00B9300B"/>
    <w:rsid w:val="00B93EC4"/>
    <w:rsid w:val="00BA01D6"/>
    <w:rsid w:val="00BA220B"/>
    <w:rsid w:val="00BA3A57"/>
    <w:rsid w:val="00BA6E70"/>
    <w:rsid w:val="00BA7A09"/>
    <w:rsid w:val="00BB1533"/>
    <w:rsid w:val="00BB4E1A"/>
    <w:rsid w:val="00BB6028"/>
    <w:rsid w:val="00BC015E"/>
    <w:rsid w:val="00BC2B55"/>
    <w:rsid w:val="00BC76AC"/>
    <w:rsid w:val="00BD0ECB"/>
    <w:rsid w:val="00BD1C3B"/>
    <w:rsid w:val="00BD2BED"/>
    <w:rsid w:val="00BD2F99"/>
    <w:rsid w:val="00BD4A53"/>
    <w:rsid w:val="00BD5E32"/>
    <w:rsid w:val="00BD6A26"/>
    <w:rsid w:val="00BE03FD"/>
    <w:rsid w:val="00BE2155"/>
    <w:rsid w:val="00BE646B"/>
    <w:rsid w:val="00BE719A"/>
    <w:rsid w:val="00BE720A"/>
    <w:rsid w:val="00BF0D73"/>
    <w:rsid w:val="00BF1F56"/>
    <w:rsid w:val="00BF2465"/>
    <w:rsid w:val="00BF6E0E"/>
    <w:rsid w:val="00C040F0"/>
    <w:rsid w:val="00C10722"/>
    <w:rsid w:val="00C10FB3"/>
    <w:rsid w:val="00C12DC1"/>
    <w:rsid w:val="00C15D33"/>
    <w:rsid w:val="00C16619"/>
    <w:rsid w:val="00C24833"/>
    <w:rsid w:val="00C25E7F"/>
    <w:rsid w:val="00C2746F"/>
    <w:rsid w:val="00C3190E"/>
    <w:rsid w:val="00C323D6"/>
    <w:rsid w:val="00C324A0"/>
    <w:rsid w:val="00C33792"/>
    <w:rsid w:val="00C42BF8"/>
    <w:rsid w:val="00C42DA3"/>
    <w:rsid w:val="00C4592C"/>
    <w:rsid w:val="00C46146"/>
    <w:rsid w:val="00C46C9A"/>
    <w:rsid w:val="00C47D86"/>
    <w:rsid w:val="00C50043"/>
    <w:rsid w:val="00C51F25"/>
    <w:rsid w:val="00C53631"/>
    <w:rsid w:val="00C555AD"/>
    <w:rsid w:val="00C66542"/>
    <w:rsid w:val="00C671FD"/>
    <w:rsid w:val="00C7405F"/>
    <w:rsid w:val="00C74540"/>
    <w:rsid w:val="00C7573B"/>
    <w:rsid w:val="00C757F1"/>
    <w:rsid w:val="00C83D51"/>
    <w:rsid w:val="00C96C4F"/>
    <w:rsid w:val="00C97A54"/>
    <w:rsid w:val="00CA400C"/>
    <w:rsid w:val="00CA4B9C"/>
    <w:rsid w:val="00CA5B23"/>
    <w:rsid w:val="00CB070F"/>
    <w:rsid w:val="00CB602E"/>
    <w:rsid w:val="00CB7E90"/>
    <w:rsid w:val="00CC5B88"/>
    <w:rsid w:val="00CC5FEE"/>
    <w:rsid w:val="00CC61E2"/>
    <w:rsid w:val="00CC791F"/>
    <w:rsid w:val="00CD1657"/>
    <w:rsid w:val="00CD1ABD"/>
    <w:rsid w:val="00CE051D"/>
    <w:rsid w:val="00CE0AC1"/>
    <w:rsid w:val="00CE1335"/>
    <w:rsid w:val="00CE163E"/>
    <w:rsid w:val="00CE31C1"/>
    <w:rsid w:val="00CE493D"/>
    <w:rsid w:val="00CE7302"/>
    <w:rsid w:val="00CF07FA"/>
    <w:rsid w:val="00CF0BB2"/>
    <w:rsid w:val="00CF2052"/>
    <w:rsid w:val="00CF3EE8"/>
    <w:rsid w:val="00CF63D8"/>
    <w:rsid w:val="00D013D6"/>
    <w:rsid w:val="00D02A02"/>
    <w:rsid w:val="00D04705"/>
    <w:rsid w:val="00D057B8"/>
    <w:rsid w:val="00D06B30"/>
    <w:rsid w:val="00D11F1F"/>
    <w:rsid w:val="00D1226C"/>
    <w:rsid w:val="00D13441"/>
    <w:rsid w:val="00D150E7"/>
    <w:rsid w:val="00D24A85"/>
    <w:rsid w:val="00D3612C"/>
    <w:rsid w:val="00D37EBD"/>
    <w:rsid w:val="00D431F8"/>
    <w:rsid w:val="00D46842"/>
    <w:rsid w:val="00D52DC2"/>
    <w:rsid w:val="00D53BCC"/>
    <w:rsid w:val="00D5478D"/>
    <w:rsid w:val="00D54C9E"/>
    <w:rsid w:val="00D62DFB"/>
    <w:rsid w:val="00D6537E"/>
    <w:rsid w:val="00D70DFB"/>
    <w:rsid w:val="00D73D95"/>
    <w:rsid w:val="00D766DF"/>
    <w:rsid w:val="00D767F9"/>
    <w:rsid w:val="00D8206C"/>
    <w:rsid w:val="00D87BF0"/>
    <w:rsid w:val="00D91F10"/>
    <w:rsid w:val="00D97E84"/>
    <w:rsid w:val="00DA186E"/>
    <w:rsid w:val="00DA1ECF"/>
    <w:rsid w:val="00DA4116"/>
    <w:rsid w:val="00DA509E"/>
    <w:rsid w:val="00DB0014"/>
    <w:rsid w:val="00DB251C"/>
    <w:rsid w:val="00DB28D7"/>
    <w:rsid w:val="00DB3F22"/>
    <w:rsid w:val="00DB454A"/>
    <w:rsid w:val="00DB4630"/>
    <w:rsid w:val="00DC25E5"/>
    <w:rsid w:val="00DC4F88"/>
    <w:rsid w:val="00DC7423"/>
    <w:rsid w:val="00DD5100"/>
    <w:rsid w:val="00DE107C"/>
    <w:rsid w:val="00DE5AD0"/>
    <w:rsid w:val="00DE5B60"/>
    <w:rsid w:val="00DE6745"/>
    <w:rsid w:val="00DF0D18"/>
    <w:rsid w:val="00DF16E2"/>
    <w:rsid w:val="00DF2388"/>
    <w:rsid w:val="00E018DF"/>
    <w:rsid w:val="00E01E84"/>
    <w:rsid w:val="00E026A5"/>
    <w:rsid w:val="00E05704"/>
    <w:rsid w:val="00E11907"/>
    <w:rsid w:val="00E12ABA"/>
    <w:rsid w:val="00E15A8F"/>
    <w:rsid w:val="00E22DEB"/>
    <w:rsid w:val="00E312C4"/>
    <w:rsid w:val="00E338EF"/>
    <w:rsid w:val="00E3435B"/>
    <w:rsid w:val="00E34535"/>
    <w:rsid w:val="00E41F1B"/>
    <w:rsid w:val="00E45624"/>
    <w:rsid w:val="00E47B90"/>
    <w:rsid w:val="00E50234"/>
    <w:rsid w:val="00E53AA6"/>
    <w:rsid w:val="00E544BB"/>
    <w:rsid w:val="00E548DF"/>
    <w:rsid w:val="00E56456"/>
    <w:rsid w:val="00E5658A"/>
    <w:rsid w:val="00E56711"/>
    <w:rsid w:val="00E67AE3"/>
    <w:rsid w:val="00E7083C"/>
    <w:rsid w:val="00E712F9"/>
    <w:rsid w:val="00E74DC7"/>
    <w:rsid w:val="00E7597D"/>
    <w:rsid w:val="00E800B5"/>
    <w:rsid w:val="00E8075A"/>
    <w:rsid w:val="00E81796"/>
    <w:rsid w:val="00E823D2"/>
    <w:rsid w:val="00E872DA"/>
    <w:rsid w:val="00E9173B"/>
    <w:rsid w:val="00E93D47"/>
    <w:rsid w:val="00E940D8"/>
    <w:rsid w:val="00E94D5E"/>
    <w:rsid w:val="00E950EC"/>
    <w:rsid w:val="00E96910"/>
    <w:rsid w:val="00EA7100"/>
    <w:rsid w:val="00EA74BB"/>
    <w:rsid w:val="00EA7F9F"/>
    <w:rsid w:val="00EB1274"/>
    <w:rsid w:val="00EC2E67"/>
    <w:rsid w:val="00EC58C9"/>
    <w:rsid w:val="00EC5C90"/>
    <w:rsid w:val="00ED0BF3"/>
    <w:rsid w:val="00ED24A3"/>
    <w:rsid w:val="00ED2B6F"/>
    <w:rsid w:val="00ED2BB6"/>
    <w:rsid w:val="00ED34E1"/>
    <w:rsid w:val="00ED3B8D"/>
    <w:rsid w:val="00EE5E36"/>
    <w:rsid w:val="00EF2E3A"/>
    <w:rsid w:val="00EF2F03"/>
    <w:rsid w:val="00EF6112"/>
    <w:rsid w:val="00F01D73"/>
    <w:rsid w:val="00F02C7C"/>
    <w:rsid w:val="00F05FFB"/>
    <w:rsid w:val="00F072A7"/>
    <w:rsid w:val="00F078DC"/>
    <w:rsid w:val="00F11182"/>
    <w:rsid w:val="00F117D2"/>
    <w:rsid w:val="00F13A35"/>
    <w:rsid w:val="00F1557C"/>
    <w:rsid w:val="00F2169F"/>
    <w:rsid w:val="00F32BA8"/>
    <w:rsid w:val="00F32EE0"/>
    <w:rsid w:val="00F349F1"/>
    <w:rsid w:val="00F36CCA"/>
    <w:rsid w:val="00F430CA"/>
    <w:rsid w:val="00F4350D"/>
    <w:rsid w:val="00F45471"/>
    <w:rsid w:val="00F479C4"/>
    <w:rsid w:val="00F52378"/>
    <w:rsid w:val="00F5253A"/>
    <w:rsid w:val="00F55CD5"/>
    <w:rsid w:val="00F567F7"/>
    <w:rsid w:val="00F601A6"/>
    <w:rsid w:val="00F6495F"/>
    <w:rsid w:val="00F660A8"/>
    <w:rsid w:val="00F6696E"/>
    <w:rsid w:val="00F73BD6"/>
    <w:rsid w:val="00F74FF0"/>
    <w:rsid w:val="00F80CC5"/>
    <w:rsid w:val="00F81E7B"/>
    <w:rsid w:val="00F83989"/>
    <w:rsid w:val="00F85099"/>
    <w:rsid w:val="00F90716"/>
    <w:rsid w:val="00F91A56"/>
    <w:rsid w:val="00F92A15"/>
    <w:rsid w:val="00F9379C"/>
    <w:rsid w:val="00F94829"/>
    <w:rsid w:val="00F9632C"/>
    <w:rsid w:val="00F97227"/>
    <w:rsid w:val="00FA0EA5"/>
    <w:rsid w:val="00FA1E52"/>
    <w:rsid w:val="00FA3038"/>
    <w:rsid w:val="00FA3A44"/>
    <w:rsid w:val="00FB2A0E"/>
    <w:rsid w:val="00FB34E5"/>
    <w:rsid w:val="00FB5A08"/>
    <w:rsid w:val="00FB672D"/>
    <w:rsid w:val="00FB6C57"/>
    <w:rsid w:val="00FC20E8"/>
    <w:rsid w:val="00FC6A80"/>
    <w:rsid w:val="00FC76B4"/>
    <w:rsid w:val="00FD33DC"/>
    <w:rsid w:val="00FE05C4"/>
    <w:rsid w:val="00FE0FDF"/>
    <w:rsid w:val="00FE11FD"/>
    <w:rsid w:val="00FE2A86"/>
    <w:rsid w:val="00FE4688"/>
    <w:rsid w:val="00FE686F"/>
    <w:rsid w:val="00FF092B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4C90C"/>
  <w15:docId w15:val="{52C8DB57-575A-468A-A9CB-9631FEC8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613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autoRedefine/>
    <w:qFormat/>
    <w:rsid w:val="00361313"/>
    <w:pPr>
      <w:keepNext/>
      <w:keepLines/>
      <w:pageBreakBefore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uiPriority w:val="99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iPriority w:val="99"/>
    <w:semiHidden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iPriority w:val="99"/>
    <w:semiHidden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93"/>
  </w:style>
  <w:style w:type="paragraph" w:styleId="HTMLAddress">
    <w:name w:val="HTML Address"/>
    <w:basedOn w:val="Normal"/>
    <w:link w:val="HTMLAddressChar"/>
    <w:uiPriority w:val="99"/>
    <w:semiHidden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4493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4493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4493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4493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4493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4493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4493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4493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4493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4493"/>
    <w:pPr>
      <w:contextualSpacing/>
    </w:pPr>
  </w:style>
  <w:style w:type="paragraph" w:styleId="ListParagraph">
    <w:name w:val="List Paragraph"/>
    <w:basedOn w:val="Normal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4493"/>
  </w:style>
  <w:style w:type="paragraph" w:styleId="Title">
    <w:name w:val="Title"/>
    <w:basedOn w:val="Normal"/>
    <w:next w:val="Normal"/>
    <w:link w:val="TitleChar"/>
    <w:uiPriority w:val="10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A57A61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8B1BE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6704"/>
    <w:rPr>
      <w:color w:val="808080"/>
    </w:rPr>
  </w:style>
  <w:style w:type="paragraph" w:customStyle="1" w:styleId="subsectionhead0">
    <w:name w:val="subsectionhead"/>
    <w:basedOn w:val="Normal"/>
    <w:rsid w:val="00F74F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BD2F99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3FD7-9E88-4617-8CAC-3A8511BA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O'Rourke, Michael</dc:creator>
  <cp:lastModifiedBy>Robert, Luke</cp:lastModifiedBy>
  <cp:revision>2</cp:revision>
  <cp:lastPrinted>2019-05-20T01:03:00Z</cp:lastPrinted>
  <dcterms:created xsi:type="dcterms:W3CDTF">2021-05-27T02:42:00Z</dcterms:created>
  <dcterms:modified xsi:type="dcterms:W3CDTF">2021-05-27T02:42:00Z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Template Filename">
    <vt:lpwstr/>
  </property>
  <property fmtid="{D5CDD505-2E9C-101B-9397-08002B2CF9AE}" pid="6" name="WSFooter">
    <vt:lpwstr>31487652</vt:lpwstr>
  </property>
</Properties>
</file>