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CCTable1"/>
        <w:tblW w:w="0" w:type="auto"/>
        <w:tblBorders>
          <w:top w:val="none" w:sz="0" w:space="0" w:color="auto"/>
          <w:bottom w:val="none" w:sz="0" w:space="0" w:color="auto"/>
        </w:tblBorders>
        <w:tblLook w:val="0400" w:firstRow="0" w:lastRow="0" w:firstColumn="0" w:lastColumn="0" w:noHBand="0" w:noVBand="1"/>
      </w:tblPr>
      <w:tblGrid>
        <w:gridCol w:w="9026"/>
      </w:tblGrid>
      <w:tr w:rsidR="00D719C1" w:rsidRPr="00FA0E54" w14:paraId="506A4CE2" w14:textId="77777777" w:rsidTr="00EB1BB4">
        <w:tc>
          <w:tcPr>
            <w:tcW w:w="9242" w:type="dxa"/>
          </w:tcPr>
          <w:p w14:paraId="5E0A7614" w14:textId="77777777" w:rsidR="00D719C1" w:rsidRPr="00D719C1" w:rsidRDefault="00D719C1" w:rsidP="00D719C1">
            <w:pPr>
              <w:spacing w:before="720" w:after="120"/>
              <w:contextualSpacing/>
              <w:jc w:val="center"/>
              <w:outlineLvl w:val="0"/>
              <w:rPr>
                <w:rFonts w:ascii="Palatino Linotype" w:eastAsia="Times New Roman" w:hAnsi="Palatino Linotype" w:cs="Times New Roman"/>
                <w:b/>
                <w:caps/>
                <w:color w:val="410099"/>
                <w:spacing w:val="5"/>
                <w:kern w:val="28"/>
                <w:sz w:val="40"/>
                <w:szCs w:val="40"/>
              </w:rPr>
            </w:pPr>
          </w:p>
          <w:p w14:paraId="5260D081" w14:textId="77777777" w:rsidR="00D719C1" w:rsidRPr="00D719C1" w:rsidRDefault="00D719C1" w:rsidP="00D719C1">
            <w:pPr>
              <w:spacing w:before="720" w:after="120"/>
              <w:contextualSpacing/>
              <w:jc w:val="center"/>
              <w:outlineLvl w:val="0"/>
              <w:rPr>
                <w:rFonts w:ascii="Palatino Linotype" w:eastAsia="Times New Roman" w:hAnsi="Palatino Linotype" w:cs="Times New Roman"/>
                <w:b/>
                <w:caps/>
                <w:color w:val="410099"/>
                <w:spacing w:val="5"/>
                <w:kern w:val="28"/>
                <w:sz w:val="40"/>
                <w:szCs w:val="40"/>
              </w:rPr>
            </w:pPr>
          </w:p>
          <w:p w14:paraId="672BCCA3" w14:textId="77777777" w:rsidR="00D719C1" w:rsidRPr="00D719C1" w:rsidRDefault="00D719C1" w:rsidP="00D719C1">
            <w:pPr>
              <w:spacing w:before="720" w:after="120"/>
              <w:contextualSpacing/>
              <w:jc w:val="center"/>
              <w:outlineLvl w:val="0"/>
              <w:rPr>
                <w:rFonts w:ascii="Palatino Linotype" w:eastAsia="Times New Roman" w:hAnsi="Palatino Linotype" w:cs="Times New Roman"/>
                <w:b/>
                <w:caps/>
                <w:color w:val="410099"/>
                <w:spacing w:val="5"/>
                <w:kern w:val="28"/>
                <w:sz w:val="40"/>
                <w:szCs w:val="40"/>
              </w:rPr>
            </w:pPr>
          </w:p>
          <w:p w14:paraId="16567903" w14:textId="77777777" w:rsidR="00D719C1" w:rsidRPr="00D719C1" w:rsidRDefault="00D719C1" w:rsidP="00D719C1">
            <w:pPr>
              <w:spacing w:before="720" w:after="120"/>
              <w:contextualSpacing/>
              <w:jc w:val="center"/>
              <w:outlineLvl w:val="0"/>
              <w:rPr>
                <w:rFonts w:ascii="Palatino Linotype" w:eastAsia="Times New Roman" w:hAnsi="Palatino Linotype" w:cs="Times New Roman"/>
                <w:b/>
                <w:caps/>
                <w:color w:val="410099"/>
                <w:spacing w:val="5"/>
                <w:kern w:val="28"/>
                <w:sz w:val="40"/>
                <w:szCs w:val="40"/>
              </w:rPr>
            </w:pPr>
          </w:p>
          <w:p w14:paraId="0E6D1BDE" w14:textId="77777777" w:rsidR="00D719C1" w:rsidRPr="00D719C1" w:rsidRDefault="00D719C1" w:rsidP="00D719C1">
            <w:pPr>
              <w:spacing w:before="720" w:after="120"/>
              <w:contextualSpacing/>
              <w:jc w:val="center"/>
              <w:outlineLvl w:val="0"/>
              <w:rPr>
                <w:rFonts w:ascii="Palatino Linotype" w:eastAsia="Times New Roman" w:hAnsi="Palatino Linotype" w:cs="Times New Roman"/>
                <w:b/>
                <w:caps/>
                <w:color w:val="410099"/>
                <w:spacing w:val="5"/>
                <w:kern w:val="28"/>
                <w:sz w:val="40"/>
                <w:szCs w:val="40"/>
              </w:rPr>
            </w:pPr>
          </w:p>
          <w:p w14:paraId="0AD2DAD5" w14:textId="77777777" w:rsidR="00D719C1" w:rsidRPr="00FA0E54" w:rsidRDefault="00D719C1" w:rsidP="00D719C1">
            <w:pPr>
              <w:spacing w:before="240"/>
              <w:outlineLvl w:val="0"/>
              <w:rPr>
                <w:rFonts w:ascii="Palatino Linotype" w:eastAsia="Times New Roman" w:hAnsi="Palatino Linotype" w:cs="Times New Roman"/>
                <w:bCs/>
                <w:color w:val="410099"/>
                <w:sz w:val="56"/>
                <w:szCs w:val="28"/>
              </w:rPr>
            </w:pPr>
            <w:bookmarkStart w:id="0" w:name="_Toc18085540"/>
            <w:r w:rsidRPr="00FA0E54">
              <w:rPr>
                <w:rFonts w:ascii="Palatino Linotype" w:eastAsia="Times New Roman" w:hAnsi="Palatino Linotype" w:cs="Times New Roman"/>
                <w:bCs/>
                <w:color w:val="410099"/>
                <w:sz w:val="56"/>
                <w:szCs w:val="28"/>
              </w:rPr>
              <w:t>Explanatory Statement</w:t>
            </w:r>
            <w:bookmarkEnd w:id="0"/>
            <w:r w:rsidRPr="00FA0E54">
              <w:rPr>
                <w:rFonts w:ascii="Palatino Linotype" w:eastAsia="Times New Roman" w:hAnsi="Palatino Linotype" w:cs="Times New Roman"/>
                <w:bCs/>
                <w:color w:val="410099"/>
                <w:sz w:val="56"/>
                <w:szCs w:val="28"/>
              </w:rPr>
              <w:t xml:space="preserve"> </w:t>
            </w:r>
          </w:p>
          <w:p w14:paraId="5621E648" w14:textId="77777777" w:rsidR="00D719C1" w:rsidRPr="00FA0E54" w:rsidRDefault="00D719C1" w:rsidP="00D719C1">
            <w:pPr>
              <w:rPr>
                <w:rFonts w:eastAsia="Calibri" w:cs="Times New Roman"/>
              </w:rPr>
            </w:pPr>
          </w:p>
          <w:p w14:paraId="16EC41CA" w14:textId="2A37E28F" w:rsidR="0059164C" w:rsidRPr="00FA0E54" w:rsidRDefault="0059164C" w:rsidP="00D719C1">
            <w:pPr>
              <w:spacing w:line="240" w:lineRule="atLeast"/>
              <w:outlineLvl w:val="1"/>
              <w:rPr>
                <w:rFonts w:eastAsia="Times New Roman" w:cs="Times New Roman"/>
                <w:bCs/>
                <w:color w:val="410099"/>
                <w:sz w:val="28"/>
                <w:szCs w:val="26"/>
              </w:rPr>
            </w:pPr>
            <w:bookmarkStart w:id="1" w:name="_Toc18085541"/>
            <w:r w:rsidRPr="00FA0E54">
              <w:rPr>
                <w:rFonts w:eastAsia="Times New Roman" w:cs="Times New Roman"/>
                <w:bCs/>
                <w:color w:val="410099"/>
                <w:sz w:val="28"/>
                <w:szCs w:val="26"/>
              </w:rPr>
              <w:t xml:space="preserve">Competition and Consumer (Class Exemption—Collective Bargaining) Determination </w:t>
            </w:r>
            <w:bookmarkEnd w:id="1"/>
            <w:r w:rsidRPr="00FA0E54">
              <w:rPr>
                <w:rFonts w:eastAsia="Times New Roman" w:cs="Times New Roman"/>
                <w:bCs/>
                <w:color w:val="410099"/>
                <w:sz w:val="28"/>
                <w:szCs w:val="26"/>
              </w:rPr>
              <w:t>2020</w:t>
            </w:r>
          </w:p>
          <w:p w14:paraId="00A4AC0B" w14:textId="77777777" w:rsidR="0059164C" w:rsidRPr="00FA0E54" w:rsidRDefault="0059164C"/>
          <w:p w14:paraId="3AA2848E" w14:textId="77777777" w:rsidR="00D719C1" w:rsidRPr="00FA0E54" w:rsidRDefault="00D719C1" w:rsidP="00D719C1">
            <w:pPr>
              <w:jc w:val="center"/>
              <w:rPr>
                <w:rFonts w:eastAsia="Calibri" w:cs="Times New Roman"/>
                <w:sz w:val="28"/>
                <w:szCs w:val="28"/>
              </w:rPr>
            </w:pPr>
          </w:p>
          <w:p w14:paraId="07C401F3" w14:textId="77777777" w:rsidR="00D719C1" w:rsidRPr="00FA0E54" w:rsidRDefault="00D719C1" w:rsidP="00D719C1">
            <w:pPr>
              <w:rPr>
                <w:rFonts w:eastAsia="Calibri" w:cs="Times New Roman"/>
                <w:b/>
                <w:sz w:val="24"/>
              </w:rPr>
            </w:pPr>
            <w:r w:rsidRPr="00FA0E54">
              <w:rPr>
                <w:rFonts w:eastAsia="Calibri" w:cs="Times New Roman"/>
                <w:b/>
                <w:sz w:val="24"/>
              </w:rPr>
              <w:t>Prepared by the Australian Competition and Consumer Commission</w:t>
            </w:r>
          </w:p>
          <w:p w14:paraId="058B69E6" w14:textId="77777777" w:rsidR="00D719C1" w:rsidRPr="00FA0E54" w:rsidRDefault="00D719C1" w:rsidP="00D719C1">
            <w:pPr>
              <w:jc w:val="center"/>
              <w:rPr>
                <w:rFonts w:ascii="Times New Roman" w:eastAsia="Calibri" w:hAnsi="Times New Roman" w:cs="Times New Roman"/>
                <w:sz w:val="28"/>
                <w:szCs w:val="28"/>
              </w:rPr>
            </w:pPr>
          </w:p>
        </w:tc>
      </w:tr>
    </w:tbl>
    <w:p w14:paraId="393B89E2" w14:textId="77777777" w:rsidR="00127A2D" w:rsidRPr="00FA0E54" w:rsidRDefault="00127A2D">
      <w:pPr>
        <w:rPr>
          <w:rFonts w:ascii="Arial" w:hAnsi="Arial" w:cs="Arial"/>
          <w:b/>
          <w:i/>
          <w:color w:val="000000"/>
          <w:sz w:val="20"/>
        </w:rPr>
      </w:pPr>
      <w:r w:rsidRPr="00FA0E54">
        <w:rPr>
          <w:rFonts w:ascii="Arial" w:hAnsi="Arial" w:cs="Arial"/>
          <w:b/>
          <w:i/>
          <w:color w:val="000000"/>
          <w:sz w:val="20"/>
        </w:rPr>
        <w:br w:type="page"/>
      </w:r>
    </w:p>
    <w:p w14:paraId="60EAD442" w14:textId="004644C1" w:rsidR="0059164C" w:rsidRPr="00FA0E54" w:rsidRDefault="00D719C1">
      <w:bookmarkStart w:id="2" w:name="_Toc18085542"/>
      <w:r w:rsidRPr="00FA0E54">
        <w:rPr>
          <w:rFonts w:ascii="Palatino Linotype" w:eastAsia="Times New Roman" w:hAnsi="Palatino Linotype" w:cs="Times New Roman"/>
          <w:bCs/>
          <w:color w:val="410099"/>
          <w:sz w:val="32"/>
          <w:szCs w:val="28"/>
        </w:rPr>
        <w:lastRenderedPageBreak/>
        <w:t xml:space="preserve">Explanatory Statement – </w:t>
      </w:r>
      <w:bookmarkEnd w:id="2"/>
      <w:r w:rsidRPr="00FA0E54">
        <w:rPr>
          <w:rFonts w:ascii="Palatino Linotype" w:eastAsia="Times New Roman" w:hAnsi="Palatino Linotype" w:cs="Times New Roman"/>
          <w:bCs/>
          <w:color w:val="410099"/>
          <w:sz w:val="32"/>
          <w:szCs w:val="28"/>
        </w:rPr>
        <w:t xml:space="preserve">Competition and Consumer (Class Exemption—Collective Bargaining) Determination </w:t>
      </w:r>
      <w:r w:rsidR="0059164C" w:rsidRPr="00FA0E54">
        <w:rPr>
          <w:rFonts w:ascii="Palatino Linotype" w:eastAsia="Times New Roman" w:hAnsi="Palatino Linotype" w:cs="Times New Roman"/>
          <w:bCs/>
          <w:color w:val="410099"/>
          <w:sz w:val="32"/>
          <w:szCs w:val="28"/>
        </w:rPr>
        <w:t>2020</w:t>
      </w:r>
    </w:p>
    <w:p w14:paraId="5D38CF9B" w14:textId="1CB7065B" w:rsidR="00D719C1" w:rsidRPr="00FA0E54" w:rsidRDefault="00D719C1" w:rsidP="005109C8">
      <w:pPr>
        <w:rPr>
          <w:rFonts w:ascii="Arial" w:hAnsi="Arial" w:cs="Arial"/>
          <w:b/>
        </w:rPr>
      </w:pPr>
    </w:p>
    <w:p w14:paraId="02D5D2A6" w14:textId="6ED43F9D" w:rsidR="00F267F5" w:rsidRPr="00FA0E54" w:rsidRDefault="00F267F5" w:rsidP="00F267F5">
      <w:pPr>
        <w:spacing w:before="200" w:after="0" w:line="240" w:lineRule="atLeast"/>
        <w:outlineLvl w:val="1"/>
        <w:rPr>
          <w:rFonts w:ascii="Arial" w:eastAsia="Times New Roman" w:hAnsi="Arial" w:cs="Times New Roman"/>
          <w:bCs/>
          <w:color w:val="410099"/>
          <w:sz w:val="28"/>
          <w:szCs w:val="26"/>
        </w:rPr>
      </w:pPr>
      <w:r w:rsidRPr="00FA0E54">
        <w:rPr>
          <w:rFonts w:ascii="Arial" w:eastAsia="Times New Roman" w:hAnsi="Arial" w:cs="Times New Roman"/>
          <w:bCs/>
          <w:color w:val="410099"/>
          <w:sz w:val="28"/>
          <w:szCs w:val="26"/>
        </w:rPr>
        <w:t xml:space="preserve">Authority </w:t>
      </w:r>
    </w:p>
    <w:p w14:paraId="4FD26226" w14:textId="22C841FC" w:rsidR="008E493B" w:rsidRPr="00FA0E54" w:rsidRDefault="004C537C" w:rsidP="006E53B6">
      <w:pPr>
        <w:pStyle w:val="ListParagraph"/>
        <w:numPr>
          <w:ilvl w:val="0"/>
          <w:numId w:val="11"/>
        </w:numPr>
        <w:tabs>
          <w:tab w:val="clear" w:pos="340"/>
          <w:tab w:val="left" w:pos="567"/>
        </w:tabs>
        <w:ind w:left="567" w:hanging="567"/>
      </w:pPr>
      <w:r w:rsidRPr="00FA0E54">
        <w:rPr>
          <w:rFonts w:cs="Arial"/>
        </w:rPr>
        <w:t xml:space="preserve">This </w:t>
      </w:r>
      <w:r w:rsidRPr="00FA0E54">
        <w:rPr>
          <w:rFonts w:cs="Arial"/>
          <w:i/>
        </w:rPr>
        <w:t xml:space="preserve">Competition and Consumer (Class Exemption—Collective Bargaining) Determination 2020 </w:t>
      </w:r>
      <w:r w:rsidRPr="00FA0E54">
        <w:rPr>
          <w:rFonts w:cs="Arial"/>
        </w:rPr>
        <w:t xml:space="preserve">(the </w:t>
      </w:r>
      <w:r w:rsidRPr="00FA0E54">
        <w:rPr>
          <w:rFonts w:cs="Arial"/>
          <w:b/>
        </w:rPr>
        <w:t>Determination</w:t>
      </w:r>
      <w:r w:rsidRPr="00FA0E54">
        <w:rPr>
          <w:rFonts w:cs="Arial"/>
        </w:rPr>
        <w:t xml:space="preserve">) is made under section 95AA of the </w:t>
      </w:r>
      <w:r w:rsidRPr="00FA0E54">
        <w:rPr>
          <w:rFonts w:cs="Arial"/>
          <w:i/>
        </w:rPr>
        <w:t xml:space="preserve">Competition and Consumer Act 2010 </w:t>
      </w:r>
      <w:r w:rsidRPr="00FA0E54">
        <w:rPr>
          <w:rFonts w:cs="Arial"/>
        </w:rPr>
        <w:t>(Cth)</w:t>
      </w:r>
      <w:r w:rsidRPr="00FA0E54">
        <w:rPr>
          <w:rFonts w:cs="Arial"/>
          <w:i/>
        </w:rPr>
        <w:t xml:space="preserve"> </w:t>
      </w:r>
      <w:r w:rsidRPr="00FA0E54">
        <w:rPr>
          <w:rFonts w:cs="Arial"/>
        </w:rPr>
        <w:t xml:space="preserve">(the </w:t>
      </w:r>
      <w:r w:rsidRPr="00FA0E54">
        <w:rPr>
          <w:rFonts w:cs="Arial"/>
          <w:b/>
        </w:rPr>
        <w:t>CCA</w:t>
      </w:r>
      <w:r w:rsidRPr="00FA0E54">
        <w:rPr>
          <w:rFonts w:cs="Arial"/>
        </w:rPr>
        <w:t>)</w:t>
      </w:r>
      <w:r w:rsidR="003A75DC" w:rsidRPr="00FA0E54">
        <w:t>, as well as under section 95AA of the Competition Code</w:t>
      </w:r>
      <w:r w:rsidRPr="00FA0E54">
        <w:rPr>
          <w:rFonts w:cs="Arial"/>
        </w:rPr>
        <w:t xml:space="preserve">. </w:t>
      </w:r>
    </w:p>
    <w:p w14:paraId="175762C4" w14:textId="123D2C1F" w:rsidR="00C311A1" w:rsidRPr="00FA0E54" w:rsidRDefault="00C311A1" w:rsidP="006E53B6">
      <w:pPr>
        <w:pStyle w:val="ListParagraph"/>
        <w:numPr>
          <w:ilvl w:val="0"/>
          <w:numId w:val="11"/>
        </w:numPr>
        <w:tabs>
          <w:tab w:val="clear" w:pos="340"/>
          <w:tab w:val="left" w:pos="567"/>
        </w:tabs>
        <w:ind w:left="567" w:hanging="567"/>
      </w:pPr>
      <w:r w:rsidRPr="00FA0E54">
        <w:rPr>
          <w:rFonts w:cs="Arial"/>
        </w:rPr>
        <w:t xml:space="preserve">Section 95AA(1) of the </w:t>
      </w:r>
      <w:r w:rsidR="0003513F" w:rsidRPr="00FA0E54">
        <w:rPr>
          <w:rFonts w:cs="Arial"/>
        </w:rPr>
        <w:t>CCA</w:t>
      </w:r>
      <w:r w:rsidRPr="00FA0E54">
        <w:rPr>
          <w:rFonts w:cs="Arial"/>
        </w:rPr>
        <w:t xml:space="preserve"> provides that the Australian Competition and Consumer Commission (</w:t>
      </w:r>
      <w:r w:rsidRPr="00FA0E54">
        <w:rPr>
          <w:rFonts w:cs="Arial"/>
          <w:b/>
        </w:rPr>
        <w:t>ACCC</w:t>
      </w:r>
      <w:r w:rsidRPr="00FA0E54">
        <w:rPr>
          <w:rFonts w:cs="Arial"/>
        </w:rPr>
        <w:t xml:space="preserve">) may, by legislative instrument, determine a class exemption from specified </w:t>
      </w:r>
      <w:r w:rsidR="001C2475" w:rsidRPr="00FA0E54">
        <w:rPr>
          <w:rFonts w:cs="Arial"/>
        </w:rPr>
        <w:t xml:space="preserve">competition </w:t>
      </w:r>
      <w:r w:rsidRPr="00FA0E54">
        <w:rPr>
          <w:rFonts w:cs="Arial"/>
        </w:rPr>
        <w:t xml:space="preserve">provisions of Part IV if satisfied in all the circumstances that conduct of the kind specified in the determination: </w:t>
      </w:r>
    </w:p>
    <w:p w14:paraId="518F65E1" w14:textId="0C1E5FF9" w:rsidR="00A03D59" w:rsidRPr="00FA0E54" w:rsidRDefault="00C311A1" w:rsidP="006E53B6">
      <w:pPr>
        <w:pStyle w:val="Normalparagraph"/>
        <w:numPr>
          <w:ilvl w:val="0"/>
          <w:numId w:val="5"/>
        </w:numPr>
        <w:tabs>
          <w:tab w:val="left" w:pos="709"/>
        </w:tabs>
        <w:autoSpaceDE w:val="0"/>
        <w:autoSpaceDN w:val="0"/>
        <w:adjustRightInd w:val="0"/>
        <w:spacing w:before="120" w:after="120"/>
        <w:ind w:left="1418" w:hanging="357"/>
        <w:rPr>
          <w:rFonts w:cs="Arial"/>
        </w:rPr>
      </w:pPr>
      <w:r w:rsidRPr="00FA0E54">
        <w:rPr>
          <w:rFonts w:cs="Arial"/>
        </w:rPr>
        <w:t>would not have the effect, or would not be likely to have the effect, of substantially lessening com</w:t>
      </w:r>
      <w:r w:rsidR="00A03D59" w:rsidRPr="00FA0E54">
        <w:rPr>
          <w:rFonts w:cs="Arial"/>
        </w:rPr>
        <w:t xml:space="preserve">petition, </w:t>
      </w:r>
      <w:r w:rsidR="00A03D59" w:rsidRPr="00FA0E54">
        <w:rPr>
          <w:rFonts w:cs="Arial"/>
          <w:i/>
        </w:rPr>
        <w:t xml:space="preserve">or </w:t>
      </w:r>
    </w:p>
    <w:p w14:paraId="5D2CE76B" w14:textId="7C870704" w:rsidR="00D81C38" w:rsidRPr="00FA0E54" w:rsidRDefault="00A03D59" w:rsidP="006E53B6">
      <w:pPr>
        <w:pStyle w:val="Normalparagraph"/>
        <w:numPr>
          <w:ilvl w:val="0"/>
          <w:numId w:val="5"/>
        </w:numPr>
        <w:tabs>
          <w:tab w:val="left" w:pos="709"/>
        </w:tabs>
        <w:autoSpaceDE w:val="0"/>
        <w:autoSpaceDN w:val="0"/>
        <w:adjustRightInd w:val="0"/>
        <w:spacing w:before="120" w:after="120"/>
        <w:ind w:left="1418" w:hanging="357"/>
        <w:rPr>
          <w:rFonts w:cs="Arial"/>
        </w:rPr>
      </w:pPr>
      <w:r w:rsidRPr="00FA0E54">
        <w:rPr>
          <w:rFonts w:cs="Arial"/>
        </w:rPr>
        <w:t xml:space="preserve">would result, or would be likely to </w:t>
      </w:r>
      <w:r w:rsidR="00D81C38" w:rsidRPr="00FA0E54">
        <w:rPr>
          <w:rFonts w:cs="Arial"/>
        </w:rPr>
        <w:t>result, in a net public benefit.</w:t>
      </w:r>
      <w:r w:rsidR="00D81C38" w:rsidRPr="00FA0E54">
        <w:rPr>
          <w:rStyle w:val="FootnoteReference"/>
          <w:rFonts w:cs="Arial"/>
        </w:rPr>
        <w:footnoteReference w:id="1"/>
      </w:r>
    </w:p>
    <w:p w14:paraId="5B59BBEE" w14:textId="77777777" w:rsidR="009477EA" w:rsidRPr="00FA0E54" w:rsidRDefault="00896B3E" w:rsidP="006E53B6">
      <w:pPr>
        <w:pStyle w:val="ListParagraph"/>
        <w:numPr>
          <w:ilvl w:val="0"/>
          <w:numId w:val="11"/>
        </w:numPr>
        <w:tabs>
          <w:tab w:val="clear" w:pos="340"/>
          <w:tab w:val="left" w:pos="567"/>
        </w:tabs>
        <w:ind w:left="567" w:hanging="567"/>
        <w:rPr>
          <w:rFonts w:cs="Arial"/>
        </w:rPr>
      </w:pPr>
      <w:r w:rsidRPr="00FA0E54">
        <w:rPr>
          <w:rFonts w:cs="Arial"/>
        </w:rPr>
        <w:t>The ACCC is satisfied that the kind of conduct specified in the Determination</w:t>
      </w:r>
      <w:r w:rsidR="009477EA" w:rsidRPr="00FA0E54">
        <w:rPr>
          <w:rFonts w:cs="Arial"/>
        </w:rPr>
        <w:t>:</w:t>
      </w:r>
    </w:p>
    <w:p w14:paraId="2B325911" w14:textId="4772A738" w:rsidR="009477EA" w:rsidRPr="00FA0E54" w:rsidRDefault="00896B3E" w:rsidP="006E53B6">
      <w:pPr>
        <w:pStyle w:val="ListParagraph"/>
        <w:numPr>
          <w:ilvl w:val="0"/>
          <w:numId w:val="41"/>
        </w:numPr>
        <w:tabs>
          <w:tab w:val="clear" w:pos="340"/>
          <w:tab w:val="left" w:pos="567"/>
        </w:tabs>
        <w:rPr>
          <w:rFonts w:cs="Arial"/>
        </w:rPr>
      </w:pPr>
      <w:r w:rsidRPr="00FA0E54">
        <w:rPr>
          <w:rFonts w:cs="Arial"/>
        </w:rPr>
        <w:t>would not have the effect, or would not be likely to have the effect, of substantially lessening competition</w:t>
      </w:r>
      <w:r w:rsidR="009477EA" w:rsidRPr="00FA0E54">
        <w:rPr>
          <w:rFonts w:cs="Arial"/>
        </w:rPr>
        <w:t xml:space="preserve">, and </w:t>
      </w:r>
    </w:p>
    <w:p w14:paraId="336EB1B2" w14:textId="3606415D" w:rsidR="00896B3E" w:rsidRPr="00FA0E54" w:rsidRDefault="009477EA" w:rsidP="006E53B6">
      <w:pPr>
        <w:pStyle w:val="ListParagraph"/>
        <w:numPr>
          <w:ilvl w:val="0"/>
          <w:numId w:val="41"/>
        </w:numPr>
        <w:tabs>
          <w:tab w:val="clear" w:pos="340"/>
          <w:tab w:val="left" w:pos="567"/>
        </w:tabs>
        <w:rPr>
          <w:rFonts w:cs="Arial"/>
        </w:rPr>
      </w:pPr>
      <w:r w:rsidRPr="00FA0E54">
        <w:rPr>
          <w:rFonts w:cs="Arial"/>
        </w:rPr>
        <w:t>would result, or would be likely to result, in a net public benefit.</w:t>
      </w:r>
    </w:p>
    <w:p w14:paraId="702EA083" w14:textId="77777777" w:rsidR="008E493B" w:rsidRPr="00FA0E54" w:rsidRDefault="00D81C38" w:rsidP="006E53B6">
      <w:pPr>
        <w:pStyle w:val="ListParagraph"/>
        <w:numPr>
          <w:ilvl w:val="0"/>
          <w:numId w:val="11"/>
        </w:numPr>
        <w:tabs>
          <w:tab w:val="clear" w:pos="340"/>
          <w:tab w:val="left" w:pos="567"/>
        </w:tabs>
        <w:ind w:left="567" w:hanging="567"/>
        <w:rPr>
          <w:rFonts w:cs="Arial"/>
        </w:rPr>
      </w:pPr>
      <w:r w:rsidRPr="00FA0E54">
        <w:rPr>
          <w:rFonts w:cs="Arial"/>
        </w:rPr>
        <w:t>In making a class exemption, the ACCC may specify one or more of the following limitations:</w:t>
      </w:r>
    </w:p>
    <w:p w14:paraId="5B7B402C" w14:textId="77777777" w:rsidR="008E493B" w:rsidRPr="00FA0E54" w:rsidRDefault="008E493B" w:rsidP="006E53B6">
      <w:pPr>
        <w:pStyle w:val="Normalparagraph"/>
        <w:numPr>
          <w:ilvl w:val="0"/>
          <w:numId w:val="5"/>
        </w:numPr>
        <w:tabs>
          <w:tab w:val="left" w:pos="709"/>
        </w:tabs>
        <w:autoSpaceDE w:val="0"/>
        <w:autoSpaceDN w:val="0"/>
        <w:adjustRightInd w:val="0"/>
        <w:spacing w:before="120" w:after="120"/>
        <w:ind w:left="1418" w:hanging="357"/>
      </w:pPr>
      <w:r w:rsidRPr="00FA0E54">
        <w:t>a limitation to persons of a specified kind</w:t>
      </w:r>
    </w:p>
    <w:p w14:paraId="2259AF5A" w14:textId="77777777" w:rsidR="008E493B" w:rsidRPr="00FA0E54" w:rsidRDefault="008E493B" w:rsidP="006E53B6">
      <w:pPr>
        <w:pStyle w:val="Normalparagraph"/>
        <w:numPr>
          <w:ilvl w:val="0"/>
          <w:numId w:val="5"/>
        </w:numPr>
        <w:tabs>
          <w:tab w:val="left" w:pos="709"/>
        </w:tabs>
        <w:autoSpaceDE w:val="0"/>
        <w:autoSpaceDN w:val="0"/>
        <w:adjustRightInd w:val="0"/>
        <w:spacing w:before="120" w:after="120"/>
        <w:ind w:left="1418" w:hanging="357"/>
      </w:pPr>
      <w:r w:rsidRPr="00FA0E54">
        <w:t>a limitation to circumstances of a specified kind</w:t>
      </w:r>
    </w:p>
    <w:p w14:paraId="65A8E197" w14:textId="77777777" w:rsidR="008E493B" w:rsidRPr="00FA0E54" w:rsidRDefault="008E493B" w:rsidP="006E53B6">
      <w:pPr>
        <w:pStyle w:val="Normalparagraph"/>
        <w:numPr>
          <w:ilvl w:val="0"/>
          <w:numId w:val="5"/>
        </w:numPr>
        <w:tabs>
          <w:tab w:val="left" w:pos="709"/>
        </w:tabs>
        <w:autoSpaceDE w:val="0"/>
        <w:autoSpaceDN w:val="0"/>
        <w:adjustRightInd w:val="0"/>
        <w:spacing w:before="120" w:after="120"/>
        <w:ind w:left="1418" w:hanging="357"/>
      </w:pPr>
      <w:r w:rsidRPr="00FA0E54">
        <w:t>a limitation to conduct that complies with specified conditions.</w:t>
      </w:r>
      <w:r w:rsidRPr="00FA0E54">
        <w:rPr>
          <w:rStyle w:val="FootnoteReference"/>
        </w:rPr>
        <w:footnoteReference w:id="2"/>
      </w:r>
    </w:p>
    <w:p w14:paraId="2BB89C1D" w14:textId="0F2455E3" w:rsidR="00AC21BE" w:rsidRPr="00FA0E54" w:rsidRDefault="00C311A1" w:rsidP="006E53B6">
      <w:pPr>
        <w:pStyle w:val="ListParagraph"/>
        <w:numPr>
          <w:ilvl w:val="0"/>
          <w:numId w:val="11"/>
        </w:numPr>
        <w:tabs>
          <w:tab w:val="clear" w:pos="340"/>
          <w:tab w:val="left" w:pos="567"/>
        </w:tabs>
        <w:ind w:left="567" w:hanging="567"/>
        <w:rPr>
          <w:rFonts w:cs="Arial"/>
        </w:rPr>
      </w:pPr>
      <w:r w:rsidRPr="00FA0E54">
        <w:t xml:space="preserve">The ACCC must specify the period a class exemption is in force, which </w:t>
      </w:r>
      <w:r w:rsidR="00194773" w:rsidRPr="00FA0E54">
        <w:t>can</w:t>
      </w:r>
      <w:r w:rsidRPr="00FA0E54">
        <w:t xml:space="preserve"> be </w:t>
      </w:r>
      <w:r w:rsidR="00194773" w:rsidRPr="00FA0E54">
        <w:t xml:space="preserve">for </w:t>
      </w:r>
      <w:r w:rsidRPr="00FA0E54">
        <w:t>a maximum of 10 years</w:t>
      </w:r>
      <w:r w:rsidR="00D46A87" w:rsidRPr="00FA0E54">
        <w:t>.</w:t>
      </w:r>
      <w:r w:rsidRPr="00FA0E54">
        <w:rPr>
          <w:vertAlign w:val="superscript"/>
        </w:rPr>
        <w:footnoteReference w:id="3"/>
      </w:r>
      <w:r w:rsidR="00194773" w:rsidRPr="00FA0E54">
        <w:t xml:space="preserve"> </w:t>
      </w:r>
      <w:r w:rsidR="00D46A87" w:rsidRPr="00FA0E54">
        <w:t>T</w:t>
      </w:r>
      <w:r w:rsidR="00194773" w:rsidRPr="00FA0E54">
        <w:t>he ACCC can re-make a determination</w:t>
      </w:r>
      <w:r w:rsidR="00D46A87" w:rsidRPr="00FA0E54">
        <w:t xml:space="preserve"> at any time, including prior to </w:t>
      </w:r>
      <w:r w:rsidR="00445F5F" w:rsidRPr="00FA0E54">
        <w:t xml:space="preserve">the </w:t>
      </w:r>
      <w:r w:rsidR="00194773" w:rsidRPr="00FA0E54">
        <w:t xml:space="preserve">period </w:t>
      </w:r>
      <w:r w:rsidR="00445F5F" w:rsidRPr="00FA0E54">
        <w:t xml:space="preserve">for which </w:t>
      </w:r>
      <w:r w:rsidR="00D46A87" w:rsidRPr="00FA0E54">
        <w:t xml:space="preserve">an existing class exemption </w:t>
      </w:r>
      <w:r w:rsidR="00445F5F" w:rsidRPr="00FA0E54">
        <w:t>is in force has elapsed</w:t>
      </w:r>
      <w:r w:rsidR="00194773" w:rsidRPr="00FA0E54">
        <w:t>.</w:t>
      </w:r>
      <w:r w:rsidR="00D46A87" w:rsidRPr="00FA0E54">
        <w:t xml:space="preserve"> This would, in effect, extend the period for which the class exemption is in force.</w:t>
      </w:r>
      <w:r w:rsidR="00194773" w:rsidRPr="00FA0E54">
        <w:t xml:space="preserve"> </w:t>
      </w:r>
      <w:r w:rsidRPr="00FA0E54">
        <w:t xml:space="preserve"> </w:t>
      </w:r>
    </w:p>
    <w:p w14:paraId="646F8535" w14:textId="345B7287" w:rsidR="00502971" w:rsidRPr="00FA0E54" w:rsidRDefault="006E53B6" w:rsidP="006E53B6">
      <w:pPr>
        <w:spacing w:before="200" w:after="0" w:line="240" w:lineRule="atLeast"/>
        <w:outlineLvl w:val="1"/>
        <w:rPr>
          <w:rFonts w:ascii="Arial" w:eastAsia="Times New Roman" w:hAnsi="Arial" w:cs="Times New Roman"/>
          <w:bCs/>
          <w:color w:val="410099"/>
          <w:sz w:val="28"/>
          <w:szCs w:val="26"/>
        </w:rPr>
      </w:pPr>
      <w:r w:rsidRPr="00FA0E54">
        <w:rPr>
          <w:rFonts w:ascii="Arial" w:eastAsia="Times New Roman" w:hAnsi="Arial" w:cs="Times New Roman"/>
          <w:bCs/>
          <w:color w:val="410099"/>
          <w:sz w:val="28"/>
          <w:szCs w:val="26"/>
        </w:rPr>
        <w:t xml:space="preserve">Background </w:t>
      </w:r>
    </w:p>
    <w:p w14:paraId="054DD313" w14:textId="15178BD1" w:rsidR="00400FA4" w:rsidRPr="00FA0E54" w:rsidRDefault="006314D8" w:rsidP="008E493B">
      <w:pPr>
        <w:pStyle w:val="ListParagraph"/>
        <w:numPr>
          <w:ilvl w:val="0"/>
          <w:numId w:val="11"/>
        </w:numPr>
        <w:tabs>
          <w:tab w:val="clear" w:pos="340"/>
          <w:tab w:val="left" w:pos="567"/>
        </w:tabs>
        <w:ind w:left="567" w:hanging="567"/>
        <w:rPr>
          <w:rFonts w:cs="Arial"/>
        </w:rPr>
      </w:pPr>
      <w:r w:rsidRPr="00FA0E54">
        <w:rPr>
          <w:rFonts w:eastAsia="Calibri" w:cs="Arial"/>
        </w:rPr>
        <w:t>Broadly, t</w:t>
      </w:r>
      <w:r w:rsidR="00F12115" w:rsidRPr="00FA0E54">
        <w:rPr>
          <w:rFonts w:eastAsia="Calibri" w:cs="Arial"/>
        </w:rPr>
        <w:t xml:space="preserve">he class exemption for collective bargaining </w:t>
      </w:r>
      <w:r w:rsidR="00C85279" w:rsidRPr="00FA0E54">
        <w:rPr>
          <w:rFonts w:eastAsia="Calibri" w:cs="Arial"/>
        </w:rPr>
        <w:t xml:space="preserve">provides a competition law exemption to </w:t>
      </w:r>
      <w:r w:rsidR="000D3706" w:rsidRPr="00FA0E54">
        <w:rPr>
          <w:rFonts w:eastAsia="Calibri" w:cs="Arial"/>
        </w:rPr>
        <w:t>small businesses</w:t>
      </w:r>
      <w:r w:rsidR="00F12115" w:rsidRPr="00FA0E54">
        <w:rPr>
          <w:rFonts w:eastAsia="Calibri" w:cs="Arial"/>
        </w:rPr>
        <w:t xml:space="preserve"> who want to collective</w:t>
      </w:r>
      <w:r w:rsidR="00C85279" w:rsidRPr="00FA0E54">
        <w:rPr>
          <w:rFonts w:eastAsia="Calibri" w:cs="Arial"/>
        </w:rPr>
        <w:t>ly</w:t>
      </w:r>
      <w:r w:rsidR="00F12115" w:rsidRPr="00FA0E54">
        <w:rPr>
          <w:rFonts w:eastAsia="Calibri" w:cs="Arial"/>
        </w:rPr>
        <w:t xml:space="preserve"> bargain </w:t>
      </w:r>
      <w:r w:rsidRPr="00FA0E54">
        <w:rPr>
          <w:rFonts w:eastAsia="Calibri" w:cs="Arial"/>
        </w:rPr>
        <w:t>with a target</w:t>
      </w:r>
      <w:r w:rsidR="00C85279" w:rsidRPr="00FA0E54">
        <w:rPr>
          <w:rFonts w:eastAsia="Calibri" w:cs="Arial"/>
        </w:rPr>
        <w:t xml:space="preserve"> supplier</w:t>
      </w:r>
      <w:r w:rsidRPr="00FA0E54">
        <w:rPr>
          <w:rFonts w:eastAsia="Calibri" w:cs="Arial"/>
        </w:rPr>
        <w:t xml:space="preserve"> </w:t>
      </w:r>
      <w:r w:rsidR="00FF6972" w:rsidRPr="00FA0E54">
        <w:rPr>
          <w:rFonts w:eastAsia="Calibri" w:cs="Arial"/>
        </w:rPr>
        <w:t xml:space="preserve">or customer </w:t>
      </w:r>
      <w:r w:rsidR="00171C69" w:rsidRPr="00FA0E54">
        <w:rPr>
          <w:rFonts w:eastAsia="Calibri" w:cs="Arial"/>
        </w:rPr>
        <w:t>without</w:t>
      </w:r>
      <w:r w:rsidR="00F12115" w:rsidRPr="00FA0E54">
        <w:rPr>
          <w:rFonts w:eastAsia="Calibri" w:cs="Arial"/>
        </w:rPr>
        <w:t xml:space="preserve"> apply</w:t>
      </w:r>
      <w:r w:rsidR="00C85279" w:rsidRPr="00FA0E54">
        <w:rPr>
          <w:rFonts w:eastAsia="Calibri" w:cs="Arial"/>
        </w:rPr>
        <w:t xml:space="preserve">ing </w:t>
      </w:r>
      <w:r w:rsidR="00F12115" w:rsidRPr="00FA0E54">
        <w:rPr>
          <w:rFonts w:eastAsia="Calibri" w:cs="Arial"/>
        </w:rPr>
        <w:t xml:space="preserve">to the ACCC </w:t>
      </w:r>
      <w:r w:rsidR="00C85279" w:rsidRPr="00FA0E54">
        <w:rPr>
          <w:rFonts w:eastAsia="Calibri" w:cs="Arial"/>
        </w:rPr>
        <w:t xml:space="preserve">for a specific exemption </w:t>
      </w:r>
      <w:r w:rsidR="008D281A" w:rsidRPr="00FA0E54">
        <w:rPr>
          <w:rFonts w:eastAsia="Calibri" w:cs="Arial"/>
        </w:rPr>
        <w:t xml:space="preserve">using </w:t>
      </w:r>
      <w:r w:rsidR="000D3706" w:rsidRPr="00FA0E54">
        <w:rPr>
          <w:rFonts w:eastAsia="Calibri" w:cs="Arial"/>
        </w:rPr>
        <w:t xml:space="preserve">the </w:t>
      </w:r>
      <w:r w:rsidR="004B0B8F" w:rsidRPr="00FA0E54">
        <w:rPr>
          <w:rFonts w:eastAsia="Calibri" w:cs="Arial"/>
        </w:rPr>
        <w:t>‘</w:t>
      </w:r>
      <w:hyperlink r:id="rId8" w:history="1">
        <w:r w:rsidR="004B0B8F" w:rsidRPr="00FA0E54">
          <w:rPr>
            <w:rStyle w:val="Hyperlink"/>
            <w:rFonts w:eastAsia="Calibri" w:cs="Arial"/>
          </w:rPr>
          <w:t>authorisation</w:t>
        </w:r>
      </w:hyperlink>
      <w:r w:rsidR="004B0B8F" w:rsidRPr="00FA0E54">
        <w:rPr>
          <w:rFonts w:eastAsia="Calibri" w:cs="Arial"/>
        </w:rPr>
        <w:t xml:space="preserve">’ </w:t>
      </w:r>
      <w:r w:rsidR="00D46A87" w:rsidRPr="00FA0E54">
        <w:rPr>
          <w:rFonts w:eastAsia="Calibri" w:cs="Arial"/>
        </w:rPr>
        <w:t>or</w:t>
      </w:r>
      <w:r w:rsidR="004B0B8F" w:rsidRPr="00FA0E54">
        <w:rPr>
          <w:rFonts w:eastAsia="Calibri" w:cs="Arial"/>
        </w:rPr>
        <w:t xml:space="preserve"> ‘</w:t>
      </w:r>
      <w:hyperlink r:id="rId9" w:history="1">
        <w:r w:rsidR="004B0B8F" w:rsidRPr="00FA0E54">
          <w:rPr>
            <w:rStyle w:val="Hyperlink"/>
            <w:rFonts w:eastAsia="Calibri" w:cs="Arial"/>
          </w:rPr>
          <w:t>notification</w:t>
        </w:r>
      </w:hyperlink>
      <w:r w:rsidR="004B0B8F" w:rsidRPr="00FA0E54">
        <w:rPr>
          <w:rFonts w:eastAsia="Calibri" w:cs="Arial"/>
        </w:rPr>
        <w:t>’</w:t>
      </w:r>
      <w:r w:rsidR="00D46A87" w:rsidRPr="00FA0E54">
        <w:rPr>
          <w:rFonts w:eastAsia="Calibri" w:cs="Arial"/>
        </w:rPr>
        <w:t xml:space="preserve"> processes</w:t>
      </w:r>
      <w:r w:rsidR="00F12115" w:rsidRPr="00FA0E54">
        <w:rPr>
          <w:rFonts w:eastAsia="Calibri" w:cs="Arial"/>
        </w:rPr>
        <w:t xml:space="preserve">. </w:t>
      </w:r>
    </w:p>
    <w:p w14:paraId="2E9831A9" w14:textId="16E90ABE" w:rsidR="00F12115" w:rsidRPr="00FA0E54" w:rsidRDefault="00F12115" w:rsidP="008E493B">
      <w:pPr>
        <w:pStyle w:val="ListParagraph"/>
        <w:numPr>
          <w:ilvl w:val="0"/>
          <w:numId w:val="11"/>
        </w:numPr>
        <w:tabs>
          <w:tab w:val="clear" w:pos="340"/>
          <w:tab w:val="left" w:pos="993"/>
        </w:tabs>
        <w:ind w:left="567" w:hanging="567"/>
        <w:rPr>
          <w:rFonts w:cs="Arial"/>
        </w:rPr>
      </w:pPr>
      <w:r w:rsidRPr="00FA0E54">
        <w:rPr>
          <w:rFonts w:eastAsia="Calibri" w:cs="Arial"/>
        </w:rPr>
        <w:t xml:space="preserve">The </w:t>
      </w:r>
      <w:r w:rsidR="00B868BD" w:rsidRPr="00FA0E54">
        <w:rPr>
          <w:rFonts w:eastAsia="Calibri" w:cs="Arial"/>
        </w:rPr>
        <w:t xml:space="preserve">class </w:t>
      </w:r>
      <w:r w:rsidRPr="00FA0E54">
        <w:rPr>
          <w:rFonts w:eastAsia="Calibri" w:cs="Arial"/>
        </w:rPr>
        <w:t>exemption applies to:</w:t>
      </w:r>
    </w:p>
    <w:p w14:paraId="1FB5D97E" w14:textId="12B4B497" w:rsidR="00F12115" w:rsidRPr="00FA0E54" w:rsidRDefault="00F12115" w:rsidP="004939FA">
      <w:pPr>
        <w:pStyle w:val="ListParagraph"/>
        <w:numPr>
          <w:ilvl w:val="0"/>
          <w:numId w:val="7"/>
        </w:numPr>
        <w:rPr>
          <w:rFonts w:cs="Arial"/>
        </w:rPr>
      </w:pPr>
      <w:r w:rsidRPr="00FA0E54">
        <w:rPr>
          <w:rFonts w:eastAsia="Calibri" w:cs="Arial"/>
        </w:rPr>
        <w:t>businesses with less</w:t>
      </w:r>
      <w:r w:rsidRPr="00FA0E54">
        <w:rPr>
          <w:rFonts w:cs="Arial"/>
        </w:rPr>
        <w:t xml:space="preserve"> than $10 million aggregated annual turnover in the financial year</w:t>
      </w:r>
      <w:r w:rsidR="00207EA5" w:rsidRPr="00FA0E54">
        <w:rPr>
          <w:rFonts w:cs="Arial"/>
        </w:rPr>
        <w:t xml:space="preserve"> prior to the business joining the collective bargaining group. </w:t>
      </w:r>
      <w:r w:rsidR="00BE5AA4" w:rsidRPr="00FA0E54">
        <w:rPr>
          <w:rFonts w:cs="Arial"/>
        </w:rPr>
        <w:t>If the business joins the group when it is formed, its aggregated annual turnover must be less than $10 million in the financial year prior to the group being formed</w:t>
      </w:r>
      <w:r w:rsidRPr="00FA0E54">
        <w:rPr>
          <w:rFonts w:cs="Arial"/>
        </w:rPr>
        <w:t xml:space="preserve">, or </w:t>
      </w:r>
    </w:p>
    <w:p w14:paraId="1E6579FD" w14:textId="1D658AFC" w:rsidR="00F12115" w:rsidRPr="00FA0E54" w:rsidRDefault="00F12115" w:rsidP="004939FA">
      <w:pPr>
        <w:pStyle w:val="ListParagraph"/>
        <w:numPr>
          <w:ilvl w:val="0"/>
          <w:numId w:val="7"/>
        </w:numPr>
        <w:rPr>
          <w:rFonts w:cs="Arial"/>
        </w:rPr>
      </w:pPr>
      <w:r w:rsidRPr="00FA0E54">
        <w:rPr>
          <w:rFonts w:cs="Arial"/>
        </w:rPr>
        <w:lastRenderedPageBreak/>
        <w:t xml:space="preserve">franchisees </w:t>
      </w:r>
      <w:r w:rsidR="00B868BD" w:rsidRPr="00FA0E54">
        <w:rPr>
          <w:rFonts w:cs="Arial"/>
        </w:rPr>
        <w:t>or</w:t>
      </w:r>
      <w:r w:rsidRPr="00FA0E54">
        <w:rPr>
          <w:rFonts w:cs="Arial"/>
        </w:rPr>
        <w:t xml:space="preserve"> fuel retailers negotiating with their franchisors or fuel </w:t>
      </w:r>
      <w:r w:rsidR="003A75DC" w:rsidRPr="00FA0E54">
        <w:rPr>
          <w:rFonts w:cs="Arial"/>
        </w:rPr>
        <w:t>wholesale</w:t>
      </w:r>
      <w:r w:rsidR="00A52D7F" w:rsidRPr="00FA0E54">
        <w:rPr>
          <w:rFonts w:cs="Arial"/>
        </w:rPr>
        <w:t>r</w:t>
      </w:r>
      <w:r w:rsidR="003A75DC" w:rsidRPr="00FA0E54">
        <w:rPr>
          <w:rFonts w:cs="Arial"/>
        </w:rPr>
        <w:t>s</w:t>
      </w:r>
      <w:r w:rsidR="00B868BD" w:rsidRPr="00FA0E54">
        <w:rPr>
          <w:rFonts w:cs="Arial"/>
        </w:rPr>
        <w:t>,</w:t>
      </w:r>
      <w:r w:rsidRPr="00FA0E54">
        <w:rPr>
          <w:rFonts w:cs="Arial"/>
        </w:rPr>
        <w:t xml:space="preserve"> respectively</w:t>
      </w:r>
      <w:r w:rsidR="00A52D7F" w:rsidRPr="00FA0E54">
        <w:rPr>
          <w:rFonts w:cs="Arial"/>
        </w:rPr>
        <w:t>,</w:t>
      </w:r>
      <w:r w:rsidR="00B92606" w:rsidRPr="00FA0E54">
        <w:rPr>
          <w:rFonts w:cs="Arial"/>
        </w:rPr>
        <w:t xml:space="preserve"> regardless of turnover</w:t>
      </w:r>
    </w:p>
    <w:p w14:paraId="36058FC4" w14:textId="7BF70171" w:rsidR="00F12115" w:rsidRPr="00FA0E54" w:rsidRDefault="008B11AB" w:rsidP="00F12115">
      <w:pPr>
        <w:pStyle w:val="ListParagraph"/>
        <w:numPr>
          <w:ilvl w:val="0"/>
          <w:numId w:val="0"/>
        </w:numPr>
        <w:ind w:left="1080"/>
        <w:rPr>
          <w:rFonts w:cs="Arial"/>
        </w:rPr>
      </w:pPr>
      <w:r w:rsidRPr="00FA0E54">
        <w:rPr>
          <w:rFonts w:cs="Arial"/>
        </w:rPr>
        <w:t>provided</w:t>
      </w:r>
      <w:r w:rsidR="00F12115" w:rsidRPr="00FA0E54">
        <w:rPr>
          <w:rFonts w:cs="Arial"/>
        </w:rPr>
        <w:t xml:space="preserve"> </w:t>
      </w:r>
      <w:r w:rsidR="006314D8" w:rsidRPr="00FA0E54">
        <w:rPr>
          <w:rFonts w:cs="Arial"/>
        </w:rPr>
        <w:t>that</w:t>
      </w:r>
      <w:r w:rsidR="00F12115" w:rsidRPr="00FA0E54">
        <w:rPr>
          <w:rFonts w:cs="Arial"/>
        </w:rPr>
        <w:t xml:space="preserve">: </w:t>
      </w:r>
    </w:p>
    <w:p w14:paraId="0E69162B" w14:textId="2F9453EC" w:rsidR="00F12115" w:rsidRPr="00FA0E54" w:rsidRDefault="006314D8" w:rsidP="004939FA">
      <w:pPr>
        <w:pStyle w:val="ListParagraph"/>
        <w:numPr>
          <w:ilvl w:val="0"/>
          <w:numId w:val="7"/>
        </w:numPr>
        <w:rPr>
          <w:rFonts w:cs="Arial"/>
        </w:rPr>
      </w:pPr>
      <w:r w:rsidRPr="00FA0E54">
        <w:rPr>
          <w:rFonts w:cs="Arial"/>
        </w:rPr>
        <w:t xml:space="preserve">a </w:t>
      </w:r>
      <w:r w:rsidR="00F12115" w:rsidRPr="00FA0E54">
        <w:rPr>
          <w:rFonts w:cs="Arial"/>
          <w:i/>
        </w:rPr>
        <w:t>collective bargaining class exemption notice</w:t>
      </w:r>
      <w:r w:rsidR="006E4366" w:rsidRPr="00FA0E54">
        <w:rPr>
          <w:rFonts w:cs="Arial"/>
          <w:i/>
        </w:rPr>
        <w:t xml:space="preserve"> form</w:t>
      </w:r>
      <w:r w:rsidR="00F12115" w:rsidRPr="00FA0E54">
        <w:rPr>
          <w:rFonts w:cs="Arial"/>
        </w:rPr>
        <w:t xml:space="preserve"> (</w:t>
      </w:r>
      <w:r w:rsidR="00F12115" w:rsidRPr="00FA0E54">
        <w:rPr>
          <w:rFonts w:cs="Arial"/>
          <w:b/>
        </w:rPr>
        <w:t>Notice</w:t>
      </w:r>
      <w:r w:rsidR="00F12115" w:rsidRPr="00FA0E54">
        <w:rPr>
          <w:rFonts w:cs="Arial"/>
        </w:rPr>
        <w:t xml:space="preserve">) </w:t>
      </w:r>
      <w:r w:rsidRPr="00FA0E54">
        <w:rPr>
          <w:rFonts w:cs="Arial"/>
        </w:rPr>
        <w:t xml:space="preserve">has been given </w:t>
      </w:r>
      <w:r w:rsidR="00F12115" w:rsidRPr="00FA0E54">
        <w:rPr>
          <w:rFonts w:cs="Arial"/>
        </w:rPr>
        <w:t>to the ACCC, and</w:t>
      </w:r>
    </w:p>
    <w:p w14:paraId="16D07871" w14:textId="2F9F6FD6" w:rsidR="00F12115" w:rsidRPr="00FA0E54" w:rsidRDefault="006314D8" w:rsidP="004939FA">
      <w:pPr>
        <w:pStyle w:val="ListParagraph"/>
        <w:numPr>
          <w:ilvl w:val="0"/>
          <w:numId w:val="7"/>
        </w:numPr>
        <w:rPr>
          <w:rFonts w:cs="Arial"/>
        </w:rPr>
      </w:pPr>
      <w:r w:rsidRPr="00FA0E54">
        <w:rPr>
          <w:rFonts w:eastAsia="Calibri" w:cs="Arial"/>
        </w:rPr>
        <w:t>the business is e</w:t>
      </w:r>
      <w:r w:rsidR="00F12115" w:rsidRPr="00FA0E54">
        <w:rPr>
          <w:rFonts w:eastAsia="Calibri" w:cs="Arial"/>
        </w:rPr>
        <w:t>ngaging in collective bargaining conduct within the parameters of the class exemption.</w:t>
      </w:r>
    </w:p>
    <w:p w14:paraId="70C912EE" w14:textId="727E4EE4" w:rsidR="000D047A" w:rsidRPr="00FA0E54" w:rsidRDefault="00400FA4" w:rsidP="000D047A">
      <w:pPr>
        <w:pStyle w:val="Numberedparagraph11"/>
        <w:tabs>
          <w:tab w:val="left" w:pos="709"/>
        </w:tabs>
        <w:spacing w:before="240" w:after="240" w:line="240" w:lineRule="auto"/>
        <w:rPr>
          <w:rFonts w:eastAsia="Calibri" w:cs="Times New Roman"/>
          <w:b/>
          <w:i/>
        </w:rPr>
      </w:pPr>
      <w:r w:rsidRPr="00FA0E54">
        <w:rPr>
          <w:rFonts w:eastAsia="Calibri" w:cs="Times New Roman"/>
          <w:b/>
          <w:i/>
        </w:rPr>
        <w:t>The c</w:t>
      </w:r>
      <w:r w:rsidR="000D047A" w:rsidRPr="00FA0E54">
        <w:rPr>
          <w:rFonts w:eastAsia="Calibri" w:cs="Times New Roman"/>
          <w:b/>
          <w:i/>
        </w:rPr>
        <w:t xml:space="preserve">urrent framework </w:t>
      </w:r>
      <w:r w:rsidR="00F07A58" w:rsidRPr="00FA0E54">
        <w:rPr>
          <w:rFonts w:eastAsia="Calibri" w:cs="Times New Roman"/>
          <w:b/>
          <w:i/>
        </w:rPr>
        <w:t xml:space="preserve">for </w:t>
      </w:r>
      <w:r w:rsidR="000D047A" w:rsidRPr="00FA0E54">
        <w:rPr>
          <w:rFonts w:eastAsia="Calibri" w:cs="Times New Roman"/>
          <w:b/>
          <w:i/>
        </w:rPr>
        <w:t xml:space="preserve">collective bargaining exemptions </w:t>
      </w:r>
    </w:p>
    <w:p w14:paraId="5FA1FCB4" w14:textId="66D01133" w:rsidR="00EA00E5" w:rsidRPr="00FA0E54" w:rsidRDefault="000D047A" w:rsidP="006E53B6">
      <w:pPr>
        <w:pStyle w:val="Numberedparagraph11"/>
        <w:numPr>
          <w:ilvl w:val="0"/>
          <w:numId w:val="11"/>
        </w:numPr>
        <w:tabs>
          <w:tab w:val="left" w:pos="709"/>
        </w:tabs>
        <w:spacing w:before="120" w:after="240"/>
        <w:ind w:left="567" w:hanging="567"/>
        <w:rPr>
          <w:rFonts w:eastAsia="Calibri" w:cs="Times New Roman"/>
        </w:rPr>
      </w:pPr>
      <w:r w:rsidRPr="00FA0E54">
        <w:rPr>
          <w:rFonts w:eastAsia="Calibri" w:cs="Times New Roman"/>
        </w:rPr>
        <w:t xml:space="preserve">Collective bargaining occurs where two or more competitors come together as a group to negotiate with a supplier or customer (known as the </w:t>
      </w:r>
      <w:r w:rsidRPr="00FA0E54">
        <w:rPr>
          <w:rFonts w:eastAsia="Calibri" w:cs="Times New Roman"/>
          <w:b/>
          <w:bCs/>
        </w:rPr>
        <w:t>target</w:t>
      </w:r>
      <w:r w:rsidRPr="00FA0E54">
        <w:rPr>
          <w:rFonts w:eastAsia="Calibri" w:cs="Times New Roman"/>
        </w:rPr>
        <w:t xml:space="preserve"> business)</w:t>
      </w:r>
      <w:r w:rsidRPr="00FA0E54">
        <w:rPr>
          <w:rFonts w:eastAsia="Calibri" w:cs="Times New Roman"/>
          <w:vertAlign w:val="superscript"/>
        </w:rPr>
        <w:footnoteReference w:id="4"/>
      </w:r>
      <w:r w:rsidRPr="00FA0E54">
        <w:rPr>
          <w:rFonts w:eastAsia="Calibri" w:cs="Times New Roman"/>
        </w:rPr>
        <w:t xml:space="preserve"> about terms, conditions and/or prices. A group of businesses may sometimes appoint a representative, such as an industry association, to act </w:t>
      </w:r>
      <w:r w:rsidR="00EA00E5" w:rsidRPr="00FA0E54">
        <w:rPr>
          <w:rFonts w:eastAsia="Calibri" w:cs="Times New Roman"/>
        </w:rPr>
        <w:t>on their behalf in negotiations</w:t>
      </w:r>
      <w:r w:rsidR="00400FA4" w:rsidRPr="00FA0E54">
        <w:rPr>
          <w:rFonts w:eastAsia="Calibri" w:cs="Times New Roman"/>
        </w:rPr>
        <w:t>.</w:t>
      </w:r>
    </w:p>
    <w:p w14:paraId="3878A825" w14:textId="0FD41A80" w:rsidR="00E4639F" w:rsidRPr="00FA0E54" w:rsidRDefault="008C649A" w:rsidP="006E53B6">
      <w:pPr>
        <w:pStyle w:val="Numberedparagraph11"/>
        <w:numPr>
          <w:ilvl w:val="0"/>
          <w:numId w:val="11"/>
        </w:numPr>
        <w:tabs>
          <w:tab w:val="left" w:pos="709"/>
        </w:tabs>
        <w:spacing w:before="120" w:after="240"/>
        <w:ind w:left="567" w:hanging="567"/>
        <w:rPr>
          <w:rFonts w:eastAsia="Calibri" w:cs="Times New Roman"/>
        </w:rPr>
      </w:pPr>
      <w:r w:rsidRPr="00FA0E54">
        <w:rPr>
          <w:rFonts w:eastAsia="Calibri" w:cs="Times New Roman"/>
        </w:rPr>
        <w:t>C</w:t>
      </w:r>
      <w:r w:rsidR="00E4639F" w:rsidRPr="00FA0E54">
        <w:rPr>
          <w:rFonts w:eastAsia="Calibri" w:cs="Times New Roman"/>
        </w:rPr>
        <w:t xml:space="preserve">ollective bargaining by businesses risks breaching competition laws because, in broad terms, competition laws require businesses to operate independently of their competitors when making decisions about: </w:t>
      </w:r>
    </w:p>
    <w:p w14:paraId="07D76B69" w14:textId="77777777" w:rsidR="00E4639F" w:rsidRPr="00FA0E54" w:rsidRDefault="00E4639F" w:rsidP="006E53B6">
      <w:pPr>
        <w:pStyle w:val="Numberedparagraph11"/>
        <w:numPr>
          <w:ilvl w:val="0"/>
          <w:numId w:val="14"/>
        </w:numPr>
        <w:tabs>
          <w:tab w:val="left" w:pos="709"/>
        </w:tabs>
        <w:spacing w:before="120" w:after="120"/>
        <w:ind w:left="1378" w:hanging="357"/>
        <w:rPr>
          <w:rFonts w:eastAsia="Calibri" w:cs="Times New Roman"/>
        </w:rPr>
      </w:pPr>
      <w:r w:rsidRPr="00FA0E54">
        <w:rPr>
          <w:rFonts w:eastAsia="Calibri" w:cs="Times New Roman"/>
        </w:rPr>
        <w:t xml:space="preserve">the prices they charge or are willing to pay </w:t>
      </w:r>
    </w:p>
    <w:p w14:paraId="6E40580F" w14:textId="77777777" w:rsidR="00E4639F" w:rsidRPr="00FA0E54" w:rsidRDefault="00E4639F" w:rsidP="006E53B6">
      <w:pPr>
        <w:pStyle w:val="Numberedparagraph11"/>
        <w:numPr>
          <w:ilvl w:val="0"/>
          <w:numId w:val="14"/>
        </w:numPr>
        <w:tabs>
          <w:tab w:val="left" w:pos="709"/>
        </w:tabs>
        <w:spacing w:before="120" w:after="120"/>
        <w:ind w:left="1378" w:hanging="357"/>
        <w:rPr>
          <w:rFonts w:eastAsia="Calibri" w:cs="Times New Roman"/>
        </w:rPr>
      </w:pPr>
      <w:r w:rsidRPr="00FA0E54">
        <w:rPr>
          <w:rFonts w:eastAsia="Calibri" w:cs="Times New Roman"/>
        </w:rPr>
        <w:t xml:space="preserve">which businesses they deal with, and </w:t>
      </w:r>
    </w:p>
    <w:p w14:paraId="357F2B24" w14:textId="77777777" w:rsidR="00E4639F" w:rsidRPr="00FA0E54" w:rsidRDefault="00E4639F" w:rsidP="006E53B6">
      <w:pPr>
        <w:pStyle w:val="Numberedparagraph11"/>
        <w:numPr>
          <w:ilvl w:val="0"/>
          <w:numId w:val="14"/>
        </w:numPr>
        <w:tabs>
          <w:tab w:val="left" w:pos="709"/>
        </w:tabs>
        <w:spacing w:before="120" w:after="120"/>
        <w:ind w:left="1378" w:hanging="357"/>
        <w:rPr>
          <w:rFonts w:eastAsia="Calibri" w:cs="Times New Roman"/>
        </w:rPr>
      </w:pPr>
      <w:r w:rsidRPr="00FA0E54">
        <w:rPr>
          <w:rFonts w:eastAsia="Calibri" w:cs="Times New Roman"/>
        </w:rPr>
        <w:t>the terms and conditions on which they do business.</w:t>
      </w:r>
    </w:p>
    <w:p w14:paraId="73449FA3" w14:textId="0B0144B0" w:rsidR="00083731" w:rsidRPr="00FA0E54" w:rsidRDefault="008C649A" w:rsidP="006E53B6">
      <w:pPr>
        <w:pStyle w:val="Numberedparagraph11"/>
        <w:numPr>
          <w:ilvl w:val="0"/>
          <w:numId w:val="11"/>
        </w:numPr>
        <w:tabs>
          <w:tab w:val="left" w:pos="709"/>
        </w:tabs>
        <w:spacing w:before="120" w:after="240"/>
        <w:ind w:left="567" w:hanging="567"/>
        <w:rPr>
          <w:rFonts w:eastAsia="Calibri" w:cs="Times New Roman"/>
        </w:rPr>
      </w:pPr>
      <w:r w:rsidRPr="00FA0E54">
        <w:rPr>
          <w:rFonts w:eastAsia="Calibri" w:cs="Times New Roman"/>
        </w:rPr>
        <w:t>However, t</w:t>
      </w:r>
      <w:r w:rsidR="00EA00E5" w:rsidRPr="00FA0E54">
        <w:rPr>
          <w:rFonts w:eastAsia="Calibri" w:cs="Times New Roman"/>
        </w:rPr>
        <w:t>here can be many benefits from negotiating as a group with the target business rather than individually, including</w:t>
      </w:r>
      <w:r w:rsidR="00400FA4" w:rsidRPr="00FA0E54">
        <w:rPr>
          <w:rFonts w:eastAsia="Calibri" w:cs="Times New Roman"/>
        </w:rPr>
        <w:t>:</w:t>
      </w:r>
      <w:r w:rsidR="00400B7C" w:rsidRPr="00FA0E54">
        <w:rPr>
          <w:rFonts w:eastAsia="Calibri" w:cs="Times New Roman"/>
        </w:rPr>
        <w:t xml:space="preserve"> reducing the time and cost of negotiating </w:t>
      </w:r>
      <w:r w:rsidR="00083731" w:rsidRPr="00FA0E54">
        <w:rPr>
          <w:rFonts w:eastAsia="Calibri" w:cs="Times New Roman"/>
        </w:rPr>
        <w:t xml:space="preserve">contracts </w:t>
      </w:r>
      <w:r w:rsidR="00400B7C" w:rsidRPr="00FA0E54">
        <w:rPr>
          <w:rFonts w:eastAsia="Calibri" w:cs="Times New Roman"/>
        </w:rPr>
        <w:t>(</w:t>
      </w:r>
      <w:r w:rsidR="00083731" w:rsidRPr="00FA0E54">
        <w:rPr>
          <w:rFonts w:eastAsia="Calibri" w:cs="Times New Roman"/>
        </w:rPr>
        <w:t xml:space="preserve">compared to </w:t>
      </w:r>
      <w:r w:rsidR="00F07A58" w:rsidRPr="00FA0E54">
        <w:rPr>
          <w:rFonts w:eastAsia="Calibri" w:cs="Times New Roman"/>
        </w:rPr>
        <w:t xml:space="preserve">multiple </w:t>
      </w:r>
      <w:r w:rsidR="00083731" w:rsidRPr="00FA0E54">
        <w:rPr>
          <w:rFonts w:eastAsia="Calibri" w:cs="Times New Roman"/>
        </w:rPr>
        <w:t xml:space="preserve">bilateral negotiations); </w:t>
      </w:r>
      <w:r w:rsidR="00400B7C" w:rsidRPr="00FA0E54">
        <w:rPr>
          <w:rFonts w:eastAsia="Calibri" w:cs="Times New Roman"/>
        </w:rPr>
        <w:t xml:space="preserve">creating </w:t>
      </w:r>
      <w:r w:rsidR="00EA00E5" w:rsidRPr="00FA0E54">
        <w:rPr>
          <w:rFonts w:eastAsia="Calibri" w:cs="Times New Roman"/>
        </w:rPr>
        <w:t>opportunities to negotiate terms that better reflect the group’s needs (compared to standard form contract</w:t>
      </w:r>
      <w:r w:rsidR="00083731" w:rsidRPr="00FA0E54">
        <w:rPr>
          <w:rFonts w:eastAsia="Calibri" w:cs="Times New Roman"/>
        </w:rPr>
        <w:t>s</w:t>
      </w:r>
      <w:r w:rsidR="00EA00E5" w:rsidRPr="00FA0E54">
        <w:rPr>
          <w:rFonts w:eastAsia="Calibri" w:cs="Times New Roman"/>
        </w:rPr>
        <w:t>)</w:t>
      </w:r>
      <w:r w:rsidR="00083731" w:rsidRPr="00FA0E54">
        <w:rPr>
          <w:rFonts w:eastAsia="Calibri" w:cs="Times New Roman"/>
        </w:rPr>
        <w:t xml:space="preserve">; and </w:t>
      </w:r>
      <w:r w:rsidR="00EA00E5" w:rsidRPr="00FA0E54">
        <w:rPr>
          <w:rFonts w:eastAsia="Calibri" w:cs="Times New Roman"/>
        </w:rPr>
        <w:t>gaini</w:t>
      </w:r>
      <w:r w:rsidR="00083731" w:rsidRPr="00FA0E54">
        <w:rPr>
          <w:rFonts w:eastAsia="Calibri" w:cs="Times New Roman"/>
        </w:rPr>
        <w:t>ng better access to information (</w:t>
      </w:r>
      <w:r w:rsidR="00EA00E5" w:rsidRPr="00FA0E54">
        <w:rPr>
          <w:rFonts w:eastAsia="Calibri" w:cs="Times New Roman"/>
        </w:rPr>
        <w:t>for example by sharing relevant information or sharing the costs of engaging a professional advisor</w:t>
      </w:r>
      <w:r w:rsidR="00083731" w:rsidRPr="00FA0E54">
        <w:rPr>
          <w:rFonts w:eastAsia="Calibri" w:cs="Times New Roman"/>
        </w:rPr>
        <w:t xml:space="preserve">). Target businesses can additionally benefit from </w:t>
      </w:r>
      <w:r w:rsidR="00EA00E5" w:rsidRPr="00FA0E54">
        <w:rPr>
          <w:rFonts w:eastAsia="Calibri" w:cs="Times New Roman"/>
        </w:rPr>
        <w:t>more supply certainty due to bulk ordering and savings from aligning transport and distribution</w:t>
      </w:r>
      <w:r w:rsidR="00083731" w:rsidRPr="00FA0E54">
        <w:rPr>
          <w:rFonts w:eastAsia="Calibri" w:cs="Times New Roman"/>
        </w:rPr>
        <w:t>.</w:t>
      </w:r>
    </w:p>
    <w:p w14:paraId="196AB7A1" w14:textId="2AFE5545" w:rsidR="00D90762" w:rsidRPr="00FA0E54" w:rsidRDefault="00600595" w:rsidP="006E53B6">
      <w:pPr>
        <w:pStyle w:val="Numberedparagraph11"/>
        <w:numPr>
          <w:ilvl w:val="0"/>
          <w:numId w:val="11"/>
        </w:numPr>
        <w:tabs>
          <w:tab w:val="left" w:pos="709"/>
        </w:tabs>
        <w:spacing w:before="120" w:after="240"/>
        <w:ind w:left="567" w:hanging="567"/>
        <w:rPr>
          <w:rFonts w:eastAsia="Calibri" w:cs="Times New Roman"/>
        </w:rPr>
      </w:pPr>
      <w:r w:rsidRPr="00FA0E54">
        <w:rPr>
          <w:rFonts w:eastAsia="Calibri" w:cs="Times New Roman"/>
        </w:rPr>
        <w:t>B</w:t>
      </w:r>
      <w:r w:rsidR="008C649A" w:rsidRPr="00FA0E54">
        <w:rPr>
          <w:rFonts w:eastAsia="Calibri" w:cs="Times New Roman"/>
        </w:rPr>
        <w:t>usinesses are able to seek legal protection from the ACCC to engage in collective bargaining without breaching competition law if the collective bargaining will result in</w:t>
      </w:r>
      <w:r w:rsidR="008C649A" w:rsidRPr="00FA0E54">
        <w:t xml:space="preserve"> overall public benefits. </w:t>
      </w:r>
      <w:r w:rsidR="00F07A58" w:rsidRPr="00FA0E54">
        <w:t>B</w:t>
      </w:r>
      <w:r w:rsidR="008C649A" w:rsidRPr="00FA0E54">
        <w:rPr>
          <w:rFonts w:eastAsia="Calibri" w:cs="Times New Roman"/>
        </w:rPr>
        <w:t xml:space="preserve">usinesses can apply </w:t>
      </w:r>
      <w:r w:rsidR="008C649A" w:rsidRPr="00FA0E54">
        <w:t>for</w:t>
      </w:r>
      <w:r w:rsidR="00D90762" w:rsidRPr="00FA0E54">
        <w:t xml:space="preserve"> legal protection </w:t>
      </w:r>
      <w:r w:rsidR="00F07A58" w:rsidRPr="00FA0E54">
        <w:t xml:space="preserve">for specific arrangements </w:t>
      </w:r>
      <w:r w:rsidR="00F66B31" w:rsidRPr="00FA0E54">
        <w:t>using the following processes</w:t>
      </w:r>
      <w:r w:rsidR="0039664A" w:rsidRPr="00FA0E54">
        <w:t xml:space="preserve">: </w:t>
      </w:r>
    </w:p>
    <w:p w14:paraId="6832EF2E" w14:textId="6D39D05A" w:rsidR="0039664A" w:rsidRPr="00FA0E54" w:rsidRDefault="0039664A" w:rsidP="006E53B6">
      <w:pPr>
        <w:pStyle w:val="Numberedparagraph11"/>
        <w:numPr>
          <w:ilvl w:val="1"/>
          <w:numId w:val="15"/>
        </w:numPr>
        <w:tabs>
          <w:tab w:val="clear" w:pos="1021"/>
          <w:tab w:val="left" w:pos="709"/>
        </w:tabs>
        <w:spacing w:before="120" w:after="240" w:line="240" w:lineRule="auto"/>
        <w:ind w:left="1418"/>
      </w:pPr>
      <w:r w:rsidRPr="00FA0E54">
        <w:t xml:space="preserve">Applying for </w:t>
      </w:r>
      <w:r w:rsidRPr="00FA0E54">
        <w:rPr>
          <w:b/>
        </w:rPr>
        <w:t>authorisation</w:t>
      </w:r>
      <w:r w:rsidR="008C649A" w:rsidRPr="00FA0E54">
        <w:rPr>
          <w:b/>
        </w:rPr>
        <w:t xml:space="preserve">: </w:t>
      </w:r>
      <w:r w:rsidR="008C649A" w:rsidRPr="00FA0E54">
        <w:t xml:space="preserve">This requires </w:t>
      </w:r>
      <w:r w:rsidRPr="00FA0E54">
        <w:t>submitting an application with supporting information</w:t>
      </w:r>
      <w:r w:rsidR="00D40721" w:rsidRPr="00FA0E54">
        <w:t xml:space="preserve"> (</w:t>
      </w:r>
      <w:r w:rsidRPr="00FA0E54">
        <w:t xml:space="preserve">which </w:t>
      </w:r>
      <w:r w:rsidR="00171C69" w:rsidRPr="00FA0E54">
        <w:t>sometimes</w:t>
      </w:r>
      <w:r w:rsidRPr="00FA0E54">
        <w:t xml:space="preserve"> involves obtaining legal advice</w:t>
      </w:r>
      <w:r w:rsidR="00D40721" w:rsidRPr="00FA0E54">
        <w:t>),</w:t>
      </w:r>
      <w:r w:rsidRPr="00FA0E54">
        <w:t xml:space="preserve"> paying a</w:t>
      </w:r>
      <w:r w:rsidR="00D55E00" w:rsidRPr="00FA0E54">
        <w:t xml:space="preserve"> </w:t>
      </w:r>
      <w:r w:rsidRPr="00FA0E54">
        <w:t>lodgement fee</w:t>
      </w:r>
      <w:r w:rsidR="00D40721" w:rsidRPr="00FA0E54">
        <w:t>,</w:t>
      </w:r>
      <w:r w:rsidR="00D55E00" w:rsidRPr="00FA0E54">
        <w:rPr>
          <w:rStyle w:val="FootnoteReference"/>
        </w:rPr>
        <w:footnoteReference w:id="5"/>
      </w:r>
      <w:r w:rsidRPr="00FA0E54">
        <w:t xml:space="preserve"> and </w:t>
      </w:r>
      <w:r w:rsidR="00F66B31" w:rsidRPr="00FA0E54">
        <w:t>waiting for the</w:t>
      </w:r>
      <w:r w:rsidR="00452245" w:rsidRPr="00FA0E54">
        <w:t xml:space="preserve"> ACCC to conduct its assessment (which can take up to six months in complex cases)</w:t>
      </w:r>
      <w:r w:rsidRPr="00FA0E54">
        <w:t xml:space="preserve">. </w:t>
      </w:r>
      <w:r w:rsidRPr="00FA0E54">
        <w:rPr>
          <w:szCs w:val="22"/>
        </w:rPr>
        <w:t>Authorisation is available in respect of transactions of any size.</w:t>
      </w:r>
    </w:p>
    <w:p w14:paraId="050E9C6B" w14:textId="2C95376E" w:rsidR="0039664A" w:rsidRPr="00FA0E54" w:rsidRDefault="0039664A" w:rsidP="006E53B6">
      <w:pPr>
        <w:pStyle w:val="Numberedparagraph11"/>
        <w:numPr>
          <w:ilvl w:val="1"/>
          <w:numId w:val="15"/>
        </w:numPr>
        <w:tabs>
          <w:tab w:val="clear" w:pos="1021"/>
          <w:tab w:val="left" w:pos="709"/>
        </w:tabs>
        <w:spacing w:before="120" w:after="240" w:line="240" w:lineRule="auto"/>
        <w:ind w:left="1418"/>
      </w:pPr>
      <w:r w:rsidRPr="00FA0E54">
        <w:t xml:space="preserve">Lodging a </w:t>
      </w:r>
      <w:r w:rsidRPr="00FA0E54">
        <w:rPr>
          <w:b/>
        </w:rPr>
        <w:t>notification</w:t>
      </w:r>
      <w:r w:rsidR="008C649A" w:rsidRPr="00FA0E54">
        <w:rPr>
          <w:b/>
        </w:rPr>
        <w:t xml:space="preserve">: </w:t>
      </w:r>
      <w:r w:rsidR="008C649A" w:rsidRPr="00FA0E54">
        <w:t>This</w:t>
      </w:r>
      <w:r w:rsidRPr="00FA0E54">
        <w:t xml:space="preserve"> </w:t>
      </w:r>
      <w:r w:rsidR="008C649A" w:rsidRPr="00FA0E54">
        <w:t xml:space="preserve">involves </w:t>
      </w:r>
      <w:r w:rsidRPr="00FA0E54">
        <w:t>submitting a notice with supporting information (</w:t>
      </w:r>
      <w:r w:rsidR="00D40721" w:rsidRPr="00FA0E54">
        <w:t xml:space="preserve">which again, </w:t>
      </w:r>
      <w:r w:rsidR="00171C69" w:rsidRPr="00FA0E54">
        <w:t>sometimes</w:t>
      </w:r>
      <w:r w:rsidRPr="00FA0E54">
        <w:t xml:space="preserve"> involves obtaining legal advice), paying a $1000 lodgement fee, and waiting for legal protection to commence (generally 14 days after a notification is validly lodged, unless the ACCC objects).</w:t>
      </w:r>
      <w:r w:rsidRPr="00FA0E54">
        <w:rPr>
          <w:szCs w:val="22"/>
        </w:rPr>
        <w:t xml:space="preserve"> </w:t>
      </w:r>
      <w:r w:rsidR="00F66B31" w:rsidRPr="00FA0E54">
        <w:rPr>
          <w:rFonts w:eastAsia="Arial" w:cs="Times New Roman"/>
        </w:rPr>
        <w:t xml:space="preserve">Each member of the group must reasonably expect to have less than </w:t>
      </w:r>
      <w:r w:rsidR="00F66B31" w:rsidRPr="00FA0E54">
        <w:rPr>
          <w:rFonts w:eastAsia="Arial" w:cs="Times New Roman"/>
        </w:rPr>
        <w:lastRenderedPageBreak/>
        <w:t xml:space="preserve">$3 million </w:t>
      </w:r>
      <w:r w:rsidR="00F66B31" w:rsidRPr="00FA0E54">
        <w:rPr>
          <w:szCs w:val="22"/>
        </w:rPr>
        <w:t>a year in total transactions with the target business (with higher threshold applying in certain industries</w:t>
      </w:r>
      <w:r w:rsidR="00452245" w:rsidRPr="00FA0E54">
        <w:rPr>
          <w:rStyle w:val="FootnoteReference"/>
          <w:szCs w:val="22"/>
        </w:rPr>
        <w:footnoteReference w:id="6"/>
      </w:r>
      <w:r w:rsidRPr="00FA0E54">
        <w:rPr>
          <w:szCs w:val="22"/>
        </w:rPr>
        <w:t>).</w:t>
      </w:r>
    </w:p>
    <w:p w14:paraId="79613EEE" w14:textId="158F1C86" w:rsidR="00553AE3" w:rsidRPr="00FA0E54" w:rsidRDefault="00553AE3" w:rsidP="006E53B6">
      <w:pPr>
        <w:pStyle w:val="Numberedparagraph11"/>
        <w:numPr>
          <w:ilvl w:val="0"/>
          <w:numId w:val="11"/>
        </w:numPr>
        <w:tabs>
          <w:tab w:val="clear" w:pos="1021"/>
          <w:tab w:val="left" w:pos="709"/>
        </w:tabs>
        <w:spacing w:before="120" w:after="240" w:line="240" w:lineRule="auto"/>
        <w:ind w:left="567" w:hanging="567"/>
      </w:pPr>
      <w:r w:rsidRPr="00FA0E54">
        <w:t>The legal protection that businesses receive under authorisation and notification is limited to a specific time period determined by the ACCC.</w:t>
      </w:r>
      <w:r w:rsidR="002F60F9" w:rsidRPr="00FA0E54">
        <w:rPr>
          <w:rStyle w:val="FootnoteReference"/>
        </w:rPr>
        <w:footnoteReference w:id="7"/>
      </w:r>
      <w:r w:rsidRPr="00FA0E54">
        <w:t xml:space="preserve"> When a bargaining group’s legal protection expires, it will have to lodge a new application</w:t>
      </w:r>
      <w:r w:rsidRPr="00FA0E54">
        <w:rPr>
          <w:rStyle w:val="FootnoteReference"/>
        </w:rPr>
        <w:footnoteReference w:id="8"/>
      </w:r>
      <w:r w:rsidRPr="00FA0E54">
        <w:t xml:space="preserve"> to obtain legal protection afresh. </w:t>
      </w:r>
    </w:p>
    <w:p w14:paraId="1A897CB0" w14:textId="41E80E32" w:rsidR="00AF52F4" w:rsidRPr="00FA0E54" w:rsidRDefault="003954F4" w:rsidP="00502971">
      <w:pPr>
        <w:spacing w:before="200" w:after="0" w:line="240" w:lineRule="atLeast"/>
        <w:rPr>
          <w:rFonts w:ascii="Arial" w:eastAsia="Times New Roman" w:hAnsi="Arial" w:cs="Times New Roman"/>
          <w:bCs/>
          <w:color w:val="410099"/>
          <w:sz w:val="28"/>
          <w:szCs w:val="26"/>
        </w:rPr>
      </w:pPr>
      <w:r w:rsidRPr="00FA0E54">
        <w:rPr>
          <w:rFonts w:ascii="Arial" w:eastAsia="Times New Roman" w:hAnsi="Arial" w:cs="Times New Roman"/>
          <w:bCs/>
          <w:color w:val="410099"/>
          <w:sz w:val="28"/>
          <w:szCs w:val="26"/>
        </w:rPr>
        <w:t xml:space="preserve">Purpose </w:t>
      </w:r>
      <w:r w:rsidR="00AF52F4" w:rsidRPr="00FA0E54">
        <w:rPr>
          <w:rFonts w:ascii="Arial" w:eastAsia="Times New Roman" w:hAnsi="Arial" w:cs="Times New Roman"/>
          <w:bCs/>
          <w:color w:val="410099"/>
          <w:sz w:val="28"/>
          <w:szCs w:val="26"/>
        </w:rPr>
        <w:t>and operation of t</w:t>
      </w:r>
      <w:r w:rsidRPr="00FA0E54">
        <w:rPr>
          <w:rFonts w:ascii="Arial" w:eastAsia="Times New Roman" w:hAnsi="Arial" w:cs="Times New Roman"/>
          <w:bCs/>
          <w:color w:val="410099"/>
          <w:sz w:val="28"/>
          <w:szCs w:val="26"/>
        </w:rPr>
        <w:t xml:space="preserve">he </w:t>
      </w:r>
      <w:r w:rsidR="00DA6DA2" w:rsidRPr="00FA0E54">
        <w:rPr>
          <w:rFonts w:ascii="Arial" w:eastAsia="Times New Roman" w:hAnsi="Arial" w:cs="Times New Roman"/>
          <w:bCs/>
          <w:color w:val="410099"/>
          <w:sz w:val="28"/>
          <w:szCs w:val="26"/>
        </w:rPr>
        <w:t xml:space="preserve">class exemption </w:t>
      </w:r>
    </w:p>
    <w:p w14:paraId="42598002" w14:textId="0A857A6F" w:rsidR="001C0B44" w:rsidRPr="00FA0E54" w:rsidRDefault="00F07A58" w:rsidP="008E493B">
      <w:pPr>
        <w:pStyle w:val="ListParagraph"/>
        <w:numPr>
          <w:ilvl w:val="0"/>
          <w:numId w:val="11"/>
        </w:numPr>
        <w:tabs>
          <w:tab w:val="clear" w:pos="340"/>
          <w:tab w:val="left" w:pos="567"/>
        </w:tabs>
        <w:ind w:left="567" w:hanging="567"/>
        <w:rPr>
          <w:rFonts w:cs="Arial"/>
        </w:rPr>
      </w:pPr>
      <w:r w:rsidRPr="00FA0E54">
        <w:rPr>
          <w:rFonts w:cs="Arial"/>
        </w:rPr>
        <w:t xml:space="preserve">The ability for the ACCC to </w:t>
      </w:r>
      <w:r w:rsidR="0052767B" w:rsidRPr="00FA0E54">
        <w:rPr>
          <w:rFonts w:cs="Arial"/>
        </w:rPr>
        <w:t xml:space="preserve"> determine </w:t>
      </w:r>
      <w:r w:rsidR="00D80BBE" w:rsidRPr="00FA0E54">
        <w:rPr>
          <w:rFonts w:cs="Arial"/>
        </w:rPr>
        <w:t xml:space="preserve">a </w:t>
      </w:r>
      <w:r w:rsidR="0052767B" w:rsidRPr="00FA0E54">
        <w:rPr>
          <w:rFonts w:cs="Arial"/>
        </w:rPr>
        <w:t>class exemption</w:t>
      </w:r>
      <w:r w:rsidRPr="00FA0E54">
        <w:rPr>
          <w:rFonts w:cs="Arial"/>
        </w:rPr>
        <w:t xml:space="preserve"> was a recommendation of the </w:t>
      </w:r>
      <w:r w:rsidR="00F9627D" w:rsidRPr="00FA0E54">
        <w:rPr>
          <w:rFonts w:cs="Arial"/>
        </w:rPr>
        <w:t>Competition Policy Review (</w:t>
      </w:r>
      <w:r w:rsidRPr="00FA0E54">
        <w:rPr>
          <w:rFonts w:cs="Arial"/>
          <w:b/>
        </w:rPr>
        <w:t>Harper Review</w:t>
      </w:r>
      <w:r w:rsidR="00F9627D" w:rsidRPr="00FA0E54">
        <w:rPr>
          <w:rFonts w:cs="Arial"/>
        </w:rPr>
        <w:t>)</w:t>
      </w:r>
      <w:r w:rsidR="0052767B" w:rsidRPr="00FA0E54">
        <w:rPr>
          <w:rFonts w:cs="Arial"/>
        </w:rPr>
        <w:t>, because it</w:t>
      </w:r>
      <w:r w:rsidR="001C0B44" w:rsidRPr="00FA0E54">
        <w:rPr>
          <w:rFonts w:cs="Arial"/>
        </w:rPr>
        <w:t>:</w:t>
      </w:r>
    </w:p>
    <w:p w14:paraId="28CC9E03" w14:textId="54C16BAA" w:rsidR="001C0B44" w:rsidRPr="00FA0E54" w:rsidRDefault="00466497" w:rsidP="004939FA">
      <w:pPr>
        <w:pStyle w:val="ListParagraph"/>
        <w:numPr>
          <w:ilvl w:val="0"/>
          <w:numId w:val="2"/>
        </w:numPr>
        <w:rPr>
          <w:rFonts w:cs="Arial"/>
        </w:rPr>
      </w:pPr>
      <w:r w:rsidRPr="00FA0E54">
        <w:rPr>
          <w:rFonts w:cs="Arial"/>
        </w:rPr>
        <w:t xml:space="preserve">would </w:t>
      </w:r>
      <w:r w:rsidR="00EA372B" w:rsidRPr="00FA0E54">
        <w:rPr>
          <w:rFonts w:cs="Arial"/>
        </w:rPr>
        <w:t>help establish ‘safe harbour’</w:t>
      </w:r>
      <w:r w:rsidR="001C0B44" w:rsidRPr="00FA0E54">
        <w:rPr>
          <w:rFonts w:cs="Arial"/>
        </w:rPr>
        <w:t xml:space="preserve"> exemptions from competition law</w:t>
      </w:r>
      <w:r w:rsidR="00EA372B" w:rsidRPr="00FA0E54">
        <w:rPr>
          <w:rFonts w:cs="Arial"/>
        </w:rPr>
        <w:t xml:space="preserve"> for business</w:t>
      </w:r>
      <w:r w:rsidR="001C0B44" w:rsidRPr="00FA0E54">
        <w:rPr>
          <w:rFonts w:cs="Arial"/>
        </w:rPr>
        <w:t xml:space="preserve">. That is, it may be an efficient way to deal with certain types of business conduct that are unlikely to raise competition concerns, either because of the parties engaged in the conduct or the nature of the conduct itself </w:t>
      </w:r>
    </w:p>
    <w:p w14:paraId="3B61ED4E" w14:textId="201B480C" w:rsidR="00033A79" w:rsidRPr="00FA0E54" w:rsidRDefault="00466497" w:rsidP="004939FA">
      <w:pPr>
        <w:pStyle w:val="ListParagraph"/>
        <w:numPr>
          <w:ilvl w:val="0"/>
          <w:numId w:val="2"/>
        </w:numPr>
        <w:rPr>
          <w:rFonts w:cs="Arial"/>
        </w:rPr>
      </w:pPr>
      <w:r w:rsidRPr="00FA0E54">
        <w:rPr>
          <w:rFonts w:cs="Arial"/>
        </w:rPr>
        <w:t xml:space="preserve">would </w:t>
      </w:r>
      <w:r w:rsidR="00033A79" w:rsidRPr="00FA0E54">
        <w:rPr>
          <w:rFonts w:cs="Arial"/>
        </w:rPr>
        <w:t xml:space="preserve">be an efficient means to provide certainty for businesses about the application of the </w:t>
      </w:r>
      <w:r w:rsidR="0003513F" w:rsidRPr="00FA0E54">
        <w:rPr>
          <w:rFonts w:cs="Arial"/>
        </w:rPr>
        <w:t>CCA</w:t>
      </w:r>
      <w:r w:rsidR="00033A79" w:rsidRPr="00FA0E54">
        <w:rPr>
          <w:rFonts w:cs="Arial"/>
        </w:rPr>
        <w:t xml:space="preserve"> and conduct that is unlikely to raise significant competition problems</w:t>
      </w:r>
    </w:p>
    <w:p w14:paraId="7E846262" w14:textId="65FEF511" w:rsidR="00033A79" w:rsidRPr="00FA0E54" w:rsidRDefault="00466497" w:rsidP="004939FA">
      <w:pPr>
        <w:pStyle w:val="ListParagraph"/>
        <w:numPr>
          <w:ilvl w:val="0"/>
          <w:numId w:val="2"/>
        </w:numPr>
        <w:rPr>
          <w:rFonts w:cs="Arial"/>
        </w:rPr>
      </w:pPr>
      <w:r w:rsidRPr="00FA0E54">
        <w:rPr>
          <w:rFonts w:cs="Arial"/>
        </w:rPr>
        <w:t xml:space="preserve">would </w:t>
      </w:r>
      <w:r w:rsidR="00033A79" w:rsidRPr="00FA0E54">
        <w:rPr>
          <w:rFonts w:cs="Arial"/>
        </w:rPr>
        <w:t>reduce compliance costs</w:t>
      </w:r>
      <w:r w:rsidRPr="00FA0E54">
        <w:rPr>
          <w:rFonts w:cs="Arial"/>
        </w:rPr>
        <w:t xml:space="preserve"> for businesses</w:t>
      </w:r>
      <w:r w:rsidR="00033A79" w:rsidRPr="00FA0E54">
        <w:rPr>
          <w:rFonts w:cs="Arial"/>
        </w:rPr>
        <w:t xml:space="preserve">, and </w:t>
      </w:r>
    </w:p>
    <w:p w14:paraId="2B4C281F" w14:textId="1A03FBD0" w:rsidR="001C0B44" w:rsidRPr="00FA0E54" w:rsidRDefault="00033A79" w:rsidP="004939FA">
      <w:pPr>
        <w:pStyle w:val="ListParagraph"/>
        <w:numPr>
          <w:ilvl w:val="0"/>
          <w:numId w:val="2"/>
        </w:numPr>
        <w:rPr>
          <w:rFonts w:cs="Arial"/>
        </w:rPr>
      </w:pPr>
      <w:r w:rsidRPr="00FA0E54">
        <w:rPr>
          <w:rFonts w:cs="Arial"/>
        </w:rPr>
        <w:t>m</w:t>
      </w:r>
      <w:r w:rsidR="001C0B44" w:rsidRPr="00FA0E54">
        <w:rPr>
          <w:rFonts w:cs="Arial"/>
        </w:rPr>
        <w:t>ay also play a role in educating and informing business about the types of conduct that</w:t>
      </w:r>
      <w:r w:rsidR="00466497" w:rsidRPr="00FA0E54">
        <w:rPr>
          <w:rFonts w:cs="Arial"/>
        </w:rPr>
        <w:t xml:space="preserve"> </w:t>
      </w:r>
      <w:r w:rsidR="001C0B44" w:rsidRPr="00FA0E54">
        <w:rPr>
          <w:rFonts w:cs="Arial"/>
        </w:rPr>
        <w:t>do not raise competition concerns and those that do.</w:t>
      </w:r>
      <w:r w:rsidR="00466497" w:rsidRPr="00FA0E54">
        <w:rPr>
          <w:rStyle w:val="FootnoteReference"/>
          <w:rFonts w:cs="Arial"/>
        </w:rPr>
        <w:footnoteReference w:id="9"/>
      </w:r>
    </w:p>
    <w:p w14:paraId="7BDDFBB7" w14:textId="59E1841F" w:rsidR="00E9619C" w:rsidRPr="00FA0E54" w:rsidRDefault="00643936" w:rsidP="008E493B">
      <w:pPr>
        <w:pStyle w:val="ListParagraph"/>
        <w:numPr>
          <w:ilvl w:val="0"/>
          <w:numId w:val="11"/>
        </w:numPr>
        <w:tabs>
          <w:tab w:val="clear" w:pos="340"/>
          <w:tab w:val="left" w:pos="567"/>
        </w:tabs>
        <w:ind w:left="567" w:hanging="567"/>
      </w:pPr>
      <w:r w:rsidRPr="00FA0E54">
        <w:rPr>
          <w:rFonts w:cs="Arial"/>
        </w:rPr>
        <w:t>E</w:t>
      </w:r>
      <w:r w:rsidR="001145C9" w:rsidRPr="00FA0E54">
        <w:rPr>
          <w:rFonts w:cs="Arial"/>
        </w:rPr>
        <w:t>ach year</w:t>
      </w:r>
      <w:r w:rsidRPr="00FA0E54">
        <w:rPr>
          <w:rFonts w:cs="Arial"/>
        </w:rPr>
        <w:t xml:space="preserve"> the ACCC receives </w:t>
      </w:r>
      <w:r w:rsidR="001145C9" w:rsidRPr="00FA0E54">
        <w:rPr>
          <w:rFonts w:cs="Arial"/>
        </w:rPr>
        <w:t xml:space="preserve">many </w:t>
      </w:r>
      <w:r w:rsidRPr="00FA0E54">
        <w:rPr>
          <w:rFonts w:cs="Arial"/>
        </w:rPr>
        <w:t>applications for authorisation and notifications of collective bargaining</w:t>
      </w:r>
      <w:r w:rsidR="001145C9" w:rsidRPr="00FA0E54">
        <w:rPr>
          <w:rFonts w:cs="Arial"/>
        </w:rPr>
        <w:t xml:space="preserve">. In the majority of cases, particularly those involving groups of primary producers or groups of small businesses proposing to collectively bargain with a larger target, the ACCC concludes that such arrangements are benign in their effect on competition and would be likely to result in a net public benefit. </w:t>
      </w:r>
    </w:p>
    <w:p w14:paraId="6E42A464" w14:textId="0F109096" w:rsidR="005D10BE" w:rsidRPr="00FA0E54" w:rsidRDefault="005D10BE" w:rsidP="008E493B">
      <w:pPr>
        <w:pStyle w:val="ListParagraph"/>
        <w:numPr>
          <w:ilvl w:val="0"/>
          <w:numId w:val="11"/>
        </w:numPr>
        <w:tabs>
          <w:tab w:val="clear" w:pos="340"/>
          <w:tab w:val="left" w:pos="567"/>
        </w:tabs>
        <w:ind w:left="567" w:hanging="567"/>
        <w:rPr>
          <w:rFonts w:cs="Arial"/>
        </w:rPr>
      </w:pPr>
      <w:r w:rsidRPr="00FA0E54">
        <w:rPr>
          <w:rFonts w:cs="Arial"/>
        </w:rPr>
        <w:t xml:space="preserve">For example, the ACCC has allowed collective bargaining by: </w:t>
      </w:r>
    </w:p>
    <w:p w14:paraId="705EC206" w14:textId="77777777" w:rsidR="005D10BE" w:rsidRPr="00FA0E54" w:rsidRDefault="005D10BE" w:rsidP="004939FA">
      <w:pPr>
        <w:pStyle w:val="ListParagraph"/>
        <w:numPr>
          <w:ilvl w:val="0"/>
          <w:numId w:val="13"/>
        </w:numPr>
        <w:rPr>
          <w:rFonts w:cs="Arial"/>
        </w:rPr>
      </w:pPr>
      <w:r w:rsidRPr="00FA0E54">
        <w:t>newsagents or other retailers negotiating with their suppliers</w:t>
      </w:r>
    </w:p>
    <w:p w14:paraId="2FBC19B9" w14:textId="77777777" w:rsidR="005D10BE" w:rsidRPr="00FA0E54" w:rsidRDefault="005D10BE" w:rsidP="004939FA">
      <w:pPr>
        <w:pStyle w:val="ListParagraph"/>
        <w:numPr>
          <w:ilvl w:val="0"/>
          <w:numId w:val="13"/>
        </w:numPr>
        <w:rPr>
          <w:rFonts w:cs="Arial"/>
        </w:rPr>
      </w:pPr>
      <w:r w:rsidRPr="00FA0E54">
        <w:t xml:space="preserve">lottery agents negotiating with lottery operators </w:t>
      </w:r>
    </w:p>
    <w:p w14:paraId="1002F40F" w14:textId="77777777" w:rsidR="005D10BE" w:rsidRPr="00FA0E54" w:rsidRDefault="005D10BE" w:rsidP="004939FA">
      <w:pPr>
        <w:pStyle w:val="ListParagraph"/>
        <w:numPr>
          <w:ilvl w:val="0"/>
          <w:numId w:val="13"/>
        </w:numPr>
        <w:rPr>
          <w:rFonts w:cs="Arial"/>
        </w:rPr>
      </w:pPr>
      <w:r w:rsidRPr="00FA0E54">
        <w:t xml:space="preserve">primary producers, such as dairy farmers, chicken growers and vegetable growers, negotiating with processors they supply </w:t>
      </w:r>
    </w:p>
    <w:p w14:paraId="41CF5D2B" w14:textId="77777777" w:rsidR="005D10BE" w:rsidRPr="00FA0E54" w:rsidRDefault="005D10BE" w:rsidP="004939FA">
      <w:pPr>
        <w:pStyle w:val="ListParagraph"/>
        <w:numPr>
          <w:ilvl w:val="0"/>
          <w:numId w:val="13"/>
        </w:numPr>
        <w:rPr>
          <w:rFonts w:cs="Arial"/>
        </w:rPr>
      </w:pPr>
      <w:r w:rsidRPr="00FA0E54">
        <w:t xml:space="preserve">truck owner-drivers negotiating with transport companies, and </w:t>
      </w:r>
    </w:p>
    <w:p w14:paraId="0BEAC1E7" w14:textId="571D303D" w:rsidR="001145C9" w:rsidRPr="00FA0E54" w:rsidRDefault="005D10BE" w:rsidP="004939FA">
      <w:pPr>
        <w:pStyle w:val="ListParagraph"/>
        <w:numPr>
          <w:ilvl w:val="0"/>
          <w:numId w:val="13"/>
        </w:numPr>
        <w:rPr>
          <w:rFonts w:cs="Arial"/>
        </w:rPr>
      </w:pPr>
      <w:r w:rsidRPr="00FA0E54">
        <w:t>post office owners negotiating with Australia Post</w:t>
      </w:r>
      <w:r w:rsidR="00083731" w:rsidRPr="00FA0E54">
        <w:t>.</w:t>
      </w:r>
    </w:p>
    <w:p w14:paraId="048700CF" w14:textId="20D46B81" w:rsidR="00E9619C" w:rsidRPr="00FA0E54" w:rsidRDefault="00643936" w:rsidP="008E493B">
      <w:pPr>
        <w:pStyle w:val="ListParagraph"/>
        <w:numPr>
          <w:ilvl w:val="0"/>
          <w:numId w:val="11"/>
        </w:numPr>
        <w:tabs>
          <w:tab w:val="clear" w:pos="340"/>
          <w:tab w:val="left" w:pos="567"/>
        </w:tabs>
        <w:ind w:left="567" w:hanging="567"/>
      </w:pPr>
      <w:r w:rsidRPr="00FA0E54">
        <w:t>However, collective bargaining by groups of larger businesses has greater potential to raise competition concerns (for example, by reducing competition and leading to consumers paying prices above competitive levels).</w:t>
      </w:r>
      <w:r w:rsidR="00EB77A9" w:rsidRPr="00FA0E54">
        <w:t xml:space="preserve"> </w:t>
      </w:r>
      <w:r w:rsidR="00E9619C" w:rsidRPr="00FA0E54">
        <w:t>Of the 2</w:t>
      </w:r>
      <w:r w:rsidR="00EB77A9" w:rsidRPr="00FA0E54">
        <w:t>15</w:t>
      </w:r>
      <w:r w:rsidR="00E9619C" w:rsidRPr="00FA0E54">
        <w:t xml:space="preserve"> collective bargaining authorisation</w:t>
      </w:r>
      <w:r w:rsidR="00BB2528" w:rsidRPr="00FA0E54">
        <w:t>s</w:t>
      </w:r>
      <w:r w:rsidR="00E9619C" w:rsidRPr="00FA0E54">
        <w:t xml:space="preserve"> and notification</w:t>
      </w:r>
      <w:r w:rsidR="00BB2528" w:rsidRPr="00FA0E54">
        <w:t xml:space="preserve">s </w:t>
      </w:r>
      <w:r w:rsidR="00E9619C" w:rsidRPr="00FA0E54">
        <w:t xml:space="preserve">considered </w:t>
      </w:r>
      <w:r w:rsidR="00266E63" w:rsidRPr="00FA0E54">
        <w:t xml:space="preserve">by the ACCC between </w:t>
      </w:r>
      <w:r w:rsidR="00E9619C" w:rsidRPr="00FA0E54">
        <w:t>2007</w:t>
      </w:r>
      <w:r w:rsidR="005A0AB9" w:rsidRPr="00FA0E54">
        <w:t xml:space="preserve"> and </w:t>
      </w:r>
      <w:r w:rsidR="00E9619C" w:rsidRPr="00FA0E54">
        <w:t>201</w:t>
      </w:r>
      <w:r w:rsidR="00EB77A9" w:rsidRPr="00FA0E54">
        <w:t>9</w:t>
      </w:r>
      <w:r w:rsidR="00E9619C" w:rsidRPr="00FA0E54">
        <w:t xml:space="preserve">, there were only 12 </w:t>
      </w:r>
      <w:r w:rsidR="00D85709" w:rsidRPr="00FA0E54">
        <w:t xml:space="preserve">matters </w:t>
      </w:r>
      <w:r w:rsidR="008B0C50" w:rsidRPr="00FA0E54">
        <w:t xml:space="preserve">that </w:t>
      </w:r>
      <w:r w:rsidR="00E9619C" w:rsidRPr="00FA0E54">
        <w:t>were denied, revoked or withdrawn, and three where subst</w:t>
      </w:r>
      <w:r w:rsidR="007F0B08" w:rsidRPr="00FA0E54">
        <w:t>antive conditions were imposed</w:t>
      </w:r>
      <w:r w:rsidR="0059164C" w:rsidRPr="00FA0E54">
        <w:t>.</w:t>
      </w:r>
    </w:p>
    <w:p w14:paraId="3D4F334D" w14:textId="1A953A82" w:rsidR="00D85709" w:rsidRPr="00FA0E54" w:rsidRDefault="00E11CB5" w:rsidP="008E493B">
      <w:pPr>
        <w:pStyle w:val="ListParagraph"/>
        <w:numPr>
          <w:ilvl w:val="0"/>
          <w:numId w:val="11"/>
        </w:numPr>
        <w:tabs>
          <w:tab w:val="clear" w:pos="340"/>
          <w:tab w:val="left" w:pos="567"/>
        </w:tabs>
        <w:ind w:left="567" w:hanging="567"/>
      </w:pPr>
      <w:r w:rsidRPr="00FA0E54">
        <w:lastRenderedPageBreak/>
        <w:t>Franchisees, and fuel retailers who have a fuel re-selling agreement with a fuel wholesaler and operate under a system determined by the fuel wholesaler, are generally in a weaker bargaining position in negotiating with their franchisor or fuel wholesaler due to the nature of the business model. In order to achieve consistency in branding and product/service offerings across the network, franchisors and fuel wholesalers often require franchisees and fuel retailers to sign agreements whereby the franchisor or fuel wholesaler maintains significant control over the day-to-day operations of the franchisee or fuel retailer</w:t>
      </w:r>
      <w:r w:rsidR="005A0AB9" w:rsidRPr="00FA0E54">
        <w:t>’</w:t>
      </w:r>
      <w:r w:rsidRPr="00FA0E54">
        <w:t xml:space="preserve">s business. </w:t>
      </w:r>
      <w:r w:rsidR="00C737D4" w:rsidRPr="00FA0E54">
        <w:t>The ACCC considers that, in this context, collective bargaining by franchisee</w:t>
      </w:r>
      <w:r w:rsidR="005A0AB9" w:rsidRPr="00FA0E54">
        <w:t>s</w:t>
      </w:r>
      <w:r w:rsidR="00C737D4" w:rsidRPr="00FA0E54">
        <w:t xml:space="preserve"> or fuel retailers with their franchisor or fuel wholesaler is unlikely to raise competition issues.</w:t>
      </w:r>
    </w:p>
    <w:p w14:paraId="096387AF" w14:textId="187D77D8" w:rsidR="00E9619C" w:rsidRPr="00FA0E54" w:rsidRDefault="00967311" w:rsidP="008E493B">
      <w:pPr>
        <w:pStyle w:val="ListParagraph"/>
        <w:numPr>
          <w:ilvl w:val="0"/>
          <w:numId w:val="11"/>
        </w:numPr>
        <w:tabs>
          <w:tab w:val="clear" w:pos="340"/>
          <w:tab w:val="left" w:pos="567"/>
        </w:tabs>
        <w:ind w:left="567" w:hanging="567"/>
      </w:pPr>
      <w:r w:rsidRPr="00FA0E54">
        <w:t xml:space="preserve">Despite </w:t>
      </w:r>
      <w:r w:rsidR="00E11CB5" w:rsidRPr="00FA0E54">
        <w:t xml:space="preserve">small business </w:t>
      </w:r>
      <w:r w:rsidRPr="00FA0E54">
        <w:t xml:space="preserve">collective bargaining rarely raising competition issues </w:t>
      </w:r>
      <w:r w:rsidR="004D22E0" w:rsidRPr="00FA0E54">
        <w:t>that are of</w:t>
      </w:r>
      <w:r w:rsidRPr="00FA0E54">
        <w:t xml:space="preserve"> concern, businesses are still required to submit an application, pay a lodgement fee, and wait for </w:t>
      </w:r>
      <w:r w:rsidR="008B11AB" w:rsidRPr="00FA0E54">
        <w:t xml:space="preserve">a period </w:t>
      </w:r>
      <w:r w:rsidRPr="00FA0E54">
        <w:t>before being able to begin negotiations</w:t>
      </w:r>
      <w:r w:rsidR="00E9619C" w:rsidRPr="00FA0E54">
        <w:t xml:space="preserve">. </w:t>
      </w:r>
    </w:p>
    <w:p w14:paraId="528CA1AC" w14:textId="0A2C8A8F" w:rsidR="00EB7153" w:rsidRPr="00FA0E54" w:rsidRDefault="00E9619C" w:rsidP="008E493B">
      <w:pPr>
        <w:pStyle w:val="ListParagraph"/>
        <w:numPr>
          <w:ilvl w:val="0"/>
          <w:numId w:val="11"/>
        </w:numPr>
        <w:tabs>
          <w:tab w:val="clear" w:pos="340"/>
          <w:tab w:val="left" w:pos="567"/>
        </w:tabs>
        <w:ind w:left="567" w:hanging="567"/>
      </w:pPr>
      <w:r w:rsidRPr="00FA0E54">
        <w:t>When the ACCC consulted on its pr</w:t>
      </w:r>
      <w:r w:rsidR="002075D2" w:rsidRPr="00FA0E54">
        <w:t>oposed class exemption for collective bargaining, n</w:t>
      </w:r>
      <w:r w:rsidR="00EB7153" w:rsidRPr="00FA0E54">
        <w:t xml:space="preserve">umerous submissions </w:t>
      </w:r>
      <w:r w:rsidR="00D80BBE" w:rsidRPr="00FA0E54">
        <w:t xml:space="preserve">were received supporting the view </w:t>
      </w:r>
      <w:r w:rsidR="00EB7153" w:rsidRPr="00FA0E54">
        <w:t xml:space="preserve">that </w:t>
      </w:r>
      <w:r w:rsidR="002075D2" w:rsidRPr="00FA0E54">
        <w:t xml:space="preserve">such </w:t>
      </w:r>
      <w:r w:rsidR="00EB7153" w:rsidRPr="00FA0E54">
        <w:t xml:space="preserve">a class exemption could streamline the process </w:t>
      </w:r>
      <w:r w:rsidR="00643936" w:rsidRPr="00FA0E54">
        <w:t>for getting protection from the CCA to collectively bargain</w:t>
      </w:r>
      <w:r w:rsidR="00EB7153" w:rsidRPr="00FA0E54">
        <w:t xml:space="preserve">. Many parties perceived authorisation and notification as being time consuming, costly and uncertain, with some having considered using these processes but ultimately </w:t>
      </w:r>
      <w:r w:rsidR="00643936" w:rsidRPr="00FA0E54">
        <w:t>not doing so for these reasons</w:t>
      </w:r>
      <w:r w:rsidR="00EB7153" w:rsidRPr="00FA0E54">
        <w:t>.</w:t>
      </w:r>
    </w:p>
    <w:p w14:paraId="07D02AFF" w14:textId="720EFFBD" w:rsidR="00643936" w:rsidRPr="00FA0E54" w:rsidRDefault="00E9619C" w:rsidP="008E493B">
      <w:pPr>
        <w:pStyle w:val="ListParagraph"/>
        <w:numPr>
          <w:ilvl w:val="0"/>
          <w:numId w:val="11"/>
        </w:numPr>
        <w:tabs>
          <w:tab w:val="clear" w:pos="340"/>
          <w:tab w:val="left" w:pos="567"/>
        </w:tabs>
        <w:ind w:left="567" w:hanging="567"/>
      </w:pPr>
      <w:r w:rsidRPr="00FA0E54">
        <w:t xml:space="preserve">The </w:t>
      </w:r>
      <w:r w:rsidR="00643936" w:rsidRPr="00FA0E54">
        <w:t>class exemption addresses these issues by providing</w:t>
      </w:r>
      <w:r w:rsidR="00E11CB5" w:rsidRPr="00FA0E54">
        <w:t xml:space="preserve"> a simple, streamlined process for small businesses to obtain automatic protection to collectively bargain within the parameters set by the class exemption.</w:t>
      </w:r>
      <w:r w:rsidR="00643936" w:rsidRPr="00FA0E54">
        <w:t xml:space="preserve"> </w:t>
      </w:r>
    </w:p>
    <w:p w14:paraId="7E757C89" w14:textId="354CE073" w:rsidR="00AF52F4" w:rsidRPr="00FA0E54" w:rsidRDefault="00AF52F4" w:rsidP="00AF52F4">
      <w:pPr>
        <w:pStyle w:val="Numbered1"/>
        <w:numPr>
          <w:ilvl w:val="0"/>
          <w:numId w:val="0"/>
        </w:numPr>
        <w:rPr>
          <w:rFonts w:eastAsia="Times New Roman"/>
        </w:rPr>
      </w:pPr>
      <w:r w:rsidRPr="00FA0E54">
        <w:rPr>
          <w:rFonts w:eastAsia="Times New Roman"/>
        </w:rPr>
        <w:t>How the instrument is intended to operate and its likely impact</w:t>
      </w:r>
    </w:p>
    <w:p w14:paraId="2E30C7C3" w14:textId="6EB46945" w:rsidR="00396525" w:rsidRPr="00FA0E54" w:rsidRDefault="0035154D" w:rsidP="008E493B">
      <w:pPr>
        <w:pStyle w:val="ListParagraph"/>
        <w:numPr>
          <w:ilvl w:val="0"/>
          <w:numId w:val="11"/>
        </w:numPr>
        <w:tabs>
          <w:tab w:val="clear" w:pos="340"/>
          <w:tab w:val="left" w:pos="567"/>
        </w:tabs>
        <w:ind w:left="567" w:hanging="567"/>
      </w:pPr>
      <w:r w:rsidRPr="00FA0E54">
        <w:t>The c</w:t>
      </w:r>
      <w:r w:rsidR="007A33A0" w:rsidRPr="00FA0E54">
        <w:t xml:space="preserve">lass exemption for collective bargaining </w:t>
      </w:r>
      <w:r w:rsidR="00936D3E" w:rsidRPr="00FA0E54">
        <w:t xml:space="preserve">is intended to be deregulatory; it </w:t>
      </w:r>
      <w:r w:rsidR="00837FE3" w:rsidRPr="00FA0E54">
        <w:t>remove</w:t>
      </w:r>
      <w:r w:rsidR="00B272A8" w:rsidRPr="00FA0E54">
        <w:t>s</w:t>
      </w:r>
      <w:r w:rsidR="007A33A0" w:rsidRPr="00FA0E54">
        <w:t xml:space="preserve"> the need for businesses that meet the specified eligibility criteria to seek author</w:t>
      </w:r>
      <w:r w:rsidRPr="00FA0E54">
        <w:t>isation or lodge a notification with the ACCC.</w:t>
      </w:r>
      <w:r w:rsidR="007A33A0" w:rsidRPr="00FA0E54">
        <w:t xml:space="preserve"> </w:t>
      </w:r>
      <w:r w:rsidR="00B272A8" w:rsidRPr="00FA0E54">
        <w:t>E</w:t>
      </w:r>
      <w:r w:rsidR="00600595" w:rsidRPr="00FA0E54">
        <w:t xml:space="preserve">ligible </w:t>
      </w:r>
      <w:r w:rsidR="00837FE3" w:rsidRPr="00FA0E54">
        <w:t>businesses</w:t>
      </w:r>
      <w:r w:rsidR="00600595" w:rsidRPr="00FA0E54">
        <w:t xml:space="preserve"> will get automatic protection to collectively bargain without having to lodge a formal application and pay a fee under the authorisation or notification process</w:t>
      </w:r>
      <w:r w:rsidR="00396525" w:rsidRPr="00FA0E54">
        <w:t xml:space="preserve">. </w:t>
      </w:r>
    </w:p>
    <w:p w14:paraId="64AC15F5" w14:textId="09557F2B" w:rsidR="00396525" w:rsidRPr="00FA0E54" w:rsidRDefault="00396525" w:rsidP="008E493B">
      <w:pPr>
        <w:pStyle w:val="ListParagraph"/>
        <w:numPr>
          <w:ilvl w:val="0"/>
          <w:numId w:val="11"/>
        </w:numPr>
        <w:tabs>
          <w:tab w:val="clear" w:pos="340"/>
          <w:tab w:val="left" w:pos="567"/>
        </w:tabs>
        <w:ind w:left="567" w:hanging="567"/>
      </w:pPr>
      <w:r w:rsidRPr="00FA0E54">
        <w:t>Individuals and businesses</w:t>
      </w:r>
      <w:r w:rsidR="00114F11" w:rsidRPr="00FA0E54">
        <w:t xml:space="preserve"> seeking to rely</w:t>
      </w:r>
      <w:r w:rsidRPr="00FA0E54">
        <w:t xml:space="preserve"> on the class exemption will self-assess whether the collective bargaining conduct they are proposing to engage in falls within the class exemption:  </w:t>
      </w:r>
    </w:p>
    <w:p w14:paraId="5B20DF07" w14:textId="16091101" w:rsidR="003C6359" w:rsidRPr="00FA0E54" w:rsidRDefault="00396525" w:rsidP="004939FA">
      <w:pPr>
        <w:pStyle w:val="Numberedparagraph11"/>
        <w:numPr>
          <w:ilvl w:val="0"/>
          <w:numId w:val="8"/>
        </w:numPr>
        <w:tabs>
          <w:tab w:val="left" w:pos="709"/>
        </w:tabs>
        <w:spacing w:before="240" w:after="240" w:line="240" w:lineRule="auto"/>
        <w:rPr>
          <w:rFonts w:eastAsia="Calibri" w:cs="Times New Roman"/>
        </w:rPr>
      </w:pPr>
      <w:r w:rsidRPr="00FA0E54">
        <w:t>If the conduct falls within the scope of the class exemption, they will have protection for that conduct from the specified provisions of Part IV (sections 45AF, 45AG, 45AJ, 45AK and 45 of Division 2)</w:t>
      </w:r>
      <w:r w:rsidR="003C6359" w:rsidRPr="00FA0E54">
        <w:t xml:space="preserve">, provided that the eligible business ensures that: </w:t>
      </w:r>
    </w:p>
    <w:p w14:paraId="0C1CC473" w14:textId="0DA167EC" w:rsidR="00D85709" w:rsidRPr="00FA0E54" w:rsidRDefault="00D85709" w:rsidP="004939FA">
      <w:pPr>
        <w:pStyle w:val="ListParagraph"/>
        <w:numPr>
          <w:ilvl w:val="1"/>
          <w:numId w:val="8"/>
        </w:numPr>
      </w:pPr>
      <w:r w:rsidRPr="00FA0E54">
        <w:t xml:space="preserve">a </w:t>
      </w:r>
      <w:r w:rsidRPr="00FA0E54">
        <w:rPr>
          <w:rStyle w:val="Emphasis"/>
          <w:i w:val="0"/>
        </w:rPr>
        <w:t xml:space="preserve">Notice </w:t>
      </w:r>
      <w:r w:rsidRPr="00FA0E54">
        <w:t xml:space="preserve">has been given to the ACCC by the group they’re forming or joining. The details of the Notice will be determined by the ACCC, and are not specified in the Determination, but it is expected that </w:t>
      </w:r>
      <w:r w:rsidR="00660F0C" w:rsidRPr="00FA0E54">
        <w:t>it</w:t>
      </w:r>
      <w:r w:rsidRPr="00FA0E54">
        <w:t xml:space="preserve"> will require inclusion of details of the group, the target(s), what the group proposes to bargain about, and details for a contact person (which can be described in general terms, so that a new notice is not required as members of the group change or negotiations occur with new targets). Once this Notice has been provided to the ACCC, each business in the group that meets the eligibility criteria gets immediate, automatic protection from competition law when collectively bargaining as part of the group </w:t>
      </w:r>
    </w:p>
    <w:p w14:paraId="03016E28" w14:textId="77777777" w:rsidR="00D85709" w:rsidRPr="00FA0E54" w:rsidRDefault="003C6359" w:rsidP="004939FA">
      <w:pPr>
        <w:pStyle w:val="ListParagraph"/>
        <w:numPr>
          <w:ilvl w:val="1"/>
          <w:numId w:val="8"/>
        </w:numPr>
      </w:pPr>
      <w:r w:rsidRPr="00FA0E54">
        <w:rPr>
          <w:rStyle w:val="Emphasis"/>
          <w:i w:val="0"/>
        </w:rPr>
        <w:t xml:space="preserve">a </w:t>
      </w:r>
      <w:r w:rsidR="00322BDA" w:rsidRPr="00FA0E54">
        <w:rPr>
          <w:rStyle w:val="Emphasis"/>
          <w:i w:val="0"/>
        </w:rPr>
        <w:t>Notice</w:t>
      </w:r>
      <w:r w:rsidRPr="00FA0E54">
        <w:t xml:space="preserve"> has also been provided to any target business the group proposes to collectively bargaining with, when the group or their representative first approaches the target business. </w:t>
      </w:r>
    </w:p>
    <w:p w14:paraId="06D67DF7" w14:textId="041C7180" w:rsidR="009F680E" w:rsidRPr="00FA0E54" w:rsidRDefault="00396525" w:rsidP="004939FA">
      <w:pPr>
        <w:pStyle w:val="ListParagraph"/>
        <w:numPr>
          <w:ilvl w:val="0"/>
          <w:numId w:val="8"/>
        </w:numPr>
        <w:tabs>
          <w:tab w:val="left" w:pos="709"/>
        </w:tabs>
        <w:spacing w:before="240" w:after="240"/>
        <w:rPr>
          <w:rFonts w:eastAsia="Calibri" w:cs="Times New Roman"/>
        </w:rPr>
      </w:pPr>
      <w:r w:rsidRPr="00FA0E54">
        <w:lastRenderedPageBreak/>
        <w:t xml:space="preserve">If the conduct falls outside the scope of </w:t>
      </w:r>
      <w:r w:rsidR="00D85709" w:rsidRPr="00FA0E54">
        <w:t xml:space="preserve">the </w:t>
      </w:r>
      <w:r w:rsidRPr="00FA0E54">
        <w:t>class exemption, they will not have the protection of the class exemption when engaging in that conduct and will need to consider whether to apply to the ACCC via authorisation or notification</w:t>
      </w:r>
      <w:r w:rsidR="00747FEC" w:rsidRPr="00FA0E54">
        <w:t>,</w:t>
      </w:r>
      <w:r w:rsidRPr="00FA0E54">
        <w:rPr>
          <w:rStyle w:val="FootnoteReference"/>
        </w:rPr>
        <w:footnoteReference w:id="10"/>
      </w:r>
      <w:r w:rsidRPr="00FA0E54">
        <w:t xml:space="preserve"> or amend their conduct</w:t>
      </w:r>
      <w:r w:rsidR="005519F7" w:rsidRPr="00FA0E54">
        <w:rPr>
          <w:rFonts w:eastAsia="Calibri" w:cs="Times New Roman"/>
        </w:rPr>
        <w:t>.</w:t>
      </w:r>
    </w:p>
    <w:p w14:paraId="772A469B" w14:textId="51DEE9C6" w:rsidR="00B07EC7" w:rsidRPr="00FA0E54" w:rsidRDefault="00BC1D81" w:rsidP="008E493B">
      <w:pPr>
        <w:pStyle w:val="ListParagraph"/>
        <w:numPr>
          <w:ilvl w:val="0"/>
          <w:numId w:val="11"/>
        </w:numPr>
        <w:tabs>
          <w:tab w:val="clear" w:pos="340"/>
          <w:tab w:val="left" w:pos="567"/>
        </w:tabs>
        <w:ind w:left="567" w:hanging="567"/>
      </w:pPr>
      <w:r w:rsidRPr="00FA0E54">
        <w:t>An</w:t>
      </w:r>
      <w:r w:rsidR="00B07EC7" w:rsidRPr="00FA0E54">
        <w:t xml:space="preserve"> aggregated turnover threshold of $10 million</w:t>
      </w:r>
      <w:r w:rsidRPr="00FA0E54">
        <w:t xml:space="preserve"> means that the class exemption</w:t>
      </w:r>
      <w:r w:rsidR="00B07EC7" w:rsidRPr="00FA0E54">
        <w:t xml:space="preserve"> would capture </w:t>
      </w:r>
      <w:r w:rsidR="00AE5E32" w:rsidRPr="00FA0E54">
        <w:t xml:space="preserve">around </w:t>
      </w:r>
      <w:r w:rsidR="00B07EC7" w:rsidRPr="00FA0E54">
        <w:t>98.5 percent of businesses in Australia</w:t>
      </w:r>
      <w:r w:rsidRPr="00FA0E54">
        <w:t xml:space="preserve">. </w:t>
      </w:r>
    </w:p>
    <w:p w14:paraId="7AFDF9E3" w14:textId="55B213CD" w:rsidR="00D85709" w:rsidRPr="00FA0E54" w:rsidRDefault="00E0404B" w:rsidP="008E493B">
      <w:pPr>
        <w:pStyle w:val="ListParagraph"/>
        <w:numPr>
          <w:ilvl w:val="0"/>
          <w:numId w:val="11"/>
        </w:numPr>
        <w:tabs>
          <w:tab w:val="clear" w:pos="340"/>
          <w:tab w:val="left" w:pos="567"/>
        </w:tabs>
        <w:ind w:left="567" w:hanging="567"/>
      </w:pPr>
      <w:r w:rsidRPr="00FA0E54">
        <w:t>Businesses that are eligible to rely on the class exemption c</w:t>
      </w:r>
      <w:r w:rsidR="00114F11" w:rsidRPr="00FA0E54">
        <w:t xml:space="preserve">an appoint a representative to negotiate on </w:t>
      </w:r>
      <w:r w:rsidRPr="00FA0E54">
        <w:t>their</w:t>
      </w:r>
      <w:r w:rsidR="00114F11" w:rsidRPr="00FA0E54">
        <w:t xml:space="preserve"> behalf. Where the bargaining representative is not a member of the group, they will not</w:t>
      </w:r>
      <w:r w:rsidR="004300E0" w:rsidRPr="00FA0E54">
        <w:t xml:space="preserve"> come within the scope of the class exemption and therefore will not</w:t>
      </w:r>
      <w:r w:rsidR="00114F11" w:rsidRPr="00FA0E54">
        <w:t xml:space="preserve"> need to meet the eligibility criteria. Consistent with the existing collective bargaining notification process provisions, trade unions cannot give notice on behalf of a group, but can represent groups in negotiations</w:t>
      </w:r>
      <w:r w:rsidR="00E927BA" w:rsidRPr="00FA0E54">
        <w:t xml:space="preserve"> with the target business</w:t>
      </w:r>
      <w:r w:rsidR="00114F11" w:rsidRPr="00FA0E54">
        <w:t xml:space="preserve">. </w:t>
      </w:r>
    </w:p>
    <w:p w14:paraId="4DF7A4F6" w14:textId="71F21BE9" w:rsidR="0059164C" w:rsidRPr="00FA0E54" w:rsidRDefault="00114F11" w:rsidP="008E493B">
      <w:pPr>
        <w:pStyle w:val="ListParagraph"/>
        <w:numPr>
          <w:ilvl w:val="0"/>
          <w:numId w:val="11"/>
        </w:numPr>
        <w:tabs>
          <w:tab w:val="clear" w:pos="340"/>
          <w:tab w:val="left" w:pos="567"/>
        </w:tabs>
        <w:ind w:left="567" w:hanging="567"/>
      </w:pPr>
      <w:r w:rsidRPr="00FA0E54">
        <w:t xml:space="preserve">The class exemption will remain in place until </w:t>
      </w:r>
      <w:r w:rsidR="00D85709" w:rsidRPr="00FA0E54">
        <w:t>3</w:t>
      </w:r>
      <w:r w:rsidR="006F2997" w:rsidRPr="00FA0E54">
        <w:t xml:space="preserve">0 June </w:t>
      </w:r>
      <w:r w:rsidRPr="00FA0E54">
        <w:t>20</w:t>
      </w:r>
      <w:r w:rsidR="006F2997" w:rsidRPr="00FA0E54">
        <w:t>30</w:t>
      </w:r>
      <w:r w:rsidRPr="00FA0E54">
        <w:t xml:space="preserve">. Prior to this, </w:t>
      </w:r>
      <w:r w:rsidR="00BF5CA8" w:rsidRPr="00FA0E54">
        <w:t xml:space="preserve">the ACCC will </w:t>
      </w:r>
      <w:r w:rsidRPr="00FA0E54">
        <w:t>undertake</w:t>
      </w:r>
      <w:r w:rsidR="00BF5CA8" w:rsidRPr="00FA0E54">
        <w:t xml:space="preserve"> a review</w:t>
      </w:r>
      <w:r w:rsidRPr="00FA0E54">
        <w:t xml:space="preserve"> to decide whether to </w:t>
      </w:r>
      <w:r w:rsidR="001658CD" w:rsidRPr="00FA0E54">
        <w:t>make a new Determination</w:t>
      </w:r>
      <w:r w:rsidR="005519F7" w:rsidRPr="00FA0E54">
        <w:t>, which will involve consulting with collective bargaining groups currently using the class exemption as well as other stakeholders</w:t>
      </w:r>
      <w:r w:rsidRPr="00FA0E54">
        <w:t xml:space="preserve">. </w:t>
      </w:r>
    </w:p>
    <w:p w14:paraId="6BA5B3BC" w14:textId="3416EEEF" w:rsidR="00837FE3" w:rsidRPr="00FA0E54" w:rsidRDefault="00396525" w:rsidP="008E493B">
      <w:pPr>
        <w:pStyle w:val="ListParagraph"/>
        <w:numPr>
          <w:ilvl w:val="0"/>
          <w:numId w:val="11"/>
        </w:numPr>
        <w:tabs>
          <w:tab w:val="clear" w:pos="340"/>
          <w:tab w:val="left" w:pos="567"/>
        </w:tabs>
        <w:ind w:left="567" w:hanging="567"/>
      </w:pPr>
      <w:r w:rsidRPr="00FA0E54">
        <w:t>T</w:t>
      </w:r>
      <w:r w:rsidR="00837FE3" w:rsidRPr="00FA0E54">
        <w:t xml:space="preserve">he ACCC considers that </w:t>
      </w:r>
      <w:r w:rsidR="00467132" w:rsidRPr="00FA0E54">
        <w:t xml:space="preserve">overall, </w:t>
      </w:r>
      <w:r w:rsidRPr="00FA0E54">
        <w:t xml:space="preserve">the likely impact of the </w:t>
      </w:r>
      <w:r w:rsidR="007A33A0" w:rsidRPr="00FA0E54">
        <w:t xml:space="preserve">class exemption </w:t>
      </w:r>
      <w:r w:rsidRPr="00FA0E54">
        <w:t>for collective bargaining will be</w:t>
      </w:r>
      <w:r w:rsidR="00467132" w:rsidRPr="00FA0E54">
        <w:t xml:space="preserve"> to:</w:t>
      </w:r>
      <w:r w:rsidR="007A33A0" w:rsidRPr="00FA0E54">
        <w:t xml:space="preserve"> </w:t>
      </w:r>
    </w:p>
    <w:p w14:paraId="4FA440BB" w14:textId="31890EE5" w:rsidR="00467132" w:rsidRPr="00FA0E54" w:rsidRDefault="00BA3746" w:rsidP="004939FA">
      <w:pPr>
        <w:pStyle w:val="Numbered1"/>
        <w:numPr>
          <w:ilvl w:val="0"/>
          <w:numId w:val="16"/>
        </w:numPr>
        <w:ind w:left="1418"/>
        <w:rPr>
          <w:rFonts w:eastAsia="Arial" w:cs="Arial"/>
          <w:b w:val="0"/>
          <w:bCs w:val="0"/>
          <w:sz w:val="22"/>
          <w:szCs w:val="22"/>
        </w:rPr>
      </w:pPr>
      <w:r w:rsidRPr="00FA0E54">
        <w:rPr>
          <w:rFonts w:eastAsia="Arial" w:cs="Arial"/>
          <w:b w:val="0"/>
          <w:bCs w:val="0"/>
          <w:sz w:val="22"/>
          <w:szCs w:val="22"/>
        </w:rPr>
        <w:t xml:space="preserve">make it simpler and quicker for eligible businesses wishing to collectively bargain to obtain the </w:t>
      </w:r>
      <w:r w:rsidR="00321FE2" w:rsidRPr="00FA0E54">
        <w:rPr>
          <w:rFonts w:eastAsia="Arial" w:cs="Arial"/>
          <w:b w:val="0"/>
          <w:bCs w:val="0"/>
          <w:sz w:val="22"/>
          <w:szCs w:val="22"/>
        </w:rPr>
        <w:t xml:space="preserve">necessary </w:t>
      </w:r>
      <w:r w:rsidRPr="00FA0E54">
        <w:rPr>
          <w:rFonts w:eastAsia="Arial" w:cs="Arial"/>
          <w:b w:val="0"/>
          <w:bCs w:val="0"/>
          <w:sz w:val="22"/>
          <w:szCs w:val="22"/>
        </w:rPr>
        <w:t xml:space="preserve">legal protection </w:t>
      </w:r>
      <w:r w:rsidR="00321FE2" w:rsidRPr="00FA0E54">
        <w:rPr>
          <w:rFonts w:eastAsia="Arial" w:cs="Arial"/>
          <w:b w:val="0"/>
          <w:bCs w:val="0"/>
          <w:sz w:val="22"/>
          <w:szCs w:val="22"/>
        </w:rPr>
        <w:t xml:space="preserve">to address </w:t>
      </w:r>
      <w:r w:rsidRPr="00FA0E54">
        <w:rPr>
          <w:rFonts w:eastAsia="Arial" w:cs="Arial"/>
          <w:b w:val="0"/>
          <w:bCs w:val="0"/>
          <w:sz w:val="22"/>
          <w:szCs w:val="22"/>
        </w:rPr>
        <w:t>the risk of breaching competition laws, and</w:t>
      </w:r>
    </w:p>
    <w:p w14:paraId="333A8A65" w14:textId="01D23E17" w:rsidR="00114F11" w:rsidRPr="00FA0E54" w:rsidRDefault="00467132" w:rsidP="004939FA">
      <w:pPr>
        <w:pStyle w:val="Numbered1"/>
        <w:numPr>
          <w:ilvl w:val="0"/>
          <w:numId w:val="16"/>
        </w:numPr>
        <w:ind w:left="1418"/>
        <w:rPr>
          <w:rFonts w:eastAsia="Arial" w:cs="Arial"/>
          <w:b w:val="0"/>
          <w:bCs w:val="0"/>
          <w:sz w:val="22"/>
          <w:szCs w:val="22"/>
        </w:rPr>
      </w:pPr>
      <w:r w:rsidRPr="00FA0E54">
        <w:rPr>
          <w:rFonts w:eastAsia="Arial" w:cs="Arial"/>
          <w:b w:val="0"/>
          <w:bCs w:val="0"/>
          <w:sz w:val="22"/>
          <w:szCs w:val="22"/>
        </w:rPr>
        <w:t xml:space="preserve">increase </w:t>
      </w:r>
      <w:r w:rsidR="0089613E" w:rsidRPr="00FA0E54">
        <w:rPr>
          <w:rFonts w:eastAsia="Arial" w:cs="Arial"/>
          <w:b w:val="0"/>
          <w:bCs w:val="0"/>
          <w:sz w:val="22"/>
          <w:szCs w:val="22"/>
        </w:rPr>
        <w:t xml:space="preserve">levels of </w:t>
      </w:r>
      <w:r w:rsidR="006D5D42" w:rsidRPr="00FA0E54">
        <w:rPr>
          <w:rFonts w:eastAsia="Arial" w:cs="Arial"/>
          <w:b w:val="0"/>
          <w:bCs w:val="0"/>
          <w:sz w:val="22"/>
          <w:szCs w:val="22"/>
        </w:rPr>
        <w:t xml:space="preserve">awareness </w:t>
      </w:r>
      <w:r w:rsidRPr="00FA0E54">
        <w:rPr>
          <w:rFonts w:eastAsia="Arial" w:cs="Arial"/>
          <w:b w:val="0"/>
          <w:bCs w:val="0"/>
          <w:sz w:val="22"/>
          <w:szCs w:val="22"/>
        </w:rPr>
        <w:t>among businesses a</w:t>
      </w:r>
      <w:r w:rsidR="006D5D42" w:rsidRPr="00FA0E54">
        <w:rPr>
          <w:rFonts w:eastAsia="Arial" w:cs="Arial"/>
          <w:b w:val="0"/>
          <w:bCs w:val="0"/>
          <w:sz w:val="22"/>
          <w:szCs w:val="22"/>
        </w:rPr>
        <w:t xml:space="preserve">bout the potential benefits of collective bargaining </w:t>
      </w:r>
      <w:r w:rsidR="00BF5CA8" w:rsidRPr="00FA0E54">
        <w:rPr>
          <w:rFonts w:eastAsia="Arial" w:cs="Arial"/>
          <w:b w:val="0"/>
          <w:bCs w:val="0"/>
          <w:sz w:val="22"/>
          <w:szCs w:val="22"/>
        </w:rPr>
        <w:t xml:space="preserve">which, along with providing a </w:t>
      </w:r>
      <w:r w:rsidR="00BA3746" w:rsidRPr="00FA0E54">
        <w:rPr>
          <w:rFonts w:eastAsia="Arial" w:cs="Arial"/>
          <w:b w:val="0"/>
          <w:bCs w:val="0"/>
          <w:sz w:val="22"/>
          <w:szCs w:val="22"/>
        </w:rPr>
        <w:t>simpler</w:t>
      </w:r>
      <w:r w:rsidR="00BF5CA8" w:rsidRPr="00FA0E54">
        <w:rPr>
          <w:rFonts w:eastAsia="Arial" w:cs="Arial"/>
          <w:b w:val="0"/>
          <w:bCs w:val="0"/>
          <w:sz w:val="22"/>
          <w:szCs w:val="22"/>
        </w:rPr>
        <w:t xml:space="preserve"> process to obtain legal protection from competition laws to collectively bargain, </w:t>
      </w:r>
      <w:r w:rsidR="00E927BA" w:rsidRPr="00FA0E54">
        <w:rPr>
          <w:rFonts w:eastAsia="Arial" w:cs="Arial"/>
          <w:b w:val="0"/>
          <w:bCs w:val="0"/>
          <w:sz w:val="22"/>
          <w:szCs w:val="22"/>
        </w:rPr>
        <w:t xml:space="preserve">may </w:t>
      </w:r>
      <w:r w:rsidR="007A33A0" w:rsidRPr="00FA0E54">
        <w:rPr>
          <w:rFonts w:eastAsia="Arial" w:cs="Arial"/>
          <w:b w:val="0"/>
          <w:bCs w:val="0"/>
          <w:sz w:val="22"/>
          <w:szCs w:val="22"/>
        </w:rPr>
        <w:t>encourage more businesses to collective</w:t>
      </w:r>
      <w:r w:rsidR="00BF5CA8" w:rsidRPr="00FA0E54">
        <w:rPr>
          <w:rFonts w:eastAsia="Arial" w:cs="Arial"/>
          <w:b w:val="0"/>
          <w:bCs w:val="0"/>
          <w:sz w:val="22"/>
          <w:szCs w:val="22"/>
        </w:rPr>
        <w:t>ly</w:t>
      </w:r>
      <w:r w:rsidR="007A33A0" w:rsidRPr="00FA0E54">
        <w:rPr>
          <w:rFonts w:eastAsia="Arial" w:cs="Arial"/>
          <w:b w:val="0"/>
          <w:bCs w:val="0"/>
          <w:sz w:val="22"/>
          <w:szCs w:val="22"/>
        </w:rPr>
        <w:t xml:space="preserve"> bargain</w:t>
      </w:r>
      <w:r w:rsidR="0089613E" w:rsidRPr="00FA0E54">
        <w:rPr>
          <w:rFonts w:eastAsia="Arial" w:cs="Arial"/>
          <w:b w:val="0"/>
          <w:bCs w:val="0"/>
          <w:sz w:val="22"/>
          <w:szCs w:val="22"/>
        </w:rPr>
        <w:t>.</w:t>
      </w:r>
      <w:r w:rsidRPr="00FA0E54">
        <w:rPr>
          <w:rFonts w:eastAsia="Arial" w:cs="Arial"/>
          <w:b w:val="0"/>
          <w:bCs w:val="0"/>
          <w:sz w:val="22"/>
          <w:szCs w:val="22"/>
        </w:rPr>
        <w:t xml:space="preserve"> </w:t>
      </w:r>
    </w:p>
    <w:p w14:paraId="04213E4C" w14:textId="1B2FD365" w:rsidR="001658CD" w:rsidRPr="00FA0E54" w:rsidRDefault="001658CD" w:rsidP="001B5336">
      <w:pPr>
        <w:spacing w:before="200" w:after="0" w:line="240" w:lineRule="atLeast"/>
        <w:outlineLvl w:val="1"/>
        <w:rPr>
          <w:rFonts w:ascii="Arial" w:eastAsia="Times New Roman" w:hAnsi="Arial" w:cs="Times New Roman"/>
          <w:bCs/>
          <w:color w:val="410099"/>
          <w:sz w:val="28"/>
          <w:szCs w:val="26"/>
        </w:rPr>
      </w:pPr>
      <w:r w:rsidRPr="00FA0E54">
        <w:rPr>
          <w:rFonts w:ascii="Arial" w:eastAsia="Times New Roman" w:hAnsi="Arial" w:cs="Times New Roman"/>
          <w:bCs/>
          <w:color w:val="410099"/>
          <w:sz w:val="28"/>
          <w:szCs w:val="26"/>
        </w:rPr>
        <w:t>Documents incorporated by reference</w:t>
      </w:r>
    </w:p>
    <w:p w14:paraId="0A5FA807" w14:textId="77777777" w:rsidR="001658CD" w:rsidRPr="00FA0E54" w:rsidRDefault="001658CD" w:rsidP="008E493B">
      <w:pPr>
        <w:pStyle w:val="ListParagraph"/>
        <w:numPr>
          <w:ilvl w:val="0"/>
          <w:numId w:val="11"/>
        </w:numPr>
        <w:tabs>
          <w:tab w:val="clear" w:pos="340"/>
          <w:tab w:val="left" w:pos="567"/>
        </w:tabs>
        <w:ind w:left="567" w:hanging="567"/>
      </w:pPr>
      <w:bookmarkStart w:id="3" w:name="_Ref30068006"/>
      <w:r w:rsidRPr="00FA0E54">
        <w:t>The Determination relies on definitions of terms from some other Commonwealth Acts and disallowable legislative instruments as in force from time to time. The Determination does not incorporate any other documents by reference.</w:t>
      </w:r>
      <w:bookmarkEnd w:id="3"/>
    </w:p>
    <w:p w14:paraId="1E3C0A25" w14:textId="024A7FB6" w:rsidR="00C311A1" w:rsidRPr="00FA0E54" w:rsidRDefault="001B5336" w:rsidP="001B5336">
      <w:pPr>
        <w:spacing w:before="200" w:after="0" w:line="240" w:lineRule="atLeast"/>
        <w:outlineLvl w:val="1"/>
        <w:rPr>
          <w:rFonts w:ascii="Arial" w:hAnsi="Arial" w:cs="Arial"/>
          <w:b/>
        </w:rPr>
      </w:pPr>
      <w:r w:rsidRPr="00FA0E54">
        <w:rPr>
          <w:rFonts w:ascii="Arial" w:eastAsia="Times New Roman" w:hAnsi="Arial" w:cs="Times New Roman"/>
          <w:bCs/>
          <w:color w:val="410099"/>
          <w:sz w:val="28"/>
          <w:szCs w:val="26"/>
        </w:rPr>
        <w:t xml:space="preserve">Consultation </w:t>
      </w:r>
    </w:p>
    <w:p w14:paraId="1EC45BD3" w14:textId="77777777" w:rsidR="008E493B" w:rsidRPr="00FA0E54" w:rsidRDefault="00BA3746" w:rsidP="008E493B">
      <w:pPr>
        <w:pStyle w:val="ListParagraph"/>
        <w:numPr>
          <w:ilvl w:val="0"/>
          <w:numId w:val="11"/>
        </w:numPr>
        <w:tabs>
          <w:tab w:val="clear" w:pos="340"/>
          <w:tab w:val="left" w:pos="567"/>
        </w:tabs>
        <w:ind w:left="567" w:hanging="567"/>
      </w:pPr>
      <w:r w:rsidRPr="00FA0E54">
        <w:t>T</w:t>
      </w:r>
      <w:r w:rsidR="004D29C4" w:rsidRPr="00FA0E54">
        <w:t xml:space="preserve">he ACCC conducted a </w:t>
      </w:r>
      <w:r w:rsidR="00613C2C" w:rsidRPr="00FA0E54">
        <w:t xml:space="preserve">comprehensive </w:t>
      </w:r>
      <w:r w:rsidR="004D29C4" w:rsidRPr="00FA0E54">
        <w:t xml:space="preserve">consultation process </w:t>
      </w:r>
      <w:r w:rsidR="00613C2C" w:rsidRPr="00FA0E54">
        <w:t xml:space="preserve">on whether to issue a class exemption for collective bargaining and what scope it should include. The process involved </w:t>
      </w:r>
      <w:r w:rsidR="004D29C4" w:rsidRPr="00FA0E54">
        <w:t>three main phases</w:t>
      </w:r>
      <w:r w:rsidR="002A674B" w:rsidRPr="00FA0E54">
        <w:t xml:space="preserve">. </w:t>
      </w:r>
    </w:p>
    <w:p w14:paraId="515E622D" w14:textId="77777777" w:rsidR="008E493B" w:rsidRPr="00FA0E54" w:rsidRDefault="00715CCB" w:rsidP="008E493B">
      <w:pPr>
        <w:pStyle w:val="ListParagraph"/>
        <w:numPr>
          <w:ilvl w:val="0"/>
          <w:numId w:val="11"/>
        </w:numPr>
        <w:tabs>
          <w:tab w:val="clear" w:pos="340"/>
          <w:tab w:val="left" w:pos="567"/>
        </w:tabs>
        <w:ind w:left="567" w:hanging="567"/>
      </w:pPr>
      <w:r w:rsidRPr="00FA0E54">
        <w:rPr>
          <w:rFonts w:cs="Arial"/>
        </w:rPr>
        <w:t>In the</w:t>
      </w:r>
      <w:r w:rsidR="002A674B" w:rsidRPr="00FA0E54">
        <w:rPr>
          <w:rFonts w:cs="Arial"/>
        </w:rPr>
        <w:t xml:space="preserve"> first </w:t>
      </w:r>
      <w:r w:rsidR="00B0050A" w:rsidRPr="00FA0E54">
        <w:rPr>
          <w:rFonts w:cs="Arial"/>
        </w:rPr>
        <w:t>phase</w:t>
      </w:r>
      <w:r w:rsidR="00BA3746" w:rsidRPr="00FA0E54">
        <w:rPr>
          <w:rFonts w:cs="Arial"/>
        </w:rPr>
        <w:t>, commencing</w:t>
      </w:r>
      <w:r w:rsidR="002A674B" w:rsidRPr="00FA0E54">
        <w:rPr>
          <w:rFonts w:cs="Arial"/>
        </w:rPr>
        <w:t xml:space="preserve"> </w:t>
      </w:r>
      <w:r w:rsidR="00B0050A" w:rsidRPr="00FA0E54">
        <w:rPr>
          <w:rFonts w:cs="Arial"/>
        </w:rPr>
        <w:t xml:space="preserve">in </w:t>
      </w:r>
      <w:r w:rsidR="00B0050A" w:rsidRPr="00FA0E54">
        <w:rPr>
          <w:rFonts w:cs="Arial"/>
          <w:b/>
        </w:rPr>
        <w:t>April 2018</w:t>
      </w:r>
      <w:r w:rsidRPr="00FA0E54">
        <w:rPr>
          <w:rFonts w:cs="Arial"/>
        </w:rPr>
        <w:t xml:space="preserve">, the ACCC </w:t>
      </w:r>
      <w:r w:rsidR="00613C2C" w:rsidRPr="00FA0E54">
        <w:rPr>
          <w:rFonts w:cs="Arial"/>
        </w:rPr>
        <w:t>met</w:t>
      </w:r>
      <w:r w:rsidR="002A674B" w:rsidRPr="00FA0E54">
        <w:rPr>
          <w:rFonts w:cs="Arial"/>
        </w:rPr>
        <w:t xml:space="preserve"> </w:t>
      </w:r>
      <w:r w:rsidR="00802E84" w:rsidRPr="00FA0E54">
        <w:rPr>
          <w:rFonts w:cs="Arial"/>
        </w:rPr>
        <w:t>with</w:t>
      </w:r>
      <w:r w:rsidR="002A674B" w:rsidRPr="00FA0E54">
        <w:rPr>
          <w:rFonts w:cs="Arial"/>
        </w:rPr>
        <w:t xml:space="preserve"> </w:t>
      </w:r>
      <w:r w:rsidR="004D29C4" w:rsidRPr="00FA0E54">
        <w:rPr>
          <w:rFonts w:cs="Arial"/>
        </w:rPr>
        <w:t>me</w:t>
      </w:r>
      <w:r w:rsidR="002A674B" w:rsidRPr="00FA0E54">
        <w:rPr>
          <w:rFonts w:cs="Arial"/>
        </w:rPr>
        <w:t xml:space="preserve">mbers of the ACCC’s </w:t>
      </w:r>
      <w:r w:rsidR="00083551" w:rsidRPr="00FA0E54">
        <w:rPr>
          <w:rFonts w:cs="Arial"/>
        </w:rPr>
        <w:t>Smal</w:t>
      </w:r>
      <w:r w:rsidR="00B0050A" w:rsidRPr="00FA0E54">
        <w:rPr>
          <w:rFonts w:cs="Arial"/>
        </w:rPr>
        <w:t>l Business and</w:t>
      </w:r>
      <w:r w:rsidR="00083551" w:rsidRPr="00FA0E54">
        <w:rPr>
          <w:rFonts w:cs="Arial"/>
        </w:rPr>
        <w:t xml:space="preserve"> Franchising Consultative Committee and Agriculture </w:t>
      </w:r>
      <w:r w:rsidR="00336406" w:rsidRPr="00FA0E54">
        <w:rPr>
          <w:rFonts w:cs="Arial"/>
        </w:rPr>
        <w:t>C</w:t>
      </w:r>
      <w:r w:rsidR="002A674B" w:rsidRPr="00FA0E54">
        <w:rPr>
          <w:rFonts w:cs="Arial"/>
        </w:rPr>
        <w:t xml:space="preserve">onsultative </w:t>
      </w:r>
      <w:r w:rsidR="00336406" w:rsidRPr="00FA0E54">
        <w:rPr>
          <w:rFonts w:cs="Arial"/>
        </w:rPr>
        <w:t>C</w:t>
      </w:r>
      <w:r w:rsidR="002A674B" w:rsidRPr="00FA0E54">
        <w:rPr>
          <w:rFonts w:cs="Arial"/>
        </w:rPr>
        <w:t>ommittee</w:t>
      </w:r>
      <w:r w:rsidR="00B0050A" w:rsidRPr="00FA0E54">
        <w:rPr>
          <w:rFonts w:cs="Arial"/>
        </w:rPr>
        <w:t>. Th</w:t>
      </w:r>
      <w:r w:rsidR="004D29C4" w:rsidRPr="00FA0E54">
        <w:rPr>
          <w:rFonts w:cs="Arial"/>
        </w:rPr>
        <w:t xml:space="preserve">is forum was selected because the Committees represent small businesses, franchisees and agricultural businesses, </w:t>
      </w:r>
      <w:r w:rsidR="00613C2C" w:rsidRPr="00FA0E54">
        <w:rPr>
          <w:rFonts w:cs="Arial"/>
        </w:rPr>
        <w:t xml:space="preserve">which </w:t>
      </w:r>
      <w:r w:rsidR="004D29C4" w:rsidRPr="00FA0E54">
        <w:rPr>
          <w:rFonts w:cs="Arial"/>
        </w:rPr>
        <w:t xml:space="preserve">are </w:t>
      </w:r>
      <w:r w:rsidR="00613C2C" w:rsidRPr="00FA0E54">
        <w:rPr>
          <w:rFonts w:cs="Arial"/>
        </w:rPr>
        <w:t xml:space="preserve">the groups </w:t>
      </w:r>
      <w:r w:rsidR="004D29C4" w:rsidRPr="00FA0E54">
        <w:rPr>
          <w:rFonts w:cs="Arial"/>
        </w:rPr>
        <w:t xml:space="preserve">most </w:t>
      </w:r>
      <w:r w:rsidR="00802E84" w:rsidRPr="00FA0E54">
        <w:rPr>
          <w:rFonts w:cs="Arial"/>
        </w:rPr>
        <w:t xml:space="preserve">likely </w:t>
      </w:r>
      <w:r w:rsidR="00613C2C" w:rsidRPr="00FA0E54">
        <w:rPr>
          <w:rFonts w:cs="Arial"/>
        </w:rPr>
        <w:t xml:space="preserve">to benefit from </w:t>
      </w:r>
      <w:r w:rsidR="00A77362" w:rsidRPr="00FA0E54">
        <w:rPr>
          <w:rFonts w:cs="Arial"/>
        </w:rPr>
        <w:t>a</w:t>
      </w:r>
      <w:r w:rsidR="00802E84" w:rsidRPr="00FA0E54">
        <w:rPr>
          <w:rFonts w:cs="Arial"/>
        </w:rPr>
        <w:t xml:space="preserve"> class exemption for collective bargaining</w:t>
      </w:r>
      <w:r w:rsidR="00052F31" w:rsidRPr="00FA0E54">
        <w:rPr>
          <w:rFonts w:cs="Arial"/>
        </w:rPr>
        <w:t xml:space="preserve">. This </w:t>
      </w:r>
      <w:r w:rsidRPr="00FA0E54">
        <w:rPr>
          <w:rFonts w:cs="Arial"/>
        </w:rPr>
        <w:t xml:space="preserve">round of </w:t>
      </w:r>
      <w:r w:rsidR="00052F31" w:rsidRPr="00FA0E54">
        <w:rPr>
          <w:rFonts w:cs="Arial"/>
        </w:rPr>
        <w:t xml:space="preserve">consultation sought </w:t>
      </w:r>
      <w:r w:rsidR="004D29C4" w:rsidRPr="00FA0E54">
        <w:rPr>
          <w:rFonts w:cs="Arial"/>
        </w:rPr>
        <w:t>early feedback on</w:t>
      </w:r>
      <w:r w:rsidR="00613C2C" w:rsidRPr="00FA0E54">
        <w:rPr>
          <w:rFonts w:cs="Arial"/>
        </w:rPr>
        <w:t xml:space="preserve"> a</w:t>
      </w:r>
      <w:r w:rsidR="004D29C4" w:rsidRPr="00FA0E54">
        <w:rPr>
          <w:rFonts w:cs="Arial"/>
        </w:rPr>
        <w:t xml:space="preserve"> </w:t>
      </w:r>
      <w:r w:rsidR="00613C2C" w:rsidRPr="00FA0E54">
        <w:rPr>
          <w:rFonts w:cs="Arial"/>
        </w:rPr>
        <w:t>proposed class exemption</w:t>
      </w:r>
      <w:r w:rsidR="004D29C4" w:rsidRPr="00FA0E54">
        <w:rPr>
          <w:rFonts w:cs="Arial"/>
        </w:rPr>
        <w:t xml:space="preserve"> generally and </w:t>
      </w:r>
      <w:r w:rsidR="00613C2C" w:rsidRPr="00FA0E54">
        <w:rPr>
          <w:rFonts w:cs="Arial"/>
        </w:rPr>
        <w:t xml:space="preserve">canvassed </w:t>
      </w:r>
      <w:r w:rsidR="004D29C4" w:rsidRPr="00FA0E54">
        <w:rPr>
          <w:rFonts w:cs="Arial"/>
        </w:rPr>
        <w:t>specific i</w:t>
      </w:r>
      <w:r w:rsidR="00802E84" w:rsidRPr="00FA0E54">
        <w:rPr>
          <w:rFonts w:cs="Arial"/>
        </w:rPr>
        <w:t>ssues</w:t>
      </w:r>
      <w:r w:rsidR="00052F31" w:rsidRPr="00FA0E54">
        <w:rPr>
          <w:rFonts w:cs="Arial"/>
        </w:rPr>
        <w:t xml:space="preserve">, </w:t>
      </w:r>
      <w:r w:rsidR="007103F7" w:rsidRPr="00FA0E54">
        <w:rPr>
          <w:rFonts w:cs="Arial"/>
        </w:rPr>
        <w:t xml:space="preserve">including </w:t>
      </w:r>
      <w:r w:rsidR="00802E84" w:rsidRPr="00FA0E54">
        <w:rPr>
          <w:rFonts w:cs="Arial"/>
        </w:rPr>
        <w:t xml:space="preserve">who should be eligible </w:t>
      </w:r>
      <w:r w:rsidR="0081506F" w:rsidRPr="00FA0E54">
        <w:rPr>
          <w:rFonts w:cs="Arial"/>
        </w:rPr>
        <w:t xml:space="preserve">for the class exemption, </w:t>
      </w:r>
      <w:r w:rsidR="00F30A7D" w:rsidRPr="00FA0E54">
        <w:rPr>
          <w:rFonts w:cs="Arial"/>
        </w:rPr>
        <w:t>potential limitations on the</w:t>
      </w:r>
      <w:r w:rsidR="0081506F" w:rsidRPr="00FA0E54">
        <w:rPr>
          <w:rFonts w:cs="Arial"/>
        </w:rPr>
        <w:t xml:space="preserve"> </w:t>
      </w:r>
      <w:r w:rsidR="00613C2C" w:rsidRPr="00FA0E54">
        <w:rPr>
          <w:rFonts w:cs="Arial"/>
        </w:rPr>
        <w:t xml:space="preserve">size and representation of </w:t>
      </w:r>
      <w:r w:rsidR="0081506F" w:rsidRPr="00FA0E54">
        <w:rPr>
          <w:rFonts w:cs="Arial"/>
        </w:rPr>
        <w:t>group</w:t>
      </w:r>
      <w:r w:rsidR="00613C2C" w:rsidRPr="00FA0E54">
        <w:rPr>
          <w:rFonts w:cs="Arial"/>
        </w:rPr>
        <w:t>s</w:t>
      </w:r>
      <w:r w:rsidR="002773D4" w:rsidRPr="00FA0E54">
        <w:rPr>
          <w:rFonts w:cs="Arial"/>
        </w:rPr>
        <w:t xml:space="preserve">, and how the ACCC’s </w:t>
      </w:r>
      <w:r w:rsidR="00BA3746" w:rsidRPr="00FA0E54">
        <w:rPr>
          <w:rFonts w:cs="Arial"/>
        </w:rPr>
        <w:t xml:space="preserve">further </w:t>
      </w:r>
      <w:r w:rsidR="002773D4" w:rsidRPr="00FA0E54">
        <w:rPr>
          <w:rFonts w:cs="Arial"/>
        </w:rPr>
        <w:t>consultation</w:t>
      </w:r>
      <w:r w:rsidR="00802E84" w:rsidRPr="00FA0E54">
        <w:rPr>
          <w:rFonts w:cs="Arial"/>
        </w:rPr>
        <w:t xml:space="preserve"> process</w:t>
      </w:r>
      <w:r w:rsidR="002773D4" w:rsidRPr="00FA0E54">
        <w:rPr>
          <w:rFonts w:cs="Arial"/>
        </w:rPr>
        <w:t xml:space="preserve"> should be structured.</w:t>
      </w:r>
      <w:r w:rsidR="00E918C4" w:rsidRPr="00FA0E54">
        <w:rPr>
          <w:rFonts w:cs="Arial"/>
        </w:rPr>
        <w:t xml:space="preserve"> </w:t>
      </w:r>
      <w:r w:rsidR="004011CB" w:rsidRPr="00FA0E54">
        <w:rPr>
          <w:rFonts w:cs="Arial"/>
        </w:rPr>
        <w:t>The feedback was highly positive and assisted the ACCC in framing its further consultation</w:t>
      </w:r>
      <w:r w:rsidR="00474DA1" w:rsidRPr="00FA0E54">
        <w:rPr>
          <w:rFonts w:cs="Arial"/>
        </w:rPr>
        <w:t xml:space="preserve">. </w:t>
      </w:r>
    </w:p>
    <w:p w14:paraId="4D95F5BE" w14:textId="4AE86B04" w:rsidR="00052F31" w:rsidRPr="00FA0E54" w:rsidRDefault="00715CCB" w:rsidP="008E493B">
      <w:pPr>
        <w:pStyle w:val="ListParagraph"/>
        <w:numPr>
          <w:ilvl w:val="0"/>
          <w:numId w:val="11"/>
        </w:numPr>
        <w:tabs>
          <w:tab w:val="clear" w:pos="340"/>
          <w:tab w:val="left" w:pos="567"/>
        </w:tabs>
        <w:ind w:left="567" w:hanging="567"/>
      </w:pPr>
      <w:r w:rsidRPr="00FA0E54">
        <w:rPr>
          <w:rFonts w:cs="Arial"/>
        </w:rPr>
        <w:lastRenderedPageBreak/>
        <w:t>In the</w:t>
      </w:r>
      <w:r w:rsidR="002A674B" w:rsidRPr="00FA0E54">
        <w:rPr>
          <w:rFonts w:cs="Arial"/>
        </w:rPr>
        <w:t xml:space="preserve"> second </w:t>
      </w:r>
      <w:r w:rsidR="00E9692F" w:rsidRPr="00FA0E54">
        <w:rPr>
          <w:rFonts w:cs="Arial"/>
        </w:rPr>
        <w:t>phase</w:t>
      </w:r>
      <w:r w:rsidR="00BA3746" w:rsidRPr="00FA0E54">
        <w:rPr>
          <w:rFonts w:cs="Arial"/>
        </w:rPr>
        <w:t xml:space="preserve">, commencing </w:t>
      </w:r>
      <w:r w:rsidR="00802E84" w:rsidRPr="00FA0E54">
        <w:rPr>
          <w:rFonts w:cs="Arial"/>
        </w:rPr>
        <w:t xml:space="preserve">in </w:t>
      </w:r>
      <w:r w:rsidR="0006103E" w:rsidRPr="00FA0E54">
        <w:rPr>
          <w:rFonts w:cs="Arial"/>
          <w:b/>
        </w:rPr>
        <w:t>Augu</w:t>
      </w:r>
      <w:r w:rsidRPr="00FA0E54">
        <w:rPr>
          <w:rFonts w:cs="Arial"/>
          <w:b/>
        </w:rPr>
        <w:t>st 2018</w:t>
      </w:r>
      <w:r w:rsidRPr="00FA0E54">
        <w:rPr>
          <w:rFonts w:cs="Arial"/>
        </w:rPr>
        <w:t xml:space="preserve">, the ACCC released </w:t>
      </w:r>
      <w:r w:rsidR="002A674B" w:rsidRPr="00FA0E54">
        <w:rPr>
          <w:rFonts w:cs="Arial"/>
        </w:rPr>
        <w:t xml:space="preserve">a </w:t>
      </w:r>
      <w:hyperlink r:id="rId10" w:history="1">
        <w:r w:rsidR="00F40FF2" w:rsidRPr="00FA0E54">
          <w:rPr>
            <w:rStyle w:val="Hyperlink"/>
            <w:rFonts w:cs="Arial"/>
          </w:rPr>
          <w:t>discussion</w:t>
        </w:r>
        <w:r w:rsidR="002A674B" w:rsidRPr="00FA0E54">
          <w:rPr>
            <w:rStyle w:val="Hyperlink"/>
            <w:rFonts w:cs="Arial"/>
          </w:rPr>
          <w:t xml:space="preserve"> paper</w:t>
        </w:r>
      </w:hyperlink>
      <w:r w:rsidR="002A674B" w:rsidRPr="00FA0E54">
        <w:rPr>
          <w:rFonts w:cs="Arial"/>
        </w:rPr>
        <w:t xml:space="preserve"> </w:t>
      </w:r>
      <w:r w:rsidR="00E918C4" w:rsidRPr="00FA0E54">
        <w:rPr>
          <w:rFonts w:cs="Arial"/>
        </w:rPr>
        <w:t>seeking</w:t>
      </w:r>
      <w:r w:rsidR="00336406" w:rsidRPr="00FA0E54">
        <w:rPr>
          <w:rFonts w:cs="Arial"/>
        </w:rPr>
        <w:t xml:space="preserve"> feedback on a range of issues related to the </w:t>
      </w:r>
      <w:r w:rsidR="00BA3746" w:rsidRPr="00FA0E54">
        <w:rPr>
          <w:rFonts w:cs="Arial"/>
        </w:rPr>
        <w:t xml:space="preserve">possible </w:t>
      </w:r>
      <w:r w:rsidR="00336406" w:rsidRPr="00FA0E54">
        <w:rPr>
          <w:rFonts w:cs="Arial"/>
        </w:rPr>
        <w:t>scope</w:t>
      </w:r>
      <w:r w:rsidR="002A674B" w:rsidRPr="00FA0E54">
        <w:rPr>
          <w:rFonts w:cs="Arial"/>
        </w:rPr>
        <w:t xml:space="preserve"> and operation of the class exemption.</w:t>
      </w:r>
      <w:r w:rsidR="00052F31" w:rsidRPr="00FA0E54">
        <w:rPr>
          <w:rFonts w:cs="Arial"/>
        </w:rPr>
        <w:t xml:space="preserve"> The main issues </w:t>
      </w:r>
      <w:r w:rsidR="004011CB" w:rsidRPr="00FA0E54">
        <w:rPr>
          <w:rFonts w:cs="Arial"/>
        </w:rPr>
        <w:t xml:space="preserve">that </w:t>
      </w:r>
      <w:r w:rsidR="00565A71" w:rsidRPr="00FA0E54">
        <w:rPr>
          <w:rFonts w:cs="Arial"/>
        </w:rPr>
        <w:t>the</w:t>
      </w:r>
      <w:r w:rsidR="00052F31" w:rsidRPr="00FA0E54">
        <w:rPr>
          <w:rFonts w:cs="Arial"/>
        </w:rPr>
        <w:t xml:space="preserve"> ACCC sought feedback </w:t>
      </w:r>
      <w:r w:rsidR="004011CB" w:rsidRPr="00FA0E54">
        <w:rPr>
          <w:rFonts w:cs="Arial"/>
        </w:rPr>
        <w:t xml:space="preserve">on </w:t>
      </w:r>
      <w:r w:rsidR="00565A71" w:rsidRPr="00FA0E54">
        <w:rPr>
          <w:rFonts w:cs="Arial"/>
        </w:rPr>
        <w:t>included</w:t>
      </w:r>
      <w:r w:rsidR="00052F31" w:rsidRPr="00FA0E54">
        <w:rPr>
          <w:rFonts w:cs="Arial"/>
        </w:rPr>
        <w:t>:</w:t>
      </w:r>
    </w:p>
    <w:p w14:paraId="7BE60D91" w14:textId="5058B5C1" w:rsidR="00565A71" w:rsidRPr="00FA0E54" w:rsidRDefault="00052F31" w:rsidP="008E493B">
      <w:pPr>
        <w:pStyle w:val="ListParagraph"/>
        <w:numPr>
          <w:ilvl w:val="0"/>
          <w:numId w:val="17"/>
        </w:numPr>
        <w:ind w:left="1418"/>
      </w:pPr>
      <w:r w:rsidRPr="00FA0E54">
        <w:t>which businesses should come within the scope of the collective bargaining class exemption</w:t>
      </w:r>
      <w:r w:rsidR="00565A71" w:rsidRPr="00FA0E54">
        <w:t>, including whether limits on</w:t>
      </w:r>
      <w:r w:rsidR="004011CB" w:rsidRPr="00FA0E54">
        <w:t xml:space="preserve"> each business’</w:t>
      </w:r>
      <w:r w:rsidR="00782422" w:rsidRPr="00FA0E54">
        <w:t>s</w:t>
      </w:r>
      <w:r w:rsidR="00565A71" w:rsidRPr="00FA0E54">
        <w:t xml:space="preserve"> turnover, employee numbers, contract value or market share were appropriate </w:t>
      </w:r>
    </w:p>
    <w:p w14:paraId="3ABB3933" w14:textId="5E855D85" w:rsidR="00565A71" w:rsidRPr="00FA0E54" w:rsidRDefault="00565A71" w:rsidP="008E493B">
      <w:pPr>
        <w:pStyle w:val="ListParagraph"/>
        <w:numPr>
          <w:ilvl w:val="0"/>
          <w:numId w:val="17"/>
        </w:numPr>
        <w:ind w:left="1418"/>
      </w:pPr>
      <w:r w:rsidRPr="00FA0E54">
        <w:t xml:space="preserve">whether there should be </w:t>
      </w:r>
      <w:r w:rsidR="004011CB" w:rsidRPr="00FA0E54">
        <w:t>limits</w:t>
      </w:r>
      <w:r w:rsidRPr="00FA0E54">
        <w:t xml:space="preserve"> on the size of the bargaining group (such as a market share cap) or the target</w:t>
      </w:r>
    </w:p>
    <w:p w14:paraId="266B7604" w14:textId="77777777" w:rsidR="00565A71" w:rsidRPr="00FA0E54" w:rsidRDefault="00565A71" w:rsidP="008E493B">
      <w:pPr>
        <w:pStyle w:val="ListParagraph"/>
        <w:numPr>
          <w:ilvl w:val="0"/>
          <w:numId w:val="17"/>
        </w:numPr>
        <w:ind w:left="1418"/>
      </w:pPr>
      <w:r w:rsidRPr="00FA0E54">
        <w:t>the extent to which information sharing should be permitted</w:t>
      </w:r>
    </w:p>
    <w:p w14:paraId="7B760A08" w14:textId="696F9937" w:rsidR="00052F31" w:rsidRPr="00FA0E54" w:rsidRDefault="00565A71" w:rsidP="008E493B">
      <w:pPr>
        <w:pStyle w:val="ListParagraph"/>
        <w:numPr>
          <w:ilvl w:val="0"/>
          <w:numId w:val="17"/>
        </w:numPr>
        <w:ind w:left="1418"/>
      </w:pPr>
      <w:r w:rsidRPr="00FA0E54">
        <w:t xml:space="preserve">whether a group should be required to notify the target and/or ACCC of its formation, and </w:t>
      </w:r>
    </w:p>
    <w:p w14:paraId="7A6BC140" w14:textId="21201C0C" w:rsidR="00052F31" w:rsidRPr="00FA0E54" w:rsidRDefault="00052F31" w:rsidP="008E493B">
      <w:pPr>
        <w:pStyle w:val="ListParagraph"/>
        <w:numPr>
          <w:ilvl w:val="0"/>
          <w:numId w:val="17"/>
        </w:numPr>
        <w:ind w:left="1418"/>
      </w:pPr>
      <w:r w:rsidRPr="00FA0E54">
        <w:t xml:space="preserve">whether a class exemption should permit franchisees to collectively bargain with their franchisor regardless of their size or other characteristics. </w:t>
      </w:r>
    </w:p>
    <w:p w14:paraId="152BC30B" w14:textId="79A2459A" w:rsidR="001B5336" w:rsidRPr="00FA0E54" w:rsidRDefault="002A674B" w:rsidP="008E493B">
      <w:pPr>
        <w:pStyle w:val="ListParagraph"/>
        <w:numPr>
          <w:ilvl w:val="0"/>
          <w:numId w:val="11"/>
        </w:numPr>
        <w:tabs>
          <w:tab w:val="clear" w:pos="340"/>
          <w:tab w:val="left" w:pos="567"/>
        </w:tabs>
        <w:ind w:left="567" w:hanging="567"/>
        <w:rPr>
          <w:rFonts w:cs="Arial"/>
        </w:rPr>
      </w:pPr>
      <w:r w:rsidRPr="00FA0E54">
        <w:rPr>
          <w:rFonts w:cs="Arial"/>
        </w:rPr>
        <w:t xml:space="preserve">This </w:t>
      </w:r>
      <w:r w:rsidR="00BA3746" w:rsidRPr="00FA0E54">
        <w:rPr>
          <w:rFonts w:cs="Arial"/>
        </w:rPr>
        <w:t>discussion</w:t>
      </w:r>
      <w:r w:rsidR="00802E84" w:rsidRPr="00FA0E54">
        <w:rPr>
          <w:rFonts w:cs="Arial"/>
        </w:rPr>
        <w:t xml:space="preserve"> paper </w:t>
      </w:r>
      <w:r w:rsidRPr="00FA0E54">
        <w:rPr>
          <w:rFonts w:cs="Arial"/>
        </w:rPr>
        <w:t xml:space="preserve">was distributed to </w:t>
      </w:r>
      <w:r w:rsidR="00336406" w:rsidRPr="00FA0E54">
        <w:rPr>
          <w:rFonts w:cs="Arial"/>
        </w:rPr>
        <w:t>an extensive list of stakeholders</w:t>
      </w:r>
      <w:r w:rsidR="00336406" w:rsidRPr="00FA0E54">
        <w:rPr>
          <w:vertAlign w:val="superscript"/>
        </w:rPr>
        <w:footnoteReference w:id="11"/>
      </w:r>
      <w:r w:rsidR="00336406" w:rsidRPr="00FA0E54">
        <w:rPr>
          <w:rFonts w:cs="Arial"/>
        </w:rPr>
        <w:t xml:space="preserve"> and published on the ACCC’s website. </w:t>
      </w:r>
      <w:r w:rsidR="0006103E" w:rsidRPr="00FA0E54">
        <w:rPr>
          <w:rFonts w:cs="Arial"/>
        </w:rPr>
        <w:t xml:space="preserve">The ACCC received </w:t>
      </w:r>
      <w:r w:rsidR="00052F31" w:rsidRPr="00FA0E54">
        <w:rPr>
          <w:rFonts w:cs="Arial"/>
        </w:rPr>
        <w:t xml:space="preserve">41 </w:t>
      </w:r>
      <w:r w:rsidR="00083551" w:rsidRPr="00FA0E54">
        <w:rPr>
          <w:rFonts w:cs="Arial"/>
        </w:rPr>
        <w:t>submissions in response</w:t>
      </w:r>
      <w:r w:rsidR="00052F31" w:rsidRPr="00FA0E54">
        <w:rPr>
          <w:rFonts w:cs="Arial"/>
        </w:rPr>
        <w:t xml:space="preserve">, </w:t>
      </w:r>
      <w:r w:rsidR="00AF5D59" w:rsidRPr="00FA0E54">
        <w:rPr>
          <w:rFonts w:cs="Arial"/>
        </w:rPr>
        <w:t xml:space="preserve">the </w:t>
      </w:r>
      <w:r w:rsidR="00E918C4" w:rsidRPr="00FA0E54">
        <w:rPr>
          <w:rFonts w:cs="Arial"/>
        </w:rPr>
        <w:t xml:space="preserve">vast </w:t>
      </w:r>
      <w:r w:rsidR="00AF5D59" w:rsidRPr="00FA0E54">
        <w:rPr>
          <w:rFonts w:cs="Arial"/>
        </w:rPr>
        <w:t xml:space="preserve">majority of which </w:t>
      </w:r>
      <w:r w:rsidR="00E918C4" w:rsidRPr="00FA0E54">
        <w:rPr>
          <w:rFonts w:cs="Arial"/>
        </w:rPr>
        <w:t>supported a</w:t>
      </w:r>
      <w:r w:rsidR="00052F31" w:rsidRPr="00FA0E54">
        <w:rPr>
          <w:rFonts w:cs="Arial"/>
        </w:rPr>
        <w:t xml:space="preserve"> collective bargaining class exemption.</w:t>
      </w:r>
      <w:r w:rsidR="00AF5D59" w:rsidRPr="00FA0E54">
        <w:rPr>
          <w:rFonts w:cs="Arial"/>
        </w:rPr>
        <w:t xml:space="preserve"> </w:t>
      </w:r>
    </w:p>
    <w:p w14:paraId="4590097E" w14:textId="439218E6" w:rsidR="008E493B" w:rsidRPr="00FA0E54" w:rsidRDefault="00E918C4" w:rsidP="008E493B">
      <w:pPr>
        <w:pStyle w:val="ListParagraph"/>
        <w:numPr>
          <w:ilvl w:val="0"/>
          <w:numId w:val="11"/>
        </w:numPr>
        <w:tabs>
          <w:tab w:val="clear" w:pos="340"/>
          <w:tab w:val="left" w:pos="567"/>
        </w:tabs>
        <w:ind w:left="567" w:hanging="567"/>
        <w:rPr>
          <w:rFonts w:cs="Arial"/>
        </w:rPr>
      </w:pPr>
      <w:r w:rsidRPr="00FA0E54">
        <w:rPr>
          <w:rFonts w:cs="Arial"/>
        </w:rPr>
        <w:t xml:space="preserve">In both the first and second </w:t>
      </w:r>
      <w:r w:rsidR="00E9692F" w:rsidRPr="00FA0E54">
        <w:rPr>
          <w:rFonts w:cs="Arial"/>
        </w:rPr>
        <w:t>phase</w:t>
      </w:r>
      <w:r w:rsidR="00474DA1" w:rsidRPr="00FA0E54">
        <w:rPr>
          <w:rFonts w:cs="Arial"/>
        </w:rPr>
        <w:t>s</w:t>
      </w:r>
      <w:r w:rsidR="00E9692F" w:rsidRPr="00FA0E54">
        <w:rPr>
          <w:rFonts w:cs="Arial"/>
        </w:rPr>
        <w:t xml:space="preserve"> </w:t>
      </w:r>
      <w:r w:rsidRPr="00FA0E54">
        <w:rPr>
          <w:rFonts w:cs="Arial"/>
        </w:rPr>
        <w:t xml:space="preserve">of consultation, stakeholders expressed </w:t>
      </w:r>
      <w:r w:rsidR="00AF5D59" w:rsidRPr="00FA0E54">
        <w:rPr>
          <w:rFonts w:cs="Arial"/>
        </w:rPr>
        <w:t>a range of views about the form the class exemption should take</w:t>
      </w:r>
      <w:r w:rsidR="00802E84" w:rsidRPr="00FA0E54">
        <w:rPr>
          <w:rFonts w:cs="Arial"/>
        </w:rPr>
        <w:t xml:space="preserve">. </w:t>
      </w:r>
      <w:r w:rsidR="00E9692F" w:rsidRPr="00FA0E54">
        <w:rPr>
          <w:rFonts w:cs="Arial"/>
        </w:rPr>
        <w:t xml:space="preserve">Many </w:t>
      </w:r>
      <w:r w:rsidRPr="00FA0E54">
        <w:rPr>
          <w:rFonts w:cs="Arial"/>
        </w:rPr>
        <w:t>suggest</w:t>
      </w:r>
      <w:r w:rsidR="00802E84" w:rsidRPr="00FA0E54">
        <w:rPr>
          <w:rFonts w:cs="Arial"/>
        </w:rPr>
        <w:t xml:space="preserve">ed </w:t>
      </w:r>
      <w:r w:rsidRPr="00FA0E54">
        <w:rPr>
          <w:rFonts w:cs="Arial"/>
        </w:rPr>
        <w:t xml:space="preserve">that </w:t>
      </w:r>
      <w:r w:rsidR="00802E84" w:rsidRPr="00FA0E54">
        <w:rPr>
          <w:rFonts w:cs="Arial"/>
        </w:rPr>
        <w:t>the class exemption should</w:t>
      </w:r>
      <w:r w:rsidR="00AF5D59" w:rsidRPr="00FA0E54">
        <w:rPr>
          <w:rFonts w:cs="Arial"/>
        </w:rPr>
        <w:t xml:space="preserve"> be structured to accommodate the characteristics of </w:t>
      </w:r>
      <w:r w:rsidRPr="00FA0E54">
        <w:rPr>
          <w:rFonts w:cs="Arial"/>
        </w:rPr>
        <w:t xml:space="preserve">their </w:t>
      </w:r>
      <w:r w:rsidR="00802E84" w:rsidRPr="00FA0E54">
        <w:rPr>
          <w:rFonts w:cs="Arial"/>
        </w:rPr>
        <w:t>particular</w:t>
      </w:r>
      <w:r w:rsidR="00AF5D59" w:rsidRPr="00FA0E54">
        <w:rPr>
          <w:rFonts w:cs="Arial"/>
        </w:rPr>
        <w:t xml:space="preserve"> industry</w:t>
      </w:r>
      <w:r w:rsidR="00E9692F" w:rsidRPr="00FA0E54">
        <w:rPr>
          <w:rFonts w:cs="Arial"/>
        </w:rPr>
        <w:t>,</w:t>
      </w:r>
      <w:r w:rsidR="00802E84" w:rsidRPr="00FA0E54">
        <w:rPr>
          <w:rFonts w:cs="Arial"/>
        </w:rPr>
        <w:t xml:space="preserve"> </w:t>
      </w:r>
      <w:r w:rsidR="00E9692F" w:rsidRPr="00FA0E54">
        <w:rPr>
          <w:rFonts w:cs="Arial"/>
        </w:rPr>
        <w:t>while some supported</w:t>
      </w:r>
      <w:r w:rsidRPr="00FA0E54">
        <w:rPr>
          <w:rFonts w:cs="Arial"/>
        </w:rPr>
        <w:t xml:space="preserve"> limitations on the </w:t>
      </w:r>
      <w:r w:rsidR="00A77362" w:rsidRPr="00FA0E54">
        <w:rPr>
          <w:rFonts w:cs="Arial"/>
        </w:rPr>
        <w:t>size of bargaining groups that could be formed</w:t>
      </w:r>
      <w:r w:rsidRPr="00FA0E54">
        <w:rPr>
          <w:rFonts w:cs="Arial"/>
        </w:rPr>
        <w:t>. However,</w:t>
      </w:r>
      <w:r w:rsidR="00E9692F" w:rsidRPr="00FA0E54">
        <w:rPr>
          <w:rFonts w:cs="Arial"/>
        </w:rPr>
        <w:t xml:space="preserve"> in </w:t>
      </w:r>
      <w:r w:rsidR="00474DA1" w:rsidRPr="00FA0E54">
        <w:rPr>
          <w:rFonts w:cs="Arial"/>
        </w:rPr>
        <w:t>deciding to adopt</w:t>
      </w:r>
      <w:r w:rsidR="00E9692F" w:rsidRPr="00FA0E54">
        <w:rPr>
          <w:rFonts w:cs="Arial"/>
        </w:rPr>
        <w:t xml:space="preserve"> the $10 million </w:t>
      </w:r>
      <w:r w:rsidR="00474DA1" w:rsidRPr="00FA0E54">
        <w:rPr>
          <w:rFonts w:cs="Arial"/>
        </w:rPr>
        <w:t xml:space="preserve">aggregated turnover </w:t>
      </w:r>
      <w:r w:rsidR="00E9692F" w:rsidRPr="00FA0E54">
        <w:rPr>
          <w:rFonts w:cs="Arial"/>
        </w:rPr>
        <w:t>threshold</w:t>
      </w:r>
      <w:r w:rsidR="0099405E" w:rsidRPr="00FA0E54">
        <w:rPr>
          <w:rFonts w:cs="Arial"/>
        </w:rPr>
        <w:t xml:space="preserve"> </w:t>
      </w:r>
      <w:r w:rsidR="00474DA1" w:rsidRPr="00FA0E54">
        <w:rPr>
          <w:rFonts w:cs="Arial"/>
        </w:rPr>
        <w:t>(</w:t>
      </w:r>
      <w:r w:rsidR="00802E84" w:rsidRPr="00FA0E54">
        <w:rPr>
          <w:rFonts w:cs="Arial"/>
        </w:rPr>
        <w:t>as discussed further below</w:t>
      </w:r>
      <w:r w:rsidR="00474DA1" w:rsidRPr="00FA0E54">
        <w:rPr>
          <w:rFonts w:cs="Arial"/>
        </w:rPr>
        <w:t>)</w:t>
      </w:r>
      <w:r w:rsidR="00802E84" w:rsidRPr="00FA0E54">
        <w:rPr>
          <w:rFonts w:cs="Arial"/>
        </w:rPr>
        <w:t xml:space="preserve">, </w:t>
      </w:r>
      <w:r w:rsidR="007103F7" w:rsidRPr="00FA0E54">
        <w:rPr>
          <w:rFonts w:cs="Arial"/>
        </w:rPr>
        <w:t xml:space="preserve">the ACCC </w:t>
      </w:r>
      <w:r w:rsidR="00474DA1" w:rsidRPr="00FA0E54">
        <w:rPr>
          <w:rFonts w:cs="Arial"/>
        </w:rPr>
        <w:t>sought</w:t>
      </w:r>
      <w:r w:rsidR="00E9692F" w:rsidRPr="00FA0E54">
        <w:rPr>
          <w:rFonts w:cs="Arial"/>
        </w:rPr>
        <w:t xml:space="preserve"> to ensure that the criteria adhered to broader </w:t>
      </w:r>
      <w:r w:rsidR="00715CCB" w:rsidRPr="00FA0E54">
        <w:rPr>
          <w:rFonts w:cs="Arial"/>
        </w:rPr>
        <w:t>objectives</w:t>
      </w:r>
      <w:r w:rsidR="00474DA1" w:rsidRPr="00FA0E54">
        <w:rPr>
          <w:rFonts w:cs="Arial"/>
        </w:rPr>
        <w:t>: that</w:t>
      </w:r>
      <w:r w:rsidR="00715CCB" w:rsidRPr="00FA0E54">
        <w:rPr>
          <w:rFonts w:cs="Arial"/>
        </w:rPr>
        <w:t xml:space="preserve"> </w:t>
      </w:r>
      <w:r w:rsidR="007103F7" w:rsidRPr="00FA0E54">
        <w:rPr>
          <w:rFonts w:cs="Arial"/>
        </w:rPr>
        <w:t xml:space="preserve">the </w:t>
      </w:r>
      <w:r w:rsidR="0099405E" w:rsidRPr="00FA0E54">
        <w:rPr>
          <w:rFonts w:cs="Arial"/>
        </w:rPr>
        <w:t xml:space="preserve">class exemption apply broadly to </w:t>
      </w:r>
      <w:r w:rsidR="007D5A70" w:rsidRPr="00FA0E54">
        <w:rPr>
          <w:rFonts w:cs="Arial"/>
        </w:rPr>
        <w:t>be useful for businesses</w:t>
      </w:r>
      <w:r w:rsidR="007000B8" w:rsidRPr="00FA0E54">
        <w:rPr>
          <w:rFonts w:cs="Arial"/>
        </w:rPr>
        <w:t>,</w:t>
      </w:r>
      <w:r w:rsidR="00715CCB" w:rsidRPr="00FA0E54">
        <w:rPr>
          <w:rFonts w:cs="Arial"/>
        </w:rPr>
        <w:t xml:space="preserve"> </w:t>
      </w:r>
      <w:r w:rsidR="007D5A70" w:rsidRPr="00FA0E54">
        <w:rPr>
          <w:rFonts w:cs="Arial"/>
        </w:rPr>
        <w:t>while only covering</w:t>
      </w:r>
      <w:r w:rsidR="00A77362" w:rsidRPr="00FA0E54">
        <w:rPr>
          <w:rFonts w:cs="Arial"/>
        </w:rPr>
        <w:t xml:space="preserve"> conduct that poses very little risk to competition and/or leads to overall public benefits</w:t>
      </w:r>
      <w:r w:rsidR="00632DC5" w:rsidRPr="00FA0E54">
        <w:rPr>
          <w:rFonts w:cs="Arial"/>
        </w:rPr>
        <w:t>,</w:t>
      </w:r>
      <w:r w:rsidR="007D5A70" w:rsidRPr="00FA0E54">
        <w:rPr>
          <w:rFonts w:cs="Arial"/>
        </w:rPr>
        <w:t xml:space="preserve"> and</w:t>
      </w:r>
      <w:r w:rsidR="00715CCB" w:rsidRPr="00FA0E54">
        <w:rPr>
          <w:rFonts w:cs="Arial"/>
        </w:rPr>
        <w:t xml:space="preserve"> remaining </w:t>
      </w:r>
      <w:r w:rsidRPr="00FA0E54">
        <w:rPr>
          <w:rFonts w:cs="Arial"/>
        </w:rPr>
        <w:t>practical enough</w:t>
      </w:r>
      <w:r w:rsidR="0099405E" w:rsidRPr="00FA0E54">
        <w:rPr>
          <w:rFonts w:cs="Arial"/>
        </w:rPr>
        <w:t xml:space="preserve"> </w:t>
      </w:r>
      <w:r w:rsidR="00715CCB" w:rsidRPr="00FA0E54">
        <w:rPr>
          <w:rFonts w:cs="Arial"/>
        </w:rPr>
        <w:t>for businesses to</w:t>
      </w:r>
      <w:r w:rsidR="0099405E" w:rsidRPr="00FA0E54">
        <w:rPr>
          <w:rFonts w:cs="Arial"/>
        </w:rPr>
        <w:t xml:space="preserve"> self-assess against</w:t>
      </w:r>
      <w:r w:rsidR="00AF5D59" w:rsidRPr="00FA0E54">
        <w:rPr>
          <w:rFonts w:cs="Arial"/>
        </w:rPr>
        <w:t>.</w:t>
      </w:r>
      <w:r w:rsidR="00E9692F" w:rsidRPr="00FA0E54">
        <w:rPr>
          <w:rFonts w:cs="Arial"/>
        </w:rPr>
        <w:t xml:space="preserve"> </w:t>
      </w:r>
    </w:p>
    <w:p w14:paraId="63BD569F" w14:textId="77777777" w:rsidR="008E493B" w:rsidRPr="00FA0E54" w:rsidRDefault="00E9692F" w:rsidP="008E493B">
      <w:pPr>
        <w:pStyle w:val="ListParagraph"/>
        <w:numPr>
          <w:ilvl w:val="0"/>
          <w:numId w:val="11"/>
        </w:numPr>
        <w:tabs>
          <w:tab w:val="clear" w:pos="340"/>
          <w:tab w:val="left" w:pos="567"/>
        </w:tabs>
        <w:ind w:left="567" w:hanging="567"/>
        <w:rPr>
          <w:rFonts w:cs="Arial"/>
        </w:rPr>
      </w:pPr>
      <w:r w:rsidRPr="00FA0E54">
        <w:rPr>
          <w:rFonts w:cs="Arial"/>
        </w:rPr>
        <w:t xml:space="preserve">After reviewing this feedback, in </w:t>
      </w:r>
      <w:r w:rsidRPr="00FA0E54">
        <w:rPr>
          <w:rFonts w:cs="Arial"/>
          <w:b/>
        </w:rPr>
        <w:t xml:space="preserve">December 2018 </w:t>
      </w:r>
      <w:r w:rsidR="0006103E" w:rsidRPr="00FA0E54">
        <w:rPr>
          <w:rFonts w:cs="Arial"/>
        </w:rPr>
        <w:t>the ACCC sent a</w:t>
      </w:r>
      <w:r w:rsidR="00336406" w:rsidRPr="00FA0E54">
        <w:rPr>
          <w:rFonts w:cs="Arial"/>
        </w:rPr>
        <w:t xml:space="preserve"> </w:t>
      </w:r>
      <w:hyperlink r:id="rId11" w:history="1">
        <w:r w:rsidR="00336406" w:rsidRPr="00FA0E54">
          <w:rPr>
            <w:rStyle w:val="Hyperlink"/>
            <w:rFonts w:cs="Arial"/>
          </w:rPr>
          <w:t>short update</w:t>
        </w:r>
      </w:hyperlink>
      <w:r w:rsidR="00336406" w:rsidRPr="00FA0E54">
        <w:rPr>
          <w:rFonts w:cs="Arial"/>
        </w:rPr>
        <w:t xml:space="preserve"> </w:t>
      </w:r>
      <w:r w:rsidR="00073401" w:rsidRPr="00FA0E54">
        <w:rPr>
          <w:rFonts w:cs="Arial"/>
        </w:rPr>
        <w:t>to a subset of stakeholders</w:t>
      </w:r>
      <w:r w:rsidR="00613C2C" w:rsidRPr="00FA0E54">
        <w:rPr>
          <w:rFonts w:cs="Arial"/>
        </w:rPr>
        <w:t>,</w:t>
      </w:r>
      <w:r w:rsidR="0006103E" w:rsidRPr="00FA0E54">
        <w:rPr>
          <w:rFonts w:cs="Arial"/>
        </w:rPr>
        <w:t xml:space="preserve"> </w:t>
      </w:r>
      <w:r w:rsidRPr="00FA0E54">
        <w:rPr>
          <w:rFonts w:cs="Arial"/>
        </w:rPr>
        <w:t>outlining its</w:t>
      </w:r>
      <w:r w:rsidR="00336406" w:rsidRPr="00FA0E54">
        <w:rPr>
          <w:rFonts w:cs="Arial"/>
        </w:rPr>
        <w:t xml:space="preserve"> initial position on each </w:t>
      </w:r>
      <w:r w:rsidR="00715CCB" w:rsidRPr="00FA0E54">
        <w:rPr>
          <w:rFonts w:cs="Arial"/>
        </w:rPr>
        <w:t xml:space="preserve">of the issues </w:t>
      </w:r>
      <w:r w:rsidRPr="00FA0E54">
        <w:rPr>
          <w:rFonts w:cs="Arial"/>
        </w:rPr>
        <w:t xml:space="preserve">canvassed </w:t>
      </w:r>
      <w:r w:rsidR="0006103E" w:rsidRPr="00FA0E54">
        <w:rPr>
          <w:rFonts w:cs="Arial"/>
        </w:rPr>
        <w:t xml:space="preserve">in the </w:t>
      </w:r>
      <w:r w:rsidRPr="00FA0E54">
        <w:rPr>
          <w:rFonts w:cs="Arial"/>
        </w:rPr>
        <w:t>discussion</w:t>
      </w:r>
      <w:r w:rsidR="0006103E" w:rsidRPr="00FA0E54">
        <w:rPr>
          <w:rFonts w:cs="Arial"/>
        </w:rPr>
        <w:t xml:space="preserve"> paper</w:t>
      </w:r>
      <w:r w:rsidR="00336406" w:rsidRPr="00FA0E54">
        <w:rPr>
          <w:rFonts w:cs="Arial"/>
        </w:rPr>
        <w:t>.</w:t>
      </w:r>
      <w:r w:rsidR="00F40FF2" w:rsidRPr="00FA0E54">
        <w:rPr>
          <w:rFonts w:cs="Arial"/>
        </w:rPr>
        <w:t xml:space="preserve"> Parties were advised that </w:t>
      </w:r>
      <w:r w:rsidR="00F40FF2" w:rsidRPr="00FA0E54">
        <w:t>they would have another opportunity to provide their views when the draft version of the class exemption was released for consultation.</w:t>
      </w:r>
    </w:p>
    <w:p w14:paraId="02AC6B49" w14:textId="77777777" w:rsidR="008E493B" w:rsidRPr="00FA0E54" w:rsidRDefault="00715CCB" w:rsidP="008E493B">
      <w:pPr>
        <w:pStyle w:val="ListParagraph"/>
        <w:numPr>
          <w:ilvl w:val="0"/>
          <w:numId w:val="11"/>
        </w:numPr>
        <w:tabs>
          <w:tab w:val="clear" w:pos="340"/>
          <w:tab w:val="left" w:pos="567"/>
        </w:tabs>
        <w:ind w:left="567" w:hanging="567"/>
        <w:rPr>
          <w:rFonts w:cs="Arial"/>
        </w:rPr>
      </w:pPr>
      <w:r w:rsidRPr="00FA0E54">
        <w:rPr>
          <w:rFonts w:cs="Arial"/>
        </w:rPr>
        <w:t xml:space="preserve">During the </w:t>
      </w:r>
      <w:r w:rsidR="00336406" w:rsidRPr="00FA0E54">
        <w:rPr>
          <w:rFonts w:cs="Arial"/>
        </w:rPr>
        <w:t xml:space="preserve">third </w:t>
      </w:r>
      <w:r w:rsidR="00E9692F" w:rsidRPr="00FA0E54">
        <w:rPr>
          <w:rFonts w:cs="Arial"/>
        </w:rPr>
        <w:t xml:space="preserve">phase </w:t>
      </w:r>
      <w:r w:rsidRPr="00FA0E54">
        <w:rPr>
          <w:rFonts w:cs="Arial"/>
        </w:rPr>
        <w:t>of consultation</w:t>
      </w:r>
      <w:r w:rsidR="00BA3746" w:rsidRPr="00FA0E54">
        <w:rPr>
          <w:rFonts w:cs="Arial"/>
        </w:rPr>
        <w:t>, commencing</w:t>
      </w:r>
      <w:r w:rsidRPr="00FA0E54">
        <w:rPr>
          <w:rFonts w:cs="Arial"/>
        </w:rPr>
        <w:t xml:space="preserve"> </w:t>
      </w:r>
      <w:r w:rsidR="00802E84" w:rsidRPr="00FA0E54">
        <w:rPr>
          <w:rFonts w:cs="Arial"/>
        </w:rPr>
        <w:t xml:space="preserve">in </w:t>
      </w:r>
      <w:r w:rsidR="0053022A" w:rsidRPr="00FA0E54">
        <w:rPr>
          <w:rFonts w:cs="Arial"/>
          <w:b/>
        </w:rPr>
        <w:t>June</w:t>
      </w:r>
      <w:r w:rsidRPr="00FA0E54">
        <w:rPr>
          <w:rFonts w:cs="Arial"/>
          <w:b/>
        </w:rPr>
        <w:t xml:space="preserve"> 2019</w:t>
      </w:r>
      <w:r w:rsidRPr="00FA0E54">
        <w:rPr>
          <w:rFonts w:cs="Arial"/>
        </w:rPr>
        <w:t>, the ACCC released</w:t>
      </w:r>
      <w:r w:rsidR="00336406" w:rsidRPr="00FA0E54">
        <w:rPr>
          <w:rFonts w:cs="Arial"/>
        </w:rPr>
        <w:t xml:space="preserve"> a draft version of the legislative instrument, </w:t>
      </w:r>
      <w:r w:rsidR="00802E84" w:rsidRPr="00FA0E54">
        <w:rPr>
          <w:rFonts w:cs="Arial"/>
        </w:rPr>
        <w:t xml:space="preserve">the proposed </w:t>
      </w:r>
      <w:r w:rsidR="00322BDA" w:rsidRPr="00FA0E54">
        <w:rPr>
          <w:rFonts w:cs="Arial"/>
        </w:rPr>
        <w:t>N</w:t>
      </w:r>
      <w:r w:rsidR="00802E84" w:rsidRPr="00FA0E54">
        <w:rPr>
          <w:rFonts w:cs="Arial"/>
        </w:rPr>
        <w:t xml:space="preserve">otice that groups would be required to complete and the accompanying Guidance Note. </w:t>
      </w:r>
      <w:r w:rsidR="004011CB" w:rsidRPr="00FA0E54">
        <w:rPr>
          <w:rFonts w:cs="Arial"/>
        </w:rPr>
        <w:t xml:space="preserve">The ACCC received </w:t>
      </w:r>
      <w:r w:rsidR="00C00CFC" w:rsidRPr="00FA0E54">
        <w:rPr>
          <w:rFonts w:cs="Arial"/>
        </w:rPr>
        <w:t>35</w:t>
      </w:r>
      <w:r w:rsidR="004011CB" w:rsidRPr="00FA0E54">
        <w:rPr>
          <w:rFonts w:cs="Arial"/>
        </w:rPr>
        <w:t xml:space="preserve"> submissions in response. </w:t>
      </w:r>
      <w:r w:rsidR="000348D2" w:rsidRPr="00FA0E54">
        <w:rPr>
          <w:rFonts w:cs="Arial"/>
        </w:rPr>
        <w:t xml:space="preserve">The majority of submissions supported the proposal. Some suggested changes that would help improve the drafting, clarity and user-friendliness of the draft documents (many of which were then incorporated into the finalised versions). </w:t>
      </w:r>
      <w:r w:rsidR="00322BDA" w:rsidRPr="00FA0E54">
        <w:rPr>
          <w:rFonts w:cs="Arial"/>
        </w:rPr>
        <w:t>A</w:t>
      </w:r>
      <w:r w:rsidR="0053022A" w:rsidRPr="00FA0E54">
        <w:rPr>
          <w:rFonts w:cs="Arial"/>
        </w:rPr>
        <w:t xml:space="preserve"> few submissions </w:t>
      </w:r>
      <w:r w:rsidR="000348D2" w:rsidRPr="00FA0E54">
        <w:rPr>
          <w:rFonts w:cs="Arial"/>
        </w:rPr>
        <w:t xml:space="preserve">included </w:t>
      </w:r>
      <w:r w:rsidR="0053022A" w:rsidRPr="00FA0E54">
        <w:rPr>
          <w:rFonts w:cs="Arial"/>
        </w:rPr>
        <w:t>suggest</w:t>
      </w:r>
      <w:r w:rsidR="000348D2" w:rsidRPr="00FA0E54">
        <w:rPr>
          <w:rFonts w:cs="Arial"/>
        </w:rPr>
        <w:t xml:space="preserve">ions for </w:t>
      </w:r>
      <w:r w:rsidR="0053022A" w:rsidRPr="00FA0E54">
        <w:rPr>
          <w:rFonts w:cs="Arial"/>
        </w:rPr>
        <w:t>more fundamental changes to the eligibility criteria to adapt t</w:t>
      </w:r>
      <w:r w:rsidR="00C00CFC" w:rsidRPr="00FA0E54">
        <w:rPr>
          <w:rFonts w:cs="Arial"/>
        </w:rPr>
        <w:t>hem t</w:t>
      </w:r>
      <w:r w:rsidR="0053022A" w:rsidRPr="00FA0E54">
        <w:rPr>
          <w:rFonts w:cs="Arial"/>
        </w:rPr>
        <w:t>o particular</w:t>
      </w:r>
      <w:r w:rsidR="00C00CFC" w:rsidRPr="00FA0E54">
        <w:rPr>
          <w:rFonts w:cs="Arial"/>
        </w:rPr>
        <w:t xml:space="preserve"> industries </w:t>
      </w:r>
      <w:r w:rsidR="00322BDA" w:rsidRPr="00FA0E54">
        <w:rPr>
          <w:rFonts w:cs="Arial"/>
        </w:rPr>
        <w:t xml:space="preserve">(such as increasing the turnover threshold) </w:t>
      </w:r>
      <w:r w:rsidR="00C00CFC" w:rsidRPr="00FA0E54">
        <w:rPr>
          <w:rFonts w:cs="Arial"/>
        </w:rPr>
        <w:t xml:space="preserve">or </w:t>
      </w:r>
      <w:r w:rsidR="00322BDA" w:rsidRPr="00FA0E54">
        <w:rPr>
          <w:rFonts w:cs="Arial"/>
        </w:rPr>
        <w:t xml:space="preserve">capping </w:t>
      </w:r>
      <w:r w:rsidR="0053022A" w:rsidRPr="00FA0E54">
        <w:rPr>
          <w:rFonts w:cs="Arial"/>
        </w:rPr>
        <w:t>group size</w:t>
      </w:r>
      <w:r w:rsidR="00322BDA" w:rsidRPr="00FA0E54">
        <w:rPr>
          <w:rFonts w:cs="Arial"/>
        </w:rPr>
        <w:t xml:space="preserve">. </w:t>
      </w:r>
    </w:p>
    <w:p w14:paraId="38B7D2EC" w14:textId="4E3FDA74" w:rsidR="005E7466" w:rsidRPr="00FA0E54" w:rsidRDefault="00802E84" w:rsidP="008E493B">
      <w:pPr>
        <w:pStyle w:val="ListParagraph"/>
        <w:numPr>
          <w:ilvl w:val="0"/>
          <w:numId w:val="11"/>
        </w:numPr>
        <w:tabs>
          <w:tab w:val="clear" w:pos="340"/>
          <w:tab w:val="left" w:pos="567"/>
        </w:tabs>
        <w:ind w:left="567" w:hanging="567"/>
        <w:rPr>
          <w:rFonts w:cs="Arial"/>
        </w:rPr>
      </w:pPr>
      <w:r w:rsidRPr="00FA0E54">
        <w:rPr>
          <w:rFonts w:cs="Arial"/>
        </w:rPr>
        <w:t>Throughout</w:t>
      </w:r>
      <w:r w:rsidR="00915E68" w:rsidRPr="00FA0E54">
        <w:rPr>
          <w:rFonts w:cs="Arial"/>
        </w:rPr>
        <w:t xml:space="preserve"> the consultation periods</w:t>
      </w:r>
      <w:r w:rsidRPr="00FA0E54">
        <w:rPr>
          <w:rFonts w:cs="Arial"/>
        </w:rPr>
        <w:t>,</w:t>
      </w:r>
      <w:r w:rsidR="00915E68" w:rsidRPr="00FA0E54">
        <w:rPr>
          <w:rFonts w:cs="Arial"/>
        </w:rPr>
        <w:t xml:space="preserve"> the ACCC </w:t>
      </w:r>
      <w:r w:rsidR="000348D2" w:rsidRPr="00FA0E54">
        <w:rPr>
          <w:rFonts w:cs="Arial"/>
        </w:rPr>
        <w:t xml:space="preserve">staff </w:t>
      </w:r>
      <w:r w:rsidRPr="00FA0E54">
        <w:rPr>
          <w:rFonts w:cs="Arial"/>
        </w:rPr>
        <w:t>also</w:t>
      </w:r>
      <w:r w:rsidR="00915E68" w:rsidRPr="00FA0E54">
        <w:rPr>
          <w:rFonts w:cs="Arial"/>
        </w:rPr>
        <w:t xml:space="preserve"> conducted </w:t>
      </w:r>
      <w:r w:rsidR="00C800E3" w:rsidRPr="00FA0E54">
        <w:rPr>
          <w:rFonts w:cs="Arial"/>
        </w:rPr>
        <w:t>nine</w:t>
      </w:r>
      <w:r w:rsidR="00915E68" w:rsidRPr="00FA0E54">
        <w:rPr>
          <w:rFonts w:cs="Arial"/>
        </w:rPr>
        <w:t xml:space="preserve"> </w:t>
      </w:r>
      <w:r w:rsidR="00C800E3" w:rsidRPr="00FA0E54">
        <w:rPr>
          <w:rFonts w:cs="Arial"/>
        </w:rPr>
        <w:t>one-on-</w:t>
      </w:r>
      <w:r w:rsidR="005A3A18" w:rsidRPr="00FA0E54">
        <w:rPr>
          <w:rFonts w:cs="Arial"/>
        </w:rPr>
        <w:t xml:space="preserve">one </w:t>
      </w:r>
      <w:r w:rsidR="00915E68" w:rsidRPr="00FA0E54">
        <w:rPr>
          <w:rFonts w:cs="Arial"/>
        </w:rPr>
        <w:t xml:space="preserve">meetings with </w:t>
      </w:r>
      <w:r w:rsidR="006D7005" w:rsidRPr="00FA0E54">
        <w:rPr>
          <w:rFonts w:cs="Arial"/>
        </w:rPr>
        <w:t>external stakeholders</w:t>
      </w:r>
      <w:r w:rsidR="005A3A18" w:rsidRPr="00FA0E54">
        <w:rPr>
          <w:rFonts w:cs="Arial"/>
        </w:rPr>
        <w:t xml:space="preserve"> and provided updates </w:t>
      </w:r>
      <w:r w:rsidR="006D7005" w:rsidRPr="00FA0E54">
        <w:rPr>
          <w:rFonts w:cs="Arial"/>
        </w:rPr>
        <w:t>and/or answered</w:t>
      </w:r>
      <w:r w:rsidR="00C00CFC" w:rsidRPr="00FA0E54">
        <w:rPr>
          <w:rFonts w:cs="Arial"/>
        </w:rPr>
        <w:t xml:space="preserve"> </w:t>
      </w:r>
      <w:r w:rsidR="00C00CFC" w:rsidRPr="00FA0E54">
        <w:rPr>
          <w:rFonts w:cs="Arial"/>
        </w:rPr>
        <w:lastRenderedPageBreak/>
        <w:t>stakeholder</w:t>
      </w:r>
      <w:r w:rsidR="006D7005" w:rsidRPr="00FA0E54">
        <w:rPr>
          <w:rFonts w:cs="Arial"/>
        </w:rPr>
        <w:t xml:space="preserve"> </w:t>
      </w:r>
      <w:r w:rsidR="00915E68" w:rsidRPr="00FA0E54">
        <w:rPr>
          <w:rFonts w:cs="Arial"/>
        </w:rPr>
        <w:t xml:space="preserve">questions at multiple meetings of </w:t>
      </w:r>
      <w:r w:rsidR="006D7005" w:rsidRPr="00FA0E54">
        <w:rPr>
          <w:rFonts w:cs="Arial"/>
        </w:rPr>
        <w:t>the ACCC’s Small Business and Franchising Consultative Committee and Agriculture Consultative Committee</w:t>
      </w:r>
      <w:r w:rsidR="00915E68" w:rsidRPr="00FA0E54">
        <w:rPr>
          <w:rFonts w:cs="Arial"/>
        </w:rPr>
        <w:t xml:space="preserve">. </w:t>
      </w:r>
    </w:p>
    <w:p w14:paraId="4DC9E320" w14:textId="35299985" w:rsidR="0059164C" w:rsidRPr="00FA0E54" w:rsidRDefault="0059164C" w:rsidP="00C800E3"/>
    <w:p w14:paraId="32CBEEC1" w14:textId="77777777" w:rsidR="0059164C" w:rsidRPr="00FA0E54" w:rsidRDefault="0059164C" w:rsidP="0059164C">
      <w:pPr>
        <w:rPr>
          <w:rFonts w:cs="Arial"/>
          <w:b/>
        </w:rPr>
      </w:pPr>
    </w:p>
    <w:p w14:paraId="4D86A464" w14:textId="77777777" w:rsidR="00FB2D45" w:rsidRPr="00FA0E54" w:rsidRDefault="00FB2D45">
      <w:pPr>
        <w:rPr>
          <w:rFonts w:ascii="Arial" w:hAnsi="Arial" w:cs="Arial"/>
          <w:b/>
        </w:rPr>
      </w:pPr>
      <w:r w:rsidRPr="00FA0E54">
        <w:rPr>
          <w:rFonts w:ascii="Arial" w:hAnsi="Arial" w:cs="Arial"/>
          <w:b/>
        </w:rPr>
        <w:br w:type="page"/>
      </w:r>
    </w:p>
    <w:p w14:paraId="30B67834" w14:textId="168759B1" w:rsidR="00FB2D45" w:rsidRPr="00FA0E54" w:rsidRDefault="00FB2D45" w:rsidP="00FB2D45">
      <w:pPr>
        <w:jc w:val="center"/>
        <w:rPr>
          <w:rFonts w:ascii="Arial" w:hAnsi="Arial" w:cs="Arial"/>
          <w:b/>
          <w:sz w:val="28"/>
        </w:rPr>
      </w:pPr>
      <w:r w:rsidRPr="00FA0E54">
        <w:rPr>
          <w:rFonts w:ascii="Arial" w:hAnsi="Arial" w:cs="Arial"/>
          <w:b/>
          <w:sz w:val="28"/>
        </w:rPr>
        <w:lastRenderedPageBreak/>
        <w:t>ATTACHMENT 1</w:t>
      </w:r>
    </w:p>
    <w:p w14:paraId="075C9D36" w14:textId="6BF80482" w:rsidR="006C6433" w:rsidRPr="00FA0E54" w:rsidRDefault="00FB2D45">
      <w:r w:rsidRPr="00FA0E54">
        <w:rPr>
          <w:rFonts w:ascii="Arial" w:hAnsi="Arial" w:cs="Arial"/>
          <w:b/>
        </w:rPr>
        <w:t xml:space="preserve">DETAILS OF THE </w:t>
      </w:r>
      <w:r w:rsidRPr="00FA0E54">
        <w:rPr>
          <w:rFonts w:ascii="Arial" w:hAnsi="Arial" w:cs="Arial"/>
          <w:b/>
          <w:i/>
        </w:rPr>
        <w:t>COMPETITION</w:t>
      </w:r>
      <w:r w:rsidR="003C7AD1" w:rsidRPr="00FA0E54">
        <w:rPr>
          <w:rFonts w:ascii="Arial" w:hAnsi="Arial" w:cs="Arial"/>
          <w:b/>
          <w:i/>
        </w:rPr>
        <w:t xml:space="preserve"> AND CONSUMER (CLASS EXEMPTION—</w:t>
      </w:r>
      <w:r w:rsidRPr="00FA0E54">
        <w:rPr>
          <w:rFonts w:ascii="Arial" w:hAnsi="Arial" w:cs="Arial"/>
          <w:b/>
          <w:i/>
        </w:rPr>
        <w:t xml:space="preserve">COLLECTIVE BARGAINING) DETERMINATION </w:t>
      </w:r>
      <w:r w:rsidR="006C6433" w:rsidRPr="00FA0E54">
        <w:rPr>
          <w:rFonts w:ascii="Arial" w:hAnsi="Arial" w:cs="Arial"/>
          <w:b/>
          <w:i/>
        </w:rPr>
        <w:t>2020</w:t>
      </w:r>
    </w:p>
    <w:p w14:paraId="5BC76372" w14:textId="716BC0F4" w:rsidR="00FB2D45" w:rsidRPr="00FA0E54" w:rsidRDefault="00FB2D45" w:rsidP="005109C8">
      <w:pPr>
        <w:rPr>
          <w:rFonts w:ascii="Arial" w:hAnsi="Arial" w:cs="Arial"/>
          <w:b/>
        </w:rPr>
      </w:pPr>
    </w:p>
    <w:p w14:paraId="6A05DDDA" w14:textId="21F606C9" w:rsidR="00FB2D45" w:rsidRPr="00FA0E54" w:rsidRDefault="00FB2D45" w:rsidP="007D553E">
      <w:pPr>
        <w:spacing w:before="120" w:after="0"/>
        <w:rPr>
          <w:rFonts w:ascii="Arial" w:hAnsi="Arial" w:cs="Arial"/>
          <w:b/>
          <w:u w:val="single"/>
        </w:rPr>
      </w:pPr>
      <w:r w:rsidRPr="00FA0E54">
        <w:rPr>
          <w:rFonts w:ascii="Arial" w:hAnsi="Arial" w:cs="Arial"/>
          <w:b/>
          <w:u w:val="single"/>
        </w:rPr>
        <w:t xml:space="preserve">Part </w:t>
      </w:r>
      <w:r w:rsidR="007D553E" w:rsidRPr="00FA0E54">
        <w:rPr>
          <w:rFonts w:ascii="Arial" w:hAnsi="Arial" w:cs="Arial"/>
          <w:b/>
          <w:u w:val="single"/>
        </w:rPr>
        <w:t>1</w:t>
      </w:r>
      <w:r w:rsidR="00631DF9" w:rsidRPr="00FA0E54">
        <w:rPr>
          <w:rFonts w:ascii="Arial" w:hAnsi="Arial" w:cs="Arial"/>
          <w:b/>
          <w:u w:val="single"/>
        </w:rPr>
        <w:t>—</w:t>
      </w:r>
      <w:r w:rsidRPr="00FA0E54">
        <w:rPr>
          <w:rFonts w:ascii="Arial" w:hAnsi="Arial" w:cs="Arial"/>
          <w:b/>
          <w:u w:val="single"/>
        </w:rPr>
        <w:t>Preliminary</w:t>
      </w:r>
    </w:p>
    <w:p w14:paraId="7E1CD84C" w14:textId="102CEF96" w:rsidR="00FB2D45" w:rsidRPr="00FA0E54" w:rsidRDefault="00FB2D45" w:rsidP="004939FA">
      <w:pPr>
        <w:pStyle w:val="ListParagraph"/>
        <w:numPr>
          <w:ilvl w:val="0"/>
          <w:numId w:val="9"/>
        </w:numPr>
        <w:rPr>
          <w:rFonts w:cs="Arial"/>
          <w:b/>
        </w:rPr>
      </w:pPr>
      <w:r w:rsidRPr="00FA0E54">
        <w:rPr>
          <w:rFonts w:cs="Arial"/>
          <w:b/>
        </w:rPr>
        <w:t xml:space="preserve">Name of </w:t>
      </w:r>
      <w:r w:rsidR="00782422" w:rsidRPr="00FA0E54">
        <w:rPr>
          <w:rFonts w:cs="Arial"/>
          <w:b/>
        </w:rPr>
        <w:t>Determination</w:t>
      </w:r>
    </w:p>
    <w:p w14:paraId="07F4A20A" w14:textId="104C48B7" w:rsidR="00FB2D45" w:rsidRPr="00FA0E54" w:rsidRDefault="005D2CF2" w:rsidP="004C537C">
      <w:pPr>
        <w:spacing w:before="120" w:after="120"/>
        <w:ind w:left="357"/>
      </w:pPr>
      <w:r w:rsidRPr="00FA0E54">
        <w:rPr>
          <w:rFonts w:ascii="Arial" w:hAnsi="Arial" w:cs="Arial"/>
        </w:rPr>
        <w:t>This s</w:t>
      </w:r>
      <w:r w:rsidR="00FB2D45" w:rsidRPr="00FA0E54">
        <w:rPr>
          <w:rFonts w:ascii="Arial" w:hAnsi="Arial" w:cs="Arial"/>
        </w:rPr>
        <w:t xml:space="preserve">ection provides that the title of the </w:t>
      </w:r>
      <w:r w:rsidR="007D553E" w:rsidRPr="00FA0E54">
        <w:rPr>
          <w:rFonts w:ascii="Arial" w:hAnsi="Arial" w:cs="Arial"/>
        </w:rPr>
        <w:t>Determination is the</w:t>
      </w:r>
      <w:r w:rsidR="00FB2D45" w:rsidRPr="00FA0E54">
        <w:rPr>
          <w:rFonts w:ascii="Arial" w:hAnsi="Arial" w:cs="Arial"/>
        </w:rPr>
        <w:t xml:space="preserve"> </w:t>
      </w:r>
      <w:r w:rsidR="003C7AD1" w:rsidRPr="00FA0E54">
        <w:rPr>
          <w:rFonts w:ascii="Arial" w:hAnsi="Arial" w:cs="Arial"/>
          <w:i/>
        </w:rPr>
        <w:t>Competition a</w:t>
      </w:r>
      <w:r w:rsidR="007D553E" w:rsidRPr="00FA0E54">
        <w:rPr>
          <w:rFonts w:ascii="Arial" w:hAnsi="Arial" w:cs="Arial"/>
          <w:i/>
        </w:rPr>
        <w:t>nd Consumer (Class Exemption</w:t>
      </w:r>
      <w:r w:rsidR="003C7AD1" w:rsidRPr="00FA0E54">
        <w:rPr>
          <w:rFonts w:ascii="Arial" w:hAnsi="Arial" w:cs="Arial"/>
          <w:i/>
        </w:rPr>
        <w:t>—</w:t>
      </w:r>
      <w:r w:rsidR="007D553E" w:rsidRPr="00FA0E54">
        <w:rPr>
          <w:rFonts w:ascii="Arial" w:hAnsi="Arial" w:cs="Arial"/>
          <w:i/>
        </w:rPr>
        <w:t xml:space="preserve">Collective Bargaining) Determination </w:t>
      </w:r>
      <w:r w:rsidR="006C6433" w:rsidRPr="00FA0E54">
        <w:rPr>
          <w:rFonts w:ascii="Arial" w:hAnsi="Arial" w:cs="Arial"/>
          <w:i/>
        </w:rPr>
        <w:t>2020.</w:t>
      </w:r>
    </w:p>
    <w:p w14:paraId="4EF9156D" w14:textId="344735D9" w:rsidR="00FB2D45" w:rsidRPr="00FA0E54" w:rsidRDefault="00FB2D45" w:rsidP="004939FA">
      <w:pPr>
        <w:pStyle w:val="ListParagraph"/>
        <w:numPr>
          <w:ilvl w:val="0"/>
          <w:numId w:val="9"/>
        </w:numPr>
        <w:rPr>
          <w:rFonts w:cs="Arial"/>
          <w:b/>
        </w:rPr>
      </w:pPr>
      <w:r w:rsidRPr="00FA0E54">
        <w:rPr>
          <w:rFonts w:cs="Arial"/>
          <w:b/>
        </w:rPr>
        <w:t>Commencement</w:t>
      </w:r>
    </w:p>
    <w:p w14:paraId="7264C213" w14:textId="07F87460" w:rsidR="001675D0" w:rsidRPr="00FA0E54" w:rsidRDefault="005D2CF2" w:rsidP="001675D0">
      <w:pPr>
        <w:spacing w:before="120" w:after="0"/>
        <w:ind w:left="360"/>
        <w:rPr>
          <w:rFonts w:ascii="Arial" w:hAnsi="Arial" w:cs="Arial"/>
        </w:rPr>
      </w:pPr>
      <w:r w:rsidRPr="00FA0E54">
        <w:rPr>
          <w:rFonts w:ascii="Arial" w:hAnsi="Arial" w:cs="Arial"/>
        </w:rPr>
        <w:t>This s</w:t>
      </w:r>
      <w:r w:rsidR="00CB7383" w:rsidRPr="00FA0E54">
        <w:rPr>
          <w:rFonts w:ascii="Arial" w:hAnsi="Arial" w:cs="Arial"/>
        </w:rPr>
        <w:t xml:space="preserve">ection </w:t>
      </w:r>
      <w:r w:rsidR="00FB2D45" w:rsidRPr="00FA0E54">
        <w:rPr>
          <w:rFonts w:ascii="Arial" w:hAnsi="Arial" w:cs="Arial"/>
        </w:rPr>
        <w:t xml:space="preserve">specifies that the </w:t>
      </w:r>
      <w:r w:rsidR="00896B3E" w:rsidRPr="00FA0E54">
        <w:rPr>
          <w:rFonts w:ascii="Arial" w:hAnsi="Arial" w:cs="Arial"/>
        </w:rPr>
        <w:t>D</w:t>
      </w:r>
      <w:r w:rsidR="00CB7383" w:rsidRPr="00FA0E54">
        <w:rPr>
          <w:rFonts w:ascii="Arial" w:hAnsi="Arial" w:cs="Arial"/>
        </w:rPr>
        <w:t>etermination commences</w:t>
      </w:r>
      <w:r w:rsidR="00FB2D45" w:rsidRPr="00FA0E54">
        <w:rPr>
          <w:rFonts w:ascii="Arial" w:hAnsi="Arial" w:cs="Arial"/>
        </w:rPr>
        <w:t xml:space="preserve"> </w:t>
      </w:r>
      <w:r w:rsidR="001675D0" w:rsidRPr="00FA0E54">
        <w:rPr>
          <w:rFonts w:ascii="Arial" w:hAnsi="Arial" w:cs="Arial"/>
        </w:rPr>
        <w:t xml:space="preserve">on a single day to be fixed by the </w:t>
      </w:r>
      <w:r w:rsidR="00E02F39" w:rsidRPr="00FA0E54">
        <w:rPr>
          <w:rFonts w:ascii="Arial" w:hAnsi="Arial" w:cs="Arial"/>
        </w:rPr>
        <w:t>ACCC</w:t>
      </w:r>
      <w:r w:rsidR="001675D0" w:rsidRPr="00FA0E54">
        <w:rPr>
          <w:rFonts w:ascii="Arial" w:hAnsi="Arial" w:cs="Arial"/>
        </w:rPr>
        <w:t xml:space="preserve"> by notifiable instrument. </w:t>
      </w:r>
      <w:r w:rsidR="00343023" w:rsidRPr="00FA0E54">
        <w:rPr>
          <w:rFonts w:ascii="Arial" w:hAnsi="Arial" w:cs="Arial"/>
        </w:rPr>
        <w:t>It also</w:t>
      </w:r>
      <w:r w:rsidR="001675D0" w:rsidRPr="00FA0E54">
        <w:rPr>
          <w:rFonts w:ascii="Arial" w:hAnsi="Arial" w:cs="Arial"/>
        </w:rPr>
        <w:t xml:space="preserve"> provides that if the provisions </w:t>
      </w:r>
      <w:r w:rsidR="00343023" w:rsidRPr="00FA0E54">
        <w:rPr>
          <w:rFonts w:ascii="Arial" w:hAnsi="Arial" w:cs="Arial"/>
        </w:rPr>
        <w:t xml:space="preserve">of the </w:t>
      </w:r>
      <w:r w:rsidR="00896B3E" w:rsidRPr="00FA0E54">
        <w:rPr>
          <w:rFonts w:ascii="Arial" w:hAnsi="Arial" w:cs="Arial"/>
        </w:rPr>
        <w:t>D</w:t>
      </w:r>
      <w:r w:rsidR="00343023" w:rsidRPr="00FA0E54">
        <w:rPr>
          <w:rFonts w:ascii="Arial" w:hAnsi="Arial" w:cs="Arial"/>
        </w:rPr>
        <w:t xml:space="preserve">etermination </w:t>
      </w:r>
      <w:r w:rsidR="001675D0" w:rsidRPr="00FA0E54">
        <w:rPr>
          <w:rFonts w:ascii="Arial" w:hAnsi="Arial" w:cs="Arial"/>
        </w:rPr>
        <w:t xml:space="preserve">do not commence within 12 months </w:t>
      </w:r>
      <w:r w:rsidR="003C7AD1" w:rsidRPr="00FA0E54">
        <w:rPr>
          <w:rFonts w:ascii="Arial" w:hAnsi="Arial" w:cs="Arial"/>
        </w:rPr>
        <w:t>of</w:t>
      </w:r>
      <w:r w:rsidR="001675D0" w:rsidRPr="00FA0E54">
        <w:rPr>
          <w:rFonts w:ascii="Arial" w:hAnsi="Arial" w:cs="Arial"/>
        </w:rPr>
        <w:t xml:space="preserve"> the day </w:t>
      </w:r>
      <w:r w:rsidR="00343023" w:rsidRPr="00FA0E54">
        <w:rPr>
          <w:rFonts w:ascii="Arial" w:hAnsi="Arial" w:cs="Arial"/>
        </w:rPr>
        <w:t>the</w:t>
      </w:r>
      <w:r w:rsidR="001675D0" w:rsidRPr="00FA0E54">
        <w:rPr>
          <w:rFonts w:ascii="Arial" w:hAnsi="Arial" w:cs="Arial"/>
        </w:rPr>
        <w:t xml:space="preserve"> instrument is registered, they </w:t>
      </w:r>
      <w:r w:rsidR="00343023" w:rsidRPr="00FA0E54">
        <w:rPr>
          <w:rFonts w:ascii="Arial" w:hAnsi="Arial" w:cs="Arial"/>
        </w:rPr>
        <w:t xml:space="preserve">will </w:t>
      </w:r>
      <w:r w:rsidR="001675D0" w:rsidRPr="00FA0E54">
        <w:rPr>
          <w:rFonts w:ascii="Arial" w:hAnsi="Arial" w:cs="Arial"/>
        </w:rPr>
        <w:t xml:space="preserve">automatically commence </w:t>
      </w:r>
      <w:r w:rsidR="00343023" w:rsidRPr="00FA0E54">
        <w:rPr>
          <w:rFonts w:ascii="Arial" w:hAnsi="Arial" w:cs="Arial"/>
        </w:rPr>
        <w:t>one</w:t>
      </w:r>
      <w:r w:rsidR="001675D0" w:rsidRPr="00FA0E54">
        <w:rPr>
          <w:rFonts w:ascii="Arial" w:hAnsi="Arial" w:cs="Arial"/>
        </w:rPr>
        <w:t xml:space="preserve"> day after the end of that </w:t>
      </w:r>
      <w:r w:rsidR="00343023" w:rsidRPr="00FA0E54">
        <w:rPr>
          <w:rFonts w:ascii="Arial" w:hAnsi="Arial" w:cs="Arial"/>
        </w:rPr>
        <w:t xml:space="preserve">12-month </w:t>
      </w:r>
      <w:r w:rsidR="001675D0" w:rsidRPr="00FA0E54">
        <w:rPr>
          <w:rFonts w:ascii="Arial" w:hAnsi="Arial" w:cs="Arial"/>
        </w:rPr>
        <w:t>period.</w:t>
      </w:r>
    </w:p>
    <w:p w14:paraId="0AC838B2" w14:textId="09AF5F76" w:rsidR="00E61E02" w:rsidRPr="00FA0E54" w:rsidRDefault="00E61E02" w:rsidP="001675D0">
      <w:pPr>
        <w:spacing w:before="120" w:after="0"/>
        <w:ind w:left="360"/>
        <w:rPr>
          <w:rFonts w:ascii="Arial" w:hAnsi="Arial" w:cs="Arial"/>
        </w:rPr>
      </w:pPr>
      <w:r w:rsidRPr="00FA0E54">
        <w:rPr>
          <w:rFonts w:ascii="Arial" w:hAnsi="Arial" w:cs="Arial"/>
        </w:rPr>
        <w:t>The delayed commencement is to increase the likelihood that the period for Parliamentary disallowance of the Determination will elapse before the Determination enters into force.</w:t>
      </w:r>
    </w:p>
    <w:p w14:paraId="61954178" w14:textId="1BE6EA12" w:rsidR="00E61E02" w:rsidRPr="00FA0E54" w:rsidRDefault="00E61E02" w:rsidP="001675D0">
      <w:pPr>
        <w:spacing w:before="120" w:after="0"/>
        <w:ind w:left="360"/>
        <w:rPr>
          <w:rFonts w:ascii="Arial" w:hAnsi="Arial" w:cs="Arial"/>
        </w:rPr>
      </w:pPr>
      <w:r w:rsidRPr="00FA0E54">
        <w:rPr>
          <w:rFonts w:ascii="Arial" w:hAnsi="Arial" w:cs="Arial"/>
        </w:rPr>
        <w:t>If the Determination were to enter into force and then be disallowed, this could greatly inconvenience parties who relied on it during the period that it was in force prior to its disallowance. For example, a party might have entered into an initial contract with other contracting parties and begun giving effect to the initial contract by entering into contracts with target suppliers or customers on the basis of the initial contract. Upon disallowance, the party would not be able to continue to engage in this conduct, as to do so might breach various provisions of the CCA. Rather, the party would need to individually re-negotiate contracts with the target suppliers or customers,</w:t>
      </w:r>
      <w:r w:rsidR="00796737" w:rsidRPr="00FA0E54">
        <w:rPr>
          <w:rStyle w:val="FootnoteReference"/>
          <w:rFonts w:ascii="Arial" w:hAnsi="Arial" w:cs="Arial"/>
        </w:rPr>
        <w:footnoteReference w:id="12"/>
      </w:r>
      <w:r w:rsidRPr="00FA0E54">
        <w:rPr>
          <w:rFonts w:ascii="Arial" w:hAnsi="Arial" w:cs="Arial"/>
        </w:rPr>
        <w:t xml:space="preserve"> without reliance on the initial contract and surrounding negotiations.</w:t>
      </w:r>
    </w:p>
    <w:p w14:paraId="0524F1B9" w14:textId="325D6F99" w:rsidR="00E61E02" w:rsidRPr="00FA0E54" w:rsidRDefault="00E61E02" w:rsidP="001675D0">
      <w:pPr>
        <w:spacing w:before="120" w:after="0"/>
        <w:ind w:left="360"/>
        <w:rPr>
          <w:rFonts w:ascii="Arial" w:hAnsi="Arial" w:cs="Arial"/>
        </w:rPr>
      </w:pPr>
      <w:r w:rsidRPr="00FA0E54">
        <w:rPr>
          <w:rFonts w:ascii="Arial" w:hAnsi="Arial" w:cs="Arial"/>
        </w:rPr>
        <w:t>Delaying commencement until after the disallowance period has elapsed overcomes this problem.</w:t>
      </w:r>
    </w:p>
    <w:p w14:paraId="458F096A" w14:textId="0227C3AB" w:rsidR="00E61E02" w:rsidRPr="00FA0E54" w:rsidRDefault="00E61E02" w:rsidP="001675D0">
      <w:pPr>
        <w:spacing w:before="120" w:after="0"/>
        <w:ind w:left="360"/>
        <w:rPr>
          <w:rFonts w:ascii="Arial" w:hAnsi="Arial" w:cs="Arial"/>
        </w:rPr>
      </w:pPr>
      <w:r w:rsidRPr="00FA0E54">
        <w:rPr>
          <w:rFonts w:ascii="Arial" w:hAnsi="Arial" w:cs="Arial"/>
        </w:rPr>
        <w:t>It is envisaged that the ACCC would fix a commencement day as soon as the Parliamentary disallowance period has elapsed, and would give a public notification of the commencement of the Determination.</w:t>
      </w:r>
    </w:p>
    <w:p w14:paraId="4A8A256D" w14:textId="69830F03" w:rsidR="00E61E02" w:rsidRPr="00FA0E54" w:rsidRDefault="00E61E02" w:rsidP="001675D0">
      <w:pPr>
        <w:spacing w:before="120" w:after="0"/>
        <w:ind w:left="360"/>
        <w:rPr>
          <w:rFonts w:ascii="Arial" w:hAnsi="Arial" w:cs="Arial"/>
        </w:rPr>
      </w:pPr>
      <w:r w:rsidRPr="00FA0E54">
        <w:rPr>
          <w:rFonts w:ascii="Arial" w:hAnsi="Arial" w:cs="Arial"/>
        </w:rPr>
        <w:t>However, to provide greater certainty for affected parties in relation to the commencement of the Determination, section 2 provides that the Determination will commence at the latest 12 months following registration.</w:t>
      </w:r>
    </w:p>
    <w:p w14:paraId="15699A00" w14:textId="6CC7A314" w:rsidR="00FB2D45" w:rsidRPr="00FA0E54" w:rsidRDefault="007D553E" w:rsidP="004939FA">
      <w:pPr>
        <w:pStyle w:val="ListParagraph"/>
        <w:numPr>
          <w:ilvl w:val="0"/>
          <w:numId w:val="9"/>
        </w:numPr>
        <w:rPr>
          <w:rFonts w:cs="Arial"/>
          <w:b/>
        </w:rPr>
      </w:pPr>
      <w:r w:rsidRPr="00FA0E54">
        <w:rPr>
          <w:rFonts w:cs="Arial"/>
          <w:b/>
        </w:rPr>
        <w:t xml:space="preserve">Authority </w:t>
      </w:r>
    </w:p>
    <w:p w14:paraId="605AF2A1" w14:textId="77777777" w:rsidR="004C537C" w:rsidRPr="00FA0E54" w:rsidRDefault="004C537C" w:rsidP="004C537C">
      <w:pPr>
        <w:pStyle w:val="ListParagraph"/>
        <w:numPr>
          <w:ilvl w:val="0"/>
          <w:numId w:val="0"/>
        </w:numPr>
        <w:ind w:left="360"/>
      </w:pPr>
      <w:r w:rsidRPr="00FA0E54">
        <w:t>This section provides that the Determination is made under the authority of section 95AA of the CCA, as well as under section 95AA of the Competition Code. As such, the Determination is made under section 95AA of the Competition Code of all of the participating jurisdictions (that is, all States and self-governing Territories) (see section 150I of the CCA for interpretation of references in instruments to the Competition Code).</w:t>
      </w:r>
    </w:p>
    <w:p w14:paraId="1C1AFEDB" w14:textId="77777777" w:rsidR="004C537C" w:rsidRPr="00FA0E54" w:rsidRDefault="004C537C" w:rsidP="004C537C">
      <w:pPr>
        <w:pStyle w:val="ListParagraph"/>
        <w:numPr>
          <w:ilvl w:val="0"/>
          <w:numId w:val="0"/>
        </w:numPr>
        <w:ind w:left="360"/>
      </w:pPr>
      <w:r w:rsidRPr="00FA0E54">
        <w:lastRenderedPageBreak/>
        <w:t>The Competition Code is essentially a cooperative scheme implemented by the Commonwealth, the States and the Territories, under which States and Territories have implemented the Schedule version of the competition provisions (Part IV) of the CCA and associated provisions as State or Territory law. The Competition Code provides national coverage to the competition provisions of the CCA.</w:t>
      </w:r>
    </w:p>
    <w:p w14:paraId="52AFCE68" w14:textId="77777777" w:rsidR="004C537C" w:rsidRPr="00FA0E54" w:rsidRDefault="004C537C" w:rsidP="004C537C">
      <w:pPr>
        <w:pStyle w:val="ListParagraph"/>
        <w:numPr>
          <w:ilvl w:val="0"/>
          <w:numId w:val="0"/>
        </w:numPr>
        <w:ind w:left="360"/>
      </w:pPr>
      <w:r w:rsidRPr="00FA0E54">
        <w:t>Making the Determination under section 95AA of the Competition Code as well as section 95AA of the CCA ensures that the class exemption applies in the same manner to the Competition Code as it applies to the CCA itself, and maximises the benefits of the class exemption that the Determination provides.</w:t>
      </w:r>
    </w:p>
    <w:p w14:paraId="3D8E441F" w14:textId="77777777" w:rsidR="004C537C" w:rsidRPr="00FA0E54" w:rsidRDefault="004C537C" w:rsidP="004C537C">
      <w:pPr>
        <w:pStyle w:val="ListParagraph"/>
        <w:numPr>
          <w:ilvl w:val="0"/>
          <w:numId w:val="0"/>
        </w:numPr>
        <w:ind w:left="360"/>
      </w:pPr>
      <w:r w:rsidRPr="00FA0E54">
        <w:t>The States and Territories have applied the Competition Code as a law of their jurisdiction through laws referred to as ‘application laws’ (CCA, section 150A). Section 95AA is itself part of the Competition Code (CCA, section 150A and section 150C), and has thus been applied as a State or Territory law. Through their application laws, the States and Territories have also conferred on the ACCC the power to make class exemptions under their Competition Codes. The Commonwealth has consented to this conferral, and the making of the Determination is in accordance with agreements between the Commonwealth and each State and Territory (CCA, subsections 150F(1) and (3)).</w:t>
      </w:r>
    </w:p>
    <w:p w14:paraId="2888DE79" w14:textId="40CF6990" w:rsidR="007D553E" w:rsidRPr="00FA0E54" w:rsidRDefault="007D553E" w:rsidP="00502971">
      <w:pPr>
        <w:pStyle w:val="ListParagraph"/>
        <w:numPr>
          <w:ilvl w:val="0"/>
          <w:numId w:val="9"/>
        </w:numPr>
        <w:ind w:left="357"/>
        <w:rPr>
          <w:rFonts w:cs="Arial"/>
          <w:b/>
        </w:rPr>
      </w:pPr>
      <w:r w:rsidRPr="00FA0E54">
        <w:rPr>
          <w:rFonts w:cs="Arial"/>
          <w:b/>
        </w:rPr>
        <w:t xml:space="preserve">Period for which </w:t>
      </w:r>
      <w:r w:rsidR="00896B3E" w:rsidRPr="00FA0E54">
        <w:rPr>
          <w:rFonts w:cs="Arial"/>
          <w:b/>
        </w:rPr>
        <w:t>D</w:t>
      </w:r>
      <w:r w:rsidRPr="00FA0E54">
        <w:rPr>
          <w:rFonts w:cs="Arial"/>
          <w:b/>
        </w:rPr>
        <w:t xml:space="preserve">etermination is in force </w:t>
      </w:r>
    </w:p>
    <w:p w14:paraId="38D6FBA5" w14:textId="65E6570F" w:rsidR="00EB4E93" w:rsidRPr="00FA0E54" w:rsidRDefault="005D2CF2" w:rsidP="00502971">
      <w:pPr>
        <w:pStyle w:val="ListParagraph"/>
        <w:numPr>
          <w:ilvl w:val="0"/>
          <w:numId w:val="0"/>
        </w:numPr>
        <w:ind w:left="357"/>
        <w:rPr>
          <w:rFonts w:cs="Arial"/>
        </w:rPr>
      </w:pPr>
      <w:r w:rsidRPr="00FA0E54">
        <w:rPr>
          <w:rFonts w:cs="Arial"/>
        </w:rPr>
        <w:t>This s</w:t>
      </w:r>
      <w:r w:rsidR="00C11C8A" w:rsidRPr="00FA0E54">
        <w:rPr>
          <w:rFonts w:cs="Arial"/>
        </w:rPr>
        <w:t xml:space="preserve">ection </w:t>
      </w:r>
      <w:r w:rsidR="00FA6D9D" w:rsidRPr="00FA0E54">
        <w:rPr>
          <w:rFonts w:cs="Arial"/>
        </w:rPr>
        <w:t xml:space="preserve">provides that the </w:t>
      </w:r>
      <w:r w:rsidR="00896B3E" w:rsidRPr="00FA0E54">
        <w:rPr>
          <w:rFonts w:cs="Arial"/>
        </w:rPr>
        <w:t>D</w:t>
      </w:r>
      <w:r w:rsidR="00FA6D9D" w:rsidRPr="00FA0E54">
        <w:rPr>
          <w:rFonts w:cs="Arial"/>
        </w:rPr>
        <w:t xml:space="preserve">etermination </w:t>
      </w:r>
      <w:r w:rsidR="00735235" w:rsidRPr="00FA0E54">
        <w:rPr>
          <w:rFonts w:cs="Arial"/>
        </w:rPr>
        <w:t xml:space="preserve">enters into </w:t>
      </w:r>
      <w:r w:rsidR="00FA6D9D" w:rsidRPr="00FA0E54">
        <w:rPr>
          <w:rFonts w:cs="Arial"/>
        </w:rPr>
        <w:t xml:space="preserve">force </w:t>
      </w:r>
      <w:r w:rsidR="00735235" w:rsidRPr="00FA0E54">
        <w:rPr>
          <w:rFonts w:cs="Arial"/>
        </w:rPr>
        <w:t xml:space="preserve">on </w:t>
      </w:r>
      <w:r w:rsidR="00FA6D9D" w:rsidRPr="00FA0E54">
        <w:rPr>
          <w:rFonts w:cs="Arial"/>
        </w:rPr>
        <w:t xml:space="preserve">the commencement date </w:t>
      </w:r>
      <w:r w:rsidR="00735235" w:rsidRPr="00FA0E54">
        <w:rPr>
          <w:rFonts w:cs="Arial"/>
        </w:rPr>
        <w:t>and will cease to be in force on</w:t>
      </w:r>
      <w:r w:rsidR="00343023" w:rsidRPr="00FA0E54">
        <w:rPr>
          <w:rFonts w:cs="Arial"/>
        </w:rPr>
        <w:t xml:space="preserve"> </w:t>
      </w:r>
      <w:r w:rsidR="00FA6D9D" w:rsidRPr="00FA0E54">
        <w:rPr>
          <w:rFonts w:cs="Arial"/>
        </w:rPr>
        <w:t>3</w:t>
      </w:r>
      <w:r w:rsidR="006F2997" w:rsidRPr="00FA0E54">
        <w:rPr>
          <w:rFonts w:cs="Arial"/>
        </w:rPr>
        <w:t>0 June</w:t>
      </w:r>
      <w:r w:rsidR="00F84FD8" w:rsidRPr="00FA0E54">
        <w:rPr>
          <w:rFonts w:cs="Arial"/>
        </w:rPr>
        <w:t xml:space="preserve"> </w:t>
      </w:r>
      <w:r w:rsidR="00343023" w:rsidRPr="00FA0E54">
        <w:rPr>
          <w:rFonts w:cs="Arial"/>
        </w:rPr>
        <w:t>20</w:t>
      </w:r>
      <w:r w:rsidR="006F2997" w:rsidRPr="00FA0E54">
        <w:rPr>
          <w:rFonts w:cs="Arial"/>
        </w:rPr>
        <w:t>30</w:t>
      </w:r>
      <w:r w:rsidR="00735235" w:rsidRPr="00FA0E54">
        <w:rPr>
          <w:rFonts w:cs="Arial"/>
        </w:rPr>
        <w:t xml:space="preserve">, unless revoked before that date. </w:t>
      </w:r>
    </w:p>
    <w:p w14:paraId="46019C9B" w14:textId="776D2194" w:rsidR="007D553E" w:rsidRPr="00FA0E54" w:rsidRDefault="007D553E" w:rsidP="00502971">
      <w:pPr>
        <w:pStyle w:val="ListParagraph"/>
        <w:numPr>
          <w:ilvl w:val="0"/>
          <w:numId w:val="9"/>
        </w:numPr>
        <w:ind w:left="357"/>
        <w:rPr>
          <w:rFonts w:cs="Arial"/>
          <w:b/>
        </w:rPr>
      </w:pPr>
      <w:r w:rsidRPr="00FA0E54">
        <w:rPr>
          <w:rFonts w:cs="Arial"/>
          <w:b/>
        </w:rPr>
        <w:t xml:space="preserve">Definitions </w:t>
      </w:r>
      <w:r w:rsidR="00764F7A" w:rsidRPr="00FA0E54">
        <w:rPr>
          <w:rFonts w:cs="Arial"/>
          <w:b/>
        </w:rPr>
        <w:t>and meaning of specified terms</w:t>
      </w:r>
    </w:p>
    <w:p w14:paraId="1D7A4117" w14:textId="15242D19" w:rsidR="00B5703C" w:rsidRPr="00FA0E54" w:rsidRDefault="00F1485B" w:rsidP="00502971">
      <w:pPr>
        <w:pStyle w:val="ListParagraph"/>
        <w:numPr>
          <w:ilvl w:val="0"/>
          <w:numId w:val="0"/>
        </w:numPr>
        <w:ind w:left="357"/>
      </w:pPr>
      <w:r w:rsidRPr="00FA0E54">
        <w:t xml:space="preserve">Section </w:t>
      </w:r>
      <w:r w:rsidR="00A57271" w:rsidRPr="00FA0E54">
        <w:t xml:space="preserve">5 </w:t>
      </w:r>
      <w:r w:rsidRPr="00FA0E54">
        <w:t>contain</w:t>
      </w:r>
      <w:r w:rsidR="00A57271" w:rsidRPr="00FA0E54">
        <w:t>s</w:t>
      </w:r>
      <w:r w:rsidRPr="00FA0E54">
        <w:t xml:space="preserve"> defined expressions used in the </w:t>
      </w:r>
      <w:r w:rsidR="00896B3E" w:rsidRPr="00FA0E54">
        <w:t>D</w:t>
      </w:r>
      <w:r w:rsidR="00B5703C" w:rsidRPr="00FA0E54">
        <w:t xml:space="preserve">etermination. </w:t>
      </w:r>
    </w:p>
    <w:p w14:paraId="10105AF8" w14:textId="3160C5F7" w:rsidR="00242031" w:rsidRPr="00FA0E54" w:rsidRDefault="00FF2D9A" w:rsidP="00502971">
      <w:pPr>
        <w:pStyle w:val="ListParagraph"/>
        <w:numPr>
          <w:ilvl w:val="0"/>
          <w:numId w:val="0"/>
        </w:numPr>
        <w:ind w:left="357"/>
      </w:pPr>
      <w:r w:rsidRPr="00FA0E54">
        <w:t>A</w:t>
      </w:r>
      <w:r w:rsidR="00B5703C" w:rsidRPr="00FA0E54">
        <w:t xml:space="preserve"> number of </w:t>
      </w:r>
      <w:r w:rsidRPr="00FA0E54">
        <w:t xml:space="preserve">expressions used in the </w:t>
      </w:r>
      <w:r w:rsidR="00896B3E" w:rsidRPr="00FA0E54">
        <w:t>D</w:t>
      </w:r>
      <w:r w:rsidRPr="00FA0E54">
        <w:t xml:space="preserve">etermination </w:t>
      </w:r>
      <w:r w:rsidR="00B5703C" w:rsidRPr="00FA0E54">
        <w:t>have the meaning defined in</w:t>
      </w:r>
      <w:r w:rsidR="00A57271" w:rsidRPr="00FA0E54">
        <w:t xml:space="preserve"> section 4 or other sections</w:t>
      </w:r>
      <w:r w:rsidRPr="00FA0E54">
        <w:t xml:space="preserve"> of</w:t>
      </w:r>
      <w:r w:rsidR="00B5703C" w:rsidRPr="00FA0E54">
        <w:t xml:space="preserve"> the </w:t>
      </w:r>
      <w:r w:rsidR="00322998" w:rsidRPr="00FA0E54">
        <w:t>CCA</w:t>
      </w:r>
      <w:r w:rsidR="00B5703C" w:rsidRPr="00FA0E54">
        <w:t>.</w:t>
      </w:r>
      <w:r w:rsidRPr="00FA0E54">
        <w:t xml:space="preserve"> Other definitions are specific to the </w:t>
      </w:r>
      <w:r w:rsidR="00896B3E" w:rsidRPr="00FA0E54">
        <w:t>D</w:t>
      </w:r>
      <w:r w:rsidRPr="00FA0E54">
        <w:t>eterminat</w:t>
      </w:r>
      <w:r w:rsidR="00764F7A" w:rsidRPr="00FA0E54">
        <w:t xml:space="preserve">ion. </w:t>
      </w:r>
    </w:p>
    <w:p w14:paraId="51644921" w14:textId="4475E993" w:rsidR="00420B95" w:rsidRPr="00FA0E54" w:rsidRDefault="00420B95" w:rsidP="00502971">
      <w:pPr>
        <w:pStyle w:val="Notes-client"/>
        <w:pBdr>
          <w:top w:val="none" w:sz="0" w:space="0" w:color="auto"/>
          <w:left w:val="none" w:sz="0" w:space="0" w:color="auto"/>
          <w:bottom w:val="none" w:sz="0" w:space="0" w:color="auto"/>
          <w:right w:val="none" w:sz="0" w:space="0" w:color="auto"/>
        </w:pBdr>
        <w:spacing w:before="120" w:after="0"/>
        <w:ind w:left="357"/>
        <w:rPr>
          <w:color w:val="auto"/>
        </w:rPr>
      </w:pPr>
      <w:r w:rsidRPr="00FA0E54">
        <w:rPr>
          <w:color w:val="auto"/>
        </w:rPr>
        <w:t xml:space="preserve">A key concept underlying the Determination is that of a ‘corporation’. This is defined in </w:t>
      </w:r>
      <w:r w:rsidR="00623835" w:rsidRPr="00FA0E54">
        <w:rPr>
          <w:color w:val="auto"/>
        </w:rPr>
        <w:t>section</w:t>
      </w:r>
      <w:r w:rsidRPr="00FA0E54">
        <w:rPr>
          <w:color w:val="auto"/>
        </w:rPr>
        <w:t xml:space="preserve"> 4 of the CCA. The term ‘corporation’ has the same meaning in the Determination as it has under the CCA: </w:t>
      </w:r>
      <w:r w:rsidRPr="00FA0E54">
        <w:rPr>
          <w:i/>
          <w:color w:val="auto"/>
        </w:rPr>
        <w:t>Legislation Act 2003</w:t>
      </w:r>
      <w:r w:rsidRPr="00FA0E54">
        <w:rPr>
          <w:color w:val="auto"/>
        </w:rPr>
        <w:t>, s 13.</w:t>
      </w:r>
    </w:p>
    <w:p w14:paraId="0F564943" w14:textId="77777777" w:rsidR="00420B95" w:rsidRPr="00FA0E54" w:rsidRDefault="00420B95" w:rsidP="00502971">
      <w:pPr>
        <w:pStyle w:val="Notes-client"/>
        <w:pBdr>
          <w:top w:val="none" w:sz="0" w:space="0" w:color="auto"/>
          <w:left w:val="none" w:sz="0" w:space="0" w:color="auto"/>
          <w:bottom w:val="none" w:sz="0" w:space="0" w:color="auto"/>
          <w:right w:val="none" w:sz="0" w:space="0" w:color="auto"/>
        </w:pBdr>
        <w:spacing w:before="120" w:after="0"/>
        <w:ind w:left="357"/>
        <w:rPr>
          <w:color w:val="auto"/>
        </w:rPr>
      </w:pPr>
      <w:r w:rsidRPr="00FA0E54">
        <w:rPr>
          <w:color w:val="auto"/>
        </w:rPr>
        <w:t>The provisions of the CCA to which the Determination applies – sections 45AF, 45AG, 45AJ, 45AK and 45 – are expressed as prohibiting ‘corporations’ from engaging in certain conduct specified in those provisions. Because of that, this Determination is expressed as exempting certain ‘corporations’, in certain circumstances, from those provisions of the CCA.</w:t>
      </w:r>
    </w:p>
    <w:p w14:paraId="1524E9AB" w14:textId="78E71F21" w:rsidR="00242031" w:rsidRPr="00FA0E54" w:rsidRDefault="00420B95" w:rsidP="00502971">
      <w:pPr>
        <w:pStyle w:val="ListParagraph"/>
        <w:numPr>
          <w:ilvl w:val="0"/>
          <w:numId w:val="0"/>
        </w:numPr>
        <w:ind w:left="357"/>
        <w:rPr>
          <w:rFonts w:cs="Arial"/>
        </w:rPr>
      </w:pPr>
      <w:r w:rsidRPr="00FA0E54">
        <w:t>Under the CCA, and subject to the CCA, a reference to a ‘corporation’ includes a reference to a person that is not a corporation: CCA, s 6 and s 150C. Because of that, the provisions of the CCA to which the Determination applies also prohibit persons who are not corporations from engaging in the relevant conduct, and the Determination also exempts persons who are not corporations, in those circumstances, from those provisions of the CCA.</w:t>
      </w:r>
    </w:p>
    <w:p w14:paraId="35E33C68" w14:textId="39EE24DC" w:rsidR="00242031" w:rsidRPr="00FA0E54" w:rsidRDefault="00562D6A" w:rsidP="00502971">
      <w:pPr>
        <w:pStyle w:val="ListParagraph"/>
        <w:numPr>
          <w:ilvl w:val="0"/>
          <w:numId w:val="0"/>
        </w:numPr>
        <w:ind w:left="357"/>
      </w:pPr>
      <w:r w:rsidRPr="00FA0E54">
        <w:t xml:space="preserve">Expressions of particular importance in the </w:t>
      </w:r>
      <w:r w:rsidR="00896B3E" w:rsidRPr="00FA0E54">
        <w:t>D</w:t>
      </w:r>
      <w:r w:rsidRPr="00FA0E54">
        <w:t>etermination are:</w:t>
      </w:r>
    </w:p>
    <w:p w14:paraId="15918B62" w14:textId="3096DAFB" w:rsidR="007459E3" w:rsidRPr="00FA0E54" w:rsidRDefault="007459E3" w:rsidP="00502971">
      <w:pPr>
        <w:pStyle w:val="ListParagraph"/>
        <w:numPr>
          <w:ilvl w:val="0"/>
          <w:numId w:val="0"/>
        </w:numPr>
        <w:ind w:left="357"/>
        <w:rPr>
          <w:rFonts w:cs="Arial"/>
        </w:rPr>
      </w:pPr>
      <w:r w:rsidRPr="00FA0E54">
        <w:rPr>
          <w:rFonts w:cs="Arial"/>
          <w:b/>
          <w:i/>
        </w:rPr>
        <w:t>Eligible corporation</w:t>
      </w:r>
    </w:p>
    <w:p w14:paraId="61F5DC0F" w14:textId="3B2B49CF" w:rsidR="00E7336F" w:rsidRPr="00FA0E54" w:rsidRDefault="007459E3" w:rsidP="00502971">
      <w:pPr>
        <w:pStyle w:val="ListParagraph"/>
        <w:numPr>
          <w:ilvl w:val="0"/>
          <w:numId w:val="0"/>
        </w:numPr>
        <w:ind w:left="357"/>
      </w:pPr>
      <w:r w:rsidRPr="00FA0E54">
        <w:rPr>
          <w:rFonts w:cs="Arial"/>
        </w:rPr>
        <w:t>A</w:t>
      </w:r>
      <w:r w:rsidR="00F1485B" w:rsidRPr="00FA0E54">
        <w:rPr>
          <w:rFonts w:cs="Arial"/>
        </w:rPr>
        <w:t xml:space="preserve"> corporation will be an ‘</w:t>
      </w:r>
      <w:r w:rsidRPr="00FA0E54">
        <w:rPr>
          <w:rFonts w:cs="Arial"/>
          <w:b/>
          <w:i/>
        </w:rPr>
        <w:t>e</w:t>
      </w:r>
      <w:r w:rsidR="00186F36" w:rsidRPr="00FA0E54">
        <w:rPr>
          <w:rFonts w:cs="Arial"/>
          <w:b/>
          <w:i/>
        </w:rPr>
        <w:t>ligible</w:t>
      </w:r>
      <w:r w:rsidR="00186F36" w:rsidRPr="00FA0E54">
        <w:rPr>
          <w:rFonts w:cs="Arial"/>
          <w:b/>
        </w:rPr>
        <w:t xml:space="preserve"> </w:t>
      </w:r>
      <w:r w:rsidR="00186F36" w:rsidRPr="00FA0E54">
        <w:rPr>
          <w:rFonts w:cs="Arial"/>
          <w:b/>
          <w:i/>
        </w:rPr>
        <w:t>corporation</w:t>
      </w:r>
      <w:r w:rsidR="00F1485B" w:rsidRPr="00FA0E54">
        <w:rPr>
          <w:rFonts w:cs="Arial"/>
          <w:i/>
        </w:rPr>
        <w:t>’</w:t>
      </w:r>
      <w:r w:rsidR="00F1485B" w:rsidRPr="00FA0E54">
        <w:rPr>
          <w:rFonts w:cs="Arial"/>
        </w:rPr>
        <w:t xml:space="preserve"> </w:t>
      </w:r>
      <w:r w:rsidR="00420B95" w:rsidRPr="00FA0E54">
        <w:rPr>
          <w:rFonts w:cs="Arial"/>
        </w:rPr>
        <w:t>in a particular financial year</w:t>
      </w:r>
      <w:r w:rsidR="00E61E02" w:rsidRPr="00FA0E54">
        <w:rPr>
          <w:rFonts w:cs="Arial"/>
        </w:rPr>
        <w:t xml:space="preserve"> </w:t>
      </w:r>
      <w:r w:rsidR="00F1485B" w:rsidRPr="00FA0E54">
        <w:rPr>
          <w:rFonts w:cs="Arial"/>
        </w:rPr>
        <w:t xml:space="preserve">where it </w:t>
      </w:r>
      <w:r w:rsidR="000F3F47" w:rsidRPr="00FA0E54">
        <w:rPr>
          <w:rFonts w:cs="Arial"/>
        </w:rPr>
        <w:t xml:space="preserve">reasonably believes </w:t>
      </w:r>
      <w:r w:rsidR="006C0993" w:rsidRPr="00FA0E54">
        <w:rPr>
          <w:rFonts w:cs="Arial"/>
        </w:rPr>
        <w:t xml:space="preserve">that </w:t>
      </w:r>
      <w:r w:rsidR="000F3F47" w:rsidRPr="00FA0E54">
        <w:rPr>
          <w:rFonts w:cs="Arial"/>
        </w:rPr>
        <w:t>its aggregated turnover was less than $10 million</w:t>
      </w:r>
      <w:r w:rsidR="00CD302F" w:rsidRPr="00FA0E54">
        <w:rPr>
          <w:rFonts w:cs="Arial"/>
        </w:rPr>
        <w:t xml:space="preserve"> in the </w:t>
      </w:r>
      <w:r w:rsidR="00420B95" w:rsidRPr="00FA0E54">
        <w:rPr>
          <w:rFonts w:cs="Arial"/>
        </w:rPr>
        <w:t xml:space="preserve">previous </w:t>
      </w:r>
      <w:r w:rsidR="00CD302F" w:rsidRPr="00FA0E54">
        <w:rPr>
          <w:rFonts w:cs="Arial"/>
        </w:rPr>
        <w:t>financial year</w:t>
      </w:r>
      <w:r w:rsidR="000F3F47" w:rsidRPr="00FA0E54">
        <w:rPr>
          <w:rFonts w:cs="Arial"/>
        </w:rPr>
        <w:t>.</w:t>
      </w:r>
      <w:r w:rsidR="00E940BB" w:rsidRPr="00FA0E54">
        <w:rPr>
          <w:rFonts w:cs="Arial"/>
        </w:rPr>
        <w:t xml:space="preserve"> </w:t>
      </w:r>
      <w:r w:rsidR="003B4BCE" w:rsidRPr="00FA0E54">
        <w:t>This definition</w:t>
      </w:r>
      <w:r w:rsidR="008E691D" w:rsidRPr="00FA0E54">
        <w:t xml:space="preserve"> is intended to capture small</w:t>
      </w:r>
      <w:r w:rsidR="00420B95" w:rsidRPr="00FA0E54">
        <w:t>er</w:t>
      </w:r>
      <w:r w:rsidR="008E691D" w:rsidRPr="00FA0E54">
        <w:t xml:space="preserve"> businesses, and the $10 million aggregated turnover</w:t>
      </w:r>
      <w:r w:rsidR="003B4BCE" w:rsidRPr="00FA0E54">
        <w:t xml:space="preserve"> is consistent with the threshold used by the Australian Tax Office to determine if a business is a ‘small business entity’ for tax concession purposes. As such, a</w:t>
      </w:r>
      <w:r w:rsidR="00C31EFD" w:rsidRPr="00FA0E54">
        <w:rPr>
          <w:rFonts w:cs="Arial"/>
        </w:rPr>
        <w:t xml:space="preserve"> corporation must calculate its </w:t>
      </w:r>
      <w:r w:rsidR="00E747D0" w:rsidRPr="00FA0E54">
        <w:rPr>
          <w:rFonts w:cs="Arial"/>
        </w:rPr>
        <w:t>‘</w:t>
      </w:r>
      <w:r w:rsidR="000F3F47" w:rsidRPr="00FA0E54">
        <w:rPr>
          <w:rFonts w:cs="Arial"/>
        </w:rPr>
        <w:t>aggregated turnover</w:t>
      </w:r>
      <w:r w:rsidR="00E747D0" w:rsidRPr="00FA0E54">
        <w:rPr>
          <w:rFonts w:cs="Arial"/>
        </w:rPr>
        <w:t>’</w:t>
      </w:r>
      <w:r w:rsidR="00C31EFD" w:rsidRPr="00FA0E54">
        <w:rPr>
          <w:rFonts w:cs="Arial"/>
        </w:rPr>
        <w:t xml:space="preserve"> in accordance with the </w:t>
      </w:r>
      <w:r w:rsidR="00C31EFD" w:rsidRPr="00FA0E54">
        <w:rPr>
          <w:rFonts w:cs="Arial"/>
          <w:i/>
        </w:rPr>
        <w:t xml:space="preserve">Income Tax Assessment Act </w:t>
      </w:r>
      <w:r w:rsidR="008E691D" w:rsidRPr="00FA0E54">
        <w:rPr>
          <w:rFonts w:cs="Arial"/>
          <w:i/>
        </w:rPr>
        <w:t xml:space="preserve">1997 </w:t>
      </w:r>
      <w:r w:rsidR="00273676" w:rsidRPr="00FA0E54">
        <w:rPr>
          <w:rFonts w:cs="Arial"/>
        </w:rPr>
        <w:t>(</w:t>
      </w:r>
      <w:r w:rsidR="00273676" w:rsidRPr="00FA0E54">
        <w:rPr>
          <w:rFonts w:cs="Arial"/>
          <w:b/>
        </w:rPr>
        <w:t>ITAA</w:t>
      </w:r>
      <w:r w:rsidR="00273676" w:rsidRPr="00FA0E54">
        <w:rPr>
          <w:rFonts w:cs="Arial"/>
        </w:rPr>
        <w:t>)</w:t>
      </w:r>
      <w:r w:rsidR="00CD302F" w:rsidRPr="00FA0E54">
        <w:t xml:space="preserve">. </w:t>
      </w:r>
    </w:p>
    <w:p w14:paraId="48E5E4B2" w14:textId="77777777" w:rsidR="004733C7" w:rsidRPr="00FA0E54" w:rsidRDefault="004733C7" w:rsidP="00CD302F">
      <w:pPr>
        <w:pStyle w:val="ListParagraph"/>
        <w:numPr>
          <w:ilvl w:val="0"/>
          <w:numId w:val="0"/>
        </w:numPr>
        <w:ind w:left="360"/>
        <w:rPr>
          <w:rFonts w:cs="Arial"/>
        </w:rPr>
      </w:pPr>
      <w:r w:rsidRPr="00FA0E54">
        <w:rPr>
          <w:rFonts w:cs="Arial"/>
        </w:rPr>
        <w:lastRenderedPageBreak/>
        <w:t>The notion of an ‘eligible corporation’ is relevant only in relation to corporations that wish to engage in ‘eligible corporation collective bargaining conduct’ under section 7(2) of the Determination. This notion is not relevant to franchisees that wish to engage in ‘franchisee collective bargaining conduct’ or fuel retailers that wish to engage in ‘fuel retailer collective bargaining conduct’.</w:t>
      </w:r>
    </w:p>
    <w:p w14:paraId="7A829778" w14:textId="567C11BF" w:rsidR="00AA5B71" w:rsidRPr="00FA0E54" w:rsidRDefault="00F1485B" w:rsidP="00CD302F">
      <w:pPr>
        <w:pStyle w:val="ListParagraph"/>
        <w:numPr>
          <w:ilvl w:val="0"/>
          <w:numId w:val="0"/>
        </w:numPr>
        <w:ind w:left="360"/>
      </w:pPr>
      <w:r w:rsidRPr="00FA0E54">
        <w:rPr>
          <w:rFonts w:cs="Arial"/>
        </w:rPr>
        <w:t xml:space="preserve">A corporation </w:t>
      </w:r>
      <w:r w:rsidR="00E86E35" w:rsidRPr="00FA0E54">
        <w:rPr>
          <w:rFonts w:cs="Arial"/>
        </w:rPr>
        <w:t xml:space="preserve">will be an eligible corporation where it has this reasonable belief, notwithstanding that it may </w:t>
      </w:r>
      <w:r w:rsidR="00AA5B71" w:rsidRPr="00FA0E54">
        <w:rPr>
          <w:rFonts w:cs="Arial"/>
        </w:rPr>
        <w:t xml:space="preserve">not </w:t>
      </w:r>
      <w:r w:rsidR="001305AD" w:rsidRPr="00FA0E54">
        <w:rPr>
          <w:rFonts w:cs="Arial"/>
        </w:rPr>
        <w:t xml:space="preserve">have </w:t>
      </w:r>
      <w:r w:rsidR="00AA5B71" w:rsidRPr="00FA0E54">
        <w:rPr>
          <w:rFonts w:cs="Arial"/>
        </w:rPr>
        <w:t xml:space="preserve">yet </w:t>
      </w:r>
      <w:r w:rsidR="00AE5E32" w:rsidRPr="00FA0E54">
        <w:rPr>
          <w:rFonts w:cs="Arial"/>
        </w:rPr>
        <w:t>confirmed</w:t>
      </w:r>
      <w:r w:rsidR="00AA5B71" w:rsidRPr="00FA0E54">
        <w:rPr>
          <w:rFonts w:cs="Arial"/>
        </w:rPr>
        <w:t xml:space="preserve"> its annual turnover </w:t>
      </w:r>
      <w:r w:rsidR="002B5E1F" w:rsidRPr="00FA0E54">
        <w:rPr>
          <w:rFonts w:cs="Arial"/>
        </w:rPr>
        <w:t>and/</w:t>
      </w:r>
      <w:r w:rsidR="00AA5B71" w:rsidRPr="00FA0E54">
        <w:rPr>
          <w:rFonts w:cs="Arial"/>
        </w:rPr>
        <w:t>or aggregated turnover</w:t>
      </w:r>
      <w:r w:rsidR="00E86E35" w:rsidRPr="00FA0E54">
        <w:rPr>
          <w:rFonts w:cs="Arial"/>
        </w:rPr>
        <w:t xml:space="preserve"> under the </w:t>
      </w:r>
      <w:r w:rsidR="00A6102C" w:rsidRPr="00FA0E54">
        <w:rPr>
          <w:rFonts w:cs="Arial"/>
        </w:rPr>
        <w:t>ITAA</w:t>
      </w:r>
      <w:r w:rsidR="004B168E" w:rsidRPr="00FA0E54">
        <w:rPr>
          <w:rFonts w:cs="Arial"/>
        </w:rPr>
        <w:t>.</w:t>
      </w:r>
      <w:r w:rsidRPr="00FA0E54">
        <w:rPr>
          <w:rFonts w:cs="Arial"/>
        </w:rPr>
        <w:t xml:space="preserve"> </w:t>
      </w:r>
    </w:p>
    <w:p w14:paraId="410A1F2C" w14:textId="510B58BC" w:rsidR="00E7336F" w:rsidRPr="00FA0E54" w:rsidRDefault="00E7336F" w:rsidP="00CD302F">
      <w:pPr>
        <w:pStyle w:val="ListParagraph"/>
        <w:numPr>
          <w:ilvl w:val="0"/>
          <w:numId w:val="0"/>
        </w:numPr>
        <w:ind w:left="360"/>
      </w:pPr>
      <w:r w:rsidRPr="00FA0E54">
        <w:rPr>
          <w:rFonts w:cs="Arial"/>
          <w:b/>
          <w:i/>
        </w:rPr>
        <w:t xml:space="preserve">Aggregated turnover </w:t>
      </w:r>
    </w:p>
    <w:p w14:paraId="55EA5A7B" w14:textId="401DFAE3" w:rsidR="00C31EFD" w:rsidRPr="00FA0E54" w:rsidRDefault="00E7336F" w:rsidP="00CD302F">
      <w:pPr>
        <w:pStyle w:val="ListParagraph"/>
        <w:numPr>
          <w:ilvl w:val="0"/>
          <w:numId w:val="0"/>
        </w:numPr>
        <w:ind w:left="360"/>
        <w:rPr>
          <w:rFonts w:cs="Arial"/>
        </w:rPr>
      </w:pPr>
      <w:r w:rsidRPr="00FA0E54">
        <w:t xml:space="preserve">A business </w:t>
      </w:r>
      <w:r w:rsidR="007C4D50" w:rsidRPr="00FA0E54">
        <w:t xml:space="preserve">(Business A) </w:t>
      </w:r>
      <w:r w:rsidRPr="00FA0E54">
        <w:t xml:space="preserve">must calculate its </w:t>
      </w:r>
      <w:r w:rsidRPr="00FA0E54">
        <w:rPr>
          <w:b/>
          <w:i/>
        </w:rPr>
        <w:t>aggregated turnover</w:t>
      </w:r>
      <w:r w:rsidRPr="00FA0E54">
        <w:rPr>
          <w:i/>
        </w:rPr>
        <w:t xml:space="preserve"> </w:t>
      </w:r>
      <w:r w:rsidRPr="00FA0E54">
        <w:t xml:space="preserve">according to </w:t>
      </w:r>
      <w:r w:rsidR="00273676" w:rsidRPr="00FA0E54">
        <w:t>section 328-115 of the ITAA,</w:t>
      </w:r>
      <w:r w:rsidRPr="00FA0E54">
        <w:t xml:space="preserve"> which defines</w:t>
      </w:r>
      <w:r w:rsidR="00273676" w:rsidRPr="00FA0E54">
        <w:t xml:space="preserve"> a</w:t>
      </w:r>
      <w:r w:rsidR="00C31EFD" w:rsidRPr="00FA0E54">
        <w:rPr>
          <w:rFonts w:cs="Arial"/>
          <w:iCs/>
        </w:rPr>
        <w:t>ggregated turnover</w:t>
      </w:r>
      <w:r w:rsidR="00B044E9" w:rsidRPr="00FA0E54">
        <w:rPr>
          <w:rFonts w:cs="Arial"/>
        </w:rPr>
        <w:t xml:space="preserve"> </w:t>
      </w:r>
      <w:r w:rsidRPr="00FA0E54">
        <w:rPr>
          <w:rFonts w:cs="Arial"/>
        </w:rPr>
        <w:t>a</w:t>
      </w:r>
      <w:r w:rsidR="00B044E9" w:rsidRPr="00FA0E54">
        <w:rPr>
          <w:rFonts w:cs="Arial"/>
        </w:rPr>
        <w:t>s</w:t>
      </w:r>
      <w:r w:rsidR="00C31EFD" w:rsidRPr="00FA0E54">
        <w:rPr>
          <w:rFonts w:cs="Arial"/>
        </w:rPr>
        <w:t xml:space="preserve"> the sum of: </w:t>
      </w:r>
    </w:p>
    <w:p w14:paraId="4F50E521" w14:textId="25547543" w:rsidR="00506A39" w:rsidRPr="00FA0E54" w:rsidRDefault="00CD302F" w:rsidP="008E493B">
      <w:pPr>
        <w:pStyle w:val="ListParagraph"/>
        <w:numPr>
          <w:ilvl w:val="0"/>
          <w:numId w:val="17"/>
        </w:numPr>
        <w:ind w:left="1418"/>
        <w:rPr>
          <w:rFonts w:cs="Arial"/>
        </w:rPr>
      </w:pPr>
      <w:r w:rsidRPr="00FA0E54">
        <w:rPr>
          <w:rFonts w:cs="Arial"/>
        </w:rPr>
        <w:t>Business A’s</w:t>
      </w:r>
      <w:r w:rsidR="00273676" w:rsidRPr="00FA0E54">
        <w:rPr>
          <w:rFonts w:cs="Arial"/>
        </w:rPr>
        <w:t xml:space="preserve"> annual turnover (being a</w:t>
      </w:r>
      <w:r w:rsidR="00C31EFD" w:rsidRPr="00FA0E54">
        <w:rPr>
          <w:rFonts w:cs="Arial"/>
        </w:rPr>
        <w:t>ll ordinary income earned in the ordinary course of running a business for the income year</w:t>
      </w:r>
      <w:r w:rsidR="0069280E" w:rsidRPr="00FA0E54">
        <w:rPr>
          <w:rStyle w:val="FootnoteReference"/>
          <w:rFonts w:cs="Arial"/>
        </w:rPr>
        <w:footnoteReference w:id="13"/>
      </w:r>
      <w:r w:rsidR="00C31EFD" w:rsidRPr="00FA0E54">
        <w:rPr>
          <w:rFonts w:cs="Arial"/>
        </w:rPr>
        <w:t xml:space="preserve">). If </w:t>
      </w:r>
      <w:r w:rsidRPr="00FA0E54">
        <w:rPr>
          <w:rFonts w:cs="Arial"/>
        </w:rPr>
        <w:t>a business</w:t>
      </w:r>
      <w:r w:rsidR="00C31EFD" w:rsidRPr="00FA0E54">
        <w:rPr>
          <w:rFonts w:cs="Arial"/>
        </w:rPr>
        <w:t xml:space="preserve"> start</w:t>
      </w:r>
      <w:r w:rsidRPr="00FA0E54">
        <w:rPr>
          <w:rFonts w:cs="Arial"/>
        </w:rPr>
        <w:t>s</w:t>
      </w:r>
      <w:r w:rsidR="00C31EFD" w:rsidRPr="00FA0E54">
        <w:rPr>
          <w:rFonts w:cs="Arial"/>
        </w:rPr>
        <w:t xml:space="preserve"> or cease</w:t>
      </w:r>
      <w:r w:rsidRPr="00FA0E54">
        <w:rPr>
          <w:rFonts w:cs="Arial"/>
        </w:rPr>
        <w:t xml:space="preserve">s running </w:t>
      </w:r>
      <w:r w:rsidR="00C31EFD" w:rsidRPr="00FA0E54">
        <w:rPr>
          <w:rFonts w:cs="Arial"/>
        </w:rPr>
        <w:t xml:space="preserve">part way through an income year, </w:t>
      </w:r>
      <w:r w:rsidRPr="00FA0E54">
        <w:rPr>
          <w:rFonts w:cs="Arial"/>
        </w:rPr>
        <w:t>it</w:t>
      </w:r>
      <w:r w:rsidR="00C31EFD" w:rsidRPr="00FA0E54">
        <w:rPr>
          <w:rFonts w:cs="Arial"/>
        </w:rPr>
        <w:t xml:space="preserve"> must make a reasonable estimate of what </w:t>
      </w:r>
      <w:r w:rsidRPr="00FA0E54">
        <w:rPr>
          <w:rFonts w:cs="Arial"/>
        </w:rPr>
        <w:t>its</w:t>
      </w:r>
      <w:r w:rsidR="00C31EFD" w:rsidRPr="00FA0E54">
        <w:rPr>
          <w:rFonts w:cs="Arial"/>
        </w:rPr>
        <w:t xml:space="preserve"> annual turnover would have been if </w:t>
      </w:r>
      <w:r w:rsidRPr="00FA0E54">
        <w:rPr>
          <w:rFonts w:cs="Arial"/>
        </w:rPr>
        <w:t>it</w:t>
      </w:r>
      <w:r w:rsidR="00C31EFD" w:rsidRPr="00FA0E54">
        <w:rPr>
          <w:rFonts w:cs="Arial"/>
        </w:rPr>
        <w:t xml:space="preserve"> had carried on the business for the entire income year,</w:t>
      </w:r>
      <w:r w:rsidR="0069280E" w:rsidRPr="00FA0E54">
        <w:rPr>
          <w:rStyle w:val="FootnoteReference"/>
          <w:rFonts w:cs="Arial"/>
        </w:rPr>
        <w:footnoteReference w:id="14"/>
      </w:r>
      <w:r w:rsidR="00C31EFD" w:rsidRPr="00FA0E54">
        <w:rPr>
          <w:rFonts w:cs="Arial"/>
        </w:rPr>
        <w:t xml:space="preserve"> </w:t>
      </w:r>
      <w:r w:rsidR="00C31EFD" w:rsidRPr="00FA0E54">
        <w:rPr>
          <w:rFonts w:cs="Arial"/>
          <w:u w:val="single"/>
        </w:rPr>
        <w:t>and</w:t>
      </w:r>
      <w:r w:rsidR="00C31EFD" w:rsidRPr="00FA0E54">
        <w:rPr>
          <w:rFonts w:cs="Arial"/>
        </w:rPr>
        <w:t xml:space="preserve"> </w:t>
      </w:r>
    </w:p>
    <w:p w14:paraId="3CA315B1" w14:textId="172B7F40" w:rsidR="00C31EFD" w:rsidRPr="00FA0E54" w:rsidRDefault="00C31EFD" w:rsidP="008E493B">
      <w:pPr>
        <w:pStyle w:val="ListParagraph"/>
        <w:numPr>
          <w:ilvl w:val="0"/>
          <w:numId w:val="17"/>
        </w:numPr>
        <w:ind w:left="1418"/>
        <w:rPr>
          <w:rFonts w:cs="Arial"/>
        </w:rPr>
      </w:pPr>
      <w:r w:rsidRPr="00FA0E54">
        <w:rPr>
          <w:rFonts w:cs="Arial"/>
        </w:rPr>
        <w:t>the annual turnover of any business ‘connected</w:t>
      </w:r>
      <w:r w:rsidR="00506A39" w:rsidRPr="00FA0E54">
        <w:rPr>
          <w:rFonts w:cs="Arial"/>
        </w:rPr>
        <w:t xml:space="preserve"> to’ or ‘affiliated</w:t>
      </w:r>
      <w:r w:rsidRPr="00FA0E54">
        <w:rPr>
          <w:rFonts w:cs="Arial"/>
        </w:rPr>
        <w:t xml:space="preserve"> with</w:t>
      </w:r>
      <w:r w:rsidR="00506A39" w:rsidRPr="00FA0E54">
        <w:rPr>
          <w:rFonts w:cs="Arial"/>
        </w:rPr>
        <w:t>’</w:t>
      </w:r>
      <w:r w:rsidRPr="00FA0E54">
        <w:rPr>
          <w:rFonts w:cs="Arial"/>
        </w:rPr>
        <w:t xml:space="preserve"> </w:t>
      </w:r>
      <w:r w:rsidR="00CD302F" w:rsidRPr="00FA0E54">
        <w:rPr>
          <w:rFonts w:cs="Arial"/>
        </w:rPr>
        <w:t>Business A</w:t>
      </w:r>
      <w:r w:rsidRPr="00FA0E54">
        <w:rPr>
          <w:rFonts w:cs="Arial"/>
        </w:rPr>
        <w:t>, whether based in Australia or overseas.</w:t>
      </w:r>
      <w:r w:rsidR="0069280E" w:rsidRPr="00FA0E54">
        <w:rPr>
          <w:rStyle w:val="FootnoteReference"/>
          <w:rFonts w:cs="Arial"/>
        </w:rPr>
        <w:footnoteReference w:id="15"/>
      </w:r>
      <w:r w:rsidRPr="00FA0E54">
        <w:rPr>
          <w:rFonts w:cs="Arial"/>
        </w:rPr>
        <w:t xml:space="preserve"> Broadly, an entity is ‘connected’ with </w:t>
      </w:r>
      <w:r w:rsidR="00CD302F" w:rsidRPr="00FA0E54">
        <w:rPr>
          <w:rFonts w:cs="Arial"/>
        </w:rPr>
        <w:t xml:space="preserve">Business A </w:t>
      </w:r>
      <w:r w:rsidRPr="00FA0E54">
        <w:rPr>
          <w:rFonts w:cs="Arial"/>
        </w:rPr>
        <w:t xml:space="preserve">if either entity controls the other (for example, </w:t>
      </w:r>
      <w:r w:rsidR="00CD302F" w:rsidRPr="00FA0E54">
        <w:rPr>
          <w:rFonts w:cs="Arial"/>
        </w:rPr>
        <w:t>Business A has</w:t>
      </w:r>
      <w:r w:rsidRPr="00FA0E54">
        <w:rPr>
          <w:rFonts w:cs="Arial"/>
        </w:rPr>
        <w:t xml:space="preserve"> shares entitling </w:t>
      </w:r>
      <w:r w:rsidR="00CD302F" w:rsidRPr="00FA0E54">
        <w:rPr>
          <w:rFonts w:cs="Arial"/>
        </w:rPr>
        <w:t>it</w:t>
      </w:r>
      <w:r w:rsidRPr="00FA0E54">
        <w:rPr>
          <w:rFonts w:cs="Arial"/>
        </w:rPr>
        <w:t xml:space="preserve"> to 40 per cent of the voting power in </w:t>
      </w:r>
      <w:r w:rsidR="00CD302F" w:rsidRPr="00FA0E54">
        <w:rPr>
          <w:rFonts w:cs="Arial"/>
        </w:rPr>
        <w:t>Business B</w:t>
      </w:r>
      <w:r w:rsidRPr="00FA0E54">
        <w:rPr>
          <w:rFonts w:cs="Arial"/>
        </w:rPr>
        <w:t>), or both entities are controlled by the same third entity.</w:t>
      </w:r>
      <w:r w:rsidR="0069280E" w:rsidRPr="00FA0E54">
        <w:rPr>
          <w:rStyle w:val="FootnoteReference"/>
          <w:rFonts w:cs="Arial"/>
        </w:rPr>
        <w:footnoteReference w:id="16"/>
      </w:r>
      <w:r w:rsidRPr="00FA0E54">
        <w:rPr>
          <w:rFonts w:cs="Arial"/>
        </w:rPr>
        <w:t xml:space="preserve"> An ‘affiliate’ is any individual or company that, in relation to their business affairs, acts or could reasonably be expected to act according to </w:t>
      </w:r>
      <w:r w:rsidR="00CD302F" w:rsidRPr="00FA0E54">
        <w:rPr>
          <w:rFonts w:cs="Arial"/>
        </w:rPr>
        <w:t>Business A’s</w:t>
      </w:r>
      <w:r w:rsidRPr="00FA0E54">
        <w:rPr>
          <w:rFonts w:cs="Arial"/>
        </w:rPr>
        <w:t xml:space="preserve"> directions or wishes, or in concert with </w:t>
      </w:r>
      <w:r w:rsidR="00CD302F" w:rsidRPr="00FA0E54">
        <w:rPr>
          <w:rFonts w:cs="Arial"/>
        </w:rPr>
        <w:t>Business A</w:t>
      </w:r>
      <w:r w:rsidRPr="00FA0E54">
        <w:rPr>
          <w:rFonts w:cs="Arial"/>
        </w:rPr>
        <w:t>.</w:t>
      </w:r>
      <w:r w:rsidR="0069280E" w:rsidRPr="00FA0E54">
        <w:rPr>
          <w:rStyle w:val="FootnoteReference"/>
          <w:rFonts w:cs="Arial"/>
        </w:rPr>
        <w:footnoteReference w:id="17"/>
      </w:r>
      <w:r w:rsidR="0069280E" w:rsidRPr="00FA0E54">
        <w:rPr>
          <w:rStyle w:val="CommentReference"/>
          <w:rFonts w:asciiTheme="minorHAnsi" w:hAnsiTheme="minorHAnsi"/>
        </w:rPr>
        <w:t xml:space="preserve"> </w:t>
      </w:r>
    </w:p>
    <w:p w14:paraId="2CE2EE5E" w14:textId="1CD773D3" w:rsidR="007D553E" w:rsidRPr="00FA0E54" w:rsidRDefault="007D553E" w:rsidP="004939FA">
      <w:pPr>
        <w:pStyle w:val="ListParagraph"/>
        <w:numPr>
          <w:ilvl w:val="0"/>
          <w:numId w:val="9"/>
        </w:numPr>
        <w:rPr>
          <w:rFonts w:cs="Arial"/>
          <w:b/>
        </w:rPr>
      </w:pPr>
      <w:r w:rsidRPr="00FA0E54">
        <w:rPr>
          <w:rFonts w:cs="Arial"/>
          <w:b/>
        </w:rPr>
        <w:t xml:space="preserve">Meaning of </w:t>
      </w:r>
      <w:r w:rsidRPr="00FA0E54">
        <w:rPr>
          <w:rFonts w:cs="Arial"/>
          <w:b/>
          <w:i/>
        </w:rPr>
        <w:t>initial contract</w:t>
      </w:r>
      <w:r w:rsidRPr="00FA0E54">
        <w:rPr>
          <w:rFonts w:cs="Arial"/>
          <w:b/>
        </w:rPr>
        <w:t xml:space="preserve">, </w:t>
      </w:r>
      <w:r w:rsidRPr="00FA0E54">
        <w:rPr>
          <w:rFonts w:cs="Arial"/>
          <w:b/>
          <w:i/>
        </w:rPr>
        <w:t xml:space="preserve">contracting parties </w:t>
      </w:r>
      <w:r w:rsidRPr="00FA0E54">
        <w:rPr>
          <w:rFonts w:cs="Arial"/>
          <w:b/>
        </w:rPr>
        <w:t xml:space="preserve">and </w:t>
      </w:r>
      <w:r w:rsidRPr="00FA0E54">
        <w:rPr>
          <w:rFonts w:cs="Arial"/>
          <w:b/>
          <w:i/>
        </w:rPr>
        <w:t xml:space="preserve">target </w:t>
      </w:r>
    </w:p>
    <w:p w14:paraId="4F906051" w14:textId="327234A5" w:rsidR="00764F7A" w:rsidRPr="00FA0E54" w:rsidRDefault="002A1FB6" w:rsidP="00FA6D9D">
      <w:pPr>
        <w:pStyle w:val="ListParagraph"/>
        <w:numPr>
          <w:ilvl w:val="0"/>
          <w:numId w:val="0"/>
        </w:numPr>
        <w:ind w:left="360"/>
        <w:rPr>
          <w:rFonts w:cs="Arial"/>
        </w:rPr>
      </w:pPr>
      <w:r w:rsidRPr="00FA0E54">
        <w:rPr>
          <w:rFonts w:cs="Arial"/>
        </w:rPr>
        <w:t>The meaning</w:t>
      </w:r>
      <w:r w:rsidR="005C248F" w:rsidRPr="00FA0E54">
        <w:rPr>
          <w:rFonts w:cs="Arial"/>
        </w:rPr>
        <w:t>s</w:t>
      </w:r>
      <w:r w:rsidRPr="00FA0E54">
        <w:rPr>
          <w:rFonts w:cs="Arial"/>
        </w:rPr>
        <w:t xml:space="preserve"> of key terms</w:t>
      </w:r>
      <w:r w:rsidR="00FA6D9D" w:rsidRPr="00FA0E54">
        <w:rPr>
          <w:rFonts w:cs="Arial"/>
        </w:rPr>
        <w:t xml:space="preserve"> </w:t>
      </w:r>
      <w:r w:rsidR="005C248F" w:rsidRPr="00FA0E54">
        <w:rPr>
          <w:rFonts w:cs="Arial"/>
        </w:rPr>
        <w:t>‘</w:t>
      </w:r>
      <w:r w:rsidR="00FA6D9D" w:rsidRPr="00FA0E54">
        <w:rPr>
          <w:rFonts w:cs="Arial"/>
          <w:b/>
          <w:i/>
        </w:rPr>
        <w:t>initial contract</w:t>
      </w:r>
      <w:r w:rsidR="005C248F" w:rsidRPr="00FA0E54">
        <w:rPr>
          <w:rFonts w:cs="Arial"/>
        </w:rPr>
        <w:t>’</w:t>
      </w:r>
      <w:r w:rsidRPr="00FA0E54">
        <w:rPr>
          <w:rFonts w:cs="Arial"/>
          <w:b/>
          <w:i/>
        </w:rPr>
        <w:t xml:space="preserve">, </w:t>
      </w:r>
      <w:r w:rsidR="005C248F" w:rsidRPr="00FA0E54">
        <w:rPr>
          <w:rFonts w:cs="Arial"/>
        </w:rPr>
        <w:t>‘</w:t>
      </w:r>
      <w:r w:rsidRPr="00FA0E54">
        <w:rPr>
          <w:rFonts w:cs="Arial"/>
          <w:b/>
          <w:i/>
        </w:rPr>
        <w:t>contracting parties</w:t>
      </w:r>
      <w:r w:rsidR="005C248F" w:rsidRPr="00FA0E54">
        <w:rPr>
          <w:rFonts w:cs="Arial"/>
        </w:rPr>
        <w:t>’</w:t>
      </w:r>
      <w:r w:rsidRPr="00FA0E54">
        <w:rPr>
          <w:rFonts w:cs="Arial"/>
          <w:b/>
          <w:i/>
        </w:rPr>
        <w:t xml:space="preserve"> </w:t>
      </w:r>
      <w:r w:rsidRPr="00FA0E54">
        <w:rPr>
          <w:rFonts w:cs="Arial"/>
        </w:rPr>
        <w:t xml:space="preserve">and </w:t>
      </w:r>
      <w:r w:rsidR="005C248F" w:rsidRPr="00FA0E54">
        <w:rPr>
          <w:rFonts w:cs="Arial"/>
        </w:rPr>
        <w:t>‘</w:t>
      </w:r>
      <w:r w:rsidRPr="00FA0E54">
        <w:rPr>
          <w:rFonts w:cs="Arial"/>
          <w:b/>
          <w:i/>
        </w:rPr>
        <w:t>target</w:t>
      </w:r>
      <w:r w:rsidR="005C248F" w:rsidRPr="00FA0E54">
        <w:rPr>
          <w:rFonts w:cs="Arial"/>
        </w:rPr>
        <w:t>’</w:t>
      </w:r>
      <w:r w:rsidRPr="00FA0E54">
        <w:rPr>
          <w:rFonts w:cs="Arial"/>
          <w:b/>
          <w:i/>
        </w:rPr>
        <w:t xml:space="preserve"> </w:t>
      </w:r>
      <w:r w:rsidR="00A57271" w:rsidRPr="00FA0E54">
        <w:rPr>
          <w:rFonts w:cs="Arial"/>
        </w:rPr>
        <w:t>are set out in section</w:t>
      </w:r>
      <w:r w:rsidRPr="00FA0E54">
        <w:rPr>
          <w:rFonts w:cs="Arial"/>
        </w:rPr>
        <w:t xml:space="preserve"> 6</w:t>
      </w:r>
      <w:r w:rsidRPr="00FA0E54">
        <w:rPr>
          <w:rFonts w:cs="Arial"/>
          <w:i/>
        </w:rPr>
        <w:t xml:space="preserve">. </w:t>
      </w:r>
    </w:p>
    <w:p w14:paraId="3A863E58" w14:textId="73263685" w:rsidR="00222AA7" w:rsidRPr="00FA0E54" w:rsidRDefault="00222AA7" w:rsidP="00322A60">
      <w:pPr>
        <w:pStyle w:val="ListParagraph"/>
        <w:numPr>
          <w:ilvl w:val="0"/>
          <w:numId w:val="0"/>
        </w:numPr>
        <w:ind w:left="360"/>
        <w:rPr>
          <w:rFonts w:cs="Arial"/>
        </w:rPr>
      </w:pPr>
      <w:r w:rsidRPr="00FA0E54">
        <w:rPr>
          <w:rFonts w:cs="Arial"/>
        </w:rPr>
        <w:t xml:space="preserve">An </w:t>
      </w:r>
      <w:r w:rsidRPr="00FA0E54">
        <w:rPr>
          <w:rFonts w:cs="Arial"/>
          <w:b/>
          <w:i/>
        </w:rPr>
        <w:t>initial contract</w:t>
      </w:r>
      <w:r w:rsidRPr="00FA0E54">
        <w:rPr>
          <w:rFonts w:cs="Arial"/>
          <w:b/>
        </w:rPr>
        <w:t xml:space="preserve"> </w:t>
      </w:r>
      <w:r w:rsidRPr="00FA0E54">
        <w:rPr>
          <w:rFonts w:cs="Arial"/>
        </w:rPr>
        <w:t xml:space="preserve">is the contract, arrangement or understanding or proposed contract, arrangement or understanding made by a corporation and </w:t>
      </w:r>
      <w:r w:rsidR="00623835" w:rsidRPr="00FA0E54">
        <w:rPr>
          <w:rFonts w:cs="Arial"/>
        </w:rPr>
        <w:t>one</w:t>
      </w:r>
      <w:r w:rsidRPr="00FA0E54">
        <w:rPr>
          <w:rFonts w:cs="Arial"/>
        </w:rPr>
        <w:t xml:space="preserve"> or more other </w:t>
      </w:r>
      <w:r w:rsidRPr="00FA0E54">
        <w:rPr>
          <w:rFonts w:cs="Arial"/>
          <w:b/>
          <w:i/>
        </w:rPr>
        <w:t>contracting parties</w:t>
      </w:r>
      <w:r w:rsidRPr="00FA0E54">
        <w:rPr>
          <w:rFonts w:cs="Arial"/>
          <w:b/>
        </w:rPr>
        <w:t xml:space="preserve"> </w:t>
      </w:r>
      <w:r w:rsidRPr="00FA0E54">
        <w:rPr>
          <w:rFonts w:cs="Arial"/>
        </w:rPr>
        <w:t>for the purpose of collectively negotiating one or more future contracts with a target or targets.</w:t>
      </w:r>
      <w:r w:rsidR="007A165D" w:rsidRPr="00FA0E54">
        <w:rPr>
          <w:rFonts w:cs="Arial"/>
        </w:rPr>
        <w:t xml:space="preserve"> A note under subsection 6(1) draws the reader’s attention to section 4F of the CCA, which, among other things, deals with references to ‘purpose’ in the CCA. The term ‘purpose’ will have same meaning in the Determination: </w:t>
      </w:r>
      <w:r w:rsidR="007A165D" w:rsidRPr="00FA0E54">
        <w:rPr>
          <w:rFonts w:cs="Arial"/>
          <w:i/>
        </w:rPr>
        <w:t>Legislation Act 2003</w:t>
      </w:r>
      <w:r w:rsidR="007A165D" w:rsidRPr="00FA0E54">
        <w:rPr>
          <w:rFonts w:cs="Arial"/>
        </w:rPr>
        <w:t>, s</w:t>
      </w:r>
      <w:r w:rsidR="00A25EBB" w:rsidRPr="00FA0E54">
        <w:rPr>
          <w:rFonts w:cs="Arial"/>
        </w:rPr>
        <w:t>ection</w:t>
      </w:r>
      <w:r w:rsidR="007A165D" w:rsidRPr="00FA0E54">
        <w:rPr>
          <w:rFonts w:cs="Arial"/>
        </w:rPr>
        <w:t xml:space="preserve"> 13. As a result of section 4F of the CCA, the purpose referred to in section 6 of the Determination need only be a </w:t>
      </w:r>
      <w:r w:rsidR="007A165D" w:rsidRPr="00FA0E54">
        <w:rPr>
          <w:rFonts w:cs="Arial"/>
          <w:i/>
        </w:rPr>
        <w:t xml:space="preserve">substantial </w:t>
      </w:r>
      <w:r w:rsidR="007A165D" w:rsidRPr="00FA0E54">
        <w:rPr>
          <w:rFonts w:cs="Arial"/>
        </w:rPr>
        <w:t>purpose for the contract to be an ‘initial contract’.</w:t>
      </w:r>
    </w:p>
    <w:p w14:paraId="5D371A5C" w14:textId="278672A2" w:rsidR="00FA6D9D" w:rsidRPr="00FA0E54" w:rsidRDefault="00222AA7" w:rsidP="00133E30">
      <w:pPr>
        <w:spacing w:before="120" w:after="120"/>
        <w:ind w:left="357"/>
        <w:rPr>
          <w:rFonts w:ascii="Arial" w:hAnsi="Arial" w:cs="Arial"/>
        </w:rPr>
      </w:pPr>
      <w:r w:rsidRPr="00FA0E54">
        <w:rPr>
          <w:rFonts w:ascii="Arial" w:hAnsi="Arial" w:cs="Arial"/>
        </w:rPr>
        <w:t xml:space="preserve">An </w:t>
      </w:r>
      <w:r w:rsidRPr="00FA0E54">
        <w:rPr>
          <w:rFonts w:ascii="Arial" w:hAnsi="Arial" w:cs="Arial"/>
          <w:b/>
          <w:i/>
        </w:rPr>
        <w:t>initial contract</w:t>
      </w:r>
      <w:r w:rsidRPr="00FA0E54">
        <w:rPr>
          <w:rFonts w:ascii="Arial" w:hAnsi="Arial" w:cs="Arial"/>
        </w:rPr>
        <w:t xml:space="preserve"> can be about either the supply of particular goods or services to, or the acquisition of particular goods or services from, one or more other persons (</w:t>
      </w:r>
      <w:r w:rsidRPr="00FA0E54">
        <w:rPr>
          <w:rFonts w:ascii="Arial" w:hAnsi="Arial" w:cs="Arial"/>
          <w:b/>
          <w:i/>
        </w:rPr>
        <w:t>target</w:t>
      </w:r>
      <w:r w:rsidRPr="00FA0E54">
        <w:rPr>
          <w:rFonts w:ascii="Arial" w:hAnsi="Arial" w:cs="Arial"/>
        </w:rPr>
        <w:t xml:space="preserve"> or </w:t>
      </w:r>
      <w:r w:rsidRPr="00FA0E54">
        <w:rPr>
          <w:rFonts w:ascii="Arial" w:hAnsi="Arial" w:cs="Arial"/>
          <w:b/>
          <w:i/>
        </w:rPr>
        <w:t>targets</w:t>
      </w:r>
      <w:r w:rsidRPr="00FA0E54">
        <w:rPr>
          <w:rFonts w:ascii="Arial" w:hAnsi="Arial" w:cs="Arial"/>
        </w:rPr>
        <w:t>) by the corporation and the contract</w:t>
      </w:r>
      <w:r w:rsidR="00A6102C" w:rsidRPr="00FA0E54">
        <w:rPr>
          <w:rFonts w:ascii="Arial" w:hAnsi="Arial" w:cs="Arial"/>
        </w:rPr>
        <w:t>ing</w:t>
      </w:r>
      <w:r w:rsidRPr="00FA0E54">
        <w:rPr>
          <w:rFonts w:ascii="Arial" w:hAnsi="Arial" w:cs="Arial"/>
        </w:rPr>
        <w:t xml:space="preserve"> parties. However, a contract</w:t>
      </w:r>
      <w:r w:rsidR="003F0124" w:rsidRPr="00FA0E54">
        <w:rPr>
          <w:rFonts w:ascii="Arial" w:hAnsi="Arial" w:cs="Arial"/>
        </w:rPr>
        <w:t xml:space="preserve">, arrangement or understanding will not be an </w:t>
      </w:r>
      <w:r w:rsidR="003F0124" w:rsidRPr="00FA0E54">
        <w:rPr>
          <w:rFonts w:ascii="Arial" w:hAnsi="Arial" w:cs="Arial"/>
          <w:b/>
          <w:i/>
        </w:rPr>
        <w:t>initial contract</w:t>
      </w:r>
      <w:r w:rsidR="003F0124" w:rsidRPr="00FA0E54">
        <w:rPr>
          <w:rFonts w:ascii="Arial" w:hAnsi="Arial" w:cs="Arial"/>
        </w:rPr>
        <w:t xml:space="preserve"> if it is about the supply of </w:t>
      </w:r>
      <w:r w:rsidR="003F0124" w:rsidRPr="00FA0E54">
        <w:rPr>
          <w:rFonts w:ascii="Arial" w:hAnsi="Arial" w:cs="Arial"/>
        </w:rPr>
        <w:lastRenderedPageBreak/>
        <w:t xml:space="preserve">goods or services to </w:t>
      </w:r>
      <w:r w:rsidR="007A165D" w:rsidRPr="00FA0E54">
        <w:rPr>
          <w:rFonts w:ascii="Arial" w:hAnsi="Arial" w:cs="Arial"/>
        </w:rPr>
        <w:t>end consumers where the goods or services would be</w:t>
      </w:r>
      <w:r w:rsidR="003F0124" w:rsidRPr="00FA0E54">
        <w:rPr>
          <w:rFonts w:ascii="Arial" w:hAnsi="Arial" w:cs="Arial"/>
        </w:rPr>
        <w:t xml:space="preserve"> for personal, domestic or household use by the target or targets. </w:t>
      </w:r>
    </w:p>
    <w:p w14:paraId="1BDBC061" w14:textId="49B98627" w:rsidR="007D553E" w:rsidRPr="00FA0E54" w:rsidRDefault="007D553E" w:rsidP="007D553E">
      <w:pPr>
        <w:spacing w:before="120" w:after="0"/>
        <w:rPr>
          <w:rFonts w:ascii="Arial" w:hAnsi="Arial" w:cs="Arial"/>
          <w:b/>
          <w:u w:val="single"/>
        </w:rPr>
      </w:pPr>
      <w:r w:rsidRPr="00FA0E54">
        <w:rPr>
          <w:rFonts w:ascii="Arial" w:hAnsi="Arial" w:cs="Arial"/>
          <w:b/>
          <w:u w:val="single"/>
        </w:rPr>
        <w:t xml:space="preserve">Part </w:t>
      </w:r>
      <w:r w:rsidR="00631DF9" w:rsidRPr="00FA0E54">
        <w:rPr>
          <w:rFonts w:ascii="Arial" w:hAnsi="Arial" w:cs="Arial"/>
          <w:b/>
          <w:u w:val="single"/>
        </w:rPr>
        <w:t>2—</w:t>
      </w:r>
      <w:r w:rsidR="00637E42" w:rsidRPr="00FA0E54">
        <w:rPr>
          <w:rFonts w:ascii="Arial" w:hAnsi="Arial" w:cs="Arial"/>
          <w:b/>
          <w:u w:val="single"/>
        </w:rPr>
        <w:t>Class exemption—</w:t>
      </w:r>
      <w:r w:rsidRPr="00FA0E54">
        <w:rPr>
          <w:rFonts w:ascii="Arial" w:hAnsi="Arial" w:cs="Arial"/>
          <w:b/>
          <w:u w:val="single"/>
        </w:rPr>
        <w:t>collective bargaining</w:t>
      </w:r>
    </w:p>
    <w:p w14:paraId="2154E590" w14:textId="4C8225A9" w:rsidR="007D553E" w:rsidRPr="00FA0E54" w:rsidRDefault="007D553E" w:rsidP="007D553E">
      <w:pPr>
        <w:spacing w:before="120" w:after="0"/>
        <w:rPr>
          <w:rFonts w:ascii="Arial" w:hAnsi="Arial" w:cs="Arial"/>
          <w:b/>
        </w:rPr>
      </w:pPr>
      <w:r w:rsidRPr="00FA0E54">
        <w:rPr>
          <w:rFonts w:ascii="Arial" w:hAnsi="Arial" w:cs="Arial"/>
          <w:b/>
        </w:rPr>
        <w:t xml:space="preserve">Division 1 – Class exemption </w:t>
      </w:r>
    </w:p>
    <w:p w14:paraId="39DC20A4" w14:textId="32427DB6" w:rsidR="007D553E" w:rsidRPr="00FA0E54" w:rsidRDefault="00A57271" w:rsidP="004939FA">
      <w:pPr>
        <w:pStyle w:val="ListParagraph"/>
        <w:numPr>
          <w:ilvl w:val="0"/>
          <w:numId w:val="9"/>
        </w:numPr>
        <w:rPr>
          <w:rFonts w:cs="Arial"/>
          <w:b/>
        </w:rPr>
      </w:pPr>
      <w:r w:rsidRPr="00FA0E54">
        <w:rPr>
          <w:rFonts w:cs="Arial"/>
          <w:b/>
        </w:rPr>
        <w:t xml:space="preserve">Section 7: </w:t>
      </w:r>
      <w:r w:rsidR="007D553E" w:rsidRPr="00FA0E54">
        <w:rPr>
          <w:rFonts w:cs="Arial"/>
          <w:b/>
        </w:rPr>
        <w:t xml:space="preserve">Class exemption – collective bargaining </w:t>
      </w:r>
    </w:p>
    <w:p w14:paraId="7FBE3611" w14:textId="7594033D" w:rsidR="007A165D" w:rsidRPr="00FA0E54" w:rsidRDefault="005D2CF2" w:rsidP="00502971">
      <w:pPr>
        <w:spacing w:before="120" w:after="0"/>
        <w:ind w:left="360"/>
        <w:rPr>
          <w:rFonts w:ascii="Arial" w:hAnsi="Arial" w:cs="Arial"/>
        </w:rPr>
      </w:pPr>
      <w:r w:rsidRPr="00FA0E54">
        <w:rPr>
          <w:rFonts w:ascii="Arial" w:hAnsi="Arial" w:cs="Arial"/>
        </w:rPr>
        <w:t>This s</w:t>
      </w:r>
      <w:r w:rsidR="00DD0B4C" w:rsidRPr="00FA0E54">
        <w:rPr>
          <w:rFonts w:ascii="Arial" w:hAnsi="Arial" w:cs="Arial"/>
        </w:rPr>
        <w:t xml:space="preserve">ection </w:t>
      </w:r>
      <w:r w:rsidR="002814DC" w:rsidRPr="00FA0E54">
        <w:rPr>
          <w:rFonts w:ascii="Arial" w:hAnsi="Arial" w:cs="Arial"/>
        </w:rPr>
        <w:t>provides that</w:t>
      </w:r>
      <w:r w:rsidR="00D84FD8" w:rsidRPr="00FA0E54">
        <w:rPr>
          <w:rFonts w:ascii="Arial" w:hAnsi="Arial" w:cs="Arial"/>
        </w:rPr>
        <w:t xml:space="preserve">, subject to specified limitations, </w:t>
      </w:r>
      <w:r w:rsidR="002814DC" w:rsidRPr="00FA0E54">
        <w:rPr>
          <w:rFonts w:ascii="Arial" w:hAnsi="Arial" w:cs="Arial"/>
        </w:rPr>
        <w:t>the prohibitions</w:t>
      </w:r>
      <w:r w:rsidR="00D84FD8" w:rsidRPr="00FA0E54">
        <w:rPr>
          <w:rFonts w:ascii="Arial" w:hAnsi="Arial" w:cs="Arial"/>
        </w:rPr>
        <w:t xml:space="preserve"> in sections 45AF, 45AG, 45AJ, 45AK and 45 of the </w:t>
      </w:r>
      <w:r w:rsidR="002C5987" w:rsidRPr="00FA0E54">
        <w:rPr>
          <w:rFonts w:ascii="Arial" w:hAnsi="Arial" w:cs="Arial"/>
        </w:rPr>
        <w:t>CCA</w:t>
      </w:r>
      <w:r w:rsidR="00D84FD8" w:rsidRPr="00FA0E54">
        <w:rPr>
          <w:rFonts w:ascii="Arial" w:hAnsi="Arial" w:cs="Arial"/>
        </w:rPr>
        <w:t xml:space="preserve"> do not apply to a corporation engaging in any of the three specified kinds of collective bargaining conduct</w:t>
      </w:r>
      <w:r w:rsidR="00995712" w:rsidRPr="00FA0E54">
        <w:rPr>
          <w:rFonts w:ascii="Arial" w:hAnsi="Arial" w:cs="Arial"/>
        </w:rPr>
        <w:t>.</w:t>
      </w:r>
      <w:r w:rsidR="00D84FD8" w:rsidRPr="00FA0E54">
        <w:rPr>
          <w:rFonts w:ascii="Arial" w:hAnsi="Arial" w:cs="Arial"/>
        </w:rPr>
        <w:t xml:space="preserve"> </w:t>
      </w:r>
    </w:p>
    <w:p w14:paraId="1DFED00E" w14:textId="6DE76D9C" w:rsidR="00995712" w:rsidRPr="00FA0E54" w:rsidRDefault="00995712" w:rsidP="00502971">
      <w:pPr>
        <w:spacing w:before="120" w:after="0"/>
        <w:ind w:left="360"/>
        <w:rPr>
          <w:rFonts w:ascii="Arial" w:hAnsi="Arial" w:cs="Arial"/>
        </w:rPr>
      </w:pPr>
      <w:r w:rsidRPr="00FA0E54">
        <w:rPr>
          <w:rFonts w:ascii="Arial" w:hAnsi="Arial" w:cs="Arial"/>
        </w:rPr>
        <w:t xml:space="preserve">Sections 45AF, 45AG, 45AJ, 45AK prohibit corporations from making contracts, arrangements or understandings that contain cartel provisions, </w:t>
      </w:r>
      <w:r w:rsidR="007A165D" w:rsidRPr="00FA0E54">
        <w:rPr>
          <w:rFonts w:ascii="Arial" w:hAnsi="Arial" w:cs="Arial"/>
        </w:rPr>
        <w:t xml:space="preserve">and </w:t>
      </w:r>
      <w:r w:rsidR="007D273D" w:rsidRPr="00FA0E54">
        <w:rPr>
          <w:rFonts w:ascii="Arial" w:hAnsi="Arial" w:cs="Arial"/>
        </w:rPr>
        <w:t>g</w:t>
      </w:r>
      <w:r w:rsidRPr="00FA0E54">
        <w:rPr>
          <w:rFonts w:ascii="Arial" w:hAnsi="Arial" w:cs="Arial"/>
        </w:rPr>
        <w:t xml:space="preserve">iving effect to such provisions. Section 45 prohibits conduct in relation to contracts, arrangements or understandings that restrict dealings or affect competition, including engaging in concerted practices. </w:t>
      </w:r>
    </w:p>
    <w:p w14:paraId="4CFFC675" w14:textId="5084CCD7" w:rsidR="00A96570" w:rsidRPr="00FA0E54" w:rsidRDefault="00995712" w:rsidP="00502971">
      <w:pPr>
        <w:spacing w:before="120" w:after="0"/>
        <w:ind w:left="360"/>
        <w:rPr>
          <w:rFonts w:ascii="Arial" w:hAnsi="Arial" w:cs="Arial"/>
        </w:rPr>
      </w:pPr>
      <w:r w:rsidRPr="00FA0E54">
        <w:rPr>
          <w:rFonts w:ascii="Arial" w:hAnsi="Arial" w:cs="Arial"/>
        </w:rPr>
        <w:t>The three specified kinds of collective bargaining conduct to which section 7(</w:t>
      </w:r>
      <w:r w:rsidR="00550D8F" w:rsidRPr="00FA0E54">
        <w:rPr>
          <w:rFonts w:ascii="Arial" w:hAnsi="Arial" w:cs="Arial"/>
        </w:rPr>
        <w:t>1</w:t>
      </w:r>
      <w:r w:rsidRPr="00FA0E54">
        <w:rPr>
          <w:rFonts w:ascii="Arial" w:hAnsi="Arial" w:cs="Arial"/>
        </w:rPr>
        <w:t>) applies are ‘</w:t>
      </w:r>
      <w:r w:rsidR="00D84FD8" w:rsidRPr="00FA0E54">
        <w:rPr>
          <w:rFonts w:ascii="Arial" w:hAnsi="Arial" w:cs="Arial"/>
        </w:rPr>
        <w:t>eligible corporation collective bargaining conduct</w:t>
      </w:r>
      <w:r w:rsidRPr="00FA0E54">
        <w:rPr>
          <w:rFonts w:ascii="Arial" w:hAnsi="Arial" w:cs="Arial"/>
        </w:rPr>
        <w:t>’</w:t>
      </w:r>
      <w:r w:rsidR="00D84FD8" w:rsidRPr="00FA0E54">
        <w:rPr>
          <w:rFonts w:ascii="Arial" w:hAnsi="Arial" w:cs="Arial"/>
        </w:rPr>
        <w:t xml:space="preserve">, </w:t>
      </w:r>
      <w:r w:rsidRPr="00FA0E54">
        <w:rPr>
          <w:rFonts w:ascii="Arial" w:hAnsi="Arial" w:cs="Arial"/>
        </w:rPr>
        <w:t>‘</w:t>
      </w:r>
      <w:r w:rsidR="00D84FD8" w:rsidRPr="00FA0E54">
        <w:rPr>
          <w:rFonts w:ascii="Arial" w:hAnsi="Arial" w:cs="Arial"/>
        </w:rPr>
        <w:t>franchisee collective bargaining conduct</w:t>
      </w:r>
      <w:r w:rsidRPr="00FA0E54">
        <w:rPr>
          <w:rFonts w:ascii="Arial" w:hAnsi="Arial" w:cs="Arial"/>
        </w:rPr>
        <w:t>’</w:t>
      </w:r>
      <w:r w:rsidR="00D84FD8" w:rsidRPr="00FA0E54">
        <w:rPr>
          <w:rFonts w:ascii="Arial" w:hAnsi="Arial" w:cs="Arial"/>
        </w:rPr>
        <w:t xml:space="preserve"> and </w:t>
      </w:r>
      <w:r w:rsidRPr="00FA0E54">
        <w:rPr>
          <w:rFonts w:ascii="Arial" w:hAnsi="Arial" w:cs="Arial"/>
        </w:rPr>
        <w:t>‘</w:t>
      </w:r>
      <w:r w:rsidR="00D84FD8" w:rsidRPr="00FA0E54">
        <w:rPr>
          <w:rFonts w:ascii="Arial" w:hAnsi="Arial" w:cs="Arial"/>
        </w:rPr>
        <w:t>fuel retailer collective bargaining conduct</w:t>
      </w:r>
      <w:r w:rsidRPr="00FA0E54">
        <w:rPr>
          <w:rFonts w:ascii="Arial" w:hAnsi="Arial" w:cs="Arial"/>
        </w:rPr>
        <w:t>’</w:t>
      </w:r>
      <w:r w:rsidR="00D84FD8" w:rsidRPr="00FA0E54">
        <w:rPr>
          <w:rFonts w:ascii="Arial" w:hAnsi="Arial" w:cs="Arial"/>
        </w:rPr>
        <w:t xml:space="preserve">. </w:t>
      </w:r>
    </w:p>
    <w:p w14:paraId="59AA473C" w14:textId="5C8021E7" w:rsidR="005566E4" w:rsidRPr="00FA0E54" w:rsidRDefault="007B3C22" w:rsidP="00502971">
      <w:pPr>
        <w:spacing w:before="120" w:after="0"/>
        <w:ind w:left="360"/>
      </w:pPr>
      <w:r w:rsidRPr="00FA0E54">
        <w:rPr>
          <w:rFonts w:ascii="Arial" w:hAnsi="Arial" w:cs="Arial"/>
          <w:b/>
          <w:i/>
        </w:rPr>
        <w:t>Eligible corporatio</w:t>
      </w:r>
      <w:r w:rsidR="00D054B4" w:rsidRPr="00FA0E54">
        <w:rPr>
          <w:rFonts w:ascii="Arial" w:hAnsi="Arial" w:cs="Arial"/>
          <w:b/>
          <w:i/>
        </w:rPr>
        <w:t xml:space="preserve">n collective bargaining </w:t>
      </w:r>
      <w:r w:rsidR="005566E4" w:rsidRPr="00FA0E54">
        <w:rPr>
          <w:rFonts w:ascii="Arial" w:hAnsi="Arial" w:cs="Arial"/>
          <w:b/>
          <w:i/>
        </w:rPr>
        <w:t xml:space="preserve">conduct: </w:t>
      </w:r>
    </w:p>
    <w:p w14:paraId="6294C1D7" w14:textId="77777777" w:rsidR="00A6102C" w:rsidRPr="00FA0E54" w:rsidRDefault="00D84FD8" w:rsidP="00502971">
      <w:pPr>
        <w:spacing w:before="120" w:after="0"/>
        <w:ind w:left="360"/>
        <w:rPr>
          <w:rFonts w:ascii="Arial" w:hAnsi="Arial" w:cs="Arial"/>
        </w:rPr>
      </w:pPr>
      <w:r w:rsidRPr="00FA0E54">
        <w:rPr>
          <w:rFonts w:ascii="Arial" w:hAnsi="Arial" w:cs="Arial"/>
        </w:rPr>
        <w:t>A corporation engages in eligible corporation co</w:t>
      </w:r>
      <w:r w:rsidR="00A6102C" w:rsidRPr="00FA0E54">
        <w:rPr>
          <w:rFonts w:ascii="Arial" w:hAnsi="Arial" w:cs="Arial"/>
        </w:rPr>
        <w:t>llective bargaining conduct if:</w:t>
      </w:r>
    </w:p>
    <w:p w14:paraId="6ED60614" w14:textId="77777777" w:rsidR="00A6102C" w:rsidRPr="00FA0E54" w:rsidRDefault="00D84FD8" w:rsidP="00502971">
      <w:pPr>
        <w:pStyle w:val="ListParagraph"/>
        <w:numPr>
          <w:ilvl w:val="0"/>
          <w:numId w:val="21"/>
        </w:numPr>
        <w:rPr>
          <w:rFonts w:cs="Arial"/>
        </w:rPr>
      </w:pPr>
      <w:r w:rsidRPr="00FA0E54">
        <w:rPr>
          <w:rFonts w:cs="Arial"/>
        </w:rPr>
        <w:t>while it is an eligible corporation as defined in section 5, it makes an initial contract (section 7(2)(a)(i)</w:t>
      </w:r>
      <w:r w:rsidR="00B70667" w:rsidRPr="00FA0E54">
        <w:rPr>
          <w:rFonts w:cs="Arial"/>
        </w:rPr>
        <w:t>)</w:t>
      </w:r>
      <w:r w:rsidRPr="00FA0E54">
        <w:rPr>
          <w:rFonts w:cs="Arial"/>
        </w:rPr>
        <w:t xml:space="preserve"> or engages with others in a concerted practice in relation to an initial contract (section 7(2)(a)(ii)), or </w:t>
      </w:r>
    </w:p>
    <w:p w14:paraId="0D9310C7" w14:textId="203AAABE" w:rsidR="00D84FD8" w:rsidRPr="00FA0E54" w:rsidRDefault="00D84FD8" w:rsidP="00502971">
      <w:pPr>
        <w:pStyle w:val="ListParagraph"/>
        <w:numPr>
          <w:ilvl w:val="0"/>
          <w:numId w:val="21"/>
        </w:numPr>
        <w:rPr>
          <w:rFonts w:cs="Arial"/>
        </w:rPr>
      </w:pPr>
      <w:r w:rsidRPr="00FA0E54">
        <w:rPr>
          <w:rFonts w:cs="Arial"/>
        </w:rPr>
        <w:t xml:space="preserve">it gives effect to an initial contract that it made while it was an eligible corporation. </w:t>
      </w:r>
    </w:p>
    <w:p w14:paraId="58FE37AF" w14:textId="5F0BEB27" w:rsidR="00AA4F5F" w:rsidRPr="00FA0E54" w:rsidRDefault="00D84FD8" w:rsidP="00502971">
      <w:pPr>
        <w:spacing w:before="120" w:after="0"/>
        <w:ind w:left="360"/>
        <w:rPr>
          <w:rFonts w:ascii="Arial" w:hAnsi="Arial" w:cs="Arial"/>
        </w:rPr>
      </w:pPr>
      <w:r w:rsidRPr="00FA0E54">
        <w:rPr>
          <w:rFonts w:ascii="Arial" w:hAnsi="Arial" w:cs="Arial"/>
        </w:rPr>
        <w:t>By virtue of s</w:t>
      </w:r>
      <w:r w:rsidR="00AA4F5F" w:rsidRPr="00FA0E54">
        <w:rPr>
          <w:rFonts w:ascii="Arial" w:hAnsi="Arial" w:cs="Arial"/>
        </w:rPr>
        <w:t>ection 7(2)(b)</w:t>
      </w:r>
      <w:r w:rsidRPr="00FA0E54">
        <w:rPr>
          <w:rFonts w:ascii="Arial" w:hAnsi="Arial" w:cs="Arial"/>
        </w:rPr>
        <w:t>, the exemption in s</w:t>
      </w:r>
      <w:r w:rsidR="00177F30" w:rsidRPr="00FA0E54">
        <w:rPr>
          <w:rFonts w:ascii="Arial" w:hAnsi="Arial" w:cs="Arial"/>
        </w:rPr>
        <w:t>ection</w:t>
      </w:r>
      <w:r w:rsidRPr="00FA0E54">
        <w:rPr>
          <w:rFonts w:ascii="Arial" w:hAnsi="Arial" w:cs="Arial"/>
        </w:rPr>
        <w:t xml:space="preserve"> 7(1) will </w:t>
      </w:r>
      <w:r w:rsidR="00495243" w:rsidRPr="00FA0E54">
        <w:rPr>
          <w:rFonts w:ascii="Arial" w:hAnsi="Arial" w:cs="Arial"/>
        </w:rPr>
        <w:t xml:space="preserve">apply </w:t>
      </w:r>
      <w:r w:rsidRPr="00FA0E54">
        <w:rPr>
          <w:rFonts w:ascii="Arial" w:hAnsi="Arial" w:cs="Arial"/>
        </w:rPr>
        <w:t>to</w:t>
      </w:r>
      <w:r w:rsidR="00E26185" w:rsidRPr="00FA0E54">
        <w:rPr>
          <w:rFonts w:ascii="Arial" w:hAnsi="Arial" w:cs="Arial"/>
        </w:rPr>
        <w:t xml:space="preserve"> all</w:t>
      </w:r>
      <w:r w:rsidRPr="00FA0E54">
        <w:rPr>
          <w:rFonts w:ascii="Arial" w:hAnsi="Arial" w:cs="Arial"/>
        </w:rPr>
        <w:t xml:space="preserve"> conduct of a corporation in giving effect to an initial contract</w:t>
      </w:r>
      <w:r w:rsidR="00E26185" w:rsidRPr="00FA0E54">
        <w:rPr>
          <w:rFonts w:ascii="Arial" w:hAnsi="Arial" w:cs="Arial"/>
        </w:rPr>
        <w:t xml:space="preserve">, provided that the corporation was </w:t>
      </w:r>
      <w:r w:rsidRPr="00FA0E54">
        <w:rPr>
          <w:rFonts w:ascii="Arial" w:hAnsi="Arial" w:cs="Arial"/>
        </w:rPr>
        <w:t>an eligible corporation at the t</w:t>
      </w:r>
      <w:r w:rsidR="00E26185" w:rsidRPr="00FA0E54">
        <w:rPr>
          <w:rFonts w:ascii="Arial" w:hAnsi="Arial" w:cs="Arial"/>
        </w:rPr>
        <w:t xml:space="preserve">ime it made the initial contract. This is the case even if, at the time of the </w:t>
      </w:r>
      <w:r w:rsidR="005E0B40" w:rsidRPr="00FA0E54">
        <w:rPr>
          <w:rFonts w:ascii="Arial" w:hAnsi="Arial" w:cs="Arial"/>
        </w:rPr>
        <w:t xml:space="preserve">giving effect </w:t>
      </w:r>
      <w:r w:rsidR="00E26185" w:rsidRPr="00FA0E54">
        <w:rPr>
          <w:rFonts w:ascii="Arial" w:hAnsi="Arial" w:cs="Arial"/>
        </w:rPr>
        <w:t>conduct</w:t>
      </w:r>
      <w:r w:rsidR="007C4D50" w:rsidRPr="00FA0E54">
        <w:rPr>
          <w:rFonts w:ascii="Arial" w:hAnsi="Arial" w:cs="Arial"/>
        </w:rPr>
        <w:t>,</w:t>
      </w:r>
      <w:r w:rsidR="00E26185" w:rsidRPr="00FA0E54">
        <w:rPr>
          <w:rFonts w:ascii="Arial" w:hAnsi="Arial" w:cs="Arial"/>
        </w:rPr>
        <w:t xml:space="preserve"> the corporation</w:t>
      </w:r>
      <w:r w:rsidR="005E0B40" w:rsidRPr="00FA0E54">
        <w:rPr>
          <w:rFonts w:ascii="Arial" w:hAnsi="Arial" w:cs="Arial"/>
        </w:rPr>
        <w:t xml:space="preserve"> i</w:t>
      </w:r>
      <w:r w:rsidR="00E26185" w:rsidRPr="00FA0E54">
        <w:rPr>
          <w:rFonts w:ascii="Arial" w:hAnsi="Arial" w:cs="Arial"/>
        </w:rPr>
        <w:t xml:space="preserve">s no longer an eligible corporation because its </w:t>
      </w:r>
      <w:r w:rsidR="00AA4F5F" w:rsidRPr="00FA0E54">
        <w:rPr>
          <w:rFonts w:ascii="Arial" w:hAnsi="Arial" w:cs="Arial"/>
        </w:rPr>
        <w:t xml:space="preserve">aggregated turnover </w:t>
      </w:r>
      <w:r w:rsidR="00E26185" w:rsidRPr="00FA0E54">
        <w:rPr>
          <w:rFonts w:ascii="Arial" w:hAnsi="Arial" w:cs="Arial"/>
        </w:rPr>
        <w:t xml:space="preserve">in </w:t>
      </w:r>
      <w:r w:rsidR="00A6102C" w:rsidRPr="00FA0E54">
        <w:rPr>
          <w:rFonts w:ascii="Arial" w:hAnsi="Arial" w:cs="Arial"/>
        </w:rPr>
        <w:t>the relevant</w:t>
      </w:r>
      <w:r w:rsidR="00E26185" w:rsidRPr="00FA0E54">
        <w:rPr>
          <w:rFonts w:ascii="Arial" w:hAnsi="Arial" w:cs="Arial"/>
        </w:rPr>
        <w:t xml:space="preserve"> financial year </w:t>
      </w:r>
      <w:r w:rsidR="00AA4F5F" w:rsidRPr="00FA0E54">
        <w:rPr>
          <w:rFonts w:ascii="Arial" w:hAnsi="Arial" w:cs="Arial"/>
        </w:rPr>
        <w:t>exceed</w:t>
      </w:r>
      <w:r w:rsidR="00E26185" w:rsidRPr="00FA0E54">
        <w:rPr>
          <w:rFonts w:ascii="Arial" w:hAnsi="Arial" w:cs="Arial"/>
        </w:rPr>
        <w:t>ed</w:t>
      </w:r>
      <w:r w:rsidR="00AA4F5F" w:rsidRPr="00FA0E54">
        <w:rPr>
          <w:rFonts w:ascii="Arial" w:hAnsi="Arial" w:cs="Arial"/>
        </w:rPr>
        <w:t xml:space="preserve"> $10 million. </w:t>
      </w:r>
    </w:p>
    <w:p w14:paraId="6F6FEA6E" w14:textId="7E2619C1" w:rsidR="00D054B4" w:rsidRPr="00FA0E54" w:rsidRDefault="007B3C22" w:rsidP="00502971">
      <w:pPr>
        <w:spacing w:before="120" w:after="0"/>
        <w:ind w:left="360"/>
        <w:rPr>
          <w:rFonts w:ascii="Arial" w:hAnsi="Arial" w:cs="Arial"/>
        </w:rPr>
      </w:pPr>
      <w:r w:rsidRPr="00FA0E54">
        <w:rPr>
          <w:rFonts w:ascii="Arial" w:hAnsi="Arial" w:cs="Arial"/>
          <w:b/>
          <w:i/>
        </w:rPr>
        <w:t>Franchisee collective bargaining conduct:</w:t>
      </w:r>
      <w:r w:rsidRPr="00FA0E54">
        <w:rPr>
          <w:rFonts w:ascii="Arial" w:hAnsi="Arial" w:cs="Arial"/>
        </w:rPr>
        <w:t xml:space="preserve"> </w:t>
      </w:r>
    </w:p>
    <w:p w14:paraId="2A1CAD10" w14:textId="77777777" w:rsidR="005E0B40" w:rsidRPr="00FA0E54" w:rsidRDefault="005E0B40" w:rsidP="00502971">
      <w:pPr>
        <w:spacing w:before="120" w:after="0"/>
        <w:ind w:left="357"/>
        <w:rPr>
          <w:rFonts w:ascii="Arial" w:hAnsi="Arial" w:cs="Arial"/>
        </w:rPr>
      </w:pPr>
      <w:r w:rsidRPr="00FA0E54">
        <w:rPr>
          <w:rFonts w:ascii="Arial" w:hAnsi="Arial" w:cs="Arial"/>
        </w:rPr>
        <w:t>A corporation will engage in franchisee collective bargaining conduct if the corporation is a franchisee of a particular franchisor and:</w:t>
      </w:r>
    </w:p>
    <w:p w14:paraId="7A87D737" w14:textId="48C0CA32" w:rsidR="005E0B40" w:rsidRPr="00FA0E54" w:rsidRDefault="005E0B40" w:rsidP="00502971">
      <w:pPr>
        <w:pStyle w:val="ListParagraph"/>
        <w:numPr>
          <w:ilvl w:val="0"/>
          <w:numId w:val="19"/>
        </w:numPr>
        <w:rPr>
          <w:rFonts w:cs="Arial"/>
        </w:rPr>
      </w:pPr>
      <w:r w:rsidRPr="00FA0E54">
        <w:rPr>
          <w:rFonts w:cs="Arial"/>
        </w:rPr>
        <w:t xml:space="preserve">it makes an initial contract with other franchisees of that franchisor in respect of supplies or acquisitions to or from that franchisor (section 7(3)(a)) </w:t>
      </w:r>
    </w:p>
    <w:p w14:paraId="62255DCD" w14:textId="77777777" w:rsidR="005E0B40" w:rsidRPr="00FA0E54" w:rsidRDefault="005E0B40" w:rsidP="00502971">
      <w:pPr>
        <w:pStyle w:val="ListParagraph"/>
        <w:numPr>
          <w:ilvl w:val="0"/>
          <w:numId w:val="19"/>
        </w:numPr>
        <w:rPr>
          <w:rFonts w:cs="Arial"/>
        </w:rPr>
      </w:pPr>
      <w:r w:rsidRPr="00FA0E54">
        <w:rPr>
          <w:rFonts w:cs="Arial"/>
        </w:rPr>
        <w:t xml:space="preserve">it engages with one or more such franchisees in a concerted practice in connection with making such an initial contract (section 7(3)(b)), or </w:t>
      </w:r>
    </w:p>
    <w:p w14:paraId="5E4E78F8" w14:textId="3945D9BC" w:rsidR="00E501C4" w:rsidRPr="00FA0E54" w:rsidRDefault="005E0B40" w:rsidP="00502971">
      <w:pPr>
        <w:pStyle w:val="ListParagraph"/>
        <w:numPr>
          <w:ilvl w:val="0"/>
          <w:numId w:val="19"/>
        </w:numPr>
        <w:rPr>
          <w:rFonts w:cs="Arial"/>
        </w:rPr>
      </w:pPr>
      <w:r w:rsidRPr="00FA0E54">
        <w:rPr>
          <w:rFonts w:cs="Arial"/>
        </w:rPr>
        <w:t xml:space="preserve">it gives effect to such an initial contract (section 7(3)(c)). </w:t>
      </w:r>
    </w:p>
    <w:p w14:paraId="361D22C9" w14:textId="7DC2E5C8" w:rsidR="00F42AD7" w:rsidRPr="00FA0E54" w:rsidRDefault="0017639F" w:rsidP="00502971">
      <w:pPr>
        <w:pStyle w:val="ListParagraph"/>
        <w:numPr>
          <w:ilvl w:val="0"/>
          <w:numId w:val="0"/>
        </w:numPr>
        <w:ind w:left="340"/>
        <w:rPr>
          <w:rFonts w:cs="Arial"/>
        </w:rPr>
      </w:pPr>
      <w:r w:rsidRPr="00FA0E54">
        <w:rPr>
          <w:rFonts w:cs="Arial"/>
        </w:rPr>
        <w:t>Section 7(3) makes the class exemption available to a corporation when collectively negotiating with</w:t>
      </w:r>
      <w:r w:rsidR="00A15DD5" w:rsidRPr="00FA0E54">
        <w:rPr>
          <w:rFonts w:cs="Arial"/>
        </w:rPr>
        <w:t xml:space="preserve"> </w:t>
      </w:r>
      <w:r w:rsidR="00F42AD7" w:rsidRPr="00FA0E54">
        <w:rPr>
          <w:rFonts w:cs="Arial"/>
        </w:rPr>
        <w:t>franchisees who are part of the same franchise network or ‘brand’</w:t>
      </w:r>
      <w:r w:rsidRPr="00FA0E54">
        <w:rPr>
          <w:rFonts w:cs="Arial"/>
        </w:rPr>
        <w:t xml:space="preserve"> where the target is the common franchisor, regardless of whether the corporation satisfies the</w:t>
      </w:r>
      <w:r w:rsidR="00A15DD5" w:rsidRPr="00FA0E54">
        <w:rPr>
          <w:rFonts w:cs="Arial"/>
        </w:rPr>
        <w:t xml:space="preserve"> ‘eligible corporation’ </w:t>
      </w:r>
      <w:r w:rsidRPr="00FA0E54">
        <w:rPr>
          <w:rFonts w:cs="Arial"/>
        </w:rPr>
        <w:t xml:space="preserve">threshold. </w:t>
      </w:r>
      <w:r w:rsidR="00A6102C" w:rsidRPr="00FA0E54">
        <w:rPr>
          <w:rFonts w:cs="Arial"/>
        </w:rPr>
        <w:t xml:space="preserve">Section 7(3) does not preclude the operation of section 7(2) where a franchisee is also an eligible corporation. </w:t>
      </w:r>
    </w:p>
    <w:p w14:paraId="62EA3205" w14:textId="3BB0F339" w:rsidR="00534489" w:rsidRPr="00FA0E54" w:rsidRDefault="00A6102C" w:rsidP="00502971">
      <w:pPr>
        <w:pStyle w:val="ListParagraph"/>
        <w:numPr>
          <w:ilvl w:val="0"/>
          <w:numId w:val="0"/>
        </w:numPr>
        <w:ind w:left="340"/>
      </w:pPr>
      <w:r w:rsidRPr="00FA0E54">
        <w:t>C</w:t>
      </w:r>
      <w:r w:rsidR="00F42AD7" w:rsidRPr="00FA0E54">
        <w:t>ollective bargain</w:t>
      </w:r>
      <w:r w:rsidR="0017639F" w:rsidRPr="00FA0E54">
        <w:t>ing</w:t>
      </w:r>
      <w:r w:rsidR="00F42AD7" w:rsidRPr="00FA0E54">
        <w:t xml:space="preserve"> </w:t>
      </w:r>
      <w:r w:rsidR="00A15DD5" w:rsidRPr="00FA0E54">
        <w:t xml:space="preserve">conduct by a franchisee directed at </w:t>
      </w:r>
      <w:r w:rsidR="00F42AD7" w:rsidRPr="00FA0E54">
        <w:t xml:space="preserve">any </w:t>
      </w:r>
      <w:r w:rsidR="0017639F" w:rsidRPr="00FA0E54">
        <w:t xml:space="preserve">person </w:t>
      </w:r>
      <w:r w:rsidR="00F42AD7" w:rsidRPr="00FA0E54">
        <w:t xml:space="preserve">other than </w:t>
      </w:r>
      <w:r w:rsidR="00A15DD5" w:rsidRPr="00FA0E54">
        <w:t>its</w:t>
      </w:r>
      <w:r w:rsidR="00F42AD7" w:rsidRPr="00FA0E54">
        <w:t xml:space="preserve"> franchisor</w:t>
      </w:r>
      <w:r w:rsidR="00A15DD5" w:rsidRPr="00FA0E54">
        <w:t xml:space="preserve"> or with </w:t>
      </w:r>
      <w:r w:rsidR="00033E74" w:rsidRPr="00FA0E54">
        <w:t>contracting parties</w:t>
      </w:r>
      <w:r w:rsidR="00A15DD5" w:rsidRPr="00FA0E54">
        <w:t xml:space="preserve"> other than franchisees who have a franchise agreement with that franchisor will not be franchisee collective bargaining conduct. A franchisee engaging in such conduct will only have the protection of the</w:t>
      </w:r>
      <w:r w:rsidR="00995712" w:rsidRPr="00FA0E54">
        <w:t xml:space="preserve"> section 7</w:t>
      </w:r>
      <w:r w:rsidR="00A15DD5" w:rsidRPr="00FA0E54">
        <w:t xml:space="preserve"> c</w:t>
      </w:r>
      <w:r w:rsidR="00EA5A96" w:rsidRPr="00FA0E54">
        <w:t xml:space="preserve">lass </w:t>
      </w:r>
      <w:r w:rsidR="00EA5A96" w:rsidRPr="00FA0E54">
        <w:lastRenderedPageBreak/>
        <w:t>exemption if the conduct constitutes</w:t>
      </w:r>
      <w:r w:rsidR="00A15DD5" w:rsidRPr="00FA0E54">
        <w:t xml:space="preserve"> eligible corporation collective bargaining conduct under section 7(2). </w:t>
      </w:r>
    </w:p>
    <w:p w14:paraId="7102B371" w14:textId="4F0751E4" w:rsidR="00D054B4" w:rsidRPr="00FA0E54" w:rsidRDefault="007B3C22" w:rsidP="00502971">
      <w:pPr>
        <w:spacing w:before="120" w:after="0"/>
        <w:ind w:left="357"/>
        <w:rPr>
          <w:rFonts w:ascii="Arial" w:hAnsi="Arial" w:cs="Arial"/>
        </w:rPr>
      </w:pPr>
      <w:r w:rsidRPr="00FA0E54">
        <w:rPr>
          <w:rFonts w:ascii="Arial" w:hAnsi="Arial" w:cs="Arial"/>
          <w:b/>
          <w:i/>
        </w:rPr>
        <w:t>Fuel retailer collective bargaining conduct:</w:t>
      </w:r>
      <w:r w:rsidRPr="00FA0E54">
        <w:rPr>
          <w:rFonts w:ascii="Arial" w:hAnsi="Arial" w:cs="Arial"/>
        </w:rPr>
        <w:t xml:space="preserve"> </w:t>
      </w:r>
    </w:p>
    <w:p w14:paraId="3D268942" w14:textId="4C7A1162" w:rsidR="00A15DD5" w:rsidRPr="00FA0E54" w:rsidRDefault="00A15DD5" w:rsidP="00502971">
      <w:pPr>
        <w:spacing w:before="120" w:after="0"/>
        <w:ind w:left="357"/>
        <w:rPr>
          <w:rFonts w:ascii="Arial" w:hAnsi="Arial" w:cs="Arial"/>
        </w:rPr>
      </w:pPr>
      <w:r w:rsidRPr="00FA0E54">
        <w:rPr>
          <w:rFonts w:ascii="Arial" w:hAnsi="Arial" w:cs="Arial"/>
        </w:rPr>
        <w:t>A corporation will engage in fuel retailer collective bargaining conduct if it has a fuel re-selling agreement with a particular fuel wholesaler and</w:t>
      </w:r>
      <w:r w:rsidR="00033E74" w:rsidRPr="00FA0E54">
        <w:rPr>
          <w:rFonts w:ascii="Arial" w:hAnsi="Arial" w:cs="Arial"/>
        </w:rPr>
        <w:t>:</w:t>
      </w:r>
      <w:r w:rsidRPr="00FA0E54">
        <w:rPr>
          <w:rFonts w:ascii="Arial" w:hAnsi="Arial" w:cs="Arial"/>
        </w:rPr>
        <w:t xml:space="preserve"> </w:t>
      </w:r>
    </w:p>
    <w:p w14:paraId="03431C9D" w14:textId="2719B9B5" w:rsidR="00A15DD5" w:rsidRPr="00FA0E54" w:rsidRDefault="00A15DD5" w:rsidP="00502971">
      <w:pPr>
        <w:pStyle w:val="ListParagraph"/>
        <w:numPr>
          <w:ilvl w:val="0"/>
          <w:numId w:val="20"/>
        </w:numPr>
        <w:ind w:left="1418"/>
        <w:rPr>
          <w:rFonts w:cs="Arial"/>
        </w:rPr>
      </w:pPr>
      <w:r w:rsidRPr="00FA0E54">
        <w:rPr>
          <w:rFonts w:cs="Arial"/>
        </w:rPr>
        <w:t>makes an initial contract with related fuel retailers, where the target is the common fuel wholesaler (section 7(4)(a))</w:t>
      </w:r>
    </w:p>
    <w:p w14:paraId="0E4E8B64" w14:textId="77777777" w:rsidR="00A15DD5" w:rsidRPr="00FA0E54" w:rsidRDefault="00A15DD5" w:rsidP="00502971">
      <w:pPr>
        <w:pStyle w:val="ListParagraph"/>
        <w:numPr>
          <w:ilvl w:val="0"/>
          <w:numId w:val="20"/>
        </w:numPr>
        <w:ind w:left="1418"/>
        <w:rPr>
          <w:rFonts w:cs="Arial"/>
        </w:rPr>
      </w:pPr>
      <w:r w:rsidRPr="00FA0E54">
        <w:rPr>
          <w:rFonts w:cs="Arial"/>
        </w:rPr>
        <w:t>engages with one or more related fuel retailers in concerted practices in connection with making such an initial contract (section 7(4)(b)), or</w:t>
      </w:r>
    </w:p>
    <w:p w14:paraId="0EB15A45" w14:textId="77777777" w:rsidR="00A15DD5" w:rsidRPr="00FA0E54" w:rsidRDefault="00A15DD5" w:rsidP="00502971">
      <w:pPr>
        <w:pStyle w:val="ListParagraph"/>
        <w:numPr>
          <w:ilvl w:val="0"/>
          <w:numId w:val="20"/>
        </w:numPr>
        <w:ind w:left="1418"/>
        <w:rPr>
          <w:rFonts w:cs="Arial"/>
        </w:rPr>
      </w:pPr>
      <w:r w:rsidRPr="00FA0E54">
        <w:rPr>
          <w:rFonts w:cs="Arial"/>
        </w:rPr>
        <w:t xml:space="preserve">gives effect to such an initial contract. </w:t>
      </w:r>
    </w:p>
    <w:p w14:paraId="04AA0FB5" w14:textId="40E4C442" w:rsidR="00033E74" w:rsidRPr="00FA0E54" w:rsidRDefault="00033E74" w:rsidP="00502971">
      <w:pPr>
        <w:spacing w:before="120" w:after="0"/>
        <w:ind w:left="357"/>
        <w:rPr>
          <w:rFonts w:ascii="Arial" w:hAnsi="Arial" w:cs="Arial"/>
        </w:rPr>
      </w:pPr>
      <w:r w:rsidRPr="00FA0E54">
        <w:rPr>
          <w:rFonts w:ascii="Arial" w:hAnsi="Arial" w:cs="Arial"/>
        </w:rPr>
        <w:t>In order for conduct to be fuel retailer collective bargaining conduct, all of the parties to the initial contract must be related fuel retailers and the target of the conduct must be the relevant fuel wholesaler</w:t>
      </w:r>
      <w:r w:rsidR="00221FAF" w:rsidRPr="00FA0E54">
        <w:rPr>
          <w:rFonts w:ascii="Arial" w:hAnsi="Arial" w:cs="Arial"/>
        </w:rPr>
        <w:t xml:space="preserve"> (section 7(4))</w:t>
      </w:r>
      <w:r w:rsidRPr="00FA0E54">
        <w:rPr>
          <w:rFonts w:ascii="Arial" w:hAnsi="Arial" w:cs="Arial"/>
        </w:rPr>
        <w:t>.</w:t>
      </w:r>
    </w:p>
    <w:p w14:paraId="443EDEBD" w14:textId="5C87DA69" w:rsidR="007031D6" w:rsidRPr="00FA0E54" w:rsidRDefault="00A15DD5" w:rsidP="00502971">
      <w:pPr>
        <w:spacing w:before="120" w:after="0"/>
        <w:ind w:left="357"/>
        <w:rPr>
          <w:rFonts w:ascii="Arial" w:hAnsi="Arial" w:cs="Arial"/>
        </w:rPr>
      </w:pPr>
      <w:r w:rsidRPr="00FA0E54">
        <w:rPr>
          <w:rFonts w:ascii="Arial" w:hAnsi="Arial" w:cs="Arial"/>
        </w:rPr>
        <w:t>As defined in section 5, for the purposes of section 7(4),</w:t>
      </w:r>
      <w:r w:rsidR="00033E74" w:rsidRPr="00FA0E54">
        <w:rPr>
          <w:rFonts w:ascii="Arial" w:hAnsi="Arial" w:cs="Arial"/>
        </w:rPr>
        <w:t xml:space="preserve"> fuel retailers will be</w:t>
      </w:r>
      <w:r w:rsidRPr="00FA0E54">
        <w:rPr>
          <w:rFonts w:ascii="Arial" w:hAnsi="Arial" w:cs="Arial"/>
        </w:rPr>
        <w:t xml:space="preserve"> ‘related fuel retailer</w:t>
      </w:r>
      <w:r w:rsidR="00033E74" w:rsidRPr="00FA0E54">
        <w:rPr>
          <w:rFonts w:ascii="Arial" w:hAnsi="Arial" w:cs="Arial"/>
        </w:rPr>
        <w:t>s</w:t>
      </w:r>
      <w:r w:rsidRPr="00FA0E54">
        <w:rPr>
          <w:rFonts w:ascii="Arial" w:hAnsi="Arial" w:cs="Arial"/>
        </w:rPr>
        <w:t xml:space="preserve">’ </w:t>
      </w:r>
      <w:r w:rsidR="00033E74" w:rsidRPr="00FA0E54">
        <w:rPr>
          <w:rFonts w:ascii="Arial" w:hAnsi="Arial" w:cs="Arial"/>
        </w:rPr>
        <w:t>only where:</w:t>
      </w:r>
      <w:r w:rsidRPr="00FA0E54">
        <w:rPr>
          <w:rFonts w:ascii="Arial" w:hAnsi="Arial" w:cs="Arial"/>
        </w:rPr>
        <w:t xml:space="preserve"> </w:t>
      </w:r>
    </w:p>
    <w:p w14:paraId="77E1E952" w14:textId="19FFAD19" w:rsidR="007031D6" w:rsidRPr="00FA0E54" w:rsidRDefault="00033E74" w:rsidP="00502971">
      <w:pPr>
        <w:pStyle w:val="ListParagraph"/>
        <w:numPr>
          <w:ilvl w:val="0"/>
          <w:numId w:val="17"/>
        </w:numPr>
        <w:ind w:left="1418"/>
        <w:rPr>
          <w:rFonts w:cs="Arial"/>
        </w:rPr>
      </w:pPr>
      <w:r w:rsidRPr="00FA0E54">
        <w:rPr>
          <w:rFonts w:cs="Arial"/>
        </w:rPr>
        <w:t>they</w:t>
      </w:r>
      <w:r w:rsidR="00F35CA7" w:rsidRPr="00FA0E54">
        <w:rPr>
          <w:rFonts w:cs="Arial"/>
        </w:rPr>
        <w:t xml:space="preserve"> </w:t>
      </w:r>
      <w:r w:rsidR="00F42AD7" w:rsidRPr="00FA0E54">
        <w:rPr>
          <w:rFonts w:cs="Arial"/>
        </w:rPr>
        <w:t>have a</w:t>
      </w:r>
      <w:r w:rsidR="007031D6" w:rsidRPr="00FA0E54">
        <w:rPr>
          <w:rFonts w:cs="Arial"/>
        </w:rPr>
        <w:t xml:space="preserve"> fuel re-selling agreement </w:t>
      </w:r>
      <w:r w:rsidR="00F42AD7" w:rsidRPr="00FA0E54">
        <w:rPr>
          <w:rFonts w:cs="Arial"/>
        </w:rPr>
        <w:t xml:space="preserve">with that </w:t>
      </w:r>
      <w:r w:rsidR="007031D6" w:rsidRPr="00FA0E54">
        <w:rPr>
          <w:rFonts w:cs="Arial"/>
        </w:rPr>
        <w:t>fuel wholesaler</w:t>
      </w:r>
      <w:r w:rsidR="00623835" w:rsidRPr="00FA0E54">
        <w:rPr>
          <w:rFonts w:cs="Arial"/>
        </w:rPr>
        <w:t>,</w:t>
      </w:r>
      <w:r w:rsidRPr="00FA0E54">
        <w:rPr>
          <w:rFonts w:cs="Arial"/>
        </w:rPr>
        <w:t xml:space="preserve"> and</w:t>
      </w:r>
    </w:p>
    <w:p w14:paraId="5D4A59D9" w14:textId="1B346C06" w:rsidR="007031D6" w:rsidRPr="00FA0E54" w:rsidRDefault="007031D6" w:rsidP="00502971">
      <w:pPr>
        <w:pStyle w:val="ListParagraph"/>
        <w:numPr>
          <w:ilvl w:val="0"/>
          <w:numId w:val="17"/>
        </w:numPr>
        <w:ind w:left="1418"/>
        <w:rPr>
          <w:rFonts w:cs="Arial"/>
        </w:rPr>
      </w:pPr>
      <w:r w:rsidRPr="00FA0E54">
        <w:rPr>
          <w:rFonts w:cs="Arial"/>
        </w:rPr>
        <w:t>those elements of the system or marketing plan under which they offer, supply or distribute motor fuel in Australia that were determined, controlled or suggested by the fuel wholesaler or an associate of the fuel wholesaler are the same</w:t>
      </w:r>
      <w:r w:rsidR="00BD7A69" w:rsidRPr="00FA0E54">
        <w:rPr>
          <w:rFonts w:cs="Arial"/>
        </w:rPr>
        <w:t>.</w:t>
      </w:r>
    </w:p>
    <w:p w14:paraId="1C1834CC" w14:textId="1FE0BFF8" w:rsidR="00BD7A69" w:rsidRPr="00FA0E54" w:rsidRDefault="00BD7A69" w:rsidP="00502971">
      <w:pPr>
        <w:pStyle w:val="ListParagraph"/>
        <w:numPr>
          <w:ilvl w:val="0"/>
          <w:numId w:val="0"/>
        </w:numPr>
        <w:ind w:left="340"/>
        <w:rPr>
          <w:rFonts w:cs="Arial"/>
        </w:rPr>
      </w:pPr>
      <w:r w:rsidRPr="00FA0E54">
        <w:rPr>
          <w:rFonts w:cs="Arial"/>
        </w:rPr>
        <w:t>Fuel retailers operating under different systems or marketing plans collectively negotiating with a fuel wholesaler will not be related fuel retailers. Accordingly</w:t>
      </w:r>
      <w:r w:rsidR="00EA5A96" w:rsidRPr="00FA0E54">
        <w:rPr>
          <w:rFonts w:cs="Arial"/>
        </w:rPr>
        <w:t>, their conduct in doing so will not be fuel retailer collective bargaining conduct.</w:t>
      </w:r>
    </w:p>
    <w:p w14:paraId="44165719" w14:textId="3FD8BCAC" w:rsidR="00F42AD7" w:rsidRPr="00FA0E54" w:rsidRDefault="00EA5A96" w:rsidP="00502971">
      <w:pPr>
        <w:pStyle w:val="ListParagraph"/>
        <w:numPr>
          <w:ilvl w:val="0"/>
          <w:numId w:val="0"/>
        </w:numPr>
        <w:ind w:left="340"/>
        <w:rPr>
          <w:rFonts w:cs="Arial"/>
        </w:rPr>
      </w:pPr>
      <w:r w:rsidRPr="00FA0E54">
        <w:rPr>
          <w:rFonts w:cs="Arial"/>
        </w:rPr>
        <w:t xml:space="preserve">Section 7(4) </w:t>
      </w:r>
      <w:r w:rsidR="00BD7A69" w:rsidRPr="00FA0E54">
        <w:rPr>
          <w:rFonts w:cs="Arial"/>
        </w:rPr>
        <w:t>makes the class exemption available to a corporation when collectively negotiating with other fuel retailers, where their common fuel wholesaler is the target, regardless of whether the corporation satisfies the ‘eligible corporation’ threshold.</w:t>
      </w:r>
      <w:r w:rsidRPr="00FA0E54">
        <w:rPr>
          <w:rFonts w:cs="Arial"/>
        </w:rPr>
        <w:t xml:space="preserve"> It does not preclude the operation of section 7(2) where a fuel retailer is also an eligible corporation.</w:t>
      </w:r>
    </w:p>
    <w:p w14:paraId="41D389A4" w14:textId="1CE6EECB" w:rsidR="00275644" w:rsidRPr="00FA0E54" w:rsidRDefault="00C53E75" w:rsidP="00502971">
      <w:pPr>
        <w:pStyle w:val="ListParagraph"/>
        <w:numPr>
          <w:ilvl w:val="0"/>
          <w:numId w:val="0"/>
        </w:numPr>
        <w:ind w:left="340"/>
      </w:pPr>
      <w:r w:rsidRPr="00FA0E54">
        <w:t xml:space="preserve">Collective bargaining </w:t>
      </w:r>
      <w:r w:rsidR="00B519F5" w:rsidRPr="00FA0E54">
        <w:t xml:space="preserve">conduct </w:t>
      </w:r>
      <w:r w:rsidRPr="00FA0E54">
        <w:t>by a fuel retailer directed at any person other than its fuel wholesaler or with contracting parties other than fuel retailers who have a fuel re-selling agreement with that fuel wholesaler will not be fuel retailer collective bargaining conduct. A fuel retailer engaging in such conduct will only have the protection of the section 7 class exemption if the conduct constitutes eligible corporation collective bargaining conduct under section 7(2).</w:t>
      </w:r>
    </w:p>
    <w:p w14:paraId="616FF388" w14:textId="67D7F6B9" w:rsidR="007D553E" w:rsidRPr="00FA0E54" w:rsidRDefault="007D553E" w:rsidP="00502971">
      <w:pPr>
        <w:spacing w:before="120" w:after="0"/>
        <w:rPr>
          <w:rFonts w:ascii="Arial" w:hAnsi="Arial" w:cs="Arial"/>
          <w:b/>
        </w:rPr>
      </w:pPr>
      <w:r w:rsidRPr="00FA0E54">
        <w:rPr>
          <w:rFonts w:ascii="Arial" w:hAnsi="Arial" w:cs="Arial"/>
          <w:b/>
        </w:rPr>
        <w:t xml:space="preserve">Division 2 – Limitations </w:t>
      </w:r>
    </w:p>
    <w:p w14:paraId="36CF359B" w14:textId="36DEA40A" w:rsidR="007D553E" w:rsidRPr="00FA0E54" w:rsidRDefault="007D553E" w:rsidP="00502971">
      <w:pPr>
        <w:pStyle w:val="ListParagraph"/>
        <w:numPr>
          <w:ilvl w:val="0"/>
          <w:numId w:val="9"/>
        </w:numPr>
        <w:rPr>
          <w:rFonts w:cs="Arial"/>
          <w:b/>
        </w:rPr>
      </w:pPr>
      <w:r w:rsidRPr="00FA0E54">
        <w:rPr>
          <w:rFonts w:cs="Arial"/>
          <w:b/>
        </w:rPr>
        <w:t xml:space="preserve">Exemption does not apply to </w:t>
      </w:r>
      <w:r w:rsidR="009E5C0D" w:rsidRPr="00FA0E54">
        <w:rPr>
          <w:rFonts w:cs="Arial"/>
          <w:b/>
        </w:rPr>
        <w:t xml:space="preserve">collectively </w:t>
      </w:r>
      <w:r w:rsidRPr="00FA0E54">
        <w:rPr>
          <w:rFonts w:cs="Arial"/>
          <w:b/>
        </w:rPr>
        <w:t>refusing to contract with target</w:t>
      </w:r>
    </w:p>
    <w:p w14:paraId="0D1CB6F8" w14:textId="771E383C" w:rsidR="00E501C4" w:rsidRPr="00FA0E54" w:rsidRDefault="00BD7A69" w:rsidP="00502971">
      <w:pPr>
        <w:pStyle w:val="ListParagraph"/>
        <w:numPr>
          <w:ilvl w:val="0"/>
          <w:numId w:val="0"/>
        </w:numPr>
        <w:ind w:left="360"/>
        <w:rPr>
          <w:rFonts w:cs="Arial"/>
        </w:rPr>
      </w:pPr>
      <w:r w:rsidRPr="00FA0E54">
        <w:rPr>
          <w:rFonts w:cs="Arial"/>
        </w:rPr>
        <w:t>The exemption in section 7</w:t>
      </w:r>
      <w:r w:rsidR="00A816B2" w:rsidRPr="00FA0E54">
        <w:rPr>
          <w:rFonts w:cs="Arial"/>
        </w:rPr>
        <w:t xml:space="preserve"> does not</w:t>
      </w:r>
      <w:r w:rsidRPr="00FA0E54">
        <w:rPr>
          <w:rFonts w:cs="Arial"/>
        </w:rPr>
        <w:t xml:space="preserve"> apply to</w:t>
      </w:r>
      <w:r w:rsidR="00A816B2" w:rsidRPr="00FA0E54">
        <w:rPr>
          <w:rFonts w:cs="Arial"/>
        </w:rPr>
        <w:t xml:space="preserve"> </w:t>
      </w:r>
      <w:r w:rsidR="00641326" w:rsidRPr="00FA0E54">
        <w:rPr>
          <w:rFonts w:cs="Arial"/>
        </w:rPr>
        <w:t>collective boycott conduct</w:t>
      </w:r>
      <w:r w:rsidRPr="00FA0E54">
        <w:rPr>
          <w:rFonts w:cs="Arial"/>
        </w:rPr>
        <w:t xml:space="preserve">. </w:t>
      </w:r>
    </w:p>
    <w:p w14:paraId="510C552B" w14:textId="00A064D0" w:rsidR="00641326" w:rsidRPr="00FA0E54" w:rsidRDefault="00641326" w:rsidP="00502971">
      <w:pPr>
        <w:pStyle w:val="ListParagraph"/>
        <w:numPr>
          <w:ilvl w:val="0"/>
          <w:numId w:val="0"/>
        </w:numPr>
        <w:ind w:left="360"/>
        <w:rPr>
          <w:rFonts w:cs="Arial"/>
        </w:rPr>
      </w:pPr>
      <w:r w:rsidRPr="00FA0E54">
        <w:rPr>
          <w:rFonts w:cs="Arial"/>
        </w:rPr>
        <w:t xml:space="preserve">Accordingly, the class exemption will not apply to </w:t>
      </w:r>
      <w:r w:rsidR="00B70667" w:rsidRPr="00FA0E54">
        <w:rPr>
          <w:rFonts w:cs="Arial"/>
        </w:rPr>
        <w:t xml:space="preserve">conduct </w:t>
      </w:r>
      <w:r w:rsidR="00995712" w:rsidRPr="00FA0E54">
        <w:rPr>
          <w:rFonts w:cs="Arial"/>
        </w:rPr>
        <w:t>by which a corporation</w:t>
      </w:r>
      <w:r w:rsidR="00B70667" w:rsidRPr="00FA0E54">
        <w:rPr>
          <w:rFonts w:cs="Arial"/>
        </w:rPr>
        <w:t xml:space="preserve"> </w:t>
      </w:r>
      <w:r w:rsidR="00995712" w:rsidRPr="00FA0E54">
        <w:rPr>
          <w:rFonts w:cs="Arial"/>
        </w:rPr>
        <w:t>makes</w:t>
      </w:r>
      <w:r w:rsidR="00BD7A69" w:rsidRPr="00FA0E54">
        <w:rPr>
          <w:rFonts w:cs="Arial"/>
        </w:rPr>
        <w:t xml:space="preserve"> </w:t>
      </w:r>
      <w:r w:rsidR="000872EF" w:rsidRPr="00FA0E54">
        <w:rPr>
          <w:rFonts w:cs="Arial"/>
        </w:rPr>
        <w:t xml:space="preserve">an initial contract </w:t>
      </w:r>
      <w:r w:rsidR="00924687" w:rsidRPr="00FA0E54">
        <w:rPr>
          <w:rFonts w:cs="Arial"/>
        </w:rPr>
        <w:t>containing</w:t>
      </w:r>
      <w:r w:rsidR="000872EF" w:rsidRPr="00FA0E54">
        <w:rPr>
          <w:rFonts w:cs="Arial"/>
        </w:rPr>
        <w:t xml:space="preserve"> a prohibited boycott provision</w:t>
      </w:r>
      <w:r w:rsidR="00B70667" w:rsidRPr="00FA0E54">
        <w:rPr>
          <w:rFonts w:cs="Arial"/>
        </w:rPr>
        <w:t xml:space="preserve"> or </w:t>
      </w:r>
      <w:r w:rsidR="00995712" w:rsidRPr="00FA0E54">
        <w:rPr>
          <w:rFonts w:cs="Arial"/>
        </w:rPr>
        <w:t>gives</w:t>
      </w:r>
      <w:r w:rsidR="00BD7A69" w:rsidRPr="00FA0E54">
        <w:rPr>
          <w:rFonts w:cs="Arial"/>
        </w:rPr>
        <w:t xml:space="preserve"> effect to a prohibited boycott provision</w:t>
      </w:r>
      <w:r w:rsidR="00EA5A96" w:rsidRPr="00FA0E54">
        <w:rPr>
          <w:rFonts w:cs="Arial"/>
        </w:rPr>
        <w:t>, regardless of whether the conduct would otherwise meet the criteria in section 7(2) to (4)</w:t>
      </w:r>
      <w:r w:rsidR="00431700" w:rsidRPr="00FA0E54">
        <w:rPr>
          <w:rFonts w:cs="Arial"/>
        </w:rPr>
        <w:t>.</w:t>
      </w:r>
    </w:p>
    <w:p w14:paraId="7E7F8DF7" w14:textId="61BEE315" w:rsidR="00641326" w:rsidRPr="00FA0E54" w:rsidRDefault="00641326" w:rsidP="00502971">
      <w:pPr>
        <w:pStyle w:val="ListParagraph"/>
        <w:numPr>
          <w:ilvl w:val="0"/>
          <w:numId w:val="0"/>
        </w:numPr>
        <w:ind w:left="360"/>
        <w:rPr>
          <w:rFonts w:cs="Arial"/>
        </w:rPr>
      </w:pPr>
      <w:r w:rsidRPr="00FA0E54">
        <w:rPr>
          <w:rFonts w:cs="Arial"/>
        </w:rPr>
        <w:t xml:space="preserve">A </w:t>
      </w:r>
      <w:r w:rsidRPr="00FA0E54">
        <w:rPr>
          <w:rFonts w:cs="Arial"/>
          <w:b/>
          <w:i/>
        </w:rPr>
        <w:t>prohibited boycott</w:t>
      </w:r>
      <w:r w:rsidRPr="00FA0E54">
        <w:rPr>
          <w:rFonts w:cs="Arial"/>
        </w:rPr>
        <w:t xml:space="preserve"> </w:t>
      </w:r>
      <w:r w:rsidRPr="00FA0E54">
        <w:rPr>
          <w:rFonts w:cs="Arial"/>
          <w:b/>
          <w:i/>
        </w:rPr>
        <w:t xml:space="preserve">provision </w:t>
      </w:r>
      <w:r w:rsidRPr="00FA0E54">
        <w:rPr>
          <w:rFonts w:cs="Arial"/>
        </w:rPr>
        <w:t xml:space="preserve">is a provision that has </w:t>
      </w:r>
      <w:r w:rsidR="00BD7A69" w:rsidRPr="00FA0E54">
        <w:rPr>
          <w:rFonts w:cs="Arial"/>
        </w:rPr>
        <w:t>a substantial</w:t>
      </w:r>
      <w:r w:rsidRPr="00FA0E54">
        <w:rPr>
          <w:rFonts w:cs="Arial"/>
        </w:rPr>
        <w:t xml:space="preserve"> purpose of directly or indirectly preventing, restricting or limiting the supply</w:t>
      </w:r>
      <w:r w:rsidR="00BD7A69" w:rsidRPr="00FA0E54">
        <w:rPr>
          <w:rFonts w:cs="Arial"/>
        </w:rPr>
        <w:t xml:space="preserve"> of goods or services to a target or targets or the</w:t>
      </w:r>
      <w:r w:rsidRPr="00FA0E54">
        <w:rPr>
          <w:rFonts w:cs="Arial"/>
        </w:rPr>
        <w:t xml:space="preserve"> acquisition of goods or services </w:t>
      </w:r>
      <w:r w:rsidR="00BD7A69" w:rsidRPr="00FA0E54">
        <w:rPr>
          <w:rFonts w:cs="Arial"/>
        </w:rPr>
        <w:t xml:space="preserve">from a target or targets </w:t>
      </w:r>
      <w:r w:rsidRPr="00FA0E54">
        <w:rPr>
          <w:rFonts w:cs="Arial"/>
        </w:rPr>
        <w:t xml:space="preserve">by the corporation or one or more contracting parties. </w:t>
      </w:r>
      <w:r w:rsidR="000872EF" w:rsidRPr="00FA0E54">
        <w:rPr>
          <w:rFonts w:cs="Arial"/>
        </w:rPr>
        <w:t xml:space="preserve"> </w:t>
      </w:r>
    </w:p>
    <w:p w14:paraId="58115F2E" w14:textId="3676D3AF" w:rsidR="00852D58" w:rsidRPr="00FA0E54" w:rsidRDefault="00D14CD2" w:rsidP="00502971">
      <w:pPr>
        <w:pStyle w:val="ListParagraph"/>
        <w:numPr>
          <w:ilvl w:val="0"/>
          <w:numId w:val="0"/>
        </w:numPr>
        <w:ind w:left="360"/>
        <w:rPr>
          <w:rFonts w:cs="Arial"/>
          <w:b/>
        </w:rPr>
      </w:pPr>
      <w:r w:rsidRPr="00FA0E54">
        <w:lastRenderedPageBreak/>
        <w:t xml:space="preserve">For example, </w:t>
      </w:r>
      <w:r w:rsidR="00FA2168" w:rsidRPr="00FA0E54">
        <w:t xml:space="preserve">a provision in an initial contract made by a group of growers </w:t>
      </w:r>
      <w:r w:rsidR="00EA5A96" w:rsidRPr="00FA0E54">
        <w:t>that one or more of them will</w:t>
      </w:r>
      <w:r w:rsidR="00FA2168" w:rsidRPr="00FA0E54">
        <w:t xml:space="preserve"> refuse to supply a target in the event that they can</w:t>
      </w:r>
      <w:r w:rsidR="00FE7DAB" w:rsidRPr="00FA0E54">
        <w:t>no</w:t>
      </w:r>
      <w:r w:rsidR="00FA2168" w:rsidRPr="00FA0E54">
        <w:t xml:space="preserve">t agree satisfactory terms with the target would be a prohibited boycott provision. The eligible corporation collective bargaining conduct exemption would not </w:t>
      </w:r>
      <w:r w:rsidR="00EA5A96" w:rsidRPr="00FA0E54">
        <w:t xml:space="preserve">apply to a corporation’s conduct in making </w:t>
      </w:r>
      <w:r w:rsidR="00FA2168" w:rsidRPr="00FA0E54">
        <w:t xml:space="preserve">the initial contract containing the provision or </w:t>
      </w:r>
      <w:r w:rsidR="00EA5A96" w:rsidRPr="00FA0E54">
        <w:t>in giving</w:t>
      </w:r>
      <w:r w:rsidR="00FA2168" w:rsidRPr="00FA0E54">
        <w:t xml:space="preserve"> effect to the provision. </w:t>
      </w:r>
    </w:p>
    <w:p w14:paraId="4C1F98C8" w14:textId="14FA0EAA" w:rsidR="007D553E" w:rsidRPr="00FA0E54" w:rsidRDefault="007D553E" w:rsidP="00502971">
      <w:pPr>
        <w:pStyle w:val="ListParagraph"/>
        <w:numPr>
          <w:ilvl w:val="0"/>
          <w:numId w:val="9"/>
        </w:numPr>
        <w:rPr>
          <w:rFonts w:cs="Arial"/>
          <w:b/>
        </w:rPr>
      </w:pPr>
      <w:r w:rsidRPr="00FA0E54">
        <w:rPr>
          <w:rFonts w:cs="Arial"/>
          <w:b/>
        </w:rPr>
        <w:t xml:space="preserve">Collective bargaining class exemption notice must be given to the </w:t>
      </w:r>
      <w:r w:rsidR="00E02F39" w:rsidRPr="00FA0E54">
        <w:rPr>
          <w:rFonts w:cs="Arial"/>
          <w:b/>
        </w:rPr>
        <w:t>ACCC</w:t>
      </w:r>
      <w:r w:rsidRPr="00FA0E54">
        <w:rPr>
          <w:rFonts w:cs="Arial"/>
          <w:b/>
        </w:rPr>
        <w:t xml:space="preserve"> within 14 days</w:t>
      </w:r>
    </w:p>
    <w:p w14:paraId="5372FA01" w14:textId="4C0541DF" w:rsidR="003E4D36" w:rsidRPr="00FA0E54" w:rsidRDefault="00B70667" w:rsidP="00502971">
      <w:pPr>
        <w:pStyle w:val="ListParagraph"/>
        <w:numPr>
          <w:ilvl w:val="0"/>
          <w:numId w:val="0"/>
        </w:numPr>
        <w:ind w:left="360"/>
        <w:rPr>
          <w:rFonts w:cs="Arial"/>
        </w:rPr>
      </w:pPr>
      <w:r w:rsidRPr="00FA0E54">
        <w:rPr>
          <w:rFonts w:cs="Arial"/>
        </w:rPr>
        <w:t>Section 7 will only apply in relation</w:t>
      </w:r>
      <w:r w:rsidR="00650F7A" w:rsidRPr="00FA0E54">
        <w:rPr>
          <w:rFonts w:cs="Arial"/>
        </w:rPr>
        <w:t xml:space="preserve"> to </w:t>
      </w:r>
      <w:r w:rsidR="00995712" w:rsidRPr="00FA0E54">
        <w:rPr>
          <w:rFonts w:cs="Arial"/>
        </w:rPr>
        <w:t>collective bargaining conduct</w:t>
      </w:r>
      <w:r w:rsidR="00650F7A" w:rsidRPr="00FA0E54">
        <w:rPr>
          <w:rFonts w:cs="Arial"/>
        </w:rPr>
        <w:t xml:space="preserve"> </w:t>
      </w:r>
      <w:r w:rsidR="00086B63" w:rsidRPr="00FA0E54">
        <w:rPr>
          <w:rFonts w:cs="Arial"/>
        </w:rPr>
        <w:t>upon</w:t>
      </w:r>
      <w:r w:rsidR="00650F7A" w:rsidRPr="00FA0E54">
        <w:rPr>
          <w:rFonts w:cs="Arial"/>
        </w:rPr>
        <w:t xml:space="preserve"> a </w:t>
      </w:r>
      <w:r w:rsidR="00ED582D" w:rsidRPr="00FA0E54">
        <w:rPr>
          <w:rFonts w:cs="Arial"/>
        </w:rPr>
        <w:t xml:space="preserve">Notice </w:t>
      </w:r>
      <w:r w:rsidR="00E25789" w:rsidRPr="00FA0E54">
        <w:rPr>
          <w:rFonts w:cs="Arial"/>
        </w:rPr>
        <w:t xml:space="preserve">in the form approved by the ACCC and containing all the information required by that form </w:t>
      </w:r>
      <w:r w:rsidR="00086B63" w:rsidRPr="00FA0E54">
        <w:rPr>
          <w:rFonts w:cs="Arial"/>
        </w:rPr>
        <w:t>being</w:t>
      </w:r>
      <w:r w:rsidR="007D69EC" w:rsidRPr="00FA0E54">
        <w:rPr>
          <w:rFonts w:cs="Arial"/>
        </w:rPr>
        <w:t xml:space="preserve"> given to the ACCC</w:t>
      </w:r>
      <w:r w:rsidR="00FE7DAB" w:rsidRPr="00FA0E54">
        <w:rPr>
          <w:rFonts w:cs="Arial"/>
        </w:rPr>
        <w:t>.</w:t>
      </w:r>
      <w:r w:rsidR="00EA2B20" w:rsidRPr="00FA0E54">
        <w:rPr>
          <w:rFonts w:cs="Arial"/>
        </w:rPr>
        <w:t xml:space="preserve"> </w:t>
      </w:r>
      <w:r w:rsidR="003E4D36" w:rsidRPr="00FA0E54">
        <w:rPr>
          <w:rFonts w:cs="Arial"/>
        </w:rPr>
        <w:t xml:space="preserve">Section 7 will only apply to conduct that was engaged in </w:t>
      </w:r>
      <w:r w:rsidR="00CE25A8" w:rsidRPr="00FA0E54">
        <w:rPr>
          <w:rFonts w:cs="Arial"/>
        </w:rPr>
        <w:t xml:space="preserve">on or after the </w:t>
      </w:r>
      <w:r w:rsidR="003E4D36" w:rsidRPr="00FA0E54">
        <w:rPr>
          <w:rFonts w:cs="Arial"/>
        </w:rPr>
        <w:t>Notice being given</w:t>
      </w:r>
      <w:r w:rsidR="009F0821" w:rsidRPr="00FA0E54">
        <w:rPr>
          <w:rFonts w:cs="Arial"/>
        </w:rPr>
        <w:t xml:space="preserve"> </w:t>
      </w:r>
      <w:r w:rsidR="00CE25A8" w:rsidRPr="00FA0E54">
        <w:rPr>
          <w:rFonts w:cs="Arial"/>
        </w:rPr>
        <w:t xml:space="preserve">or engaged in no more than 14 days before that date. </w:t>
      </w:r>
    </w:p>
    <w:p w14:paraId="378B19A0" w14:textId="77739935" w:rsidR="00E25789" w:rsidRPr="00FA0E54" w:rsidRDefault="00E25789" w:rsidP="00502971">
      <w:pPr>
        <w:pStyle w:val="ListParagraph"/>
        <w:numPr>
          <w:ilvl w:val="0"/>
          <w:numId w:val="0"/>
        </w:numPr>
        <w:ind w:left="360"/>
        <w:rPr>
          <w:rFonts w:cs="Arial"/>
        </w:rPr>
      </w:pPr>
      <w:r w:rsidRPr="00FA0E54">
        <w:rPr>
          <w:rFonts w:cs="Arial"/>
        </w:rPr>
        <w:t>The</w:t>
      </w:r>
      <w:r w:rsidR="00650F7A" w:rsidRPr="00FA0E54">
        <w:rPr>
          <w:rFonts w:cs="Arial"/>
        </w:rPr>
        <w:t xml:space="preserve"> ACCC will make the form of the Notice</w:t>
      </w:r>
      <w:r w:rsidR="00EA5A96" w:rsidRPr="00FA0E54">
        <w:rPr>
          <w:rFonts w:cs="Arial"/>
        </w:rPr>
        <w:t xml:space="preserve"> required</w:t>
      </w:r>
      <w:r w:rsidR="00650F7A" w:rsidRPr="00FA0E54">
        <w:rPr>
          <w:rFonts w:cs="Arial"/>
        </w:rPr>
        <w:t xml:space="preserve"> </w:t>
      </w:r>
      <w:r w:rsidR="00237C8A" w:rsidRPr="00FA0E54">
        <w:rPr>
          <w:rFonts w:cs="Arial"/>
        </w:rPr>
        <w:t xml:space="preserve">available on </w:t>
      </w:r>
      <w:r w:rsidR="00650F7A" w:rsidRPr="00FA0E54">
        <w:rPr>
          <w:rFonts w:cs="Arial"/>
        </w:rPr>
        <w:t xml:space="preserve">its </w:t>
      </w:r>
      <w:r w:rsidR="00237C8A" w:rsidRPr="00FA0E54">
        <w:rPr>
          <w:rFonts w:cs="Arial"/>
        </w:rPr>
        <w:t>website</w:t>
      </w:r>
      <w:r w:rsidR="00650F7A" w:rsidRPr="00FA0E54">
        <w:rPr>
          <w:rFonts w:cs="Arial"/>
        </w:rPr>
        <w:t xml:space="preserve">. The information required to be included in </w:t>
      </w:r>
      <w:r w:rsidR="00EA5A96" w:rsidRPr="00FA0E54">
        <w:rPr>
          <w:rFonts w:cs="Arial"/>
        </w:rPr>
        <w:t>the Notice</w:t>
      </w:r>
      <w:r w:rsidR="00650F7A" w:rsidRPr="00FA0E54">
        <w:rPr>
          <w:rFonts w:cs="Arial"/>
        </w:rPr>
        <w:t xml:space="preserve"> will include information about </w:t>
      </w:r>
      <w:r w:rsidRPr="00FA0E54">
        <w:rPr>
          <w:rFonts w:cs="Arial"/>
        </w:rPr>
        <w:t xml:space="preserve">the </w:t>
      </w:r>
      <w:r w:rsidR="00650F7A" w:rsidRPr="00FA0E54">
        <w:rPr>
          <w:rFonts w:cs="Arial"/>
        </w:rPr>
        <w:t xml:space="preserve">composition of the </w:t>
      </w:r>
      <w:r w:rsidRPr="00FA0E54">
        <w:rPr>
          <w:rFonts w:cs="Arial"/>
        </w:rPr>
        <w:t>proposed collective bargaining group, the targets, or types of target businesses the group proposes to collectively bargain with, the matters the group proposes to collectively bargain about and contact details for the group.</w:t>
      </w:r>
    </w:p>
    <w:p w14:paraId="0A4B1699" w14:textId="6667CF5D" w:rsidR="00C47E0E" w:rsidRPr="00FA0E54" w:rsidRDefault="00ED582D" w:rsidP="00502971">
      <w:pPr>
        <w:pStyle w:val="ListParagraph"/>
        <w:numPr>
          <w:ilvl w:val="0"/>
          <w:numId w:val="0"/>
        </w:numPr>
        <w:ind w:left="360"/>
        <w:rPr>
          <w:rFonts w:cs="Arial"/>
        </w:rPr>
      </w:pPr>
      <w:r w:rsidRPr="00FA0E54">
        <w:rPr>
          <w:rFonts w:cs="Arial"/>
        </w:rPr>
        <w:t>The N</w:t>
      </w:r>
      <w:r w:rsidR="007D69EC" w:rsidRPr="00FA0E54">
        <w:rPr>
          <w:rFonts w:cs="Arial"/>
        </w:rPr>
        <w:t>otice may be given by the corporation or any other contracting party, or on their behalf</w:t>
      </w:r>
      <w:r w:rsidR="000F3D46" w:rsidRPr="00FA0E54">
        <w:rPr>
          <w:rFonts w:cs="Arial"/>
        </w:rPr>
        <w:t xml:space="preserve"> by a representative body</w:t>
      </w:r>
      <w:r w:rsidR="007D69EC" w:rsidRPr="00FA0E54">
        <w:rPr>
          <w:rFonts w:cs="Arial"/>
        </w:rPr>
        <w:t xml:space="preserve">. </w:t>
      </w:r>
    </w:p>
    <w:p w14:paraId="245E505E" w14:textId="547033CA" w:rsidR="00E25789" w:rsidRPr="00FA0E54" w:rsidRDefault="00E25789" w:rsidP="00502971">
      <w:pPr>
        <w:pStyle w:val="ListParagraph"/>
        <w:numPr>
          <w:ilvl w:val="0"/>
          <w:numId w:val="0"/>
        </w:numPr>
        <w:ind w:left="360"/>
        <w:rPr>
          <w:rFonts w:cs="Arial"/>
        </w:rPr>
      </w:pPr>
      <w:r w:rsidRPr="00FA0E54">
        <w:rPr>
          <w:rFonts w:cs="Arial"/>
        </w:rPr>
        <w:t>The ACCC will place a copy of all validly lodged Notices on its public register.</w:t>
      </w:r>
    </w:p>
    <w:p w14:paraId="5653A9D7" w14:textId="0C63C37A" w:rsidR="00C47E0E" w:rsidRPr="00FA0E54" w:rsidRDefault="00C47E0E" w:rsidP="00502971">
      <w:pPr>
        <w:pStyle w:val="ListParagraph"/>
        <w:numPr>
          <w:ilvl w:val="0"/>
          <w:numId w:val="0"/>
        </w:numPr>
        <w:ind w:left="360"/>
        <w:rPr>
          <w:rFonts w:cs="Arial"/>
          <w:b/>
        </w:rPr>
      </w:pPr>
      <w:r w:rsidRPr="00FA0E54">
        <w:rPr>
          <w:rFonts w:cs="Arial"/>
        </w:rPr>
        <w:t xml:space="preserve">Section 9(2)(c) provides that </w:t>
      </w:r>
      <w:r w:rsidR="00ED582D" w:rsidRPr="00FA0E54">
        <w:rPr>
          <w:rFonts w:cs="Arial"/>
        </w:rPr>
        <w:t>the N</w:t>
      </w:r>
      <w:r w:rsidR="007D69EC" w:rsidRPr="00FA0E54">
        <w:rPr>
          <w:rFonts w:cs="Arial"/>
        </w:rPr>
        <w:t>otice cannot be given by a trade union, officer of a trade union or person acting at t</w:t>
      </w:r>
      <w:r w:rsidRPr="00FA0E54">
        <w:rPr>
          <w:rFonts w:cs="Arial"/>
        </w:rPr>
        <w:t xml:space="preserve">he direction of a trade union. </w:t>
      </w:r>
      <w:r w:rsidR="000F3D46" w:rsidRPr="00FA0E54">
        <w:rPr>
          <w:rFonts w:cs="Arial"/>
        </w:rPr>
        <w:t xml:space="preserve">Trade unions can, however, represent groups in their negotiations. This is consistent with section 93AB(9) of the </w:t>
      </w:r>
      <w:r w:rsidR="0003513F" w:rsidRPr="00FA0E54">
        <w:rPr>
          <w:rFonts w:cs="Arial"/>
        </w:rPr>
        <w:t>CCA</w:t>
      </w:r>
      <w:r w:rsidR="00650F7A" w:rsidRPr="00FA0E54">
        <w:rPr>
          <w:rFonts w:cs="Arial"/>
        </w:rPr>
        <w:t xml:space="preserve">. </w:t>
      </w:r>
      <w:r w:rsidR="000F3D46" w:rsidRPr="00FA0E54">
        <w:rPr>
          <w:rFonts w:cs="Arial"/>
        </w:rPr>
        <w:t xml:space="preserve"> </w:t>
      </w:r>
    </w:p>
    <w:p w14:paraId="53A32B08" w14:textId="1599E71C" w:rsidR="000F3D46" w:rsidRPr="00FA0E54" w:rsidRDefault="000F3D46" w:rsidP="00502971">
      <w:pPr>
        <w:pStyle w:val="ListParagraph"/>
        <w:numPr>
          <w:ilvl w:val="0"/>
          <w:numId w:val="0"/>
        </w:numPr>
        <w:ind w:left="360"/>
        <w:rPr>
          <w:rFonts w:cs="Arial"/>
        </w:rPr>
      </w:pPr>
      <w:r w:rsidRPr="00FA0E54">
        <w:rPr>
          <w:rFonts w:cs="Arial"/>
        </w:rPr>
        <w:t xml:space="preserve">Once a </w:t>
      </w:r>
      <w:r w:rsidR="00ED582D" w:rsidRPr="00FA0E54">
        <w:rPr>
          <w:rFonts w:cs="Arial"/>
        </w:rPr>
        <w:t xml:space="preserve">Notice </w:t>
      </w:r>
      <w:r w:rsidRPr="00FA0E54">
        <w:rPr>
          <w:rFonts w:cs="Arial"/>
        </w:rPr>
        <w:t>has been given t</w:t>
      </w:r>
      <w:r w:rsidR="007D69EC" w:rsidRPr="00FA0E54">
        <w:rPr>
          <w:rFonts w:cs="Arial"/>
        </w:rPr>
        <w:t xml:space="preserve">o the ACCC, </w:t>
      </w:r>
      <w:r w:rsidR="00BC3EA5" w:rsidRPr="00FA0E54">
        <w:rPr>
          <w:rFonts w:cs="Arial"/>
        </w:rPr>
        <w:t xml:space="preserve">the </w:t>
      </w:r>
      <w:r w:rsidR="00650F7A" w:rsidRPr="00FA0E54">
        <w:rPr>
          <w:rFonts w:cs="Arial"/>
        </w:rPr>
        <w:t>exemptions in section 7 can</w:t>
      </w:r>
      <w:r w:rsidR="007D69EC" w:rsidRPr="00FA0E54">
        <w:rPr>
          <w:rFonts w:cs="Arial"/>
        </w:rPr>
        <w:t xml:space="preserve"> apply to</w:t>
      </w:r>
      <w:r w:rsidRPr="00FA0E54">
        <w:rPr>
          <w:rFonts w:cs="Arial"/>
        </w:rPr>
        <w:t xml:space="preserve"> </w:t>
      </w:r>
      <w:r w:rsidR="00EA5A96" w:rsidRPr="00FA0E54">
        <w:rPr>
          <w:rFonts w:cs="Arial"/>
        </w:rPr>
        <w:t xml:space="preserve">relevant </w:t>
      </w:r>
      <w:r w:rsidR="007D69EC" w:rsidRPr="00FA0E54">
        <w:rPr>
          <w:rFonts w:cs="Arial"/>
        </w:rPr>
        <w:t xml:space="preserve">collective bargaining conduct engaged in </w:t>
      </w:r>
      <w:r w:rsidRPr="00FA0E54">
        <w:rPr>
          <w:rFonts w:cs="Arial"/>
        </w:rPr>
        <w:t>by eligible members of that group:</w:t>
      </w:r>
    </w:p>
    <w:p w14:paraId="4FB21C1D" w14:textId="3D54AA4E" w:rsidR="000F3D46" w:rsidRPr="00FA0E54" w:rsidRDefault="007D69EC" w:rsidP="00502971">
      <w:pPr>
        <w:pStyle w:val="ListParagraph"/>
        <w:numPr>
          <w:ilvl w:val="0"/>
          <w:numId w:val="10"/>
        </w:numPr>
        <w:ind w:left="1418"/>
        <w:rPr>
          <w:rFonts w:cs="Arial"/>
        </w:rPr>
      </w:pPr>
      <w:r w:rsidRPr="00FA0E54">
        <w:rPr>
          <w:rFonts w:cs="Arial"/>
        </w:rPr>
        <w:t xml:space="preserve">after the </w:t>
      </w:r>
      <w:r w:rsidR="00ED582D" w:rsidRPr="00FA0E54">
        <w:rPr>
          <w:rFonts w:cs="Arial"/>
        </w:rPr>
        <w:t xml:space="preserve">Notice </w:t>
      </w:r>
      <w:r w:rsidRPr="00FA0E54">
        <w:rPr>
          <w:rFonts w:cs="Arial"/>
        </w:rPr>
        <w:t xml:space="preserve">was given, and </w:t>
      </w:r>
    </w:p>
    <w:p w14:paraId="10330E03" w14:textId="768BBB5C" w:rsidR="007D69EC" w:rsidRPr="00FA0E54" w:rsidRDefault="00B16D4E" w:rsidP="00502971">
      <w:pPr>
        <w:pStyle w:val="ListParagraph"/>
        <w:numPr>
          <w:ilvl w:val="0"/>
          <w:numId w:val="10"/>
        </w:numPr>
        <w:ind w:left="1418"/>
        <w:rPr>
          <w:rFonts w:cs="Arial"/>
        </w:rPr>
      </w:pPr>
      <w:r w:rsidRPr="00FA0E54">
        <w:rPr>
          <w:rFonts w:cs="Arial"/>
        </w:rPr>
        <w:t xml:space="preserve">no more than </w:t>
      </w:r>
      <w:r w:rsidR="007D69EC" w:rsidRPr="00FA0E54">
        <w:rPr>
          <w:rFonts w:cs="Arial"/>
        </w:rPr>
        <w:t xml:space="preserve">14 days prior to </w:t>
      </w:r>
      <w:r w:rsidR="00ED582D" w:rsidRPr="00FA0E54">
        <w:rPr>
          <w:rFonts w:cs="Arial"/>
        </w:rPr>
        <w:t xml:space="preserve">Notice </w:t>
      </w:r>
      <w:r w:rsidR="007D69EC" w:rsidRPr="00FA0E54">
        <w:rPr>
          <w:rFonts w:cs="Arial"/>
        </w:rPr>
        <w:t xml:space="preserve">being given. </w:t>
      </w:r>
      <w:r w:rsidR="000F3D46" w:rsidRPr="00FA0E54">
        <w:rPr>
          <w:rFonts w:cs="Arial"/>
        </w:rPr>
        <w:t xml:space="preserve">This is consistent with </w:t>
      </w:r>
      <w:r w:rsidR="00244956" w:rsidRPr="00FA0E54">
        <w:rPr>
          <w:rFonts w:cs="Arial"/>
        </w:rPr>
        <w:t>section 45(9)(b)</w:t>
      </w:r>
      <w:r w:rsidR="00C44645" w:rsidRPr="00FA0E54">
        <w:rPr>
          <w:rFonts w:cs="Arial"/>
        </w:rPr>
        <w:t xml:space="preserve"> of the CCA</w:t>
      </w:r>
      <w:r w:rsidR="00244956" w:rsidRPr="00FA0E54">
        <w:rPr>
          <w:rFonts w:cs="Arial"/>
        </w:rPr>
        <w:t xml:space="preserve">, which </w:t>
      </w:r>
      <w:r w:rsidR="00C44645" w:rsidRPr="00FA0E54">
        <w:rPr>
          <w:rFonts w:cs="Arial"/>
        </w:rPr>
        <w:t>provides</w:t>
      </w:r>
      <w:r w:rsidR="00244956" w:rsidRPr="00FA0E54">
        <w:rPr>
          <w:rFonts w:cs="Arial"/>
        </w:rPr>
        <w:t xml:space="preserve"> legal protection for the ‘making of’ an initial contract provided a corporation applies for authorisation within 14 days of the contract being made.</w:t>
      </w:r>
      <w:r w:rsidR="00772F19" w:rsidRPr="00FA0E54">
        <w:rPr>
          <w:rFonts w:cs="Arial"/>
        </w:rPr>
        <w:t xml:space="preserve"> </w:t>
      </w:r>
    </w:p>
    <w:p w14:paraId="563EF786" w14:textId="21A40683" w:rsidR="007D553E" w:rsidRPr="00FA0E54" w:rsidRDefault="007D553E" w:rsidP="00502971">
      <w:pPr>
        <w:pStyle w:val="ListParagraph"/>
        <w:numPr>
          <w:ilvl w:val="0"/>
          <w:numId w:val="9"/>
        </w:numPr>
        <w:rPr>
          <w:rFonts w:cs="Arial"/>
          <w:b/>
        </w:rPr>
      </w:pPr>
      <w:r w:rsidRPr="00FA0E54">
        <w:rPr>
          <w:b/>
        </w:rPr>
        <w:t>Copy of collective bargaining class exemption notice must be given to target</w:t>
      </w:r>
    </w:p>
    <w:p w14:paraId="409C731D" w14:textId="2DBE99A2" w:rsidR="00650F7A" w:rsidRPr="00FA0E54" w:rsidRDefault="00650F7A" w:rsidP="00502971">
      <w:pPr>
        <w:pStyle w:val="ListParagraph"/>
        <w:numPr>
          <w:ilvl w:val="0"/>
          <w:numId w:val="0"/>
        </w:numPr>
        <w:ind w:left="360"/>
        <w:rPr>
          <w:rFonts w:cs="Arial"/>
        </w:rPr>
      </w:pPr>
      <w:r w:rsidRPr="00FA0E54">
        <w:rPr>
          <w:rFonts w:cs="Arial"/>
        </w:rPr>
        <w:t>It is important that a target be aware of proposed collective bargaining</w:t>
      </w:r>
      <w:r w:rsidR="00EA5A96" w:rsidRPr="00FA0E54">
        <w:rPr>
          <w:rFonts w:cs="Arial"/>
        </w:rPr>
        <w:t xml:space="preserve">, including so that it can </w:t>
      </w:r>
      <w:r w:rsidRPr="00FA0E54">
        <w:rPr>
          <w:rFonts w:cs="Arial"/>
        </w:rPr>
        <w:t xml:space="preserve">make an informed decision about whether or not to engage with a collective bargaining group. </w:t>
      </w:r>
    </w:p>
    <w:p w14:paraId="47752564" w14:textId="6094F75F" w:rsidR="00F65FD9" w:rsidRPr="00FA0E54" w:rsidRDefault="00650F7A" w:rsidP="00502971">
      <w:pPr>
        <w:pStyle w:val="ListParagraph"/>
        <w:numPr>
          <w:ilvl w:val="0"/>
          <w:numId w:val="0"/>
        </w:numPr>
        <w:ind w:left="360"/>
        <w:rPr>
          <w:rFonts w:cs="Arial"/>
        </w:rPr>
      </w:pPr>
      <w:r w:rsidRPr="00FA0E54">
        <w:rPr>
          <w:rFonts w:cs="Arial"/>
        </w:rPr>
        <w:t>Accordingly, t</w:t>
      </w:r>
      <w:r w:rsidR="00EA2B20" w:rsidRPr="00FA0E54">
        <w:rPr>
          <w:rFonts w:cs="Arial"/>
        </w:rPr>
        <w:t xml:space="preserve">he class exemption will only apply to steps taken to engage with a target collectively, where the target is on notice of the collective bargaining. For this reason, </w:t>
      </w:r>
      <w:r w:rsidR="00CE25A8" w:rsidRPr="00FA0E54">
        <w:rPr>
          <w:rFonts w:cs="Arial"/>
        </w:rPr>
        <w:t>protection under s</w:t>
      </w:r>
      <w:r w:rsidR="0069280E" w:rsidRPr="00FA0E54">
        <w:rPr>
          <w:rFonts w:cs="Arial"/>
        </w:rPr>
        <w:t>ection</w:t>
      </w:r>
      <w:r w:rsidR="00CE25A8" w:rsidRPr="00FA0E54">
        <w:rPr>
          <w:rFonts w:cs="Arial"/>
        </w:rPr>
        <w:t xml:space="preserve"> 7 will only apply to collective bargaining conduct with a target, or giving effect to a contract made with a target,</w:t>
      </w:r>
      <w:r w:rsidR="00BB1C34" w:rsidRPr="00FA0E54">
        <w:rPr>
          <w:rFonts w:cs="Arial"/>
        </w:rPr>
        <w:t xml:space="preserve"> upon</w:t>
      </w:r>
      <w:r w:rsidR="00CE25A8" w:rsidRPr="00FA0E54">
        <w:rPr>
          <w:rFonts w:cs="Arial"/>
        </w:rPr>
        <w:t xml:space="preserve"> </w:t>
      </w:r>
      <w:r w:rsidR="00EA2B20" w:rsidRPr="00FA0E54">
        <w:rPr>
          <w:rFonts w:cs="Arial"/>
        </w:rPr>
        <w:t xml:space="preserve">a copy of the Notice given to the ACCC </w:t>
      </w:r>
      <w:r w:rsidR="00BB1C34" w:rsidRPr="00FA0E54">
        <w:rPr>
          <w:rFonts w:cs="Arial"/>
        </w:rPr>
        <w:t>also being</w:t>
      </w:r>
      <w:r w:rsidR="00CE25A8" w:rsidRPr="00FA0E54">
        <w:rPr>
          <w:rFonts w:cs="Arial"/>
        </w:rPr>
        <w:t xml:space="preserve"> </w:t>
      </w:r>
      <w:r w:rsidR="00EA2B20" w:rsidRPr="00FA0E54">
        <w:rPr>
          <w:rFonts w:cs="Arial"/>
        </w:rPr>
        <w:t>given to the target(s)</w:t>
      </w:r>
      <w:r w:rsidR="00CE25A8" w:rsidRPr="00FA0E54">
        <w:rPr>
          <w:rFonts w:cs="Arial"/>
        </w:rPr>
        <w:t>.</w:t>
      </w:r>
      <w:r w:rsidR="00EA2B20" w:rsidRPr="00FA0E54">
        <w:rPr>
          <w:rFonts w:cs="Arial"/>
        </w:rPr>
        <w:t xml:space="preserve"> </w:t>
      </w:r>
      <w:r w:rsidR="00ED582D" w:rsidRPr="00FA0E54">
        <w:rPr>
          <w:rFonts w:cs="Arial"/>
        </w:rPr>
        <w:t xml:space="preserve"> </w:t>
      </w:r>
    </w:p>
    <w:p w14:paraId="163AF5B6" w14:textId="4066408B" w:rsidR="007D553E" w:rsidRPr="00FA0E54" w:rsidRDefault="007D553E" w:rsidP="00502971">
      <w:pPr>
        <w:pStyle w:val="ListParagraph"/>
        <w:numPr>
          <w:ilvl w:val="0"/>
          <w:numId w:val="9"/>
        </w:numPr>
        <w:rPr>
          <w:rFonts w:cs="Arial"/>
          <w:b/>
        </w:rPr>
      </w:pPr>
      <w:r w:rsidRPr="00FA0E54">
        <w:rPr>
          <w:b/>
        </w:rPr>
        <w:t>Corporation must have reasonable expectation of contracting with target</w:t>
      </w:r>
    </w:p>
    <w:p w14:paraId="5DDE63D0" w14:textId="608C520B" w:rsidR="00AA56B9" w:rsidRPr="00FA0E54" w:rsidRDefault="00650F7A" w:rsidP="00502971">
      <w:pPr>
        <w:spacing w:before="120" w:after="0"/>
        <w:ind w:left="357"/>
        <w:rPr>
          <w:rFonts w:ascii="Arial" w:hAnsi="Arial" w:cs="Arial"/>
        </w:rPr>
      </w:pPr>
      <w:r w:rsidRPr="00FA0E54">
        <w:rPr>
          <w:rFonts w:ascii="Arial" w:hAnsi="Arial" w:cs="Arial"/>
        </w:rPr>
        <w:t>The section 7(2) eligible corporation collective bargaining conduct exemption will only apply to an</w:t>
      </w:r>
      <w:r w:rsidR="00241EE4" w:rsidRPr="00FA0E54">
        <w:rPr>
          <w:rFonts w:ascii="Arial" w:hAnsi="Arial" w:cs="Arial"/>
        </w:rPr>
        <w:t xml:space="preserve"> eligible</w:t>
      </w:r>
      <w:r w:rsidR="00E0182D" w:rsidRPr="00FA0E54">
        <w:rPr>
          <w:rFonts w:ascii="Arial" w:hAnsi="Arial" w:cs="Arial"/>
        </w:rPr>
        <w:t xml:space="preserve"> </w:t>
      </w:r>
      <w:r w:rsidR="009C10BE" w:rsidRPr="00FA0E54">
        <w:rPr>
          <w:rFonts w:ascii="Arial" w:hAnsi="Arial" w:cs="Arial"/>
        </w:rPr>
        <w:t>corporation</w:t>
      </w:r>
      <w:r w:rsidR="00234BD8" w:rsidRPr="00FA0E54">
        <w:rPr>
          <w:rFonts w:ascii="Arial" w:hAnsi="Arial" w:cs="Arial"/>
        </w:rPr>
        <w:t xml:space="preserve"> </w:t>
      </w:r>
      <w:r w:rsidR="000C3BD5" w:rsidRPr="00FA0E54">
        <w:rPr>
          <w:rFonts w:ascii="Arial" w:hAnsi="Arial" w:cs="Arial"/>
        </w:rPr>
        <w:t xml:space="preserve">that </w:t>
      </w:r>
      <w:r w:rsidR="009C10BE" w:rsidRPr="00FA0E54">
        <w:rPr>
          <w:rFonts w:ascii="Arial" w:hAnsi="Arial" w:cs="Arial"/>
        </w:rPr>
        <w:t xml:space="preserve">reasonably expects that it will make </w:t>
      </w:r>
      <w:r w:rsidR="00AA56B9" w:rsidRPr="00FA0E54">
        <w:rPr>
          <w:rFonts w:ascii="Arial" w:hAnsi="Arial" w:cs="Arial"/>
        </w:rPr>
        <w:t>at least one contract with the target</w:t>
      </w:r>
      <w:r w:rsidR="009C10BE" w:rsidRPr="00FA0E54">
        <w:rPr>
          <w:rFonts w:ascii="Arial" w:hAnsi="Arial" w:cs="Arial"/>
        </w:rPr>
        <w:t xml:space="preserve">(s) </w:t>
      </w:r>
      <w:r w:rsidRPr="00FA0E54">
        <w:rPr>
          <w:rFonts w:ascii="Arial" w:hAnsi="Arial" w:cs="Arial"/>
        </w:rPr>
        <w:t>in respect of the acquisition or supply of the</w:t>
      </w:r>
      <w:r w:rsidR="00AA56B9" w:rsidRPr="00FA0E54">
        <w:rPr>
          <w:rFonts w:ascii="Arial" w:hAnsi="Arial" w:cs="Arial"/>
        </w:rPr>
        <w:t xml:space="preserve"> goods or services to </w:t>
      </w:r>
      <w:r w:rsidR="009C10BE" w:rsidRPr="00FA0E54">
        <w:rPr>
          <w:rFonts w:ascii="Arial" w:hAnsi="Arial" w:cs="Arial"/>
        </w:rPr>
        <w:t xml:space="preserve">which the initial contract relates. </w:t>
      </w:r>
      <w:r w:rsidR="00AA56B9" w:rsidRPr="00FA0E54">
        <w:rPr>
          <w:rFonts w:ascii="Arial" w:hAnsi="Arial" w:cs="Arial"/>
        </w:rPr>
        <w:t xml:space="preserve">This </w:t>
      </w:r>
      <w:r w:rsidRPr="00FA0E54">
        <w:rPr>
          <w:rFonts w:ascii="Arial" w:hAnsi="Arial" w:cs="Arial"/>
        </w:rPr>
        <w:t>is consistent with</w:t>
      </w:r>
      <w:r w:rsidR="00AA56B9" w:rsidRPr="00FA0E54">
        <w:rPr>
          <w:rFonts w:ascii="Arial" w:hAnsi="Arial" w:cs="Arial"/>
        </w:rPr>
        <w:t xml:space="preserve"> section 93AB(3) of the </w:t>
      </w:r>
      <w:r w:rsidR="00567F86" w:rsidRPr="00FA0E54">
        <w:rPr>
          <w:rFonts w:ascii="Arial" w:hAnsi="Arial" w:cs="Arial"/>
        </w:rPr>
        <w:t>CCA</w:t>
      </w:r>
      <w:r w:rsidR="00AA56B9" w:rsidRPr="00FA0E54">
        <w:rPr>
          <w:rFonts w:ascii="Arial" w:hAnsi="Arial" w:cs="Arial"/>
        </w:rPr>
        <w:t>.</w:t>
      </w:r>
    </w:p>
    <w:p w14:paraId="352A8059" w14:textId="4CE0CF6C" w:rsidR="00BE4B99" w:rsidRPr="00FA0E54" w:rsidRDefault="0049000B" w:rsidP="00502971">
      <w:pPr>
        <w:spacing w:before="120" w:after="0"/>
        <w:ind w:left="357"/>
        <w:rPr>
          <w:rFonts w:ascii="Arial" w:hAnsi="Arial" w:cs="Arial"/>
        </w:rPr>
      </w:pPr>
      <w:r w:rsidRPr="00FA0E54">
        <w:rPr>
          <w:rFonts w:ascii="Arial" w:hAnsi="Arial" w:cs="Arial"/>
        </w:rPr>
        <w:t>While a corporation must have a reasonable expectation of making such a contract with the target,</w:t>
      </w:r>
      <w:r w:rsidR="00EA5A96" w:rsidRPr="00FA0E54">
        <w:rPr>
          <w:rFonts w:ascii="Arial" w:hAnsi="Arial" w:cs="Arial"/>
        </w:rPr>
        <w:t xml:space="preserve"> the exemption will apply regardless of whether </w:t>
      </w:r>
      <w:r w:rsidRPr="00FA0E54">
        <w:rPr>
          <w:rFonts w:ascii="Arial" w:hAnsi="Arial" w:cs="Arial"/>
        </w:rPr>
        <w:t xml:space="preserve">such a contract </w:t>
      </w:r>
      <w:r w:rsidR="00EA5A96" w:rsidRPr="00FA0E54">
        <w:rPr>
          <w:rFonts w:ascii="Arial" w:hAnsi="Arial" w:cs="Arial"/>
        </w:rPr>
        <w:t xml:space="preserve">is ultimately </w:t>
      </w:r>
      <w:r w:rsidR="00EA5A96" w:rsidRPr="00FA0E54">
        <w:rPr>
          <w:rFonts w:ascii="Arial" w:hAnsi="Arial" w:cs="Arial"/>
        </w:rPr>
        <w:lastRenderedPageBreak/>
        <w:t xml:space="preserve">made. Further, it is sufficient that a corporation have a reasonable expectation of itself </w:t>
      </w:r>
      <w:r w:rsidR="000C3BD5" w:rsidRPr="00FA0E54">
        <w:rPr>
          <w:rFonts w:ascii="Arial" w:hAnsi="Arial" w:cs="Arial"/>
        </w:rPr>
        <w:t>making</w:t>
      </w:r>
      <w:r w:rsidR="00EA5A96" w:rsidRPr="00FA0E54">
        <w:rPr>
          <w:rFonts w:ascii="Arial" w:hAnsi="Arial" w:cs="Arial"/>
        </w:rPr>
        <w:t xml:space="preserve"> a contract with the target. </w:t>
      </w:r>
      <w:r w:rsidR="00272422" w:rsidRPr="00FA0E54">
        <w:rPr>
          <w:rFonts w:ascii="Arial" w:hAnsi="Arial" w:cs="Arial"/>
        </w:rPr>
        <w:t>The</w:t>
      </w:r>
      <w:r w:rsidR="00C30A5B" w:rsidRPr="00FA0E54">
        <w:rPr>
          <w:rFonts w:ascii="Arial" w:hAnsi="Arial" w:cs="Arial"/>
        </w:rPr>
        <w:t xml:space="preserve"> corporation does not need to have a reasonable expectation of </w:t>
      </w:r>
      <w:r w:rsidR="00234BD8" w:rsidRPr="00FA0E54">
        <w:rPr>
          <w:rFonts w:ascii="Arial" w:hAnsi="Arial" w:cs="Arial"/>
        </w:rPr>
        <w:t xml:space="preserve">making </w:t>
      </w:r>
      <w:r w:rsidR="00BE4B99" w:rsidRPr="00FA0E54">
        <w:rPr>
          <w:rFonts w:ascii="Arial" w:hAnsi="Arial" w:cs="Arial"/>
        </w:rPr>
        <w:t xml:space="preserve">a contract </w:t>
      </w:r>
      <w:r w:rsidR="005B0503" w:rsidRPr="00FA0E54">
        <w:rPr>
          <w:rFonts w:ascii="Arial" w:hAnsi="Arial" w:cs="Arial"/>
        </w:rPr>
        <w:t xml:space="preserve">with the target </w:t>
      </w:r>
      <w:r w:rsidR="00EA5A96" w:rsidRPr="00FA0E54">
        <w:rPr>
          <w:rFonts w:ascii="Arial" w:hAnsi="Arial" w:cs="Arial"/>
        </w:rPr>
        <w:t>as a result of collective negotiations</w:t>
      </w:r>
      <w:r w:rsidR="00AA56B9" w:rsidRPr="00FA0E54">
        <w:rPr>
          <w:rFonts w:ascii="Arial" w:hAnsi="Arial" w:cs="Arial"/>
        </w:rPr>
        <w:t xml:space="preserve">, given </w:t>
      </w:r>
      <w:r w:rsidR="00C30A5B" w:rsidRPr="00FA0E54">
        <w:rPr>
          <w:rFonts w:ascii="Arial" w:hAnsi="Arial" w:cs="Arial"/>
        </w:rPr>
        <w:t xml:space="preserve">that </w:t>
      </w:r>
      <w:r w:rsidR="00EA5A96" w:rsidRPr="00FA0E54">
        <w:rPr>
          <w:rFonts w:ascii="Arial" w:hAnsi="Arial" w:cs="Arial"/>
        </w:rPr>
        <w:t>a corporation cannot know at the time of making an initial contract whether</w:t>
      </w:r>
      <w:r w:rsidR="00A01A36" w:rsidRPr="00FA0E54">
        <w:rPr>
          <w:rFonts w:ascii="Arial" w:hAnsi="Arial" w:cs="Arial"/>
        </w:rPr>
        <w:t xml:space="preserve"> a target will be willing to collectively negotiate or whether any</w:t>
      </w:r>
      <w:r w:rsidR="00EA5A96" w:rsidRPr="00FA0E54">
        <w:rPr>
          <w:rFonts w:ascii="Arial" w:hAnsi="Arial" w:cs="Arial"/>
        </w:rPr>
        <w:t xml:space="preserve"> </w:t>
      </w:r>
      <w:r w:rsidR="00C30A5B" w:rsidRPr="00FA0E54">
        <w:rPr>
          <w:rFonts w:ascii="Arial" w:hAnsi="Arial" w:cs="Arial"/>
        </w:rPr>
        <w:t xml:space="preserve">collective negotiations </w:t>
      </w:r>
      <w:r w:rsidR="00EA5A96" w:rsidRPr="00FA0E54">
        <w:rPr>
          <w:rFonts w:ascii="Arial" w:hAnsi="Arial" w:cs="Arial"/>
        </w:rPr>
        <w:t xml:space="preserve">will ultimately </w:t>
      </w:r>
      <w:r w:rsidR="00C30A5B" w:rsidRPr="00FA0E54">
        <w:rPr>
          <w:rFonts w:ascii="Arial" w:hAnsi="Arial" w:cs="Arial"/>
        </w:rPr>
        <w:t xml:space="preserve">be </w:t>
      </w:r>
      <w:r w:rsidR="005B0503" w:rsidRPr="00FA0E54">
        <w:rPr>
          <w:rFonts w:ascii="Arial" w:hAnsi="Arial" w:cs="Arial"/>
        </w:rPr>
        <w:t>successful. H</w:t>
      </w:r>
      <w:r w:rsidR="00AA56B9" w:rsidRPr="00FA0E54">
        <w:rPr>
          <w:rFonts w:ascii="Arial" w:hAnsi="Arial" w:cs="Arial"/>
        </w:rPr>
        <w:t xml:space="preserve">owever, the corporation </w:t>
      </w:r>
      <w:r w:rsidR="00BE4B99" w:rsidRPr="00FA0E54">
        <w:rPr>
          <w:rFonts w:ascii="Arial" w:hAnsi="Arial" w:cs="Arial"/>
        </w:rPr>
        <w:t xml:space="preserve">must at least have a reasonable expectation </w:t>
      </w:r>
      <w:r w:rsidR="005B0503" w:rsidRPr="00FA0E54">
        <w:rPr>
          <w:rFonts w:ascii="Arial" w:hAnsi="Arial" w:cs="Arial"/>
        </w:rPr>
        <w:t xml:space="preserve">that </w:t>
      </w:r>
      <w:r w:rsidR="00272422" w:rsidRPr="00FA0E54">
        <w:rPr>
          <w:rFonts w:ascii="Arial" w:hAnsi="Arial" w:cs="Arial"/>
        </w:rPr>
        <w:t>it</w:t>
      </w:r>
      <w:r w:rsidR="005B0503" w:rsidRPr="00FA0E54">
        <w:rPr>
          <w:rFonts w:ascii="Arial" w:hAnsi="Arial" w:cs="Arial"/>
        </w:rPr>
        <w:t xml:space="preserve"> will individually </w:t>
      </w:r>
      <w:r w:rsidR="00234BD8" w:rsidRPr="00FA0E54">
        <w:rPr>
          <w:rFonts w:ascii="Arial" w:hAnsi="Arial" w:cs="Arial"/>
        </w:rPr>
        <w:t>make</w:t>
      </w:r>
      <w:r w:rsidR="00234BD8" w:rsidRPr="00FA0E54">
        <w:rPr>
          <w:rFonts w:cs="Arial"/>
        </w:rPr>
        <w:t xml:space="preserve"> </w:t>
      </w:r>
      <w:r w:rsidR="00BE4B99" w:rsidRPr="00FA0E54">
        <w:rPr>
          <w:rFonts w:ascii="Arial" w:hAnsi="Arial" w:cs="Arial"/>
        </w:rPr>
        <w:t xml:space="preserve">a contract with the target. </w:t>
      </w:r>
    </w:p>
    <w:p w14:paraId="01FDF9EB" w14:textId="205F6DEE" w:rsidR="0062142B" w:rsidRPr="00FA0E54" w:rsidRDefault="00A01A36" w:rsidP="00502971">
      <w:pPr>
        <w:pStyle w:val="ListParagraph"/>
        <w:numPr>
          <w:ilvl w:val="0"/>
          <w:numId w:val="0"/>
        </w:numPr>
        <w:ind w:left="360"/>
        <w:rPr>
          <w:rFonts w:cs="Arial"/>
        </w:rPr>
      </w:pPr>
      <w:r w:rsidRPr="00FA0E54">
        <w:rPr>
          <w:rFonts w:cs="Arial"/>
        </w:rPr>
        <w:t xml:space="preserve">Nor is it necessary, in the case of multiple targets or a class of targets, that a corporation have a reasonable expectation of making a contract with each and every one of those targets. </w:t>
      </w:r>
      <w:r w:rsidR="007737A4" w:rsidRPr="00FA0E54">
        <w:rPr>
          <w:rFonts w:cs="Arial"/>
        </w:rPr>
        <w:t xml:space="preserve">Consider for example, a collective bargaining group that has given a Notice to the ACCC </w:t>
      </w:r>
      <w:r w:rsidR="00F121FE" w:rsidRPr="00FA0E54">
        <w:rPr>
          <w:rFonts w:cs="Arial"/>
        </w:rPr>
        <w:t xml:space="preserve">which describes </w:t>
      </w:r>
      <w:r w:rsidR="007737A4" w:rsidRPr="00FA0E54">
        <w:rPr>
          <w:rFonts w:cs="Arial"/>
        </w:rPr>
        <w:t xml:space="preserve">the target business(es) as ‘dairy processing companies’ and the terms and conditions the group proposes to collectively bargain about are described as </w:t>
      </w:r>
      <w:r w:rsidR="005F38FD" w:rsidRPr="00FA0E54">
        <w:rPr>
          <w:rFonts w:cs="Arial"/>
        </w:rPr>
        <w:t xml:space="preserve">the </w:t>
      </w:r>
      <w:r w:rsidR="007737A4" w:rsidRPr="00FA0E54">
        <w:rPr>
          <w:rFonts w:cs="Arial"/>
        </w:rPr>
        <w:t>‘supply of raw milk.’ A</w:t>
      </w:r>
      <w:r w:rsidR="00567F86" w:rsidRPr="00FA0E54">
        <w:rPr>
          <w:rFonts w:cs="Arial"/>
        </w:rPr>
        <w:t xml:space="preserve"> corporation</w:t>
      </w:r>
      <w:r w:rsidR="007737A4" w:rsidRPr="00FA0E54">
        <w:rPr>
          <w:rFonts w:cs="Arial"/>
        </w:rPr>
        <w:t xml:space="preserve"> that is part of this</w:t>
      </w:r>
      <w:r w:rsidR="00567F86" w:rsidRPr="00FA0E54">
        <w:rPr>
          <w:rFonts w:cs="Arial"/>
        </w:rPr>
        <w:t xml:space="preserve"> collective bargaining group does not </w:t>
      </w:r>
      <w:r w:rsidRPr="00FA0E54">
        <w:rPr>
          <w:rFonts w:cs="Arial"/>
        </w:rPr>
        <w:t xml:space="preserve">need </w:t>
      </w:r>
      <w:r w:rsidR="00567F86" w:rsidRPr="00FA0E54">
        <w:rPr>
          <w:rFonts w:cs="Arial"/>
        </w:rPr>
        <w:t xml:space="preserve">to have a reasonable expectation that it will enter into a contract, as part of the group or individually, with each or any of the </w:t>
      </w:r>
      <w:r w:rsidR="007737A4" w:rsidRPr="00FA0E54">
        <w:rPr>
          <w:rFonts w:cs="Arial"/>
        </w:rPr>
        <w:t xml:space="preserve">dairy processing companies </w:t>
      </w:r>
      <w:r w:rsidR="00567F86" w:rsidRPr="00FA0E54">
        <w:rPr>
          <w:rFonts w:cs="Arial"/>
        </w:rPr>
        <w:t xml:space="preserve">with whom the group is negotiating. However, the corporation must have a reasonable expectation that it will enter into an agreement with </w:t>
      </w:r>
      <w:r w:rsidR="00567F86" w:rsidRPr="00FA0E54">
        <w:rPr>
          <w:rFonts w:cs="Arial"/>
          <w:u w:val="single"/>
        </w:rPr>
        <w:t>a</w:t>
      </w:r>
      <w:r w:rsidR="00567F86" w:rsidRPr="00FA0E54">
        <w:rPr>
          <w:rFonts w:cs="Arial"/>
        </w:rPr>
        <w:t xml:space="preserve"> </w:t>
      </w:r>
      <w:r w:rsidR="007737A4" w:rsidRPr="00FA0E54">
        <w:rPr>
          <w:rFonts w:cs="Arial"/>
        </w:rPr>
        <w:t>dairy processing company for the supply of raw milk.</w:t>
      </w:r>
    </w:p>
    <w:p w14:paraId="49AACADC" w14:textId="3E7A492C" w:rsidR="00567F86" w:rsidRPr="00FA0E54" w:rsidRDefault="0062142B" w:rsidP="00502971">
      <w:pPr>
        <w:pStyle w:val="ListParagraph"/>
        <w:numPr>
          <w:ilvl w:val="0"/>
          <w:numId w:val="0"/>
        </w:numPr>
        <w:ind w:left="360"/>
        <w:rPr>
          <w:rFonts w:cs="Arial"/>
        </w:rPr>
      </w:pPr>
      <w:r w:rsidRPr="00FA0E54">
        <w:rPr>
          <w:rFonts w:cs="Arial"/>
        </w:rPr>
        <w:t>However, if the target business</w:t>
      </w:r>
      <w:r w:rsidR="00F121FE" w:rsidRPr="00FA0E54">
        <w:rPr>
          <w:rFonts w:cs="Arial"/>
        </w:rPr>
        <w:t xml:space="preserve"> is </w:t>
      </w:r>
      <w:r w:rsidRPr="00FA0E54">
        <w:rPr>
          <w:rFonts w:cs="Arial"/>
        </w:rPr>
        <w:t>described on the Notice given to the ACCC as ‘dairy processing company A’</w:t>
      </w:r>
      <w:r w:rsidR="00F121FE" w:rsidRPr="00FA0E54">
        <w:rPr>
          <w:rFonts w:cs="Arial"/>
        </w:rPr>
        <w:t>,</w:t>
      </w:r>
      <w:r w:rsidRPr="00FA0E54">
        <w:rPr>
          <w:rFonts w:cs="Arial"/>
        </w:rPr>
        <w:t xml:space="preserve"> the corporation must have a reasonable expectation that it will enter into a contract, as part of the group or individually, with </w:t>
      </w:r>
      <w:r w:rsidRPr="00FA0E54">
        <w:rPr>
          <w:rFonts w:cs="Arial"/>
          <w:u w:val="single"/>
        </w:rPr>
        <w:t>that</w:t>
      </w:r>
      <w:r w:rsidRPr="00FA0E54">
        <w:rPr>
          <w:rFonts w:cs="Arial"/>
        </w:rPr>
        <w:t xml:space="preserve"> dairy processing company.</w:t>
      </w:r>
    </w:p>
    <w:p w14:paraId="4BAF6F5E" w14:textId="7E655359" w:rsidR="008A15CA" w:rsidRPr="00FA0E54" w:rsidRDefault="00BE1706" w:rsidP="00502971">
      <w:pPr>
        <w:pStyle w:val="ListParagraph"/>
        <w:numPr>
          <w:ilvl w:val="0"/>
          <w:numId w:val="0"/>
        </w:numPr>
        <w:ind w:left="360"/>
        <w:rPr>
          <w:rFonts w:cs="Arial"/>
        </w:rPr>
      </w:pPr>
      <w:r w:rsidRPr="00FA0E54">
        <w:rPr>
          <w:rFonts w:cs="Arial"/>
        </w:rPr>
        <w:t>The reasonable expectation requirement is to</w:t>
      </w:r>
      <w:r w:rsidR="008A15CA" w:rsidRPr="00FA0E54">
        <w:rPr>
          <w:rFonts w:cs="Arial"/>
        </w:rPr>
        <w:t xml:space="preserve"> </w:t>
      </w:r>
      <w:r w:rsidRPr="00FA0E54">
        <w:rPr>
          <w:rFonts w:cs="Arial"/>
        </w:rPr>
        <w:t>ensure that</w:t>
      </w:r>
      <w:r w:rsidR="008A15CA" w:rsidRPr="00FA0E54">
        <w:rPr>
          <w:rFonts w:cs="Arial"/>
        </w:rPr>
        <w:t xml:space="preserve"> </w:t>
      </w:r>
      <w:r w:rsidR="00A01A36" w:rsidRPr="00FA0E54">
        <w:rPr>
          <w:rFonts w:cs="Arial"/>
        </w:rPr>
        <w:t xml:space="preserve">collective bargaining </w:t>
      </w:r>
      <w:r w:rsidR="008A15CA" w:rsidRPr="00FA0E54">
        <w:rPr>
          <w:rFonts w:cs="Arial"/>
        </w:rPr>
        <w:t xml:space="preserve">groups are confined to members who have a legitimate, shared interest in collectively bargaining with the same target(s).  </w:t>
      </w:r>
    </w:p>
    <w:p w14:paraId="32EF6181" w14:textId="11FA8BBF" w:rsidR="00E0182D" w:rsidRPr="00FA0E54" w:rsidRDefault="00BE1706" w:rsidP="00502971">
      <w:pPr>
        <w:pStyle w:val="ListParagraph"/>
        <w:numPr>
          <w:ilvl w:val="0"/>
          <w:numId w:val="0"/>
        </w:numPr>
        <w:ind w:left="360"/>
        <w:rPr>
          <w:rFonts w:cs="Arial"/>
          <w:b/>
        </w:rPr>
      </w:pPr>
      <w:r w:rsidRPr="00FA0E54">
        <w:rPr>
          <w:rFonts w:cs="Arial"/>
        </w:rPr>
        <w:t>The reasonable expectation requirement does not apply to f</w:t>
      </w:r>
      <w:r w:rsidR="00E0182D" w:rsidRPr="00FA0E54">
        <w:rPr>
          <w:rFonts w:cs="Arial"/>
        </w:rPr>
        <w:t xml:space="preserve">ranchisees and fuel retailers negotiating with their franchisor or fuel wholesaler. Given the nature of their relationship with the target, and </w:t>
      </w:r>
      <w:r w:rsidR="002022DE" w:rsidRPr="00FA0E54">
        <w:rPr>
          <w:rFonts w:cs="Arial"/>
        </w:rPr>
        <w:t>that the</w:t>
      </w:r>
      <w:r w:rsidR="00E0182D" w:rsidRPr="00FA0E54">
        <w:rPr>
          <w:rFonts w:cs="Arial"/>
        </w:rPr>
        <w:t xml:space="preserve"> type of agreement they will be </w:t>
      </w:r>
      <w:r w:rsidR="002022DE" w:rsidRPr="00FA0E54">
        <w:rPr>
          <w:rFonts w:cs="Arial"/>
        </w:rPr>
        <w:t xml:space="preserve">collectively </w:t>
      </w:r>
      <w:r w:rsidR="00E0182D" w:rsidRPr="00FA0E54">
        <w:rPr>
          <w:rFonts w:cs="Arial"/>
        </w:rPr>
        <w:t xml:space="preserve">negotiating </w:t>
      </w:r>
      <w:r w:rsidR="002022DE" w:rsidRPr="00FA0E54">
        <w:rPr>
          <w:rFonts w:cs="Arial"/>
        </w:rPr>
        <w:t xml:space="preserve">is foundational to their business </w:t>
      </w:r>
      <w:r w:rsidR="00E0182D" w:rsidRPr="00FA0E54">
        <w:rPr>
          <w:rFonts w:cs="Arial"/>
        </w:rPr>
        <w:t>(a franchise agreement or a fuel reselling agreement)</w:t>
      </w:r>
      <w:r w:rsidR="000A5FF4" w:rsidRPr="00FA0E54">
        <w:rPr>
          <w:rFonts w:cs="Arial"/>
        </w:rPr>
        <w:t>,</w:t>
      </w:r>
      <w:r w:rsidR="00E0182D" w:rsidRPr="00FA0E54">
        <w:rPr>
          <w:rFonts w:cs="Arial"/>
        </w:rPr>
        <w:t xml:space="preserve"> a reasonable expectation of contracting with the target franchisor or fuel wholesaler</w:t>
      </w:r>
      <w:r w:rsidRPr="00FA0E54">
        <w:rPr>
          <w:rFonts w:cs="Arial"/>
        </w:rPr>
        <w:t xml:space="preserve"> is assumed</w:t>
      </w:r>
      <w:r w:rsidR="00E0182D" w:rsidRPr="00FA0E54">
        <w:rPr>
          <w:rFonts w:cs="Arial"/>
        </w:rPr>
        <w:t xml:space="preserve">. However, franchisees and fuel retailers </w:t>
      </w:r>
      <w:r w:rsidR="00272422" w:rsidRPr="00FA0E54">
        <w:rPr>
          <w:rFonts w:cs="Arial"/>
        </w:rPr>
        <w:t xml:space="preserve">that </w:t>
      </w:r>
      <w:r w:rsidR="00A01A36" w:rsidRPr="00FA0E54">
        <w:rPr>
          <w:rFonts w:cs="Arial"/>
        </w:rPr>
        <w:t xml:space="preserve">would be relying on the exception for eligible corporation collective bargaining conduct, for example, because they are negotiating with a target other than their common franchisor or fuel </w:t>
      </w:r>
      <w:r w:rsidR="003A75DC" w:rsidRPr="00FA0E54">
        <w:rPr>
          <w:rFonts w:cs="Arial"/>
        </w:rPr>
        <w:t>wholesaler</w:t>
      </w:r>
      <w:r w:rsidR="00A01A36" w:rsidRPr="00FA0E54">
        <w:rPr>
          <w:rFonts w:cs="Arial"/>
        </w:rPr>
        <w:t xml:space="preserve">, </w:t>
      </w:r>
      <w:r w:rsidR="00E0182D" w:rsidRPr="00FA0E54">
        <w:rPr>
          <w:rFonts w:cs="Arial"/>
        </w:rPr>
        <w:t>w</w:t>
      </w:r>
      <w:r w:rsidR="00A01A36" w:rsidRPr="00FA0E54">
        <w:rPr>
          <w:rFonts w:cs="Arial"/>
        </w:rPr>
        <w:t>ill</w:t>
      </w:r>
      <w:r w:rsidR="00E0182D" w:rsidRPr="00FA0E54">
        <w:rPr>
          <w:rFonts w:cs="Arial"/>
        </w:rPr>
        <w:t xml:space="preserve"> need to satisfy the reasonable expectation test</w:t>
      </w:r>
      <w:r w:rsidR="002022DE" w:rsidRPr="00FA0E54">
        <w:rPr>
          <w:rFonts w:cs="Arial"/>
        </w:rPr>
        <w:t xml:space="preserve"> in</w:t>
      </w:r>
      <w:r w:rsidR="00E0182D" w:rsidRPr="00FA0E54">
        <w:rPr>
          <w:rFonts w:cs="Arial"/>
        </w:rPr>
        <w:t xml:space="preserve"> section 11. </w:t>
      </w:r>
    </w:p>
    <w:p w14:paraId="0EA06B27" w14:textId="446742C4" w:rsidR="007D553E" w:rsidRPr="00FA0E54" w:rsidRDefault="007D553E" w:rsidP="00502971">
      <w:pPr>
        <w:pStyle w:val="ListParagraph"/>
        <w:numPr>
          <w:ilvl w:val="0"/>
          <w:numId w:val="9"/>
        </w:numPr>
        <w:rPr>
          <w:rFonts w:cs="Arial"/>
          <w:b/>
        </w:rPr>
      </w:pPr>
      <w:r w:rsidRPr="00FA0E54">
        <w:rPr>
          <w:b/>
        </w:rPr>
        <w:t>Class exemption does not apply in relation to certain initial contracts</w:t>
      </w:r>
    </w:p>
    <w:p w14:paraId="4C3265A5" w14:textId="53CFDDED" w:rsidR="002022DE" w:rsidRPr="00FA0E54" w:rsidRDefault="00FB697F" w:rsidP="00502971">
      <w:pPr>
        <w:pStyle w:val="ListParagraph"/>
        <w:numPr>
          <w:ilvl w:val="0"/>
          <w:numId w:val="0"/>
        </w:numPr>
        <w:ind w:left="360"/>
        <w:rPr>
          <w:rFonts w:cs="Arial"/>
        </w:rPr>
      </w:pPr>
      <w:r w:rsidRPr="00FA0E54">
        <w:rPr>
          <w:rFonts w:cs="Arial"/>
        </w:rPr>
        <w:t>This s</w:t>
      </w:r>
      <w:r w:rsidR="009C10BE" w:rsidRPr="00FA0E54">
        <w:rPr>
          <w:rFonts w:cs="Arial"/>
        </w:rPr>
        <w:t xml:space="preserve">ection </w:t>
      </w:r>
      <w:r w:rsidR="00B67A81" w:rsidRPr="00FA0E54">
        <w:rPr>
          <w:rFonts w:cs="Arial"/>
        </w:rPr>
        <w:t xml:space="preserve">provides that </w:t>
      </w:r>
      <w:r w:rsidR="0099090C" w:rsidRPr="00FA0E54">
        <w:rPr>
          <w:rFonts w:cs="Arial"/>
        </w:rPr>
        <w:t>the class exemption does not provide legal protect</w:t>
      </w:r>
      <w:r w:rsidR="008C4694" w:rsidRPr="00FA0E54">
        <w:rPr>
          <w:rFonts w:cs="Arial"/>
        </w:rPr>
        <w:t>ion</w:t>
      </w:r>
      <w:r w:rsidR="0099090C" w:rsidRPr="00FA0E54">
        <w:rPr>
          <w:rFonts w:cs="Arial"/>
        </w:rPr>
        <w:t xml:space="preserve"> to </w:t>
      </w:r>
      <w:r w:rsidR="009C10BE" w:rsidRPr="00FA0E54">
        <w:rPr>
          <w:rFonts w:cs="Arial"/>
        </w:rPr>
        <w:t xml:space="preserve">a corporation engaging in </w:t>
      </w:r>
      <w:r w:rsidR="0099090C" w:rsidRPr="00FA0E54">
        <w:rPr>
          <w:rFonts w:cs="Arial"/>
        </w:rPr>
        <w:t>collective bargaining</w:t>
      </w:r>
      <w:r w:rsidR="002A5C0D" w:rsidRPr="00FA0E54">
        <w:rPr>
          <w:rFonts w:cs="Arial"/>
        </w:rPr>
        <w:t xml:space="preserve"> </w:t>
      </w:r>
      <w:r w:rsidR="00C228D2" w:rsidRPr="00FA0E54">
        <w:rPr>
          <w:rFonts w:cs="Arial"/>
        </w:rPr>
        <w:t xml:space="preserve">conduct where the ACCC has </w:t>
      </w:r>
      <w:r w:rsidR="00BD2362" w:rsidRPr="00FA0E54">
        <w:rPr>
          <w:rFonts w:cs="Arial"/>
        </w:rPr>
        <w:t>previously considered</w:t>
      </w:r>
      <w:r w:rsidR="00C228D2" w:rsidRPr="00FA0E54">
        <w:rPr>
          <w:rFonts w:cs="Arial"/>
        </w:rPr>
        <w:t xml:space="preserve"> a notification or authorisation</w:t>
      </w:r>
      <w:r w:rsidR="004D09E2" w:rsidRPr="00FA0E54">
        <w:rPr>
          <w:rFonts w:cs="Arial"/>
        </w:rPr>
        <w:t>,</w:t>
      </w:r>
      <w:r w:rsidR="00C228D2" w:rsidRPr="00FA0E54">
        <w:rPr>
          <w:rFonts w:cs="Arial"/>
        </w:rPr>
        <w:t xml:space="preserve"> and </w:t>
      </w:r>
      <w:r w:rsidR="004D09E2" w:rsidRPr="00FA0E54">
        <w:rPr>
          <w:rFonts w:cs="Arial"/>
        </w:rPr>
        <w:t xml:space="preserve">the ACCC </w:t>
      </w:r>
      <w:r w:rsidR="00C228D2" w:rsidRPr="00FA0E54">
        <w:rPr>
          <w:rFonts w:cs="Arial"/>
        </w:rPr>
        <w:t>either</w:t>
      </w:r>
      <w:r w:rsidR="00BD2362" w:rsidRPr="00FA0E54">
        <w:rPr>
          <w:rFonts w:cs="Arial"/>
        </w:rPr>
        <w:t xml:space="preserve"> </w:t>
      </w:r>
      <w:r w:rsidR="00C228D2" w:rsidRPr="00FA0E54">
        <w:rPr>
          <w:rFonts w:cs="Arial"/>
        </w:rPr>
        <w:t>revoked</w:t>
      </w:r>
      <w:r w:rsidR="004D09E2" w:rsidRPr="00FA0E54">
        <w:rPr>
          <w:rFonts w:cs="Arial"/>
        </w:rPr>
        <w:t>,</w:t>
      </w:r>
      <w:r w:rsidR="00C228D2" w:rsidRPr="00FA0E54">
        <w:rPr>
          <w:rFonts w:cs="Arial"/>
        </w:rPr>
        <w:t xml:space="preserve"> denied </w:t>
      </w:r>
      <w:r w:rsidR="004D09E2" w:rsidRPr="00FA0E54">
        <w:rPr>
          <w:rFonts w:cs="Arial"/>
        </w:rPr>
        <w:t xml:space="preserve">or proposed to deny legal protection </w:t>
      </w:r>
      <w:r w:rsidR="00C228D2" w:rsidRPr="00FA0E54">
        <w:rPr>
          <w:rFonts w:cs="Arial"/>
        </w:rPr>
        <w:t>in respect of that particular collective bargaining</w:t>
      </w:r>
      <w:r w:rsidR="00BD2362" w:rsidRPr="00FA0E54">
        <w:rPr>
          <w:rFonts w:cs="Arial"/>
        </w:rPr>
        <w:t xml:space="preserve">. </w:t>
      </w:r>
      <w:r w:rsidR="002022DE" w:rsidRPr="00FA0E54">
        <w:rPr>
          <w:rFonts w:cs="Arial"/>
        </w:rPr>
        <w:t xml:space="preserve">This requirement </w:t>
      </w:r>
      <w:r w:rsidR="000A5FF4" w:rsidRPr="00FA0E54">
        <w:rPr>
          <w:rFonts w:cs="Arial"/>
        </w:rPr>
        <w:t xml:space="preserve">is </w:t>
      </w:r>
      <w:r w:rsidR="00A01A36" w:rsidRPr="00FA0E54">
        <w:rPr>
          <w:rFonts w:cs="Arial"/>
        </w:rPr>
        <w:t xml:space="preserve">consistent with </w:t>
      </w:r>
      <w:r w:rsidR="002022DE" w:rsidRPr="00FA0E54">
        <w:rPr>
          <w:rFonts w:cs="Arial"/>
        </w:rPr>
        <w:t>section 93AB(9</w:t>
      </w:r>
      <w:r w:rsidR="00B67A81" w:rsidRPr="00FA0E54">
        <w:rPr>
          <w:rFonts w:cs="Arial"/>
        </w:rPr>
        <w:t xml:space="preserve">). </w:t>
      </w:r>
    </w:p>
    <w:p w14:paraId="5A887AD3" w14:textId="18B0E78B" w:rsidR="009C10BE" w:rsidRPr="00FA0E54" w:rsidRDefault="008E1FEA" w:rsidP="00502971">
      <w:pPr>
        <w:pStyle w:val="ListParagraph"/>
        <w:numPr>
          <w:ilvl w:val="0"/>
          <w:numId w:val="0"/>
        </w:numPr>
        <w:ind w:left="360"/>
        <w:rPr>
          <w:rFonts w:cs="Arial"/>
        </w:rPr>
      </w:pPr>
      <w:r w:rsidRPr="00FA0E54">
        <w:rPr>
          <w:rFonts w:cs="Arial"/>
        </w:rPr>
        <w:t>In particular,</w:t>
      </w:r>
      <w:r w:rsidR="00BD2362" w:rsidRPr="00FA0E54">
        <w:rPr>
          <w:rFonts w:cs="Arial"/>
        </w:rPr>
        <w:t xml:space="preserve"> the class exemption will not apply </w:t>
      </w:r>
      <w:r w:rsidR="00A01A36" w:rsidRPr="00FA0E54">
        <w:rPr>
          <w:rFonts w:cs="Arial"/>
        </w:rPr>
        <w:t xml:space="preserve">in respect of collective bargaining conduct where </w:t>
      </w:r>
      <w:r w:rsidRPr="00FA0E54">
        <w:rPr>
          <w:rFonts w:cs="Arial"/>
        </w:rPr>
        <w:t>a</w:t>
      </w:r>
      <w:r w:rsidR="0099090C" w:rsidRPr="00FA0E54">
        <w:rPr>
          <w:rFonts w:cs="Arial"/>
        </w:rPr>
        <w:t xml:space="preserve"> person</w:t>
      </w:r>
      <w:r w:rsidRPr="00FA0E54">
        <w:rPr>
          <w:rFonts w:cs="Arial"/>
        </w:rPr>
        <w:t xml:space="preserve"> has</w:t>
      </w:r>
      <w:r w:rsidR="00B67A81" w:rsidRPr="00FA0E54">
        <w:rPr>
          <w:rFonts w:cs="Arial"/>
        </w:rPr>
        <w:t xml:space="preserve"> previously</w:t>
      </w:r>
      <w:r w:rsidRPr="00FA0E54">
        <w:rPr>
          <w:rFonts w:cs="Arial"/>
        </w:rPr>
        <w:t xml:space="preserve"> applied for </w:t>
      </w:r>
      <w:r w:rsidRPr="00FA0E54">
        <w:rPr>
          <w:rFonts w:cs="Arial"/>
          <w:b/>
        </w:rPr>
        <w:t>authorisation</w:t>
      </w:r>
      <w:r w:rsidRPr="00FA0E54">
        <w:rPr>
          <w:rFonts w:cs="Arial"/>
        </w:rPr>
        <w:t xml:space="preserve"> in relation to th</w:t>
      </w:r>
      <w:r w:rsidR="00A01A36" w:rsidRPr="00FA0E54">
        <w:rPr>
          <w:rFonts w:cs="Arial"/>
        </w:rPr>
        <w:t>e relevant</w:t>
      </w:r>
      <w:r w:rsidRPr="00FA0E54">
        <w:rPr>
          <w:rFonts w:cs="Arial"/>
        </w:rPr>
        <w:t xml:space="preserve"> initial contract and</w:t>
      </w:r>
      <w:r w:rsidR="009C10BE" w:rsidRPr="00FA0E54">
        <w:rPr>
          <w:rFonts w:cs="Arial"/>
        </w:rPr>
        <w:t xml:space="preserve">: </w:t>
      </w:r>
    </w:p>
    <w:p w14:paraId="4B35F04F" w14:textId="1B07F5F9" w:rsidR="00BD2362" w:rsidRPr="00FA0E54" w:rsidRDefault="005F358B" w:rsidP="00502971">
      <w:pPr>
        <w:pStyle w:val="ListParagraph"/>
        <w:numPr>
          <w:ilvl w:val="0"/>
          <w:numId w:val="10"/>
        </w:numPr>
        <w:rPr>
          <w:rFonts w:cs="Arial"/>
        </w:rPr>
      </w:pPr>
      <w:r w:rsidRPr="00FA0E54">
        <w:rPr>
          <w:rFonts w:cs="Arial"/>
        </w:rPr>
        <w:t xml:space="preserve">the ACCC has </w:t>
      </w:r>
      <w:r w:rsidR="00BD2362" w:rsidRPr="00FA0E54">
        <w:rPr>
          <w:rFonts w:cs="Arial"/>
        </w:rPr>
        <w:t>made a det</w:t>
      </w:r>
      <w:r w:rsidR="00B67A81" w:rsidRPr="00FA0E54">
        <w:rPr>
          <w:rFonts w:cs="Arial"/>
        </w:rPr>
        <w:t xml:space="preserve">ermination denying </w:t>
      </w:r>
      <w:r w:rsidR="00913F21" w:rsidRPr="00FA0E54">
        <w:rPr>
          <w:rFonts w:cs="Arial"/>
        </w:rPr>
        <w:t xml:space="preserve">the application </w:t>
      </w:r>
      <w:r w:rsidR="00B67A81" w:rsidRPr="00FA0E54">
        <w:rPr>
          <w:rFonts w:cs="Arial"/>
        </w:rPr>
        <w:t>or revoking the</w:t>
      </w:r>
      <w:r w:rsidR="00BD2362" w:rsidRPr="00FA0E54">
        <w:rPr>
          <w:rFonts w:cs="Arial"/>
        </w:rPr>
        <w:t xml:space="preserve"> </w:t>
      </w:r>
      <w:r w:rsidR="00913F21" w:rsidRPr="00FA0E54">
        <w:rPr>
          <w:rFonts w:cs="Arial"/>
        </w:rPr>
        <w:t>authorisation</w:t>
      </w:r>
      <w:r w:rsidR="00BD2362" w:rsidRPr="00FA0E54">
        <w:rPr>
          <w:rFonts w:cs="Arial"/>
        </w:rPr>
        <w:t>, and</w:t>
      </w:r>
      <w:r w:rsidR="00BD2362" w:rsidRPr="00FA0E54">
        <w:rPr>
          <w:rFonts w:cs="Arial"/>
          <w:i/>
        </w:rPr>
        <w:t xml:space="preserve"> </w:t>
      </w:r>
      <w:r w:rsidR="00BD2362" w:rsidRPr="00FA0E54">
        <w:rPr>
          <w:rFonts w:cs="Arial"/>
        </w:rPr>
        <w:t>the applicant did not apply for Tribunal review or did apply for Tribunal review but the Tribunal affirmed or varied (without setting as</w:t>
      </w:r>
      <w:r w:rsidR="008E1FEA" w:rsidRPr="00FA0E54">
        <w:rPr>
          <w:rFonts w:cs="Arial"/>
        </w:rPr>
        <w:t>ide) the ACCC’s decision (</w:t>
      </w:r>
      <w:r w:rsidR="00BD2362" w:rsidRPr="00FA0E54">
        <w:rPr>
          <w:rFonts w:cs="Arial"/>
        </w:rPr>
        <w:t xml:space="preserve">section </w:t>
      </w:r>
      <w:r w:rsidR="008E1FEA" w:rsidRPr="00FA0E54">
        <w:rPr>
          <w:rFonts w:cs="Arial"/>
        </w:rPr>
        <w:t>12(2))</w:t>
      </w:r>
      <w:r w:rsidR="00B67A81" w:rsidRPr="00FA0E54">
        <w:rPr>
          <w:rFonts w:cs="Arial"/>
        </w:rPr>
        <w:t xml:space="preserve">, or </w:t>
      </w:r>
    </w:p>
    <w:p w14:paraId="35906B0B" w14:textId="038382BB" w:rsidR="008E1FEA" w:rsidRPr="00FA0E54" w:rsidRDefault="008E1FEA" w:rsidP="00502971">
      <w:pPr>
        <w:pStyle w:val="ListParagraph"/>
        <w:numPr>
          <w:ilvl w:val="0"/>
          <w:numId w:val="10"/>
        </w:numPr>
        <w:rPr>
          <w:rFonts w:cs="Arial"/>
        </w:rPr>
      </w:pPr>
      <w:r w:rsidRPr="00FA0E54">
        <w:rPr>
          <w:rFonts w:cs="Arial"/>
        </w:rPr>
        <w:t xml:space="preserve">the ACCC has </w:t>
      </w:r>
      <w:r w:rsidR="00913F21" w:rsidRPr="00FA0E54">
        <w:rPr>
          <w:rFonts w:cs="Arial"/>
        </w:rPr>
        <w:t xml:space="preserve">issued a draft determination </w:t>
      </w:r>
      <w:r w:rsidR="00BD2362" w:rsidRPr="00FA0E54">
        <w:rPr>
          <w:rFonts w:cs="Arial"/>
        </w:rPr>
        <w:t>propos</w:t>
      </w:r>
      <w:r w:rsidR="00913F21" w:rsidRPr="00FA0E54">
        <w:rPr>
          <w:rFonts w:cs="Arial"/>
        </w:rPr>
        <w:t>ing</w:t>
      </w:r>
      <w:r w:rsidR="00BD2362" w:rsidRPr="00FA0E54">
        <w:rPr>
          <w:rFonts w:cs="Arial"/>
        </w:rPr>
        <w:t xml:space="preserve"> to deny </w:t>
      </w:r>
      <w:r w:rsidR="00B67A81" w:rsidRPr="00FA0E54">
        <w:rPr>
          <w:rFonts w:cs="Arial"/>
        </w:rPr>
        <w:t>the</w:t>
      </w:r>
      <w:r w:rsidR="00BD2362" w:rsidRPr="00FA0E54">
        <w:rPr>
          <w:rFonts w:cs="Arial"/>
        </w:rPr>
        <w:t xml:space="preserve"> application</w:t>
      </w:r>
      <w:r w:rsidRPr="00FA0E54">
        <w:rPr>
          <w:rFonts w:cs="Arial"/>
        </w:rPr>
        <w:t xml:space="preserve"> </w:t>
      </w:r>
      <w:r w:rsidR="00BD2362" w:rsidRPr="00FA0E54">
        <w:rPr>
          <w:rFonts w:cs="Arial"/>
        </w:rPr>
        <w:t>and the applicant has subsequently withdrawn</w:t>
      </w:r>
      <w:r w:rsidRPr="00FA0E54">
        <w:rPr>
          <w:rFonts w:cs="Arial"/>
        </w:rPr>
        <w:t xml:space="preserve"> </w:t>
      </w:r>
      <w:r w:rsidR="00913F21" w:rsidRPr="00FA0E54">
        <w:rPr>
          <w:rFonts w:cs="Arial"/>
        </w:rPr>
        <w:t xml:space="preserve">the application </w:t>
      </w:r>
      <w:r w:rsidRPr="00FA0E54">
        <w:rPr>
          <w:rFonts w:cs="Arial"/>
        </w:rPr>
        <w:t>(section 12(</w:t>
      </w:r>
      <w:r w:rsidR="008A25E7" w:rsidRPr="00FA0E54">
        <w:rPr>
          <w:rFonts w:cs="Arial"/>
        </w:rPr>
        <w:t>3</w:t>
      </w:r>
      <w:r w:rsidRPr="00FA0E54">
        <w:rPr>
          <w:rFonts w:cs="Arial"/>
        </w:rPr>
        <w:t>)</w:t>
      </w:r>
      <w:r w:rsidR="00D63744" w:rsidRPr="00FA0E54">
        <w:rPr>
          <w:rFonts w:cs="Arial"/>
        </w:rPr>
        <w:t>)</w:t>
      </w:r>
      <w:r w:rsidR="00B67A81" w:rsidRPr="00FA0E54">
        <w:rPr>
          <w:rFonts w:cs="Arial"/>
        </w:rPr>
        <w:t>.</w:t>
      </w:r>
    </w:p>
    <w:p w14:paraId="432ECCC2" w14:textId="62F6BD91" w:rsidR="00B67A81" w:rsidRPr="00FA0E54" w:rsidRDefault="00B67A81" w:rsidP="00502971">
      <w:pPr>
        <w:pStyle w:val="ListParagraph"/>
        <w:numPr>
          <w:ilvl w:val="0"/>
          <w:numId w:val="0"/>
        </w:numPr>
        <w:ind w:left="360"/>
        <w:rPr>
          <w:rFonts w:cs="Arial"/>
        </w:rPr>
      </w:pPr>
      <w:r w:rsidRPr="00FA0E54">
        <w:rPr>
          <w:rFonts w:cs="Arial"/>
        </w:rPr>
        <w:lastRenderedPageBreak/>
        <w:t xml:space="preserve">The class exemption will also not apply to </w:t>
      </w:r>
      <w:r w:rsidR="00A01A36" w:rsidRPr="00FA0E54">
        <w:rPr>
          <w:rFonts w:cs="Arial"/>
        </w:rPr>
        <w:t>collective bargaining conduct</w:t>
      </w:r>
      <w:r w:rsidRPr="00FA0E54">
        <w:rPr>
          <w:rFonts w:cs="Arial"/>
        </w:rPr>
        <w:t xml:space="preserve"> where an applicant has previously lodged a collective bargaining </w:t>
      </w:r>
      <w:r w:rsidRPr="00FA0E54">
        <w:rPr>
          <w:rFonts w:cs="Arial"/>
          <w:b/>
        </w:rPr>
        <w:t>notification</w:t>
      </w:r>
      <w:r w:rsidRPr="00FA0E54">
        <w:rPr>
          <w:rFonts w:cs="Arial"/>
        </w:rPr>
        <w:t xml:space="preserve"> in relation to th</w:t>
      </w:r>
      <w:r w:rsidR="00A01A36" w:rsidRPr="00FA0E54">
        <w:rPr>
          <w:rFonts w:cs="Arial"/>
        </w:rPr>
        <w:t>e relevant</w:t>
      </w:r>
      <w:r w:rsidRPr="00FA0E54">
        <w:rPr>
          <w:rFonts w:cs="Arial"/>
        </w:rPr>
        <w:t xml:space="preserve"> initial contract and: </w:t>
      </w:r>
    </w:p>
    <w:p w14:paraId="05BCA937" w14:textId="2ED35DCF" w:rsidR="008E1FEA" w:rsidRPr="00FA0E54" w:rsidRDefault="00364933" w:rsidP="00502971">
      <w:pPr>
        <w:pStyle w:val="ListParagraph"/>
        <w:numPr>
          <w:ilvl w:val="0"/>
          <w:numId w:val="10"/>
        </w:numPr>
        <w:rPr>
          <w:rFonts w:cs="Arial"/>
        </w:rPr>
      </w:pPr>
      <w:r w:rsidRPr="00FA0E54">
        <w:rPr>
          <w:rFonts w:cs="Arial"/>
        </w:rPr>
        <w:t>the ACCC has given an objection notice</w:t>
      </w:r>
      <w:r w:rsidR="00B67A81" w:rsidRPr="00FA0E54">
        <w:rPr>
          <w:rFonts w:cs="Arial"/>
        </w:rPr>
        <w:t xml:space="preserve"> in relation to the notification</w:t>
      </w:r>
      <w:r w:rsidRPr="00FA0E54">
        <w:rPr>
          <w:rFonts w:cs="Arial"/>
        </w:rPr>
        <w:t>, and the applicant did not apply for Tribunal review or did apply for Tribunal review but the Tribunal affirmed the objection notice</w:t>
      </w:r>
      <w:r w:rsidR="008E1FEA" w:rsidRPr="00FA0E54">
        <w:rPr>
          <w:rFonts w:cs="Arial"/>
        </w:rPr>
        <w:t xml:space="preserve"> (section 12(</w:t>
      </w:r>
      <w:r w:rsidR="008A25E7" w:rsidRPr="00FA0E54">
        <w:rPr>
          <w:rFonts w:cs="Arial"/>
        </w:rPr>
        <w:t>4</w:t>
      </w:r>
      <w:r w:rsidR="008E1FEA" w:rsidRPr="00FA0E54">
        <w:rPr>
          <w:rFonts w:cs="Arial"/>
        </w:rPr>
        <w:t xml:space="preserve">)), or </w:t>
      </w:r>
      <w:r w:rsidRPr="00FA0E54">
        <w:rPr>
          <w:rFonts w:cs="Arial"/>
        </w:rPr>
        <w:t xml:space="preserve"> </w:t>
      </w:r>
    </w:p>
    <w:p w14:paraId="74B8F359" w14:textId="7DC2AAE2" w:rsidR="00BD2362" w:rsidRPr="00FA0E54" w:rsidRDefault="00B67A81" w:rsidP="00502971">
      <w:pPr>
        <w:pStyle w:val="ListParagraph"/>
        <w:numPr>
          <w:ilvl w:val="0"/>
          <w:numId w:val="10"/>
        </w:numPr>
        <w:rPr>
          <w:rFonts w:cs="Arial"/>
        </w:rPr>
      </w:pPr>
      <w:r w:rsidRPr="00FA0E54">
        <w:rPr>
          <w:rFonts w:cs="Arial"/>
        </w:rPr>
        <w:t>the</w:t>
      </w:r>
      <w:r w:rsidR="00364933" w:rsidRPr="00FA0E54">
        <w:rPr>
          <w:rFonts w:cs="Arial"/>
        </w:rPr>
        <w:t xml:space="preserve"> no</w:t>
      </w:r>
      <w:r w:rsidR="008E1FEA" w:rsidRPr="00FA0E54">
        <w:rPr>
          <w:rFonts w:cs="Arial"/>
        </w:rPr>
        <w:t>tification has been withdrawn under s</w:t>
      </w:r>
      <w:r w:rsidR="00177F30" w:rsidRPr="00FA0E54">
        <w:rPr>
          <w:rFonts w:cs="Arial"/>
        </w:rPr>
        <w:t>ection</w:t>
      </w:r>
      <w:r w:rsidR="008E1FEA" w:rsidRPr="00FA0E54">
        <w:rPr>
          <w:rFonts w:cs="Arial"/>
        </w:rPr>
        <w:t xml:space="preserve"> 93AE of the </w:t>
      </w:r>
      <w:r w:rsidR="000528BC" w:rsidRPr="00FA0E54">
        <w:rPr>
          <w:rFonts w:cs="Arial"/>
        </w:rPr>
        <w:t>CCA</w:t>
      </w:r>
      <w:r w:rsidR="008E1FEA" w:rsidRPr="00FA0E54">
        <w:rPr>
          <w:rFonts w:cs="Arial"/>
        </w:rPr>
        <w:t xml:space="preserve"> (section 12(</w:t>
      </w:r>
      <w:r w:rsidR="008A25E7" w:rsidRPr="00FA0E54">
        <w:rPr>
          <w:rFonts w:cs="Arial"/>
        </w:rPr>
        <w:t>5</w:t>
      </w:r>
      <w:r w:rsidR="008E1FEA" w:rsidRPr="00FA0E54">
        <w:rPr>
          <w:rFonts w:cs="Arial"/>
        </w:rPr>
        <w:t>)).</w:t>
      </w:r>
    </w:p>
    <w:p w14:paraId="04B55396" w14:textId="411161BC" w:rsidR="007D553E" w:rsidRPr="00FA0E54" w:rsidRDefault="00273299" w:rsidP="00502971">
      <w:pPr>
        <w:pStyle w:val="ListParagraph"/>
        <w:numPr>
          <w:ilvl w:val="0"/>
          <w:numId w:val="9"/>
        </w:numPr>
        <w:rPr>
          <w:rFonts w:cs="Arial"/>
          <w:b/>
        </w:rPr>
      </w:pPr>
      <w:r w:rsidRPr="00FA0E54">
        <w:rPr>
          <w:b/>
        </w:rPr>
        <w:t>Only s</w:t>
      </w:r>
      <w:r w:rsidR="007D553E" w:rsidRPr="00FA0E54">
        <w:rPr>
          <w:b/>
        </w:rPr>
        <w:t xml:space="preserve">haring of </w:t>
      </w:r>
      <w:r w:rsidRPr="00FA0E54">
        <w:rPr>
          <w:b/>
        </w:rPr>
        <w:t xml:space="preserve">certain </w:t>
      </w:r>
      <w:r w:rsidR="007D553E" w:rsidRPr="00FA0E54">
        <w:rPr>
          <w:b/>
        </w:rPr>
        <w:t xml:space="preserve">information permitted </w:t>
      </w:r>
    </w:p>
    <w:p w14:paraId="278BE7A8" w14:textId="403CD42C" w:rsidR="00EB1BB4" w:rsidRPr="00FA0E54" w:rsidRDefault="005D2CF2" w:rsidP="00502971">
      <w:pPr>
        <w:pStyle w:val="ListParagraph"/>
        <w:numPr>
          <w:ilvl w:val="0"/>
          <w:numId w:val="0"/>
        </w:numPr>
        <w:ind w:left="360"/>
      </w:pPr>
      <w:r w:rsidRPr="00FA0E54">
        <w:t>This s</w:t>
      </w:r>
      <w:r w:rsidR="00364933" w:rsidRPr="00FA0E54">
        <w:t xml:space="preserve">ection provides that </w:t>
      </w:r>
      <w:r w:rsidR="000528BC" w:rsidRPr="00FA0E54">
        <w:t xml:space="preserve">legal protection </w:t>
      </w:r>
      <w:r w:rsidR="00A01A36" w:rsidRPr="00FA0E54">
        <w:t xml:space="preserve">conferred by section 7 </w:t>
      </w:r>
      <w:r w:rsidR="000528BC" w:rsidRPr="00FA0E54">
        <w:t xml:space="preserve">extends to </w:t>
      </w:r>
      <w:r w:rsidR="00EB1BB4" w:rsidRPr="00FA0E54">
        <w:t>a corporation shar</w:t>
      </w:r>
      <w:r w:rsidR="000528BC" w:rsidRPr="00FA0E54">
        <w:t xml:space="preserve">ing </w:t>
      </w:r>
      <w:r w:rsidR="000C64DB" w:rsidRPr="00FA0E54">
        <w:t>with other contracting parties</w:t>
      </w:r>
      <w:r w:rsidR="000A5FF4" w:rsidRPr="00FA0E54">
        <w:t>, or using information so shared,</w:t>
      </w:r>
      <w:r w:rsidR="000528BC" w:rsidRPr="00FA0E54">
        <w:t xml:space="preserve"> </w:t>
      </w:r>
      <w:r w:rsidR="00EB1BB4" w:rsidRPr="00FA0E54">
        <w:t xml:space="preserve">if any information that it shares with other contracting parties, </w:t>
      </w:r>
      <w:r w:rsidR="00D52ABF" w:rsidRPr="00FA0E54">
        <w:t>and any</w:t>
      </w:r>
      <w:r w:rsidR="00EB1BB4" w:rsidRPr="00FA0E54">
        <w:t xml:space="preserve"> information </w:t>
      </w:r>
      <w:r w:rsidR="00D52ABF" w:rsidRPr="00FA0E54">
        <w:t xml:space="preserve">that </w:t>
      </w:r>
      <w:r w:rsidR="00EB1BB4" w:rsidRPr="00FA0E54">
        <w:t xml:space="preserve">it uses </w:t>
      </w:r>
      <w:r w:rsidR="00D52ABF" w:rsidRPr="00FA0E54">
        <w:t>which</w:t>
      </w:r>
      <w:r w:rsidR="00EB1BB4" w:rsidRPr="00FA0E54">
        <w:t xml:space="preserve"> has been shared by contracting parties: </w:t>
      </w:r>
    </w:p>
    <w:p w14:paraId="0461FD54" w14:textId="510F0755" w:rsidR="00EB1BB4" w:rsidRPr="00FA0E54" w:rsidRDefault="00D52ABF" w:rsidP="00502971">
      <w:pPr>
        <w:pStyle w:val="ListParagraph"/>
        <w:numPr>
          <w:ilvl w:val="0"/>
          <w:numId w:val="10"/>
        </w:numPr>
      </w:pPr>
      <w:r w:rsidRPr="00FA0E54">
        <w:t>is shared or used to</w:t>
      </w:r>
      <w:r w:rsidR="00EB1BB4" w:rsidRPr="00FA0E54">
        <w:t xml:space="preserve"> engage in the collective bargaining</w:t>
      </w:r>
      <w:r w:rsidRPr="00FA0E54">
        <w:t xml:space="preserve"> conduct specified in section 7, and </w:t>
      </w:r>
    </w:p>
    <w:p w14:paraId="4A05597B" w14:textId="78B6328C" w:rsidR="00364933" w:rsidRPr="00FA0E54" w:rsidRDefault="00D52ABF" w:rsidP="00502971">
      <w:pPr>
        <w:pStyle w:val="ListParagraph"/>
        <w:numPr>
          <w:ilvl w:val="0"/>
          <w:numId w:val="10"/>
        </w:numPr>
      </w:pPr>
      <w:r w:rsidRPr="00FA0E54">
        <w:t xml:space="preserve">the corporation </w:t>
      </w:r>
      <w:r w:rsidR="000C64DB" w:rsidRPr="00FA0E54">
        <w:t>believe</w:t>
      </w:r>
      <w:r w:rsidR="00EB1BB4" w:rsidRPr="00FA0E54">
        <w:t>s that it</w:t>
      </w:r>
      <w:r w:rsidR="00502971" w:rsidRPr="00FA0E54">
        <w:t xml:space="preserve"> is </w:t>
      </w:r>
      <w:r w:rsidR="00194CB4" w:rsidRPr="00FA0E54">
        <w:t xml:space="preserve">reasonably </w:t>
      </w:r>
      <w:r w:rsidR="00502971" w:rsidRPr="00FA0E54">
        <w:t>necessary to share or use that information in order to facilitate it engaging in that conduct</w:t>
      </w:r>
      <w:r w:rsidR="00EB1BB4" w:rsidRPr="00FA0E54">
        <w:t xml:space="preserve"> </w:t>
      </w:r>
      <w:r w:rsidR="000C64DB" w:rsidRPr="00FA0E54">
        <w:t xml:space="preserve">. </w:t>
      </w:r>
    </w:p>
    <w:p w14:paraId="189EE350" w14:textId="2181905C" w:rsidR="000528BC" w:rsidRPr="00FA0E54" w:rsidRDefault="00562D6A" w:rsidP="00502971">
      <w:pPr>
        <w:pStyle w:val="ListParagraph"/>
        <w:numPr>
          <w:ilvl w:val="0"/>
          <w:numId w:val="0"/>
        </w:numPr>
        <w:ind w:left="360"/>
      </w:pPr>
      <w:r w:rsidRPr="00FA0E54">
        <w:t xml:space="preserve">The class exemption </w:t>
      </w:r>
      <w:r w:rsidR="00234BD8" w:rsidRPr="00FA0E54">
        <w:t xml:space="preserve">does </w:t>
      </w:r>
      <w:r w:rsidRPr="00FA0E54">
        <w:t>not extend to conduct by</w:t>
      </w:r>
      <w:r w:rsidR="000528BC" w:rsidRPr="00FA0E54">
        <w:t xml:space="preserve"> a corporation</w:t>
      </w:r>
      <w:r w:rsidRPr="00FA0E54">
        <w:t xml:space="preserve"> in</w:t>
      </w:r>
      <w:r w:rsidR="000528BC" w:rsidRPr="00FA0E54">
        <w:t xml:space="preserve"> sharing commercially sensitive information beyond that </w:t>
      </w:r>
      <w:r w:rsidR="00194CB4" w:rsidRPr="00FA0E54">
        <w:t xml:space="preserve">which it believes is reasonably </w:t>
      </w:r>
      <w:r w:rsidR="000528BC" w:rsidRPr="00FA0E54">
        <w:t xml:space="preserve">necessary to facilitate the collective bargaining the subject of the Notice provided to the ACCC. </w:t>
      </w:r>
    </w:p>
    <w:p w14:paraId="409293D2" w14:textId="76D5CE73" w:rsidR="000528BC" w:rsidRPr="00FA0E54" w:rsidRDefault="000528BC" w:rsidP="00502971">
      <w:pPr>
        <w:pStyle w:val="ListParagraph"/>
        <w:numPr>
          <w:ilvl w:val="0"/>
          <w:numId w:val="0"/>
        </w:numPr>
        <w:ind w:left="360"/>
      </w:pPr>
      <w:r w:rsidRPr="00FA0E54">
        <w:t>For example,</w:t>
      </w:r>
      <w:r w:rsidR="00BB1C34" w:rsidRPr="00FA0E54">
        <w:t xml:space="preserve"> it is unlikely that members of an energy buying group would believe </w:t>
      </w:r>
      <w:r w:rsidR="00AC28D0" w:rsidRPr="00FA0E54">
        <w:t xml:space="preserve">that it would be </w:t>
      </w:r>
      <w:r w:rsidR="00194CB4" w:rsidRPr="00FA0E54">
        <w:t xml:space="preserve">reasonably </w:t>
      </w:r>
      <w:r w:rsidR="00AC28D0" w:rsidRPr="00FA0E54">
        <w:t>necessary for them to</w:t>
      </w:r>
      <w:r w:rsidR="00BB1C34" w:rsidRPr="00FA0E54">
        <w:t xml:space="preserve"> </w:t>
      </w:r>
      <w:r w:rsidRPr="00FA0E54">
        <w:t>shar</w:t>
      </w:r>
      <w:r w:rsidR="00AC28D0" w:rsidRPr="00FA0E54">
        <w:t>e</w:t>
      </w:r>
      <w:r w:rsidRPr="00FA0E54">
        <w:t xml:space="preserve"> information with each other about the prices they intend to charge their customers for the goods they sell</w:t>
      </w:r>
      <w:r w:rsidR="00AC28D0" w:rsidRPr="00FA0E54">
        <w:t>, in order to facilitate the collective bargaining process</w:t>
      </w:r>
      <w:r w:rsidRPr="00FA0E54">
        <w:t xml:space="preserve">. </w:t>
      </w:r>
    </w:p>
    <w:p w14:paraId="59F7549A" w14:textId="035E0133" w:rsidR="00EB1BB4" w:rsidRPr="00FA0E54" w:rsidRDefault="000528BC" w:rsidP="00502971">
      <w:pPr>
        <w:pStyle w:val="ListParagraph"/>
        <w:numPr>
          <w:ilvl w:val="0"/>
          <w:numId w:val="0"/>
        </w:numPr>
        <w:ind w:left="360"/>
      </w:pPr>
      <w:r w:rsidRPr="00FA0E54">
        <w:t>Businesses proposing to engage in information sharing beyond that</w:t>
      </w:r>
      <w:r w:rsidR="00BB1C34" w:rsidRPr="00FA0E54">
        <w:t xml:space="preserve"> which they believe</w:t>
      </w:r>
      <w:r w:rsidRPr="00FA0E54">
        <w:t xml:space="preserve"> </w:t>
      </w:r>
      <w:r w:rsidR="00194CB4" w:rsidRPr="00FA0E54">
        <w:t xml:space="preserve">is reasonably </w:t>
      </w:r>
      <w:r w:rsidRPr="00FA0E54">
        <w:t xml:space="preserve">necessary to facilitate collective bargaining </w:t>
      </w:r>
      <w:r w:rsidR="00562D6A" w:rsidRPr="00FA0E54">
        <w:t xml:space="preserve">may wish to </w:t>
      </w:r>
      <w:r w:rsidRPr="00FA0E54">
        <w:t xml:space="preserve">apply for authorisation </w:t>
      </w:r>
      <w:r w:rsidR="00562D6A" w:rsidRPr="00FA0E54">
        <w:t>of</w:t>
      </w:r>
      <w:r w:rsidRPr="00FA0E54">
        <w:t xml:space="preserve"> that conduct.</w:t>
      </w:r>
    </w:p>
    <w:p w14:paraId="360D7CA4" w14:textId="77777777" w:rsidR="000333FF" w:rsidRPr="00FA0E54" w:rsidRDefault="000333FF" w:rsidP="00502971">
      <w:pPr>
        <w:spacing w:before="120" w:after="0"/>
        <w:rPr>
          <w:rFonts w:ascii="Arial" w:hAnsi="Arial" w:cs="Arial"/>
          <w:b/>
        </w:rPr>
      </w:pPr>
      <w:r w:rsidRPr="00FA0E54">
        <w:rPr>
          <w:rFonts w:ascii="Arial" w:hAnsi="Arial" w:cs="Arial"/>
          <w:b/>
        </w:rPr>
        <w:br w:type="page"/>
      </w:r>
    </w:p>
    <w:p w14:paraId="106D6A4B" w14:textId="77777777" w:rsidR="00B504B6" w:rsidRPr="00FA0E54" w:rsidRDefault="00B504B6" w:rsidP="00A85B11">
      <w:pPr>
        <w:jc w:val="center"/>
        <w:rPr>
          <w:rFonts w:ascii="Arial" w:hAnsi="Arial" w:cs="Arial"/>
          <w:b/>
          <w:sz w:val="24"/>
        </w:rPr>
      </w:pPr>
      <w:r w:rsidRPr="00FA0E54">
        <w:rPr>
          <w:rFonts w:ascii="Arial" w:hAnsi="Arial" w:cs="Arial"/>
          <w:b/>
          <w:sz w:val="24"/>
        </w:rPr>
        <w:lastRenderedPageBreak/>
        <w:t xml:space="preserve">STATEMENT OF COMPATIBILITY WITH HUMAN RIGHTS </w:t>
      </w:r>
    </w:p>
    <w:p w14:paraId="50937B57" w14:textId="77777777" w:rsidR="00B504B6" w:rsidRPr="00FA0E54" w:rsidRDefault="00B504B6" w:rsidP="005109C8">
      <w:pPr>
        <w:rPr>
          <w:rFonts w:ascii="Arial" w:hAnsi="Arial" w:cs="Arial"/>
          <w:i/>
        </w:rPr>
      </w:pPr>
      <w:r w:rsidRPr="00FA0E54">
        <w:rPr>
          <w:rFonts w:ascii="Arial" w:hAnsi="Arial" w:cs="Arial"/>
          <w:i/>
        </w:rPr>
        <w:t>Prepared in accordance with Part 3 of the Human Rights (Parliamentary Scrutiny) Act 2011</w:t>
      </w:r>
    </w:p>
    <w:p w14:paraId="44EF8602" w14:textId="77777777" w:rsidR="00B504B6" w:rsidRPr="00FA0E54" w:rsidRDefault="00B504B6" w:rsidP="005109C8">
      <w:pPr>
        <w:rPr>
          <w:rFonts w:ascii="Arial" w:hAnsi="Arial" w:cs="Arial"/>
          <w:i/>
        </w:rPr>
      </w:pPr>
    </w:p>
    <w:p w14:paraId="33F4C68E" w14:textId="7191FA51" w:rsidR="00B504B6" w:rsidRPr="00FA0E54" w:rsidRDefault="00B504B6" w:rsidP="000333FF">
      <w:pPr>
        <w:jc w:val="center"/>
        <w:rPr>
          <w:rFonts w:ascii="Arial" w:hAnsi="Arial" w:cs="Arial"/>
          <w:b/>
        </w:rPr>
      </w:pPr>
      <w:r w:rsidRPr="00FA0E54">
        <w:rPr>
          <w:rFonts w:ascii="Arial" w:hAnsi="Arial" w:cs="Arial"/>
          <w:b/>
        </w:rPr>
        <w:t>Competition and Consumer (Class Exemption—Collective Bargaining) Determination 2020</w:t>
      </w:r>
    </w:p>
    <w:p w14:paraId="50720888" w14:textId="77777777" w:rsidR="00B504B6" w:rsidRPr="00FA0E54" w:rsidRDefault="00B504B6" w:rsidP="000333FF">
      <w:pPr>
        <w:jc w:val="center"/>
        <w:rPr>
          <w:rFonts w:ascii="Arial" w:hAnsi="Arial" w:cs="Arial"/>
          <w:b/>
        </w:rPr>
      </w:pPr>
    </w:p>
    <w:p w14:paraId="41BE262B" w14:textId="77777777" w:rsidR="00B504B6" w:rsidRPr="00FA0E54" w:rsidRDefault="00B504B6" w:rsidP="002965F9">
      <w:pPr>
        <w:jc w:val="center"/>
        <w:rPr>
          <w:rFonts w:ascii="Arial" w:hAnsi="Arial" w:cs="Arial"/>
        </w:rPr>
      </w:pPr>
      <w:r w:rsidRPr="00FA0E54">
        <w:rPr>
          <w:rFonts w:ascii="Arial" w:hAnsi="Arial" w:cs="Arial"/>
        </w:rPr>
        <w:t xml:space="preserve">This Disallowable Legislative is compatible with the human rights and freedoms recognised or declared in the international instruments listed in section 3 of the </w:t>
      </w:r>
      <w:r w:rsidRPr="00FA0E54">
        <w:rPr>
          <w:rFonts w:ascii="Arial" w:hAnsi="Arial" w:cs="Arial"/>
          <w:i/>
        </w:rPr>
        <w:t>Human Rights (Parliamentary Scrutiny) Act 2011</w:t>
      </w:r>
      <w:r w:rsidRPr="00FA0E54">
        <w:rPr>
          <w:rFonts w:ascii="Arial" w:hAnsi="Arial" w:cs="Arial"/>
        </w:rPr>
        <w:t>.</w:t>
      </w:r>
    </w:p>
    <w:p w14:paraId="36CB1484" w14:textId="77777777" w:rsidR="00B504B6" w:rsidRPr="00FA0E54" w:rsidRDefault="00B504B6" w:rsidP="002965F9">
      <w:pPr>
        <w:jc w:val="center"/>
        <w:rPr>
          <w:rFonts w:ascii="Arial" w:hAnsi="Arial" w:cs="Arial"/>
          <w:b/>
        </w:rPr>
      </w:pPr>
    </w:p>
    <w:p w14:paraId="27DEDE14" w14:textId="77777777" w:rsidR="00B504B6" w:rsidRPr="00FA0E54" w:rsidRDefault="00B504B6" w:rsidP="000333FF">
      <w:pPr>
        <w:rPr>
          <w:rFonts w:ascii="Arial" w:hAnsi="Arial" w:cs="Arial"/>
          <w:b/>
        </w:rPr>
      </w:pPr>
      <w:r w:rsidRPr="00FA0E54">
        <w:rPr>
          <w:rFonts w:ascii="Arial" w:hAnsi="Arial" w:cs="Arial"/>
          <w:b/>
        </w:rPr>
        <w:t>Overview of the Disallowable Legislative</w:t>
      </w:r>
      <w:r w:rsidRPr="00FA0E54">
        <w:rPr>
          <w:rFonts w:ascii="Arial" w:hAnsi="Arial" w:cs="Arial"/>
        </w:rPr>
        <w:t xml:space="preserve"> </w:t>
      </w:r>
      <w:r w:rsidRPr="00FA0E54">
        <w:rPr>
          <w:rFonts w:ascii="Arial" w:hAnsi="Arial" w:cs="Arial"/>
          <w:b/>
        </w:rPr>
        <w:t>Instrument</w:t>
      </w:r>
    </w:p>
    <w:p w14:paraId="2BFA5BBD" w14:textId="6245940C" w:rsidR="00B504B6" w:rsidRPr="00FA0E54" w:rsidRDefault="00B504B6" w:rsidP="002C5987">
      <w:pPr>
        <w:rPr>
          <w:rFonts w:ascii="Arial" w:hAnsi="Arial" w:cs="Arial"/>
        </w:rPr>
      </w:pPr>
      <w:r w:rsidRPr="00FA0E54">
        <w:rPr>
          <w:rFonts w:ascii="Arial" w:hAnsi="Arial" w:cs="Arial"/>
        </w:rPr>
        <w:t xml:space="preserve">This Disallowable Legislative Instrument permits certain corporations to engage in certain kinds of collective bargaining conduct that would otherwise contravene certain competition provisions of the </w:t>
      </w:r>
      <w:r w:rsidRPr="00FA0E54">
        <w:rPr>
          <w:rFonts w:ascii="Arial" w:hAnsi="Arial" w:cs="Arial"/>
          <w:i/>
        </w:rPr>
        <w:t>Competition and Consumer Act 2010</w:t>
      </w:r>
      <w:r w:rsidRPr="00FA0E54">
        <w:rPr>
          <w:rFonts w:ascii="Arial" w:hAnsi="Arial" w:cs="Arial"/>
        </w:rPr>
        <w:t xml:space="preserve"> (Cth) (the </w:t>
      </w:r>
      <w:r w:rsidRPr="00FA0E54">
        <w:rPr>
          <w:rFonts w:ascii="Arial" w:hAnsi="Arial" w:cs="Arial"/>
          <w:b/>
        </w:rPr>
        <w:t>CCA</w:t>
      </w:r>
      <w:r w:rsidRPr="00FA0E54">
        <w:rPr>
          <w:rFonts w:ascii="Arial" w:hAnsi="Arial" w:cs="Arial"/>
        </w:rPr>
        <w:t>). The conduct that is covered by the Instrument would not have the effect, or would not be likely to have the effect, of substantially lessening competition.</w:t>
      </w:r>
    </w:p>
    <w:p w14:paraId="57AB0BAE" w14:textId="77777777" w:rsidR="00B504B6" w:rsidRPr="00FA0E54" w:rsidRDefault="00B504B6" w:rsidP="002C5987">
      <w:pPr>
        <w:rPr>
          <w:rFonts w:ascii="Arial" w:hAnsi="Arial" w:cs="Arial"/>
        </w:rPr>
      </w:pPr>
      <w:r w:rsidRPr="00FA0E54">
        <w:rPr>
          <w:rFonts w:ascii="Arial" w:hAnsi="Arial" w:cs="Arial"/>
        </w:rPr>
        <w:t>Corporations can currently seek to rely on other mechanisms under Division 1 or Division 2 of Part VII of the CCA in order to engage in the conduct that is covered by this Instrument without contravening the CCA. The Instrument provides for a more streamlined mechanism for permitting corporations to engage in the conduct covered by the Instrument without contravening the CCA.</w:t>
      </w:r>
    </w:p>
    <w:p w14:paraId="57EBEF6C" w14:textId="77777777" w:rsidR="00B504B6" w:rsidRPr="00FA0E54" w:rsidRDefault="00B504B6" w:rsidP="000333FF">
      <w:pPr>
        <w:rPr>
          <w:rFonts w:ascii="Arial" w:hAnsi="Arial" w:cs="Arial"/>
          <w:b/>
        </w:rPr>
      </w:pPr>
      <w:r w:rsidRPr="00FA0E54">
        <w:rPr>
          <w:rFonts w:ascii="Arial" w:hAnsi="Arial" w:cs="Arial"/>
          <w:b/>
        </w:rPr>
        <w:t>Human rights implications</w:t>
      </w:r>
    </w:p>
    <w:p w14:paraId="1D5418FB" w14:textId="77777777" w:rsidR="00B504B6" w:rsidRPr="00FA0E54" w:rsidRDefault="00B504B6" w:rsidP="002C5987">
      <w:pPr>
        <w:rPr>
          <w:rFonts w:ascii="Arial" w:hAnsi="Arial" w:cs="Arial"/>
        </w:rPr>
      </w:pPr>
      <w:r w:rsidRPr="00FA0E54">
        <w:rPr>
          <w:rFonts w:ascii="Arial" w:hAnsi="Arial" w:cs="Arial"/>
        </w:rPr>
        <w:t xml:space="preserve">The Determination engages Article 8 of the </w:t>
      </w:r>
      <w:r w:rsidRPr="00FA0E54">
        <w:rPr>
          <w:rFonts w:ascii="Arial" w:hAnsi="Arial" w:cs="Arial"/>
          <w:i/>
        </w:rPr>
        <w:t>International Covenant on Economic, Social and Cultural Rights</w:t>
      </w:r>
      <w:r w:rsidRPr="00FA0E54">
        <w:rPr>
          <w:rFonts w:ascii="Arial" w:hAnsi="Arial" w:cs="Arial"/>
        </w:rPr>
        <w:t xml:space="preserve"> [1976] ATS 5. Under this Article, the States Parties undertake to ensure, among other things:</w:t>
      </w:r>
    </w:p>
    <w:p w14:paraId="3E4F1BEB" w14:textId="77777777" w:rsidR="00B504B6" w:rsidRPr="00FA0E54" w:rsidRDefault="00B504B6" w:rsidP="00273299">
      <w:pPr>
        <w:ind w:left="1440" w:hanging="720"/>
        <w:rPr>
          <w:rFonts w:ascii="Arial" w:hAnsi="Arial" w:cs="Arial"/>
          <w:sz w:val="20"/>
        </w:rPr>
      </w:pPr>
      <w:r w:rsidRPr="00FA0E54">
        <w:rPr>
          <w:rFonts w:ascii="Arial" w:hAnsi="Arial" w:cs="Arial"/>
          <w:sz w:val="20"/>
        </w:rPr>
        <w:t xml:space="preserve">(c) </w:t>
      </w:r>
      <w:r w:rsidRPr="00FA0E54">
        <w:rPr>
          <w:rFonts w:ascii="Arial" w:hAnsi="Arial" w:cs="Arial"/>
          <w:sz w:val="20"/>
        </w:rPr>
        <w:tab/>
        <w:t>The right of trade unions to function freely subject to no limitations other than those prescribed by law and which are necessary in a democratic society in the interests of national security or public order or for the protection of the rights and freedoms of others;</w:t>
      </w:r>
    </w:p>
    <w:p w14:paraId="7BEECBD4" w14:textId="77777777" w:rsidR="00B504B6" w:rsidRPr="00FA0E54" w:rsidRDefault="00B504B6" w:rsidP="002C5987">
      <w:pPr>
        <w:rPr>
          <w:rFonts w:ascii="Arial" w:hAnsi="Arial" w:cs="Arial"/>
        </w:rPr>
      </w:pPr>
      <w:r w:rsidRPr="00FA0E54">
        <w:rPr>
          <w:rFonts w:ascii="Arial" w:hAnsi="Arial" w:cs="Arial"/>
        </w:rPr>
        <w:t>Paragraph 9(2)(c) of the Determination provides that the collective bargaining class exemption notice must not be given to the ACCC by or on behalf of a trade union, or an officer, or a person acting on the direction, of a trade union.</w:t>
      </w:r>
    </w:p>
    <w:p w14:paraId="0FD8ED06" w14:textId="1A06A4E7" w:rsidR="004D13E9" w:rsidRPr="00FA0E54" w:rsidRDefault="004D13E9" w:rsidP="004D13E9">
      <w:pPr>
        <w:rPr>
          <w:rFonts w:ascii="Arial" w:hAnsi="Arial" w:cs="Arial"/>
        </w:rPr>
      </w:pPr>
      <w:r w:rsidRPr="00FA0E54">
        <w:rPr>
          <w:rFonts w:ascii="Arial" w:hAnsi="Arial" w:cs="Arial"/>
        </w:rPr>
        <w:t>Trade unions can, however, represent groups in their negotiations. This is consistent with the notification provisions in section 93AB(9) of the CCA, which renders a collective bargaining notification given by a trade union</w:t>
      </w:r>
      <w:r w:rsidR="00200EAF" w:rsidRPr="00FA0E54">
        <w:rPr>
          <w:rFonts w:ascii="Arial" w:hAnsi="Arial" w:cs="Arial"/>
        </w:rPr>
        <w:t>, an officer of a trade union or a person acting on the direction of a trade union</w:t>
      </w:r>
      <w:r w:rsidRPr="00FA0E54">
        <w:rPr>
          <w:rFonts w:ascii="Arial" w:hAnsi="Arial" w:cs="Arial"/>
        </w:rPr>
        <w:t xml:space="preserve"> invalid, and the policy behind it. The Explanatory Memorandum to the Trade Practices Legislation Amendment Bill (No.1) 2005 notes that: </w:t>
      </w:r>
    </w:p>
    <w:p w14:paraId="2ADC9F65" w14:textId="011FC86F" w:rsidR="00F30991" w:rsidRPr="00FA0E54" w:rsidRDefault="004D13E9" w:rsidP="00467E7E">
      <w:pPr>
        <w:ind w:left="720"/>
        <w:rPr>
          <w:rFonts w:ascii="Arial" w:hAnsi="Arial" w:cs="Arial"/>
        </w:rPr>
      </w:pPr>
      <w:r w:rsidRPr="00FA0E54">
        <w:rPr>
          <w:rFonts w:ascii="Arial" w:hAnsi="Arial" w:cs="Arial"/>
        </w:rPr>
        <w:t>… in line with the clear demarcation, acknowledged and supported by the Dawson Review,</w:t>
      </w:r>
      <w:r w:rsidR="00F30991" w:rsidRPr="00FA0E54">
        <w:rPr>
          <w:rStyle w:val="FootnoteReference"/>
          <w:rFonts w:ascii="Arial" w:hAnsi="Arial" w:cs="Arial"/>
        </w:rPr>
        <w:footnoteReference w:id="18"/>
      </w:r>
      <w:r w:rsidRPr="00FA0E54">
        <w:rPr>
          <w:rFonts w:ascii="Arial" w:hAnsi="Arial" w:cs="Arial"/>
        </w:rPr>
        <w:t xml:space="preserve"> between the regulation of business relationships and employment </w:t>
      </w:r>
      <w:r w:rsidRPr="00FA0E54">
        <w:rPr>
          <w:rFonts w:ascii="Arial" w:hAnsi="Arial" w:cs="Arial"/>
        </w:rPr>
        <w:lastRenderedPageBreak/>
        <w:t>relationships, it is not envisaged that the collective bargaining provisions would be used to pursue matters affecting employment relationships.</w:t>
      </w:r>
      <w:r w:rsidRPr="00FA0E54">
        <w:rPr>
          <w:rStyle w:val="FootnoteReference"/>
          <w:rFonts w:ascii="Arial" w:hAnsi="Arial" w:cs="Arial"/>
        </w:rPr>
        <w:footnoteReference w:id="19"/>
      </w:r>
      <w:r w:rsidRPr="00FA0E54">
        <w:rPr>
          <w:rFonts w:ascii="Arial" w:hAnsi="Arial" w:cs="Arial"/>
        </w:rPr>
        <w:t xml:space="preserve"> </w:t>
      </w:r>
    </w:p>
    <w:p w14:paraId="2B63F32A" w14:textId="6CDBAD78" w:rsidR="00B504B6" w:rsidRPr="00FA0E54" w:rsidRDefault="00B504B6" w:rsidP="000333FF">
      <w:pPr>
        <w:rPr>
          <w:rFonts w:ascii="Arial" w:hAnsi="Arial" w:cs="Arial"/>
        </w:rPr>
      </w:pPr>
      <w:r w:rsidRPr="00FA0E54">
        <w:rPr>
          <w:rFonts w:ascii="Arial" w:hAnsi="Arial" w:cs="Arial"/>
        </w:rPr>
        <w:t>This Determination does not engage any other of the applicable rights or freedoms.</w:t>
      </w:r>
    </w:p>
    <w:p w14:paraId="3474553F" w14:textId="77777777" w:rsidR="00B504B6" w:rsidRPr="00FA0E54" w:rsidRDefault="00B504B6" w:rsidP="000333FF">
      <w:pPr>
        <w:rPr>
          <w:rFonts w:ascii="Arial" w:hAnsi="Arial" w:cs="Arial"/>
          <w:b/>
        </w:rPr>
      </w:pPr>
      <w:r w:rsidRPr="00FA0E54">
        <w:rPr>
          <w:rFonts w:ascii="Arial" w:hAnsi="Arial" w:cs="Arial"/>
          <w:b/>
        </w:rPr>
        <w:t>Conclusion</w:t>
      </w:r>
    </w:p>
    <w:p w14:paraId="6DF71432" w14:textId="7E2F1490" w:rsidR="00B504B6" w:rsidRPr="00672443" w:rsidRDefault="00B504B6" w:rsidP="00EB7563">
      <w:pPr>
        <w:rPr>
          <w:rFonts w:ascii="Arial" w:hAnsi="Arial" w:cs="Arial"/>
          <w:sz w:val="20"/>
        </w:rPr>
      </w:pPr>
      <w:r w:rsidRPr="00FA0E54">
        <w:rPr>
          <w:rFonts w:ascii="Arial" w:hAnsi="Arial" w:cs="Arial"/>
        </w:rPr>
        <w:t>This Determination is compatible with human rights as it does not raise any human rights issues.</w:t>
      </w:r>
      <w:bookmarkStart w:id="4" w:name="_GoBack"/>
      <w:bookmarkEnd w:id="4"/>
    </w:p>
    <w:p w14:paraId="3ACEB8DA" w14:textId="77777777" w:rsidR="00B504B6" w:rsidRDefault="00B504B6"/>
    <w:p w14:paraId="33236A5D" w14:textId="77777777" w:rsidR="00EB1BB4" w:rsidRPr="00672443" w:rsidRDefault="00EB1BB4">
      <w:pPr>
        <w:rPr>
          <w:rFonts w:ascii="Arial" w:hAnsi="Arial" w:cs="Arial"/>
        </w:rPr>
      </w:pPr>
    </w:p>
    <w:sectPr w:rsidR="00EB1BB4" w:rsidRPr="0067244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D46AF" w14:textId="77777777" w:rsidR="00E522AB" w:rsidRDefault="00E522AB" w:rsidP="00336406">
      <w:pPr>
        <w:spacing w:after="0" w:line="240" w:lineRule="auto"/>
      </w:pPr>
      <w:r>
        <w:separator/>
      </w:r>
    </w:p>
  </w:endnote>
  <w:endnote w:type="continuationSeparator" w:id="0">
    <w:p w14:paraId="2BF5BFCC" w14:textId="77777777" w:rsidR="00E522AB" w:rsidRDefault="00E522AB" w:rsidP="0033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077303"/>
      <w:docPartObj>
        <w:docPartGallery w:val="Page Numbers (Bottom of Page)"/>
        <w:docPartUnique/>
      </w:docPartObj>
    </w:sdtPr>
    <w:sdtEndPr>
      <w:rPr>
        <w:noProof/>
      </w:rPr>
    </w:sdtEndPr>
    <w:sdtContent>
      <w:p w14:paraId="6E01C4E3" w14:textId="1CB9A602" w:rsidR="00C800E3" w:rsidRDefault="00C800E3">
        <w:pPr>
          <w:pStyle w:val="Footer"/>
          <w:jc w:val="right"/>
        </w:pPr>
        <w:r>
          <w:fldChar w:fldCharType="begin"/>
        </w:r>
        <w:r>
          <w:instrText xml:space="preserve"> PAGE   \* MERGEFORMAT </w:instrText>
        </w:r>
        <w:r>
          <w:fldChar w:fldCharType="separate"/>
        </w:r>
        <w:r w:rsidR="00986562">
          <w:rPr>
            <w:noProof/>
          </w:rPr>
          <w:t>2</w:t>
        </w:r>
        <w:r>
          <w:rPr>
            <w:noProof/>
          </w:rPr>
          <w:fldChar w:fldCharType="end"/>
        </w:r>
      </w:p>
    </w:sdtContent>
  </w:sdt>
  <w:p w14:paraId="49128B55" w14:textId="4038040D" w:rsidR="00C800E3" w:rsidRDefault="00C800E3">
    <w:pPr>
      <w:pStyle w:val="Footer"/>
    </w:pPr>
  </w:p>
  <w:p w14:paraId="400048A7" w14:textId="71B84601" w:rsidR="00275644" w:rsidRPr="00467E7E" w:rsidRDefault="00275644" w:rsidP="002756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6AAA7" w14:textId="77777777" w:rsidR="00E522AB" w:rsidRDefault="00E522AB" w:rsidP="00336406">
      <w:pPr>
        <w:spacing w:after="0" w:line="240" w:lineRule="auto"/>
      </w:pPr>
      <w:r>
        <w:separator/>
      </w:r>
    </w:p>
  </w:footnote>
  <w:footnote w:type="continuationSeparator" w:id="0">
    <w:p w14:paraId="2F75DC3D" w14:textId="77777777" w:rsidR="00E522AB" w:rsidRDefault="00E522AB" w:rsidP="00336406">
      <w:pPr>
        <w:spacing w:after="0" w:line="240" w:lineRule="auto"/>
      </w:pPr>
      <w:r>
        <w:continuationSeparator/>
      </w:r>
    </w:p>
  </w:footnote>
  <w:footnote w:id="1">
    <w:p w14:paraId="1DE201C7" w14:textId="21B4C590" w:rsidR="00C800E3" w:rsidRPr="005519F7" w:rsidRDefault="00C800E3" w:rsidP="00D81C38">
      <w:pPr>
        <w:pStyle w:val="FootnoteText"/>
        <w:rPr>
          <w:rFonts w:ascii="Arial" w:hAnsi="Arial" w:cs="Arial"/>
          <w:sz w:val="18"/>
          <w:szCs w:val="18"/>
        </w:rPr>
      </w:pPr>
      <w:r w:rsidRPr="005519F7">
        <w:rPr>
          <w:rStyle w:val="FootnoteReference"/>
          <w:rFonts w:ascii="Arial" w:hAnsi="Arial" w:cs="Arial"/>
          <w:sz w:val="18"/>
          <w:szCs w:val="18"/>
        </w:rPr>
        <w:footnoteRef/>
      </w:r>
      <w:r w:rsidRPr="005519F7">
        <w:rPr>
          <w:rFonts w:ascii="Arial" w:hAnsi="Arial" w:cs="Arial"/>
          <w:sz w:val="18"/>
          <w:szCs w:val="18"/>
        </w:rPr>
        <w:t xml:space="preserve"> Section 95AA(1)</w:t>
      </w:r>
      <w:r w:rsidR="0069280E">
        <w:rPr>
          <w:rFonts w:ascii="Arial" w:hAnsi="Arial" w:cs="Arial"/>
          <w:sz w:val="18"/>
          <w:szCs w:val="18"/>
        </w:rPr>
        <w:t xml:space="preserve"> CCA</w:t>
      </w:r>
      <w:r w:rsidRPr="005519F7">
        <w:rPr>
          <w:rFonts w:ascii="Arial" w:hAnsi="Arial" w:cs="Arial"/>
          <w:sz w:val="18"/>
          <w:szCs w:val="18"/>
        </w:rPr>
        <w:t>.</w:t>
      </w:r>
    </w:p>
  </w:footnote>
  <w:footnote w:id="2">
    <w:p w14:paraId="1AE34C27" w14:textId="761469EE" w:rsidR="008E493B" w:rsidRPr="005519F7" w:rsidRDefault="008E493B" w:rsidP="008E493B">
      <w:pPr>
        <w:pStyle w:val="FootnoteText"/>
        <w:rPr>
          <w:rFonts w:ascii="Arial" w:hAnsi="Arial" w:cs="Arial"/>
          <w:sz w:val="18"/>
          <w:szCs w:val="18"/>
        </w:rPr>
      </w:pPr>
      <w:r w:rsidRPr="005519F7">
        <w:rPr>
          <w:rStyle w:val="FootnoteReference"/>
          <w:rFonts w:ascii="Arial" w:hAnsi="Arial" w:cs="Arial"/>
          <w:sz w:val="18"/>
          <w:szCs w:val="18"/>
        </w:rPr>
        <w:footnoteRef/>
      </w:r>
      <w:r w:rsidRPr="005519F7">
        <w:rPr>
          <w:rFonts w:ascii="Arial" w:hAnsi="Arial" w:cs="Arial"/>
          <w:sz w:val="18"/>
          <w:szCs w:val="18"/>
        </w:rPr>
        <w:t xml:space="preserve"> Section 95AA(2)(a)-(c)</w:t>
      </w:r>
      <w:r w:rsidR="0069280E">
        <w:rPr>
          <w:rFonts w:ascii="Arial" w:hAnsi="Arial" w:cs="Arial"/>
          <w:sz w:val="18"/>
          <w:szCs w:val="18"/>
        </w:rPr>
        <w:t xml:space="preserve"> CCA</w:t>
      </w:r>
      <w:r w:rsidRPr="005519F7">
        <w:rPr>
          <w:rFonts w:ascii="Arial" w:hAnsi="Arial" w:cs="Arial"/>
          <w:sz w:val="18"/>
          <w:szCs w:val="18"/>
        </w:rPr>
        <w:t>.</w:t>
      </w:r>
    </w:p>
  </w:footnote>
  <w:footnote w:id="3">
    <w:p w14:paraId="79B745C7" w14:textId="0A0CDDEB" w:rsidR="00C800E3" w:rsidRPr="005519F7" w:rsidRDefault="00C800E3" w:rsidP="00C311A1">
      <w:pPr>
        <w:pStyle w:val="FootnoteText"/>
        <w:rPr>
          <w:rFonts w:ascii="Arial" w:hAnsi="Arial" w:cs="Arial"/>
          <w:sz w:val="18"/>
          <w:szCs w:val="18"/>
        </w:rPr>
      </w:pPr>
      <w:r w:rsidRPr="005519F7">
        <w:rPr>
          <w:rStyle w:val="FootnoteReference"/>
          <w:rFonts w:ascii="Arial" w:hAnsi="Arial" w:cs="Arial"/>
          <w:sz w:val="18"/>
          <w:szCs w:val="18"/>
        </w:rPr>
        <w:footnoteRef/>
      </w:r>
      <w:r w:rsidRPr="005519F7">
        <w:rPr>
          <w:rFonts w:ascii="Arial" w:hAnsi="Arial" w:cs="Arial"/>
          <w:sz w:val="18"/>
          <w:szCs w:val="18"/>
        </w:rPr>
        <w:t xml:space="preserve"> Section 95AA(3)</w:t>
      </w:r>
      <w:r w:rsidR="0069280E">
        <w:rPr>
          <w:rFonts w:ascii="Arial" w:hAnsi="Arial" w:cs="Arial"/>
          <w:sz w:val="18"/>
          <w:szCs w:val="18"/>
        </w:rPr>
        <w:t xml:space="preserve"> CCA</w:t>
      </w:r>
      <w:r w:rsidRPr="005519F7">
        <w:rPr>
          <w:rFonts w:ascii="Arial" w:hAnsi="Arial" w:cs="Arial"/>
          <w:sz w:val="18"/>
          <w:szCs w:val="18"/>
        </w:rPr>
        <w:t>.</w:t>
      </w:r>
    </w:p>
  </w:footnote>
  <w:footnote w:id="4">
    <w:p w14:paraId="500403FB" w14:textId="0043FD0C" w:rsidR="00C800E3" w:rsidRPr="005519F7" w:rsidRDefault="00C800E3" w:rsidP="006E4366">
      <w:pPr>
        <w:pStyle w:val="FootnoteText"/>
        <w:ind w:left="142" w:hanging="142"/>
        <w:rPr>
          <w:rFonts w:ascii="Arial" w:hAnsi="Arial" w:cs="Arial"/>
          <w:sz w:val="18"/>
          <w:szCs w:val="18"/>
        </w:rPr>
      </w:pPr>
      <w:r w:rsidRPr="005519F7">
        <w:rPr>
          <w:rStyle w:val="FootnoteReference"/>
          <w:rFonts w:ascii="Arial" w:hAnsi="Arial" w:cs="Arial"/>
          <w:sz w:val="18"/>
          <w:szCs w:val="18"/>
        </w:rPr>
        <w:footnoteRef/>
      </w:r>
      <w:r w:rsidRPr="005519F7">
        <w:rPr>
          <w:rFonts w:ascii="Arial" w:hAnsi="Arial" w:cs="Arial"/>
          <w:sz w:val="18"/>
          <w:szCs w:val="18"/>
        </w:rPr>
        <w:t xml:space="preserve"> Collective bargaining in the context of competition law does not include employee/employer collective bargaining.</w:t>
      </w:r>
    </w:p>
  </w:footnote>
  <w:footnote w:id="5">
    <w:p w14:paraId="3C3A63CD" w14:textId="040933CF" w:rsidR="00C800E3" w:rsidRPr="007E5783" w:rsidRDefault="00C800E3" w:rsidP="008E493B">
      <w:pPr>
        <w:pStyle w:val="FootnoteText"/>
        <w:ind w:left="142" w:hanging="142"/>
        <w:rPr>
          <w:rFonts w:ascii="Arial" w:hAnsi="Arial" w:cs="Arial"/>
        </w:rPr>
      </w:pPr>
      <w:r w:rsidRPr="007E5783">
        <w:rPr>
          <w:rStyle w:val="FootnoteReference"/>
          <w:rFonts w:ascii="Arial" w:hAnsi="Arial" w:cs="Arial"/>
          <w:sz w:val="18"/>
        </w:rPr>
        <w:footnoteRef/>
      </w:r>
      <w:r w:rsidRPr="007E5783">
        <w:rPr>
          <w:rFonts w:ascii="Arial" w:hAnsi="Arial" w:cs="Arial"/>
          <w:sz w:val="18"/>
        </w:rPr>
        <w:t xml:space="preserve"> </w:t>
      </w:r>
      <w:r>
        <w:rPr>
          <w:rFonts w:ascii="Arial" w:hAnsi="Arial" w:cs="Arial"/>
          <w:sz w:val="18"/>
        </w:rPr>
        <w:t>The standard application fee for authorisation is $7500. A</w:t>
      </w:r>
      <w:r w:rsidRPr="00D55E00">
        <w:rPr>
          <w:rFonts w:ascii="Arial" w:hAnsi="Arial" w:cs="Arial"/>
          <w:sz w:val="18"/>
        </w:rPr>
        <w:t>pplicants may request that th</w:t>
      </w:r>
      <w:r>
        <w:rPr>
          <w:rFonts w:ascii="Arial" w:hAnsi="Arial" w:cs="Arial"/>
          <w:sz w:val="18"/>
        </w:rPr>
        <w:t xml:space="preserve">e </w:t>
      </w:r>
      <w:r w:rsidRPr="00D55E00">
        <w:rPr>
          <w:rFonts w:ascii="Arial" w:hAnsi="Arial" w:cs="Arial"/>
          <w:sz w:val="18"/>
        </w:rPr>
        <w:t>ACCC waive the lodgement fee</w:t>
      </w:r>
      <w:r>
        <w:rPr>
          <w:rFonts w:ascii="Arial" w:hAnsi="Arial" w:cs="Arial"/>
          <w:sz w:val="18"/>
        </w:rPr>
        <w:t xml:space="preserve"> in whole or in part if the fee would impose an unduly onerous burden of the applicant. </w:t>
      </w:r>
    </w:p>
  </w:footnote>
  <w:footnote w:id="6">
    <w:p w14:paraId="51681EF1" w14:textId="3BA89543" w:rsidR="00C800E3" w:rsidRPr="005519F7" w:rsidRDefault="00C800E3" w:rsidP="008E493B">
      <w:pPr>
        <w:pStyle w:val="FootnoteText"/>
        <w:ind w:left="142" w:hanging="142"/>
        <w:rPr>
          <w:rFonts w:ascii="Arial" w:hAnsi="Arial" w:cs="Arial"/>
          <w:sz w:val="18"/>
          <w:szCs w:val="18"/>
        </w:rPr>
      </w:pPr>
      <w:r w:rsidRPr="005519F7">
        <w:rPr>
          <w:rStyle w:val="FootnoteReference"/>
          <w:rFonts w:ascii="Arial" w:hAnsi="Arial" w:cs="Arial"/>
          <w:sz w:val="18"/>
          <w:szCs w:val="18"/>
        </w:rPr>
        <w:footnoteRef/>
      </w:r>
      <w:r w:rsidRPr="005519F7">
        <w:rPr>
          <w:rFonts w:ascii="Arial" w:hAnsi="Arial" w:cs="Arial"/>
          <w:sz w:val="18"/>
          <w:szCs w:val="18"/>
        </w:rPr>
        <w:t xml:space="preserve"> Petrol retailing - $15 million, new motor vehicle retailing - $20 million, farm machinery retailing - $10 million, primary production - $5 million.</w:t>
      </w:r>
    </w:p>
  </w:footnote>
  <w:footnote w:id="7">
    <w:p w14:paraId="2E45FDF9" w14:textId="11B38FFE" w:rsidR="002F60F9" w:rsidRPr="002F60F9" w:rsidRDefault="002F60F9" w:rsidP="002F60F9">
      <w:pPr>
        <w:pStyle w:val="FootnoteText"/>
        <w:ind w:left="142" w:hanging="142"/>
        <w:rPr>
          <w:rFonts w:ascii="Arial" w:hAnsi="Arial" w:cs="Arial"/>
          <w:sz w:val="18"/>
          <w:szCs w:val="18"/>
        </w:rPr>
      </w:pPr>
      <w:r w:rsidRPr="002F60F9">
        <w:rPr>
          <w:rStyle w:val="FootnoteReference"/>
          <w:rFonts w:ascii="Arial" w:hAnsi="Arial" w:cs="Arial"/>
          <w:sz w:val="18"/>
          <w:szCs w:val="18"/>
        </w:rPr>
        <w:footnoteRef/>
      </w:r>
      <w:r w:rsidRPr="002F60F9">
        <w:rPr>
          <w:rFonts w:ascii="Arial" w:hAnsi="Arial" w:cs="Arial"/>
          <w:sz w:val="18"/>
          <w:szCs w:val="18"/>
        </w:rPr>
        <w:t xml:space="preserve"> The legal </w:t>
      </w:r>
      <w:r w:rsidR="0069280E">
        <w:rPr>
          <w:rFonts w:ascii="Arial" w:hAnsi="Arial" w:cs="Arial"/>
          <w:sz w:val="18"/>
          <w:szCs w:val="18"/>
        </w:rPr>
        <w:t xml:space="preserve">protection </w:t>
      </w:r>
      <w:r w:rsidRPr="002F60F9">
        <w:rPr>
          <w:rFonts w:ascii="Arial" w:hAnsi="Arial" w:cs="Arial"/>
          <w:sz w:val="18"/>
          <w:szCs w:val="18"/>
        </w:rPr>
        <w:t>businesses receive under notification is three years, unless the ACCC determines another period (up to 10 years).</w:t>
      </w:r>
    </w:p>
  </w:footnote>
  <w:footnote w:id="8">
    <w:p w14:paraId="10468EE3" w14:textId="77777777" w:rsidR="00C800E3" w:rsidRPr="00F43245" w:rsidRDefault="00C800E3" w:rsidP="008E493B">
      <w:pPr>
        <w:pStyle w:val="FootnoteText"/>
        <w:ind w:left="142" w:hanging="142"/>
        <w:rPr>
          <w:rFonts w:ascii="Arial" w:hAnsi="Arial" w:cs="Arial"/>
          <w:sz w:val="18"/>
        </w:rPr>
      </w:pPr>
      <w:r w:rsidRPr="00F43245">
        <w:rPr>
          <w:rStyle w:val="FootnoteReference"/>
          <w:rFonts w:ascii="Arial" w:hAnsi="Arial" w:cs="Arial"/>
          <w:sz w:val="18"/>
        </w:rPr>
        <w:footnoteRef/>
      </w:r>
      <w:r w:rsidRPr="00F43245">
        <w:rPr>
          <w:rFonts w:ascii="Arial" w:hAnsi="Arial" w:cs="Arial"/>
          <w:sz w:val="18"/>
        </w:rPr>
        <w:t xml:space="preserve"> Or </w:t>
      </w:r>
      <w:r>
        <w:rPr>
          <w:rFonts w:ascii="Arial" w:hAnsi="Arial" w:cs="Arial"/>
          <w:sz w:val="18"/>
        </w:rPr>
        <w:t xml:space="preserve">alternatively, an </w:t>
      </w:r>
      <w:r w:rsidRPr="00F43245">
        <w:rPr>
          <w:rFonts w:ascii="Arial" w:hAnsi="Arial" w:cs="Arial"/>
          <w:sz w:val="18"/>
        </w:rPr>
        <w:t xml:space="preserve">application </w:t>
      </w:r>
      <w:r>
        <w:rPr>
          <w:rFonts w:ascii="Arial" w:hAnsi="Arial" w:cs="Arial"/>
          <w:sz w:val="18"/>
        </w:rPr>
        <w:t>for revocation and substitution</w:t>
      </w:r>
      <w:r w:rsidRPr="00F43245">
        <w:rPr>
          <w:rFonts w:ascii="Arial" w:hAnsi="Arial" w:cs="Arial"/>
          <w:sz w:val="18"/>
        </w:rPr>
        <w:t xml:space="preserve"> in the case of an authorisation. </w:t>
      </w:r>
    </w:p>
  </w:footnote>
  <w:footnote w:id="9">
    <w:p w14:paraId="25E029D7" w14:textId="6A28A9A8" w:rsidR="00C800E3" w:rsidRPr="005519F7" w:rsidRDefault="00C800E3" w:rsidP="008E493B">
      <w:pPr>
        <w:pStyle w:val="FootnoteText"/>
        <w:ind w:left="142" w:hanging="142"/>
        <w:rPr>
          <w:rFonts w:ascii="Arial" w:hAnsi="Arial" w:cs="Arial"/>
          <w:sz w:val="18"/>
          <w:szCs w:val="18"/>
        </w:rPr>
      </w:pPr>
      <w:r w:rsidRPr="005519F7">
        <w:rPr>
          <w:rStyle w:val="FootnoteReference"/>
          <w:rFonts w:ascii="Arial" w:hAnsi="Arial" w:cs="Arial"/>
          <w:sz w:val="18"/>
          <w:szCs w:val="18"/>
        </w:rPr>
        <w:footnoteRef/>
      </w:r>
      <w:r w:rsidRPr="005519F7">
        <w:rPr>
          <w:rFonts w:ascii="Arial" w:hAnsi="Arial" w:cs="Arial"/>
          <w:sz w:val="18"/>
          <w:szCs w:val="18"/>
        </w:rPr>
        <w:t xml:space="preserve"> Professor Ian Harper, Peter Anderson, Su McCluskey and Michael O’Bryan QC, </w:t>
      </w:r>
      <w:hyperlink r:id="rId1" w:history="1">
        <w:r w:rsidRPr="005519F7">
          <w:rPr>
            <w:rStyle w:val="Hyperlink"/>
            <w:rFonts w:ascii="Arial" w:hAnsi="Arial" w:cs="Arial"/>
            <w:i/>
            <w:sz w:val="18"/>
            <w:szCs w:val="18"/>
          </w:rPr>
          <w:t>Competition Policy Review: Final Report</w:t>
        </w:r>
      </w:hyperlink>
      <w:r w:rsidRPr="005519F7">
        <w:rPr>
          <w:rFonts w:ascii="Arial" w:hAnsi="Arial" w:cs="Arial"/>
          <w:i/>
          <w:sz w:val="18"/>
          <w:szCs w:val="18"/>
        </w:rPr>
        <w:t xml:space="preserve">, </w:t>
      </w:r>
      <w:r w:rsidRPr="005519F7">
        <w:rPr>
          <w:rFonts w:ascii="Arial" w:hAnsi="Arial" w:cs="Arial"/>
          <w:sz w:val="18"/>
          <w:szCs w:val="18"/>
        </w:rPr>
        <w:t>March 2015, p</w:t>
      </w:r>
      <w:r w:rsidR="00194CB4">
        <w:rPr>
          <w:rFonts w:ascii="Arial" w:hAnsi="Arial" w:cs="Arial"/>
          <w:sz w:val="18"/>
          <w:szCs w:val="18"/>
        </w:rPr>
        <w:t>ages</w:t>
      </w:r>
      <w:r w:rsidRPr="005519F7">
        <w:rPr>
          <w:rFonts w:ascii="Arial" w:hAnsi="Arial" w:cs="Arial"/>
          <w:sz w:val="18"/>
          <w:szCs w:val="18"/>
        </w:rPr>
        <w:t xml:space="preserve"> 403, 405.</w:t>
      </w:r>
    </w:p>
  </w:footnote>
  <w:footnote w:id="10">
    <w:p w14:paraId="00385A9B" w14:textId="77777777" w:rsidR="00C800E3" w:rsidRPr="005519F7" w:rsidRDefault="00C800E3" w:rsidP="008E493B">
      <w:pPr>
        <w:pStyle w:val="FootnoteText"/>
        <w:ind w:left="142" w:hanging="142"/>
        <w:rPr>
          <w:rFonts w:ascii="Arial" w:hAnsi="Arial" w:cs="Arial"/>
          <w:sz w:val="18"/>
          <w:szCs w:val="18"/>
        </w:rPr>
      </w:pPr>
      <w:r w:rsidRPr="005519F7">
        <w:rPr>
          <w:rStyle w:val="FootnoteReference"/>
          <w:rFonts w:ascii="Arial" w:hAnsi="Arial" w:cs="Arial"/>
          <w:sz w:val="18"/>
          <w:szCs w:val="18"/>
        </w:rPr>
        <w:footnoteRef/>
      </w:r>
      <w:r w:rsidRPr="005519F7">
        <w:rPr>
          <w:rFonts w:ascii="Arial" w:hAnsi="Arial" w:cs="Arial"/>
          <w:sz w:val="18"/>
          <w:szCs w:val="18"/>
        </w:rPr>
        <w:t xml:space="preserve"> Notification includes the </w:t>
      </w:r>
      <w:r w:rsidRPr="005519F7">
        <w:rPr>
          <w:rFonts w:ascii="Arial" w:eastAsia="Calibri" w:hAnsi="Arial" w:cs="Arial"/>
          <w:sz w:val="18"/>
          <w:szCs w:val="18"/>
        </w:rPr>
        <w:t>expanded small business collective bargaining process, also introduced in late 2017 to increase the flexibility and attractiveness of the process for small businesses.</w:t>
      </w:r>
    </w:p>
  </w:footnote>
  <w:footnote w:id="11">
    <w:p w14:paraId="03525E9F" w14:textId="6B314ECE" w:rsidR="00C800E3" w:rsidRPr="005519F7" w:rsidRDefault="00C800E3" w:rsidP="008E493B">
      <w:pPr>
        <w:pStyle w:val="FootnoteText"/>
        <w:ind w:left="142" w:hanging="142"/>
        <w:rPr>
          <w:rFonts w:ascii="Arial" w:hAnsi="Arial" w:cs="Arial"/>
          <w:sz w:val="18"/>
          <w:szCs w:val="18"/>
        </w:rPr>
      </w:pPr>
      <w:r w:rsidRPr="005519F7">
        <w:rPr>
          <w:rStyle w:val="FootnoteReference"/>
          <w:rFonts w:ascii="Arial" w:hAnsi="Arial" w:cs="Arial"/>
          <w:sz w:val="18"/>
          <w:szCs w:val="18"/>
        </w:rPr>
        <w:footnoteRef/>
      </w:r>
      <w:r w:rsidRPr="005519F7">
        <w:rPr>
          <w:rFonts w:ascii="Arial" w:hAnsi="Arial" w:cs="Arial"/>
          <w:sz w:val="18"/>
          <w:szCs w:val="18"/>
        </w:rPr>
        <w:t xml:space="preserve"> Including existing groups who had previously lodged applications for authorisation or notifications for collective bargaining conduct; targets of collective bargaining arrangements previously authorised or notified; members of the ACCC’s Small Business and Franchising Consultative Committee, Small Business Information Network and Franchising Information Network; members of the ACCC’s Agriculture Consultative Committee and Agriculture Information Network; and those on the Small Business and Agriculture stakeholder lists, including government and industry bodies.</w:t>
      </w:r>
    </w:p>
  </w:footnote>
  <w:footnote w:id="12">
    <w:p w14:paraId="04AE6A7E" w14:textId="7C01B718" w:rsidR="00796737" w:rsidRPr="00796737" w:rsidRDefault="00796737" w:rsidP="00796737">
      <w:pPr>
        <w:pStyle w:val="FootnoteText"/>
        <w:ind w:left="142" w:hanging="142"/>
        <w:rPr>
          <w:rFonts w:ascii="Arial" w:hAnsi="Arial" w:cs="Arial"/>
          <w:sz w:val="18"/>
          <w:szCs w:val="18"/>
        </w:rPr>
      </w:pPr>
      <w:r w:rsidRPr="00796737">
        <w:rPr>
          <w:rStyle w:val="FootnoteReference"/>
          <w:rFonts w:ascii="Arial" w:hAnsi="Arial" w:cs="Arial"/>
          <w:sz w:val="18"/>
          <w:szCs w:val="18"/>
        </w:rPr>
        <w:footnoteRef/>
      </w:r>
      <w:r w:rsidRPr="00796737">
        <w:rPr>
          <w:rFonts w:ascii="Arial" w:hAnsi="Arial" w:cs="Arial"/>
          <w:sz w:val="18"/>
          <w:szCs w:val="18"/>
        </w:rPr>
        <w:t xml:space="preserve"> Or alternatively</w:t>
      </w:r>
      <w:r w:rsidR="0069280E">
        <w:rPr>
          <w:rFonts w:ascii="Arial" w:hAnsi="Arial" w:cs="Arial"/>
          <w:sz w:val="18"/>
          <w:szCs w:val="18"/>
        </w:rPr>
        <w:t>,</w:t>
      </w:r>
      <w:r w:rsidRPr="00796737">
        <w:rPr>
          <w:rFonts w:ascii="Arial" w:hAnsi="Arial" w:cs="Arial"/>
          <w:sz w:val="18"/>
          <w:szCs w:val="18"/>
        </w:rPr>
        <w:t xml:space="preserve"> lodge an application for authorisation or collective bargaining notification to engage in the conduct.</w:t>
      </w:r>
    </w:p>
  </w:footnote>
  <w:footnote w:id="13">
    <w:p w14:paraId="51517F7E" w14:textId="23364E51" w:rsidR="0069280E" w:rsidRPr="0069280E" w:rsidRDefault="0069280E" w:rsidP="008E1A06">
      <w:pPr>
        <w:pStyle w:val="FootnoteText"/>
        <w:ind w:left="142" w:hanging="142"/>
        <w:rPr>
          <w:rFonts w:ascii="Arial" w:hAnsi="Arial" w:cs="Arial"/>
        </w:rPr>
      </w:pPr>
      <w:r w:rsidRPr="0069280E">
        <w:rPr>
          <w:rStyle w:val="FootnoteReference"/>
          <w:rFonts w:ascii="Arial" w:hAnsi="Arial" w:cs="Arial"/>
        </w:rPr>
        <w:footnoteRef/>
      </w:r>
      <w:r w:rsidRPr="0069280E">
        <w:rPr>
          <w:rFonts w:ascii="Arial" w:hAnsi="Arial" w:cs="Arial"/>
        </w:rPr>
        <w:t xml:space="preserve"> </w:t>
      </w:r>
      <w:r w:rsidRPr="0069280E">
        <w:rPr>
          <w:rFonts w:ascii="Arial" w:hAnsi="Arial" w:cs="Arial"/>
          <w:bCs/>
          <w:i/>
          <w:sz w:val="18"/>
          <w:szCs w:val="18"/>
        </w:rPr>
        <w:t>Income Tax Assessment Act 1997</w:t>
      </w:r>
      <w:r w:rsidRPr="0069280E">
        <w:rPr>
          <w:rFonts w:ascii="Arial" w:hAnsi="Arial" w:cs="Arial"/>
          <w:bCs/>
          <w:sz w:val="18"/>
          <w:szCs w:val="18"/>
        </w:rPr>
        <w:t xml:space="preserve"> section 328.120(1).</w:t>
      </w:r>
    </w:p>
  </w:footnote>
  <w:footnote w:id="14">
    <w:p w14:paraId="34234350" w14:textId="2E2D7246" w:rsidR="0069280E" w:rsidRPr="0069280E" w:rsidRDefault="0069280E" w:rsidP="008E1A06">
      <w:pPr>
        <w:pStyle w:val="FootnoteText"/>
        <w:ind w:left="142" w:hanging="142"/>
        <w:rPr>
          <w:rFonts w:ascii="Arial" w:hAnsi="Arial" w:cs="Arial"/>
        </w:rPr>
      </w:pPr>
      <w:r w:rsidRPr="0069280E">
        <w:rPr>
          <w:rStyle w:val="FootnoteReference"/>
          <w:rFonts w:ascii="Arial" w:hAnsi="Arial" w:cs="Arial"/>
        </w:rPr>
        <w:footnoteRef/>
      </w:r>
      <w:r w:rsidRPr="0069280E">
        <w:rPr>
          <w:rFonts w:ascii="Arial" w:hAnsi="Arial" w:cs="Arial"/>
        </w:rPr>
        <w:t xml:space="preserve"> </w:t>
      </w:r>
      <w:r w:rsidRPr="0069280E">
        <w:rPr>
          <w:rFonts w:ascii="Arial" w:hAnsi="Arial" w:cs="Arial"/>
          <w:sz w:val="18"/>
          <w:szCs w:val="18"/>
        </w:rPr>
        <w:t>Australian Taxation Office, ‘</w:t>
      </w:r>
      <w:hyperlink r:id="rId2" w:history="1">
        <w:r w:rsidRPr="0069280E">
          <w:rPr>
            <w:rStyle w:val="Hyperlink"/>
            <w:rFonts w:ascii="Arial" w:hAnsi="Arial" w:cs="Arial"/>
            <w:sz w:val="18"/>
            <w:szCs w:val="18"/>
          </w:rPr>
          <w:t>Aggregation</w:t>
        </w:r>
      </w:hyperlink>
      <w:r w:rsidRPr="0069280E">
        <w:rPr>
          <w:rFonts w:ascii="Arial" w:hAnsi="Arial" w:cs="Arial"/>
          <w:sz w:val="18"/>
          <w:szCs w:val="18"/>
        </w:rPr>
        <w:t xml:space="preserve">’ (15 September 2017); </w:t>
      </w:r>
      <w:r w:rsidRPr="0069280E">
        <w:rPr>
          <w:rFonts w:ascii="Arial" w:hAnsi="Arial" w:cs="Arial"/>
          <w:i/>
          <w:color w:val="0000FF"/>
          <w:sz w:val="18"/>
          <w:szCs w:val="18"/>
        </w:rPr>
        <w:t>Income Tax Assessment Act 1997 (Cth)</w:t>
      </w:r>
      <w:r w:rsidRPr="0069280E">
        <w:rPr>
          <w:rFonts w:ascii="Arial" w:hAnsi="Arial" w:cs="Arial"/>
          <w:i/>
          <w:sz w:val="18"/>
          <w:szCs w:val="18"/>
        </w:rPr>
        <w:t xml:space="preserve"> </w:t>
      </w:r>
      <w:r w:rsidRPr="0069280E">
        <w:rPr>
          <w:rFonts w:ascii="Arial" w:hAnsi="Arial" w:cs="Arial"/>
          <w:sz w:val="18"/>
          <w:szCs w:val="18"/>
        </w:rPr>
        <w:t>section 328-120(5).</w:t>
      </w:r>
    </w:p>
  </w:footnote>
  <w:footnote w:id="15">
    <w:p w14:paraId="6A08E735" w14:textId="018B4053" w:rsidR="0069280E" w:rsidRPr="0069280E" w:rsidRDefault="0069280E" w:rsidP="008E1A06">
      <w:pPr>
        <w:pStyle w:val="FootnoteText"/>
        <w:ind w:left="142" w:hanging="142"/>
        <w:rPr>
          <w:rFonts w:ascii="Arial" w:hAnsi="Arial" w:cs="Arial"/>
        </w:rPr>
      </w:pPr>
      <w:r w:rsidRPr="0069280E">
        <w:rPr>
          <w:rStyle w:val="FootnoteReference"/>
          <w:rFonts w:ascii="Arial" w:hAnsi="Arial" w:cs="Arial"/>
        </w:rPr>
        <w:footnoteRef/>
      </w:r>
      <w:r w:rsidRPr="0069280E">
        <w:rPr>
          <w:rFonts w:ascii="Arial" w:hAnsi="Arial" w:cs="Arial"/>
        </w:rPr>
        <w:t xml:space="preserve"> </w:t>
      </w:r>
      <w:r w:rsidRPr="0069280E">
        <w:rPr>
          <w:rFonts w:ascii="Arial" w:hAnsi="Arial" w:cs="Arial"/>
          <w:i/>
          <w:color w:val="0000FF"/>
          <w:sz w:val="18"/>
          <w:szCs w:val="18"/>
        </w:rPr>
        <w:t>Income Tax Assessment Act 1997 (Cth)</w:t>
      </w:r>
      <w:r w:rsidRPr="0069280E">
        <w:rPr>
          <w:rFonts w:ascii="Arial" w:hAnsi="Arial" w:cs="Arial"/>
          <w:i/>
          <w:sz w:val="18"/>
          <w:szCs w:val="18"/>
        </w:rPr>
        <w:t xml:space="preserve"> </w:t>
      </w:r>
      <w:r w:rsidRPr="0069280E">
        <w:rPr>
          <w:rFonts w:ascii="Arial" w:hAnsi="Arial" w:cs="Arial"/>
          <w:sz w:val="18"/>
          <w:szCs w:val="18"/>
        </w:rPr>
        <w:t>section 328-115(2)(b)-(c).</w:t>
      </w:r>
    </w:p>
  </w:footnote>
  <w:footnote w:id="16">
    <w:p w14:paraId="076EC374" w14:textId="6D7C8043" w:rsidR="0069280E" w:rsidRPr="0069280E" w:rsidRDefault="0069280E" w:rsidP="008E1A06">
      <w:pPr>
        <w:pStyle w:val="FootnoteText"/>
        <w:ind w:left="142" w:hanging="142"/>
        <w:rPr>
          <w:rFonts w:ascii="Arial" w:hAnsi="Arial" w:cs="Arial"/>
        </w:rPr>
      </w:pPr>
      <w:r w:rsidRPr="0069280E">
        <w:rPr>
          <w:rStyle w:val="FootnoteReference"/>
          <w:rFonts w:ascii="Arial" w:hAnsi="Arial" w:cs="Arial"/>
        </w:rPr>
        <w:footnoteRef/>
      </w:r>
      <w:r w:rsidRPr="0069280E">
        <w:rPr>
          <w:rFonts w:ascii="Arial" w:hAnsi="Arial" w:cs="Arial"/>
        </w:rPr>
        <w:t xml:space="preserve"> </w:t>
      </w:r>
      <w:r w:rsidRPr="0069280E">
        <w:rPr>
          <w:rFonts w:ascii="Arial" w:hAnsi="Arial" w:cs="Arial"/>
          <w:sz w:val="18"/>
          <w:szCs w:val="18"/>
        </w:rPr>
        <w:t>Australian Taxation Office, ‘</w:t>
      </w:r>
      <w:hyperlink r:id="rId3" w:history="1">
        <w:r w:rsidRPr="0069280E">
          <w:rPr>
            <w:rStyle w:val="Hyperlink"/>
            <w:rFonts w:ascii="Arial" w:hAnsi="Arial" w:cs="Arial"/>
            <w:sz w:val="18"/>
            <w:szCs w:val="18"/>
          </w:rPr>
          <w:t>Connected with you</w:t>
        </w:r>
      </w:hyperlink>
      <w:r w:rsidRPr="0069280E">
        <w:rPr>
          <w:rFonts w:ascii="Arial" w:hAnsi="Arial" w:cs="Arial"/>
          <w:sz w:val="18"/>
          <w:szCs w:val="18"/>
        </w:rPr>
        <w:t xml:space="preserve">’ (22 May 2017). See section 328-125 </w:t>
      </w:r>
      <w:r w:rsidRPr="0069280E">
        <w:rPr>
          <w:rFonts w:ascii="Arial" w:hAnsi="Arial" w:cs="Arial"/>
          <w:i/>
          <w:color w:val="0000FF"/>
          <w:sz w:val="18"/>
          <w:szCs w:val="18"/>
        </w:rPr>
        <w:t>Income Tax Assessment Act 1997 (Cth).</w:t>
      </w:r>
    </w:p>
  </w:footnote>
  <w:footnote w:id="17">
    <w:p w14:paraId="7ABD6D33" w14:textId="654C9F9C" w:rsidR="0069280E" w:rsidRDefault="0069280E" w:rsidP="008E1A06">
      <w:pPr>
        <w:pStyle w:val="FootnoteText"/>
        <w:ind w:left="142" w:hanging="142"/>
      </w:pPr>
      <w:r w:rsidRPr="0069280E">
        <w:rPr>
          <w:rStyle w:val="FootnoteReference"/>
          <w:rFonts w:ascii="Arial" w:hAnsi="Arial" w:cs="Arial"/>
        </w:rPr>
        <w:footnoteRef/>
      </w:r>
      <w:r w:rsidRPr="0069280E">
        <w:rPr>
          <w:rFonts w:ascii="Arial" w:hAnsi="Arial" w:cs="Arial"/>
        </w:rPr>
        <w:t xml:space="preserve"> </w:t>
      </w:r>
      <w:r w:rsidRPr="0069280E">
        <w:rPr>
          <w:rFonts w:ascii="Arial" w:hAnsi="Arial" w:cs="Arial"/>
          <w:sz w:val="18"/>
          <w:szCs w:val="18"/>
        </w:rPr>
        <w:t>Australian Taxation Office, ‘</w:t>
      </w:r>
      <w:hyperlink r:id="rId4" w:history="1">
        <w:r w:rsidRPr="0069280E">
          <w:rPr>
            <w:rStyle w:val="Hyperlink"/>
            <w:rFonts w:ascii="Arial" w:hAnsi="Arial" w:cs="Arial"/>
            <w:sz w:val="18"/>
            <w:szCs w:val="18"/>
          </w:rPr>
          <w:t>Affiliates</w:t>
        </w:r>
      </w:hyperlink>
      <w:r w:rsidRPr="0069280E">
        <w:rPr>
          <w:rFonts w:ascii="Arial" w:hAnsi="Arial" w:cs="Arial"/>
          <w:sz w:val="18"/>
          <w:szCs w:val="18"/>
        </w:rPr>
        <w:t xml:space="preserve">’ (22 May 2017). See section 328-130 </w:t>
      </w:r>
      <w:r w:rsidRPr="0069280E">
        <w:rPr>
          <w:rFonts w:ascii="Arial" w:hAnsi="Arial" w:cs="Arial"/>
          <w:i/>
          <w:color w:val="0000FF"/>
          <w:sz w:val="18"/>
          <w:szCs w:val="18"/>
        </w:rPr>
        <w:t>Income Tax Assessment Act 1997 (Cth).</w:t>
      </w:r>
    </w:p>
  </w:footnote>
  <w:footnote w:id="18">
    <w:p w14:paraId="3B590CF0" w14:textId="263618E9" w:rsidR="00F30991" w:rsidRPr="00F30991" w:rsidRDefault="00F30991">
      <w:pPr>
        <w:pStyle w:val="FootnoteText"/>
      </w:pPr>
      <w:r>
        <w:rPr>
          <w:rStyle w:val="FootnoteReference"/>
        </w:rPr>
        <w:footnoteRef/>
      </w:r>
      <w:r>
        <w:t xml:space="preserve"> </w:t>
      </w:r>
      <w:r>
        <w:tab/>
        <w:t xml:space="preserve">The </w:t>
      </w:r>
      <w:r w:rsidRPr="00467E7E">
        <w:rPr>
          <w:i/>
        </w:rPr>
        <w:t>Review of the Competition Provisions of the Trade Practices Act</w:t>
      </w:r>
      <w:r>
        <w:t>, April 2003.</w:t>
      </w:r>
    </w:p>
  </w:footnote>
  <w:footnote w:id="19">
    <w:p w14:paraId="0BAD85F7" w14:textId="7D2A5837" w:rsidR="004D13E9" w:rsidRDefault="004D13E9">
      <w:pPr>
        <w:pStyle w:val="FootnoteText"/>
      </w:pPr>
      <w:r>
        <w:rPr>
          <w:rStyle w:val="FootnoteReference"/>
        </w:rPr>
        <w:footnoteRef/>
      </w:r>
      <w:r>
        <w:t xml:space="preserve"> </w:t>
      </w:r>
      <w:hyperlink r:id="rId5" w:history="1">
        <w:r w:rsidRPr="005519F7">
          <w:rPr>
            <w:rStyle w:val="Hyperlink"/>
            <w:rFonts w:ascii="Arial" w:hAnsi="Arial" w:cs="Arial"/>
            <w:sz w:val="18"/>
            <w:szCs w:val="18"/>
          </w:rPr>
          <w:t>Explanatory Memorandum to the Trade Practices Legislation Amendment Bill (No. 1) 2005</w:t>
        </w:r>
      </w:hyperlink>
      <w:r w:rsidRPr="005519F7">
        <w:rPr>
          <w:rFonts w:ascii="Arial" w:hAnsi="Arial" w:cs="Arial"/>
          <w:sz w:val="18"/>
          <w:szCs w:val="18"/>
        </w:rPr>
        <w:t>, p</w:t>
      </w:r>
      <w:r w:rsidR="00194CB4">
        <w:rPr>
          <w:rFonts w:ascii="Arial" w:hAnsi="Arial" w:cs="Arial"/>
          <w:sz w:val="18"/>
          <w:szCs w:val="18"/>
        </w:rPr>
        <w:t>age</w:t>
      </w:r>
      <w:r w:rsidRPr="005519F7">
        <w:rPr>
          <w:rFonts w:ascii="Arial" w:hAnsi="Arial" w:cs="Arial"/>
          <w:sz w:val="18"/>
          <w:szCs w:val="18"/>
        </w:rPr>
        <w:t xml:space="preserve">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BAAB8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9C309B"/>
    <w:multiLevelType w:val="multilevel"/>
    <w:tmpl w:val="CD84C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5C7AD3"/>
    <w:multiLevelType w:val="hybridMultilevel"/>
    <w:tmpl w:val="03D8C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7402745"/>
    <w:multiLevelType w:val="hybridMultilevel"/>
    <w:tmpl w:val="5E4E59E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9306BD4"/>
    <w:multiLevelType w:val="hybridMultilevel"/>
    <w:tmpl w:val="B5E25474"/>
    <w:lvl w:ilvl="0" w:tplc="238C22D2">
      <w:start w:val="1"/>
      <w:numFmt w:val="decimal"/>
      <w:pStyle w:val="Normalparagraph"/>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935ECE"/>
    <w:multiLevelType w:val="hybridMultilevel"/>
    <w:tmpl w:val="85381E0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CF519CE"/>
    <w:multiLevelType w:val="multilevel"/>
    <w:tmpl w:val="6720BC32"/>
    <w:lvl w:ilvl="0">
      <w:start w:val="1"/>
      <w:numFmt w:val="decimal"/>
      <w:pStyle w:val="Numbered1"/>
      <w:lvlText w:val="%1."/>
      <w:lvlJc w:val="left"/>
      <w:pPr>
        <w:ind w:left="360" w:hanging="360"/>
      </w:pPr>
    </w:lvl>
    <w:lvl w:ilvl="1">
      <w:start w:val="1"/>
      <w:numFmt w:val="decimal"/>
      <w:pStyle w:val="Numbered11"/>
      <w:lvlText w:val="%1.%2."/>
      <w:lvlJc w:val="left"/>
      <w:pPr>
        <w:ind w:left="432" w:hanging="432"/>
      </w:pPr>
      <w:rPr>
        <w:b w:val="0"/>
        <w:i w:val="0"/>
      </w:rPr>
    </w:lvl>
    <w:lvl w:ilvl="2">
      <w:start w:val="1"/>
      <w:numFmt w:val="decimal"/>
      <w:pStyle w:val="Numbered111"/>
      <w:lvlText w:val="%1.%2.%3."/>
      <w:lvlJc w:val="left"/>
      <w:pPr>
        <w:ind w:left="7309"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8" w15:restartNumberingAfterBreak="0">
    <w:nsid w:val="281E450C"/>
    <w:multiLevelType w:val="hybridMultilevel"/>
    <w:tmpl w:val="5CF491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9A61196"/>
    <w:multiLevelType w:val="hybridMultilevel"/>
    <w:tmpl w:val="D2907FE2"/>
    <w:lvl w:ilvl="0" w:tplc="0C090001">
      <w:start w:val="1"/>
      <w:numFmt w:val="bullet"/>
      <w:lvlText w:val=""/>
      <w:lvlJc w:val="left"/>
      <w:pPr>
        <w:ind w:left="19" w:hanging="360"/>
      </w:pPr>
      <w:rPr>
        <w:rFonts w:ascii="Symbol" w:hAnsi="Symbol" w:hint="default"/>
      </w:rPr>
    </w:lvl>
    <w:lvl w:ilvl="1" w:tplc="0C090003">
      <w:start w:val="1"/>
      <w:numFmt w:val="bullet"/>
      <w:lvlText w:val="o"/>
      <w:lvlJc w:val="left"/>
      <w:pPr>
        <w:ind w:left="739" w:hanging="360"/>
      </w:pPr>
      <w:rPr>
        <w:rFonts w:ascii="Courier New" w:hAnsi="Courier New" w:cs="Courier New" w:hint="default"/>
      </w:rPr>
    </w:lvl>
    <w:lvl w:ilvl="2" w:tplc="0C090005">
      <w:start w:val="1"/>
      <w:numFmt w:val="bullet"/>
      <w:lvlText w:val=""/>
      <w:lvlJc w:val="left"/>
      <w:pPr>
        <w:ind w:left="1459" w:hanging="360"/>
      </w:pPr>
      <w:rPr>
        <w:rFonts w:ascii="Wingdings" w:hAnsi="Wingdings" w:hint="default"/>
      </w:rPr>
    </w:lvl>
    <w:lvl w:ilvl="3" w:tplc="0C090001" w:tentative="1">
      <w:start w:val="1"/>
      <w:numFmt w:val="bullet"/>
      <w:lvlText w:val=""/>
      <w:lvlJc w:val="left"/>
      <w:pPr>
        <w:ind w:left="2179" w:hanging="360"/>
      </w:pPr>
      <w:rPr>
        <w:rFonts w:ascii="Symbol" w:hAnsi="Symbol" w:hint="default"/>
      </w:rPr>
    </w:lvl>
    <w:lvl w:ilvl="4" w:tplc="0C090003" w:tentative="1">
      <w:start w:val="1"/>
      <w:numFmt w:val="bullet"/>
      <w:lvlText w:val="o"/>
      <w:lvlJc w:val="left"/>
      <w:pPr>
        <w:ind w:left="2899" w:hanging="360"/>
      </w:pPr>
      <w:rPr>
        <w:rFonts w:ascii="Courier New" w:hAnsi="Courier New" w:cs="Courier New" w:hint="default"/>
      </w:rPr>
    </w:lvl>
    <w:lvl w:ilvl="5" w:tplc="0C090005" w:tentative="1">
      <w:start w:val="1"/>
      <w:numFmt w:val="bullet"/>
      <w:lvlText w:val=""/>
      <w:lvlJc w:val="left"/>
      <w:pPr>
        <w:ind w:left="3619" w:hanging="360"/>
      </w:pPr>
      <w:rPr>
        <w:rFonts w:ascii="Wingdings" w:hAnsi="Wingdings" w:hint="default"/>
      </w:rPr>
    </w:lvl>
    <w:lvl w:ilvl="6" w:tplc="0C090001" w:tentative="1">
      <w:start w:val="1"/>
      <w:numFmt w:val="bullet"/>
      <w:lvlText w:val=""/>
      <w:lvlJc w:val="left"/>
      <w:pPr>
        <w:ind w:left="4339" w:hanging="360"/>
      </w:pPr>
      <w:rPr>
        <w:rFonts w:ascii="Symbol" w:hAnsi="Symbol" w:hint="default"/>
      </w:rPr>
    </w:lvl>
    <w:lvl w:ilvl="7" w:tplc="0C090003" w:tentative="1">
      <w:start w:val="1"/>
      <w:numFmt w:val="bullet"/>
      <w:lvlText w:val="o"/>
      <w:lvlJc w:val="left"/>
      <w:pPr>
        <w:ind w:left="5059" w:hanging="360"/>
      </w:pPr>
      <w:rPr>
        <w:rFonts w:ascii="Courier New" w:hAnsi="Courier New" w:cs="Courier New" w:hint="default"/>
      </w:rPr>
    </w:lvl>
    <w:lvl w:ilvl="8" w:tplc="0C090005" w:tentative="1">
      <w:start w:val="1"/>
      <w:numFmt w:val="bullet"/>
      <w:lvlText w:val=""/>
      <w:lvlJc w:val="left"/>
      <w:pPr>
        <w:ind w:left="5779" w:hanging="360"/>
      </w:pPr>
      <w:rPr>
        <w:rFonts w:ascii="Wingdings" w:hAnsi="Wingdings" w:hint="default"/>
      </w:rPr>
    </w:lvl>
  </w:abstractNum>
  <w:abstractNum w:abstractNumId="10" w15:restartNumberingAfterBreak="0">
    <w:nsid w:val="2A205964"/>
    <w:multiLevelType w:val="hybridMultilevel"/>
    <w:tmpl w:val="35682AE2"/>
    <w:lvl w:ilvl="0" w:tplc="0C090001">
      <w:start w:val="1"/>
      <w:numFmt w:val="bullet"/>
      <w:lvlText w:val=""/>
      <w:lvlJc w:val="left"/>
      <w:pPr>
        <w:ind w:left="1040" w:hanging="360"/>
      </w:pPr>
      <w:rPr>
        <w:rFonts w:ascii="Symbol" w:hAnsi="Symbol" w:hint="default"/>
        <w:b w:val="0"/>
      </w:rPr>
    </w:lvl>
    <w:lvl w:ilvl="1" w:tplc="0C090019">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1" w15:restartNumberingAfterBreak="0">
    <w:nsid w:val="2BB57723"/>
    <w:multiLevelType w:val="hybridMultilevel"/>
    <w:tmpl w:val="A1C6A4C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2D282086"/>
    <w:multiLevelType w:val="hybridMultilevel"/>
    <w:tmpl w:val="CCBE5450"/>
    <w:lvl w:ilvl="0" w:tplc="0C090001">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3" w15:restartNumberingAfterBreak="0">
    <w:nsid w:val="33237F7F"/>
    <w:multiLevelType w:val="hybridMultilevel"/>
    <w:tmpl w:val="05247EA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8C0312D"/>
    <w:multiLevelType w:val="hybridMultilevel"/>
    <w:tmpl w:val="A80071C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4B357544"/>
    <w:multiLevelType w:val="hybridMultilevel"/>
    <w:tmpl w:val="1F462390"/>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5026640"/>
    <w:multiLevelType w:val="hybridMultilevel"/>
    <w:tmpl w:val="F0E07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18" w15:restartNumberingAfterBreak="0">
    <w:nsid w:val="5B8001E5"/>
    <w:multiLevelType w:val="hybridMultilevel"/>
    <w:tmpl w:val="BE5EC0CE"/>
    <w:lvl w:ilvl="0" w:tplc="0C090001">
      <w:start w:val="1"/>
      <w:numFmt w:val="bullet"/>
      <w:lvlText w:val=""/>
      <w:lvlJc w:val="left"/>
      <w:pPr>
        <w:ind w:left="1381" w:hanging="360"/>
      </w:pPr>
      <w:rPr>
        <w:rFonts w:ascii="Symbol" w:hAnsi="Symbol"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9" w15:restartNumberingAfterBreak="0">
    <w:nsid w:val="605C6DE1"/>
    <w:multiLevelType w:val="hybridMultilevel"/>
    <w:tmpl w:val="899462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2BA578E"/>
    <w:multiLevelType w:val="hybridMultilevel"/>
    <w:tmpl w:val="42B2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E119DB"/>
    <w:multiLevelType w:val="hybridMultilevel"/>
    <w:tmpl w:val="58983B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33461FD"/>
    <w:multiLevelType w:val="hybridMultilevel"/>
    <w:tmpl w:val="A6FC7C08"/>
    <w:lvl w:ilvl="0" w:tplc="BCEAE550">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A3C2258"/>
    <w:multiLevelType w:val="hybridMultilevel"/>
    <w:tmpl w:val="A6F2FF8C"/>
    <w:lvl w:ilvl="0" w:tplc="18FE3EFA">
      <w:start w:val="7"/>
      <w:numFmt w:val="bullet"/>
      <w:lvlText w:val=""/>
      <w:lvlJc w:val="left"/>
      <w:pPr>
        <w:ind w:left="1381" w:hanging="360"/>
      </w:pPr>
      <w:rPr>
        <w:rFonts w:ascii="Symbol" w:eastAsia="Times New Roman" w:hAnsi="Symbol" w:cs="Arial" w:hint="default"/>
      </w:rPr>
    </w:lvl>
    <w:lvl w:ilvl="1" w:tplc="0C090003">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24" w15:restartNumberingAfterBreak="0">
    <w:nsid w:val="7E641E7D"/>
    <w:multiLevelType w:val="hybridMultilevel"/>
    <w:tmpl w:val="CA9C763E"/>
    <w:lvl w:ilvl="0" w:tplc="18FE3EFA">
      <w:start w:val="7"/>
      <w:numFmt w:val="bullet"/>
      <w:lvlText w:val=""/>
      <w:lvlJc w:val="left"/>
      <w:pPr>
        <w:ind w:left="1741" w:hanging="360"/>
      </w:pPr>
      <w:rPr>
        <w:rFonts w:ascii="Symbol" w:eastAsia="Times New Roman" w:hAnsi="Symbo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7"/>
  </w:num>
  <w:num w:numId="4">
    <w:abstractNumId w:val="5"/>
  </w:num>
  <w:num w:numId="5">
    <w:abstractNumId w:val="9"/>
  </w:num>
  <w:num w:numId="6">
    <w:abstractNumId w:val="0"/>
  </w:num>
  <w:num w:numId="7">
    <w:abstractNumId w:val="21"/>
  </w:num>
  <w:num w:numId="8">
    <w:abstractNumId w:val="23"/>
  </w:num>
  <w:num w:numId="9">
    <w:abstractNumId w:val="19"/>
  </w:num>
  <w:num w:numId="10">
    <w:abstractNumId w:val="13"/>
  </w:num>
  <w:num w:numId="11">
    <w:abstractNumId w:val="22"/>
  </w:num>
  <w:num w:numId="12">
    <w:abstractNumId w:val="17"/>
  </w:num>
  <w:num w:numId="13">
    <w:abstractNumId w:val="15"/>
  </w:num>
  <w:num w:numId="14">
    <w:abstractNumId w:val="18"/>
  </w:num>
  <w:num w:numId="15">
    <w:abstractNumId w:val="6"/>
  </w:num>
  <w:num w:numId="16">
    <w:abstractNumId w:val="10"/>
  </w:num>
  <w:num w:numId="17">
    <w:abstractNumId w:val="24"/>
  </w:num>
  <w:num w:numId="18">
    <w:abstractNumId w:val="2"/>
  </w:num>
  <w:num w:numId="19">
    <w:abstractNumId w:val="4"/>
  </w:num>
  <w:num w:numId="20">
    <w:abstractNumId w:val="11"/>
  </w:num>
  <w:num w:numId="21">
    <w:abstractNumId w:val="8"/>
  </w:num>
  <w:num w:numId="22">
    <w:abstractNumId w:val="16"/>
  </w:num>
  <w:num w:numId="23">
    <w:abstractNumId w:val="20"/>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63"/>
    <w:rsid w:val="00017A91"/>
    <w:rsid w:val="00024F3A"/>
    <w:rsid w:val="00024FB6"/>
    <w:rsid w:val="000333FF"/>
    <w:rsid w:val="00033A79"/>
    <w:rsid w:val="00033E74"/>
    <w:rsid w:val="000348D2"/>
    <w:rsid w:val="0003513F"/>
    <w:rsid w:val="0004410A"/>
    <w:rsid w:val="00044D7E"/>
    <w:rsid w:val="00046A64"/>
    <w:rsid w:val="000528BC"/>
    <w:rsid w:val="00052F31"/>
    <w:rsid w:val="00056366"/>
    <w:rsid w:val="0006103E"/>
    <w:rsid w:val="0006522C"/>
    <w:rsid w:val="000700D0"/>
    <w:rsid w:val="00073401"/>
    <w:rsid w:val="00075009"/>
    <w:rsid w:val="000771B9"/>
    <w:rsid w:val="00083551"/>
    <w:rsid w:val="00083731"/>
    <w:rsid w:val="00086B63"/>
    <w:rsid w:val="000872EF"/>
    <w:rsid w:val="00095209"/>
    <w:rsid w:val="00095767"/>
    <w:rsid w:val="000A19EB"/>
    <w:rsid w:val="000A5F94"/>
    <w:rsid w:val="000A5FF4"/>
    <w:rsid w:val="000B0DD9"/>
    <w:rsid w:val="000B2377"/>
    <w:rsid w:val="000C0DDD"/>
    <w:rsid w:val="000C2B81"/>
    <w:rsid w:val="000C3BD5"/>
    <w:rsid w:val="000C64DB"/>
    <w:rsid w:val="000D047A"/>
    <w:rsid w:val="000D3706"/>
    <w:rsid w:val="000D6033"/>
    <w:rsid w:val="000E49A4"/>
    <w:rsid w:val="000E5E56"/>
    <w:rsid w:val="000E65E7"/>
    <w:rsid w:val="000E7C00"/>
    <w:rsid w:val="000F3D46"/>
    <w:rsid w:val="000F3F47"/>
    <w:rsid w:val="000F49F9"/>
    <w:rsid w:val="000F5BBB"/>
    <w:rsid w:val="000F6E5C"/>
    <w:rsid w:val="0010618E"/>
    <w:rsid w:val="001145C9"/>
    <w:rsid w:val="00114F11"/>
    <w:rsid w:val="00127A2D"/>
    <w:rsid w:val="001305AD"/>
    <w:rsid w:val="0013272B"/>
    <w:rsid w:val="00133E30"/>
    <w:rsid w:val="001372B3"/>
    <w:rsid w:val="0014615A"/>
    <w:rsid w:val="001535E0"/>
    <w:rsid w:val="00154C2E"/>
    <w:rsid w:val="0015643F"/>
    <w:rsid w:val="001636BD"/>
    <w:rsid w:val="00164DE2"/>
    <w:rsid w:val="001658CD"/>
    <w:rsid w:val="001675D0"/>
    <w:rsid w:val="00171C69"/>
    <w:rsid w:val="0017271A"/>
    <w:rsid w:val="0017639F"/>
    <w:rsid w:val="00177F30"/>
    <w:rsid w:val="00183A66"/>
    <w:rsid w:val="00186F36"/>
    <w:rsid w:val="00187F1E"/>
    <w:rsid w:val="00194773"/>
    <w:rsid w:val="00194CB4"/>
    <w:rsid w:val="00194CB8"/>
    <w:rsid w:val="001975C3"/>
    <w:rsid w:val="001A30C3"/>
    <w:rsid w:val="001B0FB2"/>
    <w:rsid w:val="001B5336"/>
    <w:rsid w:val="001C0B44"/>
    <w:rsid w:val="001C2475"/>
    <w:rsid w:val="001D29F8"/>
    <w:rsid w:val="001E20B0"/>
    <w:rsid w:val="001E2582"/>
    <w:rsid w:val="001F22FE"/>
    <w:rsid w:val="001F4D67"/>
    <w:rsid w:val="00200EAF"/>
    <w:rsid w:val="002022DE"/>
    <w:rsid w:val="002075D2"/>
    <w:rsid w:val="00207EA5"/>
    <w:rsid w:val="002164B4"/>
    <w:rsid w:val="00217D9C"/>
    <w:rsid w:val="00221FAF"/>
    <w:rsid w:val="00222AA7"/>
    <w:rsid w:val="00223657"/>
    <w:rsid w:val="002245C7"/>
    <w:rsid w:val="00230E6F"/>
    <w:rsid w:val="00234BD8"/>
    <w:rsid w:val="00237C8A"/>
    <w:rsid w:val="002400AC"/>
    <w:rsid w:val="00241577"/>
    <w:rsid w:val="00241829"/>
    <w:rsid w:val="00241EE4"/>
    <w:rsid w:val="00242031"/>
    <w:rsid w:val="00244956"/>
    <w:rsid w:val="0025344F"/>
    <w:rsid w:val="002539B5"/>
    <w:rsid w:val="0026453A"/>
    <w:rsid w:val="00264A6B"/>
    <w:rsid w:val="002657E2"/>
    <w:rsid w:val="00266E63"/>
    <w:rsid w:val="00267692"/>
    <w:rsid w:val="00270D40"/>
    <w:rsid w:val="00272422"/>
    <w:rsid w:val="00272F49"/>
    <w:rsid w:val="00273299"/>
    <w:rsid w:val="00273676"/>
    <w:rsid w:val="00275644"/>
    <w:rsid w:val="002773D4"/>
    <w:rsid w:val="002809C4"/>
    <w:rsid w:val="002814DC"/>
    <w:rsid w:val="00285289"/>
    <w:rsid w:val="00285392"/>
    <w:rsid w:val="00295565"/>
    <w:rsid w:val="002965F9"/>
    <w:rsid w:val="002A1742"/>
    <w:rsid w:val="002A1FB6"/>
    <w:rsid w:val="002A4709"/>
    <w:rsid w:val="002A5C0D"/>
    <w:rsid w:val="002A674B"/>
    <w:rsid w:val="002B5E1F"/>
    <w:rsid w:val="002B6215"/>
    <w:rsid w:val="002C5987"/>
    <w:rsid w:val="002D0020"/>
    <w:rsid w:val="002D24F3"/>
    <w:rsid w:val="002D38F3"/>
    <w:rsid w:val="002D4101"/>
    <w:rsid w:val="002D794E"/>
    <w:rsid w:val="002E3C19"/>
    <w:rsid w:val="002F53A7"/>
    <w:rsid w:val="002F5F51"/>
    <w:rsid w:val="002F60F9"/>
    <w:rsid w:val="00307545"/>
    <w:rsid w:val="00321FE2"/>
    <w:rsid w:val="00322998"/>
    <w:rsid w:val="00322A60"/>
    <w:rsid w:val="00322BDA"/>
    <w:rsid w:val="0032414E"/>
    <w:rsid w:val="00332D66"/>
    <w:rsid w:val="00336406"/>
    <w:rsid w:val="00336DEC"/>
    <w:rsid w:val="00343023"/>
    <w:rsid w:val="00344DC4"/>
    <w:rsid w:val="00345FF0"/>
    <w:rsid w:val="0035154D"/>
    <w:rsid w:val="00354301"/>
    <w:rsid w:val="00363FB4"/>
    <w:rsid w:val="00364933"/>
    <w:rsid w:val="00393427"/>
    <w:rsid w:val="00394102"/>
    <w:rsid w:val="00394D08"/>
    <w:rsid w:val="003954F4"/>
    <w:rsid w:val="00396525"/>
    <w:rsid w:val="0039664A"/>
    <w:rsid w:val="003A4B1F"/>
    <w:rsid w:val="003A75DC"/>
    <w:rsid w:val="003B21CB"/>
    <w:rsid w:val="003B24A5"/>
    <w:rsid w:val="003B4BCE"/>
    <w:rsid w:val="003C6359"/>
    <w:rsid w:val="003C7AD1"/>
    <w:rsid w:val="003E4D36"/>
    <w:rsid w:val="003E7873"/>
    <w:rsid w:val="003F0124"/>
    <w:rsid w:val="003F71ED"/>
    <w:rsid w:val="00400B7C"/>
    <w:rsid w:val="00400FA4"/>
    <w:rsid w:val="004011CB"/>
    <w:rsid w:val="00420B95"/>
    <w:rsid w:val="00422688"/>
    <w:rsid w:val="00425132"/>
    <w:rsid w:val="004300E0"/>
    <w:rsid w:val="00431700"/>
    <w:rsid w:val="0043181F"/>
    <w:rsid w:val="0044145A"/>
    <w:rsid w:val="0044468C"/>
    <w:rsid w:val="00445F5F"/>
    <w:rsid w:val="0044602D"/>
    <w:rsid w:val="004475AB"/>
    <w:rsid w:val="00452245"/>
    <w:rsid w:val="00466497"/>
    <w:rsid w:val="00466F78"/>
    <w:rsid w:val="00467132"/>
    <w:rsid w:val="00467E7E"/>
    <w:rsid w:val="0047287A"/>
    <w:rsid w:val="004733C7"/>
    <w:rsid w:val="00474DA1"/>
    <w:rsid w:val="00481CF3"/>
    <w:rsid w:val="00484856"/>
    <w:rsid w:val="0049000B"/>
    <w:rsid w:val="00490464"/>
    <w:rsid w:val="004939FA"/>
    <w:rsid w:val="00495243"/>
    <w:rsid w:val="004A412E"/>
    <w:rsid w:val="004A6F98"/>
    <w:rsid w:val="004B0B8F"/>
    <w:rsid w:val="004B168E"/>
    <w:rsid w:val="004C537C"/>
    <w:rsid w:val="004C683D"/>
    <w:rsid w:val="004D09E2"/>
    <w:rsid w:val="004D13E9"/>
    <w:rsid w:val="004D22E0"/>
    <w:rsid w:val="004D29C4"/>
    <w:rsid w:val="004D4A88"/>
    <w:rsid w:val="004D5761"/>
    <w:rsid w:val="004E1F3A"/>
    <w:rsid w:val="00502971"/>
    <w:rsid w:val="005030D7"/>
    <w:rsid w:val="005060EE"/>
    <w:rsid w:val="00506626"/>
    <w:rsid w:val="00506A39"/>
    <w:rsid w:val="005071BB"/>
    <w:rsid w:val="005073A5"/>
    <w:rsid w:val="005109C8"/>
    <w:rsid w:val="00510CF7"/>
    <w:rsid w:val="00515AA2"/>
    <w:rsid w:val="00517255"/>
    <w:rsid w:val="0052767B"/>
    <w:rsid w:val="0053022A"/>
    <w:rsid w:val="00530CAE"/>
    <w:rsid w:val="00534489"/>
    <w:rsid w:val="0054242C"/>
    <w:rsid w:val="00545FC4"/>
    <w:rsid w:val="00550D8F"/>
    <w:rsid w:val="005510D7"/>
    <w:rsid w:val="005519F7"/>
    <w:rsid w:val="00553AE3"/>
    <w:rsid w:val="005541E6"/>
    <w:rsid w:val="005566E4"/>
    <w:rsid w:val="00562D6A"/>
    <w:rsid w:val="00565A71"/>
    <w:rsid w:val="00567F86"/>
    <w:rsid w:val="0057044D"/>
    <w:rsid w:val="005714D1"/>
    <w:rsid w:val="00573474"/>
    <w:rsid w:val="0057754B"/>
    <w:rsid w:val="00580A5D"/>
    <w:rsid w:val="0059067A"/>
    <w:rsid w:val="00590C0D"/>
    <w:rsid w:val="0059164C"/>
    <w:rsid w:val="00595DFB"/>
    <w:rsid w:val="005A0AB9"/>
    <w:rsid w:val="005A3A18"/>
    <w:rsid w:val="005A5E53"/>
    <w:rsid w:val="005A76D9"/>
    <w:rsid w:val="005B0503"/>
    <w:rsid w:val="005B1F47"/>
    <w:rsid w:val="005B3CA6"/>
    <w:rsid w:val="005C1F8A"/>
    <w:rsid w:val="005C248F"/>
    <w:rsid w:val="005C7FB9"/>
    <w:rsid w:val="005D10BE"/>
    <w:rsid w:val="005D2CF2"/>
    <w:rsid w:val="005D3BC5"/>
    <w:rsid w:val="005E0B40"/>
    <w:rsid w:val="005E4DDE"/>
    <w:rsid w:val="005E7466"/>
    <w:rsid w:val="005F02B8"/>
    <w:rsid w:val="005F358B"/>
    <w:rsid w:val="005F38FD"/>
    <w:rsid w:val="00600595"/>
    <w:rsid w:val="00613C2C"/>
    <w:rsid w:val="00620C17"/>
    <w:rsid w:val="0062142B"/>
    <w:rsid w:val="00623835"/>
    <w:rsid w:val="006314D8"/>
    <w:rsid w:val="00631DF9"/>
    <w:rsid w:val="00632DC5"/>
    <w:rsid w:val="006334CF"/>
    <w:rsid w:val="00637E42"/>
    <w:rsid w:val="00641326"/>
    <w:rsid w:val="00641444"/>
    <w:rsid w:val="00643936"/>
    <w:rsid w:val="00646720"/>
    <w:rsid w:val="00650F7A"/>
    <w:rsid w:val="00653A35"/>
    <w:rsid w:val="00657B71"/>
    <w:rsid w:val="00660A95"/>
    <w:rsid w:val="00660F0C"/>
    <w:rsid w:val="0066320E"/>
    <w:rsid w:val="00664FFA"/>
    <w:rsid w:val="006651B5"/>
    <w:rsid w:val="0066536A"/>
    <w:rsid w:val="00672443"/>
    <w:rsid w:val="006729A0"/>
    <w:rsid w:val="00674808"/>
    <w:rsid w:val="0069280E"/>
    <w:rsid w:val="0069650A"/>
    <w:rsid w:val="006B19D4"/>
    <w:rsid w:val="006B4AC0"/>
    <w:rsid w:val="006C0993"/>
    <w:rsid w:val="006C2652"/>
    <w:rsid w:val="006C4FD1"/>
    <w:rsid w:val="006C6433"/>
    <w:rsid w:val="006D35D3"/>
    <w:rsid w:val="006D5D42"/>
    <w:rsid w:val="006D7005"/>
    <w:rsid w:val="006E0987"/>
    <w:rsid w:val="006E3B9F"/>
    <w:rsid w:val="006E4366"/>
    <w:rsid w:val="006E53B6"/>
    <w:rsid w:val="006F2997"/>
    <w:rsid w:val="006F3A1C"/>
    <w:rsid w:val="007000B8"/>
    <w:rsid w:val="00702A76"/>
    <w:rsid w:val="007031D6"/>
    <w:rsid w:val="007103F7"/>
    <w:rsid w:val="00713843"/>
    <w:rsid w:val="00713D31"/>
    <w:rsid w:val="00715CCB"/>
    <w:rsid w:val="00716390"/>
    <w:rsid w:val="007200D7"/>
    <w:rsid w:val="007227AF"/>
    <w:rsid w:val="00725DA8"/>
    <w:rsid w:val="00733902"/>
    <w:rsid w:val="00735235"/>
    <w:rsid w:val="00737064"/>
    <w:rsid w:val="00741C15"/>
    <w:rsid w:val="007459E3"/>
    <w:rsid w:val="00747FEC"/>
    <w:rsid w:val="007625CF"/>
    <w:rsid w:val="00764F7A"/>
    <w:rsid w:val="0076502E"/>
    <w:rsid w:val="00772F19"/>
    <w:rsid w:val="007737A4"/>
    <w:rsid w:val="00780262"/>
    <w:rsid w:val="00782422"/>
    <w:rsid w:val="00782EB7"/>
    <w:rsid w:val="00783980"/>
    <w:rsid w:val="007913B6"/>
    <w:rsid w:val="0079426A"/>
    <w:rsid w:val="007965DE"/>
    <w:rsid w:val="00796737"/>
    <w:rsid w:val="007A165D"/>
    <w:rsid w:val="007A31D2"/>
    <w:rsid w:val="007A33A0"/>
    <w:rsid w:val="007A7B8F"/>
    <w:rsid w:val="007A7CE8"/>
    <w:rsid w:val="007B11DF"/>
    <w:rsid w:val="007B3C22"/>
    <w:rsid w:val="007B50C6"/>
    <w:rsid w:val="007C233A"/>
    <w:rsid w:val="007C4D50"/>
    <w:rsid w:val="007D273D"/>
    <w:rsid w:val="007D553E"/>
    <w:rsid w:val="007D5A70"/>
    <w:rsid w:val="007D69EC"/>
    <w:rsid w:val="007D6C43"/>
    <w:rsid w:val="007D76A4"/>
    <w:rsid w:val="007E423B"/>
    <w:rsid w:val="007E5783"/>
    <w:rsid w:val="007E5CBA"/>
    <w:rsid w:val="007F0B08"/>
    <w:rsid w:val="00801B6A"/>
    <w:rsid w:val="00802E84"/>
    <w:rsid w:val="00810552"/>
    <w:rsid w:val="00812AE2"/>
    <w:rsid w:val="0081506F"/>
    <w:rsid w:val="008164C9"/>
    <w:rsid w:val="00822BBE"/>
    <w:rsid w:val="00822CD0"/>
    <w:rsid w:val="00837FE3"/>
    <w:rsid w:val="008405B6"/>
    <w:rsid w:val="00842FD4"/>
    <w:rsid w:val="00846285"/>
    <w:rsid w:val="00852D58"/>
    <w:rsid w:val="008546E6"/>
    <w:rsid w:val="008632D5"/>
    <w:rsid w:val="00867C2D"/>
    <w:rsid w:val="008735CC"/>
    <w:rsid w:val="00876A24"/>
    <w:rsid w:val="00876E9B"/>
    <w:rsid w:val="00882C0B"/>
    <w:rsid w:val="008944AD"/>
    <w:rsid w:val="008956AD"/>
    <w:rsid w:val="0089613E"/>
    <w:rsid w:val="00896B3E"/>
    <w:rsid w:val="008A15CA"/>
    <w:rsid w:val="008A25E7"/>
    <w:rsid w:val="008A3122"/>
    <w:rsid w:val="008A4957"/>
    <w:rsid w:val="008A6273"/>
    <w:rsid w:val="008A6660"/>
    <w:rsid w:val="008B0C50"/>
    <w:rsid w:val="008B11AB"/>
    <w:rsid w:val="008B6632"/>
    <w:rsid w:val="008C1A88"/>
    <w:rsid w:val="008C4694"/>
    <w:rsid w:val="008C649A"/>
    <w:rsid w:val="008D03F8"/>
    <w:rsid w:val="008D281A"/>
    <w:rsid w:val="008E1A06"/>
    <w:rsid w:val="008E1FEA"/>
    <w:rsid w:val="008E39E9"/>
    <w:rsid w:val="008E493B"/>
    <w:rsid w:val="008E4A67"/>
    <w:rsid w:val="008E691D"/>
    <w:rsid w:val="008E7435"/>
    <w:rsid w:val="008F167C"/>
    <w:rsid w:val="009004E6"/>
    <w:rsid w:val="00900535"/>
    <w:rsid w:val="009102D1"/>
    <w:rsid w:val="009108F4"/>
    <w:rsid w:val="00911BC1"/>
    <w:rsid w:val="00913F21"/>
    <w:rsid w:val="00915E68"/>
    <w:rsid w:val="00922F3B"/>
    <w:rsid w:val="00923ACB"/>
    <w:rsid w:val="00924687"/>
    <w:rsid w:val="00934226"/>
    <w:rsid w:val="00934618"/>
    <w:rsid w:val="00936D3E"/>
    <w:rsid w:val="009477EA"/>
    <w:rsid w:val="009506D3"/>
    <w:rsid w:val="00953BE8"/>
    <w:rsid w:val="009609FF"/>
    <w:rsid w:val="00961788"/>
    <w:rsid w:val="00962571"/>
    <w:rsid w:val="009662C4"/>
    <w:rsid w:val="00966554"/>
    <w:rsid w:val="00967311"/>
    <w:rsid w:val="00976824"/>
    <w:rsid w:val="00977858"/>
    <w:rsid w:val="0098085C"/>
    <w:rsid w:val="00982C35"/>
    <w:rsid w:val="00986562"/>
    <w:rsid w:val="0099010F"/>
    <w:rsid w:val="0099090C"/>
    <w:rsid w:val="0099405E"/>
    <w:rsid w:val="00995712"/>
    <w:rsid w:val="00995C29"/>
    <w:rsid w:val="009A23B0"/>
    <w:rsid w:val="009A246E"/>
    <w:rsid w:val="009A467C"/>
    <w:rsid w:val="009C10BE"/>
    <w:rsid w:val="009D4F3B"/>
    <w:rsid w:val="009D7111"/>
    <w:rsid w:val="009E07F3"/>
    <w:rsid w:val="009E5C0D"/>
    <w:rsid w:val="009F0821"/>
    <w:rsid w:val="009F22DD"/>
    <w:rsid w:val="009F22E5"/>
    <w:rsid w:val="009F367B"/>
    <w:rsid w:val="009F391C"/>
    <w:rsid w:val="009F680E"/>
    <w:rsid w:val="009F74F3"/>
    <w:rsid w:val="00A01A36"/>
    <w:rsid w:val="00A03D59"/>
    <w:rsid w:val="00A06659"/>
    <w:rsid w:val="00A110BB"/>
    <w:rsid w:val="00A15DD5"/>
    <w:rsid w:val="00A21333"/>
    <w:rsid w:val="00A23439"/>
    <w:rsid w:val="00A25069"/>
    <w:rsid w:val="00A25EBB"/>
    <w:rsid w:val="00A4145A"/>
    <w:rsid w:val="00A50995"/>
    <w:rsid w:val="00A52D7F"/>
    <w:rsid w:val="00A53228"/>
    <w:rsid w:val="00A57271"/>
    <w:rsid w:val="00A6102C"/>
    <w:rsid w:val="00A6134B"/>
    <w:rsid w:val="00A65B79"/>
    <w:rsid w:val="00A70AAA"/>
    <w:rsid w:val="00A74848"/>
    <w:rsid w:val="00A75A3F"/>
    <w:rsid w:val="00A77362"/>
    <w:rsid w:val="00A816B2"/>
    <w:rsid w:val="00A85427"/>
    <w:rsid w:val="00A85B11"/>
    <w:rsid w:val="00A90EEF"/>
    <w:rsid w:val="00A920C0"/>
    <w:rsid w:val="00A96570"/>
    <w:rsid w:val="00AA2BC5"/>
    <w:rsid w:val="00AA4F5F"/>
    <w:rsid w:val="00AA56B9"/>
    <w:rsid w:val="00AA5B71"/>
    <w:rsid w:val="00AB0F65"/>
    <w:rsid w:val="00AC002E"/>
    <w:rsid w:val="00AC21BE"/>
    <w:rsid w:val="00AC28D0"/>
    <w:rsid w:val="00AC2D69"/>
    <w:rsid w:val="00AD3706"/>
    <w:rsid w:val="00AD5306"/>
    <w:rsid w:val="00AE25A6"/>
    <w:rsid w:val="00AE5E32"/>
    <w:rsid w:val="00AE6F2D"/>
    <w:rsid w:val="00AF41C5"/>
    <w:rsid w:val="00AF5167"/>
    <w:rsid w:val="00AF52F4"/>
    <w:rsid w:val="00AF5D59"/>
    <w:rsid w:val="00B0050A"/>
    <w:rsid w:val="00B044E9"/>
    <w:rsid w:val="00B06994"/>
    <w:rsid w:val="00B07EC7"/>
    <w:rsid w:val="00B13EBC"/>
    <w:rsid w:val="00B15CF0"/>
    <w:rsid w:val="00B16D4E"/>
    <w:rsid w:val="00B2081D"/>
    <w:rsid w:val="00B272A8"/>
    <w:rsid w:val="00B41244"/>
    <w:rsid w:val="00B4333B"/>
    <w:rsid w:val="00B44371"/>
    <w:rsid w:val="00B444A3"/>
    <w:rsid w:val="00B504B6"/>
    <w:rsid w:val="00B519F5"/>
    <w:rsid w:val="00B522E0"/>
    <w:rsid w:val="00B55B9A"/>
    <w:rsid w:val="00B5703C"/>
    <w:rsid w:val="00B6062B"/>
    <w:rsid w:val="00B67A81"/>
    <w:rsid w:val="00B70667"/>
    <w:rsid w:val="00B732B4"/>
    <w:rsid w:val="00B7373B"/>
    <w:rsid w:val="00B75A7C"/>
    <w:rsid w:val="00B83A3F"/>
    <w:rsid w:val="00B868BD"/>
    <w:rsid w:val="00B92606"/>
    <w:rsid w:val="00B96A47"/>
    <w:rsid w:val="00BA3746"/>
    <w:rsid w:val="00BA4AD8"/>
    <w:rsid w:val="00BB1C34"/>
    <w:rsid w:val="00BB1E1B"/>
    <w:rsid w:val="00BB2528"/>
    <w:rsid w:val="00BB4EAD"/>
    <w:rsid w:val="00BC1D81"/>
    <w:rsid w:val="00BC3EA5"/>
    <w:rsid w:val="00BC715C"/>
    <w:rsid w:val="00BD0EFF"/>
    <w:rsid w:val="00BD2362"/>
    <w:rsid w:val="00BD7A69"/>
    <w:rsid w:val="00BD7BF1"/>
    <w:rsid w:val="00BE1706"/>
    <w:rsid w:val="00BE4B99"/>
    <w:rsid w:val="00BE5AA4"/>
    <w:rsid w:val="00BF4207"/>
    <w:rsid w:val="00BF4354"/>
    <w:rsid w:val="00BF4C10"/>
    <w:rsid w:val="00BF5CA8"/>
    <w:rsid w:val="00BF74AC"/>
    <w:rsid w:val="00C00CFC"/>
    <w:rsid w:val="00C0518A"/>
    <w:rsid w:val="00C11C8A"/>
    <w:rsid w:val="00C13F86"/>
    <w:rsid w:val="00C2049A"/>
    <w:rsid w:val="00C2155A"/>
    <w:rsid w:val="00C21E29"/>
    <w:rsid w:val="00C22262"/>
    <w:rsid w:val="00C228D2"/>
    <w:rsid w:val="00C2494F"/>
    <w:rsid w:val="00C30A5B"/>
    <w:rsid w:val="00C311A1"/>
    <w:rsid w:val="00C31EFD"/>
    <w:rsid w:val="00C374E1"/>
    <w:rsid w:val="00C413AB"/>
    <w:rsid w:val="00C44645"/>
    <w:rsid w:val="00C47E0E"/>
    <w:rsid w:val="00C521AD"/>
    <w:rsid w:val="00C53E75"/>
    <w:rsid w:val="00C55460"/>
    <w:rsid w:val="00C620D1"/>
    <w:rsid w:val="00C66B71"/>
    <w:rsid w:val="00C737D4"/>
    <w:rsid w:val="00C75F2B"/>
    <w:rsid w:val="00C800E3"/>
    <w:rsid w:val="00C81CC2"/>
    <w:rsid w:val="00C84BA2"/>
    <w:rsid w:val="00C85279"/>
    <w:rsid w:val="00C90190"/>
    <w:rsid w:val="00C907BD"/>
    <w:rsid w:val="00C918F6"/>
    <w:rsid w:val="00C92236"/>
    <w:rsid w:val="00CA5FA9"/>
    <w:rsid w:val="00CB50F3"/>
    <w:rsid w:val="00CB7383"/>
    <w:rsid w:val="00CC210B"/>
    <w:rsid w:val="00CC2C4A"/>
    <w:rsid w:val="00CD302F"/>
    <w:rsid w:val="00CE0357"/>
    <w:rsid w:val="00CE25A8"/>
    <w:rsid w:val="00CF36FD"/>
    <w:rsid w:val="00D054B4"/>
    <w:rsid w:val="00D14CD2"/>
    <w:rsid w:val="00D22676"/>
    <w:rsid w:val="00D22C39"/>
    <w:rsid w:val="00D365F9"/>
    <w:rsid w:val="00D4010C"/>
    <w:rsid w:val="00D40721"/>
    <w:rsid w:val="00D4342B"/>
    <w:rsid w:val="00D46A87"/>
    <w:rsid w:val="00D4715C"/>
    <w:rsid w:val="00D5242E"/>
    <w:rsid w:val="00D52ABF"/>
    <w:rsid w:val="00D53CB0"/>
    <w:rsid w:val="00D55E00"/>
    <w:rsid w:val="00D61276"/>
    <w:rsid w:val="00D61E58"/>
    <w:rsid w:val="00D63744"/>
    <w:rsid w:val="00D64506"/>
    <w:rsid w:val="00D6535D"/>
    <w:rsid w:val="00D673C3"/>
    <w:rsid w:val="00D7058F"/>
    <w:rsid w:val="00D719C1"/>
    <w:rsid w:val="00D80BBE"/>
    <w:rsid w:val="00D81C38"/>
    <w:rsid w:val="00D820E1"/>
    <w:rsid w:val="00D84FD8"/>
    <w:rsid w:val="00D85709"/>
    <w:rsid w:val="00D9074C"/>
    <w:rsid w:val="00D90762"/>
    <w:rsid w:val="00DA13A0"/>
    <w:rsid w:val="00DA6DA2"/>
    <w:rsid w:val="00DB0B03"/>
    <w:rsid w:val="00DC048C"/>
    <w:rsid w:val="00DD0B4C"/>
    <w:rsid w:val="00DD1FD7"/>
    <w:rsid w:val="00DE4D6A"/>
    <w:rsid w:val="00DF27D8"/>
    <w:rsid w:val="00DF4906"/>
    <w:rsid w:val="00E0182D"/>
    <w:rsid w:val="00E02F39"/>
    <w:rsid w:val="00E03BF4"/>
    <w:rsid w:val="00E0404B"/>
    <w:rsid w:val="00E07ACC"/>
    <w:rsid w:val="00E102D1"/>
    <w:rsid w:val="00E11CB5"/>
    <w:rsid w:val="00E156BA"/>
    <w:rsid w:val="00E1619E"/>
    <w:rsid w:val="00E16EE4"/>
    <w:rsid w:val="00E20523"/>
    <w:rsid w:val="00E20993"/>
    <w:rsid w:val="00E25789"/>
    <w:rsid w:val="00E26185"/>
    <w:rsid w:val="00E316CE"/>
    <w:rsid w:val="00E37894"/>
    <w:rsid w:val="00E4639F"/>
    <w:rsid w:val="00E501C4"/>
    <w:rsid w:val="00E522AB"/>
    <w:rsid w:val="00E56035"/>
    <w:rsid w:val="00E61E02"/>
    <w:rsid w:val="00E62175"/>
    <w:rsid w:val="00E71B80"/>
    <w:rsid w:val="00E72AD1"/>
    <w:rsid w:val="00E7336F"/>
    <w:rsid w:val="00E747D0"/>
    <w:rsid w:val="00E76FB5"/>
    <w:rsid w:val="00E77294"/>
    <w:rsid w:val="00E846FD"/>
    <w:rsid w:val="00E86E35"/>
    <w:rsid w:val="00E918C4"/>
    <w:rsid w:val="00E927BA"/>
    <w:rsid w:val="00E940BB"/>
    <w:rsid w:val="00E9619C"/>
    <w:rsid w:val="00E9692F"/>
    <w:rsid w:val="00EA00E5"/>
    <w:rsid w:val="00EA2652"/>
    <w:rsid w:val="00EA2B20"/>
    <w:rsid w:val="00EA372B"/>
    <w:rsid w:val="00EA5A96"/>
    <w:rsid w:val="00EB1371"/>
    <w:rsid w:val="00EB1BB4"/>
    <w:rsid w:val="00EB33DE"/>
    <w:rsid w:val="00EB4A1F"/>
    <w:rsid w:val="00EB4E93"/>
    <w:rsid w:val="00EB5CE3"/>
    <w:rsid w:val="00EB707B"/>
    <w:rsid w:val="00EB7153"/>
    <w:rsid w:val="00EB7563"/>
    <w:rsid w:val="00EB77A9"/>
    <w:rsid w:val="00EC0B59"/>
    <w:rsid w:val="00ED4810"/>
    <w:rsid w:val="00ED582D"/>
    <w:rsid w:val="00ED73AE"/>
    <w:rsid w:val="00EE2D51"/>
    <w:rsid w:val="00EF567A"/>
    <w:rsid w:val="00F07A58"/>
    <w:rsid w:val="00F12115"/>
    <w:rsid w:val="00F121FE"/>
    <w:rsid w:val="00F1485B"/>
    <w:rsid w:val="00F1650B"/>
    <w:rsid w:val="00F267F5"/>
    <w:rsid w:val="00F27093"/>
    <w:rsid w:val="00F30991"/>
    <w:rsid w:val="00F30A7D"/>
    <w:rsid w:val="00F32447"/>
    <w:rsid w:val="00F35CA7"/>
    <w:rsid w:val="00F40741"/>
    <w:rsid w:val="00F40FF2"/>
    <w:rsid w:val="00F42AD7"/>
    <w:rsid w:val="00F43245"/>
    <w:rsid w:val="00F46294"/>
    <w:rsid w:val="00F503B5"/>
    <w:rsid w:val="00F53D06"/>
    <w:rsid w:val="00F57275"/>
    <w:rsid w:val="00F65A7D"/>
    <w:rsid w:val="00F65FD9"/>
    <w:rsid w:val="00F66B31"/>
    <w:rsid w:val="00F70347"/>
    <w:rsid w:val="00F71BBF"/>
    <w:rsid w:val="00F80FE3"/>
    <w:rsid w:val="00F83A1B"/>
    <w:rsid w:val="00F84FD8"/>
    <w:rsid w:val="00F85034"/>
    <w:rsid w:val="00F878E4"/>
    <w:rsid w:val="00F91A5C"/>
    <w:rsid w:val="00F9627D"/>
    <w:rsid w:val="00FA0E54"/>
    <w:rsid w:val="00FA2168"/>
    <w:rsid w:val="00FA33AE"/>
    <w:rsid w:val="00FA4E4F"/>
    <w:rsid w:val="00FA6D9D"/>
    <w:rsid w:val="00FB2D45"/>
    <w:rsid w:val="00FB5DEF"/>
    <w:rsid w:val="00FB697F"/>
    <w:rsid w:val="00FB6E4D"/>
    <w:rsid w:val="00FE2C27"/>
    <w:rsid w:val="00FE63D6"/>
    <w:rsid w:val="00FE7DAB"/>
    <w:rsid w:val="00FF2D9A"/>
    <w:rsid w:val="00FF697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D580"/>
  <w15:chartTrackingRefBased/>
  <w15:docId w15:val="{B8E4C8AA-6839-4CDF-810D-CE68547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F36"/>
  </w:style>
  <w:style w:type="paragraph" w:styleId="Heading1">
    <w:name w:val="heading 1"/>
    <w:basedOn w:val="Normal"/>
    <w:next w:val="Normal"/>
    <w:link w:val="Heading1Char"/>
    <w:uiPriority w:val="9"/>
    <w:qFormat/>
    <w:rsid w:val="00AF5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5D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5D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F5D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5D5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F5D5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F5D5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F5D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5D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oint list,List level 1"/>
    <w:basedOn w:val="Normal"/>
    <w:link w:val="ListParagraphChar"/>
    <w:uiPriority w:val="34"/>
    <w:qFormat/>
    <w:rsid w:val="00EB7563"/>
    <w:pPr>
      <w:numPr>
        <w:numId w:val="1"/>
      </w:numPr>
      <w:tabs>
        <w:tab w:val="left" w:pos="340"/>
      </w:tabs>
      <w:spacing w:before="120" w:after="0" w:line="240" w:lineRule="auto"/>
    </w:pPr>
    <w:rPr>
      <w:rFonts w:ascii="Arial" w:hAnsi="Arial"/>
    </w:rPr>
  </w:style>
  <w:style w:type="character" w:customStyle="1" w:styleId="ListParagraphChar">
    <w:name w:val="List Paragraph Char"/>
    <w:aliases w:val="Dot point list Char,List level 1 Char"/>
    <w:link w:val="ListParagraph"/>
    <w:uiPriority w:val="34"/>
    <w:qFormat/>
    <w:rsid w:val="00EB7563"/>
    <w:rPr>
      <w:rFonts w:ascii="Arial" w:hAnsi="Arial"/>
    </w:rPr>
  </w:style>
  <w:style w:type="paragraph" w:customStyle="1" w:styleId="subsection">
    <w:name w:val="subsection"/>
    <w:basedOn w:val="Normal"/>
    <w:rsid w:val="000333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0333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72443"/>
    <w:rPr>
      <w:sz w:val="16"/>
      <w:szCs w:val="16"/>
    </w:rPr>
  </w:style>
  <w:style w:type="paragraph" w:styleId="CommentText">
    <w:name w:val="annotation text"/>
    <w:basedOn w:val="Normal"/>
    <w:link w:val="CommentTextChar"/>
    <w:uiPriority w:val="99"/>
    <w:unhideWhenUsed/>
    <w:rsid w:val="00672443"/>
    <w:pPr>
      <w:spacing w:line="240" w:lineRule="auto"/>
    </w:pPr>
    <w:rPr>
      <w:sz w:val="20"/>
      <w:szCs w:val="20"/>
    </w:rPr>
  </w:style>
  <w:style w:type="character" w:customStyle="1" w:styleId="CommentTextChar">
    <w:name w:val="Comment Text Char"/>
    <w:basedOn w:val="DefaultParagraphFont"/>
    <w:link w:val="CommentText"/>
    <w:uiPriority w:val="99"/>
    <w:rsid w:val="00672443"/>
    <w:rPr>
      <w:sz w:val="20"/>
      <w:szCs w:val="20"/>
    </w:rPr>
  </w:style>
  <w:style w:type="paragraph" w:styleId="CommentSubject">
    <w:name w:val="annotation subject"/>
    <w:basedOn w:val="CommentText"/>
    <w:next w:val="CommentText"/>
    <w:link w:val="CommentSubjectChar"/>
    <w:uiPriority w:val="99"/>
    <w:semiHidden/>
    <w:unhideWhenUsed/>
    <w:rsid w:val="00672443"/>
    <w:rPr>
      <w:b/>
      <w:bCs/>
    </w:rPr>
  </w:style>
  <w:style w:type="character" w:customStyle="1" w:styleId="CommentSubjectChar">
    <w:name w:val="Comment Subject Char"/>
    <w:basedOn w:val="CommentTextChar"/>
    <w:link w:val="CommentSubject"/>
    <w:uiPriority w:val="99"/>
    <w:semiHidden/>
    <w:rsid w:val="00672443"/>
    <w:rPr>
      <w:b/>
      <w:bCs/>
      <w:sz w:val="20"/>
      <w:szCs w:val="20"/>
    </w:rPr>
  </w:style>
  <w:style w:type="paragraph" w:styleId="BalloonText">
    <w:name w:val="Balloon Text"/>
    <w:basedOn w:val="Normal"/>
    <w:link w:val="BalloonTextChar"/>
    <w:uiPriority w:val="99"/>
    <w:semiHidden/>
    <w:unhideWhenUsed/>
    <w:rsid w:val="00672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443"/>
    <w:rPr>
      <w:rFonts w:ascii="Segoe UI" w:hAnsi="Segoe UI" w:cs="Segoe UI"/>
      <w:sz w:val="18"/>
      <w:szCs w:val="18"/>
    </w:rPr>
  </w:style>
  <w:style w:type="character" w:styleId="Hyperlink">
    <w:name w:val="Hyperlink"/>
    <w:basedOn w:val="DefaultParagraphFont"/>
    <w:uiPriority w:val="99"/>
    <w:unhideWhenUsed/>
    <w:rsid w:val="00672443"/>
    <w:rPr>
      <w:color w:val="0563C1" w:themeColor="hyperlink"/>
      <w:u w:val="single"/>
    </w:rPr>
  </w:style>
  <w:style w:type="paragraph" w:styleId="FootnoteText">
    <w:name w:val="footnote text"/>
    <w:basedOn w:val="Normal"/>
    <w:link w:val="FootnoteTextChar"/>
    <w:uiPriority w:val="2"/>
    <w:unhideWhenUsed/>
    <w:rsid w:val="00336406"/>
    <w:pPr>
      <w:spacing w:after="0" w:line="240" w:lineRule="auto"/>
    </w:pPr>
    <w:rPr>
      <w:sz w:val="20"/>
      <w:szCs w:val="20"/>
    </w:rPr>
  </w:style>
  <w:style w:type="character" w:customStyle="1" w:styleId="FootnoteTextChar">
    <w:name w:val="Footnote Text Char"/>
    <w:basedOn w:val="DefaultParagraphFont"/>
    <w:link w:val="FootnoteText"/>
    <w:uiPriority w:val="2"/>
    <w:rsid w:val="00336406"/>
    <w:rPr>
      <w:sz w:val="20"/>
      <w:szCs w:val="20"/>
    </w:rPr>
  </w:style>
  <w:style w:type="character" w:styleId="FootnoteReference">
    <w:name w:val="footnote reference"/>
    <w:aliases w:val="(NECG) Footnote Reference,(NECG) Footnote Reference1,(NECG) Footnote Reference2,o,Style 3,Style 12,fr,Appel note de bas de p,Style 124,Appel n,Footnote Reference 1"/>
    <w:basedOn w:val="DefaultParagraphFont"/>
    <w:uiPriority w:val="99"/>
    <w:unhideWhenUsed/>
    <w:rsid w:val="00336406"/>
    <w:rPr>
      <w:vertAlign w:val="superscript"/>
    </w:rPr>
  </w:style>
  <w:style w:type="paragraph" w:customStyle="1" w:styleId="Numbered1">
    <w:name w:val="Numbered 1"/>
    <w:basedOn w:val="Heading1"/>
    <w:next w:val="Normal"/>
    <w:qFormat/>
    <w:rsid w:val="00AF5D59"/>
    <w:pPr>
      <w:keepNext w:val="0"/>
      <w:keepLines w:val="0"/>
      <w:numPr>
        <w:numId w:val="3"/>
      </w:numPr>
      <w:tabs>
        <w:tab w:val="num" w:pos="360"/>
        <w:tab w:val="left" w:pos="680"/>
      </w:tabs>
      <w:spacing w:line="240" w:lineRule="auto"/>
      <w:ind w:left="0" w:firstLine="0"/>
    </w:pPr>
    <w:rPr>
      <w:rFonts w:ascii="Arial" w:hAnsi="Arial"/>
      <w:b/>
      <w:bCs/>
      <w:color w:val="auto"/>
      <w:sz w:val="24"/>
      <w:szCs w:val="28"/>
    </w:rPr>
  </w:style>
  <w:style w:type="paragraph" w:customStyle="1" w:styleId="Numbered11">
    <w:name w:val="Numbered 1.1"/>
    <w:basedOn w:val="Heading2"/>
    <w:next w:val="Normal"/>
    <w:qFormat/>
    <w:rsid w:val="00AF5D59"/>
    <w:pPr>
      <w:keepNext w:val="0"/>
      <w:keepLines w:val="0"/>
      <w:numPr>
        <w:ilvl w:val="1"/>
        <w:numId w:val="3"/>
      </w:numPr>
      <w:tabs>
        <w:tab w:val="num" w:pos="360"/>
        <w:tab w:val="left" w:pos="1021"/>
      </w:tabs>
      <w:spacing w:before="200" w:line="240" w:lineRule="atLeast"/>
      <w:ind w:left="0" w:firstLine="0"/>
    </w:pPr>
    <w:rPr>
      <w:rFonts w:ascii="Arial" w:hAnsi="Arial" w:cs="Arial"/>
      <w:bCs/>
      <w:color w:val="auto"/>
      <w:sz w:val="22"/>
    </w:rPr>
  </w:style>
  <w:style w:type="paragraph" w:customStyle="1" w:styleId="Numbered111">
    <w:name w:val="Numbered 1.1.1"/>
    <w:basedOn w:val="Heading3"/>
    <w:next w:val="Normal"/>
    <w:qFormat/>
    <w:rsid w:val="00AF5D59"/>
    <w:pPr>
      <w:keepNext w:val="0"/>
      <w:keepLines w:val="0"/>
      <w:numPr>
        <w:ilvl w:val="2"/>
        <w:numId w:val="3"/>
      </w:numPr>
      <w:tabs>
        <w:tab w:val="num" w:pos="360"/>
        <w:tab w:val="left" w:pos="1361"/>
      </w:tabs>
      <w:spacing w:before="240" w:line="240" w:lineRule="auto"/>
      <w:ind w:left="0" w:firstLine="0"/>
      <w:contextualSpacing/>
    </w:pPr>
    <w:rPr>
      <w:rFonts w:ascii="Arial" w:hAnsi="Arial"/>
      <w:b/>
      <w:bCs/>
      <w:i/>
      <w:color w:val="000000" w:themeColor="text1" w:themeShade="BF"/>
      <w:sz w:val="22"/>
      <w:szCs w:val="22"/>
    </w:rPr>
  </w:style>
  <w:style w:type="paragraph" w:customStyle="1" w:styleId="Numbered1111">
    <w:name w:val="Numbered 1.1.1.1"/>
    <w:basedOn w:val="Heading4"/>
    <w:next w:val="Normal"/>
    <w:rsid w:val="00AF5D59"/>
    <w:pPr>
      <w:keepNext w:val="0"/>
      <w:keepLines w:val="0"/>
      <w:numPr>
        <w:ilvl w:val="3"/>
        <w:numId w:val="3"/>
      </w:numPr>
      <w:tabs>
        <w:tab w:val="num" w:pos="360"/>
        <w:tab w:val="left" w:pos="1361"/>
      </w:tabs>
      <w:spacing w:before="240" w:line="240" w:lineRule="auto"/>
      <w:ind w:left="0" w:firstLine="0"/>
    </w:pPr>
    <w:rPr>
      <w:rFonts w:ascii="Arial" w:hAnsi="Arial"/>
      <w:b/>
      <w:bCs/>
      <w:color w:val="5B9BD5" w:themeColor="accent1"/>
    </w:rPr>
  </w:style>
  <w:style w:type="paragraph" w:customStyle="1" w:styleId="Numbered11111">
    <w:name w:val="Numbered 1.1.1.1.1"/>
    <w:basedOn w:val="Heading5"/>
    <w:next w:val="Normal"/>
    <w:uiPriority w:val="2"/>
    <w:rsid w:val="00AF5D59"/>
    <w:pPr>
      <w:keepNext w:val="0"/>
      <w:keepLines w:val="0"/>
      <w:numPr>
        <w:ilvl w:val="4"/>
        <w:numId w:val="3"/>
      </w:numPr>
      <w:tabs>
        <w:tab w:val="num" w:pos="360"/>
        <w:tab w:val="left" w:pos="1701"/>
      </w:tabs>
      <w:spacing w:before="200" w:line="240" w:lineRule="atLeast"/>
      <w:ind w:left="0" w:firstLine="0"/>
    </w:pPr>
    <w:rPr>
      <w:rFonts w:ascii="Arial" w:hAnsi="Arial"/>
      <w:b/>
      <w:color w:val="1F4D78" w:themeColor="accent1" w:themeShade="7F"/>
    </w:rPr>
  </w:style>
  <w:style w:type="paragraph" w:customStyle="1" w:styleId="Numbered111111">
    <w:name w:val="Numbered 1.1.1.1.1.1"/>
    <w:basedOn w:val="Heading6"/>
    <w:next w:val="Normal"/>
    <w:uiPriority w:val="2"/>
    <w:rsid w:val="00AF5D59"/>
    <w:pPr>
      <w:keepNext w:val="0"/>
      <w:keepLines w:val="0"/>
      <w:numPr>
        <w:ilvl w:val="5"/>
        <w:numId w:val="3"/>
      </w:numPr>
      <w:tabs>
        <w:tab w:val="num" w:pos="360"/>
        <w:tab w:val="left" w:pos="1701"/>
      </w:tabs>
      <w:spacing w:before="240" w:line="240" w:lineRule="auto"/>
      <w:ind w:left="0" w:firstLine="0"/>
    </w:pPr>
    <w:rPr>
      <w:rFonts w:ascii="Arial" w:hAnsi="Arial"/>
      <w:b/>
      <w:i/>
      <w:iCs/>
      <w:color w:val="auto"/>
    </w:rPr>
  </w:style>
  <w:style w:type="paragraph" w:customStyle="1" w:styleId="Numbered1111111">
    <w:name w:val="Numbered 1.1.1.1.1.1.1"/>
    <w:basedOn w:val="Heading7"/>
    <w:next w:val="Normal"/>
    <w:uiPriority w:val="2"/>
    <w:rsid w:val="00AF5D59"/>
    <w:pPr>
      <w:keepNext w:val="0"/>
      <w:keepLines w:val="0"/>
      <w:numPr>
        <w:ilvl w:val="6"/>
        <w:numId w:val="3"/>
      </w:numPr>
      <w:tabs>
        <w:tab w:val="num" w:pos="360"/>
        <w:tab w:val="left" w:pos="2041"/>
      </w:tabs>
      <w:spacing w:before="240" w:line="240" w:lineRule="auto"/>
      <w:ind w:left="0" w:firstLine="0"/>
    </w:pPr>
    <w:rPr>
      <w:rFonts w:ascii="Arial" w:hAnsi="Arial"/>
      <w:color w:val="000000" w:themeColor="text1"/>
    </w:rPr>
  </w:style>
  <w:style w:type="paragraph" w:customStyle="1" w:styleId="Numbered11111111">
    <w:name w:val="Numbered 1.1.1.1.1.1.1.1"/>
    <w:basedOn w:val="Heading8"/>
    <w:next w:val="Normal"/>
    <w:uiPriority w:val="2"/>
    <w:rsid w:val="00AF5D59"/>
    <w:pPr>
      <w:keepNext w:val="0"/>
      <w:keepLines w:val="0"/>
      <w:numPr>
        <w:ilvl w:val="7"/>
        <w:numId w:val="3"/>
      </w:numPr>
      <w:tabs>
        <w:tab w:val="num" w:pos="360"/>
        <w:tab w:val="left" w:pos="2041"/>
      </w:tabs>
      <w:spacing w:before="240" w:line="240" w:lineRule="auto"/>
      <w:ind w:left="0" w:firstLine="0"/>
    </w:pPr>
    <w:rPr>
      <w:rFonts w:ascii="Arial" w:hAnsi="Arial"/>
      <w:color w:val="5B9BD5" w:themeColor="accent1"/>
      <w:sz w:val="22"/>
      <w:szCs w:val="20"/>
    </w:rPr>
  </w:style>
  <w:style w:type="paragraph" w:customStyle="1" w:styleId="Numbered111111111">
    <w:name w:val="Numbered 1.1.1.1.1.1.1.1.1"/>
    <w:basedOn w:val="Heading9"/>
    <w:next w:val="Normal"/>
    <w:uiPriority w:val="2"/>
    <w:rsid w:val="00AF5D59"/>
    <w:pPr>
      <w:keepNext w:val="0"/>
      <w:keepLines w:val="0"/>
      <w:numPr>
        <w:ilvl w:val="8"/>
        <w:numId w:val="3"/>
      </w:numPr>
      <w:tabs>
        <w:tab w:val="num" w:pos="360"/>
        <w:tab w:val="left" w:pos="2381"/>
      </w:tabs>
      <w:spacing w:before="240" w:line="240" w:lineRule="auto"/>
      <w:ind w:left="0" w:firstLine="0"/>
    </w:pPr>
    <w:rPr>
      <w:rFonts w:ascii="Arial" w:hAnsi="Arial"/>
      <w:color w:val="5B9BD5" w:themeColor="accent1"/>
      <w:sz w:val="22"/>
      <w:szCs w:val="20"/>
    </w:rPr>
  </w:style>
  <w:style w:type="character" w:customStyle="1" w:styleId="Heading1Char">
    <w:name w:val="Heading 1 Char"/>
    <w:basedOn w:val="DefaultParagraphFont"/>
    <w:link w:val="Heading1"/>
    <w:uiPriority w:val="9"/>
    <w:rsid w:val="00AF5D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5D5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5D5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F5D5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F5D5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F5D5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F5D5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F5D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5D59"/>
    <w:rPr>
      <w:rFonts w:asciiTheme="majorHAnsi" w:eastAsiaTheme="majorEastAsia" w:hAnsiTheme="majorHAnsi" w:cstheme="majorBidi"/>
      <w:i/>
      <w:iCs/>
      <w:color w:val="272727" w:themeColor="text1" w:themeTint="D8"/>
      <w:sz w:val="21"/>
      <w:szCs w:val="21"/>
    </w:rPr>
  </w:style>
  <w:style w:type="paragraph" w:customStyle="1" w:styleId="Normalparagraph">
    <w:name w:val="Normal paragraph"/>
    <w:basedOn w:val="Normal"/>
    <w:qFormat/>
    <w:rsid w:val="00C311A1"/>
    <w:pPr>
      <w:numPr>
        <w:numId w:val="4"/>
      </w:numPr>
      <w:spacing w:after="240" w:line="240" w:lineRule="auto"/>
    </w:pPr>
    <w:rPr>
      <w:rFonts w:ascii="Arial" w:eastAsia="Calibri" w:hAnsi="Arial" w:cs="Calibri"/>
    </w:rPr>
  </w:style>
  <w:style w:type="paragraph" w:styleId="ListBullet3">
    <w:name w:val="List Bullet 3"/>
    <w:basedOn w:val="Normal"/>
    <w:uiPriority w:val="99"/>
    <w:qFormat/>
    <w:rsid w:val="00C311A1"/>
    <w:pPr>
      <w:numPr>
        <w:numId w:val="6"/>
      </w:numPr>
      <w:spacing w:before="120" w:after="0" w:line="240" w:lineRule="auto"/>
    </w:pPr>
    <w:rPr>
      <w:rFonts w:ascii="Arial" w:hAnsi="Arial"/>
    </w:rPr>
  </w:style>
  <w:style w:type="paragraph" w:customStyle="1" w:styleId="Numberedparagraph11">
    <w:name w:val="Numbered paragraph 1.1"/>
    <w:basedOn w:val="Numbered11"/>
    <w:link w:val="Numberedparagraph11Char"/>
    <w:qFormat/>
    <w:rsid w:val="001C2475"/>
    <w:pPr>
      <w:numPr>
        <w:ilvl w:val="0"/>
        <w:numId w:val="0"/>
      </w:numPr>
      <w:outlineLvl w:val="9"/>
    </w:pPr>
    <w:rPr>
      <w:bCs w:val="0"/>
    </w:rPr>
  </w:style>
  <w:style w:type="character" w:customStyle="1" w:styleId="Numberedparagraph11Char">
    <w:name w:val="Numbered paragraph 1.1 Char"/>
    <w:link w:val="Numberedparagraph11"/>
    <w:rsid w:val="001C2475"/>
    <w:rPr>
      <w:rFonts w:ascii="Arial" w:eastAsiaTheme="majorEastAsia" w:hAnsi="Arial" w:cs="Arial"/>
      <w:szCs w:val="26"/>
    </w:rPr>
  </w:style>
  <w:style w:type="character" w:styleId="FollowedHyperlink">
    <w:name w:val="FollowedHyperlink"/>
    <w:basedOn w:val="DefaultParagraphFont"/>
    <w:uiPriority w:val="99"/>
    <w:semiHidden/>
    <w:unhideWhenUsed/>
    <w:rsid w:val="008956AD"/>
    <w:rPr>
      <w:color w:val="954F72" w:themeColor="followedHyperlink"/>
      <w:u w:val="single"/>
    </w:rPr>
  </w:style>
  <w:style w:type="table" w:customStyle="1" w:styleId="ACCCTable1">
    <w:name w:val="ACCC Table1"/>
    <w:basedOn w:val="TableNormal"/>
    <w:next w:val="TableGrid"/>
    <w:uiPriority w:val="59"/>
    <w:rsid w:val="00D719C1"/>
    <w:pPr>
      <w:spacing w:before="60" w:after="60" w:line="240" w:lineRule="auto"/>
    </w:pPr>
    <w:rPr>
      <w:rFonts w:ascii="Arial" w:hAnsi="Arial"/>
      <w:sz w:val="20"/>
    </w:rPr>
    <w:tblPr>
      <w:tblBorders>
        <w:top w:val="single" w:sz="4" w:space="0" w:color="BFBFBF"/>
        <w:bottom w:val="single" w:sz="4" w:space="0" w:color="BFBF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left w:val="nil"/>
          <w:bottom w:val="single" w:sz="4" w:space="0" w:color="BFBF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TableGrid">
    <w:name w:val="Table Grid"/>
    <w:basedOn w:val="TableNormal"/>
    <w:uiPriority w:val="39"/>
    <w:rsid w:val="00D71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719C1"/>
    <w:pPr>
      <w:outlineLvl w:val="9"/>
    </w:pPr>
    <w:rPr>
      <w:lang w:val="en-US"/>
    </w:rPr>
  </w:style>
  <w:style w:type="paragraph" w:styleId="TOC1">
    <w:name w:val="toc 1"/>
    <w:basedOn w:val="Normal"/>
    <w:next w:val="Normal"/>
    <w:autoRedefine/>
    <w:uiPriority w:val="39"/>
    <w:unhideWhenUsed/>
    <w:rsid w:val="00D719C1"/>
    <w:pPr>
      <w:spacing w:after="100"/>
    </w:pPr>
  </w:style>
  <w:style w:type="paragraph" w:styleId="TOC2">
    <w:name w:val="toc 2"/>
    <w:basedOn w:val="Normal"/>
    <w:next w:val="Normal"/>
    <w:autoRedefine/>
    <w:uiPriority w:val="39"/>
    <w:unhideWhenUsed/>
    <w:rsid w:val="00D719C1"/>
    <w:pPr>
      <w:spacing w:after="100"/>
      <w:ind w:left="220"/>
    </w:pPr>
  </w:style>
  <w:style w:type="paragraph" w:customStyle="1" w:styleId="LegalNumbering">
    <w:name w:val="Legal Numbering"/>
    <w:basedOn w:val="Normal"/>
    <w:qFormat/>
    <w:rsid w:val="00C31EFD"/>
    <w:pPr>
      <w:numPr>
        <w:numId w:val="12"/>
      </w:numPr>
      <w:tabs>
        <w:tab w:val="left" w:pos="340"/>
        <w:tab w:val="left" w:pos="680"/>
        <w:tab w:val="left" w:pos="1021"/>
        <w:tab w:val="left" w:pos="1361"/>
      </w:tabs>
      <w:spacing w:before="200" w:after="0" w:line="240" w:lineRule="auto"/>
    </w:pPr>
    <w:rPr>
      <w:rFonts w:ascii="Arial" w:hAnsi="Arial"/>
    </w:rPr>
  </w:style>
  <w:style w:type="character" w:styleId="Strong">
    <w:name w:val="Strong"/>
    <w:basedOn w:val="DefaultParagraphFont"/>
    <w:uiPriority w:val="22"/>
    <w:qFormat/>
    <w:rsid w:val="005C1F8A"/>
    <w:rPr>
      <w:b/>
      <w:bCs/>
    </w:rPr>
  </w:style>
  <w:style w:type="paragraph" w:styleId="Header">
    <w:name w:val="header"/>
    <w:basedOn w:val="Normal"/>
    <w:link w:val="HeaderChar"/>
    <w:uiPriority w:val="99"/>
    <w:unhideWhenUsed/>
    <w:rsid w:val="00910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2D1"/>
  </w:style>
  <w:style w:type="paragraph" w:styleId="Footer">
    <w:name w:val="footer"/>
    <w:basedOn w:val="Normal"/>
    <w:link w:val="FooterChar"/>
    <w:uiPriority w:val="99"/>
    <w:unhideWhenUsed/>
    <w:rsid w:val="00910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2D1"/>
  </w:style>
  <w:style w:type="character" w:styleId="Emphasis">
    <w:name w:val="Emphasis"/>
    <w:basedOn w:val="DefaultParagraphFont"/>
    <w:uiPriority w:val="20"/>
    <w:qFormat/>
    <w:rsid w:val="00396525"/>
    <w:rPr>
      <w:i/>
      <w:iCs/>
    </w:rPr>
  </w:style>
  <w:style w:type="paragraph" w:customStyle="1" w:styleId="ActHead3">
    <w:name w:val="ActHead 3"/>
    <w:aliases w:val="d"/>
    <w:basedOn w:val="Normal"/>
    <w:next w:val="Normal"/>
    <w:qFormat/>
    <w:rsid w:val="00D64506"/>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ttExplainTemplate">
    <w:name w:val="tt_Explain_Template"/>
    <w:basedOn w:val="Normal"/>
    <w:qFormat/>
    <w:rsid w:val="00D64506"/>
    <w:pPr>
      <w:tabs>
        <w:tab w:val="left" w:pos="737"/>
        <w:tab w:val="left" w:pos="1191"/>
        <w:tab w:val="left" w:pos="1644"/>
      </w:tabs>
      <w:spacing w:before="80" w:after="0" w:line="260" w:lineRule="atLeast"/>
    </w:pPr>
    <w:rPr>
      <w:rFonts w:ascii="Arial" w:eastAsia="Calibri" w:hAnsi="Arial" w:cs="Times New Roman"/>
      <w:color w:val="7030A0"/>
      <w:szCs w:val="20"/>
    </w:rPr>
  </w:style>
  <w:style w:type="paragraph" w:customStyle="1" w:styleId="Default">
    <w:name w:val="Default"/>
    <w:basedOn w:val="Normal"/>
    <w:uiPriority w:val="99"/>
    <w:rsid w:val="009F74F3"/>
    <w:pPr>
      <w:autoSpaceDE w:val="0"/>
      <w:autoSpaceDN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37894"/>
    <w:pPr>
      <w:spacing w:after="0" w:line="240" w:lineRule="auto"/>
    </w:pPr>
  </w:style>
  <w:style w:type="paragraph" w:customStyle="1" w:styleId="Notes-client">
    <w:name w:val="Notes - client"/>
    <w:aliases w:val="N Client"/>
    <w:basedOn w:val="Normal"/>
    <w:uiPriority w:val="6"/>
    <w:qFormat/>
    <w:rsid w:val="0059164C"/>
    <w:pPr>
      <w:pBdr>
        <w:top w:val="single" w:sz="8" w:space="0" w:color="0000FF"/>
        <w:left w:val="single" w:sz="8" w:space="0" w:color="0000FF"/>
        <w:bottom w:val="single" w:sz="8" w:space="0" w:color="0000FF"/>
        <w:right w:val="single" w:sz="8" w:space="0" w:color="0000FF"/>
      </w:pBdr>
      <w:spacing w:before="200" w:after="140" w:line="280" w:lineRule="atLeast"/>
    </w:pPr>
    <w:rPr>
      <w:rFonts w:ascii="Arial" w:eastAsiaTheme="minorEastAsia" w:hAnsi="Arial" w:cs="Arial"/>
      <w:color w:val="0000FF"/>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6506">
      <w:bodyDiv w:val="1"/>
      <w:marLeft w:val="0"/>
      <w:marRight w:val="0"/>
      <w:marTop w:val="0"/>
      <w:marBottom w:val="0"/>
      <w:divBdr>
        <w:top w:val="none" w:sz="0" w:space="0" w:color="auto"/>
        <w:left w:val="none" w:sz="0" w:space="0" w:color="auto"/>
        <w:bottom w:val="none" w:sz="0" w:space="0" w:color="auto"/>
        <w:right w:val="none" w:sz="0" w:space="0" w:color="auto"/>
      </w:divBdr>
    </w:div>
    <w:div w:id="120536983">
      <w:bodyDiv w:val="1"/>
      <w:marLeft w:val="0"/>
      <w:marRight w:val="0"/>
      <w:marTop w:val="0"/>
      <w:marBottom w:val="0"/>
      <w:divBdr>
        <w:top w:val="none" w:sz="0" w:space="0" w:color="auto"/>
        <w:left w:val="none" w:sz="0" w:space="0" w:color="auto"/>
        <w:bottom w:val="none" w:sz="0" w:space="0" w:color="auto"/>
        <w:right w:val="none" w:sz="0" w:space="0" w:color="auto"/>
      </w:divBdr>
    </w:div>
    <w:div w:id="186023691">
      <w:bodyDiv w:val="1"/>
      <w:marLeft w:val="0"/>
      <w:marRight w:val="0"/>
      <w:marTop w:val="0"/>
      <w:marBottom w:val="0"/>
      <w:divBdr>
        <w:top w:val="none" w:sz="0" w:space="0" w:color="auto"/>
        <w:left w:val="none" w:sz="0" w:space="0" w:color="auto"/>
        <w:bottom w:val="none" w:sz="0" w:space="0" w:color="auto"/>
        <w:right w:val="none" w:sz="0" w:space="0" w:color="auto"/>
      </w:divBdr>
    </w:div>
    <w:div w:id="236207880">
      <w:bodyDiv w:val="1"/>
      <w:marLeft w:val="0"/>
      <w:marRight w:val="0"/>
      <w:marTop w:val="0"/>
      <w:marBottom w:val="0"/>
      <w:divBdr>
        <w:top w:val="none" w:sz="0" w:space="0" w:color="auto"/>
        <w:left w:val="none" w:sz="0" w:space="0" w:color="auto"/>
        <w:bottom w:val="none" w:sz="0" w:space="0" w:color="auto"/>
        <w:right w:val="none" w:sz="0" w:space="0" w:color="auto"/>
      </w:divBdr>
    </w:div>
    <w:div w:id="271590931">
      <w:bodyDiv w:val="1"/>
      <w:marLeft w:val="0"/>
      <w:marRight w:val="0"/>
      <w:marTop w:val="0"/>
      <w:marBottom w:val="0"/>
      <w:divBdr>
        <w:top w:val="none" w:sz="0" w:space="0" w:color="auto"/>
        <w:left w:val="none" w:sz="0" w:space="0" w:color="auto"/>
        <w:bottom w:val="none" w:sz="0" w:space="0" w:color="auto"/>
        <w:right w:val="none" w:sz="0" w:space="0" w:color="auto"/>
      </w:divBdr>
    </w:div>
    <w:div w:id="358047690">
      <w:bodyDiv w:val="1"/>
      <w:marLeft w:val="0"/>
      <w:marRight w:val="0"/>
      <w:marTop w:val="0"/>
      <w:marBottom w:val="0"/>
      <w:divBdr>
        <w:top w:val="none" w:sz="0" w:space="0" w:color="auto"/>
        <w:left w:val="none" w:sz="0" w:space="0" w:color="auto"/>
        <w:bottom w:val="none" w:sz="0" w:space="0" w:color="auto"/>
        <w:right w:val="none" w:sz="0" w:space="0" w:color="auto"/>
      </w:divBdr>
    </w:div>
    <w:div w:id="407121541">
      <w:bodyDiv w:val="1"/>
      <w:marLeft w:val="0"/>
      <w:marRight w:val="0"/>
      <w:marTop w:val="0"/>
      <w:marBottom w:val="0"/>
      <w:divBdr>
        <w:top w:val="none" w:sz="0" w:space="0" w:color="auto"/>
        <w:left w:val="none" w:sz="0" w:space="0" w:color="auto"/>
        <w:bottom w:val="none" w:sz="0" w:space="0" w:color="auto"/>
        <w:right w:val="none" w:sz="0" w:space="0" w:color="auto"/>
      </w:divBdr>
    </w:div>
    <w:div w:id="452405352">
      <w:bodyDiv w:val="1"/>
      <w:marLeft w:val="0"/>
      <w:marRight w:val="0"/>
      <w:marTop w:val="0"/>
      <w:marBottom w:val="0"/>
      <w:divBdr>
        <w:top w:val="none" w:sz="0" w:space="0" w:color="auto"/>
        <w:left w:val="none" w:sz="0" w:space="0" w:color="auto"/>
        <w:bottom w:val="none" w:sz="0" w:space="0" w:color="auto"/>
        <w:right w:val="none" w:sz="0" w:space="0" w:color="auto"/>
      </w:divBdr>
    </w:div>
    <w:div w:id="455298627">
      <w:bodyDiv w:val="1"/>
      <w:marLeft w:val="0"/>
      <w:marRight w:val="0"/>
      <w:marTop w:val="0"/>
      <w:marBottom w:val="0"/>
      <w:divBdr>
        <w:top w:val="none" w:sz="0" w:space="0" w:color="auto"/>
        <w:left w:val="none" w:sz="0" w:space="0" w:color="auto"/>
        <w:bottom w:val="none" w:sz="0" w:space="0" w:color="auto"/>
        <w:right w:val="none" w:sz="0" w:space="0" w:color="auto"/>
      </w:divBdr>
    </w:div>
    <w:div w:id="667829556">
      <w:bodyDiv w:val="1"/>
      <w:marLeft w:val="0"/>
      <w:marRight w:val="0"/>
      <w:marTop w:val="0"/>
      <w:marBottom w:val="0"/>
      <w:divBdr>
        <w:top w:val="none" w:sz="0" w:space="0" w:color="auto"/>
        <w:left w:val="none" w:sz="0" w:space="0" w:color="auto"/>
        <w:bottom w:val="none" w:sz="0" w:space="0" w:color="auto"/>
        <w:right w:val="none" w:sz="0" w:space="0" w:color="auto"/>
      </w:divBdr>
    </w:div>
    <w:div w:id="766968034">
      <w:bodyDiv w:val="1"/>
      <w:marLeft w:val="0"/>
      <w:marRight w:val="0"/>
      <w:marTop w:val="0"/>
      <w:marBottom w:val="0"/>
      <w:divBdr>
        <w:top w:val="none" w:sz="0" w:space="0" w:color="auto"/>
        <w:left w:val="none" w:sz="0" w:space="0" w:color="auto"/>
        <w:bottom w:val="none" w:sz="0" w:space="0" w:color="auto"/>
        <w:right w:val="none" w:sz="0" w:space="0" w:color="auto"/>
      </w:divBdr>
    </w:div>
    <w:div w:id="874273890">
      <w:bodyDiv w:val="1"/>
      <w:marLeft w:val="0"/>
      <w:marRight w:val="0"/>
      <w:marTop w:val="0"/>
      <w:marBottom w:val="0"/>
      <w:divBdr>
        <w:top w:val="none" w:sz="0" w:space="0" w:color="auto"/>
        <w:left w:val="none" w:sz="0" w:space="0" w:color="auto"/>
        <w:bottom w:val="none" w:sz="0" w:space="0" w:color="auto"/>
        <w:right w:val="none" w:sz="0" w:space="0" w:color="auto"/>
      </w:divBdr>
    </w:div>
    <w:div w:id="1089883387">
      <w:bodyDiv w:val="1"/>
      <w:marLeft w:val="0"/>
      <w:marRight w:val="0"/>
      <w:marTop w:val="0"/>
      <w:marBottom w:val="0"/>
      <w:divBdr>
        <w:top w:val="none" w:sz="0" w:space="0" w:color="auto"/>
        <w:left w:val="none" w:sz="0" w:space="0" w:color="auto"/>
        <w:bottom w:val="none" w:sz="0" w:space="0" w:color="auto"/>
        <w:right w:val="none" w:sz="0" w:space="0" w:color="auto"/>
      </w:divBdr>
    </w:div>
    <w:div w:id="1601644884">
      <w:bodyDiv w:val="1"/>
      <w:marLeft w:val="0"/>
      <w:marRight w:val="0"/>
      <w:marTop w:val="0"/>
      <w:marBottom w:val="0"/>
      <w:divBdr>
        <w:top w:val="none" w:sz="0" w:space="0" w:color="auto"/>
        <w:left w:val="none" w:sz="0" w:space="0" w:color="auto"/>
        <w:bottom w:val="none" w:sz="0" w:space="0" w:color="auto"/>
        <w:right w:val="none" w:sz="0" w:space="0" w:color="auto"/>
      </w:divBdr>
    </w:div>
    <w:div w:id="1610624479">
      <w:bodyDiv w:val="1"/>
      <w:marLeft w:val="0"/>
      <w:marRight w:val="0"/>
      <w:marTop w:val="0"/>
      <w:marBottom w:val="0"/>
      <w:divBdr>
        <w:top w:val="none" w:sz="0" w:space="0" w:color="auto"/>
        <w:left w:val="none" w:sz="0" w:space="0" w:color="auto"/>
        <w:bottom w:val="none" w:sz="0" w:space="0" w:color="auto"/>
        <w:right w:val="none" w:sz="0" w:space="0" w:color="auto"/>
      </w:divBdr>
    </w:div>
    <w:div w:id="1711101541">
      <w:bodyDiv w:val="1"/>
      <w:marLeft w:val="0"/>
      <w:marRight w:val="0"/>
      <w:marTop w:val="0"/>
      <w:marBottom w:val="0"/>
      <w:divBdr>
        <w:top w:val="none" w:sz="0" w:space="0" w:color="auto"/>
        <w:left w:val="none" w:sz="0" w:space="0" w:color="auto"/>
        <w:bottom w:val="none" w:sz="0" w:space="0" w:color="auto"/>
        <w:right w:val="none" w:sz="0" w:space="0" w:color="auto"/>
      </w:divBdr>
    </w:div>
    <w:div w:id="1780101376">
      <w:bodyDiv w:val="1"/>
      <w:marLeft w:val="0"/>
      <w:marRight w:val="0"/>
      <w:marTop w:val="0"/>
      <w:marBottom w:val="0"/>
      <w:divBdr>
        <w:top w:val="none" w:sz="0" w:space="0" w:color="auto"/>
        <w:left w:val="none" w:sz="0" w:space="0" w:color="auto"/>
        <w:bottom w:val="none" w:sz="0" w:space="0" w:color="auto"/>
        <w:right w:val="none" w:sz="0" w:space="0" w:color="auto"/>
      </w:divBdr>
    </w:div>
    <w:div w:id="1829634349">
      <w:bodyDiv w:val="1"/>
      <w:marLeft w:val="0"/>
      <w:marRight w:val="0"/>
      <w:marTop w:val="0"/>
      <w:marBottom w:val="0"/>
      <w:divBdr>
        <w:top w:val="none" w:sz="0" w:space="0" w:color="auto"/>
        <w:left w:val="none" w:sz="0" w:space="0" w:color="auto"/>
        <w:bottom w:val="none" w:sz="0" w:space="0" w:color="auto"/>
        <w:right w:val="none" w:sz="0" w:space="0" w:color="auto"/>
      </w:divBdr>
    </w:div>
    <w:div w:id="1891842843">
      <w:bodyDiv w:val="1"/>
      <w:marLeft w:val="0"/>
      <w:marRight w:val="0"/>
      <w:marTop w:val="0"/>
      <w:marBottom w:val="0"/>
      <w:divBdr>
        <w:top w:val="none" w:sz="0" w:space="0" w:color="auto"/>
        <w:left w:val="none" w:sz="0" w:space="0" w:color="auto"/>
        <w:bottom w:val="none" w:sz="0" w:space="0" w:color="auto"/>
        <w:right w:val="none" w:sz="0" w:space="0" w:color="auto"/>
      </w:divBdr>
    </w:div>
    <w:div w:id="1926457906">
      <w:bodyDiv w:val="1"/>
      <w:marLeft w:val="0"/>
      <w:marRight w:val="0"/>
      <w:marTop w:val="0"/>
      <w:marBottom w:val="0"/>
      <w:divBdr>
        <w:top w:val="none" w:sz="0" w:space="0" w:color="auto"/>
        <w:left w:val="none" w:sz="0" w:space="0" w:color="auto"/>
        <w:bottom w:val="none" w:sz="0" w:space="0" w:color="auto"/>
        <w:right w:val="none" w:sz="0" w:space="0" w:color="auto"/>
      </w:divBdr>
    </w:div>
    <w:div w:id="1931811442">
      <w:bodyDiv w:val="1"/>
      <w:marLeft w:val="0"/>
      <w:marRight w:val="0"/>
      <w:marTop w:val="0"/>
      <w:marBottom w:val="0"/>
      <w:divBdr>
        <w:top w:val="none" w:sz="0" w:space="0" w:color="auto"/>
        <w:left w:val="none" w:sz="0" w:space="0" w:color="auto"/>
        <w:bottom w:val="none" w:sz="0" w:space="0" w:color="auto"/>
        <w:right w:val="none" w:sz="0" w:space="0" w:color="auto"/>
      </w:divBdr>
    </w:div>
    <w:div w:id="20172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c.gov.au/business/exemptions/authoris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c.gov.au/system/files/public-registers/documents/Collective%20bargaining%20class%20exemption%20update_0.pdf" TargetMode="External"/><Relationship Id="rId5" Type="http://schemas.openxmlformats.org/officeDocument/2006/relationships/webSettings" Target="webSettings.xml"/><Relationship Id="rId10" Type="http://schemas.openxmlformats.org/officeDocument/2006/relationships/hyperlink" Target="https://www.accc.gov.au/system/files/public-registers/documents/ACCC%20Discussion%20Paper%20-%20Collective%20Bargaining%20Class%20Exemption%20-%2023.08.18..pdf" TargetMode="External"/><Relationship Id="rId4" Type="http://schemas.openxmlformats.org/officeDocument/2006/relationships/settings" Target="settings.xml"/><Relationship Id="rId9" Type="http://schemas.openxmlformats.org/officeDocument/2006/relationships/hyperlink" Target="https://www.accc.gov.au/business/exemptions/notificatio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Business/Small-business-entity-concessions/Eligibility/Aggregation/Connected-with-you/" TargetMode="External"/><Relationship Id="rId2" Type="http://schemas.openxmlformats.org/officeDocument/2006/relationships/hyperlink" Target="https://www.ato.gov.au/Business/Small-business-entity-concessions/Eligibility/Aggregation/Connected-with-you/" TargetMode="External"/><Relationship Id="rId1" Type="http://schemas.openxmlformats.org/officeDocument/2006/relationships/hyperlink" Target="http://competitionpolicyreview.gov.au/files/2015/03/Competition-policy-review-report_online.pdf" TargetMode="External"/><Relationship Id="rId5" Type="http://schemas.openxmlformats.org/officeDocument/2006/relationships/hyperlink" Target="https://www.legislation.gov.au/Details/C2005B00022/Explanatory%20Memorandum/Text" TargetMode="External"/><Relationship Id="rId4" Type="http://schemas.openxmlformats.org/officeDocument/2006/relationships/hyperlink" Target="https://www.ato.gov.au/business/small-business-entity-concessions/eligibility/aggregation/affili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83FF-672E-450A-9285-0145B548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6824</Words>
  <Characters>38901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45634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Kolacz, Miriam</dc:creator>
  <cp:keywords/>
  <dc:description/>
  <cp:lastModifiedBy>Freed, Daniel</cp:lastModifiedBy>
  <cp:revision>2</cp:revision>
  <cp:lastPrinted>2019-11-29T03:25:00Z</cp:lastPrinted>
  <dcterms:created xsi:type="dcterms:W3CDTF">2020-10-19T05:41:00Z</dcterms:created>
  <dcterms:modified xsi:type="dcterms:W3CDTF">2020-10-19T05:41:00Z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39335697</vt:lpwstr>
  </property>
  <property fmtid="{D5CDD505-2E9C-101B-9397-08002B2CF9AE}" pid="6" name="Template Filename">
    <vt:lpwstr/>
  </property>
</Properties>
</file>