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C1C" w:rsidRPr="004278BC" w:rsidRDefault="00AE6C1C" w:rsidP="00AE6C1C">
      <w:pPr>
        <w:jc w:val="center"/>
        <w:outlineLvl w:val="0"/>
        <w:rPr>
          <w:b/>
          <w:szCs w:val="24"/>
          <w:u w:val="single"/>
        </w:rPr>
      </w:pPr>
      <w:r w:rsidRPr="004278BC">
        <w:rPr>
          <w:b/>
          <w:szCs w:val="24"/>
          <w:u w:val="single"/>
        </w:rPr>
        <w:t>EXPLANATORY STATEMENT</w:t>
      </w:r>
    </w:p>
    <w:p w:rsidR="00AE6C1C" w:rsidRPr="004278BC" w:rsidRDefault="00AE6C1C" w:rsidP="00AE6C1C">
      <w:pPr>
        <w:jc w:val="center"/>
        <w:rPr>
          <w:szCs w:val="24"/>
        </w:rPr>
      </w:pPr>
    </w:p>
    <w:p w:rsidR="00AE6C1C" w:rsidRDefault="00AE6C1C" w:rsidP="00AE6C1C">
      <w:pPr>
        <w:jc w:val="center"/>
        <w:rPr>
          <w:szCs w:val="24"/>
          <w:u w:val="single"/>
        </w:rPr>
      </w:pPr>
      <w:r w:rsidRPr="004278BC">
        <w:rPr>
          <w:szCs w:val="24"/>
          <w:u w:val="single"/>
        </w:rPr>
        <w:t>Issued by authority of the Minister for</w:t>
      </w:r>
      <w:r>
        <w:rPr>
          <w:szCs w:val="24"/>
          <w:u w:val="single"/>
        </w:rPr>
        <w:t xml:space="preserve"> </w:t>
      </w:r>
      <w:r w:rsidRPr="004278BC">
        <w:rPr>
          <w:szCs w:val="24"/>
          <w:u w:val="single"/>
        </w:rPr>
        <w:t>Defence</w:t>
      </w:r>
      <w:r>
        <w:rPr>
          <w:szCs w:val="24"/>
          <w:u w:val="single"/>
        </w:rPr>
        <w:t xml:space="preserve"> Personnel</w:t>
      </w:r>
    </w:p>
    <w:p w:rsidR="00AE6C1C" w:rsidRDefault="00AE6C1C" w:rsidP="00AE6C1C">
      <w:pPr>
        <w:jc w:val="center"/>
        <w:rPr>
          <w:szCs w:val="24"/>
          <w:u w:val="single"/>
        </w:rPr>
      </w:pPr>
    </w:p>
    <w:p w:rsidR="00AC2AEA" w:rsidRPr="00AC2AEA" w:rsidRDefault="00AC2AEA" w:rsidP="00AE6C1C">
      <w:pPr>
        <w:jc w:val="center"/>
        <w:rPr>
          <w:szCs w:val="24"/>
        </w:rPr>
      </w:pPr>
      <w:r w:rsidRPr="00AC2AEA">
        <w:rPr>
          <w:szCs w:val="24"/>
        </w:rPr>
        <w:t xml:space="preserve">Subject – </w:t>
      </w:r>
      <w:r w:rsidRPr="00AC2AEA">
        <w:rPr>
          <w:i/>
          <w:szCs w:val="24"/>
        </w:rPr>
        <w:t>Defence Act 1903</w:t>
      </w:r>
      <w:r w:rsidRPr="00AC2AEA">
        <w:rPr>
          <w:szCs w:val="24"/>
        </w:rPr>
        <w:t xml:space="preserve"> </w:t>
      </w:r>
    </w:p>
    <w:p w:rsidR="00AC2AEA" w:rsidRDefault="00AC2AEA" w:rsidP="00AE6C1C">
      <w:pPr>
        <w:jc w:val="center"/>
        <w:rPr>
          <w:szCs w:val="24"/>
          <w:u w:val="single"/>
        </w:rPr>
      </w:pPr>
    </w:p>
    <w:p w:rsidR="00AE6C1C" w:rsidRDefault="00AE6C1C" w:rsidP="00AE6C1C">
      <w:pPr>
        <w:jc w:val="center"/>
        <w:rPr>
          <w:i/>
        </w:rPr>
      </w:pPr>
      <w:r w:rsidRPr="000A3C97">
        <w:rPr>
          <w:i/>
          <w:szCs w:val="24"/>
        </w:rPr>
        <w:t xml:space="preserve">Defence </w:t>
      </w:r>
      <w:r>
        <w:rPr>
          <w:i/>
          <w:szCs w:val="24"/>
        </w:rPr>
        <w:t>Amendment (2020 Measures No. 2) Regulations 2020</w:t>
      </w:r>
    </w:p>
    <w:p w:rsidR="00AE6C1C" w:rsidRDefault="00AE6C1C" w:rsidP="00AE6C1C">
      <w:pPr>
        <w:jc w:val="center"/>
        <w:rPr>
          <w:i/>
        </w:rPr>
      </w:pPr>
    </w:p>
    <w:p w:rsidR="00AE6C1C" w:rsidRPr="004278BC" w:rsidRDefault="00AE6C1C" w:rsidP="00AE6C1C">
      <w:pPr>
        <w:rPr>
          <w:szCs w:val="24"/>
        </w:rPr>
      </w:pPr>
    </w:p>
    <w:p w:rsidR="00AC2AEA" w:rsidRDefault="00AC2AEA" w:rsidP="00586FFA">
      <w:pPr>
        <w:pStyle w:val="ListParagraph"/>
        <w:numPr>
          <w:ilvl w:val="0"/>
          <w:numId w:val="1"/>
        </w:numPr>
        <w:spacing w:line="276" w:lineRule="auto"/>
        <w:rPr>
          <w:rFonts w:eastAsia="Calibri"/>
          <w:szCs w:val="24"/>
        </w:rPr>
      </w:pPr>
      <w:r>
        <w:rPr>
          <w:rFonts w:eastAsia="Calibri"/>
          <w:szCs w:val="24"/>
        </w:rPr>
        <w:t xml:space="preserve">The </w:t>
      </w:r>
      <w:r w:rsidRPr="00AC2AEA">
        <w:rPr>
          <w:rFonts w:eastAsia="Calibri"/>
          <w:i/>
          <w:szCs w:val="24"/>
        </w:rPr>
        <w:t>Defence Act 1903</w:t>
      </w:r>
      <w:r>
        <w:rPr>
          <w:rFonts w:eastAsia="Calibri"/>
          <w:szCs w:val="24"/>
        </w:rPr>
        <w:t xml:space="preserve"> (the Act) prescribed the control, administration, constitution and service of the Australian Defence Force (ADF). </w:t>
      </w:r>
    </w:p>
    <w:p w:rsidR="00714BE8" w:rsidRDefault="00714BE8" w:rsidP="00586FFA">
      <w:pPr>
        <w:pStyle w:val="ListParagraph"/>
        <w:spacing w:line="276" w:lineRule="auto"/>
        <w:ind w:left="360"/>
        <w:rPr>
          <w:rFonts w:eastAsia="Calibri"/>
          <w:szCs w:val="24"/>
        </w:rPr>
      </w:pPr>
    </w:p>
    <w:p w:rsidR="00AC2AEA" w:rsidRPr="00714BE8" w:rsidRDefault="00AC2AEA" w:rsidP="00586FFA">
      <w:pPr>
        <w:pStyle w:val="ListParagraph"/>
        <w:numPr>
          <w:ilvl w:val="0"/>
          <w:numId w:val="1"/>
        </w:numPr>
        <w:spacing w:line="276" w:lineRule="auto"/>
        <w:jc w:val="both"/>
        <w:rPr>
          <w:rFonts w:eastAsia="Calibri"/>
          <w:i/>
          <w:szCs w:val="24"/>
        </w:rPr>
      </w:pPr>
      <w:r>
        <w:rPr>
          <w:rFonts w:eastAsia="Calibri"/>
          <w:szCs w:val="24"/>
        </w:rPr>
        <w:t xml:space="preserve">The Defence </w:t>
      </w:r>
      <w:r w:rsidR="00714BE8">
        <w:rPr>
          <w:rFonts w:eastAsia="Calibri"/>
          <w:szCs w:val="24"/>
        </w:rPr>
        <w:t xml:space="preserve">Regulation 2016 (the Regulation) is made under the Act. The </w:t>
      </w:r>
      <w:r w:rsidR="00714BE8" w:rsidRPr="00714BE8">
        <w:rPr>
          <w:rFonts w:eastAsia="Calibri"/>
          <w:i/>
          <w:szCs w:val="24"/>
        </w:rPr>
        <w:t>Defence Amendment (2020 Measures No. 2) Regulations 2020</w:t>
      </w:r>
      <w:r w:rsidR="00714BE8">
        <w:rPr>
          <w:rFonts w:eastAsia="Calibri"/>
          <w:szCs w:val="24"/>
        </w:rPr>
        <w:t xml:space="preserve"> (the Amending Regulations) amend the Regulation. </w:t>
      </w:r>
    </w:p>
    <w:p w:rsidR="00AC2AEA" w:rsidRDefault="00AC2AEA" w:rsidP="00AE6C1C">
      <w:pPr>
        <w:rPr>
          <w:rFonts w:eastAsia="Calibri"/>
          <w:szCs w:val="24"/>
        </w:rPr>
      </w:pPr>
    </w:p>
    <w:p w:rsidR="00714BE8" w:rsidRPr="00714BE8" w:rsidRDefault="00714BE8" w:rsidP="00714BE8">
      <w:pPr>
        <w:rPr>
          <w:b/>
          <w:i/>
        </w:rPr>
      </w:pPr>
      <w:r w:rsidRPr="00714BE8">
        <w:rPr>
          <w:rFonts w:eastAsia="Calibri"/>
          <w:b/>
          <w:szCs w:val="24"/>
        </w:rPr>
        <w:t xml:space="preserve">Purpose of the </w:t>
      </w:r>
      <w:r w:rsidRPr="00714BE8">
        <w:rPr>
          <w:b/>
          <w:i/>
          <w:szCs w:val="24"/>
        </w:rPr>
        <w:t>Defence Amendment (2020 Measures No. 2) Regulations 2020</w:t>
      </w:r>
    </w:p>
    <w:p w:rsidR="00714BE8" w:rsidRDefault="00714BE8" w:rsidP="00AE6C1C">
      <w:pPr>
        <w:rPr>
          <w:rFonts w:eastAsia="Calibri"/>
          <w:szCs w:val="24"/>
        </w:rPr>
      </w:pPr>
    </w:p>
    <w:p w:rsidR="00AE6C1C" w:rsidRPr="00FD31E5" w:rsidRDefault="00AE6C1C" w:rsidP="00586FFA">
      <w:pPr>
        <w:pStyle w:val="ListParagraph"/>
        <w:numPr>
          <w:ilvl w:val="0"/>
          <w:numId w:val="1"/>
        </w:numPr>
        <w:spacing w:line="276" w:lineRule="auto"/>
        <w:jc w:val="both"/>
        <w:rPr>
          <w:rFonts w:eastAsia="Calibri"/>
          <w:szCs w:val="24"/>
        </w:rPr>
      </w:pPr>
      <w:r w:rsidRPr="00714BE8">
        <w:rPr>
          <w:rFonts w:eastAsia="Calibri"/>
          <w:szCs w:val="24"/>
        </w:rPr>
        <w:t>The</w:t>
      </w:r>
      <w:r w:rsidR="00714BE8">
        <w:rPr>
          <w:rFonts w:eastAsia="Calibri"/>
          <w:szCs w:val="24"/>
        </w:rPr>
        <w:t xml:space="preserve"> Amending Regulations</w:t>
      </w:r>
      <w:r w:rsidR="003F0F2C">
        <w:rPr>
          <w:rFonts w:eastAsia="Calibri"/>
          <w:szCs w:val="24"/>
        </w:rPr>
        <w:t xml:space="preserve"> make a further</w:t>
      </w:r>
      <w:r w:rsidRPr="00714BE8">
        <w:rPr>
          <w:rFonts w:eastAsia="Calibri"/>
          <w:szCs w:val="24"/>
        </w:rPr>
        <w:t xml:space="preserve"> amendment consequential to recent amendments made to the </w:t>
      </w:r>
      <w:r w:rsidR="00FD31E5">
        <w:rPr>
          <w:rFonts w:eastAsia="Calibri"/>
          <w:szCs w:val="24"/>
        </w:rPr>
        <w:t xml:space="preserve">Regulation under the </w:t>
      </w:r>
      <w:r w:rsidR="00FD31E5" w:rsidRPr="00714BE8">
        <w:rPr>
          <w:rFonts w:eastAsia="Calibri"/>
          <w:i/>
          <w:szCs w:val="24"/>
        </w:rPr>
        <w:t>Defence Amendment (2020 Measures No.1) Regulations 2020</w:t>
      </w:r>
      <w:r w:rsidR="00FD31E5">
        <w:rPr>
          <w:rFonts w:eastAsia="Calibri"/>
          <w:i/>
          <w:szCs w:val="24"/>
        </w:rPr>
        <w:t xml:space="preserve"> </w:t>
      </w:r>
      <w:r w:rsidR="00FD31E5">
        <w:rPr>
          <w:rFonts w:eastAsia="Calibri"/>
          <w:szCs w:val="24"/>
        </w:rPr>
        <w:t xml:space="preserve">(the Initial Amending Regulations). </w:t>
      </w:r>
    </w:p>
    <w:p w:rsidR="00FD31E5" w:rsidRPr="00FD31E5" w:rsidRDefault="00FD31E5" w:rsidP="00586FFA">
      <w:pPr>
        <w:pStyle w:val="ListParagraph"/>
        <w:spacing w:line="276" w:lineRule="auto"/>
        <w:ind w:left="360"/>
        <w:jc w:val="both"/>
        <w:rPr>
          <w:rFonts w:eastAsia="Calibri"/>
          <w:szCs w:val="24"/>
        </w:rPr>
      </w:pPr>
    </w:p>
    <w:p w:rsidR="00DC6DE7" w:rsidRPr="00DC6DE7" w:rsidRDefault="003B1AFC" w:rsidP="00586FFA">
      <w:pPr>
        <w:pStyle w:val="ListParagraph"/>
        <w:numPr>
          <w:ilvl w:val="0"/>
          <w:numId w:val="1"/>
        </w:numPr>
        <w:spacing w:line="276" w:lineRule="auto"/>
        <w:jc w:val="both"/>
        <w:rPr>
          <w:rFonts w:eastAsia="Calibri"/>
          <w:i/>
          <w:szCs w:val="24"/>
        </w:rPr>
      </w:pPr>
      <w:r>
        <w:rPr>
          <w:rFonts w:eastAsia="Calibri"/>
          <w:szCs w:val="24"/>
        </w:rPr>
        <w:t>Recently, t</w:t>
      </w:r>
      <w:r w:rsidR="00FD31E5">
        <w:rPr>
          <w:rFonts w:eastAsia="Calibri"/>
          <w:szCs w:val="24"/>
        </w:rPr>
        <w:t xml:space="preserve">he Initial Amending Regulations </w:t>
      </w:r>
      <w:r w:rsidR="004726D7">
        <w:rPr>
          <w:rFonts w:eastAsia="Calibri"/>
          <w:szCs w:val="24"/>
        </w:rPr>
        <w:t xml:space="preserve">modified Section 24 of the Regulation which provides for early termination of service of ADF members on several grounds. In </w:t>
      </w:r>
      <w:r>
        <w:rPr>
          <w:rFonts w:eastAsia="Calibri"/>
          <w:szCs w:val="24"/>
        </w:rPr>
        <w:t>the vast majority of circumstances</w:t>
      </w:r>
      <w:r w:rsidR="00DC6DE7">
        <w:rPr>
          <w:rFonts w:eastAsia="Calibri"/>
          <w:szCs w:val="24"/>
        </w:rPr>
        <w:t xml:space="preserve">, subsection 24(4) requires </w:t>
      </w:r>
      <w:r w:rsidR="004726D7">
        <w:rPr>
          <w:rFonts w:eastAsia="Calibri"/>
          <w:szCs w:val="24"/>
        </w:rPr>
        <w:t xml:space="preserve">that an ADF member must be provided with at least 14 days written notice, and an opportunity to respond, before a decision is made to terminate the member’s service. This is a statutory mechanism to provide ADF members with procedural fairness in relation to termination decisions. </w:t>
      </w:r>
      <w:r>
        <w:rPr>
          <w:rFonts w:eastAsia="Calibri"/>
          <w:szCs w:val="24"/>
        </w:rPr>
        <w:t>However, w</w:t>
      </w:r>
      <w:r w:rsidR="00DC6DE7">
        <w:rPr>
          <w:rFonts w:eastAsia="Calibri"/>
          <w:szCs w:val="24"/>
        </w:rPr>
        <w:t xml:space="preserve">ritten notice is not required if the ADF member has failed to meet a condition of their appointment or enlistment, or if the ADF member has been absent without leave for a continuous period of three months or more, or if the ADF member has not completed a period of probation in relation to their appointment or enlistment. </w:t>
      </w:r>
    </w:p>
    <w:p w:rsidR="00DC6DE7" w:rsidRPr="00DC6DE7" w:rsidRDefault="00DC6DE7" w:rsidP="00586FFA">
      <w:pPr>
        <w:pStyle w:val="ListParagraph"/>
        <w:spacing w:line="276" w:lineRule="auto"/>
        <w:rPr>
          <w:rFonts w:eastAsia="Calibri"/>
          <w:szCs w:val="24"/>
        </w:rPr>
      </w:pPr>
    </w:p>
    <w:p w:rsidR="004726D7" w:rsidRPr="00F45515" w:rsidRDefault="003B1AFC" w:rsidP="00586FFA">
      <w:pPr>
        <w:pStyle w:val="ListParagraph"/>
        <w:numPr>
          <w:ilvl w:val="0"/>
          <w:numId w:val="1"/>
        </w:numPr>
        <w:spacing w:line="276" w:lineRule="auto"/>
        <w:jc w:val="both"/>
        <w:rPr>
          <w:rFonts w:eastAsia="Calibri"/>
          <w:i/>
          <w:szCs w:val="24"/>
        </w:rPr>
      </w:pPr>
      <w:r>
        <w:rPr>
          <w:rFonts w:eastAsia="Calibri"/>
          <w:szCs w:val="24"/>
        </w:rPr>
        <w:t>T</w:t>
      </w:r>
      <w:r w:rsidR="00DC6DE7">
        <w:rPr>
          <w:rFonts w:eastAsia="Calibri"/>
          <w:szCs w:val="24"/>
        </w:rPr>
        <w:t xml:space="preserve">he Initial Amending Regulations addressed concerns </w:t>
      </w:r>
      <w:r w:rsidR="00FB101D">
        <w:rPr>
          <w:rFonts w:eastAsia="Calibri"/>
          <w:szCs w:val="24"/>
        </w:rPr>
        <w:t>that in some circumstances, the 14 day delay before a decision can be made to terminate an ADF member’s service is detrimental to the ADF’s reputation and to the morale of ADF members. These concerns particularly derived from instances where a delay in taking action following a criminal conviction can lead to a perception that the ADF is not serious about addressin</w:t>
      </w:r>
      <w:r w:rsidR="00F45515">
        <w:rPr>
          <w:rFonts w:eastAsia="Calibri"/>
          <w:szCs w:val="24"/>
        </w:rPr>
        <w:t xml:space="preserve">g misconduct of ADF members. In seeking to alleviate these concerns, the </w:t>
      </w:r>
      <w:r w:rsidR="00FB101D">
        <w:rPr>
          <w:rFonts w:eastAsia="Calibri"/>
          <w:szCs w:val="24"/>
        </w:rPr>
        <w:t>Initial Amending Regulations provided for two additional</w:t>
      </w:r>
      <w:r w:rsidR="00F45515">
        <w:rPr>
          <w:rFonts w:eastAsia="Calibri"/>
          <w:szCs w:val="24"/>
        </w:rPr>
        <w:t xml:space="preserve"> circumstances</w:t>
      </w:r>
      <w:r w:rsidR="00FB101D">
        <w:rPr>
          <w:rFonts w:eastAsia="Calibri"/>
          <w:szCs w:val="24"/>
        </w:rPr>
        <w:t xml:space="preserve"> </w:t>
      </w:r>
      <w:r w:rsidR="004726D7" w:rsidRPr="00FB101D">
        <w:rPr>
          <w:rFonts w:eastAsia="Calibri"/>
          <w:szCs w:val="24"/>
        </w:rPr>
        <w:t xml:space="preserve">when written notice is </w:t>
      </w:r>
      <w:r w:rsidR="004726D7" w:rsidRPr="00FB101D">
        <w:rPr>
          <w:rFonts w:eastAsia="Calibri"/>
          <w:b/>
          <w:i/>
          <w:szCs w:val="24"/>
        </w:rPr>
        <w:t xml:space="preserve">not </w:t>
      </w:r>
      <w:r w:rsidR="004726D7" w:rsidRPr="00FB101D">
        <w:rPr>
          <w:rFonts w:eastAsia="Calibri"/>
          <w:szCs w:val="24"/>
        </w:rPr>
        <w:t xml:space="preserve">required before a decision is made to terminate an ADF member’s service. </w:t>
      </w:r>
      <w:r w:rsidR="00F45515">
        <w:rPr>
          <w:rFonts w:eastAsia="Calibri"/>
          <w:szCs w:val="24"/>
        </w:rPr>
        <w:t xml:space="preserve">This included where the ADF member has been sentenced to imprisonment for an offence and where the ADF member has plead guilty to, or been convicted of an offence, and the Chief of the Defence Force </w:t>
      </w:r>
      <w:bookmarkStart w:id="0" w:name="_GoBack"/>
      <w:bookmarkEnd w:id="0"/>
      <w:r w:rsidR="00F45515">
        <w:rPr>
          <w:rFonts w:eastAsia="Calibri"/>
          <w:szCs w:val="24"/>
        </w:rPr>
        <w:t xml:space="preserve">is satisfied that it is not in the best interest of the Defence Force for notice to be given to a member. </w:t>
      </w:r>
    </w:p>
    <w:p w:rsidR="00F45515" w:rsidRPr="00F45515" w:rsidRDefault="00F45515" w:rsidP="00586FFA">
      <w:pPr>
        <w:pStyle w:val="ListParagraph"/>
        <w:spacing w:line="276" w:lineRule="auto"/>
        <w:rPr>
          <w:rFonts w:eastAsia="Calibri"/>
          <w:i/>
          <w:szCs w:val="24"/>
        </w:rPr>
      </w:pPr>
    </w:p>
    <w:p w:rsidR="00F45515" w:rsidRPr="00F45515" w:rsidRDefault="00F45515" w:rsidP="00586FFA">
      <w:pPr>
        <w:pStyle w:val="ListParagraph"/>
        <w:numPr>
          <w:ilvl w:val="0"/>
          <w:numId w:val="1"/>
        </w:numPr>
        <w:spacing w:line="276" w:lineRule="auto"/>
        <w:jc w:val="both"/>
        <w:rPr>
          <w:rFonts w:eastAsia="Calibri"/>
          <w:i/>
          <w:szCs w:val="24"/>
        </w:rPr>
      </w:pPr>
      <w:r>
        <w:rPr>
          <w:rFonts w:eastAsia="Calibri"/>
          <w:szCs w:val="24"/>
        </w:rPr>
        <w:t xml:space="preserve">In making these changes, the Initial Amending Regulations likewise re-structured section 24 and the grounds for termination, to ensure that the Regulation was completely clear as to when written notice is and is not required before making a decision to terminate a member’s service. Notably however, no substantive change was made to the available </w:t>
      </w:r>
      <w:r w:rsidR="000C3152">
        <w:rPr>
          <w:rFonts w:eastAsia="Calibri"/>
          <w:szCs w:val="24"/>
        </w:rPr>
        <w:t xml:space="preserve">grounds </w:t>
      </w:r>
      <w:r>
        <w:rPr>
          <w:rFonts w:eastAsia="Calibri"/>
          <w:szCs w:val="24"/>
        </w:rPr>
        <w:t xml:space="preserve">for termination, nor </w:t>
      </w:r>
      <w:r w:rsidR="000C3152">
        <w:rPr>
          <w:rFonts w:eastAsia="Calibri"/>
          <w:szCs w:val="24"/>
        </w:rPr>
        <w:t xml:space="preserve">did the </w:t>
      </w:r>
      <w:r w:rsidR="00CE163D">
        <w:rPr>
          <w:rFonts w:eastAsia="Calibri"/>
          <w:szCs w:val="24"/>
        </w:rPr>
        <w:t>re-structure</w:t>
      </w:r>
      <w:r w:rsidR="000C3152">
        <w:rPr>
          <w:rFonts w:eastAsia="Calibri"/>
          <w:szCs w:val="24"/>
        </w:rPr>
        <w:t xml:space="preserve"> limit or exclude the operation of the common law relating to procedural fairness. </w:t>
      </w:r>
    </w:p>
    <w:p w:rsidR="00F45515" w:rsidRPr="00CE163D" w:rsidRDefault="00F45515" w:rsidP="00586FFA">
      <w:pPr>
        <w:spacing w:line="276" w:lineRule="auto"/>
        <w:rPr>
          <w:rFonts w:eastAsia="Calibri"/>
          <w:i/>
          <w:szCs w:val="24"/>
        </w:rPr>
      </w:pPr>
    </w:p>
    <w:p w:rsidR="00F45515" w:rsidRPr="00F47DDA" w:rsidRDefault="00CE163D" w:rsidP="00586FFA">
      <w:pPr>
        <w:pStyle w:val="ListParagraph"/>
        <w:numPr>
          <w:ilvl w:val="0"/>
          <w:numId w:val="1"/>
        </w:numPr>
        <w:spacing w:line="276" w:lineRule="auto"/>
        <w:jc w:val="both"/>
        <w:rPr>
          <w:rFonts w:eastAsia="Calibri"/>
          <w:i/>
          <w:szCs w:val="24"/>
        </w:rPr>
      </w:pPr>
      <w:r>
        <w:rPr>
          <w:rFonts w:eastAsia="Calibri"/>
          <w:szCs w:val="24"/>
        </w:rPr>
        <w:t>In response to the Initial Amending Regulations, the Sen</w:t>
      </w:r>
      <w:r w:rsidR="003B1AFC">
        <w:rPr>
          <w:rFonts w:eastAsia="Calibri"/>
          <w:szCs w:val="24"/>
        </w:rPr>
        <w:t>ate Standing Committee for the S</w:t>
      </w:r>
      <w:r>
        <w:rPr>
          <w:rFonts w:eastAsia="Calibri"/>
          <w:szCs w:val="24"/>
        </w:rPr>
        <w:t>cruti</w:t>
      </w:r>
      <w:r w:rsidR="006329CD">
        <w:rPr>
          <w:rFonts w:eastAsia="Calibri"/>
          <w:szCs w:val="24"/>
        </w:rPr>
        <w:t>ny of Delegated Legislation</w:t>
      </w:r>
      <w:r w:rsidR="008E7688">
        <w:rPr>
          <w:rFonts w:eastAsia="Calibri"/>
          <w:szCs w:val="24"/>
        </w:rPr>
        <w:t xml:space="preserve"> (the Committee)</w:t>
      </w:r>
      <w:r w:rsidR="006329CD">
        <w:rPr>
          <w:rFonts w:eastAsia="Calibri"/>
          <w:szCs w:val="24"/>
        </w:rPr>
        <w:t xml:space="preserve"> </w:t>
      </w:r>
      <w:r w:rsidR="003B1AFC">
        <w:rPr>
          <w:rFonts w:eastAsia="Calibri"/>
          <w:szCs w:val="24"/>
        </w:rPr>
        <w:t>raised a question</w:t>
      </w:r>
      <w:r w:rsidR="006329CD">
        <w:rPr>
          <w:rFonts w:eastAsia="Calibri"/>
          <w:szCs w:val="24"/>
        </w:rPr>
        <w:t xml:space="preserve"> as to whether the re-structuring </w:t>
      </w:r>
      <w:r w:rsidR="008E7688">
        <w:rPr>
          <w:rFonts w:eastAsia="Calibri"/>
          <w:szCs w:val="24"/>
        </w:rPr>
        <w:t>of section 24</w:t>
      </w:r>
      <w:r w:rsidR="006329CD">
        <w:rPr>
          <w:rFonts w:eastAsia="Calibri"/>
          <w:szCs w:val="24"/>
        </w:rPr>
        <w:t xml:space="preserve"> meant that the Initial Amending Regulations </w:t>
      </w:r>
      <w:r w:rsidR="008E7688">
        <w:rPr>
          <w:rFonts w:eastAsia="Calibri"/>
          <w:szCs w:val="24"/>
        </w:rPr>
        <w:t xml:space="preserve">had the effect of excluding common law procedural fairness requirements in relation to decision-making in these instances. </w:t>
      </w:r>
      <w:r w:rsidR="008E7688" w:rsidRPr="008E7688">
        <w:rPr>
          <w:rFonts w:eastAsia="Calibri"/>
          <w:szCs w:val="24"/>
        </w:rPr>
        <w:t>The Department</w:t>
      </w:r>
      <w:r w:rsidR="003B1AFC">
        <w:rPr>
          <w:rFonts w:eastAsia="Calibri"/>
          <w:szCs w:val="24"/>
        </w:rPr>
        <w:t xml:space="preserve"> of Defence provided advice</w:t>
      </w:r>
      <w:r w:rsidR="008E7688" w:rsidRPr="008E7688">
        <w:rPr>
          <w:rFonts w:eastAsia="Calibri"/>
          <w:szCs w:val="24"/>
        </w:rPr>
        <w:t xml:space="preserve"> that while the requirement </w:t>
      </w:r>
      <w:r w:rsidR="008E7688">
        <w:rPr>
          <w:rFonts w:eastAsia="Calibri"/>
          <w:szCs w:val="24"/>
        </w:rPr>
        <w:t xml:space="preserve">for 14 days written notice does not </w:t>
      </w:r>
      <w:r w:rsidR="004F0039">
        <w:rPr>
          <w:rFonts w:eastAsia="Calibri"/>
          <w:szCs w:val="24"/>
        </w:rPr>
        <w:t xml:space="preserve">apply in these circumstances, the general requirements of common law procedural fairness </w:t>
      </w:r>
      <w:r w:rsidR="00903D8B">
        <w:rPr>
          <w:rFonts w:eastAsia="Calibri"/>
          <w:szCs w:val="24"/>
        </w:rPr>
        <w:t>were not excluded or limited</w:t>
      </w:r>
      <w:r w:rsidR="003B1AFC">
        <w:rPr>
          <w:rFonts w:eastAsia="Calibri"/>
          <w:szCs w:val="24"/>
        </w:rPr>
        <w:t xml:space="preserve"> in any way</w:t>
      </w:r>
      <w:r w:rsidR="00903D8B">
        <w:rPr>
          <w:rFonts w:eastAsia="Calibri"/>
          <w:szCs w:val="24"/>
        </w:rPr>
        <w:t xml:space="preserve">. This was identical to the situation before the Initial Amending Regulations were made. The obligation to afford procedural fairness is a </w:t>
      </w:r>
      <w:r w:rsidR="00F47DDA">
        <w:rPr>
          <w:rFonts w:eastAsia="Calibri"/>
          <w:szCs w:val="24"/>
        </w:rPr>
        <w:t>flexible</w:t>
      </w:r>
      <w:r w:rsidR="00903D8B">
        <w:rPr>
          <w:rFonts w:eastAsia="Calibri"/>
          <w:szCs w:val="24"/>
        </w:rPr>
        <w:t xml:space="preserve"> obligation </w:t>
      </w:r>
      <w:r w:rsidR="00F47DDA">
        <w:rPr>
          <w:rFonts w:eastAsia="Calibri"/>
          <w:szCs w:val="24"/>
        </w:rPr>
        <w:t>to adopt fair procedures which are appropriate and adapted to the circumstances</w:t>
      </w:r>
      <w:r w:rsidR="003B1AFC">
        <w:rPr>
          <w:rFonts w:eastAsia="Calibri"/>
          <w:szCs w:val="24"/>
        </w:rPr>
        <w:t xml:space="preserve"> of a particular case. Decision </w:t>
      </w:r>
      <w:r w:rsidR="00F47DDA">
        <w:rPr>
          <w:rFonts w:eastAsia="Calibri"/>
          <w:szCs w:val="24"/>
        </w:rPr>
        <w:t xml:space="preserve">makers would still be required to adopt processes that were fair and reasonable in all circumstances. </w:t>
      </w:r>
    </w:p>
    <w:p w:rsidR="00F47DDA" w:rsidRPr="00F47DDA" w:rsidRDefault="00F47DDA" w:rsidP="00586FFA">
      <w:pPr>
        <w:pStyle w:val="ListParagraph"/>
        <w:spacing w:line="276" w:lineRule="auto"/>
        <w:rPr>
          <w:rFonts w:eastAsia="Calibri"/>
          <w:i/>
          <w:szCs w:val="24"/>
        </w:rPr>
      </w:pPr>
    </w:p>
    <w:p w:rsidR="00F47DDA" w:rsidRPr="004D0D37" w:rsidRDefault="00F47DDA" w:rsidP="00586FFA">
      <w:pPr>
        <w:pStyle w:val="ListParagraph"/>
        <w:numPr>
          <w:ilvl w:val="0"/>
          <w:numId w:val="1"/>
        </w:numPr>
        <w:spacing w:line="276" w:lineRule="auto"/>
        <w:jc w:val="both"/>
        <w:rPr>
          <w:rFonts w:eastAsia="Calibri"/>
          <w:i/>
          <w:szCs w:val="24"/>
        </w:rPr>
      </w:pPr>
      <w:r>
        <w:rPr>
          <w:rFonts w:eastAsia="Calibri"/>
          <w:szCs w:val="24"/>
        </w:rPr>
        <w:t xml:space="preserve">Although accepting </w:t>
      </w:r>
      <w:r w:rsidR="003B1AFC">
        <w:rPr>
          <w:rFonts w:eastAsia="Calibri"/>
          <w:szCs w:val="24"/>
        </w:rPr>
        <w:t>Defence’s</w:t>
      </w:r>
      <w:r>
        <w:rPr>
          <w:rFonts w:eastAsia="Calibri"/>
          <w:szCs w:val="24"/>
        </w:rPr>
        <w:t xml:space="preserve"> response, the Committee requested that </w:t>
      </w:r>
      <w:r w:rsidR="001E3D2E">
        <w:rPr>
          <w:rFonts w:eastAsia="Calibri"/>
          <w:szCs w:val="24"/>
        </w:rPr>
        <w:t>Defence</w:t>
      </w:r>
      <w:r w:rsidR="004D0D37">
        <w:rPr>
          <w:rFonts w:eastAsia="Calibri"/>
          <w:szCs w:val="24"/>
        </w:rPr>
        <w:t>, in an effort to provide maximum clarity,</w:t>
      </w:r>
      <w:r>
        <w:rPr>
          <w:rFonts w:eastAsia="Calibri"/>
          <w:szCs w:val="24"/>
        </w:rPr>
        <w:t xml:space="preserve"> amend the Regu</w:t>
      </w:r>
      <w:r w:rsidR="004D0D37">
        <w:rPr>
          <w:rFonts w:eastAsia="Calibri"/>
          <w:szCs w:val="24"/>
        </w:rPr>
        <w:t>lation to explicitly state that</w:t>
      </w:r>
      <w:r>
        <w:rPr>
          <w:rFonts w:eastAsia="Calibri"/>
          <w:szCs w:val="24"/>
        </w:rPr>
        <w:t xml:space="preserve"> the requirements of common law procedural </w:t>
      </w:r>
      <w:r w:rsidR="001E3D2E">
        <w:rPr>
          <w:rFonts w:eastAsia="Calibri"/>
          <w:szCs w:val="24"/>
        </w:rPr>
        <w:t xml:space="preserve">fairness continue to apply termination decisions made under section 24. </w:t>
      </w:r>
    </w:p>
    <w:p w:rsidR="004D0D37" w:rsidRPr="004D0D37" w:rsidRDefault="004D0D37" w:rsidP="00586FFA">
      <w:pPr>
        <w:pStyle w:val="ListParagraph"/>
        <w:spacing w:line="276" w:lineRule="auto"/>
        <w:rPr>
          <w:rFonts w:eastAsia="Calibri"/>
          <w:i/>
          <w:szCs w:val="24"/>
        </w:rPr>
      </w:pPr>
    </w:p>
    <w:p w:rsidR="004D0D37" w:rsidRPr="00F91175" w:rsidRDefault="00BB6736" w:rsidP="00586FFA">
      <w:pPr>
        <w:pStyle w:val="ListParagraph"/>
        <w:numPr>
          <w:ilvl w:val="0"/>
          <w:numId w:val="1"/>
        </w:numPr>
        <w:spacing w:line="276" w:lineRule="auto"/>
        <w:jc w:val="both"/>
        <w:rPr>
          <w:rFonts w:eastAsia="Calibri"/>
          <w:i/>
          <w:szCs w:val="24"/>
        </w:rPr>
      </w:pPr>
      <w:r>
        <w:rPr>
          <w:rFonts w:eastAsia="Calibri"/>
          <w:szCs w:val="24"/>
        </w:rPr>
        <w:t xml:space="preserve">Accordingly, the purpose of the Amending Regulations is </w:t>
      </w:r>
      <w:r w:rsidR="00B6052C">
        <w:rPr>
          <w:rFonts w:eastAsia="Calibri"/>
          <w:szCs w:val="24"/>
        </w:rPr>
        <w:t>make it absolutely clear that the common law requirements of procedural fairness continue to apply to decision</w:t>
      </w:r>
      <w:r w:rsidR="00C1348F">
        <w:rPr>
          <w:rFonts w:eastAsia="Calibri"/>
          <w:szCs w:val="24"/>
        </w:rPr>
        <w:t>s made under subsection 24(2</w:t>
      </w:r>
      <w:r w:rsidR="00B6052C">
        <w:rPr>
          <w:rFonts w:eastAsia="Calibri"/>
          <w:szCs w:val="24"/>
        </w:rPr>
        <w:t xml:space="preserve">) of the Regulation. </w:t>
      </w:r>
    </w:p>
    <w:p w:rsidR="00F91175" w:rsidRPr="00F91175" w:rsidRDefault="00F91175" w:rsidP="00F91175">
      <w:pPr>
        <w:pStyle w:val="ListParagraph"/>
        <w:rPr>
          <w:rFonts w:eastAsia="Calibri"/>
          <w:i/>
          <w:szCs w:val="24"/>
        </w:rPr>
      </w:pPr>
    </w:p>
    <w:p w:rsidR="00F91175" w:rsidRPr="008E7688" w:rsidRDefault="00F91175" w:rsidP="00F91175">
      <w:pPr>
        <w:pStyle w:val="ListParagraph"/>
        <w:ind w:left="360"/>
        <w:jc w:val="both"/>
        <w:rPr>
          <w:rFonts w:eastAsia="Calibri"/>
          <w:i/>
          <w:szCs w:val="24"/>
        </w:rPr>
      </w:pPr>
    </w:p>
    <w:p w:rsidR="00AE6C1C" w:rsidRDefault="00F91175" w:rsidP="00AE6C1C">
      <w:pPr>
        <w:spacing w:before="120"/>
        <w:rPr>
          <w:rFonts w:eastAsia="Calibri"/>
          <w:b/>
          <w:szCs w:val="24"/>
        </w:rPr>
      </w:pPr>
      <w:r w:rsidRPr="00F91175">
        <w:rPr>
          <w:rFonts w:eastAsia="Calibri"/>
          <w:b/>
          <w:szCs w:val="24"/>
        </w:rPr>
        <w:t xml:space="preserve">Authority for the </w:t>
      </w:r>
      <w:r w:rsidRPr="00C11866">
        <w:rPr>
          <w:rFonts w:eastAsia="Calibri"/>
          <w:b/>
          <w:i/>
          <w:szCs w:val="24"/>
        </w:rPr>
        <w:t>Defence Amendment (2020 Measures No. 2) Regulations 2020</w:t>
      </w:r>
      <w:r w:rsidRPr="00F91175">
        <w:rPr>
          <w:rFonts w:eastAsia="Calibri"/>
          <w:b/>
          <w:szCs w:val="24"/>
        </w:rPr>
        <w:t xml:space="preserve"> </w:t>
      </w:r>
    </w:p>
    <w:p w:rsidR="00F91175" w:rsidRDefault="00F91175" w:rsidP="00586FFA">
      <w:pPr>
        <w:spacing w:before="120"/>
        <w:jc w:val="both"/>
        <w:rPr>
          <w:rFonts w:eastAsia="Calibri"/>
          <w:b/>
          <w:szCs w:val="24"/>
        </w:rPr>
      </w:pPr>
    </w:p>
    <w:p w:rsidR="00F91175" w:rsidRDefault="00F91175" w:rsidP="00586FFA">
      <w:pPr>
        <w:pStyle w:val="ListParagraph"/>
        <w:numPr>
          <w:ilvl w:val="0"/>
          <w:numId w:val="1"/>
        </w:numPr>
        <w:spacing w:before="120" w:line="276" w:lineRule="auto"/>
        <w:jc w:val="both"/>
        <w:rPr>
          <w:rFonts w:eastAsia="Calibri"/>
          <w:szCs w:val="24"/>
        </w:rPr>
      </w:pPr>
      <w:r>
        <w:rPr>
          <w:rFonts w:eastAsia="Calibri"/>
          <w:szCs w:val="24"/>
        </w:rPr>
        <w:t>Paragraph 124(1)(a) of the Act provides that the Governor-General may make regulations not inconsistent with the Act, prescribing all matters which are required or permitted to be prescribed, or which are necessary and convenient to be prescribed, for securing the good government of the ADF, or for carrying out or giving effect to the Act, and in particular prescribing matters prov</w:t>
      </w:r>
      <w:r w:rsidR="00586FFA">
        <w:rPr>
          <w:rFonts w:eastAsia="Calibri"/>
          <w:szCs w:val="24"/>
        </w:rPr>
        <w:t xml:space="preserve">iding for and in relation to the enlistment, appointment, promotion, reduction in rank, retirement and discharge of members of the ADF. </w:t>
      </w:r>
    </w:p>
    <w:p w:rsidR="00586FFA" w:rsidRDefault="00586FFA" w:rsidP="00586FFA">
      <w:pPr>
        <w:pStyle w:val="ListParagraph"/>
        <w:spacing w:before="120" w:line="276" w:lineRule="auto"/>
        <w:ind w:left="360"/>
        <w:jc w:val="both"/>
        <w:rPr>
          <w:rFonts w:eastAsia="Calibri"/>
          <w:szCs w:val="24"/>
        </w:rPr>
      </w:pPr>
    </w:p>
    <w:p w:rsidR="00586FFA" w:rsidRDefault="0099471D" w:rsidP="0099471D">
      <w:pPr>
        <w:pStyle w:val="ListParagraph"/>
        <w:numPr>
          <w:ilvl w:val="0"/>
          <w:numId w:val="1"/>
        </w:numPr>
        <w:spacing w:before="120" w:line="276" w:lineRule="auto"/>
        <w:jc w:val="both"/>
        <w:rPr>
          <w:rFonts w:eastAsia="Calibri"/>
          <w:szCs w:val="24"/>
        </w:rPr>
      </w:pPr>
      <w:r>
        <w:rPr>
          <w:rFonts w:eastAsia="Calibri"/>
          <w:szCs w:val="24"/>
        </w:rPr>
        <w:t xml:space="preserve">Subsection 33(3) of the </w:t>
      </w:r>
      <w:r w:rsidRPr="003B1AFC">
        <w:rPr>
          <w:rFonts w:eastAsia="Calibri"/>
          <w:i/>
          <w:szCs w:val="24"/>
        </w:rPr>
        <w:t>Acts Interpretation Act 1901</w:t>
      </w:r>
      <w:r>
        <w:rPr>
          <w:rFonts w:eastAsia="Calibri"/>
          <w:szCs w:val="24"/>
        </w:rPr>
        <w:t xml:space="preserve"> provides that where an Act confers power to make, grant or issue any instrument of a legislative or administrative character </w:t>
      </w:r>
      <w:r w:rsidR="00C11866">
        <w:rPr>
          <w:rFonts w:eastAsia="Calibri"/>
          <w:szCs w:val="24"/>
        </w:rPr>
        <w:t xml:space="preserve">(including rules, regulations or by-laws) the power shall be construed as including a power </w:t>
      </w:r>
      <w:r w:rsidR="00C11866">
        <w:rPr>
          <w:rFonts w:eastAsia="Calibri"/>
          <w:szCs w:val="24"/>
        </w:rPr>
        <w:lastRenderedPageBreak/>
        <w:t xml:space="preserve">exercisable in the like manner and subject to the like conditions (if any) to repeal, rescind, revoke, amend, or vary any such instrument. </w:t>
      </w:r>
    </w:p>
    <w:p w:rsidR="00C11866" w:rsidRPr="00C11866" w:rsidRDefault="00C11866" w:rsidP="00C11866">
      <w:pPr>
        <w:spacing w:before="120" w:line="276" w:lineRule="auto"/>
        <w:jc w:val="both"/>
        <w:rPr>
          <w:rFonts w:eastAsia="Calibri"/>
          <w:szCs w:val="24"/>
        </w:rPr>
      </w:pPr>
    </w:p>
    <w:p w:rsidR="008417B3" w:rsidRDefault="00C11866" w:rsidP="008E0A0B">
      <w:pPr>
        <w:spacing w:before="120"/>
        <w:rPr>
          <w:rFonts w:eastAsia="Calibri"/>
          <w:b/>
          <w:i/>
          <w:szCs w:val="24"/>
        </w:rPr>
      </w:pPr>
      <w:r>
        <w:rPr>
          <w:b/>
        </w:rPr>
        <w:t xml:space="preserve">Operation of the </w:t>
      </w:r>
      <w:r w:rsidRPr="00C11866">
        <w:rPr>
          <w:rFonts w:eastAsia="Calibri"/>
          <w:b/>
          <w:i/>
          <w:szCs w:val="24"/>
        </w:rPr>
        <w:t>Defence Amendment (2020 Measures No. 2) Regulations 2020</w:t>
      </w:r>
    </w:p>
    <w:p w:rsidR="008E0A0B" w:rsidRPr="008E0A0B" w:rsidRDefault="008E0A0B" w:rsidP="008E0A0B">
      <w:pPr>
        <w:spacing w:before="120"/>
        <w:rPr>
          <w:rFonts w:eastAsia="Calibri"/>
          <w:b/>
          <w:i/>
          <w:szCs w:val="24"/>
        </w:rPr>
      </w:pPr>
    </w:p>
    <w:p w:rsidR="00C11866" w:rsidRPr="008417B3" w:rsidRDefault="008417B3" w:rsidP="00C11866">
      <w:pPr>
        <w:pStyle w:val="ListParagraph"/>
        <w:numPr>
          <w:ilvl w:val="0"/>
          <w:numId w:val="1"/>
        </w:numPr>
        <w:spacing w:before="120"/>
        <w:rPr>
          <w:rFonts w:eastAsia="Calibri"/>
          <w:szCs w:val="24"/>
        </w:rPr>
      </w:pPr>
      <w:r w:rsidRPr="008417B3">
        <w:rPr>
          <w:rFonts w:eastAsia="Calibri"/>
          <w:szCs w:val="24"/>
        </w:rPr>
        <w:t xml:space="preserve">Details of the Amending Regulation are set out in </w:t>
      </w:r>
      <w:r w:rsidRPr="008417B3">
        <w:rPr>
          <w:rFonts w:eastAsia="Calibri"/>
          <w:szCs w:val="24"/>
          <w:u w:val="single"/>
        </w:rPr>
        <w:t>Attachment A.</w:t>
      </w:r>
      <w:r w:rsidRPr="008417B3">
        <w:rPr>
          <w:rFonts w:eastAsia="Calibri"/>
          <w:szCs w:val="24"/>
        </w:rPr>
        <w:t xml:space="preserve"> </w:t>
      </w:r>
    </w:p>
    <w:p w:rsidR="00C11866" w:rsidRPr="00F91175" w:rsidRDefault="00C11866" w:rsidP="00AE6C1C">
      <w:pPr>
        <w:spacing w:before="120"/>
        <w:rPr>
          <w:b/>
        </w:rPr>
      </w:pPr>
    </w:p>
    <w:p w:rsidR="00AE6C1C" w:rsidRDefault="008417B3" w:rsidP="00AE6C1C">
      <w:pPr>
        <w:rPr>
          <w:b/>
          <w:szCs w:val="24"/>
        </w:rPr>
      </w:pPr>
      <w:r w:rsidRPr="008417B3">
        <w:rPr>
          <w:b/>
          <w:szCs w:val="24"/>
        </w:rPr>
        <w:t xml:space="preserve">Regulatory Impact Statement </w:t>
      </w:r>
    </w:p>
    <w:p w:rsidR="00AE6C1C" w:rsidRDefault="00AE6C1C" w:rsidP="008417B3">
      <w:pPr>
        <w:spacing w:line="276" w:lineRule="auto"/>
        <w:jc w:val="both"/>
        <w:rPr>
          <w:szCs w:val="24"/>
        </w:rPr>
      </w:pPr>
    </w:p>
    <w:p w:rsidR="008417B3" w:rsidRPr="008417B3" w:rsidRDefault="008417B3" w:rsidP="008417B3">
      <w:pPr>
        <w:pStyle w:val="ListParagraph"/>
        <w:numPr>
          <w:ilvl w:val="0"/>
          <w:numId w:val="1"/>
        </w:numPr>
        <w:spacing w:line="276" w:lineRule="auto"/>
        <w:jc w:val="both"/>
        <w:rPr>
          <w:szCs w:val="24"/>
        </w:rPr>
      </w:pPr>
      <w:r w:rsidRPr="008417B3">
        <w:rPr>
          <w:szCs w:val="24"/>
        </w:rPr>
        <w:t xml:space="preserve">The Office of Best Practice Regulation advised that no regulatory impact statement was required </w:t>
      </w:r>
      <w:r w:rsidRPr="00427F39">
        <w:rPr>
          <w:szCs w:val="24"/>
        </w:rPr>
        <w:t xml:space="preserve">(OBPR ID </w:t>
      </w:r>
      <w:r w:rsidR="00427F39">
        <w:rPr>
          <w:szCs w:val="24"/>
        </w:rPr>
        <w:t xml:space="preserve">42707). </w:t>
      </w:r>
    </w:p>
    <w:p w:rsidR="00AE6C1C" w:rsidRPr="008417B3" w:rsidRDefault="00AE6C1C" w:rsidP="00AE6C1C">
      <w:pPr>
        <w:rPr>
          <w:b/>
          <w:szCs w:val="24"/>
        </w:rPr>
      </w:pPr>
    </w:p>
    <w:p w:rsidR="008417B3" w:rsidRDefault="008417B3" w:rsidP="008417B3">
      <w:pPr>
        <w:spacing w:line="276" w:lineRule="auto"/>
        <w:rPr>
          <w:b/>
          <w:szCs w:val="24"/>
        </w:rPr>
      </w:pPr>
      <w:r w:rsidRPr="008417B3">
        <w:rPr>
          <w:b/>
          <w:szCs w:val="24"/>
        </w:rPr>
        <w:t xml:space="preserve">Legislative Instrument </w:t>
      </w:r>
    </w:p>
    <w:p w:rsidR="008417B3" w:rsidRPr="008417B3" w:rsidRDefault="008417B3" w:rsidP="008417B3">
      <w:pPr>
        <w:spacing w:line="276" w:lineRule="auto"/>
        <w:rPr>
          <w:b/>
          <w:szCs w:val="24"/>
        </w:rPr>
      </w:pPr>
    </w:p>
    <w:p w:rsidR="00AE6C1C" w:rsidRPr="008417B3" w:rsidRDefault="00AE6C1C" w:rsidP="008417B3">
      <w:pPr>
        <w:pStyle w:val="ListParagraph"/>
        <w:numPr>
          <w:ilvl w:val="0"/>
          <w:numId w:val="1"/>
        </w:numPr>
        <w:spacing w:line="276" w:lineRule="auto"/>
        <w:rPr>
          <w:szCs w:val="24"/>
        </w:rPr>
      </w:pPr>
      <w:r w:rsidRPr="008417B3">
        <w:rPr>
          <w:szCs w:val="24"/>
        </w:rPr>
        <w:t xml:space="preserve">The Regulations would be a legislative instrument for the purposes of the </w:t>
      </w:r>
      <w:r w:rsidRPr="008417B3">
        <w:rPr>
          <w:i/>
          <w:szCs w:val="24"/>
        </w:rPr>
        <w:t>Legislation Act 2003</w:t>
      </w:r>
      <w:r w:rsidRPr="008417B3">
        <w:rPr>
          <w:szCs w:val="24"/>
        </w:rPr>
        <w:t>.</w:t>
      </w:r>
    </w:p>
    <w:p w:rsidR="00AE6C1C" w:rsidRPr="004278BC" w:rsidRDefault="00AE6C1C" w:rsidP="008417B3">
      <w:pPr>
        <w:spacing w:line="276" w:lineRule="auto"/>
        <w:rPr>
          <w:szCs w:val="24"/>
        </w:rPr>
      </w:pPr>
    </w:p>
    <w:p w:rsidR="00AE6C1C" w:rsidRPr="004278BC" w:rsidRDefault="00AE6C1C" w:rsidP="00AE6C1C">
      <w:pPr>
        <w:rPr>
          <w:b/>
          <w:szCs w:val="24"/>
        </w:rPr>
      </w:pPr>
      <w:r w:rsidRPr="004278BC">
        <w:rPr>
          <w:b/>
          <w:szCs w:val="24"/>
        </w:rPr>
        <w:t>Commencement</w:t>
      </w:r>
    </w:p>
    <w:p w:rsidR="00AE6C1C" w:rsidRPr="004278BC" w:rsidRDefault="00AE6C1C" w:rsidP="00AE6C1C">
      <w:pPr>
        <w:rPr>
          <w:szCs w:val="24"/>
        </w:rPr>
      </w:pPr>
    </w:p>
    <w:p w:rsidR="00AE6C1C" w:rsidRDefault="00AE6C1C" w:rsidP="00AE6C1C">
      <w:pPr>
        <w:pStyle w:val="ListParagraph"/>
        <w:numPr>
          <w:ilvl w:val="0"/>
          <w:numId w:val="1"/>
        </w:numPr>
        <w:jc w:val="both"/>
      </w:pPr>
      <w:r w:rsidRPr="00A03D25">
        <w:t xml:space="preserve">The </w:t>
      </w:r>
      <w:r w:rsidR="008417B3">
        <w:t>Amending Regulations commence on the day after the instrument is registered</w:t>
      </w:r>
      <w:r w:rsidRPr="008417B3">
        <w:rPr>
          <w:i/>
        </w:rPr>
        <w:t>.</w:t>
      </w:r>
      <w:r>
        <w:t xml:space="preserve"> </w:t>
      </w:r>
    </w:p>
    <w:p w:rsidR="00AE6C1C" w:rsidRDefault="00AE6C1C" w:rsidP="008417B3">
      <w:pPr>
        <w:spacing w:line="276" w:lineRule="auto"/>
        <w:rPr>
          <w:szCs w:val="24"/>
        </w:rPr>
      </w:pPr>
    </w:p>
    <w:p w:rsidR="00AE6C1C" w:rsidRPr="009B293E" w:rsidRDefault="00AE6C1C" w:rsidP="00AE6C1C">
      <w:pPr>
        <w:rPr>
          <w:szCs w:val="24"/>
        </w:rPr>
      </w:pPr>
      <w:r w:rsidRPr="004278BC">
        <w:rPr>
          <w:b/>
          <w:szCs w:val="24"/>
        </w:rPr>
        <w:t>Consultation</w:t>
      </w:r>
    </w:p>
    <w:p w:rsidR="008417B3" w:rsidRPr="003B1AFC" w:rsidRDefault="008417B3" w:rsidP="003B1AFC">
      <w:pPr>
        <w:outlineLvl w:val="0"/>
        <w:rPr>
          <w:szCs w:val="24"/>
          <w:highlight w:val="yellow"/>
        </w:rPr>
      </w:pPr>
    </w:p>
    <w:p w:rsidR="008417B3" w:rsidRDefault="008417B3" w:rsidP="008417B3">
      <w:pPr>
        <w:pStyle w:val="ListParagraph"/>
        <w:numPr>
          <w:ilvl w:val="0"/>
          <w:numId w:val="1"/>
        </w:numPr>
        <w:outlineLvl w:val="0"/>
        <w:rPr>
          <w:szCs w:val="24"/>
        </w:rPr>
      </w:pPr>
      <w:r w:rsidRPr="008417B3">
        <w:rPr>
          <w:szCs w:val="24"/>
        </w:rPr>
        <w:t xml:space="preserve">The Amending Regulations were drafted by the Office of Parliamentary Counsel. </w:t>
      </w:r>
    </w:p>
    <w:p w:rsidR="008417B3" w:rsidRDefault="008417B3" w:rsidP="008417B3">
      <w:pPr>
        <w:spacing w:line="276" w:lineRule="auto"/>
        <w:outlineLvl w:val="0"/>
        <w:rPr>
          <w:szCs w:val="24"/>
        </w:rPr>
      </w:pPr>
    </w:p>
    <w:p w:rsidR="008417B3" w:rsidRDefault="00984E5D" w:rsidP="008417B3">
      <w:pPr>
        <w:outlineLvl w:val="0"/>
        <w:rPr>
          <w:b/>
          <w:szCs w:val="24"/>
        </w:rPr>
      </w:pPr>
      <w:r>
        <w:rPr>
          <w:b/>
          <w:szCs w:val="24"/>
        </w:rPr>
        <w:t>Attachment</w:t>
      </w:r>
    </w:p>
    <w:p w:rsidR="008417B3" w:rsidRDefault="008417B3" w:rsidP="008417B3">
      <w:pPr>
        <w:outlineLvl w:val="0"/>
        <w:rPr>
          <w:b/>
          <w:szCs w:val="24"/>
        </w:rPr>
      </w:pPr>
    </w:p>
    <w:p w:rsidR="008417B3" w:rsidRPr="008417B3" w:rsidRDefault="008417B3" w:rsidP="008417B3">
      <w:pPr>
        <w:rPr>
          <w:szCs w:val="24"/>
        </w:rPr>
      </w:pPr>
      <w:r w:rsidRPr="008417B3">
        <w:rPr>
          <w:szCs w:val="24"/>
        </w:rPr>
        <w:t xml:space="preserve">A: Provisions in the </w:t>
      </w:r>
      <w:r w:rsidRPr="008417B3">
        <w:rPr>
          <w:rFonts w:eastAsia="Calibri"/>
          <w:szCs w:val="24"/>
        </w:rPr>
        <w:t>Defence Amendment (2020 Measures No. 2) Regulations 2020</w:t>
      </w:r>
      <w:r>
        <w:rPr>
          <w:rFonts w:eastAsia="Calibri"/>
          <w:szCs w:val="24"/>
        </w:rPr>
        <w:t xml:space="preserve">. </w:t>
      </w:r>
    </w:p>
    <w:p w:rsidR="008417B3" w:rsidRPr="008417B3" w:rsidRDefault="008417B3" w:rsidP="008417B3">
      <w:pPr>
        <w:outlineLvl w:val="0"/>
        <w:rPr>
          <w:b/>
          <w:szCs w:val="24"/>
        </w:rPr>
      </w:pPr>
    </w:p>
    <w:p w:rsidR="00AE6C1C" w:rsidRDefault="00AE6C1C" w:rsidP="00AE6C1C">
      <w:pPr>
        <w:tabs>
          <w:tab w:val="left" w:pos="4140"/>
        </w:tabs>
        <w:rPr>
          <w:szCs w:val="24"/>
        </w:rPr>
      </w:pPr>
      <w:r>
        <w:rPr>
          <w:szCs w:val="24"/>
        </w:rPr>
        <w:tab/>
      </w:r>
      <w:r>
        <w:rPr>
          <w:szCs w:val="24"/>
        </w:rPr>
        <w:tab/>
      </w:r>
      <w:r>
        <w:rPr>
          <w:szCs w:val="24"/>
        </w:rPr>
        <w:tab/>
        <w:t xml:space="preserve">       </w:t>
      </w:r>
    </w:p>
    <w:p w:rsidR="00AE6C1C" w:rsidRDefault="00AE6C1C" w:rsidP="00AE6C1C">
      <w:pPr>
        <w:tabs>
          <w:tab w:val="left" w:pos="2520"/>
          <w:tab w:val="left" w:pos="2880"/>
          <w:tab w:val="left" w:pos="3060"/>
          <w:tab w:val="left" w:pos="3240"/>
          <w:tab w:val="left" w:pos="4140"/>
        </w:tabs>
        <w:ind w:left="4140" w:hanging="3240"/>
      </w:pPr>
      <w:r>
        <w:tab/>
      </w:r>
      <w:r>
        <w:tab/>
      </w:r>
    </w:p>
    <w:p w:rsidR="00AE6C1C" w:rsidRDefault="00AE6C1C" w:rsidP="00AE6C1C">
      <w:pPr>
        <w:tabs>
          <w:tab w:val="left" w:pos="2520"/>
          <w:tab w:val="left" w:pos="2880"/>
          <w:tab w:val="left" w:pos="3060"/>
          <w:tab w:val="left" w:pos="3240"/>
          <w:tab w:val="left" w:pos="4140"/>
        </w:tabs>
        <w:ind w:left="4140" w:hanging="3240"/>
      </w:pPr>
    </w:p>
    <w:p w:rsidR="00AE6C1C" w:rsidRPr="009B293E" w:rsidRDefault="00AE6C1C" w:rsidP="00AE6C1C">
      <w:pPr>
        <w:tabs>
          <w:tab w:val="left" w:pos="2520"/>
          <w:tab w:val="left" w:pos="2880"/>
          <w:tab w:val="left" w:pos="3060"/>
          <w:tab w:val="left" w:pos="3240"/>
          <w:tab w:val="left" w:pos="4140"/>
        </w:tabs>
        <w:ind w:left="4140" w:hanging="3240"/>
        <w:rPr>
          <w:i/>
        </w:rPr>
      </w:pPr>
      <w:r>
        <w:tab/>
      </w:r>
      <w:r>
        <w:tab/>
      </w:r>
      <w:r>
        <w:tab/>
      </w:r>
      <w:r>
        <w:tab/>
      </w:r>
      <w:r>
        <w:tab/>
      </w:r>
    </w:p>
    <w:p w:rsidR="00AE6C1C" w:rsidRPr="004278BC" w:rsidRDefault="00AE6C1C" w:rsidP="00AE6C1C">
      <w:pPr>
        <w:spacing w:after="200" w:line="276" w:lineRule="auto"/>
        <w:ind w:left="2700"/>
        <w:jc w:val="both"/>
        <w:rPr>
          <w:i/>
          <w:szCs w:val="24"/>
        </w:rPr>
      </w:pPr>
      <w:r w:rsidRPr="004278BC">
        <w:rPr>
          <w:i/>
          <w:szCs w:val="24"/>
        </w:rPr>
        <w:br w:type="page"/>
      </w:r>
    </w:p>
    <w:p w:rsidR="00C1348F" w:rsidRPr="00C1348F" w:rsidRDefault="00AE6C1C" w:rsidP="00C1348F">
      <w:pPr>
        <w:ind w:right="91"/>
        <w:jc w:val="center"/>
        <w:rPr>
          <w:b/>
        </w:rPr>
      </w:pPr>
      <w:r w:rsidRPr="00C1348F">
        <w:rPr>
          <w:b/>
        </w:rPr>
        <w:lastRenderedPageBreak/>
        <w:t>ATTACHMENT A</w:t>
      </w:r>
      <w:r w:rsidR="00C1348F">
        <w:rPr>
          <w:b/>
        </w:rPr>
        <w:t xml:space="preserve"> – PROVISIONS IN DEFENCE AMENDMENT (2020 MEASURES NO. 2) REGULATIONS 2020 </w:t>
      </w:r>
    </w:p>
    <w:p w:rsidR="00AE6C1C" w:rsidRDefault="00AE6C1C" w:rsidP="00AE6C1C">
      <w:pPr>
        <w:ind w:right="91"/>
        <w:rPr>
          <w:b/>
          <w:szCs w:val="24"/>
        </w:rPr>
      </w:pPr>
    </w:p>
    <w:p w:rsidR="00AE6C1C" w:rsidRPr="00C1348F" w:rsidRDefault="00AE6C1C" w:rsidP="00C1348F">
      <w:pPr>
        <w:spacing w:before="100" w:beforeAutospacing="1" w:after="100" w:afterAutospacing="1"/>
        <w:jc w:val="both"/>
        <w:rPr>
          <w:b/>
          <w:color w:val="000000"/>
          <w:szCs w:val="24"/>
          <w:lang w:val="en-AU"/>
        </w:rPr>
      </w:pPr>
      <w:r w:rsidRPr="00C1348F">
        <w:rPr>
          <w:b/>
          <w:bCs/>
          <w:color w:val="000000"/>
          <w:szCs w:val="24"/>
          <w:lang w:val="en-AU"/>
        </w:rPr>
        <w:t>Section 1 - </w:t>
      </w:r>
      <w:r w:rsidRPr="00C1348F">
        <w:rPr>
          <w:b/>
          <w:color w:val="000000"/>
          <w:szCs w:val="24"/>
          <w:lang w:val="en-AU"/>
        </w:rPr>
        <w:t>Name of Regulation</w:t>
      </w:r>
    </w:p>
    <w:p w:rsidR="00AE6C1C" w:rsidRPr="004278BC" w:rsidRDefault="00AE6C1C" w:rsidP="00C1348F">
      <w:pPr>
        <w:ind w:right="91"/>
        <w:jc w:val="both"/>
        <w:rPr>
          <w:i/>
          <w:szCs w:val="24"/>
        </w:rPr>
      </w:pPr>
      <w:r w:rsidRPr="004278BC">
        <w:rPr>
          <w:szCs w:val="24"/>
        </w:rPr>
        <w:t xml:space="preserve">This section provides that the title of the </w:t>
      </w:r>
      <w:r>
        <w:rPr>
          <w:szCs w:val="24"/>
        </w:rPr>
        <w:t>instrument</w:t>
      </w:r>
      <w:r w:rsidRPr="004278BC">
        <w:rPr>
          <w:szCs w:val="24"/>
        </w:rPr>
        <w:t xml:space="preserve"> is the</w:t>
      </w:r>
      <w:r>
        <w:rPr>
          <w:szCs w:val="24"/>
        </w:rPr>
        <w:t xml:space="preserve"> </w:t>
      </w:r>
      <w:r w:rsidR="00C1348F" w:rsidRPr="002A26DD">
        <w:rPr>
          <w:i/>
        </w:rPr>
        <w:fldChar w:fldCharType="begin"/>
      </w:r>
      <w:r w:rsidR="00C1348F" w:rsidRPr="002A26DD">
        <w:rPr>
          <w:i/>
        </w:rPr>
        <w:instrText xml:space="preserve"> STYLEREF  ShortT </w:instrText>
      </w:r>
      <w:r w:rsidR="00C1348F" w:rsidRPr="002A26DD">
        <w:rPr>
          <w:i/>
        </w:rPr>
        <w:fldChar w:fldCharType="separate"/>
      </w:r>
      <w:r w:rsidR="00C1348F">
        <w:rPr>
          <w:i/>
          <w:noProof/>
        </w:rPr>
        <w:t>Defence Amendment (2020 Measures No. 2) Regulations 2020</w:t>
      </w:r>
      <w:r w:rsidR="00C1348F" w:rsidRPr="002A26DD">
        <w:rPr>
          <w:i/>
        </w:rPr>
        <w:fldChar w:fldCharType="end"/>
      </w:r>
      <w:r w:rsidR="00C1348F" w:rsidRPr="002A26DD">
        <w:t>.</w:t>
      </w:r>
    </w:p>
    <w:p w:rsidR="00AE6C1C" w:rsidRPr="00C1348F" w:rsidRDefault="00AE6C1C" w:rsidP="00AE6C1C">
      <w:pPr>
        <w:spacing w:before="100" w:beforeAutospacing="1" w:after="100" w:afterAutospacing="1"/>
        <w:rPr>
          <w:b/>
          <w:bCs/>
          <w:color w:val="000000"/>
          <w:szCs w:val="24"/>
          <w:lang w:val="en-AU"/>
        </w:rPr>
      </w:pPr>
      <w:r w:rsidRPr="00C1348F">
        <w:rPr>
          <w:b/>
          <w:bCs/>
          <w:color w:val="000000"/>
          <w:szCs w:val="24"/>
          <w:lang w:val="en-AU"/>
        </w:rPr>
        <w:t>Section 2 – Commencement</w:t>
      </w:r>
    </w:p>
    <w:p w:rsidR="00AE6C1C" w:rsidRPr="009B293E" w:rsidRDefault="00AE6C1C" w:rsidP="00C1348F">
      <w:pPr>
        <w:ind w:right="91"/>
        <w:jc w:val="both"/>
        <w:rPr>
          <w:noProof/>
          <w:szCs w:val="24"/>
          <w:lang w:eastAsia="en-US"/>
        </w:rPr>
      </w:pPr>
      <w:r w:rsidRPr="004278BC">
        <w:rPr>
          <w:noProof/>
          <w:szCs w:val="24"/>
          <w:lang w:eastAsia="en-US"/>
        </w:rPr>
        <w:t xml:space="preserve">This section provides </w:t>
      </w:r>
      <w:r w:rsidR="00C1348F">
        <w:rPr>
          <w:noProof/>
          <w:szCs w:val="24"/>
          <w:lang w:eastAsia="en-US"/>
        </w:rPr>
        <w:t xml:space="preserve">for the whole of the instrutment to commence the day after it is registered. </w:t>
      </w:r>
    </w:p>
    <w:p w:rsidR="00AE6C1C" w:rsidRPr="004278BC" w:rsidRDefault="00AE6C1C" w:rsidP="00AE6C1C">
      <w:pPr>
        <w:ind w:right="91"/>
        <w:rPr>
          <w:szCs w:val="24"/>
        </w:rPr>
      </w:pPr>
    </w:p>
    <w:p w:rsidR="00AE6C1C" w:rsidRPr="00C1348F" w:rsidRDefault="00AE6C1C" w:rsidP="00AE6C1C">
      <w:pPr>
        <w:ind w:right="91"/>
        <w:rPr>
          <w:b/>
          <w:noProof/>
          <w:szCs w:val="24"/>
          <w:lang w:eastAsia="en-US"/>
        </w:rPr>
      </w:pPr>
      <w:r w:rsidRPr="00C1348F">
        <w:rPr>
          <w:b/>
          <w:noProof/>
          <w:szCs w:val="24"/>
          <w:lang w:eastAsia="en-US"/>
        </w:rPr>
        <w:t>Section 3 – Authority</w:t>
      </w:r>
    </w:p>
    <w:p w:rsidR="00AE6C1C" w:rsidRPr="004278BC" w:rsidRDefault="00AE6C1C" w:rsidP="00AE6C1C">
      <w:pPr>
        <w:ind w:right="91"/>
        <w:rPr>
          <w:noProof/>
          <w:szCs w:val="24"/>
          <w:u w:val="single"/>
          <w:lang w:eastAsia="en-US"/>
        </w:rPr>
      </w:pPr>
    </w:p>
    <w:p w:rsidR="00AE6C1C" w:rsidRPr="00C1348F" w:rsidRDefault="00AE6C1C" w:rsidP="00AE6C1C">
      <w:pPr>
        <w:pStyle w:val="paragraph"/>
        <w:spacing w:before="0"/>
        <w:ind w:left="0" w:firstLine="0"/>
        <w:rPr>
          <w:noProof/>
          <w:sz w:val="24"/>
          <w:szCs w:val="24"/>
          <w:lang w:eastAsia="en-US"/>
        </w:rPr>
      </w:pPr>
      <w:r w:rsidRPr="004278BC">
        <w:rPr>
          <w:noProof/>
          <w:sz w:val="24"/>
          <w:szCs w:val="24"/>
          <w:lang w:eastAsia="en-US"/>
        </w:rPr>
        <w:t xml:space="preserve">This section provides that the </w:t>
      </w:r>
      <w:r w:rsidR="00C1348F">
        <w:rPr>
          <w:sz w:val="24"/>
          <w:szCs w:val="24"/>
        </w:rPr>
        <w:t xml:space="preserve">instrument is made under the </w:t>
      </w:r>
      <w:r w:rsidR="00C1348F" w:rsidRPr="00C1348F">
        <w:rPr>
          <w:i/>
          <w:sz w:val="24"/>
          <w:szCs w:val="24"/>
        </w:rPr>
        <w:t>Defence Act 1903.</w:t>
      </w:r>
      <w:r w:rsidR="00C1348F">
        <w:rPr>
          <w:sz w:val="24"/>
          <w:szCs w:val="24"/>
        </w:rPr>
        <w:t xml:space="preserve"> </w:t>
      </w:r>
    </w:p>
    <w:p w:rsidR="00AE6C1C" w:rsidRPr="004278BC" w:rsidRDefault="00AE6C1C" w:rsidP="00AE6C1C">
      <w:pPr>
        <w:pStyle w:val="paragraph"/>
        <w:spacing w:before="0"/>
        <w:ind w:left="0" w:firstLine="0"/>
        <w:rPr>
          <w:noProof/>
          <w:sz w:val="24"/>
          <w:szCs w:val="24"/>
          <w:lang w:eastAsia="en-US"/>
        </w:rPr>
      </w:pPr>
    </w:p>
    <w:p w:rsidR="00AE6C1C" w:rsidRPr="00C1348F" w:rsidRDefault="00AE6C1C" w:rsidP="00AE6C1C">
      <w:pPr>
        <w:ind w:right="91"/>
        <w:rPr>
          <w:b/>
          <w:noProof/>
          <w:szCs w:val="24"/>
          <w:lang w:eastAsia="en-US"/>
        </w:rPr>
      </w:pPr>
      <w:r w:rsidRPr="00C1348F">
        <w:rPr>
          <w:b/>
          <w:noProof/>
          <w:szCs w:val="24"/>
          <w:lang w:eastAsia="en-US"/>
        </w:rPr>
        <w:t>Section 4 – Schedules</w:t>
      </w:r>
    </w:p>
    <w:p w:rsidR="00AE6C1C" w:rsidRPr="004278BC" w:rsidRDefault="00AE6C1C" w:rsidP="00AE6C1C">
      <w:pPr>
        <w:pStyle w:val="paragraph"/>
        <w:spacing w:before="0"/>
        <w:rPr>
          <w:i/>
          <w:sz w:val="24"/>
          <w:szCs w:val="24"/>
        </w:rPr>
      </w:pPr>
    </w:p>
    <w:p w:rsidR="00AE6C1C" w:rsidRPr="004278BC" w:rsidRDefault="00AE6C1C" w:rsidP="00AE6C1C">
      <w:pPr>
        <w:ind w:right="91"/>
        <w:rPr>
          <w:noProof/>
          <w:szCs w:val="24"/>
          <w:lang w:eastAsia="en-US"/>
        </w:rPr>
      </w:pPr>
      <w:r>
        <w:rPr>
          <w:noProof/>
          <w:szCs w:val="24"/>
          <w:lang w:eastAsia="en-US"/>
        </w:rPr>
        <w:t>This section provides that e</w:t>
      </w:r>
      <w:r w:rsidRPr="004278BC">
        <w:rPr>
          <w:noProof/>
          <w:szCs w:val="24"/>
          <w:lang w:eastAsia="en-US"/>
        </w:rPr>
        <w:t xml:space="preserve">ach instrument that is specified in a Schedule to this instrument is amended or repealed as set out in the applicable items in this Schedule concerned, and any other item in a Schedule to this instrument has effect accordingly to its terms. </w:t>
      </w:r>
    </w:p>
    <w:p w:rsidR="00AE6C1C" w:rsidRPr="004278BC" w:rsidRDefault="00AE6C1C" w:rsidP="00AE6C1C">
      <w:pPr>
        <w:ind w:right="91"/>
        <w:rPr>
          <w:noProof/>
          <w:szCs w:val="24"/>
          <w:lang w:eastAsia="en-US"/>
        </w:rPr>
      </w:pPr>
    </w:p>
    <w:p w:rsidR="00AE6C1C" w:rsidRPr="00CA2B66" w:rsidRDefault="00AE6C1C" w:rsidP="00AE6C1C">
      <w:pPr>
        <w:ind w:right="91"/>
        <w:rPr>
          <w:b/>
          <w:noProof/>
          <w:szCs w:val="24"/>
          <w:lang w:eastAsia="en-US"/>
        </w:rPr>
      </w:pPr>
      <w:r w:rsidRPr="004278BC">
        <w:rPr>
          <w:b/>
          <w:noProof/>
          <w:szCs w:val="24"/>
          <w:lang w:eastAsia="en-US"/>
        </w:rPr>
        <w:t>SCHEDULE 1 – AMENDMENTS</w:t>
      </w:r>
      <w:r>
        <w:rPr>
          <w:b/>
          <w:i/>
          <w:noProof/>
          <w:szCs w:val="24"/>
          <w:lang w:eastAsia="en-US"/>
        </w:rPr>
        <w:br/>
      </w:r>
    </w:p>
    <w:p w:rsidR="00AE6C1C" w:rsidRPr="00CA2B66" w:rsidRDefault="00AE6C1C" w:rsidP="00AE6C1C">
      <w:pPr>
        <w:ind w:right="91"/>
        <w:rPr>
          <w:b/>
          <w:noProof/>
          <w:szCs w:val="24"/>
          <w:u w:val="single"/>
          <w:lang w:eastAsia="en-US"/>
        </w:rPr>
      </w:pPr>
      <w:r w:rsidRPr="00CA2B66">
        <w:rPr>
          <w:b/>
          <w:noProof/>
          <w:szCs w:val="24"/>
          <w:u w:val="single"/>
          <w:lang w:eastAsia="en-US"/>
        </w:rPr>
        <w:t>Item 1</w:t>
      </w:r>
    </w:p>
    <w:p w:rsidR="00AE6C1C" w:rsidRPr="00CA2B66" w:rsidRDefault="00AE6C1C" w:rsidP="00C1348F">
      <w:pPr>
        <w:spacing w:before="100" w:beforeAutospacing="1" w:after="100" w:afterAutospacing="1" w:line="276" w:lineRule="auto"/>
        <w:jc w:val="both"/>
        <w:rPr>
          <w:color w:val="000000"/>
          <w:szCs w:val="24"/>
        </w:rPr>
      </w:pPr>
      <w:r>
        <w:rPr>
          <w:color w:val="000000"/>
          <w:szCs w:val="24"/>
        </w:rPr>
        <w:t>This item adds a</w:t>
      </w:r>
      <w:r w:rsidR="00C1348F">
        <w:rPr>
          <w:color w:val="000000"/>
          <w:szCs w:val="24"/>
        </w:rPr>
        <w:t xml:space="preserve"> note at the end of subsection 24(3) to</w:t>
      </w:r>
      <w:r w:rsidR="008E0A0B">
        <w:rPr>
          <w:color w:val="000000"/>
          <w:szCs w:val="24"/>
        </w:rPr>
        <w:t xml:space="preserve"> explicitly</w:t>
      </w:r>
      <w:r w:rsidR="00C1348F">
        <w:rPr>
          <w:color w:val="000000"/>
          <w:szCs w:val="24"/>
        </w:rPr>
        <w:t xml:space="preserve"> </w:t>
      </w:r>
      <w:r w:rsidR="008E0A0B">
        <w:rPr>
          <w:color w:val="000000"/>
          <w:szCs w:val="24"/>
        </w:rPr>
        <w:t>confirm</w:t>
      </w:r>
      <w:r w:rsidR="00C1348F">
        <w:rPr>
          <w:color w:val="000000"/>
          <w:szCs w:val="24"/>
        </w:rPr>
        <w:t xml:space="preserve"> that the subsection does not exclude or limit the operation of the common law relating to procedural fairness.  </w:t>
      </w:r>
    </w:p>
    <w:p w:rsidR="00AE6C1C" w:rsidRDefault="00AE6C1C" w:rsidP="00AE6C1C">
      <w:pPr>
        <w:spacing w:after="200" w:line="276" w:lineRule="auto"/>
        <w:rPr>
          <w:b/>
          <w:color w:val="000000"/>
          <w:szCs w:val="24"/>
        </w:rPr>
      </w:pPr>
      <w:r>
        <w:rPr>
          <w:b/>
          <w:color w:val="000000"/>
          <w:szCs w:val="24"/>
        </w:rPr>
        <w:br w:type="page"/>
      </w:r>
    </w:p>
    <w:p w:rsidR="00AE6C1C" w:rsidRPr="004278BC" w:rsidRDefault="00AE6C1C" w:rsidP="00AE6C1C">
      <w:pPr>
        <w:pStyle w:val="NormalWeb"/>
        <w:spacing w:before="0" w:beforeAutospacing="0" w:after="0" w:afterAutospacing="0"/>
        <w:jc w:val="center"/>
        <w:outlineLvl w:val="0"/>
        <w:rPr>
          <w:b/>
        </w:rPr>
      </w:pPr>
      <w:r w:rsidRPr="004278BC">
        <w:rPr>
          <w:b/>
        </w:rPr>
        <w:lastRenderedPageBreak/>
        <w:t>STATEMENT OF COMPATIBILITY WITH HUMAN RIGHTS</w:t>
      </w:r>
    </w:p>
    <w:p w:rsidR="00AE6C1C" w:rsidRPr="004278BC" w:rsidRDefault="00AE6C1C" w:rsidP="008E0A0B">
      <w:pPr>
        <w:pStyle w:val="NormalWeb"/>
        <w:spacing w:before="0" w:beforeAutospacing="0" w:after="0" w:afterAutospacing="0"/>
        <w:jc w:val="both"/>
        <w:outlineLvl w:val="0"/>
        <w:rPr>
          <w:b/>
        </w:rPr>
      </w:pPr>
    </w:p>
    <w:p w:rsidR="00AE6C1C" w:rsidRDefault="00AE6C1C" w:rsidP="008E0A0B">
      <w:pPr>
        <w:pStyle w:val="NormalWeb"/>
        <w:spacing w:before="0" w:beforeAutospacing="0" w:after="0" w:afterAutospacing="0"/>
        <w:jc w:val="both"/>
        <w:rPr>
          <w:i/>
        </w:rPr>
      </w:pPr>
      <w:r w:rsidRPr="008E0A0B">
        <w:t>Prepared in accordance with Part 3 of the</w:t>
      </w:r>
      <w:r w:rsidRPr="004278BC">
        <w:rPr>
          <w:i/>
        </w:rPr>
        <w:t xml:space="preserve"> Human Rights (Parliamentary Scrutiny) Act 2011</w:t>
      </w:r>
    </w:p>
    <w:p w:rsidR="008E0A0B" w:rsidRPr="004278BC" w:rsidRDefault="008E0A0B" w:rsidP="008E0A0B">
      <w:pPr>
        <w:pStyle w:val="NormalWeb"/>
        <w:spacing w:before="0" w:beforeAutospacing="0" w:after="0" w:afterAutospacing="0"/>
        <w:jc w:val="both"/>
        <w:rPr>
          <w:i/>
        </w:rPr>
      </w:pPr>
    </w:p>
    <w:p w:rsidR="008E0A0B" w:rsidRPr="008E0A0B" w:rsidRDefault="008E0A0B" w:rsidP="008E0A0B">
      <w:pPr>
        <w:pStyle w:val="NormalWeb"/>
        <w:jc w:val="center"/>
        <w:rPr>
          <w:b/>
          <w:u w:val="single"/>
        </w:rPr>
      </w:pPr>
      <w:r w:rsidRPr="008E0A0B">
        <w:rPr>
          <w:b/>
          <w:u w:val="single"/>
        </w:rPr>
        <w:fldChar w:fldCharType="begin"/>
      </w:r>
      <w:r w:rsidRPr="008E0A0B">
        <w:rPr>
          <w:b/>
          <w:u w:val="single"/>
        </w:rPr>
        <w:instrText xml:space="preserve"> STYLEREF  ShortT </w:instrText>
      </w:r>
      <w:r w:rsidRPr="008E0A0B">
        <w:rPr>
          <w:b/>
          <w:u w:val="single"/>
        </w:rPr>
        <w:fldChar w:fldCharType="separate"/>
      </w:r>
      <w:r w:rsidRPr="008E0A0B">
        <w:rPr>
          <w:b/>
          <w:noProof/>
          <w:u w:val="single"/>
        </w:rPr>
        <w:t>Defence Amendment (2020 Measures No. 2) Regulations 2020</w:t>
      </w:r>
      <w:r w:rsidRPr="008E0A0B">
        <w:rPr>
          <w:b/>
          <w:u w:val="single"/>
        </w:rPr>
        <w:fldChar w:fldCharType="end"/>
      </w:r>
    </w:p>
    <w:p w:rsidR="00AE6C1C" w:rsidRPr="00586EB5" w:rsidRDefault="00AE6C1C" w:rsidP="008E0A0B">
      <w:pPr>
        <w:pStyle w:val="NormalWeb"/>
        <w:numPr>
          <w:ilvl w:val="0"/>
          <w:numId w:val="2"/>
        </w:numPr>
        <w:spacing w:line="276" w:lineRule="auto"/>
        <w:jc w:val="both"/>
      </w:pPr>
      <w:r w:rsidRPr="004278BC">
        <w:t xml:space="preserve">The </w:t>
      </w:r>
      <w:r w:rsidR="008E0A0B" w:rsidRPr="002A26DD">
        <w:rPr>
          <w:i/>
        </w:rPr>
        <w:fldChar w:fldCharType="begin"/>
      </w:r>
      <w:r w:rsidR="008E0A0B" w:rsidRPr="002A26DD">
        <w:rPr>
          <w:i/>
        </w:rPr>
        <w:instrText xml:space="preserve"> STYLEREF  ShortT </w:instrText>
      </w:r>
      <w:r w:rsidR="008E0A0B" w:rsidRPr="002A26DD">
        <w:rPr>
          <w:i/>
        </w:rPr>
        <w:fldChar w:fldCharType="separate"/>
      </w:r>
      <w:r w:rsidR="008E0A0B">
        <w:rPr>
          <w:i/>
          <w:noProof/>
        </w:rPr>
        <w:t>Defence Amendment (2020 Measures No. 2) Regulations 2020</w:t>
      </w:r>
      <w:r w:rsidR="008E0A0B" w:rsidRPr="002A26DD">
        <w:rPr>
          <w:i/>
        </w:rPr>
        <w:fldChar w:fldCharType="end"/>
      </w:r>
      <w:r w:rsidR="008E0A0B">
        <w:t xml:space="preserve"> </w:t>
      </w:r>
      <w:r w:rsidRPr="00CA2B66">
        <w:t xml:space="preserve">(the </w:t>
      </w:r>
      <w:r w:rsidR="008E0A0B">
        <w:t xml:space="preserve">Amending </w:t>
      </w:r>
      <w:r w:rsidRPr="00CA2B66">
        <w:t>Regulations)</w:t>
      </w:r>
      <w:r>
        <w:rPr>
          <w:i/>
        </w:rPr>
        <w:t xml:space="preserve"> </w:t>
      </w:r>
      <w:r w:rsidRPr="004278BC">
        <w:t xml:space="preserve">are compatible with the human rights and freedoms recognised or declared in the international instruments listed in section 3 of the </w:t>
      </w:r>
      <w:r w:rsidRPr="004278BC">
        <w:rPr>
          <w:i/>
        </w:rPr>
        <w:t>Human Rights (Parliamentary Scrutiny) Act 2011</w:t>
      </w:r>
      <w:r w:rsidRPr="004278BC">
        <w:t>.</w:t>
      </w:r>
    </w:p>
    <w:p w:rsidR="00AE6C1C" w:rsidRPr="00DA0D1F" w:rsidRDefault="00AE6C1C" w:rsidP="00AE6C1C">
      <w:pPr>
        <w:pStyle w:val="NormalWeb"/>
        <w:rPr>
          <w:b/>
        </w:rPr>
      </w:pPr>
      <w:r w:rsidRPr="00D5174C">
        <w:rPr>
          <w:b/>
        </w:rPr>
        <w:t>Overview of the Regulation</w:t>
      </w:r>
    </w:p>
    <w:p w:rsidR="00AE6C1C" w:rsidRPr="00F62D59" w:rsidRDefault="00AE6C1C" w:rsidP="00F62D59">
      <w:pPr>
        <w:pStyle w:val="ListParagraph"/>
        <w:numPr>
          <w:ilvl w:val="0"/>
          <w:numId w:val="2"/>
        </w:numPr>
        <w:spacing w:line="276" w:lineRule="auto"/>
        <w:jc w:val="both"/>
        <w:rPr>
          <w:rFonts w:eastAsia="Calibri"/>
          <w:szCs w:val="24"/>
        </w:rPr>
      </w:pPr>
      <w:r w:rsidRPr="008E0A0B">
        <w:rPr>
          <w:rFonts w:eastAsia="Calibri"/>
          <w:szCs w:val="24"/>
        </w:rPr>
        <w:t>The Regulations make an amendment conseq</w:t>
      </w:r>
      <w:r w:rsidR="008E0A0B">
        <w:rPr>
          <w:rFonts w:eastAsia="Calibri"/>
          <w:szCs w:val="24"/>
        </w:rPr>
        <w:t xml:space="preserve">uential to amendments recently made to the </w:t>
      </w:r>
      <w:r w:rsidR="008E0A0B" w:rsidRPr="008E0A0B">
        <w:rPr>
          <w:rFonts w:eastAsia="Calibri"/>
          <w:i/>
          <w:szCs w:val="24"/>
        </w:rPr>
        <w:t>Defence Regulation 2016</w:t>
      </w:r>
      <w:r w:rsidR="008E0A0B">
        <w:rPr>
          <w:rFonts w:eastAsia="Calibri"/>
          <w:szCs w:val="24"/>
        </w:rPr>
        <w:t xml:space="preserve"> (the Regulation), by making it absolutely clear that the common law requirements of procedural fairness are not limited nor excluded by </w:t>
      </w:r>
      <w:r w:rsidR="00F62D59">
        <w:rPr>
          <w:rFonts w:eastAsia="Calibri"/>
          <w:szCs w:val="24"/>
        </w:rPr>
        <w:t>subsection 24(2) of the Regulation regarding grounds for termination of ADF members in specified circumstances.</w:t>
      </w:r>
    </w:p>
    <w:p w:rsidR="00AE6C1C" w:rsidRPr="00F74D71" w:rsidRDefault="00AE6C1C" w:rsidP="00AE6C1C">
      <w:pPr>
        <w:spacing w:before="100" w:beforeAutospacing="1" w:after="100" w:afterAutospacing="1"/>
        <w:rPr>
          <w:b/>
          <w:szCs w:val="24"/>
          <w:lang w:val="en-AU"/>
        </w:rPr>
      </w:pPr>
      <w:r w:rsidRPr="003B1AFC">
        <w:rPr>
          <w:b/>
          <w:szCs w:val="24"/>
          <w:lang w:val="en-AU"/>
        </w:rPr>
        <w:t>Human Rights Implications</w:t>
      </w:r>
    </w:p>
    <w:p w:rsidR="00FA5366" w:rsidRDefault="003F6CB2" w:rsidP="00FA5366">
      <w:pPr>
        <w:pStyle w:val="NormalWeb"/>
        <w:numPr>
          <w:ilvl w:val="0"/>
          <w:numId w:val="2"/>
        </w:numPr>
        <w:spacing w:before="0" w:beforeAutospacing="0" w:after="0" w:afterAutospacing="0" w:line="276" w:lineRule="auto"/>
        <w:jc w:val="both"/>
      </w:pPr>
      <w:r>
        <w:t xml:space="preserve">The Amending Regulations do not </w:t>
      </w:r>
      <w:r w:rsidR="003B1AFC">
        <w:t xml:space="preserve">have any human rights implications. </w:t>
      </w:r>
      <w:r w:rsidR="00FA5366">
        <w:t xml:space="preserve"> </w:t>
      </w:r>
    </w:p>
    <w:p w:rsidR="00FA5366" w:rsidRDefault="00FA5366" w:rsidP="00FA5366">
      <w:pPr>
        <w:pStyle w:val="NormalWeb"/>
        <w:spacing w:before="0" w:beforeAutospacing="0" w:after="0" w:afterAutospacing="0" w:line="276" w:lineRule="auto"/>
        <w:jc w:val="both"/>
      </w:pPr>
    </w:p>
    <w:p w:rsidR="00FA5366" w:rsidRDefault="00FA5366" w:rsidP="00FA5366">
      <w:pPr>
        <w:pStyle w:val="NormalWeb"/>
        <w:spacing w:before="0" w:beforeAutospacing="0" w:after="0" w:afterAutospacing="0" w:line="276" w:lineRule="auto"/>
        <w:jc w:val="both"/>
        <w:rPr>
          <w:b/>
        </w:rPr>
      </w:pPr>
      <w:r w:rsidRPr="00FA5366">
        <w:rPr>
          <w:b/>
        </w:rPr>
        <w:t>Conclusion</w:t>
      </w:r>
    </w:p>
    <w:p w:rsidR="00FA5366" w:rsidRDefault="00FA5366" w:rsidP="00FA5366">
      <w:pPr>
        <w:pStyle w:val="NormalWeb"/>
        <w:spacing w:before="0" w:beforeAutospacing="0" w:after="0" w:afterAutospacing="0" w:line="276" w:lineRule="auto"/>
        <w:jc w:val="both"/>
        <w:rPr>
          <w:b/>
        </w:rPr>
      </w:pPr>
    </w:p>
    <w:p w:rsidR="00AE6C1C" w:rsidRPr="00FA5366" w:rsidRDefault="00AE6C1C" w:rsidP="0051332C">
      <w:pPr>
        <w:pStyle w:val="NormalWeb"/>
        <w:numPr>
          <w:ilvl w:val="0"/>
          <w:numId w:val="2"/>
        </w:numPr>
        <w:spacing w:before="0" w:beforeAutospacing="0" w:after="200" w:afterAutospacing="0" w:line="276" w:lineRule="auto"/>
        <w:jc w:val="both"/>
        <w:rPr>
          <w:rFonts w:eastAsia="MS Mincho"/>
          <w:lang w:eastAsia="ja-JP"/>
        </w:rPr>
      </w:pPr>
      <w:r>
        <w:t>The</w:t>
      </w:r>
      <w:r w:rsidR="00FA5366">
        <w:t xml:space="preserve"> Amending</w:t>
      </w:r>
      <w:r>
        <w:t xml:space="preserve"> </w:t>
      </w:r>
      <w:r w:rsidRPr="004278BC">
        <w:t>Regulation</w:t>
      </w:r>
      <w:r>
        <w:t>s are compatible with human rights</w:t>
      </w:r>
      <w:r w:rsidR="00FA5366">
        <w:t xml:space="preserve">. </w:t>
      </w:r>
    </w:p>
    <w:p w:rsidR="00FA5366" w:rsidRDefault="00FA5366" w:rsidP="00FA5366">
      <w:pPr>
        <w:pStyle w:val="NormalWeb"/>
        <w:spacing w:before="0" w:beforeAutospacing="0" w:after="200" w:afterAutospacing="0" w:line="276" w:lineRule="auto"/>
        <w:jc w:val="both"/>
      </w:pPr>
    </w:p>
    <w:p w:rsidR="00FA5366" w:rsidRDefault="00FA5366" w:rsidP="00FA5366">
      <w:pPr>
        <w:pStyle w:val="NormalWeb"/>
        <w:spacing w:before="0" w:beforeAutospacing="0" w:after="200" w:afterAutospacing="0" w:line="276" w:lineRule="auto"/>
        <w:jc w:val="both"/>
      </w:pPr>
    </w:p>
    <w:p w:rsidR="00FA5366" w:rsidRPr="00FA5366" w:rsidRDefault="00FA5366" w:rsidP="00FA5366">
      <w:pPr>
        <w:pStyle w:val="NormalWeb"/>
        <w:spacing w:before="0" w:beforeAutospacing="0" w:after="200" w:afterAutospacing="0" w:line="276" w:lineRule="auto"/>
        <w:jc w:val="both"/>
        <w:rPr>
          <w:b/>
        </w:rPr>
      </w:pPr>
      <w:r w:rsidRPr="00FA5366">
        <w:rPr>
          <w:b/>
        </w:rPr>
        <w:t xml:space="preserve">Darren Chester </w:t>
      </w:r>
    </w:p>
    <w:p w:rsidR="00FA5366" w:rsidRPr="00FA5366" w:rsidRDefault="00FA5366" w:rsidP="00FA5366">
      <w:pPr>
        <w:pStyle w:val="NormalWeb"/>
        <w:spacing w:before="0" w:beforeAutospacing="0" w:after="200" w:afterAutospacing="0" w:line="276" w:lineRule="auto"/>
        <w:jc w:val="both"/>
        <w:rPr>
          <w:rFonts w:eastAsia="MS Mincho"/>
          <w:b/>
          <w:lang w:eastAsia="ja-JP"/>
        </w:rPr>
      </w:pPr>
      <w:r w:rsidRPr="00FA5366">
        <w:rPr>
          <w:b/>
        </w:rPr>
        <w:t xml:space="preserve">Minister for Defence Personnel </w:t>
      </w:r>
    </w:p>
    <w:p w:rsidR="00343D4B" w:rsidRDefault="00285283"/>
    <w:sectPr w:rsidR="00343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D697D"/>
    <w:multiLevelType w:val="hybridMultilevel"/>
    <w:tmpl w:val="045A52B8"/>
    <w:lvl w:ilvl="0" w:tplc="F4A2939C">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4651FDD"/>
    <w:multiLevelType w:val="hybridMultilevel"/>
    <w:tmpl w:val="4FD88A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F187CE3"/>
    <w:multiLevelType w:val="hybridMultilevel"/>
    <w:tmpl w:val="41A26324"/>
    <w:lvl w:ilvl="0" w:tplc="B7B6456C">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1C"/>
    <w:rsid w:val="000552E6"/>
    <w:rsid w:val="00094084"/>
    <w:rsid w:val="000C3152"/>
    <w:rsid w:val="001E3D2E"/>
    <w:rsid w:val="00285283"/>
    <w:rsid w:val="00393DAE"/>
    <w:rsid w:val="003B1AFC"/>
    <w:rsid w:val="003F0F2C"/>
    <w:rsid w:val="003F6CB2"/>
    <w:rsid w:val="00427F39"/>
    <w:rsid w:val="004726D7"/>
    <w:rsid w:val="004D0D37"/>
    <w:rsid w:val="004F0039"/>
    <w:rsid w:val="00586FFA"/>
    <w:rsid w:val="006329CD"/>
    <w:rsid w:val="00714BE8"/>
    <w:rsid w:val="00792036"/>
    <w:rsid w:val="008417B3"/>
    <w:rsid w:val="008E0A0B"/>
    <w:rsid w:val="008E7688"/>
    <w:rsid w:val="00903D8B"/>
    <w:rsid w:val="00984E5D"/>
    <w:rsid w:val="0099471D"/>
    <w:rsid w:val="00AC2AEA"/>
    <w:rsid w:val="00AE6C1C"/>
    <w:rsid w:val="00B6052C"/>
    <w:rsid w:val="00BB6736"/>
    <w:rsid w:val="00BC455A"/>
    <w:rsid w:val="00C11866"/>
    <w:rsid w:val="00C1348F"/>
    <w:rsid w:val="00CE163D"/>
    <w:rsid w:val="00DC6DE7"/>
    <w:rsid w:val="00E3733A"/>
    <w:rsid w:val="00F45515"/>
    <w:rsid w:val="00F47DDA"/>
    <w:rsid w:val="00F62D59"/>
    <w:rsid w:val="00F91175"/>
    <w:rsid w:val="00FA5366"/>
    <w:rsid w:val="00FB101D"/>
    <w:rsid w:val="00FD31E5"/>
    <w:rsid w:val="00FD59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446A"/>
  <w15:chartTrackingRefBased/>
  <w15:docId w15:val="{BAD5D157-B2D5-443E-A79A-88BE7435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C1C"/>
    <w:pPr>
      <w:spacing w:after="0" w:line="240" w:lineRule="auto"/>
    </w:pPr>
    <w:rPr>
      <w:rFonts w:ascii="Times New Roman" w:eastAsia="Times New Roman" w:hAnsi="Times New Roman" w:cs="Times New Roman"/>
      <w:sz w:val="24"/>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E6C1C"/>
    <w:pPr>
      <w:spacing w:before="100" w:beforeAutospacing="1" w:after="100" w:afterAutospacing="1"/>
    </w:pPr>
    <w:rPr>
      <w:rFonts w:eastAsia="Calibri"/>
      <w:szCs w:val="24"/>
      <w:lang w:val="en-AU"/>
    </w:rPr>
  </w:style>
  <w:style w:type="paragraph" w:customStyle="1" w:styleId="paragraph">
    <w:name w:val="paragraph"/>
    <w:aliases w:val="a,indent(a)"/>
    <w:basedOn w:val="Normal"/>
    <w:link w:val="paragraphChar"/>
    <w:rsid w:val="00AE6C1C"/>
    <w:pPr>
      <w:tabs>
        <w:tab w:val="right" w:pos="1531"/>
      </w:tabs>
      <w:spacing w:before="40"/>
      <w:ind w:left="1644" w:hanging="1644"/>
    </w:pPr>
    <w:rPr>
      <w:sz w:val="22"/>
      <w:lang w:val="en-AU"/>
    </w:rPr>
  </w:style>
  <w:style w:type="character" w:customStyle="1" w:styleId="paragraphChar">
    <w:name w:val="paragraph Char"/>
    <w:aliases w:val="a Char"/>
    <w:link w:val="paragraph"/>
    <w:rsid w:val="00AE6C1C"/>
    <w:rPr>
      <w:rFonts w:ascii="Times New Roman" w:eastAsia="Times New Roman" w:hAnsi="Times New Roman" w:cs="Times New Roman"/>
      <w:szCs w:val="20"/>
      <w:lang w:eastAsia="en-AU"/>
    </w:rPr>
  </w:style>
  <w:style w:type="paragraph" w:styleId="ListParagraph">
    <w:name w:val="List Paragraph"/>
    <w:basedOn w:val="Normal"/>
    <w:uiPriority w:val="34"/>
    <w:qFormat/>
    <w:rsid w:val="00AC2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5</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Sofatzis, Thea MISS</dc:creator>
  <cp:keywords/>
  <dc:description/>
  <cp:lastModifiedBy>Sofatzis, Thea MISS</cp:lastModifiedBy>
  <cp:revision>9</cp:revision>
  <dcterms:created xsi:type="dcterms:W3CDTF">2020-06-29T03:45:00Z</dcterms:created>
  <dcterms:modified xsi:type="dcterms:W3CDTF">2020-08-24T01:09:00Z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BN18288429</vt:lpwstr>
  </property>
  <property fmtid="{D5CDD505-2E9C-101B-9397-08002B2CF9AE}" pid="4" name="Objective-Title">
    <vt:lpwstr>Explanatory Statement - Defence Amendment (2020 Measures No. 2) Regulations 2020</vt:lpwstr>
  </property>
  <property fmtid="{D5CDD505-2E9C-101B-9397-08002B2CF9AE}" pid="5" name="Objective-Comment">
    <vt:lpwstr/>
  </property>
  <property fmtid="{D5CDD505-2E9C-101B-9397-08002B2CF9AE}" pid="6" name="Objective-CreationStamp">
    <vt:filetime>2020-06-30T04:06:24Z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2020-08-24T00:09:58Z</vt:filetime>
  </property>
  <property fmtid="{D5CDD505-2E9C-101B-9397-08002B2CF9AE}" pid="10" name="Objective-ModificationStamp">
    <vt:filetime>2020-08-24T00:09:58Z</vt:filetime>
  </property>
  <property fmtid="{D5CDD505-2E9C-101B-9397-08002B2CF9AE}" pid="11" name="Objective-Owner">
    <vt:lpwstr>Sofatzis, Thea MISS</vt:lpwstr>
  </property>
  <property fmtid="{D5CDD505-2E9C-101B-9397-08002B2CF9AE}" pid="12" name="Objective-Path">
    <vt:lpwstr>Objective Global Folder - PROD:Defence Business Units:Associate Secretary Group:Defence Legal:Defence General Counsel:DLLP : Directorate of Legislation and Legal Policy:003. DLLP Current Files:Defence Amendment (2020 Measures No. 2) Regulations 2020 - Directorate of Legislation &amp; Legal Policy - Defence Legal:</vt:lpwstr>
  </property>
  <property fmtid="{D5CDD505-2E9C-101B-9397-08002B2CF9AE}" pid="13" name="Objective-Parent">
    <vt:lpwstr>Defence Amendment (2020 Measures No. 2) Regulations 2020 - Directorate of Legislation &amp; Legal Policy - Defence Legal</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i4>7</vt:i4>
  </property>
  <property fmtid="{D5CDD505-2E9C-101B-9397-08002B2CF9AE}" pid="17" name="Objective-VersionComment">
    <vt:lpwstr/>
  </property>
  <property fmtid="{D5CDD505-2E9C-101B-9397-08002B2CF9AE}" pid="18" name="Objective-FileNumber">
    <vt:lpwstr>2020/1093487</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ies>
</file>