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1B4F" w14:textId="77777777" w:rsidR="001F2A16" w:rsidRPr="00566D26"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566D26">
        <w:rPr>
          <w:rFonts w:ascii="Arial" w:hAnsi="Arial" w:cs="Arial"/>
          <w:sz w:val="34"/>
          <w:szCs w:val="34"/>
        </w:rPr>
        <w:t>Explanatory Statement</w:t>
      </w:r>
    </w:p>
    <w:p w14:paraId="59F25997" w14:textId="01DF8780" w:rsidR="00AC2448" w:rsidRPr="00566D26"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5164407D" w14:textId="77777777" w:rsidR="00803F83" w:rsidRPr="00566D26" w:rsidRDefault="00803F83" w:rsidP="00547615">
      <w:pPr>
        <w:pStyle w:val="Header"/>
        <w:pBdr>
          <w:top w:val="double" w:sz="4" w:space="1" w:color="auto"/>
          <w:bottom w:val="double" w:sz="4" w:space="1" w:color="auto"/>
        </w:pBdr>
        <w:tabs>
          <w:tab w:val="clear" w:pos="4153"/>
          <w:tab w:val="clear" w:pos="8306"/>
        </w:tabs>
        <w:spacing w:before="120" w:after="120"/>
        <w:rPr>
          <w:rFonts w:ascii="Arial" w:hAnsi="Arial" w:cs="Arial"/>
          <w:sz w:val="34"/>
          <w:szCs w:val="34"/>
        </w:rPr>
      </w:pPr>
    </w:p>
    <w:p w14:paraId="0E0ACAD6" w14:textId="4AAB1210" w:rsidR="00803F83" w:rsidRPr="00566D26" w:rsidRDefault="0067041C" w:rsidP="00803F83">
      <w:pPr>
        <w:pStyle w:val="Header"/>
        <w:pBdr>
          <w:top w:val="double" w:sz="4" w:space="1" w:color="auto"/>
          <w:bottom w:val="double" w:sz="4" w:space="1" w:color="auto"/>
        </w:pBdr>
        <w:tabs>
          <w:tab w:val="clear" w:pos="4153"/>
          <w:tab w:val="clear" w:pos="8306"/>
        </w:tabs>
        <w:spacing w:before="120" w:after="120"/>
        <w:jc w:val="center"/>
        <w:rPr>
          <w:rFonts w:ascii="Arial" w:hAnsi="Arial" w:cs="Arial"/>
          <w:szCs w:val="24"/>
        </w:rPr>
      </w:pPr>
      <w:r w:rsidRPr="0067041C">
        <w:rPr>
          <w:rFonts w:ascii="Arial" w:hAnsi="Arial" w:cs="Arial"/>
          <w:sz w:val="34"/>
          <w:szCs w:val="34"/>
        </w:rPr>
        <w:t>PAYG Withholding variation for foreign resident capital gains withholding payments – no residue after a mortgagee exercises a power of sale</w:t>
      </w:r>
      <w:r w:rsidR="00803F83" w:rsidRPr="00566D26">
        <w:rPr>
          <w:rFonts w:ascii="Arial" w:hAnsi="Arial" w:cs="Arial"/>
          <w:sz w:val="34"/>
          <w:szCs w:val="34"/>
        </w:rPr>
        <w:t xml:space="preserve"> 2020</w:t>
      </w:r>
    </w:p>
    <w:p w14:paraId="603E4EDC" w14:textId="77777777" w:rsidR="00803F83" w:rsidRPr="00566D26" w:rsidRDefault="00803F83" w:rsidP="00566D26">
      <w:pPr>
        <w:pStyle w:val="Header"/>
        <w:pBdr>
          <w:top w:val="double" w:sz="4" w:space="1" w:color="auto"/>
          <w:bottom w:val="double" w:sz="4" w:space="1" w:color="auto"/>
        </w:pBdr>
        <w:tabs>
          <w:tab w:val="clear" w:pos="4153"/>
          <w:tab w:val="clear" w:pos="8306"/>
        </w:tabs>
        <w:rPr>
          <w:rFonts w:ascii="Arial" w:hAnsi="Arial" w:cs="Arial"/>
          <w:sz w:val="34"/>
          <w:szCs w:val="34"/>
        </w:rPr>
      </w:pPr>
    </w:p>
    <w:p w14:paraId="15AC1B52" w14:textId="5B65CDA8" w:rsidR="0099555F" w:rsidRPr="00566D26" w:rsidRDefault="0099555F" w:rsidP="0021496E">
      <w:pPr>
        <w:pStyle w:val="Header"/>
        <w:tabs>
          <w:tab w:val="clear" w:pos="4153"/>
          <w:tab w:val="clear" w:pos="8306"/>
        </w:tabs>
        <w:jc w:val="center"/>
        <w:rPr>
          <w:rFonts w:ascii="Arial" w:hAnsi="Arial" w:cs="Arial"/>
          <w:szCs w:val="24"/>
        </w:rPr>
      </w:pPr>
    </w:p>
    <w:p w14:paraId="15AC1B53" w14:textId="77777777" w:rsidR="001F2A16" w:rsidRPr="00566D26" w:rsidRDefault="001F2A16" w:rsidP="0021496E">
      <w:pPr>
        <w:pStyle w:val="Header"/>
        <w:tabs>
          <w:tab w:val="clear" w:pos="4153"/>
          <w:tab w:val="clear" w:pos="8306"/>
        </w:tabs>
        <w:jc w:val="center"/>
        <w:rPr>
          <w:rFonts w:ascii="Arial" w:hAnsi="Arial" w:cs="Arial"/>
          <w:szCs w:val="24"/>
        </w:rPr>
      </w:pPr>
    </w:p>
    <w:p w14:paraId="15AC1B54" w14:textId="77777777" w:rsidR="00486653" w:rsidRDefault="00486653" w:rsidP="00910595">
      <w:pPr>
        <w:pStyle w:val="Heading2"/>
      </w:pPr>
      <w:r w:rsidRPr="00566D26">
        <w:t>General Outline of Instrument</w:t>
      </w:r>
    </w:p>
    <w:p w14:paraId="73A02DDC" w14:textId="77777777" w:rsidR="00226E71" w:rsidRPr="00226E71" w:rsidRDefault="00226E71" w:rsidP="00226E71"/>
    <w:p w14:paraId="0AA1DDE9" w14:textId="5E49D8D0" w:rsidR="00753058" w:rsidRPr="00C07D99" w:rsidRDefault="008D4D63" w:rsidP="008D4D63">
      <w:pPr>
        <w:numPr>
          <w:ilvl w:val="0"/>
          <w:numId w:val="16"/>
        </w:numPr>
        <w:tabs>
          <w:tab w:val="clear" w:pos="720"/>
        </w:tabs>
        <w:spacing w:after="120"/>
        <w:ind w:left="0" w:firstLine="0"/>
        <w:rPr>
          <w:rFonts w:ascii="Arial" w:hAnsi="Arial" w:cs="Arial"/>
          <w:sz w:val="22"/>
          <w:szCs w:val="22"/>
        </w:rPr>
      </w:pPr>
      <w:r w:rsidRPr="00C07D99">
        <w:rPr>
          <w:rFonts w:ascii="Arial" w:hAnsi="Arial" w:cs="Arial"/>
          <w:sz w:val="22"/>
          <w:szCs w:val="22"/>
        </w:rPr>
        <w:t xml:space="preserve">This instrument is made under </w:t>
      </w:r>
      <w:r w:rsidR="00753058" w:rsidRPr="00C07D99">
        <w:rPr>
          <w:rFonts w:ascii="Arial" w:hAnsi="Arial" w:cs="Arial"/>
          <w:color w:val="000000"/>
          <w:sz w:val="22"/>
          <w:szCs w:val="22"/>
        </w:rPr>
        <w:t xml:space="preserve">subsection 14-235(5) of Schedule 1 to the </w:t>
      </w:r>
      <w:r w:rsidR="00753058" w:rsidRPr="00C07D99">
        <w:rPr>
          <w:rFonts w:ascii="Arial" w:hAnsi="Arial" w:cs="Arial"/>
          <w:i/>
          <w:color w:val="000000"/>
          <w:sz w:val="22"/>
          <w:szCs w:val="22"/>
        </w:rPr>
        <w:t>Taxation Administration Act 1953</w:t>
      </w:r>
      <w:r w:rsidR="00753058" w:rsidRPr="00C07D99">
        <w:rPr>
          <w:rFonts w:ascii="Arial" w:hAnsi="Arial" w:cs="Arial"/>
          <w:color w:val="000000"/>
          <w:sz w:val="22"/>
          <w:szCs w:val="22"/>
        </w:rPr>
        <w:t>.</w:t>
      </w:r>
    </w:p>
    <w:p w14:paraId="6170D9C6" w14:textId="03369CEA" w:rsidR="008D4D63" w:rsidRPr="008D4D63" w:rsidRDefault="00753058" w:rsidP="008D4D63">
      <w:pPr>
        <w:numPr>
          <w:ilvl w:val="0"/>
          <w:numId w:val="16"/>
        </w:numPr>
        <w:tabs>
          <w:tab w:val="clear" w:pos="720"/>
        </w:tabs>
        <w:spacing w:after="120"/>
        <w:ind w:left="0" w:firstLine="0"/>
        <w:rPr>
          <w:rFonts w:ascii="Arial" w:hAnsi="Arial" w:cs="Arial"/>
          <w:sz w:val="22"/>
          <w:szCs w:val="22"/>
        </w:rPr>
      </w:pPr>
      <w:r w:rsidRPr="00566D26">
        <w:rPr>
          <w:rFonts w:ascii="Arial" w:hAnsi="Arial" w:cs="Arial"/>
          <w:color w:val="000000"/>
          <w:sz w:val="22"/>
          <w:szCs w:val="22"/>
        </w:rPr>
        <w:t xml:space="preserve">All legislative references in this explanatory statement are to Schedule 1 to the </w:t>
      </w:r>
      <w:r w:rsidRPr="00566D26">
        <w:rPr>
          <w:rFonts w:ascii="Arial" w:hAnsi="Arial" w:cs="Arial"/>
          <w:i/>
          <w:color w:val="000000"/>
          <w:sz w:val="22"/>
          <w:szCs w:val="22"/>
        </w:rPr>
        <w:t>Taxation Administration Act 1953</w:t>
      </w:r>
      <w:r w:rsidRPr="00566D26">
        <w:rPr>
          <w:rFonts w:ascii="Arial" w:hAnsi="Arial" w:cs="Arial"/>
          <w:color w:val="000000"/>
          <w:sz w:val="22"/>
          <w:szCs w:val="22"/>
        </w:rPr>
        <w:t xml:space="preserve"> unless otherwise stated</w:t>
      </w:r>
      <w:r w:rsidR="008D4D63">
        <w:rPr>
          <w:rFonts w:ascii="Arial" w:hAnsi="Arial" w:cs="Arial"/>
          <w:color w:val="000000"/>
          <w:sz w:val="22"/>
          <w:szCs w:val="22"/>
        </w:rPr>
        <w:t>.</w:t>
      </w:r>
    </w:p>
    <w:p w14:paraId="7F29F5B3" w14:textId="70D859AE" w:rsidR="00370FE4" w:rsidRPr="00C07D99" w:rsidRDefault="00B3595F" w:rsidP="00370FE4">
      <w:pPr>
        <w:numPr>
          <w:ilvl w:val="0"/>
          <w:numId w:val="16"/>
        </w:numPr>
        <w:tabs>
          <w:tab w:val="clear" w:pos="720"/>
        </w:tabs>
        <w:spacing w:after="120"/>
        <w:ind w:left="0" w:firstLine="0"/>
        <w:rPr>
          <w:rFonts w:ascii="Arial" w:hAnsi="Arial" w:cs="Arial"/>
          <w:sz w:val="22"/>
          <w:szCs w:val="22"/>
        </w:rPr>
      </w:pPr>
      <w:r w:rsidRPr="00C07D99">
        <w:rPr>
          <w:rFonts w:ascii="Arial" w:hAnsi="Arial" w:cs="Arial"/>
          <w:sz w:val="22"/>
          <w:szCs w:val="22"/>
        </w:rPr>
        <w:t xml:space="preserve">If a </w:t>
      </w:r>
      <w:r w:rsidR="006B56B9" w:rsidRPr="00C07D99">
        <w:rPr>
          <w:rFonts w:ascii="Arial" w:hAnsi="Arial" w:cs="Arial"/>
          <w:sz w:val="22"/>
          <w:szCs w:val="22"/>
        </w:rPr>
        <w:t>mortgagee</w:t>
      </w:r>
      <w:r w:rsidR="00547615" w:rsidRPr="00C07D99">
        <w:rPr>
          <w:rFonts w:ascii="Arial" w:hAnsi="Arial" w:cs="Arial"/>
          <w:sz w:val="22"/>
          <w:szCs w:val="22"/>
        </w:rPr>
        <w:t xml:space="preserve"> </w:t>
      </w:r>
      <w:r w:rsidR="002F187A" w:rsidRPr="00C07D99">
        <w:rPr>
          <w:rFonts w:ascii="Arial" w:hAnsi="Arial" w:cs="Arial"/>
          <w:sz w:val="22"/>
          <w:szCs w:val="22"/>
        </w:rPr>
        <w:t xml:space="preserve">exercises its rights to dispose of </w:t>
      </w:r>
      <w:r w:rsidR="00753058" w:rsidRPr="00C07D99">
        <w:rPr>
          <w:rFonts w:ascii="Arial" w:hAnsi="Arial" w:cs="Arial"/>
          <w:sz w:val="22"/>
          <w:szCs w:val="22"/>
        </w:rPr>
        <w:t xml:space="preserve">taxable </w:t>
      </w:r>
      <w:r w:rsidR="002F187A" w:rsidRPr="00C07D99">
        <w:rPr>
          <w:rFonts w:ascii="Arial" w:hAnsi="Arial" w:cs="Arial"/>
          <w:sz w:val="22"/>
          <w:szCs w:val="22"/>
        </w:rPr>
        <w:t>Australian</w:t>
      </w:r>
      <w:r w:rsidR="00753058" w:rsidRPr="00C07D99">
        <w:rPr>
          <w:rFonts w:ascii="Arial" w:hAnsi="Arial" w:cs="Arial"/>
          <w:sz w:val="22"/>
          <w:szCs w:val="22"/>
        </w:rPr>
        <w:t xml:space="preserve"> real property</w:t>
      </w:r>
      <w:r w:rsidR="002F187A" w:rsidRPr="00C07D99">
        <w:rPr>
          <w:rFonts w:ascii="Arial" w:hAnsi="Arial" w:cs="Arial"/>
          <w:sz w:val="22"/>
          <w:szCs w:val="22"/>
        </w:rPr>
        <w:t xml:space="preserve"> assets and it </w:t>
      </w:r>
      <w:r w:rsidR="00547615" w:rsidRPr="00C07D99">
        <w:rPr>
          <w:rFonts w:ascii="Arial" w:hAnsi="Arial" w:cs="Arial"/>
          <w:sz w:val="22"/>
          <w:szCs w:val="22"/>
        </w:rPr>
        <w:t>satisfies</w:t>
      </w:r>
      <w:r w:rsidR="00803F83" w:rsidRPr="00C07D99">
        <w:rPr>
          <w:rFonts w:ascii="Arial" w:hAnsi="Arial" w:cs="Arial"/>
          <w:sz w:val="22"/>
          <w:szCs w:val="22"/>
        </w:rPr>
        <w:t xml:space="preserve"> the definition of an “authorised deposit-taking institution”</w:t>
      </w:r>
      <w:r w:rsidR="00A07C80" w:rsidRPr="00C07D99">
        <w:rPr>
          <w:rFonts w:ascii="Arial" w:hAnsi="Arial" w:cs="Arial"/>
          <w:sz w:val="22"/>
          <w:szCs w:val="22"/>
        </w:rPr>
        <w:t xml:space="preserve"> under section 5 of </w:t>
      </w:r>
      <w:r w:rsidR="00803F83" w:rsidRPr="00C07D99">
        <w:rPr>
          <w:rFonts w:ascii="Arial" w:hAnsi="Arial" w:cs="Arial"/>
          <w:sz w:val="22"/>
          <w:szCs w:val="22"/>
        </w:rPr>
        <w:t xml:space="preserve">the </w:t>
      </w:r>
      <w:r w:rsidR="00803F83" w:rsidRPr="00C07D99">
        <w:rPr>
          <w:rFonts w:ascii="Arial" w:hAnsi="Arial" w:cs="Arial"/>
          <w:i/>
          <w:sz w:val="22"/>
          <w:szCs w:val="22"/>
        </w:rPr>
        <w:t>Banking Act</w:t>
      </w:r>
      <w:r w:rsidR="00803F83" w:rsidRPr="00C07D99">
        <w:rPr>
          <w:rFonts w:ascii="Arial" w:hAnsi="Arial" w:cs="Arial"/>
          <w:sz w:val="22"/>
          <w:szCs w:val="22"/>
        </w:rPr>
        <w:t xml:space="preserve"> </w:t>
      </w:r>
      <w:r w:rsidR="00803F83" w:rsidRPr="00C07D99">
        <w:rPr>
          <w:rFonts w:ascii="Arial" w:hAnsi="Arial" w:cs="Arial"/>
          <w:i/>
          <w:sz w:val="22"/>
          <w:szCs w:val="22"/>
        </w:rPr>
        <w:t>195</w:t>
      </w:r>
      <w:r w:rsidR="006A24DD" w:rsidRPr="00C07D99">
        <w:rPr>
          <w:rFonts w:ascii="Arial" w:hAnsi="Arial" w:cs="Arial"/>
          <w:i/>
          <w:sz w:val="22"/>
          <w:szCs w:val="22"/>
        </w:rPr>
        <w:t>9</w:t>
      </w:r>
      <w:r w:rsidR="002F187A" w:rsidRPr="00C07D99">
        <w:rPr>
          <w:rFonts w:ascii="Arial" w:hAnsi="Arial" w:cs="Arial"/>
          <w:sz w:val="22"/>
          <w:szCs w:val="22"/>
        </w:rPr>
        <w:t xml:space="preserve"> then </w:t>
      </w:r>
      <w:r w:rsidRPr="00C07D99">
        <w:rPr>
          <w:rFonts w:ascii="Arial" w:hAnsi="Arial" w:cs="Arial"/>
          <w:sz w:val="22"/>
          <w:szCs w:val="22"/>
        </w:rPr>
        <w:t>they do not need to</w:t>
      </w:r>
      <w:r w:rsidR="00803F83" w:rsidRPr="00C07D99">
        <w:rPr>
          <w:rFonts w:ascii="Arial" w:hAnsi="Arial" w:cs="Arial"/>
          <w:sz w:val="22"/>
          <w:szCs w:val="22"/>
        </w:rPr>
        <w:t xml:space="preserve"> </w:t>
      </w:r>
      <w:r w:rsidR="00A07C80" w:rsidRPr="00C07D99">
        <w:rPr>
          <w:rFonts w:ascii="Arial" w:hAnsi="Arial" w:cs="Arial"/>
          <w:sz w:val="22"/>
          <w:szCs w:val="22"/>
        </w:rPr>
        <w:t xml:space="preserve">obtain </w:t>
      </w:r>
      <w:r w:rsidR="00EC5CD1" w:rsidRPr="00C07D99">
        <w:rPr>
          <w:rFonts w:ascii="Arial" w:hAnsi="Arial" w:cs="Arial"/>
          <w:sz w:val="22"/>
          <w:szCs w:val="22"/>
        </w:rPr>
        <w:t>a var</w:t>
      </w:r>
      <w:r w:rsidR="001E63C1" w:rsidRPr="00C07D99">
        <w:rPr>
          <w:rFonts w:ascii="Arial" w:hAnsi="Arial" w:cs="Arial"/>
          <w:sz w:val="22"/>
          <w:szCs w:val="22"/>
        </w:rPr>
        <w:t>iation under subsection 14-235(2</w:t>
      </w:r>
      <w:r w:rsidR="00EC5CD1" w:rsidRPr="00C07D99">
        <w:rPr>
          <w:rFonts w:ascii="Arial" w:hAnsi="Arial" w:cs="Arial"/>
          <w:sz w:val="22"/>
          <w:szCs w:val="22"/>
        </w:rPr>
        <w:t>)</w:t>
      </w:r>
      <w:r w:rsidR="00803F83" w:rsidRPr="00C07D99">
        <w:rPr>
          <w:rFonts w:ascii="Arial" w:hAnsi="Arial" w:cs="Arial"/>
          <w:sz w:val="22"/>
          <w:szCs w:val="22"/>
        </w:rPr>
        <w:t xml:space="preserve"> from the Commissioner of Taxation</w:t>
      </w:r>
      <w:r w:rsidR="00ED6D91" w:rsidRPr="00C07D99">
        <w:rPr>
          <w:rFonts w:ascii="Arial" w:hAnsi="Arial" w:cs="Arial"/>
          <w:sz w:val="22"/>
          <w:szCs w:val="22"/>
        </w:rPr>
        <w:t xml:space="preserve"> </w:t>
      </w:r>
      <w:r w:rsidR="00ED6D91" w:rsidRPr="00C07D99">
        <w:rPr>
          <w:rFonts w:ascii="Arial" w:hAnsi="Arial" w:cs="Arial"/>
          <w:color w:val="000000"/>
          <w:sz w:val="22"/>
          <w:szCs w:val="22"/>
        </w:rPr>
        <w:t xml:space="preserve">(‘the Commissioner’) </w:t>
      </w:r>
      <w:r w:rsidR="00803F83" w:rsidRPr="00C07D99">
        <w:rPr>
          <w:rFonts w:ascii="Arial" w:hAnsi="Arial" w:cs="Arial"/>
          <w:sz w:val="22"/>
          <w:szCs w:val="22"/>
        </w:rPr>
        <w:t>in</w:t>
      </w:r>
      <w:r w:rsidR="00A07C80" w:rsidRPr="00C07D99">
        <w:rPr>
          <w:rFonts w:ascii="Arial" w:hAnsi="Arial" w:cs="Arial"/>
          <w:sz w:val="22"/>
          <w:szCs w:val="22"/>
        </w:rPr>
        <w:t xml:space="preserve"> the</w:t>
      </w:r>
      <w:r w:rsidR="00803F83" w:rsidRPr="00C07D99">
        <w:rPr>
          <w:rFonts w:ascii="Arial" w:hAnsi="Arial" w:cs="Arial"/>
          <w:sz w:val="22"/>
          <w:szCs w:val="22"/>
        </w:rPr>
        <w:t xml:space="preserve"> circu</w:t>
      </w:r>
      <w:r w:rsidR="00ED4FF0" w:rsidRPr="00C07D99">
        <w:rPr>
          <w:rFonts w:ascii="Arial" w:hAnsi="Arial" w:cs="Arial"/>
          <w:sz w:val="22"/>
          <w:szCs w:val="22"/>
        </w:rPr>
        <w:t>mstances pres</w:t>
      </w:r>
      <w:r w:rsidR="002F187A" w:rsidRPr="00C07D99">
        <w:rPr>
          <w:rFonts w:ascii="Arial" w:hAnsi="Arial" w:cs="Arial"/>
          <w:sz w:val="22"/>
          <w:szCs w:val="22"/>
        </w:rPr>
        <w:t>c</w:t>
      </w:r>
      <w:r w:rsidR="00ED4FF0" w:rsidRPr="00C07D99">
        <w:rPr>
          <w:rFonts w:ascii="Arial" w:hAnsi="Arial" w:cs="Arial"/>
          <w:sz w:val="22"/>
          <w:szCs w:val="22"/>
        </w:rPr>
        <w:t>ribed</w:t>
      </w:r>
      <w:r w:rsidR="001E238F" w:rsidRPr="00C07D99">
        <w:rPr>
          <w:rFonts w:ascii="Arial" w:hAnsi="Arial" w:cs="Arial"/>
          <w:sz w:val="22"/>
          <w:szCs w:val="22"/>
        </w:rPr>
        <w:t xml:space="preserve"> </w:t>
      </w:r>
      <w:r w:rsidR="00A07C80" w:rsidRPr="00C07D99">
        <w:rPr>
          <w:rFonts w:ascii="Arial" w:hAnsi="Arial" w:cs="Arial"/>
          <w:sz w:val="22"/>
          <w:szCs w:val="22"/>
        </w:rPr>
        <w:t>in this legislative instrument.</w:t>
      </w:r>
    </w:p>
    <w:p w14:paraId="7D0F374D" w14:textId="0FDC32F0" w:rsidR="001D7D3B" w:rsidRPr="00566D26" w:rsidRDefault="001D7D3B" w:rsidP="007F1EFD">
      <w:pPr>
        <w:numPr>
          <w:ilvl w:val="0"/>
          <w:numId w:val="16"/>
        </w:numPr>
        <w:tabs>
          <w:tab w:val="clear" w:pos="720"/>
        </w:tabs>
        <w:spacing w:after="120"/>
        <w:ind w:left="0" w:firstLine="0"/>
        <w:rPr>
          <w:rFonts w:ascii="Arial" w:hAnsi="Arial" w:cs="Arial"/>
          <w:sz w:val="22"/>
          <w:szCs w:val="22"/>
        </w:rPr>
      </w:pPr>
      <w:r w:rsidRPr="00566D26">
        <w:rPr>
          <w:rFonts w:ascii="Arial" w:hAnsi="Arial" w:cs="Arial"/>
          <w:sz w:val="22"/>
          <w:szCs w:val="22"/>
        </w:rPr>
        <w:t xml:space="preserve">The instrument is a legislative instrument for the purposes of the </w:t>
      </w:r>
      <w:r w:rsidRPr="00566D26">
        <w:rPr>
          <w:rFonts w:ascii="Arial" w:hAnsi="Arial" w:cs="Arial"/>
          <w:i/>
          <w:sz w:val="22"/>
          <w:szCs w:val="22"/>
        </w:rPr>
        <w:t>Legislation Act 2003</w:t>
      </w:r>
      <w:r w:rsidRPr="00566D26">
        <w:rPr>
          <w:rFonts w:ascii="Arial" w:hAnsi="Arial" w:cs="Arial"/>
          <w:sz w:val="22"/>
          <w:szCs w:val="22"/>
        </w:rPr>
        <w:t>.</w:t>
      </w:r>
    </w:p>
    <w:p w14:paraId="7920749F" w14:textId="5E906232" w:rsidR="007F1EFD" w:rsidRPr="00566D26" w:rsidRDefault="00B31550" w:rsidP="007F1EFD">
      <w:pPr>
        <w:numPr>
          <w:ilvl w:val="0"/>
          <w:numId w:val="16"/>
        </w:numPr>
        <w:tabs>
          <w:tab w:val="clear" w:pos="720"/>
        </w:tabs>
        <w:spacing w:after="120"/>
        <w:ind w:left="0" w:firstLine="0"/>
        <w:rPr>
          <w:rFonts w:ascii="Arial" w:hAnsi="Arial" w:cs="Arial"/>
          <w:sz w:val="22"/>
          <w:szCs w:val="22"/>
        </w:rPr>
      </w:pPr>
      <w:r w:rsidRPr="00566D26">
        <w:rPr>
          <w:rFonts w:ascii="Arial" w:hAnsi="Arial" w:cs="Arial"/>
          <w:sz w:val="22"/>
          <w:szCs w:val="22"/>
        </w:rPr>
        <w:t xml:space="preserve">Under subsection 33(3) of the </w:t>
      </w:r>
      <w:r w:rsidRPr="00566D26">
        <w:rPr>
          <w:rFonts w:ascii="Arial" w:hAnsi="Arial" w:cs="Arial"/>
          <w:i/>
          <w:sz w:val="22"/>
          <w:szCs w:val="22"/>
        </w:rPr>
        <w:t>Acts Interpretation Act 1901</w:t>
      </w:r>
      <w:r w:rsidRPr="00566D26">
        <w:rPr>
          <w:rFonts w:ascii="Arial" w:hAnsi="Arial" w:cs="Arial"/>
          <w:sz w:val="22"/>
          <w:szCs w:val="22"/>
        </w:rPr>
        <w:t>, where an Act confers a power to make, grant or issue any instrument of a legislative or administrative character (including rules, regulations or by-laws)</w:t>
      </w:r>
      <w:r w:rsidR="00A803B4">
        <w:rPr>
          <w:rFonts w:ascii="Arial" w:hAnsi="Arial" w:cs="Arial"/>
          <w:sz w:val="22"/>
          <w:szCs w:val="22"/>
        </w:rPr>
        <w:t>,</w:t>
      </w:r>
      <w:r w:rsidRPr="00566D26">
        <w:rPr>
          <w:rFonts w:ascii="Arial" w:hAnsi="Arial" w:cs="Arial"/>
          <w:sz w:val="22"/>
          <w:szCs w:val="22"/>
        </w:rPr>
        <w:t xml:space="preserve"> the power shall be construed as including a power exercisable in the like manner and subject to the like conditions (if any) to repeal, rescind, revoke, amend, or vary any such instrument.</w:t>
      </w:r>
    </w:p>
    <w:p w14:paraId="15AC1B62" w14:textId="77777777" w:rsidR="006302F7" w:rsidRPr="00566D26" w:rsidRDefault="006302F7" w:rsidP="00910595">
      <w:pPr>
        <w:spacing w:after="120"/>
        <w:rPr>
          <w:rFonts w:ascii="Arial" w:hAnsi="Arial" w:cs="Arial"/>
          <w:sz w:val="22"/>
          <w:szCs w:val="22"/>
        </w:rPr>
      </w:pPr>
    </w:p>
    <w:p w14:paraId="15AC1B63" w14:textId="77777777" w:rsidR="001D02E6" w:rsidRPr="00566D26" w:rsidRDefault="001D02E6" w:rsidP="00910595">
      <w:pPr>
        <w:pStyle w:val="Heading2"/>
      </w:pPr>
      <w:r w:rsidRPr="00566D26">
        <w:t>Date of effect</w:t>
      </w:r>
    </w:p>
    <w:p w14:paraId="0969C901" w14:textId="77777777" w:rsidR="00943AD7" w:rsidRPr="00566D26" w:rsidRDefault="00ED4FF0" w:rsidP="00943AD7">
      <w:pPr>
        <w:numPr>
          <w:ilvl w:val="0"/>
          <w:numId w:val="16"/>
        </w:numPr>
        <w:tabs>
          <w:tab w:val="clear" w:pos="720"/>
        </w:tabs>
        <w:spacing w:after="120"/>
        <w:ind w:left="0" w:firstLine="0"/>
        <w:rPr>
          <w:rFonts w:ascii="Arial" w:hAnsi="Arial" w:cs="Arial"/>
          <w:sz w:val="22"/>
          <w:szCs w:val="22"/>
        </w:rPr>
      </w:pPr>
      <w:r w:rsidRPr="00566D26">
        <w:rPr>
          <w:rFonts w:ascii="Arial" w:hAnsi="Arial" w:cs="Arial"/>
          <w:color w:val="000000"/>
          <w:sz w:val="22"/>
          <w:szCs w:val="22"/>
        </w:rPr>
        <w:t>The instrument commences on the day after its registration on the Federal Register of Legislation</w:t>
      </w:r>
      <w:r w:rsidR="00943AD7" w:rsidRPr="00566D26">
        <w:rPr>
          <w:rFonts w:ascii="Arial" w:hAnsi="Arial" w:cs="Arial"/>
          <w:color w:val="000000"/>
          <w:sz w:val="22"/>
          <w:szCs w:val="22"/>
        </w:rPr>
        <w:t>.</w:t>
      </w:r>
    </w:p>
    <w:p w14:paraId="15AC1B6A" w14:textId="346ED1C2" w:rsidR="001D02E6" w:rsidRPr="00566D26" w:rsidRDefault="002B2233" w:rsidP="00943AD7">
      <w:pPr>
        <w:numPr>
          <w:ilvl w:val="0"/>
          <w:numId w:val="16"/>
        </w:numPr>
        <w:tabs>
          <w:tab w:val="clear" w:pos="720"/>
        </w:tabs>
        <w:spacing w:after="120"/>
        <w:ind w:left="0" w:firstLine="0"/>
        <w:rPr>
          <w:rFonts w:ascii="Arial" w:hAnsi="Arial" w:cs="Arial"/>
          <w:sz w:val="22"/>
          <w:szCs w:val="22"/>
        </w:rPr>
      </w:pPr>
      <w:r w:rsidRPr="00566D26">
        <w:rPr>
          <w:rFonts w:ascii="Arial" w:hAnsi="Arial" w:cs="Arial"/>
          <w:sz w:val="22"/>
          <w:szCs w:val="22"/>
        </w:rPr>
        <w:t xml:space="preserve"> </w:t>
      </w:r>
      <w:r w:rsidR="001D02E6" w:rsidRPr="00566D26">
        <w:rPr>
          <w:rFonts w:ascii="Arial" w:hAnsi="Arial" w:cs="Arial"/>
          <w:sz w:val="22"/>
          <w:szCs w:val="22"/>
        </w:rPr>
        <w:t xml:space="preserve">Under section 12(2) of the </w:t>
      </w:r>
      <w:r w:rsidR="00B31550" w:rsidRPr="00566D26">
        <w:rPr>
          <w:rFonts w:ascii="Arial" w:hAnsi="Arial" w:cs="Arial"/>
          <w:i/>
          <w:sz w:val="22"/>
          <w:szCs w:val="22"/>
        </w:rPr>
        <w:t xml:space="preserve">Legislation </w:t>
      </w:r>
      <w:r w:rsidR="001D02E6" w:rsidRPr="00566D26">
        <w:rPr>
          <w:rFonts w:ascii="Arial" w:hAnsi="Arial" w:cs="Arial"/>
          <w:i/>
          <w:sz w:val="22"/>
          <w:szCs w:val="22"/>
        </w:rPr>
        <w:t>Act 2003</w:t>
      </w:r>
      <w:r w:rsidR="001D02E6" w:rsidRPr="00566D26">
        <w:rPr>
          <w:rFonts w:ascii="Arial" w:hAnsi="Arial" w:cs="Arial"/>
          <w:sz w:val="22"/>
          <w:szCs w:val="22"/>
        </w:rPr>
        <w:t xml:space="preserve"> this instrument does not adversely affect the rights or liabilities of any person other than the Commonwealth.</w:t>
      </w:r>
    </w:p>
    <w:p w14:paraId="15AC1B6B" w14:textId="77777777" w:rsidR="00486653" w:rsidRPr="00566D26" w:rsidRDefault="00486653" w:rsidP="00910595">
      <w:pPr>
        <w:spacing w:after="120"/>
        <w:rPr>
          <w:rFonts w:ascii="Arial" w:hAnsi="Arial" w:cs="Arial"/>
          <w:sz w:val="22"/>
          <w:szCs w:val="22"/>
        </w:rPr>
      </w:pPr>
    </w:p>
    <w:p w14:paraId="04BAFC90" w14:textId="7AF65579" w:rsidR="00420596" w:rsidRPr="0087573A" w:rsidRDefault="00486653" w:rsidP="0087573A">
      <w:pPr>
        <w:pStyle w:val="Heading2"/>
      </w:pPr>
      <w:r w:rsidRPr="00566D26">
        <w:t xml:space="preserve">What </w:t>
      </w:r>
      <w:r w:rsidR="0087573A">
        <w:t xml:space="preserve">is the effect of this </w:t>
      </w:r>
      <w:proofErr w:type="gramStart"/>
      <w:r w:rsidR="0087573A">
        <w:t>instrument</w:t>
      </w:r>
      <w:proofErr w:type="gramEnd"/>
      <w:r w:rsidR="00420596" w:rsidRPr="00566D26">
        <w:rPr>
          <w:color w:val="000000"/>
        </w:rPr>
        <w:t xml:space="preserve"> </w:t>
      </w:r>
    </w:p>
    <w:p w14:paraId="0674B75A" w14:textId="21D8194E" w:rsidR="00A628BD" w:rsidRPr="00566D26" w:rsidRDefault="00A628BD" w:rsidP="00A628BD"/>
    <w:p w14:paraId="4D0EE3D1" w14:textId="000C9853" w:rsidR="00496AE8" w:rsidRPr="00566D26" w:rsidRDefault="00496AE8" w:rsidP="00496AE8">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The effect of this instrument is to vary to nil the amount that would otherwise have to be paid to the Commissioner under section 14-200, </w:t>
      </w:r>
      <w:r w:rsidR="008C7FE5" w:rsidRPr="00566D26">
        <w:rPr>
          <w:rFonts w:ascii="Arial" w:hAnsi="Arial" w:cs="Arial"/>
          <w:color w:val="000000"/>
          <w:sz w:val="22"/>
          <w:szCs w:val="22"/>
        </w:rPr>
        <w:t xml:space="preserve">when land is acquired </w:t>
      </w:r>
      <w:r w:rsidR="005E691B">
        <w:rPr>
          <w:rFonts w:ascii="Arial" w:hAnsi="Arial" w:cs="Arial"/>
          <w:color w:val="000000"/>
          <w:sz w:val="22"/>
          <w:szCs w:val="22"/>
        </w:rPr>
        <w:t>in</w:t>
      </w:r>
      <w:r w:rsidR="008C7FE5" w:rsidRPr="00566D26">
        <w:rPr>
          <w:rFonts w:ascii="Arial" w:hAnsi="Arial" w:cs="Arial"/>
          <w:color w:val="000000"/>
          <w:sz w:val="22"/>
          <w:szCs w:val="22"/>
        </w:rPr>
        <w:t xml:space="preserve"> </w:t>
      </w:r>
      <w:r w:rsidR="00425A09" w:rsidRPr="00566D26">
        <w:rPr>
          <w:rFonts w:ascii="Arial" w:hAnsi="Arial" w:cs="Arial"/>
          <w:color w:val="000000"/>
          <w:sz w:val="22"/>
          <w:szCs w:val="22"/>
        </w:rPr>
        <w:t xml:space="preserve">the following </w:t>
      </w:r>
      <w:r w:rsidRPr="00566D26">
        <w:rPr>
          <w:rFonts w:ascii="Arial" w:hAnsi="Arial" w:cs="Arial"/>
          <w:color w:val="000000"/>
          <w:sz w:val="22"/>
          <w:szCs w:val="22"/>
        </w:rPr>
        <w:t>circumstances:</w:t>
      </w:r>
    </w:p>
    <w:p w14:paraId="4F46AD2E" w14:textId="43DB9B9D" w:rsidR="00496AE8" w:rsidRPr="00566D26" w:rsidRDefault="00496AE8" w:rsidP="00496AE8">
      <w:pPr>
        <w:numPr>
          <w:ilvl w:val="0"/>
          <w:numId w:val="50"/>
        </w:numPr>
        <w:spacing w:after="120"/>
        <w:ind w:left="1418" w:hanging="709"/>
        <w:rPr>
          <w:rFonts w:ascii="Arial" w:hAnsi="Arial" w:cs="Arial"/>
          <w:color w:val="000000"/>
          <w:sz w:val="22"/>
          <w:szCs w:val="22"/>
        </w:rPr>
      </w:pPr>
      <w:r w:rsidRPr="00566D26">
        <w:rPr>
          <w:rFonts w:ascii="Arial" w:hAnsi="Arial" w:cs="Arial"/>
          <w:color w:val="000000"/>
          <w:sz w:val="22"/>
          <w:szCs w:val="22"/>
        </w:rPr>
        <w:t>there is a transa</w:t>
      </w:r>
      <w:r w:rsidR="002373E0" w:rsidRPr="00566D26">
        <w:rPr>
          <w:rFonts w:ascii="Arial" w:hAnsi="Arial" w:cs="Arial"/>
          <w:color w:val="000000"/>
          <w:sz w:val="22"/>
          <w:szCs w:val="22"/>
        </w:rPr>
        <w:t>cti</w:t>
      </w:r>
      <w:r w:rsidR="008C7FE5" w:rsidRPr="00566D26">
        <w:rPr>
          <w:rFonts w:ascii="Arial" w:hAnsi="Arial" w:cs="Arial"/>
          <w:color w:val="000000"/>
          <w:sz w:val="22"/>
          <w:szCs w:val="22"/>
        </w:rPr>
        <w:t>on where a mortgagee exercises a power of sale over the land and it is an</w:t>
      </w:r>
      <w:r w:rsidRPr="00566D26">
        <w:rPr>
          <w:rFonts w:ascii="Arial" w:hAnsi="Arial" w:cs="Arial"/>
          <w:color w:val="000000"/>
          <w:sz w:val="22"/>
          <w:szCs w:val="22"/>
        </w:rPr>
        <w:t xml:space="preserve"> author</w:t>
      </w:r>
      <w:r w:rsidR="002373E0" w:rsidRPr="00566D26">
        <w:rPr>
          <w:rFonts w:ascii="Arial" w:hAnsi="Arial" w:cs="Arial"/>
          <w:color w:val="000000"/>
          <w:sz w:val="22"/>
          <w:szCs w:val="22"/>
        </w:rPr>
        <w:t xml:space="preserve">ised deposit-taking institution under section 5 of the </w:t>
      </w:r>
      <w:r w:rsidR="002373E0" w:rsidRPr="00566D26">
        <w:rPr>
          <w:rFonts w:ascii="Arial" w:hAnsi="Arial" w:cs="Arial"/>
          <w:i/>
          <w:color w:val="000000"/>
          <w:sz w:val="22"/>
          <w:szCs w:val="22"/>
        </w:rPr>
        <w:t>Banking Act 1959</w:t>
      </w:r>
      <w:r w:rsidR="008C7FE5" w:rsidRPr="00566D26">
        <w:rPr>
          <w:rFonts w:ascii="Arial" w:hAnsi="Arial" w:cs="Arial"/>
          <w:color w:val="000000"/>
          <w:sz w:val="22"/>
          <w:szCs w:val="22"/>
        </w:rPr>
        <w:t>;</w:t>
      </w:r>
    </w:p>
    <w:p w14:paraId="656EAFE6" w14:textId="56C1DC87" w:rsidR="00496AE8" w:rsidRPr="00566D26" w:rsidRDefault="00496AE8" w:rsidP="00496AE8">
      <w:pPr>
        <w:numPr>
          <w:ilvl w:val="0"/>
          <w:numId w:val="50"/>
        </w:numPr>
        <w:spacing w:after="120"/>
        <w:ind w:left="1418" w:hanging="709"/>
        <w:rPr>
          <w:rFonts w:ascii="Arial" w:hAnsi="Arial" w:cs="Arial"/>
          <w:color w:val="000000"/>
          <w:sz w:val="22"/>
          <w:szCs w:val="22"/>
        </w:rPr>
      </w:pPr>
      <w:r w:rsidRPr="00566D26">
        <w:rPr>
          <w:rFonts w:ascii="Arial" w:hAnsi="Arial" w:cs="Arial"/>
          <w:color w:val="000000"/>
          <w:sz w:val="22"/>
          <w:szCs w:val="22"/>
        </w:rPr>
        <w:t>the mortgagee has determined that the residue from the sale proceeds will be zero or less than zero;</w:t>
      </w:r>
      <w:r w:rsidR="00C24941" w:rsidRPr="00566D26">
        <w:rPr>
          <w:rFonts w:ascii="Arial" w:hAnsi="Arial" w:cs="Arial"/>
          <w:color w:val="000000"/>
          <w:sz w:val="22"/>
          <w:szCs w:val="22"/>
        </w:rPr>
        <w:t xml:space="preserve"> </w:t>
      </w:r>
      <w:r w:rsidR="008C7FE5" w:rsidRPr="00566D26">
        <w:rPr>
          <w:rFonts w:ascii="Arial" w:hAnsi="Arial" w:cs="Arial"/>
          <w:color w:val="000000"/>
          <w:sz w:val="22"/>
          <w:szCs w:val="22"/>
        </w:rPr>
        <w:t>and</w:t>
      </w:r>
    </w:p>
    <w:p w14:paraId="625F03DD" w14:textId="415B030F" w:rsidR="00496AE8" w:rsidRPr="00566D26" w:rsidRDefault="00496AE8" w:rsidP="00496AE8">
      <w:pPr>
        <w:numPr>
          <w:ilvl w:val="0"/>
          <w:numId w:val="50"/>
        </w:numPr>
        <w:spacing w:after="120"/>
        <w:ind w:left="1418" w:hanging="709"/>
        <w:rPr>
          <w:rFonts w:ascii="Arial" w:hAnsi="Arial" w:cs="Arial"/>
          <w:color w:val="000000"/>
          <w:sz w:val="22"/>
          <w:szCs w:val="22"/>
        </w:rPr>
      </w:pPr>
      <w:r w:rsidRPr="00566D26">
        <w:rPr>
          <w:rFonts w:ascii="Arial" w:hAnsi="Arial" w:cs="Arial"/>
          <w:color w:val="000000"/>
          <w:sz w:val="22"/>
          <w:szCs w:val="22"/>
        </w:rPr>
        <w:lastRenderedPageBreak/>
        <w:t>the mortgagee has provided the transf</w:t>
      </w:r>
      <w:r w:rsidR="000D3A2A" w:rsidRPr="00566D26">
        <w:rPr>
          <w:rFonts w:ascii="Arial" w:hAnsi="Arial" w:cs="Arial"/>
          <w:color w:val="000000"/>
          <w:sz w:val="22"/>
          <w:szCs w:val="22"/>
        </w:rPr>
        <w:t>eree with a written declaration</w:t>
      </w:r>
      <w:r w:rsidRPr="00566D26">
        <w:rPr>
          <w:rFonts w:ascii="Arial" w:hAnsi="Arial" w:cs="Arial"/>
          <w:color w:val="000000"/>
          <w:sz w:val="22"/>
          <w:szCs w:val="22"/>
        </w:rPr>
        <w:t xml:space="preserve"> stating that the amount to withhold is varied to nil under this instrument.</w:t>
      </w:r>
    </w:p>
    <w:p w14:paraId="01EBC5C6" w14:textId="77777777" w:rsidR="00496AE8" w:rsidRPr="00566D26" w:rsidRDefault="00496AE8" w:rsidP="00496AE8">
      <w:pPr>
        <w:spacing w:after="120"/>
        <w:rPr>
          <w:rFonts w:ascii="Arial" w:hAnsi="Arial" w:cs="Arial"/>
          <w:color w:val="000000"/>
          <w:sz w:val="22"/>
          <w:szCs w:val="22"/>
        </w:rPr>
      </w:pPr>
    </w:p>
    <w:p w14:paraId="40F6F0F1" w14:textId="1A1E9601" w:rsidR="007E4302" w:rsidRPr="00566D26" w:rsidRDefault="00420596" w:rsidP="00C24941">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T</w:t>
      </w:r>
      <w:r w:rsidR="00496AE8" w:rsidRPr="00566D26">
        <w:rPr>
          <w:rFonts w:ascii="Arial" w:hAnsi="Arial" w:cs="Arial"/>
          <w:color w:val="000000"/>
          <w:sz w:val="22"/>
          <w:szCs w:val="22"/>
        </w:rPr>
        <w:t xml:space="preserve">his legislative instrument will </w:t>
      </w:r>
      <w:r w:rsidR="006B56B9" w:rsidRPr="00566D26">
        <w:rPr>
          <w:rFonts w:ascii="Arial" w:hAnsi="Arial" w:cs="Arial"/>
          <w:color w:val="000000"/>
          <w:sz w:val="22"/>
          <w:szCs w:val="22"/>
        </w:rPr>
        <w:t xml:space="preserve">remove the need for the mortgagee to make an application </w:t>
      </w:r>
      <w:r w:rsidR="00ED6D91">
        <w:rPr>
          <w:rFonts w:ascii="Arial" w:hAnsi="Arial" w:cs="Arial"/>
          <w:color w:val="000000"/>
          <w:sz w:val="22"/>
          <w:szCs w:val="22"/>
        </w:rPr>
        <w:t>to the Commissioner</w:t>
      </w:r>
      <w:r w:rsidR="00370FE4" w:rsidRPr="00566D26">
        <w:rPr>
          <w:rFonts w:ascii="Arial" w:hAnsi="Arial" w:cs="Arial"/>
          <w:color w:val="000000"/>
          <w:sz w:val="22"/>
          <w:szCs w:val="22"/>
        </w:rPr>
        <w:t xml:space="preserve"> </w:t>
      </w:r>
      <w:r w:rsidR="006B56B9" w:rsidRPr="00566D26">
        <w:rPr>
          <w:rFonts w:ascii="Arial" w:hAnsi="Arial" w:cs="Arial"/>
          <w:color w:val="000000"/>
          <w:sz w:val="22"/>
          <w:szCs w:val="22"/>
        </w:rPr>
        <w:t>for a variation un</w:t>
      </w:r>
      <w:r w:rsidR="000D3A2A" w:rsidRPr="00566D26">
        <w:rPr>
          <w:rFonts w:ascii="Arial" w:hAnsi="Arial" w:cs="Arial"/>
          <w:color w:val="000000"/>
          <w:sz w:val="22"/>
          <w:szCs w:val="22"/>
        </w:rPr>
        <w:t>der subsection 14-235(2)</w:t>
      </w:r>
      <w:r w:rsidR="002373E0" w:rsidRPr="00566D26">
        <w:rPr>
          <w:rFonts w:ascii="Arial" w:hAnsi="Arial" w:cs="Arial"/>
          <w:color w:val="000000"/>
          <w:sz w:val="22"/>
          <w:szCs w:val="22"/>
        </w:rPr>
        <w:t>.</w:t>
      </w:r>
    </w:p>
    <w:p w14:paraId="0ABFE04C" w14:textId="77777777" w:rsidR="00932C75" w:rsidRPr="00566D26" w:rsidRDefault="00932C75" w:rsidP="00932C7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The new instrument is of a minor or machinery nature. An assessment of the compliance cost impact indicates that both implementation and on-going compliance costs will be minor. This instrument reduces the compliance costs of the mortgagees exercising powers of sale.</w:t>
      </w:r>
    </w:p>
    <w:p w14:paraId="15AC1B72" w14:textId="40791133" w:rsidR="00493CA7" w:rsidRPr="00566D26" w:rsidRDefault="00493CA7" w:rsidP="00910595">
      <w:pPr>
        <w:spacing w:after="120"/>
        <w:rPr>
          <w:rFonts w:ascii="Arial" w:hAnsi="Arial" w:cs="Arial"/>
          <w:sz w:val="22"/>
          <w:szCs w:val="22"/>
        </w:rPr>
      </w:pPr>
    </w:p>
    <w:p w14:paraId="28D35125" w14:textId="6AB41598" w:rsidR="00A628BD" w:rsidRDefault="00486653" w:rsidP="0087573A">
      <w:pPr>
        <w:pStyle w:val="Heading2"/>
      </w:pPr>
      <w:r w:rsidRPr="00566D26">
        <w:t>Background</w:t>
      </w:r>
    </w:p>
    <w:p w14:paraId="55247B6F" w14:textId="77777777" w:rsidR="00226E71" w:rsidRPr="00226E71" w:rsidRDefault="00226E71" w:rsidP="00226E71"/>
    <w:p w14:paraId="1BEBBABD" w14:textId="77777777" w:rsidR="002373E0" w:rsidRPr="00566D26" w:rsidRDefault="00B212DD" w:rsidP="002373E0">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The instrument has been developed to ensure that there is certainty for transferees and mortgagees in the relevant transaction that no amount is required to be withheld where there is no residue that will be payable to the mortgagor. This instrument will ensure there are no unintended consequences for the parties to a conveyancing process </w:t>
      </w:r>
      <w:proofErr w:type="gramStart"/>
      <w:r w:rsidRPr="00566D26">
        <w:rPr>
          <w:rFonts w:ascii="Arial" w:hAnsi="Arial" w:cs="Arial"/>
          <w:color w:val="000000"/>
          <w:sz w:val="22"/>
          <w:szCs w:val="22"/>
        </w:rPr>
        <w:t>in the event that</w:t>
      </w:r>
      <w:proofErr w:type="gramEnd"/>
      <w:r w:rsidRPr="00566D26">
        <w:rPr>
          <w:rFonts w:ascii="Arial" w:hAnsi="Arial" w:cs="Arial"/>
          <w:color w:val="000000"/>
          <w:sz w:val="22"/>
          <w:szCs w:val="22"/>
        </w:rPr>
        <w:t xml:space="preserve"> failure to obtain a variation results in delay or failure to complete settlement.</w:t>
      </w:r>
    </w:p>
    <w:p w14:paraId="5CE088F0" w14:textId="77777777" w:rsidR="008C7FE5" w:rsidRPr="00566D26" w:rsidRDefault="002373E0"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Variations are commonly sought where a mortgagee has exercised a power of sale over the property and has determined that after satisfying the obligation to withhold at a rate of 12.5% there will be insufficient funds to discharge the mortgage over the property.</w:t>
      </w:r>
    </w:p>
    <w:p w14:paraId="68704722" w14:textId="2CF244B8" w:rsidR="008C7FE5" w:rsidRPr="00566D26" w:rsidRDefault="008C7FE5"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The amount payable to the Commissioner under the withholding regime is generally 12.5% of the first element of the cost base of the asset being acquired (the ‘purchase price’), unless the Commissioner exercises the discretion under section 14-235 to vary the amount or classes of amounts.</w:t>
      </w:r>
    </w:p>
    <w:p w14:paraId="665BF936" w14:textId="5AED9EB7" w:rsidR="002373E0" w:rsidRPr="00566D26" w:rsidRDefault="00990BA7" w:rsidP="002373E0">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T</w:t>
      </w:r>
      <w:r w:rsidR="00701312" w:rsidRPr="00566D26">
        <w:rPr>
          <w:rFonts w:ascii="Arial" w:hAnsi="Arial" w:cs="Arial"/>
          <w:color w:val="000000"/>
          <w:sz w:val="22"/>
          <w:szCs w:val="22"/>
        </w:rPr>
        <w:t xml:space="preserve">he PAYG system, introduced in </w:t>
      </w:r>
      <w:r w:rsidR="00701312" w:rsidRPr="00566D26">
        <w:rPr>
          <w:rFonts w:ascii="Arial" w:hAnsi="Arial" w:cs="Arial"/>
          <w:i/>
          <w:color w:val="000000"/>
          <w:sz w:val="22"/>
          <w:szCs w:val="22"/>
        </w:rPr>
        <w:t xml:space="preserve">A New Tax System (Pay </w:t>
      </w:r>
      <w:proofErr w:type="gramStart"/>
      <w:r w:rsidR="00701312" w:rsidRPr="00566D26">
        <w:rPr>
          <w:rFonts w:ascii="Arial" w:hAnsi="Arial" w:cs="Arial"/>
          <w:i/>
          <w:color w:val="000000"/>
          <w:sz w:val="22"/>
          <w:szCs w:val="22"/>
        </w:rPr>
        <w:t>As</w:t>
      </w:r>
      <w:proofErr w:type="gramEnd"/>
      <w:r w:rsidR="00701312" w:rsidRPr="00566D26">
        <w:rPr>
          <w:rFonts w:ascii="Arial" w:hAnsi="Arial" w:cs="Arial"/>
          <w:i/>
          <w:color w:val="000000"/>
          <w:sz w:val="22"/>
          <w:szCs w:val="22"/>
        </w:rPr>
        <w:t xml:space="preserve"> You Go) Act 1999</w:t>
      </w:r>
      <w:r w:rsidR="00701312" w:rsidRPr="00566D26">
        <w:rPr>
          <w:rFonts w:ascii="Arial" w:hAnsi="Arial" w:cs="Arial"/>
          <w:color w:val="000000"/>
          <w:sz w:val="22"/>
          <w:szCs w:val="22"/>
        </w:rPr>
        <w:t xml:space="preserve">, is a simple and convenient way for individual taxpayers to meet their annual income tax liabilities either through instalments or through withholding as their income is earned. This system aims to prevent large end-of-year tax bills for relevant entities. It also ensures that </w:t>
      </w:r>
      <w:r w:rsidR="008C7FE5" w:rsidRPr="00566D26">
        <w:rPr>
          <w:rFonts w:ascii="Arial" w:hAnsi="Arial" w:cs="Arial"/>
          <w:color w:val="000000"/>
          <w:sz w:val="22"/>
          <w:szCs w:val="22"/>
        </w:rPr>
        <w:t xml:space="preserve">the </w:t>
      </w:r>
      <w:r w:rsidR="00701312" w:rsidRPr="00566D26">
        <w:rPr>
          <w:rFonts w:ascii="Arial" w:hAnsi="Arial" w:cs="Arial"/>
          <w:color w:val="000000"/>
          <w:sz w:val="22"/>
          <w:szCs w:val="22"/>
        </w:rPr>
        <w:t>Government has the revenue it needs during the year to provide services and benefits to the community.</w:t>
      </w:r>
    </w:p>
    <w:p w14:paraId="3DC745BD" w14:textId="77777777"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Subdivision 14-D forms part of the Pay </w:t>
      </w:r>
      <w:proofErr w:type="gramStart"/>
      <w:r w:rsidRPr="00566D26">
        <w:rPr>
          <w:rFonts w:ascii="Arial" w:hAnsi="Arial" w:cs="Arial"/>
          <w:color w:val="000000"/>
          <w:sz w:val="22"/>
          <w:szCs w:val="22"/>
        </w:rPr>
        <w:t>As</w:t>
      </w:r>
      <w:proofErr w:type="gramEnd"/>
      <w:r w:rsidRPr="00566D26">
        <w:rPr>
          <w:rFonts w:ascii="Arial" w:hAnsi="Arial" w:cs="Arial"/>
          <w:color w:val="000000"/>
          <w:sz w:val="22"/>
          <w:szCs w:val="22"/>
        </w:rPr>
        <w:t xml:space="preserve"> You Go Withholding system and its purpose is to assist in the collection of capital gains tax from foreign residents.</w:t>
      </w:r>
    </w:p>
    <w:p w14:paraId="4464F667" w14:textId="2D6AFFCC" w:rsidR="000D3A2A" w:rsidRPr="00566D26" w:rsidRDefault="000D3A2A" w:rsidP="000D3A2A">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Subdivision 14-D requires that an amount be paid to the Commissio</w:t>
      </w:r>
      <w:r w:rsidR="00ED6D91">
        <w:rPr>
          <w:rFonts w:ascii="Arial" w:hAnsi="Arial" w:cs="Arial"/>
          <w:color w:val="000000"/>
          <w:sz w:val="22"/>
          <w:szCs w:val="22"/>
        </w:rPr>
        <w:t>ner</w:t>
      </w:r>
      <w:r w:rsidRPr="00566D26">
        <w:rPr>
          <w:rFonts w:ascii="Arial" w:hAnsi="Arial" w:cs="Arial"/>
          <w:color w:val="000000"/>
          <w:sz w:val="22"/>
          <w:szCs w:val="22"/>
        </w:rPr>
        <w:t xml:space="preserve"> in relation to the acquisition of certain assets from one or more entities where at least one of those entities is a foreign resident within the meaning of section 14</w:t>
      </w:r>
      <w:r w:rsidRPr="00566D26">
        <w:rPr>
          <w:rFonts w:ascii="Arial" w:hAnsi="Arial" w:cs="Arial"/>
          <w:color w:val="000000"/>
          <w:sz w:val="22"/>
          <w:szCs w:val="22"/>
        </w:rPr>
        <w:noBreakHyphen/>
        <w:t xml:space="preserve">210 at the time the transaction is </w:t>
      </w:r>
      <w:proofErr w:type="gramStart"/>
      <w:r w:rsidRPr="00566D26">
        <w:rPr>
          <w:rFonts w:ascii="Arial" w:hAnsi="Arial" w:cs="Arial"/>
          <w:color w:val="000000"/>
          <w:sz w:val="22"/>
          <w:szCs w:val="22"/>
        </w:rPr>
        <w:t>entered into</w:t>
      </w:r>
      <w:proofErr w:type="gramEnd"/>
      <w:r w:rsidRPr="00566D26">
        <w:rPr>
          <w:rFonts w:ascii="Arial" w:hAnsi="Arial" w:cs="Arial"/>
          <w:color w:val="000000"/>
          <w:sz w:val="22"/>
          <w:szCs w:val="22"/>
        </w:rPr>
        <w:t>.</w:t>
      </w:r>
    </w:p>
    <w:p w14:paraId="20CB279F" w14:textId="77777777"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Paragraph 14-200(1)(a) provides that an amount is payable to the Commissioner if “you become the owner of a relevant CGT asset as a result of acquiring it from one or more entities under one or more transactions”. Under subsection 14-200(2), the amount must be paid to the Commissioner “on or before the day you became the CGT asset’s owner”. The amount to be withheld is 12.5% of the purchase price.</w:t>
      </w:r>
    </w:p>
    <w:p w14:paraId="3BFE8E4D" w14:textId="7E3C5C73"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In limited circumstances, transferees are not required to withhold and remit part of the purchase moneys to the Commissioner in relation to the acquisition of a relevant CGT asset. For example, where the vendor has provided a valid clearance certificate on or before settlement (subsection 14-210(2)), or the property has a market value of less than $750,000.00 (subsection 14</w:t>
      </w:r>
      <w:r w:rsidR="005E691B">
        <w:rPr>
          <w:rFonts w:ascii="Arial" w:hAnsi="Arial" w:cs="Arial"/>
          <w:color w:val="000000"/>
          <w:sz w:val="22"/>
          <w:szCs w:val="22"/>
        </w:rPr>
        <w:noBreakHyphen/>
      </w:r>
      <w:r w:rsidRPr="00566D26">
        <w:rPr>
          <w:rFonts w:ascii="Arial" w:hAnsi="Arial" w:cs="Arial"/>
          <w:color w:val="000000"/>
          <w:sz w:val="22"/>
          <w:szCs w:val="22"/>
        </w:rPr>
        <w:t>215(1)).</w:t>
      </w:r>
    </w:p>
    <w:p w14:paraId="2FA5F3E5" w14:textId="6CB39FBD"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In the absence of a variation under section 14-235, </w:t>
      </w:r>
      <w:r w:rsidR="00FE1204" w:rsidRPr="00FE1204">
        <w:rPr>
          <w:rFonts w:ascii="Arial" w:hAnsi="Arial" w:cs="Arial"/>
          <w:color w:val="000000"/>
          <w:sz w:val="22"/>
          <w:szCs w:val="22"/>
        </w:rPr>
        <w:t>either separately sought and made under subsection 14-235(2)</w:t>
      </w:r>
      <w:r w:rsidR="00FE1204">
        <w:rPr>
          <w:rFonts w:ascii="Arial" w:hAnsi="Arial" w:cs="Arial"/>
          <w:color w:val="000000"/>
          <w:sz w:val="22"/>
          <w:szCs w:val="22"/>
        </w:rPr>
        <w:t xml:space="preserve"> </w:t>
      </w:r>
      <w:r w:rsidR="00FE1204" w:rsidRPr="00FE1204">
        <w:rPr>
          <w:rFonts w:ascii="Arial" w:hAnsi="Arial" w:cs="Arial"/>
          <w:color w:val="000000"/>
          <w:sz w:val="22"/>
          <w:szCs w:val="22"/>
        </w:rPr>
        <w:t>and (3) or as provided under this instrument</w:t>
      </w:r>
      <w:r w:rsidRPr="00566D26">
        <w:rPr>
          <w:rFonts w:ascii="Arial" w:hAnsi="Arial" w:cs="Arial"/>
          <w:color w:val="000000"/>
          <w:sz w:val="22"/>
          <w:szCs w:val="22"/>
        </w:rPr>
        <w:t>, when a person acquires land in a transaction where a mortgagee was exercising a power of sale, subsection 14-200(3) would require an amount to be paid to the Commissioner equal to 12.5% of the purchase price.</w:t>
      </w:r>
    </w:p>
    <w:p w14:paraId="330993D3" w14:textId="4B984354"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lastRenderedPageBreak/>
        <w:t xml:space="preserve">The ‘residue’ in this context is the amount remaining after expenses incidental to the sale and amounts payable to registered mortgagees over the asset are deducted from the sale proceeds. The expenses incidental to the sale include amounts that are ordinarily payable during the conveyancing process such as adjustments for council rates, land </w:t>
      </w:r>
      <w:r w:rsidR="00B84B7C" w:rsidRPr="00566D26">
        <w:rPr>
          <w:rFonts w:ascii="Arial" w:hAnsi="Arial" w:cs="Arial"/>
          <w:color w:val="000000"/>
          <w:sz w:val="22"/>
          <w:szCs w:val="22"/>
        </w:rPr>
        <w:t>tax</w:t>
      </w:r>
      <w:r w:rsidRPr="00566D26">
        <w:rPr>
          <w:rFonts w:ascii="Arial" w:hAnsi="Arial" w:cs="Arial"/>
          <w:color w:val="000000"/>
          <w:sz w:val="22"/>
          <w:szCs w:val="22"/>
        </w:rPr>
        <w:t>, water rates, legal fees and conveyancing fees.</w:t>
      </w:r>
    </w:p>
    <w:p w14:paraId="1178DCA6" w14:textId="4203F5CB" w:rsidR="00701312" w:rsidRPr="00566D26" w:rsidRDefault="00701312" w:rsidP="00701312">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For completeness, in the event that there is a residue payable to the mortgagor</w:t>
      </w:r>
      <w:r w:rsidR="006A24DD" w:rsidRPr="00566D26">
        <w:rPr>
          <w:rFonts w:ascii="Arial" w:hAnsi="Arial" w:cs="Arial"/>
          <w:color w:val="000000"/>
          <w:sz w:val="22"/>
          <w:szCs w:val="22"/>
        </w:rPr>
        <w:t>,</w:t>
      </w:r>
      <w:r w:rsidRPr="00566D26">
        <w:rPr>
          <w:rFonts w:ascii="Arial" w:hAnsi="Arial" w:cs="Arial"/>
          <w:color w:val="000000"/>
          <w:sz w:val="22"/>
          <w:szCs w:val="22"/>
        </w:rPr>
        <w:t xml:space="preserve"> but this is insufficient to satisfy the withholding obligation at 12.5%, </w:t>
      </w:r>
      <w:r w:rsidR="00FE1204" w:rsidRPr="00FE1204">
        <w:rPr>
          <w:rFonts w:ascii="Arial" w:hAnsi="Arial" w:cs="Arial"/>
          <w:color w:val="000000"/>
          <w:sz w:val="22"/>
          <w:szCs w:val="22"/>
        </w:rPr>
        <w:t xml:space="preserve">this legislative instrument will not </w:t>
      </w:r>
      <w:proofErr w:type="gramStart"/>
      <w:r w:rsidR="00FE1204" w:rsidRPr="00FE1204">
        <w:rPr>
          <w:rFonts w:ascii="Arial" w:hAnsi="Arial" w:cs="Arial"/>
          <w:color w:val="000000"/>
          <w:sz w:val="22"/>
          <w:szCs w:val="22"/>
        </w:rPr>
        <w:t>apply</w:t>
      </w:r>
      <w:proofErr w:type="gramEnd"/>
      <w:r w:rsidR="00FE1204" w:rsidRPr="00FE1204">
        <w:rPr>
          <w:rFonts w:ascii="Arial" w:hAnsi="Arial" w:cs="Arial"/>
          <w:color w:val="000000"/>
          <w:sz w:val="22"/>
          <w:szCs w:val="22"/>
        </w:rPr>
        <w:t xml:space="preserve"> and a variation request</w:t>
      </w:r>
      <w:r w:rsidR="00FE1204">
        <w:rPr>
          <w:rFonts w:ascii="Arial" w:hAnsi="Arial" w:cs="Arial"/>
          <w:color w:val="000000"/>
          <w:sz w:val="22"/>
          <w:szCs w:val="22"/>
        </w:rPr>
        <w:t xml:space="preserve"> </w:t>
      </w:r>
      <w:r w:rsidRPr="00566D26">
        <w:rPr>
          <w:rFonts w:ascii="Arial" w:hAnsi="Arial" w:cs="Arial"/>
          <w:color w:val="000000"/>
          <w:sz w:val="22"/>
          <w:szCs w:val="22"/>
        </w:rPr>
        <w:t>must still be submitted to the Commissioner. A variation request must also b</w:t>
      </w:r>
      <w:r w:rsidR="006A24DD" w:rsidRPr="00566D26">
        <w:rPr>
          <w:rFonts w:ascii="Arial" w:hAnsi="Arial" w:cs="Arial"/>
          <w:color w:val="000000"/>
          <w:sz w:val="22"/>
          <w:szCs w:val="22"/>
        </w:rPr>
        <w:t>e submitted to the Commissioner</w:t>
      </w:r>
      <w:r w:rsidRPr="00566D26">
        <w:rPr>
          <w:rFonts w:ascii="Arial" w:hAnsi="Arial" w:cs="Arial"/>
          <w:color w:val="000000"/>
          <w:sz w:val="22"/>
          <w:szCs w:val="22"/>
        </w:rPr>
        <w:t xml:space="preserve"> </w:t>
      </w:r>
      <w:proofErr w:type="gramStart"/>
      <w:r w:rsidRPr="00566D26">
        <w:rPr>
          <w:rFonts w:ascii="Arial" w:hAnsi="Arial" w:cs="Arial"/>
          <w:color w:val="000000"/>
          <w:sz w:val="22"/>
          <w:szCs w:val="22"/>
        </w:rPr>
        <w:t>in the event that</w:t>
      </w:r>
      <w:proofErr w:type="gramEnd"/>
      <w:r w:rsidRPr="00566D26">
        <w:rPr>
          <w:rFonts w:ascii="Arial" w:hAnsi="Arial" w:cs="Arial"/>
          <w:color w:val="000000"/>
          <w:sz w:val="22"/>
          <w:szCs w:val="22"/>
        </w:rPr>
        <w:t xml:space="preserve"> the power of sale is subject to potential challenges or disputes (such as equitable claims), or there is any other uncertainty regarding the application of sale proceeds.</w:t>
      </w:r>
    </w:p>
    <w:p w14:paraId="2B053E3E" w14:textId="77777777" w:rsidR="008C7FE5" w:rsidRPr="00566D26" w:rsidRDefault="00701312"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The variation provided by this instrument is consistent with the legislative direction provided in subsection 14-235(1) that the Commissioner is to have regard to the need to protect a creditor’s right to recover a debt.</w:t>
      </w:r>
    </w:p>
    <w:p w14:paraId="3F571302" w14:textId="77777777" w:rsidR="00932C75" w:rsidRPr="00566D26" w:rsidRDefault="00932C75" w:rsidP="00932C75">
      <w:pPr>
        <w:spacing w:after="120"/>
        <w:rPr>
          <w:rFonts w:ascii="Arial" w:hAnsi="Arial" w:cs="Arial"/>
          <w:color w:val="000000"/>
          <w:sz w:val="22"/>
          <w:szCs w:val="22"/>
        </w:rPr>
      </w:pPr>
    </w:p>
    <w:p w14:paraId="1F4B5B52" w14:textId="77777777" w:rsidR="008C7FE5" w:rsidRPr="00566D26" w:rsidRDefault="008C7FE5" w:rsidP="008C7FE5">
      <w:pPr>
        <w:spacing w:after="120"/>
        <w:rPr>
          <w:rFonts w:ascii="Arial" w:hAnsi="Arial" w:cs="Arial"/>
          <w:color w:val="000000"/>
          <w:sz w:val="22"/>
          <w:szCs w:val="22"/>
        </w:rPr>
      </w:pPr>
    </w:p>
    <w:p w14:paraId="68923E56" w14:textId="0331AB57" w:rsidR="008C7FE5" w:rsidRPr="00566D26" w:rsidRDefault="00717289" w:rsidP="008C7FE5">
      <w:pPr>
        <w:spacing w:after="120"/>
        <w:rPr>
          <w:rFonts w:ascii="Arial" w:hAnsi="Arial" w:cs="Arial"/>
          <w:b/>
          <w:i/>
          <w:sz w:val="22"/>
          <w:szCs w:val="22"/>
        </w:rPr>
      </w:pPr>
      <w:r w:rsidRPr="00566D26">
        <w:rPr>
          <w:rFonts w:ascii="Arial" w:hAnsi="Arial" w:cs="Arial"/>
          <w:b/>
          <w:i/>
          <w:sz w:val="22"/>
          <w:szCs w:val="22"/>
        </w:rPr>
        <w:t>Commissioner’s Variation Power</w:t>
      </w:r>
    </w:p>
    <w:p w14:paraId="4B7CB887" w14:textId="77777777" w:rsidR="00932C75" w:rsidRPr="00566D26" w:rsidRDefault="00932C75" w:rsidP="008C7FE5">
      <w:pPr>
        <w:spacing w:after="120"/>
        <w:rPr>
          <w:rFonts w:ascii="Arial" w:hAnsi="Arial" w:cs="Arial"/>
          <w:b/>
          <w:color w:val="000000"/>
          <w:sz w:val="22"/>
          <w:szCs w:val="22"/>
        </w:rPr>
      </w:pPr>
    </w:p>
    <w:p w14:paraId="3E6EA6C1" w14:textId="77777777"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Foreign resident owners of land are not entitled to obtain a clearance certificate and would therefore not be able to provide one to a transferee. This means there will generally be a withholding obligation on a transferee acquiring land with a market value of $750,000.00 or more in a transaction where a mortgagee is exercising a power of sale over land owned by a foreign resident mortgagor.</w:t>
      </w:r>
    </w:p>
    <w:p w14:paraId="2A6D4957" w14:textId="77777777"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In circumstances where the transferee has the obligation to withhold and remit part of the purchase moneys to the Commissioner, a mortgagee has the option of applying to the Commissioner for a variation to the 12.5% withholding rate, including to nil. In exercising the power to vary an amount under section 14-235 the Commissioner must have regard to the need to protect a creditor’s right to recover a debt. This means that the Commissioner will generally allow a variation by a mortgagee where the sales proceeds are insufficient to discharge a mortgage </w:t>
      </w:r>
      <w:proofErr w:type="gramStart"/>
      <w:r w:rsidRPr="00566D26">
        <w:rPr>
          <w:rFonts w:ascii="Arial" w:hAnsi="Arial" w:cs="Arial"/>
          <w:color w:val="000000"/>
          <w:sz w:val="22"/>
          <w:szCs w:val="22"/>
        </w:rPr>
        <w:t>and also</w:t>
      </w:r>
      <w:proofErr w:type="gramEnd"/>
      <w:r w:rsidRPr="00566D26">
        <w:rPr>
          <w:rFonts w:ascii="Arial" w:hAnsi="Arial" w:cs="Arial"/>
          <w:color w:val="000000"/>
          <w:sz w:val="22"/>
          <w:szCs w:val="22"/>
        </w:rPr>
        <w:t xml:space="preserve"> satisfy the withholding obligation.</w:t>
      </w:r>
    </w:p>
    <w:p w14:paraId="002D8437" w14:textId="2CF94863"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color w:val="000000"/>
          <w:sz w:val="22"/>
          <w:szCs w:val="22"/>
        </w:rPr>
        <w:t xml:space="preserve">For the variation to be valid, </w:t>
      </w:r>
      <w:r w:rsidR="00FE1204" w:rsidRPr="00FE1204">
        <w:rPr>
          <w:rFonts w:ascii="Arial" w:hAnsi="Arial" w:cs="Arial"/>
          <w:color w:val="000000"/>
          <w:sz w:val="22"/>
          <w:szCs w:val="22"/>
        </w:rPr>
        <w:t>it must be obtained by</w:t>
      </w:r>
      <w:r w:rsidR="00B01211">
        <w:rPr>
          <w:rFonts w:ascii="Arial" w:hAnsi="Arial" w:cs="Arial"/>
          <w:color w:val="000000"/>
          <w:sz w:val="22"/>
          <w:szCs w:val="22"/>
        </w:rPr>
        <w:t>,</w:t>
      </w:r>
      <w:r w:rsidR="00FE1204" w:rsidRPr="00FE1204">
        <w:rPr>
          <w:rFonts w:ascii="Arial" w:hAnsi="Arial" w:cs="Arial"/>
          <w:color w:val="000000"/>
          <w:sz w:val="22"/>
          <w:szCs w:val="22"/>
        </w:rPr>
        <w:t xml:space="preserve"> or notified to</w:t>
      </w:r>
      <w:r w:rsidR="00B01211">
        <w:rPr>
          <w:rFonts w:ascii="Arial" w:hAnsi="Arial" w:cs="Arial"/>
          <w:color w:val="000000"/>
          <w:sz w:val="22"/>
          <w:szCs w:val="22"/>
        </w:rPr>
        <w:t>,</w:t>
      </w:r>
      <w:r w:rsidR="00FE1204" w:rsidRPr="00FE1204">
        <w:rPr>
          <w:rFonts w:ascii="Arial" w:hAnsi="Arial" w:cs="Arial"/>
          <w:color w:val="000000"/>
          <w:sz w:val="22"/>
          <w:szCs w:val="22"/>
        </w:rPr>
        <w:t xml:space="preserve"> the transferee</w:t>
      </w:r>
      <w:r w:rsidRPr="00566D26">
        <w:rPr>
          <w:rFonts w:ascii="Arial" w:hAnsi="Arial" w:cs="Arial"/>
          <w:color w:val="000000"/>
          <w:sz w:val="22"/>
          <w:szCs w:val="22"/>
        </w:rPr>
        <w:t xml:space="preserve"> by the time they become the owner of the asset. If a variation cannot be obtained by the relevant time, the transferee would be required to pay the Commissioner an amount equal to 12.5% of the purchase price.</w:t>
      </w:r>
    </w:p>
    <w:p w14:paraId="7929966C" w14:textId="77777777" w:rsidR="00932C75" w:rsidRPr="00566D26" w:rsidRDefault="00932C75" w:rsidP="009E3851">
      <w:pPr>
        <w:spacing w:after="120"/>
        <w:rPr>
          <w:rFonts w:ascii="Arial" w:hAnsi="Arial" w:cs="Arial"/>
          <w:color w:val="000000"/>
          <w:sz w:val="22"/>
          <w:szCs w:val="22"/>
        </w:rPr>
      </w:pPr>
    </w:p>
    <w:p w14:paraId="40A001EC" w14:textId="77777777" w:rsidR="008C7FE5" w:rsidRDefault="00717289" w:rsidP="008C7FE5">
      <w:pPr>
        <w:spacing w:after="120"/>
        <w:rPr>
          <w:rFonts w:ascii="Arial" w:hAnsi="Arial" w:cs="Arial"/>
          <w:b/>
          <w:i/>
          <w:sz w:val="22"/>
          <w:szCs w:val="22"/>
        </w:rPr>
      </w:pPr>
      <w:r w:rsidRPr="00566D26">
        <w:rPr>
          <w:rFonts w:ascii="Arial" w:hAnsi="Arial" w:cs="Arial"/>
          <w:b/>
          <w:i/>
          <w:sz w:val="22"/>
          <w:szCs w:val="22"/>
        </w:rPr>
        <w:t>Conveyancing process</w:t>
      </w:r>
    </w:p>
    <w:p w14:paraId="41B905E2" w14:textId="77777777" w:rsidR="00226E71" w:rsidRPr="00566D26" w:rsidRDefault="00226E71" w:rsidP="008C7FE5">
      <w:pPr>
        <w:spacing w:after="120"/>
        <w:rPr>
          <w:rFonts w:ascii="Arial" w:hAnsi="Arial" w:cs="Arial"/>
          <w:b/>
          <w:color w:val="000000"/>
          <w:sz w:val="22"/>
          <w:szCs w:val="22"/>
        </w:rPr>
      </w:pPr>
    </w:p>
    <w:p w14:paraId="35C104E0" w14:textId="77777777"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sz w:val="22"/>
        </w:rPr>
        <w:t>In all Australian states and territories, mortgagees are given a power of sale where mortgage money has become due and payable, and other conditions are satisfied.</w:t>
      </w:r>
      <w:r w:rsidRPr="00566D26">
        <w:rPr>
          <w:rStyle w:val="FootnoteReference"/>
          <w:rFonts w:ascii="Arial" w:hAnsi="Arial" w:cs="Arial"/>
          <w:sz w:val="22"/>
        </w:rPr>
        <w:footnoteReference w:id="1"/>
      </w:r>
      <w:r w:rsidRPr="00566D26">
        <w:rPr>
          <w:rFonts w:ascii="Arial" w:hAnsi="Arial" w:cs="Arial"/>
          <w:sz w:val="22"/>
        </w:rPr>
        <w:t xml:space="preserve"> Generally, the power of sale authorises the mortgagee to sell the mortgaged property by public auction or private contract, and execute all such instruments as is necessary for effective sale of the property.</w:t>
      </w:r>
      <w:r w:rsidRPr="00566D26">
        <w:rPr>
          <w:rStyle w:val="FootnoteReference"/>
          <w:rFonts w:ascii="Arial" w:hAnsi="Arial" w:cs="Arial"/>
          <w:sz w:val="22"/>
        </w:rPr>
        <w:footnoteReference w:id="2"/>
      </w:r>
      <w:r w:rsidRPr="00566D26">
        <w:rPr>
          <w:rFonts w:ascii="Arial" w:hAnsi="Arial" w:cs="Arial"/>
          <w:sz w:val="22"/>
        </w:rPr>
        <w:t xml:space="preserve"> There are also incidental powers available to mortgagees such as the power to sell part of the property, or things attached to the property such as mines and minerals.</w:t>
      </w:r>
    </w:p>
    <w:p w14:paraId="266C07EA" w14:textId="77777777"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sz w:val="22"/>
        </w:rPr>
        <w:lastRenderedPageBreak/>
        <w:t xml:space="preserve">As a result of exercising a power of sale, the mortgagee assumes various duties and obligations with respect to the sale proceeds. Although the </w:t>
      </w:r>
      <w:proofErr w:type="gramStart"/>
      <w:r w:rsidRPr="00566D26">
        <w:rPr>
          <w:rFonts w:ascii="Arial" w:hAnsi="Arial" w:cs="Arial"/>
          <w:sz w:val="22"/>
        </w:rPr>
        <w:t>particular provisions</w:t>
      </w:r>
      <w:proofErr w:type="gramEnd"/>
      <w:r w:rsidRPr="00566D26">
        <w:rPr>
          <w:rFonts w:ascii="Arial" w:hAnsi="Arial" w:cs="Arial"/>
          <w:sz w:val="22"/>
        </w:rPr>
        <w:t xml:space="preserve"> differ in each state and territory, the requirements concerning the application of the sale proceeds are broadly consistent. That is, the mortgagee is required to apply sale proceeds in the following order: (i) payment of all costs, charges and expenses incurred incidental to the sale, (ii) discharge of mortgage money, interest, costs and other moneys due under the mortgage, and (iii) where there is any residue remaining, such moneys are to be paid to the mortgagor.</w:t>
      </w:r>
      <w:r w:rsidRPr="00566D26">
        <w:rPr>
          <w:rStyle w:val="FootnoteReference"/>
          <w:rFonts w:ascii="Arial" w:hAnsi="Arial" w:cs="Arial"/>
          <w:sz w:val="22"/>
        </w:rPr>
        <w:footnoteReference w:id="3"/>
      </w:r>
      <w:r w:rsidRPr="00566D26">
        <w:rPr>
          <w:rFonts w:ascii="Arial" w:hAnsi="Arial" w:cs="Arial"/>
          <w:sz w:val="22"/>
        </w:rPr>
        <w:t xml:space="preserve"> In New South Wales and the Northern Territory, the provisions specifically provide that subsequent mortgages are to be paid prior to the residue being distributed to the mortgagor.</w:t>
      </w:r>
    </w:p>
    <w:p w14:paraId="0141E249" w14:textId="77777777" w:rsidR="008C7FE5" w:rsidRPr="00566D26" w:rsidRDefault="00717289" w:rsidP="008C7FE5">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sz w:val="22"/>
        </w:rPr>
        <w:t>Accordingly, a mortgagee exercising a power of sale will be required to ascertain all costs, mortgages, and subsequent mortgages associated with the mortgaged property and duly account for such payments from the sale proceeds.</w:t>
      </w:r>
    </w:p>
    <w:p w14:paraId="11462FB0" w14:textId="77777777" w:rsidR="00C07D99" w:rsidRPr="00C07D99" w:rsidRDefault="00717289" w:rsidP="00C07D99">
      <w:pPr>
        <w:numPr>
          <w:ilvl w:val="0"/>
          <w:numId w:val="16"/>
        </w:numPr>
        <w:tabs>
          <w:tab w:val="clear" w:pos="720"/>
        </w:tabs>
        <w:spacing w:after="120"/>
        <w:ind w:left="0" w:firstLine="0"/>
        <w:rPr>
          <w:rFonts w:ascii="Arial" w:hAnsi="Arial" w:cs="Arial"/>
          <w:color w:val="000000"/>
          <w:sz w:val="22"/>
          <w:szCs w:val="22"/>
        </w:rPr>
      </w:pPr>
      <w:r w:rsidRPr="00566D26">
        <w:rPr>
          <w:rFonts w:ascii="Arial" w:hAnsi="Arial" w:cs="Arial"/>
          <w:sz w:val="22"/>
        </w:rPr>
        <w:t>A mortgagee exercising a power of sale over mortgaged property is in the best position to determine whether any part of the sale proceeds will be available to the mortgagor, and thus whether it is possible to satisfy the withholding obligation from the sales proceeds for the purposes of foreign resident capital gains withholding.</w:t>
      </w:r>
    </w:p>
    <w:p w14:paraId="4093EB13" w14:textId="77777777" w:rsidR="00C07D99" w:rsidRPr="00C07D99" w:rsidRDefault="00C07D99" w:rsidP="00C07D99">
      <w:pPr>
        <w:spacing w:after="120"/>
        <w:rPr>
          <w:rFonts w:ascii="Arial" w:hAnsi="Arial" w:cs="Arial"/>
          <w:color w:val="000000"/>
          <w:sz w:val="22"/>
          <w:szCs w:val="22"/>
        </w:rPr>
      </w:pPr>
    </w:p>
    <w:p w14:paraId="11212BA4" w14:textId="77777777" w:rsidR="00C07D99" w:rsidRPr="00566D26" w:rsidRDefault="00C07D99" w:rsidP="00C07D99">
      <w:pPr>
        <w:pStyle w:val="Heading2"/>
      </w:pPr>
      <w:r w:rsidRPr="00566D26">
        <w:t>Consultation</w:t>
      </w:r>
    </w:p>
    <w:p w14:paraId="41310888" w14:textId="77777777" w:rsidR="00C07D99" w:rsidRDefault="00C07D99" w:rsidP="00C07D99">
      <w:pPr>
        <w:spacing w:after="120"/>
        <w:rPr>
          <w:rFonts w:ascii="Arial" w:hAnsi="Arial" w:cs="Arial"/>
          <w:color w:val="000000"/>
          <w:sz w:val="22"/>
          <w:szCs w:val="22"/>
        </w:rPr>
      </w:pPr>
    </w:p>
    <w:p w14:paraId="736F0E80" w14:textId="4CA01E05" w:rsidR="00C07D99" w:rsidRPr="00C07D99" w:rsidRDefault="00832A78" w:rsidP="00C07D99">
      <w:pPr>
        <w:numPr>
          <w:ilvl w:val="0"/>
          <w:numId w:val="16"/>
        </w:numPr>
        <w:tabs>
          <w:tab w:val="clear" w:pos="720"/>
        </w:tabs>
        <w:spacing w:after="120"/>
        <w:ind w:left="0" w:firstLine="0"/>
        <w:rPr>
          <w:rFonts w:ascii="Arial" w:hAnsi="Arial" w:cs="Arial"/>
          <w:color w:val="000000"/>
          <w:sz w:val="22"/>
          <w:szCs w:val="22"/>
        </w:rPr>
      </w:pPr>
      <w:r w:rsidRPr="00C07D99">
        <w:rPr>
          <w:rFonts w:ascii="Arial" w:hAnsi="Arial" w:cs="Arial"/>
          <w:sz w:val="22"/>
          <w:szCs w:val="22"/>
        </w:rPr>
        <w:t xml:space="preserve">Subsection 17(1) of the </w:t>
      </w:r>
      <w:r w:rsidRPr="00C07D99">
        <w:rPr>
          <w:rFonts w:ascii="Arial" w:hAnsi="Arial" w:cs="Arial"/>
          <w:i/>
          <w:iCs/>
          <w:sz w:val="22"/>
          <w:szCs w:val="22"/>
        </w:rPr>
        <w:t>Legislation Act 2003</w:t>
      </w:r>
      <w:r w:rsidRPr="00C07D99">
        <w:rPr>
          <w:rFonts w:ascii="Arial" w:hAnsi="Arial" w:cs="Arial"/>
          <w:sz w:val="22"/>
          <w:szCs w:val="22"/>
        </w:rPr>
        <w:t xml:space="preserve"> requires that the rule-maker undertake an appropriate level of consultation that is reasonably practicable to undertake before making a legislative instrument.</w:t>
      </w:r>
    </w:p>
    <w:p w14:paraId="729B9CD5" w14:textId="77777777" w:rsidR="00C07D99" w:rsidRDefault="00BC221A" w:rsidP="00AB1E70">
      <w:pPr>
        <w:numPr>
          <w:ilvl w:val="0"/>
          <w:numId w:val="16"/>
        </w:numPr>
        <w:tabs>
          <w:tab w:val="clear" w:pos="720"/>
        </w:tabs>
        <w:spacing w:after="120"/>
        <w:ind w:left="0" w:firstLine="0"/>
        <w:rPr>
          <w:rFonts w:ascii="Arial" w:hAnsi="Arial" w:cs="Arial"/>
          <w:color w:val="000000"/>
          <w:sz w:val="22"/>
          <w:szCs w:val="22"/>
        </w:rPr>
      </w:pPr>
      <w:r w:rsidRPr="00C07D99">
        <w:rPr>
          <w:rFonts w:ascii="Arial" w:hAnsi="Arial" w:cs="Arial"/>
          <w:sz w:val="22"/>
          <w:szCs w:val="22"/>
        </w:rPr>
        <w:t>The draft instrument and</w:t>
      </w:r>
      <w:r w:rsidR="00763D67" w:rsidRPr="00C07D99">
        <w:rPr>
          <w:rFonts w:ascii="Arial" w:hAnsi="Arial" w:cs="Arial"/>
          <w:sz w:val="22"/>
          <w:szCs w:val="22"/>
        </w:rPr>
        <w:t xml:space="preserve"> explan</w:t>
      </w:r>
      <w:r w:rsidR="002E3A82" w:rsidRPr="00C07D99">
        <w:rPr>
          <w:rFonts w:ascii="Arial" w:hAnsi="Arial" w:cs="Arial"/>
          <w:sz w:val="22"/>
          <w:szCs w:val="22"/>
        </w:rPr>
        <w:t xml:space="preserve">atory statement </w:t>
      </w:r>
      <w:proofErr w:type="gramStart"/>
      <w:r w:rsidR="002E3A82" w:rsidRPr="00C07D99">
        <w:rPr>
          <w:rFonts w:ascii="Arial" w:hAnsi="Arial" w:cs="Arial"/>
          <w:sz w:val="22"/>
          <w:szCs w:val="22"/>
        </w:rPr>
        <w:t>was</w:t>
      </w:r>
      <w:proofErr w:type="gramEnd"/>
      <w:r w:rsidR="002E3A82" w:rsidRPr="00C07D99">
        <w:rPr>
          <w:rFonts w:ascii="Arial" w:hAnsi="Arial" w:cs="Arial"/>
          <w:sz w:val="22"/>
          <w:szCs w:val="22"/>
        </w:rPr>
        <w:t xml:space="preserve"> published on</w:t>
      </w:r>
      <w:r w:rsidR="00763D67" w:rsidRPr="00C07D99">
        <w:rPr>
          <w:rFonts w:ascii="Arial" w:hAnsi="Arial" w:cs="Arial"/>
          <w:sz w:val="22"/>
          <w:szCs w:val="22"/>
        </w:rPr>
        <w:t xml:space="preserve"> the ATO Legal database. </w:t>
      </w:r>
      <w:r w:rsidR="009726B9" w:rsidRPr="00C07D99">
        <w:rPr>
          <w:rFonts w:ascii="Arial" w:hAnsi="Arial" w:cs="Arial"/>
          <w:sz w:val="22"/>
          <w:szCs w:val="22"/>
        </w:rPr>
        <w:t xml:space="preserve">There was an </w:t>
      </w:r>
      <w:r w:rsidR="00EA43D1" w:rsidRPr="00C07D99">
        <w:rPr>
          <w:rFonts w:ascii="Arial" w:hAnsi="Arial" w:cs="Arial"/>
          <w:sz w:val="22"/>
          <w:szCs w:val="22"/>
        </w:rPr>
        <w:t>awareness across businesses, individuals and industry associations who subscribe to that website.</w:t>
      </w:r>
    </w:p>
    <w:p w14:paraId="78C5AA2B" w14:textId="75B32F18" w:rsidR="00EA43D1" w:rsidRDefault="00AB1E70" w:rsidP="00910595">
      <w:pPr>
        <w:numPr>
          <w:ilvl w:val="0"/>
          <w:numId w:val="16"/>
        </w:numPr>
        <w:tabs>
          <w:tab w:val="clear" w:pos="720"/>
        </w:tabs>
        <w:spacing w:after="120"/>
        <w:ind w:left="0" w:firstLine="0"/>
        <w:rPr>
          <w:rFonts w:ascii="Arial" w:hAnsi="Arial" w:cs="Arial"/>
          <w:color w:val="000000"/>
          <w:sz w:val="22"/>
          <w:szCs w:val="22"/>
        </w:rPr>
      </w:pPr>
      <w:r w:rsidRPr="00C07D99">
        <w:rPr>
          <w:rFonts w:ascii="Arial" w:hAnsi="Arial" w:cs="Arial"/>
          <w:sz w:val="22"/>
          <w:szCs w:val="22"/>
        </w:rPr>
        <w:t>Copies of the draft legisla</w:t>
      </w:r>
      <w:r w:rsidR="00BC221A" w:rsidRPr="00C07D99">
        <w:rPr>
          <w:rFonts w:ascii="Arial" w:hAnsi="Arial" w:cs="Arial"/>
          <w:sz w:val="22"/>
          <w:szCs w:val="22"/>
        </w:rPr>
        <w:t xml:space="preserve">tive instrument and explanatory </w:t>
      </w:r>
      <w:r w:rsidRPr="00C07D99">
        <w:rPr>
          <w:rFonts w:ascii="Arial" w:hAnsi="Arial" w:cs="Arial"/>
          <w:sz w:val="22"/>
          <w:szCs w:val="22"/>
        </w:rPr>
        <w:t>statement were sent to peak industry</w:t>
      </w:r>
      <w:r w:rsidR="00FD17E4" w:rsidRPr="00C07D99">
        <w:rPr>
          <w:rFonts w:ascii="Arial" w:hAnsi="Arial" w:cs="Arial"/>
          <w:sz w:val="22"/>
          <w:szCs w:val="22"/>
        </w:rPr>
        <w:t xml:space="preserve"> bodies for comment</w:t>
      </w:r>
      <w:r w:rsidR="00FE3DBB" w:rsidRPr="00C07D99">
        <w:rPr>
          <w:rFonts w:ascii="Arial" w:hAnsi="Arial" w:cs="Arial"/>
          <w:sz w:val="22"/>
          <w:szCs w:val="22"/>
        </w:rPr>
        <w:t>.</w:t>
      </w:r>
      <w:r w:rsidR="00C07D99">
        <w:rPr>
          <w:rFonts w:ascii="Arial" w:hAnsi="Arial" w:cs="Arial"/>
          <w:sz w:val="22"/>
          <w:szCs w:val="22"/>
        </w:rPr>
        <w:t xml:space="preserve"> </w:t>
      </w:r>
      <w:r w:rsidR="00C07D99" w:rsidRPr="00C07D99">
        <w:rPr>
          <w:rFonts w:ascii="Arial" w:hAnsi="Arial" w:cs="Arial"/>
          <w:sz w:val="22"/>
          <w:szCs w:val="22"/>
        </w:rPr>
        <w:t>All feedback received was considered and, where appropriate, it was included to improve the instrument's application.</w:t>
      </w:r>
    </w:p>
    <w:p w14:paraId="7622A7CC" w14:textId="77777777" w:rsidR="00C07D99" w:rsidRPr="00C07D99" w:rsidRDefault="00C07D99" w:rsidP="00C07D99">
      <w:pPr>
        <w:spacing w:after="120"/>
        <w:rPr>
          <w:rFonts w:ascii="Arial" w:hAnsi="Arial" w:cs="Arial"/>
          <w:color w:val="000000"/>
          <w:sz w:val="22"/>
          <w:szCs w:val="22"/>
        </w:rPr>
      </w:pPr>
    </w:p>
    <w:p w14:paraId="69FE8C27" w14:textId="77777777" w:rsidR="009371D0" w:rsidRPr="00566D26" w:rsidRDefault="007E0A01" w:rsidP="00910595">
      <w:pPr>
        <w:pStyle w:val="Heading3"/>
        <w:rPr>
          <w:i/>
          <w:sz w:val="22"/>
          <w:szCs w:val="22"/>
        </w:rPr>
      </w:pPr>
      <w:r w:rsidRPr="00566D26">
        <w:rPr>
          <w:i/>
          <w:sz w:val="22"/>
          <w:szCs w:val="22"/>
        </w:rPr>
        <w:t>Legislative references</w:t>
      </w:r>
    </w:p>
    <w:p w14:paraId="6B383502" w14:textId="3758C068" w:rsidR="00736629" w:rsidRPr="00566D26" w:rsidRDefault="00736629" w:rsidP="00101CD5">
      <w:pPr>
        <w:rPr>
          <w:rFonts w:ascii="Arial" w:hAnsi="Arial" w:cs="Arial"/>
          <w:i/>
          <w:color w:val="0000FF"/>
          <w:sz w:val="22"/>
          <w:szCs w:val="22"/>
        </w:rPr>
      </w:pPr>
    </w:p>
    <w:p w14:paraId="2DEB3EA6" w14:textId="77777777" w:rsidR="009B1F4A" w:rsidRPr="00566D26" w:rsidRDefault="009B1F4A" w:rsidP="00736629">
      <w:pPr>
        <w:spacing w:after="60"/>
        <w:rPr>
          <w:rFonts w:ascii="Arial" w:eastAsia="Calibri" w:hAnsi="Arial" w:cs="Arial"/>
          <w:i/>
          <w:sz w:val="20"/>
          <w:lang w:eastAsia="en-US"/>
        </w:rPr>
      </w:pPr>
      <w:r w:rsidRPr="00566D26">
        <w:rPr>
          <w:rFonts w:ascii="Arial" w:eastAsia="Calibri" w:hAnsi="Arial" w:cs="Arial"/>
          <w:i/>
          <w:sz w:val="20"/>
          <w:lang w:eastAsia="en-US"/>
        </w:rPr>
        <w:t xml:space="preserve">A New Tax System (Pay </w:t>
      </w:r>
      <w:proofErr w:type="gramStart"/>
      <w:r w:rsidRPr="00566D26">
        <w:rPr>
          <w:rFonts w:ascii="Arial" w:eastAsia="Calibri" w:hAnsi="Arial" w:cs="Arial"/>
          <w:i/>
          <w:sz w:val="20"/>
          <w:lang w:eastAsia="en-US"/>
        </w:rPr>
        <w:t>As</w:t>
      </w:r>
      <w:proofErr w:type="gramEnd"/>
      <w:r w:rsidRPr="00566D26">
        <w:rPr>
          <w:rFonts w:ascii="Arial" w:eastAsia="Calibri" w:hAnsi="Arial" w:cs="Arial"/>
          <w:i/>
          <w:sz w:val="20"/>
          <w:lang w:eastAsia="en-US"/>
        </w:rPr>
        <w:t xml:space="preserve"> You Go) Act 1999</w:t>
      </w:r>
    </w:p>
    <w:p w14:paraId="204DC3B2" w14:textId="34CF3DAC" w:rsidR="00736629" w:rsidRPr="00566D26" w:rsidRDefault="00736629" w:rsidP="00736629">
      <w:pPr>
        <w:spacing w:after="60"/>
        <w:rPr>
          <w:rFonts w:ascii="Arial" w:eastAsia="Calibri" w:hAnsi="Arial" w:cs="Arial"/>
          <w:i/>
          <w:sz w:val="20"/>
          <w:lang w:eastAsia="en-US"/>
        </w:rPr>
      </w:pPr>
      <w:r w:rsidRPr="00566D26">
        <w:rPr>
          <w:rFonts w:ascii="Arial" w:eastAsia="Calibri" w:hAnsi="Arial" w:cs="Arial"/>
          <w:i/>
          <w:sz w:val="20"/>
          <w:lang w:eastAsia="en-US"/>
        </w:rPr>
        <w:t>Acts Interpretation Act 1901</w:t>
      </w:r>
    </w:p>
    <w:p w14:paraId="75FF0DA1" w14:textId="1D4CE380" w:rsidR="009B1F4A" w:rsidRPr="00566D26" w:rsidRDefault="009B1F4A" w:rsidP="00736629">
      <w:pPr>
        <w:spacing w:after="60"/>
        <w:rPr>
          <w:rFonts w:ascii="Arial" w:eastAsia="Calibri" w:hAnsi="Arial" w:cs="Arial"/>
          <w:i/>
          <w:sz w:val="20"/>
          <w:lang w:eastAsia="en-US"/>
        </w:rPr>
      </w:pPr>
      <w:r w:rsidRPr="00566D26">
        <w:rPr>
          <w:rFonts w:ascii="Arial" w:eastAsia="Calibri" w:hAnsi="Arial" w:cs="Arial"/>
          <w:i/>
          <w:sz w:val="20"/>
          <w:lang w:eastAsia="en-US"/>
        </w:rPr>
        <w:t>Banking Act 1959</w:t>
      </w:r>
    </w:p>
    <w:p w14:paraId="0AF5CC9E"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Conveyancing and Law of Property Act 1884 (Tas)</w:t>
      </w:r>
    </w:p>
    <w:p w14:paraId="20021A25" w14:textId="3BFC6C1C"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Human Rights (Parliamentary Scrutiny) Act 2011</w:t>
      </w:r>
    </w:p>
    <w:p w14:paraId="2723B5CC" w14:textId="5DCC5173"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Income Tax Assessment Act 1997</w:t>
      </w:r>
    </w:p>
    <w:p w14:paraId="64834C89" w14:textId="77777777" w:rsidR="009B1F4A"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Land Titles Act 1925 (ACT)</w:t>
      </w:r>
    </w:p>
    <w:p w14:paraId="494C9BEE" w14:textId="6D725ED6" w:rsidR="00C07D99" w:rsidRPr="00566D26" w:rsidRDefault="00C07D99" w:rsidP="009B1F4A">
      <w:pPr>
        <w:spacing w:after="60"/>
        <w:rPr>
          <w:rFonts w:ascii="Arial" w:eastAsia="Calibri" w:hAnsi="Arial" w:cs="Arial"/>
          <w:i/>
          <w:sz w:val="20"/>
          <w:lang w:eastAsia="en-US"/>
        </w:rPr>
      </w:pPr>
      <w:r w:rsidRPr="00566D26">
        <w:rPr>
          <w:rFonts w:ascii="Arial" w:eastAsia="Calibri" w:hAnsi="Arial" w:cs="Arial"/>
          <w:i/>
          <w:sz w:val="20"/>
          <w:lang w:eastAsia="en-US"/>
        </w:rPr>
        <w:t>Law of Property Act 2000 (NT)</w:t>
      </w:r>
    </w:p>
    <w:p w14:paraId="721E65A4"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Law of Property Act 1936 (SA)</w:t>
      </w:r>
    </w:p>
    <w:p w14:paraId="0C060A53"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Legislation Act 2003</w:t>
      </w:r>
    </w:p>
    <w:p w14:paraId="2D0E775B"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Property Law Act 1974 (Qld)</w:t>
      </w:r>
    </w:p>
    <w:p w14:paraId="1F05B7C0"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t>Property Law Act 1958 (Vic)</w:t>
      </w:r>
    </w:p>
    <w:p w14:paraId="3967047C" w14:textId="77777777" w:rsidR="009B1F4A" w:rsidRPr="00566D26" w:rsidRDefault="009B1F4A" w:rsidP="009B1F4A">
      <w:pPr>
        <w:spacing w:after="60"/>
        <w:rPr>
          <w:rFonts w:ascii="Arial" w:eastAsia="Calibri" w:hAnsi="Arial" w:cs="Arial"/>
          <w:i/>
          <w:sz w:val="20"/>
          <w:lang w:eastAsia="en-US"/>
        </w:rPr>
      </w:pPr>
      <w:r w:rsidRPr="00566D26">
        <w:rPr>
          <w:rFonts w:ascii="Arial" w:eastAsia="Calibri" w:hAnsi="Arial" w:cs="Arial"/>
          <w:i/>
          <w:sz w:val="20"/>
          <w:lang w:eastAsia="en-US"/>
        </w:rPr>
        <w:lastRenderedPageBreak/>
        <w:t>Property Law Act 1969 (WA)</w:t>
      </w:r>
    </w:p>
    <w:p w14:paraId="701D9F07" w14:textId="1C3B9720" w:rsidR="009B1F4A" w:rsidRPr="00566D26" w:rsidRDefault="009B1F4A" w:rsidP="00736629">
      <w:pPr>
        <w:spacing w:after="60"/>
        <w:rPr>
          <w:rFonts w:ascii="Arial" w:eastAsia="Calibri" w:hAnsi="Arial" w:cs="Arial"/>
          <w:i/>
          <w:sz w:val="20"/>
          <w:lang w:eastAsia="en-US"/>
        </w:rPr>
      </w:pPr>
      <w:r w:rsidRPr="00566D26">
        <w:rPr>
          <w:rFonts w:ascii="Arial" w:eastAsia="Calibri" w:hAnsi="Arial" w:cs="Arial"/>
          <w:i/>
          <w:sz w:val="20"/>
          <w:lang w:eastAsia="en-US"/>
        </w:rPr>
        <w:t>Real Property Act 1900 (NSW)</w:t>
      </w:r>
    </w:p>
    <w:p w14:paraId="62593EDB" w14:textId="77777777" w:rsidR="00736629" w:rsidRPr="00566D26" w:rsidRDefault="00736629" w:rsidP="00736629">
      <w:pPr>
        <w:spacing w:after="60"/>
        <w:rPr>
          <w:rFonts w:ascii="Arial" w:eastAsia="Calibri" w:hAnsi="Arial" w:cs="Arial"/>
          <w:i/>
          <w:sz w:val="20"/>
          <w:lang w:eastAsia="en-US"/>
        </w:rPr>
      </w:pPr>
      <w:r w:rsidRPr="00566D26">
        <w:rPr>
          <w:rFonts w:ascii="Arial" w:eastAsia="Calibri" w:hAnsi="Arial" w:cs="Arial"/>
          <w:i/>
          <w:sz w:val="20"/>
          <w:lang w:eastAsia="en-US"/>
        </w:rPr>
        <w:t>Taxation Administration Act 1953</w:t>
      </w:r>
    </w:p>
    <w:p w14:paraId="15AC1BA5" w14:textId="29F545DB" w:rsidR="00333567" w:rsidRPr="00566D26" w:rsidRDefault="00736629" w:rsidP="00910595">
      <w:pPr>
        <w:spacing w:after="120"/>
        <w:rPr>
          <w:rFonts w:ascii="Arial" w:hAnsi="Arial" w:cs="Arial"/>
          <w:sz w:val="22"/>
          <w:szCs w:val="22"/>
        </w:rPr>
      </w:pPr>
      <w:r w:rsidRPr="00566D26">
        <w:rPr>
          <w:rFonts w:ascii="Arial" w:hAnsi="Arial" w:cs="Arial"/>
          <w:sz w:val="22"/>
          <w:szCs w:val="22"/>
        </w:rPr>
        <w:br w:type="page"/>
      </w:r>
    </w:p>
    <w:p w14:paraId="15AC1BA6" w14:textId="4185B175" w:rsidR="00101CD5" w:rsidRPr="00566D26" w:rsidRDefault="00101CD5">
      <w:pPr>
        <w:rPr>
          <w:rFonts w:ascii="Arial" w:hAnsi="Arial" w:cs="Arial"/>
          <w:sz w:val="22"/>
          <w:szCs w:val="22"/>
        </w:rPr>
      </w:pPr>
    </w:p>
    <w:p w14:paraId="15AC1BAB" w14:textId="08BC1495" w:rsidR="00526403" w:rsidRPr="00566D26" w:rsidRDefault="00526403" w:rsidP="00101CD5">
      <w:pPr>
        <w:spacing w:after="120"/>
      </w:pPr>
    </w:p>
    <w:p w14:paraId="15AC1BAC" w14:textId="6B4B8273" w:rsidR="00333567" w:rsidRPr="00566D26" w:rsidRDefault="00E53399" w:rsidP="00101CD5">
      <w:pPr>
        <w:pStyle w:val="Heading3"/>
        <w:spacing w:before="0" w:after="120"/>
        <w:jc w:val="center"/>
        <w:rPr>
          <w:sz w:val="24"/>
        </w:rPr>
      </w:pPr>
      <w:r w:rsidRPr="00566D26">
        <w:rPr>
          <w:sz w:val="24"/>
        </w:rPr>
        <w:t xml:space="preserve">Statement of compatibility </w:t>
      </w:r>
      <w:r w:rsidR="00C11D03" w:rsidRPr="00566D26">
        <w:rPr>
          <w:sz w:val="24"/>
        </w:rPr>
        <w:t>with Human Rights</w:t>
      </w:r>
    </w:p>
    <w:p w14:paraId="15AC1BAD" w14:textId="4AD858FB" w:rsidR="00E53399" w:rsidRPr="00566D26" w:rsidRDefault="004F5EB1" w:rsidP="00101CD5">
      <w:pPr>
        <w:pStyle w:val="Heading3"/>
        <w:spacing w:before="0" w:after="120"/>
        <w:rPr>
          <w:sz w:val="24"/>
        </w:rPr>
      </w:pPr>
      <w:r w:rsidRPr="00566D26">
        <w:rPr>
          <w:b w:val="0"/>
          <w:sz w:val="22"/>
          <w:szCs w:val="20"/>
        </w:rPr>
        <w:t>P</w:t>
      </w:r>
      <w:r w:rsidR="00E53399" w:rsidRPr="00566D26">
        <w:rPr>
          <w:b w:val="0"/>
          <w:sz w:val="22"/>
          <w:szCs w:val="20"/>
        </w:rPr>
        <w:t xml:space="preserve">repared in accordance with Part 3 of the </w:t>
      </w:r>
      <w:r w:rsidR="00E53399" w:rsidRPr="00566D26">
        <w:rPr>
          <w:b w:val="0"/>
          <w:i/>
          <w:sz w:val="22"/>
          <w:szCs w:val="20"/>
        </w:rPr>
        <w:t>Human Rights (Parliamentary Scrutiny) Act 2011</w:t>
      </w:r>
    </w:p>
    <w:p w14:paraId="15AC1BAE" w14:textId="68DA81E7" w:rsidR="00D77015" w:rsidRPr="00566D26" w:rsidRDefault="00D77015" w:rsidP="00101CD5">
      <w:pPr>
        <w:spacing w:after="120"/>
        <w:rPr>
          <w:rFonts w:ascii="Arial" w:hAnsi="Arial" w:cs="Arial"/>
          <w:sz w:val="22"/>
          <w:szCs w:val="22"/>
        </w:rPr>
      </w:pPr>
    </w:p>
    <w:p w14:paraId="15AC1BAF" w14:textId="77777777" w:rsidR="002A26FE" w:rsidRPr="00566D26" w:rsidRDefault="00333567" w:rsidP="00101CD5">
      <w:pPr>
        <w:pStyle w:val="Heading2"/>
        <w:jc w:val="center"/>
      </w:pPr>
      <w:r w:rsidRPr="00566D26">
        <w:t>Title of Legislative Instrument</w:t>
      </w:r>
    </w:p>
    <w:p w14:paraId="54F9AC2D" w14:textId="0DAEA147" w:rsidR="009371D0" w:rsidRPr="00566D26" w:rsidRDefault="00075B58" w:rsidP="00101CD5">
      <w:pPr>
        <w:autoSpaceDE w:val="0"/>
        <w:autoSpaceDN w:val="0"/>
        <w:adjustRightInd w:val="0"/>
        <w:spacing w:after="120"/>
        <w:rPr>
          <w:rFonts w:ascii="Arial" w:hAnsi="Arial" w:cs="Arial"/>
          <w:color w:val="000000"/>
          <w:sz w:val="22"/>
        </w:rPr>
      </w:pPr>
      <w:r w:rsidRPr="00566D26">
        <w:rPr>
          <w:rFonts w:ascii="Arial" w:hAnsi="Arial" w:cs="Arial"/>
          <w:color w:val="000000"/>
          <w:sz w:val="22"/>
        </w:rPr>
        <w:t xml:space="preserve">This Legislative Instrument is compatible with the human rights and freedoms recognised or declared in the international instruments listed in section 3 of the </w:t>
      </w:r>
      <w:r w:rsidRPr="00566D26">
        <w:rPr>
          <w:rFonts w:ascii="Arial" w:hAnsi="Arial" w:cs="Arial"/>
          <w:i/>
          <w:color w:val="000000"/>
          <w:sz w:val="22"/>
        </w:rPr>
        <w:t>Human Righ</w:t>
      </w:r>
      <w:r w:rsidR="00101CD5" w:rsidRPr="00566D26">
        <w:rPr>
          <w:rFonts w:ascii="Arial" w:hAnsi="Arial" w:cs="Arial"/>
          <w:i/>
          <w:color w:val="000000"/>
          <w:sz w:val="22"/>
        </w:rPr>
        <w:t>ts (Parliamentary Scrutiny) Act </w:t>
      </w:r>
      <w:r w:rsidRPr="00566D26">
        <w:rPr>
          <w:rFonts w:ascii="Arial" w:hAnsi="Arial" w:cs="Arial"/>
          <w:i/>
          <w:color w:val="000000"/>
          <w:sz w:val="22"/>
        </w:rPr>
        <w:t>2011.</w:t>
      </w:r>
    </w:p>
    <w:p w14:paraId="15AC1BB2" w14:textId="6553A54F" w:rsidR="00075B58" w:rsidRPr="00566D26" w:rsidRDefault="00075B58" w:rsidP="00101CD5">
      <w:pPr>
        <w:spacing w:after="120"/>
        <w:rPr>
          <w:rFonts w:ascii="Arial" w:hAnsi="Arial" w:cs="Arial"/>
          <w:sz w:val="22"/>
          <w:szCs w:val="22"/>
        </w:rPr>
      </w:pPr>
    </w:p>
    <w:p w14:paraId="51023D20" w14:textId="722373F5" w:rsidR="00736629" w:rsidRPr="00566D26" w:rsidRDefault="00075B58" w:rsidP="00226E71">
      <w:pPr>
        <w:pStyle w:val="Heading2"/>
      </w:pPr>
      <w:r w:rsidRPr="00566D26">
        <w:t xml:space="preserve">Overview of </w:t>
      </w:r>
      <w:r w:rsidR="007E0A01" w:rsidRPr="00566D26">
        <w:t xml:space="preserve">the </w:t>
      </w:r>
      <w:r w:rsidRPr="00566D26">
        <w:t>Legislative Instrument</w:t>
      </w:r>
    </w:p>
    <w:p w14:paraId="54B0B2D0" w14:textId="3B121684" w:rsidR="00736629" w:rsidRPr="00566D26" w:rsidRDefault="00736629" w:rsidP="00736629">
      <w:pPr>
        <w:autoSpaceDE w:val="0"/>
        <w:autoSpaceDN w:val="0"/>
        <w:adjustRightInd w:val="0"/>
        <w:rPr>
          <w:rFonts w:ascii="Arial" w:hAnsi="Arial" w:cs="Arial"/>
          <w:sz w:val="22"/>
        </w:rPr>
      </w:pPr>
      <w:r w:rsidRPr="00566D26">
        <w:rPr>
          <w:rFonts w:ascii="Arial" w:hAnsi="Arial" w:cs="Arial"/>
          <w:sz w:val="22"/>
        </w:rPr>
        <w:t>This disallowable legislative instrument avoids the imposition of an unnecessary withholding where the Commissioner would agree to vary the withholding to</w:t>
      </w:r>
      <w:r w:rsidR="00C07D99">
        <w:rPr>
          <w:rFonts w:ascii="Arial" w:hAnsi="Arial" w:cs="Arial"/>
          <w:sz w:val="22"/>
        </w:rPr>
        <w:t xml:space="preserve"> nil when an authorised deposit-</w:t>
      </w:r>
      <w:r w:rsidRPr="00566D26">
        <w:rPr>
          <w:rFonts w:ascii="Arial" w:hAnsi="Arial" w:cs="Arial"/>
          <w:sz w:val="22"/>
        </w:rPr>
        <w:t>taking institution exercises the power of sale of Australian real property owned by a foreign resident and the proceeds of sale are insufficient to discharge the mortgage.</w:t>
      </w:r>
    </w:p>
    <w:p w14:paraId="5DEFD44F" w14:textId="77777777" w:rsidR="00736629" w:rsidRPr="00566D26" w:rsidRDefault="00736629" w:rsidP="00101CD5">
      <w:pPr>
        <w:spacing w:after="120"/>
        <w:rPr>
          <w:rFonts w:ascii="Arial" w:hAnsi="Arial" w:cs="Arial"/>
          <w:sz w:val="22"/>
          <w:szCs w:val="22"/>
        </w:rPr>
      </w:pPr>
    </w:p>
    <w:p w14:paraId="15AC1BB5" w14:textId="77777777" w:rsidR="00075B58" w:rsidRPr="00566D26" w:rsidRDefault="00075B58" w:rsidP="00101CD5">
      <w:pPr>
        <w:spacing w:after="120"/>
        <w:rPr>
          <w:rFonts w:ascii="Arial" w:hAnsi="Arial" w:cs="Arial"/>
          <w:sz w:val="22"/>
          <w:szCs w:val="22"/>
        </w:rPr>
      </w:pPr>
    </w:p>
    <w:p w14:paraId="15AC1BB6" w14:textId="77777777" w:rsidR="00075B58" w:rsidRPr="00566D26" w:rsidRDefault="00075B58" w:rsidP="00101CD5">
      <w:pPr>
        <w:pStyle w:val="Heading2"/>
      </w:pPr>
      <w:r w:rsidRPr="00566D26">
        <w:t>Human rights implications</w:t>
      </w:r>
    </w:p>
    <w:p w14:paraId="7B1F3D06" w14:textId="77777777" w:rsidR="007078C3" w:rsidRPr="00566D26" w:rsidRDefault="007078C3" w:rsidP="007078C3">
      <w:pPr>
        <w:autoSpaceDE w:val="0"/>
        <w:autoSpaceDN w:val="0"/>
        <w:adjustRightInd w:val="0"/>
        <w:rPr>
          <w:rFonts w:ascii="Arial" w:hAnsi="Arial" w:cs="Arial"/>
          <w:sz w:val="22"/>
        </w:rPr>
      </w:pPr>
      <w:r w:rsidRPr="00566D26">
        <w:rPr>
          <w:rFonts w:ascii="Arial" w:hAnsi="Arial" w:cs="Arial"/>
          <w:sz w:val="22"/>
        </w:rPr>
        <w:t>This legislative instrument does not engage any of the applicable rights or freedoms because the new instrument is of a minor or machinery nature. The instrument avoids unnecessary withholding in circumstances where no tax will be payable.</w:t>
      </w:r>
    </w:p>
    <w:p w14:paraId="15AC1BB8" w14:textId="77777777" w:rsidR="00075B58" w:rsidRPr="00566D26" w:rsidRDefault="00075B58" w:rsidP="00101CD5">
      <w:pPr>
        <w:spacing w:after="120"/>
        <w:rPr>
          <w:rFonts w:ascii="Arial" w:hAnsi="Arial" w:cs="Arial"/>
          <w:sz w:val="22"/>
          <w:szCs w:val="22"/>
        </w:rPr>
      </w:pPr>
    </w:p>
    <w:p w14:paraId="15AC1BB9" w14:textId="77777777" w:rsidR="00075B58" w:rsidRPr="00566D26" w:rsidRDefault="00075B58" w:rsidP="00101CD5">
      <w:pPr>
        <w:pStyle w:val="Heading2"/>
      </w:pPr>
      <w:r w:rsidRPr="00566D26">
        <w:t>Conclusion</w:t>
      </w:r>
    </w:p>
    <w:p w14:paraId="15AC1BBA" w14:textId="123F09D1" w:rsidR="00075B58" w:rsidRPr="007E0A01" w:rsidRDefault="00075B58" w:rsidP="00101CD5">
      <w:pPr>
        <w:spacing w:after="120"/>
        <w:rPr>
          <w:rFonts w:ascii="Arial" w:hAnsi="Arial" w:cs="Arial"/>
          <w:sz w:val="22"/>
          <w:szCs w:val="22"/>
        </w:rPr>
      </w:pPr>
      <w:r w:rsidRPr="00566D26">
        <w:rPr>
          <w:rFonts w:ascii="Arial" w:hAnsi="Arial" w:cs="Arial"/>
          <w:sz w:val="22"/>
          <w:szCs w:val="22"/>
        </w:rPr>
        <w:t>This Legislative Instrument is compatible with human rights as it does not raise any human rights issues.</w:t>
      </w:r>
    </w:p>
    <w:p w14:paraId="19DB01FC" w14:textId="77777777" w:rsidR="00101CD5" w:rsidRDefault="00101CD5" w:rsidP="00101CD5">
      <w:pPr>
        <w:spacing w:after="120"/>
        <w:rPr>
          <w:rFonts w:ascii="Arial" w:hAnsi="Arial" w:cs="Arial"/>
          <w:sz w:val="22"/>
          <w:szCs w:val="22"/>
        </w:rPr>
      </w:pPr>
    </w:p>
    <w:p w14:paraId="0E5D9E29" w14:textId="77777777" w:rsidR="00101CD5" w:rsidRPr="00101CD5" w:rsidRDefault="00101CD5" w:rsidP="00101CD5">
      <w:pPr>
        <w:spacing w:after="120"/>
        <w:rPr>
          <w:rFonts w:ascii="Arial" w:hAnsi="Arial" w:cs="Arial"/>
          <w:sz w:val="22"/>
          <w:szCs w:val="22"/>
        </w:rPr>
      </w:pPr>
    </w:p>
    <w:p w14:paraId="388C5B85" w14:textId="77777777" w:rsidR="00101CD5" w:rsidRPr="00101CD5" w:rsidRDefault="00101CD5" w:rsidP="00101CD5">
      <w:pPr>
        <w:spacing w:after="120"/>
        <w:rPr>
          <w:rFonts w:ascii="Arial" w:hAnsi="Arial" w:cs="Arial"/>
          <w:sz w:val="22"/>
          <w:szCs w:val="22"/>
        </w:rPr>
      </w:pPr>
    </w:p>
    <w:p w14:paraId="15AC1BC3" w14:textId="5C3640D0" w:rsidR="0076271C" w:rsidRPr="00B16508" w:rsidRDefault="0076271C" w:rsidP="00101CD5">
      <w:pPr>
        <w:autoSpaceDE w:val="0"/>
        <w:autoSpaceDN w:val="0"/>
        <w:adjustRightInd w:val="0"/>
        <w:spacing w:after="120"/>
        <w:rPr>
          <w:rFonts w:ascii="Arial" w:hAnsi="Arial" w:cs="Arial"/>
          <w:bCs/>
          <w:color w:val="0000FF"/>
          <w:sz w:val="22"/>
          <w:szCs w:val="22"/>
        </w:rPr>
      </w:pPr>
    </w:p>
    <w:sectPr w:rsidR="0076271C" w:rsidRPr="00B16508" w:rsidSect="00081520">
      <w:headerReference w:type="even" r:id="rId14"/>
      <w:headerReference w:type="default" r:id="rId15"/>
      <w:headerReference w:type="first" r:id="rId1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DE2A9" w14:textId="77777777" w:rsidR="00EB2455" w:rsidRDefault="00EB2455">
      <w:r>
        <w:separator/>
      </w:r>
    </w:p>
  </w:endnote>
  <w:endnote w:type="continuationSeparator" w:id="0">
    <w:p w14:paraId="447912A7" w14:textId="77777777" w:rsidR="00EB2455" w:rsidRDefault="00EB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33D5" w14:textId="77777777" w:rsidR="00EB2455" w:rsidRDefault="00EB2455">
      <w:r>
        <w:separator/>
      </w:r>
    </w:p>
  </w:footnote>
  <w:footnote w:type="continuationSeparator" w:id="0">
    <w:p w14:paraId="3D572939" w14:textId="77777777" w:rsidR="00EB2455" w:rsidRDefault="00EB2455">
      <w:r>
        <w:continuationSeparator/>
      </w:r>
    </w:p>
  </w:footnote>
  <w:footnote w:id="1">
    <w:p w14:paraId="2AD969C8" w14:textId="77777777" w:rsidR="00717289" w:rsidRPr="00F9645A" w:rsidRDefault="00717289" w:rsidP="00717289">
      <w:pPr>
        <w:pStyle w:val="FootnoteText"/>
        <w:ind w:left="113" w:hanging="113"/>
        <w:rPr>
          <w:rFonts w:ascii="Arial" w:hAnsi="Arial" w:cs="Arial"/>
          <w:sz w:val="18"/>
          <w:szCs w:val="18"/>
          <w:u w:val="single"/>
        </w:rPr>
      </w:pPr>
      <w:r w:rsidRPr="00F9645A">
        <w:rPr>
          <w:rStyle w:val="FootnoteReference"/>
          <w:rFonts w:ascii="Arial" w:hAnsi="Arial" w:cs="Arial"/>
          <w:sz w:val="18"/>
          <w:szCs w:val="18"/>
        </w:rPr>
        <w:footnoteRef/>
      </w:r>
      <w:r w:rsidRPr="00F9645A">
        <w:rPr>
          <w:rFonts w:ascii="Arial" w:hAnsi="Arial" w:cs="Arial"/>
          <w:sz w:val="18"/>
          <w:szCs w:val="18"/>
        </w:rPr>
        <w:t xml:space="preserve"> See </w:t>
      </w:r>
      <w:r w:rsidRPr="00F9645A">
        <w:rPr>
          <w:rFonts w:ascii="Arial" w:hAnsi="Arial" w:cs="Arial"/>
          <w:i/>
          <w:sz w:val="18"/>
          <w:szCs w:val="18"/>
        </w:rPr>
        <w:t xml:space="preserve">Real Property Act 1900 (NSW) </w:t>
      </w:r>
      <w:r w:rsidRPr="00F9645A">
        <w:rPr>
          <w:rFonts w:ascii="Arial" w:hAnsi="Arial" w:cs="Arial"/>
          <w:sz w:val="18"/>
          <w:szCs w:val="18"/>
        </w:rPr>
        <w:t xml:space="preserve">section 58; </w:t>
      </w:r>
      <w:r w:rsidRPr="00F9645A">
        <w:rPr>
          <w:rFonts w:ascii="Arial" w:hAnsi="Arial" w:cs="Arial"/>
          <w:i/>
          <w:sz w:val="18"/>
          <w:szCs w:val="18"/>
        </w:rPr>
        <w:t xml:space="preserve">Property Law Act 1974 (Qld) </w:t>
      </w:r>
      <w:r w:rsidRPr="00F9645A">
        <w:rPr>
          <w:rFonts w:ascii="Arial" w:hAnsi="Arial" w:cs="Arial"/>
          <w:sz w:val="18"/>
          <w:szCs w:val="18"/>
        </w:rPr>
        <w:t xml:space="preserve">section 83; </w:t>
      </w:r>
      <w:r w:rsidRPr="00F9645A">
        <w:rPr>
          <w:rFonts w:ascii="Arial" w:hAnsi="Arial" w:cs="Arial"/>
          <w:i/>
          <w:sz w:val="18"/>
          <w:szCs w:val="18"/>
        </w:rPr>
        <w:t xml:space="preserve">Property Law Act 1958 (Vic) </w:t>
      </w:r>
      <w:r w:rsidRPr="00F9645A">
        <w:rPr>
          <w:rFonts w:ascii="Arial" w:hAnsi="Arial" w:cs="Arial"/>
          <w:sz w:val="18"/>
          <w:szCs w:val="18"/>
        </w:rPr>
        <w:t xml:space="preserve">section 101; </w:t>
      </w:r>
      <w:r w:rsidRPr="00F9645A">
        <w:rPr>
          <w:rFonts w:ascii="Arial" w:hAnsi="Arial" w:cs="Arial"/>
          <w:i/>
          <w:sz w:val="18"/>
          <w:szCs w:val="18"/>
        </w:rPr>
        <w:t>Law of Property Act 1936</w:t>
      </w:r>
      <w:r w:rsidRPr="00F9645A">
        <w:rPr>
          <w:rFonts w:ascii="Arial" w:hAnsi="Arial" w:cs="Arial"/>
          <w:sz w:val="18"/>
          <w:szCs w:val="18"/>
        </w:rPr>
        <w:t xml:space="preserve"> (SA) section 47; </w:t>
      </w:r>
      <w:r w:rsidRPr="00F9645A">
        <w:rPr>
          <w:rFonts w:ascii="Arial" w:hAnsi="Arial" w:cs="Arial"/>
          <w:i/>
          <w:sz w:val="18"/>
          <w:szCs w:val="18"/>
        </w:rPr>
        <w:t xml:space="preserve">Conveyancing and Law of Property Act 1884 (Tas) </w:t>
      </w:r>
      <w:r w:rsidRPr="00F9645A">
        <w:rPr>
          <w:rFonts w:ascii="Arial" w:hAnsi="Arial" w:cs="Arial"/>
          <w:sz w:val="18"/>
          <w:szCs w:val="18"/>
        </w:rPr>
        <w:t xml:space="preserve">section 21; </w:t>
      </w:r>
      <w:r w:rsidRPr="00F9645A">
        <w:rPr>
          <w:rFonts w:ascii="Arial" w:hAnsi="Arial" w:cs="Arial"/>
          <w:i/>
          <w:sz w:val="18"/>
          <w:szCs w:val="18"/>
        </w:rPr>
        <w:t xml:space="preserve">Law of Property Act 2000 (NT) </w:t>
      </w:r>
      <w:r w:rsidRPr="00F9645A">
        <w:rPr>
          <w:rFonts w:ascii="Arial" w:hAnsi="Arial" w:cs="Arial"/>
          <w:sz w:val="18"/>
          <w:szCs w:val="18"/>
        </w:rPr>
        <w:t xml:space="preserve">sections 86 and 87; </w:t>
      </w:r>
      <w:r w:rsidRPr="00F9645A">
        <w:rPr>
          <w:rFonts w:ascii="Arial" w:hAnsi="Arial" w:cs="Arial"/>
          <w:i/>
          <w:sz w:val="18"/>
          <w:szCs w:val="18"/>
        </w:rPr>
        <w:t>Land Titles Act 1925 (ACT)</w:t>
      </w:r>
      <w:r w:rsidRPr="00F9645A">
        <w:rPr>
          <w:rFonts w:ascii="Arial" w:hAnsi="Arial" w:cs="Arial"/>
          <w:sz w:val="18"/>
          <w:szCs w:val="18"/>
        </w:rPr>
        <w:t xml:space="preserve"> section 94; and </w:t>
      </w:r>
      <w:r w:rsidRPr="00F9645A">
        <w:rPr>
          <w:rFonts w:ascii="Arial" w:hAnsi="Arial" w:cs="Arial"/>
          <w:i/>
          <w:sz w:val="18"/>
          <w:szCs w:val="18"/>
        </w:rPr>
        <w:t>Property Law Act 1969</w:t>
      </w:r>
      <w:r w:rsidRPr="00F9645A">
        <w:rPr>
          <w:rFonts w:ascii="Arial" w:hAnsi="Arial" w:cs="Arial"/>
          <w:sz w:val="18"/>
          <w:szCs w:val="18"/>
        </w:rPr>
        <w:t xml:space="preserve"> (WA) section 57.</w:t>
      </w:r>
    </w:p>
  </w:footnote>
  <w:footnote w:id="2">
    <w:p w14:paraId="71BBD553" w14:textId="77777777" w:rsidR="00717289" w:rsidRPr="00F9645A" w:rsidRDefault="00717289" w:rsidP="00717289">
      <w:pPr>
        <w:pStyle w:val="FootnoteText"/>
        <w:ind w:left="113" w:hanging="113"/>
        <w:rPr>
          <w:rFonts w:ascii="Arial" w:hAnsi="Arial" w:cs="Arial"/>
          <w:sz w:val="18"/>
          <w:szCs w:val="18"/>
        </w:rPr>
      </w:pPr>
      <w:r w:rsidRPr="00F9645A">
        <w:rPr>
          <w:rStyle w:val="FootnoteReference"/>
          <w:rFonts w:ascii="Arial" w:hAnsi="Arial" w:cs="Arial"/>
          <w:sz w:val="18"/>
          <w:szCs w:val="18"/>
        </w:rPr>
        <w:footnoteRef/>
      </w:r>
      <w:r w:rsidRPr="00F9645A">
        <w:rPr>
          <w:rFonts w:ascii="Arial" w:hAnsi="Arial" w:cs="Arial"/>
          <w:sz w:val="18"/>
          <w:szCs w:val="18"/>
        </w:rPr>
        <w:t xml:space="preserve"> This particular form of words is used in subsection 58(1) of the </w:t>
      </w:r>
      <w:r w:rsidRPr="00F9645A">
        <w:rPr>
          <w:rFonts w:ascii="Arial" w:hAnsi="Arial" w:cs="Arial"/>
          <w:i/>
          <w:sz w:val="18"/>
          <w:szCs w:val="18"/>
        </w:rPr>
        <w:t>Real Property Act 1900</w:t>
      </w:r>
      <w:r>
        <w:rPr>
          <w:rFonts w:ascii="Arial" w:hAnsi="Arial" w:cs="Arial"/>
          <w:sz w:val="18"/>
          <w:szCs w:val="18"/>
        </w:rPr>
        <w:t xml:space="preserve"> (NSW).</w:t>
      </w:r>
    </w:p>
  </w:footnote>
  <w:footnote w:id="3">
    <w:p w14:paraId="4DF3CFC8" w14:textId="77777777" w:rsidR="00717289" w:rsidRPr="00F9645A" w:rsidRDefault="00717289" w:rsidP="00717289">
      <w:pPr>
        <w:pStyle w:val="FootnoteText"/>
        <w:ind w:left="113" w:hanging="113"/>
        <w:rPr>
          <w:rFonts w:ascii="Arial" w:hAnsi="Arial" w:cs="Arial"/>
          <w:sz w:val="18"/>
          <w:szCs w:val="18"/>
        </w:rPr>
      </w:pPr>
      <w:r w:rsidRPr="00F9645A">
        <w:rPr>
          <w:rStyle w:val="FootnoteReference"/>
          <w:rFonts w:ascii="Arial" w:hAnsi="Arial" w:cs="Arial"/>
          <w:sz w:val="18"/>
          <w:szCs w:val="18"/>
        </w:rPr>
        <w:footnoteRef/>
      </w:r>
      <w:r w:rsidRPr="00F9645A">
        <w:rPr>
          <w:rFonts w:ascii="Arial" w:hAnsi="Arial" w:cs="Arial"/>
          <w:sz w:val="18"/>
          <w:szCs w:val="18"/>
        </w:rPr>
        <w:t xml:space="preserve"> See </w:t>
      </w:r>
      <w:r w:rsidRPr="00F9645A">
        <w:rPr>
          <w:rFonts w:ascii="Arial" w:hAnsi="Arial" w:cs="Arial"/>
          <w:i/>
          <w:sz w:val="18"/>
          <w:szCs w:val="18"/>
        </w:rPr>
        <w:t xml:space="preserve">Real Property Act 1900 (NSW) </w:t>
      </w:r>
      <w:r w:rsidRPr="00F9645A">
        <w:rPr>
          <w:rFonts w:ascii="Arial" w:hAnsi="Arial" w:cs="Arial"/>
          <w:sz w:val="18"/>
          <w:szCs w:val="18"/>
        </w:rPr>
        <w:t xml:space="preserve">subsection 58(3); </w:t>
      </w:r>
      <w:r w:rsidRPr="00F9645A">
        <w:rPr>
          <w:rFonts w:ascii="Arial" w:hAnsi="Arial" w:cs="Arial"/>
          <w:i/>
          <w:sz w:val="18"/>
          <w:szCs w:val="18"/>
        </w:rPr>
        <w:t xml:space="preserve">Property Law Act 1974 (Qld) </w:t>
      </w:r>
      <w:r w:rsidRPr="00F9645A">
        <w:rPr>
          <w:rFonts w:ascii="Arial" w:hAnsi="Arial" w:cs="Arial"/>
          <w:sz w:val="18"/>
          <w:szCs w:val="18"/>
        </w:rPr>
        <w:t xml:space="preserve">section 88; </w:t>
      </w:r>
      <w:r w:rsidRPr="00F9645A">
        <w:rPr>
          <w:rFonts w:ascii="Arial" w:hAnsi="Arial" w:cs="Arial"/>
          <w:i/>
          <w:sz w:val="18"/>
          <w:szCs w:val="18"/>
        </w:rPr>
        <w:t xml:space="preserve">Property Law Act 1958 (Vic) </w:t>
      </w:r>
      <w:r w:rsidRPr="00F9645A">
        <w:rPr>
          <w:rFonts w:ascii="Arial" w:hAnsi="Arial" w:cs="Arial"/>
          <w:sz w:val="18"/>
          <w:szCs w:val="18"/>
        </w:rPr>
        <w:t xml:space="preserve">section 105; </w:t>
      </w:r>
      <w:r w:rsidRPr="00F9645A">
        <w:rPr>
          <w:rFonts w:ascii="Arial" w:hAnsi="Arial" w:cs="Arial"/>
          <w:i/>
          <w:sz w:val="18"/>
          <w:szCs w:val="18"/>
        </w:rPr>
        <w:t>Law of Property Act 1936</w:t>
      </w:r>
      <w:r w:rsidRPr="00F9645A">
        <w:rPr>
          <w:rFonts w:ascii="Arial" w:hAnsi="Arial" w:cs="Arial"/>
          <w:sz w:val="18"/>
          <w:szCs w:val="18"/>
        </w:rPr>
        <w:t xml:space="preserve"> (SA) section 50; </w:t>
      </w:r>
      <w:r w:rsidRPr="00F9645A">
        <w:rPr>
          <w:rFonts w:ascii="Arial" w:hAnsi="Arial" w:cs="Arial"/>
          <w:i/>
          <w:sz w:val="18"/>
          <w:szCs w:val="18"/>
        </w:rPr>
        <w:t xml:space="preserve">Conveyancing and Law of Property Act 1884 (Tas) </w:t>
      </w:r>
      <w:r w:rsidRPr="00F9645A">
        <w:rPr>
          <w:rFonts w:ascii="Arial" w:hAnsi="Arial" w:cs="Arial"/>
          <w:sz w:val="18"/>
          <w:szCs w:val="18"/>
        </w:rPr>
        <w:t xml:space="preserve">section 23; </w:t>
      </w:r>
      <w:r w:rsidRPr="00F9645A">
        <w:rPr>
          <w:rFonts w:ascii="Arial" w:hAnsi="Arial" w:cs="Arial"/>
          <w:i/>
          <w:sz w:val="18"/>
          <w:szCs w:val="18"/>
        </w:rPr>
        <w:t xml:space="preserve">Law of Property Act 2000 (NT) </w:t>
      </w:r>
      <w:r w:rsidRPr="00F9645A">
        <w:rPr>
          <w:rFonts w:ascii="Arial" w:hAnsi="Arial" w:cs="Arial"/>
          <w:sz w:val="18"/>
          <w:szCs w:val="18"/>
        </w:rPr>
        <w:t xml:space="preserve">section 93; </w:t>
      </w:r>
      <w:r w:rsidRPr="00F9645A">
        <w:rPr>
          <w:rFonts w:ascii="Arial" w:hAnsi="Arial" w:cs="Arial"/>
          <w:i/>
          <w:sz w:val="18"/>
          <w:szCs w:val="18"/>
        </w:rPr>
        <w:t>Land Titles Act 1925 (ACT)</w:t>
      </w:r>
      <w:r w:rsidRPr="00F9645A">
        <w:rPr>
          <w:rFonts w:ascii="Arial" w:hAnsi="Arial" w:cs="Arial"/>
          <w:sz w:val="18"/>
          <w:szCs w:val="18"/>
        </w:rPr>
        <w:t xml:space="preserve"> section 94; and </w:t>
      </w:r>
      <w:r w:rsidRPr="00F9645A">
        <w:rPr>
          <w:rFonts w:ascii="Arial" w:hAnsi="Arial" w:cs="Arial"/>
          <w:i/>
          <w:sz w:val="18"/>
          <w:szCs w:val="18"/>
        </w:rPr>
        <w:t>Property Law Act 1969</w:t>
      </w:r>
      <w:r>
        <w:rPr>
          <w:rFonts w:ascii="Arial" w:hAnsi="Arial" w:cs="Arial"/>
          <w:sz w:val="18"/>
          <w:szCs w:val="18"/>
        </w:rPr>
        <w:t xml:space="preserve"> (WA) section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A"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sidR="00425A09">
      <w:rPr>
        <w:rFonts w:ascii="Arial" w:hAnsi="Arial" w:cs="Arial"/>
        <w:b/>
        <w:bCs/>
        <w:sz w:val="52"/>
        <w:lang w:val="en-US"/>
      </w:rPr>
      <w:t>Error! Reference source not found.</w: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25A09">
      <w:rPr>
        <w:rFonts w:ascii="Arial" w:hAnsi="Arial" w:cs="Arial"/>
        <w:noProof/>
        <w:snapToGrid w:val="0"/>
        <w:sz w:val="20"/>
        <w:lang w:eastAsia="en-US"/>
      </w:rPr>
      <w:t>9</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E" w14:textId="28615DAE"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43385D">
      <w:rPr>
        <w:rFonts w:ascii="Arial" w:hAnsi="Arial" w:cs="Arial"/>
        <w:b/>
        <w:sz w:val="22"/>
        <w:szCs w:val="22"/>
      </w:rPr>
      <w:t>2020/PW/0015</w:t>
    </w:r>
  </w:p>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436DF6"/>
    <w:multiLevelType w:val="hybridMultilevel"/>
    <w:tmpl w:val="C0200A5C"/>
    <w:lvl w:ilvl="0" w:tplc="997C9D0A">
      <w:start w:val="1"/>
      <w:numFmt w:val="decimal"/>
      <w:lvlText w:val="%1."/>
      <w:lvlJc w:val="left"/>
      <w:pPr>
        <w:ind w:left="360" w:hanging="360"/>
      </w:pPr>
      <w:rPr>
        <w:rFonts w:ascii="Arial" w:hAnsi="Arial" w:cs="Arial" w:hint="default"/>
      </w:rPr>
    </w:lvl>
    <w:lvl w:ilvl="1" w:tplc="C260632A">
      <w:start w:val="1"/>
      <w:numFmt w:val="lowerLetter"/>
      <w:lvlText w:val="(%2)"/>
      <w:lvlJc w:val="left"/>
      <w:pPr>
        <w:ind w:left="1526" w:hanging="360"/>
      </w:pPr>
      <w:rPr>
        <w:rFonts w:hint="default"/>
        <w:b/>
      </w:rPr>
    </w:lvl>
    <w:lvl w:ilvl="2" w:tplc="0C09001B" w:tentative="1">
      <w:start w:val="1"/>
      <w:numFmt w:val="lowerRoman"/>
      <w:lvlText w:val="%3."/>
      <w:lvlJc w:val="right"/>
      <w:pPr>
        <w:ind w:left="2246" w:hanging="180"/>
      </w:pPr>
    </w:lvl>
    <w:lvl w:ilvl="3" w:tplc="0C09000F" w:tentative="1">
      <w:start w:val="1"/>
      <w:numFmt w:val="decimal"/>
      <w:lvlText w:val="%4."/>
      <w:lvlJc w:val="left"/>
      <w:pPr>
        <w:ind w:left="2966" w:hanging="360"/>
      </w:pPr>
    </w:lvl>
    <w:lvl w:ilvl="4" w:tplc="0C090019" w:tentative="1">
      <w:start w:val="1"/>
      <w:numFmt w:val="lowerLetter"/>
      <w:lvlText w:val="%5."/>
      <w:lvlJc w:val="left"/>
      <w:pPr>
        <w:ind w:left="3686" w:hanging="360"/>
      </w:pPr>
    </w:lvl>
    <w:lvl w:ilvl="5" w:tplc="0C09001B" w:tentative="1">
      <w:start w:val="1"/>
      <w:numFmt w:val="lowerRoman"/>
      <w:lvlText w:val="%6."/>
      <w:lvlJc w:val="right"/>
      <w:pPr>
        <w:ind w:left="4406" w:hanging="180"/>
      </w:pPr>
    </w:lvl>
    <w:lvl w:ilvl="6" w:tplc="0C09000F" w:tentative="1">
      <w:start w:val="1"/>
      <w:numFmt w:val="decimal"/>
      <w:lvlText w:val="%7."/>
      <w:lvlJc w:val="left"/>
      <w:pPr>
        <w:ind w:left="5126" w:hanging="360"/>
      </w:pPr>
    </w:lvl>
    <w:lvl w:ilvl="7" w:tplc="0C090019" w:tentative="1">
      <w:start w:val="1"/>
      <w:numFmt w:val="lowerLetter"/>
      <w:lvlText w:val="%8."/>
      <w:lvlJc w:val="left"/>
      <w:pPr>
        <w:ind w:left="5846" w:hanging="360"/>
      </w:pPr>
    </w:lvl>
    <w:lvl w:ilvl="8" w:tplc="0C09001B" w:tentative="1">
      <w:start w:val="1"/>
      <w:numFmt w:val="lowerRoman"/>
      <w:lvlText w:val="%9."/>
      <w:lvlJc w:val="right"/>
      <w:pPr>
        <w:ind w:left="6566" w:hanging="180"/>
      </w:pPr>
    </w:lvl>
  </w:abstractNum>
  <w:abstractNum w:abstractNumId="3"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CE67440"/>
    <w:multiLevelType w:val="hybridMultilevel"/>
    <w:tmpl w:val="A2A05D3C"/>
    <w:lvl w:ilvl="0" w:tplc="02224C8E">
      <w:start w:val="1"/>
      <w:numFmt w:val="lowerLetter"/>
      <w:lvlText w:val="(%1)"/>
      <w:lvlJc w:val="left"/>
      <w:pPr>
        <w:ind w:left="360" w:hanging="360"/>
      </w:pPr>
      <w:rPr>
        <w:rFonts w:hint="default"/>
      </w:rPr>
    </w:lvl>
    <w:lvl w:ilvl="1" w:tplc="C260632A">
      <w:start w:val="1"/>
      <w:numFmt w:val="lowerLetter"/>
      <w:lvlText w:val="(%2)"/>
      <w:lvlJc w:val="left"/>
      <w:pPr>
        <w:ind w:left="1526" w:hanging="360"/>
      </w:pPr>
      <w:rPr>
        <w:rFonts w:hint="default"/>
        <w:b/>
      </w:rPr>
    </w:lvl>
    <w:lvl w:ilvl="2" w:tplc="0C09001B" w:tentative="1">
      <w:start w:val="1"/>
      <w:numFmt w:val="lowerRoman"/>
      <w:lvlText w:val="%3."/>
      <w:lvlJc w:val="right"/>
      <w:pPr>
        <w:ind w:left="2246" w:hanging="180"/>
      </w:pPr>
    </w:lvl>
    <w:lvl w:ilvl="3" w:tplc="0C09000F" w:tentative="1">
      <w:start w:val="1"/>
      <w:numFmt w:val="decimal"/>
      <w:lvlText w:val="%4."/>
      <w:lvlJc w:val="left"/>
      <w:pPr>
        <w:ind w:left="2966" w:hanging="360"/>
      </w:pPr>
    </w:lvl>
    <w:lvl w:ilvl="4" w:tplc="0C090019" w:tentative="1">
      <w:start w:val="1"/>
      <w:numFmt w:val="lowerLetter"/>
      <w:lvlText w:val="%5."/>
      <w:lvlJc w:val="left"/>
      <w:pPr>
        <w:ind w:left="3686" w:hanging="360"/>
      </w:pPr>
    </w:lvl>
    <w:lvl w:ilvl="5" w:tplc="0C09001B" w:tentative="1">
      <w:start w:val="1"/>
      <w:numFmt w:val="lowerRoman"/>
      <w:lvlText w:val="%6."/>
      <w:lvlJc w:val="right"/>
      <w:pPr>
        <w:ind w:left="4406" w:hanging="180"/>
      </w:pPr>
    </w:lvl>
    <w:lvl w:ilvl="6" w:tplc="0C09000F" w:tentative="1">
      <w:start w:val="1"/>
      <w:numFmt w:val="decimal"/>
      <w:lvlText w:val="%7."/>
      <w:lvlJc w:val="left"/>
      <w:pPr>
        <w:ind w:left="5126" w:hanging="360"/>
      </w:pPr>
    </w:lvl>
    <w:lvl w:ilvl="7" w:tplc="0C090019" w:tentative="1">
      <w:start w:val="1"/>
      <w:numFmt w:val="lowerLetter"/>
      <w:lvlText w:val="%8."/>
      <w:lvlJc w:val="left"/>
      <w:pPr>
        <w:ind w:left="5846" w:hanging="360"/>
      </w:pPr>
    </w:lvl>
    <w:lvl w:ilvl="8" w:tplc="0C09001B" w:tentative="1">
      <w:start w:val="1"/>
      <w:numFmt w:val="lowerRoman"/>
      <w:lvlText w:val="%9."/>
      <w:lvlJc w:val="right"/>
      <w:pPr>
        <w:ind w:left="6566" w:hanging="180"/>
      </w:pPr>
    </w:lvl>
  </w:abstractNum>
  <w:abstractNum w:abstractNumId="5"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9"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0" w15:restartNumberingAfterBreak="0">
    <w:nsid w:val="12266173"/>
    <w:multiLevelType w:val="hybridMultilevel"/>
    <w:tmpl w:val="FDBCB1AC"/>
    <w:lvl w:ilvl="0" w:tplc="76087E9E">
      <w:start w:val="1"/>
      <w:numFmt w:val="bullet"/>
      <w:lvlText w:val="-"/>
      <w:lvlJc w:val="left"/>
      <w:pPr>
        <w:ind w:left="405" w:hanging="360"/>
      </w:pPr>
      <w:rPr>
        <w:rFonts w:ascii="Calibri" w:eastAsia="Times New Roman" w:hAnsi="Calibri" w:hint="default"/>
      </w:rPr>
    </w:lvl>
    <w:lvl w:ilvl="1" w:tplc="0C090003">
      <w:start w:val="1"/>
      <w:numFmt w:val="bullet"/>
      <w:lvlText w:val="o"/>
      <w:lvlJc w:val="left"/>
      <w:pPr>
        <w:ind w:left="1125" w:hanging="360"/>
      </w:pPr>
      <w:rPr>
        <w:rFonts w:ascii="Courier New" w:hAnsi="Courier New" w:cs="Times New Roman"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Times New Roman"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Times New Roman" w:hint="default"/>
      </w:rPr>
    </w:lvl>
    <w:lvl w:ilvl="8" w:tplc="0C090005">
      <w:start w:val="1"/>
      <w:numFmt w:val="bullet"/>
      <w:lvlText w:val=""/>
      <w:lvlJc w:val="left"/>
      <w:pPr>
        <w:ind w:left="6165" w:hanging="360"/>
      </w:pPr>
      <w:rPr>
        <w:rFonts w:ascii="Wingdings" w:hAnsi="Wingdings" w:hint="default"/>
      </w:rPr>
    </w:lvl>
  </w:abstractNum>
  <w:abstractNum w:abstractNumId="11" w15:restartNumberingAfterBreak="0">
    <w:nsid w:val="17CB6B54"/>
    <w:multiLevelType w:val="hybridMultilevel"/>
    <w:tmpl w:val="9D82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9"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3"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4"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6"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DE08D3"/>
    <w:multiLevelType w:val="hybridMultilevel"/>
    <w:tmpl w:val="6054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C3903"/>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2"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756648A"/>
    <w:multiLevelType w:val="hybridMultilevel"/>
    <w:tmpl w:val="96B04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21D77D4"/>
    <w:multiLevelType w:val="hybridMultilevel"/>
    <w:tmpl w:val="A2A05D3C"/>
    <w:lvl w:ilvl="0" w:tplc="02224C8E">
      <w:start w:val="1"/>
      <w:numFmt w:val="lowerLetter"/>
      <w:lvlText w:val="(%1)"/>
      <w:lvlJc w:val="left"/>
      <w:pPr>
        <w:ind w:left="360" w:hanging="360"/>
      </w:pPr>
      <w:rPr>
        <w:rFonts w:hint="default"/>
      </w:rPr>
    </w:lvl>
    <w:lvl w:ilvl="1" w:tplc="C260632A">
      <w:start w:val="1"/>
      <w:numFmt w:val="lowerLetter"/>
      <w:lvlText w:val="(%2)"/>
      <w:lvlJc w:val="left"/>
      <w:pPr>
        <w:ind w:left="1526" w:hanging="360"/>
      </w:pPr>
      <w:rPr>
        <w:rFonts w:hint="default"/>
        <w:b/>
      </w:rPr>
    </w:lvl>
    <w:lvl w:ilvl="2" w:tplc="0C09001B" w:tentative="1">
      <w:start w:val="1"/>
      <w:numFmt w:val="lowerRoman"/>
      <w:lvlText w:val="%3."/>
      <w:lvlJc w:val="right"/>
      <w:pPr>
        <w:ind w:left="2246" w:hanging="180"/>
      </w:pPr>
    </w:lvl>
    <w:lvl w:ilvl="3" w:tplc="0C09000F" w:tentative="1">
      <w:start w:val="1"/>
      <w:numFmt w:val="decimal"/>
      <w:lvlText w:val="%4."/>
      <w:lvlJc w:val="left"/>
      <w:pPr>
        <w:ind w:left="2966" w:hanging="360"/>
      </w:pPr>
    </w:lvl>
    <w:lvl w:ilvl="4" w:tplc="0C090019" w:tentative="1">
      <w:start w:val="1"/>
      <w:numFmt w:val="lowerLetter"/>
      <w:lvlText w:val="%5."/>
      <w:lvlJc w:val="left"/>
      <w:pPr>
        <w:ind w:left="3686" w:hanging="360"/>
      </w:pPr>
    </w:lvl>
    <w:lvl w:ilvl="5" w:tplc="0C09001B" w:tentative="1">
      <w:start w:val="1"/>
      <w:numFmt w:val="lowerRoman"/>
      <w:lvlText w:val="%6."/>
      <w:lvlJc w:val="right"/>
      <w:pPr>
        <w:ind w:left="4406" w:hanging="180"/>
      </w:pPr>
    </w:lvl>
    <w:lvl w:ilvl="6" w:tplc="0C09000F" w:tentative="1">
      <w:start w:val="1"/>
      <w:numFmt w:val="decimal"/>
      <w:lvlText w:val="%7."/>
      <w:lvlJc w:val="left"/>
      <w:pPr>
        <w:ind w:left="5126" w:hanging="360"/>
      </w:pPr>
    </w:lvl>
    <w:lvl w:ilvl="7" w:tplc="0C090019" w:tentative="1">
      <w:start w:val="1"/>
      <w:numFmt w:val="lowerLetter"/>
      <w:lvlText w:val="%8."/>
      <w:lvlJc w:val="left"/>
      <w:pPr>
        <w:ind w:left="5846" w:hanging="360"/>
      </w:pPr>
    </w:lvl>
    <w:lvl w:ilvl="8" w:tplc="0C09001B" w:tentative="1">
      <w:start w:val="1"/>
      <w:numFmt w:val="lowerRoman"/>
      <w:lvlText w:val="%9."/>
      <w:lvlJc w:val="right"/>
      <w:pPr>
        <w:ind w:left="6566" w:hanging="180"/>
      </w:pPr>
    </w:lvl>
  </w:abstractNum>
  <w:abstractNum w:abstractNumId="38"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9"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4" w15:restartNumberingAfterBreak="0">
    <w:nsid w:val="65C45375"/>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F578CF"/>
    <w:multiLevelType w:val="hybridMultilevel"/>
    <w:tmpl w:val="D55837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30"/>
  </w:num>
  <w:num w:numId="4">
    <w:abstractNumId w:val="47"/>
  </w:num>
  <w:num w:numId="5">
    <w:abstractNumId w:val="7"/>
  </w:num>
  <w:num w:numId="6">
    <w:abstractNumId w:val="17"/>
  </w:num>
  <w:num w:numId="7">
    <w:abstractNumId w:val="41"/>
  </w:num>
  <w:num w:numId="8">
    <w:abstractNumId w:val="40"/>
  </w:num>
  <w:num w:numId="9">
    <w:abstractNumId w:val="32"/>
  </w:num>
  <w:num w:numId="10">
    <w:abstractNumId w:val="26"/>
  </w:num>
  <w:num w:numId="11">
    <w:abstractNumId w:val="49"/>
  </w:num>
  <w:num w:numId="12">
    <w:abstractNumId w:val="42"/>
  </w:num>
  <w:num w:numId="13">
    <w:abstractNumId w:val="46"/>
  </w:num>
  <w:num w:numId="14">
    <w:abstractNumId w:val="45"/>
  </w:num>
  <w:num w:numId="15">
    <w:abstractNumId w:val="24"/>
  </w:num>
  <w:num w:numId="16">
    <w:abstractNumId w:val="29"/>
  </w:num>
  <w:num w:numId="17">
    <w:abstractNumId w:val="14"/>
  </w:num>
  <w:num w:numId="18">
    <w:abstractNumId w:val="20"/>
  </w:num>
  <w:num w:numId="19">
    <w:abstractNumId w:val="5"/>
  </w:num>
  <w:num w:numId="20">
    <w:abstractNumId w:val="1"/>
  </w:num>
  <w:num w:numId="21">
    <w:abstractNumId w:val="16"/>
  </w:num>
  <w:num w:numId="22">
    <w:abstractNumId w:val="38"/>
  </w:num>
  <w:num w:numId="23">
    <w:abstractNumId w:val="13"/>
  </w:num>
  <w:num w:numId="24">
    <w:abstractNumId w:val="23"/>
  </w:num>
  <w:num w:numId="25">
    <w:abstractNumId w:val="36"/>
  </w:num>
  <w:num w:numId="26">
    <w:abstractNumId w:val="35"/>
  </w:num>
  <w:num w:numId="27">
    <w:abstractNumId w:val="12"/>
  </w:num>
  <w:num w:numId="28">
    <w:abstractNumId w:val="39"/>
  </w:num>
  <w:num w:numId="29">
    <w:abstractNumId w:val="22"/>
  </w:num>
  <w:num w:numId="30">
    <w:abstractNumId w:val="18"/>
  </w:num>
  <w:num w:numId="31">
    <w:abstractNumId w:val="8"/>
  </w:num>
  <w:num w:numId="32">
    <w:abstractNumId w:val="0"/>
  </w:num>
  <w:num w:numId="33">
    <w:abstractNumId w:val="9"/>
  </w:num>
  <w:num w:numId="34">
    <w:abstractNumId w:val="31"/>
  </w:num>
  <w:num w:numId="35">
    <w:abstractNumId w:val="43"/>
  </w:num>
  <w:num w:numId="36">
    <w:abstractNumId w:val="21"/>
  </w:num>
  <w:num w:numId="37">
    <w:abstractNumId w:val="15"/>
  </w:num>
  <w:num w:numId="38">
    <w:abstractNumId w:val="25"/>
  </w:num>
  <w:num w:numId="39">
    <w:abstractNumId w:val="2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4"/>
  </w:num>
  <w:num w:numId="43">
    <w:abstractNumId w:val="3"/>
  </w:num>
  <w:num w:numId="44">
    <w:abstractNumId w:val="2"/>
  </w:num>
  <w:num w:numId="45">
    <w:abstractNumId w:val="48"/>
  </w:num>
  <w:num w:numId="46">
    <w:abstractNumId w:val="11"/>
  </w:num>
  <w:num w:numId="47">
    <w:abstractNumId w:val="27"/>
  </w:num>
  <w:num w:numId="48">
    <w:abstractNumId w:val="33"/>
  </w:num>
  <w:num w:numId="49">
    <w:abstractNumId w:val="4"/>
  </w:num>
  <w:num w:numId="50">
    <w:abstractNumId w:val="37"/>
  </w:num>
  <w:num w:numId="51">
    <w:abstractNumId w:val="10"/>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796D"/>
    <w:rsid w:val="00017BF0"/>
    <w:rsid w:val="00021053"/>
    <w:rsid w:val="0002568B"/>
    <w:rsid w:val="0003303A"/>
    <w:rsid w:val="00043FA7"/>
    <w:rsid w:val="000479FC"/>
    <w:rsid w:val="000552E8"/>
    <w:rsid w:val="00056585"/>
    <w:rsid w:val="0005674F"/>
    <w:rsid w:val="00065C6E"/>
    <w:rsid w:val="00072E6E"/>
    <w:rsid w:val="00073F1B"/>
    <w:rsid w:val="00075B58"/>
    <w:rsid w:val="00081520"/>
    <w:rsid w:val="00087AC3"/>
    <w:rsid w:val="000B11DD"/>
    <w:rsid w:val="000B1785"/>
    <w:rsid w:val="000C390A"/>
    <w:rsid w:val="000C77DD"/>
    <w:rsid w:val="000D3A2A"/>
    <w:rsid w:val="000E295B"/>
    <w:rsid w:val="000E45A0"/>
    <w:rsid w:val="00101CD5"/>
    <w:rsid w:val="00107460"/>
    <w:rsid w:val="00112415"/>
    <w:rsid w:val="0013678D"/>
    <w:rsid w:val="00140A34"/>
    <w:rsid w:val="00146ED8"/>
    <w:rsid w:val="00167202"/>
    <w:rsid w:val="00174B49"/>
    <w:rsid w:val="0017676F"/>
    <w:rsid w:val="001828A4"/>
    <w:rsid w:val="0019509C"/>
    <w:rsid w:val="001A3BE2"/>
    <w:rsid w:val="001B4140"/>
    <w:rsid w:val="001C35E7"/>
    <w:rsid w:val="001C4578"/>
    <w:rsid w:val="001D02E6"/>
    <w:rsid w:val="001D7D3B"/>
    <w:rsid w:val="001E238F"/>
    <w:rsid w:val="001E63C1"/>
    <w:rsid w:val="001F28A6"/>
    <w:rsid w:val="001F2A16"/>
    <w:rsid w:val="001F6921"/>
    <w:rsid w:val="001F7C3E"/>
    <w:rsid w:val="00201969"/>
    <w:rsid w:val="002118A5"/>
    <w:rsid w:val="0021222C"/>
    <w:rsid w:val="00213FA5"/>
    <w:rsid w:val="0021496E"/>
    <w:rsid w:val="00222AFB"/>
    <w:rsid w:val="00226E71"/>
    <w:rsid w:val="0023733A"/>
    <w:rsid w:val="002373E0"/>
    <w:rsid w:val="00240226"/>
    <w:rsid w:val="0024044F"/>
    <w:rsid w:val="00240CFB"/>
    <w:rsid w:val="00245D00"/>
    <w:rsid w:val="00247D7D"/>
    <w:rsid w:val="00257F2D"/>
    <w:rsid w:val="00262F9F"/>
    <w:rsid w:val="00266D2D"/>
    <w:rsid w:val="0027331F"/>
    <w:rsid w:val="00273607"/>
    <w:rsid w:val="00285E76"/>
    <w:rsid w:val="002949C3"/>
    <w:rsid w:val="002A10A4"/>
    <w:rsid w:val="002A26FE"/>
    <w:rsid w:val="002B1423"/>
    <w:rsid w:val="002B2233"/>
    <w:rsid w:val="002C71FA"/>
    <w:rsid w:val="002E0309"/>
    <w:rsid w:val="002E3A82"/>
    <w:rsid w:val="002F044B"/>
    <w:rsid w:val="002F1257"/>
    <w:rsid w:val="002F187A"/>
    <w:rsid w:val="00310C61"/>
    <w:rsid w:val="003171B3"/>
    <w:rsid w:val="0032559D"/>
    <w:rsid w:val="00331616"/>
    <w:rsid w:val="00333567"/>
    <w:rsid w:val="00344575"/>
    <w:rsid w:val="0035113C"/>
    <w:rsid w:val="00354525"/>
    <w:rsid w:val="00370FE4"/>
    <w:rsid w:val="00374385"/>
    <w:rsid w:val="00380CC4"/>
    <w:rsid w:val="003C0686"/>
    <w:rsid w:val="003D08CF"/>
    <w:rsid w:val="003D0CBA"/>
    <w:rsid w:val="003D0F6A"/>
    <w:rsid w:val="003D4BA8"/>
    <w:rsid w:val="003E5269"/>
    <w:rsid w:val="003F0C0E"/>
    <w:rsid w:val="00405394"/>
    <w:rsid w:val="004066E4"/>
    <w:rsid w:val="0040680B"/>
    <w:rsid w:val="00407361"/>
    <w:rsid w:val="00417C55"/>
    <w:rsid w:val="0042000E"/>
    <w:rsid w:val="00420596"/>
    <w:rsid w:val="00424A7B"/>
    <w:rsid w:val="00425A09"/>
    <w:rsid w:val="0043385D"/>
    <w:rsid w:val="00441753"/>
    <w:rsid w:val="004447C1"/>
    <w:rsid w:val="00446AA8"/>
    <w:rsid w:val="0045590D"/>
    <w:rsid w:val="0046211F"/>
    <w:rsid w:val="0046787B"/>
    <w:rsid w:val="00486653"/>
    <w:rsid w:val="00493CA7"/>
    <w:rsid w:val="00496AE8"/>
    <w:rsid w:val="004A5FDA"/>
    <w:rsid w:val="004D098C"/>
    <w:rsid w:val="004D24A9"/>
    <w:rsid w:val="004D41FE"/>
    <w:rsid w:val="004E5357"/>
    <w:rsid w:val="004F4A07"/>
    <w:rsid w:val="004F5EB1"/>
    <w:rsid w:val="004F6887"/>
    <w:rsid w:val="005030AD"/>
    <w:rsid w:val="0051249C"/>
    <w:rsid w:val="005176E7"/>
    <w:rsid w:val="00520330"/>
    <w:rsid w:val="00524B6B"/>
    <w:rsid w:val="00526403"/>
    <w:rsid w:val="005413EE"/>
    <w:rsid w:val="005467CE"/>
    <w:rsid w:val="00547615"/>
    <w:rsid w:val="00566D26"/>
    <w:rsid w:val="00586888"/>
    <w:rsid w:val="00587443"/>
    <w:rsid w:val="00587C50"/>
    <w:rsid w:val="005917F3"/>
    <w:rsid w:val="005B0ACD"/>
    <w:rsid w:val="005B50A2"/>
    <w:rsid w:val="005C3408"/>
    <w:rsid w:val="005D4369"/>
    <w:rsid w:val="005D611B"/>
    <w:rsid w:val="005E691B"/>
    <w:rsid w:val="005F1ACE"/>
    <w:rsid w:val="005F256D"/>
    <w:rsid w:val="0060183A"/>
    <w:rsid w:val="00603110"/>
    <w:rsid w:val="00611C8E"/>
    <w:rsid w:val="006302F7"/>
    <w:rsid w:val="00631F30"/>
    <w:rsid w:val="00642420"/>
    <w:rsid w:val="00646158"/>
    <w:rsid w:val="006513F4"/>
    <w:rsid w:val="0066622C"/>
    <w:rsid w:val="00666487"/>
    <w:rsid w:val="0067041C"/>
    <w:rsid w:val="00673B37"/>
    <w:rsid w:val="00680E1E"/>
    <w:rsid w:val="006945EA"/>
    <w:rsid w:val="006A10BD"/>
    <w:rsid w:val="006A24DD"/>
    <w:rsid w:val="006B5470"/>
    <w:rsid w:val="006B56B9"/>
    <w:rsid w:val="006D0138"/>
    <w:rsid w:val="006D6EB6"/>
    <w:rsid w:val="006D6F52"/>
    <w:rsid w:val="006E4747"/>
    <w:rsid w:val="00701312"/>
    <w:rsid w:val="00701718"/>
    <w:rsid w:val="007078C3"/>
    <w:rsid w:val="00710359"/>
    <w:rsid w:val="00712FFF"/>
    <w:rsid w:val="00717289"/>
    <w:rsid w:val="00722DBF"/>
    <w:rsid w:val="00735157"/>
    <w:rsid w:val="00736629"/>
    <w:rsid w:val="00753058"/>
    <w:rsid w:val="007554DE"/>
    <w:rsid w:val="0076271C"/>
    <w:rsid w:val="00763D67"/>
    <w:rsid w:val="00767CE8"/>
    <w:rsid w:val="00775490"/>
    <w:rsid w:val="00795D0C"/>
    <w:rsid w:val="007A55BA"/>
    <w:rsid w:val="007C1FBD"/>
    <w:rsid w:val="007C54B3"/>
    <w:rsid w:val="007C5C8E"/>
    <w:rsid w:val="007E0A01"/>
    <w:rsid w:val="007E22F5"/>
    <w:rsid w:val="007E4302"/>
    <w:rsid w:val="007F1EFD"/>
    <w:rsid w:val="007F25F3"/>
    <w:rsid w:val="007F4901"/>
    <w:rsid w:val="00803F83"/>
    <w:rsid w:val="00826DEB"/>
    <w:rsid w:val="00832A78"/>
    <w:rsid w:val="00836B02"/>
    <w:rsid w:val="008467D4"/>
    <w:rsid w:val="00850FB0"/>
    <w:rsid w:val="0085238E"/>
    <w:rsid w:val="00853428"/>
    <w:rsid w:val="008540EA"/>
    <w:rsid w:val="00857554"/>
    <w:rsid w:val="00866A00"/>
    <w:rsid w:val="008702A6"/>
    <w:rsid w:val="0087573A"/>
    <w:rsid w:val="008757CE"/>
    <w:rsid w:val="00876272"/>
    <w:rsid w:val="0088392C"/>
    <w:rsid w:val="00884C06"/>
    <w:rsid w:val="00897C0E"/>
    <w:rsid w:val="00897E31"/>
    <w:rsid w:val="008A046F"/>
    <w:rsid w:val="008A405A"/>
    <w:rsid w:val="008A6A6A"/>
    <w:rsid w:val="008B650A"/>
    <w:rsid w:val="008B787C"/>
    <w:rsid w:val="008C3898"/>
    <w:rsid w:val="008C66CC"/>
    <w:rsid w:val="008C7FE5"/>
    <w:rsid w:val="008D4D63"/>
    <w:rsid w:val="008F483C"/>
    <w:rsid w:val="00910595"/>
    <w:rsid w:val="00910756"/>
    <w:rsid w:val="00912D61"/>
    <w:rsid w:val="009233BD"/>
    <w:rsid w:val="009322D7"/>
    <w:rsid w:val="00932BDE"/>
    <w:rsid w:val="00932C75"/>
    <w:rsid w:val="009358BA"/>
    <w:rsid w:val="009371D0"/>
    <w:rsid w:val="00943AD7"/>
    <w:rsid w:val="00957F71"/>
    <w:rsid w:val="00967725"/>
    <w:rsid w:val="009726B9"/>
    <w:rsid w:val="0098195F"/>
    <w:rsid w:val="009902F8"/>
    <w:rsid w:val="00990BA7"/>
    <w:rsid w:val="00993BB8"/>
    <w:rsid w:val="00993F30"/>
    <w:rsid w:val="0099555F"/>
    <w:rsid w:val="009A22A1"/>
    <w:rsid w:val="009B1F4A"/>
    <w:rsid w:val="009B3A1B"/>
    <w:rsid w:val="009B6332"/>
    <w:rsid w:val="009C0912"/>
    <w:rsid w:val="009C654B"/>
    <w:rsid w:val="009C7443"/>
    <w:rsid w:val="009D6694"/>
    <w:rsid w:val="009E3851"/>
    <w:rsid w:val="009F0300"/>
    <w:rsid w:val="00A07C80"/>
    <w:rsid w:val="00A13EB5"/>
    <w:rsid w:val="00A167A8"/>
    <w:rsid w:val="00A21F0A"/>
    <w:rsid w:val="00A26011"/>
    <w:rsid w:val="00A4016F"/>
    <w:rsid w:val="00A506C2"/>
    <w:rsid w:val="00A62886"/>
    <w:rsid w:val="00A628BD"/>
    <w:rsid w:val="00A74C38"/>
    <w:rsid w:val="00A77D24"/>
    <w:rsid w:val="00A803B4"/>
    <w:rsid w:val="00A8572F"/>
    <w:rsid w:val="00A93E07"/>
    <w:rsid w:val="00A979CF"/>
    <w:rsid w:val="00AA47BE"/>
    <w:rsid w:val="00AA4DF8"/>
    <w:rsid w:val="00AA524C"/>
    <w:rsid w:val="00AB1E70"/>
    <w:rsid w:val="00AB780C"/>
    <w:rsid w:val="00AC2448"/>
    <w:rsid w:val="00AD0B0B"/>
    <w:rsid w:val="00AD5AA6"/>
    <w:rsid w:val="00AD5ADE"/>
    <w:rsid w:val="00AD5FF7"/>
    <w:rsid w:val="00AE7138"/>
    <w:rsid w:val="00AF4CAF"/>
    <w:rsid w:val="00B01211"/>
    <w:rsid w:val="00B117BA"/>
    <w:rsid w:val="00B15F23"/>
    <w:rsid w:val="00B16508"/>
    <w:rsid w:val="00B20D87"/>
    <w:rsid w:val="00B212DD"/>
    <w:rsid w:val="00B24053"/>
    <w:rsid w:val="00B26002"/>
    <w:rsid w:val="00B31550"/>
    <w:rsid w:val="00B3595F"/>
    <w:rsid w:val="00B51660"/>
    <w:rsid w:val="00B578AC"/>
    <w:rsid w:val="00B6433F"/>
    <w:rsid w:val="00B64CF5"/>
    <w:rsid w:val="00B76C9B"/>
    <w:rsid w:val="00B823A1"/>
    <w:rsid w:val="00B8428B"/>
    <w:rsid w:val="00B84B7C"/>
    <w:rsid w:val="00BA41F5"/>
    <w:rsid w:val="00BB3C9C"/>
    <w:rsid w:val="00BC221A"/>
    <w:rsid w:val="00BF4822"/>
    <w:rsid w:val="00C01D22"/>
    <w:rsid w:val="00C07D99"/>
    <w:rsid w:val="00C104B6"/>
    <w:rsid w:val="00C10F02"/>
    <w:rsid w:val="00C114F4"/>
    <w:rsid w:val="00C11D03"/>
    <w:rsid w:val="00C24941"/>
    <w:rsid w:val="00C31967"/>
    <w:rsid w:val="00C371DE"/>
    <w:rsid w:val="00C409AE"/>
    <w:rsid w:val="00C40C2B"/>
    <w:rsid w:val="00C4143E"/>
    <w:rsid w:val="00C42D50"/>
    <w:rsid w:val="00C54DF8"/>
    <w:rsid w:val="00C60B49"/>
    <w:rsid w:val="00C7440A"/>
    <w:rsid w:val="00C865ED"/>
    <w:rsid w:val="00C8775A"/>
    <w:rsid w:val="00CA0877"/>
    <w:rsid w:val="00CA6B59"/>
    <w:rsid w:val="00CB305D"/>
    <w:rsid w:val="00CB3B6C"/>
    <w:rsid w:val="00CB75F1"/>
    <w:rsid w:val="00CC1833"/>
    <w:rsid w:val="00CC189F"/>
    <w:rsid w:val="00CC3368"/>
    <w:rsid w:val="00CD0FF8"/>
    <w:rsid w:val="00CF19C4"/>
    <w:rsid w:val="00CF2B0A"/>
    <w:rsid w:val="00D13C04"/>
    <w:rsid w:val="00D20A78"/>
    <w:rsid w:val="00D278BA"/>
    <w:rsid w:val="00D40454"/>
    <w:rsid w:val="00D4059C"/>
    <w:rsid w:val="00D53D8F"/>
    <w:rsid w:val="00D618BE"/>
    <w:rsid w:val="00D61C76"/>
    <w:rsid w:val="00D77015"/>
    <w:rsid w:val="00D92B48"/>
    <w:rsid w:val="00DB1693"/>
    <w:rsid w:val="00DC3CDB"/>
    <w:rsid w:val="00DD5B07"/>
    <w:rsid w:val="00DE6821"/>
    <w:rsid w:val="00DF2022"/>
    <w:rsid w:val="00DF25C3"/>
    <w:rsid w:val="00DF34BE"/>
    <w:rsid w:val="00DF5D59"/>
    <w:rsid w:val="00E10B37"/>
    <w:rsid w:val="00E12AAB"/>
    <w:rsid w:val="00E239E4"/>
    <w:rsid w:val="00E36A38"/>
    <w:rsid w:val="00E53399"/>
    <w:rsid w:val="00E62155"/>
    <w:rsid w:val="00E6464D"/>
    <w:rsid w:val="00E673C6"/>
    <w:rsid w:val="00E77995"/>
    <w:rsid w:val="00E87099"/>
    <w:rsid w:val="00EA28E6"/>
    <w:rsid w:val="00EA43D1"/>
    <w:rsid w:val="00EB2455"/>
    <w:rsid w:val="00EB5113"/>
    <w:rsid w:val="00EC5CD1"/>
    <w:rsid w:val="00ED4FF0"/>
    <w:rsid w:val="00ED6D91"/>
    <w:rsid w:val="00EF78C4"/>
    <w:rsid w:val="00F04CD7"/>
    <w:rsid w:val="00F23E15"/>
    <w:rsid w:val="00F244A2"/>
    <w:rsid w:val="00F257BF"/>
    <w:rsid w:val="00F337CD"/>
    <w:rsid w:val="00F35064"/>
    <w:rsid w:val="00F374D8"/>
    <w:rsid w:val="00F3771A"/>
    <w:rsid w:val="00F46E8C"/>
    <w:rsid w:val="00F46EF8"/>
    <w:rsid w:val="00F539FB"/>
    <w:rsid w:val="00F5684D"/>
    <w:rsid w:val="00F57AB6"/>
    <w:rsid w:val="00F6480F"/>
    <w:rsid w:val="00F64868"/>
    <w:rsid w:val="00F70C2E"/>
    <w:rsid w:val="00F7250A"/>
    <w:rsid w:val="00F778F0"/>
    <w:rsid w:val="00F84DF2"/>
    <w:rsid w:val="00F86713"/>
    <w:rsid w:val="00F87AC4"/>
    <w:rsid w:val="00F932E0"/>
    <w:rsid w:val="00FB7701"/>
    <w:rsid w:val="00FC1022"/>
    <w:rsid w:val="00FC40F0"/>
    <w:rsid w:val="00FC6D3B"/>
    <w:rsid w:val="00FD0129"/>
    <w:rsid w:val="00FD17E4"/>
    <w:rsid w:val="00FE1204"/>
    <w:rsid w:val="00FE17ED"/>
    <w:rsid w:val="00FE3DBB"/>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C1B4F"/>
  <w15:docId w15:val="{AD9FD6DE-9CC1-41B4-AAE4-E80AFFEC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link w:val="Heading3Char"/>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uiPriority w:val="99"/>
    <w:semiHidden/>
    <w:rsid w:val="00F35064"/>
    <w:rPr>
      <w:sz w:val="20"/>
    </w:rPr>
  </w:style>
  <w:style w:type="character" w:styleId="FootnoteReference">
    <w:name w:val="footnote reference"/>
    <w:basedOn w:val="DefaultParagraphFont"/>
    <w:uiPriority w:val="99"/>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Heading3Char">
    <w:name w:val="Heading 3 Char"/>
    <w:basedOn w:val="DefaultParagraphFont"/>
    <w:link w:val="Heading3"/>
    <w:rsid w:val="00717289"/>
    <w:rPr>
      <w:rFonts w:ascii="Arial" w:hAnsi="Arial" w:cs="Arial"/>
      <w:b/>
      <w:bCs/>
      <w:sz w:val="26"/>
      <w:szCs w:val="26"/>
    </w:rPr>
  </w:style>
  <w:style w:type="character" w:customStyle="1" w:styleId="FootnoteTextChar">
    <w:name w:val="Footnote Text Char"/>
    <w:basedOn w:val="DefaultParagraphFont"/>
    <w:link w:val="FootnoteText"/>
    <w:uiPriority w:val="99"/>
    <w:semiHidden/>
    <w:rsid w:val="00717289"/>
  </w:style>
  <w:style w:type="character" w:styleId="Emphasis">
    <w:name w:val="Emphasis"/>
    <w:basedOn w:val="DefaultParagraphFont"/>
    <w:uiPriority w:val="20"/>
    <w:qFormat/>
    <w:rsid w:val="00AB1E70"/>
    <w:rPr>
      <w:b/>
      <w:bCs/>
      <w:i w:val="0"/>
      <w:iCs w:val="0"/>
    </w:rPr>
  </w:style>
  <w:style w:type="character" w:customStyle="1" w:styleId="st1">
    <w:name w:val="st1"/>
    <w:basedOn w:val="DefaultParagraphFont"/>
    <w:rsid w:val="00AB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5546">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24048282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D671BAA6A2837143B656620068115792" ma:contentTypeVersion="24" ma:contentTypeDescription="" ma:contentTypeScope="" ma:versionID="e7f60ab67b138d6b498f1e508387a7ca">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6157e332811e791681c4e91ba41dc61a"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customXsn xmlns="http://schemas.microsoft.com/office/2006/metadata/customXsn">
  <xsnLocation/>
  <cached>True</cached>
  <openByDefault>False</openByDefault>
  <xsnScope>http://sharepoint</xsnScope>
</customXsn>
</file>

<file path=customXml/item6.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2029-11-18T03:39:23+00:00</_dlc_ExpireDate>
    <_dlc_DocId xmlns="5e039acd-daf0-4ba3-b421-e9b9ae1a3620">5YHNKJZSV77T-1836078025-98</_dlc_DocId>
    <_dlc_DocIdUrl xmlns="5e039acd-daf0-4ba3-b421-e9b9ae1a3620">
      <Url>http://sharepoint/GASites/IntegratedTaxDesign/_layouts/DocIdRedir.aspx?ID=5YHNKJZSV77T-1836078025-98</Url>
      <Description>5YHNKJZSV77T-1836078025-98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EB4B-88AC-49E1-BCDA-CE8143BC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61A5D-4941-442A-87D9-1C3E47354EDC}">
  <ds:schemaRefs>
    <ds:schemaRef ds:uri="http://schemas.microsoft.com/sharepoint/events"/>
  </ds:schemaRefs>
</ds:datastoreItem>
</file>

<file path=customXml/itemProps3.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4.xml><?xml version="1.0" encoding="utf-8"?>
<ds:datastoreItem xmlns:ds="http://schemas.openxmlformats.org/officeDocument/2006/customXml" ds:itemID="{9092B523-521B-4F01-8DAB-0EC284B7888D}">
  <ds:schemaRefs>
    <ds:schemaRef ds:uri="office.server.policy"/>
  </ds:schemaRefs>
</ds:datastoreItem>
</file>

<file path=customXml/itemProps5.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5e039acd-daf0-4ba3-b421-e9b9ae1a3620"/>
    <ds:schemaRef ds:uri="http://schemas.microsoft.com/sharepoint/v3"/>
  </ds:schemaRefs>
</ds:datastoreItem>
</file>

<file path=customXml/itemProps7.xml><?xml version="1.0" encoding="utf-8"?>
<ds:datastoreItem xmlns:ds="http://schemas.openxmlformats.org/officeDocument/2006/customXml" ds:itemID="{6B94F8C2-E53F-428A-9EB6-85FC3578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12452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lastModifiedBy>Andrea Tammita</cp:lastModifiedBy>
  <cp:revision>2</cp:revision>
  <cp:lastPrinted>2020-01-30T06:29:00Z</cp:lastPrinted>
  <dcterms:created xsi:type="dcterms:W3CDTF">2020-10-07T21:45:00Z</dcterms:created>
  <dcterms:modified xsi:type="dcterms:W3CDTF">2020-10-07T21:45:00Z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0x010100A64679C44DADA04984EEB770C479187300D671BAA6A2837143B656620068115792</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fcbb74d9-da8b-45bf-9c94-0c3ff9f11397</vt:lpwstr>
  </property>
  <property fmtid="{D5CDD505-2E9C-101B-9397-08002B2CF9AE}" pid="6" name="TaxKeyword">
    <vt:lpwstr/>
  </property>
  <property fmtid="{D5CDD505-2E9C-101B-9397-08002B2CF9AE}" pid="7" name="Security Classification">
    <vt:lpwstr>1;#UNCLASSIFIED|1bbb598d-ed8e-4faa-b9b5-c952cc7313f8</vt:lpwstr>
  </property>
  <property fmtid="{D5CDD505-2E9C-101B-9397-08002B2CF9AE}" pid="8" name="_DocHome">
    <vt:i4>-2097574561</vt:i4>
  </property>
</Properties>
</file>