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7F" w:rsidRDefault="005E317F" w:rsidP="005E317F">
      <w:pPr>
        <w:rPr>
          <w:sz w:val="28"/>
        </w:rPr>
      </w:pPr>
      <w:r>
        <w:rPr>
          <w:noProof/>
          <w:lang w:eastAsia="en-AU"/>
        </w:rPr>
        <w:drawing>
          <wp:inline distT="0" distB="0" distL="0" distR="0" wp14:anchorId="71CB9F6F" wp14:editId="2BB0664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5E317F" w:rsidRDefault="005E317F" w:rsidP="005E317F">
      <w:pPr>
        <w:rPr>
          <w:sz w:val="19"/>
        </w:rPr>
      </w:pPr>
    </w:p>
    <w:p w:rsidR="005E317F" w:rsidRPr="00E500D4" w:rsidRDefault="00BA3AA9" w:rsidP="005E317F">
      <w:pPr>
        <w:pStyle w:val="ShortT"/>
      </w:pPr>
      <w:r w:rsidRPr="009C4726">
        <w:t>Competition and Consumer (Consumer Data Right) Amendment Rules (No. </w:t>
      </w:r>
      <w:r>
        <w:t>2</w:t>
      </w:r>
      <w:r w:rsidRPr="009C4726">
        <w:t>) 2020</w:t>
      </w:r>
    </w:p>
    <w:p w:rsidR="005E317F" w:rsidRPr="00DA182D" w:rsidRDefault="00BA3AA9" w:rsidP="005E317F">
      <w:pPr>
        <w:pStyle w:val="SignCoverPageStart"/>
        <w:spacing w:before="240"/>
        <w:ind w:right="91"/>
        <w:rPr>
          <w:szCs w:val="22"/>
        </w:rPr>
      </w:pPr>
      <w:r>
        <w:rPr>
          <w:szCs w:val="22"/>
        </w:rPr>
        <w:t>The Australian Competition and Consumer Commission makes the following rules</w:t>
      </w:r>
      <w:r w:rsidRPr="00DA182D">
        <w:rPr>
          <w:szCs w:val="22"/>
        </w:rPr>
        <w:t>.</w:t>
      </w:r>
    </w:p>
    <w:p w:rsidR="005E317F" w:rsidRPr="00001A63" w:rsidRDefault="005E317F" w:rsidP="005E317F">
      <w:pPr>
        <w:keepNext/>
        <w:spacing w:before="300" w:line="240" w:lineRule="atLeast"/>
        <w:ind w:right="397"/>
        <w:jc w:val="both"/>
        <w:rPr>
          <w:szCs w:val="22"/>
        </w:rPr>
      </w:pPr>
      <w:r>
        <w:rPr>
          <w:szCs w:val="22"/>
        </w:rPr>
        <w:t>Dated</w:t>
      </w:r>
      <w:r w:rsidR="006B3E08">
        <w:rPr>
          <w:szCs w:val="22"/>
        </w:rPr>
        <w:t xml:space="preserve"> 1 October 2020</w:t>
      </w:r>
      <w:bookmarkStart w:id="0" w:name="_GoBack"/>
      <w:bookmarkEnd w:id="0"/>
      <w:r w:rsidRPr="00001A63">
        <w:rPr>
          <w:szCs w:val="22"/>
        </w:rPr>
        <w:tab/>
      </w:r>
      <w:r>
        <w:rPr>
          <w:szCs w:val="22"/>
        </w:rPr>
        <w:tab/>
      </w:r>
      <w:r w:rsidRPr="00001A63">
        <w:rPr>
          <w:szCs w:val="22"/>
        </w:rPr>
        <w:tab/>
      </w:r>
    </w:p>
    <w:p w:rsidR="005E317F" w:rsidRDefault="005E317F" w:rsidP="005E317F">
      <w:pPr>
        <w:keepNext/>
        <w:tabs>
          <w:tab w:val="left" w:pos="3402"/>
        </w:tabs>
        <w:spacing w:before="1440" w:line="300" w:lineRule="atLeast"/>
        <w:ind w:right="397"/>
        <w:rPr>
          <w:b/>
          <w:szCs w:val="22"/>
        </w:rPr>
      </w:pPr>
    </w:p>
    <w:p w:rsidR="00CF4857" w:rsidRDefault="00CF4857" w:rsidP="00BA3AA9">
      <w:pPr>
        <w:pStyle w:val="SignCoverPageEnd"/>
        <w:ind w:right="91"/>
        <w:rPr>
          <w:szCs w:val="22"/>
        </w:rPr>
      </w:pPr>
      <w:r>
        <w:rPr>
          <w:szCs w:val="22"/>
        </w:rPr>
        <w:t>R G Sims</w:t>
      </w:r>
    </w:p>
    <w:p w:rsidR="00BA3AA9" w:rsidRPr="009C4726" w:rsidRDefault="00BA3AA9" w:rsidP="00BA3AA9">
      <w:pPr>
        <w:pStyle w:val="SignCoverPageEnd"/>
        <w:ind w:right="91"/>
        <w:rPr>
          <w:sz w:val="22"/>
        </w:rPr>
      </w:pPr>
      <w:r w:rsidRPr="009C4726">
        <w:rPr>
          <w:szCs w:val="22"/>
        </w:rPr>
        <w:t>The Australian Competition and Consumer Commission</w:t>
      </w:r>
    </w:p>
    <w:p w:rsidR="00BA3AA9" w:rsidRPr="00BA3AA9" w:rsidRDefault="00BA3AA9" w:rsidP="00BA3AA9">
      <w:pPr>
        <w:rPr>
          <w:lang w:eastAsia="en-AU"/>
        </w:rPr>
      </w:pPr>
    </w:p>
    <w:p w:rsidR="00B20990" w:rsidRDefault="00B20990" w:rsidP="00B20990"/>
    <w:p w:rsidR="00B20990" w:rsidRDefault="00B20990" w:rsidP="00B20990">
      <w:pPr>
        <w:sectPr w:rsidR="00B20990" w:rsidSect="00B20990">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797" w:bottom="1440" w:left="1797" w:header="720" w:footer="709" w:gutter="0"/>
          <w:cols w:space="708"/>
          <w:titlePg/>
          <w:docGrid w:linePitch="360"/>
        </w:sectPr>
      </w:pPr>
    </w:p>
    <w:p w:rsidR="00B20990" w:rsidRDefault="00B20990" w:rsidP="00B20990">
      <w:pPr>
        <w:outlineLvl w:val="0"/>
        <w:rPr>
          <w:sz w:val="36"/>
        </w:rPr>
      </w:pPr>
      <w:r w:rsidRPr="007A1328">
        <w:rPr>
          <w:sz w:val="36"/>
        </w:rPr>
        <w:lastRenderedPageBreak/>
        <w:t>Contents</w:t>
      </w:r>
    </w:p>
    <w:bookmarkStart w:id="1" w:name="BKCheck15B_2"/>
    <w:bookmarkEnd w:id="1"/>
    <w:p w:rsidR="00E37B05" w:rsidRDefault="00B20990">
      <w:pPr>
        <w:pStyle w:val="TOC5"/>
        <w:rPr>
          <w:rFonts w:asciiTheme="minorHAnsi" w:eastAsiaTheme="minorEastAsia" w:hAnsiTheme="minorHAnsi" w:cstheme="minorBidi"/>
          <w:noProof/>
          <w:kern w:val="0"/>
          <w:sz w:val="22"/>
          <w:szCs w:val="22"/>
        </w:rPr>
      </w:pPr>
      <w:r w:rsidRPr="005E317F">
        <w:fldChar w:fldCharType="begin"/>
      </w:r>
      <w:r>
        <w:instrText xml:space="preserve"> TOC \o "1-9" </w:instrText>
      </w:r>
      <w:r w:rsidRPr="005E317F">
        <w:fldChar w:fldCharType="separate"/>
      </w:r>
      <w:r w:rsidR="00E37B05">
        <w:rPr>
          <w:noProof/>
        </w:rPr>
        <w:t>1  Name</w:t>
      </w:r>
      <w:r w:rsidR="00E37B05">
        <w:rPr>
          <w:noProof/>
        </w:rPr>
        <w:tab/>
      </w:r>
      <w:r w:rsidR="00E37B05">
        <w:rPr>
          <w:noProof/>
        </w:rPr>
        <w:fldChar w:fldCharType="begin"/>
      </w:r>
      <w:r w:rsidR="00E37B05">
        <w:rPr>
          <w:noProof/>
        </w:rPr>
        <w:instrText xml:space="preserve"> PAGEREF _Toc50708306 \h </w:instrText>
      </w:r>
      <w:r w:rsidR="00E37B05">
        <w:rPr>
          <w:noProof/>
        </w:rPr>
      </w:r>
      <w:r w:rsidR="00E37B05">
        <w:rPr>
          <w:noProof/>
        </w:rPr>
        <w:fldChar w:fldCharType="separate"/>
      </w:r>
      <w:r w:rsidR="006B3E08">
        <w:rPr>
          <w:noProof/>
        </w:rPr>
        <w:t>1</w:t>
      </w:r>
      <w:r w:rsidR="00E37B05">
        <w:rPr>
          <w:noProof/>
        </w:rPr>
        <w:fldChar w:fldCharType="end"/>
      </w:r>
    </w:p>
    <w:p w:rsidR="00E37B05" w:rsidRDefault="00E37B05">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_Toc50708307 \h </w:instrText>
      </w:r>
      <w:r>
        <w:rPr>
          <w:noProof/>
        </w:rPr>
      </w:r>
      <w:r>
        <w:rPr>
          <w:noProof/>
        </w:rPr>
        <w:fldChar w:fldCharType="separate"/>
      </w:r>
      <w:r w:rsidR="006B3E08">
        <w:rPr>
          <w:noProof/>
        </w:rPr>
        <w:t>1</w:t>
      </w:r>
      <w:r>
        <w:rPr>
          <w:noProof/>
        </w:rPr>
        <w:fldChar w:fldCharType="end"/>
      </w:r>
    </w:p>
    <w:p w:rsidR="00E37B05" w:rsidRDefault="00E37B05">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_Toc50708308 \h </w:instrText>
      </w:r>
      <w:r>
        <w:rPr>
          <w:noProof/>
        </w:rPr>
      </w:r>
      <w:r>
        <w:rPr>
          <w:noProof/>
        </w:rPr>
        <w:fldChar w:fldCharType="separate"/>
      </w:r>
      <w:r w:rsidR="006B3E08">
        <w:rPr>
          <w:noProof/>
        </w:rPr>
        <w:t>1</w:t>
      </w:r>
      <w:r>
        <w:rPr>
          <w:noProof/>
        </w:rPr>
        <w:fldChar w:fldCharType="end"/>
      </w:r>
    </w:p>
    <w:p w:rsidR="00E37B05" w:rsidRDefault="00E37B05">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_Toc50708309 \h </w:instrText>
      </w:r>
      <w:r>
        <w:rPr>
          <w:noProof/>
        </w:rPr>
      </w:r>
      <w:r>
        <w:rPr>
          <w:noProof/>
        </w:rPr>
        <w:fldChar w:fldCharType="separate"/>
      </w:r>
      <w:r w:rsidR="006B3E08">
        <w:rPr>
          <w:noProof/>
        </w:rPr>
        <w:t>1</w:t>
      </w:r>
      <w:r>
        <w:rPr>
          <w:noProof/>
        </w:rPr>
        <w:fldChar w:fldCharType="end"/>
      </w:r>
    </w:p>
    <w:p w:rsidR="00E37B05" w:rsidRDefault="00E37B05">
      <w:pPr>
        <w:pStyle w:val="TOC6"/>
        <w:rPr>
          <w:rFonts w:asciiTheme="minorHAnsi" w:eastAsiaTheme="minorEastAsia" w:hAnsiTheme="minorHAnsi" w:cstheme="minorBidi"/>
          <w:b w:val="0"/>
          <w:noProof/>
          <w:kern w:val="0"/>
          <w:sz w:val="22"/>
          <w:szCs w:val="22"/>
        </w:rPr>
      </w:pPr>
      <w:r>
        <w:rPr>
          <w:noProof/>
        </w:rPr>
        <w:t>Schedule 1—Amendments</w:t>
      </w:r>
      <w:r>
        <w:rPr>
          <w:noProof/>
        </w:rPr>
        <w:tab/>
      </w:r>
      <w:r>
        <w:rPr>
          <w:noProof/>
        </w:rPr>
        <w:fldChar w:fldCharType="begin"/>
      </w:r>
      <w:r>
        <w:rPr>
          <w:noProof/>
        </w:rPr>
        <w:instrText xml:space="preserve"> PAGEREF _Toc50708310 \h </w:instrText>
      </w:r>
      <w:r>
        <w:rPr>
          <w:noProof/>
        </w:rPr>
      </w:r>
      <w:r>
        <w:rPr>
          <w:noProof/>
        </w:rPr>
        <w:fldChar w:fldCharType="separate"/>
      </w:r>
      <w:r w:rsidR="006B3E08">
        <w:rPr>
          <w:noProof/>
        </w:rPr>
        <w:t>2</w:t>
      </w:r>
      <w:r>
        <w:rPr>
          <w:noProof/>
        </w:rPr>
        <w:fldChar w:fldCharType="end"/>
      </w:r>
    </w:p>
    <w:p w:rsidR="00E37B05" w:rsidRPr="00E37B05" w:rsidRDefault="00E37B05" w:rsidP="00E37B05">
      <w:pPr>
        <w:pStyle w:val="TOC9"/>
        <w:rPr>
          <w:rFonts w:asciiTheme="minorHAnsi" w:eastAsiaTheme="minorEastAsia" w:hAnsiTheme="minorHAnsi" w:cstheme="minorBidi"/>
          <w:i w:val="0"/>
          <w:noProof/>
          <w:kern w:val="0"/>
          <w:sz w:val="22"/>
          <w:szCs w:val="22"/>
        </w:rPr>
      </w:pPr>
      <w:r>
        <w:rPr>
          <w:noProof/>
        </w:rPr>
        <w:t>Competition and Consumer (Consumer Data Right) Rules 2020</w:t>
      </w:r>
      <w:r>
        <w:rPr>
          <w:noProof/>
        </w:rPr>
        <w:tab/>
      </w:r>
      <w:r>
        <w:rPr>
          <w:noProof/>
        </w:rPr>
        <w:fldChar w:fldCharType="begin"/>
      </w:r>
      <w:r>
        <w:rPr>
          <w:noProof/>
        </w:rPr>
        <w:instrText xml:space="preserve"> PAGEREF _Toc50708311 \h </w:instrText>
      </w:r>
      <w:r>
        <w:rPr>
          <w:noProof/>
        </w:rPr>
      </w:r>
      <w:r>
        <w:rPr>
          <w:noProof/>
        </w:rPr>
        <w:fldChar w:fldCharType="separate"/>
      </w:r>
      <w:r w:rsidR="006B3E08">
        <w:rPr>
          <w:noProof/>
        </w:rPr>
        <w:t>2</w:t>
      </w:r>
      <w:r>
        <w:rPr>
          <w:noProof/>
        </w:rPr>
        <w:fldChar w:fldCharType="end"/>
      </w:r>
    </w:p>
    <w:p w:rsidR="00B20990" w:rsidRDefault="00B20990" w:rsidP="005E317F">
      <w:r w:rsidRPr="005E317F">
        <w:rPr>
          <w:rFonts w:cs="Times New Roman"/>
          <w:sz w:val="20"/>
        </w:rPr>
        <w:fldChar w:fldCharType="end"/>
      </w:r>
    </w:p>
    <w:p w:rsidR="00B20990" w:rsidRDefault="00B20990" w:rsidP="00B20990"/>
    <w:p w:rsidR="00B20990" w:rsidRDefault="00B20990" w:rsidP="00B20990">
      <w:pPr>
        <w:sectPr w:rsidR="00B20990" w:rsidSect="00C160A1">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5E317F" w:rsidRPr="009C2562" w:rsidRDefault="005E317F" w:rsidP="005E317F">
      <w:pPr>
        <w:pStyle w:val="ActHead5"/>
      </w:pPr>
      <w:bookmarkStart w:id="2" w:name="_Toc50708306"/>
      <w:r w:rsidRPr="009C2562">
        <w:rPr>
          <w:rStyle w:val="CharSectno"/>
        </w:rPr>
        <w:lastRenderedPageBreak/>
        <w:t>1</w:t>
      </w:r>
      <w:r w:rsidRPr="009C2562">
        <w:t xml:space="preserve">  Name</w:t>
      </w:r>
      <w:bookmarkEnd w:id="2"/>
    </w:p>
    <w:p w:rsidR="005E317F" w:rsidRDefault="005E317F" w:rsidP="005E317F">
      <w:pPr>
        <w:pStyle w:val="subsection"/>
      </w:pPr>
      <w:r w:rsidRPr="009C2562">
        <w:tab/>
      </w:r>
      <w:r w:rsidRPr="009C2562">
        <w:tab/>
        <w:t xml:space="preserve">This </w:t>
      </w:r>
      <w:r>
        <w:t xml:space="preserve">instrument </w:t>
      </w:r>
      <w:r w:rsidRPr="009C2562">
        <w:t xml:space="preserve">is the </w:t>
      </w:r>
      <w:bookmarkStart w:id="3" w:name="BKCheck15B_3"/>
      <w:bookmarkEnd w:id="3"/>
      <w:r w:rsidR="00BA3AA9" w:rsidRPr="009C4726">
        <w:rPr>
          <w:i/>
        </w:rPr>
        <w:fldChar w:fldCharType="begin"/>
      </w:r>
      <w:r w:rsidR="00BA3AA9" w:rsidRPr="009C4726">
        <w:rPr>
          <w:i/>
        </w:rPr>
        <w:instrText xml:space="preserve"> STYLEREF  ShortT  \* MERGEFORMAT </w:instrText>
      </w:r>
      <w:r w:rsidR="00BA3AA9" w:rsidRPr="009C4726">
        <w:rPr>
          <w:i/>
        </w:rPr>
        <w:fldChar w:fldCharType="separate"/>
      </w:r>
      <w:r w:rsidR="006B3E08">
        <w:rPr>
          <w:i/>
          <w:noProof/>
        </w:rPr>
        <w:t>Competition and Consumer (Consumer Data Right) Amendment Rules (No. 2) 2020</w:t>
      </w:r>
      <w:r w:rsidR="00BA3AA9" w:rsidRPr="009C4726">
        <w:rPr>
          <w:i/>
        </w:rPr>
        <w:fldChar w:fldCharType="end"/>
      </w:r>
      <w:r w:rsidRPr="009C2562">
        <w:t>.</w:t>
      </w:r>
    </w:p>
    <w:p w:rsidR="005E317F" w:rsidRDefault="005E317F" w:rsidP="005E317F">
      <w:pPr>
        <w:pStyle w:val="ActHead5"/>
      </w:pPr>
      <w:bookmarkStart w:id="4" w:name="_Toc50708307"/>
      <w:r w:rsidRPr="009C2562">
        <w:rPr>
          <w:rStyle w:val="CharSectno"/>
        </w:rPr>
        <w:t>2</w:t>
      </w:r>
      <w:r w:rsidRPr="009C2562">
        <w:t xml:space="preserve">  Commencement</w:t>
      </w:r>
      <w:bookmarkEnd w:id="4"/>
    </w:p>
    <w:p w:rsidR="00002BCC" w:rsidRPr="003422B4" w:rsidRDefault="00002BCC" w:rsidP="00002BCC">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rsidR="00002BCC" w:rsidRPr="003422B4"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3422B4" w:rsidTr="00A02135">
        <w:trPr>
          <w:tblHeader/>
        </w:trPr>
        <w:tc>
          <w:tcPr>
            <w:tcW w:w="8364" w:type="dxa"/>
            <w:gridSpan w:val="3"/>
            <w:tcBorders>
              <w:top w:val="single" w:sz="12" w:space="0" w:color="auto"/>
              <w:bottom w:val="single" w:sz="6" w:space="0" w:color="auto"/>
            </w:tcBorders>
            <w:shd w:val="clear" w:color="auto" w:fill="auto"/>
            <w:hideMark/>
          </w:tcPr>
          <w:p w:rsidR="00002BCC" w:rsidRPr="003422B4" w:rsidRDefault="00002BCC" w:rsidP="00A02135">
            <w:pPr>
              <w:pStyle w:val="TableHeading"/>
            </w:pPr>
            <w:r w:rsidRPr="003422B4">
              <w:t>Commencement information</w:t>
            </w:r>
          </w:p>
        </w:tc>
      </w:tr>
      <w:tr w:rsidR="00002BCC" w:rsidRPr="003422B4" w:rsidTr="00A02135">
        <w:trPr>
          <w:tblHeader/>
        </w:trPr>
        <w:tc>
          <w:tcPr>
            <w:tcW w:w="2127" w:type="dxa"/>
            <w:tcBorders>
              <w:top w:val="single" w:sz="6" w:space="0" w:color="auto"/>
              <w:bottom w:val="single" w:sz="6" w:space="0" w:color="auto"/>
            </w:tcBorders>
            <w:shd w:val="clear" w:color="auto" w:fill="auto"/>
            <w:hideMark/>
          </w:tcPr>
          <w:p w:rsidR="00002BCC" w:rsidRPr="003422B4" w:rsidRDefault="00002BCC" w:rsidP="00A02135">
            <w:pPr>
              <w:pStyle w:val="TableHeading"/>
            </w:pPr>
            <w:r w:rsidRPr="003422B4">
              <w:t>Column 1</w:t>
            </w:r>
          </w:p>
        </w:tc>
        <w:tc>
          <w:tcPr>
            <w:tcW w:w="4394" w:type="dxa"/>
            <w:tcBorders>
              <w:top w:val="single" w:sz="6" w:space="0" w:color="auto"/>
              <w:bottom w:val="single" w:sz="6" w:space="0" w:color="auto"/>
            </w:tcBorders>
            <w:shd w:val="clear" w:color="auto" w:fill="auto"/>
            <w:hideMark/>
          </w:tcPr>
          <w:p w:rsidR="00002BCC" w:rsidRPr="003422B4" w:rsidRDefault="00002BCC" w:rsidP="00A02135">
            <w:pPr>
              <w:pStyle w:val="TableHeading"/>
            </w:pPr>
            <w:r w:rsidRPr="003422B4">
              <w:t>Column 2</w:t>
            </w:r>
          </w:p>
        </w:tc>
        <w:tc>
          <w:tcPr>
            <w:tcW w:w="1843" w:type="dxa"/>
            <w:tcBorders>
              <w:top w:val="single" w:sz="6" w:space="0" w:color="auto"/>
              <w:bottom w:val="single" w:sz="6" w:space="0" w:color="auto"/>
            </w:tcBorders>
            <w:shd w:val="clear" w:color="auto" w:fill="auto"/>
            <w:hideMark/>
          </w:tcPr>
          <w:p w:rsidR="00002BCC" w:rsidRPr="003422B4" w:rsidRDefault="00002BCC" w:rsidP="00A02135">
            <w:pPr>
              <w:pStyle w:val="TableHeading"/>
            </w:pPr>
            <w:r w:rsidRPr="003422B4">
              <w:t>Column 3</w:t>
            </w:r>
          </w:p>
        </w:tc>
      </w:tr>
      <w:tr w:rsidR="00002BCC" w:rsidRPr="003422B4" w:rsidTr="00A02135">
        <w:trPr>
          <w:tblHeader/>
        </w:trPr>
        <w:tc>
          <w:tcPr>
            <w:tcW w:w="2127" w:type="dxa"/>
            <w:tcBorders>
              <w:top w:val="single" w:sz="6" w:space="0" w:color="auto"/>
              <w:bottom w:val="single" w:sz="12" w:space="0" w:color="auto"/>
            </w:tcBorders>
            <w:shd w:val="clear" w:color="auto" w:fill="auto"/>
            <w:hideMark/>
          </w:tcPr>
          <w:p w:rsidR="00002BCC" w:rsidRPr="003422B4" w:rsidRDefault="00002BCC" w:rsidP="00A02135">
            <w:pPr>
              <w:pStyle w:val="TableHeading"/>
            </w:pPr>
            <w:r w:rsidRPr="003422B4">
              <w:t>Provisions</w:t>
            </w:r>
          </w:p>
        </w:tc>
        <w:tc>
          <w:tcPr>
            <w:tcW w:w="4394" w:type="dxa"/>
            <w:tcBorders>
              <w:top w:val="single" w:sz="6" w:space="0" w:color="auto"/>
              <w:bottom w:val="single" w:sz="12" w:space="0" w:color="auto"/>
            </w:tcBorders>
            <w:shd w:val="clear" w:color="auto" w:fill="auto"/>
            <w:hideMark/>
          </w:tcPr>
          <w:p w:rsidR="00002BCC" w:rsidRPr="003422B4" w:rsidRDefault="00002BCC" w:rsidP="00A02135">
            <w:pPr>
              <w:pStyle w:val="TableHeading"/>
            </w:pPr>
            <w:r w:rsidRPr="003422B4">
              <w:t>Commencement</w:t>
            </w:r>
          </w:p>
        </w:tc>
        <w:tc>
          <w:tcPr>
            <w:tcW w:w="1843" w:type="dxa"/>
            <w:tcBorders>
              <w:top w:val="single" w:sz="6" w:space="0" w:color="auto"/>
              <w:bottom w:val="single" w:sz="12" w:space="0" w:color="auto"/>
            </w:tcBorders>
            <w:shd w:val="clear" w:color="auto" w:fill="auto"/>
            <w:hideMark/>
          </w:tcPr>
          <w:p w:rsidR="00002BCC" w:rsidRPr="003422B4" w:rsidRDefault="00002BCC" w:rsidP="00A02135">
            <w:pPr>
              <w:pStyle w:val="TableHeading"/>
            </w:pPr>
            <w:r w:rsidRPr="003422B4">
              <w:t>Date/Details</w:t>
            </w:r>
          </w:p>
        </w:tc>
      </w:tr>
      <w:tr w:rsidR="00BA3AA9" w:rsidRPr="003422B4" w:rsidTr="00A02135">
        <w:tc>
          <w:tcPr>
            <w:tcW w:w="2127" w:type="dxa"/>
            <w:tcBorders>
              <w:top w:val="single" w:sz="12" w:space="0" w:color="auto"/>
              <w:bottom w:val="single" w:sz="12" w:space="0" w:color="auto"/>
            </w:tcBorders>
            <w:shd w:val="clear" w:color="auto" w:fill="auto"/>
            <w:hideMark/>
          </w:tcPr>
          <w:p w:rsidR="00BA3AA9" w:rsidRPr="009C4726" w:rsidRDefault="00BA3AA9" w:rsidP="00BA3AA9">
            <w:pPr>
              <w:pStyle w:val="Tabletext"/>
              <w:rPr>
                <w:i/>
              </w:rPr>
            </w:pPr>
            <w:r w:rsidRPr="009C4726">
              <w:t>1.  The whole of this instrument</w:t>
            </w:r>
          </w:p>
        </w:tc>
        <w:tc>
          <w:tcPr>
            <w:tcW w:w="4394" w:type="dxa"/>
            <w:tcBorders>
              <w:top w:val="single" w:sz="12" w:space="0" w:color="auto"/>
              <w:bottom w:val="single" w:sz="12" w:space="0" w:color="auto"/>
            </w:tcBorders>
            <w:shd w:val="clear" w:color="auto" w:fill="auto"/>
            <w:hideMark/>
          </w:tcPr>
          <w:p w:rsidR="00BA3AA9" w:rsidRPr="009C4726" w:rsidRDefault="00BA3AA9" w:rsidP="00BA3AA9">
            <w:pPr>
              <w:pStyle w:val="Tabletext"/>
              <w:rPr>
                <w:i/>
              </w:rPr>
            </w:pPr>
            <w:r w:rsidRPr="009C4726">
              <w:t>The day after this instrument is registered</w:t>
            </w:r>
          </w:p>
        </w:tc>
        <w:tc>
          <w:tcPr>
            <w:tcW w:w="1843" w:type="dxa"/>
            <w:tcBorders>
              <w:top w:val="single" w:sz="12" w:space="0" w:color="auto"/>
              <w:bottom w:val="single" w:sz="12" w:space="0" w:color="auto"/>
            </w:tcBorders>
            <w:shd w:val="clear" w:color="auto" w:fill="auto"/>
          </w:tcPr>
          <w:p w:rsidR="00BA3AA9" w:rsidRPr="009C4726" w:rsidRDefault="00BA3AA9" w:rsidP="00BA3AA9">
            <w:pPr>
              <w:pStyle w:val="Tabletext"/>
              <w:rPr>
                <w:i/>
              </w:rPr>
            </w:pPr>
          </w:p>
        </w:tc>
      </w:tr>
    </w:tbl>
    <w:p w:rsidR="00002BCC" w:rsidRPr="003422B4" w:rsidRDefault="00002BCC" w:rsidP="00002BCC">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rsidR="00002BCC" w:rsidRPr="003422B4" w:rsidRDefault="00002BCC" w:rsidP="00002BCC">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rsidR="005E317F" w:rsidRPr="009C2562" w:rsidRDefault="005E317F" w:rsidP="005E317F">
      <w:pPr>
        <w:pStyle w:val="ActHead5"/>
      </w:pPr>
      <w:bookmarkStart w:id="5" w:name="_Toc50708308"/>
      <w:r w:rsidRPr="009C2562">
        <w:rPr>
          <w:rStyle w:val="CharSectno"/>
        </w:rPr>
        <w:t>3</w:t>
      </w:r>
      <w:r w:rsidRPr="009C2562">
        <w:t xml:space="preserve">  Authority</w:t>
      </w:r>
      <w:bookmarkEnd w:id="5"/>
    </w:p>
    <w:p w:rsidR="005E317F" w:rsidRPr="009C2562" w:rsidRDefault="005E317F" w:rsidP="005E317F">
      <w:pPr>
        <w:pStyle w:val="subsection"/>
      </w:pPr>
      <w:r w:rsidRPr="009C2562">
        <w:tab/>
      </w:r>
      <w:r w:rsidRPr="009C2562">
        <w:tab/>
        <w:t xml:space="preserve">This instrument is made under </w:t>
      </w:r>
      <w:r w:rsidR="00BA3AA9">
        <w:t xml:space="preserve">section 56BA of the </w:t>
      </w:r>
      <w:r w:rsidR="00BA3AA9">
        <w:rPr>
          <w:i/>
        </w:rPr>
        <w:t>Competition and Consumer Act 2010</w:t>
      </w:r>
      <w:r w:rsidRPr="009C2562">
        <w:t>.</w:t>
      </w:r>
    </w:p>
    <w:p w:rsidR="005E317F" w:rsidRPr="006065DA" w:rsidRDefault="005E317F" w:rsidP="005E317F">
      <w:pPr>
        <w:pStyle w:val="ActHead5"/>
      </w:pPr>
      <w:bookmarkStart w:id="6" w:name="_Toc50708309"/>
      <w:r w:rsidRPr="006065DA">
        <w:t>4  Schedules</w:t>
      </w:r>
      <w:bookmarkEnd w:id="6"/>
    </w:p>
    <w:p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rsidR="005E317F" w:rsidRDefault="005E317F" w:rsidP="005E317F">
      <w:pPr>
        <w:pStyle w:val="ActHead6"/>
        <w:pageBreakBefore/>
      </w:pPr>
      <w:bookmarkStart w:id="7" w:name="_Toc50708310"/>
      <w:r w:rsidRPr="00DB64FC">
        <w:rPr>
          <w:rStyle w:val="CharAmSchNo"/>
        </w:rPr>
        <w:lastRenderedPageBreak/>
        <w:t>Schedule 1</w:t>
      </w:r>
      <w:r>
        <w:t>—</w:t>
      </w:r>
      <w:r w:rsidRPr="00DB64FC">
        <w:rPr>
          <w:rStyle w:val="CharAmSchText"/>
        </w:rPr>
        <w:t>Amendments</w:t>
      </w:r>
      <w:bookmarkEnd w:id="7"/>
    </w:p>
    <w:p w:rsidR="00BA3AA9" w:rsidRDefault="00BA3AA9" w:rsidP="00BA3AA9">
      <w:pPr>
        <w:pStyle w:val="ActHead9"/>
      </w:pPr>
      <w:bookmarkStart w:id="8" w:name="_Toc40270802"/>
      <w:bookmarkStart w:id="9" w:name="_Toc50708278"/>
      <w:bookmarkStart w:id="10" w:name="_Toc50708311"/>
      <w:r>
        <w:t>Competition and Consumer (Consumer Data Right) Rules 2020</w:t>
      </w:r>
      <w:bookmarkEnd w:id="8"/>
      <w:bookmarkEnd w:id="9"/>
      <w:bookmarkEnd w:id="10"/>
    </w:p>
    <w:p w:rsidR="005E317F" w:rsidRDefault="00907B2A" w:rsidP="005E317F">
      <w:pPr>
        <w:pStyle w:val="ItemHead"/>
      </w:pPr>
      <w:r>
        <w:rPr>
          <w:noProof/>
        </w:rPr>
        <w:t>1</w:t>
      </w:r>
      <w:r w:rsidR="005E317F">
        <w:t xml:space="preserve">  </w:t>
      </w:r>
      <w:r w:rsidR="00BA3AA9">
        <w:t>Subrule 1.6(11)</w:t>
      </w:r>
    </w:p>
    <w:p w:rsidR="005E317F" w:rsidRDefault="005E317F" w:rsidP="005E317F">
      <w:pPr>
        <w:pStyle w:val="Item"/>
      </w:pPr>
      <w:r>
        <w:t>Omit “</w:t>
      </w:r>
      <w:r w:rsidR="00BA3AA9">
        <w:t>receive CDR data</w:t>
      </w:r>
      <w:r>
        <w:t>”</w:t>
      </w:r>
      <w:r w:rsidR="00BA3AA9">
        <w:t>, substitute “hold CDR data (service data)”</w:t>
      </w:r>
      <w:r>
        <w:t>.</w:t>
      </w:r>
    </w:p>
    <w:p w:rsidR="005E317F" w:rsidRDefault="00907B2A" w:rsidP="005E317F">
      <w:pPr>
        <w:pStyle w:val="ItemHead"/>
      </w:pPr>
      <w:r>
        <w:rPr>
          <w:noProof/>
        </w:rPr>
        <w:t>2</w:t>
      </w:r>
      <w:r w:rsidR="005E317F">
        <w:t xml:space="preserve">  </w:t>
      </w:r>
      <w:r w:rsidR="00BA3AA9">
        <w:t>Subrule 1.7(1)</w:t>
      </w:r>
    </w:p>
    <w:p w:rsidR="005E317F" w:rsidRDefault="00BA3AA9" w:rsidP="005E317F">
      <w:pPr>
        <w:pStyle w:val="Item"/>
      </w:pPr>
      <w:r>
        <w:t>Insert:</w:t>
      </w:r>
    </w:p>
    <w:p w:rsidR="00BA3AA9" w:rsidRDefault="00BA3AA9" w:rsidP="00BA3AA9">
      <w:pPr>
        <w:pStyle w:val="Definition"/>
      </w:pPr>
      <w:r w:rsidRPr="00BA3AA9">
        <w:rPr>
          <w:b/>
          <w:bCs/>
          <w:i/>
          <w:iCs/>
        </w:rPr>
        <w:t>service data</w:t>
      </w:r>
      <w:r w:rsidRPr="00BA3AA9">
        <w:t xml:space="preserve"> has the meaning given by rule 1.10.</w:t>
      </w:r>
    </w:p>
    <w:p w:rsidR="00907B2A" w:rsidRDefault="00907B2A" w:rsidP="00907B2A">
      <w:pPr>
        <w:pStyle w:val="ItemHead"/>
      </w:pPr>
      <w:r>
        <w:rPr>
          <w:noProof/>
        </w:rPr>
        <w:t>3</w:t>
      </w:r>
      <w:r>
        <w:t xml:space="preserve">  After subrule 1.7(4)</w:t>
      </w:r>
    </w:p>
    <w:p w:rsidR="00907B2A" w:rsidRDefault="00907B2A" w:rsidP="00907B2A">
      <w:pPr>
        <w:pStyle w:val="Item"/>
      </w:pPr>
      <w:r>
        <w:t>Insert:</w:t>
      </w:r>
    </w:p>
    <w:p w:rsidR="00907B2A" w:rsidRPr="00907B2A" w:rsidRDefault="00907B2A" w:rsidP="00907B2A">
      <w:pPr>
        <w:pStyle w:val="SubsectionHead"/>
      </w:pPr>
      <w:r w:rsidRPr="00907B2A">
        <w:t xml:space="preserve">References to </w:t>
      </w:r>
      <w:r w:rsidRPr="00907B2A">
        <w:rPr>
          <w:b/>
        </w:rPr>
        <w:t>accredited person</w:t>
      </w:r>
    </w:p>
    <w:p w:rsidR="00907B2A" w:rsidRPr="00907B2A" w:rsidRDefault="00907B2A" w:rsidP="00907B2A">
      <w:pPr>
        <w:pStyle w:val="subsection"/>
      </w:pPr>
      <w:r w:rsidRPr="00907B2A">
        <w:tab/>
        <w:t>(5)</w:t>
      </w:r>
      <w:r w:rsidRPr="00907B2A">
        <w:tab/>
        <w:t>In these rules, unless the contrary intention appears, a reference to an accredited person making a consumer data request, collecting consumer data, obtaining consents, providing a consumer dashboard, or using or disclosing CDR data d</w:t>
      </w:r>
      <w:r>
        <w:t>oes not include a reference to an</w:t>
      </w:r>
      <w:r w:rsidRPr="00907B2A">
        <w:t xml:space="preserve"> accredited person doing those things on behalf of a principal in its capacity as the provider in an outsourced service arrangement, in accordance with the arrangement.</w:t>
      </w:r>
    </w:p>
    <w:p w:rsidR="005E317F" w:rsidRDefault="00907B2A" w:rsidP="005E317F">
      <w:pPr>
        <w:pStyle w:val="ItemHead"/>
      </w:pPr>
      <w:r>
        <w:rPr>
          <w:noProof/>
        </w:rPr>
        <w:t>4</w:t>
      </w:r>
      <w:r w:rsidR="005E317F">
        <w:t xml:space="preserve">  </w:t>
      </w:r>
      <w:r w:rsidR="00BA3AA9">
        <w:t>Rule 1.10</w:t>
      </w:r>
    </w:p>
    <w:p w:rsidR="005E317F" w:rsidRDefault="005E317F" w:rsidP="005E317F">
      <w:pPr>
        <w:pStyle w:val="Item"/>
      </w:pPr>
      <w:r>
        <w:t xml:space="preserve">Repeal the </w:t>
      </w:r>
      <w:r w:rsidR="00BA3AA9">
        <w:t>rule, substitute:</w:t>
      </w:r>
    </w:p>
    <w:p w:rsidR="00BA3AA9" w:rsidRPr="00A777E8" w:rsidRDefault="00BA3AA9" w:rsidP="00BA3AA9">
      <w:pPr>
        <w:pStyle w:val="ActHead5"/>
        <w:rPr>
          <w:i/>
          <w:strike/>
          <w:shd w:val="clear" w:color="auto" w:fill="FFFFFF"/>
        </w:rPr>
      </w:pPr>
      <w:bookmarkStart w:id="11" w:name="_Toc50041691"/>
      <w:bookmarkStart w:id="12" w:name="_Toc50708279"/>
      <w:bookmarkStart w:id="13" w:name="_Toc50708312"/>
      <w:r>
        <w:rPr>
          <w:shd w:val="clear" w:color="auto" w:fill="FFFFFF"/>
        </w:rPr>
        <w:t>1.10</w:t>
      </w:r>
      <w:r w:rsidRPr="00B5674F">
        <w:rPr>
          <w:shd w:val="clear" w:color="auto" w:fill="FFFFFF"/>
        </w:rPr>
        <w:t xml:space="preserve">  </w:t>
      </w:r>
      <w:r w:rsidRPr="00077990">
        <w:rPr>
          <w:shd w:val="clear" w:color="auto" w:fill="FFFFFF"/>
        </w:rPr>
        <w:t xml:space="preserve">Meaning of </w:t>
      </w:r>
      <w:r w:rsidRPr="00077990">
        <w:rPr>
          <w:i/>
          <w:shd w:val="clear" w:color="auto" w:fill="FFFFFF"/>
        </w:rPr>
        <w:t xml:space="preserve">outsourced service provider </w:t>
      </w:r>
      <w:r w:rsidRPr="00077990">
        <w:rPr>
          <w:shd w:val="clear" w:color="auto" w:fill="FFFFFF"/>
        </w:rPr>
        <w:t>and</w:t>
      </w:r>
      <w:r>
        <w:rPr>
          <w:shd w:val="clear" w:color="auto" w:fill="FFFFFF"/>
        </w:rPr>
        <w:t xml:space="preserve"> </w:t>
      </w:r>
      <w:r w:rsidRPr="00BA3AA9">
        <w:rPr>
          <w:shd w:val="clear" w:color="auto" w:fill="FFFFFF"/>
        </w:rPr>
        <w:t xml:space="preserve">related </w:t>
      </w:r>
      <w:r w:rsidRPr="00A777E8">
        <w:rPr>
          <w:shd w:val="clear" w:color="auto" w:fill="FFFFFF"/>
        </w:rPr>
        <w:t>terms</w:t>
      </w:r>
      <w:bookmarkEnd w:id="11"/>
      <w:bookmarkEnd w:id="12"/>
      <w:bookmarkEnd w:id="13"/>
    </w:p>
    <w:p w:rsidR="00BA3AA9" w:rsidRPr="00BA3AA9" w:rsidRDefault="00BA3AA9" w:rsidP="00BA3AA9">
      <w:pPr>
        <w:pStyle w:val="subsection"/>
      </w:pPr>
      <w:r w:rsidRPr="00A777E8">
        <w:tab/>
        <w:t>(1)</w:t>
      </w:r>
      <w:r w:rsidRPr="00A777E8">
        <w:tab/>
        <w:t xml:space="preserve">For these rules, where two persons are the principal and the provider </w:t>
      </w:r>
      <w:r w:rsidRPr="00BA3AA9">
        <w:t xml:space="preserve">in a CDR outsourcing arrangement, the provider is an </w:t>
      </w:r>
      <w:r w:rsidRPr="00BA3AA9">
        <w:rPr>
          <w:b/>
          <w:i/>
        </w:rPr>
        <w:t xml:space="preserve">outsourced service provider </w:t>
      </w:r>
      <w:r w:rsidRPr="00BA3AA9">
        <w:t>of the principal.</w:t>
      </w:r>
    </w:p>
    <w:p w:rsidR="00BA3AA9" w:rsidRPr="00BA3AA9" w:rsidRDefault="00BA3AA9" w:rsidP="00BA3AA9">
      <w:pPr>
        <w:pStyle w:val="subsection"/>
      </w:pPr>
      <w:r w:rsidRPr="00BA3AA9">
        <w:tab/>
        <w:t>(2)</w:t>
      </w:r>
      <w:r w:rsidRPr="00BA3AA9">
        <w:tab/>
        <w:t xml:space="preserve">For these rules, a </w:t>
      </w:r>
      <w:r w:rsidRPr="00BA3AA9">
        <w:rPr>
          <w:b/>
          <w:i/>
        </w:rPr>
        <w:t>CDR</w:t>
      </w:r>
      <w:r w:rsidRPr="00BA3AA9">
        <w:t xml:space="preserve"> </w:t>
      </w:r>
      <w:r w:rsidRPr="00BA3AA9">
        <w:rPr>
          <w:b/>
          <w:i/>
        </w:rPr>
        <w:t>outsourcing arrangement</w:t>
      </w:r>
      <w:r w:rsidRPr="00BA3AA9">
        <w:t xml:space="preserve"> is a written contract between a person (the </w:t>
      </w:r>
      <w:r w:rsidRPr="00BA3AA9">
        <w:rPr>
          <w:b/>
          <w:i/>
        </w:rPr>
        <w:t>principal</w:t>
      </w:r>
      <w:r w:rsidRPr="00BA3AA9">
        <w:t>)</w:t>
      </w:r>
      <w:r w:rsidRPr="00BA3AA9">
        <w:rPr>
          <w:b/>
          <w:i/>
        </w:rPr>
        <w:t xml:space="preserve"> </w:t>
      </w:r>
      <w:r w:rsidRPr="00BA3AA9">
        <w:t xml:space="preserve">and another person (the </w:t>
      </w:r>
      <w:r w:rsidRPr="00BA3AA9">
        <w:rPr>
          <w:b/>
          <w:i/>
        </w:rPr>
        <w:t>provider</w:t>
      </w:r>
      <w:r w:rsidRPr="00BA3AA9">
        <w:t>) under which:</w:t>
      </w:r>
    </w:p>
    <w:p w:rsidR="00BA3AA9" w:rsidRPr="00BA3AA9" w:rsidRDefault="00BA3AA9" w:rsidP="00BA3AA9">
      <w:pPr>
        <w:pStyle w:val="paragraph"/>
      </w:pPr>
      <w:r w:rsidRPr="00BA3AA9">
        <w:tab/>
        <w:t>(a)</w:t>
      </w:r>
      <w:r w:rsidRPr="00BA3AA9">
        <w:tab/>
        <w:t>the provider will do one or both of the following:</w:t>
      </w:r>
    </w:p>
    <w:p w:rsidR="00BA3AA9" w:rsidRPr="00BA3AA9" w:rsidRDefault="00BA3AA9" w:rsidP="00BA3AA9">
      <w:pPr>
        <w:pStyle w:val="paragraphsub"/>
      </w:pPr>
      <w:r w:rsidRPr="00BA3AA9">
        <w:tab/>
        <w:t>(i)</w:t>
      </w:r>
      <w:r w:rsidRPr="00BA3AA9">
        <w:tab/>
        <w:t>if the provider is an accredited person―collect CDR data from a CDR participant in accordance with these rules on behalf of the principal;</w:t>
      </w:r>
    </w:p>
    <w:p w:rsidR="00BA3AA9" w:rsidRPr="00BA3AA9" w:rsidRDefault="00BA3AA9" w:rsidP="00BA3AA9">
      <w:pPr>
        <w:pStyle w:val="paragraphsub"/>
      </w:pPr>
      <w:r w:rsidRPr="00BA3AA9">
        <w:tab/>
        <w:t>(ii)</w:t>
      </w:r>
      <w:r w:rsidRPr="00BA3AA9">
        <w:tab/>
        <w:t>in any case―provide goods or services to the principal using CDR data disclosed to it by the principal; and</w:t>
      </w:r>
    </w:p>
    <w:p w:rsidR="00BA3AA9" w:rsidRPr="00BA3AA9" w:rsidRDefault="00BA3AA9" w:rsidP="00BA3AA9">
      <w:pPr>
        <w:pStyle w:val="paragraph"/>
      </w:pPr>
      <w:r w:rsidRPr="00BA3AA9">
        <w:tab/>
        <w:t>(b)</w:t>
      </w:r>
      <w:r w:rsidRPr="00BA3AA9">
        <w:tab/>
        <w:t>the provider is required to comply with the following requirements in relation to any service data:</w:t>
      </w:r>
    </w:p>
    <w:p w:rsidR="00BA3AA9" w:rsidRPr="00BA3AA9" w:rsidRDefault="00BA3AA9" w:rsidP="00BA3AA9">
      <w:pPr>
        <w:pStyle w:val="paragraphsub"/>
      </w:pPr>
      <w:r w:rsidRPr="00BA3AA9">
        <w:tab/>
        <w:t>(i)</w:t>
      </w:r>
      <w:r w:rsidRPr="00BA3AA9">
        <w:tab/>
        <w:t>the provider must take the steps in Schedule 2 to protect the service data as if it were an accredited data recipient; and</w:t>
      </w:r>
    </w:p>
    <w:p w:rsidR="00BA3AA9" w:rsidRPr="00BA3AA9" w:rsidRDefault="00BA3AA9" w:rsidP="00BA3AA9">
      <w:pPr>
        <w:pStyle w:val="paragraphsub"/>
      </w:pPr>
      <w:r w:rsidRPr="00BA3AA9">
        <w:tab/>
        <w:t>(ii)</w:t>
      </w:r>
      <w:r w:rsidRPr="00BA3AA9">
        <w:tab/>
        <w:t>the provider must not use or disclose the service data other than in accordance with a contract with the principal; and</w:t>
      </w:r>
    </w:p>
    <w:p w:rsidR="00BA3AA9" w:rsidRPr="00BA3AA9" w:rsidRDefault="00BA3AA9" w:rsidP="00BA3AA9">
      <w:pPr>
        <w:pStyle w:val="paragraphsub"/>
      </w:pPr>
      <w:r w:rsidRPr="00BA3AA9">
        <w:tab/>
        <w:t>(iii)</w:t>
      </w:r>
      <w:r w:rsidRPr="00BA3AA9">
        <w:tab/>
        <w:t>the provider must, when so directed by the principal, do any of the following:</w:t>
      </w:r>
    </w:p>
    <w:p w:rsidR="00BA3AA9" w:rsidRPr="00BA3AA9" w:rsidRDefault="00BA3AA9" w:rsidP="00BA3AA9">
      <w:pPr>
        <w:pStyle w:val="paragraphsub-sub"/>
      </w:pPr>
      <w:r w:rsidRPr="00BA3AA9">
        <w:tab/>
        <w:t>(A)</w:t>
      </w:r>
      <w:r w:rsidRPr="00BA3AA9">
        <w:tab/>
        <w:t>provide the principal with access to any service data that it holds;</w:t>
      </w:r>
    </w:p>
    <w:p w:rsidR="00BA3AA9" w:rsidRPr="00BA3AA9" w:rsidRDefault="00BA3AA9" w:rsidP="00BA3AA9">
      <w:pPr>
        <w:pStyle w:val="paragraphsub-sub"/>
      </w:pPr>
      <w:r w:rsidRPr="00BA3AA9">
        <w:lastRenderedPageBreak/>
        <w:tab/>
        <w:t>(B)</w:t>
      </w:r>
      <w:r w:rsidRPr="00BA3AA9">
        <w:tab/>
        <w:t>return to the principal CDR data that the principal disclosed to it;</w:t>
      </w:r>
    </w:p>
    <w:p w:rsidR="00BA3AA9" w:rsidRPr="00BA3AA9" w:rsidRDefault="00BA3AA9" w:rsidP="00BA3AA9">
      <w:pPr>
        <w:pStyle w:val="paragraphsub-sub"/>
      </w:pPr>
      <w:r w:rsidRPr="00BA3AA9">
        <w:tab/>
        <w:t>(C)</w:t>
      </w:r>
      <w:r w:rsidRPr="00BA3AA9">
        <w:tab/>
        <w:t>delete any service data that it holds in accordance with the CDR data deletion process;</w:t>
      </w:r>
    </w:p>
    <w:p w:rsidR="00BA3AA9" w:rsidRPr="00BA3AA9" w:rsidRDefault="00BA3AA9" w:rsidP="00BA3AA9">
      <w:pPr>
        <w:pStyle w:val="paragraphsub-sub"/>
      </w:pPr>
      <w:r w:rsidRPr="00BA3AA9">
        <w:tab/>
        <w:t>(D)</w:t>
      </w:r>
      <w:r w:rsidRPr="00BA3AA9">
        <w:tab/>
        <w:t>provide, to the principal, records of any deletion that are required to be made under the CDR data deletion process;</w:t>
      </w:r>
    </w:p>
    <w:p w:rsidR="00BA3AA9" w:rsidRPr="00BA3AA9" w:rsidRDefault="00BA3AA9" w:rsidP="00BA3AA9">
      <w:pPr>
        <w:pStyle w:val="paragraphsub-sub"/>
      </w:pPr>
      <w:r w:rsidRPr="00BA3AA9">
        <w:tab/>
        <w:t>(E)</w:t>
      </w:r>
      <w:r w:rsidRPr="00BA3AA9">
        <w:tab/>
        <w:t>direct any other person to which it has disclosed CDR data to take corresponding steps; and</w:t>
      </w:r>
    </w:p>
    <w:p w:rsidR="00BA3AA9" w:rsidRPr="00BA3AA9" w:rsidRDefault="00BA3AA9" w:rsidP="00BA3AA9">
      <w:pPr>
        <w:pStyle w:val="paragraphsub"/>
      </w:pPr>
      <w:r w:rsidRPr="00BA3AA9">
        <w:tab/>
        <w:t>(iv)</w:t>
      </w:r>
      <w:r w:rsidRPr="00BA3AA9">
        <w:tab/>
        <w:t>where the provider is to collect CDR data under the contract as mentioned in subparagraph (a)(i)—the provider must not further  outsource that collection; and</w:t>
      </w:r>
    </w:p>
    <w:p w:rsidR="00BA3AA9" w:rsidRPr="00BA3AA9" w:rsidRDefault="00BA3AA9" w:rsidP="00BA3AA9">
      <w:pPr>
        <w:pStyle w:val="paragraphsub"/>
        <w:rPr>
          <w:strike/>
        </w:rPr>
      </w:pPr>
      <w:r w:rsidRPr="00BA3AA9">
        <w:tab/>
        <w:t xml:space="preserve">  (v)</w:t>
      </w:r>
      <w:r w:rsidRPr="00BA3AA9">
        <w:tab/>
        <w:t>the provider must not disclose any service data to another person, otherwise than under a further CDR outsourcing arrangement; and</w:t>
      </w:r>
    </w:p>
    <w:p w:rsidR="00BA3AA9" w:rsidRDefault="00BA3AA9" w:rsidP="00BA3AA9">
      <w:pPr>
        <w:pStyle w:val="paragraphsub"/>
      </w:pPr>
      <w:r w:rsidRPr="00BA3AA9">
        <w:tab/>
        <w:t>(vi)</w:t>
      </w:r>
      <w:r w:rsidRPr="00BA3AA9">
        <w:tab/>
        <w:t xml:space="preserve">if the provider does disclose such CDR data in accordance with subparagraph (v), it must ensure that the other person complies with the requirements of the further CDR outsourcing </w:t>
      </w:r>
      <w:r w:rsidRPr="00B5674F">
        <w:t>arrangement</w:t>
      </w:r>
      <w:r>
        <w:t>.</w:t>
      </w:r>
    </w:p>
    <w:p w:rsidR="00BA3AA9" w:rsidRDefault="00BA3AA9" w:rsidP="00BA3AA9">
      <w:pPr>
        <w:pStyle w:val="notetext"/>
      </w:pPr>
      <w:r w:rsidRPr="00B5674F">
        <w:t>Note:</w:t>
      </w:r>
      <w:r w:rsidRPr="00B5674F">
        <w:tab/>
        <w:t>See rule </w:t>
      </w:r>
      <w:r>
        <w:t>1.18</w:t>
      </w:r>
      <w:r w:rsidRPr="00B5674F">
        <w:t xml:space="preserve"> for the definition of “CDR data deletion process”.</w:t>
      </w:r>
    </w:p>
    <w:p w:rsidR="00BA3AA9" w:rsidRPr="00BA3AA9" w:rsidRDefault="00BA3AA9" w:rsidP="00BA3AA9">
      <w:pPr>
        <w:pStyle w:val="subsection"/>
      </w:pPr>
      <w:r w:rsidRPr="00BA3AA9">
        <w:tab/>
        <w:t>(3)</w:t>
      </w:r>
      <w:r w:rsidRPr="00BA3AA9">
        <w:tab/>
        <w:t>For subparagraph (2)(a)(ii), the principal is taken to disclose CDR data to the provider if the principal gives the provider permission to access or use CDR data collected by the provider on behalf of the principal.</w:t>
      </w:r>
    </w:p>
    <w:p w:rsidR="00BA3AA9" w:rsidRPr="00BA3AA9" w:rsidRDefault="00BA3AA9" w:rsidP="00BA3AA9">
      <w:pPr>
        <w:pStyle w:val="subsection"/>
      </w:pPr>
      <w:r w:rsidRPr="00BA3AA9">
        <w:tab/>
        <w:t>(4)</w:t>
      </w:r>
      <w:r w:rsidRPr="00BA3AA9">
        <w:tab/>
        <w:t xml:space="preserve">For these rules, the </w:t>
      </w:r>
      <w:r w:rsidRPr="00BA3AA9">
        <w:rPr>
          <w:b/>
          <w:i/>
        </w:rPr>
        <w:t xml:space="preserve">service data </w:t>
      </w:r>
      <w:r w:rsidRPr="00BA3AA9">
        <w:t xml:space="preserve">in relation to a CDR outsourcing arrangement consists of any CDR data that: </w:t>
      </w:r>
    </w:p>
    <w:p w:rsidR="00BA3AA9" w:rsidRPr="00BA3AA9" w:rsidRDefault="00BA3AA9" w:rsidP="00CF4857">
      <w:pPr>
        <w:pStyle w:val="paragraph"/>
      </w:pPr>
      <w:r w:rsidRPr="00BA3AA9">
        <w:tab/>
        <w:t>(a)</w:t>
      </w:r>
      <w:r w:rsidRPr="00BA3AA9">
        <w:tab/>
        <w:t>was collected from a CDR participant in accordance with the arrangement; or</w:t>
      </w:r>
    </w:p>
    <w:p w:rsidR="00BA3AA9" w:rsidRPr="00BA3AA9" w:rsidRDefault="00BA3AA9" w:rsidP="00BA3AA9">
      <w:pPr>
        <w:pStyle w:val="paragraph"/>
      </w:pPr>
      <w:r w:rsidRPr="00BA3AA9">
        <w:tab/>
        <w:t>(b)</w:t>
      </w:r>
      <w:r w:rsidRPr="00BA3AA9">
        <w:tab/>
        <w:t>was disclosed to the provider in the CDR outsourcing arrangement for the purposes of the arrangement; or</w:t>
      </w:r>
    </w:p>
    <w:p w:rsidR="00BA3AA9" w:rsidRPr="00BA3AA9" w:rsidRDefault="00BA3AA9" w:rsidP="00BA3AA9">
      <w:pPr>
        <w:pStyle w:val="paragraph"/>
      </w:pPr>
      <w:r w:rsidRPr="00BA3AA9">
        <w:tab/>
        <w:t>(c)</w:t>
      </w:r>
      <w:r w:rsidRPr="00BA3AA9">
        <w:tab/>
        <w:t>directly or indirectly derives from such CDR data.</w:t>
      </w:r>
    </w:p>
    <w:p w:rsidR="005E317F" w:rsidRDefault="00907B2A" w:rsidP="005E317F">
      <w:pPr>
        <w:pStyle w:val="ItemHead"/>
      </w:pPr>
      <w:r>
        <w:rPr>
          <w:noProof/>
        </w:rPr>
        <w:t>5</w:t>
      </w:r>
      <w:r w:rsidR="005E317F">
        <w:t xml:space="preserve">  </w:t>
      </w:r>
      <w:r w:rsidR="00BA3AA9">
        <w:t>Rule 1.16</w:t>
      </w:r>
    </w:p>
    <w:p w:rsidR="005E317F" w:rsidRDefault="005E317F" w:rsidP="005E317F">
      <w:pPr>
        <w:pStyle w:val="Item"/>
      </w:pPr>
      <w:r>
        <w:t xml:space="preserve">Repeal the </w:t>
      </w:r>
      <w:r w:rsidR="00BA3AA9">
        <w:t>rule</w:t>
      </w:r>
      <w:r>
        <w:t>, substitute:</w:t>
      </w:r>
    </w:p>
    <w:p w:rsidR="00BA3AA9" w:rsidRPr="00AC3E68" w:rsidRDefault="00BA3AA9" w:rsidP="00BA3AA9">
      <w:pPr>
        <w:pStyle w:val="ActHead5"/>
        <w:rPr>
          <w:color w:val="006600"/>
        </w:rPr>
      </w:pPr>
      <w:bookmarkStart w:id="14" w:name="_Toc50041692"/>
      <w:bookmarkStart w:id="15" w:name="_Toc50708280"/>
      <w:bookmarkStart w:id="16" w:name="_Toc50708313"/>
      <w:r>
        <w:t>1.16</w:t>
      </w:r>
      <w:r w:rsidRPr="00005026">
        <w:t xml:space="preserve">  Obligation</w:t>
      </w:r>
      <w:r w:rsidRPr="00BA3AA9">
        <w:t>s</w:t>
      </w:r>
      <w:r w:rsidRPr="00005026">
        <w:t xml:space="preserve"> relating to </w:t>
      </w:r>
      <w:r w:rsidRPr="005F3D40">
        <w:rPr>
          <w:color w:val="000000" w:themeColor="text1"/>
        </w:rPr>
        <w:t xml:space="preserve">CDR </w:t>
      </w:r>
      <w:r w:rsidRPr="00977A14">
        <w:t>outsourcing</w:t>
      </w:r>
      <w:r>
        <w:t xml:space="preserve"> </w:t>
      </w:r>
      <w:r w:rsidRPr="005F3D40">
        <w:rPr>
          <w:color w:val="000000" w:themeColor="text1"/>
        </w:rPr>
        <w:t>arrangements</w:t>
      </w:r>
      <w:bookmarkEnd w:id="14"/>
      <w:bookmarkEnd w:id="15"/>
      <w:bookmarkEnd w:id="16"/>
      <w:r>
        <w:rPr>
          <w:color w:val="000000" w:themeColor="text1"/>
        </w:rPr>
        <w:t xml:space="preserve"> </w:t>
      </w:r>
    </w:p>
    <w:p w:rsidR="00BA3AA9" w:rsidRPr="00BA3AA9" w:rsidRDefault="00BA3AA9" w:rsidP="00BA3AA9">
      <w:pPr>
        <w:pStyle w:val="subsection"/>
      </w:pPr>
      <w:r w:rsidRPr="00BA3AA9">
        <w:tab/>
        <w:t>(1)</w:t>
      </w:r>
      <w:r w:rsidRPr="00BA3AA9">
        <w:tab/>
        <w:t>If an accredited person is the principal in a CDR outsourcing arrangement, it must ensure that the provider complies with its requirements under the arrangement.</w:t>
      </w:r>
    </w:p>
    <w:p w:rsidR="00BA3AA9" w:rsidRPr="00BA3AA9" w:rsidRDefault="00BA3AA9" w:rsidP="00BA3AA9">
      <w:pPr>
        <w:pStyle w:val="notetext"/>
      </w:pPr>
      <w:r w:rsidRPr="00BA3AA9">
        <w:t>Note:</w:t>
      </w:r>
      <w:r w:rsidRPr="00BA3AA9">
        <w:tab/>
        <w:t>This rule is a civil penalty provision (see rule 9.8).</w:t>
      </w:r>
    </w:p>
    <w:p w:rsidR="00F7316A" w:rsidRPr="00F7316A" w:rsidRDefault="00F7316A" w:rsidP="00F7316A">
      <w:pPr>
        <w:pStyle w:val="subsection"/>
      </w:pPr>
      <w:r w:rsidRPr="00F7316A">
        <w:tab/>
        <w:t>(2)</w:t>
      </w:r>
      <w:r w:rsidRPr="00F7316A">
        <w:tab/>
        <w:t xml:space="preserve">If an accredited person collects CDR data on behalf of another accredited person (the </w:t>
      </w:r>
      <w:r w:rsidRPr="00F7316A">
        <w:rPr>
          <w:b/>
          <w:i/>
        </w:rPr>
        <w:t>principal</w:t>
      </w:r>
      <w:r w:rsidRPr="00F7316A">
        <w:t>) under a CDR outsourcing arrangement:</w:t>
      </w:r>
    </w:p>
    <w:p w:rsidR="00F7316A" w:rsidRPr="00F7316A" w:rsidRDefault="00F7316A" w:rsidP="00F7316A">
      <w:pPr>
        <w:pStyle w:val="paragraph"/>
      </w:pPr>
      <w:r w:rsidRPr="00F7316A">
        <w:tab/>
        <w:t>(a)</w:t>
      </w:r>
      <w:r w:rsidRPr="00F7316A">
        <w:tab/>
        <w:t>rule 7.4 and rule 7.9 apply only in relation to the principal; and</w:t>
      </w:r>
    </w:p>
    <w:p w:rsidR="00F7316A" w:rsidRPr="00F7316A" w:rsidRDefault="00F7316A" w:rsidP="00F7316A">
      <w:pPr>
        <w:pStyle w:val="paragraph"/>
      </w:pPr>
      <w:r w:rsidRPr="00F7316A">
        <w:tab/>
        <w:t>(b)</w:t>
      </w:r>
      <w:r w:rsidRPr="00F7316A">
        <w:tab/>
        <w:t>paragraph 7.10(1)(a) requires the principal to be identified.</w:t>
      </w:r>
    </w:p>
    <w:p w:rsidR="005E317F" w:rsidRDefault="00907B2A" w:rsidP="005E317F">
      <w:pPr>
        <w:pStyle w:val="ItemHead"/>
      </w:pPr>
      <w:r>
        <w:rPr>
          <w:noProof/>
        </w:rPr>
        <w:t>6</w:t>
      </w:r>
      <w:r w:rsidR="005E317F">
        <w:t xml:space="preserve">  </w:t>
      </w:r>
      <w:r w:rsidR="00BA3AA9">
        <w:t>Paragraph 1.18(c)</w:t>
      </w:r>
    </w:p>
    <w:p w:rsidR="00BA3AA9" w:rsidRDefault="00770BA5" w:rsidP="005E317F">
      <w:pPr>
        <w:pStyle w:val="Item"/>
      </w:pPr>
      <w:r>
        <w:t>After “disclosed that CDR data”, insert “, or who has collected CDR data on its behalf,”.</w:t>
      </w:r>
    </w:p>
    <w:p w:rsidR="00BA3AA9" w:rsidRDefault="00907B2A" w:rsidP="00E37B05">
      <w:pPr>
        <w:pStyle w:val="ItemHead"/>
        <w:tabs>
          <w:tab w:val="left" w:pos="5710"/>
        </w:tabs>
      </w:pPr>
      <w:r>
        <w:rPr>
          <w:noProof/>
        </w:rPr>
        <w:lastRenderedPageBreak/>
        <w:t>7</w:t>
      </w:r>
      <w:r w:rsidR="00BA3AA9">
        <w:t xml:space="preserve">  Paragraph 4.11(3)(f)</w:t>
      </w:r>
      <w:r w:rsidR="00E37B05">
        <w:tab/>
      </w:r>
    </w:p>
    <w:p w:rsidR="00B41463" w:rsidRDefault="00B41463" w:rsidP="00BA3AA9">
      <w:pPr>
        <w:pStyle w:val="Item"/>
      </w:pPr>
      <w:r>
        <w:t>After “disclosed to”, insert “, or collected by</w:t>
      </w:r>
      <w:r w:rsidR="002F7058">
        <w:t>,</w:t>
      </w:r>
      <w:r>
        <w:t>”.</w:t>
      </w:r>
    </w:p>
    <w:p w:rsidR="00B41463" w:rsidRDefault="00907B2A" w:rsidP="00B41463">
      <w:pPr>
        <w:pStyle w:val="ItemHead"/>
      </w:pPr>
      <w:r>
        <w:rPr>
          <w:noProof/>
        </w:rPr>
        <w:t>8</w:t>
      </w:r>
      <w:r w:rsidR="00B41463">
        <w:t xml:space="preserve">  Paragraph 4.11(3)(f)</w:t>
      </w:r>
    </w:p>
    <w:p w:rsidR="00B41463" w:rsidRPr="00B41463" w:rsidRDefault="00B41463" w:rsidP="00B41463">
      <w:pPr>
        <w:pStyle w:val="Item"/>
      </w:pPr>
      <w:r>
        <w:t>After “(including one that is based overseas)”, insert “of the accredited person”.</w:t>
      </w:r>
    </w:p>
    <w:p w:rsidR="00BA3AA9" w:rsidRDefault="00907B2A" w:rsidP="005E317F">
      <w:pPr>
        <w:pStyle w:val="ItemHead"/>
      </w:pPr>
      <w:r>
        <w:rPr>
          <w:noProof/>
        </w:rPr>
        <w:t>9</w:t>
      </w:r>
      <w:r w:rsidR="005E317F">
        <w:t xml:space="preserve">  </w:t>
      </w:r>
      <w:r w:rsidR="00BA3AA9">
        <w:t>Paragraph 7.2(4)(b)</w:t>
      </w:r>
    </w:p>
    <w:p w:rsidR="00BA3AA9" w:rsidRDefault="00BA3AA9" w:rsidP="00BA3AA9">
      <w:pPr>
        <w:pStyle w:val="Item"/>
      </w:pPr>
      <w:r>
        <w:t>After “outsourced service providers”, insert “of the accredited data recipient”.</w:t>
      </w:r>
    </w:p>
    <w:p w:rsidR="00B41463" w:rsidRPr="00B41463" w:rsidRDefault="00907B2A" w:rsidP="00B41463">
      <w:pPr>
        <w:pStyle w:val="ItemHead"/>
      </w:pPr>
      <w:r>
        <w:rPr>
          <w:noProof/>
        </w:rPr>
        <w:t>10</w:t>
      </w:r>
      <w:r w:rsidR="00B41463" w:rsidRPr="00B41463">
        <w:t xml:space="preserve">  Rule 7.4 (note)</w:t>
      </w:r>
    </w:p>
    <w:p w:rsidR="00B41463" w:rsidRPr="00B41463" w:rsidRDefault="00B41463" w:rsidP="00B41463">
      <w:pPr>
        <w:pStyle w:val="Item"/>
      </w:pPr>
      <w:r w:rsidRPr="00B41463">
        <w:t>Repeal the note, substitute:</w:t>
      </w:r>
    </w:p>
    <w:p w:rsidR="00B41463" w:rsidRPr="00B41463" w:rsidRDefault="00B41463" w:rsidP="00B41463">
      <w:pPr>
        <w:pStyle w:val="notetext"/>
      </w:pPr>
      <w:r w:rsidRPr="00B41463">
        <w:t>Note 1:</w:t>
      </w:r>
      <w:r w:rsidRPr="00B41463">
        <w:tab/>
        <w:t>See paragraph 1.14(3)(h).</w:t>
      </w:r>
    </w:p>
    <w:p w:rsidR="00B41463" w:rsidRPr="00B41463" w:rsidRDefault="00B41463" w:rsidP="00B41463">
      <w:pPr>
        <w:pStyle w:val="notetext"/>
      </w:pPr>
      <w:r w:rsidRPr="00B41463">
        <w:t>Note 2:</w:t>
      </w:r>
      <w:r w:rsidRPr="00B41463">
        <w:tab/>
        <w:t>See rule 1.16 for how this rule applies in the case of a CDR outsourcing arrangement in which a provider collects CDR data on behalf of a principal</w:t>
      </w:r>
      <w:r>
        <w:t>.</w:t>
      </w:r>
    </w:p>
    <w:p w:rsidR="00BA3AA9" w:rsidRDefault="00907B2A" w:rsidP="00BA3AA9">
      <w:pPr>
        <w:pStyle w:val="ItemHead"/>
      </w:pPr>
      <w:r>
        <w:rPr>
          <w:noProof/>
        </w:rPr>
        <w:t>11</w:t>
      </w:r>
      <w:r w:rsidR="00BA3AA9">
        <w:t xml:space="preserve">  Paragraph 7.5(1)(d)</w:t>
      </w:r>
    </w:p>
    <w:p w:rsidR="00BA3AA9" w:rsidRDefault="00BA3AA9" w:rsidP="00BA3AA9">
      <w:pPr>
        <w:pStyle w:val="Item"/>
      </w:pPr>
      <w:r>
        <w:t>After “outsourced service provider”, insert “of the accredited data recipient under a CDR outsourcing arrangement”.</w:t>
      </w:r>
    </w:p>
    <w:p w:rsidR="00BA3AA9" w:rsidRDefault="00907B2A" w:rsidP="00BA3AA9">
      <w:pPr>
        <w:pStyle w:val="ItemHead"/>
      </w:pPr>
      <w:r>
        <w:rPr>
          <w:noProof/>
        </w:rPr>
        <w:t>12</w:t>
      </w:r>
      <w:r w:rsidR="00BA3AA9">
        <w:t xml:space="preserve">  </w:t>
      </w:r>
      <w:r w:rsidR="00770BA5">
        <w:t>At the end of p</w:t>
      </w:r>
      <w:r w:rsidR="00BA3AA9">
        <w:t>aragraph 7.5(1)(e)</w:t>
      </w:r>
    </w:p>
    <w:p w:rsidR="00BA3AA9" w:rsidRPr="00BA3AA9" w:rsidRDefault="00770BA5" w:rsidP="00BA3AA9">
      <w:pPr>
        <w:pStyle w:val="Item"/>
      </w:pPr>
      <w:r>
        <w:t>Add:</w:t>
      </w:r>
    </w:p>
    <w:p w:rsidR="00BA3AA9" w:rsidRDefault="00770BA5" w:rsidP="00BA3AA9">
      <w:pPr>
        <w:pStyle w:val="paragraph"/>
      </w:pPr>
      <w:r w:rsidRPr="0079355B">
        <w:t xml:space="preserve">                   </w:t>
      </w:r>
      <w:r w:rsidR="00BA3AA9" w:rsidRPr="0079355B">
        <w:t>;</w:t>
      </w:r>
      <w:r w:rsidRPr="0079355B">
        <w:t xml:space="preserve">  </w:t>
      </w:r>
      <w:r w:rsidR="00BA3AA9" w:rsidRPr="0079355B">
        <w:tab/>
        <w:t>(f)</w:t>
      </w:r>
      <w:r w:rsidR="00BA3AA9" w:rsidRPr="0079355B">
        <w:tab/>
      </w:r>
      <w:r w:rsidR="0079355B" w:rsidRPr="0079355B">
        <w:t xml:space="preserve">where the accredited data recipient collected the CDR data as </w:t>
      </w:r>
      <w:r w:rsidR="00BA3AA9" w:rsidRPr="0079355B">
        <w:t>a</w:t>
      </w:r>
      <w:r w:rsidR="00BA3AA9" w:rsidRPr="00BA3AA9">
        <w:t xml:space="preserve"> provider i</w:t>
      </w:r>
      <w:r w:rsidR="0079355B">
        <w:t>n a CDR outsourcing arrangement—</w:t>
      </w:r>
      <w:r w:rsidR="00BA3AA9" w:rsidRPr="00BA3AA9">
        <w:t>disclosing service data to the principal under the arrangement.</w:t>
      </w:r>
    </w:p>
    <w:p w:rsidR="00B41463" w:rsidRDefault="00907B2A" w:rsidP="00B41463">
      <w:pPr>
        <w:pStyle w:val="ItemHead"/>
      </w:pPr>
      <w:r>
        <w:rPr>
          <w:noProof/>
        </w:rPr>
        <w:t>13</w:t>
      </w:r>
      <w:r w:rsidR="00B41463">
        <w:t xml:space="preserve">  Paragraph </w:t>
      </w:r>
      <w:r w:rsidR="00B41463" w:rsidRPr="00B41463">
        <w:t>7.5(3)(c)</w:t>
      </w:r>
    </w:p>
    <w:p w:rsidR="00B41463" w:rsidRDefault="00B41463" w:rsidP="00B41463">
      <w:pPr>
        <w:pStyle w:val="Item"/>
      </w:pPr>
      <w:r>
        <w:t xml:space="preserve">After “outsourced service provider”, insert “of the accredited data recipient”. </w:t>
      </w:r>
    </w:p>
    <w:p w:rsidR="00BA3AA9" w:rsidRDefault="00907B2A" w:rsidP="00BA3AA9">
      <w:pPr>
        <w:pStyle w:val="ItemHead"/>
      </w:pPr>
      <w:r>
        <w:rPr>
          <w:noProof/>
        </w:rPr>
        <w:t>14</w:t>
      </w:r>
      <w:r w:rsidR="00BA3AA9">
        <w:t xml:space="preserve">  Subrules 7.6(2) and (3)</w:t>
      </w:r>
    </w:p>
    <w:p w:rsidR="00BA3AA9" w:rsidRDefault="00BA3AA9" w:rsidP="00BA3AA9">
      <w:pPr>
        <w:pStyle w:val="Item"/>
      </w:pPr>
      <w:r>
        <w:tab/>
        <w:t>Repeal the subrules, substitute:</w:t>
      </w:r>
    </w:p>
    <w:p w:rsidR="00BA3AA9" w:rsidRPr="00BA3AA9" w:rsidRDefault="00BA3AA9" w:rsidP="00BA3AA9">
      <w:pPr>
        <w:pStyle w:val="subsection"/>
      </w:pPr>
      <w:r w:rsidRPr="00BA3AA9">
        <w:tab/>
        <w:t>(2)</w:t>
      </w:r>
      <w:r w:rsidRPr="00BA3AA9">
        <w:tab/>
        <w:t>For this rule:</w:t>
      </w:r>
    </w:p>
    <w:p w:rsidR="00BA3AA9" w:rsidRPr="00BA3AA9" w:rsidRDefault="00BA3AA9" w:rsidP="00BA3AA9">
      <w:pPr>
        <w:pStyle w:val="paragraph"/>
      </w:pPr>
      <w:r w:rsidRPr="00BA3AA9">
        <w:tab/>
        <w:t>(a)</w:t>
      </w:r>
      <w:r w:rsidRPr="00BA3AA9">
        <w:tab/>
        <w:t>any use or disclosure of service data by the provider under a CDR outsourcing arrangement is taken to have been by the principal under the arrangement; and</w:t>
      </w:r>
    </w:p>
    <w:p w:rsidR="00BA3AA9" w:rsidRPr="00BA3AA9" w:rsidRDefault="00BA3AA9" w:rsidP="00BA3AA9">
      <w:pPr>
        <w:pStyle w:val="paragraph"/>
      </w:pPr>
      <w:r w:rsidRPr="00BA3AA9">
        <w:tab/>
        <w:t>(b)</w:t>
      </w:r>
      <w:r w:rsidRPr="00BA3AA9">
        <w:tab/>
        <w:t>it is irrelevant whether the use or disclosure:</w:t>
      </w:r>
    </w:p>
    <w:p w:rsidR="00BA3AA9" w:rsidRPr="00BA3AA9" w:rsidRDefault="00BA3AA9" w:rsidP="00BA3AA9">
      <w:pPr>
        <w:pStyle w:val="paragraphsub"/>
      </w:pPr>
      <w:r w:rsidRPr="00BA3AA9">
        <w:tab/>
        <w:t>(i)</w:t>
      </w:r>
      <w:r w:rsidRPr="00BA3AA9">
        <w:tab/>
        <w:t>is in accordance with the arrangement; or</w:t>
      </w:r>
    </w:p>
    <w:p w:rsidR="00BA3AA9" w:rsidRPr="00BA3AA9" w:rsidRDefault="00BA3AA9" w:rsidP="00BA3AA9">
      <w:pPr>
        <w:pStyle w:val="paragraphsub"/>
      </w:pPr>
      <w:r w:rsidRPr="00BA3AA9">
        <w:tab/>
        <w:t>(ii)</w:t>
      </w:r>
      <w:r w:rsidRPr="00BA3AA9">
        <w:tab/>
        <w:t>is taken to have been by the provider by an application of this subrule to another CDR outsourcing arrangement in which it is the principal.</w:t>
      </w:r>
    </w:p>
    <w:p w:rsidR="00BA3AA9" w:rsidRPr="00BA3AA9" w:rsidRDefault="00BA3AA9" w:rsidP="00BA3AA9">
      <w:pPr>
        <w:pStyle w:val="notetext"/>
      </w:pPr>
      <w:r w:rsidRPr="00BA3AA9">
        <w:t>Note:</w:t>
      </w:r>
      <w:r w:rsidRPr="00BA3AA9">
        <w:tab/>
        <w:t>See rule 1.10 for the definition of “service data”.</w:t>
      </w:r>
    </w:p>
    <w:p w:rsidR="00BA3AA9" w:rsidRDefault="00907B2A" w:rsidP="00BA3AA9">
      <w:pPr>
        <w:pStyle w:val="ItemHead"/>
      </w:pPr>
      <w:r>
        <w:rPr>
          <w:noProof/>
        </w:rPr>
        <w:t>15</w:t>
      </w:r>
      <w:r w:rsidR="00BA3AA9">
        <w:t xml:space="preserve">  At the end of rule 7.9</w:t>
      </w:r>
    </w:p>
    <w:p w:rsidR="00BA3AA9" w:rsidRPr="00BA3AA9" w:rsidRDefault="00BA3AA9" w:rsidP="00BA3AA9">
      <w:pPr>
        <w:pStyle w:val="Item"/>
      </w:pPr>
      <w:r>
        <w:t>Insert:</w:t>
      </w:r>
    </w:p>
    <w:p w:rsidR="00BA3AA9" w:rsidRPr="00BA3AA9" w:rsidRDefault="00BA3AA9" w:rsidP="00BA3AA9">
      <w:pPr>
        <w:pStyle w:val="notetext"/>
      </w:pPr>
      <w:r w:rsidRPr="00BA3AA9">
        <w:t>Note 4:</w:t>
      </w:r>
      <w:r w:rsidRPr="00BA3AA9">
        <w:tab/>
        <w:t>See rule 1.16 for how this rule applies in the case of a CDR outsourcing arrangement in which a provider collects CDR data on behalf of a principal</w:t>
      </w:r>
      <w:r w:rsidR="00F7316A">
        <w:t>.</w:t>
      </w:r>
    </w:p>
    <w:p w:rsidR="00F7316A" w:rsidRDefault="00907B2A" w:rsidP="005E317F">
      <w:pPr>
        <w:pStyle w:val="ItemHead"/>
      </w:pPr>
      <w:r>
        <w:rPr>
          <w:noProof/>
        </w:rPr>
        <w:t>16</w:t>
      </w:r>
      <w:r w:rsidR="00BA3AA9">
        <w:t xml:space="preserve">  </w:t>
      </w:r>
      <w:r w:rsidR="00F7316A">
        <w:t>At the end of subrule 7.10(1)</w:t>
      </w:r>
    </w:p>
    <w:p w:rsidR="00F7316A" w:rsidRDefault="00F7316A" w:rsidP="00F7316A">
      <w:pPr>
        <w:pStyle w:val="Item"/>
      </w:pPr>
      <w:r>
        <w:t>Insert:</w:t>
      </w:r>
    </w:p>
    <w:p w:rsidR="00F7316A" w:rsidRPr="00F7316A" w:rsidRDefault="00F7316A" w:rsidP="00F7316A">
      <w:pPr>
        <w:pStyle w:val="notetext"/>
      </w:pPr>
      <w:r w:rsidRPr="00F7316A">
        <w:lastRenderedPageBreak/>
        <w:t>Note 3:</w:t>
      </w:r>
      <w:r w:rsidRPr="00F7316A">
        <w:tab/>
        <w:t>See rule 1.16 for how this rule applies in the case of a CDR outsourcing arrangement in which a provider collects CDR data on behalf of a principal.</w:t>
      </w:r>
    </w:p>
    <w:p w:rsidR="00BA3AA9" w:rsidRDefault="00907B2A" w:rsidP="005E317F">
      <w:pPr>
        <w:pStyle w:val="ItemHead"/>
      </w:pPr>
      <w:r>
        <w:rPr>
          <w:noProof/>
        </w:rPr>
        <w:t>17</w:t>
      </w:r>
      <w:r w:rsidR="00F7316A">
        <w:t xml:space="preserve">  </w:t>
      </w:r>
      <w:r w:rsidR="00BA3AA9">
        <w:t>Paragraph 7.12(2)(b)</w:t>
      </w:r>
    </w:p>
    <w:p w:rsidR="00BA3AA9" w:rsidRPr="00BA3AA9" w:rsidRDefault="00BA3AA9" w:rsidP="00BA3AA9">
      <w:pPr>
        <w:pStyle w:val="Item"/>
      </w:pPr>
      <w:r>
        <w:t>After “any outsourced service provider”, insert “of the accredited data recipient”.</w:t>
      </w:r>
    </w:p>
    <w:p w:rsidR="00BA3AA9" w:rsidRDefault="00907B2A" w:rsidP="005E317F">
      <w:pPr>
        <w:pStyle w:val="ItemHead"/>
      </w:pPr>
      <w:r>
        <w:rPr>
          <w:noProof/>
        </w:rPr>
        <w:t>18</w:t>
      </w:r>
      <w:r w:rsidR="00BA3AA9">
        <w:t xml:space="preserve">  Subparagraph 9.3(2)(i)(i)</w:t>
      </w:r>
    </w:p>
    <w:p w:rsidR="00BA3AA9" w:rsidRDefault="00BA3AA9" w:rsidP="00BA3AA9">
      <w:pPr>
        <w:pStyle w:val="Item"/>
      </w:pPr>
      <w:r>
        <w:t>Omit “sharing CDR data with”, substitute “CDR data being collected by or disclosed to”.</w:t>
      </w:r>
    </w:p>
    <w:p w:rsidR="009E0413" w:rsidRDefault="00B41463" w:rsidP="00BA3AA9">
      <w:pPr>
        <w:pStyle w:val="ItemHead"/>
      </w:pPr>
      <w:r>
        <w:t>1</w:t>
      </w:r>
      <w:r w:rsidR="00A4073C">
        <w:t>9</w:t>
      </w:r>
      <w:r w:rsidR="00BA3AA9">
        <w:t xml:space="preserve">  </w:t>
      </w:r>
      <w:r w:rsidR="009E0413">
        <w:t>Paragraph 9.8(e)</w:t>
      </w:r>
    </w:p>
    <w:p w:rsidR="009E0413" w:rsidRDefault="009E0413" w:rsidP="009E0413">
      <w:pPr>
        <w:pStyle w:val="Item"/>
      </w:pPr>
      <w:r>
        <w:t>Repeal the paragraph, substitute:</w:t>
      </w:r>
    </w:p>
    <w:p w:rsidR="009E0413" w:rsidRPr="001151F8" w:rsidRDefault="009E0413" w:rsidP="009E0413">
      <w:pPr>
        <w:pStyle w:val="paragraph"/>
        <w:rPr>
          <w:color w:val="000000" w:themeColor="text1"/>
        </w:rPr>
      </w:pPr>
      <w:r w:rsidRPr="001151F8">
        <w:rPr>
          <w:color w:val="000000" w:themeColor="text1"/>
        </w:rPr>
        <w:tab/>
      </w:r>
      <w:r>
        <w:rPr>
          <w:color w:val="000000" w:themeColor="text1"/>
        </w:rPr>
        <w:t>(e)</w:t>
      </w:r>
      <w:r w:rsidRPr="001151F8">
        <w:rPr>
          <w:color w:val="000000" w:themeColor="text1"/>
        </w:rPr>
        <w:tab/>
      </w:r>
      <w:r w:rsidRPr="009E0413">
        <w:t>subrule 1.16(1);</w:t>
      </w:r>
    </w:p>
    <w:p w:rsidR="00BA3AA9" w:rsidRDefault="00A4073C" w:rsidP="00BA3AA9">
      <w:pPr>
        <w:pStyle w:val="ItemHead"/>
      </w:pPr>
      <w:r>
        <w:rPr>
          <w:noProof/>
        </w:rPr>
        <w:t>20</w:t>
      </w:r>
      <w:r w:rsidR="009E0413">
        <w:t xml:space="preserve">  </w:t>
      </w:r>
      <w:r w:rsidR="00BA3AA9">
        <w:t>Clause 2.2 of Schedule 2 (table item 1, after row relating to “Password authentication”, columns headed “Minimum controls” and “Description of minimum controls”</w:t>
      </w:r>
      <w:r w:rsidR="00CF4857">
        <w:t>)</w:t>
      </w:r>
    </w:p>
    <w:p w:rsidR="00BA3AA9" w:rsidRDefault="00BA3AA9" w:rsidP="00BA3AA9">
      <w:pPr>
        <w:pStyle w:val="Item"/>
      </w:pPr>
      <w:r>
        <w:t>Insert:</w:t>
      </w:r>
    </w:p>
    <w:tbl>
      <w:tblPr>
        <w:tblStyle w:val="TableGrid"/>
        <w:tblW w:w="5000" w:type="pct"/>
        <w:tblLook w:val="04A0" w:firstRow="1" w:lastRow="0" w:firstColumn="1" w:lastColumn="0" w:noHBand="0" w:noVBand="1"/>
      </w:tblPr>
      <w:tblGrid>
        <w:gridCol w:w="2809"/>
        <w:gridCol w:w="5720"/>
      </w:tblGrid>
      <w:tr w:rsidR="00BA3AA9" w:rsidRPr="006D1E35" w:rsidTr="00F52589">
        <w:trPr>
          <w:trHeight w:val="31"/>
        </w:trPr>
        <w:tc>
          <w:tcPr>
            <w:tcW w:w="1293" w:type="pct"/>
          </w:tcPr>
          <w:p w:rsidR="00BA3AA9" w:rsidRPr="00BA3AA9" w:rsidRDefault="00BA3AA9" w:rsidP="00F52589">
            <w:pPr>
              <w:pStyle w:val="Tabletext"/>
            </w:pPr>
            <w:r w:rsidRPr="00BA3AA9">
              <w:t>Encryption in transit</w:t>
            </w:r>
          </w:p>
        </w:tc>
        <w:tc>
          <w:tcPr>
            <w:tcW w:w="2632" w:type="pct"/>
          </w:tcPr>
          <w:p w:rsidR="00BA3AA9" w:rsidRPr="00BA3AA9" w:rsidRDefault="00BA3AA9" w:rsidP="00F52589">
            <w:pPr>
              <w:pStyle w:val="Tabletext"/>
            </w:pPr>
            <w:r w:rsidRPr="00BA3AA9">
              <w:rPr>
                <w:rFonts w:cs="Arial"/>
              </w:rPr>
              <w:t xml:space="preserve">Implement robust network security controls to help protect data in transit, including: encrypting data in transit and authenticating access to data in accordance with </w:t>
            </w:r>
            <w:r w:rsidR="00E37B05">
              <w:rPr>
                <w:rFonts w:cs="Arial"/>
              </w:rPr>
              <w:t xml:space="preserve">the data standards (if any) and </w:t>
            </w:r>
            <w:r w:rsidRPr="00BA3AA9">
              <w:rPr>
                <w:rFonts w:cs="Arial"/>
              </w:rPr>
              <w:t>industry best practice, implementing processes to audit data access and use, and implementing processes to verify the identity of communications.</w:t>
            </w:r>
          </w:p>
          <w:p w:rsidR="00BA3AA9" w:rsidRPr="00BA3AA9" w:rsidRDefault="00BA3AA9" w:rsidP="00F52589">
            <w:pPr>
              <w:pStyle w:val="Tabletext"/>
              <w:tabs>
                <w:tab w:val="left" w:pos="1905"/>
              </w:tabs>
            </w:pPr>
            <w:r w:rsidRPr="00BA3AA9">
              <w:tab/>
            </w:r>
          </w:p>
        </w:tc>
      </w:tr>
    </w:tbl>
    <w:p w:rsidR="00BA3AA9" w:rsidRDefault="00BA3AA9" w:rsidP="00BA3AA9">
      <w:pPr>
        <w:pStyle w:val="Item"/>
      </w:pPr>
    </w:p>
    <w:p w:rsidR="00CF4857" w:rsidRDefault="00907B2A" w:rsidP="00BA3AA9">
      <w:pPr>
        <w:pStyle w:val="ItemHead"/>
      </w:pPr>
      <w:r>
        <w:rPr>
          <w:noProof/>
        </w:rPr>
        <w:t>2</w:t>
      </w:r>
      <w:r w:rsidR="00A4073C">
        <w:rPr>
          <w:noProof/>
        </w:rPr>
        <w:t>1</w:t>
      </w:r>
      <w:r w:rsidR="00CF4857">
        <w:t xml:space="preserve">  Clause 2.2 of Schedule 2 (table item 2, after row relating to “End</w:t>
      </w:r>
      <w:r w:rsidR="00CF4857">
        <w:noBreakHyphen/>
        <w:t>user devices”, columns headed “Minimum controls” and “Description of minimum controls”)</w:t>
      </w:r>
    </w:p>
    <w:p w:rsidR="00CF4857" w:rsidRPr="00CF4857" w:rsidRDefault="00CF4857" w:rsidP="00CF4857">
      <w:pPr>
        <w:pStyle w:val="Item"/>
      </w:pPr>
      <w:r>
        <w:t>Insert:</w:t>
      </w:r>
    </w:p>
    <w:tbl>
      <w:tblPr>
        <w:tblStyle w:val="TableGrid"/>
        <w:tblW w:w="5000" w:type="pct"/>
        <w:tblLook w:val="04A0" w:firstRow="1" w:lastRow="0" w:firstColumn="1" w:lastColumn="0" w:noHBand="0" w:noVBand="1"/>
      </w:tblPr>
      <w:tblGrid>
        <w:gridCol w:w="2809"/>
        <w:gridCol w:w="5720"/>
      </w:tblGrid>
      <w:tr w:rsidR="00CF4857" w:rsidRPr="006D1E35" w:rsidTr="00F52589">
        <w:trPr>
          <w:trHeight w:val="62"/>
        </w:trPr>
        <w:tc>
          <w:tcPr>
            <w:tcW w:w="1293" w:type="pct"/>
          </w:tcPr>
          <w:p w:rsidR="00CF4857" w:rsidRPr="00CF4857" w:rsidRDefault="00CF4857" w:rsidP="00F52589">
            <w:pPr>
              <w:pStyle w:val="Tabletext"/>
              <w:rPr>
                <w:rFonts w:cs="Arial"/>
              </w:rPr>
            </w:pPr>
            <w:r w:rsidRPr="00CF4857">
              <w:rPr>
                <w:rFonts w:cs="Arial"/>
              </w:rPr>
              <w:t>Data Segregation</w:t>
            </w:r>
          </w:p>
        </w:tc>
        <w:tc>
          <w:tcPr>
            <w:tcW w:w="2632" w:type="pct"/>
          </w:tcPr>
          <w:p w:rsidR="00CF4857" w:rsidRPr="00CF4857" w:rsidRDefault="00CF4857" w:rsidP="00F52589">
            <w:pPr>
              <w:pStyle w:val="Tabletext"/>
              <w:rPr>
                <w:rFonts w:cs="Arial"/>
              </w:rPr>
            </w:pPr>
            <w:r w:rsidRPr="00CF4857">
              <w:rPr>
                <w:rFonts w:cs="Arial"/>
              </w:rPr>
              <w:t>CDR data that is stored or hosted on behalf of an accredited data recipient is segregated from other CDR data to ensure it is accessible only by the accredited data recipient for whom consent was given and remains directly attributable to that accredited data recipient.</w:t>
            </w:r>
          </w:p>
          <w:p w:rsidR="00CF4857" w:rsidRPr="00CF4857" w:rsidRDefault="00CF4857" w:rsidP="00F52589">
            <w:pPr>
              <w:pStyle w:val="Tabletext"/>
              <w:rPr>
                <w:rFonts w:cs="Arial"/>
              </w:rPr>
            </w:pPr>
          </w:p>
        </w:tc>
      </w:tr>
    </w:tbl>
    <w:p w:rsidR="00CF4857" w:rsidRPr="00CF4857" w:rsidRDefault="00CF4857" w:rsidP="00CF4857">
      <w:pPr>
        <w:pStyle w:val="Item"/>
      </w:pPr>
    </w:p>
    <w:sectPr w:rsidR="00CF4857" w:rsidRPr="00CF4857" w:rsidSect="00B20990">
      <w:headerReference w:type="even" r:id="rId20"/>
      <w:headerReference w:type="default" r:id="rId21"/>
      <w:footerReference w:type="even" r:id="rId22"/>
      <w:footerReference w:type="default" r:id="rId23"/>
      <w:footerReference w:type="first" r:id="rId24"/>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DB" w:rsidRDefault="00F951DB" w:rsidP="0048364F">
      <w:pPr>
        <w:spacing w:line="240" w:lineRule="auto"/>
      </w:pPr>
      <w:r>
        <w:separator/>
      </w:r>
    </w:p>
  </w:endnote>
  <w:endnote w:type="continuationSeparator" w:id="0">
    <w:p w:rsidR="00F951DB" w:rsidRDefault="00F951D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9278C1" w:rsidTr="0001176A">
      <w:tc>
        <w:tcPr>
          <w:tcW w:w="5000" w:type="pct"/>
        </w:tcPr>
        <w:p w:rsidR="009278C1" w:rsidRDefault="009278C1" w:rsidP="0001176A">
          <w:pPr>
            <w:rPr>
              <w:sz w:val="18"/>
            </w:rPr>
          </w:pPr>
        </w:p>
      </w:tc>
    </w:tr>
  </w:tbl>
  <w:p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20990" w:rsidTr="00C160A1">
      <w:tc>
        <w:tcPr>
          <w:tcW w:w="5000" w:type="pct"/>
        </w:tcPr>
        <w:p w:rsidR="00B20990" w:rsidRDefault="00B20990" w:rsidP="007946FE">
          <w:pPr>
            <w:rPr>
              <w:sz w:val="18"/>
            </w:rPr>
          </w:pPr>
        </w:p>
      </w:tc>
    </w:tr>
  </w:tbl>
  <w:p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20990" w:rsidTr="00C160A1">
      <w:tc>
        <w:tcPr>
          <w:tcW w:w="5000" w:type="pct"/>
        </w:tcPr>
        <w:p w:rsidR="00B20990" w:rsidRDefault="00B20990" w:rsidP="00465764">
          <w:pPr>
            <w:rPr>
              <w:sz w:val="18"/>
            </w:rPr>
          </w:pPr>
        </w:p>
      </w:tc>
    </w:tr>
  </w:tbl>
  <w:p w:rsidR="00B20990"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B20990" w:rsidTr="00C160A1">
      <w:tc>
        <w:tcPr>
          <w:tcW w:w="365" w:type="pct"/>
          <w:tcBorders>
            <w:top w:val="nil"/>
            <w:left w:val="nil"/>
            <w:bottom w:val="nil"/>
            <w:right w:val="nil"/>
          </w:tcBorders>
        </w:tcPr>
        <w:p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6B3E08">
            <w:rPr>
              <w:i/>
              <w:noProof/>
              <w:sz w:val="18"/>
            </w:rPr>
            <w:t>Competition and Consumer (Consumer Data Right) Amendment Rules (No. 2) 2020</w:t>
          </w:r>
          <w:r w:rsidRPr="00B20990">
            <w:rPr>
              <w:i/>
              <w:sz w:val="18"/>
            </w:rPr>
            <w:fldChar w:fldCharType="end"/>
          </w:r>
        </w:p>
      </w:tc>
      <w:tc>
        <w:tcPr>
          <w:tcW w:w="947" w:type="pct"/>
          <w:tcBorders>
            <w:top w:val="nil"/>
            <w:left w:val="nil"/>
            <w:bottom w:val="nil"/>
            <w:right w:val="nil"/>
          </w:tcBorders>
        </w:tcPr>
        <w:p w:rsidR="00B20990" w:rsidRDefault="00B20990" w:rsidP="00E33C1C">
          <w:pPr>
            <w:spacing w:line="0" w:lineRule="atLeast"/>
            <w:jc w:val="right"/>
            <w:rPr>
              <w:sz w:val="18"/>
            </w:rPr>
          </w:pPr>
        </w:p>
      </w:tc>
    </w:tr>
    <w:tr w:rsidR="00B20990"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B20990" w:rsidRDefault="00B20990" w:rsidP="007946FE">
          <w:pPr>
            <w:jc w:val="right"/>
            <w:rPr>
              <w:sz w:val="18"/>
            </w:rPr>
          </w:pPr>
        </w:p>
      </w:tc>
    </w:tr>
  </w:tbl>
  <w:p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B20990" w:rsidTr="00C160A1">
      <w:tc>
        <w:tcPr>
          <w:tcW w:w="947" w:type="pct"/>
          <w:tcBorders>
            <w:top w:val="nil"/>
            <w:left w:val="nil"/>
            <w:bottom w:val="nil"/>
            <w:right w:val="nil"/>
          </w:tcBorders>
        </w:tcPr>
        <w:p w:rsidR="00B20990" w:rsidRDefault="00B20990" w:rsidP="00E33C1C">
          <w:pPr>
            <w:spacing w:line="0" w:lineRule="atLeast"/>
            <w:rPr>
              <w:sz w:val="18"/>
            </w:rPr>
          </w:pPr>
        </w:p>
      </w:tc>
      <w:tc>
        <w:tcPr>
          <w:tcW w:w="3688" w:type="pct"/>
          <w:tcBorders>
            <w:top w:val="nil"/>
            <w:left w:val="nil"/>
            <w:bottom w:val="nil"/>
            <w:right w:val="nil"/>
          </w:tcBorders>
        </w:tcPr>
        <w:p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6B3E08">
            <w:rPr>
              <w:i/>
              <w:noProof/>
              <w:sz w:val="18"/>
            </w:rPr>
            <w:t>Competition and Consumer (Consumer Data Right) Amendment Rules (No. 2) 2020</w:t>
          </w:r>
          <w:r w:rsidRPr="00B20990">
            <w:rPr>
              <w:i/>
              <w:sz w:val="18"/>
            </w:rPr>
            <w:fldChar w:fldCharType="end"/>
          </w:r>
        </w:p>
      </w:tc>
      <w:tc>
        <w:tcPr>
          <w:tcW w:w="365" w:type="pct"/>
          <w:tcBorders>
            <w:top w:val="nil"/>
            <w:left w:val="nil"/>
            <w:bottom w:val="nil"/>
            <w:right w:val="nil"/>
          </w:tcBorders>
        </w:tcPr>
        <w:p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B3E08">
            <w:rPr>
              <w:i/>
              <w:noProof/>
              <w:sz w:val="18"/>
            </w:rPr>
            <w:t>i</w:t>
          </w:r>
          <w:r w:rsidRPr="00ED79B6">
            <w:rPr>
              <w:i/>
              <w:sz w:val="18"/>
            </w:rPr>
            <w:fldChar w:fldCharType="end"/>
          </w:r>
        </w:p>
      </w:tc>
    </w:tr>
    <w:tr w:rsidR="00B20990"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B20990" w:rsidRDefault="00B20990" w:rsidP="007946FE">
          <w:pPr>
            <w:rPr>
              <w:sz w:val="18"/>
            </w:rPr>
          </w:pPr>
        </w:p>
      </w:tc>
    </w:tr>
  </w:tbl>
  <w:p w:rsidR="00B20990" w:rsidRDefault="00B20990" w:rsidP="006D366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rsidTr="007A6863">
      <w:tc>
        <w:tcPr>
          <w:tcW w:w="709" w:type="dxa"/>
          <w:tcBorders>
            <w:top w:val="nil"/>
            <w:left w:val="nil"/>
            <w:bottom w:val="nil"/>
            <w:right w:val="nil"/>
          </w:tcBorders>
        </w:tcPr>
        <w:p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B3E08">
            <w:rPr>
              <w:i/>
              <w:noProof/>
              <w:sz w:val="18"/>
            </w:rPr>
            <w:t>4</w:t>
          </w:r>
          <w:r w:rsidRPr="00ED79B6">
            <w:rPr>
              <w:i/>
              <w:sz w:val="18"/>
            </w:rPr>
            <w:fldChar w:fldCharType="end"/>
          </w:r>
        </w:p>
      </w:tc>
      <w:tc>
        <w:tcPr>
          <w:tcW w:w="6379" w:type="dxa"/>
          <w:tcBorders>
            <w:top w:val="nil"/>
            <w:left w:val="nil"/>
            <w:bottom w:val="nil"/>
            <w:right w:val="nil"/>
          </w:tcBorders>
        </w:tcPr>
        <w:p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6B3E08">
            <w:rPr>
              <w:i/>
              <w:noProof/>
              <w:sz w:val="18"/>
            </w:rPr>
            <w:t>Competition and Consumer (Consumer Data Right) Amendment Rules (No. 2) 2020</w:t>
          </w:r>
          <w:r w:rsidRPr="00B20990">
            <w:rPr>
              <w:i/>
              <w:sz w:val="18"/>
            </w:rPr>
            <w:fldChar w:fldCharType="end"/>
          </w:r>
        </w:p>
      </w:tc>
      <w:tc>
        <w:tcPr>
          <w:tcW w:w="1383" w:type="dxa"/>
          <w:tcBorders>
            <w:top w:val="nil"/>
            <w:left w:val="nil"/>
            <w:bottom w:val="nil"/>
            <w:right w:val="nil"/>
          </w:tcBorders>
        </w:tcPr>
        <w:p w:rsidR="00EE57E8" w:rsidRDefault="00EE57E8" w:rsidP="00EE57E8">
          <w:pPr>
            <w:spacing w:line="0" w:lineRule="atLeast"/>
            <w:jc w:val="right"/>
            <w:rPr>
              <w:sz w:val="18"/>
            </w:rPr>
          </w:pPr>
        </w:p>
      </w:tc>
    </w:tr>
    <w:tr w:rsidR="00EE57E8"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EE57E8" w:rsidRDefault="00EE57E8" w:rsidP="00EE57E8">
          <w:pPr>
            <w:jc w:val="right"/>
            <w:rPr>
              <w:sz w:val="18"/>
            </w:rPr>
          </w:pPr>
        </w:p>
      </w:tc>
    </w:tr>
  </w:tbl>
  <w:p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rsidTr="00EE57E8">
      <w:tc>
        <w:tcPr>
          <w:tcW w:w="1384" w:type="dxa"/>
          <w:tcBorders>
            <w:top w:val="nil"/>
            <w:left w:val="nil"/>
            <w:bottom w:val="nil"/>
            <w:right w:val="nil"/>
          </w:tcBorders>
        </w:tcPr>
        <w:p w:rsidR="00EE57E8" w:rsidRDefault="00EE57E8" w:rsidP="00EE57E8">
          <w:pPr>
            <w:spacing w:line="0" w:lineRule="atLeast"/>
            <w:rPr>
              <w:sz w:val="18"/>
            </w:rPr>
          </w:pPr>
        </w:p>
      </w:tc>
      <w:tc>
        <w:tcPr>
          <w:tcW w:w="6379" w:type="dxa"/>
          <w:tcBorders>
            <w:top w:val="nil"/>
            <w:left w:val="nil"/>
            <w:bottom w:val="nil"/>
            <w:right w:val="nil"/>
          </w:tcBorders>
        </w:tcPr>
        <w:p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6B3E08">
            <w:rPr>
              <w:i/>
              <w:noProof/>
              <w:sz w:val="18"/>
            </w:rPr>
            <w:t>Competition and Consumer (Consumer Data Right) Amendment Rules (No. 2) 2020</w:t>
          </w:r>
          <w:r w:rsidRPr="00B20990">
            <w:rPr>
              <w:i/>
              <w:sz w:val="18"/>
            </w:rPr>
            <w:fldChar w:fldCharType="end"/>
          </w:r>
        </w:p>
      </w:tc>
      <w:tc>
        <w:tcPr>
          <w:tcW w:w="709" w:type="dxa"/>
          <w:tcBorders>
            <w:top w:val="nil"/>
            <w:left w:val="nil"/>
            <w:bottom w:val="nil"/>
            <w:right w:val="nil"/>
          </w:tcBorders>
        </w:tcPr>
        <w:p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B3E08">
            <w:rPr>
              <w:i/>
              <w:noProof/>
              <w:sz w:val="18"/>
            </w:rPr>
            <w:t>5</w:t>
          </w:r>
          <w:r w:rsidRPr="00ED79B6">
            <w:rPr>
              <w:i/>
              <w:sz w:val="18"/>
            </w:rPr>
            <w:fldChar w:fldCharType="end"/>
          </w:r>
        </w:p>
      </w:tc>
    </w:tr>
    <w:tr w:rsidR="00EE57E8"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EE57E8" w:rsidRDefault="00EE57E8" w:rsidP="00EE57E8">
          <w:pPr>
            <w:rPr>
              <w:sz w:val="18"/>
            </w:rPr>
          </w:pPr>
        </w:p>
      </w:tc>
    </w:tr>
  </w:tbl>
  <w:p w:rsidR="00EE57E8"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rsidTr="007A6863">
      <w:tc>
        <w:tcPr>
          <w:tcW w:w="1384" w:type="dxa"/>
          <w:tcBorders>
            <w:top w:val="nil"/>
            <w:left w:val="nil"/>
            <w:bottom w:val="nil"/>
            <w:right w:val="nil"/>
          </w:tcBorders>
        </w:tcPr>
        <w:p w:rsidR="00EE57E8" w:rsidRDefault="00EE57E8" w:rsidP="00EE57E8">
          <w:pPr>
            <w:spacing w:line="0" w:lineRule="atLeast"/>
            <w:rPr>
              <w:sz w:val="18"/>
            </w:rPr>
          </w:pPr>
        </w:p>
      </w:tc>
      <w:tc>
        <w:tcPr>
          <w:tcW w:w="6379" w:type="dxa"/>
          <w:tcBorders>
            <w:top w:val="nil"/>
            <w:left w:val="nil"/>
            <w:bottom w:val="nil"/>
            <w:right w:val="nil"/>
          </w:tcBorders>
        </w:tcPr>
        <w:p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B3E08">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6B3E08">
            <w:rPr>
              <w:i/>
              <w:noProof/>
              <w:sz w:val="18"/>
            </w:rPr>
            <w:t>C:\Users\redwa\AppData\Local\Microsoft\Windows\INetCache\Content.Outlook\E4RX2709\CDR - Rules - Second amending instrument - AS MADE(11580311.1) (002).docx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6B3E08">
            <w:rPr>
              <w:i/>
              <w:noProof/>
              <w:sz w:val="18"/>
            </w:rPr>
            <w:t>1/10/2020 3:12 PM</w:t>
          </w:r>
          <w:r w:rsidRPr="00ED79B6">
            <w:rPr>
              <w:i/>
              <w:sz w:val="18"/>
            </w:rPr>
            <w:fldChar w:fldCharType="end"/>
          </w:r>
        </w:p>
      </w:tc>
    </w:tr>
  </w:tbl>
  <w:p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DB" w:rsidRDefault="00F951DB" w:rsidP="0048364F">
      <w:pPr>
        <w:spacing w:line="240" w:lineRule="auto"/>
      </w:pPr>
      <w:r>
        <w:separator/>
      </w:r>
    </w:p>
  </w:footnote>
  <w:footnote w:type="continuationSeparator" w:id="0">
    <w:p w:rsidR="00F951DB" w:rsidRDefault="00F951DB"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7E8" w:rsidRPr="00A961C4" w:rsidRDefault="00EE57E8" w:rsidP="0048364F">
    <w:pPr>
      <w:rPr>
        <w:b/>
        <w:sz w:val="20"/>
      </w:rPr>
    </w:pPr>
  </w:p>
  <w:p w:rsidR="00EE57E8" w:rsidRPr="00A961C4" w:rsidRDefault="00EE57E8" w:rsidP="0048364F">
    <w:pPr>
      <w:rPr>
        <w:b/>
        <w:sz w:val="20"/>
      </w:rPr>
    </w:pPr>
  </w:p>
  <w:p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7E8" w:rsidRPr="00A961C4" w:rsidRDefault="00EE57E8" w:rsidP="0048364F">
    <w:pPr>
      <w:jc w:val="right"/>
      <w:rPr>
        <w:sz w:val="20"/>
      </w:rPr>
    </w:pPr>
  </w:p>
  <w:p w:rsidR="00EE57E8" w:rsidRPr="00A961C4" w:rsidRDefault="00EE57E8" w:rsidP="0048364F">
    <w:pPr>
      <w:jc w:val="right"/>
      <w:rPr>
        <w:b/>
        <w:sz w:val="20"/>
      </w:rPr>
    </w:pPr>
  </w:p>
  <w:p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1D8D1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1A32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DEB6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2CD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ACAB7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26F2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A20A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328F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9C4D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E6C6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5C3"/>
    <w:rsid w:val="00000263"/>
    <w:rsid w:val="00002BCC"/>
    <w:rsid w:val="000113BC"/>
    <w:rsid w:val="000136AF"/>
    <w:rsid w:val="0004044E"/>
    <w:rsid w:val="0005120E"/>
    <w:rsid w:val="00054577"/>
    <w:rsid w:val="000614BF"/>
    <w:rsid w:val="0007169C"/>
    <w:rsid w:val="00077593"/>
    <w:rsid w:val="00083F48"/>
    <w:rsid w:val="000A479A"/>
    <w:rsid w:val="000A7DF9"/>
    <w:rsid w:val="000D05EF"/>
    <w:rsid w:val="000D3FB9"/>
    <w:rsid w:val="000D5485"/>
    <w:rsid w:val="000E598E"/>
    <w:rsid w:val="000E5A3D"/>
    <w:rsid w:val="000F0ADA"/>
    <w:rsid w:val="000F21C1"/>
    <w:rsid w:val="0010745C"/>
    <w:rsid w:val="001122FF"/>
    <w:rsid w:val="00160BD7"/>
    <w:rsid w:val="001643C9"/>
    <w:rsid w:val="00165568"/>
    <w:rsid w:val="00166082"/>
    <w:rsid w:val="00166C2F"/>
    <w:rsid w:val="001716C9"/>
    <w:rsid w:val="00184261"/>
    <w:rsid w:val="00193461"/>
    <w:rsid w:val="001939E1"/>
    <w:rsid w:val="0019452E"/>
    <w:rsid w:val="00195382"/>
    <w:rsid w:val="001A3B9F"/>
    <w:rsid w:val="001A5520"/>
    <w:rsid w:val="001A65C0"/>
    <w:rsid w:val="001B7A5D"/>
    <w:rsid w:val="001C69C4"/>
    <w:rsid w:val="001E0A8D"/>
    <w:rsid w:val="001E3590"/>
    <w:rsid w:val="001E6166"/>
    <w:rsid w:val="001E7407"/>
    <w:rsid w:val="001F1A46"/>
    <w:rsid w:val="00201D27"/>
    <w:rsid w:val="0021153A"/>
    <w:rsid w:val="002245A6"/>
    <w:rsid w:val="002302EA"/>
    <w:rsid w:val="00237614"/>
    <w:rsid w:val="00240749"/>
    <w:rsid w:val="002468D7"/>
    <w:rsid w:val="00247E97"/>
    <w:rsid w:val="00256C81"/>
    <w:rsid w:val="00285CDD"/>
    <w:rsid w:val="00291167"/>
    <w:rsid w:val="0029489E"/>
    <w:rsid w:val="00297ECB"/>
    <w:rsid w:val="002A3C26"/>
    <w:rsid w:val="002B1555"/>
    <w:rsid w:val="002B5200"/>
    <w:rsid w:val="002C152A"/>
    <w:rsid w:val="002D043A"/>
    <w:rsid w:val="002D15C3"/>
    <w:rsid w:val="002F7058"/>
    <w:rsid w:val="0031713F"/>
    <w:rsid w:val="003222D1"/>
    <w:rsid w:val="0032750F"/>
    <w:rsid w:val="003415D3"/>
    <w:rsid w:val="003442F6"/>
    <w:rsid w:val="00346335"/>
    <w:rsid w:val="00352B0F"/>
    <w:rsid w:val="003561B0"/>
    <w:rsid w:val="00397893"/>
    <w:rsid w:val="003A15AC"/>
    <w:rsid w:val="003B0627"/>
    <w:rsid w:val="003C5F2B"/>
    <w:rsid w:val="003C7D35"/>
    <w:rsid w:val="003D0BFE"/>
    <w:rsid w:val="003D5700"/>
    <w:rsid w:val="003F6F52"/>
    <w:rsid w:val="004022CA"/>
    <w:rsid w:val="004116CD"/>
    <w:rsid w:val="00414ADE"/>
    <w:rsid w:val="00424CA9"/>
    <w:rsid w:val="004257BB"/>
    <w:rsid w:val="0044291A"/>
    <w:rsid w:val="0045170C"/>
    <w:rsid w:val="004600B0"/>
    <w:rsid w:val="00460499"/>
    <w:rsid w:val="00460FBA"/>
    <w:rsid w:val="00474835"/>
    <w:rsid w:val="004819C7"/>
    <w:rsid w:val="0048364F"/>
    <w:rsid w:val="00484244"/>
    <w:rsid w:val="004877FC"/>
    <w:rsid w:val="00490F2E"/>
    <w:rsid w:val="00496F97"/>
    <w:rsid w:val="004A53EA"/>
    <w:rsid w:val="004B35E7"/>
    <w:rsid w:val="004D40AA"/>
    <w:rsid w:val="004F1FAC"/>
    <w:rsid w:val="004F676E"/>
    <w:rsid w:val="004F71C0"/>
    <w:rsid w:val="00511314"/>
    <w:rsid w:val="00516B8D"/>
    <w:rsid w:val="0052756C"/>
    <w:rsid w:val="00530230"/>
    <w:rsid w:val="00530CC9"/>
    <w:rsid w:val="00531B46"/>
    <w:rsid w:val="00537FBC"/>
    <w:rsid w:val="005411B1"/>
    <w:rsid w:val="00541D73"/>
    <w:rsid w:val="00543469"/>
    <w:rsid w:val="00546FA3"/>
    <w:rsid w:val="00557C7A"/>
    <w:rsid w:val="00562A58"/>
    <w:rsid w:val="0056541A"/>
    <w:rsid w:val="00581211"/>
    <w:rsid w:val="00584811"/>
    <w:rsid w:val="00593AA6"/>
    <w:rsid w:val="00594161"/>
    <w:rsid w:val="00594749"/>
    <w:rsid w:val="00594956"/>
    <w:rsid w:val="005B1555"/>
    <w:rsid w:val="005B4067"/>
    <w:rsid w:val="005C3F41"/>
    <w:rsid w:val="005C4EF0"/>
    <w:rsid w:val="005D5EA1"/>
    <w:rsid w:val="005E098C"/>
    <w:rsid w:val="005E0C5D"/>
    <w:rsid w:val="005E1F8D"/>
    <w:rsid w:val="005E317F"/>
    <w:rsid w:val="005E61D3"/>
    <w:rsid w:val="00600219"/>
    <w:rsid w:val="006065DA"/>
    <w:rsid w:val="00606AA4"/>
    <w:rsid w:val="00640402"/>
    <w:rsid w:val="00640F78"/>
    <w:rsid w:val="00655D6A"/>
    <w:rsid w:val="00656DE9"/>
    <w:rsid w:val="00672876"/>
    <w:rsid w:val="00677CC2"/>
    <w:rsid w:val="00685F42"/>
    <w:rsid w:val="0069207B"/>
    <w:rsid w:val="006A304E"/>
    <w:rsid w:val="006A3752"/>
    <w:rsid w:val="006B3E08"/>
    <w:rsid w:val="006B7006"/>
    <w:rsid w:val="006C7F8C"/>
    <w:rsid w:val="006D7AB9"/>
    <w:rsid w:val="00700B2C"/>
    <w:rsid w:val="00713084"/>
    <w:rsid w:val="00717463"/>
    <w:rsid w:val="00720FC2"/>
    <w:rsid w:val="00722E89"/>
    <w:rsid w:val="00731E00"/>
    <w:rsid w:val="007339C7"/>
    <w:rsid w:val="007440B7"/>
    <w:rsid w:val="00747993"/>
    <w:rsid w:val="007634AD"/>
    <w:rsid w:val="00770BA5"/>
    <w:rsid w:val="007715C9"/>
    <w:rsid w:val="00774EDD"/>
    <w:rsid w:val="007757EC"/>
    <w:rsid w:val="0079355B"/>
    <w:rsid w:val="007A6863"/>
    <w:rsid w:val="007C78B4"/>
    <w:rsid w:val="007E32B6"/>
    <w:rsid w:val="007E486B"/>
    <w:rsid w:val="007E7D4A"/>
    <w:rsid w:val="007F48ED"/>
    <w:rsid w:val="007F5E3F"/>
    <w:rsid w:val="00812F45"/>
    <w:rsid w:val="00836FE9"/>
    <w:rsid w:val="0084172C"/>
    <w:rsid w:val="0085175E"/>
    <w:rsid w:val="00856A31"/>
    <w:rsid w:val="008754D0"/>
    <w:rsid w:val="00877C69"/>
    <w:rsid w:val="00877D48"/>
    <w:rsid w:val="0088345B"/>
    <w:rsid w:val="008A16A5"/>
    <w:rsid w:val="008A5C57"/>
    <w:rsid w:val="008C0629"/>
    <w:rsid w:val="008D0EE0"/>
    <w:rsid w:val="008D7A27"/>
    <w:rsid w:val="008E4702"/>
    <w:rsid w:val="008E69AA"/>
    <w:rsid w:val="008F4F1C"/>
    <w:rsid w:val="009069AD"/>
    <w:rsid w:val="00907B2A"/>
    <w:rsid w:val="00910E64"/>
    <w:rsid w:val="00922764"/>
    <w:rsid w:val="009278C1"/>
    <w:rsid w:val="00932377"/>
    <w:rsid w:val="009346E3"/>
    <w:rsid w:val="0094523D"/>
    <w:rsid w:val="00972DA5"/>
    <w:rsid w:val="00976A63"/>
    <w:rsid w:val="009B2490"/>
    <w:rsid w:val="009B50E5"/>
    <w:rsid w:val="009C3431"/>
    <w:rsid w:val="009C5989"/>
    <w:rsid w:val="009C6A32"/>
    <w:rsid w:val="009D08DA"/>
    <w:rsid w:val="009E0413"/>
    <w:rsid w:val="00A06860"/>
    <w:rsid w:val="00A136F5"/>
    <w:rsid w:val="00A231E2"/>
    <w:rsid w:val="00A2550D"/>
    <w:rsid w:val="00A379BB"/>
    <w:rsid w:val="00A4073C"/>
    <w:rsid w:val="00A4169B"/>
    <w:rsid w:val="00A50D55"/>
    <w:rsid w:val="00A52FDA"/>
    <w:rsid w:val="00A61C5D"/>
    <w:rsid w:val="00A64912"/>
    <w:rsid w:val="00A70A74"/>
    <w:rsid w:val="00A777E8"/>
    <w:rsid w:val="00A81427"/>
    <w:rsid w:val="00A9231A"/>
    <w:rsid w:val="00A95BC7"/>
    <w:rsid w:val="00AA0343"/>
    <w:rsid w:val="00AA78CE"/>
    <w:rsid w:val="00AA7B26"/>
    <w:rsid w:val="00AB59EE"/>
    <w:rsid w:val="00AC767C"/>
    <w:rsid w:val="00AD3467"/>
    <w:rsid w:val="00AD5641"/>
    <w:rsid w:val="00AF33DB"/>
    <w:rsid w:val="00B032D8"/>
    <w:rsid w:val="00B05D72"/>
    <w:rsid w:val="00B20990"/>
    <w:rsid w:val="00B23FAF"/>
    <w:rsid w:val="00B33B3C"/>
    <w:rsid w:val="00B40D74"/>
    <w:rsid w:val="00B41463"/>
    <w:rsid w:val="00B42649"/>
    <w:rsid w:val="00B46467"/>
    <w:rsid w:val="00B52663"/>
    <w:rsid w:val="00B56DCB"/>
    <w:rsid w:val="00B57CE4"/>
    <w:rsid w:val="00B61728"/>
    <w:rsid w:val="00B770D2"/>
    <w:rsid w:val="00B84581"/>
    <w:rsid w:val="00B93516"/>
    <w:rsid w:val="00B96776"/>
    <w:rsid w:val="00B973E5"/>
    <w:rsid w:val="00BA3AA9"/>
    <w:rsid w:val="00BA47A3"/>
    <w:rsid w:val="00BA5026"/>
    <w:rsid w:val="00BA7B5B"/>
    <w:rsid w:val="00BB6E79"/>
    <w:rsid w:val="00BE42C5"/>
    <w:rsid w:val="00BE719A"/>
    <w:rsid w:val="00BE720A"/>
    <w:rsid w:val="00BF0723"/>
    <w:rsid w:val="00BF6650"/>
    <w:rsid w:val="00C00010"/>
    <w:rsid w:val="00C067E5"/>
    <w:rsid w:val="00C164CA"/>
    <w:rsid w:val="00C255CD"/>
    <w:rsid w:val="00C26051"/>
    <w:rsid w:val="00C42BF8"/>
    <w:rsid w:val="00C460AE"/>
    <w:rsid w:val="00C50043"/>
    <w:rsid w:val="00C5015F"/>
    <w:rsid w:val="00C50A0F"/>
    <w:rsid w:val="00C50F4A"/>
    <w:rsid w:val="00C72D10"/>
    <w:rsid w:val="00C7573B"/>
    <w:rsid w:val="00C76CF3"/>
    <w:rsid w:val="00C93205"/>
    <w:rsid w:val="00C945DC"/>
    <w:rsid w:val="00CA7844"/>
    <w:rsid w:val="00CB58EF"/>
    <w:rsid w:val="00CE0A93"/>
    <w:rsid w:val="00CF0BB2"/>
    <w:rsid w:val="00CF4857"/>
    <w:rsid w:val="00D12B0D"/>
    <w:rsid w:val="00D13441"/>
    <w:rsid w:val="00D2140A"/>
    <w:rsid w:val="00D243A3"/>
    <w:rsid w:val="00D33440"/>
    <w:rsid w:val="00D52EFE"/>
    <w:rsid w:val="00D56A0D"/>
    <w:rsid w:val="00D63EF6"/>
    <w:rsid w:val="00D66518"/>
    <w:rsid w:val="00D70DFB"/>
    <w:rsid w:val="00D71EEA"/>
    <w:rsid w:val="00D735CD"/>
    <w:rsid w:val="00D766DF"/>
    <w:rsid w:val="00D90841"/>
    <w:rsid w:val="00DA2439"/>
    <w:rsid w:val="00DA6F05"/>
    <w:rsid w:val="00DB64FC"/>
    <w:rsid w:val="00DE149E"/>
    <w:rsid w:val="00E034DB"/>
    <w:rsid w:val="00E05704"/>
    <w:rsid w:val="00E12F1A"/>
    <w:rsid w:val="00E22935"/>
    <w:rsid w:val="00E37B05"/>
    <w:rsid w:val="00E54292"/>
    <w:rsid w:val="00E60191"/>
    <w:rsid w:val="00E74DC7"/>
    <w:rsid w:val="00E84EA6"/>
    <w:rsid w:val="00E87699"/>
    <w:rsid w:val="00E92E27"/>
    <w:rsid w:val="00E9586B"/>
    <w:rsid w:val="00E97334"/>
    <w:rsid w:val="00EB3A99"/>
    <w:rsid w:val="00EB65F8"/>
    <w:rsid w:val="00ED4928"/>
    <w:rsid w:val="00EE3FFE"/>
    <w:rsid w:val="00EE57E8"/>
    <w:rsid w:val="00EE6190"/>
    <w:rsid w:val="00EF2E3A"/>
    <w:rsid w:val="00EF6402"/>
    <w:rsid w:val="00F047E2"/>
    <w:rsid w:val="00F04D57"/>
    <w:rsid w:val="00F078DC"/>
    <w:rsid w:val="00F13E86"/>
    <w:rsid w:val="00F20B52"/>
    <w:rsid w:val="00F32FCB"/>
    <w:rsid w:val="00F33523"/>
    <w:rsid w:val="00F677A9"/>
    <w:rsid w:val="00F7316A"/>
    <w:rsid w:val="00F8121C"/>
    <w:rsid w:val="00F84CF5"/>
    <w:rsid w:val="00F8612E"/>
    <w:rsid w:val="00F94583"/>
    <w:rsid w:val="00F951DB"/>
    <w:rsid w:val="00FA420B"/>
    <w:rsid w:val="00FB6AEE"/>
    <w:rsid w:val="00FC3EAC"/>
    <w:rsid w:val="00FF39D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0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n_Mai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uiPriority w:val="99"/>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t_Par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n_Main Char"/>
    <w:basedOn w:val="DefaultParagraphFont"/>
    <w:link w:val="notetext"/>
    <w:rsid w:val="00002BCC"/>
    <w:rPr>
      <w:rFonts w:eastAsia="Times New Roman" w:cs="Times New Roman"/>
      <w:sz w:val="18"/>
      <w:lang w:eastAsia="en-AU"/>
    </w:rPr>
  </w:style>
  <w:style w:type="character" w:customStyle="1" w:styleId="paragraphChar">
    <w:name w:val="paragraph Char"/>
    <w:aliases w:val="a Char"/>
    <w:basedOn w:val="DefaultParagraphFont"/>
    <w:link w:val="paragraph"/>
    <w:rsid w:val="00BA3AA9"/>
    <w:rPr>
      <w:rFonts w:eastAsia="Times New Roman" w:cs="Times New Roman"/>
      <w:sz w:val="22"/>
      <w:lang w:eastAsia="en-AU"/>
    </w:rPr>
  </w:style>
  <w:style w:type="character" w:customStyle="1" w:styleId="ActHead5Char">
    <w:name w:val="ActHead 5 Char"/>
    <w:aliases w:val="s Char"/>
    <w:link w:val="ActHead5"/>
    <w:rsid w:val="00BA3AA9"/>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 A C C C a n d A E R ! 1 1 5 8 0 3 1 1 . 1 < / d o c u m e n t i d >  
     < s e n d e r i d > B N G U Y < / s e n d e r i d >  
     < s e n d e r e m a i l > B O N N I E . N G U Y E N @ A C C C . G O V . A U < / s e n d e r e m a i l >  
     < l a s t m o d i f i e d > 2 0 2 0 - 0 9 - 2 9 T 1 2 : 0 5 : 0 0 . 0 0 0 0 0 0 0 + 1 0 : 0 0 < / l a s t m o d i f i e d >  
     < d a t a b a s e > A C C C a n d A E R < / d a t a b a s e >  
 < / p r o p e r t i e s > 
</file>

<file path=customXml/itemProps1.xml><?xml version="1.0" encoding="utf-8"?>
<ds:datastoreItem xmlns:ds="http://schemas.openxmlformats.org/officeDocument/2006/customXml" ds:itemID="{633654BE-D772-4CB4-AF25-0115849BCFD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2020-10-01T05:19:00Z</dcterms:created>
  <dcterms:modified xsi:type="dcterms:W3CDTF">2020-10-01T05:19:00Z</dcterms:modified>
</cp:coreProperties>
</file>