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09FB" w14:textId="6A654900" w:rsidR="00715914" w:rsidRPr="00460931" w:rsidRDefault="00BE63B0" w:rsidP="00850F56">
      <w:pPr>
        <w:spacing w:after="600"/>
        <w:rPr>
          <w:sz w:val="28"/>
        </w:rPr>
      </w:pPr>
      <w:r w:rsidRPr="00460931">
        <w:rPr>
          <w:noProof/>
        </w:rPr>
        <w:drawing>
          <wp:inline distT="0" distB="0" distL="0" distR="0" wp14:anchorId="57230447" wp14:editId="16FC5C15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2B880" w14:textId="3045A98A" w:rsidR="00243EC0" w:rsidRPr="00460931" w:rsidRDefault="00447DB4" w:rsidP="00B16067">
      <w:pPr>
        <w:pStyle w:val="LI-Title"/>
        <w:pBdr>
          <w:bottom w:val="single" w:sz="4" w:space="1" w:color="auto"/>
        </w:pBdr>
      </w:pPr>
      <w:r w:rsidRPr="00460931">
        <w:t>A</w:t>
      </w:r>
      <w:r w:rsidR="00327DDF" w:rsidRPr="00460931">
        <w:t xml:space="preserve">SIC </w:t>
      </w:r>
      <w:r w:rsidR="004F7A7D" w:rsidRPr="00460931">
        <w:t>Regulated Foreign Markets Determination</w:t>
      </w:r>
      <w:r w:rsidR="00327DDF" w:rsidRPr="00460931">
        <w:t xml:space="preserve"> </w:t>
      </w:r>
      <w:r w:rsidR="00C11452" w:rsidRPr="00460931">
        <w:t>(</w:t>
      </w:r>
      <w:r w:rsidR="008E290E" w:rsidRPr="00460931">
        <w:t>Amendment</w:t>
      </w:r>
      <w:r w:rsidR="00C11452" w:rsidRPr="00460931">
        <w:t xml:space="preserve">) Instrument </w:t>
      </w:r>
      <w:r w:rsidR="00966B9D" w:rsidRPr="00460931">
        <w:t>2020</w:t>
      </w:r>
      <w:r w:rsidR="00132B7B" w:rsidRPr="00460931">
        <w:t>/</w:t>
      </w:r>
      <w:r w:rsidR="0013567F" w:rsidRPr="00460931">
        <w:t>828</w:t>
      </w:r>
    </w:p>
    <w:p w14:paraId="086CE9EF" w14:textId="2864B907" w:rsidR="00F171A1" w:rsidRPr="00460931" w:rsidRDefault="00F171A1" w:rsidP="00005446">
      <w:pPr>
        <w:pStyle w:val="LI-Fronttext"/>
        <w:rPr>
          <w:sz w:val="24"/>
          <w:szCs w:val="24"/>
        </w:rPr>
      </w:pPr>
      <w:r w:rsidRPr="00460931">
        <w:rPr>
          <w:sz w:val="24"/>
          <w:szCs w:val="24"/>
        </w:rPr>
        <w:t xml:space="preserve">I, </w:t>
      </w:r>
      <w:r w:rsidR="0013567F" w:rsidRPr="00460931">
        <w:rPr>
          <w:sz w:val="24"/>
          <w:szCs w:val="24"/>
        </w:rPr>
        <w:t>Nathan Bourne</w:t>
      </w:r>
      <w:r w:rsidR="00C0544A" w:rsidRPr="00460931">
        <w:rPr>
          <w:sz w:val="24"/>
          <w:szCs w:val="24"/>
        </w:rPr>
        <w:t>, delegate of the Australian Securities and Investments Commission</w:t>
      </w:r>
      <w:r w:rsidRPr="00460931">
        <w:rPr>
          <w:sz w:val="24"/>
          <w:szCs w:val="24"/>
        </w:rPr>
        <w:t xml:space="preserve">, make the following </w:t>
      </w:r>
      <w:r w:rsidR="008C0F29" w:rsidRPr="00460931">
        <w:rPr>
          <w:sz w:val="24"/>
          <w:szCs w:val="24"/>
        </w:rPr>
        <w:t>legislative instrument</w:t>
      </w:r>
      <w:r w:rsidRPr="00460931">
        <w:rPr>
          <w:sz w:val="24"/>
          <w:szCs w:val="24"/>
        </w:rPr>
        <w:t>.</w:t>
      </w:r>
    </w:p>
    <w:p w14:paraId="55572AB9" w14:textId="77777777" w:rsidR="003A2A48" w:rsidRPr="00460931" w:rsidRDefault="003A2A48" w:rsidP="00005446">
      <w:pPr>
        <w:pStyle w:val="LI-Fronttext"/>
      </w:pPr>
    </w:p>
    <w:p w14:paraId="1AA1EA1F" w14:textId="6A61C742" w:rsidR="009B6B90" w:rsidRDefault="009B6B90" w:rsidP="009B6B90">
      <w:pPr>
        <w:pStyle w:val="LI-Fronttext"/>
        <w:rPr>
          <w:sz w:val="24"/>
          <w:szCs w:val="24"/>
        </w:rPr>
      </w:pPr>
      <w:r w:rsidRPr="00460931">
        <w:rPr>
          <w:sz w:val="24"/>
          <w:szCs w:val="24"/>
        </w:rPr>
        <w:t>Da</w:t>
      </w:r>
      <w:bookmarkStart w:id="0" w:name="_GoBack"/>
      <w:bookmarkEnd w:id="0"/>
      <w:r w:rsidRPr="00460931">
        <w:rPr>
          <w:sz w:val="24"/>
          <w:szCs w:val="24"/>
        </w:rPr>
        <w:t>te</w:t>
      </w:r>
      <w:r w:rsidRPr="00460931">
        <w:rPr>
          <w:sz w:val="24"/>
          <w:szCs w:val="24"/>
        </w:rPr>
        <w:tab/>
      </w:r>
      <w:r w:rsidRPr="00460931">
        <w:rPr>
          <w:sz w:val="24"/>
          <w:szCs w:val="24"/>
        </w:rPr>
        <w:tab/>
      </w:r>
      <w:r w:rsidRPr="00460931">
        <w:rPr>
          <w:sz w:val="24"/>
          <w:szCs w:val="24"/>
        </w:rPr>
        <w:tab/>
      </w:r>
      <w:r w:rsidRPr="00460931">
        <w:rPr>
          <w:sz w:val="24"/>
          <w:szCs w:val="24"/>
        </w:rPr>
        <w:tab/>
      </w:r>
      <w:r w:rsidR="00572D97" w:rsidRPr="00460931">
        <w:rPr>
          <w:sz w:val="24"/>
          <w:szCs w:val="24"/>
        </w:rPr>
        <w:t>2</w:t>
      </w:r>
      <w:r w:rsidR="008447C8" w:rsidRPr="00460931">
        <w:rPr>
          <w:sz w:val="24"/>
          <w:szCs w:val="24"/>
        </w:rPr>
        <w:t>9</w:t>
      </w:r>
      <w:r w:rsidR="001B18CB" w:rsidRPr="00460931">
        <w:rPr>
          <w:sz w:val="24"/>
          <w:szCs w:val="24"/>
        </w:rPr>
        <w:t xml:space="preserve"> September</w:t>
      </w:r>
      <w:r w:rsidR="001B18CB">
        <w:rPr>
          <w:sz w:val="24"/>
          <w:szCs w:val="24"/>
        </w:rPr>
        <w:t xml:space="preserve"> 2020</w:t>
      </w:r>
    </w:p>
    <w:p w14:paraId="509F7350" w14:textId="77777777" w:rsidR="009B6B90" w:rsidRDefault="009B6B90" w:rsidP="009B6B90">
      <w:pPr>
        <w:rPr>
          <w:lang w:eastAsia="en-AU"/>
        </w:rPr>
      </w:pPr>
    </w:p>
    <w:p w14:paraId="1017ABEB" w14:textId="13AE8930" w:rsidR="009B6B90" w:rsidRPr="00C22264" w:rsidRDefault="009B6B90" w:rsidP="009B6B90">
      <w:pPr>
        <w:rPr>
          <w:color w:val="FF0000"/>
          <w:lang w:eastAsia="en-AU"/>
        </w:rPr>
      </w:pPr>
    </w:p>
    <w:p w14:paraId="772B0067" w14:textId="74B3A7E9" w:rsidR="009B6B90" w:rsidRPr="00AC3E7B" w:rsidRDefault="009B6B90" w:rsidP="009B6B90">
      <w:pPr>
        <w:pStyle w:val="LI-Fronttext"/>
        <w:rPr>
          <w:sz w:val="24"/>
          <w:szCs w:val="24"/>
        </w:rPr>
      </w:pPr>
    </w:p>
    <w:p w14:paraId="47BB6BCC" w14:textId="2BDC6D82" w:rsidR="009B6B90" w:rsidRPr="00BB5C17" w:rsidRDefault="0013567F" w:rsidP="009B6B90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Nathan Bourne</w:t>
      </w:r>
      <w:r w:rsidR="008447C8">
        <w:rPr>
          <w:sz w:val="24"/>
          <w:szCs w:val="24"/>
        </w:rPr>
        <w:t xml:space="preserve">                   </w:t>
      </w:r>
      <w:r w:rsidR="008447C8" w:rsidRPr="008447C8">
        <w:rPr>
          <w:noProof/>
        </w:rPr>
        <w:t xml:space="preserve"> </w:t>
      </w:r>
    </w:p>
    <w:p w14:paraId="7C235F07" w14:textId="77777777" w:rsidR="009B6B90" w:rsidRPr="00F61B09" w:rsidRDefault="009B6B90" w:rsidP="009B6B90">
      <w:pPr>
        <w:pStyle w:val="Header"/>
        <w:tabs>
          <w:tab w:val="clear" w:pos="4150"/>
          <w:tab w:val="clear" w:pos="8307"/>
        </w:tabs>
      </w:pPr>
    </w:p>
    <w:p w14:paraId="2A0BFD0B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bookmarkStart w:id="1" w:name="BKCheck15B_1"/>
      <w:bookmarkEnd w:id="1"/>
    </w:p>
    <w:p w14:paraId="28F7646B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1D07E863" w14:textId="78596696" w:rsidR="00966B9D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50361134" w:history="1">
        <w:r w:rsidR="00966B9D" w:rsidRPr="007A0BD9">
          <w:rPr>
            <w:rStyle w:val="Hyperlink"/>
            <w:noProof/>
          </w:rPr>
          <w:t>Part 1—Preliminary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_Toc50361134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3</w:t>
        </w:r>
        <w:r w:rsidR="00966B9D">
          <w:rPr>
            <w:noProof/>
            <w:webHidden/>
          </w:rPr>
          <w:fldChar w:fldCharType="end"/>
        </w:r>
      </w:hyperlink>
    </w:p>
    <w:p w14:paraId="536AD257" w14:textId="044F409A" w:rsidR="00966B9D" w:rsidRDefault="0046093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361135" w:history="1">
        <w:r w:rsidR="00966B9D" w:rsidRPr="007A0BD9">
          <w:rPr>
            <w:rStyle w:val="Hyperlink"/>
            <w:noProof/>
          </w:rPr>
          <w:t>1</w:t>
        </w:r>
        <w:r w:rsidR="00966B9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966B9D" w:rsidRPr="007A0BD9">
          <w:rPr>
            <w:rStyle w:val="Hyperlink"/>
            <w:noProof/>
          </w:rPr>
          <w:t>Name of legislative instrument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_Toc50361135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3</w:t>
        </w:r>
        <w:r w:rsidR="00966B9D">
          <w:rPr>
            <w:noProof/>
            <w:webHidden/>
          </w:rPr>
          <w:fldChar w:fldCharType="end"/>
        </w:r>
      </w:hyperlink>
    </w:p>
    <w:p w14:paraId="44142C2C" w14:textId="6C811BFF" w:rsidR="00966B9D" w:rsidRDefault="0046093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361136" w:history="1">
        <w:r w:rsidR="00966B9D" w:rsidRPr="007A0BD9">
          <w:rPr>
            <w:rStyle w:val="Hyperlink"/>
            <w:noProof/>
          </w:rPr>
          <w:t>2</w:t>
        </w:r>
        <w:r w:rsidR="00966B9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966B9D" w:rsidRPr="007A0BD9">
          <w:rPr>
            <w:rStyle w:val="Hyperlink"/>
            <w:noProof/>
          </w:rPr>
          <w:t>Commencement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_Toc50361136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3</w:t>
        </w:r>
        <w:r w:rsidR="00966B9D">
          <w:rPr>
            <w:noProof/>
            <w:webHidden/>
          </w:rPr>
          <w:fldChar w:fldCharType="end"/>
        </w:r>
      </w:hyperlink>
    </w:p>
    <w:p w14:paraId="54EF6249" w14:textId="3CD12999" w:rsidR="00966B9D" w:rsidRDefault="0046093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361137" w:history="1">
        <w:r w:rsidR="00966B9D" w:rsidRPr="007A0BD9">
          <w:rPr>
            <w:rStyle w:val="Hyperlink"/>
            <w:noProof/>
          </w:rPr>
          <w:t>3</w:t>
        </w:r>
        <w:r w:rsidR="00966B9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966B9D" w:rsidRPr="007A0BD9">
          <w:rPr>
            <w:rStyle w:val="Hyperlink"/>
            <w:noProof/>
          </w:rPr>
          <w:t>Authority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_Toc50361137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3</w:t>
        </w:r>
        <w:r w:rsidR="00966B9D">
          <w:rPr>
            <w:noProof/>
            <w:webHidden/>
          </w:rPr>
          <w:fldChar w:fldCharType="end"/>
        </w:r>
      </w:hyperlink>
    </w:p>
    <w:p w14:paraId="7E9A5D3D" w14:textId="05C90394" w:rsidR="00966B9D" w:rsidRDefault="0046093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361138" w:history="1">
        <w:r w:rsidR="00966B9D" w:rsidRPr="007A0BD9">
          <w:rPr>
            <w:rStyle w:val="Hyperlink"/>
            <w:noProof/>
          </w:rPr>
          <w:t>4</w:t>
        </w:r>
        <w:r w:rsidR="00966B9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966B9D" w:rsidRPr="007A0BD9">
          <w:rPr>
            <w:rStyle w:val="Hyperlink"/>
            <w:noProof/>
          </w:rPr>
          <w:t>Schedules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_Toc50361138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3</w:t>
        </w:r>
        <w:r w:rsidR="00966B9D">
          <w:rPr>
            <w:noProof/>
            <w:webHidden/>
          </w:rPr>
          <w:fldChar w:fldCharType="end"/>
        </w:r>
      </w:hyperlink>
    </w:p>
    <w:p w14:paraId="02F7DB62" w14:textId="53D04D15" w:rsidR="00966B9D" w:rsidRDefault="0046093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50361139" w:history="1">
        <w:r w:rsidR="00966B9D" w:rsidRPr="007A0BD9">
          <w:rPr>
            <w:rStyle w:val="Hyperlink"/>
            <w:noProof/>
          </w:rPr>
          <w:t>Schedule 1—Amendments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_Toc50361139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4</w:t>
        </w:r>
        <w:r w:rsidR="00966B9D">
          <w:rPr>
            <w:noProof/>
            <w:webHidden/>
          </w:rPr>
          <w:fldChar w:fldCharType="end"/>
        </w:r>
      </w:hyperlink>
    </w:p>
    <w:p w14:paraId="79A7F991" w14:textId="5AA3BFF6" w:rsidR="00966B9D" w:rsidRDefault="00460931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361140" w:history="1">
        <w:r w:rsidR="00966B9D" w:rsidRPr="007A0BD9">
          <w:rPr>
            <w:rStyle w:val="Hyperlink"/>
            <w:noProof/>
          </w:rPr>
          <w:t>ASIC Regulated Foreign Markets Determination [OTC DET 13/1145]</w:t>
        </w:r>
        <w:r w:rsidR="00966B9D">
          <w:rPr>
            <w:noProof/>
            <w:webHidden/>
          </w:rPr>
          <w:tab/>
        </w:r>
        <w:r w:rsidR="00966B9D">
          <w:rPr>
            <w:noProof/>
            <w:webHidden/>
          </w:rPr>
          <w:fldChar w:fldCharType="begin"/>
        </w:r>
        <w:r w:rsidR="00966B9D">
          <w:rPr>
            <w:noProof/>
            <w:webHidden/>
          </w:rPr>
          <w:instrText xml:space="preserve"> PAGEREF _Toc50361140 \h </w:instrText>
        </w:r>
        <w:r w:rsidR="00966B9D">
          <w:rPr>
            <w:noProof/>
            <w:webHidden/>
          </w:rPr>
        </w:r>
        <w:r w:rsidR="00966B9D">
          <w:rPr>
            <w:noProof/>
            <w:webHidden/>
          </w:rPr>
          <w:fldChar w:fldCharType="separate"/>
        </w:r>
        <w:r w:rsidR="003221D4">
          <w:rPr>
            <w:noProof/>
            <w:webHidden/>
          </w:rPr>
          <w:t>4</w:t>
        </w:r>
        <w:r w:rsidR="00966B9D">
          <w:rPr>
            <w:noProof/>
            <w:webHidden/>
          </w:rPr>
          <w:fldChar w:fldCharType="end"/>
        </w:r>
      </w:hyperlink>
    </w:p>
    <w:p w14:paraId="4C0AFE44" w14:textId="75A6DA0C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CC94261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30046E9D" w14:textId="77777777" w:rsidR="00FA31DE" w:rsidRPr="00F61B09" w:rsidRDefault="00FA31DE" w:rsidP="006554FF">
      <w:pPr>
        <w:pStyle w:val="LI-Heading1"/>
      </w:pPr>
      <w:bookmarkStart w:id="3" w:name="BK_S3P1L1C1"/>
      <w:bookmarkStart w:id="4" w:name="_Toc50361134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35143BAD" w14:textId="77777777" w:rsidR="00FA31DE" w:rsidRDefault="00FA31DE" w:rsidP="00C11452">
      <w:pPr>
        <w:pStyle w:val="LI-Heading2"/>
        <w:rPr>
          <w:szCs w:val="24"/>
        </w:rPr>
      </w:pPr>
      <w:bookmarkStart w:id="5" w:name="_Toc5036113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64422FFE" w14:textId="3AE79F4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F35FC7">
        <w:rPr>
          <w:i/>
          <w:szCs w:val="24"/>
        </w:rPr>
        <w:t xml:space="preserve">Regulated Foreign Markets </w:t>
      </w:r>
      <w:r w:rsidR="00B57C21">
        <w:rPr>
          <w:i/>
          <w:szCs w:val="24"/>
        </w:rPr>
        <w:t xml:space="preserve">Determination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) Instrument </w:t>
      </w:r>
      <w:r w:rsidR="0072497F">
        <w:rPr>
          <w:i/>
          <w:szCs w:val="24"/>
        </w:rPr>
        <w:t>2020</w:t>
      </w:r>
      <w:r w:rsidR="00530968">
        <w:rPr>
          <w:i/>
          <w:szCs w:val="24"/>
        </w:rPr>
        <w:t>/</w:t>
      </w:r>
      <w:r w:rsidR="0013567F">
        <w:rPr>
          <w:i/>
          <w:szCs w:val="24"/>
        </w:rPr>
        <w:t>828</w:t>
      </w:r>
      <w:r w:rsidRPr="00AC3E7B">
        <w:rPr>
          <w:szCs w:val="24"/>
        </w:rPr>
        <w:t>.</w:t>
      </w:r>
    </w:p>
    <w:p w14:paraId="5A37FC70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5036113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36720EAE" w14:textId="77777777" w:rsidR="00A56283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</w:t>
      </w:r>
      <w:r w:rsidR="00A56283">
        <w:rPr>
          <w:szCs w:val="24"/>
        </w:rPr>
        <w:t xml:space="preserve"> </w:t>
      </w:r>
      <w:bookmarkStart w:id="7" w:name="_Hlk51151781"/>
      <w:r w:rsidR="00A56283">
        <w:rPr>
          <w:szCs w:val="24"/>
        </w:rPr>
        <w:t>later of:</w:t>
      </w:r>
      <w:r w:rsidRPr="008C0F29">
        <w:rPr>
          <w:szCs w:val="24"/>
        </w:rPr>
        <w:t xml:space="preserve"> </w:t>
      </w:r>
    </w:p>
    <w:p w14:paraId="1E948D9E" w14:textId="79623937" w:rsidR="00A56283" w:rsidRDefault="00A56283" w:rsidP="00A56283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  <w:t>1 October 2020; and</w:t>
      </w:r>
    </w:p>
    <w:p w14:paraId="30DC345F" w14:textId="55653F85" w:rsidR="00FA31DE" w:rsidRPr="008C0F29" w:rsidRDefault="00A56283" w:rsidP="00A56283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 xml:space="preserve">the </w:t>
      </w:r>
      <w:bookmarkEnd w:id="7"/>
      <w:r w:rsidR="00FA31DE" w:rsidRPr="008C0F29">
        <w:rPr>
          <w:szCs w:val="24"/>
        </w:rPr>
        <w:t xml:space="preserve">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="00FA31DE" w:rsidRPr="008C0F29">
        <w:rPr>
          <w:szCs w:val="24"/>
        </w:rPr>
        <w:t>.</w:t>
      </w:r>
    </w:p>
    <w:p w14:paraId="0AD1F8A2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343C0358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8" w:name="_Toc5036113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8"/>
    </w:p>
    <w:p w14:paraId="7D590C0D" w14:textId="483CD2EF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E41F24" w:rsidRPr="00E41F24">
        <w:rPr>
          <w:szCs w:val="24"/>
        </w:rPr>
        <w:t xml:space="preserve">subrule 1.2.4(3) of the </w:t>
      </w:r>
      <w:r w:rsidR="00E41F24" w:rsidRPr="00E41F24">
        <w:rPr>
          <w:i/>
          <w:iCs/>
          <w:szCs w:val="24"/>
        </w:rPr>
        <w:t>ASIC Derivative Transaction Rules (Reporting) 2013</w:t>
      </w:r>
      <w:r w:rsidR="00E41F24">
        <w:rPr>
          <w:szCs w:val="24"/>
        </w:rPr>
        <w:t>.</w:t>
      </w:r>
    </w:p>
    <w:p w14:paraId="5C303AB1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9" w:name="_Toc5036113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9"/>
    </w:p>
    <w:p w14:paraId="41488EC3" w14:textId="3CD42061" w:rsidR="0040053F" w:rsidRDefault="009B69D4" w:rsidP="009B69D4">
      <w:pPr>
        <w:pStyle w:val="LI-BodyTextUnnumbered"/>
      </w:pPr>
      <w:r w:rsidRPr="009B69D4">
        <w:t xml:space="preserve">Each instrument that is specified in </w:t>
      </w:r>
      <w:r w:rsidR="00B57C21">
        <w:t>the</w:t>
      </w:r>
      <w:r w:rsidRPr="009B69D4">
        <w:t xml:space="preserve"> Schedule to this instrument is amended as set out in the applicable items in the Schedule, and any other item in </w:t>
      </w:r>
      <w:r w:rsidR="00B57C21">
        <w:t>the</w:t>
      </w:r>
      <w:r w:rsidRPr="009B69D4">
        <w:t xml:space="preserve"> Schedule has effect according to its terms</w:t>
      </w:r>
      <w:r w:rsidR="00BB208C">
        <w:t>.</w:t>
      </w:r>
    </w:p>
    <w:p w14:paraId="3665A973" w14:textId="77777777" w:rsidR="005C1C22" w:rsidRDefault="005C1C22" w:rsidP="005C1C22">
      <w:pPr>
        <w:pStyle w:val="LI-BodyTextUnnumbered"/>
        <w:ind w:left="1701" w:hanging="567"/>
      </w:pPr>
    </w:p>
    <w:p w14:paraId="654F43C2" w14:textId="660A5B83" w:rsidR="00E5796D" w:rsidRDefault="00E5796D" w:rsidP="005C1C22">
      <w:pPr>
        <w:pStyle w:val="LI-BodyTextUnnumbered"/>
        <w:ind w:left="1701" w:hanging="567"/>
        <w:sectPr w:rsidR="00E5796D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CE75932" w14:textId="77777777" w:rsidR="00FA31DE" w:rsidRPr="00F61B09" w:rsidRDefault="009B69D4" w:rsidP="006554FF">
      <w:pPr>
        <w:pStyle w:val="LI-Heading1"/>
      </w:pPr>
      <w:bookmarkStart w:id="10" w:name="_Toc50361139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10"/>
    </w:p>
    <w:p w14:paraId="4255A656" w14:textId="5A6205CA" w:rsidR="00850F56" w:rsidRPr="00CA3A25" w:rsidRDefault="008D793C" w:rsidP="00B57C21">
      <w:pPr>
        <w:pStyle w:val="LI-Heading2"/>
        <w:ind w:left="0" w:firstLine="0"/>
        <w:rPr>
          <w:sz w:val="28"/>
          <w:szCs w:val="28"/>
        </w:rPr>
      </w:pPr>
      <w:bookmarkStart w:id="11" w:name="_Toc50361140"/>
      <w:r w:rsidRPr="008D793C">
        <w:rPr>
          <w:sz w:val="28"/>
          <w:szCs w:val="28"/>
        </w:rPr>
        <w:t>ASIC Regulated Foreign Markets Determination [OTC DET 13/1145]</w:t>
      </w:r>
      <w:bookmarkEnd w:id="11"/>
    </w:p>
    <w:p w14:paraId="5DDD7820" w14:textId="189063A7" w:rsidR="001E0BF5" w:rsidRPr="00CA3A25" w:rsidRDefault="00650C08" w:rsidP="00CA3A25">
      <w:pPr>
        <w:pStyle w:val="LI-BodyTextNumbered"/>
        <w:ind w:left="567"/>
        <w:rPr>
          <w:b/>
        </w:rPr>
      </w:pPr>
      <w:r>
        <w:rPr>
          <w:b/>
        </w:rPr>
        <w:t>1</w:t>
      </w:r>
      <w:r w:rsidR="001E0BF5" w:rsidRPr="00CA3A25">
        <w:rPr>
          <w:b/>
        </w:rPr>
        <w:tab/>
      </w:r>
      <w:r w:rsidR="002F7205">
        <w:rPr>
          <w:b/>
        </w:rPr>
        <w:t>Section</w:t>
      </w:r>
      <w:r w:rsidR="008D793C">
        <w:rPr>
          <w:b/>
        </w:rPr>
        <w:t xml:space="preserve"> 3A</w:t>
      </w:r>
    </w:p>
    <w:p w14:paraId="37399382" w14:textId="35A8410A" w:rsidR="008D793C" w:rsidRDefault="00B57C21" w:rsidP="008D793C">
      <w:pPr>
        <w:pStyle w:val="LI-BodyTextNumbered"/>
        <w:rPr>
          <w:i/>
          <w:iCs/>
        </w:rPr>
      </w:pPr>
      <w:r>
        <w:t>Insert:</w:t>
      </w:r>
    </w:p>
    <w:p w14:paraId="1456597D" w14:textId="09B4E767" w:rsidR="001E0BF5" w:rsidRDefault="008D793C" w:rsidP="00FF42DC">
      <w:pPr>
        <w:pStyle w:val="LI-BodyTextNumbered"/>
        <w:ind w:firstLine="0"/>
      </w:pPr>
      <w:r>
        <w:rPr>
          <w:b/>
          <w:i/>
          <w:iCs/>
          <w:color w:val="000000"/>
          <w:szCs w:val="20"/>
        </w:rPr>
        <w:t>SEC</w:t>
      </w:r>
      <w:r w:rsidRPr="00D4087B">
        <w:rPr>
          <w:b/>
          <w:i/>
          <w:iCs/>
          <w:color w:val="000000"/>
          <w:szCs w:val="20"/>
        </w:rPr>
        <w:t xml:space="preserve"> Regulated Market</w:t>
      </w:r>
      <w:r w:rsidRPr="00D4087B">
        <w:rPr>
          <w:bCs/>
          <w:color w:val="000000"/>
          <w:szCs w:val="20"/>
        </w:rPr>
        <w:t xml:space="preserve"> means a </w:t>
      </w:r>
      <w:r>
        <w:rPr>
          <w:bCs/>
          <w:color w:val="000000"/>
          <w:szCs w:val="20"/>
        </w:rPr>
        <w:t>financial</w:t>
      </w:r>
      <w:r w:rsidRPr="00D4087B">
        <w:rPr>
          <w:bCs/>
          <w:color w:val="000000"/>
          <w:szCs w:val="20"/>
        </w:rPr>
        <w:t xml:space="preserve"> market which is </w:t>
      </w:r>
      <w:r>
        <w:rPr>
          <w:bCs/>
          <w:color w:val="000000"/>
          <w:szCs w:val="20"/>
        </w:rPr>
        <w:t xml:space="preserve">registered with the Securities and Exchange Commission </w:t>
      </w:r>
      <w:r w:rsidR="0073561E">
        <w:rPr>
          <w:bCs/>
          <w:color w:val="000000"/>
          <w:szCs w:val="20"/>
        </w:rPr>
        <w:t xml:space="preserve">of the United States of America </w:t>
      </w:r>
      <w:r>
        <w:rPr>
          <w:bCs/>
          <w:color w:val="000000"/>
          <w:szCs w:val="20"/>
        </w:rPr>
        <w:t>as a national securities exchange under section 6 of the Securities Exchange Act of 1934</w:t>
      </w:r>
      <w:r w:rsidR="0073561E">
        <w:rPr>
          <w:bCs/>
          <w:color w:val="000000"/>
          <w:szCs w:val="20"/>
        </w:rPr>
        <w:t xml:space="preserve"> of the United States of America</w:t>
      </w:r>
      <w:r>
        <w:rPr>
          <w:bCs/>
          <w:color w:val="000000"/>
          <w:szCs w:val="20"/>
        </w:rPr>
        <w:t>.</w:t>
      </w:r>
    </w:p>
    <w:p w14:paraId="2A7392C3" w14:textId="7DE70ED3" w:rsidR="00850F56" w:rsidRPr="00CA3A25" w:rsidRDefault="00650C08" w:rsidP="00CA3A25">
      <w:pPr>
        <w:pStyle w:val="LI-BodyTextNumbered"/>
        <w:ind w:left="567"/>
        <w:rPr>
          <w:b/>
        </w:rPr>
      </w:pPr>
      <w:r>
        <w:rPr>
          <w:b/>
        </w:rPr>
        <w:t>2</w:t>
      </w:r>
      <w:r w:rsidR="00850F56" w:rsidRPr="00CA3A25">
        <w:rPr>
          <w:b/>
        </w:rPr>
        <w:tab/>
      </w:r>
      <w:r w:rsidR="002F7205">
        <w:rPr>
          <w:b/>
        </w:rPr>
        <w:t>Section</w:t>
      </w:r>
      <w:r w:rsidR="002C0456">
        <w:rPr>
          <w:b/>
        </w:rPr>
        <w:t xml:space="preserve"> 4</w:t>
      </w:r>
    </w:p>
    <w:p w14:paraId="2ED201DB" w14:textId="6E365322" w:rsidR="00850F56" w:rsidRPr="002C0456" w:rsidRDefault="00850F56" w:rsidP="00850F56">
      <w:pPr>
        <w:pStyle w:val="LI-BodyTextNumbered"/>
        <w:rPr>
          <w:i/>
          <w:iCs/>
        </w:rPr>
      </w:pPr>
      <w:r>
        <w:t xml:space="preserve">Repeal </w:t>
      </w:r>
      <w:r w:rsidR="00144269">
        <w:t>the section</w:t>
      </w:r>
      <w:r w:rsidR="00B83351">
        <w:t xml:space="preserve">, </w:t>
      </w:r>
      <w:r w:rsidRPr="00B83351">
        <w:t>substitute:</w:t>
      </w:r>
      <w:r w:rsidRPr="002C0456">
        <w:rPr>
          <w:i/>
          <w:iCs/>
        </w:rPr>
        <w:t xml:space="preserve"> </w:t>
      </w:r>
    </w:p>
    <w:p w14:paraId="499DFF2E" w14:textId="7DD27545" w:rsidR="00850F56" w:rsidRDefault="002C0456" w:rsidP="0077598F">
      <w:pPr>
        <w:pStyle w:val="LI-BodyTextNumbered"/>
        <w:ind w:left="1701"/>
      </w:pPr>
      <w:r w:rsidRPr="002C0456">
        <w:t>4.</w:t>
      </w:r>
      <w:r w:rsidRPr="002C0456">
        <w:tab/>
        <w:t>The following financial markets are Regulated Foreign Markets for the purposes of subrule 1.2.4(2) of the Rules:</w:t>
      </w:r>
    </w:p>
    <w:p w14:paraId="499E4DC7" w14:textId="30373264" w:rsidR="002C0456" w:rsidRPr="00C04DB5" w:rsidRDefault="002C0456" w:rsidP="00C04DB5">
      <w:pPr>
        <w:pStyle w:val="LI-BodyTextSubparai"/>
      </w:pPr>
      <w:r w:rsidRPr="00C04DB5">
        <w:t>(a)</w:t>
      </w:r>
      <w:r w:rsidRPr="00C04DB5">
        <w:tab/>
      </w:r>
      <w:r w:rsidR="000A07DA" w:rsidRPr="00C04DB5">
        <w:t xml:space="preserve">the </w:t>
      </w:r>
      <w:r w:rsidRPr="00C04DB5">
        <w:t>BM&amp;FBOVESPA</w:t>
      </w:r>
      <w:r w:rsidR="00175E64" w:rsidRPr="00C04DB5">
        <w:t xml:space="preserve"> Segment of </w:t>
      </w:r>
      <w:hyperlink r:id="rId30" w:tgtFrame="_blank" w:history="1">
        <w:r w:rsidR="00175E64" w:rsidRPr="00C04DB5">
          <w:rPr>
            <w:rFonts w:cs="Arial"/>
          </w:rPr>
          <w:t>B3 - Brasil Bolsa Balcão</w:t>
        </w:r>
      </w:hyperlink>
      <w:r w:rsidR="00175E64" w:rsidRPr="00C04DB5">
        <w:rPr>
          <w:rFonts w:cs="Arial"/>
        </w:rPr>
        <w:t xml:space="preserve"> S.A</w:t>
      </w:r>
      <w:r w:rsidRPr="00C04DB5">
        <w:t>;</w:t>
      </w:r>
    </w:p>
    <w:p w14:paraId="6C4487EA" w14:textId="288D6348" w:rsidR="003A0C12" w:rsidRPr="00C04DB5" w:rsidRDefault="002C0456" w:rsidP="004308EC">
      <w:pPr>
        <w:pStyle w:val="LI-BodyTextSubparai"/>
      </w:pPr>
      <w:r w:rsidRPr="00C04DB5">
        <w:t>(b)</w:t>
      </w:r>
      <w:r w:rsidRPr="00C04DB5">
        <w:tab/>
      </w:r>
      <w:r w:rsidR="003A0C12" w:rsidRPr="00C04DB5">
        <w:t>Borsa Istanbul – Futures and Options Market</w:t>
      </w:r>
      <w:r w:rsidR="003A7312" w:rsidRPr="00C04DB5">
        <w:t>;</w:t>
      </w:r>
    </w:p>
    <w:p w14:paraId="1FDB8185" w14:textId="5D66A280" w:rsidR="003A7312" w:rsidRPr="00D918C0" w:rsidRDefault="003A7312" w:rsidP="004308EC">
      <w:pPr>
        <w:pStyle w:val="LI-BodyTextSubparai"/>
      </w:pPr>
      <w:r w:rsidRPr="00D918C0">
        <w:t>(c)</w:t>
      </w:r>
      <w:r w:rsidRPr="00D918C0">
        <w:tab/>
      </w:r>
      <w:r w:rsidR="002C0456" w:rsidRPr="00D918C0">
        <w:t>Bourse de Montreal;</w:t>
      </w:r>
    </w:p>
    <w:p w14:paraId="28B5563B" w14:textId="305D6033" w:rsidR="003A7312" w:rsidRPr="00D918C0" w:rsidRDefault="003A7312" w:rsidP="004308EC">
      <w:pPr>
        <w:pStyle w:val="LI-BodyTextSubparai"/>
      </w:pPr>
      <w:r w:rsidRPr="00D918C0">
        <w:t>(d)</w:t>
      </w:r>
      <w:r w:rsidRPr="00D918C0">
        <w:tab/>
        <w:t>BSE Limited (Bombay Stock Exchange);</w:t>
      </w:r>
    </w:p>
    <w:p w14:paraId="6F87B933" w14:textId="7CAD4A03" w:rsidR="003A7312" w:rsidRPr="00D918C0" w:rsidRDefault="003A7312" w:rsidP="004308EC">
      <w:pPr>
        <w:pStyle w:val="LI-BodyTextSubparai"/>
      </w:pPr>
      <w:r w:rsidRPr="00D918C0">
        <w:t>(e)</w:t>
      </w:r>
      <w:r w:rsidRPr="00D918C0">
        <w:tab/>
        <w:t>Bursa Malaysia Derivatives</w:t>
      </w:r>
      <w:r w:rsidR="0077598F">
        <w:t xml:space="preserve"> Market</w:t>
      </w:r>
      <w:r w:rsidRPr="00D918C0">
        <w:t>;</w:t>
      </w:r>
    </w:p>
    <w:p w14:paraId="6F0A14DC" w14:textId="6F1CEE0E" w:rsidR="003A0C12" w:rsidRPr="00D918C0" w:rsidRDefault="003A7312" w:rsidP="004308EC">
      <w:pPr>
        <w:pStyle w:val="LI-BodyTextSubparai"/>
      </w:pPr>
      <w:r w:rsidRPr="00D918C0">
        <w:t>(f)</w:t>
      </w:r>
      <w:r w:rsidRPr="00D918C0">
        <w:tab/>
      </w:r>
      <w:r w:rsidR="003A0C12" w:rsidRPr="00D918C0">
        <w:t>China Financial Futures Exchange;</w:t>
      </w:r>
    </w:p>
    <w:p w14:paraId="225E9ACB" w14:textId="0A489D0D" w:rsidR="003A7312" w:rsidRPr="00D918C0" w:rsidRDefault="002C0456" w:rsidP="004308EC">
      <w:pPr>
        <w:pStyle w:val="LI-BodyTextSubparai"/>
      </w:pPr>
      <w:r w:rsidRPr="00D918C0">
        <w:t>(</w:t>
      </w:r>
      <w:r w:rsidR="003A7312" w:rsidRPr="00D918C0">
        <w:t>g</w:t>
      </w:r>
      <w:r w:rsidRPr="00D918C0">
        <w:t>)</w:t>
      </w:r>
      <w:r w:rsidRPr="00D918C0">
        <w:tab/>
        <w:t>CME Globex;</w:t>
      </w:r>
    </w:p>
    <w:p w14:paraId="1E667063" w14:textId="227F95F3" w:rsidR="003A7312" w:rsidRPr="00D918C0" w:rsidRDefault="003A7312" w:rsidP="004308EC">
      <w:pPr>
        <w:pStyle w:val="LI-BodyTextSubparai"/>
      </w:pPr>
      <w:r w:rsidRPr="00D918C0">
        <w:t>(h)</w:t>
      </w:r>
      <w:r w:rsidRPr="00D918C0">
        <w:tab/>
      </w:r>
      <w:r w:rsidR="003A0C12" w:rsidRPr="00D918C0">
        <w:t xml:space="preserve">Dalian </w:t>
      </w:r>
      <w:r w:rsidR="00E25478" w:rsidRPr="00D918C0">
        <w:t>Commodit</w:t>
      </w:r>
      <w:r w:rsidR="00E25478">
        <w:t>y</w:t>
      </w:r>
      <w:r w:rsidR="00E25478" w:rsidRPr="00D918C0">
        <w:t xml:space="preserve"> </w:t>
      </w:r>
      <w:r w:rsidR="003A0C12" w:rsidRPr="00D918C0">
        <w:t>Exchange</w:t>
      </w:r>
      <w:r w:rsidRPr="00D918C0">
        <w:t>;</w:t>
      </w:r>
    </w:p>
    <w:p w14:paraId="1666837E" w14:textId="1972DDA7" w:rsidR="003A7312" w:rsidRPr="00D918C0" w:rsidRDefault="003A7312" w:rsidP="004308EC">
      <w:pPr>
        <w:pStyle w:val="LI-BodyTextSubparai"/>
      </w:pPr>
      <w:r w:rsidRPr="00D918C0">
        <w:t>(i)</w:t>
      </w:r>
      <w:r w:rsidRPr="00D918C0">
        <w:tab/>
        <w:t>Dubai Gold &amp; Commodities Exchange;</w:t>
      </w:r>
    </w:p>
    <w:p w14:paraId="4A085A92" w14:textId="133D9BEE" w:rsidR="003A7312" w:rsidRPr="00D918C0" w:rsidRDefault="003A7312" w:rsidP="004308EC">
      <w:pPr>
        <w:pStyle w:val="LI-BodyTextSubparai"/>
      </w:pPr>
      <w:r w:rsidRPr="00D918C0">
        <w:t>(j)</w:t>
      </w:r>
      <w:r w:rsidRPr="00D918C0">
        <w:tab/>
        <w:t>Dubai Mercantile Exchange;</w:t>
      </w:r>
    </w:p>
    <w:p w14:paraId="38FDF2F7" w14:textId="31BA4A68" w:rsidR="003A7312" w:rsidRPr="00D918C0" w:rsidRDefault="003A7312" w:rsidP="004308EC">
      <w:pPr>
        <w:pStyle w:val="LI-BodyTextSubparai"/>
      </w:pPr>
      <w:r w:rsidRPr="00D918C0">
        <w:t>(k)</w:t>
      </w:r>
      <w:r w:rsidRPr="00D918C0">
        <w:tab/>
        <w:t>EPEX Spot SE;</w:t>
      </w:r>
    </w:p>
    <w:p w14:paraId="0DB25B1A" w14:textId="5ACF0E39" w:rsidR="003A7312" w:rsidRPr="00D918C0" w:rsidRDefault="00D623EC" w:rsidP="004308EC">
      <w:pPr>
        <w:pStyle w:val="LI-BodyTextSubparai"/>
      </w:pPr>
      <w:r w:rsidRPr="00D918C0">
        <w:t>(</w:t>
      </w:r>
      <w:r w:rsidR="00B83351" w:rsidRPr="00D918C0">
        <w:t>l</w:t>
      </w:r>
      <w:r w:rsidRPr="00D918C0">
        <w:t>)</w:t>
      </w:r>
      <w:r w:rsidRPr="00D918C0">
        <w:tab/>
      </w:r>
      <w:r w:rsidR="00D918C0">
        <w:t>t</w:t>
      </w:r>
      <w:r w:rsidR="002C0456" w:rsidRPr="00D918C0">
        <w:t>he financial market operated by Hong Kong Futures Exchange Limited;</w:t>
      </w:r>
    </w:p>
    <w:p w14:paraId="2977C48C" w14:textId="6D51E5E8" w:rsidR="003A7312" w:rsidRPr="00D918C0" w:rsidRDefault="003A7312" w:rsidP="004308EC">
      <w:pPr>
        <w:pStyle w:val="LI-BodyTextSubparai"/>
      </w:pPr>
      <w:r w:rsidRPr="00D918C0">
        <w:t>(</w:t>
      </w:r>
      <w:r w:rsidR="00B83351" w:rsidRPr="00D918C0">
        <w:t>m</w:t>
      </w:r>
      <w:r w:rsidRPr="00D918C0">
        <w:t>)</w:t>
      </w:r>
      <w:r w:rsidRPr="00D918C0">
        <w:tab/>
        <w:t>HUPX Ltd Hungarian Power Exchange;</w:t>
      </w:r>
    </w:p>
    <w:p w14:paraId="517B4F17" w14:textId="1FB4D237" w:rsidR="003A7312" w:rsidRPr="00D918C0" w:rsidRDefault="00D623EC" w:rsidP="004308EC">
      <w:pPr>
        <w:pStyle w:val="LI-BodyTextSubparai"/>
      </w:pPr>
      <w:r w:rsidRPr="00D918C0">
        <w:t>(</w:t>
      </w:r>
      <w:r w:rsidR="00B83351" w:rsidRPr="00D918C0">
        <w:t>n</w:t>
      </w:r>
      <w:r w:rsidRPr="00D918C0">
        <w:t>)</w:t>
      </w:r>
      <w:r w:rsidRPr="00D918C0">
        <w:tab/>
      </w:r>
      <w:r w:rsidR="002C0456" w:rsidRPr="00D918C0">
        <w:t>ICE Futures Canada;</w:t>
      </w:r>
    </w:p>
    <w:p w14:paraId="39795731" w14:textId="77777777" w:rsidR="0077598F" w:rsidRDefault="003A7312" w:rsidP="004308EC">
      <w:pPr>
        <w:pStyle w:val="LI-BodyTextSubparai"/>
      </w:pPr>
      <w:r w:rsidRPr="00D918C0">
        <w:lastRenderedPageBreak/>
        <w:t>(</w:t>
      </w:r>
      <w:r w:rsidR="000F6C90" w:rsidRPr="00D918C0">
        <w:t>o</w:t>
      </w:r>
      <w:r w:rsidRPr="00D918C0">
        <w:t>)</w:t>
      </w:r>
      <w:r w:rsidRPr="00D918C0">
        <w:tab/>
      </w:r>
      <w:r w:rsidR="0077598F">
        <w:t xml:space="preserve">the following financial markets operated by the </w:t>
      </w:r>
      <w:r w:rsidR="003A0C12" w:rsidRPr="00D918C0">
        <w:t>Johannesburg Stock Exchange</w:t>
      </w:r>
      <w:r w:rsidR="0077598F">
        <w:t>:</w:t>
      </w:r>
    </w:p>
    <w:p w14:paraId="3037989C" w14:textId="736758D8" w:rsidR="0077598F" w:rsidRDefault="0077598F" w:rsidP="0077598F">
      <w:pPr>
        <w:pStyle w:val="LI-BodyTextSubparai"/>
        <w:tabs>
          <w:tab w:val="left" w:pos="2835"/>
        </w:tabs>
        <w:ind w:firstLine="0"/>
      </w:pPr>
      <w:r>
        <w:t>(i)</w:t>
      </w:r>
      <w:r>
        <w:tab/>
      </w:r>
      <w:r w:rsidR="003A0C12" w:rsidRPr="00D918C0">
        <w:t>JSE Commodity Derivatives Market</w:t>
      </w:r>
      <w:r>
        <w:t>;</w:t>
      </w:r>
    </w:p>
    <w:p w14:paraId="48E74CCE" w14:textId="7142BA78" w:rsidR="0077598F" w:rsidRDefault="0077598F" w:rsidP="0077598F">
      <w:pPr>
        <w:pStyle w:val="LI-BodyTextSubparai"/>
        <w:tabs>
          <w:tab w:val="left" w:pos="2835"/>
        </w:tabs>
        <w:ind w:firstLine="0"/>
      </w:pPr>
      <w:r>
        <w:t>(ii)</w:t>
      </w:r>
      <w:r>
        <w:tab/>
      </w:r>
      <w:r w:rsidR="003A0C12" w:rsidRPr="00D918C0">
        <w:t>JSE Currency Derivatives Market</w:t>
      </w:r>
      <w:r>
        <w:t>;</w:t>
      </w:r>
    </w:p>
    <w:p w14:paraId="0BEDF130" w14:textId="4C1BB0AC" w:rsidR="0077598F" w:rsidRDefault="0077598F" w:rsidP="0077598F">
      <w:pPr>
        <w:pStyle w:val="LI-BodyTextSubparai"/>
        <w:tabs>
          <w:tab w:val="left" w:pos="2835"/>
        </w:tabs>
        <w:ind w:firstLine="0"/>
      </w:pPr>
      <w:r>
        <w:t>(iii)</w:t>
      </w:r>
      <w:r>
        <w:tab/>
      </w:r>
      <w:r w:rsidR="003A0C12" w:rsidRPr="00D918C0">
        <w:t>JSE Equity Derivatives Market</w:t>
      </w:r>
      <w:r>
        <w:t>;</w:t>
      </w:r>
    </w:p>
    <w:p w14:paraId="57C83F26" w14:textId="78EADB1A" w:rsidR="003A7312" w:rsidRPr="00D918C0" w:rsidRDefault="0077598F" w:rsidP="00C04DB5">
      <w:pPr>
        <w:pStyle w:val="LI-BodyTextSubparai"/>
        <w:tabs>
          <w:tab w:val="left" w:pos="2835"/>
        </w:tabs>
        <w:ind w:firstLine="0"/>
      </w:pPr>
      <w:r>
        <w:t>(iv)</w:t>
      </w:r>
      <w:r>
        <w:tab/>
      </w:r>
      <w:r w:rsidR="003A0C12" w:rsidRPr="00D918C0">
        <w:t>JSE Interest Rate Derivatives Market</w:t>
      </w:r>
      <w:r w:rsidR="003A7312" w:rsidRPr="00D918C0">
        <w:t>;</w:t>
      </w:r>
    </w:p>
    <w:p w14:paraId="339EA13E" w14:textId="2D7BFE1F" w:rsidR="003A7312" w:rsidRPr="00D918C0" w:rsidRDefault="003A7312" w:rsidP="004308EC">
      <w:pPr>
        <w:pStyle w:val="LI-BodyTextSubparai"/>
      </w:pPr>
      <w:r w:rsidRPr="00D918C0">
        <w:t>(</w:t>
      </w:r>
      <w:r w:rsidR="000F6C90" w:rsidRPr="00D918C0">
        <w:t>p</w:t>
      </w:r>
      <w:r w:rsidRPr="00D918C0">
        <w:t>)</w:t>
      </w:r>
      <w:r w:rsidRPr="00D918C0">
        <w:tab/>
      </w:r>
      <w:r w:rsidR="003A0C12" w:rsidRPr="00D918C0">
        <w:t>Korea Exchange</w:t>
      </w:r>
      <w:r w:rsidRPr="00D918C0">
        <w:t>;</w:t>
      </w:r>
    </w:p>
    <w:p w14:paraId="67FF116F" w14:textId="75CEF117" w:rsidR="003A7312" w:rsidRPr="00D918C0" w:rsidRDefault="003A7312" w:rsidP="004308EC">
      <w:pPr>
        <w:pStyle w:val="LI-BodyTextSubparai"/>
      </w:pPr>
      <w:r w:rsidRPr="00D918C0">
        <w:t>(</w:t>
      </w:r>
      <w:r w:rsidR="000F6C90" w:rsidRPr="00D918C0">
        <w:t>q</w:t>
      </w:r>
      <w:r w:rsidRPr="00D918C0">
        <w:t>)</w:t>
      </w:r>
      <w:r w:rsidRPr="00D918C0">
        <w:tab/>
        <w:t>Mexican Derivatives Exchange;</w:t>
      </w:r>
    </w:p>
    <w:p w14:paraId="2781F1DB" w14:textId="1DF3C7EF" w:rsidR="0072497F" w:rsidRPr="00D918C0" w:rsidRDefault="0072497F" w:rsidP="004308EC">
      <w:pPr>
        <w:pStyle w:val="LI-BodyTextSubparai"/>
      </w:pPr>
      <w:r w:rsidRPr="00D918C0">
        <w:t>(r)</w:t>
      </w:r>
      <w:r w:rsidRPr="00D918C0">
        <w:tab/>
        <w:t>Moscow Exchange – Derivatives Market;</w:t>
      </w:r>
    </w:p>
    <w:p w14:paraId="21442532" w14:textId="3BDCDDD8" w:rsidR="003A7312" w:rsidRPr="00D918C0" w:rsidRDefault="000F6C90" w:rsidP="004308EC">
      <w:pPr>
        <w:pStyle w:val="LI-BodyTextSubparai"/>
      </w:pPr>
      <w:r w:rsidRPr="00D918C0">
        <w:t>(s</w:t>
      </w:r>
      <w:r w:rsidR="003A7312" w:rsidRPr="00D918C0">
        <w:t>)</w:t>
      </w:r>
      <w:r w:rsidR="003A7312" w:rsidRPr="00D918C0">
        <w:tab/>
        <w:t>National Stock Exchange of India;</w:t>
      </w:r>
    </w:p>
    <w:p w14:paraId="03AEBF6D" w14:textId="0549B236" w:rsidR="003A7312" w:rsidRPr="00D918C0" w:rsidRDefault="003A7312" w:rsidP="004308EC">
      <w:pPr>
        <w:pStyle w:val="LI-BodyTextSubparai"/>
      </w:pPr>
      <w:r w:rsidRPr="00D918C0">
        <w:t>(</w:t>
      </w:r>
      <w:r w:rsidR="000F6C90" w:rsidRPr="00D918C0">
        <w:t>t</w:t>
      </w:r>
      <w:r w:rsidRPr="00D918C0">
        <w:t>)</w:t>
      </w:r>
      <w:r w:rsidRPr="00D918C0">
        <w:tab/>
      </w:r>
      <w:r w:rsidR="00175E64">
        <w:t>NZX Derivatives Market</w:t>
      </w:r>
      <w:r w:rsidRPr="00D918C0">
        <w:t>;</w:t>
      </w:r>
    </w:p>
    <w:p w14:paraId="0449D4BE" w14:textId="1B0B8EEB" w:rsidR="00837CD9" w:rsidRPr="00D918C0" w:rsidRDefault="00D623EC" w:rsidP="004308EC">
      <w:pPr>
        <w:pStyle w:val="LI-BodyTextSubparai"/>
      </w:pPr>
      <w:r w:rsidRPr="00D918C0">
        <w:t>(</w:t>
      </w:r>
      <w:r w:rsidR="000F6C90" w:rsidRPr="00D918C0">
        <w:t>u</w:t>
      </w:r>
      <w:r w:rsidRPr="00D918C0">
        <w:t>)</w:t>
      </w:r>
      <w:r w:rsidRPr="00D918C0">
        <w:tab/>
      </w:r>
      <w:r w:rsidR="002C0456" w:rsidRPr="00D918C0">
        <w:t>Osaka Exchange;</w:t>
      </w:r>
    </w:p>
    <w:p w14:paraId="76AEF927" w14:textId="300C86EB" w:rsidR="00D25590" w:rsidRPr="00D918C0" w:rsidRDefault="00D25590" w:rsidP="004308EC">
      <w:pPr>
        <w:pStyle w:val="LI-BodyTextSubparai"/>
      </w:pPr>
      <w:r w:rsidRPr="00D918C0">
        <w:t>(</w:t>
      </w:r>
      <w:r w:rsidR="000F6C90" w:rsidRPr="00D918C0">
        <w:t>v</w:t>
      </w:r>
      <w:r w:rsidRPr="00D918C0">
        <w:t>)</w:t>
      </w:r>
      <w:r w:rsidRPr="00D918C0">
        <w:tab/>
        <w:t>Power Exchange Central Europe;</w:t>
      </w:r>
    </w:p>
    <w:p w14:paraId="1A34F6D2" w14:textId="697F70C0" w:rsidR="003A7312" w:rsidRPr="00D918C0" w:rsidRDefault="00837CD9" w:rsidP="004308EC">
      <w:pPr>
        <w:pStyle w:val="LI-BodyTextSubparai"/>
      </w:pPr>
      <w:r w:rsidRPr="00D918C0">
        <w:t>(</w:t>
      </w:r>
      <w:r w:rsidR="000F6C90" w:rsidRPr="00D918C0">
        <w:t>w</w:t>
      </w:r>
      <w:r w:rsidRPr="00D918C0">
        <w:t>)</w:t>
      </w:r>
      <w:r w:rsidR="002C0456" w:rsidRPr="00D918C0">
        <w:tab/>
        <w:t>an SEC Regulated Market;</w:t>
      </w:r>
    </w:p>
    <w:p w14:paraId="33AEBB09" w14:textId="2EFECE8A" w:rsidR="003A7312" w:rsidRPr="00D918C0" w:rsidRDefault="003A7312" w:rsidP="004308EC">
      <w:pPr>
        <w:pStyle w:val="LI-BodyTextSubparai"/>
      </w:pPr>
      <w:r w:rsidRPr="00D918C0">
        <w:t>(</w:t>
      </w:r>
      <w:r w:rsidR="000F6C90" w:rsidRPr="00D918C0">
        <w:t>x</w:t>
      </w:r>
      <w:r w:rsidRPr="00D918C0">
        <w:t>)</w:t>
      </w:r>
      <w:r w:rsidRPr="00D918C0">
        <w:tab/>
        <w:t>Shanghai Futures Exchange;</w:t>
      </w:r>
    </w:p>
    <w:p w14:paraId="0D1AF766" w14:textId="64E426AB" w:rsidR="00837CD9" w:rsidRPr="00D918C0" w:rsidRDefault="00837CD9" w:rsidP="004308EC">
      <w:pPr>
        <w:pStyle w:val="LI-BodyTextSubparai"/>
      </w:pPr>
      <w:r w:rsidRPr="00D918C0">
        <w:t>(</w:t>
      </w:r>
      <w:r w:rsidR="000F6C90" w:rsidRPr="00D918C0">
        <w:t>y</w:t>
      </w:r>
      <w:r w:rsidRPr="00D918C0">
        <w:t>)</w:t>
      </w:r>
      <w:r w:rsidRPr="00D918C0">
        <w:tab/>
      </w:r>
      <w:r w:rsidR="002C0456" w:rsidRPr="00D918C0">
        <w:t>Singapore Exchange Derivatives</w:t>
      </w:r>
      <w:r w:rsidRPr="00D918C0">
        <w:t>;</w:t>
      </w:r>
    </w:p>
    <w:p w14:paraId="346BD290" w14:textId="77A7357C" w:rsidR="008C3AB4" w:rsidRPr="00D918C0" w:rsidRDefault="00837CD9" w:rsidP="004308EC">
      <w:pPr>
        <w:pStyle w:val="LI-BodyTextSubparai"/>
      </w:pPr>
      <w:r w:rsidRPr="00D918C0">
        <w:t>(</w:t>
      </w:r>
      <w:r w:rsidR="000F6C90" w:rsidRPr="00D918C0">
        <w:t>z</w:t>
      </w:r>
      <w:r w:rsidRPr="00D918C0">
        <w:t>)</w:t>
      </w:r>
      <w:r w:rsidRPr="00D918C0">
        <w:tab/>
      </w:r>
      <w:r w:rsidR="00D918C0">
        <w:t>t</w:t>
      </w:r>
      <w:r w:rsidR="002C0456" w:rsidRPr="00D918C0">
        <w:t>he financial market operated by The Stock Exchange of Hong Kong</w:t>
      </w:r>
      <w:r w:rsidR="0073561E" w:rsidRPr="00D918C0">
        <w:t xml:space="preserve"> </w:t>
      </w:r>
      <w:r w:rsidR="002C0456" w:rsidRPr="00D918C0">
        <w:t>Limited;</w:t>
      </w:r>
    </w:p>
    <w:p w14:paraId="6B1D6354" w14:textId="076D3819" w:rsidR="008C3AB4" w:rsidRPr="00D918C0" w:rsidRDefault="00D25590" w:rsidP="004308EC">
      <w:pPr>
        <w:pStyle w:val="LI-BodyTextSubparai"/>
      </w:pPr>
      <w:r w:rsidRPr="00D918C0">
        <w:t>(</w:t>
      </w:r>
      <w:r w:rsidR="000F6C90" w:rsidRPr="00D918C0">
        <w:t>aa</w:t>
      </w:r>
      <w:r w:rsidR="008C3AB4" w:rsidRPr="00D918C0">
        <w:t>)</w:t>
      </w:r>
      <w:r w:rsidR="008C3AB4" w:rsidRPr="00D918C0">
        <w:tab/>
      </w:r>
      <w:r w:rsidR="003A7312" w:rsidRPr="00D918C0">
        <w:t>Taiwan Futures Exchange;</w:t>
      </w:r>
    </w:p>
    <w:p w14:paraId="365DA331" w14:textId="29B6C062" w:rsidR="008C3AB4" w:rsidRPr="00D918C0" w:rsidRDefault="008C3AB4" w:rsidP="004308EC">
      <w:pPr>
        <w:pStyle w:val="LI-BodyTextSubparai"/>
      </w:pPr>
      <w:r w:rsidRPr="00D918C0">
        <w:t>(</w:t>
      </w:r>
      <w:r w:rsidR="000F6C90" w:rsidRPr="00D918C0">
        <w:t>bb</w:t>
      </w:r>
      <w:r w:rsidRPr="00D918C0">
        <w:t>)</w:t>
      </w:r>
      <w:r w:rsidRPr="00D918C0">
        <w:tab/>
      </w:r>
      <w:r w:rsidR="003A7312" w:rsidRPr="00D918C0">
        <w:t>Tel Aviv Stock Exchange;</w:t>
      </w:r>
    </w:p>
    <w:p w14:paraId="4A2AD885" w14:textId="5486DAF3" w:rsidR="008C3AB4" w:rsidRPr="00D918C0" w:rsidRDefault="008C3AB4" w:rsidP="004308EC">
      <w:pPr>
        <w:pStyle w:val="LI-BodyTextSubparai"/>
      </w:pPr>
      <w:r w:rsidRPr="00D918C0">
        <w:t>(</w:t>
      </w:r>
      <w:r w:rsidR="000F6C90" w:rsidRPr="00D918C0">
        <w:t>cc</w:t>
      </w:r>
      <w:r w:rsidRPr="00D918C0">
        <w:t>)</w:t>
      </w:r>
      <w:r w:rsidRPr="00D918C0">
        <w:tab/>
      </w:r>
      <w:r w:rsidR="003A7312" w:rsidRPr="00D918C0">
        <w:t>Thailand Futures Exchange as part of Stock Exchange of Thailand;</w:t>
      </w:r>
    </w:p>
    <w:p w14:paraId="465B3AD4" w14:textId="10F5D2F1" w:rsidR="008C3AB4" w:rsidRPr="00D918C0" w:rsidRDefault="008C3AB4" w:rsidP="004308EC">
      <w:pPr>
        <w:pStyle w:val="LI-BodyTextSubparai"/>
      </w:pPr>
      <w:r w:rsidRPr="00D918C0">
        <w:t>(</w:t>
      </w:r>
      <w:r w:rsidR="000F6C90" w:rsidRPr="00D918C0">
        <w:t>dd</w:t>
      </w:r>
      <w:r w:rsidRPr="00D918C0">
        <w:t>)</w:t>
      </w:r>
      <w:r w:rsidRPr="00D918C0">
        <w:tab/>
      </w:r>
      <w:r w:rsidR="003A7312" w:rsidRPr="00D918C0">
        <w:t>Tokyo Commodity Exchange;</w:t>
      </w:r>
    </w:p>
    <w:p w14:paraId="0005CA5F" w14:textId="0EFA51DA" w:rsidR="003A7312" w:rsidRPr="00D918C0" w:rsidRDefault="008C3AB4" w:rsidP="004308EC">
      <w:pPr>
        <w:pStyle w:val="LI-BodyTextSubparai"/>
      </w:pPr>
      <w:r w:rsidRPr="00D918C0">
        <w:t>(</w:t>
      </w:r>
      <w:r w:rsidR="000F6C90" w:rsidRPr="00D918C0">
        <w:t>ee</w:t>
      </w:r>
      <w:r w:rsidRPr="00D918C0">
        <w:t>)</w:t>
      </w:r>
      <w:r w:rsidRPr="00D918C0">
        <w:tab/>
      </w:r>
      <w:r w:rsidR="003A7312" w:rsidRPr="00D918C0">
        <w:t>Tokyo Financial Exchange</w:t>
      </w:r>
      <w:r w:rsidRPr="00D918C0">
        <w:t>;</w:t>
      </w:r>
    </w:p>
    <w:p w14:paraId="40D90A32" w14:textId="33635407" w:rsidR="00837CD9" w:rsidRPr="00D918C0" w:rsidRDefault="00837CD9" w:rsidP="004308EC">
      <w:pPr>
        <w:pStyle w:val="LI-BodyTextSubparai"/>
      </w:pPr>
      <w:r w:rsidRPr="00D918C0">
        <w:t>(</w:t>
      </w:r>
      <w:r w:rsidR="000F6C90" w:rsidRPr="00D918C0">
        <w:t>ff</w:t>
      </w:r>
      <w:r w:rsidRPr="00D918C0">
        <w:t>)</w:t>
      </w:r>
      <w:r w:rsidRPr="00D918C0">
        <w:tab/>
      </w:r>
      <w:r w:rsidR="002C0456" w:rsidRPr="00D918C0">
        <w:t>Tokyo Stock Exchange</w:t>
      </w:r>
      <w:r w:rsidRPr="00D918C0">
        <w:t>;</w:t>
      </w:r>
    </w:p>
    <w:p w14:paraId="5FCD0348" w14:textId="5C4BCE07" w:rsidR="00837CD9" w:rsidRPr="00D918C0" w:rsidRDefault="00837CD9" w:rsidP="004308EC">
      <w:pPr>
        <w:pStyle w:val="LI-BodyTextSubparai"/>
      </w:pPr>
      <w:r w:rsidRPr="00D918C0">
        <w:t>(</w:t>
      </w:r>
      <w:r w:rsidR="000F6C90" w:rsidRPr="00D918C0">
        <w:t>gg</w:t>
      </w:r>
      <w:r w:rsidRPr="00D918C0">
        <w:t>)</w:t>
      </w:r>
      <w:r w:rsidRPr="00D918C0">
        <w:tab/>
      </w:r>
      <w:r w:rsidR="002C0456" w:rsidRPr="00D918C0">
        <w:t>Toronto Stock Exchange;</w:t>
      </w:r>
      <w:r w:rsidR="008C3AB4" w:rsidRPr="00D918C0">
        <w:t xml:space="preserve"> </w:t>
      </w:r>
    </w:p>
    <w:p w14:paraId="358DB3B1" w14:textId="0B06E15C" w:rsidR="002C0456" w:rsidRDefault="00837CD9" w:rsidP="004308EC">
      <w:pPr>
        <w:pStyle w:val="LI-BodyTextSubparai"/>
      </w:pPr>
      <w:r w:rsidRPr="00D918C0">
        <w:t>(</w:t>
      </w:r>
      <w:r w:rsidR="000F6C90" w:rsidRPr="00D918C0">
        <w:t>hh</w:t>
      </w:r>
      <w:r w:rsidRPr="00D918C0">
        <w:t>)</w:t>
      </w:r>
      <w:r w:rsidRPr="00D918C0">
        <w:tab/>
      </w:r>
      <w:r w:rsidR="002C0456" w:rsidRPr="00D918C0">
        <w:t>a UK Regulated</w:t>
      </w:r>
      <w:r w:rsidR="002C0456">
        <w:t xml:space="preserve"> Market</w:t>
      </w:r>
      <w:r w:rsidR="008C3AB4">
        <w:t>.</w:t>
      </w:r>
    </w:p>
    <w:sectPr w:rsidR="002C0456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F2AF" w14:textId="77777777" w:rsidR="0077598F" w:rsidRDefault="0077598F" w:rsidP="00715914">
      <w:pPr>
        <w:spacing w:line="240" w:lineRule="auto"/>
      </w:pPr>
      <w:r>
        <w:separator/>
      </w:r>
    </w:p>
  </w:endnote>
  <w:endnote w:type="continuationSeparator" w:id="0">
    <w:p w14:paraId="7175B94D" w14:textId="77777777" w:rsidR="0077598F" w:rsidRDefault="0077598F" w:rsidP="00715914">
      <w:pPr>
        <w:spacing w:line="240" w:lineRule="auto"/>
      </w:pPr>
      <w:r>
        <w:continuationSeparator/>
      </w:r>
    </w:p>
  </w:endnote>
  <w:endnote w:type="continuationNotice" w:id="1">
    <w:p w14:paraId="0671FFDA" w14:textId="77777777" w:rsidR="005120A0" w:rsidRDefault="005120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77598F" w:rsidRPr="00081794" w14:paraId="5C63521B" w14:textId="77777777" w:rsidTr="00081794">
      <w:tc>
        <w:tcPr>
          <w:tcW w:w="8472" w:type="dxa"/>
          <w:shd w:val="clear" w:color="auto" w:fill="auto"/>
        </w:tcPr>
        <w:p w14:paraId="6B880637" w14:textId="03C05068" w:rsidR="0077598F" w:rsidRPr="00081794" w:rsidRDefault="0077598F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350541C4" wp14:editId="4BE74EA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0896E" w14:textId="68B296E5" w:rsidR="0077598F" w:rsidRPr="00284719" w:rsidRDefault="0077598F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221D4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541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4AF0896E" w14:textId="68B296E5" w:rsidR="0077598F" w:rsidRPr="00284719" w:rsidRDefault="0077598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21D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6951C5D3" w14:textId="77777777" w:rsidR="0077598F" w:rsidRPr="007500C8" w:rsidRDefault="0077598F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73D9" w14:textId="1D457F0D" w:rsidR="0077598F" w:rsidRDefault="0077598F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5B8BA9F" wp14:editId="3A95BB7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43DE773" w14:textId="77777777" w:rsidR="0077598F" w:rsidRPr="00284719" w:rsidRDefault="0077598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8BA9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743DE773" w14:textId="77777777" w:rsidR="0077598F" w:rsidRPr="00284719" w:rsidRDefault="0077598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77598F" w:rsidRPr="00081794" w14:paraId="7B698FF1" w14:textId="77777777" w:rsidTr="00081794">
      <w:tc>
        <w:tcPr>
          <w:tcW w:w="8472" w:type="dxa"/>
          <w:shd w:val="clear" w:color="auto" w:fill="auto"/>
        </w:tcPr>
        <w:p w14:paraId="140E15DE" w14:textId="77777777" w:rsidR="0077598F" w:rsidRPr="00081794" w:rsidRDefault="0077598F" w:rsidP="00102CA6">
          <w:pPr>
            <w:rPr>
              <w:sz w:val="18"/>
            </w:rPr>
          </w:pPr>
        </w:p>
      </w:tc>
    </w:tr>
  </w:tbl>
  <w:p w14:paraId="1BC41224" w14:textId="77777777" w:rsidR="0077598F" w:rsidRPr="007500C8" w:rsidRDefault="0077598F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5BB0" w14:textId="77777777" w:rsidR="0077598F" w:rsidRPr="00ED79B6" w:rsidRDefault="0077598F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7468E" w14:textId="77777777" w:rsidR="0077598F" w:rsidRPr="00E2168B" w:rsidRDefault="0077598F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49F9" w14:textId="77777777" w:rsidR="0077598F" w:rsidRPr="00E33C1C" w:rsidRDefault="0077598F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AD2D" w14:textId="77777777" w:rsidR="0077598F" w:rsidRPr="00243EC0" w:rsidRDefault="0077598F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294B" w14:textId="77777777" w:rsidR="0077598F" w:rsidRPr="00E33C1C" w:rsidRDefault="0077598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7598F" w:rsidRPr="00081794" w14:paraId="0949710A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B2526" w14:textId="77777777" w:rsidR="0077598F" w:rsidRPr="00081794" w:rsidRDefault="0077598F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4CE2DE" w14:textId="4B470D6F" w:rsidR="0077598F" w:rsidRPr="00081794" w:rsidRDefault="0077598F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221D4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A8441A" w14:textId="77777777" w:rsidR="0077598F" w:rsidRPr="00081794" w:rsidRDefault="0077598F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77598F" w:rsidRPr="00081794" w14:paraId="5ED38D78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1824D12" w14:textId="77777777" w:rsidR="0077598F" w:rsidRPr="00081794" w:rsidRDefault="0077598F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74E71DF1" w14:textId="77777777" w:rsidR="0077598F" w:rsidRPr="00ED79B6" w:rsidRDefault="0077598F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A9F27" w14:textId="77777777" w:rsidR="0077598F" w:rsidRDefault="0077598F" w:rsidP="00715914">
      <w:pPr>
        <w:spacing w:line="240" w:lineRule="auto"/>
      </w:pPr>
      <w:r>
        <w:separator/>
      </w:r>
    </w:p>
  </w:footnote>
  <w:footnote w:type="continuationSeparator" w:id="0">
    <w:p w14:paraId="69AD37D3" w14:textId="77777777" w:rsidR="0077598F" w:rsidRDefault="0077598F" w:rsidP="00715914">
      <w:pPr>
        <w:spacing w:line="240" w:lineRule="auto"/>
      </w:pPr>
      <w:r>
        <w:continuationSeparator/>
      </w:r>
    </w:p>
  </w:footnote>
  <w:footnote w:type="continuationNotice" w:id="1">
    <w:p w14:paraId="76C1BC75" w14:textId="77777777" w:rsidR="005120A0" w:rsidRDefault="005120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19A6" w14:textId="461DBC30" w:rsidR="0077598F" w:rsidRPr="005F1388" w:rsidRDefault="0077598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5E2174F" wp14:editId="3D321A0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ADC2500" w14:textId="21683C32" w:rsidR="0077598F" w:rsidRPr="00284719" w:rsidRDefault="0077598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21D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2174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3ADC2500" w14:textId="21683C32" w:rsidR="0077598F" w:rsidRPr="00284719" w:rsidRDefault="0077598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21D4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B380" w14:textId="77777777" w:rsidR="0077598F" w:rsidRPr="00243EC0" w:rsidRDefault="0077598F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77598F" w:rsidRPr="00E40FF8" w14:paraId="183D838C" w14:textId="77777777" w:rsidTr="000A1655">
      <w:tc>
        <w:tcPr>
          <w:tcW w:w="6663" w:type="dxa"/>
          <w:shd w:val="clear" w:color="auto" w:fill="auto"/>
        </w:tcPr>
        <w:p w14:paraId="66514C35" w14:textId="2D1BC001" w:rsidR="0077598F" w:rsidRDefault="0046093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Regulated Foreign Markets Determination (Amendment) Instrument 2020/828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57E5716F" w14:textId="01D65968" w:rsidR="0077598F" w:rsidRDefault="0046093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1—Amendments</w:t>
          </w:r>
          <w:r>
            <w:rPr>
              <w:noProof/>
            </w:rPr>
            <w:fldChar w:fldCharType="end"/>
          </w:r>
        </w:p>
      </w:tc>
    </w:tr>
  </w:tbl>
  <w:p w14:paraId="0AEC4BA2" w14:textId="77777777" w:rsidR="0077598F" w:rsidRPr="00F4215A" w:rsidRDefault="0077598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D475" w14:textId="46E245AD" w:rsidR="0077598F" w:rsidRPr="005F1388" w:rsidRDefault="0077598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A52EE8" wp14:editId="2BC886A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1F8579B" w14:textId="77777777" w:rsidR="0077598F" w:rsidRPr="00284719" w:rsidRDefault="0077598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2EE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1F8579B" w14:textId="77777777" w:rsidR="0077598F" w:rsidRPr="00284719" w:rsidRDefault="0077598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4853" w14:textId="77777777" w:rsidR="0077598F" w:rsidRPr="005F1388" w:rsidRDefault="0077598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D7F7B" w14:textId="77777777" w:rsidR="0077598F" w:rsidRDefault="0077598F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77598F" w:rsidRPr="00E40FF8" w14:paraId="73520937" w14:textId="77777777" w:rsidTr="00BF75C9">
      <w:tc>
        <w:tcPr>
          <w:tcW w:w="6804" w:type="dxa"/>
          <w:shd w:val="clear" w:color="auto" w:fill="auto"/>
        </w:tcPr>
        <w:p w14:paraId="1B1A016B" w14:textId="756FBB86" w:rsidR="0077598F" w:rsidRDefault="0046093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Regulated Foreign Markets Determination (Amendment) Instrument 2020/828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4FB524CF" w14:textId="77777777" w:rsidR="0077598F" w:rsidRDefault="0077598F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D387207" w14:textId="77777777" w:rsidR="0077598F" w:rsidRPr="008945E0" w:rsidRDefault="0077598F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AA48" w14:textId="77777777" w:rsidR="0077598F" w:rsidRPr="00ED79B6" w:rsidRDefault="0077598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B721" w14:textId="77777777" w:rsidR="0077598F" w:rsidRPr="00243EC0" w:rsidRDefault="0077598F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77598F" w14:paraId="2BD2788B" w14:textId="77777777" w:rsidTr="00BF75C9">
      <w:tc>
        <w:tcPr>
          <w:tcW w:w="6804" w:type="dxa"/>
          <w:shd w:val="clear" w:color="auto" w:fill="auto"/>
        </w:tcPr>
        <w:p w14:paraId="4107B0A9" w14:textId="2622B082" w:rsidR="0077598F" w:rsidRDefault="0046093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Regulated Foreign Markets Determination (Amendment) Instrument 2020/828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F110AA6" w14:textId="1D5988B7" w:rsidR="0077598F" w:rsidRDefault="0046093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44673819" w14:textId="77777777" w:rsidR="0077598F" w:rsidRPr="00F4215A" w:rsidRDefault="0077598F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7CCD" w14:textId="77777777" w:rsidR="0077598F" w:rsidRPr="007A1328" w:rsidRDefault="0077598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2D18"/>
    <w:rsid w:val="000136AF"/>
    <w:rsid w:val="00013B8D"/>
    <w:rsid w:val="00023D53"/>
    <w:rsid w:val="000437C1"/>
    <w:rsid w:val="0005365D"/>
    <w:rsid w:val="000614BF"/>
    <w:rsid w:val="0006250C"/>
    <w:rsid w:val="00081794"/>
    <w:rsid w:val="000A07DA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0F6C90"/>
    <w:rsid w:val="00102307"/>
    <w:rsid w:val="00102CA6"/>
    <w:rsid w:val="0010745C"/>
    <w:rsid w:val="00120985"/>
    <w:rsid w:val="00132B7B"/>
    <w:rsid w:val="00132CEB"/>
    <w:rsid w:val="0013567F"/>
    <w:rsid w:val="00142B62"/>
    <w:rsid w:val="00144269"/>
    <w:rsid w:val="00157B8B"/>
    <w:rsid w:val="00166C2F"/>
    <w:rsid w:val="00171A6E"/>
    <w:rsid w:val="00175E64"/>
    <w:rsid w:val="001809D7"/>
    <w:rsid w:val="001850D6"/>
    <w:rsid w:val="001939E1"/>
    <w:rsid w:val="00194C3E"/>
    <w:rsid w:val="00195382"/>
    <w:rsid w:val="00195BD4"/>
    <w:rsid w:val="001B18CB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81308"/>
    <w:rsid w:val="00281813"/>
    <w:rsid w:val="00284719"/>
    <w:rsid w:val="00295CB0"/>
    <w:rsid w:val="00297ECB"/>
    <w:rsid w:val="002A7BCF"/>
    <w:rsid w:val="002B19F3"/>
    <w:rsid w:val="002B4A0D"/>
    <w:rsid w:val="002C0456"/>
    <w:rsid w:val="002C40C9"/>
    <w:rsid w:val="002D043A"/>
    <w:rsid w:val="002D6224"/>
    <w:rsid w:val="002E3F4B"/>
    <w:rsid w:val="002F7205"/>
    <w:rsid w:val="003017B3"/>
    <w:rsid w:val="00304F8B"/>
    <w:rsid w:val="003221D4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422E"/>
    <w:rsid w:val="00365497"/>
    <w:rsid w:val="003708CA"/>
    <w:rsid w:val="00374DDD"/>
    <w:rsid w:val="00387A96"/>
    <w:rsid w:val="00387E03"/>
    <w:rsid w:val="00390A86"/>
    <w:rsid w:val="003A0C12"/>
    <w:rsid w:val="003A2A48"/>
    <w:rsid w:val="003A7312"/>
    <w:rsid w:val="003B732F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08EC"/>
    <w:rsid w:val="00431C3B"/>
    <w:rsid w:val="00431E9B"/>
    <w:rsid w:val="004379E3"/>
    <w:rsid w:val="0044015E"/>
    <w:rsid w:val="0044291A"/>
    <w:rsid w:val="00444ABD"/>
    <w:rsid w:val="00447DB4"/>
    <w:rsid w:val="004539F1"/>
    <w:rsid w:val="0046093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4F7A7D"/>
    <w:rsid w:val="0050044F"/>
    <w:rsid w:val="00505D3D"/>
    <w:rsid w:val="00506AF6"/>
    <w:rsid w:val="005120A0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72D97"/>
    <w:rsid w:val="00577670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6C50"/>
    <w:rsid w:val="00607A71"/>
    <w:rsid w:val="0061693F"/>
    <w:rsid w:val="00620076"/>
    <w:rsid w:val="0062151A"/>
    <w:rsid w:val="00640161"/>
    <w:rsid w:val="00647598"/>
    <w:rsid w:val="00650C08"/>
    <w:rsid w:val="00652769"/>
    <w:rsid w:val="0065542F"/>
    <w:rsid w:val="006554FF"/>
    <w:rsid w:val="00655874"/>
    <w:rsid w:val="0067066A"/>
    <w:rsid w:val="00670EA1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2497F"/>
    <w:rsid w:val="00730186"/>
    <w:rsid w:val="00731E00"/>
    <w:rsid w:val="0073561E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7598F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37CD9"/>
    <w:rsid w:val="00840442"/>
    <w:rsid w:val="008447C8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C3AB4"/>
    <w:rsid w:val="008D0EE0"/>
    <w:rsid w:val="008D3422"/>
    <w:rsid w:val="008D793C"/>
    <w:rsid w:val="008E290E"/>
    <w:rsid w:val="008E6067"/>
    <w:rsid w:val="008F54E7"/>
    <w:rsid w:val="00903422"/>
    <w:rsid w:val="009157B9"/>
    <w:rsid w:val="00915DF9"/>
    <w:rsid w:val="009232C9"/>
    <w:rsid w:val="009254C3"/>
    <w:rsid w:val="00930A0A"/>
    <w:rsid w:val="00932377"/>
    <w:rsid w:val="0093355B"/>
    <w:rsid w:val="00942303"/>
    <w:rsid w:val="00947D5A"/>
    <w:rsid w:val="009532A5"/>
    <w:rsid w:val="0095528E"/>
    <w:rsid w:val="00962120"/>
    <w:rsid w:val="00966B9D"/>
    <w:rsid w:val="0096753E"/>
    <w:rsid w:val="00982242"/>
    <w:rsid w:val="009868E9"/>
    <w:rsid w:val="009944E6"/>
    <w:rsid w:val="009A49C9"/>
    <w:rsid w:val="009B69D4"/>
    <w:rsid w:val="009B6B90"/>
    <w:rsid w:val="009D1818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3D55"/>
    <w:rsid w:val="00A40424"/>
    <w:rsid w:val="00A52B0F"/>
    <w:rsid w:val="00A56283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409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404AF"/>
    <w:rsid w:val="00B50ADC"/>
    <w:rsid w:val="00B566B1"/>
    <w:rsid w:val="00B57C21"/>
    <w:rsid w:val="00B63834"/>
    <w:rsid w:val="00B72734"/>
    <w:rsid w:val="00B80199"/>
    <w:rsid w:val="00B82D81"/>
    <w:rsid w:val="00B83204"/>
    <w:rsid w:val="00B83351"/>
    <w:rsid w:val="00BA220B"/>
    <w:rsid w:val="00BA2950"/>
    <w:rsid w:val="00BA2AA6"/>
    <w:rsid w:val="00BA3A57"/>
    <w:rsid w:val="00BB1F09"/>
    <w:rsid w:val="00BB208C"/>
    <w:rsid w:val="00BB4E1A"/>
    <w:rsid w:val="00BB51DB"/>
    <w:rsid w:val="00BB5C17"/>
    <w:rsid w:val="00BC015E"/>
    <w:rsid w:val="00BC7183"/>
    <w:rsid w:val="00BC76AC"/>
    <w:rsid w:val="00BD0ECB"/>
    <w:rsid w:val="00BE2155"/>
    <w:rsid w:val="00BE2213"/>
    <w:rsid w:val="00BE4EA0"/>
    <w:rsid w:val="00BE63B0"/>
    <w:rsid w:val="00BE719A"/>
    <w:rsid w:val="00BE720A"/>
    <w:rsid w:val="00BF0D73"/>
    <w:rsid w:val="00BF2465"/>
    <w:rsid w:val="00BF75C9"/>
    <w:rsid w:val="00BF7C96"/>
    <w:rsid w:val="00C02D44"/>
    <w:rsid w:val="00C04DB5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70CA8"/>
    <w:rsid w:val="00C7433F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25590"/>
    <w:rsid w:val="00D32F65"/>
    <w:rsid w:val="00D341C4"/>
    <w:rsid w:val="00D52DC2"/>
    <w:rsid w:val="00D53BCC"/>
    <w:rsid w:val="00D623EC"/>
    <w:rsid w:val="00D66303"/>
    <w:rsid w:val="00D67BA9"/>
    <w:rsid w:val="00D702DE"/>
    <w:rsid w:val="00D70DFB"/>
    <w:rsid w:val="00D73C22"/>
    <w:rsid w:val="00D7567C"/>
    <w:rsid w:val="00D766DF"/>
    <w:rsid w:val="00D918C0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25478"/>
    <w:rsid w:val="00E338EF"/>
    <w:rsid w:val="00E40FF8"/>
    <w:rsid w:val="00E41F24"/>
    <w:rsid w:val="00E44D48"/>
    <w:rsid w:val="00E50FCF"/>
    <w:rsid w:val="00E544BB"/>
    <w:rsid w:val="00E578EC"/>
    <w:rsid w:val="00E5796D"/>
    <w:rsid w:val="00E60423"/>
    <w:rsid w:val="00E662CB"/>
    <w:rsid w:val="00E74DC7"/>
    <w:rsid w:val="00E763DA"/>
    <w:rsid w:val="00E8075A"/>
    <w:rsid w:val="00E818A6"/>
    <w:rsid w:val="00E86920"/>
    <w:rsid w:val="00E91DDE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35FC7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6A1E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42DC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7CDA8BB5"/>
  <w15:chartTrackingRefBased/>
  <w15:docId w15:val="{C2C0F5DC-59D6-4BFC-8A1F-70A8727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D918C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yperlink" Target="http://www.b3.com.br/en_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R20200000537122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o4e27953845640a0bff56e76153fbe6a xmlns="beb4cffa-a87e-476d-882d-4d3866992d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o4e27953845640a0bff56e76153fbe6a>
    <TaxCatchAll xmlns="beb4cffa-a87e-476d-882d-4d3866992d4f">
      <Value>9</Value>
    </TaxCatchAl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8BA223113DC9744A89C85F515BBBFA90" ma:contentTypeVersion="19" ma:contentTypeDescription="" ma:contentTypeScope="" ma:versionID="b8a838c5573d190e18b4a8ea3b7ba24a">
  <xsd:schema xmlns:xsd="http://www.w3.org/2001/XMLSchema" xmlns:xs="http://www.w3.org/2001/XMLSchema" xmlns:p="http://schemas.microsoft.com/office/2006/metadata/properties" xmlns:ns2="da7a9ac0-bc47-4684-84e6-3a8e9ac80c12" xmlns:ns3="beb4cffa-a87e-476d-882d-4d3866992d4f" xmlns:ns4="17f478ab-373e-4295-9ff0-9b833ad01319" targetNamespace="http://schemas.microsoft.com/office/2006/metadata/properties" ma:root="true" ma:fieldsID="f0475f397d65a6bde2807eb8f130fe5f" ns2:_="" ns3:_="" ns4:_="">
    <xsd:import namespace="da7a9ac0-bc47-4684-84e6-3a8e9ac80c12"/>
    <xsd:import namespace="beb4cffa-a87e-476d-882d-4d3866992d4f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o4e27953845640a0bff56e76153fbe6a" minOccurs="0"/>
                <xsd:element ref="ns2:NotesLinks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cffa-a87e-476d-882d-4d3866992d4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021960-3431-440c-bd63-c5b03cf2a8e7}" ma:internalName="TaxCatchAll" ma:showField="CatchAllData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021960-3431-440c-bd63-c5b03cf2a8e7}" ma:internalName="TaxCatchAllLabel" ma:readOnly="true" ma:showField="CatchAllDataLabel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e27953845640a0bff56e76153fbe6a" ma:index="17" ma:taxonomy="true" ma:internalName="o4e27953845640a0bff56e76153fbe6a" ma:taxonomyFieldName="SecurityClassification" ma:displayName="Security Classification" ma:readOnly="false" ma:default="-1;#OFFICIAL - Sensitive|6eccc17f-024b-41b0-b6b1-faf98d2aff85" ma:fieldId="{84e27953-8456-40a0-bff5-6e76153fbe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BAEB-A186-486B-BDD1-AD2A90120E31}">
  <ds:schemaRefs>
    <ds:schemaRef ds:uri="http://schemas.microsoft.com/office/2006/documentManagement/types"/>
    <ds:schemaRef ds:uri="beb4cffa-a87e-476d-882d-4d3866992d4f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da7a9ac0-bc47-4684-84e6-3a8e9ac80c12"/>
    <ds:schemaRef ds:uri="http://schemas.microsoft.com/office/2006/metadata/properties"/>
    <ds:schemaRef ds:uri="http://purl.org/dc/dcmitype/"/>
    <ds:schemaRef ds:uri="http://schemas.microsoft.com/office/infopath/2007/PartnerControls"/>
    <ds:schemaRef ds:uri="17f478ab-373e-4295-9ff0-9b833ad01319"/>
  </ds:schemaRefs>
</ds:datastoreItem>
</file>

<file path=customXml/itemProps2.xml><?xml version="1.0" encoding="utf-8"?>
<ds:datastoreItem xmlns:ds="http://schemas.openxmlformats.org/officeDocument/2006/customXml" ds:itemID="{AAFD9BA8-A101-4BF3-A868-5A73BB7346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051C79-F015-482F-8C03-18393396C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0A017-997A-48E0-B20E-AE0CC4947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beb4cffa-a87e-476d-882d-4d3866992d4f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01356C-5D73-49B1-9C12-D1F8FE19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5</TotalTime>
  <Pages>5</Pages>
  <Words>553</Words>
  <Characters>3157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3703</CharactersWithSpaces>
  <SharedDoc>false</SharedDoc>
  <HyperlinkBase/>
  <HLinks>
    <vt:vector size="78" baseType="variant"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_Toc420481798</vt:lpwstr>
      </vt:variant>
      <vt:variant>
        <vt:i4>1638459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_Toc420481797</vt:lpwstr>
      </vt:variant>
      <vt:variant>
        <vt:i4>1638459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_Toc420481796</vt:lpwstr>
      </vt:variant>
      <vt:variant>
        <vt:i4>1638459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_Toc420481795</vt:lpwstr>
      </vt:variant>
      <vt:variant>
        <vt:i4>1638459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_Toc420481792</vt:lpwstr>
      </vt:variant>
      <vt:variant>
        <vt:i4>1638459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McBurnie</dc:creator>
  <cp:keywords/>
  <cp:lastModifiedBy>Narelle Kane</cp:lastModifiedBy>
  <cp:revision>3</cp:revision>
  <cp:lastPrinted>2020-09-16T02:58:00Z</cp:lastPrinted>
  <dcterms:created xsi:type="dcterms:W3CDTF">2020-09-29T05:15:00Z</dcterms:created>
  <dcterms:modified xsi:type="dcterms:W3CDTF">2020-09-29T05:25:00Z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{17c60cf1-008c-4115-82e5-e12b1392a9ba}</vt:lpwstr>
  </property>
  <property fmtid="{D5CDD505-2E9C-101B-9397-08002B2CF9AE}" pid="41" name="RecordPoint_ActiveItemListId">
    <vt:lpwstr>{eff5351a-b648-4586-ad2b-124cbe458711}</vt:lpwstr>
  </property>
  <property fmtid="{D5CDD505-2E9C-101B-9397-08002B2CF9AE}" pid="42" name="RecordPoint_ActiveItemUniqueId">
    <vt:lpwstr>{38d2717b-0209-484e-8bcb-73a411b3dd36}</vt:lpwstr>
  </property>
  <property fmtid="{D5CDD505-2E9C-101B-9397-08002B2CF9AE}" pid="43" name="RecordPoint_ActiveItemWebId">
    <vt:lpwstr>{beb4cffa-a87e-476d-882d-4d3866992d4f}</vt:lpwstr>
  </property>
  <property fmtid="{D5CDD505-2E9C-101B-9397-08002B2CF9AE}" pid="44" name="SecurityClassification">
    <vt:lpwstr>9;#OFFICIAL - Sensitive|6eccc17f-024b-41b0-b6b1-faf98d2aff85</vt:lpwstr>
  </property>
  <property fmtid="{D5CDD505-2E9C-101B-9397-08002B2CF9AE}" pid="45" name="IconOverlay">
    <vt:lpwstr/>
  </property>
  <property fmtid="{D5CDD505-2E9C-101B-9397-08002B2CF9AE}" pid="46" name="RecordPoint_RecordNumberSubmitted">
    <vt:lpwstr>R20200000537122</vt:lpwstr>
  </property>
  <property fmtid="{D5CDD505-2E9C-101B-9397-08002B2CF9AE}" pid="47" name="ContentTypeId">
    <vt:lpwstr>0x010100B5F685A1365F544391EF8C813B164F3A008BA223113DC9744A89C85F515BBBFA90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RecordPoint_SubmissionCompleted">
    <vt:lpwstr>2020-09-29T13:34:45.4353049+10:00</vt:lpwstr>
  </property>
</Properties>
</file>