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4D35E" w14:textId="77777777" w:rsidR="003A6026" w:rsidRPr="00C9375C" w:rsidRDefault="003A6026" w:rsidP="003A6026">
      <w:pPr>
        <w:jc w:val="center"/>
        <w:rPr>
          <w:b/>
        </w:rPr>
      </w:pPr>
      <w:r w:rsidRPr="00C9375C">
        <w:rPr>
          <w:b/>
        </w:rPr>
        <w:t>EXPLANATORY STATEMENT</w:t>
      </w:r>
    </w:p>
    <w:p w14:paraId="795D7C9C" w14:textId="77777777" w:rsidR="00202381" w:rsidRPr="00C9375C" w:rsidRDefault="00202381" w:rsidP="003A6026">
      <w:pPr>
        <w:rPr>
          <w:u w:val="single"/>
        </w:rPr>
      </w:pPr>
    </w:p>
    <w:p w14:paraId="1282671C" w14:textId="51478CDE" w:rsidR="003A6026" w:rsidRPr="00C9375C" w:rsidRDefault="00873ADE" w:rsidP="00AB1D6C">
      <w:pPr>
        <w:jc w:val="center"/>
        <w:rPr>
          <w:i/>
        </w:rPr>
      </w:pPr>
      <w:r w:rsidRPr="00C9375C">
        <w:rPr>
          <w:i/>
        </w:rPr>
        <w:t>National Health Act 1953</w:t>
      </w:r>
    </w:p>
    <w:p w14:paraId="40F3FCE3" w14:textId="6DCC562D" w:rsidR="00EC3236" w:rsidRPr="00C9375C" w:rsidRDefault="00EC3236" w:rsidP="00AB1D6C">
      <w:pPr>
        <w:jc w:val="center"/>
        <w:rPr>
          <w:i/>
        </w:rPr>
      </w:pPr>
    </w:p>
    <w:p w14:paraId="3328561A" w14:textId="14D5A74C" w:rsidR="0093592E" w:rsidRPr="00C9375C" w:rsidRDefault="0093592E" w:rsidP="0093592E">
      <w:pPr>
        <w:jc w:val="center"/>
        <w:rPr>
          <w:i/>
        </w:rPr>
      </w:pPr>
      <w:r w:rsidRPr="00C9375C">
        <w:rPr>
          <w:i/>
        </w:rPr>
        <w:t>National Health</w:t>
      </w:r>
      <w:bookmarkStart w:id="0" w:name="BK_S1P1L5C16"/>
      <w:bookmarkEnd w:id="0"/>
      <w:r w:rsidRPr="00C9375C">
        <w:rPr>
          <w:i/>
        </w:rPr>
        <w:t xml:space="preserve"> (Pharmaceutical Benefits) Legislation Amendment (Continuing Treatment during Coronavirus Pandemic) Instrument 2020 (No. 2)</w:t>
      </w:r>
    </w:p>
    <w:p w14:paraId="18954EE9" w14:textId="1B10CFB0" w:rsidR="003C45A4" w:rsidRPr="00C9375C" w:rsidRDefault="003C45A4" w:rsidP="00D40A2C">
      <w:pPr>
        <w:spacing w:before="240"/>
        <w:jc w:val="center"/>
      </w:pPr>
      <w:r w:rsidRPr="00C9375C">
        <w:t xml:space="preserve">PB </w:t>
      </w:r>
      <w:r w:rsidR="00254DF8" w:rsidRPr="00C9375C">
        <w:t>100</w:t>
      </w:r>
      <w:r w:rsidRPr="00C9375C">
        <w:t xml:space="preserve"> of 2020</w:t>
      </w:r>
    </w:p>
    <w:p w14:paraId="6EFC4450" w14:textId="77777777" w:rsidR="009A1BB4" w:rsidRPr="00C9375C" w:rsidRDefault="009A1BB4" w:rsidP="009A1BB4">
      <w:pPr>
        <w:spacing w:before="240"/>
        <w:rPr>
          <w:i/>
          <w:sz w:val="22"/>
          <w:szCs w:val="22"/>
        </w:rPr>
      </w:pPr>
    </w:p>
    <w:p w14:paraId="1290FE59" w14:textId="1B3E32AB" w:rsidR="00164140" w:rsidRPr="00C9375C" w:rsidRDefault="00164140" w:rsidP="009A1BB4">
      <w:pPr>
        <w:rPr>
          <w:b/>
          <w:sz w:val="22"/>
          <w:szCs w:val="22"/>
        </w:rPr>
      </w:pPr>
      <w:r w:rsidRPr="00C9375C">
        <w:rPr>
          <w:b/>
          <w:sz w:val="22"/>
          <w:szCs w:val="22"/>
        </w:rPr>
        <w:t>Authority</w:t>
      </w:r>
    </w:p>
    <w:p w14:paraId="08E4E707" w14:textId="77777777" w:rsidR="009A1BB4" w:rsidRPr="00C9375C" w:rsidRDefault="009A1BB4" w:rsidP="009A1BB4">
      <w:pPr>
        <w:rPr>
          <w:sz w:val="22"/>
          <w:szCs w:val="22"/>
        </w:rPr>
      </w:pPr>
    </w:p>
    <w:p w14:paraId="18E65BD7" w14:textId="77E78BA3" w:rsidR="00D503C1" w:rsidRPr="00C9375C" w:rsidRDefault="00D503C1" w:rsidP="009A1BB4">
      <w:pPr>
        <w:rPr>
          <w:sz w:val="22"/>
          <w:szCs w:val="22"/>
        </w:rPr>
      </w:pPr>
      <w:r w:rsidRPr="00C9375C">
        <w:rPr>
          <w:sz w:val="22"/>
          <w:szCs w:val="22"/>
        </w:rPr>
        <w:t xml:space="preserve">This legislative instrument is made pursuant to subsections 85(7) and 100(2) of the </w:t>
      </w:r>
      <w:r w:rsidRPr="00C9375C">
        <w:rPr>
          <w:i/>
          <w:sz w:val="22"/>
          <w:szCs w:val="22"/>
        </w:rPr>
        <w:t xml:space="preserve">National Health Act 1953 </w:t>
      </w:r>
      <w:r w:rsidRPr="00C9375C">
        <w:rPr>
          <w:sz w:val="22"/>
          <w:szCs w:val="22"/>
        </w:rPr>
        <w:t xml:space="preserve">(the Act). </w:t>
      </w:r>
    </w:p>
    <w:p w14:paraId="2B046E87" w14:textId="78BEBD20" w:rsidR="00D503C1" w:rsidRPr="00C9375C" w:rsidRDefault="00D503C1" w:rsidP="00D503C1">
      <w:pPr>
        <w:spacing w:before="100" w:beforeAutospacing="1" w:after="100" w:afterAutospacing="1"/>
        <w:ind w:right="91"/>
        <w:rPr>
          <w:sz w:val="22"/>
          <w:szCs w:val="22"/>
        </w:rPr>
      </w:pPr>
      <w:r w:rsidRPr="00C9375C">
        <w:rPr>
          <w:sz w:val="22"/>
          <w:szCs w:val="22"/>
        </w:rPr>
        <w:t xml:space="preserve">Subsection 85(7) of the Act gives the Minister the power to determine the circumstances in which a prescription may be written for the supply of a pharmaceutical benefit. </w:t>
      </w:r>
    </w:p>
    <w:p w14:paraId="7CF62972" w14:textId="1126EEE9" w:rsidR="00D503C1" w:rsidRPr="00C9375C" w:rsidRDefault="00D503C1" w:rsidP="00D503C1">
      <w:pPr>
        <w:spacing w:before="100" w:beforeAutospacing="1" w:after="100" w:afterAutospacing="1"/>
        <w:ind w:right="91"/>
        <w:rPr>
          <w:sz w:val="22"/>
          <w:szCs w:val="22"/>
        </w:rPr>
      </w:pPr>
      <w:r w:rsidRPr="00C9375C">
        <w:rPr>
          <w:sz w:val="22"/>
          <w:szCs w:val="22"/>
        </w:rPr>
        <w:t>Subsection 100(1) of the Act provides that the Minister may make special arrangements for, or in relation to, providing that an adequate supply of pharmaceutical benefits will be available to persons:</w:t>
      </w:r>
    </w:p>
    <w:p w14:paraId="0AA10363" w14:textId="77777777" w:rsidR="00D503C1" w:rsidRPr="00C9375C" w:rsidRDefault="00D503C1" w:rsidP="00D503C1">
      <w:pPr>
        <w:pStyle w:val="ListParagraph"/>
        <w:numPr>
          <w:ilvl w:val="0"/>
          <w:numId w:val="17"/>
        </w:numPr>
        <w:spacing w:before="100" w:beforeAutospacing="1" w:after="100" w:afterAutospacing="1"/>
        <w:ind w:right="91"/>
        <w:contextualSpacing w:val="0"/>
        <w:jc w:val="both"/>
        <w:rPr>
          <w:sz w:val="22"/>
          <w:szCs w:val="22"/>
        </w:rPr>
      </w:pPr>
      <w:r w:rsidRPr="00C9375C">
        <w:rPr>
          <w:sz w:val="22"/>
          <w:szCs w:val="22"/>
        </w:rPr>
        <w:t>who are living in isolated areas: or</w:t>
      </w:r>
    </w:p>
    <w:p w14:paraId="5E0BA1F0" w14:textId="77777777" w:rsidR="00D503C1" w:rsidRPr="00C9375C" w:rsidRDefault="00D503C1" w:rsidP="00D503C1">
      <w:pPr>
        <w:pStyle w:val="ListParagraph"/>
        <w:numPr>
          <w:ilvl w:val="0"/>
          <w:numId w:val="17"/>
        </w:numPr>
        <w:spacing w:before="100" w:beforeAutospacing="1" w:after="100" w:afterAutospacing="1"/>
        <w:ind w:right="91"/>
        <w:contextualSpacing w:val="0"/>
        <w:jc w:val="both"/>
        <w:rPr>
          <w:sz w:val="22"/>
          <w:szCs w:val="22"/>
        </w:rPr>
      </w:pPr>
      <w:r w:rsidRPr="00C9375C">
        <w:rPr>
          <w:sz w:val="22"/>
          <w:szCs w:val="22"/>
        </w:rPr>
        <w:t>who are receiving treatment in circumstance which pharmaceutical benefits are inadequate for that treatment; or</w:t>
      </w:r>
    </w:p>
    <w:p w14:paraId="7F505E22" w14:textId="77777777" w:rsidR="00D503C1" w:rsidRPr="00C9375C" w:rsidRDefault="00D503C1" w:rsidP="00D503C1">
      <w:pPr>
        <w:pStyle w:val="ListParagraph"/>
        <w:numPr>
          <w:ilvl w:val="0"/>
          <w:numId w:val="17"/>
        </w:numPr>
        <w:spacing w:before="100" w:beforeAutospacing="1" w:after="100" w:afterAutospacing="1"/>
        <w:ind w:right="91"/>
        <w:contextualSpacing w:val="0"/>
        <w:jc w:val="both"/>
        <w:rPr>
          <w:sz w:val="22"/>
          <w:szCs w:val="22"/>
        </w:rPr>
      </w:pPr>
      <w:r w:rsidRPr="00C9375C">
        <w:rPr>
          <w:sz w:val="22"/>
          <w:szCs w:val="22"/>
        </w:rPr>
        <w:t xml:space="preserve">if the pharmaceutical benefits covered by the arrangements can be more conveniently or efficiently supplied under the arrangements. </w:t>
      </w:r>
    </w:p>
    <w:p w14:paraId="49383869" w14:textId="77777777" w:rsidR="00D503C1" w:rsidRPr="00C9375C" w:rsidRDefault="00D503C1" w:rsidP="00D503C1">
      <w:pPr>
        <w:spacing w:before="100" w:beforeAutospacing="1" w:after="100" w:afterAutospacing="1"/>
        <w:rPr>
          <w:color w:val="000000" w:themeColor="text1"/>
          <w:sz w:val="22"/>
          <w:szCs w:val="22"/>
        </w:rPr>
      </w:pPr>
      <w:r w:rsidRPr="00C9375C">
        <w:rPr>
          <w:color w:val="000000" w:themeColor="text1"/>
          <w:sz w:val="22"/>
          <w:szCs w:val="22"/>
        </w:rPr>
        <w:t xml:space="preserve">Subsection 100(2) of the Act provides that the Minister may vary or revoke a special arrangement made under subsection 100(1). </w:t>
      </w:r>
    </w:p>
    <w:p w14:paraId="478583F4" w14:textId="0063AB1A" w:rsidR="00EC3236" w:rsidRPr="00C9375C" w:rsidRDefault="005E509A" w:rsidP="00EC3236">
      <w:pPr>
        <w:rPr>
          <w:sz w:val="22"/>
          <w:szCs w:val="22"/>
        </w:rPr>
      </w:pPr>
      <w:r w:rsidRPr="00C9375C">
        <w:rPr>
          <w:sz w:val="22"/>
          <w:szCs w:val="22"/>
        </w:rPr>
        <w:t>S</w:t>
      </w:r>
      <w:r w:rsidR="00613E9C" w:rsidRPr="00C9375C">
        <w:rPr>
          <w:sz w:val="22"/>
          <w:szCs w:val="22"/>
        </w:rPr>
        <w:t xml:space="preserve">ubsection 33(3) of the </w:t>
      </w:r>
      <w:r w:rsidR="00613E9C" w:rsidRPr="00C9375C">
        <w:rPr>
          <w:i/>
          <w:sz w:val="22"/>
          <w:szCs w:val="22"/>
        </w:rPr>
        <w:t>Acts Interpretation Act 1901</w:t>
      </w:r>
      <w:r w:rsidR="00EC3236" w:rsidRPr="00C9375C">
        <w:rPr>
          <w:sz w:val="22"/>
          <w:szCs w:val="22"/>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EED5910" w14:textId="6D84774F" w:rsidR="00613E9C" w:rsidRPr="00C9375C" w:rsidRDefault="00613E9C" w:rsidP="009A1BB4">
      <w:pPr>
        <w:rPr>
          <w:b/>
          <w:sz w:val="22"/>
          <w:szCs w:val="22"/>
        </w:rPr>
      </w:pPr>
    </w:p>
    <w:p w14:paraId="4AD52A91" w14:textId="6DCDFDDD" w:rsidR="00F1637F" w:rsidRPr="00C9375C" w:rsidRDefault="00F1637F" w:rsidP="009A1BB4">
      <w:pPr>
        <w:rPr>
          <w:b/>
          <w:sz w:val="22"/>
          <w:szCs w:val="22"/>
        </w:rPr>
      </w:pPr>
      <w:r w:rsidRPr="00C9375C">
        <w:rPr>
          <w:b/>
          <w:sz w:val="22"/>
          <w:szCs w:val="22"/>
        </w:rPr>
        <w:t>Purpose</w:t>
      </w:r>
    </w:p>
    <w:p w14:paraId="6F03AED8" w14:textId="77777777" w:rsidR="009A1BB4" w:rsidRPr="00C9375C" w:rsidRDefault="009A1BB4" w:rsidP="009A1BB4">
      <w:pPr>
        <w:rPr>
          <w:color w:val="000000"/>
          <w:sz w:val="22"/>
          <w:szCs w:val="22"/>
        </w:rPr>
      </w:pPr>
    </w:p>
    <w:p w14:paraId="37E2A2CB" w14:textId="6F2B2ECF" w:rsidR="009A1BB4" w:rsidRPr="00C9375C" w:rsidRDefault="003754B8" w:rsidP="00C93548">
      <w:pPr>
        <w:rPr>
          <w:color w:val="000000"/>
          <w:szCs w:val="22"/>
        </w:rPr>
      </w:pPr>
      <w:r w:rsidRPr="00C9375C">
        <w:rPr>
          <w:color w:val="000000"/>
          <w:sz w:val="22"/>
          <w:szCs w:val="22"/>
        </w:rPr>
        <w:t>Th</w:t>
      </w:r>
      <w:r w:rsidR="00D503C1" w:rsidRPr="00C9375C">
        <w:rPr>
          <w:color w:val="000000"/>
          <w:sz w:val="22"/>
          <w:szCs w:val="22"/>
        </w:rPr>
        <w:t>e</w:t>
      </w:r>
      <w:r w:rsidR="00642B41" w:rsidRPr="00C9375C">
        <w:rPr>
          <w:color w:val="000000"/>
          <w:sz w:val="22"/>
          <w:szCs w:val="22"/>
        </w:rPr>
        <w:t xml:space="preserve"> </w:t>
      </w:r>
      <w:r w:rsidR="00D503C1" w:rsidRPr="00C9375C">
        <w:rPr>
          <w:i/>
          <w:sz w:val="22"/>
          <w:szCs w:val="22"/>
        </w:rPr>
        <w:t>National Health (Pharmaceutical Benefits) Legislation Amendment (Continuing Treatment during Coronavirus Pandemic) Instrument 2020 (No. 2)</w:t>
      </w:r>
      <w:r w:rsidR="00D503C1" w:rsidRPr="00C9375C">
        <w:rPr>
          <w:sz w:val="22"/>
          <w:szCs w:val="22"/>
        </w:rPr>
        <w:t xml:space="preserve"> (the amendment instrument) </w:t>
      </w:r>
      <w:r w:rsidRPr="00C9375C">
        <w:rPr>
          <w:color w:val="000000"/>
          <w:sz w:val="22"/>
          <w:szCs w:val="22"/>
        </w:rPr>
        <w:t>amend</w:t>
      </w:r>
      <w:r w:rsidR="00EC3236" w:rsidRPr="00C9375C">
        <w:rPr>
          <w:color w:val="000000"/>
          <w:sz w:val="22"/>
          <w:szCs w:val="22"/>
        </w:rPr>
        <w:t>s</w:t>
      </w:r>
      <w:r w:rsidRPr="00C9375C">
        <w:rPr>
          <w:color w:val="000000"/>
          <w:sz w:val="22"/>
          <w:szCs w:val="22"/>
        </w:rPr>
        <w:t xml:space="preserve"> the </w:t>
      </w:r>
      <w:r w:rsidR="009D6535" w:rsidRPr="00C9375C">
        <w:rPr>
          <w:i/>
          <w:color w:val="000000"/>
          <w:sz w:val="22"/>
          <w:szCs w:val="22"/>
        </w:rPr>
        <w:t xml:space="preserve">National Health (Listing of Pharmaceutical Benefits) Instrument 2012 </w:t>
      </w:r>
      <w:r w:rsidR="009D6535" w:rsidRPr="00C9375C">
        <w:rPr>
          <w:color w:val="000000"/>
          <w:sz w:val="22"/>
          <w:szCs w:val="22"/>
        </w:rPr>
        <w:t>(PB 71 of 2012)</w:t>
      </w:r>
      <w:r w:rsidR="00D503C1" w:rsidRPr="00C9375C">
        <w:rPr>
          <w:color w:val="000000"/>
          <w:sz w:val="22"/>
          <w:szCs w:val="22"/>
        </w:rPr>
        <w:t>,</w:t>
      </w:r>
      <w:r w:rsidR="00553C58" w:rsidRPr="00C9375C">
        <w:rPr>
          <w:color w:val="000000"/>
          <w:sz w:val="22"/>
          <w:szCs w:val="22"/>
        </w:rPr>
        <w:t xml:space="preserve"> </w:t>
      </w:r>
      <w:r w:rsidR="009D6535" w:rsidRPr="00C9375C">
        <w:rPr>
          <w:color w:val="000000"/>
          <w:sz w:val="22"/>
          <w:szCs w:val="22"/>
        </w:rPr>
        <w:t xml:space="preserve">and the </w:t>
      </w:r>
      <w:r w:rsidR="009D6535" w:rsidRPr="00C9375C">
        <w:rPr>
          <w:i/>
          <w:color w:val="000000"/>
          <w:sz w:val="22"/>
          <w:szCs w:val="22"/>
        </w:rPr>
        <w:t xml:space="preserve">National Health (Highly specialised drugs program) Special Arrangement 2010 </w:t>
      </w:r>
      <w:r w:rsidR="009D6535" w:rsidRPr="00C9375C">
        <w:rPr>
          <w:color w:val="000000"/>
          <w:sz w:val="22"/>
          <w:szCs w:val="22"/>
        </w:rPr>
        <w:t>(PB 116 of 2010)</w:t>
      </w:r>
      <w:r w:rsidRPr="00C9375C">
        <w:rPr>
          <w:color w:val="000000"/>
          <w:sz w:val="22"/>
          <w:szCs w:val="22"/>
        </w:rPr>
        <w:t>.</w:t>
      </w:r>
      <w:r w:rsidR="00D503C1" w:rsidRPr="00C9375C">
        <w:rPr>
          <w:color w:val="000000"/>
          <w:sz w:val="22"/>
          <w:szCs w:val="22"/>
        </w:rPr>
        <w:t xml:space="preserve"> </w:t>
      </w:r>
    </w:p>
    <w:p w14:paraId="08EB539F" w14:textId="77777777" w:rsidR="009A1BB4" w:rsidRPr="00C9375C" w:rsidRDefault="009A1BB4" w:rsidP="00C93548">
      <w:pPr>
        <w:rPr>
          <w:color w:val="000000"/>
          <w:szCs w:val="22"/>
        </w:rPr>
      </w:pPr>
    </w:p>
    <w:p w14:paraId="6ECECF52" w14:textId="5DC92708" w:rsidR="003754B8" w:rsidRPr="00C9375C" w:rsidRDefault="00D503C1" w:rsidP="00C93548">
      <w:pPr>
        <w:rPr>
          <w:color w:val="000000"/>
          <w:szCs w:val="22"/>
        </w:rPr>
      </w:pPr>
      <w:r w:rsidRPr="00C9375C">
        <w:rPr>
          <w:color w:val="000000"/>
          <w:sz w:val="22"/>
          <w:szCs w:val="22"/>
        </w:rPr>
        <w:t>The amendment instrument changes the date of repeal of some of the provisions contained in PB 71 of 2012,</w:t>
      </w:r>
      <w:r w:rsidR="009A1BB4" w:rsidRPr="00C9375C">
        <w:rPr>
          <w:color w:val="000000"/>
          <w:sz w:val="22"/>
          <w:szCs w:val="22"/>
        </w:rPr>
        <w:t xml:space="preserve"> and</w:t>
      </w:r>
      <w:r w:rsidRPr="00C9375C">
        <w:rPr>
          <w:color w:val="000000"/>
          <w:sz w:val="22"/>
          <w:szCs w:val="22"/>
        </w:rPr>
        <w:t xml:space="preserve"> PB 116 of 2010 from 1 October 2020 to 1 April 2021. </w:t>
      </w:r>
      <w:r w:rsidR="009A1BB4" w:rsidRPr="00C9375C">
        <w:rPr>
          <w:color w:val="000000"/>
          <w:sz w:val="22"/>
          <w:szCs w:val="22"/>
        </w:rPr>
        <w:t xml:space="preserve">The amendment instrument ensures the temporary measures remain in effect during the current health pandemic. </w:t>
      </w:r>
    </w:p>
    <w:p w14:paraId="2B8B44B8" w14:textId="095426D6" w:rsidR="00D503C1" w:rsidRPr="00C9375C" w:rsidRDefault="00D503C1" w:rsidP="00C93548">
      <w:pPr>
        <w:rPr>
          <w:color w:val="000000"/>
          <w:szCs w:val="22"/>
        </w:rPr>
      </w:pPr>
    </w:p>
    <w:p w14:paraId="7C62A160" w14:textId="582C7276" w:rsidR="00D503C1" w:rsidRPr="00C9375C" w:rsidRDefault="00D503C1" w:rsidP="00C93548">
      <w:pPr>
        <w:rPr>
          <w:b/>
          <w:color w:val="000000"/>
          <w:szCs w:val="22"/>
        </w:rPr>
      </w:pPr>
      <w:r w:rsidRPr="00C9375C">
        <w:rPr>
          <w:b/>
          <w:color w:val="000000"/>
          <w:sz w:val="22"/>
          <w:szCs w:val="22"/>
        </w:rPr>
        <w:t>Background</w:t>
      </w:r>
    </w:p>
    <w:p w14:paraId="3C2FFDF2" w14:textId="77777777" w:rsidR="009A1BB4" w:rsidRPr="00C9375C" w:rsidRDefault="009A1BB4" w:rsidP="009A1BB4">
      <w:pPr>
        <w:rPr>
          <w:b/>
          <w:sz w:val="22"/>
          <w:szCs w:val="22"/>
        </w:rPr>
      </w:pPr>
    </w:p>
    <w:p w14:paraId="0EF4640B" w14:textId="3A928E59" w:rsidR="006B297D" w:rsidRPr="00C9375C" w:rsidRDefault="00844B92" w:rsidP="00C93548">
      <w:pPr>
        <w:rPr>
          <w:sz w:val="22"/>
          <w:szCs w:val="22"/>
        </w:rPr>
      </w:pPr>
      <w:r w:rsidRPr="00C9375C">
        <w:rPr>
          <w:sz w:val="22"/>
          <w:szCs w:val="22"/>
        </w:rPr>
        <w:t>T</w:t>
      </w:r>
      <w:r w:rsidR="009A1BB4" w:rsidRPr="00C9375C">
        <w:rPr>
          <w:sz w:val="22"/>
          <w:szCs w:val="22"/>
        </w:rPr>
        <w:t>he</w:t>
      </w:r>
      <w:r w:rsidRPr="00C9375C">
        <w:rPr>
          <w:sz w:val="22"/>
          <w:szCs w:val="22"/>
        </w:rPr>
        <w:t xml:space="preserve"> </w:t>
      </w:r>
      <w:r w:rsidR="009A1BB4" w:rsidRPr="00C9375C">
        <w:rPr>
          <w:i/>
          <w:sz w:val="22"/>
          <w:szCs w:val="22"/>
        </w:rPr>
        <w:t xml:space="preserve">National Health (Pharmaceutical Benefits) Legislation Amendment (Continuing Treatment during Coronavirus Pandemic) Instrument 2020 </w:t>
      </w:r>
      <w:r w:rsidR="009A1BB4" w:rsidRPr="00C9375C">
        <w:rPr>
          <w:sz w:val="22"/>
          <w:szCs w:val="22"/>
        </w:rPr>
        <w:t xml:space="preserve">(PB 32 of 2020) </w:t>
      </w:r>
      <w:r w:rsidR="00164140" w:rsidRPr="00C9375C">
        <w:rPr>
          <w:sz w:val="22"/>
          <w:szCs w:val="22"/>
        </w:rPr>
        <w:t>temporarily modifie</w:t>
      </w:r>
      <w:r w:rsidR="009A1BB4" w:rsidRPr="00C9375C">
        <w:rPr>
          <w:sz w:val="22"/>
          <w:szCs w:val="22"/>
        </w:rPr>
        <w:t>d</w:t>
      </w:r>
      <w:r w:rsidR="00164140" w:rsidRPr="00C9375C">
        <w:rPr>
          <w:sz w:val="22"/>
          <w:szCs w:val="22"/>
        </w:rPr>
        <w:t xml:space="preserve"> the circumstances mentioned in Part 1 of Schedule 4 of PB 71 of 2012</w:t>
      </w:r>
      <w:r w:rsidR="005112AB" w:rsidRPr="00C9375C">
        <w:rPr>
          <w:sz w:val="22"/>
          <w:szCs w:val="22"/>
        </w:rPr>
        <w:t>,</w:t>
      </w:r>
      <w:r w:rsidR="00164140" w:rsidRPr="00C9375C">
        <w:rPr>
          <w:sz w:val="22"/>
          <w:szCs w:val="22"/>
        </w:rPr>
        <w:t xml:space="preserve"> and Schedule 3 of PB 116 of 2010 for circumstances codes for pharmaceutical benefits where</w:t>
      </w:r>
      <w:r w:rsidR="006B297D" w:rsidRPr="00C9375C">
        <w:rPr>
          <w:sz w:val="22"/>
          <w:szCs w:val="22"/>
        </w:rPr>
        <w:t>:</w:t>
      </w:r>
    </w:p>
    <w:p w14:paraId="50AEB929" w14:textId="77777777" w:rsidR="006B297D" w:rsidRPr="00C9375C" w:rsidRDefault="009A2242" w:rsidP="006B297D">
      <w:pPr>
        <w:pStyle w:val="ListParagraph"/>
        <w:numPr>
          <w:ilvl w:val="0"/>
          <w:numId w:val="14"/>
        </w:numPr>
        <w:spacing w:before="120"/>
        <w:rPr>
          <w:sz w:val="22"/>
          <w:szCs w:val="22"/>
        </w:rPr>
      </w:pPr>
      <w:r w:rsidRPr="00C9375C">
        <w:rPr>
          <w:sz w:val="22"/>
          <w:szCs w:val="22"/>
        </w:rPr>
        <w:lastRenderedPageBreak/>
        <w:t>the</w:t>
      </w:r>
      <w:r w:rsidR="006B297D" w:rsidRPr="00C9375C">
        <w:rPr>
          <w:sz w:val="22"/>
          <w:szCs w:val="22"/>
        </w:rPr>
        <w:t xml:space="preserve"> patient has previously been supplied that pharmaceutical benefit; and</w:t>
      </w:r>
    </w:p>
    <w:p w14:paraId="1D4E7D18" w14:textId="044A51EE" w:rsidR="00D503C1" w:rsidRPr="00C9375C" w:rsidRDefault="00704211" w:rsidP="00D503C1">
      <w:pPr>
        <w:pStyle w:val="ListParagraph"/>
        <w:numPr>
          <w:ilvl w:val="0"/>
          <w:numId w:val="14"/>
        </w:numPr>
        <w:spacing w:before="120"/>
      </w:pPr>
      <w:r w:rsidRPr="00C9375C">
        <w:rPr>
          <w:sz w:val="22"/>
          <w:szCs w:val="22"/>
        </w:rPr>
        <w:t xml:space="preserve">having regard to the </w:t>
      </w:r>
      <w:r w:rsidR="009A2242" w:rsidRPr="00C9375C">
        <w:rPr>
          <w:sz w:val="22"/>
          <w:szCs w:val="22"/>
        </w:rPr>
        <w:t xml:space="preserve">individual </w:t>
      </w:r>
      <w:r w:rsidRPr="00C9375C">
        <w:rPr>
          <w:sz w:val="22"/>
          <w:szCs w:val="22"/>
        </w:rPr>
        <w:t xml:space="preserve">patient’s situation and the state of affairs associated with precautions against the spread of </w:t>
      </w:r>
      <w:r w:rsidR="008006E5" w:rsidRPr="00C9375C">
        <w:rPr>
          <w:sz w:val="22"/>
          <w:szCs w:val="22"/>
        </w:rPr>
        <w:t>the coronavirus known as COVID-19</w:t>
      </w:r>
      <w:r w:rsidR="006B297D" w:rsidRPr="00C9375C">
        <w:rPr>
          <w:sz w:val="22"/>
          <w:szCs w:val="22"/>
        </w:rPr>
        <w:t xml:space="preserve">, it is not reasonably practicable to establish those circumstances. </w:t>
      </w:r>
    </w:p>
    <w:p w14:paraId="223C9CD3" w14:textId="7026373B" w:rsidR="006B297D" w:rsidRPr="00C9375C" w:rsidRDefault="009A1BB4" w:rsidP="003754B8">
      <w:pPr>
        <w:shd w:val="clear" w:color="auto" w:fill="FFFFFF"/>
        <w:spacing w:before="120"/>
        <w:rPr>
          <w:color w:val="000000"/>
          <w:sz w:val="22"/>
          <w:szCs w:val="22"/>
        </w:rPr>
      </w:pPr>
      <w:r w:rsidRPr="00C9375C">
        <w:rPr>
          <w:color w:val="000000"/>
          <w:sz w:val="22"/>
          <w:szCs w:val="22"/>
        </w:rPr>
        <w:t xml:space="preserve">PB 32 of 2020 </w:t>
      </w:r>
      <w:r w:rsidR="006B297D" w:rsidRPr="00C9375C">
        <w:rPr>
          <w:color w:val="000000"/>
          <w:sz w:val="22"/>
          <w:szCs w:val="22"/>
        </w:rPr>
        <w:t>also determine</w:t>
      </w:r>
      <w:r w:rsidRPr="00C9375C">
        <w:rPr>
          <w:color w:val="000000"/>
          <w:sz w:val="22"/>
          <w:szCs w:val="22"/>
        </w:rPr>
        <w:t>d</w:t>
      </w:r>
      <w:r w:rsidR="006B297D" w:rsidRPr="00C9375C">
        <w:rPr>
          <w:color w:val="000000"/>
          <w:sz w:val="22"/>
          <w:szCs w:val="22"/>
        </w:rPr>
        <w:t xml:space="preserve"> that where the above criteria are met, the prescriber is required to keep a written record of the reason it is not practicable to establish the </w:t>
      </w:r>
      <w:r w:rsidR="005112AB" w:rsidRPr="00C9375C">
        <w:rPr>
          <w:color w:val="000000"/>
          <w:sz w:val="22"/>
          <w:szCs w:val="22"/>
        </w:rPr>
        <w:t xml:space="preserve">relevant </w:t>
      </w:r>
      <w:r w:rsidR="006B297D" w:rsidRPr="00C9375C">
        <w:rPr>
          <w:color w:val="000000"/>
          <w:sz w:val="22"/>
          <w:szCs w:val="22"/>
        </w:rPr>
        <w:t>circumstance.</w:t>
      </w:r>
    </w:p>
    <w:p w14:paraId="0A590699" w14:textId="7CBD32FE" w:rsidR="009A2242" w:rsidRPr="00C9375C" w:rsidRDefault="009A2242" w:rsidP="009A2242">
      <w:pPr>
        <w:spacing w:before="120"/>
        <w:rPr>
          <w:color w:val="000000"/>
          <w:sz w:val="22"/>
          <w:szCs w:val="22"/>
        </w:rPr>
      </w:pPr>
      <w:r w:rsidRPr="00C9375C">
        <w:rPr>
          <w:color w:val="000000"/>
          <w:sz w:val="22"/>
          <w:szCs w:val="22"/>
        </w:rPr>
        <w:t>The amendments</w:t>
      </w:r>
      <w:r w:rsidR="009A1BB4" w:rsidRPr="00C9375C">
        <w:rPr>
          <w:color w:val="000000"/>
          <w:sz w:val="22"/>
          <w:szCs w:val="22"/>
        </w:rPr>
        <w:t xml:space="preserve"> in PB 32 of 2020</w:t>
      </w:r>
      <w:r w:rsidRPr="00C9375C">
        <w:rPr>
          <w:color w:val="000000"/>
          <w:sz w:val="22"/>
          <w:szCs w:val="22"/>
        </w:rPr>
        <w:t xml:space="preserve"> </w:t>
      </w:r>
      <w:r w:rsidR="009A1BB4" w:rsidRPr="00C9375C">
        <w:rPr>
          <w:color w:val="000000"/>
          <w:sz w:val="22"/>
          <w:szCs w:val="22"/>
        </w:rPr>
        <w:t>were</w:t>
      </w:r>
      <w:r w:rsidRPr="00C9375C">
        <w:rPr>
          <w:color w:val="000000"/>
          <w:sz w:val="22"/>
          <w:szCs w:val="22"/>
        </w:rPr>
        <w:t xml:space="preserve"> intended to operate where patients may not be able to meet the continuing treatment circumstances for practical reasons in the context of the current COVID-19 pandemic, but it may be clinically inappropriate to cease their treatment. </w:t>
      </w:r>
      <w:r w:rsidR="004F37F1" w:rsidRPr="00C9375C">
        <w:rPr>
          <w:color w:val="000000"/>
          <w:sz w:val="22"/>
          <w:szCs w:val="22"/>
        </w:rPr>
        <w:t xml:space="preserve">Some examples of situations </w:t>
      </w:r>
      <w:r w:rsidR="00DF6FE6" w:rsidRPr="00C9375C">
        <w:rPr>
          <w:color w:val="000000"/>
          <w:sz w:val="22"/>
          <w:szCs w:val="22"/>
        </w:rPr>
        <w:t>that</w:t>
      </w:r>
      <w:r w:rsidR="004F37F1" w:rsidRPr="00C9375C">
        <w:rPr>
          <w:color w:val="000000"/>
          <w:sz w:val="22"/>
          <w:szCs w:val="22"/>
        </w:rPr>
        <w:t xml:space="preserve"> may </w:t>
      </w:r>
      <w:r w:rsidR="00DF6FE6" w:rsidRPr="00C9375C">
        <w:rPr>
          <w:color w:val="000000"/>
          <w:sz w:val="22"/>
          <w:szCs w:val="22"/>
        </w:rPr>
        <w:t>result in patients being unable to meet continuing treatment circumstances include</w:t>
      </w:r>
      <w:r w:rsidR="004F37F1" w:rsidRPr="00C9375C">
        <w:rPr>
          <w:color w:val="000000"/>
          <w:sz w:val="22"/>
          <w:szCs w:val="22"/>
        </w:rPr>
        <w:t xml:space="preserve"> where a patient</w:t>
      </w:r>
      <w:r w:rsidR="00DF6FE6" w:rsidRPr="00C9375C">
        <w:rPr>
          <w:color w:val="000000"/>
          <w:sz w:val="22"/>
          <w:szCs w:val="22"/>
        </w:rPr>
        <w:t xml:space="preserve"> cannot attend an outpatient clinic to perform a test because the patient</w:t>
      </w:r>
      <w:r w:rsidR="004F37F1" w:rsidRPr="00C9375C">
        <w:rPr>
          <w:color w:val="000000"/>
          <w:sz w:val="22"/>
          <w:szCs w:val="22"/>
        </w:rPr>
        <w:t xml:space="preserve"> is</w:t>
      </w:r>
      <w:r w:rsidR="00FF17C5" w:rsidRPr="00C9375C">
        <w:rPr>
          <w:color w:val="000000"/>
          <w:sz w:val="22"/>
          <w:szCs w:val="22"/>
        </w:rPr>
        <w:t xml:space="preserve"> required to quarantine</w:t>
      </w:r>
      <w:r w:rsidR="004F37F1" w:rsidRPr="00C9375C">
        <w:rPr>
          <w:color w:val="000000"/>
          <w:sz w:val="22"/>
          <w:szCs w:val="22"/>
        </w:rPr>
        <w:t xml:space="preserve"> or where a prescriber considers it would be appropriat</w:t>
      </w:r>
      <w:r w:rsidR="00355005" w:rsidRPr="00C9375C">
        <w:rPr>
          <w:color w:val="000000"/>
          <w:sz w:val="22"/>
          <w:szCs w:val="22"/>
        </w:rPr>
        <w:t>e for an immunocompromised</w:t>
      </w:r>
      <w:r w:rsidR="004F37F1" w:rsidRPr="00C9375C">
        <w:rPr>
          <w:color w:val="000000"/>
          <w:sz w:val="22"/>
          <w:szCs w:val="22"/>
        </w:rPr>
        <w:t xml:space="preserve"> p</w:t>
      </w:r>
      <w:r w:rsidR="00355005" w:rsidRPr="00C9375C">
        <w:rPr>
          <w:color w:val="000000"/>
          <w:sz w:val="22"/>
          <w:szCs w:val="22"/>
        </w:rPr>
        <w:t>atient to self</w:t>
      </w:r>
      <w:r w:rsidR="00355005" w:rsidRPr="00C9375C">
        <w:rPr>
          <w:color w:val="000000"/>
          <w:sz w:val="22"/>
          <w:szCs w:val="22"/>
        </w:rPr>
        <w:noBreakHyphen/>
        <w:t>isolate.</w:t>
      </w:r>
      <w:r w:rsidR="004F37F1" w:rsidRPr="00C9375C">
        <w:rPr>
          <w:color w:val="000000"/>
          <w:sz w:val="22"/>
          <w:szCs w:val="22"/>
        </w:rPr>
        <w:t xml:space="preserve"> </w:t>
      </w:r>
      <w:r w:rsidRPr="00C9375C">
        <w:rPr>
          <w:color w:val="000000"/>
          <w:sz w:val="22"/>
          <w:szCs w:val="22"/>
        </w:rPr>
        <w:t xml:space="preserve">Some examples </w:t>
      </w:r>
      <w:r w:rsidR="00355005" w:rsidRPr="00C9375C">
        <w:rPr>
          <w:color w:val="000000"/>
          <w:sz w:val="22"/>
          <w:szCs w:val="22"/>
        </w:rPr>
        <w:t xml:space="preserve">of pharmaceutical benefits with circumstances that may not be able to be met </w:t>
      </w:r>
      <w:r w:rsidRPr="00C9375C">
        <w:rPr>
          <w:color w:val="000000"/>
          <w:sz w:val="22"/>
          <w:szCs w:val="22"/>
        </w:rPr>
        <w:t>are:</w:t>
      </w:r>
    </w:p>
    <w:p w14:paraId="145EDB0D" w14:textId="77777777" w:rsidR="009A2242" w:rsidRPr="00C9375C" w:rsidRDefault="00355005" w:rsidP="009A2242">
      <w:pPr>
        <w:pStyle w:val="ListParagraph"/>
        <w:numPr>
          <w:ilvl w:val="0"/>
          <w:numId w:val="16"/>
        </w:numPr>
        <w:spacing w:before="120"/>
        <w:rPr>
          <w:color w:val="000000"/>
          <w:sz w:val="22"/>
          <w:szCs w:val="22"/>
        </w:rPr>
      </w:pPr>
      <w:r w:rsidRPr="00C9375C">
        <w:rPr>
          <w:color w:val="000000"/>
          <w:sz w:val="22"/>
          <w:szCs w:val="22"/>
        </w:rPr>
        <w:t>T</w:t>
      </w:r>
      <w:r w:rsidR="009A2242" w:rsidRPr="00C9375C">
        <w:rPr>
          <w:color w:val="000000"/>
          <w:sz w:val="22"/>
          <w:szCs w:val="22"/>
        </w:rPr>
        <w:t xml:space="preserve">he prescription of lumacaftor with ivacaftor </w:t>
      </w:r>
      <w:r w:rsidR="00FF17C5" w:rsidRPr="00C9375C">
        <w:rPr>
          <w:color w:val="000000"/>
          <w:sz w:val="22"/>
          <w:szCs w:val="22"/>
        </w:rPr>
        <w:t xml:space="preserve">for the treatment of cystic fibrosis </w:t>
      </w:r>
      <w:r w:rsidR="009A2242" w:rsidRPr="00C9375C">
        <w:rPr>
          <w:color w:val="000000"/>
          <w:sz w:val="22"/>
          <w:szCs w:val="22"/>
        </w:rPr>
        <w:t>for a patient who has previously received this treatment, where the patient is unable to attend a hospital outpatient clinic to have a lung function test due to COVID-19.</w:t>
      </w:r>
    </w:p>
    <w:p w14:paraId="16062F6F" w14:textId="77777777" w:rsidR="004F37F1" w:rsidRPr="00C9375C" w:rsidRDefault="009A2242" w:rsidP="004F37F1">
      <w:pPr>
        <w:pStyle w:val="ListParagraph"/>
        <w:numPr>
          <w:ilvl w:val="0"/>
          <w:numId w:val="16"/>
        </w:numPr>
        <w:spacing w:before="120"/>
        <w:rPr>
          <w:color w:val="000000"/>
          <w:sz w:val="22"/>
          <w:szCs w:val="22"/>
        </w:rPr>
      </w:pPr>
      <w:r w:rsidRPr="00C9375C">
        <w:rPr>
          <w:color w:val="000000"/>
          <w:sz w:val="22"/>
          <w:szCs w:val="22"/>
        </w:rPr>
        <w:t>The prescription of riociguat for the treatment of chronic thromboembolic pulmonary hypertension</w:t>
      </w:r>
      <w:r w:rsidR="004F37F1" w:rsidRPr="00C9375C">
        <w:rPr>
          <w:color w:val="000000"/>
          <w:sz w:val="22"/>
          <w:szCs w:val="22"/>
        </w:rPr>
        <w:t xml:space="preserve"> for a patient who has previously received this treatment, where the p</w:t>
      </w:r>
      <w:r w:rsidRPr="00C9375C">
        <w:rPr>
          <w:color w:val="000000"/>
          <w:sz w:val="22"/>
          <w:szCs w:val="22"/>
        </w:rPr>
        <w:t xml:space="preserve">atient is unable to complete tests to demonstrate </w:t>
      </w:r>
      <w:r w:rsidR="004F37F1" w:rsidRPr="00C9375C">
        <w:rPr>
          <w:color w:val="000000"/>
          <w:sz w:val="22"/>
          <w:szCs w:val="22"/>
        </w:rPr>
        <w:t xml:space="preserve">the </w:t>
      </w:r>
      <w:r w:rsidRPr="00C9375C">
        <w:rPr>
          <w:color w:val="000000"/>
          <w:sz w:val="22"/>
          <w:szCs w:val="22"/>
        </w:rPr>
        <w:t xml:space="preserve">benefit from therapy </w:t>
      </w:r>
      <w:r w:rsidR="004F37F1" w:rsidRPr="00C9375C">
        <w:rPr>
          <w:color w:val="000000"/>
          <w:sz w:val="22"/>
          <w:szCs w:val="22"/>
        </w:rPr>
        <w:t>in an</w:t>
      </w:r>
      <w:r w:rsidRPr="00C9375C">
        <w:rPr>
          <w:color w:val="000000"/>
          <w:sz w:val="22"/>
          <w:szCs w:val="22"/>
        </w:rPr>
        <w:t xml:space="preserve"> outpatient clinic</w:t>
      </w:r>
      <w:r w:rsidR="004F37F1" w:rsidRPr="00C9375C">
        <w:rPr>
          <w:color w:val="000000"/>
          <w:sz w:val="22"/>
          <w:szCs w:val="22"/>
        </w:rPr>
        <w:t xml:space="preserve"> due to COVID-19.</w:t>
      </w:r>
    </w:p>
    <w:p w14:paraId="06566129" w14:textId="77777777" w:rsidR="004F37F1" w:rsidRPr="00C9375C" w:rsidRDefault="004F37F1" w:rsidP="004F37F1">
      <w:pPr>
        <w:pStyle w:val="ListParagraph"/>
        <w:numPr>
          <w:ilvl w:val="0"/>
          <w:numId w:val="16"/>
        </w:numPr>
        <w:spacing w:before="120"/>
        <w:rPr>
          <w:color w:val="000000"/>
          <w:sz w:val="22"/>
          <w:szCs w:val="22"/>
        </w:rPr>
      </w:pPr>
      <w:r w:rsidRPr="00C9375C">
        <w:rPr>
          <w:color w:val="000000"/>
          <w:sz w:val="22"/>
          <w:szCs w:val="22"/>
        </w:rPr>
        <w:t>The prescription of d</w:t>
      </w:r>
      <w:r w:rsidR="009A2242" w:rsidRPr="00C9375C">
        <w:rPr>
          <w:color w:val="000000"/>
          <w:sz w:val="22"/>
          <w:szCs w:val="22"/>
        </w:rPr>
        <w:t>onepezil for the treatment of Alzheimer</w:t>
      </w:r>
      <w:r w:rsidRPr="00C9375C">
        <w:rPr>
          <w:color w:val="000000"/>
          <w:sz w:val="22"/>
          <w:szCs w:val="22"/>
        </w:rPr>
        <w:t>’</w:t>
      </w:r>
      <w:r w:rsidR="009A2242" w:rsidRPr="00C9375C">
        <w:rPr>
          <w:color w:val="000000"/>
          <w:sz w:val="22"/>
          <w:szCs w:val="22"/>
        </w:rPr>
        <w:t>s</w:t>
      </w:r>
      <w:r w:rsidRPr="00C9375C">
        <w:rPr>
          <w:color w:val="000000"/>
          <w:sz w:val="22"/>
          <w:szCs w:val="22"/>
        </w:rPr>
        <w:t xml:space="preserve"> disease for a patient who has previously received this treatment, where the p</w:t>
      </w:r>
      <w:r w:rsidR="009A2242" w:rsidRPr="00C9375C">
        <w:rPr>
          <w:color w:val="000000"/>
          <w:sz w:val="22"/>
          <w:szCs w:val="22"/>
        </w:rPr>
        <w:t xml:space="preserve">rescriber </w:t>
      </w:r>
      <w:r w:rsidRPr="00C9375C">
        <w:rPr>
          <w:color w:val="000000"/>
          <w:sz w:val="22"/>
          <w:szCs w:val="22"/>
        </w:rPr>
        <w:t xml:space="preserve">is </w:t>
      </w:r>
      <w:r w:rsidR="009A2242" w:rsidRPr="00C9375C">
        <w:rPr>
          <w:color w:val="000000"/>
          <w:sz w:val="22"/>
          <w:szCs w:val="22"/>
        </w:rPr>
        <w:t xml:space="preserve">unable to have </w:t>
      </w:r>
      <w:r w:rsidRPr="00C9375C">
        <w:rPr>
          <w:color w:val="000000"/>
          <w:sz w:val="22"/>
          <w:szCs w:val="22"/>
        </w:rPr>
        <w:t xml:space="preserve">the </w:t>
      </w:r>
      <w:r w:rsidR="009A2242" w:rsidRPr="00C9375C">
        <w:rPr>
          <w:color w:val="000000"/>
          <w:sz w:val="22"/>
          <w:szCs w:val="22"/>
        </w:rPr>
        <w:t xml:space="preserve">patient complete </w:t>
      </w:r>
      <w:r w:rsidR="00FF17C5" w:rsidRPr="00C9375C">
        <w:rPr>
          <w:color w:val="000000"/>
          <w:sz w:val="22"/>
          <w:szCs w:val="22"/>
        </w:rPr>
        <w:t xml:space="preserve">a </w:t>
      </w:r>
      <w:r w:rsidR="009A2242" w:rsidRPr="00C9375C">
        <w:rPr>
          <w:color w:val="000000"/>
          <w:sz w:val="22"/>
          <w:szCs w:val="22"/>
        </w:rPr>
        <w:t>mini me</w:t>
      </w:r>
      <w:r w:rsidRPr="00C9375C">
        <w:rPr>
          <w:color w:val="000000"/>
          <w:sz w:val="22"/>
          <w:szCs w:val="22"/>
        </w:rPr>
        <w:t>ntal state exam during a</w:t>
      </w:r>
      <w:r w:rsidR="009A2242" w:rsidRPr="00C9375C">
        <w:rPr>
          <w:color w:val="000000"/>
          <w:sz w:val="22"/>
          <w:szCs w:val="22"/>
        </w:rPr>
        <w:t xml:space="preserve"> telehealth </w:t>
      </w:r>
      <w:r w:rsidRPr="00C9375C">
        <w:rPr>
          <w:color w:val="000000"/>
          <w:sz w:val="22"/>
          <w:szCs w:val="22"/>
        </w:rPr>
        <w:t xml:space="preserve">consultation </w:t>
      </w:r>
      <w:r w:rsidR="009A2242" w:rsidRPr="00C9375C">
        <w:rPr>
          <w:color w:val="000000"/>
          <w:sz w:val="22"/>
          <w:szCs w:val="22"/>
        </w:rPr>
        <w:t xml:space="preserve">and </w:t>
      </w:r>
      <w:r w:rsidRPr="00C9375C">
        <w:rPr>
          <w:color w:val="000000"/>
          <w:sz w:val="22"/>
          <w:szCs w:val="22"/>
        </w:rPr>
        <w:t xml:space="preserve">the patient is </w:t>
      </w:r>
      <w:r w:rsidR="009A2242" w:rsidRPr="00C9375C">
        <w:rPr>
          <w:color w:val="000000"/>
          <w:sz w:val="22"/>
          <w:szCs w:val="22"/>
        </w:rPr>
        <w:t xml:space="preserve">unable to attend </w:t>
      </w:r>
      <w:r w:rsidRPr="00C9375C">
        <w:rPr>
          <w:color w:val="000000"/>
          <w:sz w:val="22"/>
          <w:szCs w:val="22"/>
        </w:rPr>
        <w:t xml:space="preserve">a consultation </w:t>
      </w:r>
      <w:r w:rsidR="009A2242" w:rsidRPr="00C9375C">
        <w:rPr>
          <w:color w:val="000000"/>
          <w:sz w:val="22"/>
          <w:szCs w:val="22"/>
        </w:rPr>
        <w:t>in person</w:t>
      </w:r>
      <w:r w:rsidRPr="00C9375C">
        <w:rPr>
          <w:color w:val="000000"/>
          <w:sz w:val="22"/>
          <w:szCs w:val="22"/>
        </w:rPr>
        <w:t xml:space="preserve"> due to COVID-19</w:t>
      </w:r>
      <w:r w:rsidR="009A2242" w:rsidRPr="00C9375C">
        <w:rPr>
          <w:color w:val="000000"/>
          <w:sz w:val="22"/>
          <w:szCs w:val="22"/>
        </w:rPr>
        <w:t>.</w:t>
      </w:r>
    </w:p>
    <w:p w14:paraId="3ADA1F56" w14:textId="77777777" w:rsidR="0084378D" w:rsidRPr="00C9375C" w:rsidRDefault="004F37F1" w:rsidP="002F5437">
      <w:pPr>
        <w:pStyle w:val="ListParagraph"/>
        <w:numPr>
          <w:ilvl w:val="0"/>
          <w:numId w:val="16"/>
        </w:numPr>
        <w:shd w:val="clear" w:color="auto" w:fill="FFFFFF"/>
        <w:spacing w:before="120"/>
        <w:rPr>
          <w:color w:val="000000"/>
          <w:sz w:val="22"/>
          <w:szCs w:val="22"/>
        </w:rPr>
      </w:pPr>
      <w:r w:rsidRPr="00C9375C">
        <w:rPr>
          <w:color w:val="000000"/>
          <w:sz w:val="22"/>
          <w:szCs w:val="22"/>
        </w:rPr>
        <w:t>The prescription of s</w:t>
      </w:r>
      <w:r w:rsidR="009A2242" w:rsidRPr="00C9375C">
        <w:rPr>
          <w:color w:val="000000"/>
          <w:sz w:val="22"/>
          <w:szCs w:val="22"/>
        </w:rPr>
        <w:t>omatropin for slow growth</w:t>
      </w:r>
      <w:r w:rsidRPr="00C9375C">
        <w:rPr>
          <w:color w:val="000000"/>
          <w:sz w:val="22"/>
          <w:szCs w:val="22"/>
        </w:rPr>
        <w:t xml:space="preserve"> for a patient who has previously received this treatment, where the</w:t>
      </w:r>
      <w:r w:rsidR="009A2242" w:rsidRPr="00C9375C">
        <w:rPr>
          <w:color w:val="000000"/>
          <w:sz w:val="22"/>
          <w:szCs w:val="22"/>
        </w:rPr>
        <w:t xml:space="preserve"> </w:t>
      </w:r>
      <w:r w:rsidRPr="00C9375C">
        <w:rPr>
          <w:color w:val="000000"/>
          <w:sz w:val="22"/>
          <w:szCs w:val="22"/>
        </w:rPr>
        <w:t>p</w:t>
      </w:r>
      <w:r w:rsidR="009A2242" w:rsidRPr="00C9375C">
        <w:rPr>
          <w:color w:val="000000"/>
          <w:sz w:val="22"/>
          <w:szCs w:val="22"/>
        </w:rPr>
        <w:t xml:space="preserve">atient is </w:t>
      </w:r>
      <w:r w:rsidRPr="00C9375C">
        <w:rPr>
          <w:color w:val="000000"/>
          <w:sz w:val="22"/>
          <w:szCs w:val="22"/>
        </w:rPr>
        <w:t>unable to have</w:t>
      </w:r>
      <w:r w:rsidR="009A2242" w:rsidRPr="00C9375C">
        <w:rPr>
          <w:color w:val="000000"/>
          <w:sz w:val="22"/>
          <w:szCs w:val="22"/>
        </w:rPr>
        <w:t xml:space="preserve"> height</w:t>
      </w:r>
      <w:r w:rsidRPr="00C9375C">
        <w:rPr>
          <w:color w:val="000000"/>
          <w:sz w:val="22"/>
          <w:szCs w:val="22"/>
        </w:rPr>
        <w:t>,</w:t>
      </w:r>
      <w:r w:rsidR="009A2242" w:rsidRPr="00C9375C">
        <w:rPr>
          <w:color w:val="000000"/>
          <w:sz w:val="22"/>
          <w:szCs w:val="22"/>
        </w:rPr>
        <w:t xml:space="preserve"> weight and bone age measurements to demonstrate </w:t>
      </w:r>
      <w:r w:rsidRPr="00C9375C">
        <w:rPr>
          <w:color w:val="000000"/>
          <w:sz w:val="22"/>
          <w:szCs w:val="22"/>
        </w:rPr>
        <w:t>the benefit from therapy due to COVID-19</w:t>
      </w:r>
      <w:r w:rsidR="00355005" w:rsidRPr="00C9375C">
        <w:rPr>
          <w:color w:val="000000"/>
          <w:sz w:val="22"/>
          <w:szCs w:val="22"/>
        </w:rPr>
        <w:t>.</w:t>
      </w:r>
    </w:p>
    <w:p w14:paraId="5CF0FDFB" w14:textId="4924D5AF" w:rsidR="0084378D" w:rsidRPr="00C9375C" w:rsidRDefault="006B297D" w:rsidP="003754B8">
      <w:pPr>
        <w:shd w:val="clear" w:color="auto" w:fill="FFFFFF"/>
        <w:spacing w:before="120"/>
        <w:rPr>
          <w:color w:val="000000"/>
          <w:sz w:val="22"/>
          <w:szCs w:val="22"/>
        </w:rPr>
      </w:pPr>
      <w:r w:rsidRPr="00C9375C">
        <w:rPr>
          <w:color w:val="000000"/>
          <w:sz w:val="22"/>
          <w:szCs w:val="22"/>
        </w:rPr>
        <w:t>The provisions</w:t>
      </w:r>
      <w:r w:rsidR="0093592E" w:rsidRPr="00C9375C">
        <w:rPr>
          <w:color w:val="000000"/>
          <w:sz w:val="22"/>
          <w:szCs w:val="22"/>
        </w:rPr>
        <w:t xml:space="preserve"> were </w:t>
      </w:r>
      <w:r w:rsidR="009A1BB4" w:rsidRPr="00C9375C">
        <w:rPr>
          <w:color w:val="000000"/>
          <w:sz w:val="22"/>
          <w:szCs w:val="22"/>
        </w:rPr>
        <w:t>due to be</w:t>
      </w:r>
      <w:r w:rsidR="0093592E" w:rsidRPr="00C9375C">
        <w:rPr>
          <w:color w:val="000000"/>
          <w:sz w:val="22"/>
          <w:szCs w:val="22"/>
        </w:rPr>
        <w:t xml:space="preserve"> repealed at the start of 1</w:t>
      </w:r>
      <w:r w:rsidR="009A1BB4" w:rsidRPr="00C9375C">
        <w:rPr>
          <w:color w:val="000000"/>
          <w:sz w:val="22"/>
          <w:szCs w:val="22"/>
        </w:rPr>
        <w:t> </w:t>
      </w:r>
      <w:r w:rsidR="0093592E" w:rsidRPr="00C9375C">
        <w:rPr>
          <w:color w:val="000000"/>
          <w:sz w:val="22"/>
          <w:szCs w:val="22"/>
        </w:rPr>
        <w:t>October 2020</w:t>
      </w:r>
      <w:r w:rsidR="009A1BB4" w:rsidRPr="00C9375C">
        <w:rPr>
          <w:color w:val="000000"/>
          <w:sz w:val="22"/>
          <w:szCs w:val="22"/>
        </w:rPr>
        <w:t xml:space="preserve"> but will now be</w:t>
      </w:r>
      <w:r w:rsidR="00FF17C5" w:rsidRPr="00C9375C">
        <w:rPr>
          <w:color w:val="000000"/>
          <w:sz w:val="22"/>
          <w:szCs w:val="22"/>
        </w:rPr>
        <w:t xml:space="preserve"> repealed</w:t>
      </w:r>
      <w:r w:rsidRPr="00C9375C">
        <w:rPr>
          <w:color w:val="000000"/>
          <w:sz w:val="22"/>
          <w:szCs w:val="22"/>
        </w:rPr>
        <w:t xml:space="preserve"> on </w:t>
      </w:r>
      <w:r w:rsidR="00FF17C5" w:rsidRPr="00C9375C">
        <w:rPr>
          <w:color w:val="000000"/>
          <w:sz w:val="22"/>
          <w:szCs w:val="22"/>
        </w:rPr>
        <w:t>1</w:t>
      </w:r>
      <w:r w:rsidR="009A1BB4" w:rsidRPr="00C9375C">
        <w:rPr>
          <w:color w:val="000000"/>
          <w:sz w:val="22"/>
          <w:szCs w:val="22"/>
        </w:rPr>
        <w:t> </w:t>
      </w:r>
      <w:r w:rsidR="0093592E" w:rsidRPr="00C9375C">
        <w:rPr>
          <w:color w:val="000000"/>
          <w:sz w:val="22"/>
          <w:szCs w:val="22"/>
        </w:rPr>
        <w:t>April</w:t>
      </w:r>
      <w:r w:rsidRPr="00C9375C">
        <w:rPr>
          <w:color w:val="000000"/>
          <w:sz w:val="22"/>
          <w:szCs w:val="22"/>
        </w:rPr>
        <w:t xml:space="preserve"> 202</w:t>
      </w:r>
      <w:r w:rsidR="0093592E" w:rsidRPr="00C9375C">
        <w:rPr>
          <w:color w:val="000000"/>
          <w:sz w:val="22"/>
          <w:szCs w:val="22"/>
        </w:rPr>
        <w:t>1</w:t>
      </w:r>
      <w:r w:rsidRPr="00C9375C">
        <w:rPr>
          <w:color w:val="000000"/>
          <w:sz w:val="22"/>
          <w:szCs w:val="22"/>
        </w:rPr>
        <w:t>.</w:t>
      </w:r>
      <w:r w:rsidR="009A1BB4" w:rsidRPr="00C9375C">
        <w:rPr>
          <w:color w:val="000000"/>
          <w:sz w:val="22"/>
          <w:szCs w:val="22"/>
        </w:rPr>
        <w:t xml:space="preserve"> </w:t>
      </w:r>
    </w:p>
    <w:p w14:paraId="43A64483" w14:textId="77777777" w:rsidR="00DD023C" w:rsidRPr="00C9375C" w:rsidRDefault="00DD023C" w:rsidP="00C767C4">
      <w:pPr>
        <w:spacing w:before="240"/>
        <w:rPr>
          <w:b/>
          <w:sz w:val="22"/>
          <w:szCs w:val="22"/>
        </w:rPr>
      </w:pPr>
      <w:r w:rsidRPr="00C9375C">
        <w:rPr>
          <w:b/>
          <w:sz w:val="22"/>
          <w:szCs w:val="22"/>
        </w:rPr>
        <w:t>Consultation</w:t>
      </w:r>
    </w:p>
    <w:p w14:paraId="5C9F2310" w14:textId="77777777" w:rsidR="009A7137" w:rsidRPr="00C9375C" w:rsidRDefault="00853092" w:rsidP="00C767C4">
      <w:pPr>
        <w:spacing w:before="120"/>
        <w:rPr>
          <w:sz w:val="22"/>
          <w:szCs w:val="22"/>
          <w:lang w:val="en-US"/>
        </w:rPr>
      </w:pPr>
      <w:r w:rsidRPr="00C9375C">
        <w:rPr>
          <w:sz w:val="22"/>
          <w:szCs w:val="22"/>
          <w:lang w:val="en-US"/>
        </w:rPr>
        <w:t>This i</w:t>
      </w:r>
      <w:r w:rsidR="000909F1" w:rsidRPr="00C9375C">
        <w:rPr>
          <w:sz w:val="22"/>
          <w:szCs w:val="22"/>
          <w:lang w:val="en-US"/>
        </w:rPr>
        <w:t xml:space="preserve">nstrument affects </w:t>
      </w:r>
      <w:r w:rsidR="009A7137" w:rsidRPr="00C9375C">
        <w:rPr>
          <w:sz w:val="22"/>
          <w:szCs w:val="22"/>
          <w:lang w:val="en-US"/>
        </w:rPr>
        <w:t xml:space="preserve">authorised prescribers and patients who may be entitled to receive pharmaceutical benefits. </w:t>
      </w:r>
    </w:p>
    <w:p w14:paraId="601115F8" w14:textId="75F29801" w:rsidR="009A7137" w:rsidRPr="00C9375C" w:rsidRDefault="009A7137" w:rsidP="009A7137">
      <w:pPr>
        <w:spacing w:before="120"/>
        <w:rPr>
          <w:sz w:val="22"/>
          <w:szCs w:val="22"/>
        </w:rPr>
      </w:pPr>
      <w:r w:rsidRPr="00C9375C">
        <w:rPr>
          <w:sz w:val="22"/>
          <w:szCs w:val="22"/>
        </w:rPr>
        <w:t>The Pharmaceutical Benefits Advisory Committee (PBAC), an independent expert body established by section 100A of the Act, made recommendations to the Minister</w:t>
      </w:r>
      <w:r w:rsidR="000C3B19" w:rsidRPr="00C9375C">
        <w:rPr>
          <w:sz w:val="22"/>
          <w:szCs w:val="22"/>
        </w:rPr>
        <w:t xml:space="preserve"> for Health</w:t>
      </w:r>
      <w:r w:rsidRPr="00C9375C">
        <w:rPr>
          <w:sz w:val="22"/>
          <w:szCs w:val="22"/>
        </w:rPr>
        <w:t xml:space="preserve"> about which pharmaceutical benefits are subject to circumstances where, having regard to the patient’s situation and the state of affairs associated with precautions against the spread of</w:t>
      </w:r>
      <w:r w:rsidR="00FF17C5" w:rsidRPr="00C9375C">
        <w:rPr>
          <w:sz w:val="22"/>
          <w:szCs w:val="22"/>
        </w:rPr>
        <w:t xml:space="preserve"> the coronavirus known as</w:t>
      </w:r>
      <w:r w:rsidRPr="00C9375C">
        <w:rPr>
          <w:sz w:val="22"/>
          <w:szCs w:val="22"/>
        </w:rPr>
        <w:t xml:space="preserve"> COVID-19, it may not be reasonably practicable to establish those circumstances.</w:t>
      </w:r>
    </w:p>
    <w:p w14:paraId="0A84C049" w14:textId="77777777" w:rsidR="009A7137" w:rsidRPr="00C9375C" w:rsidRDefault="009A7137" w:rsidP="009A7137">
      <w:pPr>
        <w:spacing w:before="120"/>
        <w:rPr>
          <w:sz w:val="22"/>
          <w:szCs w:val="22"/>
        </w:rPr>
      </w:pPr>
      <w:r w:rsidRPr="00C9375C">
        <w:rPr>
          <w:sz w:val="22"/>
          <w:szCs w:val="22"/>
        </w:rPr>
        <w:t xml:space="preserve">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w:t>
      </w:r>
      <w:r w:rsidR="00FF17C5" w:rsidRPr="00C9375C">
        <w:rPr>
          <w:sz w:val="22"/>
          <w:szCs w:val="22"/>
        </w:rPr>
        <w:t xml:space="preserve">In addition, an industry nominee has been appointed to the PBAC. </w:t>
      </w:r>
      <w:r w:rsidRPr="00C9375C">
        <w:rPr>
          <w:sz w:val="22"/>
          <w:szCs w:val="22"/>
        </w:rPr>
        <w:t xml:space="preserve">Remaining members are persons whom the Minister is satisfied have qualifications and experience in a field relevant to the functions of the PBAC, and that would enable them to contribute meaningfully to the deliberations of the PBAC. </w:t>
      </w:r>
    </w:p>
    <w:p w14:paraId="21D1674B" w14:textId="64F6F02B" w:rsidR="009A7137" w:rsidRPr="00C9375C" w:rsidRDefault="009A7137" w:rsidP="009A7137">
      <w:pPr>
        <w:spacing w:before="120"/>
        <w:rPr>
          <w:sz w:val="22"/>
          <w:szCs w:val="22"/>
        </w:rPr>
      </w:pPr>
      <w:r w:rsidRPr="00C9375C">
        <w:rPr>
          <w:sz w:val="22"/>
          <w:szCs w:val="22"/>
        </w:rPr>
        <w:t xml:space="preserve">The </w:t>
      </w:r>
      <w:r w:rsidR="00B9324C" w:rsidRPr="00C9375C">
        <w:rPr>
          <w:sz w:val="22"/>
          <w:szCs w:val="22"/>
        </w:rPr>
        <w:t>recommendations</w:t>
      </w:r>
      <w:r w:rsidRPr="00C9375C">
        <w:rPr>
          <w:sz w:val="22"/>
          <w:szCs w:val="22"/>
        </w:rPr>
        <w:t xml:space="preserve"> provided by the PBAC</w:t>
      </w:r>
      <w:r w:rsidR="00B9324C" w:rsidRPr="00C9375C">
        <w:rPr>
          <w:sz w:val="22"/>
          <w:szCs w:val="22"/>
        </w:rPr>
        <w:t xml:space="preserve"> were</w:t>
      </w:r>
      <w:r w:rsidRPr="00C9375C">
        <w:rPr>
          <w:sz w:val="22"/>
          <w:szCs w:val="22"/>
        </w:rPr>
        <w:t xml:space="preserve"> informed by correspondence received from </w:t>
      </w:r>
      <w:r w:rsidR="001C5C4A" w:rsidRPr="00C9375C">
        <w:rPr>
          <w:sz w:val="22"/>
          <w:szCs w:val="22"/>
        </w:rPr>
        <w:t>patient groups and pharmaceutical companies</w:t>
      </w:r>
      <w:r w:rsidR="00DA2889" w:rsidRPr="00C9375C">
        <w:rPr>
          <w:sz w:val="22"/>
          <w:szCs w:val="22"/>
        </w:rPr>
        <w:t xml:space="preserve"> regarding subsidised access to </w:t>
      </w:r>
      <w:r w:rsidR="00B9324C" w:rsidRPr="00C9375C">
        <w:rPr>
          <w:sz w:val="22"/>
          <w:szCs w:val="22"/>
        </w:rPr>
        <w:t xml:space="preserve">growth hormone treatment and </w:t>
      </w:r>
      <w:r w:rsidR="00DA2889" w:rsidRPr="00C9375C">
        <w:rPr>
          <w:sz w:val="22"/>
          <w:szCs w:val="22"/>
        </w:rPr>
        <w:t>severe asthma treatment</w:t>
      </w:r>
      <w:r w:rsidR="00B9324C" w:rsidRPr="00C9375C">
        <w:rPr>
          <w:sz w:val="22"/>
          <w:szCs w:val="22"/>
        </w:rPr>
        <w:t xml:space="preserve">. The PBAC recommendations were also informed by </w:t>
      </w:r>
      <w:r w:rsidR="00FF17C5" w:rsidRPr="00C9375C">
        <w:rPr>
          <w:sz w:val="22"/>
          <w:szCs w:val="22"/>
        </w:rPr>
        <w:t>enquiries</w:t>
      </w:r>
      <w:r w:rsidR="00DA2889" w:rsidRPr="00C9375C">
        <w:rPr>
          <w:sz w:val="22"/>
          <w:szCs w:val="22"/>
        </w:rPr>
        <w:t xml:space="preserve"> from a number of prescribers concerning treatments for </w:t>
      </w:r>
      <w:r w:rsidR="00184358" w:rsidRPr="00C9375C">
        <w:rPr>
          <w:sz w:val="22"/>
          <w:szCs w:val="22"/>
        </w:rPr>
        <w:t xml:space="preserve">Alzheimer’s disease, </w:t>
      </w:r>
      <w:r w:rsidR="00DA2889" w:rsidRPr="00C9375C">
        <w:rPr>
          <w:sz w:val="22"/>
          <w:szCs w:val="22"/>
        </w:rPr>
        <w:t xml:space="preserve">cystic fibrosis, chronic thromboembolic pulmonary hypertension, </w:t>
      </w:r>
      <w:r w:rsidR="00184358" w:rsidRPr="00C9375C">
        <w:rPr>
          <w:sz w:val="22"/>
          <w:szCs w:val="22"/>
        </w:rPr>
        <w:t xml:space="preserve">Pulmonary Arterial Hypertension, </w:t>
      </w:r>
      <w:r w:rsidR="00DA2889" w:rsidRPr="00C9375C">
        <w:rPr>
          <w:sz w:val="22"/>
          <w:szCs w:val="22"/>
        </w:rPr>
        <w:t>rheumatoid arthritis, psoriatic arthritis</w:t>
      </w:r>
      <w:r w:rsidR="00184358" w:rsidRPr="00C9375C">
        <w:rPr>
          <w:sz w:val="22"/>
          <w:szCs w:val="22"/>
        </w:rPr>
        <w:t xml:space="preserve"> and</w:t>
      </w:r>
      <w:r w:rsidR="00DA2889" w:rsidRPr="00C9375C">
        <w:rPr>
          <w:sz w:val="22"/>
          <w:szCs w:val="22"/>
        </w:rPr>
        <w:t xml:space="preserve"> relapsed or refractory Stage III or IV CD20 positive follicular B-cell non</w:t>
      </w:r>
      <w:r w:rsidR="00B9324C" w:rsidRPr="00C9375C">
        <w:rPr>
          <w:sz w:val="22"/>
          <w:szCs w:val="22"/>
        </w:rPr>
        <w:noBreakHyphen/>
      </w:r>
      <w:r w:rsidR="00DA2889" w:rsidRPr="00C9375C">
        <w:rPr>
          <w:sz w:val="22"/>
          <w:szCs w:val="22"/>
        </w:rPr>
        <w:t>Hodgkin's lymphoma</w:t>
      </w:r>
      <w:r w:rsidR="004E6278" w:rsidRPr="00C9375C">
        <w:rPr>
          <w:sz w:val="22"/>
          <w:szCs w:val="22"/>
        </w:rPr>
        <w:t>.</w:t>
      </w:r>
    </w:p>
    <w:p w14:paraId="62F9E45D" w14:textId="11B878DA" w:rsidR="009803D8" w:rsidRPr="00C9375C" w:rsidRDefault="0079341B" w:rsidP="009803D8">
      <w:pPr>
        <w:spacing w:before="120"/>
        <w:rPr>
          <w:sz w:val="22"/>
          <w:szCs w:val="22"/>
        </w:rPr>
      </w:pPr>
      <w:r w:rsidRPr="00C9375C">
        <w:rPr>
          <w:sz w:val="22"/>
          <w:szCs w:val="22"/>
        </w:rPr>
        <w:t xml:space="preserve">The PBAC recommended that the provisions should continue to be in place until 31 March 2020, to allow patient access in situations where </w:t>
      </w:r>
      <w:r w:rsidRPr="00C9375C">
        <w:rPr>
          <w:color w:val="000000"/>
          <w:sz w:val="22"/>
          <w:szCs w:val="22"/>
        </w:rPr>
        <w:t>patients may not be able to meet the continuing treatment circumstances for practical reasons in the context of the current COVID-19 pandemic, but it may be clinically inappropriate to cease their treatment</w:t>
      </w:r>
      <w:r w:rsidRPr="00C9375C">
        <w:rPr>
          <w:sz w:val="22"/>
          <w:szCs w:val="22"/>
        </w:rPr>
        <w:t xml:space="preserve">. </w:t>
      </w:r>
      <w:r w:rsidR="009803D8" w:rsidRPr="00C9375C">
        <w:rPr>
          <w:sz w:val="22"/>
          <w:szCs w:val="22"/>
        </w:rPr>
        <w:t xml:space="preserve">The PBAC also advised upadacitinib for the treatment of rheumatoid arthritis, which listed on the PBS on 1 May 2020, should be included. </w:t>
      </w:r>
    </w:p>
    <w:p w14:paraId="7974799D" w14:textId="40375934" w:rsidR="009A7137" w:rsidRPr="00C9375C" w:rsidRDefault="009A7137" w:rsidP="009A7137">
      <w:pPr>
        <w:spacing w:before="120"/>
        <w:rPr>
          <w:sz w:val="22"/>
          <w:szCs w:val="22"/>
        </w:rPr>
      </w:pPr>
      <w:r w:rsidRPr="00C9375C">
        <w:rPr>
          <w:sz w:val="22"/>
          <w:szCs w:val="22"/>
        </w:rPr>
        <w:t xml:space="preserve">It was considered that further consultation for this </w:t>
      </w:r>
      <w:r w:rsidR="004E6278" w:rsidRPr="00C9375C">
        <w:rPr>
          <w:sz w:val="22"/>
          <w:szCs w:val="22"/>
        </w:rPr>
        <w:t>i</w:t>
      </w:r>
      <w:r w:rsidRPr="00C9375C">
        <w:rPr>
          <w:sz w:val="22"/>
          <w:szCs w:val="22"/>
        </w:rPr>
        <w:t>nstrument was unnecessary due to the nature of the consultation that had already taken place</w:t>
      </w:r>
      <w:r w:rsidR="000C3B19" w:rsidRPr="00C9375C">
        <w:rPr>
          <w:sz w:val="22"/>
          <w:szCs w:val="22"/>
        </w:rPr>
        <w:t xml:space="preserve"> for PB 32 of 2020</w:t>
      </w:r>
      <w:r w:rsidRPr="00C9375C">
        <w:rPr>
          <w:sz w:val="22"/>
          <w:szCs w:val="22"/>
        </w:rPr>
        <w:t>.</w:t>
      </w:r>
    </w:p>
    <w:p w14:paraId="05AE3095" w14:textId="6F9BFF6D" w:rsidR="00EA7CAB" w:rsidRPr="00C9375C" w:rsidRDefault="005E509A" w:rsidP="00C93548">
      <w:pPr>
        <w:spacing w:before="240"/>
        <w:rPr>
          <w:sz w:val="22"/>
          <w:szCs w:val="22"/>
        </w:rPr>
      </w:pPr>
      <w:r w:rsidRPr="00C9375C">
        <w:rPr>
          <w:sz w:val="22"/>
          <w:szCs w:val="22"/>
        </w:rPr>
        <w:t>Details of the instrument are set out</w:t>
      </w:r>
      <w:r w:rsidR="00EA7CAB" w:rsidRPr="00C9375C">
        <w:rPr>
          <w:sz w:val="22"/>
          <w:szCs w:val="22"/>
        </w:rPr>
        <w:t xml:space="preserve"> in the </w:t>
      </w:r>
      <w:r w:rsidR="00EA7CAB" w:rsidRPr="00C9375C">
        <w:rPr>
          <w:b/>
          <w:sz w:val="22"/>
          <w:szCs w:val="22"/>
        </w:rPr>
        <w:t>Attachment</w:t>
      </w:r>
      <w:r w:rsidR="00EA7CAB" w:rsidRPr="00C9375C">
        <w:rPr>
          <w:sz w:val="22"/>
          <w:szCs w:val="22"/>
        </w:rPr>
        <w:t>.</w:t>
      </w:r>
    </w:p>
    <w:p w14:paraId="068A6EFE" w14:textId="5885F6C4" w:rsidR="00CB578A" w:rsidRPr="00C9375C" w:rsidRDefault="00CB578A" w:rsidP="00CB578A">
      <w:pPr>
        <w:spacing w:before="120"/>
        <w:rPr>
          <w:sz w:val="22"/>
          <w:szCs w:val="22"/>
        </w:rPr>
      </w:pPr>
      <w:r w:rsidRPr="00C9375C">
        <w:rPr>
          <w:sz w:val="22"/>
          <w:szCs w:val="22"/>
        </w:rPr>
        <w:t xml:space="preserve">This </w:t>
      </w:r>
      <w:r w:rsidR="00853092" w:rsidRPr="00C9375C">
        <w:rPr>
          <w:sz w:val="22"/>
          <w:szCs w:val="22"/>
        </w:rPr>
        <w:t>i</w:t>
      </w:r>
      <w:r w:rsidRPr="00C9375C">
        <w:rPr>
          <w:sz w:val="22"/>
          <w:szCs w:val="22"/>
        </w:rPr>
        <w:t>nstrument commences</w:t>
      </w:r>
      <w:r w:rsidR="000C3B19" w:rsidRPr="00C9375C">
        <w:rPr>
          <w:sz w:val="22"/>
          <w:szCs w:val="22"/>
        </w:rPr>
        <w:t xml:space="preserve"> the day after it is registered</w:t>
      </w:r>
      <w:r w:rsidRPr="00C9375C">
        <w:rPr>
          <w:sz w:val="22"/>
          <w:szCs w:val="22"/>
        </w:rPr>
        <w:t>.</w:t>
      </w:r>
    </w:p>
    <w:p w14:paraId="07D0B5DB" w14:textId="77777777" w:rsidR="00DE7EF7" w:rsidRPr="00C9375C" w:rsidRDefault="00853092" w:rsidP="00EA7CAB">
      <w:pPr>
        <w:spacing w:before="120"/>
        <w:rPr>
          <w:sz w:val="22"/>
          <w:szCs w:val="22"/>
          <w:lang w:val="en-US"/>
        </w:rPr>
      </w:pPr>
      <w:r w:rsidRPr="00C9375C">
        <w:rPr>
          <w:sz w:val="22"/>
          <w:szCs w:val="22"/>
          <w:lang w:val="en-US"/>
        </w:rPr>
        <w:t>This i</w:t>
      </w:r>
      <w:r w:rsidR="00DE7EF7" w:rsidRPr="00C9375C">
        <w:rPr>
          <w:sz w:val="22"/>
          <w:szCs w:val="22"/>
          <w:lang w:val="en-US"/>
        </w:rPr>
        <w:t xml:space="preserve">nstrument is a legislative instrument for the purposes of the </w:t>
      </w:r>
      <w:r w:rsidR="00DE7EF7" w:rsidRPr="00C9375C">
        <w:rPr>
          <w:i/>
          <w:sz w:val="22"/>
          <w:szCs w:val="22"/>
          <w:lang w:val="en-US"/>
        </w:rPr>
        <w:t>Legislat</w:t>
      </w:r>
      <w:r w:rsidR="00EA7CAB" w:rsidRPr="00C9375C">
        <w:rPr>
          <w:i/>
          <w:sz w:val="22"/>
          <w:szCs w:val="22"/>
          <w:lang w:val="en-US"/>
        </w:rPr>
        <w:t>ion</w:t>
      </w:r>
      <w:r w:rsidR="00DE7EF7" w:rsidRPr="00C9375C">
        <w:rPr>
          <w:i/>
          <w:sz w:val="22"/>
          <w:szCs w:val="22"/>
          <w:lang w:val="en-US"/>
        </w:rPr>
        <w:t xml:space="preserve"> Act 2003</w:t>
      </w:r>
      <w:r w:rsidR="00DE7EF7" w:rsidRPr="00C9375C">
        <w:rPr>
          <w:sz w:val="22"/>
          <w:szCs w:val="22"/>
          <w:lang w:val="en-US"/>
        </w:rPr>
        <w:t>.</w:t>
      </w:r>
    </w:p>
    <w:p w14:paraId="6CDD5325" w14:textId="77777777" w:rsidR="00B9324C" w:rsidRPr="00C9375C" w:rsidRDefault="00B9324C" w:rsidP="006A61DB">
      <w:pPr>
        <w:jc w:val="right"/>
        <w:rPr>
          <w:sz w:val="22"/>
          <w:szCs w:val="22"/>
          <w:lang w:val="en-US"/>
        </w:rPr>
      </w:pPr>
    </w:p>
    <w:p w14:paraId="01CBA250" w14:textId="77777777" w:rsidR="00B9324C" w:rsidRPr="00C9375C" w:rsidRDefault="00B9324C" w:rsidP="00B9324C">
      <w:pPr>
        <w:rPr>
          <w:sz w:val="22"/>
          <w:szCs w:val="22"/>
          <w:lang w:val="en-US"/>
        </w:rPr>
      </w:pPr>
    </w:p>
    <w:p w14:paraId="7C1E91E1" w14:textId="77777777" w:rsidR="00B9324C" w:rsidRPr="00C9375C" w:rsidRDefault="00B9324C" w:rsidP="00B9324C">
      <w:pPr>
        <w:rPr>
          <w:sz w:val="22"/>
          <w:szCs w:val="22"/>
          <w:lang w:val="en-US"/>
        </w:rPr>
      </w:pPr>
    </w:p>
    <w:p w14:paraId="3BCF5522" w14:textId="77777777" w:rsidR="00B9324C" w:rsidRPr="00C9375C" w:rsidRDefault="00B9324C" w:rsidP="00B9324C">
      <w:pPr>
        <w:rPr>
          <w:sz w:val="22"/>
          <w:szCs w:val="22"/>
          <w:lang w:val="en-US"/>
        </w:rPr>
      </w:pPr>
    </w:p>
    <w:p w14:paraId="1C01D597" w14:textId="77777777" w:rsidR="00B9324C" w:rsidRPr="00C9375C" w:rsidRDefault="00B9324C" w:rsidP="00B9324C">
      <w:pPr>
        <w:rPr>
          <w:sz w:val="22"/>
          <w:szCs w:val="22"/>
          <w:lang w:val="en-US"/>
        </w:rPr>
      </w:pPr>
    </w:p>
    <w:p w14:paraId="0D6BCC56" w14:textId="77777777" w:rsidR="00B9324C" w:rsidRPr="00C9375C" w:rsidRDefault="00B9324C" w:rsidP="00B9324C">
      <w:pPr>
        <w:rPr>
          <w:sz w:val="22"/>
          <w:szCs w:val="22"/>
          <w:lang w:val="en-US"/>
        </w:rPr>
      </w:pPr>
    </w:p>
    <w:p w14:paraId="7B8AC7D8" w14:textId="77777777" w:rsidR="00B9324C" w:rsidRPr="00C9375C" w:rsidRDefault="00B9324C" w:rsidP="006A61DB">
      <w:pPr>
        <w:jc w:val="right"/>
        <w:rPr>
          <w:sz w:val="22"/>
          <w:szCs w:val="22"/>
          <w:lang w:val="en-US"/>
        </w:rPr>
      </w:pPr>
    </w:p>
    <w:p w14:paraId="1621AA0C" w14:textId="77777777" w:rsidR="00B9324C" w:rsidRPr="00C9375C" w:rsidRDefault="00B9324C" w:rsidP="006A61DB">
      <w:pPr>
        <w:jc w:val="right"/>
        <w:rPr>
          <w:sz w:val="22"/>
          <w:szCs w:val="22"/>
          <w:lang w:val="en-US"/>
        </w:rPr>
      </w:pPr>
    </w:p>
    <w:p w14:paraId="24855C83" w14:textId="77777777" w:rsidR="00B9324C" w:rsidRPr="00C9375C" w:rsidRDefault="00B9324C" w:rsidP="00B9324C">
      <w:pPr>
        <w:tabs>
          <w:tab w:val="left" w:pos="5250"/>
        </w:tabs>
        <w:rPr>
          <w:sz w:val="22"/>
          <w:szCs w:val="22"/>
          <w:lang w:val="en-US"/>
        </w:rPr>
      </w:pPr>
      <w:r w:rsidRPr="00C9375C">
        <w:rPr>
          <w:sz w:val="22"/>
          <w:szCs w:val="22"/>
          <w:lang w:val="en-US"/>
        </w:rPr>
        <w:tab/>
      </w:r>
    </w:p>
    <w:p w14:paraId="2B3AD260" w14:textId="77777777" w:rsidR="00DD023C" w:rsidRPr="00C9375C" w:rsidRDefault="00DD023C" w:rsidP="006A61DB">
      <w:pPr>
        <w:jc w:val="right"/>
        <w:rPr>
          <w:b/>
          <w:sz w:val="22"/>
          <w:szCs w:val="22"/>
        </w:rPr>
      </w:pPr>
      <w:r w:rsidRPr="00C9375C">
        <w:rPr>
          <w:sz w:val="22"/>
          <w:szCs w:val="22"/>
          <w:lang w:val="en-US"/>
        </w:rPr>
        <w:br w:type="page"/>
      </w:r>
      <w:r w:rsidRPr="00C9375C">
        <w:rPr>
          <w:b/>
          <w:sz w:val="22"/>
          <w:szCs w:val="22"/>
        </w:rPr>
        <w:t>ATTACHMENT</w:t>
      </w:r>
    </w:p>
    <w:p w14:paraId="0AA57CFA" w14:textId="26C118A3" w:rsidR="006A61DB" w:rsidRPr="00C9375C" w:rsidRDefault="005E509A" w:rsidP="006A61DB">
      <w:pPr>
        <w:spacing w:before="360"/>
        <w:jc w:val="both"/>
        <w:rPr>
          <w:b/>
          <w:sz w:val="22"/>
          <w:szCs w:val="22"/>
        </w:rPr>
      </w:pPr>
      <w:r w:rsidRPr="00C9375C">
        <w:rPr>
          <w:b/>
          <w:sz w:val="22"/>
          <w:szCs w:val="22"/>
        </w:rPr>
        <w:t>Details of the</w:t>
      </w:r>
      <w:r w:rsidRPr="00C9375C">
        <w:rPr>
          <w:b/>
          <w:i/>
          <w:sz w:val="22"/>
          <w:szCs w:val="22"/>
        </w:rPr>
        <w:t xml:space="preserve"> National Health (Pharmaceutical benefits) Legislation Amendment (Continuing treatment during Coronavirus pandemic) Instrument 2020 </w:t>
      </w:r>
      <w:r w:rsidR="0093592E" w:rsidRPr="00C9375C">
        <w:rPr>
          <w:b/>
          <w:i/>
          <w:sz w:val="22"/>
          <w:szCs w:val="22"/>
        </w:rPr>
        <w:t>(No. 2)</w:t>
      </w:r>
    </w:p>
    <w:p w14:paraId="09B83CF8" w14:textId="77777777" w:rsidR="00693682" w:rsidRPr="00C9375C" w:rsidRDefault="00693682" w:rsidP="003C2D54">
      <w:pPr>
        <w:rPr>
          <w:b/>
          <w:sz w:val="22"/>
          <w:szCs w:val="22"/>
        </w:rPr>
      </w:pPr>
    </w:p>
    <w:p w14:paraId="7C07A7C5" w14:textId="77777777" w:rsidR="003C2D54" w:rsidRPr="00C9375C" w:rsidRDefault="003C2D54" w:rsidP="003C2D54">
      <w:pPr>
        <w:rPr>
          <w:b/>
          <w:sz w:val="22"/>
          <w:szCs w:val="22"/>
        </w:rPr>
      </w:pPr>
      <w:r w:rsidRPr="00C9375C">
        <w:rPr>
          <w:b/>
          <w:sz w:val="22"/>
          <w:szCs w:val="22"/>
        </w:rPr>
        <w:t>1</w:t>
      </w:r>
      <w:r w:rsidRPr="00C9375C">
        <w:rPr>
          <w:b/>
          <w:sz w:val="22"/>
          <w:szCs w:val="22"/>
        </w:rPr>
        <w:tab/>
        <w:t>Name</w:t>
      </w:r>
    </w:p>
    <w:p w14:paraId="4CBC1AD0" w14:textId="77777777" w:rsidR="009A64EA" w:rsidRPr="00C9375C" w:rsidRDefault="009A64EA" w:rsidP="00387067">
      <w:pPr>
        <w:rPr>
          <w:sz w:val="22"/>
          <w:szCs w:val="22"/>
        </w:rPr>
      </w:pPr>
    </w:p>
    <w:p w14:paraId="675D8D47" w14:textId="58E1E797" w:rsidR="00DD023C" w:rsidRPr="00C9375C" w:rsidRDefault="006A61DB" w:rsidP="00387067">
      <w:pPr>
        <w:rPr>
          <w:sz w:val="22"/>
          <w:szCs w:val="22"/>
        </w:rPr>
      </w:pPr>
      <w:r w:rsidRPr="00C9375C">
        <w:rPr>
          <w:sz w:val="22"/>
          <w:szCs w:val="22"/>
        </w:rPr>
        <w:t>This section provides that the</w:t>
      </w:r>
      <w:r w:rsidR="0092794E" w:rsidRPr="00C9375C">
        <w:rPr>
          <w:sz w:val="22"/>
          <w:szCs w:val="22"/>
        </w:rPr>
        <w:t xml:space="preserve"> </w:t>
      </w:r>
      <w:r w:rsidR="005E509A" w:rsidRPr="00C9375C">
        <w:rPr>
          <w:sz w:val="22"/>
          <w:szCs w:val="22"/>
        </w:rPr>
        <w:t xml:space="preserve">name of this </w:t>
      </w:r>
      <w:r w:rsidR="0092794E" w:rsidRPr="00C9375C">
        <w:rPr>
          <w:sz w:val="22"/>
          <w:szCs w:val="22"/>
        </w:rPr>
        <w:t>i</w:t>
      </w:r>
      <w:r w:rsidR="00DD023C" w:rsidRPr="00C9375C">
        <w:rPr>
          <w:sz w:val="22"/>
          <w:szCs w:val="22"/>
        </w:rPr>
        <w:t xml:space="preserve">nstrument is the </w:t>
      </w:r>
      <w:r w:rsidR="00B9324C" w:rsidRPr="00C9375C">
        <w:rPr>
          <w:i/>
          <w:sz w:val="22"/>
          <w:szCs w:val="22"/>
        </w:rPr>
        <w:t>National Health (Pharmaceutical Benefits) Legislation Amendment (Continuing Treatment during Coronavirus Pandemic) Instrument 2020</w:t>
      </w:r>
      <w:r w:rsidR="00C97D12" w:rsidRPr="00C9375C">
        <w:rPr>
          <w:i/>
          <w:sz w:val="22"/>
          <w:szCs w:val="22"/>
        </w:rPr>
        <w:t>)</w:t>
      </w:r>
      <w:r w:rsidR="0093592E" w:rsidRPr="00C9375C">
        <w:rPr>
          <w:i/>
          <w:sz w:val="22"/>
          <w:szCs w:val="22"/>
        </w:rPr>
        <w:t xml:space="preserve"> (No. 2)</w:t>
      </w:r>
      <w:r w:rsidR="005E509A" w:rsidRPr="00C9375C">
        <w:rPr>
          <w:sz w:val="22"/>
          <w:szCs w:val="22"/>
        </w:rPr>
        <w:t xml:space="preserve">. The instrument </w:t>
      </w:r>
      <w:r w:rsidR="003C45A4" w:rsidRPr="00C9375C">
        <w:rPr>
          <w:sz w:val="22"/>
          <w:szCs w:val="22"/>
        </w:rPr>
        <w:t>may also be cited as PB</w:t>
      </w:r>
      <w:r w:rsidRPr="00C9375C">
        <w:rPr>
          <w:sz w:val="22"/>
          <w:szCs w:val="22"/>
        </w:rPr>
        <w:t> </w:t>
      </w:r>
      <w:r w:rsidR="00254DF8" w:rsidRPr="00C9375C">
        <w:rPr>
          <w:sz w:val="22"/>
          <w:szCs w:val="22"/>
        </w:rPr>
        <w:t>100</w:t>
      </w:r>
      <w:r w:rsidR="002764B4" w:rsidRPr="00C9375C">
        <w:rPr>
          <w:sz w:val="22"/>
          <w:szCs w:val="22"/>
        </w:rPr>
        <w:t xml:space="preserve"> of 2020</w:t>
      </w:r>
      <w:r w:rsidR="000A3BE6" w:rsidRPr="00C9375C">
        <w:rPr>
          <w:sz w:val="22"/>
          <w:szCs w:val="22"/>
        </w:rPr>
        <w:t>.</w:t>
      </w:r>
    </w:p>
    <w:p w14:paraId="0B01D655" w14:textId="77777777" w:rsidR="003C2D54" w:rsidRPr="00C9375C" w:rsidRDefault="003C2D54" w:rsidP="003C2D54">
      <w:pPr>
        <w:rPr>
          <w:b/>
          <w:sz w:val="22"/>
          <w:szCs w:val="22"/>
        </w:rPr>
      </w:pPr>
    </w:p>
    <w:p w14:paraId="60881FD1" w14:textId="77777777" w:rsidR="003C2D54" w:rsidRPr="00C9375C" w:rsidRDefault="003C2D54" w:rsidP="003C2D54">
      <w:pPr>
        <w:rPr>
          <w:b/>
          <w:sz w:val="22"/>
          <w:szCs w:val="22"/>
        </w:rPr>
      </w:pPr>
      <w:r w:rsidRPr="00C9375C">
        <w:rPr>
          <w:b/>
          <w:sz w:val="22"/>
          <w:szCs w:val="22"/>
        </w:rPr>
        <w:t>2</w:t>
      </w:r>
      <w:r w:rsidRPr="00C9375C">
        <w:rPr>
          <w:b/>
          <w:sz w:val="22"/>
          <w:szCs w:val="22"/>
        </w:rPr>
        <w:tab/>
        <w:t>Commencement</w:t>
      </w:r>
    </w:p>
    <w:p w14:paraId="613983D1" w14:textId="2C5E6CE2" w:rsidR="0001124D" w:rsidRPr="00C9375C" w:rsidRDefault="0001124D" w:rsidP="006A61DB">
      <w:pPr>
        <w:shd w:val="clear" w:color="auto" w:fill="FFFFFF"/>
        <w:spacing w:before="120"/>
        <w:rPr>
          <w:color w:val="000000"/>
          <w:sz w:val="22"/>
          <w:szCs w:val="22"/>
        </w:rPr>
      </w:pPr>
      <w:r w:rsidRPr="00C9375C">
        <w:rPr>
          <w:color w:val="000000"/>
          <w:sz w:val="22"/>
          <w:szCs w:val="22"/>
        </w:rPr>
        <w:t xml:space="preserve">This section </w:t>
      </w:r>
      <w:r w:rsidR="006A61DB" w:rsidRPr="00C9375C">
        <w:rPr>
          <w:color w:val="000000"/>
          <w:sz w:val="22"/>
          <w:szCs w:val="22"/>
        </w:rPr>
        <w:t>provides that the</w:t>
      </w:r>
      <w:r w:rsidRPr="00C9375C">
        <w:rPr>
          <w:color w:val="000000"/>
          <w:sz w:val="22"/>
          <w:szCs w:val="22"/>
        </w:rPr>
        <w:t xml:space="preserve"> </w:t>
      </w:r>
      <w:r w:rsidR="0092794E" w:rsidRPr="00C9375C">
        <w:rPr>
          <w:color w:val="000000"/>
          <w:sz w:val="22"/>
          <w:szCs w:val="22"/>
        </w:rPr>
        <w:t>i</w:t>
      </w:r>
      <w:r w:rsidR="00DF12C5" w:rsidRPr="00C9375C">
        <w:rPr>
          <w:color w:val="000000"/>
          <w:sz w:val="22"/>
          <w:szCs w:val="22"/>
        </w:rPr>
        <w:t>nstrument</w:t>
      </w:r>
      <w:r w:rsidRPr="00C9375C">
        <w:rPr>
          <w:color w:val="000000"/>
          <w:sz w:val="22"/>
          <w:szCs w:val="22"/>
        </w:rPr>
        <w:t xml:space="preserve"> commences </w:t>
      </w:r>
      <w:r w:rsidR="000C3B19" w:rsidRPr="00C9375C">
        <w:rPr>
          <w:color w:val="000000"/>
          <w:sz w:val="22"/>
          <w:szCs w:val="22"/>
        </w:rPr>
        <w:t>the day after it is registered</w:t>
      </w:r>
      <w:r w:rsidRPr="00C9375C">
        <w:rPr>
          <w:color w:val="000000"/>
          <w:sz w:val="22"/>
          <w:szCs w:val="22"/>
        </w:rPr>
        <w:t>.</w:t>
      </w:r>
    </w:p>
    <w:p w14:paraId="7682E288" w14:textId="77777777" w:rsidR="003C2D54" w:rsidRPr="00C9375C" w:rsidRDefault="003C2D54" w:rsidP="003C2D54">
      <w:pPr>
        <w:rPr>
          <w:b/>
          <w:sz w:val="22"/>
          <w:szCs w:val="22"/>
        </w:rPr>
      </w:pPr>
    </w:p>
    <w:p w14:paraId="1639740B" w14:textId="77777777" w:rsidR="003C2D54" w:rsidRPr="00C9375C" w:rsidRDefault="003C2D54" w:rsidP="003C2D54">
      <w:pPr>
        <w:rPr>
          <w:b/>
          <w:sz w:val="22"/>
          <w:szCs w:val="22"/>
        </w:rPr>
      </w:pPr>
      <w:r w:rsidRPr="00C9375C">
        <w:rPr>
          <w:b/>
          <w:sz w:val="22"/>
          <w:szCs w:val="22"/>
        </w:rPr>
        <w:t>3</w:t>
      </w:r>
      <w:r w:rsidRPr="00C9375C">
        <w:rPr>
          <w:b/>
          <w:sz w:val="22"/>
          <w:szCs w:val="22"/>
        </w:rPr>
        <w:tab/>
        <w:t>Authority</w:t>
      </w:r>
    </w:p>
    <w:p w14:paraId="35258E8E" w14:textId="77777777" w:rsidR="009A64EA" w:rsidRPr="00C9375C" w:rsidRDefault="009A64EA">
      <w:pPr>
        <w:tabs>
          <w:tab w:val="left" w:pos="1418"/>
        </w:tabs>
        <w:spacing w:before="240"/>
        <w:rPr>
          <w:b/>
          <w:sz w:val="22"/>
          <w:szCs w:val="22"/>
        </w:rPr>
      </w:pPr>
      <w:r w:rsidRPr="00C9375C">
        <w:rPr>
          <w:color w:val="000000"/>
          <w:sz w:val="22"/>
          <w:szCs w:val="22"/>
        </w:rPr>
        <w:t>This section states that this instrument is made under subsection</w:t>
      </w:r>
      <w:r w:rsidR="00FF17C5" w:rsidRPr="00C9375C">
        <w:rPr>
          <w:color w:val="000000"/>
          <w:sz w:val="22"/>
          <w:szCs w:val="22"/>
        </w:rPr>
        <w:t>s 85(7) and 100</w:t>
      </w:r>
      <w:r w:rsidR="004D1993" w:rsidRPr="00C9375C">
        <w:rPr>
          <w:color w:val="000000"/>
          <w:sz w:val="22"/>
          <w:szCs w:val="22"/>
        </w:rPr>
        <w:t xml:space="preserve">(2) </w:t>
      </w:r>
      <w:r w:rsidRPr="00C9375C">
        <w:rPr>
          <w:color w:val="000000"/>
          <w:sz w:val="22"/>
          <w:szCs w:val="22"/>
        </w:rPr>
        <w:t xml:space="preserve">of the </w:t>
      </w:r>
      <w:r w:rsidRPr="00C9375C">
        <w:rPr>
          <w:i/>
          <w:iCs/>
          <w:color w:val="000000"/>
          <w:sz w:val="22"/>
          <w:szCs w:val="22"/>
        </w:rPr>
        <w:t>National Health Act 1953</w:t>
      </w:r>
      <w:r w:rsidRPr="00C9375C">
        <w:rPr>
          <w:color w:val="000000"/>
          <w:sz w:val="22"/>
          <w:szCs w:val="22"/>
        </w:rPr>
        <w:t>.</w:t>
      </w:r>
    </w:p>
    <w:p w14:paraId="7CDABF24" w14:textId="77777777" w:rsidR="003C2D54" w:rsidRPr="00C9375C" w:rsidRDefault="003C2D54" w:rsidP="003C2D54">
      <w:pPr>
        <w:rPr>
          <w:b/>
          <w:sz w:val="22"/>
          <w:szCs w:val="22"/>
        </w:rPr>
      </w:pPr>
    </w:p>
    <w:p w14:paraId="6EE3B4F2" w14:textId="77777777" w:rsidR="003C2D54" w:rsidRPr="00C9375C" w:rsidRDefault="00693682" w:rsidP="003C2D54">
      <w:pPr>
        <w:rPr>
          <w:b/>
          <w:sz w:val="22"/>
          <w:szCs w:val="22"/>
        </w:rPr>
      </w:pPr>
      <w:r w:rsidRPr="00C9375C">
        <w:rPr>
          <w:b/>
          <w:sz w:val="22"/>
          <w:szCs w:val="22"/>
        </w:rPr>
        <w:t xml:space="preserve">4 </w:t>
      </w:r>
      <w:r w:rsidRPr="00C9375C">
        <w:rPr>
          <w:b/>
          <w:sz w:val="22"/>
          <w:szCs w:val="22"/>
        </w:rPr>
        <w:tab/>
      </w:r>
      <w:r w:rsidR="004D1993" w:rsidRPr="00C9375C">
        <w:rPr>
          <w:b/>
          <w:sz w:val="22"/>
          <w:szCs w:val="22"/>
        </w:rPr>
        <w:t>Schedules</w:t>
      </w:r>
    </w:p>
    <w:p w14:paraId="30A1A545" w14:textId="1CB4EAB9" w:rsidR="002764B4" w:rsidRPr="00C9375C" w:rsidRDefault="00AC0CAC" w:rsidP="00387067">
      <w:pPr>
        <w:tabs>
          <w:tab w:val="left" w:pos="1418"/>
        </w:tabs>
        <w:spacing w:before="240"/>
        <w:rPr>
          <w:sz w:val="22"/>
          <w:szCs w:val="22"/>
        </w:rPr>
      </w:pPr>
      <w:r w:rsidRPr="00C9375C">
        <w:rPr>
          <w:sz w:val="22"/>
          <w:szCs w:val="22"/>
        </w:rPr>
        <w:t>Section 4 provides that each instrument that is specified in a Schedule to the instrument is amended or repealed as set out in the applicable items in the Schedule concerned, and any other item in a Schedule has effect according to its terms.</w:t>
      </w:r>
    </w:p>
    <w:p w14:paraId="444E1D8F" w14:textId="77777777" w:rsidR="002764B4" w:rsidRPr="00C9375C" w:rsidRDefault="002764B4" w:rsidP="002764B4">
      <w:pPr>
        <w:jc w:val="center"/>
        <w:rPr>
          <w:b/>
          <w:sz w:val="22"/>
          <w:szCs w:val="22"/>
        </w:rPr>
      </w:pPr>
    </w:p>
    <w:p w14:paraId="03D0DA75" w14:textId="219F7F8F" w:rsidR="003C2D54" w:rsidRPr="00C9375C" w:rsidRDefault="003C2D54" w:rsidP="003C2D54">
      <w:pPr>
        <w:rPr>
          <w:b/>
          <w:sz w:val="22"/>
          <w:szCs w:val="22"/>
        </w:rPr>
      </w:pPr>
      <w:r w:rsidRPr="00C9375C">
        <w:rPr>
          <w:b/>
          <w:sz w:val="22"/>
          <w:szCs w:val="22"/>
        </w:rPr>
        <w:t>Schedule 1–Amendments</w:t>
      </w:r>
    </w:p>
    <w:p w14:paraId="7EED5B33" w14:textId="61120306" w:rsidR="000C3B19" w:rsidRPr="00C9375C" w:rsidRDefault="000C3B19" w:rsidP="003C2D54">
      <w:pPr>
        <w:rPr>
          <w:b/>
          <w:sz w:val="22"/>
          <w:szCs w:val="22"/>
        </w:rPr>
      </w:pPr>
    </w:p>
    <w:p w14:paraId="491EF95F" w14:textId="2B544997" w:rsidR="00FD7A75" w:rsidRPr="00C9375C" w:rsidRDefault="00FD7A75" w:rsidP="003C2D54">
      <w:pPr>
        <w:rPr>
          <w:sz w:val="22"/>
          <w:szCs w:val="22"/>
          <w:u w:val="single"/>
        </w:rPr>
      </w:pPr>
      <w:r w:rsidRPr="00C9375C">
        <w:rPr>
          <w:sz w:val="22"/>
          <w:szCs w:val="22"/>
          <w:u w:val="single"/>
        </w:rPr>
        <w:t>Part 1</w:t>
      </w:r>
      <w:r w:rsidR="000C3B19" w:rsidRPr="00C9375C">
        <w:rPr>
          <w:sz w:val="22"/>
          <w:szCs w:val="22"/>
          <w:u w:val="single"/>
        </w:rPr>
        <w:t xml:space="preserve"> </w:t>
      </w:r>
      <w:r w:rsidRPr="00C9375C">
        <w:rPr>
          <w:sz w:val="22"/>
          <w:szCs w:val="22"/>
          <w:u w:val="single"/>
        </w:rPr>
        <w:t>- Amendments of main listing instrument</w:t>
      </w:r>
    </w:p>
    <w:p w14:paraId="5B97E4DE" w14:textId="171A6341" w:rsidR="000C3B19" w:rsidRPr="00C9375C" w:rsidRDefault="000C3B19" w:rsidP="003C2D54">
      <w:pPr>
        <w:rPr>
          <w:sz w:val="22"/>
          <w:szCs w:val="22"/>
          <w:u w:val="single"/>
        </w:rPr>
      </w:pPr>
    </w:p>
    <w:p w14:paraId="67540870" w14:textId="0F408DA3" w:rsidR="000C3B19" w:rsidRPr="00C9375C" w:rsidRDefault="000C3B19" w:rsidP="000C3B19">
      <w:pPr>
        <w:rPr>
          <w:i/>
          <w:sz w:val="22"/>
          <w:szCs w:val="22"/>
        </w:rPr>
      </w:pPr>
      <w:r w:rsidRPr="00C9375C">
        <w:rPr>
          <w:i/>
          <w:sz w:val="22"/>
          <w:szCs w:val="22"/>
        </w:rPr>
        <w:t>National Health (Listing of Pharmac</w:t>
      </w:r>
      <w:r w:rsidR="002B1D47" w:rsidRPr="00C9375C">
        <w:rPr>
          <w:i/>
          <w:sz w:val="22"/>
          <w:szCs w:val="22"/>
        </w:rPr>
        <w:t>e</w:t>
      </w:r>
      <w:r w:rsidRPr="00C9375C">
        <w:rPr>
          <w:i/>
          <w:sz w:val="22"/>
          <w:szCs w:val="22"/>
        </w:rPr>
        <w:t>utical Benefits) Instrument 2012 (PB 71 of 2012)</w:t>
      </w:r>
    </w:p>
    <w:p w14:paraId="445189DA" w14:textId="77777777" w:rsidR="003C2D54" w:rsidRPr="00C9375C" w:rsidRDefault="003C2D54" w:rsidP="002764B4">
      <w:pPr>
        <w:jc w:val="center"/>
        <w:rPr>
          <w:b/>
          <w:sz w:val="22"/>
          <w:szCs w:val="22"/>
        </w:rPr>
      </w:pPr>
    </w:p>
    <w:p w14:paraId="07224FF5" w14:textId="05330FC7" w:rsidR="00FD7A75" w:rsidRPr="00C9375C" w:rsidRDefault="00FF17C5" w:rsidP="00FD7A75">
      <w:pPr>
        <w:rPr>
          <w:b/>
          <w:sz w:val="22"/>
          <w:szCs w:val="22"/>
        </w:rPr>
      </w:pPr>
      <w:r w:rsidRPr="00C9375C">
        <w:rPr>
          <w:b/>
          <w:sz w:val="22"/>
          <w:szCs w:val="22"/>
        </w:rPr>
        <w:t>1</w:t>
      </w:r>
      <w:r w:rsidR="00BC7BD1" w:rsidRPr="00C9375C">
        <w:rPr>
          <w:b/>
          <w:sz w:val="22"/>
          <w:szCs w:val="22"/>
        </w:rPr>
        <w:tab/>
      </w:r>
      <w:r w:rsidR="000C3B19" w:rsidRPr="00C9375C">
        <w:rPr>
          <w:b/>
          <w:sz w:val="22"/>
          <w:szCs w:val="22"/>
        </w:rPr>
        <w:t>S</w:t>
      </w:r>
      <w:r w:rsidR="00FD7A75" w:rsidRPr="00C9375C">
        <w:rPr>
          <w:b/>
          <w:sz w:val="22"/>
          <w:szCs w:val="22"/>
        </w:rPr>
        <w:t>ubsection 10</w:t>
      </w:r>
      <w:r w:rsidR="000C3B19" w:rsidRPr="00C9375C">
        <w:rPr>
          <w:b/>
          <w:sz w:val="22"/>
          <w:szCs w:val="22"/>
        </w:rPr>
        <w:t>A</w:t>
      </w:r>
      <w:r w:rsidR="00FD7A75" w:rsidRPr="00C9375C">
        <w:rPr>
          <w:b/>
          <w:sz w:val="22"/>
          <w:szCs w:val="22"/>
        </w:rPr>
        <w:t>(3)</w:t>
      </w:r>
    </w:p>
    <w:p w14:paraId="4A6222B9" w14:textId="066E7CDA" w:rsidR="00FD7A75" w:rsidRPr="00C9375C" w:rsidRDefault="000C3B19" w:rsidP="00FD7A75">
      <w:pPr>
        <w:tabs>
          <w:tab w:val="left" w:pos="1418"/>
        </w:tabs>
        <w:spacing w:before="240"/>
        <w:rPr>
          <w:sz w:val="22"/>
          <w:szCs w:val="22"/>
        </w:rPr>
      </w:pPr>
      <w:r w:rsidRPr="00C9375C">
        <w:rPr>
          <w:sz w:val="22"/>
          <w:szCs w:val="22"/>
        </w:rPr>
        <w:t>This section repeals the current date of repeal from subsection 10A(3) of PB 71 of 2012, being 1 October 2020</w:t>
      </w:r>
      <w:r w:rsidR="0084378D" w:rsidRPr="00C9375C">
        <w:rPr>
          <w:sz w:val="22"/>
          <w:szCs w:val="22"/>
        </w:rPr>
        <w:t>.</w:t>
      </w:r>
      <w:r w:rsidRPr="00C9375C">
        <w:rPr>
          <w:sz w:val="22"/>
          <w:szCs w:val="22"/>
        </w:rPr>
        <w:t xml:space="preserve"> The date is replaced with a new repeal date of 1 April 2021. </w:t>
      </w:r>
    </w:p>
    <w:p w14:paraId="4DDCBAE7" w14:textId="77777777" w:rsidR="00F3009C" w:rsidRPr="00C9375C" w:rsidRDefault="00F3009C" w:rsidP="00F3009C">
      <w:pPr>
        <w:rPr>
          <w:b/>
          <w:sz w:val="22"/>
          <w:szCs w:val="22"/>
        </w:rPr>
      </w:pPr>
    </w:p>
    <w:p w14:paraId="192A2CD6" w14:textId="61032B2D" w:rsidR="00F3009C" w:rsidRPr="00C9375C" w:rsidRDefault="00F3009C" w:rsidP="00F3009C">
      <w:pPr>
        <w:rPr>
          <w:b/>
          <w:sz w:val="22"/>
          <w:szCs w:val="22"/>
        </w:rPr>
      </w:pPr>
      <w:r w:rsidRPr="00C9375C">
        <w:rPr>
          <w:b/>
          <w:sz w:val="22"/>
          <w:szCs w:val="22"/>
        </w:rPr>
        <w:t>2</w:t>
      </w:r>
      <w:r w:rsidRPr="00C9375C">
        <w:rPr>
          <w:b/>
          <w:sz w:val="22"/>
          <w:szCs w:val="22"/>
        </w:rPr>
        <w:tab/>
      </w:r>
      <w:r w:rsidR="00B21AD3" w:rsidRPr="00C9375C">
        <w:rPr>
          <w:b/>
          <w:sz w:val="22"/>
          <w:szCs w:val="22"/>
        </w:rPr>
        <w:t>Schedule 6</w:t>
      </w:r>
    </w:p>
    <w:p w14:paraId="29C9C598" w14:textId="179DCF93" w:rsidR="00F3009C" w:rsidRPr="00C9375C" w:rsidRDefault="00F3009C" w:rsidP="00F3009C">
      <w:pPr>
        <w:tabs>
          <w:tab w:val="left" w:pos="1418"/>
        </w:tabs>
        <w:spacing w:before="240"/>
        <w:rPr>
          <w:b/>
          <w:sz w:val="22"/>
          <w:szCs w:val="22"/>
        </w:rPr>
      </w:pPr>
      <w:r w:rsidRPr="00C9375C">
        <w:rPr>
          <w:sz w:val="22"/>
          <w:szCs w:val="22"/>
        </w:rPr>
        <w:t>This section omits the table in schedule 6 and substitutes with a table that includes upadacitinib, tablet 15 mg, oral which was PBS listed on 1 May 2020.</w:t>
      </w:r>
    </w:p>
    <w:p w14:paraId="19AD1CA0" w14:textId="77777777" w:rsidR="00966A9C" w:rsidRPr="00C9375C" w:rsidRDefault="00966A9C" w:rsidP="00966A9C">
      <w:pPr>
        <w:rPr>
          <w:b/>
          <w:sz w:val="22"/>
          <w:szCs w:val="22"/>
        </w:rPr>
      </w:pPr>
    </w:p>
    <w:p w14:paraId="212FEC8F" w14:textId="669E60F6" w:rsidR="00966A9C" w:rsidRPr="00C9375C" w:rsidRDefault="00966A9C" w:rsidP="00966A9C">
      <w:pPr>
        <w:rPr>
          <w:sz w:val="22"/>
          <w:szCs w:val="22"/>
          <w:u w:val="single"/>
        </w:rPr>
      </w:pPr>
      <w:r w:rsidRPr="00C9375C">
        <w:rPr>
          <w:sz w:val="22"/>
          <w:szCs w:val="22"/>
          <w:u w:val="single"/>
        </w:rPr>
        <w:t>Part 2</w:t>
      </w:r>
      <w:r w:rsidR="000C3B19" w:rsidRPr="00C9375C">
        <w:rPr>
          <w:sz w:val="22"/>
          <w:szCs w:val="22"/>
          <w:u w:val="single"/>
        </w:rPr>
        <w:t xml:space="preserve"> </w:t>
      </w:r>
      <w:r w:rsidRPr="00C9375C">
        <w:rPr>
          <w:sz w:val="22"/>
          <w:szCs w:val="22"/>
          <w:u w:val="single"/>
        </w:rPr>
        <w:t>- Amendments of special arrangement</w:t>
      </w:r>
    </w:p>
    <w:p w14:paraId="4692F9E6" w14:textId="1FBD498C" w:rsidR="00966A9C" w:rsidRPr="00C9375C" w:rsidRDefault="00966A9C" w:rsidP="00966A9C">
      <w:pPr>
        <w:rPr>
          <w:b/>
          <w:sz w:val="22"/>
          <w:szCs w:val="22"/>
        </w:rPr>
      </w:pPr>
    </w:p>
    <w:p w14:paraId="3BBB3103" w14:textId="3478CF0F" w:rsidR="000C3B19" w:rsidRPr="00C9375C" w:rsidRDefault="000C3B19" w:rsidP="00966A9C">
      <w:pPr>
        <w:rPr>
          <w:i/>
          <w:sz w:val="22"/>
          <w:szCs w:val="22"/>
        </w:rPr>
      </w:pPr>
      <w:r w:rsidRPr="00C9375C">
        <w:rPr>
          <w:i/>
          <w:sz w:val="22"/>
          <w:szCs w:val="22"/>
        </w:rPr>
        <w:t xml:space="preserve">National Health (Highly specialised drugs program) Special Arrangement (PB 116 of 2010) </w:t>
      </w:r>
    </w:p>
    <w:p w14:paraId="70CFE78F" w14:textId="77777777" w:rsidR="00F3009C" w:rsidRPr="00C9375C" w:rsidRDefault="00F3009C" w:rsidP="00966A9C">
      <w:pPr>
        <w:rPr>
          <w:b/>
          <w:sz w:val="22"/>
          <w:szCs w:val="22"/>
        </w:rPr>
      </w:pPr>
    </w:p>
    <w:p w14:paraId="0F89BF21" w14:textId="53EAC68D" w:rsidR="00966A9C" w:rsidRPr="00C9375C" w:rsidRDefault="00F3009C" w:rsidP="00966A9C">
      <w:pPr>
        <w:rPr>
          <w:b/>
          <w:sz w:val="22"/>
          <w:szCs w:val="22"/>
        </w:rPr>
      </w:pPr>
      <w:r w:rsidRPr="00C9375C">
        <w:rPr>
          <w:b/>
          <w:sz w:val="22"/>
          <w:szCs w:val="22"/>
        </w:rPr>
        <w:t>3</w:t>
      </w:r>
      <w:r w:rsidR="00BC7BD1" w:rsidRPr="00C9375C">
        <w:rPr>
          <w:b/>
          <w:sz w:val="22"/>
          <w:szCs w:val="22"/>
        </w:rPr>
        <w:tab/>
      </w:r>
      <w:r w:rsidR="000C3B19" w:rsidRPr="00C9375C">
        <w:rPr>
          <w:b/>
          <w:sz w:val="22"/>
          <w:szCs w:val="22"/>
        </w:rPr>
        <w:t>Subsection</w:t>
      </w:r>
      <w:r w:rsidR="00966A9C" w:rsidRPr="00C9375C">
        <w:rPr>
          <w:b/>
          <w:sz w:val="22"/>
          <w:szCs w:val="22"/>
        </w:rPr>
        <w:t xml:space="preserve"> 9</w:t>
      </w:r>
      <w:r w:rsidR="000C3B19" w:rsidRPr="00C9375C">
        <w:rPr>
          <w:b/>
          <w:sz w:val="22"/>
          <w:szCs w:val="22"/>
        </w:rPr>
        <w:t>AA(3)</w:t>
      </w:r>
    </w:p>
    <w:p w14:paraId="6E2E446E" w14:textId="5ED84748" w:rsidR="000C3B19" w:rsidRPr="00C9375C" w:rsidRDefault="000C3B19" w:rsidP="00966A9C">
      <w:pPr>
        <w:rPr>
          <w:b/>
          <w:sz w:val="22"/>
          <w:szCs w:val="22"/>
        </w:rPr>
      </w:pPr>
    </w:p>
    <w:p w14:paraId="2A337870" w14:textId="340E73DC" w:rsidR="000C3B19" w:rsidRPr="00C9375C" w:rsidRDefault="000C3B19" w:rsidP="00966A9C">
      <w:pPr>
        <w:rPr>
          <w:sz w:val="22"/>
          <w:szCs w:val="22"/>
        </w:rPr>
      </w:pPr>
      <w:r w:rsidRPr="00C9375C">
        <w:rPr>
          <w:sz w:val="22"/>
          <w:szCs w:val="22"/>
        </w:rPr>
        <w:t xml:space="preserve">This section repeals the current date of repeal from subsection 9AA(3) of PB 116 of 2010, being 1 October 2020. The date is replaced with a new repeal date of 1 April 2021. </w:t>
      </w:r>
    </w:p>
    <w:p w14:paraId="5A6A23F9" w14:textId="77777777" w:rsidR="00280116" w:rsidRPr="00C9375C" w:rsidRDefault="00280116">
      <w:pPr>
        <w:rPr>
          <w:sz w:val="22"/>
          <w:szCs w:val="22"/>
        </w:rPr>
      </w:pPr>
      <w:r w:rsidRPr="00C9375C">
        <w:rPr>
          <w:sz w:val="22"/>
          <w:szCs w:val="22"/>
        </w:rPr>
        <w:br w:type="page"/>
      </w:r>
    </w:p>
    <w:p w14:paraId="34F2E99D" w14:textId="77777777" w:rsidR="00280116" w:rsidRPr="00C9375C" w:rsidRDefault="00280116" w:rsidP="00280116">
      <w:pPr>
        <w:spacing w:before="240"/>
        <w:jc w:val="center"/>
        <w:rPr>
          <w:b/>
          <w:sz w:val="22"/>
          <w:szCs w:val="22"/>
        </w:rPr>
      </w:pPr>
      <w:r w:rsidRPr="00C9375C">
        <w:rPr>
          <w:b/>
          <w:sz w:val="22"/>
          <w:szCs w:val="22"/>
        </w:rPr>
        <w:t>Statement of Compatibility with Human Rights</w:t>
      </w:r>
    </w:p>
    <w:p w14:paraId="65F903ED" w14:textId="77777777" w:rsidR="00280116" w:rsidRPr="00C9375C" w:rsidRDefault="00280116" w:rsidP="00280116">
      <w:pPr>
        <w:spacing w:before="120"/>
        <w:jc w:val="center"/>
        <w:rPr>
          <w:i/>
          <w:sz w:val="22"/>
          <w:szCs w:val="22"/>
        </w:rPr>
      </w:pPr>
      <w:r w:rsidRPr="00C9375C">
        <w:rPr>
          <w:i/>
          <w:sz w:val="22"/>
          <w:szCs w:val="22"/>
        </w:rPr>
        <w:t>Prepared in accordance with Part 3 of the Human Rights (Parliamentary Scrutiny) Act 2011</w:t>
      </w:r>
    </w:p>
    <w:p w14:paraId="1D187769" w14:textId="6704E7E1" w:rsidR="00280116" w:rsidRPr="00C9375C" w:rsidRDefault="00966A9C" w:rsidP="00280116">
      <w:pPr>
        <w:spacing w:before="360"/>
        <w:jc w:val="center"/>
        <w:rPr>
          <w:b/>
          <w:i/>
          <w:sz w:val="22"/>
          <w:szCs w:val="22"/>
        </w:rPr>
      </w:pPr>
      <w:r w:rsidRPr="00C9375C">
        <w:rPr>
          <w:b/>
          <w:i/>
          <w:sz w:val="22"/>
          <w:szCs w:val="22"/>
        </w:rPr>
        <w:t>National Health (Pharmaceutical Benefits) Legislation Amendment (Continuing Treatment during Coronavirus Pandemic) Instrument 2020</w:t>
      </w:r>
      <w:r w:rsidR="0093592E" w:rsidRPr="00C9375C">
        <w:rPr>
          <w:b/>
          <w:i/>
          <w:sz w:val="22"/>
          <w:szCs w:val="22"/>
        </w:rPr>
        <w:t xml:space="preserve"> (No. 2)</w:t>
      </w:r>
    </w:p>
    <w:p w14:paraId="4EA9C897" w14:textId="1CB41966" w:rsidR="00280116" w:rsidRPr="00C9375C" w:rsidRDefault="00280116" w:rsidP="00280116">
      <w:pPr>
        <w:spacing w:before="120"/>
        <w:jc w:val="center"/>
        <w:rPr>
          <w:b/>
          <w:sz w:val="22"/>
          <w:szCs w:val="22"/>
        </w:rPr>
      </w:pPr>
      <w:r w:rsidRPr="00C9375C">
        <w:rPr>
          <w:b/>
          <w:sz w:val="22"/>
          <w:szCs w:val="22"/>
        </w:rPr>
        <w:t xml:space="preserve">(PB </w:t>
      </w:r>
      <w:r w:rsidR="00254DF8" w:rsidRPr="00C9375C">
        <w:rPr>
          <w:b/>
          <w:sz w:val="22"/>
          <w:szCs w:val="22"/>
        </w:rPr>
        <w:t>100</w:t>
      </w:r>
      <w:r w:rsidRPr="00C9375C">
        <w:rPr>
          <w:b/>
          <w:sz w:val="22"/>
          <w:szCs w:val="22"/>
        </w:rPr>
        <w:t xml:space="preserve"> of 2020)</w:t>
      </w:r>
    </w:p>
    <w:p w14:paraId="628133B4" w14:textId="1590D2CE" w:rsidR="00280116" w:rsidRPr="00C9375C" w:rsidRDefault="0092794E" w:rsidP="00C93548">
      <w:pPr>
        <w:spacing w:before="360"/>
        <w:jc w:val="center"/>
        <w:rPr>
          <w:sz w:val="22"/>
          <w:szCs w:val="22"/>
        </w:rPr>
      </w:pPr>
      <w:r w:rsidRPr="00C9375C">
        <w:rPr>
          <w:sz w:val="22"/>
          <w:szCs w:val="22"/>
        </w:rPr>
        <w:t>This</w:t>
      </w:r>
      <w:r w:rsidR="003F1E4A" w:rsidRPr="00C9375C">
        <w:rPr>
          <w:sz w:val="22"/>
          <w:szCs w:val="22"/>
        </w:rPr>
        <w:t xml:space="preserve"> Disallowable</w:t>
      </w:r>
      <w:r w:rsidRPr="00C9375C">
        <w:rPr>
          <w:sz w:val="22"/>
          <w:szCs w:val="22"/>
        </w:rPr>
        <w:t xml:space="preserve"> </w:t>
      </w:r>
      <w:r w:rsidR="003F1E4A" w:rsidRPr="00C9375C">
        <w:rPr>
          <w:sz w:val="22"/>
          <w:szCs w:val="22"/>
        </w:rPr>
        <w:t>L</w:t>
      </w:r>
      <w:r w:rsidRPr="00C9375C">
        <w:rPr>
          <w:sz w:val="22"/>
          <w:szCs w:val="22"/>
        </w:rPr>
        <w:t xml:space="preserve">egislative </w:t>
      </w:r>
      <w:r w:rsidR="003F1E4A" w:rsidRPr="00C9375C">
        <w:rPr>
          <w:sz w:val="22"/>
          <w:szCs w:val="22"/>
        </w:rPr>
        <w:t>I</w:t>
      </w:r>
      <w:r w:rsidR="00280116" w:rsidRPr="00C9375C">
        <w:rPr>
          <w:sz w:val="22"/>
          <w:szCs w:val="22"/>
        </w:rPr>
        <w:t xml:space="preserve">nstrument is compatible with the human rights and freedoms recognised or declared in the international instruments listed in section 3 of the </w:t>
      </w:r>
      <w:r w:rsidR="00280116" w:rsidRPr="00C9375C">
        <w:rPr>
          <w:i/>
          <w:sz w:val="22"/>
          <w:szCs w:val="22"/>
        </w:rPr>
        <w:t>Human Rights (Parliamentary Scrutiny) Act 2011.</w:t>
      </w:r>
    </w:p>
    <w:p w14:paraId="11A95AFB" w14:textId="174BB191" w:rsidR="00280116" w:rsidRPr="00C9375C" w:rsidRDefault="00280116" w:rsidP="00280116">
      <w:pPr>
        <w:spacing w:before="240"/>
        <w:rPr>
          <w:b/>
          <w:sz w:val="22"/>
          <w:szCs w:val="22"/>
        </w:rPr>
      </w:pPr>
      <w:r w:rsidRPr="00C9375C">
        <w:rPr>
          <w:b/>
          <w:sz w:val="22"/>
          <w:szCs w:val="22"/>
        </w:rPr>
        <w:t>Overview of the</w:t>
      </w:r>
      <w:r w:rsidR="003F1E4A" w:rsidRPr="00C9375C">
        <w:rPr>
          <w:b/>
          <w:sz w:val="22"/>
          <w:szCs w:val="22"/>
        </w:rPr>
        <w:t xml:space="preserve"> Disallowable</w:t>
      </w:r>
      <w:r w:rsidRPr="00C9375C">
        <w:rPr>
          <w:b/>
          <w:sz w:val="22"/>
          <w:szCs w:val="22"/>
        </w:rPr>
        <w:t xml:space="preserve"> Legislative Instrument</w:t>
      </w:r>
    </w:p>
    <w:p w14:paraId="291419D0" w14:textId="6949D0A7" w:rsidR="00966A9C" w:rsidRPr="00C9375C" w:rsidRDefault="00280116" w:rsidP="00280116">
      <w:pPr>
        <w:spacing w:before="120"/>
        <w:ind w:right="-164"/>
        <w:jc w:val="both"/>
        <w:rPr>
          <w:sz w:val="22"/>
          <w:szCs w:val="22"/>
        </w:rPr>
      </w:pPr>
      <w:r w:rsidRPr="00C9375C">
        <w:rPr>
          <w:sz w:val="22"/>
          <w:szCs w:val="22"/>
        </w:rPr>
        <w:t xml:space="preserve">The </w:t>
      </w:r>
      <w:r w:rsidR="00F6131F" w:rsidRPr="00C9375C">
        <w:rPr>
          <w:i/>
          <w:sz w:val="22"/>
          <w:szCs w:val="22"/>
        </w:rPr>
        <w:t>National Health (Pharmaceutical Benefits) Legislation Amendment (Continuing Treatment during Coronavirus Pandemic) Instrument 2020</w:t>
      </w:r>
      <w:r w:rsidR="003F1E4A" w:rsidRPr="00C9375C">
        <w:rPr>
          <w:i/>
          <w:sz w:val="22"/>
          <w:szCs w:val="22"/>
        </w:rPr>
        <w:t xml:space="preserve"> (No 2) </w:t>
      </w:r>
      <w:r w:rsidR="003F1E4A" w:rsidRPr="00C9375C">
        <w:rPr>
          <w:sz w:val="22"/>
          <w:szCs w:val="22"/>
        </w:rPr>
        <w:t>(the amendment instrument)</w:t>
      </w:r>
      <w:r w:rsidR="00F6131F" w:rsidRPr="00C9375C">
        <w:rPr>
          <w:sz w:val="22"/>
          <w:szCs w:val="22"/>
        </w:rPr>
        <w:t xml:space="preserve"> amends the </w:t>
      </w:r>
      <w:r w:rsidR="00F6131F" w:rsidRPr="00C9375C">
        <w:rPr>
          <w:i/>
          <w:sz w:val="22"/>
          <w:szCs w:val="22"/>
        </w:rPr>
        <w:t>National Health (Listing of Pharmaceutical Benefits) Instrument 2012</w:t>
      </w:r>
      <w:r w:rsidR="00F6131F" w:rsidRPr="00C9375C">
        <w:rPr>
          <w:sz w:val="22"/>
          <w:szCs w:val="22"/>
        </w:rPr>
        <w:t xml:space="preserve"> (PB 71 of 2012) and the </w:t>
      </w:r>
      <w:r w:rsidR="00F6131F" w:rsidRPr="00C9375C">
        <w:rPr>
          <w:i/>
          <w:sz w:val="22"/>
          <w:szCs w:val="22"/>
        </w:rPr>
        <w:t>National Health (Highly specialised drugs program) Special Arrangement 2010</w:t>
      </w:r>
      <w:r w:rsidR="00F6131F" w:rsidRPr="00C9375C">
        <w:rPr>
          <w:sz w:val="22"/>
          <w:szCs w:val="22"/>
        </w:rPr>
        <w:t xml:space="preserve"> (PB 116 of 2010).</w:t>
      </w:r>
      <w:r w:rsidR="003F1E4A" w:rsidRPr="00C9375C">
        <w:rPr>
          <w:sz w:val="22"/>
          <w:szCs w:val="22"/>
        </w:rPr>
        <w:t xml:space="preserve"> The amendment instrument changes the repeal date of provisions contained in PB 71 of 2012, and PB 116 of 2010 from 1 October 2020 to 1 April 2021.</w:t>
      </w:r>
    </w:p>
    <w:p w14:paraId="032F171C" w14:textId="7237C90D" w:rsidR="00F6131F" w:rsidRPr="00C9375C" w:rsidRDefault="007C2F41" w:rsidP="00F6131F">
      <w:pPr>
        <w:spacing w:before="120"/>
        <w:ind w:right="-164"/>
        <w:jc w:val="both"/>
        <w:rPr>
          <w:sz w:val="22"/>
          <w:szCs w:val="22"/>
        </w:rPr>
      </w:pPr>
      <w:r w:rsidRPr="00C9375C">
        <w:rPr>
          <w:sz w:val="22"/>
          <w:szCs w:val="22"/>
        </w:rPr>
        <w:t>Th</w:t>
      </w:r>
      <w:r w:rsidR="003F1E4A" w:rsidRPr="00C9375C">
        <w:rPr>
          <w:sz w:val="22"/>
          <w:szCs w:val="22"/>
        </w:rPr>
        <w:t xml:space="preserve">e </w:t>
      </w:r>
      <w:r w:rsidR="003F1E4A" w:rsidRPr="00C9375C">
        <w:rPr>
          <w:i/>
          <w:sz w:val="22"/>
          <w:szCs w:val="22"/>
        </w:rPr>
        <w:t>National Health (Pharmaceutical Benefits) Legislation Amendment (Continuing Treatment during Coronavirus Pandemic) Instrument 2020 (PB 32 of 2020)</w:t>
      </w:r>
      <w:r w:rsidR="003F1E4A" w:rsidRPr="00C9375C">
        <w:rPr>
          <w:sz w:val="22"/>
          <w:szCs w:val="22"/>
        </w:rPr>
        <w:t xml:space="preserve"> </w:t>
      </w:r>
      <w:r w:rsidRPr="00C9375C">
        <w:rPr>
          <w:sz w:val="22"/>
          <w:szCs w:val="22"/>
        </w:rPr>
        <w:t>temporarily modifie</w:t>
      </w:r>
      <w:r w:rsidR="003F1E4A" w:rsidRPr="00C9375C">
        <w:rPr>
          <w:sz w:val="22"/>
          <w:szCs w:val="22"/>
        </w:rPr>
        <w:t>d</w:t>
      </w:r>
      <w:r w:rsidRPr="00C9375C">
        <w:rPr>
          <w:sz w:val="22"/>
          <w:szCs w:val="22"/>
        </w:rPr>
        <w:t xml:space="preserve"> the circumstances mentioned in Part 1 of Schedule 4 of PB 71 of 2012, and Schedule 3 of PB 116 of 2010 for circumstances codes for pharmaceutical benefits where</w:t>
      </w:r>
      <w:r w:rsidR="00F6131F" w:rsidRPr="00C9375C">
        <w:rPr>
          <w:sz w:val="22"/>
          <w:szCs w:val="22"/>
        </w:rPr>
        <w:t>:</w:t>
      </w:r>
    </w:p>
    <w:p w14:paraId="409638C8" w14:textId="77777777" w:rsidR="00F6131F" w:rsidRPr="00C9375C" w:rsidRDefault="00F6131F" w:rsidP="00F6131F">
      <w:pPr>
        <w:spacing w:before="120"/>
        <w:ind w:right="-164"/>
        <w:jc w:val="both"/>
        <w:rPr>
          <w:sz w:val="22"/>
          <w:szCs w:val="22"/>
        </w:rPr>
      </w:pPr>
      <w:r w:rsidRPr="00C9375C">
        <w:rPr>
          <w:sz w:val="22"/>
          <w:szCs w:val="22"/>
        </w:rPr>
        <w:t>•</w:t>
      </w:r>
      <w:r w:rsidRPr="00C9375C">
        <w:rPr>
          <w:sz w:val="22"/>
          <w:szCs w:val="22"/>
        </w:rPr>
        <w:tab/>
        <w:t>a patient has previously been supplied that pharmaceutical benefit; and</w:t>
      </w:r>
    </w:p>
    <w:p w14:paraId="5E0D1F8E" w14:textId="77777777" w:rsidR="00F6131F" w:rsidRPr="00C9375C" w:rsidRDefault="00F6131F" w:rsidP="00BC7BD1">
      <w:pPr>
        <w:spacing w:before="120"/>
        <w:ind w:left="720" w:right="-164" w:hanging="720"/>
        <w:jc w:val="both"/>
        <w:rPr>
          <w:sz w:val="22"/>
          <w:szCs w:val="22"/>
        </w:rPr>
      </w:pPr>
      <w:r w:rsidRPr="00C9375C">
        <w:rPr>
          <w:sz w:val="22"/>
          <w:szCs w:val="22"/>
        </w:rPr>
        <w:t>•</w:t>
      </w:r>
      <w:r w:rsidRPr="00C9375C">
        <w:rPr>
          <w:sz w:val="22"/>
          <w:szCs w:val="22"/>
        </w:rPr>
        <w:tab/>
        <w:t xml:space="preserve">having regard to the patient’s situation and the state of affairs associated with precautions against the spread of </w:t>
      </w:r>
      <w:r w:rsidR="00BC7BD1" w:rsidRPr="00C9375C">
        <w:rPr>
          <w:sz w:val="22"/>
          <w:szCs w:val="22"/>
        </w:rPr>
        <w:t xml:space="preserve">the coronavirus known as </w:t>
      </w:r>
      <w:r w:rsidRPr="00C9375C">
        <w:rPr>
          <w:sz w:val="22"/>
          <w:szCs w:val="22"/>
        </w:rPr>
        <w:t xml:space="preserve">COVID-19, it is not reasonably practicable to establish those circumstances. </w:t>
      </w:r>
    </w:p>
    <w:p w14:paraId="388085B2" w14:textId="321B011F" w:rsidR="00F6131F" w:rsidRPr="00C9375C" w:rsidRDefault="00F6131F" w:rsidP="00F6131F">
      <w:pPr>
        <w:spacing w:before="120"/>
        <w:ind w:right="-164"/>
        <w:jc w:val="both"/>
        <w:rPr>
          <w:sz w:val="22"/>
          <w:szCs w:val="22"/>
        </w:rPr>
      </w:pPr>
      <w:r w:rsidRPr="00C9375C">
        <w:rPr>
          <w:sz w:val="22"/>
          <w:szCs w:val="22"/>
        </w:rPr>
        <w:t>The amendments</w:t>
      </w:r>
      <w:r w:rsidR="00A014EE" w:rsidRPr="00C9375C">
        <w:rPr>
          <w:sz w:val="22"/>
          <w:szCs w:val="22"/>
        </w:rPr>
        <w:t xml:space="preserve"> in PB 32 of 2020</w:t>
      </w:r>
      <w:r w:rsidRPr="00C9375C">
        <w:rPr>
          <w:sz w:val="22"/>
          <w:szCs w:val="22"/>
        </w:rPr>
        <w:t xml:space="preserve"> also determine that where the above criteria are met, the prescriber is required to keep a written record of the reason it is not practicable to establish the circumstance.</w:t>
      </w:r>
      <w:r w:rsidR="003F1E4A" w:rsidRPr="00C9375C">
        <w:rPr>
          <w:sz w:val="22"/>
          <w:szCs w:val="22"/>
        </w:rPr>
        <w:t xml:space="preserve"> </w:t>
      </w:r>
      <w:r w:rsidR="00A014EE" w:rsidRPr="00C9375C">
        <w:rPr>
          <w:sz w:val="22"/>
          <w:szCs w:val="22"/>
        </w:rPr>
        <w:t xml:space="preserve">The amendment instrument ensures the measures continue during the current health pandemic. </w:t>
      </w:r>
    </w:p>
    <w:p w14:paraId="3595C1DA" w14:textId="77777777" w:rsidR="00280116" w:rsidRPr="00C9375C" w:rsidRDefault="00280116" w:rsidP="00280116">
      <w:pPr>
        <w:spacing w:before="240"/>
        <w:rPr>
          <w:b/>
          <w:sz w:val="22"/>
          <w:szCs w:val="22"/>
        </w:rPr>
      </w:pPr>
      <w:r w:rsidRPr="00C9375C">
        <w:rPr>
          <w:b/>
          <w:sz w:val="22"/>
          <w:szCs w:val="22"/>
        </w:rPr>
        <w:t>Human rights implications</w:t>
      </w:r>
    </w:p>
    <w:p w14:paraId="4D3A86E9" w14:textId="79634BF2" w:rsidR="00280116" w:rsidRPr="00C9375C" w:rsidRDefault="0092794E" w:rsidP="00280116">
      <w:pPr>
        <w:spacing w:before="120"/>
        <w:jc w:val="both"/>
        <w:rPr>
          <w:sz w:val="22"/>
          <w:szCs w:val="22"/>
        </w:rPr>
      </w:pPr>
      <w:r w:rsidRPr="00C9375C">
        <w:rPr>
          <w:sz w:val="22"/>
          <w:szCs w:val="22"/>
        </w:rPr>
        <w:t>This</w:t>
      </w:r>
      <w:r w:rsidR="00A014EE" w:rsidRPr="00C9375C">
        <w:rPr>
          <w:sz w:val="22"/>
          <w:szCs w:val="22"/>
        </w:rPr>
        <w:t xml:space="preserve"> Disallowable</w:t>
      </w:r>
      <w:r w:rsidRPr="00C9375C">
        <w:rPr>
          <w:sz w:val="22"/>
          <w:szCs w:val="22"/>
        </w:rPr>
        <w:t xml:space="preserve"> </w:t>
      </w:r>
      <w:r w:rsidR="00A014EE" w:rsidRPr="00C9375C">
        <w:rPr>
          <w:sz w:val="22"/>
          <w:szCs w:val="22"/>
        </w:rPr>
        <w:t>L</w:t>
      </w:r>
      <w:r w:rsidRPr="00C9375C">
        <w:rPr>
          <w:sz w:val="22"/>
          <w:szCs w:val="22"/>
        </w:rPr>
        <w:t xml:space="preserve">egislative </w:t>
      </w:r>
      <w:r w:rsidR="00A014EE" w:rsidRPr="00C9375C">
        <w:rPr>
          <w:sz w:val="22"/>
          <w:szCs w:val="22"/>
        </w:rPr>
        <w:t>I</w:t>
      </w:r>
      <w:r w:rsidR="00280116" w:rsidRPr="00C9375C">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595673C2" w14:textId="71657B8C" w:rsidR="00280116" w:rsidRPr="00C9375C" w:rsidRDefault="00280116" w:rsidP="00280116">
      <w:pPr>
        <w:spacing w:before="120"/>
        <w:jc w:val="both"/>
        <w:rPr>
          <w:sz w:val="22"/>
          <w:szCs w:val="22"/>
        </w:rPr>
      </w:pPr>
      <w:r w:rsidRPr="00C9375C">
        <w:rPr>
          <w:sz w:val="22"/>
          <w:szCs w:val="22"/>
        </w:rPr>
        <w:t xml:space="preserve">The </w:t>
      </w:r>
      <w:r w:rsidR="007E3649" w:rsidRPr="00C9375C">
        <w:rPr>
          <w:sz w:val="22"/>
          <w:szCs w:val="22"/>
        </w:rPr>
        <w:t>Pharmaceutical Benefits Scheme (</w:t>
      </w:r>
      <w:r w:rsidRPr="00C9375C">
        <w:rPr>
          <w:sz w:val="22"/>
          <w:szCs w:val="22"/>
        </w:rPr>
        <w:t>PBS</w:t>
      </w:r>
      <w:r w:rsidR="007E3649" w:rsidRPr="00C9375C">
        <w:rPr>
          <w:sz w:val="22"/>
          <w:szCs w:val="22"/>
        </w:rPr>
        <w:t>)</w:t>
      </w:r>
      <w:r w:rsidRPr="00C9375C">
        <w:rPr>
          <w:sz w:val="22"/>
          <w:szCs w:val="22"/>
        </w:rPr>
        <w:t xml:space="preserve"> is a benefit scheme which assists with advancement of this human right by providing for subsidised access by patients to medicines. The recommendatory role of the Pharmaceutical Benefits Advis</w:t>
      </w:r>
      <w:r w:rsidR="00BC7BD1" w:rsidRPr="00C9375C">
        <w:rPr>
          <w:sz w:val="22"/>
          <w:szCs w:val="22"/>
        </w:rPr>
        <w:t xml:space="preserve">ory Committee </w:t>
      </w:r>
      <w:r w:rsidRPr="00C9375C">
        <w:rPr>
          <w:sz w:val="22"/>
          <w:szCs w:val="22"/>
        </w:rPr>
        <w:t>ensures that decisions about subsidised access to medicines on the PBS are evidence-based.</w:t>
      </w:r>
    </w:p>
    <w:p w14:paraId="64A3AE85" w14:textId="77777777" w:rsidR="00280116" w:rsidRPr="00C9375C" w:rsidRDefault="00280116" w:rsidP="00280116">
      <w:pPr>
        <w:spacing w:before="240"/>
        <w:rPr>
          <w:b/>
          <w:sz w:val="22"/>
          <w:szCs w:val="22"/>
        </w:rPr>
      </w:pPr>
      <w:r w:rsidRPr="00C9375C">
        <w:rPr>
          <w:b/>
          <w:sz w:val="22"/>
          <w:szCs w:val="22"/>
        </w:rPr>
        <w:t>Conclusion</w:t>
      </w:r>
    </w:p>
    <w:p w14:paraId="766B045F" w14:textId="3369013A" w:rsidR="00280116" w:rsidRPr="00EA4D97" w:rsidRDefault="0092794E" w:rsidP="00FF17C5">
      <w:pPr>
        <w:spacing w:before="120"/>
        <w:jc w:val="both"/>
        <w:rPr>
          <w:sz w:val="22"/>
          <w:szCs w:val="22"/>
        </w:rPr>
      </w:pPr>
      <w:r w:rsidRPr="00C9375C">
        <w:rPr>
          <w:sz w:val="22"/>
          <w:szCs w:val="22"/>
        </w:rPr>
        <w:t>This</w:t>
      </w:r>
      <w:r w:rsidR="00A014EE" w:rsidRPr="00C9375C">
        <w:rPr>
          <w:sz w:val="22"/>
          <w:szCs w:val="22"/>
        </w:rPr>
        <w:t xml:space="preserve"> Disallowable</w:t>
      </w:r>
      <w:r w:rsidRPr="00C9375C">
        <w:rPr>
          <w:sz w:val="22"/>
          <w:szCs w:val="22"/>
        </w:rPr>
        <w:t xml:space="preserve"> legislative i</w:t>
      </w:r>
      <w:r w:rsidR="00280116" w:rsidRPr="00C9375C">
        <w:rPr>
          <w:sz w:val="22"/>
          <w:szCs w:val="22"/>
        </w:rPr>
        <w:t>nstrument is compatible with human rights because it advances the protection of human rights.</w:t>
      </w:r>
      <w:bookmarkStart w:id="1" w:name="_GoBack"/>
      <w:bookmarkEnd w:id="1"/>
    </w:p>
    <w:p w14:paraId="30A0E4AB" w14:textId="4818C3C2" w:rsidR="00736ABD" w:rsidRPr="00063136" w:rsidRDefault="00736ABD" w:rsidP="00D03E81">
      <w:pPr>
        <w:jc w:val="center"/>
        <w:rPr>
          <w:sz w:val="22"/>
          <w:szCs w:val="22"/>
        </w:rPr>
      </w:pPr>
    </w:p>
    <w:sectPr w:rsidR="00736ABD" w:rsidRPr="00063136" w:rsidSect="006A61D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07A32" w14:textId="77777777" w:rsidR="008904B5" w:rsidRDefault="008904B5">
      <w:r>
        <w:separator/>
      </w:r>
    </w:p>
  </w:endnote>
  <w:endnote w:type="continuationSeparator" w:id="0">
    <w:p w14:paraId="5C64F20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BC232"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5A963"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14:paraId="374BFBEC" w14:textId="41CD8EA3" w:rsidR="00B446BB" w:rsidRDefault="00B446BB">
        <w:pPr>
          <w:pStyle w:val="Footer"/>
          <w:jc w:val="center"/>
        </w:pPr>
        <w:r>
          <w:fldChar w:fldCharType="begin"/>
        </w:r>
        <w:r>
          <w:instrText xml:space="preserve"> PAGE   \* MERGEFORMAT </w:instrText>
        </w:r>
        <w:r>
          <w:fldChar w:fldCharType="separate"/>
        </w:r>
        <w:r w:rsidR="00C9375C">
          <w:rPr>
            <w:noProof/>
          </w:rPr>
          <w:t>5</w:t>
        </w:r>
        <w:r>
          <w:rPr>
            <w:noProof/>
          </w:rPr>
          <w:fldChar w:fldCharType="end"/>
        </w:r>
      </w:p>
    </w:sdtContent>
  </w:sdt>
  <w:p w14:paraId="790C4FB8"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9BFA" w14:textId="77777777" w:rsidR="008904B5" w:rsidRDefault="008904B5">
      <w:r>
        <w:separator/>
      </w:r>
    </w:p>
  </w:footnote>
  <w:footnote w:type="continuationSeparator" w:id="0">
    <w:p w14:paraId="1B01ACFC"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8827D5"/>
    <w:multiLevelType w:val="hybridMultilevel"/>
    <w:tmpl w:val="22D234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14D6E"/>
    <w:multiLevelType w:val="hybridMultilevel"/>
    <w:tmpl w:val="65D8A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27664"/>
    <w:multiLevelType w:val="multilevel"/>
    <w:tmpl w:val="BE7C3640"/>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1702"/>
        </w:tabs>
        <w:ind w:left="1418" w:hanging="425"/>
      </w:pPr>
      <w:rPr>
        <w:rFonts w:ascii="Arial" w:eastAsia="Times New Roman" w:hAnsi="Arial" w:cs="Arial"/>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15:restartNumberingAfterBreak="0">
    <w:nsid w:val="1E8160A9"/>
    <w:multiLevelType w:val="hybridMultilevel"/>
    <w:tmpl w:val="21C290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C06090"/>
    <w:multiLevelType w:val="hybridMultilevel"/>
    <w:tmpl w:val="6194DE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6BE55B5"/>
    <w:multiLevelType w:val="hybridMultilevel"/>
    <w:tmpl w:val="7C8EB2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8"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897397"/>
    <w:multiLevelType w:val="hybridMultilevel"/>
    <w:tmpl w:val="733AE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0"/>
  </w:num>
  <w:num w:numId="4">
    <w:abstractNumId w:val="5"/>
  </w:num>
  <w:num w:numId="5">
    <w:abstractNumId w:val="13"/>
  </w:num>
  <w:num w:numId="6">
    <w:abstractNumId w:val="16"/>
  </w:num>
  <w:num w:numId="7">
    <w:abstractNumId w:val="8"/>
  </w:num>
  <w:num w:numId="8">
    <w:abstractNumId w:val="8"/>
  </w:num>
  <w:num w:numId="9">
    <w:abstractNumId w:val="9"/>
  </w:num>
  <w:num w:numId="10">
    <w:abstractNumId w:val="11"/>
  </w:num>
  <w:num w:numId="11">
    <w:abstractNumId w:val="10"/>
  </w:num>
  <w:num w:numId="12">
    <w:abstractNumId w:val="3"/>
  </w:num>
  <w:num w:numId="13">
    <w:abstractNumId w:val="12"/>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136"/>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3B19"/>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140"/>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358"/>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5C4A"/>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4DF8"/>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3FD"/>
    <w:rsid w:val="002B06B7"/>
    <w:rsid w:val="002B0723"/>
    <w:rsid w:val="002B0864"/>
    <w:rsid w:val="002B0B0B"/>
    <w:rsid w:val="002B0D69"/>
    <w:rsid w:val="002B1079"/>
    <w:rsid w:val="002B109F"/>
    <w:rsid w:val="002B10EF"/>
    <w:rsid w:val="002B1650"/>
    <w:rsid w:val="002B17AD"/>
    <w:rsid w:val="002B1A6D"/>
    <w:rsid w:val="002B1B2F"/>
    <w:rsid w:val="002B1C2A"/>
    <w:rsid w:val="002B1D47"/>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558"/>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005"/>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1E4A"/>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254"/>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9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278"/>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7F1"/>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2AB"/>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CDD"/>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3C58"/>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09A"/>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C"/>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41"/>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97D"/>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B42"/>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211"/>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8A1"/>
    <w:rsid w:val="007909A5"/>
    <w:rsid w:val="00790C69"/>
    <w:rsid w:val="00790E87"/>
    <w:rsid w:val="00790FE5"/>
    <w:rsid w:val="007916D0"/>
    <w:rsid w:val="00791A2D"/>
    <w:rsid w:val="00791BB2"/>
    <w:rsid w:val="00791E7A"/>
    <w:rsid w:val="00792322"/>
    <w:rsid w:val="0079235A"/>
    <w:rsid w:val="00792C15"/>
    <w:rsid w:val="0079341B"/>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2F41"/>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DE9"/>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6E5"/>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17567"/>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78D"/>
    <w:rsid w:val="008438E7"/>
    <w:rsid w:val="00844592"/>
    <w:rsid w:val="00844B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92E"/>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6A9C"/>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3D8"/>
    <w:rsid w:val="0098054F"/>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BB4"/>
    <w:rsid w:val="009A1C0C"/>
    <w:rsid w:val="009A1D48"/>
    <w:rsid w:val="009A1F68"/>
    <w:rsid w:val="009A2232"/>
    <w:rsid w:val="009A224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137"/>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C55"/>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535"/>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4EE"/>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2DF9"/>
    <w:rsid w:val="00AB30C3"/>
    <w:rsid w:val="00AB32CC"/>
    <w:rsid w:val="00AB3436"/>
    <w:rsid w:val="00AB3AD4"/>
    <w:rsid w:val="00AB43FA"/>
    <w:rsid w:val="00AB52C0"/>
    <w:rsid w:val="00AB5CA6"/>
    <w:rsid w:val="00AB5E49"/>
    <w:rsid w:val="00AB5F59"/>
    <w:rsid w:val="00AB67BC"/>
    <w:rsid w:val="00AB6E4E"/>
    <w:rsid w:val="00AB70C1"/>
    <w:rsid w:val="00AB7550"/>
    <w:rsid w:val="00AB79C2"/>
    <w:rsid w:val="00AB7C12"/>
    <w:rsid w:val="00AB7D51"/>
    <w:rsid w:val="00AC0CAC"/>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1AD3"/>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87B6D"/>
    <w:rsid w:val="00B9028A"/>
    <w:rsid w:val="00B903C1"/>
    <w:rsid w:val="00B906A9"/>
    <w:rsid w:val="00B90E9C"/>
    <w:rsid w:val="00B91067"/>
    <w:rsid w:val="00B91985"/>
    <w:rsid w:val="00B92853"/>
    <w:rsid w:val="00B9314E"/>
    <w:rsid w:val="00B9324C"/>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A07"/>
    <w:rsid w:val="00BC6CA4"/>
    <w:rsid w:val="00BC716D"/>
    <w:rsid w:val="00BC7BD1"/>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37"/>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548"/>
    <w:rsid w:val="00C936F6"/>
    <w:rsid w:val="00C9375C"/>
    <w:rsid w:val="00C93E11"/>
    <w:rsid w:val="00C940A8"/>
    <w:rsid w:val="00C94901"/>
    <w:rsid w:val="00C94A2F"/>
    <w:rsid w:val="00C94A3B"/>
    <w:rsid w:val="00C952DD"/>
    <w:rsid w:val="00C95950"/>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3C1"/>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889"/>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FE6"/>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97DAD"/>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4D97"/>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36"/>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847"/>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09C"/>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131F"/>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A7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7C5"/>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5D3F040E"/>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8D"/>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uiPriority w:val="99"/>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aliases w:val="BulletPoints"/>
    <w:basedOn w:val="Normal"/>
    <w:link w:val="ListParagraphChar"/>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NumberLevel1">
    <w:name w:val="Number Level 1"/>
    <w:aliases w:val="N1,hea Level 1,Numberanswer Level 1,N,indentl 1"/>
    <w:basedOn w:val="Normal"/>
    <w:link w:val="NumberLevel1Char"/>
    <w:qFormat/>
    <w:rsid w:val="00AB2DF9"/>
    <w:pPr>
      <w:numPr>
        <w:numId w:val="12"/>
      </w:numPr>
      <w:spacing w:before="140" w:after="140" w:line="280" w:lineRule="atLeast"/>
    </w:pPr>
    <w:rPr>
      <w:rFonts w:ascii="Arial" w:hAnsi="Arial" w:cs="Arial"/>
      <w:sz w:val="22"/>
      <w:szCs w:val="22"/>
    </w:rPr>
  </w:style>
  <w:style w:type="paragraph" w:customStyle="1" w:styleId="NumberLevel2">
    <w:name w:val="Number Level 2"/>
    <w:aliases w:val="N2"/>
    <w:basedOn w:val="Normal"/>
    <w:qFormat/>
    <w:rsid w:val="00AB2DF9"/>
    <w:pPr>
      <w:numPr>
        <w:ilvl w:val="1"/>
        <w:numId w:val="12"/>
      </w:numPr>
      <w:spacing w:before="140" w:after="140" w:line="280" w:lineRule="atLeast"/>
    </w:pPr>
    <w:rPr>
      <w:rFonts w:ascii="Arial" w:hAnsi="Arial" w:cs="Arial"/>
      <w:sz w:val="22"/>
      <w:szCs w:val="22"/>
    </w:rPr>
  </w:style>
  <w:style w:type="paragraph" w:customStyle="1" w:styleId="NumberLevel3">
    <w:name w:val="Number Level 3"/>
    <w:aliases w:val="N3"/>
    <w:basedOn w:val="Normal"/>
    <w:qFormat/>
    <w:rsid w:val="00AB2DF9"/>
    <w:pPr>
      <w:numPr>
        <w:ilvl w:val="2"/>
        <w:numId w:val="12"/>
      </w:numPr>
      <w:spacing w:before="140" w:after="140" w:line="280" w:lineRule="atLeast"/>
    </w:pPr>
    <w:rPr>
      <w:rFonts w:ascii="Arial" w:hAnsi="Arial" w:cs="Arial"/>
      <w:sz w:val="22"/>
      <w:szCs w:val="22"/>
    </w:rPr>
  </w:style>
  <w:style w:type="paragraph" w:customStyle="1" w:styleId="NumberLevel4">
    <w:name w:val="Number Level 4"/>
    <w:aliases w:val="N4,theNumber Level 4"/>
    <w:basedOn w:val="Normal"/>
    <w:qFormat/>
    <w:rsid w:val="00AB2DF9"/>
    <w:pPr>
      <w:numPr>
        <w:ilvl w:val="3"/>
        <w:numId w:val="12"/>
      </w:numPr>
      <w:tabs>
        <w:tab w:val="num" w:pos="709"/>
      </w:tabs>
      <w:spacing w:after="140" w:line="280" w:lineRule="atLeast"/>
      <w:ind w:left="425"/>
    </w:pPr>
    <w:rPr>
      <w:rFonts w:ascii="Arial" w:hAnsi="Arial" w:cs="Arial"/>
      <w:sz w:val="22"/>
      <w:szCs w:val="22"/>
    </w:rPr>
  </w:style>
  <w:style w:type="paragraph" w:customStyle="1" w:styleId="NumberLevel5">
    <w:name w:val="Number Level 5"/>
    <w:aliases w:val="N5"/>
    <w:basedOn w:val="Normal"/>
    <w:rsid w:val="00AB2DF9"/>
    <w:pPr>
      <w:numPr>
        <w:ilvl w:val="4"/>
        <w:numId w:val="12"/>
      </w:numPr>
      <w:spacing w:after="140" w:line="280" w:lineRule="atLeast"/>
    </w:pPr>
    <w:rPr>
      <w:rFonts w:ascii="Arial" w:hAnsi="Arial" w:cs="Arial"/>
      <w:sz w:val="22"/>
      <w:szCs w:val="22"/>
    </w:rPr>
  </w:style>
  <w:style w:type="paragraph" w:customStyle="1" w:styleId="NumberLevel6">
    <w:name w:val="Number Level 6"/>
    <w:aliases w:val="N6"/>
    <w:basedOn w:val="NumberLevel5"/>
    <w:rsid w:val="00AB2DF9"/>
    <w:pPr>
      <w:numPr>
        <w:ilvl w:val="5"/>
      </w:numPr>
    </w:pPr>
  </w:style>
  <w:style w:type="paragraph" w:customStyle="1" w:styleId="NumberLevel7">
    <w:name w:val="Number Level 7"/>
    <w:aliases w:val="N7"/>
    <w:basedOn w:val="NumberLevel6"/>
    <w:rsid w:val="00AB2DF9"/>
    <w:pPr>
      <w:numPr>
        <w:ilvl w:val="6"/>
      </w:numPr>
    </w:pPr>
  </w:style>
  <w:style w:type="paragraph" w:customStyle="1" w:styleId="NumberLevel8">
    <w:name w:val="Number Level 8"/>
    <w:aliases w:val="N8"/>
    <w:basedOn w:val="NumberLevel7"/>
    <w:rsid w:val="00AB2DF9"/>
    <w:pPr>
      <w:numPr>
        <w:ilvl w:val="7"/>
      </w:numPr>
    </w:pPr>
  </w:style>
  <w:style w:type="paragraph" w:customStyle="1" w:styleId="NumberLevel9">
    <w:name w:val="Number Level 9"/>
    <w:aliases w:val="N9"/>
    <w:basedOn w:val="NumberLevel8"/>
    <w:rsid w:val="00AB2DF9"/>
    <w:pPr>
      <w:numPr>
        <w:ilvl w:val="8"/>
      </w:numPr>
    </w:pPr>
  </w:style>
  <w:style w:type="character" w:customStyle="1" w:styleId="NumberLevel1Char">
    <w:name w:val="Number Level 1 Char"/>
    <w:aliases w:val="N1 Char,hea Level 1 Char,N Char"/>
    <w:basedOn w:val="DefaultParagraphFont"/>
    <w:link w:val="NumberLevel1"/>
    <w:rsid w:val="00AB2DF9"/>
    <w:rPr>
      <w:rFonts w:ascii="Arial" w:hAnsi="Arial" w:cs="Arial"/>
      <w:sz w:val="22"/>
      <w:szCs w:val="22"/>
    </w:rPr>
  </w:style>
  <w:style w:type="character" w:customStyle="1" w:styleId="ListParagraphChar">
    <w:name w:val="List Paragraph Char"/>
    <w:aliases w:val="BulletPoints Char"/>
    <w:basedOn w:val="DefaultParagraphFont"/>
    <w:link w:val="ListParagraph"/>
    <w:uiPriority w:val="34"/>
    <w:qFormat/>
    <w:locked/>
    <w:rsid w:val="00D50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792333462">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7B02-B520-443D-A543-B499AA15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1835</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12182</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7</cp:revision>
  <cp:lastPrinted>2020-03-27T01:41:00Z</cp:lastPrinted>
  <dcterms:created xsi:type="dcterms:W3CDTF">2020-09-24T03:10:00Z</dcterms:created>
  <dcterms:modified xsi:type="dcterms:W3CDTF">2020-09-29T04:05:00Z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